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6EE6" w14:textId="52AC7526" w:rsidR="00467516" w:rsidRPr="004F2666" w:rsidRDefault="00BA6B98" w:rsidP="005A7B1B">
      <w:pPr>
        <w:pStyle w:val="Sinespaciado"/>
        <w:rPr>
          <w:lang w:val="es-ES"/>
        </w:rPr>
      </w:pPr>
      <w:r>
        <w:rPr>
          <w:lang w:val="es-ES"/>
        </w:rPr>
        <w:tab/>
      </w:r>
    </w:p>
    <w:p w14:paraId="1EB66D4B" w14:textId="0702F168" w:rsidR="00616A72" w:rsidRPr="00AC70AC" w:rsidRDefault="00616A72" w:rsidP="00616A72">
      <w:pPr>
        <w:spacing w:line="240" w:lineRule="auto"/>
        <w:jc w:val="center"/>
        <w:rPr>
          <w:rFonts w:eastAsia="Calibri" w:cs="Calibri"/>
          <w:b/>
          <w:lang w:val="es-ES"/>
        </w:rPr>
      </w:pPr>
      <w:bookmarkStart w:id="0" w:name="_Toc495658661"/>
      <w:bookmarkStart w:id="1" w:name="_Toc498013630"/>
      <w:bookmarkStart w:id="2" w:name="_Toc514172615"/>
      <w:bookmarkStart w:id="3" w:name="_Toc24447077"/>
      <w:r w:rsidRPr="00CA6B8B">
        <w:rPr>
          <w:rFonts w:eastAsia="Calibri" w:cs="Calibri"/>
          <w:b/>
          <w:lang w:val="es-ES"/>
        </w:rPr>
        <w:t xml:space="preserve">CASO </w:t>
      </w:r>
      <w:r w:rsidR="00674E84" w:rsidRPr="00CA6B8B">
        <w:rPr>
          <w:rFonts w:eastAsia="Calibri" w:cs="Calibri"/>
          <w:b/>
          <w:lang w:val="es-ES"/>
        </w:rPr>
        <w:t xml:space="preserve">DIGNA </w:t>
      </w:r>
      <w:r w:rsidR="000F05F3" w:rsidRPr="00CA6B8B">
        <w:rPr>
          <w:rFonts w:eastAsia="Calibri" w:cs="Calibri"/>
          <w:b/>
          <w:lang w:val="es-ES"/>
        </w:rPr>
        <w:t>OCHOA</w:t>
      </w:r>
      <w:r w:rsidR="00F061A9" w:rsidRPr="00CA6B8B">
        <w:rPr>
          <w:rFonts w:eastAsia="Calibri" w:cs="Calibri"/>
          <w:b/>
          <w:lang w:val="es-ES"/>
        </w:rPr>
        <w:t xml:space="preserve"> Y </w:t>
      </w:r>
      <w:r w:rsidR="00CA09EB" w:rsidRPr="00CA6B8B">
        <w:rPr>
          <w:rFonts w:eastAsia="Calibri" w:cs="Calibri"/>
          <w:b/>
          <w:lang w:val="es-ES"/>
        </w:rPr>
        <w:t>FAMILIARES</w:t>
      </w:r>
      <w:r w:rsidRPr="00CA6B8B">
        <w:rPr>
          <w:rFonts w:eastAsia="Calibri" w:cs="Calibri"/>
          <w:b/>
          <w:i/>
          <w:lang w:val="es-ES"/>
        </w:rPr>
        <w:t xml:space="preserve"> VS</w:t>
      </w:r>
      <w:r w:rsidRPr="00CA6B8B">
        <w:rPr>
          <w:rFonts w:eastAsia="Calibri" w:cs="Calibri"/>
          <w:b/>
          <w:lang w:val="es-ES"/>
        </w:rPr>
        <w:t xml:space="preserve">. </w:t>
      </w:r>
      <w:r w:rsidR="000F05F3" w:rsidRPr="00CA6B8B">
        <w:rPr>
          <w:rFonts w:eastAsia="Calibri" w:cs="Calibri"/>
          <w:b/>
          <w:lang w:val="es-ES"/>
        </w:rPr>
        <w:t>MÉXICO</w:t>
      </w:r>
      <w:r w:rsidR="00094861" w:rsidRPr="00CA6B8B">
        <w:rPr>
          <w:rStyle w:val="Refdenotaalpie"/>
          <w:rFonts w:eastAsia="Calibri" w:cs="Calibri"/>
          <w:b/>
          <w:lang w:val="es-ES"/>
        </w:rPr>
        <w:footnoteReference w:customMarkFollows="1" w:id="1"/>
        <w:t>*</w:t>
      </w:r>
    </w:p>
    <w:p w14:paraId="3434E4B2" w14:textId="77777777" w:rsidR="006C2EAA" w:rsidRPr="004F2666" w:rsidRDefault="006C2EAA" w:rsidP="00616A72">
      <w:pPr>
        <w:spacing w:line="240" w:lineRule="auto"/>
        <w:jc w:val="center"/>
        <w:rPr>
          <w:rFonts w:eastAsia="Calibri" w:cs="Calibri"/>
          <w:b/>
          <w:lang w:val="es-ES"/>
        </w:rPr>
      </w:pPr>
    </w:p>
    <w:p w14:paraId="578BA3A5" w14:textId="77777777" w:rsidR="00616A72" w:rsidRPr="004F2666" w:rsidRDefault="00616A72" w:rsidP="00616A72">
      <w:pPr>
        <w:tabs>
          <w:tab w:val="left" w:pos="720"/>
        </w:tabs>
        <w:spacing w:line="240" w:lineRule="auto"/>
        <w:jc w:val="center"/>
        <w:rPr>
          <w:rFonts w:eastAsia="Calibri" w:cs="Verdana"/>
          <w:b/>
          <w:bCs/>
          <w:caps/>
          <w:snapToGrid w:val="0"/>
          <w:lang w:val="es-ES" w:eastAsia="es-ES"/>
        </w:rPr>
      </w:pPr>
    </w:p>
    <w:p w14:paraId="2311E322" w14:textId="249AFBC0" w:rsidR="00616A72" w:rsidRPr="004F2666" w:rsidRDefault="00616A72" w:rsidP="00616A72">
      <w:pPr>
        <w:tabs>
          <w:tab w:val="left" w:pos="720"/>
        </w:tabs>
        <w:spacing w:line="240" w:lineRule="auto"/>
        <w:jc w:val="center"/>
        <w:rPr>
          <w:rFonts w:eastAsia="Calibri" w:cs="Verdana"/>
          <w:b/>
          <w:bCs/>
          <w:snapToGrid w:val="0"/>
          <w:lang w:val="es-ES" w:eastAsia="es-ES"/>
        </w:rPr>
      </w:pPr>
      <w:r w:rsidRPr="004F2666">
        <w:rPr>
          <w:rFonts w:eastAsia="Calibri" w:cs="Verdana"/>
          <w:b/>
          <w:bCs/>
          <w:snapToGrid w:val="0"/>
          <w:lang w:val="es-ES" w:eastAsia="es-ES"/>
        </w:rPr>
        <w:t xml:space="preserve">SENTENCIA DE </w:t>
      </w:r>
      <w:r w:rsidR="001F4BF8">
        <w:rPr>
          <w:rFonts w:eastAsia="Calibri" w:cs="Verdana"/>
          <w:b/>
          <w:bCs/>
          <w:snapToGrid w:val="0"/>
          <w:lang w:val="es-ES" w:eastAsia="es-ES"/>
        </w:rPr>
        <w:t>25</w:t>
      </w:r>
      <w:r w:rsidRPr="004F2666">
        <w:rPr>
          <w:rFonts w:eastAsia="Calibri" w:cs="Verdana"/>
          <w:b/>
          <w:bCs/>
          <w:snapToGrid w:val="0"/>
          <w:lang w:val="es-ES" w:eastAsia="es-ES"/>
        </w:rPr>
        <w:t xml:space="preserve"> DE </w:t>
      </w:r>
      <w:r w:rsidR="001F4BF8">
        <w:rPr>
          <w:rFonts w:eastAsia="Calibri" w:cs="Verdana"/>
          <w:b/>
          <w:bCs/>
          <w:snapToGrid w:val="0"/>
          <w:lang w:val="es-ES" w:eastAsia="es-ES"/>
        </w:rPr>
        <w:t>NOVIEMBRE</w:t>
      </w:r>
      <w:r w:rsidRPr="004F2666">
        <w:rPr>
          <w:rFonts w:eastAsia="Calibri" w:cs="Verdana"/>
          <w:b/>
          <w:bCs/>
          <w:snapToGrid w:val="0"/>
          <w:lang w:val="es-ES" w:eastAsia="es-ES"/>
        </w:rPr>
        <w:t xml:space="preserve"> DE </w:t>
      </w:r>
      <w:r w:rsidR="00F061A9" w:rsidRPr="004F2666">
        <w:rPr>
          <w:rFonts w:eastAsia="Calibri" w:cs="Verdana"/>
          <w:b/>
          <w:bCs/>
          <w:snapToGrid w:val="0"/>
          <w:lang w:val="es-ES" w:eastAsia="es-ES"/>
        </w:rPr>
        <w:t>2021</w:t>
      </w:r>
    </w:p>
    <w:p w14:paraId="0043624D" w14:textId="77777777" w:rsidR="00616A72" w:rsidRPr="004F2666" w:rsidRDefault="00616A72" w:rsidP="00616A72">
      <w:pPr>
        <w:tabs>
          <w:tab w:val="left" w:pos="720"/>
        </w:tabs>
        <w:spacing w:line="240" w:lineRule="auto"/>
        <w:jc w:val="center"/>
        <w:rPr>
          <w:rFonts w:eastAsia="Calibri" w:cs="Verdana"/>
          <w:b/>
          <w:bCs/>
          <w:caps/>
          <w:snapToGrid w:val="0"/>
          <w:lang w:val="es-ES" w:eastAsia="es-ES"/>
        </w:rPr>
      </w:pPr>
    </w:p>
    <w:p w14:paraId="341EDA5F" w14:textId="728EC413" w:rsidR="00616A72" w:rsidRPr="004F2666" w:rsidRDefault="00616A72" w:rsidP="00616A72">
      <w:pPr>
        <w:tabs>
          <w:tab w:val="left" w:pos="720"/>
        </w:tabs>
        <w:spacing w:line="240" w:lineRule="auto"/>
        <w:jc w:val="center"/>
        <w:rPr>
          <w:rFonts w:eastAsia="Calibri" w:cs="Verdana"/>
          <w:b/>
          <w:bCs/>
          <w:i/>
          <w:iCs/>
          <w:snapToGrid w:val="0"/>
          <w:lang w:val="es-ES" w:eastAsia="es-ES"/>
        </w:rPr>
      </w:pPr>
      <w:r w:rsidRPr="004F2666">
        <w:rPr>
          <w:rFonts w:eastAsia="Calibri" w:cs="Verdana"/>
          <w:b/>
          <w:bCs/>
          <w:i/>
          <w:iCs/>
          <w:snapToGrid w:val="0"/>
          <w:lang w:val="es-ES" w:eastAsia="es-ES"/>
        </w:rPr>
        <w:t>(</w:t>
      </w:r>
      <w:r w:rsidR="00F061A9" w:rsidRPr="004F2666">
        <w:rPr>
          <w:rFonts w:eastAsia="Calibri" w:cs="Verdana"/>
          <w:b/>
          <w:bCs/>
          <w:i/>
          <w:iCs/>
          <w:snapToGrid w:val="0"/>
          <w:lang w:val="es-ES" w:eastAsia="es-ES"/>
        </w:rPr>
        <w:t>Excepciones preliminares, fondo, reparaciones y costas</w:t>
      </w:r>
      <w:r w:rsidRPr="004F2666">
        <w:rPr>
          <w:rFonts w:eastAsia="Calibri" w:cs="Verdana"/>
          <w:b/>
          <w:bCs/>
          <w:i/>
          <w:iCs/>
          <w:snapToGrid w:val="0"/>
          <w:lang w:val="es-ES" w:eastAsia="es-ES"/>
        </w:rPr>
        <w:t>)</w:t>
      </w:r>
    </w:p>
    <w:p w14:paraId="1D86E6A2" w14:textId="378BA366" w:rsidR="009B752E" w:rsidRPr="004F2666" w:rsidRDefault="009B752E" w:rsidP="00616A72">
      <w:pPr>
        <w:tabs>
          <w:tab w:val="left" w:pos="720"/>
        </w:tabs>
        <w:spacing w:line="240" w:lineRule="auto"/>
        <w:jc w:val="center"/>
        <w:rPr>
          <w:rFonts w:eastAsia="Calibri" w:cs="Verdana"/>
          <w:b/>
          <w:bCs/>
          <w:i/>
          <w:iCs/>
          <w:snapToGrid w:val="0"/>
          <w:lang w:val="es-ES" w:eastAsia="es-ES"/>
        </w:rPr>
      </w:pPr>
    </w:p>
    <w:p w14:paraId="118CD201" w14:textId="77777777" w:rsidR="009B752E" w:rsidRPr="004F2666" w:rsidRDefault="009B752E" w:rsidP="00616A72">
      <w:pPr>
        <w:tabs>
          <w:tab w:val="left" w:pos="720"/>
        </w:tabs>
        <w:spacing w:line="240" w:lineRule="auto"/>
        <w:jc w:val="center"/>
        <w:rPr>
          <w:rFonts w:eastAsia="Calibri" w:cs="Verdana"/>
          <w:b/>
          <w:bCs/>
          <w:caps/>
          <w:snapToGrid w:val="0"/>
          <w:lang w:val="es-ES" w:eastAsia="es-ES"/>
        </w:rPr>
      </w:pPr>
    </w:p>
    <w:p w14:paraId="1EAC4369" w14:textId="5BEF2134" w:rsidR="00616A72" w:rsidRPr="004F2666" w:rsidRDefault="00616A72" w:rsidP="00616A72">
      <w:pPr>
        <w:tabs>
          <w:tab w:val="left" w:pos="3819"/>
        </w:tabs>
        <w:spacing w:before="4" w:line="280" w:lineRule="exact"/>
        <w:rPr>
          <w:rFonts w:eastAsia="Calibri"/>
          <w:lang w:val="es-ES"/>
        </w:rPr>
      </w:pPr>
      <w:r w:rsidRPr="004F2666">
        <w:rPr>
          <w:rFonts w:eastAsia="Calibri"/>
          <w:lang w:val="es-ES"/>
        </w:rPr>
        <w:tab/>
      </w:r>
    </w:p>
    <w:p w14:paraId="51A2CD4A" w14:textId="43040E98" w:rsidR="00616A72" w:rsidRPr="00AC70AC" w:rsidRDefault="00616A72" w:rsidP="00616A72">
      <w:pPr>
        <w:tabs>
          <w:tab w:val="left" w:pos="720"/>
        </w:tabs>
        <w:spacing w:line="240" w:lineRule="auto"/>
        <w:rPr>
          <w:rFonts w:eastAsia="Verdana" w:cs="Verdana"/>
          <w:lang w:val="es-ES"/>
        </w:rPr>
      </w:pPr>
      <w:r w:rsidRPr="00AC70AC">
        <w:rPr>
          <w:rFonts w:eastAsia="Verdana" w:cs="Verdana"/>
          <w:lang w:val="es-ES"/>
        </w:rPr>
        <w:t xml:space="preserve">En el caso </w:t>
      </w:r>
      <w:r w:rsidR="00CA6B8B" w:rsidRPr="00CA6B8B">
        <w:rPr>
          <w:rFonts w:eastAsia="Verdana" w:cs="Verdana"/>
          <w:i/>
          <w:lang w:val="es-ES"/>
        </w:rPr>
        <w:t>Digna</w:t>
      </w:r>
      <w:r w:rsidR="00CA6B8B">
        <w:rPr>
          <w:rFonts w:eastAsia="Verdana" w:cs="Verdana"/>
          <w:lang w:val="es-ES"/>
        </w:rPr>
        <w:t xml:space="preserve"> </w:t>
      </w:r>
      <w:r w:rsidR="00F061A9" w:rsidRPr="00AC70AC">
        <w:rPr>
          <w:rFonts w:eastAsia="Verdana" w:cs="Verdana"/>
          <w:i/>
          <w:lang w:val="es-ES"/>
        </w:rPr>
        <w:t xml:space="preserve">Ochoa y </w:t>
      </w:r>
      <w:r w:rsidR="006C2EAA" w:rsidRPr="00AC70AC">
        <w:rPr>
          <w:rFonts w:eastAsia="Verdana" w:cs="Verdana"/>
          <w:i/>
          <w:lang w:val="es-ES"/>
        </w:rPr>
        <w:t>familiares</w:t>
      </w:r>
      <w:r w:rsidR="0095129F">
        <w:rPr>
          <w:rFonts w:eastAsia="Verdana" w:cs="Verdana"/>
          <w:i/>
          <w:lang w:val="es-ES"/>
        </w:rPr>
        <w:t xml:space="preserve"> </w:t>
      </w:r>
      <w:r w:rsidR="00C52E25">
        <w:rPr>
          <w:rFonts w:eastAsia="Verdana" w:cs="Verdana"/>
          <w:i/>
          <w:lang w:val="es-ES"/>
        </w:rPr>
        <w:t>V</w:t>
      </w:r>
      <w:r w:rsidR="0095129F">
        <w:rPr>
          <w:rFonts w:eastAsia="Verdana" w:cs="Verdana"/>
          <w:i/>
          <w:lang w:val="es-ES"/>
        </w:rPr>
        <w:t>s</w:t>
      </w:r>
      <w:r w:rsidR="00C52E25">
        <w:rPr>
          <w:rFonts w:eastAsia="Verdana" w:cs="Verdana"/>
          <w:i/>
          <w:lang w:val="es-ES"/>
        </w:rPr>
        <w:t>.</w:t>
      </w:r>
      <w:r w:rsidR="0095129F">
        <w:rPr>
          <w:rFonts w:eastAsia="Verdana" w:cs="Verdana"/>
          <w:i/>
          <w:lang w:val="es-ES"/>
        </w:rPr>
        <w:t xml:space="preserve"> </w:t>
      </w:r>
      <w:r w:rsidR="002942EC">
        <w:rPr>
          <w:rFonts w:eastAsia="Verdana" w:cs="Verdana"/>
          <w:i/>
          <w:lang w:val="es-ES"/>
        </w:rPr>
        <w:t>México</w:t>
      </w:r>
      <w:r w:rsidRPr="00AC70AC">
        <w:rPr>
          <w:rFonts w:eastAsia="Verdana" w:cs="Verdana"/>
          <w:lang w:val="es-ES"/>
        </w:rPr>
        <w:t>,</w:t>
      </w:r>
    </w:p>
    <w:p w14:paraId="6DAA67EC" w14:textId="77777777" w:rsidR="00616A72" w:rsidRPr="004F2666" w:rsidRDefault="00616A72" w:rsidP="00616A72">
      <w:pPr>
        <w:spacing w:before="4" w:line="240" w:lineRule="exact"/>
        <w:rPr>
          <w:rFonts w:eastAsia="Calibri"/>
          <w:lang w:val="es-ES"/>
        </w:rPr>
      </w:pPr>
    </w:p>
    <w:p w14:paraId="3D61B2FC" w14:textId="77777777"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la Corte Interamericana de Derechos Humanos (en adelante “la Corte Interamericana”, “la Corte” o “este Tribunal”), integrada por los siguientes jueces:</w:t>
      </w:r>
      <w:r w:rsidRPr="004F2666">
        <w:rPr>
          <w:rFonts w:eastAsia="Calibri" w:cs="Verdana"/>
          <w:lang w:val="es-ES"/>
        </w:rPr>
        <w:tab/>
      </w:r>
    </w:p>
    <w:p w14:paraId="681C36E6" w14:textId="77777777" w:rsidR="00616A72" w:rsidRPr="004F2666" w:rsidRDefault="00616A72" w:rsidP="00616A72">
      <w:pPr>
        <w:tabs>
          <w:tab w:val="left" w:pos="720"/>
        </w:tabs>
        <w:spacing w:line="240" w:lineRule="auto"/>
        <w:rPr>
          <w:rFonts w:eastAsia="Calibri" w:cs="Verdana"/>
          <w:lang w:val="es-ES"/>
        </w:rPr>
      </w:pPr>
    </w:p>
    <w:p w14:paraId="1D730F17" w14:textId="77777777"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Elizabeth Odio Benito, Presidenta;</w:t>
      </w:r>
    </w:p>
    <w:p w14:paraId="6216B0A8" w14:textId="77777777"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L. Patricio Pazmiño Freire, Vicepresidente;</w:t>
      </w:r>
    </w:p>
    <w:p w14:paraId="1B840BED" w14:textId="26CDB74B"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Eduardo Vio Grossi</w:t>
      </w:r>
      <w:r w:rsidR="006C4373" w:rsidRPr="004F2666">
        <w:rPr>
          <w:rFonts w:eastAsia="Calibri" w:cs="Verdana"/>
          <w:lang w:val="es-ES"/>
        </w:rPr>
        <w:t>,</w:t>
      </w:r>
      <w:r w:rsidRPr="004F2666">
        <w:rPr>
          <w:rFonts w:eastAsia="Calibri" w:cs="Verdana"/>
          <w:lang w:val="es-ES"/>
        </w:rPr>
        <w:t xml:space="preserve"> Juez</w:t>
      </w:r>
      <w:r w:rsidR="006C4373" w:rsidRPr="004F2666">
        <w:rPr>
          <w:rFonts w:eastAsia="Calibri" w:cs="Verdana"/>
          <w:lang w:val="es-ES"/>
        </w:rPr>
        <w:t>;</w:t>
      </w:r>
    </w:p>
    <w:p w14:paraId="33CA5658" w14:textId="77777777"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Humberto Antonio Sierra Porto, Juez;</w:t>
      </w:r>
    </w:p>
    <w:p w14:paraId="05304EF0" w14:textId="67143222" w:rsidR="00616A72" w:rsidRPr="004F2666" w:rsidRDefault="00616A72" w:rsidP="00470956">
      <w:pPr>
        <w:tabs>
          <w:tab w:val="left" w:pos="720"/>
          <w:tab w:val="left" w:pos="8085"/>
        </w:tabs>
        <w:spacing w:line="240" w:lineRule="auto"/>
        <w:rPr>
          <w:rFonts w:eastAsia="Calibri" w:cs="Verdana"/>
          <w:lang w:val="es-ES"/>
        </w:rPr>
      </w:pPr>
      <w:r w:rsidRPr="004F2666">
        <w:rPr>
          <w:rFonts w:eastAsia="Calibri" w:cs="Verdana"/>
          <w:lang w:val="es-ES"/>
        </w:rPr>
        <w:t xml:space="preserve">Eugenio Raúl Zaffaroni, Juez, y </w:t>
      </w:r>
      <w:r w:rsidR="00470956">
        <w:rPr>
          <w:rFonts w:eastAsia="Calibri" w:cs="Verdana"/>
          <w:lang w:val="es-ES"/>
        </w:rPr>
        <w:tab/>
      </w:r>
    </w:p>
    <w:p w14:paraId="2950FA85" w14:textId="59FCD808"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Ricardo Pérez Manrique, Juez.</w:t>
      </w:r>
    </w:p>
    <w:p w14:paraId="53F87FE0" w14:textId="31BCDFB7" w:rsidR="0065157B" w:rsidRPr="004F2666" w:rsidRDefault="0065157B" w:rsidP="00616A72">
      <w:pPr>
        <w:tabs>
          <w:tab w:val="left" w:pos="720"/>
        </w:tabs>
        <w:spacing w:line="240" w:lineRule="auto"/>
        <w:rPr>
          <w:rFonts w:eastAsia="Calibri" w:cs="Verdana"/>
          <w:lang w:val="es-ES"/>
        </w:rPr>
      </w:pPr>
    </w:p>
    <w:p w14:paraId="22A79609" w14:textId="77777777" w:rsidR="00616A72" w:rsidRPr="004F2666" w:rsidRDefault="00616A72" w:rsidP="00616A72">
      <w:pPr>
        <w:tabs>
          <w:tab w:val="left" w:pos="720"/>
        </w:tabs>
        <w:spacing w:line="240" w:lineRule="auto"/>
        <w:rPr>
          <w:rFonts w:eastAsia="Calibri" w:cs="Verdana"/>
          <w:lang w:val="es-ES"/>
        </w:rPr>
      </w:pPr>
    </w:p>
    <w:p w14:paraId="1233A952" w14:textId="3BF570FD" w:rsidR="00616A72" w:rsidRPr="004F2666" w:rsidRDefault="00616A72" w:rsidP="00616A72">
      <w:pPr>
        <w:tabs>
          <w:tab w:val="left" w:pos="720"/>
        </w:tabs>
        <w:spacing w:line="240" w:lineRule="auto"/>
        <w:rPr>
          <w:rFonts w:eastAsia="Calibri" w:cs="Verdana"/>
          <w:lang w:val="es-ES"/>
        </w:rPr>
      </w:pPr>
      <w:proofErr w:type="gramStart"/>
      <w:r w:rsidRPr="004F2666">
        <w:rPr>
          <w:rFonts w:eastAsia="Calibri" w:cs="Verdana"/>
          <w:lang w:val="es-ES"/>
        </w:rPr>
        <w:t>presente</w:t>
      </w:r>
      <w:r w:rsidR="009B1A98" w:rsidRPr="004F2666">
        <w:rPr>
          <w:rFonts w:eastAsia="Calibri" w:cs="Verdana"/>
          <w:lang w:val="es-ES"/>
        </w:rPr>
        <w:t>s</w:t>
      </w:r>
      <w:proofErr w:type="gramEnd"/>
      <w:r w:rsidRPr="004F2666">
        <w:rPr>
          <w:rFonts w:eastAsia="Calibri" w:cs="Verdana"/>
          <w:lang w:val="es-ES"/>
        </w:rPr>
        <w:t xml:space="preserve"> además,</w:t>
      </w:r>
    </w:p>
    <w:p w14:paraId="62F35E4B" w14:textId="77777777" w:rsidR="00616A72" w:rsidRPr="004F2666" w:rsidRDefault="00616A72" w:rsidP="00616A72">
      <w:pPr>
        <w:tabs>
          <w:tab w:val="left" w:pos="720"/>
        </w:tabs>
        <w:spacing w:line="240" w:lineRule="auto"/>
        <w:rPr>
          <w:rFonts w:eastAsia="Calibri" w:cs="Verdana"/>
          <w:lang w:val="es-ES"/>
        </w:rPr>
      </w:pPr>
    </w:p>
    <w:p w14:paraId="2D75433B" w14:textId="77777777"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 xml:space="preserve">Pablo Saavedra Alessandri, Secretario, y </w:t>
      </w:r>
    </w:p>
    <w:p w14:paraId="06A0FC10" w14:textId="0ECB5B00"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Romina I. Sijniensky, Secretaria Adjunta</w:t>
      </w:r>
      <w:r w:rsidR="009B1A98" w:rsidRPr="004F2666">
        <w:rPr>
          <w:rFonts w:eastAsia="Calibri" w:cs="Verdana"/>
          <w:lang w:val="es-ES"/>
        </w:rPr>
        <w:t>,</w:t>
      </w:r>
      <w:r w:rsidR="00B23B67" w:rsidRPr="004F2666">
        <w:rPr>
          <w:rFonts w:eastAsia="Calibri" w:cs="Verdana"/>
          <w:lang w:val="es-ES"/>
        </w:rPr>
        <w:t xml:space="preserve"> </w:t>
      </w:r>
    </w:p>
    <w:p w14:paraId="68F2AC2E" w14:textId="77777777" w:rsidR="00616A72" w:rsidRPr="004F2666" w:rsidRDefault="00616A72" w:rsidP="00616A72">
      <w:pPr>
        <w:tabs>
          <w:tab w:val="left" w:pos="720"/>
        </w:tabs>
        <w:spacing w:line="240" w:lineRule="auto"/>
        <w:rPr>
          <w:rFonts w:eastAsia="Calibri" w:cs="Verdana"/>
          <w:lang w:val="es-ES"/>
        </w:rPr>
      </w:pPr>
    </w:p>
    <w:p w14:paraId="40C44DA8" w14:textId="77777777" w:rsidR="00616A72" w:rsidRPr="004F2666" w:rsidRDefault="00616A72" w:rsidP="00616A72">
      <w:pPr>
        <w:tabs>
          <w:tab w:val="left" w:pos="720"/>
        </w:tabs>
        <w:spacing w:line="240" w:lineRule="auto"/>
        <w:rPr>
          <w:rFonts w:eastAsia="Calibri" w:cs="Verdana"/>
          <w:lang w:val="es-ES"/>
        </w:rPr>
      </w:pPr>
      <w:r w:rsidRPr="004F2666">
        <w:rPr>
          <w:rFonts w:eastAsia="Calibri" w:cs="Verdana"/>
          <w:lang w:val="es-ES"/>
        </w:rPr>
        <w:t>de conformidad con los artículos 62.3 y 63.1 de la Convención Americana sobre Derechos Humanos (en adelante “la Convención Americana” o “la Convención”) y con los artículos 31, 32, 62, 65 y 67 del Reglamento de la Corte (en adelante “el Reglamento” o “el Reglamento de la Corte”), dicta la presente Sentencia, que se estructura en el siguiente orden:</w:t>
      </w:r>
    </w:p>
    <w:p w14:paraId="387A1B9F" w14:textId="6F0DAD34" w:rsidR="00C92442" w:rsidRDefault="00C92442" w:rsidP="00F877B7">
      <w:pPr>
        <w:widowControl/>
        <w:adjustRightInd/>
        <w:spacing w:after="160" w:line="259" w:lineRule="auto"/>
        <w:jc w:val="left"/>
        <w:textAlignment w:val="auto"/>
        <w:rPr>
          <w:rFonts w:eastAsia="Calibri"/>
          <w:lang w:val="es-ES"/>
        </w:rPr>
      </w:pPr>
    </w:p>
    <w:p w14:paraId="39A5B350" w14:textId="7F6CB067" w:rsidR="00F857C0" w:rsidRDefault="004D5B83">
      <w:pPr>
        <w:widowControl/>
        <w:adjustRightInd/>
        <w:spacing w:after="160" w:line="259" w:lineRule="auto"/>
        <w:jc w:val="left"/>
        <w:textAlignment w:val="auto"/>
        <w:rPr>
          <w:bCs/>
          <w:caps/>
          <w:sz w:val="24"/>
          <w:szCs w:val="24"/>
          <w:lang w:val="es-ES"/>
        </w:rPr>
      </w:pPr>
      <w:r>
        <w:rPr>
          <w:rFonts w:eastAsia="Calibri"/>
          <w:lang w:val="es-ES"/>
        </w:rPr>
        <w:br w:type="page"/>
      </w:r>
    </w:p>
    <w:sdt>
      <w:sdtPr>
        <w:rPr>
          <w:rFonts w:eastAsia="Times New Roman"/>
          <w:b w:val="0"/>
          <w:bCs/>
          <w:caps/>
          <w:noProof w:val="0"/>
          <w:sz w:val="24"/>
          <w:szCs w:val="24"/>
          <w:lang w:val="es-ES"/>
        </w:rPr>
        <w:id w:val="1909802414"/>
        <w:docPartObj>
          <w:docPartGallery w:val="Table of Contents"/>
          <w:docPartUnique/>
        </w:docPartObj>
      </w:sdtPr>
      <w:sdtEndPr>
        <w:rPr>
          <w:bCs w:val="0"/>
          <w:caps w:val="0"/>
          <w:sz w:val="20"/>
          <w:szCs w:val="20"/>
        </w:rPr>
      </w:sdtEndPr>
      <w:sdtContent>
        <w:p w14:paraId="2A3AE5F5" w14:textId="2DB1548E" w:rsidR="00BB25AB" w:rsidRDefault="00616A72">
          <w:pPr>
            <w:pStyle w:val="TDC1"/>
            <w:rPr>
              <w:rFonts w:asciiTheme="minorHAnsi" w:eastAsiaTheme="minorEastAsia" w:hAnsiTheme="minorHAnsi" w:cstheme="minorBidi"/>
              <w:b w:val="0"/>
              <w:sz w:val="22"/>
              <w:szCs w:val="22"/>
            </w:rPr>
          </w:pPr>
          <w:r w:rsidRPr="004F2666">
            <w:rPr>
              <w:rFonts w:cs="Verdana"/>
              <w:caps/>
              <w:noProof w:val="0"/>
              <w:snapToGrid w:val="0"/>
              <w:sz w:val="19"/>
              <w:szCs w:val="19"/>
              <w:lang w:val="es-ES" w:eastAsia="ja-JP"/>
            </w:rPr>
            <w:fldChar w:fldCharType="begin"/>
          </w:r>
          <w:r w:rsidRPr="004F2666">
            <w:rPr>
              <w:sz w:val="19"/>
              <w:szCs w:val="19"/>
              <w:lang w:val="es-ES"/>
            </w:rPr>
            <w:instrText xml:space="preserve"> TOC \o "1-3" \h \z \u </w:instrText>
          </w:r>
          <w:r w:rsidRPr="004F2666">
            <w:rPr>
              <w:rFonts w:cs="Verdana"/>
              <w:caps/>
              <w:noProof w:val="0"/>
              <w:snapToGrid w:val="0"/>
              <w:sz w:val="19"/>
              <w:szCs w:val="19"/>
              <w:lang w:val="es-ES" w:eastAsia="ja-JP"/>
            </w:rPr>
            <w:fldChar w:fldCharType="separate"/>
          </w:r>
          <w:hyperlink w:anchor="_Toc93400225" w:history="1">
            <w:r w:rsidR="00BB25AB" w:rsidRPr="00694DCD">
              <w:rPr>
                <w:rStyle w:val="Hipervnculo"/>
                <w:lang w:val="es-ES"/>
              </w:rPr>
              <w:t>I INTRODUCCIÓN DE LA CAUSA Y OBJETO DE LA CONTROVERSIA</w:t>
            </w:r>
            <w:r w:rsidR="00BB25AB">
              <w:rPr>
                <w:webHidden/>
              </w:rPr>
              <w:tab/>
            </w:r>
            <w:r w:rsidR="00BB25AB">
              <w:rPr>
                <w:webHidden/>
              </w:rPr>
              <w:fldChar w:fldCharType="begin"/>
            </w:r>
            <w:r w:rsidR="00BB25AB">
              <w:rPr>
                <w:webHidden/>
              </w:rPr>
              <w:instrText xml:space="preserve"> PAGEREF _Toc93400225 \h </w:instrText>
            </w:r>
            <w:r w:rsidR="00BB25AB">
              <w:rPr>
                <w:webHidden/>
              </w:rPr>
            </w:r>
            <w:r w:rsidR="00BB25AB">
              <w:rPr>
                <w:webHidden/>
              </w:rPr>
              <w:fldChar w:fldCharType="separate"/>
            </w:r>
            <w:r w:rsidR="00470956">
              <w:rPr>
                <w:webHidden/>
              </w:rPr>
              <w:t>4</w:t>
            </w:r>
            <w:r w:rsidR="00BB25AB">
              <w:rPr>
                <w:webHidden/>
              </w:rPr>
              <w:fldChar w:fldCharType="end"/>
            </w:r>
          </w:hyperlink>
        </w:p>
        <w:p w14:paraId="3094BE8C" w14:textId="74F25148" w:rsidR="00BB25AB" w:rsidRDefault="00256B85">
          <w:pPr>
            <w:pStyle w:val="TDC1"/>
            <w:rPr>
              <w:rFonts w:asciiTheme="minorHAnsi" w:eastAsiaTheme="minorEastAsia" w:hAnsiTheme="minorHAnsi" w:cstheme="minorBidi"/>
              <w:b w:val="0"/>
              <w:sz w:val="22"/>
              <w:szCs w:val="22"/>
            </w:rPr>
          </w:pPr>
          <w:hyperlink w:anchor="_Toc93400226" w:history="1">
            <w:r w:rsidR="00BB25AB" w:rsidRPr="00694DCD">
              <w:rPr>
                <w:rStyle w:val="Hipervnculo"/>
                <w:lang w:val="es-ES"/>
              </w:rPr>
              <w:t>II PROCEDIMIENTO ANTE LA CORTE</w:t>
            </w:r>
            <w:r w:rsidR="00BB25AB">
              <w:rPr>
                <w:webHidden/>
              </w:rPr>
              <w:tab/>
            </w:r>
            <w:r w:rsidR="00BB25AB">
              <w:rPr>
                <w:webHidden/>
              </w:rPr>
              <w:fldChar w:fldCharType="begin"/>
            </w:r>
            <w:r w:rsidR="00BB25AB">
              <w:rPr>
                <w:webHidden/>
              </w:rPr>
              <w:instrText xml:space="preserve"> PAGEREF _Toc93400226 \h </w:instrText>
            </w:r>
            <w:r w:rsidR="00BB25AB">
              <w:rPr>
                <w:webHidden/>
              </w:rPr>
            </w:r>
            <w:r w:rsidR="00BB25AB">
              <w:rPr>
                <w:webHidden/>
              </w:rPr>
              <w:fldChar w:fldCharType="separate"/>
            </w:r>
            <w:r w:rsidR="00470956">
              <w:rPr>
                <w:webHidden/>
              </w:rPr>
              <w:t>5</w:t>
            </w:r>
            <w:r w:rsidR="00BB25AB">
              <w:rPr>
                <w:webHidden/>
              </w:rPr>
              <w:fldChar w:fldCharType="end"/>
            </w:r>
          </w:hyperlink>
        </w:p>
        <w:p w14:paraId="555ED2D4" w14:textId="1AAA490A" w:rsidR="00BB25AB" w:rsidRDefault="00256B85">
          <w:pPr>
            <w:pStyle w:val="TDC1"/>
            <w:rPr>
              <w:rFonts w:asciiTheme="minorHAnsi" w:eastAsiaTheme="minorEastAsia" w:hAnsiTheme="minorHAnsi" w:cstheme="minorBidi"/>
              <w:b w:val="0"/>
              <w:sz w:val="22"/>
              <w:szCs w:val="22"/>
            </w:rPr>
          </w:pPr>
          <w:hyperlink w:anchor="_Toc93400227" w:history="1">
            <w:r w:rsidR="00BB25AB" w:rsidRPr="00694DCD">
              <w:rPr>
                <w:rStyle w:val="Hipervnculo"/>
                <w:lang w:val="es-ES"/>
              </w:rPr>
              <w:t>III COMPETENCIA</w:t>
            </w:r>
            <w:r w:rsidR="00BB25AB">
              <w:rPr>
                <w:webHidden/>
              </w:rPr>
              <w:tab/>
            </w:r>
            <w:r w:rsidR="00BB25AB">
              <w:rPr>
                <w:webHidden/>
              </w:rPr>
              <w:fldChar w:fldCharType="begin"/>
            </w:r>
            <w:r w:rsidR="00BB25AB">
              <w:rPr>
                <w:webHidden/>
              </w:rPr>
              <w:instrText xml:space="preserve"> PAGEREF _Toc93400227 \h </w:instrText>
            </w:r>
            <w:r w:rsidR="00BB25AB">
              <w:rPr>
                <w:webHidden/>
              </w:rPr>
            </w:r>
            <w:r w:rsidR="00BB25AB">
              <w:rPr>
                <w:webHidden/>
              </w:rPr>
              <w:fldChar w:fldCharType="separate"/>
            </w:r>
            <w:r w:rsidR="00470956">
              <w:rPr>
                <w:webHidden/>
              </w:rPr>
              <w:t>7</w:t>
            </w:r>
            <w:r w:rsidR="00BB25AB">
              <w:rPr>
                <w:webHidden/>
              </w:rPr>
              <w:fldChar w:fldCharType="end"/>
            </w:r>
          </w:hyperlink>
        </w:p>
        <w:p w14:paraId="31CB0448" w14:textId="1C4FD725" w:rsidR="00BB25AB" w:rsidRDefault="00256B85">
          <w:pPr>
            <w:pStyle w:val="TDC1"/>
            <w:rPr>
              <w:rFonts w:asciiTheme="minorHAnsi" w:eastAsiaTheme="minorEastAsia" w:hAnsiTheme="minorHAnsi" w:cstheme="minorBidi"/>
              <w:b w:val="0"/>
              <w:sz w:val="22"/>
              <w:szCs w:val="22"/>
            </w:rPr>
          </w:pPr>
          <w:hyperlink w:anchor="_Toc93400228" w:history="1">
            <w:r w:rsidR="00BB25AB" w:rsidRPr="00694DCD">
              <w:rPr>
                <w:rStyle w:val="Hipervnculo"/>
                <w:lang w:val="es-ES"/>
              </w:rPr>
              <w:t>IV RECONOCIMIENTO DE RESPONSABILIDAD INTERNACIONAL</w:t>
            </w:r>
            <w:r w:rsidR="00BB25AB">
              <w:rPr>
                <w:webHidden/>
              </w:rPr>
              <w:tab/>
            </w:r>
            <w:r w:rsidR="00BB25AB">
              <w:rPr>
                <w:webHidden/>
              </w:rPr>
              <w:fldChar w:fldCharType="begin"/>
            </w:r>
            <w:r w:rsidR="00BB25AB">
              <w:rPr>
                <w:webHidden/>
              </w:rPr>
              <w:instrText xml:space="preserve"> PAGEREF _Toc93400228 \h </w:instrText>
            </w:r>
            <w:r w:rsidR="00BB25AB">
              <w:rPr>
                <w:webHidden/>
              </w:rPr>
            </w:r>
            <w:r w:rsidR="00BB25AB">
              <w:rPr>
                <w:webHidden/>
              </w:rPr>
              <w:fldChar w:fldCharType="separate"/>
            </w:r>
            <w:r w:rsidR="00470956">
              <w:rPr>
                <w:webHidden/>
              </w:rPr>
              <w:t>8</w:t>
            </w:r>
            <w:r w:rsidR="00BB25AB">
              <w:rPr>
                <w:webHidden/>
              </w:rPr>
              <w:fldChar w:fldCharType="end"/>
            </w:r>
          </w:hyperlink>
        </w:p>
        <w:p w14:paraId="546FFBE5" w14:textId="3097D9BF" w:rsidR="00BB25AB" w:rsidRDefault="00256B85">
          <w:pPr>
            <w:pStyle w:val="TDC2"/>
            <w:rPr>
              <w:rFonts w:asciiTheme="minorHAnsi" w:eastAsiaTheme="minorEastAsia" w:hAnsiTheme="minorHAnsi" w:cstheme="minorBidi"/>
              <w:noProof/>
              <w:sz w:val="22"/>
              <w:szCs w:val="22"/>
            </w:rPr>
          </w:pPr>
          <w:hyperlink w:anchor="_Toc93400229" w:history="1">
            <w:r w:rsidR="00BB25AB" w:rsidRPr="00694DCD">
              <w:rPr>
                <w:rStyle w:val="Hipervnculo"/>
                <w:noProof/>
                <w:lang w:val="es-ES"/>
              </w:rPr>
              <w:t>A.</w:t>
            </w:r>
            <w:r w:rsidR="00BB25AB">
              <w:rPr>
                <w:rFonts w:asciiTheme="minorHAnsi" w:eastAsiaTheme="minorEastAsia" w:hAnsiTheme="minorHAnsi" w:cstheme="minorBidi"/>
                <w:noProof/>
                <w:sz w:val="22"/>
                <w:szCs w:val="22"/>
              </w:rPr>
              <w:tab/>
            </w:r>
            <w:r w:rsidR="00BB25AB" w:rsidRPr="00694DCD">
              <w:rPr>
                <w:rStyle w:val="Hipervnculo"/>
                <w:noProof/>
                <w:lang w:val="es-ES"/>
              </w:rPr>
              <w:t>Reconocimiento parcial por parte del Estado, observaciones de las partes y de la Comisión</w:t>
            </w:r>
            <w:r w:rsidR="00BB25AB">
              <w:rPr>
                <w:noProof/>
                <w:webHidden/>
              </w:rPr>
              <w:tab/>
            </w:r>
            <w:r w:rsidR="00BB25AB">
              <w:rPr>
                <w:noProof/>
                <w:webHidden/>
              </w:rPr>
              <w:fldChar w:fldCharType="begin"/>
            </w:r>
            <w:r w:rsidR="00BB25AB">
              <w:rPr>
                <w:noProof/>
                <w:webHidden/>
              </w:rPr>
              <w:instrText xml:space="preserve"> PAGEREF _Toc93400229 \h </w:instrText>
            </w:r>
            <w:r w:rsidR="00BB25AB">
              <w:rPr>
                <w:noProof/>
                <w:webHidden/>
              </w:rPr>
            </w:r>
            <w:r w:rsidR="00BB25AB">
              <w:rPr>
                <w:noProof/>
                <w:webHidden/>
              </w:rPr>
              <w:fldChar w:fldCharType="separate"/>
            </w:r>
            <w:r w:rsidR="00470956">
              <w:rPr>
                <w:noProof/>
                <w:webHidden/>
              </w:rPr>
              <w:t>8</w:t>
            </w:r>
            <w:r w:rsidR="00BB25AB">
              <w:rPr>
                <w:noProof/>
                <w:webHidden/>
              </w:rPr>
              <w:fldChar w:fldCharType="end"/>
            </w:r>
          </w:hyperlink>
        </w:p>
        <w:p w14:paraId="671F73CE" w14:textId="55A8B329" w:rsidR="00BB25AB" w:rsidRDefault="00256B85">
          <w:pPr>
            <w:pStyle w:val="TDC2"/>
            <w:rPr>
              <w:rFonts w:asciiTheme="minorHAnsi" w:eastAsiaTheme="minorEastAsia" w:hAnsiTheme="minorHAnsi" w:cstheme="minorBidi"/>
              <w:noProof/>
              <w:sz w:val="22"/>
              <w:szCs w:val="22"/>
            </w:rPr>
          </w:pPr>
          <w:hyperlink w:anchor="_Toc93400230" w:history="1">
            <w:r w:rsidR="00BB25AB" w:rsidRPr="00694DCD">
              <w:rPr>
                <w:rStyle w:val="Hipervnculo"/>
                <w:noProof/>
                <w:lang w:val="es-ES"/>
              </w:rPr>
              <w:t>B.</w:t>
            </w:r>
            <w:r w:rsidR="00BB25AB">
              <w:rPr>
                <w:rFonts w:asciiTheme="minorHAnsi" w:eastAsiaTheme="minorEastAsia" w:hAnsiTheme="minorHAnsi" w:cstheme="minorBidi"/>
                <w:noProof/>
                <w:sz w:val="22"/>
                <w:szCs w:val="22"/>
              </w:rPr>
              <w:tab/>
            </w:r>
            <w:r w:rsidR="00BB25AB" w:rsidRPr="00694DCD">
              <w:rPr>
                <w:rStyle w:val="Hipervnculo"/>
                <w:noProof/>
                <w:lang w:val="es-ES"/>
              </w:rPr>
              <w:t>Consideraciones de la Corte</w:t>
            </w:r>
            <w:r w:rsidR="00BB25AB">
              <w:rPr>
                <w:noProof/>
                <w:webHidden/>
              </w:rPr>
              <w:tab/>
            </w:r>
            <w:r w:rsidR="00BB25AB">
              <w:rPr>
                <w:noProof/>
                <w:webHidden/>
              </w:rPr>
              <w:fldChar w:fldCharType="begin"/>
            </w:r>
            <w:r w:rsidR="00BB25AB">
              <w:rPr>
                <w:noProof/>
                <w:webHidden/>
              </w:rPr>
              <w:instrText xml:space="preserve"> PAGEREF _Toc93400230 \h </w:instrText>
            </w:r>
            <w:r w:rsidR="00BB25AB">
              <w:rPr>
                <w:noProof/>
                <w:webHidden/>
              </w:rPr>
            </w:r>
            <w:r w:rsidR="00BB25AB">
              <w:rPr>
                <w:noProof/>
                <w:webHidden/>
              </w:rPr>
              <w:fldChar w:fldCharType="separate"/>
            </w:r>
            <w:r w:rsidR="00470956">
              <w:rPr>
                <w:noProof/>
                <w:webHidden/>
              </w:rPr>
              <w:t>9</w:t>
            </w:r>
            <w:r w:rsidR="00BB25AB">
              <w:rPr>
                <w:noProof/>
                <w:webHidden/>
              </w:rPr>
              <w:fldChar w:fldCharType="end"/>
            </w:r>
          </w:hyperlink>
        </w:p>
        <w:p w14:paraId="3CAA8A17" w14:textId="5363102F" w:rsidR="00BB25AB" w:rsidRDefault="00256B85">
          <w:pPr>
            <w:pStyle w:val="TDC3"/>
            <w:rPr>
              <w:rFonts w:asciiTheme="minorHAnsi" w:eastAsiaTheme="minorEastAsia" w:hAnsiTheme="minorHAnsi" w:cstheme="minorBidi"/>
              <w:noProof/>
              <w:sz w:val="22"/>
              <w:szCs w:val="22"/>
            </w:rPr>
          </w:pPr>
          <w:hyperlink w:anchor="_Toc93400231" w:history="1">
            <w:r w:rsidR="00BB25AB" w:rsidRPr="00694DCD">
              <w:rPr>
                <w:rStyle w:val="Hipervnculo"/>
                <w:noProof/>
                <w:lang w:val="es-ES"/>
              </w:rPr>
              <w:t>b.1 En cuanto a los hechos</w:t>
            </w:r>
            <w:r w:rsidR="00BB25AB">
              <w:rPr>
                <w:noProof/>
                <w:webHidden/>
              </w:rPr>
              <w:tab/>
            </w:r>
            <w:r w:rsidR="00BB25AB">
              <w:rPr>
                <w:noProof/>
                <w:webHidden/>
              </w:rPr>
              <w:fldChar w:fldCharType="begin"/>
            </w:r>
            <w:r w:rsidR="00BB25AB">
              <w:rPr>
                <w:noProof/>
                <w:webHidden/>
              </w:rPr>
              <w:instrText xml:space="preserve"> PAGEREF _Toc93400231 \h </w:instrText>
            </w:r>
            <w:r w:rsidR="00BB25AB">
              <w:rPr>
                <w:noProof/>
                <w:webHidden/>
              </w:rPr>
            </w:r>
            <w:r w:rsidR="00BB25AB">
              <w:rPr>
                <w:noProof/>
                <w:webHidden/>
              </w:rPr>
              <w:fldChar w:fldCharType="separate"/>
            </w:r>
            <w:r w:rsidR="00470956">
              <w:rPr>
                <w:noProof/>
                <w:webHidden/>
              </w:rPr>
              <w:t>9</w:t>
            </w:r>
            <w:r w:rsidR="00BB25AB">
              <w:rPr>
                <w:noProof/>
                <w:webHidden/>
              </w:rPr>
              <w:fldChar w:fldCharType="end"/>
            </w:r>
          </w:hyperlink>
        </w:p>
        <w:p w14:paraId="75806F8A" w14:textId="05881714" w:rsidR="00BB25AB" w:rsidRDefault="00256B85">
          <w:pPr>
            <w:pStyle w:val="TDC3"/>
            <w:rPr>
              <w:rFonts w:asciiTheme="minorHAnsi" w:eastAsiaTheme="minorEastAsia" w:hAnsiTheme="minorHAnsi" w:cstheme="minorBidi"/>
              <w:noProof/>
              <w:sz w:val="22"/>
              <w:szCs w:val="22"/>
            </w:rPr>
          </w:pPr>
          <w:hyperlink w:anchor="_Toc93400232" w:history="1">
            <w:r w:rsidR="00BB25AB" w:rsidRPr="00694DCD">
              <w:rPr>
                <w:rStyle w:val="Hipervnculo"/>
                <w:noProof/>
                <w:lang w:val="es-ES"/>
              </w:rPr>
              <w:t>b.2 En cuanto a las pretensiones de derecho</w:t>
            </w:r>
            <w:r w:rsidR="00BB25AB">
              <w:rPr>
                <w:noProof/>
                <w:webHidden/>
              </w:rPr>
              <w:tab/>
            </w:r>
            <w:r w:rsidR="00BB25AB">
              <w:rPr>
                <w:noProof/>
                <w:webHidden/>
              </w:rPr>
              <w:fldChar w:fldCharType="begin"/>
            </w:r>
            <w:r w:rsidR="00BB25AB">
              <w:rPr>
                <w:noProof/>
                <w:webHidden/>
              </w:rPr>
              <w:instrText xml:space="preserve"> PAGEREF _Toc93400232 \h </w:instrText>
            </w:r>
            <w:r w:rsidR="00BB25AB">
              <w:rPr>
                <w:noProof/>
                <w:webHidden/>
              </w:rPr>
            </w:r>
            <w:r w:rsidR="00BB25AB">
              <w:rPr>
                <w:noProof/>
                <w:webHidden/>
              </w:rPr>
              <w:fldChar w:fldCharType="separate"/>
            </w:r>
            <w:r w:rsidR="00470956">
              <w:rPr>
                <w:noProof/>
                <w:webHidden/>
              </w:rPr>
              <w:t>10</w:t>
            </w:r>
            <w:r w:rsidR="00BB25AB">
              <w:rPr>
                <w:noProof/>
                <w:webHidden/>
              </w:rPr>
              <w:fldChar w:fldCharType="end"/>
            </w:r>
          </w:hyperlink>
        </w:p>
        <w:p w14:paraId="5B440382" w14:textId="149AD03F" w:rsidR="00BB25AB" w:rsidRDefault="00256B85">
          <w:pPr>
            <w:pStyle w:val="TDC3"/>
            <w:rPr>
              <w:rFonts w:asciiTheme="minorHAnsi" w:eastAsiaTheme="minorEastAsia" w:hAnsiTheme="minorHAnsi" w:cstheme="minorBidi"/>
              <w:noProof/>
              <w:sz w:val="22"/>
              <w:szCs w:val="22"/>
            </w:rPr>
          </w:pPr>
          <w:hyperlink w:anchor="_Toc93400233" w:history="1">
            <w:r w:rsidR="00BB25AB" w:rsidRPr="00694DCD">
              <w:rPr>
                <w:rStyle w:val="Hipervnculo"/>
                <w:noProof/>
                <w:lang w:val="es-ES"/>
              </w:rPr>
              <w:t>b.3 En cuanto a las reparaciones</w:t>
            </w:r>
            <w:r w:rsidR="00BB25AB">
              <w:rPr>
                <w:noProof/>
                <w:webHidden/>
              </w:rPr>
              <w:tab/>
            </w:r>
            <w:r w:rsidR="00BB25AB">
              <w:rPr>
                <w:noProof/>
                <w:webHidden/>
              </w:rPr>
              <w:fldChar w:fldCharType="begin"/>
            </w:r>
            <w:r w:rsidR="00BB25AB">
              <w:rPr>
                <w:noProof/>
                <w:webHidden/>
              </w:rPr>
              <w:instrText xml:space="preserve"> PAGEREF _Toc93400233 \h </w:instrText>
            </w:r>
            <w:r w:rsidR="00BB25AB">
              <w:rPr>
                <w:noProof/>
                <w:webHidden/>
              </w:rPr>
            </w:r>
            <w:r w:rsidR="00BB25AB">
              <w:rPr>
                <w:noProof/>
                <w:webHidden/>
              </w:rPr>
              <w:fldChar w:fldCharType="separate"/>
            </w:r>
            <w:r w:rsidR="00470956">
              <w:rPr>
                <w:noProof/>
                <w:webHidden/>
              </w:rPr>
              <w:t>10</w:t>
            </w:r>
            <w:r w:rsidR="00BB25AB">
              <w:rPr>
                <w:noProof/>
                <w:webHidden/>
              </w:rPr>
              <w:fldChar w:fldCharType="end"/>
            </w:r>
          </w:hyperlink>
        </w:p>
        <w:p w14:paraId="5B476E2A" w14:textId="2ED9B5CA" w:rsidR="00BB25AB" w:rsidRDefault="00256B85">
          <w:pPr>
            <w:pStyle w:val="TDC3"/>
            <w:rPr>
              <w:rFonts w:asciiTheme="minorHAnsi" w:eastAsiaTheme="minorEastAsia" w:hAnsiTheme="minorHAnsi" w:cstheme="minorBidi"/>
              <w:noProof/>
              <w:sz w:val="22"/>
              <w:szCs w:val="22"/>
            </w:rPr>
          </w:pPr>
          <w:hyperlink w:anchor="_Toc93400234" w:history="1">
            <w:r w:rsidR="00BB25AB" w:rsidRPr="00694DCD">
              <w:rPr>
                <w:rStyle w:val="Hipervnculo"/>
                <w:noProof/>
                <w:lang w:val="es-ES"/>
              </w:rPr>
              <w:t>b.4 Conclusiones: valoración del reconocimiento parcial de responsabilidad</w:t>
            </w:r>
            <w:r w:rsidR="00BB25AB">
              <w:rPr>
                <w:noProof/>
                <w:webHidden/>
              </w:rPr>
              <w:tab/>
            </w:r>
            <w:r w:rsidR="00BB25AB">
              <w:rPr>
                <w:noProof/>
                <w:webHidden/>
              </w:rPr>
              <w:fldChar w:fldCharType="begin"/>
            </w:r>
            <w:r w:rsidR="00BB25AB">
              <w:rPr>
                <w:noProof/>
                <w:webHidden/>
              </w:rPr>
              <w:instrText xml:space="preserve"> PAGEREF _Toc93400234 \h </w:instrText>
            </w:r>
            <w:r w:rsidR="00BB25AB">
              <w:rPr>
                <w:noProof/>
                <w:webHidden/>
              </w:rPr>
            </w:r>
            <w:r w:rsidR="00BB25AB">
              <w:rPr>
                <w:noProof/>
                <w:webHidden/>
              </w:rPr>
              <w:fldChar w:fldCharType="separate"/>
            </w:r>
            <w:r w:rsidR="00470956">
              <w:rPr>
                <w:noProof/>
                <w:webHidden/>
              </w:rPr>
              <w:t>10</w:t>
            </w:r>
            <w:r w:rsidR="00BB25AB">
              <w:rPr>
                <w:noProof/>
                <w:webHidden/>
              </w:rPr>
              <w:fldChar w:fldCharType="end"/>
            </w:r>
          </w:hyperlink>
        </w:p>
        <w:p w14:paraId="5E5A163A" w14:textId="45DB3805" w:rsidR="00BB25AB" w:rsidRDefault="00256B85">
          <w:pPr>
            <w:pStyle w:val="TDC1"/>
            <w:rPr>
              <w:rFonts w:asciiTheme="minorHAnsi" w:eastAsiaTheme="minorEastAsia" w:hAnsiTheme="minorHAnsi" w:cstheme="minorBidi"/>
              <w:b w:val="0"/>
              <w:sz w:val="22"/>
              <w:szCs w:val="22"/>
            </w:rPr>
          </w:pPr>
          <w:hyperlink w:anchor="_Toc93400235" w:history="1">
            <w:r w:rsidR="00BB25AB" w:rsidRPr="00694DCD">
              <w:rPr>
                <w:rStyle w:val="Hipervnculo"/>
                <w:lang w:val="es-ES"/>
              </w:rPr>
              <w:t>V EXCEPCIONES PRELIMINARES</w:t>
            </w:r>
            <w:r w:rsidR="00BB25AB">
              <w:rPr>
                <w:webHidden/>
              </w:rPr>
              <w:tab/>
            </w:r>
            <w:r w:rsidR="00BB25AB">
              <w:rPr>
                <w:webHidden/>
              </w:rPr>
              <w:fldChar w:fldCharType="begin"/>
            </w:r>
            <w:r w:rsidR="00BB25AB">
              <w:rPr>
                <w:webHidden/>
              </w:rPr>
              <w:instrText xml:space="preserve"> PAGEREF _Toc93400235 \h </w:instrText>
            </w:r>
            <w:r w:rsidR="00BB25AB">
              <w:rPr>
                <w:webHidden/>
              </w:rPr>
            </w:r>
            <w:r w:rsidR="00BB25AB">
              <w:rPr>
                <w:webHidden/>
              </w:rPr>
              <w:fldChar w:fldCharType="separate"/>
            </w:r>
            <w:r w:rsidR="00470956">
              <w:rPr>
                <w:webHidden/>
              </w:rPr>
              <w:t>11</w:t>
            </w:r>
            <w:r w:rsidR="00BB25AB">
              <w:rPr>
                <w:webHidden/>
              </w:rPr>
              <w:fldChar w:fldCharType="end"/>
            </w:r>
          </w:hyperlink>
        </w:p>
        <w:p w14:paraId="41138829" w14:textId="15EF6DAA" w:rsidR="00BB25AB" w:rsidRDefault="00256B85">
          <w:pPr>
            <w:pStyle w:val="TDC2"/>
            <w:rPr>
              <w:rFonts w:asciiTheme="minorHAnsi" w:eastAsiaTheme="minorEastAsia" w:hAnsiTheme="minorHAnsi" w:cstheme="minorBidi"/>
              <w:noProof/>
              <w:sz w:val="22"/>
              <w:szCs w:val="22"/>
            </w:rPr>
          </w:pPr>
          <w:hyperlink w:anchor="_Toc93400236" w:history="1">
            <w:r w:rsidR="00BB25AB" w:rsidRPr="00694DCD">
              <w:rPr>
                <w:rStyle w:val="Hipervnculo"/>
                <w:rFonts w:eastAsia="Calibri" w:cs="Arial"/>
                <w:noProof/>
                <w:lang w:val="es-CO"/>
              </w:rPr>
              <w:t>A.</w:t>
            </w:r>
            <w:r w:rsidR="00BB25AB">
              <w:rPr>
                <w:rFonts w:asciiTheme="minorHAnsi" w:eastAsiaTheme="minorEastAsia" w:hAnsiTheme="minorHAnsi" w:cstheme="minorBidi"/>
                <w:noProof/>
                <w:sz w:val="22"/>
                <w:szCs w:val="22"/>
              </w:rPr>
              <w:tab/>
            </w:r>
            <w:r w:rsidR="00BB25AB" w:rsidRPr="00694DCD">
              <w:rPr>
                <w:rStyle w:val="Hipervnculo"/>
                <w:rFonts w:eastAsia="Calibri" w:cs="Arial"/>
                <w:noProof/>
                <w:lang w:val="es-CO"/>
              </w:rPr>
              <w:t>Alegada incompetencia ratione materiae para conocer sobre una eventual violación del derecho a defender derechos humanos</w:t>
            </w:r>
            <w:r w:rsidR="00BB25AB">
              <w:rPr>
                <w:noProof/>
                <w:webHidden/>
              </w:rPr>
              <w:tab/>
            </w:r>
            <w:r w:rsidR="00BB25AB">
              <w:rPr>
                <w:noProof/>
                <w:webHidden/>
              </w:rPr>
              <w:fldChar w:fldCharType="begin"/>
            </w:r>
            <w:r w:rsidR="00BB25AB">
              <w:rPr>
                <w:noProof/>
                <w:webHidden/>
              </w:rPr>
              <w:instrText xml:space="preserve"> PAGEREF _Toc93400236 \h </w:instrText>
            </w:r>
            <w:r w:rsidR="00BB25AB">
              <w:rPr>
                <w:noProof/>
                <w:webHidden/>
              </w:rPr>
            </w:r>
            <w:r w:rsidR="00BB25AB">
              <w:rPr>
                <w:noProof/>
                <w:webHidden/>
              </w:rPr>
              <w:fldChar w:fldCharType="separate"/>
            </w:r>
            <w:r w:rsidR="00470956">
              <w:rPr>
                <w:noProof/>
                <w:webHidden/>
              </w:rPr>
              <w:t>12</w:t>
            </w:r>
            <w:r w:rsidR="00BB25AB">
              <w:rPr>
                <w:noProof/>
                <w:webHidden/>
              </w:rPr>
              <w:fldChar w:fldCharType="end"/>
            </w:r>
          </w:hyperlink>
        </w:p>
        <w:p w14:paraId="255B659D" w14:textId="7DA98E35" w:rsidR="00BB25AB" w:rsidRDefault="00256B85">
          <w:pPr>
            <w:pStyle w:val="TDC2"/>
            <w:rPr>
              <w:rFonts w:asciiTheme="minorHAnsi" w:eastAsiaTheme="minorEastAsia" w:hAnsiTheme="minorHAnsi" w:cstheme="minorBidi"/>
              <w:noProof/>
              <w:sz w:val="22"/>
              <w:szCs w:val="22"/>
            </w:rPr>
          </w:pPr>
          <w:hyperlink w:anchor="_Toc93400237" w:history="1">
            <w:r w:rsidR="00BB25AB" w:rsidRPr="00694DCD">
              <w:rPr>
                <w:rStyle w:val="Hipervnculo"/>
                <w:rFonts w:eastAsia="Calibri" w:cs="Arial"/>
                <w:noProof/>
                <w:lang w:val="es-CO"/>
              </w:rPr>
              <w:t>B.</w:t>
            </w:r>
            <w:r w:rsidR="00BB25AB">
              <w:rPr>
                <w:rFonts w:asciiTheme="minorHAnsi" w:eastAsiaTheme="minorEastAsia" w:hAnsiTheme="minorHAnsi" w:cstheme="minorBidi"/>
                <w:noProof/>
                <w:sz w:val="22"/>
                <w:szCs w:val="22"/>
              </w:rPr>
              <w:tab/>
            </w:r>
            <w:r w:rsidR="00BB25AB" w:rsidRPr="00694DCD">
              <w:rPr>
                <w:rStyle w:val="Hipervnculo"/>
                <w:rFonts w:eastAsia="Calibri" w:cs="Arial"/>
                <w:noProof/>
                <w:lang w:val="es-CO"/>
              </w:rPr>
              <w:t>Excepción preliminar de cuarta instancia</w:t>
            </w:r>
            <w:r w:rsidR="00BB25AB">
              <w:rPr>
                <w:noProof/>
                <w:webHidden/>
              </w:rPr>
              <w:tab/>
            </w:r>
            <w:r w:rsidR="00BB25AB">
              <w:rPr>
                <w:noProof/>
                <w:webHidden/>
              </w:rPr>
              <w:fldChar w:fldCharType="begin"/>
            </w:r>
            <w:r w:rsidR="00BB25AB">
              <w:rPr>
                <w:noProof/>
                <w:webHidden/>
              </w:rPr>
              <w:instrText xml:space="preserve"> PAGEREF _Toc93400237 \h </w:instrText>
            </w:r>
            <w:r w:rsidR="00BB25AB">
              <w:rPr>
                <w:noProof/>
                <w:webHidden/>
              </w:rPr>
            </w:r>
            <w:r w:rsidR="00BB25AB">
              <w:rPr>
                <w:noProof/>
                <w:webHidden/>
              </w:rPr>
              <w:fldChar w:fldCharType="separate"/>
            </w:r>
            <w:r w:rsidR="00470956">
              <w:rPr>
                <w:noProof/>
                <w:webHidden/>
              </w:rPr>
              <w:t>13</w:t>
            </w:r>
            <w:r w:rsidR="00BB25AB">
              <w:rPr>
                <w:noProof/>
                <w:webHidden/>
              </w:rPr>
              <w:fldChar w:fldCharType="end"/>
            </w:r>
          </w:hyperlink>
        </w:p>
        <w:p w14:paraId="3E55EDE9" w14:textId="156536A0" w:rsidR="00BB25AB" w:rsidRDefault="00256B85">
          <w:pPr>
            <w:pStyle w:val="TDC1"/>
            <w:rPr>
              <w:rFonts w:asciiTheme="minorHAnsi" w:eastAsiaTheme="minorEastAsia" w:hAnsiTheme="minorHAnsi" w:cstheme="minorBidi"/>
              <w:b w:val="0"/>
              <w:sz w:val="22"/>
              <w:szCs w:val="22"/>
            </w:rPr>
          </w:pPr>
          <w:hyperlink w:anchor="_Toc93400238" w:history="1">
            <w:r w:rsidR="00BB25AB" w:rsidRPr="00694DCD">
              <w:rPr>
                <w:rStyle w:val="Hipervnculo"/>
                <w:lang w:val="es-ES"/>
              </w:rPr>
              <w:t>VI PRUEBA</w:t>
            </w:r>
            <w:r w:rsidR="00BB25AB">
              <w:rPr>
                <w:webHidden/>
              </w:rPr>
              <w:tab/>
            </w:r>
            <w:r w:rsidR="00BB25AB">
              <w:rPr>
                <w:webHidden/>
              </w:rPr>
              <w:fldChar w:fldCharType="begin"/>
            </w:r>
            <w:r w:rsidR="00BB25AB">
              <w:rPr>
                <w:webHidden/>
              </w:rPr>
              <w:instrText xml:space="preserve"> PAGEREF _Toc93400238 \h </w:instrText>
            </w:r>
            <w:r w:rsidR="00BB25AB">
              <w:rPr>
                <w:webHidden/>
              </w:rPr>
            </w:r>
            <w:r w:rsidR="00BB25AB">
              <w:rPr>
                <w:webHidden/>
              </w:rPr>
              <w:fldChar w:fldCharType="separate"/>
            </w:r>
            <w:r w:rsidR="00470956">
              <w:rPr>
                <w:webHidden/>
              </w:rPr>
              <w:t>14</w:t>
            </w:r>
            <w:r w:rsidR="00BB25AB">
              <w:rPr>
                <w:webHidden/>
              </w:rPr>
              <w:fldChar w:fldCharType="end"/>
            </w:r>
          </w:hyperlink>
        </w:p>
        <w:p w14:paraId="0194CE21" w14:textId="01337B4A" w:rsidR="00BB25AB" w:rsidRDefault="00256B85">
          <w:pPr>
            <w:pStyle w:val="TDC2"/>
            <w:rPr>
              <w:rFonts w:asciiTheme="minorHAnsi" w:eastAsiaTheme="minorEastAsia" w:hAnsiTheme="minorHAnsi" w:cstheme="minorBidi"/>
              <w:noProof/>
              <w:sz w:val="22"/>
              <w:szCs w:val="22"/>
            </w:rPr>
          </w:pPr>
          <w:hyperlink w:anchor="_Toc93400239" w:history="1">
            <w:r w:rsidR="00BB25AB" w:rsidRPr="00694DCD">
              <w:rPr>
                <w:rStyle w:val="Hipervnculo"/>
                <w:noProof/>
                <w:lang w:val="es-ES"/>
              </w:rPr>
              <w:t>A.</w:t>
            </w:r>
            <w:r w:rsidR="00BB25AB">
              <w:rPr>
                <w:rFonts w:asciiTheme="minorHAnsi" w:eastAsiaTheme="minorEastAsia" w:hAnsiTheme="minorHAnsi" w:cstheme="minorBidi"/>
                <w:noProof/>
                <w:sz w:val="22"/>
                <w:szCs w:val="22"/>
              </w:rPr>
              <w:tab/>
            </w:r>
            <w:r w:rsidR="00BB25AB" w:rsidRPr="00694DCD">
              <w:rPr>
                <w:rStyle w:val="Hipervnculo"/>
                <w:noProof/>
                <w:lang w:val="es-ES"/>
              </w:rPr>
              <w:t>Admisibilidad de la prueba documental</w:t>
            </w:r>
            <w:r w:rsidR="00BB25AB">
              <w:rPr>
                <w:noProof/>
                <w:webHidden/>
              </w:rPr>
              <w:tab/>
            </w:r>
            <w:r w:rsidR="00BB25AB">
              <w:rPr>
                <w:noProof/>
                <w:webHidden/>
              </w:rPr>
              <w:fldChar w:fldCharType="begin"/>
            </w:r>
            <w:r w:rsidR="00BB25AB">
              <w:rPr>
                <w:noProof/>
                <w:webHidden/>
              </w:rPr>
              <w:instrText xml:space="preserve"> PAGEREF _Toc93400239 \h </w:instrText>
            </w:r>
            <w:r w:rsidR="00BB25AB">
              <w:rPr>
                <w:noProof/>
                <w:webHidden/>
              </w:rPr>
            </w:r>
            <w:r w:rsidR="00BB25AB">
              <w:rPr>
                <w:noProof/>
                <w:webHidden/>
              </w:rPr>
              <w:fldChar w:fldCharType="separate"/>
            </w:r>
            <w:r w:rsidR="00470956">
              <w:rPr>
                <w:noProof/>
                <w:webHidden/>
              </w:rPr>
              <w:t>14</w:t>
            </w:r>
            <w:r w:rsidR="00BB25AB">
              <w:rPr>
                <w:noProof/>
                <w:webHidden/>
              </w:rPr>
              <w:fldChar w:fldCharType="end"/>
            </w:r>
          </w:hyperlink>
        </w:p>
        <w:p w14:paraId="44B46A3B" w14:textId="683FBAFC" w:rsidR="00BB25AB" w:rsidRDefault="00256B85">
          <w:pPr>
            <w:pStyle w:val="TDC2"/>
            <w:rPr>
              <w:rFonts w:asciiTheme="minorHAnsi" w:eastAsiaTheme="minorEastAsia" w:hAnsiTheme="minorHAnsi" w:cstheme="minorBidi"/>
              <w:noProof/>
              <w:sz w:val="22"/>
              <w:szCs w:val="22"/>
            </w:rPr>
          </w:pPr>
          <w:hyperlink w:anchor="_Toc93400240" w:history="1">
            <w:r w:rsidR="00BB25AB" w:rsidRPr="00694DCD">
              <w:rPr>
                <w:rStyle w:val="Hipervnculo"/>
                <w:noProof/>
                <w:lang w:val="es-ES"/>
              </w:rPr>
              <w:t>B.</w:t>
            </w:r>
            <w:r w:rsidR="00BB25AB">
              <w:rPr>
                <w:rFonts w:asciiTheme="minorHAnsi" w:eastAsiaTheme="minorEastAsia" w:hAnsiTheme="minorHAnsi" w:cstheme="minorBidi"/>
                <w:noProof/>
                <w:sz w:val="22"/>
                <w:szCs w:val="22"/>
              </w:rPr>
              <w:tab/>
            </w:r>
            <w:r w:rsidR="00BB25AB" w:rsidRPr="00694DCD">
              <w:rPr>
                <w:rStyle w:val="Hipervnculo"/>
                <w:noProof/>
                <w:lang w:val="es-ES"/>
              </w:rPr>
              <w:t>Admisibilidad de la prueba testimonial y pericial</w:t>
            </w:r>
            <w:r w:rsidR="00BB25AB">
              <w:rPr>
                <w:noProof/>
                <w:webHidden/>
              </w:rPr>
              <w:tab/>
            </w:r>
            <w:r w:rsidR="00BB25AB">
              <w:rPr>
                <w:noProof/>
                <w:webHidden/>
              </w:rPr>
              <w:fldChar w:fldCharType="begin"/>
            </w:r>
            <w:r w:rsidR="00BB25AB">
              <w:rPr>
                <w:noProof/>
                <w:webHidden/>
              </w:rPr>
              <w:instrText xml:space="preserve"> PAGEREF _Toc93400240 \h </w:instrText>
            </w:r>
            <w:r w:rsidR="00BB25AB">
              <w:rPr>
                <w:noProof/>
                <w:webHidden/>
              </w:rPr>
            </w:r>
            <w:r w:rsidR="00BB25AB">
              <w:rPr>
                <w:noProof/>
                <w:webHidden/>
              </w:rPr>
              <w:fldChar w:fldCharType="separate"/>
            </w:r>
            <w:r w:rsidR="00470956">
              <w:rPr>
                <w:noProof/>
                <w:webHidden/>
              </w:rPr>
              <w:t>14</w:t>
            </w:r>
            <w:r w:rsidR="00BB25AB">
              <w:rPr>
                <w:noProof/>
                <w:webHidden/>
              </w:rPr>
              <w:fldChar w:fldCharType="end"/>
            </w:r>
          </w:hyperlink>
        </w:p>
        <w:p w14:paraId="585C33A6" w14:textId="2E53CC1F" w:rsidR="00BB25AB" w:rsidRDefault="00256B85">
          <w:pPr>
            <w:pStyle w:val="TDC1"/>
            <w:rPr>
              <w:rFonts w:asciiTheme="minorHAnsi" w:eastAsiaTheme="minorEastAsia" w:hAnsiTheme="minorHAnsi" w:cstheme="minorBidi"/>
              <w:b w:val="0"/>
              <w:sz w:val="22"/>
              <w:szCs w:val="22"/>
            </w:rPr>
          </w:pPr>
          <w:hyperlink w:anchor="_Toc93400241" w:history="1">
            <w:r w:rsidR="00BB25AB" w:rsidRPr="00694DCD">
              <w:rPr>
                <w:rStyle w:val="Hipervnculo"/>
                <w:lang w:val="es-ES"/>
              </w:rPr>
              <w:t>VII HECHOS</w:t>
            </w:r>
            <w:r w:rsidR="00BB25AB">
              <w:rPr>
                <w:webHidden/>
              </w:rPr>
              <w:tab/>
            </w:r>
            <w:r w:rsidR="00BB25AB">
              <w:rPr>
                <w:webHidden/>
              </w:rPr>
              <w:fldChar w:fldCharType="begin"/>
            </w:r>
            <w:r w:rsidR="00BB25AB">
              <w:rPr>
                <w:webHidden/>
              </w:rPr>
              <w:instrText xml:space="preserve"> PAGEREF _Toc93400241 \h </w:instrText>
            </w:r>
            <w:r w:rsidR="00BB25AB">
              <w:rPr>
                <w:webHidden/>
              </w:rPr>
            </w:r>
            <w:r w:rsidR="00BB25AB">
              <w:rPr>
                <w:webHidden/>
              </w:rPr>
              <w:fldChar w:fldCharType="separate"/>
            </w:r>
            <w:r w:rsidR="00470956">
              <w:rPr>
                <w:webHidden/>
              </w:rPr>
              <w:t>15</w:t>
            </w:r>
            <w:r w:rsidR="00BB25AB">
              <w:rPr>
                <w:webHidden/>
              </w:rPr>
              <w:fldChar w:fldCharType="end"/>
            </w:r>
          </w:hyperlink>
        </w:p>
        <w:p w14:paraId="643640EB" w14:textId="4B3C0E75" w:rsidR="00BB25AB" w:rsidRDefault="00256B85">
          <w:pPr>
            <w:pStyle w:val="TDC2"/>
            <w:rPr>
              <w:rFonts w:asciiTheme="minorHAnsi" w:eastAsiaTheme="minorEastAsia" w:hAnsiTheme="minorHAnsi" w:cstheme="minorBidi"/>
              <w:noProof/>
              <w:sz w:val="22"/>
              <w:szCs w:val="22"/>
            </w:rPr>
          </w:pPr>
          <w:hyperlink w:anchor="_Toc93400242" w:history="1">
            <w:r w:rsidR="00BB25AB" w:rsidRPr="00694DCD">
              <w:rPr>
                <w:rStyle w:val="Hipervnculo"/>
                <w:noProof/>
                <w:lang w:val="es-ES"/>
              </w:rPr>
              <w:t>A.</w:t>
            </w:r>
            <w:r w:rsidR="00BB25AB">
              <w:rPr>
                <w:rFonts w:asciiTheme="minorHAnsi" w:eastAsiaTheme="minorEastAsia" w:hAnsiTheme="minorHAnsi" w:cstheme="minorBidi"/>
                <w:noProof/>
                <w:sz w:val="22"/>
                <w:szCs w:val="22"/>
              </w:rPr>
              <w:tab/>
            </w:r>
            <w:r w:rsidR="00BB25AB" w:rsidRPr="00694DCD">
              <w:rPr>
                <w:rStyle w:val="Hipervnculo"/>
                <w:noProof/>
                <w:lang w:val="es-ES"/>
              </w:rPr>
              <w:t>Contexto</w:t>
            </w:r>
            <w:r w:rsidR="00BB25AB">
              <w:rPr>
                <w:noProof/>
                <w:webHidden/>
              </w:rPr>
              <w:tab/>
            </w:r>
            <w:r w:rsidR="00BB25AB">
              <w:rPr>
                <w:noProof/>
                <w:webHidden/>
              </w:rPr>
              <w:fldChar w:fldCharType="begin"/>
            </w:r>
            <w:r w:rsidR="00BB25AB">
              <w:rPr>
                <w:noProof/>
                <w:webHidden/>
              </w:rPr>
              <w:instrText xml:space="preserve"> PAGEREF _Toc93400242 \h </w:instrText>
            </w:r>
            <w:r w:rsidR="00BB25AB">
              <w:rPr>
                <w:noProof/>
                <w:webHidden/>
              </w:rPr>
            </w:r>
            <w:r w:rsidR="00BB25AB">
              <w:rPr>
                <w:noProof/>
                <w:webHidden/>
              </w:rPr>
              <w:fldChar w:fldCharType="separate"/>
            </w:r>
            <w:r w:rsidR="00470956">
              <w:rPr>
                <w:noProof/>
                <w:webHidden/>
              </w:rPr>
              <w:t>15</w:t>
            </w:r>
            <w:r w:rsidR="00BB25AB">
              <w:rPr>
                <w:noProof/>
                <w:webHidden/>
              </w:rPr>
              <w:fldChar w:fldCharType="end"/>
            </w:r>
          </w:hyperlink>
        </w:p>
        <w:p w14:paraId="10655A81" w14:textId="0E5A55C8" w:rsidR="00BB25AB" w:rsidRDefault="00256B85">
          <w:pPr>
            <w:pStyle w:val="TDC3"/>
            <w:rPr>
              <w:rFonts w:asciiTheme="minorHAnsi" w:eastAsiaTheme="minorEastAsia" w:hAnsiTheme="minorHAnsi" w:cstheme="minorBidi"/>
              <w:noProof/>
              <w:sz w:val="22"/>
              <w:szCs w:val="22"/>
            </w:rPr>
          </w:pPr>
          <w:hyperlink w:anchor="_Toc93400243" w:history="1">
            <w:r w:rsidR="00BB25AB" w:rsidRPr="00694DCD">
              <w:rPr>
                <w:rStyle w:val="Hipervnculo"/>
                <w:noProof/>
              </w:rPr>
              <w:t>a</w:t>
            </w:r>
            <w:r w:rsidR="00BB25AB" w:rsidRPr="00694DCD">
              <w:rPr>
                <w:rStyle w:val="Hipervnculo"/>
                <w:noProof/>
                <w:lang w:val="es-ES"/>
              </w:rPr>
              <w:t>.</w:t>
            </w:r>
            <w:r w:rsidR="00BB25AB" w:rsidRPr="00694DCD">
              <w:rPr>
                <w:rStyle w:val="Hipervnculo"/>
                <w:noProof/>
              </w:rPr>
              <w:t xml:space="preserve">1. </w:t>
            </w:r>
            <w:r w:rsidR="00BB25AB" w:rsidRPr="00694DCD">
              <w:rPr>
                <w:rStyle w:val="Hipervnculo"/>
                <w:noProof/>
                <w:lang w:val="es-ES"/>
              </w:rPr>
              <w:t xml:space="preserve">Contexto de violencia contra las </w:t>
            </w:r>
            <w:r w:rsidR="00BB25AB" w:rsidRPr="00694DCD">
              <w:rPr>
                <w:rStyle w:val="Hipervnculo"/>
                <w:noProof/>
              </w:rPr>
              <w:t xml:space="preserve">defensoras y defensores </w:t>
            </w:r>
            <w:r w:rsidR="00BB25AB" w:rsidRPr="00694DCD">
              <w:rPr>
                <w:rStyle w:val="Hipervnculo"/>
                <w:noProof/>
                <w:lang w:val="es-ES"/>
              </w:rPr>
              <w:t>de derechos humanos en la época de los hechos y en la actualidad en México</w:t>
            </w:r>
            <w:r w:rsidR="00BB25AB">
              <w:rPr>
                <w:noProof/>
                <w:webHidden/>
              </w:rPr>
              <w:tab/>
            </w:r>
            <w:r w:rsidR="00BB25AB">
              <w:rPr>
                <w:noProof/>
                <w:webHidden/>
              </w:rPr>
              <w:fldChar w:fldCharType="begin"/>
            </w:r>
            <w:r w:rsidR="00BB25AB">
              <w:rPr>
                <w:noProof/>
                <w:webHidden/>
              </w:rPr>
              <w:instrText xml:space="preserve"> PAGEREF _Toc93400243 \h </w:instrText>
            </w:r>
            <w:r w:rsidR="00BB25AB">
              <w:rPr>
                <w:noProof/>
                <w:webHidden/>
              </w:rPr>
            </w:r>
            <w:r w:rsidR="00BB25AB">
              <w:rPr>
                <w:noProof/>
                <w:webHidden/>
              </w:rPr>
              <w:fldChar w:fldCharType="separate"/>
            </w:r>
            <w:r w:rsidR="00470956">
              <w:rPr>
                <w:noProof/>
                <w:webHidden/>
              </w:rPr>
              <w:t>15</w:t>
            </w:r>
            <w:r w:rsidR="00BB25AB">
              <w:rPr>
                <w:noProof/>
                <w:webHidden/>
              </w:rPr>
              <w:fldChar w:fldCharType="end"/>
            </w:r>
          </w:hyperlink>
        </w:p>
        <w:p w14:paraId="1B4DC641" w14:textId="579EC494" w:rsidR="00BB25AB" w:rsidRDefault="00256B85">
          <w:pPr>
            <w:pStyle w:val="TDC3"/>
            <w:rPr>
              <w:rFonts w:asciiTheme="minorHAnsi" w:eastAsiaTheme="minorEastAsia" w:hAnsiTheme="minorHAnsi" w:cstheme="minorBidi"/>
              <w:noProof/>
              <w:sz w:val="22"/>
              <w:szCs w:val="22"/>
            </w:rPr>
          </w:pPr>
          <w:hyperlink w:anchor="_Toc93400244" w:history="1">
            <w:r w:rsidR="00BB25AB" w:rsidRPr="00694DCD">
              <w:rPr>
                <w:rStyle w:val="Hipervnculo"/>
                <w:noProof/>
              </w:rPr>
              <w:t>a</w:t>
            </w:r>
            <w:r w:rsidR="00BB25AB" w:rsidRPr="00694DCD">
              <w:rPr>
                <w:rStyle w:val="Hipervnculo"/>
                <w:noProof/>
                <w:lang w:val="es-ES"/>
              </w:rPr>
              <w:t>.2</w:t>
            </w:r>
            <w:r w:rsidR="00BB25AB" w:rsidRPr="00694DCD">
              <w:rPr>
                <w:rStyle w:val="Hipervnculo"/>
                <w:noProof/>
              </w:rPr>
              <w:t xml:space="preserve">. </w:t>
            </w:r>
            <w:r w:rsidR="00BB25AB" w:rsidRPr="00694DCD">
              <w:rPr>
                <w:rStyle w:val="Hipervnculo"/>
                <w:noProof/>
                <w:lang w:val="es-ES"/>
              </w:rPr>
              <w:t>Medidas cautelares y provisionales adoptadas por la Comisión y la Corte, respectivamente</w:t>
            </w:r>
            <w:r w:rsidR="00BB25AB">
              <w:rPr>
                <w:noProof/>
                <w:webHidden/>
              </w:rPr>
              <w:tab/>
            </w:r>
            <w:r w:rsidR="00BB25AB">
              <w:rPr>
                <w:noProof/>
                <w:webHidden/>
              </w:rPr>
              <w:fldChar w:fldCharType="begin"/>
            </w:r>
            <w:r w:rsidR="00BB25AB">
              <w:rPr>
                <w:noProof/>
                <w:webHidden/>
              </w:rPr>
              <w:instrText xml:space="preserve"> PAGEREF _Toc93400244 \h </w:instrText>
            </w:r>
            <w:r w:rsidR="00BB25AB">
              <w:rPr>
                <w:noProof/>
                <w:webHidden/>
              </w:rPr>
            </w:r>
            <w:r w:rsidR="00BB25AB">
              <w:rPr>
                <w:noProof/>
                <w:webHidden/>
              </w:rPr>
              <w:fldChar w:fldCharType="separate"/>
            </w:r>
            <w:r w:rsidR="00470956">
              <w:rPr>
                <w:noProof/>
                <w:webHidden/>
              </w:rPr>
              <w:t>18</w:t>
            </w:r>
            <w:r w:rsidR="00BB25AB">
              <w:rPr>
                <w:noProof/>
                <w:webHidden/>
              </w:rPr>
              <w:fldChar w:fldCharType="end"/>
            </w:r>
          </w:hyperlink>
        </w:p>
        <w:p w14:paraId="11BB78B8" w14:textId="2F2AC19B" w:rsidR="00BB25AB" w:rsidRDefault="00256B85">
          <w:pPr>
            <w:pStyle w:val="TDC2"/>
            <w:rPr>
              <w:rFonts w:asciiTheme="minorHAnsi" w:eastAsiaTheme="minorEastAsia" w:hAnsiTheme="minorHAnsi" w:cstheme="minorBidi"/>
              <w:noProof/>
              <w:sz w:val="22"/>
              <w:szCs w:val="22"/>
            </w:rPr>
          </w:pPr>
          <w:hyperlink w:anchor="_Toc93400245" w:history="1">
            <w:r w:rsidR="00BB25AB" w:rsidRPr="00694DCD">
              <w:rPr>
                <w:rStyle w:val="Hipervnculo"/>
                <w:noProof/>
                <w:lang w:val="es-ES"/>
              </w:rPr>
              <w:t>B.</w:t>
            </w:r>
            <w:r w:rsidR="00BB25AB">
              <w:rPr>
                <w:rFonts w:asciiTheme="minorHAnsi" w:eastAsiaTheme="minorEastAsia" w:hAnsiTheme="minorHAnsi" w:cstheme="minorBidi"/>
                <w:noProof/>
                <w:sz w:val="22"/>
                <w:szCs w:val="22"/>
              </w:rPr>
              <w:tab/>
            </w:r>
            <w:r w:rsidR="00BB25AB" w:rsidRPr="00694DCD">
              <w:rPr>
                <w:rStyle w:val="Hipervnculo"/>
                <w:noProof/>
                <w:lang w:val="es-ES"/>
              </w:rPr>
              <w:t>Sobre la vida y muerte de la señora Digna Ochoa</w:t>
            </w:r>
            <w:r w:rsidR="00BB25AB">
              <w:rPr>
                <w:noProof/>
                <w:webHidden/>
              </w:rPr>
              <w:tab/>
            </w:r>
            <w:r w:rsidR="00BB25AB">
              <w:rPr>
                <w:noProof/>
                <w:webHidden/>
              </w:rPr>
              <w:fldChar w:fldCharType="begin"/>
            </w:r>
            <w:r w:rsidR="00BB25AB">
              <w:rPr>
                <w:noProof/>
                <w:webHidden/>
              </w:rPr>
              <w:instrText xml:space="preserve"> PAGEREF _Toc93400245 \h </w:instrText>
            </w:r>
            <w:r w:rsidR="00BB25AB">
              <w:rPr>
                <w:noProof/>
                <w:webHidden/>
              </w:rPr>
            </w:r>
            <w:r w:rsidR="00BB25AB">
              <w:rPr>
                <w:noProof/>
                <w:webHidden/>
              </w:rPr>
              <w:fldChar w:fldCharType="separate"/>
            </w:r>
            <w:r w:rsidR="00470956">
              <w:rPr>
                <w:noProof/>
                <w:webHidden/>
              </w:rPr>
              <w:t>19</w:t>
            </w:r>
            <w:r w:rsidR="00BB25AB">
              <w:rPr>
                <w:noProof/>
                <w:webHidden/>
              </w:rPr>
              <w:fldChar w:fldCharType="end"/>
            </w:r>
          </w:hyperlink>
        </w:p>
        <w:p w14:paraId="6012DACC" w14:textId="04303B14" w:rsidR="00BB25AB" w:rsidRDefault="00256B85">
          <w:pPr>
            <w:pStyle w:val="TDC2"/>
            <w:rPr>
              <w:rFonts w:asciiTheme="minorHAnsi" w:eastAsiaTheme="minorEastAsia" w:hAnsiTheme="minorHAnsi" w:cstheme="minorBidi"/>
              <w:noProof/>
              <w:sz w:val="22"/>
              <w:szCs w:val="22"/>
            </w:rPr>
          </w:pPr>
          <w:hyperlink w:anchor="_Toc93400246" w:history="1">
            <w:r w:rsidR="00BB25AB" w:rsidRPr="00694DCD">
              <w:rPr>
                <w:rStyle w:val="Hipervnculo"/>
                <w:noProof/>
                <w:lang w:val="es-ES"/>
              </w:rPr>
              <w:t>C.</w:t>
            </w:r>
            <w:r w:rsidR="00BB25AB">
              <w:rPr>
                <w:rFonts w:asciiTheme="minorHAnsi" w:eastAsiaTheme="minorEastAsia" w:hAnsiTheme="minorHAnsi" w:cstheme="minorBidi"/>
                <w:noProof/>
                <w:sz w:val="22"/>
                <w:szCs w:val="22"/>
              </w:rPr>
              <w:tab/>
            </w:r>
            <w:r w:rsidR="00BB25AB" w:rsidRPr="00694DCD">
              <w:rPr>
                <w:rStyle w:val="Hipervnculo"/>
                <w:noProof/>
                <w:lang w:val="es-ES"/>
              </w:rPr>
              <w:t>Investigaciones y procedimientos iniciados a raíz de la muerte de la señora Digna Ochoa</w:t>
            </w:r>
            <w:r w:rsidR="00BB25AB">
              <w:rPr>
                <w:noProof/>
                <w:webHidden/>
              </w:rPr>
              <w:tab/>
            </w:r>
            <w:r w:rsidR="00BB25AB">
              <w:rPr>
                <w:noProof/>
                <w:webHidden/>
              </w:rPr>
              <w:fldChar w:fldCharType="begin"/>
            </w:r>
            <w:r w:rsidR="00BB25AB">
              <w:rPr>
                <w:noProof/>
                <w:webHidden/>
              </w:rPr>
              <w:instrText xml:space="preserve"> PAGEREF _Toc93400246 \h </w:instrText>
            </w:r>
            <w:r w:rsidR="00BB25AB">
              <w:rPr>
                <w:noProof/>
                <w:webHidden/>
              </w:rPr>
            </w:r>
            <w:r w:rsidR="00BB25AB">
              <w:rPr>
                <w:noProof/>
                <w:webHidden/>
              </w:rPr>
              <w:fldChar w:fldCharType="separate"/>
            </w:r>
            <w:r w:rsidR="00470956">
              <w:rPr>
                <w:noProof/>
                <w:webHidden/>
              </w:rPr>
              <w:t>21</w:t>
            </w:r>
            <w:r w:rsidR="00BB25AB">
              <w:rPr>
                <w:noProof/>
                <w:webHidden/>
              </w:rPr>
              <w:fldChar w:fldCharType="end"/>
            </w:r>
          </w:hyperlink>
        </w:p>
        <w:p w14:paraId="4E60A78A" w14:textId="54B2BAE4" w:rsidR="00BB25AB" w:rsidRDefault="00256B85">
          <w:pPr>
            <w:pStyle w:val="TDC3"/>
            <w:rPr>
              <w:rFonts w:asciiTheme="minorHAnsi" w:eastAsiaTheme="minorEastAsia" w:hAnsiTheme="minorHAnsi" w:cstheme="minorBidi"/>
              <w:noProof/>
              <w:sz w:val="22"/>
              <w:szCs w:val="22"/>
            </w:rPr>
          </w:pPr>
          <w:hyperlink w:anchor="_Toc93400247" w:history="1">
            <w:r w:rsidR="00BB25AB" w:rsidRPr="00694DCD">
              <w:rPr>
                <w:rStyle w:val="Hipervnculo"/>
                <w:noProof/>
              </w:rPr>
              <w:t>c</w:t>
            </w:r>
            <w:r w:rsidR="00BB25AB" w:rsidRPr="00694DCD">
              <w:rPr>
                <w:rStyle w:val="Hipervnculo"/>
                <w:noProof/>
                <w:lang w:val="es-ES"/>
              </w:rPr>
              <w:t>.</w:t>
            </w:r>
            <w:r w:rsidR="00BB25AB" w:rsidRPr="00694DCD">
              <w:rPr>
                <w:rStyle w:val="Hipervnculo"/>
                <w:noProof/>
              </w:rPr>
              <w:t xml:space="preserve">1. </w:t>
            </w:r>
            <w:r w:rsidR="00BB25AB" w:rsidRPr="00694DCD">
              <w:rPr>
                <w:rStyle w:val="Hipervnculo"/>
                <w:noProof/>
                <w:lang w:val="es-ES"/>
              </w:rPr>
              <w:t>Líneas</w:t>
            </w:r>
            <w:r w:rsidR="00BB25AB" w:rsidRPr="00694DCD">
              <w:rPr>
                <w:rStyle w:val="Hipervnculo"/>
                <w:noProof/>
              </w:rPr>
              <w:t xml:space="preserve"> de investigación</w:t>
            </w:r>
            <w:r w:rsidR="00BB25AB">
              <w:rPr>
                <w:noProof/>
                <w:webHidden/>
              </w:rPr>
              <w:tab/>
            </w:r>
            <w:r w:rsidR="00BB25AB">
              <w:rPr>
                <w:noProof/>
                <w:webHidden/>
              </w:rPr>
              <w:fldChar w:fldCharType="begin"/>
            </w:r>
            <w:r w:rsidR="00BB25AB">
              <w:rPr>
                <w:noProof/>
                <w:webHidden/>
              </w:rPr>
              <w:instrText xml:space="preserve"> PAGEREF _Toc93400247 \h </w:instrText>
            </w:r>
            <w:r w:rsidR="00BB25AB">
              <w:rPr>
                <w:noProof/>
                <w:webHidden/>
              </w:rPr>
            </w:r>
            <w:r w:rsidR="00BB25AB">
              <w:rPr>
                <w:noProof/>
                <w:webHidden/>
              </w:rPr>
              <w:fldChar w:fldCharType="separate"/>
            </w:r>
            <w:r w:rsidR="00470956">
              <w:rPr>
                <w:noProof/>
                <w:webHidden/>
              </w:rPr>
              <w:t>22</w:t>
            </w:r>
            <w:r w:rsidR="00BB25AB">
              <w:rPr>
                <w:noProof/>
                <w:webHidden/>
              </w:rPr>
              <w:fldChar w:fldCharType="end"/>
            </w:r>
          </w:hyperlink>
        </w:p>
        <w:p w14:paraId="6D083465" w14:textId="6D397C39" w:rsidR="00BB25AB" w:rsidRDefault="00256B85">
          <w:pPr>
            <w:pStyle w:val="TDC3"/>
            <w:rPr>
              <w:rFonts w:asciiTheme="minorHAnsi" w:eastAsiaTheme="minorEastAsia" w:hAnsiTheme="minorHAnsi" w:cstheme="minorBidi"/>
              <w:noProof/>
              <w:sz w:val="22"/>
              <w:szCs w:val="22"/>
            </w:rPr>
          </w:pPr>
          <w:hyperlink w:anchor="_Toc93400248" w:history="1">
            <w:r w:rsidR="00BB25AB" w:rsidRPr="00694DCD">
              <w:rPr>
                <w:rStyle w:val="Hipervnculo"/>
                <w:noProof/>
              </w:rPr>
              <w:t>c.2. Primer acuerdo de no ejercicio de la acción penal de 18 de julio de 2003</w:t>
            </w:r>
            <w:r w:rsidR="00BB25AB">
              <w:rPr>
                <w:noProof/>
                <w:webHidden/>
              </w:rPr>
              <w:tab/>
            </w:r>
            <w:r w:rsidR="00BB25AB">
              <w:rPr>
                <w:noProof/>
                <w:webHidden/>
              </w:rPr>
              <w:fldChar w:fldCharType="begin"/>
            </w:r>
            <w:r w:rsidR="00BB25AB">
              <w:rPr>
                <w:noProof/>
                <w:webHidden/>
              </w:rPr>
              <w:instrText xml:space="preserve"> PAGEREF _Toc93400248 \h </w:instrText>
            </w:r>
            <w:r w:rsidR="00BB25AB">
              <w:rPr>
                <w:noProof/>
                <w:webHidden/>
              </w:rPr>
            </w:r>
            <w:r w:rsidR="00BB25AB">
              <w:rPr>
                <w:noProof/>
                <w:webHidden/>
              </w:rPr>
              <w:fldChar w:fldCharType="separate"/>
            </w:r>
            <w:r w:rsidR="00470956">
              <w:rPr>
                <w:noProof/>
                <w:webHidden/>
              </w:rPr>
              <w:t>23</w:t>
            </w:r>
            <w:r w:rsidR="00BB25AB">
              <w:rPr>
                <w:noProof/>
                <w:webHidden/>
              </w:rPr>
              <w:fldChar w:fldCharType="end"/>
            </w:r>
          </w:hyperlink>
        </w:p>
        <w:p w14:paraId="6ECEE9AB" w14:textId="57956DFA" w:rsidR="00BB25AB" w:rsidRDefault="00256B85">
          <w:pPr>
            <w:pStyle w:val="TDC3"/>
            <w:rPr>
              <w:rFonts w:asciiTheme="minorHAnsi" w:eastAsiaTheme="minorEastAsia" w:hAnsiTheme="minorHAnsi" w:cstheme="minorBidi"/>
              <w:noProof/>
              <w:sz w:val="22"/>
              <w:szCs w:val="22"/>
            </w:rPr>
          </w:pPr>
          <w:hyperlink w:anchor="_Toc93400249" w:history="1">
            <w:r w:rsidR="00BB25AB" w:rsidRPr="00694DCD">
              <w:rPr>
                <w:rStyle w:val="Hipervnculo"/>
                <w:noProof/>
              </w:rPr>
              <w:t>c.3. Segundo acuerdo de no ejercicio de la acción penal de 12 de marzo de 2007</w:t>
            </w:r>
            <w:r w:rsidR="00BB25AB">
              <w:rPr>
                <w:noProof/>
                <w:webHidden/>
              </w:rPr>
              <w:tab/>
            </w:r>
            <w:r w:rsidR="00BB25AB">
              <w:rPr>
                <w:noProof/>
                <w:webHidden/>
              </w:rPr>
              <w:fldChar w:fldCharType="begin"/>
            </w:r>
            <w:r w:rsidR="00BB25AB">
              <w:rPr>
                <w:noProof/>
                <w:webHidden/>
              </w:rPr>
              <w:instrText xml:space="preserve"> PAGEREF _Toc93400249 \h </w:instrText>
            </w:r>
            <w:r w:rsidR="00BB25AB">
              <w:rPr>
                <w:noProof/>
                <w:webHidden/>
              </w:rPr>
            </w:r>
            <w:r w:rsidR="00BB25AB">
              <w:rPr>
                <w:noProof/>
                <w:webHidden/>
              </w:rPr>
              <w:fldChar w:fldCharType="separate"/>
            </w:r>
            <w:r w:rsidR="00470956">
              <w:rPr>
                <w:noProof/>
                <w:webHidden/>
              </w:rPr>
              <w:t>25</w:t>
            </w:r>
            <w:r w:rsidR="00BB25AB">
              <w:rPr>
                <w:noProof/>
                <w:webHidden/>
              </w:rPr>
              <w:fldChar w:fldCharType="end"/>
            </w:r>
          </w:hyperlink>
        </w:p>
        <w:p w14:paraId="12E74361" w14:textId="011C0FAC" w:rsidR="00BB25AB" w:rsidRDefault="00256B85">
          <w:pPr>
            <w:pStyle w:val="TDC3"/>
            <w:rPr>
              <w:rFonts w:asciiTheme="minorHAnsi" w:eastAsiaTheme="minorEastAsia" w:hAnsiTheme="minorHAnsi" w:cstheme="minorBidi"/>
              <w:noProof/>
              <w:sz w:val="22"/>
              <w:szCs w:val="22"/>
            </w:rPr>
          </w:pPr>
          <w:hyperlink w:anchor="_Toc93400250" w:history="1">
            <w:r w:rsidR="00BB25AB" w:rsidRPr="00694DCD">
              <w:rPr>
                <w:rStyle w:val="Hipervnculo"/>
                <w:noProof/>
              </w:rPr>
              <w:t>c.4. Tercer acuerdo de no ejercicio de la acción penal de 26 de noviembre de 2010</w:t>
            </w:r>
            <w:r w:rsidR="00BB25AB">
              <w:rPr>
                <w:noProof/>
                <w:webHidden/>
              </w:rPr>
              <w:tab/>
            </w:r>
            <w:r w:rsidR="00BB25AB">
              <w:rPr>
                <w:noProof/>
                <w:webHidden/>
              </w:rPr>
              <w:fldChar w:fldCharType="begin"/>
            </w:r>
            <w:r w:rsidR="00BB25AB">
              <w:rPr>
                <w:noProof/>
                <w:webHidden/>
              </w:rPr>
              <w:instrText xml:space="preserve"> PAGEREF _Toc93400250 \h </w:instrText>
            </w:r>
            <w:r w:rsidR="00BB25AB">
              <w:rPr>
                <w:noProof/>
                <w:webHidden/>
              </w:rPr>
            </w:r>
            <w:r w:rsidR="00BB25AB">
              <w:rPr>
                <w:noProof/>
                <w:webHidden/>
              </w:rPr>
              <w:fldChar w:fldCharType="separate"/>
            </w:r>
            <w:r w:rsidR="00470956">
              <w:rPr>
                <w:noProof/>
                <w:webHidden/>
              </w:rPr>
              <w:t>25</w:t>
            </w:r>
            <w:r w:rsidR="00BB25AB">
              <w:rPr>
                <w:noProof/>
                <w:webHidden/>
              </w:rPr>
              <w:fldChar w:fldCharType="end"/>
            </w:r>
          </w:hyperlink>
        </w:p>
        <w:p w14:paraId="4D109643" w14:textId="49E5FEEF" w:rsidR="00BB25AB" w:rsidRDefault="00256B85">
          <w:pPr>
            <w:pStyle w:val="TDC2"/>
            <w:rPr>
              <w:rFonts w:asciiTheme="minorHAnsi" w:eastAsiaTheme="minorEastAsia" w:hAnsiTheme="minorHAnsi" w:cstheme="minorBidi"/>
              <w:noProof/>
              <w:sz w:val="22"/>
              <w:szCs w:val="22"/>
            </w:rPr>
          </w:pPr>
          <w:hyperlink w:anchor="_Toc93400251" w:history="1">
            <w:r w:rsidR="00BB25AB" w:rsidRPr="00694DCD">
              <w:rPr>
                <w:rStyle w:val="Hipervnculo"/>
                <w:noProof/>
                <w:lang w:val="es-ES"/>
              </w:rPr>
              <w:t>D.</w:t>
            </w:r>
            <w:r w:rsidR="00BB25AB">
              <w:rPr>
                <w:rFonts w:asciiTheme="minorHAnsi" w:eastAsiaTheme="minorEastAsia" w:hAnsiTheme="minorHAnsi" w:cstheme="minorBidi"/>
                <w:noProof/>
                <w:sz w:val="22"/>
                <w:szCs w:val="22"/>
              </w:rPr>
              <w:tab/>
            </w:r>
            <w:r w:rsidR="00BB25AB" w:rsidRPr="00694DCD">
              <w:rPr>
                <w:rStyle w:val="Hipervnculo"/>
                <w:noProof/>
                <w:lang w:val="es-ES"/>
              </w:rPr>
              <w:t>Verificación técnica independiente de la investigación de la Fiscalía Especial de la Procuraduría General de Justicia del Distrito Federal de México</w:t>
            </w:r>
            <w:r w:rsidR="00BB25AB">
              <w:rPr>
                <w:noProof/>
                <w:webHidden/>
              </w:rPr>
              <w:tab/>
            </w:r>
            <w:r w:rsidR="00BB25AB">
              <w:rPr>
                <w:noProof/>
                <w:webHidden/>
              </w:rPr>
              <w:fldChar w:fldCharType="begin"/>
            </w:r>
            <w:r w:rsidR="00BB25AB">
              <w:rPr>
                <w:noProof/>
                <w:webHidden/>
              </w:rPr>
              <w:instrText xml:space="preserve"> PAGEREF _Toc93400251 \h </w:instrText>
            </w:r>
            <w:r w:rsidR="00BB25AB">
              <w:rPr>
                <w:noProof/>
                <w:webHidden/>
              </w:rPr>
            </w:r>
            <w:r w:rsidR="00BB25AB">
              <w:rPr>
                <w:noProof/>
                <w:webHidden/>
              </w:rPr>
              <w:fldChar w:fldCharType="separate"/>
            </w:r>
            <w:r w:rsidR="00470956">
              <w:rPr>
                <w:noProof/>
                <w:webHidden/>
              </w:rPr>
              <w:t>26</w:t>
            </w:r>
            <w:r w:rsidR="00BB25AB">
              <w:rPr>
                <w:noProof/>
                <w:webHidden/>
              </w:rPr>
              <w:fldChar w:fldCharType="end"/>
            </w:r>
          </w:hyperlink>
        </w:p>
        <w:p w14:paraId="106160C2" w14:textId="2D9DFAFC" w:rsidR="00BB25AB" w:rsidRDefault="00256B85">
          <w:pPr>
            <w:pStyle w:val="TDC2"/>
            <w:rPr>
              <w:rFonts w:asciiTheme="minorHAnsi" w:eastAsiaTheme="minorEastAsia" w:hAnsiTheme="minorHAnsi" w:cstheme="minorBidi"/>
              <w:noProof/>
              <w:sz w:val="22"/>
              <w:szCs w:val="22"/>
            </w:rPr>
          </w:pPr>
          <w:hyperlink w:anchor="_Toc93400252" w:history="1">
            <w:r w:rsidR="00BB25AB" w:rsidRPr="00694DCD">
              <w:rPr>
                <w:rStyle w:val="Hipervnculo"/>
                <w:noProof/>
                <w:lang w:val="es-ES"/>
              </w:rPr>
              <w:t>E.</w:t>
            </w:r>
            <w:r w:rsidR="00BB25AB">
              <w:rPr>
                <w:rFonts w:asciiTheme="minorHAnsi" w:eastAsiaTheme="minorEastAsia" w:hAnsiTheme="minorHAnsi" w:cstheme="minorBidi"/>
                <w:noProof/>
                <w:sz w:val="22"/>
                <w:szCs w:val="22"/>
              </w:rPr>
              <w:tab/>
            </w:r>
            <w:r w:rsidR="00BB25AB" w:rsidRPr="00694DCD">
              <w:rPr>
                <w:rStyle w:val="Hipervnculo"/>
                <w:noProof/>
                <w:lang w:val="es-ES"/>
              </w:rPr>
              <w:t>Informe Especial de la Comisión de Derechos Humanos del Distrito Federal (CDHDF)</w:t>
            </w:r>
            <w:r w:rsidR="00BB25AB">
              <w:rPr>
                <w:noProof/>
                <w:webHidden/>
              </w:rPr>
              <w:tab/>
            </w:r>
            <w:r w:rsidR="00BB25AB">
              <w:rPr>
                <w:noProof/>
                <w:webHidden/>
              </w:rPr>
              <w:fldChar w:fldCharType="begin"/>
            </w:r>
            <w:r w:rsidR="00BB25AB">
              <w:rPr>
                <w:noProof/>
                <w:webHidden/>
              </w:rPr>
              <w:instrText xml:space="preserve"> PAGEREF _Toc93400252 \h </w:instrText>
            </w:r>
            <w:r w:rsidR="00BB25AB">
              <w:rPr>
                <w:noProof/>
                <w:webHidden/>
              </w:rPr>
            </w:r>
            <w:r w:rsidR="00BB25AB">
              <w:rPr>
                <w:noProof/>
                <w:webHidden/>
              </w:rPr>
              <w:fldChar w:fldCharType="separate"/>
            </w:r>
            <w:r w:rsidR="00470956">
              <w:rPr>
                <w:noProof/>
                <w:webHidden/>
              </w:rPr>
              <w:t>27</w:t>
            </w:r>
            <w:r w:rsidR="00BB25AB">
              <w:rPr>
                <w:noProof/>
                <w:webHidden/>
              </w:rPr>
              <w:fldChar w:fldCharType="end"/>
            </w:r>
          </w:hyperlink>
        </w:p>
        <w:p w14:paraId="02C9B2D8" w14:textId="18CD3CAF" w:rsidR="00BB25AB" w:rsidRDefault="00256B85">
          <w:pPr>
            <w:pStyle w:val="TDC1"/>
            <w:rPr>
              <w:rFonts w:asciiTheme="minorHAnsi" w:eastAsiaTheme="minorEastAsia" w:hAnsiTheme="minorHAnsi" w:cstheme="minorBidi"/>
              <w:b w:val="0"/>
              <w:sz w:val="22"/>
              <w:szCs w:val="22"/>
            </w:rPr>
          </w:pPr>
          <w:hyperlink w:anchor="_Toc93400253" w:history="1">
            <w:r w:rsidR="00BB25AB" w:rsidRPr="00694DCD">
              <w:rPr>
                <w:rStyle w:val="Hipervnculo"/>
                <w:lang w:val="es-ES"/>
              </w:rPr>
              <w:t>VIII FONDO</w:t>
            </w:r>
            <w:r w:rsidR="00BB25AB">
              <w:rPr>
                <w:webHidden/>
              </w:rPr>
              <w:tab/>
            </w:r>
            <w:r w:rsidR="00BB25AB">
              <w:rPr>
                <w:webHidden/>
              </w:rPr>
              <w:fldChar w:fldCharType="begin"/>
            </w:r>
            <w:r w:rsidR="00BB25AB">
              <w:rPr>
                <w:webHidden/>
              </w:rPr>
              <w:instrText xml:space="preserve"> PAGEREF _Toc93400253 \h </w:instrText>
            </w:r>
            <w:r w:rsidR="00BB25AB">
              <w:rPr>
                <w:webHidden/>
              </w:rPr>
            </w:r>
            <w:r w:rsidR="00BB25AB">
              <w:rPr>
                <w:webHidden/>
              </w:rPr>
              <w:fldChar w:fldCharType="separate"/>
            </w:r>
            <w:r w:rsidR="00470956">
              <w:rPr>
                <w:webHidden/>
              </w:rPr>
              <w:t>28</w:t>
            </w:r>
            <w:r w:rsidR="00BB25AB">
              <w:rPr>
                <w:webHidden/>
              </w:rPr>
              <w:fldChar w:fldCharType="end"/>
            </w:r>
          </w:hyperlink>
        </w:p>
        <w:p w14:paraId="0EDEBD12" w14:textId="0199A438" w:rsidR="00BB25AB" w:rsidRDefault="00256B85">
          <w:pPr>
            <w:pStyle w:val="TDC1"/>
            <w:rPr>
              <w:rFonts w:asciiTheme="minorHAnsi" w:eastAsiaTheme="minorEastAsia" w:hAnsiTheme="minorHAnsi" w:cstheme="minorBidi"/>
              <w:b w:val="0"/>
              <w:sz w:val="22"/>
              <w:szCs w:val="22"/>
            </w:rPr>
          </w:pPr>
          <w:hyperlink w:anchor="_Toc93400254" w:history="1">
            <w:r w:rsidR="00BB25AB" w:rsidRPr="00694DCD">
              <w:rPr>
                <w:rStyle w:val="Hipervnculo"/>
                <w:lang w:val="es-ES"/>
              </w:rPr>
              <w:t>VIII-I DERECHOS A LA VIDA, LA INTEGRIDAD PERSONAL, GARANTÍAS JUDICIALES, PROTECCIÓN JUDICIAL Y PROTECCIÓN DE LA HONRA Y DE LA DIGNIDAD</w:t>
            </w:r>
            <w:r w:rsidR="00BB25AB">
              <w:rPr>
                <w:webHidden/>
              </w:rPr>
              <w:tab/>
            </w:r>
            <w:r w:rsidR="00BB25AB">
              <w:rPr>
                <w:webHidden/>
              </w:rPr>
              <w:fldChar w:fldCharType="begin"/>
            </w:r>
            <w:r w:rsidR="00BB25AB">
              <w:rPr>
                <w:webHidden/>
              </w:rPr>
              <w:instrText xml:space="preserve"> PAGEREF _Toc93400254 \h </w:instrText>
            </w:r>
            <w:r w:rsidR="00BB25AB">
              <w:rPr>
                <w:webHidden/>
              </w:rPr>
            </w:r>
            <w:r w:rsidR="00BB25AB">
              <w:rPr>
                <w:webHidden/>
              </w:rPr>
              <w:fldChar w:fldCharType="separate"/>
            </w:r>
            <w:r w:rsidR="00470956">
              <w:rPr>
                <w:webHidden/>
              </w:rPr>
              <w:t>28</w:t>
            </w:r>
            <w:r w:rsidR="00BB25AB">
              <w:rPr>
                <w:webHidden/>
              </w:rPr>
              <w:fldChar w:fldCharType="end"/>
            </w:r>
          </w:hyperlink>
        </w:p>
        <w:p w14:paraId="120822A7" w14:textId="0490DCF5" w:rsidR="00BB25AB" w:rsidRDefault="00256B85">
          <w:pPr>
            <w:pStyle w:val="TDC2"/>
            <w:rPr>
              <w:rFonts w:asciiTheme="minorHAnsi" w:eastAsiaTheme="minorEastAsia" w:hAnsiTheme="minorHAnsi" w:cstheme="minorBidi"/>
              <w:noProof/>
              <w:sz w:val="22"/>
              <w:szCs w:val="22"/>
            </w:rPr>
          </w:pPr>
          <w:hyperlink w:anchor="_Toc93400255" w:history="1">
            <w:r w:rsidR="00BB25AB" w:rsidRPr="00694DCD">
              <w:rPr>
                <w:rStyle w:val="Hipervnculo"/>
                <w:noProof/>
                <w:lang w:val="es-ES"/>
              </w:rPr>
              <w:t>A.</w:t>
            </w:r>
            <w:r w:rsidR="00BB25AB">
              <w:rPr>
                <w:rFonts w:asciiTheme="minorHAnsi" w:eastAsiaTheme="minorEastAsia" w:hAnsiTheme="minorHAnsi" w:cstheme="minorBidi"/>
                <w:noProof/>
                <w:sz w:val="22"/>
                <w:szCs w:val="22"/>
              </w:rPr>
              <w:tab/>
            </w:r>
            <w:r w:rsidR="00BB25AB" w:rsidRPr="00694DCD">
              <w:rPr>
                <w:rStyle w:val="Hipervnculo"/>
                <w:noProof/>
                <w:lang w:val="es-ES"/>
              </w:rPr>
              <w:t>Argumentos de las partes y de la Comisión</w:t>
            </w:r>
            <w:r w:rsidR="00BB25AB">
              <w:rPr>
                <w:noProof/>
                <w:webHidden/>
              </w:rPr>
              <w:tab/>
            </w:r>
            <w:r w:rsidR="00BB25AB">
              <w:rPr>
                <w:noProof/>
                <w:webHidden/>
              </w:rPr>
              <w:fldChar w:fldCharType="begin"/>
            </w:r>
            <w:r w:rsidR="00BB25AB">
              <w:rPr>
                <w:noProof/>
                <w:webHidden/>
              </w:rPr>
              <w:instrText xml:space="preserve"> PAGEREF _Toc93400255 \h </w:instrText>
            </w:r>
            <w:r w:rsidR="00BB25AB">
              <w:rPr>
                <w:noProof/>
                <w:webHidden/>
              </w:rPr>
            </w:r>
            <w:r w:rsidR="00BB25AB">
              <w:rPr>
                <w:noProof/>
                <w:webHidden/>
              </w:rPr>
              <w:fldChar w:fldCharType="separate"/>
            </w:r>
            <w:r w:rsidR="00470956">
              <w:rPr>
                <w:noProof/>
                <w:webHidden/>
              </w:rPr>
              <w:t>29</w:t>
            </w:r>
            <w:r w:rsidR="00BB25AB">
              <w:rPr>
                <w:noProof/>
                <w:webHidden/>
              </w:rPr>
              <w:fldChar w:fldCharType="end"/>
            </w:r>
          </w:hyperlink>
        </w:p>
        <w:p w14:paraId="5D26133E" w14:textId="00E5A7A9" w:rsidR="00BB25AB" w:rsidRDefault="00256B85">
          <w:pPr>
            <w:pStyle w:val="TDC2"/>
            <w:rPr>
              <w:rFonts w:asciiTheme="minorHAnsi" w:eastAsiaTheme="minorEastAsia" w:hAnsiTheme="minorHAnsi" w:cstheme="minorBidi"/>
              <w:noProof/>
              <w:sz w:val="22"/>
              <w:szCs w:val="22"/>
            </w:rPr>
          </w:pPr>
          <w:hyperlink w:anchor="_Toc93400256" w:history="1">
            <w:r w:rsidR="00BB25AB" w:rsidRPr="00694DCD">
              <w:rPr>
                <w:rStyle w:val="Hipervnculo"/>
                <w:noProof/>
                <w:lang w:val="es-ES"/>
              </w:rPr>
              <w:t>B.</w:t>
            </w:r>
            <w:r w:rsidR="00BB25AB">
              <w:rPr>
                <w:rFonts w:asciiTheme="minorHAnsi" w:eastAsiaTheme="minorEastAsia" w:hAnsiTheme="minorHAnsi" w:cstheme="minorBidi"/>
                <w:noProof/>
                <w:sz w:val="22"/>
                <w:szCs w:val="22"/>
              </w:rPr>
              <w:tab/>
            </w:r>
            <w:r w:rsidR="00BB25AB" w:rsidRPr="00694DCD">
              <w:rPr>
                <w:rStyle w:val="Hipervnculo"/>
                <w:noProof/>
                <w:lang w:val="es-ES"/>
              </w:rPr>
              <w:t>Consideraciones de la Corte</w:t>
            </w:r>
            <w:r w:rsidR="00BB25AB">
              <w:rPr>
                <w:noProof/>
                <w:webHidden/>
              </w:rPr>
              <w:tab/>
            </w:r>
            <w:r w:rsidR="00BB25AB">
              <w:rPr>
                <w:noProof/>
                <w:webHidden/>
              </w:rPr>
              <w:fldChar w:fldCharType="begin"/>
            </w:r>
            <w:r w:rsidR="00BB25AB">
              <w:rPr>
                <w:noProof/>
                <w:webHidden/>
              </w:rPr>
              <w:instrText xml:space="preserve"> PAGEREF _Toc93400256 \h </w:instrText>
            </w:r>
            <w:r w:rsidR="00BB25AB">
              <w:rPr>
                <w:noProof/>
                <w:webHidden/>
              </w:rPr>
            </w:r>
            <w:r w:rsidR="00BB25AB">
              <w:rPr>
                <w:noProof/>
                <w:webHidden/>
              </w:rPr>
              <w:fldChar w:fldCharType="separate"/>
            </w:r>
            <w:r w:rsidR="00470956">
              <w:rPr>
                <w:noProof/>
                <w:webHidden/>
              </w:rPr>
              <w:t>30</w:t>
            </w:r>
            <w:r w:rsidR="00BB25AB">
              <w:rPr>
                <w:noProof/>
                <w:webHidden/>
              </w:rPr>
              <w:fldChar w:fldCharType="end"/>
            </w:r>
          </w:hyperlink>
        </w:p>
        <w:p w14:paraId="18BD22AB" w14:textId="5316CC35" w:rsidR="00BB25AB" w:rsidRDefault="00256B85">
          <w:pPr>
            <w:pStyle w:val="TDC3"/>
            <w:rPr>
              <w:rFonts w:asciiTheme="minorHAnsi" w:eastAsiaTheme="minorEastAsia" w:hAnsiTheme="minorHAnsi" w:cstheme="minorBidi"/>
              <w:noProof/>
              <w:sz w:val="22"/>
              <w:szCs w:val="22"/>
            </w:rPr>
          </w:pPr>
          <w:hyperlink w:anchor="_Toc93400257" w:history="1">
            <w:r w:rsidR="00BB25AB" w:rsidRPr="00694DCD">
              <w:rPr>
                <w:rStyle w:val="Hipervnculo"/>
                <w:noProof/>
                <w:lang w:val="es-ES"/>
              </w:rPr>
              <w:t>b.1 Debida diligencia en la investigación y esclarecimiento de los hechos</w:t>
            </w:r>
            <w:r w:rsidR="00BB25AB">
              <w:rPr>
                <w:noProof/>
                <w:webHidden/>
              </w:rPr>
              <w:tab/>
            </w:r>
            <w:r w:rsidR="00BB25AB">
              <w:rPr>
                <w:noProof/>
                <w:webHidden/>
              </w:rPr>
              <w:fldChar w:fldCharType="begin"/>
            </w:r>
            <w:r w:rsidR="00BB25AB">
              <w:rPr>
                <w:noProof/>
                <w:webHidden/>
              </w:rPr>
              <w:instrText xml:space="preserve"> PAGEREF _Toc93400257 \h </w:instrText>
            </w:r>
            <w:r w:rsidR="00BB25AB">
              <w:rPr>
                <w:noProof/>
                <w:webHidden/>
              </w:rPr>
            </w:r>
            <w:r w:rsidR="00BB25AB">
              <w:rPr>
                <w:noProof/>
                <w:webHidden/>
              </w:rPr>
              <w:fldChar w:fldCharType="separate"/>
            </w:r>
            <w:r w:rsidR="00470956">
              <w:rPr>
                <w:noProof/>
                <w:webHidden/>
              </w:rPr>
              <w:t>32</w:t>
            </w:r>
            <w:r w:rsidR="00BB25AB">
              <w:rPr>
                <w:noProof/>
                <w:webHidden/>
              </w:rPr>
              <w:fldChar w:fldCharType="end"/>
            </w:r>
          </w:hyperlink>
        </w:p>
        <w:p w14:paraId="2AE7B83D" w14:textId="6B203908" w:rsidR="00BB25AB" w:rsidRDefault="00256B85">
          <w:pPr>
            <w:pStyle w:val="TDC3"/>
            <w:rPr>
              <w:rFonts w:asciiTheme="minorHAnsi" w:eastAsiaTheme="minorEastAsia" w:hAnsiTheme="minorHAnsi" w:cstheme="minorBidi"/>
              <w:noProof/>
              <w:sz w:val="22"/>
              <w:szCs w:val="22"/>
            </w:rPr>
          </w:pPr>
          <w:hyperlink w:anchor="_Toc93400258" w:history="1">
            <w:r w:rsidR="00BB25AB" w:rsidRPr="00694DCD">
              <w:rPr>
                <w:rStyle w:val="Hipervnculo"/>
                <w:noProof/>
                <w:lang w:val="es-ES"/>
              </w:rPr>
              <w:t>b.2 Utilización de estereotipos de género</w:t>
            </w:r>
            <w:r w:rsidR="00BB25AB">
              <w:rPr>
                <w:noProof/>
                <w:webHidden/>
              </w:rPr>
              <w:tab/>
            </w:r>
            <w:r w:rsidR="00BB25AB">
              <w:rPr>
                <w:noProof/>
                <w:webHidden/>
              </w:rPr>
              <w:fldChar w:fldCharType="begin"/>
            </w:r>
            <w:r w:rsidR="00BB25AB">
              <w:rPr>
                <w:noProof/>
                <w:webHidden/>
              </w:rPr>
              <w:instrText xml:space="preserve"> PAGEREF _Toc93400258 \h </w:instrText>
            </w:r>
            <w:r w:rsidR="00BB25AB">
              <w:rPr>
                <w:noProof/>
                <w:webHidden/>
              </w:rPr>
            </w:r>
            <w:r w:rsidR="00BB25AB">
              <w:rPr>
                <w:noProof/>
                <w:webHidden/>
              </w:rPr>
              <w:fldChar w:fldCharType="separate"/>
            </w:r>
            <w:r w:rsidR="00470956">
              <w:rPr>
                <w:noProof/>
                <w:webHidden/>
              </w:rPr>
              <w:t>38</w:t>
            </w:r>
            <w:r w:rsidR="00BB25AB">
              <w:rPr>
                <w:noProof/>
                <w:webHidden/>
              </w:rPr>
              <w:fldChar w:fldCharType="end"/>
            </w:r>
          </w:hyperlink>
        </w:p>
        <w:p w14:paraId="1693C5E4" w14:textId="2AD11D5C" w:rsidR="00BB25AB" w:rsidRDefault="00256B85">
          <w:pPr>
            <w:pStyle w:val="TDC3"/>
            <w:rPr>
              <w:rFonts w:asciiTheme="minorHAnsi" w:eastAsiaTheme="minorEastAsia" w:hAnsiTheme="minorHAnsi" w:cstheme="minorBidi"/>
              <w:noProof/>
              <w:sz w:val="22"/>
              <w:szCs w:val="22"/>
            </w:rPr>
          </w:pPr>
          <w:hyperlink w:anchor="_Toc93400259" w:history="1">
            <w:r w:rsidR="00BB25AB" w:rsidRPr="00694DCD">
              <w:rPr>
                <w:rStyle w:val="Hipervnculo"/>
                <w:noProof/>
                <w:lang w:val="es-ES"/>
              </w:rPr>
              <w:t>b.3 Plazo razonable</w:t>
            </w:r>
            <w:r w:rsidR="00BB25AB">
              <w:rPr>
                <w:noProof/>
                <w:webHidden/>
              </w:rPr>
              <w:tab/>
            </w:r>
            <w:r w:rsidR="00BB25AB">
              <w:rPr>
                <w:noProof/>
                <w:webHidden/>
              </w:rPr>
              <w:fldChar w:fldCharType="begin"/>
            </w:r>
            <w:r w:rsidR="00BB25AB">
              <w:rPr>
                <w:noProof/>
                <w:webHidden/>
              </w:rPr>
              <w:instrText xml:space="preserve"> PAGEREF _Toc93400259 \h </w:instrText>
            </w:r>
            <w:r w:rsidR="00BB25AB">
              <w:rPr>
                <w:noProof/>
                <w:webHidden/>
              </w:rPr>
            </w:r>
            <w:r w:rsidR="00BB25AB">
              <w:rPr>
                <w:noProof/>
                <w:webHidden/>
              </w:rPr>
              <w:fldChar w:fldCharType="separate"/>
            </w:r>
            <w:r w:rsidR="00470956">
              <w:rPr>
                <w:noProof/>
                <w:webHidden/>
              </w:rPr>
              <w:t>42</w:t>
            </w:r>
            <w:r w:rsidR="00BB25AB">
              <w:rPr>
                <w:noProof/>
                <w:webHidden/>
              </w:rPr>
              <w:fldChar w:fldCharType="end"/>
            </w:r>
          </w:hyperlink>
        </w:p>
        <w:p w14:paraId="3E1B8B7A" w14:textId="337FDBCA" w:rsidR="00BB25AB" w:rsidRDefault="00256B85">
          <w:pPr>
            <w:pStyle w:val="TDC3"/>
            <w:rPr>
              <w:rFonts w:asciiTheme="minorHAnsi" w:eastAsiaTheme="minorEastAsia" w:hAnsiTheme="minorHAnsi" w:cstheme="minorBidi"/>
              <w:noProof/>
              <w:sz w:val="22"/>
              <w:szCs w:val="22"/>
            </w:rPr>
          </w:pPr>
          <w:hyperlink w:anchor="_Toc93400260" w:history="1">
            <w:r w:rsidR="00BB25AB" w:rsidRPr="00694DCD">
              <w:rPr>
                <w:rStyle w:val="Hipervnculo"/>
                <w:noProof/>
                <w:lang w:val="es-ES"/>
              </w:rPr>
              <w:t>b.4 Afectación al derecho a la honra y dignidad de la señora Digna Ochoa</w:t>
            </w:r>
            <w:r w:rsidR="00BB25AB">
              <w:rPr>
                <w:noProof/>
                <w:webHidden/>
              </w:rPr>
              <w:tab/>
            </w:r>
            <w:r w:rsidR="00BB25AB">
              <w:rPr>
                <w:noProof/>
                <w:webHidden/>
              </w:rPr>
              <w:fldChar w:fldCharType="begin"/>
            </w:r>
            <w:r w:rsidR="00BB25AB">
              <w:rPr>
                <w:noProof/>
                <w:webHidden/>
              </w:rPr>
              <w:instrText xml:space="preserve"> PAGEREF _Toc93400260 \h </w:instrText>
            </w:r>
            <w:r w:rsidR="00BB25AB">
              <w:rPr>
                <w:noProof/>
                <w:webHidden/>
              </w:rPr>
            </w:r>
            <w:r w:rsidR="00BB25AB">
              <w:rPr>
                <w:noProof/>
                <w:webHidden/>
              </w:rPr>
              <w:fldChar w:fldCharType="separate"/>
            </w:r>
            <w:r w:rsidR="00470956">
              <w:rPr>
                <w:noProof/>
                <w:webHidden/>
              </w:rPr>
              <w:t>44</w:t>
            </w:r>
            <w:r w:rsidR="00BB25AB">
              <w:rPr>
                <w:noProof/>
                <w:webHidden/>
              </w:rPr>
              <w:fldChar w:fldCharType="end"/>
            </w:r>
          </w:hyperlink>
        </w:p>
        <w:p w14:paraId="41C2A462" w14:textId="0E838C22" w:rsidR="00BB25AB" w:rsidRDefault="00256B85">
          <w:pPr>
            <w:pStyle w:val="TDC3"/>
            <w:rPr>
              <w:rFonts w:asciiTheme="minorHAnsi" w:eastAsiaTheme="minorEastAsia" w:hAnsiTheme="minorHAnsi" w:cstheme="minorBidi"/>
              <w:noProof/>
              <w:sz w:val="22"/>
              <w:szCs w:val="22"/>
            </w:rPr>
          </w:pPr>
          <w:hyperlink w:anchor="_Toc93400261" w:history="1">
            <w:r w:rsidR="00BB25AB" w:rsidRPr="00694DCD">
              <w:rPr>
                <w:rStyle w:val="Hipervnculo"/>
                <w:noProof/>
                <w:lang w:val="es-ES"/>
              </w:rPr>
              <w:t>b.5 Afectación al derecho a la vida de la señora Digna Ochoa</w:t>
            </w:r>
            <w:r w:rsidR="00BB25AB">
              <w:rPr>
                <w:noProof/>
                <w:webHidden/>
              </w:rPr>
              <w:tab/>
            </w:r>
            <w:r w:rsidR="00BB25AB">
              <w:rPr>
                <w:noProof/>
                <w:webHidden/>
              </w:rPr>
              <w:fldChar w:fldCharType="begin"/>
            </w:r>
            <w:r w:rsidR="00BB25AB">
              <w:rPr>
                <w:noProof/>
                <w:webHidden/>
              </w:rPr>
              <w:instrText xml:space="preserve"> PAGEREF _Toc93400261 \h </w:instrText>
            </w:r>
            <w:r w:rsidR="00BB25AB">
              <w:rPr>
                <w:noProof/>
                <w:webHidden/>
              </w:rPr>
            </w:r>
            <w:r w:rsidR="00BB25AB">
              <w:rPr>
                <w:noProof/>
                <w:webHidden/>
              </w:rPr>
              <w:fldChar w:fldCharType="separate"/>
            </w:r>
            <w:r w:rsidR="00470956">
              <w:rPr>
                <w:noProof/>
                <w:webHidden/>
              </w:rPr>
              <w:t>45</w:t>
            </w:r>
            <w:r w:rsidR="00BB25AB">
              <w:rPr>
                <w:noProof/>
                <w:webHidden/>
              </w:rPr>
              <w:fldChar w:fldCharType="end"/>
            </w:r>
          </w:hyperlink>
        </w:p>
        <w:p w14:paraId="63290E01" w14:textId="105C76DE" w:rsidR="00BB25AB" w:rsidRDefault="00256B85">
          <w:pPr>
            <w:pStyle w:val="TDC3"/>
            <w:rPr>
              <w:rFonts w:asciiTheme="minorHAnsi" w:eastAsiaTheme="minorEastAsia" w:hAnsiTheme="minorHAnsi" w:cstheme="minorBidi"/>
              <w:noProof/>
              <w:sz w:val="22"/>
              <w:szCs w:val="22"/>
            </w:rPr>
          </w:pPr>
          <w:hyperlink w:anchor="_Toc93400262" w:history="1">
            <w:r w:rsidR="00BB25AB" w:rsidRPr="00694DCD">
              <w:rPr>
                <w:rStyle w:val="Hipervnculo"/>
                <w:noProof/>
                <w:lang w:val="es-ES"/>
              </w:rPr>
              <w:t>b.6 Conclusión</w:t>
            </w:r>
            <w:r w:rsidR="00BB25AB">
              <w:rPr>
                <w:noProof/>
                <w:webHidden/>
              </w:rPr>
              <w:tab/>
            </w:r>
            <w:r w:rsidR="00BB25AB">
              <w:rPr>
                <w:noProof/>
                <w:webHidden/>
              </w:rPr>
              <w:fldChar w:fldCharType="begin"/>
            </w:r>
            <w:r w:rsidR="00BB25AB">
              <w:rPr>
                <w:noProof/>
                <w:webHidden/>
              </w:rPr>
              <w:instrText xml:space="preserve"> PAGEREF _Toc93400262 \h </w:instrText>
            </w:r>
            <w:r w:rsidR="00BB25AB">
              <w:rPr>
                <w:noProof/>
                <w:webHidden/>
              </w:rPr>
            </w:r>
            <w:r w:rsidR="00BB25AB">
              <w:rPr>
                <w:noProof/>
                <w:webHidden/>
              </w:rPr>
              <w:fldChar w:fldCharType="separate"/>
            </w:r>
            <w:r w:rsidR="00470956">
              <w:rPr>
                <w:noProof/>
                <w:webHidden/>
              </w:rPr>
              <w:t>47</w:t>
            </w:r>
            <w:r w:rsidR="00BB25AB">
              <w:rPr>
                <w:noProof/>
                <w:webHidden/>
              </w:rPr>
              <w:fldChar w:fldCharType="end"/>
            </w:r>
          </w:hyperlink>
        </w:p>
        <w:p w14:paraId="390B245D" w14:textId="3C50899E" w:rsidR="00BB25AB" w:rsidRDefault="00256B85">
          <w:pPr>
            <w:pStyle w:val="TDC1"/>
            <w:rPr>
              <w:rFonts w:asciiTheme="minorHAnsi" w:eastAsiaTheme="minorEastAsia" w:hAnsiTheme="minorHAnsi" w:cstheme="minorBidi"/>
              <w:b w:val="0"/>
              <w:sz w:val="22"/>
              <w:szCs w:val="22"/>
            </w:rPr>
          </w:pPr>
          <w:hyperlink w:anchor="_Toc93400263" w:history="1">
            <w:r w:rsidR="00BB25AB" w:rsidRPr="00694DCD">
              <w:rPr>
                <w:rStyle w:val="Hipervnculo"/>
                <w:lang w:val="es-ES"/>
              </w:rPr>
              <w:t>IX REPARACIONES</w:t>
            </w:r>
            <w:r w:rsidR="00BB25AB">
              <w:rPr>
                <w:webHidden/>
              </w:rPr>
              <w:tab/>
            </w:r>
            <w:r w:rsidR="00BB25AB">
              <w:rPr>
                <w:webHidden/>
              </w:rPr>
              <w:fldChar w:fldCharType="begin"/>
            </w:r>
            <w:r w:rsidR="00BB25AB">
              <w:rPr>
                <w:webHidden/>
              </w:rPr>
              <w:instrText xml:space="preserve"> PAGEREF _Toc93400263 \h </w:instrText>
            </w:r>
            <w:r w:rsidR="00BB25AB">
              <w:rPr>
                <w:webHidden/>
              </w:rPr>
            </w:r>
            <w:r w:rsidR="00BB25AB">
              <w:rPr>
                <w:webHidden/>
              </w:rPr>
              <w:fldChar w:fldCharType="separate"/>
            </w:r>
            <w:r w:rsidR="00470956">
              <w:rPr>
                <w:webHidden/>
              </w:rPr>
              <w:t>47</w:t>
            </w:r>
            <w:r w:rsidR="00BB25AB">
              <w:rPr>
                <w:webHidden/>
              </w:rPr>
              <w:fldChar w:fldCharType="end"/>
            </w:r>
          </w:hyperlink>
        </w:p>
        <w:p w14:paraId="7B7EE21E" w14:textId="26DDF8EB" w:rsidR="00BB25AB" w:rsidRDefault="00256B85">
          <w:pPr>
            <w:pStyle w:val="TDC2"/>
            <w:rPr>
              <w:rFonts w:asciiTheme="minorHAnsi" w:eastAsiaTheme="minorEastAsia" w:hAnsiTheme="minorHAnsi" w:cstheme="minorBidi"/>
              <w:noProof/>
              <w:sz w:val="22"/>
              <w:szCs w:val="22"/>
            </w:rPr>
          </w:pPr>
          <w:hyperlink w:anchor="_Toc93400264" w:history="1">
            <w:r w:rsidR="00BB25AB" w:rsidRPr="00694DCD">
              <w:rPr>
                <w:rStyle w:val="Hipervnculo"/>
                <w:noProof/>
                <w:lang w:val="es-ES"/>
              </w:rPr>
              <w:t>A. Parte lesionada</w:t>
            </w:r>
            <w:r w:rsidR="00BB25AB">
              <w:rPr>
                <w:noProof/>
                <w:webHidden/>
              </w:rPr>
              <w:tab/>
            </w:r>
            <w:r w:rsidR="00BB25AB">
              <w:rPr>
                <w:noProof/>
                <w:webHidden/>
              </w:rPr>
              <w:fldChar w:fldCharType="begin"/>
            </w:r>
            <w:r w:rsidR="00BB25AB">
              <w:rPr>
                <w:noProof/>
                <w:webHidden/>
              </w:rPr>
              <w:instrText xml:space="preserve"> PAGEREF _Toc93400264 \h </w:instrText>
            </w:r>
            <w:r w:rsidR="00BB25AB">
              <w:rPr>
                <w:noProof/>
                <w:webHidden/>
              </w:rPr>
            </w:r>
            <w:r w:rsidR="00BB25AB">
              <w:rPr>
                <w:noProof/>
                <w:webHidden/>
              </w:rPr>
              <w:fldChar w:fldCharType="separate"/>
            </w:r>
            <w:r w:rsidR="00470956">
              <w:rPr>
                <w:noProof/>
                <w:webHidden/>
              </w:rPr>
              <w:t>48</w:t>
            </w:r>
            <w:r w:rsidR="00BB25AB">
              <w:rPr>
                <w:noProof/>
                <w:webHidden/>
              </w:rPr>
              <w:fldChar w:fldCharType="end"/>
            </w:r>
          </w:hyperlink>
        </w:p>
        <w:p w14:paraId="4DB58D09" w14:textId="27293BDF" w:rsidR="00BB25AB" w:rsidRDefault="00256B85">
          <w:pPr>
            <w:pStyle w:val="TDC2"/>
            <w:rPr>
              <w:rFonts w:asciiTheme="minorHAnsi" w:eastAsiaTheme="minorEastAsia" w:hAnsiTheme="minorHAnsi" w:cstheme="minorBidi"/>
              <w:noProof/>
              <w:sz w:val="22"/>
              <w:szCs w:val="22"/>
            </w:rPr>
          </w:pPr>
          <w:hyperlink w:anchor="_Toc93400265" w:history="1">
            <w:r w:rsidR="00BB25AB" w:rsidRPr="00694DCD">
              <w:rPr>
                <w:rStyle w:val="Hipervnculo"/>
                <w:noProof/>
                <w:lang w:val="es-ES"/>
              </w:rPr>
              <w:t>B. Investigación, determinación, enjuiciamiento y, en su caso, sanción de todos los responsables</w:t>
            </w:r>
            <w:r w:rsidR="00BB25AB">
              <w:rPr>
                <w:noProof/>
                <w:webHidden/>
              </w:rPr>
              <w:lastRenderedPageBreak/>
              <w:tab/>
            </w:r>
            <w:r w:rsidR="00BB25AB">
              <w:rPr>
                <w:noProof/>
                <w:webHidden/>
              </w:rPr>
              <w:fldChar w:fldCharType="begin"/>
            </w:r>
            <w:r w:rsidR="00BB25AB">
              <w:rPr>
                <w:noProof/>
                <w:webHidden/>
              </w:rPr>
              <w:instrText xml:space="preserve"> PAGEREF _Toc93400265 \h </w:instrText>
            </w:r>
            <w:r w:rsidR="00BB25AB">
              <w:rPr>
                <w:noProof/>
                <w:webHidden/>
              </w:rPr>
            </w:r>
            <w:r w:rsidR="00BB25AB">
              <w:rPr>
                <w:noProof/>
                <w:webHidden/>
              </w:rPr>
              <w:fldChar w:fldCharType="separate"/>
            </w:r>
            <w:r w:rsidR="00470956">
              <w:rPr>
                <w:noProof/>
                <w:webHidden/>
              </w:rPr>
              <w:t>48</w:t>
            </w:r>
            <w:r w:rsidR="00BB25AB">
              <w:rPr>
                <w:noProof/>
                <w:webHidden/>
              </w:rPr>
              <w:fldChar w:fldCharType="end"/>
            </w:r>
          </w:hyperlink>
        </w:p>
        <w:p w14:paraId="48F08117" w14:textId="7FEF3C2F" w:rsidR="00BB25AB" w:rsidRDefault="00256B85">
          <w:pPr>
            <w:pStyle w:val="TDC2"/>
            <w:rPr>
              <w:rFonts w:asciiTheme="minorHAnsi" w:eastAsiaTheme="minorEastAsia" w:hAnsiTheme="minorHAnsi" w:cstheme="minorBidi"/>
              <w:noProof/>
              <w:sz w:val="22"/>
              <w:szCs w:val="22"/>
            </w:rPr>
          </w:pPr>
          <w:hyperlink w:anchor="_Toc93400266" w:history="1">
            <w:r w:rsidR="00BB25AB" w:rsidRPr="00694DCD">
              <w:rPr>
                <w:rStyle w:val="Hipervnculo"/>
                <w:noProof/>
                <w:lang w:val="es-ES"/>
              </w:rPr>
              <w:t>C. Rehabilitación</w:t>
            </w:r>
            <w:r w:rsidR="00BB25AB">
              <w:rPr>
                <w:noProof/>
                <w:webHidden/>
              </w:rPr>
              <w:tab/>
            </w:r>
            <w:r w:rsidR="00BB25AB">
              <w:rPr>
                <w:noProof/>
                <w:webHidden/>
              </w:rPr>
              <w:fldChar w:fldCharType="begin"/>
            </w:r>
            <w:r w:rsidR="00BB25AB">
              <w:rPr>
                <w:noProof/>
                <w:webHidden/>
              </w:rPr>
              <w:instrText xml:space="preserve"> PAGEREF _Toc93400266 \h </w:instrText>
            </w:r>
            <w:r w:rsidR="00BB25AB">
              <w:rPr>
                <w:noProof/>
                <w:webHidden/>
              </w:rPr>
            </w:r>
            <w:r w:rsidR="00BB25AB">
              <w:rPr>
                <w:noProof/>
                <w:webHidden/>
              </w:rPr>
              <w:fldChar w:fldCharType="separate"/>
            </w:r>
            <w:r w:rsidR="00470956">
              <w:rPr>
                <w:noProof/>
                <w:webHidden/>
              </w:rPr>
              <w:t>49</w:t>
            </w:r>
            <w:r w:rsidR="00BB25AB">
              <w:rPr>
                <w:noProof/>
                <w:webHidden/>
              </w:rPr>
              <w:fldChar w:fldCharType="end"/>
            </w:r>
          </w:hyperlink>
        </w:p>
        <w:p w14:paraId="4D951BA2" w14:textId="0EF233F7" w:rsidR="00BB25AB" w:rsidRDefault="00256B85">
          <w:pPr>
            <w:pStyle w:val="TDC2"/>
            <w:rPr>
              <w:rFonts w:asciiTheme="minorHAnsi" w:eastAsiaTheme="minorEastAsia" w:hAnsiTheme="minorHAnsi" w:cstheme="minorBidi"/>
              <w:noProof/>
              <w:sz w:val="22"/>
              <w:szCs w:val="22"/>
            </w:rPr>
          </w:pPr>
          <w:hyperlink w:anchor="_Toc93400267" w:history="1">
            <w:r w:rsidR="00BB25AB" w:rsidRPr="00694DCD">
              <w:rPr>
                <w:rStyle w:val="Hipervnculo"/>
                <w:noProof/>
                <w:lang w:val="es-ES"/>
              </w:rPr>
              <w:t>D. Medidas de satisfacción</w:t>
            </w:r>
            <w:r w:rsidR="00BB25AB">
              <w:rPr>
                <w:noProof/>
                <w:webHidden/>
              </w:rPr>
              <w:tab/>
            </w:r>
            <w:r w:rsidR="00BB25AB">
              <w:rPr>
                <w:noProof/>
                <w:webHidden/>
              </w:rPr>
              <w:fldChar w:fldCharType="begin"/>
            </w:r>
            <w:r w:rsidR="00BB25AB">
              <w:rPr>
                <w:noProof/>
                <w:webHidden/>
              </w:rPr>
              <w:instrText xml:space="preserve"> PAGEREF _Toc93400267 \h </w:instrText>
            </w:r>
            <w:r w:rsidR="00BB25AB">
              <w:rPr>
                <w:noProof/>
                <w:webHidden/>
              </w:rPr>
            </w:r>
            <w:r w:rsidR="00BB25AB">
              <w:rPr>
                <w:noProof/>
                <w:webHidden/>
              </w:rPr>
              <w:fldChar w:fldCharType="separate"/>
            </w:r>
            <w:r w:rsidR="00470956">
              <w:rPr>
                <w:noProof/>
                <w:webHidden/>
              </w:rPr>
              <w:t>50</w:t>
            </w:r>
            <w:r w:rsidR="00BB25AB">
              <w:rPr>
                <w:noProof/>
                <w:webHidden/>
              </w:rPr>
              <w:fldChar w:fldCharType="end"/>
            </w:r>
          </w:hyperlink>
        </w:p>
        <w:p w14:paraId="6C51EC3E" w14:textId="35618C83" w:rsidR="00BB25AB" w:rsidRDefault="00256B85">
          <w:pPr>
            <w:pStyle w:val="TDC3"/>
            <w:rPr>
              <w:rFonts w:asciiTheme="minorHAnsi" w:eastAsiaTheme="minorEastAsia" w:hAnsiTheme="minorHAnsi" w:cstheme="minorBidi"/>
              <w:noProof/>
              <w:sz w:val="22"/>
              <w:szCs w:val="22"/>
            </w:rPr>
          </w:pPr>
          <w:hyperlink w:anchor="_Toc93400268" w:history="1">
            <w:r w:rsidR="00BB25AB" w:rsidRPr="00694DCD">
              <w:rPr>
                <w:rStyle w:val="Hipervnculo"/>
                <w:noProof/>
                <w:lang w:val="es-ES"/>
              </w:rPr>
              <w:t>d.1 Publicación y difusión de la Sentencia</w:t>
            </w:r>
            <w:r w:rsidR="00BB25AB">
              <w:rPr>
                <w:noProof/>
                <w:webHidden/>
              </w:rPr>
              <w:tab/>
            </w:r>
            <w:r w:rsidR="00BB25AB">
              <w:rPr>
                <w:noProof/>
                <w:webHidden/>
              </w:rPr>
              <w:fldChar w:fldCharType="begin"/>
            </w:r>
            <w:r w:rsidR="00BB25AB">
              <w:rPr>
                <w:noProof/>
                <w:webHidden/>
              </w:rPr>
              <w:instrText xml:space="preserve"> PAGEREF _Toc93400268 \h </w:instrText>
            </w:r>
            <w:r w:rsidR="00BB25AB">
              <w:rPr>
                <w:noProof/>
                <w:webHidden/>
              </w:rPr>
            </w:r>
            <w:r w:rsidR="00BB25AB">
              <w:rPr>
                <w:noProof/>
                <w:webHidden/>
              </w:rPr>
              <w:fldChar w:fldCharType="separate"/>
            </w:r>
            <w:r w:rsidR="00470956">
              <w:rPr>
                <w:noProof/>
                <w:webHidden/>
              </w:rPr>
              <w:t>50</w:t>
            </w:r>
            <w:r w:rsidR="00BB25AB">
              <w:rPr>
                <w:noProof/>
                <w:webHidden/>
              </w:rPr>
              <w:fldChar w:fldCharType="end"/>
            </w:r>
          </w:hyperlink>
        </w:p>
        <w:p w14:paraId="1DE0F0ED" w14:textId="7ECF6863" w:rsidR="00BB25AB" w:rsidRDefault="00256B85">
          <w:pPr>
            <w:pStyle w:val="TDC3"/>
            <w:rPr>
              <w:rFonts w:asciiTheme="minorHAnsi" w:eastAsiaTheme="minorEastAsia" w:hAnsiTheme="minorHAnsi" w:cstheme="minorBidi"/>
              <w:noProof/>
              <w:sz w:val="22"/>
              <w:szCs w:val="22"/>
            </w:rPr>
          </w:pPr>
          <w:hyperlink w:anchor="_Toc93400269" w:history="1">
            <w:r w:rsidR="00BB25AB" w:rsidRPr="00694DCD">
              <w:rPr>
                <w:rStyle w:val="Hipervnculo"/>
                <w:noProof/>
                <w:lang w:val="es-ES"/>
              </w:rPr>
              <w:t>d.2 Acto público de reconocimiento de responsabilidad</w:t>
            </w:r>
            <w:r w:rsidR="00BB25AB">
              <w:rPr>
                <w:noProof/>
                <w:webHidden/>
              </w:rPr>
              <w:tab/>
            </w:r>
            <w:r w:rsidR="00BB25AB">
              <w:rPr>
                <w:noProof/>
                <w:webHidden/>
              </w:rPr>
              <w:fldChar w:fldCharType="begin"/>
            </w:r>
            <w:r w:rsidR="00BB25AB">
              <w:rPr>
                <w:noProof/>
                <w:webHidden/>
              </w:rPr>
              <w:instrText xml:space="preserve"> PAGEREF _Toc93400269 \h </w:instrText>
            </w:r>
            <w:r w:rsidR="00BB25AB">
              <w:rPr>
                <w:noProof/>
                <w:webHidden/>
              </w:rPr>
            </w:r>
            <w:r w:rsidR="00BB25AB">
              <w:rPr>
                <w:noProof/>
                <w:webHidden/>
              </w:rPr>
              <w:fldChar w:fldCharType="separate"/>
            </w:r>
            <w:r w:rsidR="00470956">
              <w:rPr>
                <w:noProof/>
                <w:webHidden/>
              </w:rPr>
              <w:t>51</w:t>
            </w:r>
            <w:r w:rsidR="00BB25AB">
              <w:rPr>
                <w:noProof/>
                <w:webHidden/>
              </w:rPr>
              <w:fldChar w:fldCharType="end"/>
            </w:r>
          </w:hyperlink>
        </w:p>
        <w:p w14:paraId="598764E0" w14:textId="62BC0E10" w:rsidR="00BB25AB" w:rsidRDefault="00256B85">
          <w:pPr>
            <w:pStyle w:val="TDC2"/>
            <w:rPr>
              <w:rFonts w:asciiTheme="minorHAnsi" w:eastAsiaTheme="minorEastAsia" w:hAnsiTheme="minorHAnsi" w:cstheme="minorBidi"/>
              <w:noProof/>
              <w:sz w:val="22"/>
              <w:szCs w:val="22"/>
            </w:rPr>
          </w:pPr>
          <w:hyperlink w:anchor="_Toc93400270" w:history="1">
            <w:r w:rsidR="00BB25AB" w:rsidRPr="00694DCD">
              <w:rPr>
                <w:rStyle w:val="Hipervnculo"/>
                <w:noProof/>
                <w:lang w:val="es-ES"/>
              </w:rPr>
              <w:t>E. Garantías de no repetición</w:t>
            </w:r>
            <w:r w:rsidR="00BB25AB">
              <w:rPr>
                <w:noProof/>
                <w:webHidden/>
              </w:rPr>
              <w:tab/>
            </w:r>
            <w:r w:rsidR="00BB25AB">
              <w:rPr>
                <w:noProof/>
                <w:webHidden/>
              </w:rPr>
              <w:fldChar w:fldCharType="begin"/>
            </w:r>
            <w:r w:rsidR="00BB25AB">
              <w:rPr>
                <w:noProof/>
                <w:webHidden/>
              </w:rPr>
              <w:instrText xml:space="preserve"> PAGEREF _Toc93400270 \h </w:instrText>
            </w:r>
            <w:r w:rsidR="00BB25AB">
              <w:rPr>
                <w:noProof/>
                <w:webHidden/>
              </w:rPr>
            </w:r>
            <w:r w:rsidR="00BB25AB">
              <w:rPr>
                <w:noProof/>
                <w:webHidden/>
              </w:rPr>
              <w:fldChar w:fldCharType="separate"/>
            </w:r>
            <w:r w:rsidR="00470956">
              <w:rPr>
                <w:noProof/>
                <w:webHidden/>
              </w:rPr>
              <w:t>52</w:t>
            </w:r>
            <w:r w:rsidR="00BB25AB">
              <w:rPr>
                <w:noProof/>
                <w:webHidden/>
              </w:rPr>
              <w:fldChar w:fldCharType="end"/>
            </w:r>
          </w:hyperlink>
        </w:p>
        <w:p w14:paraId="3A35C8BB" w14:textId="27540FDB" w:rsidR="00BB25AB" w:rsidRDefault="00256B85">
          <w:pPr>
            <w:pStyle w:val="TDC2"/>
            <w:rPr>
              <w:rFonts w:asciiTheme="minorHAnsi" w:eastAsiaTheme="minorEastAsia" w:hAnsiTheme="minorHAnsi" w:cstheme="minorBidi"/>
              <w:noProof/>
              <w:sz w:val="22"/>
              <w:szCs w:val="22"/>
            </w:rPr>
          </w:pPr>
          <w:hyperlink w:anchor="_Toc93400271" w:history="1">
            <w:r w:rsidR="00BB25AB" w:rsidRPr="00694DCD">
              <w:rPr>
                <w:rStyle w:val="Hipervnculo"/>
                <w:noProof/>
                <w:lang w:val="es-ES"/>
              </w:rPr>
              <w:t>F. Indemnizaciones compensatorias</w:t>
            </w:r>
            <w:r w:rsidR="00BB25AB">
              <w:rPr>
                <w:noProof/>
                <w:webHidden/>
              </w:rPr>
              <w:tab/>
            </w:r>
            <w:r w:rsidR="00BB25AB">
              <w:rPr>
                <w:noProof/>
                <w:webHidden/>
              </w:rPr>
              <w:fldChar w:fldCharType="begin"/>
            </w:r>
            <w:r w:rsidR="00BB25AB">
              <w:rPr>
                <w:noProof/>
                <w:webHidden/>
              </w:rPr>
              <w:instrText xml:space="preserve"> PAGEREF _Toc93400271 \h </w:instrText>
            </w:r>
            <w:r w:rsidR="00BB25AB">
              <w:rPr>
                <w:noProof/>
                <w:webHidden/>
              </w:rPr>
            </w:r>
            <w:r w:rsidR="00BB25AB">
              <w:rPr>
                <w:noProof/>
                <w:webHidden/>
              </w:rPr>
              <w:fldChar w:fldCharType="separate"/>
            </w:r>
            <w:r w:rsidR="00470956">
              <w:rPr>
                <w:noProof/>
                <w:webHidden/>
              </w:rPr>
              <w:t>56</w:t>
            </w:r>
            <w:r w:rsidR="00BB25AB">
              <w:rPr>
                <w:noProof/>
                <w:webHidden/>
              </w:rPr>
              <w:fldChar w:fldCharType="end"/>
            </w:r>
          </w:hyperlink>
        </w:p>
        <w:p w14:paraId="3C62823A" w14:textId="3066AF50" w:rsidR="00BB25AB" w:rsidRDefault="00256B85">
          <w:pPr>
            <w:pStyle w:val="TDC2"/>
            <w:rPr>
              <w:rFonts w:asciiTheme="minorHAnsi" w:eastAsiaTheme="minorEastAsia" w:hAnsiTheme="minorHAnsi" w:cstheme="minorBidi"/>
              <w:noProof/>
              <w:sz w:val="22"/>
              <w:szCs w:val="22"/>
            </w:rPr>
          </w:pPr>
          <w:hyperlink w:anchor="_Toc93400272" w:history="1">
            <w:r w:rsidR="00BB25AB" w:rsidRPr="00694DCD">
              <w:rPr>
                <w:rStyle w:val="Hipervnculo"/>
                <w:noProof/>
                <w:lang w:val="es-ES"/>
              </w:rPr>
              <w:t>H. Costas y gastos</w:t>
            </w:r>
            <w:r w:rsidR="00BB25AB">
              <w:rPr>
                <w:noProof/>
                <w:webHidden/>
              </w:rPr>
              <w:tab/>
            </w:r>
            <w:r w:rsidR="00BB25AB">
              <w:rPr>
                <w:noProof/>
                <w:webHidden/>
              </w:rPr>
              <w:fldChar w:fldCharType="begin"/>
            </w:r>
            <w:r w:rsidR="00BB25AB">
              <w:rPr>
                <w:noProof/>
                <w:webHidden/>
              </w:rPr>
              <w:instrText xml:space="preserve"> PAGEREF _Toc93400272 \h </w:instrText>
            </w:r>
            <w:r w:rsidR="00BB25AB">
              <w:rPr>
                <w:noProof/>
                <w:webHidden/>
              </w:rPr>
            </w:r>
            <w:r w:rsidR="00BB25AB">
              <w:rPr>
                <w:noProof/>
                <w:webHidden/>
              </w:rPr>
              <w:fldChar w:fldCharType="separate"/>
            </w:r>
            <w:r w:rsidR="00470956">
              <w:rPr>
                <w:noProof/>
                <w:webHidden/>
              </w:rPr>
              <w:t>57</w:t>
            </w:r>
            <w:r w:rsidR="00BB25AB">
              <w:rPr>
                <w:noProof/>
                <w:webHidden/>
              </w:rPr>
              <w:fldChar w:fldCharType="end"/>
            </w:r>
          </w:hyperlink>
        </w:p>
        <w:p w14:paraId="2A2AD22C" w14:textId="3C284314" w:rsidR="00BB25AB" w:rsidRDefault="00256B85">
          <w:pPr>
            <w:pStyle w:val="TDC2"/>
            <w:rPr>
              <w:rFonts w:asciiTheme="minorHAnsi" w:eastAsiaTheme="minorEastAsia" w:hAnsiTheme="minorHAnsi" w:cstheme="minorBidi"/>
              <w:noProof/>
              <w:sz w:val="22"/>
              <w:szCs w:val="22"/>
            </w:rPr>
          </w:pPr>
          <w:hyperlink w:anchor="_Toc93400273" w:history="1">
            <w:r w:rsidR="00BB25AB" w:rsidRPr="00694DCD">
              <w:rPr>
                <w:rStyle w:val="Hipervnculo"/>
                <w:noProof/>
                <w:lang w:val="es-ES"/>
              </w:rPr>
              <w:t>I. Reintegro de los gastos al Fondo de Asistencia Legal de Víctimas de la Corte Interamericana</w:t>
            </w:r>
            <w:r w:rsidR="00BB25AB">
              <w:rPr>
                <w:noProof/>
                <w:webHidden/>
              </w:rPr>
              <w:tab/>
            </w:r>
            <w:r w:rsidR="00BB25AB">
              <w:rPr>
                <w:noProof/>
                <w:webHidden/>
              </w:rPr>
              <w:fldChar w:fldCharType="begin"/>
            </w:r>
            <w:r w:rsidR="00BB25AB">
              <w:rPr>
                <w:noProof/>
                <w:webHidden/>
              </w:rPr>
              <w:instrText xml:space="preserve"> PAGEREF _Toc93400273 \h </w:instrText>
            </w:r>
            <w:r w:rsidR="00BB25AB">
              <w:rPr>
                <w:noProof/>
                <w:webHidden/>
              </w:rPr>
            </w:r>
            <w:r w:rsidR="00BB25AB">
              <w:rPr>
                <w:noProof/>
                <w:webHidden/>
              </w:rPr>
              <w:fldChar w:fldCharType="separate"/>
            </w:r>
            <w:r w:rsidR="00470956">
              <w:rPr>
                <w:noProof/>
                <w:webHidden/>
              </w:rPr>
              <w:t>59</w:t>
            </w:r>
            <w:r w:rsidR="00BB25AB">
              <w:rPr>
                <w:noProof/>
                <w:webHidden/>
              </w:rPr>
              <w:fldChar w:fldCharType="end"/>
            </w:r>
          </w:hyperlink>
        </w:p>
        <w:p w14:paraId="47CDB96D" w14:textId="381A6B6B" w:rsidR="00BB25AB" w:rsidRDefault="00256B85">
          <w:pPr>
            <w:pStyle w:val="TDC2"/>
            <w:rPr>
              <w:rFonts w:asciiTheme="minorHAnsi" w:eastAsiaTheme="minorEastAsia" w:hAnsiTheme="minorHAnsi" w:cstheme="minorBidi"/>
              <w:noProof/>
              <w:sz w:val="22"/>
              <w:szCs w:val="22"/>
            </w:rPr>
          </w:pPr>
          <w:hyperlink w:anchor="_Toc93400274" w:history="1">
            <w:r w:rsidR="00BB25AB" w:rsidRPr="00694DCD">
              <w:rPr>
                <w:rStyle w:val="Hipervnculo"/>
                <w:noProof/>
                <w:lang w:val="es-ES"/>
              </w:rPr>
              <w:t>J. Modalidad de cumplimiento de los pagos ordenados</w:t>
            </w:r>
            <w:r w:rsidR="00BB25AB">
              <w:rPr>
                <w:noProof/>
                <w:webHidden/>
              </w:rPr>
              <w:tab/>
            </w:r>
            <w:r w:rsidR="00BB25AB">
              <w:rPr>
                <w:noProof/>
                <w:webHidden/>
              </w:rPr>
              <w:fldChar w:fldCharType="begin"/>
            </w:r>
            <w:r w:rsidR="00BB25AB">
              <w:rPr>
                <w:noProof/>
                <w:webHidden/>
              </w:rPr>
              <w:instrText xml:space="preserve"> PAGEREF _Toc93400274 \h </w:instrText>
            </w:r>
            <w:r w:rsidR="00BB25AB">
              <w:rPr>
                <w:noProof/>
                <w:webHidden/>
              </w:rPr>
            </w:r>
            <w:r w:rsidR="00BB25AB">
              <w:rPr>
                <w:noProof/>
                <w:webHidden/>
              </w:rPr>
              <w:fldChar w:fldCharType="separate"/>
            </w:r>
            <w:r w:rsidR="00470956">
              <w:rPr>
                <w:noProof/>
                <w:webHidden/>
              </w:rPr>
              <w:t>59</w:t>
            </w:r>
            <w:r w:rsidR="00BB25AB">
              <w:rPr>
                <w:noProof/>
                <w:webHidden/>
              </w:rPr>
              <w:fldChar w:fldCharType="end"/>
            </w:r>
          </w:hyperlink>
        </w:p>
        <w:p w14:paraId="3A4F6377" w14:textId="5B4AECBE" w:rsidR="00BB25AB" w:rsidRDefault="00256B85">
          <w:pPr>
            <w:pStyle w:val="TDC1"/>
            <w:rPr>
              <w:rFonts w:asciiTheme="minorHAnsi" w:eastAsiaTheme="minorEastAsia" w:hAnsiTheme="minorHAnsi" w:cstheme="minorBidi"/>
              <w:b w:val="0"/>
              <w:sz w:val="22"/>
              <w:szCs w:val="22"/>
            </w:rPr>
          </w:pPr>
          <w:hyperlink w:anchor="_Toc93400275" w:history="1">
            <w:r w:rsidR="00BB25AB" w:rsidRPr="00694DCD">
              <w:rPr>
                <w:rStyle w:val="Hipervnculo"/>
                <w:lang w:val="es-ES"/>
              </w:rPr>
              <w:t>X PUNTOS RESOLUTIVOS</w:t>
            </w:r>
            <w:r w:rsidR="00BB25AB">
              <w:rPr>
                <w:webHidden/>
              </w:rPr>
              <w:tab/>
            </w:r>
            <w:r w:rsidR="00BB25AB">
              <w:rPr>
                <w:webHidden/>
              </w:rPr>
              <w:fldChar w:fldCharType="begin"/>
            </w:r>
            <w:r w:rsidR="00BB25AB">
              <w:rPr>
                <w:webHidden/>
              </w:rPr>
              <w:instrText xml:space="preserve"> PAGEREF _Toc93400275 \h </w:instrText>
            </w:r>
            <w:r w:rsidR="00BB25AB">
              <w:rPr>
                <w:webHidden/>
              </w:rPr>
            </w:r>
            <w:r w:rsidR="00BB25AB">
              <w:rPr>
                <w:webHidden/>
              </w:rPr>
              <w:fldChar w:fldCharType="separate"/>
            </w:r>
            <w:r w:rsidR="00470956">
              <w:rPr>
                <w:webHidden/>
              </w:rPr>
              <w:t>60</w:t>
            </w:r>
            <w:r w:rsidR="00BB25AB">
              <w:rPr>
                <w:webHidden/>
              </w:rPr>
              <w:fldChar w:fldCharType="end"/>
            </w:r>
          </w:hyperlink>
        </w:p>
        <w:p w14:paraId="0D479082" w14:textId="158BAB64" w:rsidR="00616A72" w:rsidRPr="004F2666" w:rsidRDefault="00616A72" w:rsidP="00D213E1">
          <w:pPr>
            <w:tabs>
              <w:tab w:val="left" w:pos="993"/>
            </w:tabs>
            <w:spacing w:line="240" w:lineRule="auto"/>
            <w:rPr>
              <w:lang w:val="es-ES"/>
            </w:rPr>
          </w:pPr>
          <w:r w:rsidRPr="004F2666">
            <w:rPr>
              <w:b/>
              <w:bCs/>
              <w:noProof/>
              <w:sz w:val="19"/>
              <w:szCs w:val="19"/>
              <w:lang w:val="es-ES"/>
            </w:rPr>
            <w:fldChar w:fldCharType="end"/>
          </w:r>
        </w:p>
      </w:sdtContent>
    </w:sdt>
    <w:p w14:paraId="20F37CC1" w14:textId="77777777" w:rsidR="00E87467" w:rsidRDefault="00E87467">
      <w:pPr>
        <w:widowControl/>
        <w:adjustRightInd/>
        <w:spacing w:after="160" w:line="259" w:lineRule="auto"/>
        <w:jc w:val="left"/>
        <w:textAlignment w:val="auto"/>
        <w:rPr>
          <w:rFonts w:cs="Verdana"/>
          <w:b/>
          <w:bCs/>
          <w:caps/>
          <w:snapToGrid w:val="0"/>
          <w:lang w:val="es-ES"/>
        </w:rPr>
      </w:pPr>
      <w:r>
        <w:rPr>
          <w:lang w:val="es-ES"/>
        </w:rPr>
        <w:br w:type="page"/>
      </w:r>
    </w:p>
    <w:p w14:paraId="52DD7457" w14:textId="41602836" w:rsidR="00935AEC" w:rsidRPr="004F2666" w:rsidRDefault="00616A72" w:rsidP="008E0797">
      <w:pPr>
        <w:pStyle w:val="Ttulo1"/>
        <w:rPr>
          <w:lang w:val="es-ES"/>
        </w:rPr>
      </w:pPr>
      <w:bookmarkStart w:id="4" w:name="_Toc93400225"/>
      <w:r w:rsidRPr="004F2666">
        <w:rPr>
          <w:lang w:val="es-ES"/>
        </w:rPr>
        <w:lastRenderedPageBreak/>
        <w:t>I</w:t>
      </w:r>
      <w:r w:rsidRPr="004F2666">
        <w:rPr>
          <w:lang w:val="es-ES"/>
        </w:rPr>
        <w:br/>
        <w:t>INTRODUCCIÓN DE LA CAUSA Y OBJETO DE LA CONTROVERSIA</w:t>
      </w:r>
      <w:bookmarkEnd w:id="4"/>
    </w:p>
    <w:p w14:paraId="10E403C9" w14:textId="7C9BB101" w:rsidR="00D81D4E" w:rsidRPr="004F2666" w:rsidRDefault="002B61D0" w:rsidP="002750E0">
      <w:pPr>
        <w:tabs>
          <w:tab w:val="left" w:pos="567"/>
          <w:tab w:val="num" w:pos="12305"/>
        </w:tabs>
        <w:spacing w:line="240" w:lineRule="auto"/>
        <w:rPr>
          <w:rFonts w:cs="Arial"/>
          <w:lang w:val="es-ES"/>
        </w:rPr>
      </w:pPr>
      <w:r>
        <w:rPr>
          <w:i/>
          <w:lang w:val="es-ES"/>
        </w:rPr>
        <w:t xml:space="preserve">       </w:t>
      </w:r>
    </w:p>
    <w:p w14:paraId="7E0988C7" w14:textId="5B5D5CB2" w:rsidR="00094EE8" w:rsidRPr="00B709B2" w:rsidRDefault="00094EE8" w:rsidP="00B709B2">
      <w:pPr>
        <w:numPr>
          <w:ilvl w:val="0"/>
          <w:numId w:val="4"/>
        </w:numPr>
        <w:tabs>
          <w:tab w:val="left" w:pos="567"/>
          <w:tab w:val="num" w:pos="1569"/>
          <w:tab w:val="num" w:pos="12305"/>
        </w:tabs>
        <w:spacing w:line="240" w:lineRule="auto"/>
        <w:ind w:left="0" w:firstLine="0"/>
        <w:rPr>
          <w:lang w:val="es-ES"/>
        </w:rPr>
      </w:pPr>
      <w:bookmarkStart w:id="5" w:name="_Ref15466599"/>
      <w:r w:rsidRPr="004F2666">
        <w:rPr>
          <w:i/>
          <w:lang w:val="es-ES"/>
        </w:rPr>
        <w:t xml:space="preserve">El caso sometido a la Corte. </w:t>
      </w:r>
      <w:r w:rsidRPr="004F2666">
        <w:rPr>
          <w:lang w:val="es-ES"/>
        </w:rPr>
        <w:t xml:space="preserve">– El 2 de octubre de 2019 la Comisión Interamericana de Derechos Humanos (en adelante “la Comisión Interamericana” o “la Comisión”) sometió a la </w:t>
      </w:r>
      <w:r w:rsidRPr="00B709B2">
        <w:rPr>
          <w:i/>
          <w:lang w:val="es-ES"/>
        </w:rPr>
        <w:t>jurisdicción</w:t>
      </w:r>
      <w:r w:rsidRPr="004F2666">
        <w:rPr>
          <w:lang w:val="es-ES"/>
        </w:rPr>
        <w:t xml:space="preserve"> de la Corte el caso “</w:t>
      </w:r>
      <w:r w:rsidRPr="004F2666">
        <w:rPr>
          <w:i/>
          <w:lang w:val="es-ES"/>
        </w:rPr>
        <w:t>Familiares de Digna Ochoa y Plácido Vs. México</w:t>
      </w:r>
      <w:r w:rsidRPr="004F2666">
        <w:rPr>
          <w:lang w:val="es-ES"/>
        </w:rPr>
        <w:t xml:space="preserve">” (en adelante “el Estado” o “México”). De acuerdo con lo indicado por la Comisión, el caso se relaciona con la </w:t>
      </w:r>
      <w:r w:rsidR="00C52E25">
        <w:rPr>
          <w:lang w:val="es-ES"/>
        </w:rPr>
        <w:t xml:space="preserve">alegada </w:t>
      </w:r>
      <w:r w:rsidRPr="004F2666">
        <w:rPr>
          <w:lang w:val="es-ES"/>
        </w:rPr>
        <w:t xml:space="preserve">existencia de irregularidades graves en la investigación de la muerte de la defensora de derechos humanos </w:t>
      </w:r>
      <w:r w:rsidRPr="00AD29EF">
        <w:rPr>
          <w:lang w:val="es-ES"/>
        </w:rPr>
        <w:t>Digna Ochoa y Plácido</w:t>
      </w:r>
      <w:r w:rsidRPr="004F2666">
        <w:rPr>
          <w:lang w:val="es-ES"/>
        </w:rPr>
        <w:t xml:space="preserve"> </w:t>
      </w:r>
      <w:r w:rsidR="00AD29EF">
        <w:rPr>
          <w:lang w:val="es-ES"/>
        </w:rPr>
        <w:t xml:space="preserve">(en adelante </w:t>
      </w:r>
      <w:r w:rsidR="00C52E25">
        <w:rPr>
          <w:lang w:val="es-ES"/>
        </w:rPr>
        <w:t>“</w:t>
      </w:r>
      <w:r w:rsidR="00AD29EF">
        <w:rPr>
          <w:lang w:val="es-ES"/>
        </w:rPr>
        <w:t>Digna Ochoa</w:t>
      </w:r>
      <w:r w:rsidR="00C52E25">
        <w:rPr>
          <w:lang w:val="es-ES"/>
        </w:rPr>
        <w:t>”</w:t>
      </w:r>
      <w:r w:rsidR="00AD29EF">
        <w:rPr>
          <w:lang w:val="es-ES"/>
        </w:rPr>
        <w:t xml:space="preserve">), </w:t>
      </w:r>
      <w:r w:rsidR="00C52E25">
        <w:rPr>
          <w:lang w:val="es-ES"/>
        </w:rPr>
        <w:t xml:space="preserve">ocurrida </w:t>
      </w:r>
      <w:r w:rsidRPr="004F2666">
        <w:rPr>
          <w:lang w:val="es-ES"/>
        </w:rPr>
        <w:t>el 19 de octubre de 2001. Añadió que su muerte se inserta</w:t>
      </w:r>
      <w:r w:rsidR="00C52E25">
        <w:rPr>
          <w:lang w:val="es-ES"/>
        </w:rPr>
        <w:t>ría</w:t>
      </w:r>
      <w:r w:rsidRPr="004F2666">
        <w:rPr>
          <w:lang w:val="es-ES"/>
        </w:rPr>
        <w:t xml:space="preserve"> en un contexto de hostigamientos y ataques en contra de personas defensoras de derechos humanos en México. En </w:t>
      </w:r>
      <w:r w:rsidRPr="00FD0A31">
        <w:rPr>
          <w:lang w:val="es-ES"/>
        </w:rPr>
        <w:t>consecuencia</w:t>
      </w:r>
      <w:r w:rsidRPr="004F2666">
        <w:rPr>
          <w:lang w:val="es-ES"/>
        </w:rPr>
        <w:t xml:space="preserve">, </w:t>
      </w:r>
      <w:r w:rsidR="00B709B2">
        <w:rPr>
          <w:rFonts w:cs="Arial"/>
          <w:lang w:val="es-ES"/>
        </w:rPr>
        <w:t>l</w:t>
      </w:r>
      <w:r w:rsidR="00B709B2" w:rsidRPr="00B709B2">
        <w:rPr>
          <w:rFonts w:cs="Arial"/>
          <w:lang w:val="es-ES"/>
        </w:rPr>
        <w:t>a Comisión concluyó que el Estado era responsable por la violación de los derechos a la protección judicial y a las garantías judiciales, establecidos en los artículos 8.1 y 25 de la Convención Americana en relación con las obligaciones establecidas en el artículo 1.1 del mismo instrumento, así como del derecho a la integridad personal establecido en el artículo 5.1 de la Convención Americana en relación con el artículo 1.1 del mismo instrumento, en perjuicio de los familiares de Digna Ochoa y Plácido.</w:t>
      </w:r>
    </w:p>
    <w:p w14:paraId="0B9F5F50" w14:textId="3026B797" w:rsidR="00B709B2" w:rsidRDefault="00B709B2" w:rsidP="00B709B2">
      <w:pPr>
        <w:tabs>
          <w:tab w:val="left" w:pos="567"/>
        </w:tabs>
        <w:spacing w:line="240" w:lineRule="auto"/>
        <w:rPr>
          <w:rFonts w:cs="Arial"/>
          <w:lang w:val="es-ES"/>
        </w:rPr>
      </w:pPr>
    </w:p>
    <w:p w14:paraId="40201649" w14:textId="2CF99658" w:rsidR="00094EE8" w:rsidRPr="004F2666" w:rsidRDefault="00094EE8" w:rsidP="00094EE8">
      <w:pPr>
        <w:tabs>
          <w:tab w:val="left" w:pos="567"/>
          <w:tab w:val="num" w:pos="12305"/>
        </w:tabs>
        <w:spacing w:line="240" w:lineRule="auto"/>
        <w:rPr>
          <w:lang w:val="es-ES"/>
        </w:rPr>
      </w:pPr>
    </w:p>
    <w:p w14:paraId="36AA8F84" w14:textId="78A07E74"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Trámite ante la Comisión.</w:t>
      </w:r>
      <w:r w:rsidRPr="004F2666">
        <w:rPr>
          <w:lang w:val="es-ES"/>
        </w:rPr>
        <w:t xml:space="preserve"> – El trámite ante la Comisión fue el siguiente:</w:t>
      </w:r>
      <w:bookmarkEnd w:id="5"/>
    </w:p>
    <w:p w14:paraId="48507D31" w14:textId="77777777" w:rsidR="00616A72" w:rsidRPr="004F2666" w:rsidRDefault="00616A72" w:rsidP="00616A72">
      <w:pPr>
        <w:pStyle w:val="Prrafodelista"/>
        <w:spacing w:line="240" w:lineRule="auto"/>
        <w:rPr>
          <w:lang w:val="es-ES"/>
        </w:rPr>
      </w:pPr>
    </w:p>
    <w:p w14:paraId="52DF8A28" w14:textId="3DAF1579" w:rsidR="00616A72" w:rsidRPr="0039044A" w:rsidRDefault="00616A72" w:rsidP="00BB668C">
      <w:pPr>
        <w:pStyle w:val="Prrafodelista"/>
        <w:widowControl/>
        <w:numPr>
          <w:ilvl w:val="0"/>
          <w:numId w:val="5"/>
        </w:numPr>
        <w:adjustRightInd/>
        <w:spacing w:line="240" w:lineRule="auto"/>
        <w:textAlignment w:val="auto"/>
        <w:rPr>
          <w:lang w:val="es-ES"/>
        </w:rPr>
      </w:pPr>
      <w:r w:rsidRPr="00094861">
        <w:rPr>
          <w:i/>
          <w:lang w:val="es-ES"/>
        </w:rPr>
        <w:t xml:space="preserve">Petición. </w:t>
      </w:r>
      <w:r w:rsidRPr="00094861">
        <w:rPr>
          <w:lang w:val="es-ES"/>
        </w:rPr>
        <w:t xml:space="preserve">– El </w:t>
      </w:r>
      <w:r w:rsidR="002750E0" w:rsidRPr="00094861">
        <w:rPr>
          <w:lang w:val="es-ES"/>
        </w:rPr>
        <w:t>2</w:t>
      </w:r>
      <w:r w:rsidRPr="00094861">
        <w:rPr>
          <w:lang w:val="es-ES"/>
        </w:rPr>
        <w:t xml:space="preserve"> de </w:t>
      </w:r>
      <w:r w:rsidR="002750E0" w:rsidRPr="00094861">
        <w:rPr>
          <w:lang w:val="es-ES"/>
        </w:rPr>
        <w:t>noviembre</w:t>
      </w:r>
      <w:r w:rsidRPr="00094861">
        <w:rPr>
          <w:lang w:val="es-ES"/>
        </w:rPr>
        <w:t xml:space="preserve"> de </w:t>
      </w:r>
      <w:r w:rsidR="002750E0" w:rsidRPr="00094861">
        <w:rPr>
          <w:lang w:val="es-ES"/>
        </w:rPr>
        <w:t xml:space="preserve">1999 </w:t>
      </w:r>
      <w:r w:rsidR="00183EC9">
        <w:rPr>
          <w:lang w:val="es-ES"/>
        </w:rPr>
        <w:t>las representantes</w:t>
      </w:r>
      <w:r w:rsidR="00AD6B70">
        <w:rPr>
          <w:rStyle w:val="Refdenotaalpie"/>
          <w:lang w:val="es-ES"/>
        </w:rPr>
        <w:footnoteReference w:id="2"/>
      </w:r>
      <w:r w:rsidR="002750E0" w:rsidRPr="00094861">
        <w:rPr>
          <w:lang w:val="es-ES"/>
        </w:rPr>
        <w:t xml:space="preserve"> </w:t>
      </w:r>
      <w:r w:rsidRPr="00094861">
        <w:rPr>
          <w:lang w:val="es-ES"/>
        </w:rPr>
        <w:t>(en adelante “</w:t>
      </w:r>
      <w:r w:rsidR="002750E0" w:rsidRPr="00094861">
        <w:rPr>
          <w:lang w:val="es-ES"/>
        </w:rPr>
        <w:t>l</w:t>
      </w:r>
      <w:r w:rsidR="00FB2F3C">
        <w:rPr>
          <w:lang w:val="es-ES"/>
        </w:rPr>
        <w:t>a</w:t>
      </w:r>
      <w:r w:rsidR="002750E0" w:rsidRPr="00094861">
        <w:rPr>
          <w:lang w:val="es-ES"/>
        </w:rPr>
        <w:t>s peticionari</w:t>
      </w:r>
      <w:r w:rsidR="00FB2F3C">
        <w:rPr>
          <w:lang w:val="es-ES"/>
        </w:rPr>
        <w:t>a</w:t>
      </w:r>
      <w:r w:rsidR="002750E0" w:rsidRPr="00094861">
        <w:rPr>
          <w:lang w:val="es-ES"/>
        </w:rPr>
        <w:t>s</w:t>
      </w:r>
      <w:r w:rsidRPr="00094861">
        <w:rPr>
          <w:lang w:val="es-ES"/>
        </w:rPr>
        <w:t xml:space="preserve">”) </w:t>
      </w:r>
      <w:r w:rsidR="002750E0" w:rsidRPr="00094861">
        <w:rPr>
          <w:lang w:val="es-ES"/>
        </w:rPr>
        <w:t>presentaron</w:t>
      </w:r>
      <w:r w:rsidRPr="00094861">
        <w:rPr>
          <w:lang w:val="es-ES"/>
        </w:rPr>
        <w:t xml:space="preserve"> la petición inicial ante la Comisión.</w:t>
      </w:r>
      <w:r w:rsidRPr="00094861">
        <w:rPr>
          <w:b/>
          <w:lang w:val="es-ES"/>
        </w:rPr>
        <w:t xml:space="preserve"> </w:t>
      </w:r>
    </w:p>
    <w:p w14:paraId="6BFE90D6" w14:textId="77777777" w:rsidR="0039044A" w:rsidRPr="0039044A" w:rsidRDefault="0039044A" w:rsidP="0039044A">
      <w:pPr>
        <w:pStyle w:val="Prrafodelista"/>
        <w:widowControl/>
        <w:adjustRightInd/>
        <w:spacing w:line="240" w:lineRule="auto"/>
        <w:ind w:left="720"/>
        <w:textAlignment w:val="auto"/>
        <w:rPr>
          <w:lang w:val="es-ES"/>
        </w:rPr>
      </w:pPr>
    </w:p>
    <w:p w14:paraId="2B82B898" w14:textId="7BFA61C2" w:rsidR="0039044A" w:rsidRPr="00D51095" w:rsidRDefault="0039044A" w:rsidP="0039044A">
      <w:pPr>
        <w:pStyle w:val="Prrafodelista"/>
        <w:widowControl/>
        <w:numPr>
          <w:ilvl w:val="0"/>
          <w:numId w:val="5"/>
        </w:numPr>
        <w:adjustRightInd/>
        <w:spacing w:line="240" w:lineRule="auto"/>
        <w:textAlignment w:val="auto"/>
      </w:pPr>
      <w:r w:rsidRPr="00D51095">
        <w:rPr>
          <w:i/>
          <w:lang w:val="es-ES"/>
        </w:rPr>
        <w:t>Medidas cautelares adoptadas por la Comisión y medidas provisionales adoptadas por la Corte.</w:t>
      </w:r>
      <w:r w:rsidRPr="00D51095">
        <w:rPr>
          <w:lang w:val="es-ES"/>
        </w:rPr>
        <w:t xml:space="preserve"> </w:t>
      </w:r>
      <w:r w:rsidR="00AD6B70" w:rsidRPr="00094861">
        <w:rPr>
          <w:lang w:val="es-ES"/>
        </w:rPr>
        <w:t>–</w:t>
      </w:r>
      <w:r w:rsidR="00F83939">
        <w:rPr>
          <w:lang w:val="es-ES"/>
        </w:rPr>
        <w:t xml:space="preserve"> </w:t>
      </w:r>
      <w:r w:rsidRPr="00D51095">
        <w:rPr>
          <w:lang w:val="es-ES"/>
        </w:rPr>
        <w:t>Con anterioridad a la presentación de la petición inicial, e</w:t>
      </w:r>
      <w:r w:rsidRPr="00D51095">
        <w:t xml:space="preserve">l 9 de septiembre de 1999, la Comisión otorgó medidas cautelares y solicitó al Estado la adopción de medidas concretas, con carácter urgente, a efectos de la protección de la vida e integridad física de Digna Ochoa y Plácido, </w:t>
      </w:r>
      <w:r w:rsidRPr="00D51095">
        <w:rPr>
          <w:lang w:val="es-ES"/>
        </w:rPr>
        <w:t>Edgar</w:t>
      </w:r>
      <w:r w:rsidRPr="00D51095">
        <w:t xml:space="preserve"> </w:t>
      </w:r>
      <w:proofErr w:type="spellStart"/>
      <w:r w:rsidRPr="00D51095">
        <w:t>Cortéz</w:t>
      </w:r>
      <w:proofErr w:type="spellEnd"/>
      <w:r w:rsidRPr="00D51095">
        <w:t xml:space="preserve"> Morales y los miembros del Centro </w:t>
      </w:r>
      <w:proofErr w:type="spellStart"/>
      <w:r w:rsidRPr="00D51095">
        <w:t>ProDH</w:t>
      </w:r>
      <w:proofErr w:type="spellEnd"/>
      <w:r w:rsidRPr="00D51095">
        <w:t xml:space="preserve">, organización donde trabajaba la </w:t>
      </w:r>
      <w:r w:rsidR="001F344D">
        <w:t>señora Digna Ochoa</w:t>
      </w:r>
      <w:r w:rsidRPr="00D51095">
        <w:t xml:space="preserve">. El 11 de noviembre de 1999 la Comisión solicitó medidas provisionales ante la Corte, las cuales fueron otorgadas el 17 de noviembre de </w:t>
      </w:r>
      <w:r w:rsidRPr="00D51095">
        <w:rPr>
          <w:lang w:val="es-ES"/>
        </w:rPr>
        <w:t>1999</w:t>
      </w:r>
      <w:r w:rsidR="00AD6B70">
        <w:rPr>
          <w:rStyle w:val="Refdenotaalpie"/>
          <w:lang w:val="es-ES"/>
        </w:rPr>
        <w:footnoteReference w:id="3"/>
      </w:r>
      <w:r w:rsidRPr="00D51095">
        <w:rPr>
          <w:lang w:val="es-ES"/>
        </w:rPr>
        <w:t xml:space="preserve">. El Tribunal requirió al Estado adoptar cuantas medidas fueran necesarias para proteger la vida e integridad de la </w:t>
      </w:r>
      <w:r w:rsidR="001F344D">
        <w:rPr>
          <w:lang w:val="es-ES"/>
        </w:rPr>
        <w:t>señora Digna Ochoa</w:t>
      </w:r>
      <w:r w:rsidRPr="00D51095">
        <w:rPr>
          <w:lang w:val="es-ES"/>
        </w:rPr>
        <w:t xml:space="preserve"> y de otros miembros del Centro </w:t>
      </w:r>
      <w:proofErr w:type="spellStart"/>
      <w:r w:rsidRPr="00D51095">
        <w:rPr>
          <w:lang w:val="es-ES"/>
        </w:rPr>
        <w:t>ProDH</w:t>
      </w:r>
      <w:proofErr w:type="spellEnd"/>
      <w:r w:rsidRPr="00D51095">
        <w:rPr>
          <w:lang w:val="es-ES"/>
        </w:rPr>
        <w:t>. E</w:t>
      </w:r>
      <w:r w:rsidRPr="00D51095">
        <w:t xml:space="preserve">l 28 de agosto de 2001, con base en la solicitud de levantamiento de medidas realizada por el Estado y la anuencia de </w:t>
      </w:r>
      <w:r w:rsidR="00183EC9" w:rsidRPr="00D51095">
        <w:t>las representantes</w:t>
      </w:r>
      <w:r w:rsidRPr="00D51095">
        <w:t xml:space="preserve"> y la Comisión, la Corte levantó dichas medidas provisionales</w:t>
      </w:r>
      <w:r w:rsidR="00AD6B70">
        <w:rPr>
          <w:rStyle w:val="Refdenotaalpie"/>
        </w:rPr>
        <w:footnoteReference w:id="4"/>
      </w:r>
      <w:r w:rsidRPr="00D51095">
        <w:t>.</w:t>
      </w:r>
    </w:p>
    <w:p w14:paraId="64C3F3B3" w14:textId="77777777" w:rsidR="00616A72" w:rsidRPr="004F2666" w:rsidRDefault="00616A72" w:rsidP="00616A72">
      <w:pPr>
        <w:widowControl/>
        <w:adjustRightInd/>
        <w:spacing w:line="240" w:lineRule="auto"/>
        <w:textAlignment w:val="auto"/>
        <w:rPr>
          <w:highlight w:val="yellow"/>
          <w:lang w:val="es-ES"/>
        </w:rPr>
      </w:pPr>
    </w:p>
    <w:p w14:paraId="4C690BB1" w14:textId="6948CCAB" w:rsidR="00616A72" w:rsidRPr="004F2666" w:rsidRDefault="00616A72" w:rsidP="00BB668C">
      <w:pPr>
        <w:pStyle w:val="Prrafodelista"/>
        <w:widowControl/>
        <w:numPr>
          <w:ilvl w:val="0"/>
          <w:numId w:val="5"/>
        </w:numPr>
        <w:adjustRightInd/>
        <w:spacing w:line="240" w:lineRule="auto"/>
        <w:textAlignment w:val="auto"/>
        <w:rPr>
          <w:lang w:val="es-ES"/>
        </w:rPr>
      </w:pPr>
      <w:r w:rsidRPr="004F2666">
        <w:rPr>
          <w:i/>
          <w:lang w:val="es-ES"/>
        </w:rPr>
        <w:t>Informe de admisibilidad.</w:t>
      </w:r>
      <w:r w:rsidRPr="004F2666">
        <w:rPr>
          <w:lang w:val="es-ES"/>
        </w:rPr>
        <w:t xml:space="preserve"> </w:t>
      </w:r>
      <w:r w:rsidR="009B1A98" w:rsidRPr="004F2666">
        <w:rPr>
          <w:lang w:val="es-ES"/>
        </w:rPr>
        <w:t>–</w:t>
      </w:r>
      <w:r w:rsidRPr="004F2666">
        <w:rPr>
          <w:lang w:val="es-ES"/>
        </w:rPr>
        <w:t xml:space="preserve"> El </w:t>
      </w:r>
      <w:r w:rsidR="002750E0" w:rsidRPr="004F2666">
        <w:rPr>
          <w:lang w:val="es-ES"/>
        </w:rPr>
        <w:t>16</w:t>
      </w:r>
      <w:r w:rsidRPr="004F2666">
        <w:rPr>
          <w:lang w:val="es-ES"/>
        </w:rPr>
        <w:t xml:space="preserve"> de </w:t>
      </w:r>
      <w:r w:rsidR="002750E0" w:rsidRPr="004F2666">
        <w:rPr>
          <w:lang w:val="es-ES"/>
        </w:rPr>
        <w:t>julio</w:t>
      </w:r>
      <w:r w:rsidRPr="004F2666">
        <w:rPr>
          <w:lang w:val="es-ES"/>
        </w:rPr>
        <w:t xml:space="preserve"> de </w:t>
      </w:r>
      <w:r w:rsidR="002750E0" w:rsidRPr="004F2666">
        <w:rPr>
          <w:lang w:val="es-ES"/>
        </w:rPr>
        <w:t>2013</w:t>
      </w:r>
      <w:r w:rsidRPr="004F2666">
        <w:rPr>
          <w:lang w:val="es-ES"/>
        </w:rPr>
        <w:t xml:space="preserve"> la Comisión aprobó el Informe de Admisibilidad No. </w:t>
      </w:r>
      <w:r w:rsidR="002750E0" w:rsidRPr="004F2666">
        <w:rPr>
          <w:lang w:val="es-ES"/>
        </w:rPr>
        <w:t>57</w:t>
      </w:r>
      <w:r w:rsidRPr="004F2666">
        <w:rPr>
          <w:lang w:val="es-ES"/>
        </w:rPr>
        <w:t>/</w:t>
      </w:r>
      <w:r w:rsidR="002750E0" w:rsidRPr="004F2666">
        <w:rPr>
          <w:lang w:val="es-ES"/>
        </w:rPr>
        <w:t>13</w:t>
      </w:r>
      <w:r w:rsidRPr="004F2666">
        <w:rPr>
          <w:lang w:val="es-ES"/>
        </w:rPr>
        <w:t>, en el que concluyó que la petición era admisible</w:t>
      </w:r>
      <w:r w:rsidR="00700CB1" w:rsidRPr="004F2666">
        <w:rPr>
          <w:lang w:val="es-ES"/>
        </w:rPr>
        <w:t xml:space="preserve"> con relación a los artículos 5, 8 y 25 de la Convención Americana e inadmisible con relación a los artículos 2,4, 7 y 11 del mismo instrumento, </w:t>
      </w:r>
      <w:r w:rsidR="00837235" w:rsidRPr="004F2666">
        <w:rPr>
          <w:lang w:val="es-ES"/>
        </w:rPr>
        <w:t xml:space="preserve">así </w:t>
      </w:r>
      <w:r w:rsidR="00700CB1" w:rsidRPr="004F2666">
        <w:rPr>
          <w:lang w:val="es-ES"/>
        </w:rPr>
        <w:t>como los artículos 1, 2 y 3 de la Convención Interamericana para Prevenir y Sancionar la Tortura</w:t>
      </w:r>
      <w:r w:rsidRPr="004F2666">
        <w:rPr>
          <w:lang w:val="es-ES"/>
        </w:rPr>
        <w:t xml:space="preserve">. </w:t>
      </w:r>
    </w:p>
    <w:p w14:paraId="74F27431" w14:textId="77777777" w:rsidR="00616A72" w:rsidRPr="004F2666" w:rsidRDefault="00616A72" w:rsidP="00616A72">
      <w:pPr>
        <w:spacing w:line="240" w:lineRule="auto"/>
        <w:rPr>
          <w:lang w:val="es-ES"/>
        </w:rPr>
      </w:pPr>
    </w:p>
    <w:p w14:paraId="1460756A" w14:textId="0608A4A3" w:rsidR="00616A72" w:rsidRPr="004F2666" w:rsidRDefault="00616A72" w:rsidP="00BB668C">
      <w:pPr>
        <w:pStyle w:val="Prrafodelista"/>
        <w:widowControl/>
        <w:numPr>
          <w:ilvl w:val="0"/>
          <w:numId w:val="5"/>
        </w:numPr>
        <w:adjustRightInd/>
        <w:spacing w:line="240" w:lineRule="auto"/>
        <w:textAlignment w:val="auto"/>
        <w:rPr>
          <w:lang w:val="es-ES"/>
        </w:rPr>
      </w:pPr>
      <w:r w:rsidRPr="004F2666">
        <w:rPr>
          <w:i/>
          <w:lang w:val="es-ES"/>
        </w:rPr>
        <w:lastRenderedPageBreak/>
        <w:t>Informe de Fondo.</w:t>
      </w:r>
      <w:r w:rsidRPr="004F2666">
        <w:rPr>
          <w:lang w:val="es-ES"/>
        </w:rPr>
        <w:t xml:space="preserve"> – El </w:t>
      </w:r>
      <w:r w:rsidR="00837235" w:rsidRPr="004F2666">
        <w:rPr>
          <w:lang w:val="es-ES"/>
        </w:rPr>
        <w:t>4</w:t>
      </w:r>
      <w:r w:rsidRPr="004F2666">
        <w:rPr>
          <w:lang w:val="es-ES"/>
        </w:rPr>
        <w:t xml:space="preserve"> de </w:t>
      </w:r>
      <w:r w:rsidR="00837235" w:rsidRPr="004F2666">
        <w:rPr>
          <w:lang w:val="es-ES"/>
        </w:rPr>
        <w:t>mayo</w:t>
      </w:r>
      <w:r w:rsidRPr="004F2666">
        <w:rPr>
          <w:lang w:val="es-ES"/>
        </w:rPr>
        <w:t xml:space="preserve"> de </w:t>
      </w:r>
      <w:r w:rsidR="00837235" w:rsidRPr="004F2666">
        <w:rPr>
          <w:lang w:val="es-ES"/>
        </w:rPr>
        <w:t>2019</w:t>
      </w:r>
      <w:r w:rsidRPr="004F2666">
        <w:rPr>
          <w:lang w:val="es-ES"/>
        </w:rPr>
        <w:t xml:space="preserve"> la </w:t>
      </w:r>
      <w:r w:rsidR="00837235" w:rsidRPr="004F2666">
        <w:rPr>
          <w:lang w:val="es-ES"/>
        </w:rPr>
        <w:t>Comisión</w:t>
      </w:r>
      <w:r w:rsidRPr="004F2666">
        <w:rPr>
          <w:lang w:val="es-ES"/>
        </w:rPr>
        <w:t xml:space="preserve"> aprobó el Informe de Fondo No. </w:t>
      </w:r>
      <w:r w:rsidR="00700CB1" w:rsidRPr="004F2666">
        <w:rPr>
          <w:lang w:val="es-ES"/>
        </w:rPr>
        <w:t>61</w:t>
      </w:r>
      <w:r w:rsidRPr="004F2666">
        <w:rPr>
          <w:lang w:val="es-ES"/>
        </w:rPr>
        <w:t>/</w:t>
      </w:r>
      <w:r w:rsidR="00700CB1" w:rsidRPr="004F2666">
        <w:rPr>
          <w:lang w:val="es-ES"/>
        </w:rPr>
        <w:t>19</w:t>
      </w:r>
      <w:r w:rsidRPr="004F2666">
        <w:rPr>
          <w:lang w:val="es-ES"/>
        </w:rPr>
        <w:t xml:space="preserve">, de conformidad con el artículo 50 de la Convención (en adelante también “el Informe de Fondo” o “el Informe No. </w:t>
      </w:r>
      <w:r w:rsidR="00700CB1" w:rsidRPr="004F2666">
        <w:rPr>
          <w:lang w:val="es-ES"/>
        </w:rPr>
        <w:t>61</w:t>
      </w:r>
      <w:r w:rsidRPr="004F2666">
        <w:rPr>
          <w:lang w:val="es-ES"/>
        </w:rPr>
        <w:t>/</w:t>
      </w:r>
      <w:r w:rsidR="00700CB1" w:rsidRPr="004F2666">
        <w:rPr>
          <w:lang w:val="es-ES"/>
        </w:rPr>
        <w:t>19</w:t>
      </w:r>
      <w:r w:rsidRPr="004F2666">
        <w:rPr>
          <w:lang w:val="es-ES"/>
        </w:rPr>
        <w:t>”), en el cual llegó a una serie de conclusiones</w:t>
      </w:r>
      <w:r w:rsidRPr="004F2666">
        <w:rPr>
          <w:rStyle w:val="Refdenotaalpie"/>
          <w:lang w:val="es-ES"/>
        </w:rPr>
        <w:footnoteReference w:id="5"/>
      </w:r>
      <w:r w:rsidRPr="004F2666">
        <w:rPr>
          <w:lang w:val="es-ES"/>
        </w:rPr>
        <w:t>, y formuló varias recomendaciones al Estado</w:t>
      </w:r>
      <w:r w:rsidR="00837235" w:rsidRPr="004F2666">
        <w:rPr>
          <w:rStyle w:val="Refdenotaalpie"/>
          <w:vertAlign w:val="baseline"/>
          <w:lang w:val="es-ES"/>
        </w:rPr>
        <w:t>.</w:t>
      </w:r>
    </w:p>
    <w:p w14:paraId="53850F7D" w14:textId="77777777" w:rsidR="00616A72" w:rsidRPr="004F2666" w:rsidRDefault="00616A72" w:rsidP="00616A72">
      <w:pPr>
        <w:pStyle w:val="Prrafodelista"/>
        <w:widowControl/>
        <w:adjustRightInd/>
        <w:spacing w:line="240" w:lineRule="auto"/>
        <w:ind w:left="720"/>
        <w:textAlignment w:val="auto"/>
        <w:rPr>
          <w:lang w:val="es-ES"/>
        </w:rPr>
      </w:pPr>
    </w:p>
    <w:p w14:paraId="32B02027" w14:textId="449A9E28" w:rsidR="00616A72" w:rsidRPr="004F2666" w:rsidRDefault="00616A72" w:rsidP="00BB668C">
      <w:pPr>
        <w:widowControl/>
        <w:numPr>
          <w:ilvl w:val="0"/>
          <w:numId w:val="5"/>
        </w:numPr>
        <w:tabs>
          <w:tab w:val="left" w:pos="567"/>
          <w:tab w:val="num" w:pos="1569"/>
          <w:tab w:val="num" w:pos="12305"/>
        </w:tabs>
        <w:adjustRightInd/>
        <w:spacing w:line="240" w:lineRule="auto"/>
        <w:textAlignment w:val="auto"/>
        <w:rPr>
          <w:lang w:val="es-ES"/>
        </w:rPr>
      </w:pPr>
      <w:r w:rsidRPr="004F2666">
        <w:rPr>
          <w:i/>
          <w:lang w:val="es-ES"/>
        </w:rPr>
        <w:t>Notificación al Estado.</w:t>
      </w:r>
      <w:r w:rsidRPr="004F2666">
        <w:rPr>
          <w:lang w:val="es-ES"/>
        </w:rPr>
        <w:t xml:space="preserve"> – El Informe de Fondo fue notificado al Estado el </w:t>
      </w:r>
      <w:r w:rsidR="00FB2F3C">
        <w:rPr>
          <w:lang w:val="es-ES"/>
        </w:rPr>
        <w:t>2</w:t>
      </w:r>
      <w:r w:rsidRPr="004F2666">
        <w:rPr>
          <w:lang w:val="es-ES"/>
        </w:rPr>
        <w:t xml:space="preserve"> de </w:t>
      </w:r>
      <w:r w:rsidR="00FB2F3C">
        <w:rPr>
          <w:lang w:val="es-ES"/>
        </w:rPr>
        <w:t>julio</w:t>
      </w:r>
      <w:r w:rsidRPr="004F2666">
        <w:rPr>
          <w:lang w:val="es-ES"/>
        </w:rPr>
        <w:t xml:space="preserve"> de 2019. </w:t>
      </w:r>
      <w:r w:rsidR="00700CB1" w:rsidRPr="004F2666">
        <w:rPr>
          <w:lang w:val="es-ES"/>
        </w:rPr>
        <w:t xml:space="preserve">El Estado mexicano dio respuesta al Informe de Fondo el 24 de septiembre de 2019 e indicó su voluntad de cumplir las recomendaciones. No obstante, </w:t>
      </w:r>
      <w:r w:rsidR="00094EE8" w:rsidRPr="004F2666">
        <w:rPr>
          <w:lang w:val="es-ES"/>
        </w:rPr>
        <w:t xml:space="preserve">según </w:t>
      </w:r>
      <w:r w:rsidR="00FB2F3C">
        <w:rPr>
          <w:lang w:val="es-ES"/>
        </w:rPr>
        <w:t xml:space="preserve">lo indicado por </w:t>
      </w:r>
      <w:r w:rsidR="00700CB1" w:rsidRPr="004F2666">
        <w:rPr>
          <w:lang w:val="es-ES"/>
        </w:rPr>
        <w:t>la Comisión</w:t>
      </w:r>
      <w:r w:rsidR="00FB2F3C">
        <w:rPr>
          <w:lang w:val="es-ES"/>
        </w:rPr>
        <w:t>,</w:t>
      </w:r>
      <w:r w:rsidR="00700CB1" w:rsidRPr="004F2666">
        <w:rPr>
          <w:lang w:val="es-ES"/>
        </w:rPr>
        <w:t xml:space="preserve"> el Estado no presentó avances en relación con el cumplimiento de dichas recomendaciones, ni s</w:t>
      </w:r>
      <w:r w:rsidR="002942EC">
        <w:rPr>
          <w:lang w:val="es-ES"/>
        </w:rPr>
        <w:t>olicitó la prórroga para el envío</w:t>
      </w:r>
      <w:r w:rsidR="00700CB1" w:rsidRPr="004F2666">
        <w:rPr>
          <w:lang w:val="es-ES"/>
        </w:rPr>
        <w:t xml:space="preserve"> del caso a la </w:t>
      </w:r>
      <w:r w:rsidR="00094EE8" w:rsidRPr="004F2666">
        <w:rPr>
          <w:lang w:val="es-ES"/>
        </w:rPr>
        <w:t>C</w:t>
      </w:r>
      <w:r w:rsidR="00700CB1" w:rsidRPr="004F2666">
        <w:rPr>
          <w:lang w:val="es-ES"/>
        </w:rPr>
        <w:t xml:space="preserve">orte. </w:t>
      </w:r>
    </w:p>
    <w:p w14:paraId="29CE47AB" w14:textId="77777777" w:rsidR="00616A72" w:rsidRPr="004F2666" w:rsidRDefault="00616A72" w:rsidP="00616A72">
      <w:pPr>
        <w:pStyle w:val="Prrafodelista"/>
        <w:spacing w:line="240" w:lineRule="auto"/>
        <w:rPr>
          <w:highlight w:val="yellow"/>
          <w:lang w:val="es-ES"/>
        </w:rPr>
      </w:pPr>
    </w:p>
    <w:p w14:paraId="69A03A3E" w14:textId="59EB678A"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Sometimiento a la Corte.</w:t>
      </w:r>
      <w:r w:rsidRPr="004F2666">
        <w:rPr>
          <w:lang w:val="es-ES"/>
        </w:rPr>
        <w:t xml:space="preserve"> – </w:t>
      </w:r>
      <w:r w:rsidR="00700CB1" w:rsidRPr="004F2666">
        <w:rPr>
          <w:lang w:val="es-ES"/>
        </w:rPr>
        <w:t>A la vista de lo anterior, e</w:t>
      </w:r>
      <w:r w:rsidRPr="004F2666">
        <w:rPr>
          <w:lang w:val="es-ES"/>
        </w:rPr>
        <w:t xml:space="preserve">l </w:t>
      </w:r>
      <w:r w:rsidR="00FB2F3C">
        <w:rPr>
          <w:lang w:val="es-ES"/>
        </w:rPr>
        <w:t>2</w:t>
      </w:r>
      <w:r w:rsidRPr="004F2666">
        <w:rPr>
          <w:lang w:val="es-ES"/>
        </w:rPr>
        <w:t xml:space="preserve"> de </w:t>
      </w:r>
      <w:r w:rsidR="00FB2F3C">
        <w:rPr>
          <w:lang w:val="es-ES"/>
        </w:rPr>
        <w:t>octubre</w:t>
      </w:r>
      <w:r w:rsidRPr="004F2666">
        <w:rPr>
          <w:lang w:val="es-ES"/>
        </w:rPr>
        <w:t xml:space="preserve"> de 2019 la Comisión sometió a la jurisdicción de la Corte Interamericana la totalidad de los hechos y violaciones de derechos humanos descritos en el informe de fondo “ante la necesidad de obtención de justicia y reparación”</w:t>
      </w:r>
      <w:r w:rsidRPr="004F2666">
        <w:rPr>
          <w:rStyle w:val="Refdenotaalpie"/>
          <w:lang w:val="es-ES"/>
        </w:rPr>
        <w:footnoteReference w:id="6"/>
      </w:r>
      <w:r w:rsidRPr="004F2666">
        <w:rPr>
          <w:lang w:val="es-ES"/>
        </w:rPr>
        <w:t>.</w:t>
      </w:r>
      <w:r w:rsidR="00700CB1" w:rsidRPr="004F2666">
        <w:rPr>
          <w:lang w:val="es-ES"/>
        </w:rPr>
        <w:t xml:space="preserve"> </w:t>
      </w:r>
    </w:p>
    <w:p w14:paraId="42E75588" w14:textId="77777777" w:rsidR="00616A72" w:rsidRPr="004F2666" w:rsidRDefault="00616A72" w:rsidP="00616A72">
      <w:pPr>
        <w:tabs>
          <w:tab w:val="left" w:pos="567"/>
        </w:tabs>
        <w:spacing w:line="240" w:lineRule="auto"/>
        <w:rPr>
          <w:lang w:val="es-ES"/>
        </w:rPr>
      </w:pPr>
    </w:p>
    <w:p w14:paraId="3FC929A8" w14:textId="1BA5DCB0"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 xml:space="preserve">Solicitudes de la Comisión Interamericana. </w:t>
      </w:r>
      <w:r w:rsidRPr="004F2666">
        <w:rPr>
          <w:lang w:val="es-ES"/>
        </w:rPr>
        <w:t>– Con base en lo anterior, la Comisión solicitó a la Corte que declarara la responsabilidad internacional del Estado por las mismas violaciones señaladas en su Informe de Fondo (</w:t>
      </w:r>
      <w:r w:rsidRPr="004F2666">
        <w:rPr>
          <w:i/>
          <w:lang w:val="es-ES"/>
        </w:rPr>
        <w:t xml:space="preserve">supra </w:t>
      </w:r>
      <w:r w:rsidRPr="004F2666">
        <w:rPr>
          <w:lang w:val="es-ES"/>
        </w:rPr>
        <w:t xml:space="preserve">párr. 2.c). Asimismo, la Comisión solicitó a la Corte que ordenara al Estado medidas de reparación, las cuales se detallan y analizan en el Capítulo </w:t>
      </w:r>
      <w:r w:rsidR="00FB2F3C">
        <w:rPr>
          <w:lang w:val="es-ES"/>
        </w:rPr>
        <w:t>I</w:t>
      </w:r>
      <w:r w:rsidR="000A2A50">
        <w:rPr>
          <w:lang w:val="es-ES"/>
        </w:rPr>
        <w:t>X</w:t>
      </w:r>
      <w:r w:rsidRPr="004F2666">
        <w:rPr>
          <w:lang w:val="es-ES"/>
        </w:rPr>
        <w:t xml:space="preserve"> de la presente Sentencia.</w:t>
      </w:r>
      <w:r w:rsidR="008E330C" w:rsidRPr="004F2666">
        <w:t xml:space="preserve"> </w:t>
      </w:r>
      <w:r w:rsidR="008E330C" w:rsidRPr="004F2666">
        <w:rPr>
          <w:lang w:val="es-ES"/>
        </w:rPr>
        <w:t>Este Tribunal nota</w:t>
      </w:r>
      <w:r w:rsidR="00FC7D0E" w:rsidRPr="004F2666">
        <w:rPr>
          <w:lang w:val="es-ES"/>
        </w:rPr>
        <w:t xml:space="preserve"> con preocupación</w:t>
      </w:r>
      <w:r w:rsidR="008E330C" w:rsidRPr="004F2666">
        <w:rPr>
          <w:lang w:val="es-ES"/>
        </w:rPr>
        <w:t xml:space="preserve"> que, entre la </w:t>
      </w:r>
      <w:proofErr w:type="spellStart"/>
      <w:r w:rsidR="008E330C" w:rsidRPr="004F2666">
        <w:rPr>
          <w:lang w:val="es-ES"/>
        </w:rPr>
        <w:t>presentación</w:t>
      </w:r>
      <w:proofErr w:type="spellEnd"/>
      <w:r w:rsidR="008E330C" w:rsidRPr="004F2666">
        <w:rPr>
          <w:lang w:val="es-ES"/>
        </w:rPr>
        <w:t xml:space="preserve"> de la </w:t>
      </w:r>
      <w:proofErr w:type="spellStart"/>
      <w:r w:rsidR="008E330C" w:rsidRPr="004F2666">
        <w:rPr>
          <w:lang w:val="es-ES"/>
        </w:rPr>
        <w:t>petición</w:t>
      </w:r>
      <w:proofErr w:type="spellEnd"/>
      <w:r w:rsidR="008E330C" w:rsidRPr="004F2666">
        <w:rPr>
          <w:lang w:val="es-ES"/>
        </w:rPr>
        <w:t xml:space="preserve"> inicial ante la </w:t>
      </w:r>
      <w:proofErr w:type="spellStart"/>
      <w:r w:rsidR="008E330C" w:rsidRPr="004F2666">
        <w:rPr>
          <w:lang w:val="es-ES"/>
        </w:rPr>
        <w:t>Comisión</w:t>
      </w:r>
      <w:proofErr w:type="spellEnd"/>
      <w:r w:rsidR="008E330C" w:rsidRPr="004F2666">
        <w:rPr>
          <w:lang w:val="es-ES"/>
        </w:rPr>
        <w:t xml:space="preserve"> y el sometimiento del caso ante la Corte, han transcurrido </w:t>
      </w:r>
      <w:r w:rsidR="00094EE8" w:rsidRPr="004F2666">
        <w:rPr>
          <w:lang w:val="es-ES"/>
        </w:rPr>
        <w:t>casi</w:t>
      </w:r>
      <w:r w:rsidR="008E330C" w:rsidRPr="004F2666">
        <w:rPr>
          <w:lang w:val="es-ES"/>
        </w:rPr>
        <w:t xml:space="preserve"> veinte </w:t>
      </w:r>
      <w:proofErr w:type="spellStart"/>
      <w:r w:rsidR="008E330C" w:rsidRPr="004F2666">
        <w:rPr>
          <w:lang w:val="es-ES"/>
        </w:rPr>
        <w:t>años</w:t>
      </w:r>
      <w:proofErr w:type="spellEnd"/>
      <w:r w:rsidR="008E330C" w:rsidRPr="004F2666">
        <w:rPr>
          <w:lang w:val="es-ES"/>
        </w:rPr>
        <w:t>.</w:t>
      </w:r>
      <w:r w:rsidR="00094EE8" w:rsidRPr="004F2666">
        <w:rPr>
          <w:lang w:val="es-ES"/>
        </w:rPr>
        <w:t xml:space="preserve"> </w:t>
      </w:r>
    </w:p>
    <w:p w14:paraId="234FF769" w14:textId="77777777" w:rsidR="00616A72" w:rsidRPr="004F2666" w:rsidRDefault="00616A72" w:rsidP="00616A72">
      <w:pPr>
        <w:pStyle w:val="Ttulo1"/>
        <w:rPr>
          <w:lang w:val="es-ES"/>
        </w:rPr>
      </w:pPr>
      <w:bookmarkStart w:id="6" w:name="_Toc93400226"/>
      <w:r w:rsidRPr="004F2666">
        <w:rPr>
          <w:lang w:val="es-ES"/>
        </w:rPr>
        <w:t>II</w:t>
      </w:r>
      <w:r w:rsidRPr="004F2666">
        <w:rPr>
          <w:lang w:val="es-ES"/>
        </w:rPr>
        <w:br/>
        <w:t>PROCEDIMIENTO ANTE LA CORTE</w:t>
      </w:r>
      <w:bookmarkEnd w:id="6"/>
    </w:p>
    <w:p w14:paraId="4DD347C4" w14:textId="2EAFBD19"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Notificación a</w:t>
      </w:r>
      <w:r w:rsidR="00E9385B">
        <w:rPr>
          <w:i/>
          <w:lang w:val="es-ES"/>
        </w:rPr>
        <w:t xml:space="preserve"> </w:t>
      </w:r>
      <w:r w:rsidR="009B1A98" w:rsidRPr="004F2666">
        <w:rPr>
          <w:i/>
          <w:lang w:val="es-ES"/>
        </w:rPr>
        <w:t>l</w:t>
      </w:r>
      <w:r w:rsidR="00E9385B">
        <w:rPr>
          <w:i/>
          <w:lang w:val="es-ES"/>
        </w:rPr>
        <w:t>as</w:t>
      </w:r>
      <w:r w:rsidR="009B1A98" w:rsidRPr="004F2666">
        <w:rPr>
          <w:i/>
          <w:lang w:val="es-ES"/>
        </w:rPr>
        <w:t xml:space="preserve"> </w:t>
      </w:r>
      <w:r w:rsidRPr="004F2666">
        <w:rPr>
          <w:i/>
          <w:lang w:val="es-ES"/>
        </w:rPr>
        <w:t>representante</w:t>
      </w:r>
      <w:r w:rsidR="00E9385B">
        <w:rPr>
          <w:i/>
          <w:lang w:val="es-ES"/>
        </w:rPr>
        <w:t>s</w:t>
      </w:r>
      <w:r w:rsidRPr="004F2666">
        <w:rPr>
          <w:i/>
          <w:lang w:val="es-ES"/>
        </w:rPr>
        <w:t xml:space="preserve"> y al Estado. </w:t>
      </w:r>
      <w:r w:rsidRPr="004F2666">
        <w:rPr>
          <w:lang w:val="es-ES"/>
        </w:rPr>
        <w:t xml:space="preserve">– El sometimiento del caso por parte de la Comisión fue notificado por la Corte </w:t>
      </w:r>
      <w:r w:rsidR="00094EE8" w:rsidRPr="004F2666">
        <w:rPr>
          <w:lang w:val="es-ES"/>
        </w:rPr>
        <w:t xml:space="preserve">a </w:t>
      </w:r>
      <w:r w:rsidR="00183EC9">
        <w:rPr>
          <w:lang w:val="es-ES"/>
        </w:rPr>
        <w:t>las representantes</w:t>
      </w:r>
      <w:r w:rsidRPr="004F2666">
        <w:rPr>
          <w:lang w:val="es-ES"/>
        </w:rPr>
        <w:t xml:space="preserve"> de las presuntas víctimas</w:t>
      </w:r>
      <w:r w:rsidRPr="004F2666">
        <w:rPr>
          <w:rStyle w:val="Refdenotaalpie"/>
          <w:lang w:val="es-ES"/>
        </w:rPr>
        <w:footnoteReference w:id="7"/>
      </w:r>
      <w:r w:rsidRPr="004F2666">
        <w:rPr>
          <w:lang w:val="es-ES"/>
        </w:rPr>
        <w:t xml:space="preserve"> (en adelante “</w:t>
      </w:r>
      <w:r w:rsidR="00183EC9">
        <w:rPr>
          <w:lang w:val="es-ES"/>
        </w:rPr>
        <w:t>las representantes</w:t>
      </w:r>
      <w:r w:rsidRPr="004F2666">
        <w:rPr>
          <w:lang w:val="es-ES"/>
        </w:rPr>
        <w:t xml:space="preserve">”) y al Estado el </w:t>
      </w:r>
      <w:r w:rsidR="00094EE8" w:rsidRPr="004F2666">
        <w:rPr>
          <w:lang w:val="es-ES"/>
        </w:rPr>
        <w:t>22</w:t>
      </w:r>
      <w:r w:rsidRPr="004F2666">
        <w:rPr>
          <w:lang w:val="es-ES"/>
        </w:rPr>
        <w:t xml:space="preserve"> de </w:t>
      </w:r>
      <w:r w:rsidR="00094EE8" w:rsidRPr="004F2666">
        <w:rPr>
          <w:lang w:val="es-ES"/>
        </w:rPr>
        <w:t>noviembre</w:t>
      </w:r>
      <w:r w:rsidRPr="004F2666">
        <w:rPr>
          <w:lang w:val="es-ES"/>
        </w:rPr>
        <w:t xml:space="preserve"> de </w:t>
      </w:r>
      <w:r w:rsidR="00094EE8" w:rsidRPr="004F2666">
        <w:rPr>
          <w:lang w:val="es-ES"/>
        </w:rPr>
        <w:t>2019.</w:t>
      </w:r>
      <w:r w:rsidRPr="004F2666">
        <w:rPr>
          <w:b/>
          <w:lang w:val="es-ES"/>
        </w:rPr>
        <w:t xml:space="preserve"> </w:t>
      </w:r>
      <w:bookmarkStart w:id="7" w:name="para7"/>
    </w:p>
    <w:p w14:paraId="3D751520" w14:textId="77777777" w:rsidR="00616A72" w:rsidRPr="004F2666" w:rsidRDefault="00616A72" w:rsidP="00616A72">
      <w:pPr>
        <w:tabs>
          <w:tab w:val="left" w:pos="567"/>
        </w:tabs>
        <w:spacing w:line="240" w:lineRule="auto"/>
        <w:rPr>
          <w:lang w:val="es-ES"/>
        </w:rPr>
      </w:pPr>
    </w:p>
    <w:p w14:paraId="4FB84E2E" w14:textId="0754F249"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Escrito de solicitudes, argumentos y pruebas.</w:t>
      </w:r>
      <w:r w:rsidRPr="004F2666">
        <w:rPr>
          <w:lang w:val="es-ES"/>
        </w:rPr>
        <w:t xml:space="preserve"> – El </w:t>
      </w:r>
      <w:r w:rsidR="00094EE8" w:rsidRPr="004F2666">
        <w:rPr>
          <w:lang w:val="es-ES"/>
        </w:rPr>
        <w:t>28</w:t>
      </w:r>
      <w:r w:rsidRPr="004F2666">
        <w:rPr>
          <w:lang w:val="es-ES"/>
        </w:rPr>
        <w:t xml:space="preserve"> de </w:t>
      </w:r>
      <w:r w:rsidR="00094EE8" w:rsidRPr="004F2666">
        <w:rPr>
          <w:lang w:val="es-ES"/>
        </w:rPr>
        <w:t>enero</w:t>
      </w:r>
      <w:r w:rsidRPr="004F2666">
        <w:rPr>
          <w:lang w:val="es-ES"/>
        </w:rPr>
        <w:t xml:space="preserve"> de </w:t>
      </w:r>
      <w:r w:rsidR="00094EE8" w:rsidRPr="004F2666">
        <w:rPr>
          <w:lang w:val="es-ES"/>
        </w:rPr>
        <w:t>2020</w:t>
      </w:r>
      <w:r w:rsidRPr="004F2666">
        <w:rPr>
          <w:lang w:val="es-ES"/>
        </w:rPr>
        <w:t xml:space="preserve"> </w:t>
      </w:r>
      <w:r w:rsidR="00183EC9">
        <w:rPr>
          <w:lang w:val="es-ES"/>
        </w:rPr>
        <w:t>las representantes</w:t>
      </w:r>
      <w:r w:rsidRPr="004F2666">
        <w:rPr>
          <w:lang w:val="es-ES"/>
        </w:rPr>
        <w:t xml:space="preserve"> </w:t>
      </w:r>
      <w:r w:rsidR="00094EE8" w:rsidRPr="004F2666">
        <w:rPr>
          <w:lang w:val="es-ES"/>
        </w:rPr>
        <w:t>presentaron</w:t>
      </w:r>
      <w:r w:rsidRPr="004F2666">
        <w:rPr>
          <w:lang w:val="es-ES"/>
        </w:rPr>
        <w:t xml:space="preserve"> ante la Corte su escrito de solicitudes, argumentos y pruebas (en adelante “escrito de solicitudes y argumentos”). </w:t>
      </w:r>
      <w:r w:rsidR="00183EC9">
        <w:rPr>
          <w:lang w:val="es-ES"/>
        </w:rPr>
        <w:t>Las representantes</w:t>
      </w:r>
      <w:r w:rsidRPr="004F2666">
        <w:rPr>
          <w:lang w:val="es-ES"/>
        </w:rPr>
        <w:t xml:space="preserve"> </w:t>
      </w:r>
      <w:r w:rsidR="00094EE8" w:rsidRPr="004F2666">
        <w:rPr>
          <w:lang w:val="es-ES"/>
        </w:rPr>
        <w:t>coincidieron</w:t>
      </w:r>
      <w:r w:rsidRPr="004F2666">
        <w:rPr>
          <w:lang w:val="es-ES"/>
        </w:rPr>
        <w:t xml:space="preserve"> sustancialmente con los alegatos de la Comisión y </w:t>
      </w:r>
      <w:r w:rsidR="00094EE8" w:rsidRPr="004F2666">
        <w:rPr>
          <w:lang w:val="es-ES"/>
        </w:rPr>
        <w:t>solicitaron</w:t>
      </w:r>
      <w:r w:rsidRPr="004F2666">
        <w:rPr>
          <w:lang w:val="es-ES"/>
        </w:rPr>
        <w:t xml:space="preserve"> a la Corte que declarara</w:t>
      </w:r>
      <w:r w:rsidR="00094EE8" w:rsidRPr="004F2666">
        <w:rPr>
          <w:lang w:val="es-ES"/>
        </w:rPr>
        <w:t xml:space="preserve"> </w:t>
      </w:r>
      <w:r w:rsidRPr="004F2666">
        <w:rPr>
          <w:lang w:val="es-ES"/>
        </w:rPr>
        <w:t xml:space="preserve">la responsabilidad internacional del Estado por la violación de los mismos artículos alegados por la Comisión y, adicionalmente, la violación de los artículos </w:t>
      </w:r>
      <w:r w:rsidR="00614177" w:rsidRPr="004F2666">
        <w:rPr>
          <w:lang w:val="es-ES"/>
        </w:rPr>
        <w:t>4.1, 5</w:t>
      </w:r>
      <w:r w:rsidR="00E8522F">
        <w:rPr>
          <w:lang w:val="es-ES"/>
        </w:rPr>
        <w:t xml:space="preserve">, 8 y </w:t>
      </w:r>
      <w:r w:rsidR="00BE552F" w:rsidRPr="004F2666">
        <w:rPr>
          <w:lang w:val="es-ES"/>
        </w:rPr>
        <w:t>25</w:t>
      </w:r>
      <w:r w:rsidR="00C703FF">
        <w:rPr>
          <w:lang w:val="es-ES"/>
        </w:rPr>
        <w:t xml:space="preserve"> de la Convención</w:t>
      </w:r>
      <w:r w:rsidR="00BE552F" w:rsidRPr="004F2666">
        <w:rPr>
          <w:lang w:val="es-ES"/>
        </w:rPr>
        <w:t>, así como el</w:t>
      </w:r>
      <w:r w:rsidR="00614177" w:rsidRPr="004F2666">
        <w:rPr>
          <w:lang w:val="es-ES"/>
        </w:rPr>
        <w:t xml:space="preserve"> 7 de la </w:t>
      </w:r>
      <w:r w:rsidR="003266B7">
        <w:rPr>
          <w:lang w:val="es-ES"/>
        </w:rPr>
        <w:t>Convención Interamericana para prevenir, sancionar y erradicar la violencia contra la mujer (en adelante “</w:t>
      </w:r>
      <w:r w:rsidR="00614177" w:rsidRPr="004F2666">
        <w:rPr>
          <w:lang w:val="es-ES"/>
        </w:rPr>
        <w:t>Convención de Belém do Pará</w:t>
      </w:r>
      <w:r w:rsidR="003266B7">
        <w:t>”)</w:t>
      </w:r>
      <w:r w:rsidR="00BE552F" w:rsidRPr="004F2666">
        <w:rPr>
          <w:lang w:val="es-ES"/>
        </w:rPr>
        <w:t xml:space="preserve"> en perjuicio de la señora Digna Ochoa y Plácido</w:t>
      </w:r>
      <w:r w:rsidR="00D163E5">
        <w:rPr>
          <w:lang w:val="es-ES"/>
        </w:rPr>
        <w:t>,</w:t>
      </w:r>
      <w:r w:rsidR="00BE552F" w:rsidRPr="004F2666">
        <w:rPr>
          <w:lang w:val="es-ES"/>
        </w:rPr>
        <w:t xml:space="preserve"> y los artículos 11 y 13 </w:t>
      </w:r>
      <w:r w:rsidR="003266B7">
        <w:rPr>
          <w:lang w:val="es-ES"/>
        </w:rPr>
        <w:t xml:space="preserve">de la Convención Americana </w:t>
      </w:r>
      <w:r w:rsidR="00BE552F" w:rsidRPr="004F2666">
        <w:rPr>
          <w:lang w:val="es-ES"/>
        </w:rPr>
        <w:t xml:space="preserve">en perjuicio de </w:t>
      </w:r>
      <w:r w:rsidR="00B83C14">
        <w:rPr>
          <w:lang w:val="es-ES"/>
        </w:rPr>
        <w:t>sus</w:t>
      </w:r>
      <w:r w:rsidR="00BE552F" w:rsidRPr="004F2666">
        <w:rPr>
          <w:lang w:val="es-ES"/>
        </w:rPr>
        <w:t xml:space="preserve"> familiares.</w:t>
      </w:r>
      <w:r w:rsidRPr="004F2666">
        <w:rPr>
          <w:lang w:val="es-ES"/>
        </w:rPr>
        <w:t xml:space="preserve"> Asimismo, las presuntas víctimas solicitaron, a través de su</w:t>
      </w:r>
      <w:r w:rsidR="00094EE8" w:rsidRPr="004F2666">
        <w:rPr>
          <w:lang w:val="es-ES"/>
        </w:rPr>
        <w:t>s</w:t>
      </w:r>
      <w:r w:rsidRPr="004F2666">
        <w:rPr>
          <w:lang w:val="es-ES"/>
        </w:rPr>
        <w:t xml:space="preserve"> representante</w:t>
      </w:r>
      <w:r w:rsidR="00094EE8" w:rsidRPr="004F2666">
        <w:rPr>
          <w:lang w:val="es-ES"/>
        </w:rPr>
        <w:t>s</w:t>
      </w:r>
      <w:r w:rsidRPr="004F2666">
        <w:rPr>
          <w:lang w:val="es-ES"/>
        </w:rPr>
        <w:t>, acogerse al Fondo de Asistencia Legal de Víctimas de la Corte Interamericana (en adelante “Fondo de Asistencia de la Corte” o el “Fondo”)</w:t>
      </w:r>
      <w:bookmarkEnd w:id="7"/>
      <w:r w:rsidR="00EE1EB0" w:rsidRPr="004F2666">
        <w:rPr>
          <w:lang w:val="es-ES"/>
        </w:rPr>
        <w:t>.</w:t>
      </w:r>
    </w:p>
    <w:p w14:paraId="6C9C2794" w14:textId="77777777" w:rsidR="00616A72" w:rsidRPr="004F2666" w:rsidRDefault="00616A72" w:rsidP="00616A72">
      <w:pPr>
        <w:tabs>
          <w:tab w:val="left" w:pos="567"/>
          <w:tab w:val="num" w:pos="12305"/>
        </w:tabs>
        <w:spacing w:line="240" w:lineRule="auto"/>
        <w:rPr>
          <w:highlight w:val="yellow"/>
          <w:lang w:val="es-ES"/>
        </w:rPr>
      </w:pPr>
    </w:p>
    <w:p w14:paraId="3DA7560C" w14:textId="4FE6B5E9"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Escrito de contestación.</w:t>
      </w:r>
      <w:r w:rsidRPr="004F2666">
        <w:rPr>
          <w:lang w:val="es-ES"/>
        </w:rPr>
        <w:t xml:space="preserve"> </w:t>
      </w:r>
      <w:r w:rsidRPr="004F2666">
        <w:rPr>
          <w:i/>
          <w:lang w:val="es-ES"/>
        </w:rPr>
        <w:t xml:space="preserve">– </w:t>
      </w:r>
      <w:r w:rsidRPr="004F2666">
        <w:rPr>
          <w:lang w:val="es-ES"/>
        </w:rPr>
        <w:t xml:space="preserve">El </w:t>
      </w:r>
      <w:r w:rsidR="006F7C07" w:rsidRPr="004F2666">
        <w:rPr>
          <w:lang w:val="es-ES"/>
        </w:rPr>
        <w:t>8</w:t>
      </w:r>
      <w:r w:rsidRPr="004F2666">
        <w:rPr>
          <w:lang w:val="es-ES"/>
        </w:rPr>
        <w:t xml:space="preserve"> de </w:t>
      </w:r>
      <w:r w:rsidR="006F7C07" w:rsidRPr="004F2666">
        <w:rPr>
          <w:lang w:val="es-ES"/>
        </w:rPr>
        <w:t>julio</w:t>
      </w:r>
      <w:r w:rsidRPr="004F2666">
        <w:rPr>
          <w:lang w:val="es-ES"/>
        </w:rPr>
        <w:t xml:space="preserve"> de </w:t>
      </w:r>
      <w:r w:rsidR="006F7C07" w:rsidRPr="004F2666">
        <w:rPr>
          <w:lang w:val="es-ES"/>
        </w:rPr>
        <w:t>2020</w:t>
      </w:r>
      <w:r w:rsidRPr="004F2666">
        <w:rPr>
          <w:lang w:val="es-ES"/>
        </w:rPr>
        <w:t xml:space="preserve"> el </w:t>
      </w:r>
      <w:r w:rsidR="006F7C07" w:rsidRPr="004F2666">
        <w:rPr>
          <w:lang w:val="es-ES"/>
        </w:rPr>
        <w:t>Estado</w:t>
      </w:r>
      <w:r w:rsidRPr="004F2666">
        <w:rPr>
          <w:lang w:val="es-ES"/>
        </w:rPr>
        <w:t xml:space="preserve"> presentó ante la Corte su escrito de </w:t>
      </w:r>
      <w:r w:rsidR="00BE552F" w:rsidRPr="004F2666">
        <w:rPr>
          <w:lang w:val="es-ES"/>
        </w:rPr>
        <w:lastRenderedPageBreak/>
        <w:t>excepciones preliminares y</w:t>
      </w:r>
      <w:r w:rsidR="0065157B" w:rsidRPr="004F2666">
        <w:rPr>
          <w:lang w:val="es-ES"/>
        </w:rPr>
        <w:t xml:space="preserve"> </w:t>
      </w:r>
      <w:r w:rsidRPr="004F2666">
        <w:rPr>
          <w:lang w:val="es-ES"/>
        </w:rPr>
        <w:t>contestación al sometimiento e informe de fondo de la Comisión Interamericana y al escrito de solicitudes, argumentos y pruebas de</w:t>
      </w:r>
      <w:r w:rsidR="00B83C14">
        <w:rPr>
          <w:lang w:val="es-ES"/>
        </w:rPr>
        <w:t xml:space="preserve"> </w:t>
      </w:r>
      <w:r w:rsidR="00183EC9">
        <w:rPr>
          <w:lang w:val="es-ES"/>
        </w:rPr>
        <w:t>las representantes</w:t>
      </w:r>
      <w:r w:rsidRPr="004F2666">
        <w:rPr>
          <w:lang w:val="es-ES"/>
        </w:rPr>
        <w:t xml:space="preserve"> (en adelante “escrito de contestación”). En dicho escrito, el Estado se opuso a las violaciones alegadas y a las medidas de reparación </w:t>
      </w:r>
      <w:r w:rsidR="00F97B23" w:rsidRPr="004F2666">
        <w:rPr>
          <w:lang w:val="es-ES"/>
        </w:rPr>
        <w:t xml:space="preserve">propuestas </w:t>
      </w:r>
      <w:r w:rsidRPr="004F2666">
        <w:rPr>
          <w:lang w:val="es-ES"/>
        </w:rPr>
        <w:t>por la Comisión</w:t>
      </w:r>
      <w:r w:rsidR="00E8522F">
        <w:rPr>
          <w:lang w:val="es-ES"/>
        </w:rPr>
        <w:t xml:space="preserve"> y las representantes</w:t>
      </w:r>
      <w:r w:rsidRPr="004F2666">
        <w:rPr>
          <w:lang w:val="es-ES"/>
        </w:rPr>
        <w:t>.</w:t>
      </w:r>
      <w:r w:rsidRPr="004F2666">
        <w:rPr>
          <w:b/>
          <w:lang w:val="es-ES"/>
        </w:rPr>
        <w:t xml:space="preserve"> </w:t>
      </w:r>
    </w:p>
    <w:p w14:paraId="3BBB8089" w14:textId="77777777" w:rsidR="00616A72" w:rsidRPr="004F2666" w:rsidRDefault="00616A72" w:rsidP="00616A72">
      <w:pPr>
        <w:tabs>
          <w:tab w:val="left" w:pos="567"/>
        </w:tabs>
        <w:spacing w:line="240" w:lineRule="auto"/>
        <w:rPr>
          <w:b/>
          <w:lang w:val="es-ES"/>
        </w:rPr>
      </w:pPr>
    </w:p>
    <w:p w14:paraId="233EE9C7" w14:textId="1A2CFBC1" w:rsidR="00616A72" w:rsidRDefault="00616A72" w:rsidP="00D066EB">
      <w:pPr>
        <w:numPr>
          <w:ilvl w:val="0"/>
          <w:numId w:val="4"/>
        </w:numPr>
        <w:tabs>
          <w:tab w:val="left" w:pos="567"/>
          <w:tab w:val="num" w:pos="1569"/>
          <w:tab w:val="num" w:pos="12305"/>
        </w:tabs>
        <w:spacing w:line="240" w:lineRule="auto"/>
        <w:ind w:left="0" w:firstLine="0"/>
        <w:rPr>
          <w:lang w:val="es-ES"/>
        </w:rPr>
      </w:pPr>
      <w:r w:rsidRPr="004F2666">
        <w:rPr>
          <w:i/>
          <w:lang w:val="es-ES"/>
        </w:rPr>
        <w:t xml:space="preserve">Audiencia Pública. </w:t>
      </w:r>
      <w:r w:rsidRPr="004F2666">
        <w:rPr>
          <w:lang w:val="es-ES"/>
        </w:rPr>
        <w:t>–</w:t>
      </w:r>
      <w:r w:rsidR="00D51095">
        <w:rPr>
          <w:lang w:val="es-ES"/>
        </w:rPr>
        <w:t xml:space="preserve"> </w:t>
      </w:r>
      <w:r w:rsidRPr="004F2666">
        <w:rPr>
          <w:lang w:val="es-ES"/>
        </w:rPr>
        <w:t>La audiencia pública</w:t>
      </w:r>
      <w:r w:rsidR="00D066EB">
        <w:rPr>
          <w:lang w:val="es-ES"/>
        </w:rPr>
        <w:t xml:space="preserve"> relativa al presente caso</w:t>
      </w:r>
      <w:r w:rsidRPr="004F2666">
        <w:rPr>
          <w:lang w:val="es-ES"/>
        </w:rPr>
        <w:t xml:space="preserve"> fue celebrada </w:t>
      </w:r>
      <w:r w:rsidR="0081772A" w:rsidRPr="00D066EB">
        <w:rPr>
          <w:lang w:val="es-ES"/>
        </w:rPr>
        <w:t>los</w:t>
      </w:r>
      <w:r w:rsidR="0081772A" w:rsidRPr="004F2666">
        <w:rPr>
          <w:lang w:val="es-ES"/>
        </w:rPr>
        <w:t xml:space="preserve"> días 26 y 27 de abril de 2021</w:t>
      </w:r>
      <w:r w:rsidR="00D066EB">
        <w:rPr>
          <w:rStyle w:val="Refdenotaalpie"/>
          <w:lang w:val="es-ES"/>
        </w:rPr>
        <w:footnoteReference w:id="8"/>
      </w:r>
      <w:r w:rsidRPr="004F2666">
        <w:rPr>
          <w:lang w:val="es-ES"/>
        </w:rPr>
        <w:t xml:space="preserve">, durante el </w:t>
      </w:r>
      <w:r w:rsidR="0081772A" w:rsidRPr="004F2666">
        <w:rPr>
          <w:lang w:val="es-ES"/>
        </w:rPr>
        <w:t>141</w:t>
      </w:r>
      <w:r w:rsidRPr="004F2666">
        <w:rPr>
          <w:lang w:val="es-ES"/>
        </w:rPr>
        <w:t xml:space="preserve"> Período Ordinario de Sesiones de la Corte, </w:t>
      </w:r>
      <w:r w:rsidR="00D35194" w:rsidRPr="004F2666">
        <w:rPr>
          <w:lang w:val="es-ES"/>
        </w:rPr>
        <w:t>la cual tuvo lugar por medio de una plataforma de videoconferencia</w:t>
      </w:r>
      <w:r w:rsidRPr="004F2666">
        <w:rPr>
          <w:rStyle w:val="Refdenotaalpie"/>
          <w:lang w:val="es-ES"/>
        </w:rPr>
        <w:footnoteReference w:id="9"/>
      </w:r>
      <w:r w:rsidRPr="004F2666">
        <w:rPr>
          <w:lang w:val="es-ES"/>
        </w:rPr>
        <w:t xml:space="preserve">. </w:t>
      </w:r>
      <w:r w:rsidR="00D35194" w:rsidRPr="004F2666">
        <w:rPr>
          <w:lang w:val="es-ES" w:eastAsia="es-ES"/>
        </w:rPr>
        <w:t>En el marco de dicha audiencia, el Estado hizo un reconocimiento parcial de responsabilidad (</w:t>
      </w:r>
      <w:r w:rsidR="00D35194" w:rsidRPr="004F2666">
        <w:rPr>
          <w:i/>
          <w:iCs/>
          <w:lang w:val="es-ES" w:eastAsia="es-ES"/>
        </w:rPr>
        <w:t>infra</w:t>
      </w:r>
      <w:r w:rsidR="00D35194" w:rsidRPr="004F2666">
        <w:rPr>
          <w:lang w:val="es-ES" w:eastAsia="es-ES"/>
        </w:rPr>
        <w:t xml:space="preserve"> capítulo </w:t>
      </w:r>
      <w:r w:rsidR="00F829FE">
        <w:rPr>
          <w:lang w:val="es-ES" w:eastAsia="es-ES"/>
        </w:rPr>
        <w:t>IV</w:t>
      </w:r>
      <w:r w:rsidR="00D35194" w:rsidRPr="004F2666">
        <w:rPr>
          <w:lang w:val="es-ES" w:eastAsia="es-ES"/>
        </w:rPr>
        <w:t>)</w:t>
      </w:r>
      <w:r w:rsidR="00F829FE">
        <w:rPr>
          <w:lang w:val="es-ES" w:eastAsia="es-ES"/>
        </w:rPr>
        <w:t>.</w:t>
      </w:r>
    </w:p>
    <w:p w14:paraId="4D4716FD" w14:textId="1C62E067" w:rsidR="007F3D1B" w:rsidRDefault="007F3D1B" w:rsidP="007F3D1B">
      <w:pPr>
        <w:tabs>
          <w:tab w:val="left" w:pos="567"/>
        </w:tabs>
        <w:spacing w:line="240" w:lineRule="auto"/>
        <w:rPr>
          <w:lang w:val="es-ES"/>
        </w:rPr>
      </w:pPr>
    </w:p>
    <w:p w14:paraId="31354111" w14:textId="720891AF" w:rsidR="00DF328D" w:rsidRPr="004F2666" w:rsidRDefault="00DF328D" w:rsidP="00536F83">
      <w:pPr>
        <w:numPr>
          <w:ilvl w:val="0"/>
          <w:numId w:val="4"/>
        </w:numPr>
        <w:tabs>
          <w:tab w:val="left" w:pos="567"/>
          <w:tab w:val="num" w:pos="1569"/>
          <w:tab w:val="num" w:pos="12305"/>
        </w:tabs>
        <w:spacing w:line="240" w:lineRule="auto"/>
        <w:ind w:left="0" w:firstLine="0"/>
        <w:rPr>
          <w:rFonts w:eastAsiaTheme="minorHAnsi"/>
          <w:lang w:val="es-ES"/>
        </w:rPr>
      </w:pPr>
      <w:r w:rsidRPr="004F2666">
        <w:rPr>
          <w:i/>
          <w:iCs/>
          <w:lang w:val="es-ES"/>
        </w:rPr>
        <w:t xml:space="preserve">Amici </w:t>
      </w:r>
      <w:proofErr w:type="spellStart"/>
      <w:r w:rsidRPr="004F2666">
        <w:rPr>
          <w:i/>
          <w:iCs/>
          <w:lang w:val="es-ES"/>
        </w:rPr>
        <w:t>Curiae</w:t>
      </w:r>
      <w:proofErr w:type="spellEnd"/>
      <w:r w:rsidRPr="004F2666">
        <w:rPr>
          <w:i/>
          <w:iCs/>
          <w:lang w:val="es-ES"/>
        </w:rPr>
        <w:t>. –</w:t>
      </w:r>
      <w:r w:rsidRPr="004F2666">
        <w:rPr>
          <w:lang w:val="es-ES"/>
        </w:rPr>
        <w:t xml:space="preserve"> El Tribunal recibió </w:t>
      </w:r>
      <w:r w:rsidR="00A96071" w:rsidRPr="004F2666">
        <w:rPr>
          <w:lang w:val="es-ES"/>
        </w:rPr>
        <w:t>ocho</w:t>
      </w:r>
      <w:r w:rsidRPr="004F2666">
        <w:rPr>
          <w:lang w:val="es-ES"/>
        </w:rPr>
        <w:t xml:space="preserve"> escritos de </w:t>
      </w:r>
      <w:proofErr w:type="spellStart"/>
      <w:r w:rsidRPr="004F2666">
        <w:rPr>
          <w:i/>
          <w:iCs/>
          <w:lang w:val="es-ES"/>
        </w:rPr>
        <w:t>amicus</w:t>
      </w:r>
      <w:proofErr w:type="spellEnd"/>
      <w:r w:rsidRPr="004F2666">
        <w:rPr>
          <w:i/>
          <w:iCs/>
          <w:lang w:val="es-ES"/>
        </w:rPr>
        <w:t xml:space="preserve"> </w:t>
      </w:r>
      <w:proofErr w:type="spellStart"/>
      <w:r w:rsidRPr="004F2666">
        <w:rPr>
          <w:i/>
          <w:iCs/>
          <w:lang w:val="es-ES"/>
        </w:rPr>
        <w:t>curiae</w:t>
      </w:r>
      <w:proofErr w:type="spellEnd"/>
      <w:r w:rsidRPr="004F2666">
        <w:rPr>
          <w:i/>
          <w:iCs/>
          <w:lang w:val="es-ES"/>
        </w:rPr>
        <w:t xml:space="preserve"> </w:t>
      </w:r>
      <w:r w:rsidRPr="004F2666">
        <w:rPr>
          <w:lang w:val="es-ES"/>
        </w:rPr>
        <w:t xml:space="preserve">presentados por: a) </w:t>
      </w:r>
      <w:r w:rsidR="00A96071" w:rsidRPr="004F2666">
        <w:rPr>
          <w:lang w:val="es-ES"/>
        </w:rPr>
        <w:t>Línea de Investigación de Género, Derecho y Sociedad y el Grupo de Derechos Humanos de la Universidad Externado de Colombia</w:t>
      </w:r>
      <w:r w:rsidRPr="004F2666">
        <w:rPr>
          <w:rStyle w:val="Refdenotaalpie"/>
          <w:lang w:val="es-ES"/>
        </w:rPr>
        <w:footnoteReference w:id="10"/>
      </w:r>
      <w:r w:rsidRPr="004F2666">
        <w:rPr>
          <w:lang w:val="es-ES"/>
        </w:rPr>
        <w:t>; b)</w:t>
      </w:r>
      <w:r w:rsidR="001437F2" w:rsidRPr="004F2666">
        <w:rPr>
          <w:lang w:val="es-ES"/>
        </w:rPr>
        <w:t xml:space="preserve"> Familiares de mujeres que han sido víctimas de feminicidio y sobrevivientes de feminicidio</w:t>
      </w:r>
      <w:r w:rsidR="001437F2" w:rsidRPr="004F2666">
        <w:rPr>
          <w:rStyle w:val="Refdenotaalpie"/>
          <w:lang w:val="es-ES"/>
        </w:rPr>
        <w:footnoteReference w:id="11"/>
      </w:r>
      <w:r w:rsidR="001437F2" w:rsidRPr="004F2666">
        <w:rPr>
          <w:lang w:val="es-ES"/>
        </w:rPr>
        <w:t>; c) Fundación Abogacía Española</w:t>
      </w:r>
      <w:r w:rsidR="001437F2" w:rsidRPr="004F2666">
        <w:t xml:space="preserve"> </w:t>
      </w:r>
      <w:r w:rsidR="001437F2" w:rsidRPr="004F2666">
        <w:rPr>
          <w:lang w:val="es-ES"/>
        </w:rPr>
        <w:t>y el Observatorio Internacional de la Abogacía en Riesgo</w:t>
      </w:r>
      <w:r w:rsidR="001437F2" w:rsidRPr="004F2666">
        <w:rPr>
          <w:rStyle w:val="Refdenotaalpie"/>
          <w:lang w:val="es-ES"/>
        </w:rPr>
        <w:footnoteReference w:id="12"/>
      </w:r>
      <w:r w:rsidR="001437F2" w:rsidRPr="004F2666">
        <w:rPr>
          <w:lang w:val="es-ES"/>
        </w:rPr>
        <w:t xml:space="preserve">; d) Red Nacional de Defensoras de Derechos Humanos en México (RNDDHM) </w:t>
      </w:r>
      <w:r w:rsidR="001437F2" w:rsidRPr="004F2666">
        <w:rPr>
          <w:lang w:val="es-ES"/>
        </w:rPr>
        <w:lastRenderedPageBreak/>
        <w:t>y la Iniciativa Mesoamericana de Mujeres Defensoras de Derechos Humanos (IM-Defensoras)</w:t>
      </w:r>
      <w:r w:rsidR="001437F2" w:rsidRPr="004F2666">
        <w:rPr>
          <w:rStyle w:val="Refdenotaalpie"/>
          <w:lang w:val="es-ES"/>
        </w:rPr>
        <w:footnoteReference w:id="13"/>
      </w:r>
      <w:r w:rsidR="00852922" w:rsidRPr="004F2666">
        <w:rPr>
          <w:lang w:val="es-ES"/>
        </w:rPr>
        <w:t>; e) Colectivo de litigio estratégico e investigación en Derechos Humanos, A.C.</w:t>
      </w:r>
      <w:r w:rsidR="00852922" w:rsidRPr="004F2666">
        <w:rPr>
          <w:rStyle w:val="Refdenotaalpie"/>
          <w:lang w:val="es-ES"/>
        </w:rPr>
        <w:footnoteReference w:id="14"/>
      </w:r>
      <w:r w:rsidR="0064643D" w:rsidRPr="004F2666">
        <w:rPr>
          <w:lang w:val="es-ES"/>
        </w:rPr>
        <w:t xml:space="preserve"> f) Clínica de Derechos Humanos de la Universidad de Santa Clara</w:t>
      </w:r>
      <w:r w:rsidR="0064643D" w:rsidRPr="004F2666">
        <w:rPr>
          <w:rStyle w:val="Refdenotaalpie"/>
          <w:lang w:val="es-ES"/>
        </w:rPr>
        <w:footnoteReference w:id="15"/>
      </w:r>
      <w:r w:rsidR="0064643D" w:rsidRPr="004F2666">
        <w:rPr>
          <w:lang w:val="es-ES"/>
        </w:rPr>
        <w:t>, g) Comisión de Derechos Humanos de la Ciudad de México</w:t>
      </w:r>
      <w:r w:rsidR="0064643D" w:rsidRPr="004F2666">
        <w:rPr>
          <w:rStyle w:val="Refdenotaalpie"/>
          <w:lang w:val="es-ES"/>
        </w:rPr>
        <w:footnoteReference w:id="16"/>
      </w:r>
      <w:r w:rsidR="00E87467">
        <w:rPr>
          <w:lang w:val="es-ES"/>
        </w:rPr>
        <w:t xml:space="preserve"> </w:t>
      </w:r>
      <w:r w:rsidRPr="004F2666">
        <w:rPr>
          <w:lang w:val="es-ES"/>
        </w:rPr>
        <w:t>y j)</w:t>
      </w:r>
      <w:r w:rsidR="0064643D" w:rsidRPr="004F2666">
        <w:t xml:space="preserve"> </w:t>
      </w:r>
      <w:r w:rsidR="0064643D" w:rsidRPr="004F2666">
        <w:rPr>
          <w:lang w:val="es-ES"/>
        </w:rPr>
        <w:t>Observatorio Jurídico de Género de la Facultad de Derecho de la Universidad Nacional Autónoma de México</w:t>
      </w:r>
      <w:r w:rsidRPr="004F2666">
        <w:rPr>
          <w:rStyle w:val="Refdenotaalpie"/>
          <w:lang w:val="es-ES"/>
        </w:rPr>
        <w:footnoteReference w:id="17"/>
      </w:r>
      <w:r w:rsidRPr="004F2666">
        <w:rPr>
          <w:lang w:val="es-ES"/>
        </w:rPr>
        <w:t xml:space="preserve">. </w:t>
      </w:r>
    </w:p>
    <w:p w14:paraId="3F9B413F" w14:textId="77777777" w:rsidR="00616A72" w:rsidRPr="004F2666" w:rsidRDefault="00616A72" w:rsidP="00616A72">
      <w:pPr>
        <w:tabs>
          <w:tab w:val="left" w:pos="567"/>
          <w:tab w:val="num" w:pos="12305"/>
        </w:tabs>
        <w:spacing w:line="240" w:lineRule="auto"/>
        <w:rPr>
          <w:lang w:val="es-ES"/>
        </w:rPr>
      </w:pPr>
    </w:p>
    <w:p w14:paraId="4222F271" w14:textId="1C288138"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 xml:space="preserve">Alegatos y observaciones finales escritos. </w:t>
      </w:r>
      <w:r w:rsidRPr="004F2666">
        <w:rPr>
          <w:lang w:val="es-ES"/>
        </w:rPr>
        <w:t xml:space="preserve">– </w:t>
      </w:r>
      <w:r w:rsidRPr="00CB72B2">
        <w:rPr>
          <w:lang w:val="es-ES"/>
        </w:rPr>
        <w:t xml:space="preserve">El </w:t>
      </w:r>
      <w:r w:rsidR="0032668A" w:rsidRPr="00CB72B2">
        <w:rPr>
          <w:lang w:val="es-ES"/>
        </w:rPr>
        <w:t>27</w:t>
      </w:r>
      <w:r w:rsidRPr="00CB72B2">
        <w:rPr>
          <w:lang w:val="es-ES"/>
        </w:rPr>
        <w:t xml:space="preserve"> de </w:t>
      </w:r>
      <w:r w:rsidR="0032668A" w:rsidRPr="00CB72B2">
        <w:rPr>
          <w:lang w:val="es-ES"/>
        </w:rPr>
        <w:t>mayo</w:t>
      </w:r>
      <w:r w:rsidRPr="00CB72B2">
        <w:rPr>
          <w:lang w:val="es-ES"/>
        </w:rPr>
        <w:t xml:space="preserve"> de </w:t>
      </w:r>
      <w:r w:rsidR="0032668A" w:rsidRPr="00CB72B2">
        <w:rPr>
          <w:lang w:val="es-ES"/>
        </w:rPr>
        <w:t>2021</w:t>
      </w:r>
      <w:r w:rsidRPr="00CB72B2">
        <w:rPr>
          <w:lang w:val="es-ES"/>
        </w:rPr>
        <w:t xml:space="preserve"> </w:t>
      </w:r>
      <w:r w:rsidR="00183EC9">
        <w:rPr>
          <w:lang w:val="es-ES"/>
        </w:rPr>
        <w:t>las representantes</w:t>
      </w:r>
      <w:r w:rsidRPr="004F2666">
        <w:rPr>
          <w:lang w:val="es-ES"/>
        </w:rPr>
        <w:t xml:space="preserve"> y el Estado remitieron sus respectivos alegatos finales escritos, y la Comisión presentó sus observaciones finales escritas.</w:t>
      </w:r>
      <w:r w:rsidR="00E87467">
        <w:rPr>
          <w:lang w:val="es-ES"/>
        </w:rPr>
        <w:t xml:space="preserve"> </w:t>
      </w:r>
      <w:r w:rsidR="00183EC9">
        <w:rPr>
          <w:lang w:val="es-ES"/>
        </w:rPr>
        <w:t>Las representantes</w:t>
      </w:r>
      <w:r w:rsidR="00CB72B2">
        <w:rPr>
          <w:lang w:val="es-ES"/>
        </w:rPr>
        <w:t xml:space="preserve"> y el Estado </w:t>
      </w:r>
      <w:r w:rsidR="00CB72B2" w:rsidRPr="001027FD">
        <w:rPr>
          <w:lang w:val="es-ES"/>
        </w:rPr>
        <w:t xml:space="preserve">remitieron determinados anexos junto con los referidos alegatos finales escritos. Por instrucciones de la Presidenta de la Corte, se solicitó </w:t>
      </w:r>
      <w:r w:rsidR="00CB72B2">
        <w:rPr>
          <w:lang w:val="es-ES"/>
        </w:rPr>
        <w:t>a las partes</w:t>
      </w:r>
      <w:r w:rsidR="00CB72B2" w:rsidRPr="001027FD">
        <w:rPr>
          <w:lang w:val="es-ES"/>
        </w:rPr>
        <w:t xml:space="preserve"> y a la Comisión Interamericana que remitieran las consideraciones que estimaran pertinentes sobre la </w:t>
      </w:r>
      <w:r w:rsidR="00CB72B2">
        <w:rPr>
          <w:lang w:val="es-ES"/>
        </w:rPr>
        <w:t xml:space="preserve">referida </w:t>
      </w:r>
      <w:r w:rsidR="00CB72B2" w:rsidRPr="001027FD">
        <w:rPr>
          <w:lang w:val="es-ES"/>
        </w:rPr>
        <w:t xml:space="preserve">documentación anexa. El </w:t>
      </w:r>
      <w:r w:rsidR="00CB72B2">
        <w:rPr>
          <w:lang w:val="es-ES"/>
        </w:rPr>
        <w:t>11 de junio</w:t>
      </w:r>
      <w:r w:rsidR="00CB72B2" w:rsidRPr="001027FD">
        <w:rPr>
          <w:lang w:val="es-ES"/>
        </w:rPr>
        <w:t xml:space="preserve"> de 2021 </w:t>
      </w:r>
      <w:r w:rsidR="00183EC9">
        <w:rPr>
          <w:lang w:val="es-ES"/>
        </w:rPr>
        <w:t>las representantes</w:t>
      </w:r>
      <w:r w:rsidR="00CB72B2">
        <w:rPr>
          <w:lang w:val="es-ES"/>
        </w:rPr>
        <w:t xml:space="preserve"> y </w:t>
      </w:r>
      <w:r w:rsidR="0038208E">
        <w:rPr>
          <w:lang w:val="es-ES"/>
        </w:rPr>
        <w:t>la Comisión, respectivamente, remitieron sus observaciones sobre los anexos remitidos por el Estado</w:t>
      </w:r>
      <w:r w:rsidR="00CB72B2">
        <w:rPr>
          <w:lang w:val="es-ES"/>
        </w:rPr>
        <w:t xml:space="preserve">. </w:t>
      </w:r>
      <w:r w:rsidR="0038208E">
        <w:rPr>
          <w:lang w:val="es-ES"/>
        </w:rPr>
        <w:t xml:space="preserve">El 22 de junio de 2021 el Estado y la </w:t>
      </w:r>
      <w:r w:rsidR="00312DD4">
        <w:rPr>
          <w:lang w:val="es-ES"/>
        </w:rPr>
        <w:t>Comisión, respectivamente</w:t>
      </w:r>
      <w:r w:rsidR="0038208E">
        <w:rPr>
          <w:lang w:val="es-ES"/>
        </w:rPr>
        <w:t xml:space="preserve">, </w:t>
      </w:r>
      <w:r w:rsidR="00312DD4">
        <w:rPr>
          <w:lang w:val="es-ES"/>
        </w:rPr>
        <w:t>remitieron sus</w:t>
      </w:r>
      <w:r w:rsidR="0038208E">
        <w:rPr>
          <w:lang w:val="es-ES"/>
        </w:rPr>
        <w:t xml:space="preserve"> observaciones sobre los anexos remitidos por </w:t>
      </w:r>
      <w:r w:rsidR="00183EC9">
        <w:rPr>
          <w:lang w:val="es-ES"/>
        </w:rPr>
        <w:t>las representantes</w:t>
      </w:r>
      <w:r w:rsidR="0038208E">
        <w:rPr>
          <w:lang w:val="es-ES"/>
        </w:rPr>
        <w:t>.</w:t>
      </w:r>
    </w:p>
    <w:p w14:paraId="51BBA9BF" w14:textId="77777777" w:rsidR="00616A72" w:rsidRPr="004F2666" w:rsidRDefault="00616A72" w:rsidP="00616A72">
      <w:pPr>
        <w:tabs>
          <w:tab w:val="left" w:pos="567"/>
        </w:tabs>
        <w:spacing w:line="240" w:lineRule="auto"/>
        <w:rPr>
          <w:b/>
          <w:lang w:val="es-ES"/>
        </w:rPr>
      </w:pPr>
    </w:p>
    <w:p w14:paraId="276BF648" w14:textId="65AF3B4D" w:rsidR="00616A72" w:rsidRPr="004F2666" w:rsidRDefault="00616A72" w:rsidP="00654028">
      <w:pPr>
        <w:numPr>
          <w:ilvl w:val="0"/>
          <w:numId w:val="4"/>
        </w:numPr>
        <w:tabs>
          <w:tab w:val="left" w:pos="567"/>
          <w:tab w:val="num" w:pos="1569"/>
          <w:tab w:val="num" w:pos="12305"/>
        </w:tabs>
        <w:spacing w:line="240" w:lineRule="auto"/>
        <w:ind w:left="0" w:firstLine="0"/>
        <w:rPr>
          <w:lang w:val="es-ES"/>
        </w:rPr>
      </w:pPr>
      <w:r w:rsidRPr="004F2666">
        <w:rPr>
          <w:i/>
          <w:lang w:val="es-ES"/>
        </w:rPr>
        <w:t xml:space="preserve">Deliberación del presente caso. </w:t>
      </w:r>
      <w:r w:rsidRPr="004F2666">
        <w:rPr>
          <w:lang w:val="es-ES"/>
        </w:rPr>
        <w:t xml:space="preserve">– La Corte </w:t>
      </w:r>
      <w:r w:rsidR="004D2910" w:rsidRPr="004F2666">
        <w:rPr>
          <w:lang w:val="es-ES"/>
        </w:rPr>
        <w:t>deliberó</w:t>
      </w:r>
      <w:r w:rsidRPr="004F2666">
        <w:rPr>
          <w:lang w:val="es-ES"/>
        </w:rPr>
        <w:t xml:space="preserve"> la presente Sentencia</w:t>
      </w:r>
      <w:r w:rsidR="008209D4" w:rsidRPr="004F2666">
        <w:rPr>
          <w:lang w:val="es-ES"/>
        </w:rPr>
        <w:t>, a través de una sesión virtual</w:t>
      </w:r>
      <w:r w:rsidR="004D2910" w:rsidRPr="004F2666">
        <w:rPr>
          <w:lang w:val="es-ES"/>
        </w:rPr>
        <w:t xml:space="preserve">, durante los días </w:t>
      </w:r>
      <w:r w:rsidR="001F4BF8">
        <w:rPr>
          <w:lang w:val="es-ES"/>
        </w:rPr>
        <w:t>24</w:t>
      </w:r>
      <w:r w:rsidR="004D2910" w:rsidRPr="004F2666">
        <w:rPr>
          <w:lang w:val="es-ES"/>
        </w:rPr>
        <w:t xml:space="preserve"> y </w:t>
      </w:r>
      <w:r w:rsidR="001F4BF8">
        <w:rPr>
          <w:lang w:val="es-ES"/>
        </w:rPr>
        <w:t>25</w:t>
      </w:r>
      <w:r w:rsidR="004D2910" w:rsidRPr="004F2666">
        <w:rPr>
          <w:lang w:val="es-ES"/>
        </w:rPr>
        <w:t xml:space="preserve"> de </w:t>
      </w:r>
      <w:r w:rsidR="00EC184F" w:rsidRPr="004F2666">
        <w:rPr>
          <w:lang w:val="es-ES"/>
        </w:rPr>
        <w:t>noviembre de 2021</w:t>
      </w:r>
      <w:r w:rsidR="004D2910" w:rsidRPr="004F2666">
        <w:rPr>
          <w:rStyle w:val="Refdenotaalpie"/>
          <w:lang w:val="es-ES"/>
        </w:rPr>
        <w:footnoteReference w:id="18"/>
      </w:r>
      <w:r w:rsidR="004D2910" w:rsidRPr="004F2666">
        <w:rPr>
          <w:lang w:val="es-ES"/>
        </w:rPr>
        <w:t>.</w:t>
      </w:r>
    </w:p>
    <w:p w14:paraId="73D3DF3A" w14:textId="77777777" w:rsidR="00616A72" w:rsidRPr="004F2666" w:rsidRDefault="00616A72" w:rsidP="00616A72">
      <w:pPr>
        <w:pStyle w:val="Ttulo1"/>
        <w:rPr>
          <w:lang w:val="es-ES"/>
        </w:rPr>
      </w:pPr>
      <w:bookmarkStart w:id="8" w:name="_Toc93400227"/>
      <w:r w:rsidRPr="004F2666">
        <w:rPr>
          <w:lang w:val="es-ES"/>
        </w:rPr>
        <w:t>III</w:t>
      </w:r>
      <w:r w:rsidRPr="004F2666">
        <w:rPr>
          <w:lang w:val="es-ES"/>
        </w:rPr>
        <w:br/>
        <w:t>COMPETENCIA</w:t>
      </w:r>
      <w:bookmarkEnd w:id="8"/>
    </w:p>
    <w:p w14:paraId="0782E8D2" w14:textId="4F55A3AA" w:rsidR="00DF328D" w:rsidRPr="004F2666" w:rsidRDefault="002320BA" w:rsidP="00654028">
      <w:pPr>
        <w:numPr>
          <w:ilvl w:val="0"/>
          <w:numId w:val="4"/>
        </w:numPr>
        <w:tabs>
          <w:tab w:val="left" w:pos="567"/>
          <w:tab w:val="num" w:pos="1569"/>
          <w:tab w:val="num" w:pos="12305"/>
        </w:tabs>
        <w:spacing w:line="240" w:lineRule="auto"/>
        <w:ind w:left="0" w:firstLine="0"/>
        <w:rPr>
          <w:lang w:val="es-ES"/>
        </w:rPr>
      </w:pPr>
      <w:r w:rsidRPr="004F2666">
        <w:t xml:space="preserve">La Corte es competente para conocer el presente caso, en los términos del artículo 62.3 de la Convención, en razón de que México es Estado Parte de la Convención desde el 24 de marzo de 1981 </w:t>
      </w:r>
      <w:r w:rsidRPr="004F2666">
        <w:lastRenderedPageBreak/>
        <w:t>y reconoció la competencia contenciosa de este Tribunal el 16 de diciembre de 1998</w:t>
      </w:r>
      <w:r w:rsidR="00E87467">
        <w:t xml:space="preserve">. </w:t>
      </w:r>
      <w:r w:rsidR="00E87467">
        <w:rPr>
          <w:lang w:val="es-ES"/>
        </w:rPr>
        <w:t xml:space="preserve">México depositó el instrumento de adhesión de la </w:t>
      </w:r>
      <w:r w:rsidR="003266B7">
        <w:rPr>
          <w:lang w:val="es-ES"/>
        </w:rPr>
        <w:t>Convención de Belém do Pará</w:t>
      </w:r>
      <w:r w:rsidR="00E87467">
        <w:rPr>
          <w:lang w:val="es-ES"/>
        </w:rPr>
        <w:t xml:space="preserve"> el 12 de noviembre de 1998.</w:t>
      </w:r>
    </w:p>
    <w:p w14:paraId="24354F38" w14:textId="096BCF6D" w:rsidR="00DF328D" w:rsidRPr="004F2666" w:rsidRDefault="00BE552F" w:rsidP="00DF328D">
      <w:pPr>
        <w:pStyle w:val="Ttulo1"/>
        <w:rPr>
          <w:lang w:val="es-ES"/>
        </w:rPr>
      </w:pPr>
      <w:bookmarkStart w:id="9" w:name="_Toc93400228"/>
      <w:r w:rsidRPr="004F2666">
        <w:rPr>
          <w:lang w:val="es-ES"/>
        </w:rPr>
        <w:t>I</w:t>
      </w:r>
      <w:r w:rsidR="00DF328D" w:rsidRPr="004F2666">
        <w:rPr>
          <w:lang w:val="es-ES"/>
        </w:rPr>
        <w:t>V</w:t>
      </w:r>
      <w:r w:rsidR="00DF328D" w:rsidRPr="004F2666">
        <w:rPr>
          <w:lang w:val="es-ES"/>
        </w:rPr>
        <w:br/>
        <w:t>RECONOCIMIENTO DE RESPONSABILIDAD INTERNACIONAL</w:t>
      </w:r>
      <w:bookmarkEnd w:id="9"/>
    </w:p>
    <w:p w14:paraId="2C2CE50C" w14:textId="77777777" w:rsidR="00DF328D" w:rsidRPr="004F2666" w:rsidRDefault="00DF328D" w:rsidP="00DF328D">
      <w:pPr>
        <w:pStyle w:val="Ttulo2"/>
        <w:rPr>
          <w:lang w:val="es-ES"/>
        </w:rPr>
      </w:pPr>
      <w:bookmarkStart w:id="10" w:name="_Toc74911303"/>
      <w:bookmarkStart w:id="11" w:name="_Toc93400229"/>
      <w:r w:rsidRPr="004F2666">
        <w:rPr>
          <w:lang w:val="es-ES"/>
        </w:rPr>
        <w:t>A.</w:t>
      </w:r>
      <w:r w:rsidRPr="004F2666">
        <w:rPr>
          <w:lang w:val="es-ES"/>
        </w:rPr>
        <w:tab/>
        <w:t>Reconocimiento parcial por parte del Estado, observaciones de las partes y de la Comisión</w:t>
      </w:r>
      <w:bookmarkEnd w:id="10"/>
      <w:bookmarkEnd w:id="11"/>
      <w:r w:rsidRPr="004F2666">
        <w:rPr>
          <w:lang w:val="es-ES"/>
        </w:rPr>
        <w:t xml:space="preserve"> </w:t>
      </w:r>
    </w:p>
    <w:p w14:paraId="3716154E" w14:textId="1D933CDC" w:rsidR="00AE1D35" w:rsidRPr="004F2666" w:rsidRDefault="00DF328D" w:rsidP="00096E41">
      <w:pPr>
        <w:numPr>
          <w:ilvl w:val="0"/>
          <w:numId w:val="4"/>
        </w:numPr>
        <w:tabs>
          <w:tab w:val="left" w:pos="567"/>
          <w:tab w:val="num" w:pos="1569"/>
          <w:tab w:val="num" w:pos="12305"/>
        </w:tabs>
        <w:spacing w:line="240" w:lineRule="auto"/>
        <w:ind w:left="0" w:firstLine="0"/>
        <w:rPr>
          <w:rFonts w:eastAsia="Batang"/>
          <w:lang w:val="es-ES" w:eastAsia="en-US"/>
        </w:rPr>
      </w:pPr>
      <w:r w:rsidRPr="004F2666">
        <w:rPr>
          <w:rFonts w:eastAsia="Batang"/>
          <w:lang w:val="es-ES" w:eastAsia="en-US"/>
        </w:rPr>
        <w:t xml:space="preserve">En el acto de la audiencia pública celebrada en el presente caso, el </w:t>
      </w:r>
      <w:r w:rsidRPr="004F2666">
        <w:rPr>
          <w:rFonts w:eastAsia="Batang"/>
          <w:b/>
          <w:i/>
          <w:lang w:val="es-ES" w:eastAsia="en-US"/>
        </w:rPr>
        <w:t>Estado</w:t>
      </w:r>
      <w:r w:rsidR="00FB6A68" w:rsidRPr="004F2666">
        <w:rPr>
          <w:rFonts w:eastAsia="Batang"/>
          <w:lang w:val="es-ES" w:eastAsia="en-US"/>
        </w:rPr>
        <w:t>, con el objetivo de evitar “</w:t>
      </w:r>
      <w:r w:rsidR="00AF3B15" w:rsidRPr="004F2666">
        <w:rPr>
          <w:rFonts w:eastAsia="Batang"/>
          <w:lang w:val="es-ES" w:eastAsia="en-US"/>
        </w:rPr>
        <w:t>una victimización secundaria sobre la familia</w:t>
      </w:r>
      <w:r w:rsidR="00FB6A68" w:rsidRPr="004F2666">
        <w:rPr>
          <w:rFonts w:eastAsia="Batang"/>
          <w:lang w:val="es-ES" w:eastAsia="en-US"/>
        </w:rPr>
        <w:t xml:space="preserve">” de la </w:t>
      </w:r>
      <w:r w:rsidR="001F344D">
        <w:rPr>
          <w:rFonts w:eastAsia="Batang"/>
          <w:lang w:val="es-ES" w:eastAsia="en-US"/>
        </w:rPr>
        <w:t>señora Digna Ochoa</w:t>
      </w:r>
      <w:r w:rsidR="00FB6A68" w:rsidRPr="004F2666">
        <w:rPr>
          <w:rFonts w:eastAsia="Batang"/>
          <w:lang w:val="es-ES" w:eastAsia="en-US"/>
        </w:rPr>
        <w:t xml:space="preserve">, informó que reconocía </w:t>
      </w:r>
      <w:r w:rsidR="00AF3B15" w:rsidRPr="004F2666">
        <w:rPr>
          <w:rFonts w:eastAsia="Batang"/>
          <w:lang w:val="es-ES" w:eastAsia="en-US"/>
        </w:rPr>
        <w:t xml:space="preserve">su responsabilidad internacional </w:t>
      </w:r>
      <w:r w:rsidR="00FB6A68" w:rsidRPr="004F2666">
        <w:rPr>
          <w:rFonts w:eastAsia="Batang"/>
          <w:lang w:val="es-ES" w:eastAsia="en-US"/>
        </w:rPr>
        <w:t>“</w:t>
      </w:r>
      <w:r w:rsidR="00AF3B15" w:rsidRPr="004F2666">
        <w:rPr>
          <w:rFonts w:eastAsia="Batang"/>
          <w:lang w:val="es-ES" w:eastAsia="en-US"/>
        </w:rPr>
        <w:t xml:space="preserve">por la </w:t>
      </w:r>
      <w:r w:rsidR="00AF3B15" w:rsidRPr="004F2666">
        <w:t>violación</w:t>
      </w:r>
      <w:r w:rsidR="00AF3B15" w:rsidRPr="004F2666">
        <w:rPr>
          <w:rFonts w:eastAsia="Batang"/>
          <w:lang w:val="es-ES" w:eastAsia="en-US"/>
        </w:rPr>
        <w:t xml:space="preserve"> de los artículos 8 y 25 de la Convención Americana en relación con el artículo 1.1 del mismo instrumento </w:t>
      </w:r>
      <w:r w:rsidR="00FB6A68" w:rsidRPr="004F2666">
        <w:rPr>
          <w:rFonts w:eastAsia="Batang"/>
          <w:lang w:val="es-ES" w:eastAsia="en-US"/>
        </w:rPr>
        <w:t>en los términos señalados en el Informe de F</w:t>
      </w:r>
      <w:r w:rsidR="00AF3B15" w:rsidRPr="004F2666">
        <w:rPr>
          <w:rFonts w:eastAsia="Batang"/>
          <w:lang w:val="es-ES" w:eastAsia="en-US"/>
        </w:rPr>
        <w:t>ondo de la Comisión Interamericana de Derechos Humanos</w:t>
      </w:r>
      <w:r w:rsidR="00FB6A68" w:rsidRPr="004F2666">
        <w:rPr>
          <w:rFonts w:eastAsia="Batang"/>
          <w:lang w:val="es-ES" w:eastAsia="en-US"/>
        </w:rPr>
        <w:t>”</w:t>
      </w:r>
      <w:r w:rsidR="00AF3B15" w:rsidRPr="004F2666">
        <w:rPr>
          <w:rFonts w:eastAsia="Batang"/>
          <w:lang w:val="es-ES" w:eastAsia="en-US"/>
        </w:rPr>
        <w:t>.</w:t>
      </w:r>
      <w:r w:rsidR="00FB6A68" w:rsidRPr="004F2666">
        <w:rPr>
          <w:rFonts w:eastAsia="Batang"/>
          <w:lang w:val="es-ES" w:eastAsia="en-US"/>
        </w:rPr>
        <w:t xml:space="preserve"> Adicionalmente, </w:t>
      </w:r>
      <w:r w:rsidR="00AF3B15" w:rsidRPr="004F2666">
        <w:rPr>
          <w:rFonts w:eastAsia="Batang"/>
          <w:lang w:val="es-ES" w:eastAsia="en-US"/>
        </w:rPr>
        <w:t xml:space="preserve">el Estado </w:t>
      </w:r>
      <w:r w:rsidR="00FB6A68" w:rsidRPr="004F2666">
        <w:rPr>
          <w:rFonts w:eastAsia="Batang"/>
          <w:lang w:val="es-ES" w:eastAsia="en-US"/>
        </w:rPr>
        <w:t xml:space="preserve">reconoció la violación del artículo </w:t>
      </w:r>
      <w:r w:rsidR="00AF3B15" w:rsidRPr="004F2666">
        <w:rPr>
          <w:rFonts w:eastAsia="Batang"/>
          <w:lang w:val="es-ES" w:eastAsia="en-US"/>
        </w:rPr>
        <w:t xml:space="preserve">7 de la </w:t>
      </w:r>
      <w:r w:rsidR="00FB6A68" w:rsidRPr="004F2666">
        <w:rPr>
          <w:rFonts w:eastAsia="Batang"/>
          <w:lang w:val="es-ES" w:eastAsia="en-US"/>
        </w:rPr>
        <w:t>Convención de Belém do Pará</w:t>
      </w:r>
      <w:r w:rsidR="00AF3B15" w:rsidRPr="004F2666">
        <w:rPr>
          <w:rFonts w:eastAsia="Batang"/>
          <w:lang w:val="es-ES" w:eastAsia="en-US"/>
        </w:rPr>
        <w:t xml:space="preserve"> </w:t>
      </w:r>
      <w:r w:rsidR="00FB6A68" w:rsidRPr="004F2666">
        <w:rPr>
          <w:rFonts w:eastAsia="Batang"/>
          <w:lang w:val="es-ES" w:eastAsia="en-US"/>
        </w:rPr>
        <w:t>“</w:t>
      </w:r>
      <w:r w:rsidR="00AF3B15" w:rsidRPr="004F2666">
        <w:rPr>
          <w:rFonts w:eastAsia="Batang"/>
          <w:lang w:val="es-ES" w:eastAsia="en-US"/>
        </w:rPr>
        <w:t>al no haberse llevado a cabo una investigación con perspectiva de género en el presente caso</w:t>
      </w:r>
      <w:r w:rsidR="00FB6A68" w:rsidRPr="004F2666">
        <w:rPr>
          <w:rFonts w:eastAsia="Batang"/>
          <w:lang w:val="es-ES" w:eastAsia="en-US"/>
        </w:rPr>
        <w:t>”</w:t>
      </w:r>
      <w:r w:rsidR="00AF3B15" w:rsidRPr="004F2666">
        <w:rPr>
          <w:rFonts w:eastAsia="Batang"/>
          <w:lang w:val="es-ES" w:eastAsia="en-US"/>
        </w:rPr>
        <w:t>. El Estado</w:t>
      </w:r>
      <w:r w:rsidR="00FB6A68" w:rsidRPr="004F2666">
        <w:rPr>
          <w:rFonts w:eastAsia="Batang"/>
          <w:lang w:val="es-ES" w:eastAsia="en-US"/>
        </w:rPr>
        <w:t xml:space="preserve"> también reconoció </w:t>
      </w:r>
      <w:r w:rsidR="00AF3B15" w:rsidRPr="004F2666">
        <w:rPr>
          <w:rFonts w:eastAsia="Batang"/>
          <w:lang w:val="es-ES" w:eastAsia="en-US"/>
        </w:rPr>
        <w:t xml:space="preserve">su responsabilidad internacional por la violación del </w:t>
      </w:r>
      <w:r w:rsidR="00FB6A68" w:rsidRPr="004F2666">
        <w:rPr>
          <w:rFonts w:eastAsia="Batang"/>
          <w:lang w:val="es-ES" w:eastAsia="en-US"/>
        </w:rPr>
        <w:t>artículo 5</w:t>
      </w:r>
      <w:r w:rsidR="00AF3B15" w:rsidRPr="004F2666">
        <w:rPr>
          <w:rFonts w:eastAsia="Batang"/>
          <w:lang w:val="es-ES" w:eastAsia="en-US"/>
        </w:rPr>
        <w:t xml:space="preserve"> de la Convención Americana en </w:t>
      </w:r>
      <w:r w:rsidR="00FB6A68" w:rsidRPr="004F2666">
        <w:rPr>
          <w:rFonts w:eastAsia="Batang"/>
          <w:lang w:val="es-ES" w:eastAsia="en-US"/>
        </w:rPr>
        <w:t xml:space="preserve">perjuicio de </w:t>
      </w:r>
      <w:r w:rsidR="00AF3B15" w:rsidRPr="004F2666">
        <w:rPr>
          <w:rFonts w:eastAsia="Batang"/>
          <w:lang w:val="es-ES" w:eastAsia="en-US"/>
        </w:rPr>
        <w:t>los familiares de</w:t>
      </w:r>
      <w:r w:rsidR="00E8522F">
        <w:rPr>
          <w:rFonts w:eastAsia="Batang"/>
          <w:lang w:val="es-ES" w:eastAsia="en-US"/>
        </w:rPr>
        <w:t xml:space="preserve"> la señora</w:t>
      </w:r>
      <w:r w:rsidR="00AF3B15" w:rsidRPr="004F2666">
        <w:rPr>
          <w:rFonts w:eastAsia="Batang"/>
          <w:lang w:val="es-ES" w:eastAsia="en-US"/>
        </w:rPr>
        <w:t xml:space="preserve"> Digna Ochoa </w:t>
      </w:r>
      <w:r w:rsidR="000D351B" w:rsidRPr="004F2666">
        <w:rPr>
          <w:rFonts w:eastAsia="Batang"/>
          <w:lang w:val="es-ES" w:eastAsia="en-US"/>
        </w:rPr>
        <w:t>en vista de la “</w:t>
      </w:r>
      <w:r w:rsidR="00AF3B15" w:rsidRPr="004F2666">
        <w:rPr>
          <w:rFonts w:eastAsia="Batang"/>
          <w:lang w:val="es-ES" w:eastAsia="en-US"/>
        </w:rPr>
        <w:t>ausencia de verdad y justicia en el presente caso</w:t>
      </w:r>
      <w:r w:rsidR="000D351B" w:rsidRPr="004F2666">
        <w:rPr>
          <w:rFonts w:eastAsia="Batang"/>
          <w:lang w:val="es-ES" w:eastAsia="en-US"/>
        </w:rPr>
        <w:t>”</w:t>
      </w:r>
      <w:r w:rsidR="00AF3B15" w:rsidRPr="004F2666">
        <w:rPr>
          <w:rFonts w:eastAsia="Batang"/>
          <w:lang w:val="es-ES" w:eastAsia="en-US"/>
        </w:rPr>
        <w:t xml:space="preserve">. </w:t>
      </w:r>
      <w:r w:rsidR="000D351B" w:rsidRPr="004F2666">
        <w:rPr>
          <w:rFonts w:eastAsia="Batang"/>
          <w:lang w:val="es-ES" w:eastAsia="en-US"/>
        </w:rPr>
        <w:t xml:space="preserve">Por otro lado, el Estado reconoció su responsabilidad internacional </w:t>
      </w:r>
      <w:r w:rsidR="00AF3B15" w:rsidRPr="004F2666">
        <w:rPr>
          <w:rFonts w:eastAsia="Batang"/>
          <w:lang w:val="es-ES" w:eastAsia="en-US"/>
        </w:rPr>
        <w:t xml:space="preserve">por la violación del </w:t>
      </w:r>
      <w:r w:rsidR="000D351B" w:rsidRPr="004F2666">
        <w:rPr>
          <w:rFonts w:eastAsia="Batang"/>
          <w:lang w:val="es-ES" w:eastAsia="en-US"/>
        </w:rPr>
        <w:t>artículo 11</w:t>
      </w:r>
      <w:r w:rsidR="00AF3B15" w:rsidRPr="004F2666">
        <w:rPr>
          <w:rFonts w:eastAsia="Batang"/>
          <w:lang w:val="es-ES" w:eastAsia="en-US"/>
        </w:rPr>
        <w:t xml:space="preserve"> de la Convención Americana</w:t>
      </w:r>
      <w:r w:rsidR="00077D6A">
        <w:rPr>
          <w:rFonts w:eastAsia="Batang"/>
          <w:lang w:val="es-ES" w:eastAsia="en-US"/>
        </w:rPr>
        <w:t>,</w:t>
      </w:r>
      <w:r w:rsidR="00AF3B15" w:rsidRPr="004F2666">
        <w:rPr>
          <w:rFonts w:eastAsia="Batang"/>
          <w:lang w:val="es-ES" w:eastAsia="en-US"/>
        </w:rPr>
        <w:t xml:space="preserve"> </w:t>
      </w:r>
      <w:r w:rsidR="000D351B" w:rsidRPr="004F2666">
        <w:rPr>
          <w:rFonts w:eastAsia="Batang"/>
          <w:lang w:val="es-ES" w:eastAsia="en-US"/>
        </w:rPr>
        <w:t>en relación con el artículo 1.1 del mismo instrumento</w:t>
      </w:r>
      <w:r w:rsidR="00077D6A">
        <w:rPr>
          <w:rFonts w:eastAsia="Batang"/>
          <w:lang w:val="es-ES" w:eastAsia="en-US"/>
        </w:rPr>
        <w:t>,</w:t>
      </w:r>
      <w:r w:rsidR="000D351B" w:rsidRPr="004F2666">
        <w:rPr>
          <w:rFonts w:eastAsia="Batang"/>
          <w:lang w:val="es-ES" w:eastAsia="en-US"/>
        </w:rPr>
        <w:t xml:space="preserve"> </w:t>
      </w:r>
      <w:r w:rsidR="00AF3B15" w:rsidRPr="004F2666">
        <w:rPr>
          <w:rFonts w:eastAsia="Batang"/>
          <w:lang w:val="es-ES" w:eastAsia="en-US"/>
        </w:rPr>
        <w:t>en perjuicio de</w:t>
      </w:r>
      <w:r w:rsidR="00FB6A68" w:rsidRPr="004F2666">
        <w:rPr>
          <w:rFonts w:eastAsia="Batang"/>
          <w:lang w:val="es-ES" w:eastAsia="en-US"/>
        </w:rPr>
        <w:t xml:space="preserve"> la </w:t>
      </w:r>
      <w:r w:rsidR="001F344D">
        <w:rPr>
          <w:rFonts w:eastAsia="Batang"/>
          <w:lang w:val="es-ES" w:eastAsia="en-US"/>
        </w:rPr>
        <w:t>señora Digna Ochoa</w:t>
      </w:r>
      <w:r w:rsidR="00AF3B15" w:rsidRPr="004F2666">
        <w:rPr>
          <w:rFonts w:eastAsia="Batang"/>
          <w:lang w:val="es-ES" w:eastAsia="en-US"/>
        </w:rPr>
        <w:t xml:space="preserve"> </w:t>
      </w:r>
      <w:r w:rsidR="000D351B" w:rsidRPr="004F2666">
        <w:rPr>
          <w:rFonts w:eastAsia="Batang"/>
          <w:lang w:val="es-ES" w:eastAsia="en-US"/>
        </w:rPr>
        <w:t>“</w:t>
      </w:r>
      <w:r w:rsidR="00AF3B15" w:rsidRPr="004F2666">
        <w:rPr>
          <w:rFonts w:eastAsia="Batang"/>
          <w:lang w:val="es-ES" w:eastAsia="en-US"/>
        </w:rPr>
        <w:t>como víctima de la imagen negativa que se generó respecto de su persona después de su fallecimiento y por el manejo dado a la información dentro de la investigación llevada por la muerte de esta defensora</w:t>
      </w:r>
      <w:r w:rsidR="000D351B" w:rsidRPr="004F2666">
        <w:rPr>
          <w:rFonts w:eastAsia="Batang"/>
          <w:lang w:val="es-ES" w:eastAsia="en-US"/>
        </w:rPr>
        <w:t>”</w:t>
      </w:r>
      <w:r w:rsidR="00AF3B15" w:rsidRPr="004F2666">
        <w:rPr>
          <w:rFonts w:eastAsia="Batang"/>
          <w:lang w:val="es-ES" w:eastAsia="en-US"/>
        </w:rPr>
        <w:t xml:space="preserve">. </w:t>
      </w:r>
    </w:p>
    <w:p w14:paraId="148B48DC" w14:textId="77777777" w:rsidR="00AE1D35" w:rsidRPr="004F2666" w:rsidRDefault="00AE1D35" w:rsidP="00AE1D35">
      <w:pPr>
        <w:tabs>
          <w:tab w:val="left" w:pos="567"/>
        </w:tabs>
        <w:spacing w:line="240" w:lineRule="auto"/>
        <w:rPr>
          <w:rFonts w:eastAsia="Batang"/>
          <w:lang w:val="es-ES" w:eastAsia="en-US"/>
        </w:rPr>
      </w:pPr>
    </w:p>
    <w:p w14:paraId="47AF9B7D" w14:textId="702287CD" w:rsidR="00DF328D" w:rsidRPr="004F2666" w:rsidRDefault="003F766B" w:rsidP="003F766B">
      <w:pPr>
        <w:numPr>
          <w:ilvl w:val="0"/>
          <w:numId w:val="4"/>
        </w:numPr>
        <w:tabs>
          <w:tab w:val="left" w:pos="567"/>
          <w:tab w:val="num" w:pos="1569"/>
          <w:tab w:val="num" w:pos="12305"/>
        </w:tabs>
        <w:spacing w:line="240" w:lineRule="auto"/>
        <w:ind w:left="0" w:firstLine="0"/>
        <w:rPr>
          <w:rFonts w:eastAsia="Batang"/>
          <w:lang w:val="es-ES" w:eastAsia="en-US"/>
        </w:rPr>
      </w:pPr>
      <w:r w:rsidRPr="004F2666">
        <w:rPr>
          <w:rFonts w:eastAsia="Batang"/>
          <w:lang w:val="es-ES" w:eastAsia="en-US"/>
        </w:rPr>
        <w:t>Respecto a las reparaciones</w:t>
      </w:r>
      <w:r w:rsidR="00E87467">
        <w:rPr>
          <w:rFonts w:eastAsia="Batang"/>
          <w:lang w:val="es-ES" w:eastAsia="en-US"/>
        </w:rPr>
        <w:t>,</w:t>
      </w:r>
      <w:r w:rsidRPr="004F2666">
        <w:rPr>
          <w:rFonts w:eastAsia="Batang"/>
          <w:lang w:val="es-ES" w:eastAsia="en-US"/>
        </w:rPr>
        <w:t xml:space="preserve"> el Estado informó que se había producido un acercamiento con </w:t>
      </w:r>
      <w:r w:rsidR="00183EC9">
        <w:rPr>
          <w:rFonts w:eastAsia="Batang"/>
          <w:lang w:val="es-ES" w:eastAsia="en-US"/>
        </w:rPr>
        <w:t>las representantes</w:t>
      </w:r>
      <w:r w:rsidRPr="004F2666">
        <w:rPr>
          <w:rFonts w:eastAsia="Batang"/>
          <w:lang w:val="es-ES" w:eastAsia="en-US"/>
        </w:rPr>
        <w:t xml:space="preserve"> y con el </w:t>
      </w:r>
      <w:r w:rsidR="00040BF4">
        <w:rPr>
          <w:rFonts w:eastAsia="Batang"/>
          <w:lang w:val="es-ES" w:eastAsia="en-US"/>
        </w:rPr>
        <w:t>señor</w:t>
      </w:r>
      <w:r w:rsidRPr="004F2666">
        <w:rPr>
          <w:rFonts w:eastAsia="Batang"/>
          <w:lang w:val="es-ES" w:eastAsia="en-US"/>
        </w:rPr>
        <w:t xml:space="preserve"> Jesús Ochoa, hermano de la </w:t>
      </w:r>
      <w:r w:rsidR="00040BF4">
        <w:rPr>
          <w:rFonts w:eastAsia="Batang"/>
          <w:lang w:val="es-ES" w:eastAsia="en-US"/>
        </w:rPr>
        <w:t xml:space="preserve">presunta </w:t>
      </w:r>
      <w:r w:rsidRPr="004F2666">
        <w:rPr>
          <w:rFonts w:eastAsia="Batang"/>
          <w:lang w:val="es-ES" w:eastAsia="en-US"/>
        </w:rPr>
        <w:t>víctima, a fin de proponer un “convenio de reparación integral como componente fundamental que dé pauta a la implementación de medidas de no repetición por el Estado”, el cual sería puesto en conocimiento de esta Corte.</w:t>
      </w:r>
      <w:r w:rsidR="00086A18" w:rsidRPr="004F2666">
        <w:rPr>
          <w:rFonts w:eastAsia="Batang"/>
          <w:lang w:val="es-ES" w:eastAsia="en-US"/>
        </w:rPr>
        <w:t xml:space="preserve"> </w:t>
      </w:r>
    </w:p>
    <w:p w14:paraId="7ABCC6D8" w14:textId="77777777" w:rsidR="000D351B" w:rsidRPr="004F2666" w:rsidRDefault="000D351B" w:rsidP="000D351B">
      <w:pPr>
        <w:tabs>
          <w:tab w:val="left" w:pos="567"/>
        </w:tabs>
        <w:spacing w:line="240" w:lineRule="auto"/>
        <w:rPr>
          <w:rFonts w:eastAsia="Batang"/>
          <w:lang w:val="es-ES" w:eastAsia="en-US"/>
        </w:rPr>
      </w:pPr>
    </w:p>
    <w:p w14:paraId="50516AAC" w14:textId="2798355E" w:rsidR="00DF328D" w:rsidRPr="00D51095" w:rsidRDefault="00DF328D" w:rsidP="00086A18">
      <w:pPr>
        <w:numPr>
          <w:ilvl w:val="0"/>
          <w:numId w:val="4"/>
        </w:numPr>
        <w:tabs>
          <w:tab w:val="left" w:pos="567"/>
          <w:tab w:val="num" w:pos="1569"/>
          <w:tab w:val="num" w:pos="12305"/>
        </w:tabs>
        <w:spacing w:line="240" w:lineRule="auto"/>
        <w:ind w:left="0" w:firstLine="0"/>
        <w:rPr>
          <w:rFonts w:eastAsia="Batang"/>
          <w:lang w:val="es-ES" w:eastAsia="en-US"/>
        </w:rPr>
      </w:pPr>
      <w:r w:rsidRPr="00D51095">
        <w:rPr>
          <w:rFonts w:eastAsia="Batang"/>
          <w:lang w:val="es-ES" w:eastAsia="en-US"/>
        </w:rPr>
        <w:t xml:space="preserve">Asimismo, en su </w:t>
      </w:r>
      <w:r w:rsidRPr="00D51095">
        <w:rPr>
          <w:lang w:val="es-ES"/>
        </w:rPr>
        <w:t>escrito</w:t>
      </w:r>
      <w:r w:rsidRPr="00D51095">
        <w:rPr>
          <w:rFonts w:eastAsia="Batang"/>
          <w:lang w:val="es-ES" w:eastAsia="en-US"/>
        </w:rPr>
        <w:t xml:space="preserve"> de alegatos finales, el Estado reiteró el reconocimiento parcial de responsabilidad internacional realizado en la audie</w:t>
      </w:r>
      <w:r w:rsidR="00266211" w:rsidRPr="00D51095">
        <w:rPr>
          <w:rFonts w:eastAsia="Batang"/>
          <w:lang w:val="es-ES" w:eastAsia="en-US"/>
        </w:rPr>
        <w:t>ncia pública.</w:t>
      </w:r>
      <w:r w:rsidR="00266211" w:rsidRPr="00D51095">
        <w:rPr>
          <w:rFonts w:eastAsia="Batang"/>
          <w:b/>
          <w:lang w:val="es-ES" w:eastAsia="en-US"/>
        </w:rPr>
        <w:t xml:space="preserve"> </w:t>
      </w:r>
      <w:r w:rsidR="00E87467" w:rsidRPr="00D51095">
        <w:rPr>
          <w:rFonts w:eastAsia="Batang"/>
          <w:lang w:val="es-ES" w:eastAsia="en-US"/>
        </w:rPr>
        <w:t>Además</w:t>
      </w:r>
      <w:r w:rsidR="00086A18" w:rsidRPr="00D51095">
        <w:rPr>
          <w:rFonts w:eastAsia="Batang"/>
          <w:lang w:val="es-ES" w:eastAsia="en-US"/>
        </w:rPr>
        <w:t xml:space="preserve">, informó que se habían </w:t>
      </w:r>
      <w:r w:rsidR="0087173E" w:rsidRPr="00D51095">
        <w:rPr>
          <w:rFonts w:eastAsia="Batang"/>
          <w:lang w:val="es-ES" w:eastAsia="en-US"/>
        </w:rPr>
        <w:t>alcanzado</w:t>
      </w:r>
      <w:r w:rsidR="00086A18" w:rsidRPr="00D51095">
        <w:rPr>
          <w:rFonts w:eastAsia="Batang"/>
          <w:lang w:val="es-ES" w:eastAsia="en-US"/>
        </w:rPr>
        <w:t xml:space="preserve"> “acuerdo totales” en materia de reparación y, en particular, en relación con medidas de acceso a la verdad y justicia, medidas de satisfacción, de rehabilitación, de no repetición e indemnizatorias</w:t>
      </w:r>
      <w:r w:rsidR="005A7B1B" w:rsidRPr="00D51095">
        <w:rPr>
          <w:rStyle w:val="Refdenotaalpie"/>
          <w:rFonts w:eastAsia="Batang"/>
          <w:lang w:val="es-ES" w:eastAsia="en-US"/>
        </w:rPr>
        <w:footnoteReference w:id="19"/>
      </w:r>
      <w:r w:rsidR="005A7B1B" w:rsidRPr="00D51095">
        <w:rPr>
          <w:rFonts w:eastAsia="Batang"/>
          <w:lang w:val="es-ES" w:eastAsia="en-US"/>
        </w:rPr>
        <w:t xml:space="preserve">. </w:t>
      </w:r>
      <w:r w:rsidR="00580C3B" w:rsidRPr="00D51095">
        <w:rPr>
          <w:rFonts w:eastAsia="Batang"/>
          <w:lang w:val="es-ES" w:eastAsia="en-US"/>
        </w:rPr>
        <w:t>E</w:t>
      </w:r>
      <w:r w:rsidR="00086A18" w:rsidRPr="00D51095">
        <w:rPr>
          <w:rFonts w:eastAsia="Batang"/>
          <w:lang w:val="es-ES" w:eastAsia="en-US"/>
        </w:rPr>
        <w:t xml:space="preserve">l Estado mexicano informó que continuaría “alentando el trabajo conjunto con los familiares y la representación del caso a efecto de concretar aquellos acuerdos en los que hasta el momento existen acuerdos parciales con el propósito de concretar una propuesta de </w:t>
      </w:r>
      <w:r w:rsidR="00E87467" w:rsidRPr="00D51095">
        <w:rPr>
          <w:rFonts w:eastAsia="Batang"/>
          <w:lang w:val="es-ES" w:eastAsia="en-US"/>
        </w:rPr>
        <w:t>r</w:t>
      </w:r>
      <w:r w:rsidR="00086A18" w:rsidRPr="00D51095">
        <w:rPr>
          <w:rFonts w:eastAsia="Batang"/>
          <w:lang w:val="es-ES" w:eastAsia="en-US"/>
        </w:rPr>
        <w:t xml:space="preserve">eparación </w:t>
      </w:r>
      <w:r w:rsidR="00E87467" w:rsidRPr="00D51095">
        <w:rPr>
          <w:rFonts w:eastAsia="Batang"/>
          <w:lang w:val="es-ES" w:eastAsia="en-US"/>
        </w:rPr>
        <w:t>i</w:t>
      </w:r>
      <w:r w:rsidR="00086A18" w:rsidRPr="00D51095">
        <w:rPr>
          <w:rFonts w:eastAsia="Batang"/>
          <w:lang w:val="es-ES" w:eastAsia="en-US"/>
        </w:rPr>
        <w:t xml:space="preserve">ntegral que contemple sus </w:t>
      </w:r>
      <w:r w:rsidR="00312DD4" w:rsidRPr="00D51095">
        <w:rPr>
          <w:rFonts w:eastAsia="Batang"/>
          <w:lang w:val="es-ES" w:eastAsia="en-US"/>
        </w:rPr>
        <w:t>expectativas,</w:t>
      </w:r>
      <w:r w:rsidR="00086A18" w:rsidRPr="00D51095">
        <w:rPr>
          <w:rFonts w:eastAsia="Batang"/>
          <w:lang w:val="es-ES" w:eastAsia="en-US"/>
        </w:rPr>
        <w:t xml:space="preserve"> así como las competencias de las autoridades implicadas en su materialización”. </w:t>
      </w:r>
    </w:p>
    <w:p w14:paraId="3BD110B6" w14:textId="025F0E43" w:rsidR="0087173E" w:rsidRDefault="0087173E" w:rsidP="0087173E">
      <w:pPr>
        <w:tabs>
          <w:tab w:val="left" w:pos="567"/>
        </w:tabs>
        <w:spacing w:line="240" w:lineRule="auto"/>
        <w:rPr>
          <w:rFonts w:eastAsia="Batang"/>
          <w:b/>
          <w:lang w:val="es-ES" w:eastAsia="en-US"/>
        </w:rPr>
      </w:pPr>
    </w:p>
    <w:p w14:paraId="415BAFBC" w14:textId="00C82D0C" w:rsidR="00DF328D" w:rsidRPr="004F2666" w:rsidRDefault="00DF328D" w:rsidP="00266211">
      <w:pPr>
        <w:numPr>
          <w:ilvl w:val="0"/>
          <w:numId w:val="4"/>
        </w:numPr>
        <w:tabs>
          <w:tab w:val="left" w:pos="567"/>
          <w:tab w:val="num" w:pos="1569"/>
          <w:tab w:val="num" w:pos="12305"/>
        </w:tabs>
        <w:spacing w:line="240" w:lineRule="auto"/>
        <w:ind w:left="0" w:firstLine="0"/>
        <w:rPr>
          <w:rFonts w:eastAsia="Batang"/>
          <w:lang w:val="es-ES" w:eastAsia="en-US"/>
        </w:rPr>
      </w:pPr>
      <w:r w:rsidRPr="004F2666">
        <w:rPr>
          <w:lang w:val="es-ES"/>
        </w:rPr>
        <w:t xml:space="preserve">La </w:t>
      </w:r>
      <w:r w:rsidRPr="004F2666">
        <w:rPr>
          <w:b/>
          <w:i/>
          <w:lang w:val="es-ES"/>
        </w:rPr>
        <w:t>Comisión</w:t>
      </w:r>
      <w:r w:rsidRPr="004F2666">
        <w:rPr>
          <w:lang w:val="es-ES"/>
        </w:rPr>
        <w:t xml:space="preserve"> “</w:t>
      </w:r>
      <w:proofErr w:type="spellStart"/>
      <w:r w:rsidRPr="004F2666">
        <w:rPr>
          <w:lang w:val="es-ES"/>
        </w:rPr>
        <w:t>tom</w:t>
      </w:r>
      <w:proofErr w:type="spellEnd"/>
      <w:r w:rsidRPr="004F2666">
        <w:rPr>
          <w:lang w:val="es-ES"/>
        </w:rPr>
        <w:t>[</w:t>
      </w:r>
      <w:proofErr w:type="spellStart"/>
      <w:r w:rsidRPr="004F2666">
        <w:rPr>
          <w:lang w:val="es-ES"/>
        </w:rPr>
        <w:t>ó</w:t>
      </w:r>
      <w:proofErr w:type="spellEnd"/>
      <w:r w:rsidRPr="004F2666">
        <w:rPr>
          <w:lang w:val="es-ES"/>
        </w:rPr>
        <w:t xml:space="preserve">] nota” del reconocimiento parcial de responsabilidad internacional realizado por el Estado </w:t>
      </w:r>
      <w:r w:rsidR="00266211" w:rsidRPr="004F2666">
        <w:rPr>
          <w:lang w:val="es-ES"/>
        </w:rPr>
        <w:t>mexicano</w:t>
      </w:r>
      <w:r w:rsidRPr="004F2666">
        <w:rPr>
          <w:lang w:val="es-ES"/>
        </w:rPr>
        <w:t xml:space="preserve"> en la audiencia y lo calificó como “una contribución </w:t>
      </w:r>
      <w:r w:rsidR="00266211" w:rsidRPr="004F2666">
        <w:rPr>
          <w:lang w:val="es-ES"/>
        </w:rPr>
        <w:t>para la obtención de justicia y reparación para las víctimas del caso</w:t>
      </w:r>
      <w:r w:rsidRPr="004F2666">
        <w:rPr>
          <w:lang w:val="es-ES"/>
        </w:rPr>
        <w:t xml:space="preserve">”. No obstante, </w:t>
      </w:r>
      <w:r w:rsidR="00266211" w:rsidRPr="004F2666">
        <w:rPr>
          <w:lang w:val="es-ES"/>
        </w:rPr>
        <w:t xml:space="preserve">la Comisión hizo notar que algunas de las alegaciones planteadas por </w:t>
      </w:r>
      <w:r w:rsidR="00183EC9">
        <w:rPr>
          <w:lang w:val="es-ES"/>
        </w:rPr>
        <w:t>las representantes</w:t>
      </w:r>
      <w:r w:rsidR="00266211" w:rsidRPr="004F2666">
        <w:rPr>
          <w:lang w:val="es-ES"/>
        </w:rPr>
        <w:t xml:space="preserve"> no </w:t>
      </w:r>
      <w:r w:rsidR="000B41EE">
        <w:rPr>
          <w:lang w:val="es-ES"/>
        </w:rPr>
        <w:t>habían sido</w:t>
      </w:r>
      <w:r w:rsidR="000B41EE" w:rsidRPr="004F2666">
        <w:rPr>
          <w:lang w:val="es-ES"/>
        </w:rPr>
        <w:t xml:space="preserve"> </w:t>
      </w:r>
      <w:r w:rsidR="00266211" w:rsidRPr="004F2666">
        <w:rPr>
          <w:lang w:val="es-ES"/>
        </w:rPr>
        <w:t>objeto de un reconocimiento de responsabilidad por parte del Estado, por lo que persistiría la controversia</w:t>
      </w:r>
      <w:r w:rsidRPr="004F2666">
        <w:rPr>
          <w:lang w:val="es-ES"/>
        </w:rPr>
        <w:t xml:space="preserve"> </w:t>
      </w:r>
      <w:r w:rsidR="00266211" w:rsidRPr="004F2666">
        <w:rPr>
          <w:lang w:val="es-ES"/>
        </w:rPr>
        <w:t>respecto d</w:t>
      </w:r>
      <w:r w:rsidR="00E87467">
        <w:rPr>
          <w:lang w:val="es-ES"/>
        </w:rPr>
        <w:t xml:space="preserve">e ellas, tales como </w:t>
      </w:r>
      <w:r w:rsidR="00266211" w:rsidRPr="004F2666">
        <w:rPr>
          <w:lang w:val="es-ES"/>
        </w:rPr>
        <w:t xml:space="preserve">la alegada violación del derecho a la vida de la </w:t>
      </w:r>
      <w:r w:rsidR="00D42AE6">
        <w:rPr>
          <w:lang w:val="es-ES"/>
        </w:rPr>
        <w:t>señora</w:t>
      </w:r>
      <w:r w:rsidR="00266211" w:rsidRPr="004F2666">
        <w:rPr>
          <w:lang w:val="es-ES"/>
        </w:rPr>
        <w:t xml:space="preserve"> Digna Ochoa y Plácido y la alegada violación del derecho a defender derechos humanos. </w:t>
      </w:r>
    </w:p>
    <w:p w14:paraId="244A2C0A" w14:textId="77777777" w:rsidR="00266211" w:rsidRPr="004F2666" w:rsidRDefault="00266211" w:rsidP="00266211">
      <w:pPr>
        <w:tabs>
          <w:tab w:val="left" w:pos="567"/>
        </w:tabs>
        <w:spacing w:line="240" w:lineRule="auto"/>
        <w:ind w:left="825"/>
        <w:rPr>
          <w:rFonts w:eastAsia="Batang"/>
          <w:lang w:val="es-ES" w:eastAsia="en-US"/>
        </w:rPr>
      </w:pPr>
    </w:p>
    <w:p w14:paraId="1BD81DCE" w14:textId="260347DF" w:rsidR="003F766B" w:rsidRPr="004F2666" w:rsidRDefault="00266211" w:rsidP="00EC4B9A">
      <w:pPr>
        <w:numPr>
          <w:ilvl w:val="0"/>
          <w:numId w:val="4"/>
        </w:numPr>
        <w:tabs>
          <w:tab w:val="left" w:pos="567"/>
          <w:tab w:val="num" w:pos="1569"/>
          <w:tab w:val="num" w:pos="12305"/>
        </w:tabs>
        <w:spacing w:line="240" w:lineRule="auto"/>
        <w:ind w:left="0" w:firstLine="0"/>
        <w:rPr>
          <w:rFonts w:eastAsia="Batang"/>
          <w:lang w:val="es-ES" w:eastAsia="en-US"/>
        </w:rPr>
      </w:pPr>
      <w:r w:rsidRPr="004F2666">
        <w:rPr>
          <w:lang w:val="es-ES"/>
        </w:rPr>
        <w:lastRenderedPageBreak/>
        <w:t xml:space="preserve">En el mismo sentido que la Comisión, </w:t>
      </w:r>
      <w:r w:rsidR="00183EC9">
        <w:rPr>
          <w:lang w:val="es-ES"/>
        </w:rPr>
        <w:t>las representantes</w:t>
      </w:r>
      <w:r w:rsidR="00DF328D" w:rsidRPr="004F2666">
        <w:rPr>
          <w:lang w:val="es-ES"/>
        </w:rPr>
        <w:t xml:space="preserve"> </w:t>
      </w:r>
      <w:r w:rsidRPr="004F2666">
        <w:rPr>
          <w:lang w:val="es-ES"/>
        </w:rPr>
        <w:t>indicaron que existían otras violaciones en el marco de la investigación del</w:t>
      </w:r>
      <w:r w:rsidR="0087173E">
        <w:rPr>
          <w:lang w:val="es-ES"/>
        </w:rPr>
        <w:t xml:space="preserve"> alegado </w:t>
      </w:r>
      <w:r w:rsidRPr="004F2666">
        <w:rPr>
          <w:lang w:val="es-ES"/>
        </w:rPr>
        <w:t xml:space="preserve">asesinato de la defensora Digna Ochoa y Plácido que no </w:t>
      </w:r>
      <w:r w:rsidR="00E87467">
        <w:rPr>
          <w:lang w:val="es-ES"/>
        </w:rPr>
        <w:t>quedaron</w:t>
      </w:r>
      <w:r w:rsidRPr="004F2666">
        <w:rPr>
          <w:lang w:val="es-ES"/>
        </w:rPr>
        <w:t xml:space="preserve"> cubiertas por el reconocimiento del Estado, tales como “algunas deficiencias adicionales en el manejo de la escena del crimen”, “omisiones e irregularidades en la obtención de pruebas</w:t>
      </w:r>
      <w:r w:rsidR="008F3748">
        <w:rPr>
          <w:lang w:val="es-ES"/>
        </w:rPr>
        <w:t>”</w:t>
      </w:r>
      <w:r w:rsidRPr="004F2666">
        <w:rPr>
          <w:lang w:val="es-ES"/>
        </w:rPr>
        <w:t xml:space="preserve">, </w:t>
      </w:r>
      <w:r w:rsidR="003F766B" w:rsidRPr="004F2666">
        <w:rPr>
          <w:lang w:val="es-ES"/>
        </w:rPr>
        <w:t>y</w:t>
      </w:r>
      <w:r w:rsidRPr="004F2666">
        <w:rPr>
          <w:lang w:val="es-ES"/>
        </w:rPr>
        <w:t xml:space="preserve"> “deficiencias adicionales en la realización y el contenido de los peritajes psicológicos, biológicos y criminalísticos, así como en el empleo de estereotipos de género y</w:t>
      </w:r>
      <w:r w:rsidR="00E87467">
        <w:rPr>
          <w:lang w:val="es-ES"/>
        </w:rPr>
        <w:t xml:space="preserve"> </w:t>
      </w:r>
      <w:r w:rsidRPr="004F2666">
        <w:rPr>
          <w:lang w:val="es-ES"/>
        </w:rPr>
        <w:t>estigmatización en la que incurrió el Estado</w:t>
      </w:r>
      <w:r w:rsidR="003F766B" w:rsidRPr="004F2666">
        <w:rPr>
          <w:lang w:val="es-ES"/>
        </w:rPr>
        <w:t xml:space="preserve">”. Asimismo, </w:t>
      </w:r>
      <w:r w:rsidR="00183EC9">
        <w:rPr>
          <w:lang w:val="es-ES"/>
        </w:rPr>
        <w:t>las representantes</w:t>
      </w:r>
      <w:r w:rsidR="003F766B" w:rsidRPr="004F2666">
        <w:rPr>
          <w:lang w:val="es-ES"/>
        </w:rPr>
        <w:t xml:space="preserve"> valoraron positivamente el reconocimiento de responsabilidad efectuado por el Estado mexicano por la violación al derecho a la honra de la </w:t>
      </w:r>
      <w:r w:rsidR="001F344D">
        <w:rPr>
          <w:lang w:val="es-ES"/>
        </w:rPr>
        <w:t>señora Digna Ochoa</w:t>
      </w:r>
      <w:r w:rsidR="003F766B" w:rsidRPr="004F2666">
        <w:rPr>
          <w:lang w:val="es-ES"/>
        </w:rPr>
        <w:t xml:space="preserve"> y solicit</w:t>
      </w:r>
      <w:r w:rsidR="00D42AE6">
        <w:rPr>
          <w:lang w:val="es-ES"/>
        </w:rPr>
        <w:t>aron</w:t>
      </w:r>
      <w:r w:rsidR="003F766B" w:rsidRPr="004F2666">
        <w:rPr>
          <w:lang w:val="es-ES"/>
        </w:rPr>
        <w:t xml:space="preserve"> a la Corte aceptar </w:t>
      </w:r>
      <w:r w:rsidR="008F3748">
        <w:rPr>
          <w:lang w:val="es-ES"/>
        </w:rPr>
        <w:t>dicho</w:t>
      </w:r>
      <w:r w:rsidR="008F3748" w:rsidRPr="004F2666">
        <w:rPr>
          <w:lang w:val="es-ES"/>
        </w:rPr>
        <w:t xml:space="preserve"> </w:t>
      </w:r>
      <w:r w:rsidR="003F766B" w:rsidRPr="004F2666">
        <w:rPr>
          <w:lang w:val="es-ES"/>
        </w:rPr>
        <w:t xml:space="preserve">reconocimiento de responsabilidad internacional. </w:t>
      </w:r>
      <w:r w:rsidR="00A82FD3" w:rsidRPr="004F2666">
        <w:rPr>
          <w:lang w:val="es-ES"/>
        </w:rPr>
        <w:t xml:space="preserve">En materia de reparación, </w:t>
      </w:r>
      <w:r w:rsidR="00183EC9">
        <w:rPr>
          <w:lang w:val="es-ES"/>
        </w:rPr>
        <w:t>las representantes</w:t>
      </w:r>
      <w:r w:rsidR="00A82FD3" w:rsidRPr="004F2666">
        <w:rPr>
          <w:lang w:val="es-ES"/>
        </w:rPr>
        <w:t xml:space="preserve"> informaron que, efectivamente, existía un “proceso de acercamiento para proponer a la representación de las víctimas y a la familia Ochoa y Plácido una serie de medidas de reparación enmarcadas en el reconocimiento de la responsabilidad realizado por el Estado mexicano”</w:t>
      </w:r>
      <w:r w:rsidR="00EC4B9A" w:rsidRPr="004F2666">
        <w:rPr>
          <w:lang w:val="es-ES"/>
        </w:rPr>
        <w:t>, derivado de las violaciones de los artículos 8, 11 y 25</w:t>
      </w:r>
      <w:r w:rsidR="00866CDB">
        <w:rPr>
          <w:lang w:val="es-ES"/>
        </w:rPr>
        <w:t xml:space="preserve"> de la Convención,</w:t>
      </w:r>
      <w:r w:rsidR="00EC4B9A" w:rsidRPr="004F2666">
        <w:rPr>
          <w:lang w:val="es-ES"/>
        </w:rPr>
        <w:t xml:space="preserve"> en relación con el artículo 1.1</w:t>
      </w:r>
      <w:r w:rsidR="00866CDB">
        <w:rPr>
          <w:lang w:val="es-ES"/>
        </w:rPr>
        <w:t xml:space="preserve"> del mismo instrumento,</w:t>
      </w:r>
      <w:r w:rsidR="00EC4B9A" w:rsidRPr="004F2666">
        <w:rPr>
          <w:lang w:val="es-ES"/>
        </w:rPr>
        <w:t xml:space="preserve"> que incluían medidas de satisfacción, de rehabilitación, de indemnización así como garantías de no repetición, medidas </w:t>
      </w:r>
      <w:r w:rsidR="008F3748">
        <w:rPr>
          <w:lang w:val="es-ES"/>
        </w:rPr>
        <w:t>que</w:t>
      </w:r>
      <w:r w:rsidR="00EC4B9A" w:rsidRPr="004F2666">
        <w:rPr>
          <w:lang w:val="es-ES"/>
        </w:rPr>
        <w:t xml:space="preserve"> fueron aceptadas por </w:t>
      </w:r>
      <w:r w:rsidR="00183EC9">
        <w:rPr>
          <w:lang w:val="es-ES"/>
        </w:rPr>
        <w:t>las representantes</w:t>
      </w:r>
      <w:r w:rsidR="00EC4B9A" w:rsidRPr="004F2666">
        <w:rPr>
          <w:lang w:val="es-ES"/>
        </w:rPr>
        <w:t xml:space="preserve">. Asimismo, </w:t>
      </w:r>
      <w:r w:rsidR="00183EC9">
        <w:rPr>
          <w:lang w:val="es-ES"/>
        </w:rPr>
        <w:t>las representantes</w:t>
      </w:r>
      <w:r w:rsidR="00EC4B9A" w:rsidRPr="004F2666">
        <w:rPr>
          <w:lang w:val="es-ES"/>
        </w:rPr>
        <w:t xml:space="preserve"> </w:t>
      </w:r>
      <w:r w:rsidR="00E87467">
        <w:rPr>
          <w:lang w:val="es-ES"/>
        </w:rPr>
        <w:t xml:space="preserve">realizaron </w:t>
      </w:r>
      <w:r w:rsidR="00EC4B9A" w:rsidRPr="004F2666">
        <w:rPr>
          <w:lang w:val="es-ES"/>
        </w:rPr>
        <w:t xml:space="preserve">consideraciones adicionales en relación con las medidas ofrecidas por el Estado mexicano, así como otras medidas cuya adopción </w:t>
      </w:r>
      <w:r w:rsidR="00E87467">
        <w:rPr>
          <w:lang w:val="es-ES"/>
        </w:rPr>
        <w:t>solicitaron</w:t>
      </w:r>
      <w:r w:rsidR="00EC4B9A" w:rsidRPr="004F2666">
        <w:rPr>
          <w:lang w:val="es-ES"/>
        </w:rPr>
        <w:t xml:space="preserve"> </w:t>
      </w:r>
      <w:r w:rsidR="00E87467">
        <w:rPr>
          <w:lang w:val="es-ES"/>
        </w:rPr>
        <w:t>fueran</w:t>
      </w:r>
      <w:r w:rsidR="00EC4B9A" w:rsidRPr="004F2666">
        <w:rPr>
          <w:lang w:val="es-ES"/>
        </w:rPr>
        <w:t xml:space="preserve"> ordenada</w:t>
      </w:r>
      <w:r w:rsidR="00E87467">
        <w:rPr>
          <w:lang w:val="es-ES"/>
        </w:rPr>
        <w:t>s</w:t>
      </w:r>
      <w:r w:rsidR="00EC4B9A" w:rsidRPr="004F2666">
        <w:rPr>
          <w:lang w:val="es-ES"/>
        </w:rPr>
        <w:t xml:space="preserve"> por el Tribunal (ver </w:t>
      </w:r>
      <w:r w:rsidR="00EC4B9A" w:rsidRPr="004F2666">
        <w:rPr>
          <w:i/>
          <w:lang w:val="es-ES"/>
        </w:rPr>
        <w:t>infra</w:t>
      </w:r>
      <w:r w:rsidR="00EC4B9A" w:rsidRPr="004F2666">
        <w:rPr>
          <w:lang w:val="es-ES"/>
        </w:rPr>
        <w:t xml:space="preserve"> capítulo </w:t>
      </w:r>
      <w:r w:rsidR="00CC7E0B">
        <w:rPr>
          <w:lang w:val="es-ES"/>
        </w:rPr>
        <w:t>IX</w:t>
      </w:r>
      <w:r w:rsidR="00EC4B9A" w:rsidRPr="004F2666">
        <w:rPr>
          <w:lang w:val="es-ES"/>
        </w:rPr>
        <w:t>).</w:t>
      </w:r>
    </w:p>
    <w:p w14:paraId="226E60FE" w14:textId="77777777" w:rsidR="00DF328D" w:rsidRPr="004F2666" w:rsidRDefault="00DF328D" w:rsidP="00DF328D">
      <w:pPr>
        <w:pStyle w:val="Ttulo2"/>
        <w:rPr>
          <w:lang w:val="es-ES"/>
        </w:rPr>
      </w:pPr>
      <w:bookmarkStart w:id="12" w:name="_Toc74911304"/>
      <w:bookmarkStart w:id="13" w:name="_Toc93400230"/>
      <w:r w:rsidRPr="004F2666">
        <w:rPr>
          <w:lang w:val="es-ES"/>
        </w:rPr>
        <w:t>B.</w:t>
      </w:r>
      <w:r w:rsidRPr="004F2666">
        <w:rPr>
          <w:lang w:val="es-ES"/>
        </w:rPr>
        <w:tab/>
        <w:t>Consideraciones de la Corte</w:t>
      </w:r>
      <w:bookmarkEnd w:id="12"/>
      <w:bookmarkEnd w:id="13"/>
    </w:p>
    <w:p w14:paraId="7F8BB0A2" w14:textId="002A3FA1" w:rsidR="00DF328D" w:rsidRDefault="00DF328D" w:rsidP="00654028">
      <w:pPr>
        <w:numPr>
          <w:ilvl w:val="0"/>
          <w:numId w:val="4"/>
        </w:numPr>
        <w:tabs>
          <w:tab w:val="left" w:pos="567"/>
          <w:tab w:val="num" w:pos="1569"/>
          <w:tab w:val="num" w:pos="12305"/>
        </w:tabs>
        <w:spacing w:line="240" w:lineRule="auto"/>
        <w:ind w:left="0" w:firstLine="0"/>
        <w:rPr>
          <w:lang w:val="es-ES"/>
        </w:rPr>
      </w:pPr>
      <w:r w:rsidRPr="004F2666">
        <w:rPr>
          <w:lang w:val="es-ES"/>
        </w:rPr>
        <w:t>De conformidad con los artículos 62 y 64 del Reglamento, y en ejercicio de sus poderes de tutela judicial internacional de derechos humanos, cuestión de orden público internacional, incumbe a este Tribunal velar porque los actos de reconocimiento de responsabilidad resulten aceptables para los fines que busca cumplir el sistema interamericano</w:t>
      </w:r>
      <w:r w:rsidRPr="004F2666">
        <w:rPr>
          <w:rStyle w:val="Refdenotaalpie"/>
          <w:lang w:val="es-ES"/>
        </w:rPr>
        <w:footnoteReference w:id="20"/>
      </w:r>
      <w:r w:rsidRPr="004F2666">
        <w:rPr>
          <w:lang w:val="es-ES"/>
        </w:rPr>
        <w:t>. A continuación, el Tribunal analizará la situación planteada en este caso en concreto.</w:t>
      </w:r>
    </w:p>
    <w:p w14:paraId="2D04382E" w14:textId="77777777" w:rsidR="00DF328D" w:rsidRPr="004F2666" w:rsidRDefault="00DF328D" w:rsidP="00DF328D">
      <w:pPr>
        <w:pStyle w:val="Ttulo3"/>
        <w:rPr>
          <w:lang w:val="es-ES"/>
        </w:rPr>
      </w:pPr>
      <w:bookmarkStart w:id="14" w:name="_Toc74911305"/>
      <w:bookmarkStart w:id="15" w:name="_Toc93400231"/>
      <w:r w:rsidRPr="004F2666">
        <w:rPr>
          <w:lang w:val="es-ES"/>
        </w:rPr>
        <w:t>b.1 En cuanto a los hechos</w:t>
      </w:r>
      <w:bookmarkEnd w:id="14"/>
      <w:bookmarkEnd w:id="15"/>
    </w:p>
    <w:p w14:paraId="15EC03F8" w14:textId="1BDA1A27" w:rsidR="00DF328D" w:rsidRPr="00313774" w:rsidRDefault="00DF328D" w:rsidP="00654028">
      <w:pPr>
        <w:numPr>
          <w:ilvl w:val="0"/>
          <w:numId w:val="4"/>
        </w:numPr>
        <w:tabs>
          <w:tab w:val="left" w:pos="567"/>
          <w:tab w:val="num" w:pos="1569"/>
          <w:tab w:val="num" w:pos="12305"/>
        </w:tabs>
        <w:spacing w:line="240" w:lineRule="auto"/>
        <w:ind w:left="0" w:firstLine="0"/>
        <w:rPr>
          <w:lang w:val="es-ES"/>
        </w:rPr>
      </w:pPr>
      <w:r w:rsidRPr="004F2666">
        <w:rPr>
          <w:lang w:val="es-ES"/>
        </w:rPr>
        <w:t xml:space="preserve">En el presente caso, el Estado </w:t>
      </w:r>
      <w:r w:rsidR="00F3506E" w:rsidRPr="004F2666">
        <w:rPr>
          <w:lang w:val="es-ES"/>
        </w:rPr>
        <w:t>realizó un reconocimiento parcia</w:t>
      </w:r>
      <w:r w:rsidR="00E87467">
        <w:rPr>
          <w:lang w:val="es-ES"/>
        </w:rPr>
        <w:t>l</w:t>
      </w:r>
      <w:r w:rsidR="00F3506E" w:rsidRPr="004F2666">
        <w:rPr>
          <w:lang w:val="es-ES"/>
        </w:rPr>
        <w:t xml:space="preserve"> </w:t>
      </w:r>
      <w:r w:rsidR="00F3506E" w:rsidRPr="004F2666">
        <w:rPr>
          <w:rFonts w:eastAsia="Batang"/>
          <w:lang w:val="es-ES" w:eastAsia="en-US"/>
        </w:rPr>
        <w:t xml:space="preserve">por la </w:t>
      </w:r>
      <w:r w:rsidR="00F3506E" w:rsidRPr="004F2666">
        <w:t>violación</w:t>
      </w:r>
      <w:r w:rsidR="00F3506E" w:rsidRPr="004F2666">
        <w:rPr>
          <w:rFonts w:eastAsia="Batang"/>
          <w:lang w:val="es-ES" w:eastAsia="en-US"/>
        </w:rPr>
        <w:t xml:space="preserve"> de los artículos 8 y 25 de la Convención Americana</w:t>
      </w:r>
      <w:r w:rsidR="00CB1FA9">
        <w:rPr>
          <w:rFonts w:eastAsia="Batang"/>
          <w:lang w:val="es-ES" w:eastAsia="en-US"/>
        </w:rPr>
        <w:t>,</w:t>
      </w:r>
      <w:r w:rsidR="00F3506E" w:rsidRPr="004F2666">
        <w:rPr>
          <w:rFonts w:eastAsia="Batang"/>
          <w:lang w:val="es-ES" w:eastAsia="en-US"/>
        </w:rPr>
        <w:t xml:space="preserve"> en relación con el artículo 1.1 del mismo instrumento</w:t>
      </w:r>
      <w:r w:rsidR="00CB1FA9">
        <w:rPr>
          <w:rFonts w:eastAsia="Batang"/>
          <w:lang w:val="es-ES" w:eastAsia="en-US"/>
        </w:rPr>
        <w:t>,</w:t>
      </w:r>
      <w:r w:rsidR="00F3506E" w:rsidRPr="004F2666">
        <w:rPr>
          <w:rFonts w:eastAsia="Batang"/>
          <w:lang w:val="es-ES" w:eastAsia="en-US"/>
        </w:rPr>
        <w:t xml:space="preserve"> “en los términos señalados en el Informe de Fondo de la Comisión Interamericana de Derechos Humanos”, por lo que ha cesado la controversia sobre</w:t>
      </w:r>
      <w:r w:rsidR="00316493">
        <w:rPr>
          <w:rFonts w:eastAsia="Batang"/>
          <w:lang w:val="es-ES" w:eastAsia="en-US"/>
        </w:rPr>
        <w:t xml:space="preserve"> los hechos </w:t>
      </w:r>
      <w:r w:rsidR="00CC7E0B">
        <w:rPr>
          <w:rFonts w:eastAsia="Batang"/>
          <w:lang w:val="es-ES" w:eastAsia="en-US"/>
        </w:rPr>
        <w:t xml:space="preserve">plasmados en el Informe de Fondo y </w:t>
      </w:r>
      <w:r w:rsidR="00316493">
        <w:rPr>
          <w:rFonts w:eastAsia="Batang"/>
          <w:lang w:val="es-ES" w:eastAsia="en-US"/>
        </w:rPr>
        <w:t>relacionados con dichos artículos y, en particular,</w:t>
      </w:r>
      <w:r w:rsidR="00F3506E" w:rsidRPr="004F2666">
        <w:rPr>
          <w:rFonts w:eastAsia="Batang"/>
          <w:lang w:val="es-ES" w:eastAsia="en-US"/>
        </w:rPr>
        <w:t xml:space="preserve"> las falencias indicadas por la Comisión en el marco de la investigación y procesos por la muerte de la señora Digna Ochoa. A lo anterior se unen las falencias específicas que supusieron una violación del artículo 7 de la Convención de Belém do Pará “al no haberse llevado a cabo una investigación con perspectiva de género en el presente caso”, así como el sufrimiento que dichas falencias causaron a los familiares de </w:t>
      </w:r>
      <w:r w:rsidR="00E87467">
        <w:rPr>
          <w:rFonts w:eastAsia="Batang"/>
          <w:lang w:val="es-ES" w:eastAsia="en-US"/>
        </w:rPr>
        <w:t xml:space="preserve">la </w:t>
      </w:r>
      <w:r w:rsidR="001F344D">
        <w:rPr>
          <w:rFonts w:eastAsia="Batang"/>
          <w:lang w:val="es-ES" w:eastAsia="en-US"/>
        </w:rPr>
        <w:t>señora Digna Ochoa</w:t>
      </w:r>
      <w:r w:rsidR="00F3506E" w:rsidRPr="004F2666">
        <w:rPr>
          <w:rFonts w:eastAsia="Batang"/>
          <w:lang w:val="es-ES" w:eastAsia="en-US"/>
        </w:rPr>
        <w:t xml:space="preserve"> y que supusieron una violación del artículo 5 de la Convención Americana. </w:t>
      </w:r>
    </w:p>
    <w:p w14:paraId="1A6110F8" w14:textId="6882DA88" w:rsidR="00DF328D" w:rsidRPr="004F2666" w:rsidRDefault="00316493" w:rsidP="00316493">
      <w:pPr>
        <w:tabs>
          <w:tab w:val="left" w:pos="3273"/>
        </w:tabs>
        <w:spacing w:line="240" w:lineRule="auto"/>
        <w:rPr>
          <w:lang w:val="es-ES"/>
        </w:rPr>
      </w:pPr>
      <w:r>
        <w:rPr>
          <w:rFonts w:eastAsia="Batang"/>
          <w:lang w:val="es-ES" w:eastAsia="en-US"/>
        </w:rPr>
        <w:tab/>
      </w:r>
    </w:p>
    <w:p w14:paraId="18D4C5B3" w14:textId="6C8272A2" w:rsidR="00DF328D" w:rsidRPr="00D51095" w:rsidRDefault="00AE1D35" w:rsidP="00AE1D35">
      <w:pPr>
        <w:numPr>
          <w:ilvl w:val="0"/>
          <w:numId w:val="4"/>
        </w:numPr>
        <w:tabs>
          <w:tab w:val="left" w:pos="567"/>
          <w:tab w:val="num" w:pos="1569"/>
          <w:tab w:val="num" w:pos="12305"/>
        </w:tabs>
        <w:spacing w:line="240" w:lineRule="auto"/>
        <w:ind w:left="0" w:firstLine="0"/>
        <w:rPr>
          <w:lang w:val="es-ES"/>
        </w:rPr>
      </w:pPr>
      <w:r w:rsidRPr="00D51095">
        <w:rPr>
          <w:rFonts w:cstheme="minorHAnsi"/>
          <w:lang w:val="es-ES"/>
        </w:rPr>
        <w:t>Asimismo</w:t>
      </w:r>
      <w:r w:rsidR="00DF328D" w:rsidRPr="00D51095">
        <w:rPr>
          <w:rFonts w:cstheme="minorHAnsi"/>
          <w:lang w:val="es-ES"/>
        </w:rPr>
        <w:t xml:space="preserve">, la Corte considera que </w:t>
      </w:r>
      <w:r w:rsidRPr="00D51095">
        <w:rPr>
          <w:rFonts w:cstheme="minorHAnsi"/>
          <w:lang w:val="es-ES"/>
        </w:rPr>
        <w:t>subsiste</w:t>
      </w:r>
      <w:r w:rsidR="00DF328D" w:rsidRPr="00D51095">
        <w:rPr>
          <w:rFonts w:cstheme="minorHAnsi"/>
          <w:lang w:val="es-ES"/>
        </w:rPr>
        <w:t xml:space="preserve"> la controversia respecto a </w:t>
      </w:r>
      <w:r w:rsidRPr="00D51095">
        <w:rPr>
          <w:rFonts w:cstheme="minorHAnsi"/>
          <w:lang w:val="es-ES"/>
        </w:rPr>
        <w:t xml:space="preserve">las demás falencias indicadas por </w:t>
      </w:r>
      <w:r w:rsidR="00183EC9" w:rsidRPr="00D51095">
        <w:rPr>
          <w:rFonts w:cstheme="minorHAnsi"/>
          <w:lang w:val="es-ES"/>
        </w:rPr>
        <w:t>las representantes</w:t>
      </w:r>
      <w:r w:rsidRPr="00D51095">
        <w:rPr>
          <w:rFonts w:cstheme="minorHAnsi"/>
          <w:lang w:val="es-ES"/>
        </w:rPr>
        <w:t xml:space="preserve"> en el marco de la investigación y procesos seguidos por la muerte de la </w:t>
      </w:r>
      <w:r w:rsidR="001F344D">
        <w:rPr>
          <w:rFonts w:cstheme="minorHAnsi"/>
          <w:lang w:val="es-ES"/>
        </w:rPr>
        <w:t>señora Digna Ochoa</w:t>
      </w:r>
      <w:r w:rsidR="00DF328D" w:rsidRPr="00D51095">
        <w:rPr>
          <w:lang w:val="es-ES"/>
        </w:rPr>
        <w:t>.</w:t>
      </w:r>
      <w:r w:rsidRPr="00D51095">
        <w:rPr>
          <w:lang w:val="es-ES"/>
        </w:rPr>
        <w:t xml:space="preserve"> A lo anterior se añaden hechos</w:t>
      </w:r>
      <w:r w:rsidR="00A528A4">
        <w:rPr>
          <w:lang w:val="es-ES"/>
        </w:rPr>
        <w:t xml:space="preserve"> complementarios o explicativos</w:t>
      </w:r>
      <w:r w:rsidR="00CF3696">
        <w:rPr>
          <w:lang w:val="es-ES"/>
        </w:rPr>
        <w:t xml:space="preserve"> de los que figuran en el Informe de Fondo y que fueron</w:t>
      </w:r>
      <w:r w:rsidRPr="00D51095">
        <w:rPr>
          <w:lang w:val="es-ES"/>
        </w:rPr>
        <w:t xml:space="preserve"> invocados por </w:t>
      </w:r>
      <w:r w:rsidR="00183EC9" w:rsidRPr="00D51095">
        <w:rPr>
          <w:lang w:val="es-ES"/>
        </w:rPr>
        <w:t>las representantes</w:t>
      </w:r>
      <w:r w:rsidRPr="00D51095">
        <w:rPr>
          <w:lang w:val="es-ES"/>
        </w:rPr>
        <w:t xml:space="preserve">, tales como las alegadas “amenazas y agresiones perpetradas en contra de Digna Ochoa y Plácido antes de su muerte y la falta de respuesta efectiva por parte del Estado”, </w:t>
      </w:r>
      <w:r w:rsidR="00316493" w:rsidRPr="00D51095">
        <w:rPr>
          <w:lang w:val="es-ES"/>
        </w:rPr>
        <w:t xml:space="preserve">así como las circunstancias que rodearon la muerte de la </w:t>
      </w:r>
      <w:r w:rsidR="001F344D">
        <w:rPr>
          <w:lang w:val="es-ES"/>
        </w:rPr>
        <w:t>señora Digna Ochoa</w:t>
      </w:r>
      <w:r w:rsidR="00316493" w:rsidRPr="00D51095">
        <w:rPr>
          <w:lang w:val="es-ES"/>
        </w:rPr>
        <w:t xml:space="preserve">. </w:t>
      </w:r>
    </w:p>
    <w:p w14:paraId="35B12212" w14:textId="0A353657" w:rsidR="00DF328D" w:rsidRDefault="00DF328D" w:rsidP="00DF328D">
      <w:pPr>
        <w:pStyle w:val="Ttulo3"/>
        <w:rPr>
          <w:lang w:val="es-ES"/>
        </w:rPr>
      </w:pPr>
      <w:bookmarkStart w:id="16" w:name="_Toc74911306"/>
      <w:bookmarkStart w:id="17" w:name="_Toc93400232"/>
      <w:r w:rsidRPr="004F2666">
        <w:rPr>
          <w:lang w:val="es-ES"/>
        </w:rPr>
        <w:lastRenderedPageBreak/>
        <w:t>b.2 En cuanto a las pretensiones de derecho</w:t>
      </w:r>
      <w:bookmarkEnd w:id="16"/>
      <w:bookmarkEnd w:id="17"/>
    </w:p>
    <w:p w14:paraId="6774CF4C" w14:textId="77777777" w:rsidR="00DF328D" w:rsidRPr="004F2666" w:rsidRDefault="00DF328D" w:rsidP="00654028">
      <w:pPr>
        <w:numPr>
          <w:ilvl w:val="0"/>
          <w:numId w:val="4"/>
        </w:numPr>
        <w:tabs>
          <w:tab w:val="left" w:pos="567"/>
          <w:tab w:val="num" w:pos="1569"/>
          <w:tab w:val="num" w:pos="12305"/>
        </w:tabs>
        <w:spacing w:line="240" w:lineRule="auto"/>
        <w:ind w:left="0" w:firstLine="0"/>
        <w:rPr>
          <w:lang w:val="es-ES"/>
        </w:rPr>
      </w:pPr>
      <w:r w:rsidRPr="004F2666">
        <w:rPr>
          <w:lang w:val="es-ES"/>
        </w:rPr>
        <w:t>Teniendo en cuenta las violaciones reconocidas por el Estado, así como las observaciones de las representantes y de la Comisión, la Corte considera que la controversia ha cesado respecto a las siguientes violaciones:</w:t>
      </w:r>
    </w:p>
    <w:p w14:paraId="074190BF" w14:textId="77777777" w:rsidR="00DF328D" w:rsidRPr="004F2666" w:rsidRDefault="00DF328D" w:rsidP="00DF328D">
      <w:pPr>
        <w:tabs>
          <w:tab w:val="left" w:pos="567"/>
        </w:tabs>
        <w:spacing w:line="240" w:lineRule="auto"/>
        <w:rPr>
          <w:lang w:val="es-ES"/>
        </w:rPr>
      </w:pPr>
    </w:p>
    <w:p w14:paraId="6AD4C4D3" w14:textId="0D3AE91D" w:rsidR="00AE1D35" w:rsidRPr="004F2666" w:rsidRDefault="00AE1D35" w:rsidP="00BB668C">
      <w:pPr>
        <w:pStyle w:val="Prrafodelista"/>
        <w:numPr>
          <w:ilvl w:val="0"/>
          <w:numId w:val="10"/>
        </w:numPr>
        <w:tabs>
          <w:tab w:val="left" w:pos="426"/>
        </w:tabs>
        <w:spacing w:line="240" w:lineRule="auto"/>
        <w:rPr>
          <w:rFonts w:eastAsia="Batang"/>
          <w:lang w:val="es-ES" w:eastAsia="en-US"/>
        </w:rPr>
      </w:pPr>
      <w:r w:rsidRPr="004F2666">
        <w:t>Violación</w:t>
      </w:r>
      <w:r w:rsidRPr="004F2666">
        <w:rPr>
          <w:rFonts w:eastAsia="Batang"/>
          <w:lang w:val="es-ES" w:eastAsia="en-US"/>
        </w:rPr>
        <w:t xml:space="preserve"> de las garantías judiciales y protección judicial (artículos 8 y 25 de la Convención Americana en relación con el artículo 1.1 del mismo instrumento) en perjuicio de los familiares de </w:t>
      </w:r>
      <w:r w:rsidR="00E87467">
        <w:rPr>
          <w:rFonts w:eastAsia="Batang"/>
          <w:lang w:val="es-ES" w:eastAsia="en-US"/>
        </w:rPr>
        <w:t xml:space="preserve">la </w:t>
      </w:r>
      <w:r w:rsidR="001F344D">
        <w:rPr>
          <w:rFonts w:eastAsia="Batang"/>
          <w:lang w:val="es-ES" w:eastAsia="en-US"/>
        </w:rPr>
        <w:t>señora Digna Ochoa</w:t>
      </w:r>
      <w:r w:rsidRPr="004F2666">
        <w:rPr>
          <w:rFonts w:eastAsia="Batang"/>
          <w:lang w:val="es-ES" w:eastAsia="en-US"/>
        </w:rPr>
        <w:t xml:space="preserve">, en los términos señalados en el Informe de Fondo de la Comisión Interamericana de Derechos Humanos. </w:t>
      </w:r>
    </w:p>
    <w:p w14:paraId="4A648123" w14:textId="77777777" w:rsidR="00AE1D35" w:rsidRPr="004F2666" w:rsidRDefault="00AE1D35" w:rsidP="00AE1D35">
      <w:pPr>
        <w:pStyle w:val="Prrafodelista"/>
        <w:tabs>
          <w:tab w:val="left" w:pos="426"/>
        </w:tabs>
        <w:spacing w:line="240" w:lineRule="auto"/>
        <w:ind w:left="720"/>
        <w:rPr>
          <w:rFonts w:eastAsia="Batang"/>
          <w:lang w:val="es-ES" w:eastAsia="en-US"/>
        </w:rPr>
      </w:pPr>
    </w:p>
    <w:p w14:paraId="3A0AAC72" w14:textId="2E38C9B0" w:rsidR="00AE1D35" w:rsidRPr="004F2666" w:rsidRDefault="00AE1D35" w:rsidP="00BB668C">
      <w:pPr>
        <w:pStyle w:val="Prrafodelista"/>
        <w:numPr>
          <w:ilvl w:val="0"/>
          <w:numId w:val="10"/>
        </w:numPr>
        <w:tabs>
          <w:tab w:val="left" w:pos="426"/>
        </w:tabs>
        <w:spacing w:line="240" w:lineRule="auto"/>
        <w:rPr>
          <w:rFonts w:eastAsia="Batang"/>
          <w:lang w:val="es-ES" w:eastAsia="en-US"/>
        </w:rPr>
      </w:pPr>
      <w:r w:rsidRPr="004F2666">
        <w:rPr>
          <w:rFonts w:eastAsia="Batang"/>
          <w:lang w:val="es-ES" w:eastAsia="en-US"/>
        </w:rPr>
        <w:t>Violación del artículo 7</w:t>
      </w:r>
      <w:r w:rsidR="00FE71B7">
        <w:rPr>
          <w:rFonts w:eastAsia="Batang"/>
          <w:lang w:val="es-ES" w:eastAsia="en-US"/>
        </w:rPr>
        <w:t>.b</w:t>
      </w:r>
      <w:r w:rsidRPr="004F2666">
        <w:rPr>
          <w:rFonts w:eastAsia="Batang"/>
          <w:lang w:val="es-ES" w:eastAsia="en-US"/>
        </w:rPr>
        <w:t xml:space="preserve"> de la Convención de Belém do Pará en perjuicio de los familiares de </w:t>
      </w:r>
      <w:r w:rsidR="00E87467">
        <w:rPr>
          <w:rFonts w:eastAsia="Batang"/>
          <w:lang w:val="es-ES" w:eastAsia="en-US"/>
        </w:rPr>
        <w:t xml:space="preserve">la </w:t>
      </w:r>
      <w:r w:rsidR="001F344D">
        <w:rPr>
          <w:rFonts w:eastAsia="Batang"/>
          <w:lang w:val="es-ES" w:eastAsia="en-US"/>
        </w:rPr>
        <w:t>señora Digna Ochoa</w:t>
      </w:r>
      <w:r w:rsidRPr="004F2666">
        <w:rPr>
          <w:rFonts w:eastAsia="Batang"/>
          <w:lang w:val="es-ES" w:eastAsia="en-US"/>
        </w:rPr>
        <w:t xml:space="preserve">, al no haberse llevado a cabo una investigación con perspectiva de género en el presente caso. </w:t>
      </w:r>
    </w:p>
    <w:p w14:paraId="08F5D1FF" w14:textId="77777777" w:rsidR="00AE1D35" w:rsidRPr="004F2666" w:rsidRDefault="00AE1D35" w:rsidP="00AE1D35">
      <w:pPr>
        <w:pStyle w:val="Prrafodelista"/>
        <w:tabs>
          <w:tab w:val="left" w:pos="426"/>
        </w:tabs>
        <w:spacing w:line="240" w:lineRule="auto"/>
        <w:ind w:left="720"/>
        <w:rPr>
          <w:rFonts w:eastAsia="Batang"/>
          <w:lang w:val="es-ES" w:eastAsia="en-US"/>
        </w:rPr>
      </w:pPr>
    </w:p>
    <w:p w14:paraId="005237C4" w14:textId="780F1325" w:rsidR="00AE1D35" w:rsidRPr="004F2666" w:rsidRDefault="00AE1D35" w:rsidP="00BB668C">
      <w:pPr>
        <w:pStyle w:val="Prrafodelista"/>
        <w:numPr>
          <w:ilvl w:val="0"/>
          <w:numId w:val="10"/>
        </w:numPr>
        <w:tabs>
          <w:tab w:val="left" w:pos="426"/>
        </w:tabs>
        <w:spacing w:line="240" w:lineRule="auto"/>
        <w:rPr>
          <w:rFonts w:eastAsia="Batang"/>
          <w:lang w:val="es-ES" w:eastAsia="en-US"/>
        </w:rPr>
      </w:pPr>
      <w:r w:rsidRPr="004F2666">
        <w:rPr>
          <w:rFonts w:eastAsia="Batang"/>
          <w:lang w:val="es-ES" w:eastAsia="en-US"/>
        </w:rPr>
        <w:t xml:space="preserve">Violación del derecho a la integridad personal (artículo 5 de la Convención Americana en relación con el artículo 1.1 del mismo instrumento) en perjuicio de los familiares de </w:t>
      </w:r>
      <w:r w:rsidR="00E87467">
        <w:rPr>
          <w:rFonts w:eastAsia="Batang"/>
          <w:lang w:val="es-ES" w:eastAsia="en-US"/>
        </w:rPr>
        <w:t xml:space="preserve">la </w:t>
      </w:r>
      <w:r w:rsidR="001F344D">
        <w:rPr>
          <w:rFonts w:eastAsia="Batang"/>
          <w:lang w:val="es-ES" w:eastAsia="en-US"/>
        </w:rPr>
        <w:t>señora Digna Ochoa</w:t>
      </w:r>
      <w:r w:rsidRPr="004F2666">
        <w:rPr>
          <w:rFonts w:eastAsia="Batang"/>
          <w:lang w:val="es-ES" w:eastAsia="en-US"/>
        </w:rPr>
        <w:t xml:space="preserve">, en vista de la “ausencia de verdad y justicia en el presente caso”. </w:t>
      </w:r>
    </w:p>
    <w:p w14:paraId="2594050B" w14:textId="77777777" w:rsidR="00DF328D" w:rsidRPr="004F2666" w:rsidRDefault="00DF328D" w:rsidP="00DF328D">
      <w:pPr>
        <w:tabs>
          <w:tab w:val="left" w:pos="426"/>
        </w:tabs>
        <w:spacing w:line="240" w:lineRule="auto"/>
        <w:ind w:left="426"/>
        <w:rPr>
          <w:rFonts w:eastAsia="Batang"/>
          <w:lang w:val="es-ES" w:eastAsia="en-US"/>
        </w:rPr>
      </w:pPr>
    </w:p>
    <w:p w14:paraId="5442F60C" w14:textId="0029D9DD" w:rsidR="00DF328D" w:rsidRPr="004F2666" w:rsidRDefault="00AE1D35" w:rsidP="00BB668C">
      <w:pPr>
        <w:pStyle w:val="Prrafodelista"/>
        <w:numPr>
          <w:ilvl w:val="0"/>
          <w:numId w:val="10"/>
        </w:numPr>
        <w:tabs>
          <w:tab w:val="left" w:pos="426"/>
        </w:tabs>
        <w:spacing w:line="240" w:lineRule="auto"/>
        <w:rPr>
          <w:rFonts w:eastAsia="Batang"/>
          <w:lang w:val="es-ES" w:eastAsia="en-US"/>
        </w:rPr>
      </w:pPr>
      <w:r w:rsidRPr="004F2666">
        <w:rPr>
          <w:rFonts w:eastAsia="Batang"/>
          <w:lang w:val="es-ES" w:eastAsia="en-US"/>
        </w:rPr>
        <w:t xml:space="preserve">Violación del </w:t>
      </w:r>
      <w:r w:rsidR="00806F39" w:rsidRPr="004F2666">
        <w:rPr>
          <w:rFonts w:eastAsia="Batang"/>
          <w:lang w:val="es-ES" w:eastAsia="en-US"/>
        </w:rPr>
        <w:t xml:space="preserve">derecho a la protección de la </w:t>
      </w:r>
      <w:r w:rsidR="00CB1FA9">
        <w:rPr>
          <w:rFonts w:eastAsia="Batang"/>
          <w:lang w:val="es-ES" w:eastAsia="en-US"/>
        </w:rPr>
        <w:t>h</w:t>
      </w:r>
      <w:r w:rsidR="00806F39" w:rsidRPr="004F2666">
        <w:rPr>
          <w:rFonts w:eastAsia="Batang"/>
          <w:lang w:val="es-ES" w:eastAsia="en-US"/>
        </w:rPr>
        <w:t xml:space="preserve">onra y de la </w:t>
      </w:r>
      <w:r w:rsidR="00CB1FA9">
        <w:rPr>
          <w:rFonts w:eastAsia="Batang"/>
          <w:lang w:val="es-ES" w:eastAsia="en-US"/>
        </w:rPr>
        <w:t>d</w:t>
      </w:r>
      <w:r w:rsidR="00806F39" w:rsidRPr="004F2666">
        <w:rPr>
          <w:rFonts w:eastAsia="Batang"/>
          <w:lang w:val="es-ES" w:eastAsia="en-US"/>
        </w:rPr>
        <w:t>ignidad (</w:t>
      </w:r>
      <w:r w:rsidRPr="004F2666">
        <w:rPr>
          <w:rFonts w:eastAsia="Batang"/>
          <w:lang w:val="es-ES" w:eastAsia="en-US"/>
        </w:rPr>
        <w:t>artículo 11 de la Convención Americana en relación con el artículo 1.1 del mismo instrumento</w:t>
      </w:r>
      <w:r w:rsidR="00806F39" w:rsidRPr="004F2666">
        <w:rPr>
          <w:rFonts w:eastAsia="Batang"/>
          <w:lang w:val="es-ES" w:eastAsia="en-US"/>
        </w:rPr>
        <w:t>)</w:t>
      </w:r>
      <w:r w:rsidRPr="004F2666">
        <w:rPr>
          <w:rFonts w:eastAsia="Batang"/>
          <w:lang w:val="es-ES" w:eastAsia="en-US"/>
        </w:rPr>
        <w:t xml:space="preserve"> en perjuicio de la </w:t>
      </w:r>
      <w:r w:rsidR="001F344D">
        <w:rPr>
          <w:rFonts w:eastAsia="Batang"/>
          <w:lang w:val="es-ES" w:eastAsia="en-US"/>
        </w:rPr>
        <w:t>señora Digna Ochoa</w:t>
      </w:r>
      <w:r w:rsidRPr="004F2666">
        <w:rPr>
          <w:rFonts w:eastAsia="Batang"/>
          <w:lang w:val="es-ES" w:eastAsia="en-US"/>
        </w:rPr>
        <w:t xml:space="preserve"> “como víctima de la imagen negativa que se generó respecto de su persona después de su fallecimiento y por el manejo dado a la información dentro de la investigación llevada por la muerte de esta defensora”.</w:t>
      </w:r>
    </w:p>
    <w:p w14:paraId="7978C928" w14:textId="5DBD9B49" w:rsidR="00806F39" w:rsidRDefault="00806F39" w:rsidP="00A06914">
      <w:pPr>
        <w:tabs>
          <w:tab w:val="left" w:pos="426"/>
        </w:tabs>
        <w:spacing w:line="240" w:lineRule="auto"/>
        <w:ind w:left="360"/>
        <w:rPr>
          <w:rFonts w:eastAsia="Batang"/>
          <w:lang w:val="es-ES" w:eastAsia="en-US"/>
        </w:rPr>
      </w:pPr>
    </w:p>
    <w:p w14:paraId="27E605B3" w14:textId="0D4AF664" w:rsidR="00DF328D" w:rsidRPr="00D51095" w:rsidRDefault="00316493" w:rsidP="00654028">
      <w:pPr>
        <w:numPr>
          <w:ilvl w:val="0"/>
          <w:numId w:val="4"/>
        </w:numPr>
        <w:tabs>
          <w:tab w:val="left" w:pos="567"/>
          <w:tab w:val="num" w:pos="1569"/>
          <w:tab w:val="num" w:pos="12305"/>
        </w:tabs>
        <w:spacing w:line="240" w:lineRule="auto"/>
        <w:ind w:left="0" w:firstLine="0"/>
        <w:rPr>
          <w:lang w:val="es-ES"/>
        </w:rPr>
      </w:pPr>
      <w:r w:rsidRPr="00D51095">
        <w:rPr>
          <w:lang w:val="es-ES"/>
        </w:rPr>
        <w:t>A la vista de lo anterior, a</w:t>
      </w:r>
      <w:r w:rsidR="00DF328D" w:rsidRPr="00D51095">
        <w:rPr>
          <w:rFonts w:eastAsia="Batang"/>
          <w:lang w:val="es-ES" w:eastAsia="en-US"/>
        </w:rPr>
        <w:t>ún</w:t>
      </w:r>
      <w:r w:rsidR="00DF328D" w:rsidRPr="00D51095">
        <w:rPr>
          <w:lang w:val="es-ES"/>
        </w:rPr>
        <w:t xml:space="preserve"> </w:t>
      </w:r>
      <w:r w:rsidR="00AC74DE" w:rsidRPr="00D51095">
        <w:rPr>
          <w:lang w:val="es-ES"/>
        </w:rPr>
        <w:t>subsistiría</w:t>
      </w:r>
      <w:r w:rsidRPr="00D51095">
        <w:rPr>
          <w:lang w:val="es-ES"/>
        </w:rPr>
        <w:t xml:space="preserve">, </w:t>
      </w:r>
      <w:r w:rsidRPr="00D51095">
        <w:rPr>
          <w:i/>
          <w:lang w:val="es-ES"/>
        </w:rPr>
        <w:t>prima facie</w:t>
      </w:r>
      <w:r w:rsidRPr="00D51095">
        <w:rPr>
          <w:lang w:val="es-ES"/>
        </w:rPr>
        <w:t>,</w:t>
      </w:r>
      <w:r w:rsidR="00DF328D" w:rsidRPr="00D51095">
        <w:rPr>
          <w:lang w:val="es-ES"/>
        </w:rPr>
        <w:t xml:space="preserve"> la controversia sobre lo siguiente:</w:t>
      </w:r>
    </w:p>
    <w:p w14:paraId="21A2D174" w14:textId="0584DCD2" w:rsidR="000D351B" w:rsidRPr="004F2666" w:rsidRDefault="000D351B" w:rsidP="000D351B">
      <w:pPr>
        <w:tabs>
          <w:tab w:val="left" w:pos="567"/>
        </w:tabs>
        <w:spacing w:line="240" w:lineRule="auto"/>
        <w:rPr>
          <w:lang w:val="es-ES"/>
        </w:rPr>
      </w:pPr>
    </w:p>
    <w:p w14:paraId="3914C5BB" w14:textId="776B5C87" w:rsidR="00DF328D" w:rsidRPr="004F2666" w:rsidRDefault="00DF328D" w:rsidP="00BB668C">
      <w:pPr>
        <w:pStyle w:val="Prrafodelista"/>
        <w:numPr>
          <w:ilvl w:val="0"/>
          <w:numId w:val="9"/>
        </w:numPr>
        <w:tabs>
          <w:tab w:val="left" w:pos="426"/>
        </w:tabs>
        <w:spacing w:line="240" w:lineRule="auto"/>
        <w:rPr>
          <w:lang w:val="es-ES"/>
        </w:rPr>
      </w:pPr>
      <w:r w:rsidRPr="004F2666">
        <w:rPr>
          <w:lang w:val="es-ES"/>
        </w:rPr>
        <w:t xml:space="preserve">La alegada </w:t>
      </w:r>
      <w:r w:rsidRPr="004F2666">
        <w:rPr>
          <w:rFonts w:eastAsia="Batang"/>
          <w:lang w:val="es-ES" w:eastAsia="en-US"/>
        </w:rPr>
        <w:t>responsabilidad</w:t>
      </w:r>
      <w:r w:rsidRPr="004F2666">
        <w:rPr>
          <w:lang w:val="es-ES"/>
        </w:rPr>
        <w:t xml:space="preserve"> internacional del Estado por </w:t>
      </w:r>
      <w:r w:rsidR="00806F39" w:rsidRPr="004F2666">
        <w:rPr>
          <w:lang w:val="es-ES"/>
        </w:rPr>
        <w:t xml:space="preserve">la muerte de la </w:t>
      </w:r>
      <w:r w:rsidR="001F344D">
        <w:rPr>
          <w:lang w:val="es-ES"/>
        </w:rPr>
        <w:t>señora Digna Ochoa</w:t>
      </w:r>
      <w:r w:rsidRPr="004F2666">
        <w:rPr>
          <w:lang w:val="es-ES"/>
        </w:rPr>
        <w:t xml:space="preserve">. </w:t>
      </w:r>
    </w:p>
    <w:p w14:paraId="6CF26CA6" w14:textId="77777777" w:rsidR="00DF328D" w:rsidRPr="004F2666" w:rsidRDefault="00DF328D" w:rsidP="00DF328D">
      <w:pPr>
        <w:pStyle w:val="Prrafodelista"/>
        <w:tabs>
          <w:tab w:val="left" w:pos="426"/>
        </w:tabs>
        <w:spacing w:line="240" w:lineRule="auto"/>
        <w:ind w:left="426"/>
        <w:rPr>
          <w:lang w:val="es-ES"/>
        </w:rPr>
      </w:pPr>
    </w:p>
    <w:p w14:paraId="2B3F14B7" w14:textId="1CA39608" w:rsidR="00DF328D" w:rsidRPr="004F2666" w:rsidRDefault="00DF328D" w:rsidP="00BB668C">
      <w:pPr>
        <w:pStyle w:val="Prrafodelista"/>
        <w:numPr>
          <w:ilvl w:val="0"/>
          <w:numId w:val="9"/>
        </w:numPr>
        <w:tabs>
          <w:tab w:val="left" w:pos="426"/>
        </w:tabs>
        <w:spacing w:line="240" w:lineRule="auto"/>
        <w:rPr>
          <w:lang w:val="es-ES"/>
        </w:rPr>
      </w:pPr>
      <w:r w:rsidRPr="004F2666">
        <w:rPr>
          <w:lang w:val="es-ES"/>
        </w:rPr>
        <w:t xml:space="preserve">La </w:t>
      </w:r>
      <w:r w:rsidRPr="004F2666">
        <w:rPr>
          <w:rFonts w:eastAsia="Batang"/>
          <w:lang w:val="es-ES" w:eastAsia="en-US"/>
        </w:rPr>
        <w:t>alegada</w:t>
      </w:r>
      <w:r w:rsidRPr="004F2666">
        <w:rPr>
          <w:lang w:val="es-ES"/>
        </w:rPr>
        <w:t xml:space="preserve"> responsabilidad internacional del Estado</w:t>
      </w:r>
      <w:r w:rsidR="00CB1FA9">
        <w:rPr>
          <w:lang w:val="es-ES"/>
        </w:rPr>
        <w:t xml:space="preserve"> por</w:t>
      </w:r>
      <w:r w:rsidRPr="004F2666">
        <w:rPr>
          <w:lang w:val="es-ES"/>
        </w:rPr>
        <w:t xml:space="preserve"> </w:t>
      </w:r>
      <w:r w:rsidR="00806F39" w:rsidRPr="004F2666">
        <w:rPr>
          <w:lang w:val="es-ES"/>
        </w:rPr>
        <w:t>las alegadas amenazas y agresiones perpetradas en contra de Digna Ochoa y Plácido antes de su muerte.</w:t>
      </w:r>
    </w:p>
    <w:p w14:paraId="5BA4DA3A" w14:textId="77777777" w:rsidR="00806F39" w:rsidRPr="004F2666" w:rsidRDefault="00806F39" w:rsidP="00806F39">
      <w:pPr>
        <w:pStyle w:val="Prrafodelista"/>
        <w:tabs>
          <w:tab w:val="left" w:pos="426"/>
        </w:tabs>
        <w:spacing w:line="240" w:lineRule="auto"/>
        <w:ind w:left="720"/>
        <w:rPr>
          <w:lang w:val="es-ES"/>
        </w:rPr>
      </w:pPr>
    </w:p>
    <w:p w14:paraId="4043156A" w14:textId="0CFFC635" w:rsidR="00316493" w:rsidRDefault="00316493" w:rsidP="00316493">
      <w:pPr>
        <w:pStyle w:val="Prrafodelista"/>
        <w:numPr>
          <w:ilvl w:val="0"/>
          <w:numId w:val="9"/>
        </w:numPr>
        <w:tabs>
          <w:tab w:val="left" w:pos="426"/>
        </w:tabs>
        <w:spacing w:line="240" w:lineRule="auto"/>
        <w:rPr>
          <w:lang w:val="es-ES"/>
        </w:rPr>
      </w:pPr>
      <w:r w:rsidRPr="004F2666">
        <w:rPr>
          <w:lang w:val="es-ES"/>
        </w:rPr>
        <w:t xml:space="preserve">La alegada responsabilidad internacional del Estado por la alegada violación al derecho a defender derechos humanos de la </w:t>
      </w:r>
      <w:r w:rsidR="001F344D">
        <w:rPr>
          <w:lang w:val="es-ES"/>
        </w:rPr>
        <w:t>señora Digna Ochoa</w:t>
      </w:r>
      <w:r w:rsidRPr="004F2666">
        <w:rPr>
          <w:lang w:val="es-ES"/>
        </w:rPr>
        <w:t>.</w:t>
      </w:r>
    </w:p>
    <w:p w14:paraId="3D4E8828" w14:textId="77777777" w:rsidR="00316493" w:rsidRDefault="00316493" w:rsidP="00316493">
      <w:pPr>
        <w:pStyle w:val="Prrafodelista"/>
        <w:tabs>
          <w:tab w:val="left" w:pos="426"/>
        </w:tabs>
        <w:spacing w:line="240" w:lineRule="auto"/>
        <w:ind w:left="720"/>
        <w:rPr>
          <w:lang w:val="es-ES"/>
        </w:rPr>
      </w:pPr>
    </w:p>
    <w:p w14:paraId="64D3C42F" w14:textId="49597B11" w:rsidR="00DF328D" w:rsidRPr="00316493" w:rsidRDefault="00DF328D" w:rsidP="00BB668C">
      <w:pPr>
        <w:pStyle w:val="Prrafodelista"/>
        <w:numPr>
          <w:ilvl w:val="0"/>
          <w:numId w:val="9"/>
        </w:numPr>
        <w:tabs>
          <w:tab w:val="left" w:pos="426"/>
        </w:tabs>
        <w:spacing w:line="240" w:lineRule="auto"/>
        <w:rPr>
          <w:lang w:val="es-ES"/>
        </w:rPr>
      </w:pPr>
      <w:r w:rsidRPr="00316493">
        <w:rPr>
          <w:lang w:val="es-ES"/>
        </w:rPr>
        <w:t xml:space="preserve">La alegada </w:t>
      </w:r>
      <w:r w:rsidR="00806F39" w:rsidRPr="00316493">
        <w:rPr>
          <w:rFonts w:eastAsia="Batang"/>
          <w:lang w:val="es-ES" w:eastAsia="en-US"/>
        </w:rPr>
        <w:t>responsabilidad</w:t>
      </w:r>
      <w:r w:rsidR="00806F39" w:rsidRPr="00316493">
        <w:rPr>
          <w:lang w:val="es-ES"/>
        </w:rPr>
        <w:t xml:space="preserve"> internacional del Estado por las restantes falencias que habrían ocurrido en el marco de la investigación y procesos por la muerte de la </w:t>
      </w:r>
      <w:r w:rsidR="001F344D">
        <w:rPr>
          <w:lang w:val="es-ES"/>
        </w:rPr>
        <w:t>señora Digna Ochoa</w:t>
      </w:r>
      <w:r w:rsidR="00806F39" w:rsidRPr="00316493">
        <w:rPr>
          <w:lang w:val="es-ES"/>
        </w:rPr>
        <w:t xml:space="preserve"> alegadas por </w:t>
      </w:r>
      <w:r w:rsidR="00183EC9">
        <w:rPr>
          <w:lang w:val="es-ES"/>
        </w:rPr>
        <w:t>las representantes</w:t>
      </w:r>
      <w:r w:rsidRPr="00316493">
        <w:rPr>
          <w:lang w:val="es-ES"/>
        </w:rPr>
        <w:t>.</w:t>
      </w:r>
    </w:p>
    <w:p w14:paraId="6FA02238" w14:textId="77777777" w:rsidR="00DF328D" w:rsidRPr="004F2666" w:rsidRDefault="00DF328D" w:rsidP="00DF328D">
      <w:pPr>
        <w:pStyle w:val="Ttulo3"/>
        <w:rPr>
          <w:lang w:val="es-ES"/>
        </w:rPr>
      </w:pPr>
      <w:bookmarkStart w:id="18" w:name="_Toc74911307"/>
      <w:bookmarkStart w:id="19" w:name="_Toc93400233"/>
      <w:r w:rsidRPr="004F2666">
        <w:rPr>
          <w:lang w:val="es-ES"/>
        </w:rPr>
        <w:t>b.3 En cuanto a las reparaciones</w:t>
      </w:r>
      <w:bookmarkEnd w:id="18"/>
      <w:bookmarkEnd w:id="19"/>
    </w:p>
    <w:p w14:paraId="6D4DB421" w14:textId="1336F907" w:rsidR="00DF328D" w:rsidRPr="004F2666" w:rsidRDefault="00DF328D" w:rsidP="00654028">
      <w:pPr>
        <w:numPr>
          <w:ilvl w:val="0"/>
          <w:numId w:val="4"/>
        </w:numPr>
        <w:tabs>
          <w:tab w:val="left" w:pos="567"/>
          <w:tab w:val="num" w:pos="1569"/>
          <w:tab w:val="num" w:pos="12305"/>
        </w:tabs>
        <w:spacing w:line="240" w:lineRule="auto"/>
        <w:ind w:left="0" w:firstLine="0"/>
        <w:rPr>
          <w:lang w:val="es-ES"/>
        </w:rPr>
      </w:pPr>
      <w:r w:rsidRPr="004F2666">
        <w:rPr>
          <w:lang w:val="es-ES"/>
        </w:rPr>
        <w:t xml:space="preserve">En lo que se refiere a las medidas de reparación, la Corte constata que el Estado </w:t>
      </w:r>
      <w:r w:rsidR="00806F39" w:rsidRPr="004F2666">
        <w:rPr>
          <w:lang w:val="es-ES"/>
        </w:rPr>
        <w:t xml:space="preserve">y </w:t>
      </w:r>
      <w:r w:rsidR="00183EC9">
        <w:rPr>
          <w:lang w:val="es-ES"/>
        </w:rPr>
        <w:t>las representantes</w:t>
      </w:r>
      <w:r w:rsidR="00806F39" w:rsidRPr="004F2666">
        <w:rPr>
          <w:lang w:val="es-ES"/>
        </w:rPr>
        <w:t xml:space="preserve"> han llegado a una serie de acuerdos sobre </w:t>
      </w:r>
      <w:r w:rsidR="00B72088">
        <w:rPr>
          <w:lang w:val="es-ES"/>
        </w:rPr>
        <w:t>determinadas</w:t>
      </w:r>
      <w:r w:rsidR="00B72088" w:rsidRPr="004F2666">
        <w:rPr>
          <w:lang w:val="es-ES"/>
        </w:rPr>
        <w:t xml:space="preserve"> </w:t>
      </w:r>
      <w:r w:rsidR="00806F39" w:rsidRPr="004F2666">
        <w:rPr>
          <w:lang w:val="es-ES"/>
        </w:rPr>
        <w:t xml:space="preserve">reparaciones, si bien todavía restan ciertas precisiones por </w:t>
      </w:r>
      <w:r w:rsidR="00183EC9">
        <w:rPr>
          <w:lang w:val="es-ES"/>
        </w:rPr>
        <w:t>establecer</w:t>
      </w:r>
      <w:r w:rsidR="00806F39" w:rsidRPr="004F2666">
        <w:rPr>
          <w:lang w:val="es-ES"/>
        </w:rPr>
        <w:t xml:space="preserve"> y existen otras reparaciones solicitadas por </w:t>
      </w:r>
      <w:r w:rsidR="00183EC9">
        <w:rPr>
          <w:lang w:val="es-ES"/>
        </w:rPr>
        <w:t>las representantes</w:t>
      </w:r>
      <w:r w:rsidR="00806F39" w:rsidRPr="004F2666">
        <w:rPr>
          <w:lang w:val="es-ES"/>
        </w:rPr>
        <w:t xml:space="preserve"> sobre las que no se ha llegado a un acuerdo</w:t>
      </w:r>
      <w:r w:rsidRPr="004F2666">
        <w:rPr>
          <w:lang w:val="es-ES"/>
        </w:rPr>
        <w:t xml:space="preserve">. Por tanto, subsiste </w:t>
      </w:r>
      <w:r w:rsidR="00806F39" w:rsidRPr="004F2666">
        <w:rPr>
          <w:lang w:val="es-ES"/>
        </w:rPr>
        <w:t>parcialmente</w:t>
      </w:r>
      <w:r w:rsidRPr="004F2666">
        <w:rPr>
          <w:lang w:val="es-ES"/>
        </w:rPr>
        <w:t xml:space="preserve"> la controversia a este respecto</w:t>
      </w:r>
      <w:r w:rsidR="00806F39" w:rsidRPr="004F2666">
        <w:rPr>
          <w:lang w:val="es-ES"/>
        </w:rPr>
        <w:t>, cue</w:t>
      </w:r>
      <w:r w:rsidR="00CC7E0B">
        <w:rPr>
          <w:lang w:val="es-ES"/>
        </w:rPr>
        <w:t>stión que será analizada en el C</w:t>
      </w:r>
      <w:r w:rsidR="00806F39" w:rsidRPr="004F2666">
        <w:rPr>
          <w:lang w:val="es-ES"/>
        </w:rPr>
        <w:t xml:space="preserve">apítulo </w:t>
      </w:r>
      <w:r w:rsidR="00183EC9">
        <w:rPr>
          <w:lang w:val="es-ES"/>
        </w:rPr>
        <w:t>I</w:t>
      </w:r>
      <w:r w:rsidR="00E87467">
        <w:rPr>
          <w:lang w:val="es-ES"/>
        </w:rPr>
        <w:t>X</w:t>
      </w:r>
      <w:r w:rsidR="00806F39" w:rsidRPr="004F2666">
        <w:rPr>
          <w:lang w:val="es-ES"/>
        </w:rPr>
        <w:t xml:space="preserve"> de la presente Sentencia</w:t>
      </w:r>
      <w:r w:rsidRPr="004F2666">
        <w:rPr>
          <w:lang w:val="es-ES"/>
        </w:rPr>
        <w:t>.</w:t>
      </w:r>
    </w:p>
    <w:p w14:paraId="59044482" w14:textId="1118CD98" w:rsidR="00DF328D" w:rsidRPr="004F2666" w:rsidRDefault="00DF328D" w:rsidP="00DF328D">
      <w:pPr>
        <w:pStyle w:val="Ttulo3"/>
        <w:rPr>
          <w:lang w:val="es-ES"/>
        </w:rPr>
      </w:pPr>
      <w:bookmarkStart w:id="20" w:name="_Toc74911308"/>
      <w:bookmarkStart w:id="21" w:name="_Toc93400234"/>
      <w:r w:rsidRPr="004F2666">
        <w:rPr>
          <w:lang w:val="es-ES"/>
        </w:rPr>
        <w:t>b.4 Conclusiones: valoración del reconocimiento parcial de responsabilidad</w:t>
      </w:r>
      <w:bookmarkEnd w:id="20"/>
      <w:bookmarkEnd w:id="21"/>
    </w:p>
    <w:p w14:paraId="2C69E2D1" w14:textId="483B4563" w:rsidR="00A2681F" w:rsidRDefault="00DF328D" w:rsidP="00183EC9">
      <w:pPr>
        <w:numPr>
          <w:ilvl w:val="0"/>
          <w:numId w:val="4"/>
        </w:numPr>
        <w:tabs>
          <w:tab w:val="left" w:pos="567"/>
          <w:tab w:val="num" w:pos="1569"/>
          <w:tab w:val="num" w:pos="12305"/>
        </w:tabs>
        <w:spacing w:line="240" w:lineRule="auto"/>
        <w:ind w:left="0" w:firstLine="0"/>
        <w:rPr>
          <w:lang w:val="es-ES"/>
        </w:rPr>
      </w:pPr>
      <w:r w:rsidRPr="00183EC9">
        <w:rPr>
          <w:lang w:val="es-ES"/>
        </w:rPr>
        <w:t xml:space="preserve">El reconocimiento efectuado por el Estado constituye una aceptación parcial de los hechos y un reconocimiento parcial de las violaciones alegadas. </w:t>
      </w:r>
      <w:r w:rsidR="00B720C6">
        <w:rPr>
          <w:lang w:val="es-ES"/>
        </w:rPr>
        <w:t>Dicho</w:t>
      </w:r>
      <w:r w:rsidRPr="00183EC9">
        <w:rPr>
          <w:lang w:val="es-ES"/>
        </w:rPr>
        <w:t xml:space="preserve"> reconocimiento </w:t>
      </w:r>
      <w:r w:rsidRPr="00183EC9">
        <w:rPr>
          <w:rFonts w:eastAsia="Batang"/>
          <w:lang w:val="es-ES"/>
        </w:rPr>
        <w:t>produce</w:t>
      </w:r>
      <w:r w:rsidRPr="00183EC9">
        <w:rPr>
          <w:lang w:val="es-ES"/>
        </w:rPr>
        <w:t xml:space="preserve"> plenos efectos jurídicos de acuerdo a los artículos 62 y 64 del Reglamento de la Corte ya mencionados. </w:t>
      </w:r>
      <w:r w:rsidR="00183EC9" w:rsidRPr="00D51095">
        <w:rPr>
          <w:lang w:val="es-ES"/>
        </w:rPr>
        <w:t xml:space="preserve">La Corte valora positivamente la voluntad del Estado al manifestar un reconocimiento parcial de </w:t>
      </w:r>
      <w:r w:rsidR="00183EC9" w:rsidRPr="00D51095">
        <w:rPr>
          <w:lang w:val="es-ES"/>
        </w:rPr>
        <w:lastRenderedPageBreak/>
        <w:t>responsabilidad internacional, por su trascendencia en el marco del sistema interamericano de protección de los derechos humanos, y que las partes hayan consentido en</w:t>
      </w:r>
      <w:r w:rsidR="00141A07" w:rsidRPr="00D51095">
        <w:rPr>
          <w:lang w:val="es-ES"/>
        </w:rPr>
        <w:t xml:space="preserve"> </w:t>
      </w:r>
      <w:r w:rsidR="00183EC9" w:rsidRPr="00D51095">
        <w:rPr>
          <w:lang w:val="es-ES"/>
        </w:rPr>
        <w:t>posibilitar</w:t>
      </w:r>
      <w:r w:rsidR="00141A07" w:rsidRPr="00D51095">
        <w:rPr>
          <w:lang w:val="es-ES"/>
        </w:rPr>
        <w:t xml:space="preserve"> </w:t>
      </w:r>
      <w:r w:rsidR="00183EC9" w:rsidRPr="00D51095">
        <w:rPr>
          <w:lang w:val="es-ES"/>
        </w:rPr>
        <w:t>un</w:t>
      </w:r>
      <w:r w:rsidR="00141A07" w:rsidRPr="00D51095">
        <w:rPr>
          <w:lang w:val="es-ES"/>
        </w:rPr>
        <w:t xml:space="preserve"> </w:t>
      </w:r>
      <w:r w:rsidR="00183EC9" w:rsidRPr="00D51095">
        <w:rPr>
          <w:lang w:val="es-ES"/>
        </w:rPr>
        <w:t>acuerdo</w:t>
      </w:r>
      <w:r w:rsidR="00141A07" w:rsidRPr="00D51095">
        <w:rPr>
          <w:lang w:val="es-ES"/>
        </w:rPr>
        <w:t xml:space="preserve"> </w:t>
      </w:r>
      <w:r w:rsidR="00183EC9" w:rsidRPr="00D51095">
        <w:rPr>
          <w:lang w:val="es-ES"/>
        </w:rPr>
        <w:t>en</w:t>
      </w:r>
      <w:r w:rsidR="00141A07" w:rsidRPr="00D51095">
        <w:rPr>
          <w:lang w:val="es-ES"/>
        </w:rPr>
        <w:t xml:space="preserve"> </w:t>
      </w:r>
      <w:r w:rsidR="00183EC9" w:rsidRPr="00D51095">
        <w:rPr>
          <w:lang w:val="es-ES"/>
        </w:rPr>
        <w:t>materia</w:t>
      </w:r>
      <w:r w:rsidR="00141A07" w:rsidRPr="00D51095">
        <w:rPr>
          <w:lang w:val="es-ES"/>
        </w:rPr>
        <w:t xml:space="preserve"> </w:t>
      </w:r>
      <w:r w:rsidR="00183EC9" w:rsidRPr="00D51095">
        <w:rPr>
          <w:lang w:val="es-ES"/>
        </w:rPr>
        <w:t>de</w:t>
      </w:r>
      <w:r w:rsidR="00141A07" w:rsidRPr="00D51095">
        <w:rPr>
          <w:lang w:val="es-ES"/>
        </w:rPr>
        <w:t xml:space="preserve"> </w:t>
      </w:r>
      <w:r w:rsidR="00183EC9" w:rsidRPr="00D51095">
        <w:rPr>
          <w:lang w:val="es-ES"/>
        </w:rPr>
        <w:t>reparaciones</w:t>
      </w:r>
      <w:r w:rsidR="00403535" w:rsidRPr="00D51095">
        <w:rPr>
          <w:lang w:val="es-ES"/>
        </w:rPr>
        <w:t xml:space="preserve">. </w:t>
      </w:r>
      <w:r w:rsidRPr="00D51095">
        <w:rPr>
          <w:lang w:val="es-ES"/>
        </w:rPr>
        <w:t>Adicionalmente</w:t>
      </w:r>
      <w:r w:rsidRPr="00183EC9">
        <w:rPr>
          <w:lang w:val="es-ES"/>
        </w:rPr>
        <w:t>, la Corte advierte que el reconocimiento de hechos y violaciones puntuales y específicos puede tener efectos y consecuencias en el análisis que haga este Tribunal sobre los demás hechos y violaciones alegados, en la medida en que todos forman parte de un mismo conjunto de circunstancias</w:t>
      </w:r>
      <w:r w:rsidRPr="00183EC9">
        <w:rPr>
          <w:rStyle w:val="Refdenotaalpie"/>
          <w:lang w:val="es-ES"/>
        </w:rPr>
        <w:footnoteReference w:id="21"/>
      </w:r>
      <w:r w:rsidR="001569EE" w:rsidRPr="00183EC9">
        <w:rPr>
          <w:lang w:val="es-ES"/>
        </w:rPr>
        <w:t>.</w:t>
      </w:r>
    </w:p>
    <w:p w14:paraId="13C50612" w14:textId="45AA2C14" w:rsidR="00DF328D" w:rsidRDefault="00403535" w:rsidP="00A2681F">
      <w:pPr>
        <w:tabs>
          <w:tab w:val="left" w:pos="567"/>
        </w:tabs>
        <w:spacing w:line="240" w:lineRule="auto"/>
        <w:rPr>
          <w:lang w:val="es-ES"/>
        </w:rPr>
      </w:pPr>
      <w:r w:rsidRPr="00183EC9">
        <w:rPr>
          <w:lang w:val="es-ES"/>
        </w:rPr>
        <w:t xml:space="preserve"> </w:t>
      </w:r>
    </w:p>
    <w:p w14:paraId="30E8AC99" w14:textId="15F8C085" w:rsidR="00DF328D" w:rsidRDefault="00587C37" w:rsidP="000650DB">
      <w:pPr>
        <w:numPr>
          <w:ilvl w:val="0"/>
          <w:numId w:val="4"/>
        </w:numPr>
        <w:tabs>
          <w:tab w:val="left" w:pos="567"/>
          <w:tab w:val="num" w:pos="1569"/>
          <w:tab w:val="num" w:pos="12305"/>
        </w:tabs>
        <w:spacing w:line="240" w:lineRule="auto"/>
        <w:ind w:left="0" w:firstLine="0"/>
        <w:rPr>
          <w:lang w:val="es-ES"/>
        </w:rPr>
      </w:pPr>
      <w:r w:rsidRPr="004F2666">
        <w:rPr>
          <w:lang w:val="es-ES"/>
        </w:rPr>
        <w:t>En consideración de la gravedad de los hechos y de las violaciones alegadas, la Corte procederá a la determinación amplia y detallada de los hechos ocurridos, toda vez que ello contribuye a la reparación de las víctimas, a evitar que se repitan hechos similares y a satisfacer, en suma, los fines de la jurisdicción interamericana sobre derechos humanos</w:t>
      </w:r>
      <w:r w:rsidRPr="004F2666">
        <w:rPr>
          <w:rStyle w:val="Refdenotaalpie"/>
          <w:lang w:val="es-ES"/>
        </w:rPr>
        <w:footnoteReference w:id="22"/>
      </w:r>
      <w:r w:rsidRPr="004F2666">
        <w:rPr>
          <w:lang w:val="es-ES"/>
        </w:rPr>
        <w:t xml:space="preserve">, y luego analizará </w:t>
      </w:r>
      <w:r w:rsidR="00DF328D" w:rsidRPr="004F2666">
        <w:rPr>
          <w:lang w:val="es-ES"/>
        </w:rPr>
        <w:t xml:space="preserve">la procedencia y alcance de las violaciones invocadas por </w:t>
      </w:r>
      <w:r w:rsidR="00183EC9">
        <w:rPr>
          <w:lang w:val="es-ES"/>
        </w:rPr>
        <w:t>las representantes</w:t>
      </w:r>
      <w:r w:rsidR="00DF328D" w:rsidRPr="004F2666">
        <w:rPr>
          <w:lang w:val="es-ES"/>
        </w:rPr>
        <w:t xml:space="preserve"> sobre las que subsiste la controversia. </w:t>
      </w:r>
      <w:r w:rsidR="000650DB">
        <w:rPr>
          <w:lang w:val="es-ES"/>
        </w:rPr>
        <w:t xml:space="preserve">Asimismo, </w:t>
      </w:r>
      <w:r w:rsidR="000650DB" w:rsidRPr="000650DB">
        <w:rPr>
          <w:lang w:val="es-ES"/>
        </w:rPr>
        <w:t xml:space="preserve">en aras de asegurar una mejor comprensión de la responsabilidad internacional estatal, del nexo causal entre las violaciones establecidas y de las reparaciones que se ordenarán, la Corte estima pertinente precisar </w:t>
      </w:r>
      <w:r w:rsidR="00183EC9">
        <w:rPr>
          <w:lang w:val="es-ES"/>
        </w:rPr>
        <w:t xml:space="preserve">algunas de </w:t>
      </w:r>
      <w:r w:rsidR="000650DB" w:rsidRPr="000650DB">
        <w:rPr>
          <w:lang w:val="es-ES"/>
        </w:rPr>
        <w:t>las violaciones a los derechos humanos que acontecieron en el presente caso</w:t>
      </w:r>
      <w:r w:rsidR="000650DB">
        <w:rPr>
          <w:lang w:val="es-ES"/>
        </w:rPr>
        <w:t xml:space="preserve"> y que han sido reconocidas por el Estado</w:t>
      </w:r>
      <w:r w:rsidR="000650DB">
        <w:rPr>
          <w:rStyle w:val="Refdenotaalpie"/>
          <w:lang w:val="es-ES"/>
        </w:rPr>
        <w:footnoteReference w:id="23"/>
      </w:r>
      <w:r w:rsidR="000650DB" w:rsidRPr="000650DB">
        <w:rPr>
          <w:lang w:val="es-ES"/>
        </w:rPr>
        <w:t>.</w:t>
      </w:r>
      <w:r w:rsidR="000650DB">
        <w:rPr>
          <w:lang w:val="es-ES"/>
        </w:rPr>
        <w:t xml:space="preserve"> </w:t>
      </w:r>
      <w:r w:rsidR="00DF328D" w:rsidRPr="004F2666">
        <w:rPr>
          <w:lang w:val="es-ES"/>
        </w:rPr>
        <w:t xml:space="preserve">Finalmente, el Tribunal se pronunciará sobre la controversia subsistente en torno a las reparaciones solicitadas por la Comisión y </w:t>
      </w:r>
      <w:r w:rsidR="00183EC9">
        <w:rPr>
          <w:lang w:val="es-ES"/>
        </w:rPr>
        <w:t>las representantes</w:t>
      </w:r>
      <w:r w:rsidR="00DF328D" w:rsidRPr="004F2666">
        <w:rPr>
          <w:lang w:val="es-ES"/>
        </w:rPr>
        <w:t>.</w:t>
      </w:r>
    </w:p>
    <w:p w14:paraId="430FD3A3" w14:textId="6E602995" w:rsidR="00BE552F" w:rsidRPr="004F2666" w:rsidRDefault="00BE552F" w:rsidP="00BE552F">
      <w:pPr>
        <w:pStyle w:val="Ttulo1"/>
        <w:rPr>
          <w:lang w:val="es-ES"/>
        </w:rPr>
      </w:pPr>
      <w:bookmarkStart w:id="22" w:name="_Toc93400235"/>
      <w:bookmarkStart w:id="23" w:name="_Toc80722371"/>
      <w:r w:rsidRPr="004F2666">
        <w:rPr>
          <w:lang w:val="es-ES"/>
        </w:rPr>
        <w:t>V</w:t>
      </w:r>
      <w:r w:rsidRPr="004F2666">
        <w:rPr>
          <w:lang w:val="es-ES"/>
        </w:rPr>
        <w:br/>
        <w:t>EXCEP</w:t>
      </w:r>
      <w:r w:rsidR="00F877B7" w:rsidRPr="004F2666">
        <w:rPr>
          <w:lang w:val="es-ES"/>
        </w:rPr>
        <w:t>C</w:t>
      </w:r>
      <w:r w:rsidRPr="004F2666">
        <w:rPr>
          <w:lang w:val="es-ES"/>
        </w:rPr>
        <w:t>IONES PRELIMINARES</w:t>
      </w:r>
      <w:bookmarkEnd w:id="22"/>
      <w:r w:rsidRPr="004F2666">
        <w:rPr>
          <w:lang w:val="es-ES"/>
        </w:rPr>
        <w:t xml:space="preserve"> </w:t>
      </w:r>
      <w:bookmarkEnd w:id="23"/>
    </w:p>
    <w:p w14:paraId="6FE72E08" w14:textId="48FC686E" w:rsidR="006B1241" w:rsidRPr="004F2666" w:rsidRDefault="00BE552F" w:rsidP="00654028">
      <w:pPr>
        <w:numPr>
          <w:ilvl w:val="0"/>
          <w:numId w:val="4"/>
        </w:numPr>
        <w:tabs>
          <w:tab w:val="left" w:pos="567"/>
          <w:tab w:val="num" w:pos="1569"/>
          <w:tab w:val="num" w:pos="12305"/>
        </w:tabs>
        <w:spacing w:line="240" w:lineRule="auto"/>
        <w:ind w:left="0" w:firstLine="0"/>
        <w:rPr>
          <w:lang w:val="es-CO"/>
        </w:rPr>
      </w:pPr>
      <w:r w:rsidRPr="004F2666">
        <w:rPr>
          <w:lang w:val="es-ES"/>
        </w:rPr>
        <w:t>El Estado interpuso cuatro excepciones preliminares, a saber</w:t>
      </w:r>
      <w:r w:rsidRPr="00334A13">
        <w:rPr>
          <w:lang w:val="es-ES"/>
        </w:rPr>
        <w:t xml:space="preserve">: </w:t>
      </w:r>
      <w:r w:rsidR="006B1241" w:rsidRPr="00334A13">
        <w:rPr>
          <w:lang w:val="es-ES"/>
        </w:rPr>
        <w:t>(i)</w:t>
      </w:r>
      <w:r w:rsidR="002942EC">
        <w:rPr>
          <w:lang w:val="es-ES"/>
        </w:rPr>
        <w:t xml:space="preserve"> </w:t>
      </w:r>
      <w:r w:rsidR="000D351B" w:rsidRPr="00334A13">
        <w:rPr>
          <w:lang w:val="es-ES"/>
        </w:rPr>
        <w:t xml:space="preserve">falta de </w:t>
      </w:r>
      <w:r w:rsidR="00312DD4" w:rsidRPr="00334A13">
        <w:t>determinación</w:t>
      </w:r>
      <w:r w:rsidR="006B1241" w:rsidRPr="00334A13">
        <w:t xml:space="preserve"> de las posibles víctimas</w:t>
      </w:r>
      <w:r w:rsidR="006B1241" w:rsidRPr="004F2666">
        <w:t>; (</w:t>
      </w:r>
      <w:proofErr w:type="spellStart"/>
      <w:r w:rsidR="006B1241" w:rsidRPr="004F2666">
        <w:t>ii</w:t>
      </w:r>
      <w:proofErr w:type="spellEnd"/>
      <w:r w:rsidR="006B1241" w:rsidRPr="004F2666">
        <w:t>) falta de agotamiento de recursos internos</w:t>
      </w:r>
      <w:r w:rsidR="007B7CA0">
        <w:t>;</w:t>
      </w:r>
      <w:r w:rsidR="006B1241" w:rsidRPr="004F2666">
        <w:t xml:space="preserve"> (</w:t>
      </w:r>
      <w:proofErr w:type="spellStart"/>
      <w:r w:rsidR="006B1241" w:rsidRPr="004F2666">
        <w:t>iii</w:t>
      </w:r>
      <w:proofErr w:type="spellEnd"/>
      <w:r w:rsidR="006B1241" w:rsidRPr="004F2666">
        <w:t xml:space="preserve">) </w:t>
      </w:r>
      <w:r w:rsidR="006B1241" w:rsidRPr="004F2666">
        <w:rPr>
          <w:lang w:val="es-ES"/>
        </w:rPr>
        <w:t>incompetencia</w:t>
      </w:r>
      <w:r w:rsidR="006B1241" w:rsidRPr="004F2666">
        <w:rPr>
          <w:lang w:val="es-CO"/>
        </w:rPr>
        <w:t xml:space="preserve"> </w:t>
      </w:r>
      <w:proofErr w:type="spellStart"/>
      <w:r w:rsidR="006B1241" w:rsidRPr="004F2666">
        <w:rPr>
          <w:i/>
          <w:lang w:val="es-CO"/>
        </w:rPr>
        <w:t>ratione</w:t>
      </w:r>
      <w:proofErr w:type="spellEnd"/>
      <w:r w:rsidR="006B1241" w:rsidRPr="004F2666">
        <w:rPr>
          <w:i/>
          <w:lang w:val="es-CO"/>
        </w:rPr>
        <w:t xml:space="preserve"> </w:t>
      </w:r>
      <w:proofErr w:type="spellStart"/>
      <w:r w:rsidR="006B1241" w:rsidRPr="004F2666">
        <w:rPr>
          <w:i/>
          <w:lang w:val="es-CO"/>
        </w:rPr>
        <w:t>materiae</w:t>
      </w:r>
      <w:proofErr w:type="spellEnd"/>
      <w:r w:rsidR="006B1241" w:rsidRPr="004F2666">
        <w:rPr>
          <w:lang w:val="es-CO"/>
        </w:rPr>
        <w:t xml:space="preserve"> para conocer</w:t>
      </w:r>
      <w:r w:rsidR="006D3505">
        <w:rPr>
          <w:lang w:val="es-CO"/>
        </w:rPr>
        <w:t xml:space="preserve"> respecto de la alegada</w:t>
      </w:r>
      <w:r w:rsidR="006B1241" w:rsidRPr="004F2666">
        <w:rPr>
          <w:lang w:val="es-CO"/>
        </w:rPr>
        <w:t xml:space="preserve"> violación del derecho a defender derechos humanos como derecho autónomo </w:t>
      </w:r>
      <w:r w:rsidR="007177BC">
        <w:rPr>
          <w:lang w:val="es-CO"/>
        </w:rPr>
        <w:t>y sobre</w:t>
      </w:r>
      <w:r w:rsidR="006B1241" w:rsidRPr="004F2666">
        <w:rPr>
          <w:lang w:val="es-CO"/>
        </w:rPr>
        <w:t xml:space="preserve"> el artículo 7 de la </w:t>
      </w:r>
      <w:r w:rsidR="00866CDB">
        <w:rPr>
          <w:lang w:val="es-CO"/>
        </w:rPr>
        <w:t>Convención de Belém do Pará</w:t>
      </w:r>
      <w:r w:rsidR="006B1241" w:rsidRPr="004F2666">
        <w:rPr>
          <w:lang w:val="es-CO"/>
        </w:rPr>
        <w:t>, y (iv) excepción preliminar de cuarta instancia.</w:t>
      </w:r>
      <w:r w:rsidR="000D351B" w:rsidRPr="004F2666">
        <w:rPr>
          <w:lang w:val="es-CO"/>
        </w:rPr>
        <w:t xml:space="preserve"> </w:t>
      </w:r>
    </w:p>
    <w:p w14:paraId="2CDE4FE8" w14:textId="022C1FD6" w:rsidR="000D351B" w:rsidRPr="004F2666" w:rsidRDefault="000D351B" w:rsidP="000D351B">
      <w:pPr>
        <w:tabs>
          <w:tab w:val="left" w:pos="567"/>
        </w:tabs>
        <w:spacing w:line="240" w:lineRule="auto"/>
        <w:rPr>
          <w:lang w:val="es-CO"/>
        </w:rPr>
      </w:pPr>
    </w:p>
    <w:p w14:paraId="44F6A9E2" w14:textId="2898598F" w:rsidR="00141A07" w:rsidRPr="00D51095" w:rsidRDefault="00183EC9" w:rsidP="00141A07">
      <w:pPr>
        <w:numPr>
          <w:ilvl w:val="0"/>
          <w:numId w:val="4"/>
        </w:numPr>
        <w:tabs>
          <w:tab w:val="left" w:pos="567"/>
          <w:tab w:val="num" w:pos="1569"/>
          <w:tab w:val="num" w:pos="12305"/>
        </w:tabs>
        <w:spacing w:line="240" w:lineRule="auto"/>
        <w:ind w:left="0" w:firstLine="0"/>
      </w:pPr>
      <w:r w:rsidRPr="00D51095">
        <w:rPr>
          <w:lang w:val="es-CO"/>
        </w:rPr>
        <w:t xml:space="preserve">En primer lugar, en lo que respecta a la excepción sobre falta de determinación de las posibles víctimas, </w:t>
      </w:r>
      <w:r w:rsidR="00252833">
        <w:rPr>
          <w:lang w:val="es-CO"/>
        </w:rPr>
        <w:t>la Corte nota</w:t>
      </w:r>
      <w:r w:rsidRPr="00D51095">
        <w:rPr>
          <w:lang w:val="es-CO"/>
        </w:rPr>
        <w:t xml:space="preserve"> que</w:t>
      </w:r>
      <w:r w:rsidR="00CC7E0B">
        <w:rPr>
          <w:lang w:val="es-CO"/>
        </w:rPr>
        <w:t>,</w:t>
      </w:r>
      <w:r w:rsidRPr="00D51095">
        <w:rPr>
          <w:lang w:val="es-CO"/>
        </w:rPr>
        <w:t xml:space="preserve"> e</w:t>
      </w:r>
      <w:r w:rsidRPr="00D51095">
        <w:t>n su escrito de contestación</w:t>
      </w:r>
      <w:r w:rsidR="00CC7E0B">
        <w:t>,</w:t>
      </w:r>
      <w:r w:rsidRPr="00D51095">
        <w:t xml:space="preserve"> el Estado</w:t>
      </w:r>
      <w:r w:rsidRPr="00D51095">
        <w:rPr>
          <w:b/>
        </w:rPr>
        <w:t xml:space="preserve"> </w:t>
      </w:r>
      <w:r w:rsidRPr="00D51095">
        <w:t>se opuso a la inclusión como víctimas del presente caso</w:t>
      </w:r>
      <w:r w:rsidR="00381B34">
        <w:t xml:space="preserve"> de</w:t>
      </w:r>
      <w:r w:rsidRPr="00D51095">
        <w:t xml:space="preserve"> la señora Digna Ochoa, así </w:t>
      </w:r>
      <w:r w:rsidRPr="00D51095">
        <w:rPr>
          <w:lang w:val="es-ES"/>
        </w:rPr>
        <w:t>como</w:t>
      </w:r>
      <w:r w:rsidRPr="00D51095">
        <w:t xml:space="preserve"> </w:t>
      </w:r>
      <w:r w:rsidR="00381B34">
        <w:t>de</w:t>
      </w:r>
      <w:r w:rsidRPr="00D51095">
        <w:t xml:space="preserve"> sus hermanos Eusebio, Roberto y Juan Carlos Ochoa, toda vez que no fueron incluidos como víctimas en el Informe de Fondo elaborado por la Comisión. No </w:t>
      </w:r>
      <w:proofErr w:type="gramStart"/>
      <w:r w:rsidRPr="00D51095">
        <w:t>obstante</w:t>
      </w:r>
      <w:proofErr w:type="gramEnd"/>
      <w:r w:rsidRPr="00D51095">
        <w:t xml:space="preserve"> lo </w:t>
      </w:r>
      <w:r w:rsidRPr="00D51095">
        <w:rPr>
          <w:lang w:val="es-ES"/>
        </w:rPr>
        <w:t>anterior</w:t>
      </w:r>
      <w:r w:rsidRPr="00D51095">
        <w:t xml:space="preserve">, el Tribunal advierte que el Estado reconoció como víctimas a la </w:t>
      </w:r>
      <w:r w:rsidR="001F344D">
        <w:t>señora Digna Ochoa</w:t>
      </w:r>
      <w:r w:rsidRPr="00D51095">
        <w:t xml:space="preserve"> y a los señores </w:t>
      </w:r>
      <w:r w:rsidRPr="00D51095">
        <w:rPr>
          <w:rFonts w:eastAsia="MS Mincho"/>
          <w:lang w:val="es-ES" w:bidi="en-US"/>
        </w:rPr>
        <w:t>Eusebio, Roberto y Juan Carlos Ochoa</w:t>
      </w:r>
      <w:r w:rsidR="00141A07" w:rsidRPr="00D51095">
        <w:rPr>
          <w:rFonts w:eastAsia="MS Mincho"/>
          <w:lang w:val="es-ES" w:bidi="en-US"/>
        </w:rPr>
        <w:t xml:space="preserve"> en el marco del reconocimiento parcial de responsabilidad </w:t>
      </w:r>
      <w:r w:rsidR="00141A07" w:rsidRPr="00D51095">
        <w:rPr>
          <w:lang w:val="es-CO"/>
        </w:rPr>
        <w:t>internacional</w:t>
      </w:r>
      <w:r w:rsidR="000A6BFD">
        <w:rPr>
          <w:lang w:val="es-CO"/>
        </w:rPr>
        <w:t xml:space="preserve"> realizado en la audiencia pública</w:t>
      </w:r>
      <w:r w:rsidR="00141A07" w:rsidRPr="00D51095">
        <w:rPr>
          <w:rFonts w:eastAsia="MS Mincho"/>
          <w:lang w:val="es-ES" w:bidi="en-US"/>
        </w:rPr>
        <w:t xml:space="preserve">. Por un lado, reconoció </w:t>
      </w:r>
      <w:r w:rsidR="00CC7E0B">
        <w:rPr>
          <w:rFonts w:eastAsia="MS Mincho"/>
          <w:lang w:val="es-ES" w:bidi="en-US"/>
        </w:rPr>
        <w:t xml:space="preserve">expresamente </w:t>
      </w:r>
      <w:r w:rsidR="00141A07" w:rsidRPr="00D51095">
        <w:rPr>
          <w:rFonts w:eastAsia="MS Mincho"/>
          <w:lang w:val="es-ES" w:bidi="en-US"/>
        </w:rPr>
        <w:t xml:space="preserve">a la </w:t>
      </w:r>
      <w:r w:rsidR="001F344D">
        <w:rPr>
          <w:rFonts w:eastAsia="MS Mincho"/>
          <w:lang w:val="es-ES" w:bidi="en-US"/>
        </w:rPr>
        <w:t>señora Digna Ochoa</w:t>
      </w:r>
      <w:r w:rsidR="00141A07" w:rsidRPr="00D51095">
        <w:rPr>
          <w:rFonts w:eastAsia="MS Mincho"/>
          <w:lang w:val="es-ES" w:bidi="en-US"/>
        </w:rPr>
        <w:t xml:space="preserve"> como víctima de la violación del artículo 11 de la Convención Americana. Por otro, </w:t>
      </w:r>
      <w:r w:rsidR="00141A07" w:rsidRPr="00D51095">
        <w:t xml:space="preserve">mediante </w:t>
      </w:r>
      <w:r w:rsidRPr="00D51095">
        <w:rPr>
          <w:rFonts w:eastAsia="MS Mincho"/>
          <w:lang w:val="es-ES" w:bidi="en-US"/>
        </w:rPr>
        <w:t>escrito de 7 de junio de 2021</w:t>
      </w:r>
      <w:r w:rsidR="00141A07" w:rsidRPr="00D51095">
        <w:rPr>
          <w:rFonts w:eastAsia="MS Mincho"/>
          <w:lang w:val="es-ES" w:bidi="en-US"/>
        </w:rPr>
        <w:t xml:space="preserve">, precisó el alcance de las medidas de reparación ofrecidas en el marco del reconocimiento parcial de responsabilidad e incluyó, además de los familiares indicado por la Comisión, a la </w:t>
      </w:r>
      <w:r w:rsidR="001F344D">
        <w:rPr>
          <w:rFonts w:eastAsia="MS Mincho"/>
          <w:lang w:val="es-ES" w:bidi="en-US"/>
        </w:rPr>
        <w:t>señora Digna Ochoa</w:t>
      </w:r>
      <w:r w:rsidR="00141A07" w:rsidRPr="00D51095">
        <w:rPr>
          <w:rFonts w:eastAsia="MS Mincho"/>
          <w:lang w:val="es-ES" w:bidi="en-US"/>
        </w:rPr>
        <w:t xml:space="preserve"> y a los señores E</w:t>
      </w:r>
      <w:proofErr w:type="spellStart"/>
      <w:r w:rsidR="00141A07" w:rsidRPr="00D51095">
        <w:t>usebio</w:t>
      </w:r>
      <w:proofErr w:type="spellEnd"/>
      <w:r w:rsidR="00141A07" w:rsidRPr="00D51095">
        <w:t xml:space="preserve">, Roberto y Juan Carlos Ochoa </w:t>
      </w:r>
      <w:r w:rsidR="00141A07" w:rsidRPr="00D51095">
        <w:rPr>
          <w:rFonts w:eastAsia="MS Mincho"/>
          <w:lang w:val="es-ES" w:bidi="en-US"/>
        </w:rPr>
        <w:t>como beneficiarios de los montos indemnizatorios en concepto de daño material e inmaterial por las violaciones a la Convención Americana reconocidas.</w:t>
      </w:r>
      <w:r w:rsidR="00141A07" w:rsidRPr="00D51095">
        <w:rPr>
          <w:rFonts w:eastAsia="MS Mincho"/>
          <w:b/>
          <w:lang w:val="es-ES" w:bidi="en-US"/>
        </w:rPr>
        <w:t xml:space="preserve"> </w:t>
      </w:r>
      <w:r w:rsidR="00141A07" w:rsidRPr="00D51095">
        <w:rPr>
          <w:rFonts w:eastAsia="MS Mincho"/>
          <w:lang w:val="es-ES" w:bidi="en-US"/>
        </w:rPr>
        <w:t>En consecuencia, esta</w:t>
      </w:r>
      <w:r w:rsidR="003C61B2">
        <w:rPr>
          <w:rFonts w:eastAsia="MS Mincho"/>
          <w:lang w:val="es-ES" w:bidi="en-US"/>
        </w:rPr>
        <w:t xml:space="preserve"> Corte considera que </w:t>
      </w:r>
      <w:r w:rsidR="00D90D44">
        <w:rPr>
          <w:rFonts w:eastAsia="MS Mincho"/>
          <w:lang w:val="es-ES" w:bidi="en-US"/>
        </w:rPr>
        <w:t xml:space="preserve">esta excepción presentada </w:t>
      </w:r>
      <w:r w:rsidR="003C61B2">
        <w:rPr>
          <w:rFonts w:eastAsia="MS Mincho"/>
          <w:lang w:val="es-ES" w:bidi="en-US"/>
        </w:rPr>
        <w:t>en el escrito de contestación</w:t>
      </w:r>
      <w:r w:rsidR="00141A07" w:rsidRPr="00D51095">
        <w:rPr>
          <w:rFonts w:eastAsia="MS Mincho"/>
          <w:lang w:val="es-ES" w:bidi="en-US"/>
        </w:rPr>
        <w:t xml:space="preserve"> </w:t>
      </w:r>
      <w:r w:rsidR="00D90D44">
        <w:rPr>
          <w:rFonts w:eastAsia="MS Mincho"/>
          <w:lang w:val="es-ES" w:bidi="en-US"/>
        </w:rPr>
        <w:t xml:space="preserve">resulta incompatible con el reconocimiento de responsabilidad internacional estatal, razón por la cual </w:t>
      </w:r>
      <w:r w:rsidR="00381B34">
        <w:rPr>
          <w:rFonts w:eastAsia="MS Mincho"/>
          <w:lang w:val="es-ES" w:bidi="en-US"/>
        </w:rPr>
        <w:t>ha perdido su objeto</w:t>
      </w:r>
      <w:r w:rsidR="00252833">
        <w:rPr>
          <w:rFonts w:eastAsia="MS Mincho"/>
          <w:lang w:val="es-ES" w:bidi="en-US"/>
        </w:rPr>
        <w:t>,</w:t>
      </w:r>
      <w:r w:rsidR="00381B34">
        <w:rPr>
          <w:rFonts w:eastAsia="MS Mincho"/>
          <w:lang w:val="es-ES" w:bidi="en-US"/>
        </w:rPr>
        <w:t xml:space="preserve"> </w:t>
      </w:r>
      <w:r w:rsidR="00381B34">
        <w:rPr>
          <w:rFonts w:eastAsia="MS Mincho"/>
          <w:lang w:val="es-ES" w:bidi="en-US"/>
        </w:rPr>
        <w:lastRenderedPageBreak/>
        <w:t xml:space="preserve">por lo que </w:t>
      </w:r>
      <w:r w:rsidR="00141A07" w:rsidRPr="00D51095">
        <w:rPr>
          <w:rFonts w:eastAsia="MS Mincho"/>
          <w:lang w:val="es-ES" w:bidi="en-US"/>
        </w:rPr>
        <w:t>no</w:t>
      </w:r>
      <w:r w:rsidR="00A2681F">
        <w:rPr>
          <w:rFonts w:eastAsia="MS Mincho"/>
          <w:lang w:val="es-ES" w:bidi="en-US"/>
        </w:rPr>
        <w:t xml:space="preserve"> será analizad</w:t>
      </w:r>
      <w:r w:rsidR="00D90D44">
        <w:rPr>
          <w:rFonts w:eastAsia="MS Mincho"/>
          <w:lang w:val="es-ES" w:bidi="en-US"/>
        </w:rPr>
        <w:t>a</w:t>
      </w:r>
      <w:r w:rsidR="00A2681F">
        <w:rPr>
          <w:rFonts w:eastAsia="MS Mincho"/>
          <w:lang w:val="es-ES" w:bidi="en-US"/>
        </w:rPr>
        <w:t xml:space="preserve"> por el Tribunal.</w:t>
      </w:r>
    </w:p>
    <w:p w14:paraId="551543FF" w14:textId="77777777" w:rsidR="00183EC9" w:rsidRPr="003266B7" w:rsidRDefault="00183EC9" w:rsidP="00183EC9">
      <w:pPr>
        <w:tabs>
          <w:tab w:val="left" w:pos="567"/>
        </w:tabs>
        <w:spacing w:line="240" w:lineRule="auto"/>
      </w:pPr>
    </w:p>
    <w:p w14:paraId="3F7366BE" w14:textId="51F092CA" w:rsidR="00141A07" w:rsidRPr="00D51095" w:rsidRDefault="00141A07" w:rsidP="00141A07">
      <w:pPr>
        <w:numPr>
          <w:ilvl w:val="0"/>
          <w:numId w:val="4"/>
        </w:numPr>
        <w:tabs>
          <w:tab w:val="left" w:pos="567"/>
          <w:tab w:val="num" w:pos="1569"/>
          <w:tab w:val="num" w:pos="12305"/>
        </w:tabs>
        <w:spacing w:line="240" w:lineRule="auto"/>
        <w:ind w:left="0" w:firstLine="0"/>
        <w:rPr>
          <w:lang w:val="es-CO"/>
        </w:rPr>
      </w:pPr>
      <w:r w:rsidRPr="00D51095">
        <w:rPr>
          <w:lang w:val="es-CO"/>
        </w:rPr>
        <w:t xml:space="preserve">En segundo lugar, el Tribunal advierte que </w:t>
      </w:r>
      <w:r w:rsidR="000D351B" w:rsidRPr="00D51095">
        <w:rPr>
          <w:lang w:val="es-CO"/>
        </w:rPr>
        <w:t xml:space="preserve">el Estado, por medio de sus </w:t>
      </w:r>
      <w:r w:rsidR="000D351B" w:rsidRPr="00D51095">
        <w:rPr>
          <w:lang w:val="es-ES"/>
        </w:rPr>
        <w:t>alegatos</w:t>
      </w:r>
      <w:r w:rsidR="000D351B" w:rsidRPr="00D51095">
        <w:rPr>
          <w:lang w:val="es-CO"/>
        </w:rPr>
        <w:t xml:space="preserve"> finales escritos</w:t>
      </w:r>
      <w:r w:rsidRPr="00D51095">
        <w:rPr>
          <w:lang w:val="es-CO"/>
        </w:rPr>
        <w:t xml:space="preserve"> y a la vista del reconocimiento parcial de responsabilidad internacional</w:t>
      </w:r>
      <w:r w:rsidR="00CC7E0B">
        <w:rPr>
          <w:lang w:val="es-CO"/>
        </w:rPr>
        <w:t xml:space="preserve"> efectuado</w:t>
      </w:r>
      <w:r w:rsidRPr="00D51095">
        <w:rPr>
          <w:lang w:val="es-CO"/>
        </w:rPr>
        <w:t>,</w:t>
      </w:r>
      <w:r w:rsidR="000D351B" w:rsidRPr="00D51095">
        <w:rPr>
          <w:lang w:val="es-CO"/>
        </w:rPr>
        <w:t xml:space="preserve"> retiró en su totalidad la excepción sobre el previo agotamiento de recursos internos, por lo que dicha excepción </w:t>
      </w:r>
      <w:r w:rsidRPr="00D51095">
        <w:rPr>
          <w:lang w:val="es-CO"/>
        </w:rPr>
        <w:t xml:space="preserve">tampoco </w:t>
      </w:r>
      <w:r w:rsidR="000D351B" w:rsidRPr="00D51095">
        <w:rPr>
          <w:lang w:val="es-CO"/>
        </w:rPr>
        <w:t xml:space="preserve">será analizada por el Tribunal. </w:t>
      </w:r>
    </w:p>
    <w:p w14:paraId="71742DE3" w14:textId="77777777" w:rsidR="00141A07" w:rsidRPr="00D51095" w:rsidRDefault="00141A07" w:rsidP="00141A07">
      <w:pPr>
        <w:tabs>
          <w:tab w:val="left" w:pos="567"/>
        </w:tabs>
        <w:spacing w:line="240" w:lineRule="auto"/>
        <w:rPr>
          <w:lang w:val="es-CO"/>
        </w:rPr>
      </w:pPr>
    </w:p>
    <w:p w14:paraId="4CFFDD59" w14:textId="2EAE3C32" w:rsidR="00141A07" w:rsidRPr="00D51095" w:rsidRDefault="00141A07" w:rsidP="00141A07">
      <w:pPr>
        <w:numPr>
          <w:ilvl w:val="0"/>
          <w:numId w:val="4"/>
        </w:numPr>
        <w:tabs>
          <w:tab w:val="left" w:pos="567"/>
          <w:tab w:val="num" w:pos="1569"/>
          <w:tab w:val="num" w:pos="12305"/>
        </w:tabs>
        <w:spacing w:line="240" w:lineRule="auto"/>
        <w:ind w:left="0" w:firstLine="0"/>
        <w:rPr>
          <w:lang w:val="es-CO"/>
        </w:rPr>
      </w:pPr>
      <w:r w:rsidRPr="00D51095">
        <w:rPr>
          <w:lang w:val="es-CO"/>
        </w:rPr>
        <w:t>En tercer lugar</w:t>
      </w:r>
      <w:r w:rsidR="00183EC9" w:rsidRPr="00D51095">
        <w:rPr>
          <w:lang w:val="es-CO"/>
        </w:rPr>
        <w:t xml:space="preserve">, </w:t>
      </w:r>
      <w:r w:rsidR="00252833">
        <w:t>la Corte</w:t>
      </w:r>
      <w:r w:rsidRPr="00D51095">
        <w:t xml:space="preserve"> observa que el</w:t>
      </w:r>
      <w:r w:rsidR="00183EC9" w:rsidRPr="00D51095">
        <w:t xml:space="preserve"> Estado retiró parcialmente la excepción sobre competencia </w:t>
      </w:r>
      <w:proofErr w:type="spellStart"/>
      <w:r w:rsidR="00183EC9" w:rsidRPr="00D51095">
        <w:rPr>
          <w:i/>
        </w:rPr>
        <w:t>ratione</w:t>
      </w:r>
      <w:proofErr w:type="spellEnd"/>
      <w:r w:rsidR="00183EC9" w:rsidRPr="00D51095">
        <w:rPr>
          <w:i/>
        </w:rPr>
        <w:t xml:space="preserve"> </w:t>
      </w:r>
      <w:proofErr w:type="spellStart"/>
      <w:r w:rsidR="00183EC9" w:rsidRPr="00D51095">
        <w:rPr>
          <w:i/>
        </w:rPr>
        <w:t>materiae</w:t>
      </w:r>
      <w:proofErr w:type="spellEnd"/>
      <w:r w:rsidRPr="00D51095">
        <w:t xml:space="preserve"> </w:t>
      </w:r>
      <w:r w:rsidR="00183EC9" w:rsidRPr="00D51095">
        <w:t xml:space="preserve">e indicó que la misma únicamente se mantenía con respecto </w:t>
      </w:r>
      <w:r w:rsidR="00A73132">
        <w:t>a</w:t>
      </w:r>
      <w:r w:rsidR="00183EC9" w:rsidRPr="00D51095">
        <w:t>l análisis de una posible violación al derecho a defender derechos humanos como derecho autónomo.</w:t>
      </w:r>
      <w:r w:rsidRPr="00D51095">
        <w:rPr>
          <w:rFonts w:eastAsia="MS Mincho"/>
          <w:lang w:val="es-ES" w:bidi="en-US"/>
        </w:rPr>
        <w:t xml:space="preserve"> A la vista de lo anterior, esta excepción será analizada únicamente en relación con la controversia restante, </w:t>
      </w:r>
      <w:r w:rsidR="00CC7E0B">
        <w:rPr>
          <w:rFonts w:eastAsia="MS Mincho"/>
          <w:lang w:val="es-ES" w:bidi="en-US"/>
        </w:rPr>
        <w:t xml:space="preserve">esto es, la </w:t>
      </w:r>
      <w:r w:rsidRPr="00D51095">
        <w:rPr>
          <w:rFonts w:eastAsia="MS Mincho"/>
          <w:lang w:val="es-ES" w:bidi="en-US"/>
        </w:rPr>
        <w:t xml:space="preserve">relativa a la competencia de la Corte </w:t>
      </w:r>
      <w:r w:rsidR="00E933A2">
        <w:rPr>
          <w:rFonts w:eastAsia="MS Mincho"/>
          <w:lang w:val="es-ES" w:bidi="en-US"/>
        </w:rPr>
        <w:t>para</w:t>
      </w:r>
      <w:r w:rsidR="00E933A2" w:rsidRPr="00D51095">
        <w:rPr>
          <w:rFonts w:eastAsia="MS Mincho"/>
          <w:lang w:val="es-ES" w:bidi="en-US"/>
        </w:rPr>
        <w:t xml:space="preserve"> </w:t>
      </w:r>
      <w:r w:rsidRPr="00D51095">
        <w:rPr>
          <w:rFonts w:eastAsia="MS Mincho"/>
          <w:lang w:val="es-ES" w:bidi="en-US"/>
        </w:rPr>
        <w:t xml:space="preserve">conocer </w:t>
      </w:r>
      <w:r w:rsidR="00E933A2">
        <w:rPr>
          <w:rFonts w:eastAsia="MS Mincho"/>
          <w:lang w:val="es-ES" w:bidi="en-US"/>
        </w:rPr>
        <w:t xml:space="preserve">sobre </w:t>
      </w:r>
      <w:r w:rsidRPr="00D51095">
        <w:rPr>
          <w:rFonts w:eastAsia="MS Mincho"/>
          <w:lang w:val="es-ES" w:bidi="en-US"/>
        </w:rPr>
        <w:t xml:space="preserve">una eventual violación del derecho a defender derechos humanos. </w:t>
      </w:r>
    </w:p>
    <w:p w14:paraId="304BBFD6" w14:textId="7D5E6FF0" w:rsidR="006B1241" w:rsidRPr="00183EC9" w:rsidRDefault="00BF2FE7" w:rsidP="00BB668C">
      <w:pPr>
        <w:pStyle w:val="Ttulo2"/>
        <w:keepNext w:val="0"/>
        <w:keepLines w:val="0"/>
        <w:widowControl/>
        <w:numPr>
          <w:ilvl w:val="0"/>
          <w:numId w:val="11"/>
        </w:numPr>
        <w:tabs>
          <w:tab w:val="clear" w:pos="1134"/>
        </w:tabs>
        <w:adjustRightInd/>
        <w:contextualSpacing/>
        <w:textAlignment w:val="auto"/>
        <w:rPr>
          <w:rFonts w:eastAsia="Calibri" w:cs="Arial"/>
          <w:lang w:val="es-CO"/>
        </w:rPr>
      </w:pPr>
      <w:bookmarkStart w:id="24" w:name="_Toc93400236"/>
      <w:bookmarkStart w:id="25" w:name="_Toc80722372"/>
      <w:r>
        <w:rPr>
          <w:rFonts w:eastAsia="Calibri" w:cs="Arial"/>
          <w:lang w:val="es-CO"/>
        </w:rPr>
        <w:t>Alegada i</w:t>
      </w:r>
      <w:r w:rsidR="006B1241" w:rsidRPr="00183EC9">
        <w:rPr>
          <w:rFonts w:eastAsia="Calibri" w:cs="Arial"/>
          <w:lang w:val="es-CO"/>
        </w:rPr>
        <w:t xml:space="preserve">ncompetencia </w:t>
      </w:r>
      <w:proofErr w:type="spellStart"/>
      <w:r w:rsidR="006B1241" w:rsidRPr="00183EC9">
        <w:rPr>
          <w:rFonts w:eastAsia="Calibri" w:cs="Arial"/>
          <w:lang w:val="es-CO"/>
        </w:rPr>
        <w:t>ratione</w:t>
      </w:r>
      <w:proofErr w:type="spellEnd"/>
      <w:r w:rsidR="006B1241" w:rsidRPr="00183EC9">
        <w:rPr>
          <w:rFonts w:eastAsia="Calibri" w:cs="Arial"/>
          <w:lang w:val="es-CO"/>
        </w:rPr>
        <w:t xml:space="preserve"> </w:t>
      </w:r>
      <w:proofErr w:type="spellStart"/>
      <w:r w:rsidR="006B1241" w:rsidRPr="00183EC9">
        <w:rPr>
          <w:rFonts w:eastAsia="Calibri" w:cs="Arial"/>
          <w:lang w:val="es-CO"/>
        </w:rPr>
        <w:t>materiae</w:t>
      </w:r>
      <w:proofErr w:type="spellEnd"/>
      <w:r w:rsidR="006B1241" w:rsidRPr="00183EC9">
        <w:rPr>
          <w:rFonts w:eastAsia="Calibri" w:cs="Arial"/>
          <w:lang w:val="es-CO"/>
        </w:rPr>
        <w:t xml:space="preserve"> para conocer </w:t>
      </w:r>
      <w:r w:rsidR="00E933A2">
        <w:rPr>
          <w:rFonts w:eastAsia="Calibri" w:cs="Arial"/>
          <w:lang w:val="es-CO"/>
        </w:rPr>
        <w:t xml:space="preserve">sobre una eventual </w:t>
      </w:r>
      <w:r w:rsidR="006B1241" w:rsidRPr="00183EC9">
        <w:rPr>
          <w:rFonts w:eastAsia="Calibri" w:cs="Arial"/>
          <w:lang w:val="es-CO"/>
        </w:rPr>
        <w:t>violación del derecho a defender derechos humanos</w:t>
      </w:r>
      <w:bookmarkEnd w:id="24"/>
      <w:r w:rsidR="006B1241" w:rsidRPr="00183EC9">
        <w:rPr>
          <w:rFonts w:eastAsia="Calibri" w:cs="Arial"/>
          <w:lang w:val="es-CO"/>
        </w:rPr>
        <w:t xml:space="preserve"> </w:t>
      </w:r>
    </w:p>
    <w:p w14:paraId="182FFD97" w14:textId="1E1A96C8" w:rsidR="006B1241" w:rsidRDefault="006B1241" w:rsidP="00DC6DD4">
      <w:pPr>
        <w:numPr>
          <w:ilvl w:val="0"/>
          <w:numId w:val="4"/>
        </w:numPr>
        <w:tabs>
          <w:tab w:val="left" w:pos="567"/>
          <w:tab w:val="num" w:pos="1569"/>
          <w:tab w:val="num" w:pos="12305"/>
        </w:tabs>
        <w:spacing w:line="240" w:lineRule="auto"/>
        <w:ind w:left="0" w:firstLine="0"/>
        <w:rPr>
          <w:b/>
        </w:rPr>
      </w:pPr>
      <w:r w:rsidRPr="004F2666">
        <w:t xml:space="preserve">El </w:t>
      </w:r>
      <w:r w:rsidRPr="00183EC9">
        <w:rPr>
          <w:b/>
          <w:i/>
        </w:rPr>
        <w:t>Estado</w:t>
      </w:r>
      <w:r w:rsidRPr="004F2666">
        <w:t xml:space="preserve"> </w:t>
      </w:r>
      <w:r w:rsidRPr="00183EC9">
        <w:rPr>
          <w:lang w:val="es-ES"/>
        </w:rPr>
        <w:t>alegó</w:t>
      </w:r>
      <w:r w:rsidRPr="004F2666">
        <w:t xml:space="preserve"> que el Informe de Fondo de la Comisión únicamente concluyó que se produjo la violación a los derechos consagrados en los artículos 5, 8 y 25 de la Convención Americana.</w:t>
      </w:r>
      <w:r w:rsidR="0093515F" w:rsidRPr="004F2666">
        <w:t xml:space="preserve"> El Estado objetó el hecho de que </w:t>
      </w:r>
      <w:r w:rsidR="00183EC9">
        <w:t>las representantes</w:t>
      </w:r>
      <w:r w:rsidRPr="004F2666">
        <w:t xml:space="preserve"> </w:t>
      </w:r>
      <w:r w:rsidR="0093515F" w:rsidRPr="004F2666">
        <w:t>incluyeran en su escrito de solicitudes, argumentos y pruebas</w:t>
      </w:r>
      <w:r w:rsidR="00183EC9">
        <w:t xml:space="preserve"> </w:t>
      </w:r>
      <w:r w:rsidR="00CC7E0B">
        <w:t>nuevas violaciones</w:t>
      </w:r>
      <w:r w:rsidR="00183EC9">
        <w:t xml:space="preserve"> qu</w:t>
      </w:r>
      <w:r w:rsidRPr="004F2666">
        <w:t>e no fueron debatid</w:t>
      </w:r>
      <w:r w:rsidR="00CC7E0B">
        <w:t>a</w:t>
      </w:r>
      <w:r w:rsidRPr="004F2666">
        <w:t>s en el procedimiento ante la Comisión Interame</w:t>
      </w:r>
      <w:r w:rsidR="00141A07">
        <w:t xml:space="preserve">ricana y que, por ende, “no </w:t>
      </w:r>
      <w:proofErr w:type="spellStart"/>
      <w:r w:rsidR="00141A07">
        <w:t>est</w:t>
      </w:r>
      <w:proofErr w:type="spellEnd"/>
      <w:r w:rsidR="00141A07">
        <w:t>[</w:t>
      </w:r>
      <w:proofErr w:type="spellStart"/>
      <w:r w:rsidR="00141A07">
        <w:t>aban</w:t>
      </w:r>
      <w:proofErr w:type="spellEnd"/>
      <w:r w:rsidR="00141A07">
        <w:t>]</w:t>
      </w:r>
      <w:r w:rsidRPr="004F2666">
        <w:t xml:space="preserve"> contenid</w:t>
      </w:r>
      <w:r w:rsidR="00CC7E0B">
        <w:t>a</w:t>
      </w:r>
      <w:r w:rsidRPr="004F2666">
        <w:t xml:space="preserve">s en el análisis que la Comisión realizó en su Informe de Fondo”. </w:t>
      </w:r>
      <w:r w:rsidR="00183EC9">
        <w:t>Respecto a la inclusión del</w:t>
      </w:r>
      <w:r w:rsidRPr="004F2666">
        <w:t xml:space="preserve"> derecho a defender derechos humanos como derecho autónomo, resaltó que la Corte ha reconocido que de la Convención Americana </w:t>
      </w:r>
      <w:r w:rsidR="00E933A2">
        <w:t xml:space="preserve">sobre </w:t>
      </w:r>
      <w:r w:rsidR="00141A07">
        <w:t>Derechos Humanos se desprendía</w:t>
      </w:r>
      <w:r w:rsidRPr="004F2666">
        <w:t>, con toda claridad, que el procedimiento iniciado en casos contenciosos ante la Comisión que culmine en una demanda ante la Corte, deb</w:t>
      </w:r>
      <w:r w:rsidR="00141A07">
        <w:t>ía</w:t>
      </w:r>
      <w:r w:rsidRPr="004F2666">
        <w:t xml:space="preserve"> referirse precisamente a los derechos protegidos por dicha Convención.</w:t>
      </w:r>
      <w:r w:rsidRPr="00183EC9">
        <w:rPr>
          <w:b/>
        </w:rPr>
        <w:t xml:space="preserve"> </w:t>
      </w:r>
    </w:p>
    <w:p w14:paraId="5375473C" w14:textId="77777777" w:rsidR="00183EC9" w:rsidRPr="00183EC9" w:rsidRDefault="00183EC9" w:rsidP="00183EC9">
      <w:pPr>
        <w:tabs>
          <w:tab w:val="left" w:pos="567"/>
          <w:tab w:val="num" w:pos="12305"/>
        </w:tabs>
        <w:spacing w:line="240" w:lineRule="auto"/>
        <w:rPr>
          <w:b/>
        </w:rPr>
      </w:pPr>
    </w:p>
    <w:p w14:paraId="042046B4" w14:textId="42978575" w:rsidR="006B1241" w:rsidRPr="004F2666" w:rsidRDefault="00183EC9" w:rsidP="00654028">
      <w:pPr>
        <w:numPr>
          <w:ilvl w:val="0"/>
          <w:numId w:val="4"/>
        </w:numPr>
        <w:tabs>
          <w:tab w:val="left" w:pos="567"/>
          <w:tab w:val="num" w:pos="1569"/>
          <w:tab w:val="num" w:pos="12305"/>
        </w:tabs>
        <w:spacing w:line="240" w:lineRule="auto"/>
        <w:ind w:left="0" w:firstLine="0"/>
        <w:rPr>
          <w:lang w:val="es-MX"/>
        </w:rPr>
      </w:pPr>
      <w:r>
        <w:rPr>
          <w:lang w:val="es-MX"/>
        </w:rPr>
        <w:t xml:space="preserve">Las </w:t>
      </w:r>
      <w:r w:rsidRPr="00183EC9">
        <w:rPr>
          <w:b/>
          <w:i/>
          <w:lang w:val="es-MX"/>
        </w:rPr>
        <w:t>representantes</w:t>
      </w:r>
      <w:r w:rsidR="006B1241" w:rsidRPr="004F2666">
        <w:rPr>
          <w:lang w:val="es-MX"/>
        </w:rPr>
        <w:t xml:space="preserve"> indicaron que, de acuerdo con la jurisprudencia constante de la Corte, las presuntas víctimas y sus representantes pueden invocar la violación de otros derechos distintos a los comprendidos en </w:t>
      </w:r>
      <w:r w:rsidR="006B1241" w:rsidRPr="004F2666">
        <w:rPr>
          <w:lang w:val="es-ES"/>
        </w:rPr>
        <w:t>el</w:t>
      </w:r>
      <w:r w:rsidR="006B1241" w:rsidRPr="004F2666">
        <w:rPr>
          <w:lang w:val="es-MX"/>
        </w:rPr>
        <w:t xml:space="preserve"> Informe de Fondo, siempre y cuando se atengan a los hechos contenidos en dicho documento, en tanto son las presuntas víctimas las titulares de todos los derechos consagrados en la Convención. </w:t>
      </w:r>
    </w:p>
    <w:p w14:paraId="0899F7B5" w14:textId="77777777" w:rsidR="0093515F" w:rsidRPr="004F2666" w:rsidRDefault="0093515F" w:rsidP="0093515F">
      <w:pPr>
        <w:tabs>
          <w:tab w:val="left" w:pos="567"/>
        </w:tabs>
        <w:spacing w:line="240" w:lineRule="auto"/>
        <w:rPr>
          <w:lang w:val="es-MX"/>
        </w:rPr>
      </w:pPr>
    </w:p>
    <w:p w14:paraId="033CF122" w14:textId="38CC1344" w:rsidR="0093515F" w:rsidRPr="004F2666" w:rsidRDefault="0093515F" w:rsidP="0093515F">
      <w:pPr>
        <w:numPr>
          <w:ilvl w:val="0"/>
          <w:numId w:val="4"/>
        </w:numPr>
        <w:tabs>
          <w:tab w:val="left" w:pos="567"/>
          <w:tab w:val="num" w:pos="1569"/>
          <w:tab w:val="num" w:pos="12305"/>
        </w:tabs>
        <w:spacing w:line="240" w:lineRule="auto"/>
        <w:ind w:left="0" w:firstLine="0"/>
      </w:pPr>
      <w:r w:rsidRPr="004F2666">
        <w:t xml:space="preserve">La </w:t>
      </w:r>
      <w:r w:rsidRPr="004F2666">
        <w:rPr>
          <w:b/>
          <w:i/>
        </w:rPr>
        <w:t>Comisión</w:t>
      </w:r>
      <w:r w:rsidRPr="004F2666">
        <w:t xml:space="preserve"> se pronunció en el mismo sentido que </w:t>
      </w:r>
      <w:r w:rsidR="00183EC9">
        <w:t>las representantes</w:t>
      </w:r>
      <w:r w:rsidRPr="004F2666">
        <w:t xml:space="preserve">. </w:t>
      </w:r>
    </w:p>
    <w:p w14:paraId="42EABED4" w14:textId="77777777" w:rsidR="0093515F" w:rsidRPr="004F2666" w:rsidRDefault="0093515F" w:rsidP="0093515F">
      <w:pPr>
        <w:tabs>
          <w:tab w:val="left" w:pos="567"/>
        </w:tabs>
        <w:spacing w:line="240" w:lineRule="auto"/>
      </w:pPr>
    </w:p>
    <w:p w14:paraId="7A4FBF0C" w14:textId="2ED4FBDF" w:rsidR="00D24D77" w:rsidRPr="004F2666" w:rsidRDefault="00844F82" w:rsidP="00D24D77">
      <w:pPr>
        <w:numPr>
          <w:ilvl w:val="0"/>
          <w:numId w:val="4"/>
        </w:numPr>
        <w:tabs>
          <w:tab w:val="left" w:pos="567"/>
          <w:tab w:val="num" w:pos="1569"/>
          <w:tab w:val="num" w:pos="12305"/>
        </w:tabs>
        <w:spacing w:line="240" w:lineRule="auto"/>
        <w:ind w:left="0" w:firstLine="0"/>
      </w:pPr>
      <w:r w:rsidRPr="004F2666">
        <w:t xml:space="preserve">La </w:t>
      </w:r>
      <w:r w:rsidRPr="004F2666">
        <w:rPr>
          <w:b/>
          <w:i/>
          <w:lang w:val="es-MX"/>
        </w:rPr>
        <w:t>Corte</w:t>
      </w:r>
      <w:r w:rsidRPr="004F2666">
        <w:t xml:space="preserve"> reitera que las presuntas víctimas y sus representantes pueden invocar la violación de derechos distintos a los comprendidos en el Informe de Fondo, siempre que se mantengan dentro del marco fáctico definido por la Comisión, en tanto son las presuntas víctimas las titulares de todos los </w:t>
      </w:r>
      <w:r w:rsidRPr="004F2666">
        <w:rPr>
          <w:lang w:val="es-MX"/>
        </w:rPr>
        <w:t>derechos</w:t>
      </w:r>
      <w:r w:rsidRPr="004F2666">
        <w:t xml:space="preserve"> consagrados en la Convención Americana. En esos casos, corresponde a la Corte decidir sobre la procedencia de alegatos relativos al marco fáctico, en resguardo del equilibrio procesal de las partes</w:t>
      </w:r>
      <w:r w:rsidRPr="004F2666">
        <w:rPr>
          <w:rStyle w:val="Refdenotaalpie"/>
          <w:lang w:val="es-CO"/>
        </w:rPr>
        <w:footnoteReference w:id="24"/>
      </w:r>
      <w:r w:rsidRPr="004F2666">
        <w:t xml:space="preserve">. </w:t>
      </w:r>
    </w:p>
    <w:p w14:paraId="144BEBA3" w14:textId="77777777" w:rsidR="0093515F" w:rsidRPr="004F2666" w:rsidRDefault="0093515F" w:rsidP="0093515F">
      <w:pPr>
        <w:tabs>
          <w:tab w:val="left" w:pos="567"/>
        </w:tabs>
        <w:spacing w:line="240" w:lineRule="auto"/>
      </w:pPr>
    </w:p>
    <w:p w14:paraId="62D4A4F8" w14:textId="7D791300" w:rsidR="0093515F" w:rsidRDefault="0093515F" w:rsidP="0093515F">
      <w:pPr>
        <w:numPr>
          <w:ilvl w:val="0"/>
          <w:numId w:val="4"/>
        </w:numPr>
        <w:tabs>
          <w:tab w:val="left" w:pos="567"/>
          <w:tab w:val="num" w:pos="1569"/>
          <w:tab w:val="num" w:pos="12305"/>
        </w:tabs>
        <w:spacing w:line="240" w:lineRule="auto"/>
        <w:ind w:left="0" w:firstLine="0"/>
      </w:pPr>
      <w:r w:rsidRPr="004F2666">
        <w:t>En el presente caso</w:t>
      </w:r>
      <w:r w:rsidR="00141A07">
        <w:t>,</w:t>
      </w:r>
      <w:r w:rsidRPr="004F2666">
        <w:t xml:space="preserve"> el Tribunal observa que el derecho a defender los derechos humanos alegad</w:t>
      </w:r>
      <w:r w:rsidR="00354DF3">
        <w:t xml:space="preserve">o por </w:t>
      </w:r>
      <w:r w:rsidR="00183EC9">
        <w:t>las representantes</w:t>
      </w:r>
      <w:r w:rsidR="00354DF3">
        <w:t xml:space="preserve"> guarda </w:t>
      </w:r>
      <w:r w:rsidRPr="004F2666">
        <w:t>relación con el goce de varios derechos contenidos en la Convención Americana, tales como la vida, integridad personal, libertad de expresión, de asociación, garantías judiciales y protección judicial</w:t>
      </w:r>
      <w:r w:rsidRPr="004F2666">
        <w:rPr>
          <w:rStyle w:val="Refdenotaalpie"/>
        </w:rPr>
        <w:footnoteReference w:id="25"/>
      </w:r>
      <w:r w:rsidR="00F0375C">
        <w:t>, los cuales</w:t>
      </w:r>
      <w:r w:rsidR="00072468" w:rsidRPr="004F2666">
        <w:t xml:space="preserve"> entra</w:t>
      </w:r>
      <w:r w:rsidR="00D90D44">
        <w:t>n</w:t>
      </w:r>
      <w:r w:rsidR="00072468" w:rsidRPr="004F2666">
        <w:t xml:space="preserve"> dentro de la competencia material de </w:t>
      </w:r>
      <w:r w:rsidR="00072468" w:rsidRPr="004F2666">
        <w:lastRenderedPageBreak/>
        <w:t>este Tribunal</w:t>
      </w:r>
      <w:r w:rsidR="00F0375C">
        <w:t xml:space="preserve"> y en ese medida serán analizados a lo largo de la presente sentencia</w:t>
      </w:r>
      <w:r w:rsidR="00072468" w:rsidRPr="004F2666">
        <w:t xml:space="preserve">. En consecuencia, </w:t>
      </w:r>
      <w:r w:rsidR="006B0CB7">
        <w:t>la Corte</w:t>
      </w:r>
      <w:r w:rsidR="00072468" w:rsidRPr="004F2666">
        <w:t xml:space="preserve"> es </w:t>
      </w:r>
      <w:r w:rsidR="00354DF3">
        <w:t xml:space="preserve">eventualmente </w:t>
      </w:r>
      <w:r w:rsidR="00072468" w:rsidRPr="004F2666">
        <w:t xml:space="preserve">competente para analizar esta </w:t>
      </w:r>
      <w:r w:rsidR="00D90D44">
        <w:t xml:space="preserve">alegada </w:t>
      </w:r>
      <w:r w:rsidR="00072468" w:rsidRPr="004F2666">
        <w:t>violación, siempre y cuando se ajuste al marco fáctico presentado por la Comisión</w:t>
      </w:r>
      <w:r w:rsidR="00354DF3">
        <w:t>, lo cual lleva a concluir que la excepción interpuesta por el Estado debe ser desestimada</w:t>
      </w:r>
      <w:r w:rsidR="00072468" w:rsidRPr="004F2666">
        <w:t>.</w:t>
      </w:r>
    </w:p>
    <w:p w14:paraId="2C8DB14E" w14:textId="347A9A67" w:rsidR="006B1241" w:rsidRPr="004F2666" w:rsidRDefault="006B1241" w:rsidP="00BB668C">
      <w:pPr>
        <w:pStyle w:val="Ttulo2"/>
        <w:keepNext w:val="0"/>
        <w:keepLines w:val="0"/>
        <w:widowControl/>
        <w:numPr>
          <w:ilvl w:val="0"/>
          <w:numId w:val="11"/>
        </w:numPr>
        <w:tabs>
          <w:tab w:val="clear" w:pos="1134"/>
        </w:tabs>
        <w:adjustRightInd/>
        <w:contextualSpacing/>
        <w:textAlignment w:val="auto"/>
        <w:rPr>
          <w:rFonts w:eastAsia="Calibri" w:cs="Arial"/>
          <w:lang w:val="es-CO"/>
        </w:rPr>
      </w:pPr>
      <w:bookmarkStart w:id="26" w:name="_Toc93400237"/>
      <w:r w:rsidRPr="004F2666">
        <w:rPr>
          <w:rFonts w:eastAsia="Calibri" w:cs="Arial"/>
          <w:lang w:val="es-CO"/>
        </w:rPr>
        <w:t>Excepción preliminar de cuarta instancia</w:t>
      </w:r>
      <w:bookmarkEnd w:id="26"/>
    </w:p>
    <w:p w14:paraId="46E64473" w14:textId="57F970DE" w:rsidR="006B1241" w:rsidRPr="004F2666" w:rsidRDefault="006B1241" w:rsidP="00654028">
      <w:pPr>
        <w:numPr>
          <w:ilvl w:val="0"/>
          <w:numId w:val="4"/>
        </w:numPr>
        <w:tabs>
          <w:tab w:val="left" w:pos="567"/>
          <w:tab w:val="num" w:pos="1569"/>
          <w:tab w:val="num" w:pos="12305"/>
        </w:tabs>
        <w:spacing w:line="240" w:lineRule="auto"/>
        <w:ind w:left="0" w:firstLine="0"/>
        <w:rPr>
          <w:b/>
        </w:rPr>
      </w:pPr>
      <w:r w:rsidRPr="004F2666">
        <w:t xml:space="preserve">El </w:t>
      </w:r>
      <w:r w:rsidRPr="004F2666">
        <w:rPr>
          <w:b/>
          <w:i/>
        </w:rPr>
        <w:t>Estado</w:t>
      </w:r>
      <w:r w:rsidRPr="004F2666">
        <w:t xml:space="preserve"> alegó que, contrario a lo que pareciera pretender la representación de las presuntas víctimas de </w:t>
      </w:r>
      <w:r w:rsidRPr="004F2666">
        <w:rPr>
          <w:lang w:val="es-ES"/>
        </w:rPr>
        <w:t>este</w:t>
      </w:r>
      <w:r w:rsidRPr="004F2666">
        <w:t xml:space="preserve"> caso y de conformidad con la naturaleza subsidiaria del Sistema Interamericano, la Corte no tiene la función de decidir las circunstancias en que perdió la vida la señora Digna Ochoa. Añadió que</w:t>
      </w:r>
      <w:r w:rsidR="009F156B">
        <w:t>,</w:t>
      </w:r>
      <w:r w:rsidRPr="004F2666">
        <w:t xml:space="preserve"> de la lectura del </w:t>
      </w:r>
      <w:r w:rsidR="009F156B">
        <w:t>escrito de solicitudes, argumentos y pruebas</w:t>
      </w:r>
      <w:r w:rsidRPr="004F2666">
        <w:t xml:space="preserve">, en diversos puntos de su argumentación, la representación </w:t>
      </w:r>
      <w:r w:rsidR="009F156B">
        <w:t>hizo</w:t>
      </w:r>
      <w:r w:rsidRPr="004F2666">
        <w:t xml:space="preserve"> referencia a que diversas pruebas, las cuales probarían la hipótesis de homicidio de Digna Ochoa, fueron “mal valoradas” por el Estado mexicano, sin que </w:t>
      </w:r>
      <w:r w:rsidR="009F156B">
        <w:t>se especificara</w:t>
      </w:r>
      <w:r w:rsidRPr="004F2666">
        <w:t xml:space="preserve"> el nexo causal con la obligación específica que el Estado mexicano estaría quebrantando. De esta manera, el Estado </w:t>
      </w:r>
      <w:r w:rsidR="009F156B">
        <w:t>sostuvo</w:t>
      </w:r>
      <w:r w:rsidRPr="004F2666">
        <w:t xml:space="preserve"> que, en el presente caso, al tratarse de controversias sobre determinadas pruebas en la investigación de la muerte de Digna Ochoa, </w:t>
      </w:r>
      <w:r w:rsidR="009F156B">
        <w:t>era</w:t>
      </w:r>
      <w:r w:rsidRPr="004F2666">
        <w:t xml:space="preserve"> </w:t>
      </w:r>
      <w:r w:rsidR="009F156B">
        <w:t>“</w:t>
      </w:r>
      <w:r w:rsidRPr="004F2666">
        <w:t>evidente</w:t>
      </w:r>
      <w:r w:rsidR="009F156B">
        <w:t>”</w:t>
      </w:r>
      <w:r w:rsidRPr="004F2666">
        <w:t xml:space="preserve"> que la representación de las presuntas víctimas </w:t>
      </w:r>
      <w:r w:rsidR="009F156B">
        <w:t>pretendía</w:t>
      </w:r>
      <w:r w:rsidRPr="004F2666">
        <w:t xml:space="preserve"> que e</w:t>
      </w:r>
      <w:r w:rsidR="009F156B">
        <w:t>sta</w:t>
      </w:r>
      <w:r w:rsidRPr="004F2666">
        <w:t xml:space="preserve"> Corte se erija como un tribunal de cuarta instancia, </w:t>
      </w:r>
      <w:r w:rsidR="009F156B">
        <w:t>razón por</w:t>
      </w:r>
      <w:r w:rsidRPr="004F2666">
        <w:t xml:space="preserve"> l</w:t>
      </w:r>
      <w:r w:rsidR="009F156B">
        <w:t>a</w:t>
      </w:r>
      <w:r w:rsidRPr="004F2666">
        <w:t xml:space="preserve"> cual se </w:t>
      </w:r>
      <w:r w:rsidR="009F156B">
        <w:t>encontraría</w:t>
      </w:r>
      <w:r w:rsidRPr="004F2666">
        <w:t xml:space="preserve"> impedida para conocer del presente caso.</w:t>
      </w:r>
    </w:p>
    <w:p w14:paraId="0ADCBC22" w14:textId="77777777" w:rsidR="006B1241" w:rsidRPr="004F2666" w:rsidRDefault="006B1241" w:rsidP="006B1241">
      <w:pPr>
        <w:autoSpaceDE w:val="0"/>
        <w:autoSpaceDN w:val="0"/>
        <w:spacing w:line="240" w:lineRule="auto"/>
        <w:rPr>
          <w:b/>
        </w:rPr>
      </w:pPr>
    </w:p>
    <w:p w14:paraId="18CC8820" w14:textId="379BC44F" w:rsidR="00072468" w:rsidRPr="004F2666" w:rsidRDefault="00183EC9" w:rsidP="00072468">
      <w:pPr>
        <w:numPr>
          <w:ilvl w:val="0"/>
          <w:numId w:val="4"/>
        </w:numPr>
        <w:tabs>
          <w:tab w:val="left" w:pos="567"/>
          <w:tab w:val="num" w:pos="1569"/>
          <w:tab w:val="num" w:pos="12305"/>
        </w:tabs>
        <w:spacing w:line="240" w:lineRule="auto"/>
        <w:ind w:left="0" w:firstLine="0"/>
      </w:pPr>
      <w:r>
        <w:rPr>
          <w:lang w:val="es-MX"/>
        </w:rPr>
        <w:t xml:space="preserve">Las </w:t>
      </w:r>
      <w:r w:rsidRPr="009F156B">
        <w:rPr>
          <w:b/>
          <w:i/>
          <w:lang w:val="es-MX"/>
        </w:rPr>
        <w:t>representantes</w:t>
      </w:r>
      <w:r w:rsidR="00072468" w:rsidRPr="004F2666">
        <w:rPr>
          <w:lang w:val="es-MX"/>
        </w:rPr>
        <w:t xml:space="preserve"> indicaron que la jurisprudencia constante de esta Corte ha establecido que la determinación de si las actuaciones de órganos judiciales constituyen o no una violación de las obligaciones internacionales del Estado, puede conducir a que esta deba ocuparse de examinar los respectivos procesos internos para establecer su compatibilidad con la Convención Americana. Especificaron </w:t>
      </w:r>
      <w:r w:rsidR="00072468" w:rsidRPr="004F2666">
        <w:rPr>
          <w:lang w:val="es-ES"/>
        </w:rPr>
        <w:t>que</w:t>
      </w:r>
      <w:r w:rsidR="00072468" w:rsidRPr="004F2666">
        <w:rPr>
          <w:lang w:val="es-MX"/>
        </w:rPr>
        <w:t xml:space="preserve"> lo que pretenden es que la Corte “revise si las actuaciones de las autoridades en las primeras etapas de la investigación fueron llevadas a cabo con la debida diligencia; si el Estado desarrolló todas las líneas de investigación necesarias a la luz de la labor de defensa de los derechos humanos que realizaba la </w:t>
      </w:r>
      <w:r w:rsidR="001F344D">
        <w:rPr>
          <w:lang w:val="es-MX"/>
        </w:rPr>
        <w:t>señora Digna Ochoa</w:t>
      </w:r>
      <w:r w:rsidR="00072468" w:rsidRPr="004F2666">
        <w:rPr>
          <w:lang w:val="es-MX"/>
        </w:rPr>
        <w:t xml:space="preserve">; si el Estado incurrió el actos de estigmatización y estereotipos de género a lo largo de las investigaciones; si el Estado adoptó las medidas necesarias para proteger a los testigos vinculados con el proceso; si el Estado garantizó la participación adecuada de las víctimas en el proceso y si incurrió en retardo injustificado en la investigación de los hechos”, todo ello a la luz de las obligaciones estatales derivadas de la Convención Americana sobre Derechos Humanos, la Convención de Belém Do Pará y la jurisprudencia de la Corte. </w:t>
      </w:r>
    </w:p>
    <w:p w14:paraId="08000F11" w14:textId="77777777" w:rsidR="00072468" w:rsidRPr="004F2666" w:rsidRDefault="00072468" w:rsidP="00072468">
      <w:pPr>
        <w:tabs>
          <w:tab w:val="left" w:pos="567"/>
        </w:tabs>
        <w:spacing w:line="240" w:lineRule="auto"/>
      </w:pPr>
    </w:p>
    <w:p w14:paraId="512A1B59" w14:textId="507D4031" w:rsidR="006B1241" w:rsidRDefault="006B1241" w:rsidP="00654028">
      <w:pPr>
        <w:numPr>
          <w:ilvl w:val="0"/>
          <w:numId w:val="4"/>
        </w:numPr>
        <w:tabs>
          <w:tab w:val="left" w:pos="567"/>
          <w:tab w:val="num" w:pos="1569"/>
          <w:tab w:val="num" w:pos="12305"/>
        </w:tabs>
        <w:spacing w:line="240" w:lineRule="auto"/>
        <w:ind w:left="0" w:firstLine="0"/>
        <w:rPr>
          <w:b/>
        </w:rPr>
      </w:pPr>
      <w:r w:rsidRPr="004F2666">
        <w:t xml:space="preserve">La </w:t>
      </w:r>
      <w:r w:rsidRPr="004F2666">
        <w:rPr>
          <w:b/>
          <w:i/>
        </w:rPr>
        <w:t>Comisión</w:t>
      </w:r>
      <w:r w:rsidRPr="004F2666">
        <w:t xml:space="preserve"> alegó que aspectos como los indicados no buscan que la Corte se pronuncie sobre si lo ocurrido a la víctima se trató de un homicidio o suicidio o establecer las correspondientes responsabilidades de individuos, cuestión que compete a las autoridades nacionales. La Comisión precisó que tales argumentos estaban directamente relacionados con el análisis sobre “si el Estado actuó con la debida diligencia para investigar este tipo de hechos de conformidad con lo establecido en los artículos 8 y 25 de la Convención Americana”. Añadieron que determinar si tales aspectos implicaron una acción u omisión que se tradujera a una obligación a este deber resulta una cuestión de fondo y, por tanto, no tiene el carácter de excepción preliminar.</w:t>
      </w:r>
      <w:r w:rsidRPr="004F2666">
        <w:rPr>
          <w:b/>
        </w:rPr>
        <w:t xml:space="preserve"> </w:t>
      </w:r>
    </w:p>
    <w:p w14:paraId="0B117981" w14:textId="0D9E30B7" w:rsidR="00BC2C0B" w:rsidRDefault="00BC2C0B" w:rsidP="00BC2C0B">
      <w:pPr>
        <w:tabs>
          <w:tab w:val="left" w:pos="567"/>
        </w:tabs>
        <w:spacing w:line="240" w:lineRule="auto"/>
        <w:rPr>
          <w:b/>
        </w:rPr>
      </w:pPr>
    </w:p>
    <w:p w14:paraId="38E1484D" w14:textId="3F6CCDEE" w:rsidR="000A23E0" w:rsidRPr="004B1E6C" w:rsidRDefault="000A23E0" w:rsidP="00BC2C0B">
      <w:pPr>
        <w:numPr>
          <w:ilvl w:val="0"/>
          <w:numId w:val="4"/>
        </w:numPr>
        <w:tabs>
          <w:tab w:val="left" w:pos="567"/>
          <w:tab w:val="num" w:pos="1569"/>
          <w:tab w:val="num" w:pos="12305"/>
        </w:tabs>
        <w:spacing w:line="240" w:lineRule="auto"/>
        <w:ind w:left="0" w:firstLine="0"/>
      </w:pPr>
      <w:r w:rsidRPr="00BC2C0B">
        <w:rPr>
          <w:lang w:val="es-CO"/>
        </w:rPr>
        <w:t xml:space="preserve">Esta </w:t>
      </w:r>
      <w:r w:rsidRPr="00BC2C0B">
        <w:rPr>
          <w:b/>
          <w:i/>
        </w:rPr>
        <w:t>Corte</w:t>
      </w:r>
      <w:r w:rsidRPr="00BC2C0B">
        <w:rPr>
          <w:lang w:val="es-CO"/>
        </w:rPr>
        <w:t xml:space="preserve"> ha señalado que la determinación sobre si las actuaciones de órganos judiciales constituyen </w:t>
      </w:r>
      <w:r w:rsidRPr="004B1E6C">
        <w:t>una</w:t>
      </w:r>
      <w:r w:rsidRPr="00BC2C0B">
        <w:rPr>
          <w:lang w:val="es-CO"/>
        </w:rPr>
        <w:t xml:space="preserve"> violación de las obligaciones internacionales del Estado, puede conducir a que deba </w:t>
      </w:r>
      <w:r w:rsidRPr="00BC2C0B">
        <w:t>ocuparse</w:t>
      </w:r>
      <w:r w:rsidRPr="00BC2C0B">
        <w:rPr>
          <w:lang w:val="es-CO"/>
        </w:rPr>
        <w:t xml:space="preserve"> de examinar los respectivos procesos internos, para establecer su compatibilidad con la Convención Americana</w:t>
      </w:r>
      <w:r w:rsidRPr="004B1E6C">
        <w:rPr>
          <w:rStyle w:val="Refdenotaalpie"/>
          <w:lang w:val="es-CO"/>
        </w:rPr>
        <w:footnoteReference w:id="26"/>
      </w:r>
      <w:r w:rsidRPr="00BC2C0B">
        <w:rPr>
          <w:lang w:val="es-CO"/>
        </w:rPr>
        <w:t xml:space="preserve">. </w:t>
      </w:r>
      <w:r w:rsidR="00972832">
        <w:t>En consecuencia, este Tribunal no es una cuarta instancia de revisión judicial, en la medida de que examina la conformidad de las decisiones judiciales internas con la Convención Americana y no de acuerdo al derecho interno.</w:t>
      </w:r>
      <w:r w:rsidR="009F156B">
        <w:t xml:space="preserve"> En este sentido, </w:t>
      </w:r>
      <w:r w:rsidR="00BC2C0B" w:rsidRPr="00BC2C0B">
        <w:rPr>
          <w:lang w:val="es-CO"/>
        </w:rPr>
        <w:t xml:space="preserve">con el fin de determinar </w:t>
      </w:r>
      <w:r w:rsidR="00BC2C0B" w:rsidRPr="00BC2C0B">
        <w:rPr>
          <w:lang w:val="es-CO"/>
        </w:rPr>
        <w:lastRenderedPageBreak/>
        <w:t xml:space="preserve">si </w:t>
      </w:r>
      <w:r w:rsidR="00972832">
        <w:rPr>
          <w:lang w:val="es-CO"/>
        </w:rPr>
        <w:t>las</w:t>
      </w:r>
      <w:r w:rsidR="00972832" w:rsidRPr="00BC2C0B">
        <w:rPr>
          <w:lang w:val="es-CO"/>
        </w:rPr>
        <w:t xml:space="preserve"> </w:t>
      </w:r>
      <w:r w:rsidR="00BC2C0B" w:rsidRPr="00BC2C0B">
        <w:rPr>
          <w:lang w:val="es-CO"/>
        </w:rPr>
        <w:t>violaciones</w:t>
      </w:r>
      <w:r w:rsidR="003A666E">
        <w:rPr>
          <w:lang w:val="es-CO"/>
        </w:rPr>
        <w:t xml:space="preserve"> </w:t>
      </w:r>
      <w:r w:rsidR="00972832">
        <w:rPr>
          <w:lang w:val="es-CO"/>
        </w:rPr>
        <w:t xml:space="preserve">alegadas </w:t>
      </w:r>
      <w:r w:rsidR="00BC2C0B" w:rsidRPr="00BC2C0B">
        <w:rPr>
          <w:lang w:val="es-CO"/>
        </w:rPr>
        <w:t>efectivamente</w:t>
      </w:r>
      <w:r w:rsidR="003A666E">
        <w:rPr>
          <w:lang w:val="es-CO"/>
        </w:rPr>
        <w:t xml:space="preserve"> </w:t>
      </w:r>
      <w:r w:rsidR="00BC2C0B" w:rsidRPr="00BC2C0B">
        <w:rPr>
          <w:lang w:val="es-CO"/>
        </w:rPr>
        <w:t>ocurrieron,</w:t>
      </w:r>
      <w:r w:rsidR="003A666E">
        <w:rPr>
          <w:lang w:val="es-CO"/>
        </w:rPr>
        <w:t xml:space="preserve"> </w:t>
      </w:r>
      <w:r w:rsidR="00BC2C0B" w:rsidRPr="00BC2C0B">
        <w:rPr>
          <w:lang w:val="es-CO"/>
        </w:rPr>
        <w:t>se hace imprescindible analizar</w:t>
      </w:r>
      <w:r w:rsidR="003A666E">
        <w:rPr>
          <w:lang w:val="es-CO"/>
        </w:rPr>
        <w:t xml:space="preserve"> </w:t>
      </w:r>
      <w:r w:rsidR="00BC2C0B" w:rsidRPr="00BC2C0B">
        <w:rPr>
          <w:lang w:val="es-CO"/>
        </w:rPr>
        <w:t>las</w:t>
      </w:r>
      <w:r w:rsidR="003A666E">
        <w:rPr>
          <w:lang w:val="es-CO"/>
        </w:rPr>
        <w:t xml:space="preserve"> </w:t>
      </w:r>
      <w:r w:rsidR="00BC2C0B" w:rsidRPr="00BC2C0B">
        <w:rPr>
          <w:lang w:val="es-CO"/>
        </w:rPr>
        <w:t>resoluciones</w:t>
      </w:r>
      <w:r w:rsidR="003A666E">
        <w:rPr>
          <w:lang w:val="es-CO"/>
        </w:rPr>
        <w:t xml:space="preserve"> </w:t>
      </w:r>
      <w:r w:rsidR="00BC2C0B" w:rsidRPr="00BC2C0B">
        <w:rPr>
          <w:lang w:val="es-CO"/>
        </w:rPr>
        <w:t>dictadas</w:t>
      </w:r>
      <w:r w:rsidR="003A666E">
        <w:rPr>
          <w:lang w:val="es-CO"/>
        </w:rPr>
        <w:t xml:space="preserve"> </w:t>
      </w:r>
      <w:r w:rsidR="00BC2C0B" w:rsidRPr="00BC2C0B">
        <w:rPr>
          <w:lang w:val="es-CO"/>
        </w:rPr>
        <w:t>por</w:t>
      </w:r>
      <w:r w:rsidR="003A666E">
        <w:rPr>
          <w:lang w:val="es-CO"/>
        </w:rPr>
        <w:t xml:space="preserve"> </w:t>
      </w:r>
      <w:r w:rsidR="00BC2C0B" w:rsidRPr="00BC2C0B">
        <w:rPr>
          <w:lang w:val="es-CO"/>
        </w:rPr>
        <w:t>las</w:t>
      </w:r>
      <w:r w:rsidR="003A666E">
        <w:rPr>
          <w:lang w:val="es-CO"/>
        </w:rPr>
        <w:t xml:space="preserve"> </w:t>
      </w:r>
      <w:r w:rsidR="00BC2C0B" w:rsidRPr="00BC2C0B">
        <w:rPr>
          <w:lang w:val="es-CO"/>
        </w:rPr>
        <w:t>distintas</w:t>
      </w:r>
      <w:r w:rsidR="003A666E">
        <w:rPr>
          <w:lang w:val="es-CO"/>
        </w:rPr>
        <w:t xml:space="preserve"> </w:t>
      </w:r>
      <w:r w:rsidR="00BC2C0B" w:rsidRPr="00BC2C0B">
        <w:rPr>
          <w:lang w:val="es-CO"/>
        </w:rPr>
        <w:t>autoridades</w:t>
      </w:r>
      <w:r w:rsidR="003A666E">
        <w:rPr>
          <w:lang w:val="es-CO"/>
        </w:rPr>
        <w:t xml:space="preserve"> </w:t>
      </w:r>
      <w:r w:rsidR="00BC2C0B" w:rsidRPr="00BC2C0B">
        <w:rPr>
          <w:lang w:val="es-CO"/>
        </w:rPr>
        <w:t>jurisdiccionales,</w:t>
      </w:r>
      <w:r w:rsidR="003A666E">
        <w:rPr>
          <w:lang w:val="es-CO"/>
        </w:rPr>
        <w:t xml:space="preserve"> </w:t>
      </w:r>
      <w:r w:rsidR="00BC2C0B" w:rsidRPr="00BC2C0B">
        <w:rPr>
          <w:lang w:val="es-CO"/>
        </w:rPr>
        <w:t>a</w:t>
      </w:r>
      <w:r w:rsidR="003A666E">
        <w:rPr>
          <w:lang w:val="es-CO"/>
        </w:rPr>
        <w:t xml:space="preserve"> </w:t>
      </w:r>
      <w:r w:rsidR="00BC2C0B" w:rsidRPr="00BC2C0B">
        <w:rPr>
          <w:lang w:val="es-CO"/>
        </w:rPr>
        <w:t>fin de</w:t>
      </w:r>
      <w:r w:rsidR="003A666E">
        <w:rPr>
          <w:lang w:val="es-CO"/>
        </w:rPr>
        <w:t xml:space="preserve"> </w:t>
      </w:r>
      <w:r w:rsidR="00BC2C0B" w:rsidRPr="00BC2C0B">
        <w:rPr>
          <w:lang w:val="es-CO"/>
        </w:rPr>
        <w:t>determinar</w:t>
      </w:r>
      <w:r w:rsidR="003A666E">
        <w:rPr>
          <w:lang w:val="es-CO"/>
        </w:rPr>
        <w:t xml:space="preserve"> </w:t>
      </w:r>
      <w:r w:rsidR="00BC2C0B" w:rsidRPr="00BC2C0B">
        <w:rPr>
          <w:lang w:val="es-CO"/>
        </w:rPr>
        <w:t>su</w:t>
      </w:r>
      <w:r w:rsidR="003A666E">
        <w:rPr>
          <w:lang w:val="es-CO"/>
        </w:rPr>
        <w:t xml:space="preserve"> </w:t>
      </w:r>
      <w:r w:rsidR="00BC2C0B" w:rsidRPr="00BC2C0B">
        <w:rPr>
          <w:lang w:val="es-CO"/>
        </w:rPr>
        <w:t>compatibilidad</w:t>
      </w:r>
      <w:r w:rsidR="003A666E">
        <w:rPr>
          <w:lang w:val="es-CO"/>
        </w:rPr>
        <w:t xml:space="preserve"> </w:t>
      </w:r>
      <w:r w:rsidR="00BC2C0B" w:rsidRPr="00BC2C0B">
        <w:rPr>
          <w:lang w:val="es-CO"/>
        </w:rPr>
        <w:t>con</w:t>
      </w:r>
      <w:r w:rsidR="003A666E">
        <w:rPr>
          <w:lang w:val="es-CO"/>
        </w:rPr>
        <w:t xml:space="preserve"> </w:t>
      </w:r>
      <w:r w:rsidR="00BC2C0B" w:rsidRPr="00BC2C0B">
        <w:rPr>
          <w:lang w:val="es-CO"/>
        </w:rPr>
        <w:t>las</w:t>
      </w:r>
      <w:r w:rsidR="003A666E">
        <w:rPr>
          <w:lang w:val="es-CO"/>
        </w:rPr>
        <w:t xml:space="preserve"> </w:t>
      </w:r>
      <w:r w:rsidR="00BC2C0B" w:rsidRPr="00BC2C0B">
        <w:rPr>
          <w:lang w:val="es-CO"/>
        </w:rPr>
        <w:t>obligaciones</w:t>
      </w:r>
      <w:r w:rsidR="003A666E">
        <w:rPr>
          <w:lang w:val="es-CO"/>
        </w:rPr>
        <w:t xml:space="preserve"> </w:t>
      </w:r>
      <w:r w:rsidR="00BC2C0B" w:rsidRPr="00BC2C0B">
        <w:rPr>
          <w:lang w:val="es-CO"/>
        </w:rPr>
        <w:t>internacionales</w:t>
      </w:r>
      <w:r w:rsidR="003A666E">
        <w:rPr>
          <w:lang w:val="es-CO"/>
        </w:rPr>
        <w:t xml:space="preserve"> </w:t>
      </w:r>
      <w:r w:rsidR="00BC2C0B" w:rsidRPr="00BC2C0B">
        <w:rPr>
          <w:lang w:val="es-CO"/>
        </w:rPr>
        <w:t>del</w:t>
      </w:r>
      <w:r w:rsidR="003A666E">
        <w:rPr>
          <w:lang w:val="es-CO"/>
        </w:rPr>
        <w:t xml:space="preserve"> </w:t>
      </w:r>
      <w:r w:rsidR="00BC2C0B" w:rsidRPr="00BC2C0B">
        <w:rPr>
          <w:lang w:val="es-CO"/>
        </w:rPr>
        <w:t>Estado,</w:t>
      </w:r>
      <w:r w:rsidR="003A666E">
        <w:rPr>
          <w:lang w:val="es-CO"/>
        </w:rPr>
        <w:t xml:space="preserve"> </w:t>
      </w:r>
      <w:r w:rsidR="00BC2C0B" w:rsidRPr="00BC2C0B">
        <w:rPr>
          <w:lang w:val="es-CO"/>
        </w:rPr>
        <w:t>lo que, a</w:t>
      </w:r>
      <w:r w:rsidR="003A666E">
        <w:rPr>
          <w:lang w:val="es-CO"/>
        </w:rPr>
        <w:t xml:space="preserve"> </w:t>
      </w:r>
      <w:r w:rsidR="00BC2C0B" w:rsidRPr="00BC2C0B">
        <w:rPr>
          <w:lang w:val="es-CO"/>
        </w:rPr>
        <w:t>la</w:t>
      </w:r>
      <w:r w:rsidR="003A666E">
        <w:rPr>
          <w:lang w:val="es-CO"/>
        </w:rPr>
        <w:t xml:space="preserve"> </w:t>
      </w:r>
      <w:r w:rsidR="00BC2C0B" w:rsidRPr="00BC2C0B">
        <w:rPr>
          <w:lang w:val="es-CO"/>
        </w:rPr>
        <w:t>postre, configura</w:t>
      </w:r>
      <w:r w:rsidR="003A666E">
        <w:rPr>
          <w:lang w:val="es-CO"/>
        </w:rPr>
        <w:t xml:space="preserve"> </w:t>
      </w:r>
      <w:r w:rsidR="00BC2C0B" w:rsidRPr="00BC2C0B">
        <w:rPr>
          <w:lang w:val="es-CO"/>
        </w:rPr>
        <w:t>una</w:t>
      </w:r>
      <w:r w:rsidR="003A666E">
        <w:rPr>
          <w:lang w:val="es-CO"/>
        </w:rPr>
        <w:t xml:space="preserve"> </w:t>
      </w:r>
      <w:r w:rsidR="00BC2C0B" w:rsidRPr="00BC2C0B">
        <w:rPr>
          <w:lang w:val="es-CO"/>
        </w:rPr>
        <w:t>cuestión de fondo que no puede dirimirse por vía</w:t>
      </w:r>
      <w:r w:rsidR="003A666E">
        <w:rPr>
          <w:lang w:val="es-CO"/>
        </w:rPr>
        <w:t xml:space="preserve"> </w:t>
      </w:r>
      <w:r w:rsidR="00BC2C0B" w:rsidRPr="00BC2C0B">
        <w:rPr>
          <w:lang w:val="es-CO"/>
        </w:rPr>
        <w:t>de una excepción preliminar. En consecuencia, la Corte considera</w:t>
      </w:r>
      <w:r w:rsidR="003A666E">
        <w:rPr>
          <w:lang w:val="es-CO"/>
        </w:rPr>
        <w:t xml:space="preserve"> </w:t>
      </w:r>
      <w:r w:rsidR="00BC2C0B" w:rsidRPr="00BC2C0B">
        <w:rPr>
          <w:lang w:val="es-CO"/>
        </w:rPr>
        <w:t>sin lugar la excepción preliminar presentada por el Estado</w:t>
      </w:r>
      <w:r w:rsidR="0036616E">
        <w:rPr>
          <w:lang w:val="es-CO"/>
        </w:rPr>
        <w:t>.</w:t>
      </w:r>
      <w:r w:rsidR="00972832">
        <w:rPr>
          <w:lang w:val="es-CO"/>
        </w:rPr>
        <w:t xml:space="preserve"> </w:t>
      </w:r>
    </w:p>
    <w:p w14:paraId="656473F8" w14:textId="7546DB9E" w:rsidR="00616A72" w:rsidRPr="004F2666" w:rsidRDefault="00616A72" w:rsidP="00616A72">
      <w:pPr>
        <w:pStyle w:val="Ttulo1"/>
        <w:rPr>
          <w:lang w:val="es-ES"/>
        </w:rPr>
      </w:pPr>
      <w:bookmarkStart w:id="27" w:name="_Toc375517114"/>
      <w:bookmarkStart w:id="28" w:name="_Toc459158102"/>
      <w:bookmarkStart w:id="29" w:name="_Toc470180046"/>
      <w:bookmarkStart w:id="30" w:name="_Toc514172609"/>
      <w:bookmarkStart w:id="31" w:name="_Toc93400238"/>
      <w:bookmarkEnd w:id="25"/>
      <w:r w:rsidRPr="004F2666">
        <w:rPr>
          <w:lang w:val="es-ES"/>
        </w:rPr>
        <w:t>V</w:t>
      </w:r>
      <w:r w:rsidR="00F877B7" w:rsidRPr="004F2666">
        <w:rPr>
          <w:lang w:val="es-ES"/>
        </w:rPr>
        <w:t>I</w:t>
      </w:r>
      <w:r w:rsidRPr="004F2666">
        <w:rPr>
          <w:lang w:val="es-ES"/>
        </w:rPr>
        <w:br/>
        <w:t>PRUEBA</w:t>
      </w:r>
      <w:bookmarkEnd w:id="27"/>
      <w:bookmarkEnd w:id="28"/>
      <w:bookmarkEnd w:id="29"/>
      <w:bookmarkEnd w:id="30"/>
      <w:bookmarkEnd w:id="31"/>
    </w:p>
    <w:p w14:paraId="59C1DF3D" w14:textId="77777777" w:rsidR="00616A72" w:rsidRPr="004F2666" w:rsidRDefault="00616A72" w:rsidP="00616A72">
      <w:pPr>
        <w:pStyle w:val="Ttulo2"/>
        <w:rPr>
          <w:lang w:val="es-ES"/>
        </w:rPr>
      </w:pPr>
      <w:bookmarkStart w:id="32" w:name="_Toc375517115"/>
      <w:bookmarkStart w:id="33" w:name="_Toc459158103"/>
      <w:bookmarkStart w:id="34" w:name="_Toc470180047"/>
      <w:bookmarkStart w:id="35" w:name="_Toc514172610"/>
      <w:bookmarkStart w:id="36" w:name="_Toc93400239"/>
      <w:r w:rsidRPr="004F2666">
        <w:rPr>
          <w:lang w:val="es-ES"/>
        </w:rPr>
        <w:t>A.</w:t>
      </w:r>
      <w:r w:rsidRPr="004F2666">
        <w:rPr>
          <w:lang w:val="es-ES"/>
        </w:rPr>
        <w:tab/>
      </w:r>
      <w:bookmarkStart w:id="37" w:name="_Toc375517116"/>
      <w:bookmarkStart w:id="38" w:name="_Toc459158104"/>
      <w:bookmarkStart w:id="39" w:name="_Toc470180048"/>
      <w:bookmarkStart w:id="40" w:name="_Toc514172611"/>
      <w:bookmarkEnd w:id="32"/>
      <w:bookmarkEnd w:id="33"/>
      <w:bookmarkEnd w:id="34"/>
      <w:bookmarkEnd w:id="35"/>
      <w:r w:rsidRPr="004F2666">
        <w:rPr>
          <w:lang w:val="es-ES"/>
        </w:rPr>
        <w:t>Admisibilidad de la prueba</w:t>
      </w:r>
      <w:bookmarkEnd w:id="37"/>
      <w:bookmarkEnd w:id="38"/>
      <w:bookmarkEnd w:id="39"/>
      <w:bookmarkEnd w:id="40"/>
      <w:r w:rsidRPr="004F2666">
        <w:rPr>
          <w:lang w:val="es-ES"/>
        </w:rPr>
        <w:t xml:space="preserve"> documental</w:t>
      </w:r>
      <w:bookmarkEnd w:id="36"/>
    </w:p>
    <w:p w14:paraId="7D9E0172" w14:textId="7E46AA39" w:rsidR="00616A72" w:rsidRPr="00CB72B2" w:rsidRDefault="00616A72" w:rsidP="00CB72B2">
      <w:pPr>
        <w:numPr>
          <w:ilvl w:val="0"/>
          <w:numId w:val="4"/>
        </w:numPr>
        <w:tabs>
          <w:tab w:val="left" w:pos="567"/>
          <w:tab w:val="num" w:pos="1569"/>
          <w:tab w:val="num" w:pos="12305"/>
        </w:tabs>
        <w:spacing w:line="240" w:lineRule="auto"/>
        <w:ind w:left="0" w:firstLine="0"/>
        <w:rPr>
          <w:rFonts w:eastAsia="Calibri"/>
          <w:lang w:val="es-ES"/>
        </w:rPr>
      </w:pPr>
      <w:r w:rsidRPr="00CB72B2">
        <w:rPr>
          <w:rFonts w:cs="Verdana"/>
        </w:rPr>
        <w:t xml:space="preserve">El Tribunal recibió diversos documentos presentados como prueba por la Comisión, </w:t>
      </w:r>
      <w:r w:rsidR="00183EC9">
        <w:rPr>
          <w:rFonts w:cs="Verdana"/>
        </w:rPr>
        <w:t>las representantes</w:t>
      </w:r>
      <w:r w:rsidRPr="00CB72B2">
        <w:rPr>
          <w:rFonts w:cs="Verdana"/>
        </w:rPr>
        <w:t xml:space="preserve"> y el Estado, los cuales, como en otros casos, </w:t>
      </w:r>
      <w:r w:rsidR="00CA349D" w:rsidRPr="00CB72B2">
        <w:rPr>
          <w:rFonts w:cs="Verdana"/>
        </w:rPr>
        <w:t xml:space="preserve">se </w:t>
      </w:r>
      <w:r w:rsidRPr="00CB72B2">
        <w:rPr>
          <w:rFonts w:cs="Verdana"/>
        </w:rPr>
        <w:t>admite</w:t>
      </w:r>
      <w:r w:rsidR="00CA349D" w:rsidRPr="00CB72B2">
        <w:rPr>
          <w:rFonts w:cs="Verdana"/>
        </w:rPr>
        <w:t>n</w:t>
      </w:r>
      <w:r w:rsidRPr="00CB72B2">
        <w:rPr>
          <w:rFonts w:cs="Verdana"/>
        </w:rPr>
        <w:t xml:space="preserve"> en el entendido </w:t>
      </w:r>
      <w:r w:rsidR="00CA349D" w:rsidRPr="00CB72B2">
        <w:rPr>
          <w:rFonts w:cs="Verdana"/>
        </w:rPr>
        <w:t xml:space="preserve">de </w:t>
      </w:r>
      <w:r w:rsidRPr="00CB72B2">
        <w:rPr>
          <w:rFonts w:cs="Verdana"/>
        </w:rPr>
        <w:t>que fueron presentados en la debida oportunidad procesal (artículo 57 del Reglamento</w:t>
      </w:r>
      <w:r w:rsidRPr="00CB72B2">
        <w:rPr>
          <w:rFonts w:eastAsia="Calibri"/>
          <w:lang w:val="es-ES"/>
        </w:rPr>
        <w:t>)</w:t>
      </w:r>
      <w:r w:rsidRPr="00CB72B2">
        <w:rPr>
          <w:rFonts w:eastAsia="Calibri"/>
          <w:vertAlign w:val="superscript"/>
          <w:lang w:val="es-ES"/>
        </w:rPr>
        <w:footnoteReference w:id="27"/>
      </w:r>
      <w:r w:rsidRPr="00CB72B2">
        <w:rPr>
          <w:rFonts w:eastAsia="Calibri"/>
          <w:lang w:val="es-ES"/>
        </w:rPr>
        <w:t xml:space="preserve">. </w:t>
      </w:r>
    </w:p>
    <w:p w14:paraId="3616A342" w14:textId="77777777" w:rsidR="00843C47" w:rsidRPr="00C50D84" w:rsidRDefault="00843C47" w:rsidP="00843C47">
      <w:pPr>
        <w:widowControl/>
        <w:tabs>
          <w:tab w:val="left" w:pos="567"/>
        </w:tabs>
        <w:autoSpaceDE w:val="0"/>
        <w:autoSpaceDN w:val="0"/>
        <w:adjustRightInd/>
        <w:spacing w:line="240" w:lineRule="auto"/>
        <w:ind w:right="-90"/>
        <w:textAlignment w:val="auto"/>
        <w:rPr>
          <w:highlight w:val="yellow"/>
          <w:lang w:val="es-ES"/>
        </w:rPr>
      </w:pPr>
    </w:p>
    <w:p w14:paraId="4AD21E06" w14:textId="022B5F6E" w:rsidR="008209D4" w:rsidRPr="00A527D6" w:rsidRDefault="00DE301C" w:rsidP="00A527D6">
      <w:pPr>
        <w:numPr>
          <w:ilvl w:val="0"/>
          <w:numId w:val="4"/>
        </w:numPr>
        <w:tabs>
          <w:tab w:val="left" w:pos="567"/>
          <w:tab w:val="num" w:pos="1569"/>
          <w:tab w:val="num" w:pos="12305"/>
        </w:tabs>
        <w:spacing w:line="240" w:lineRule="auto"/>
        <w:ind w:left="0" w:firstLine="0"/>
        <w:rPr>
          <w:lang w:val="es-ES" w:eastAsia="es-ES_tradnl"/>
        </w:rPr>
      </w:pPr>
      <w:r w:rsidRPr="00A527D6">
        <w:t xml:space="preserve">La Corte también recibió documentos adjuntos a los alegatos finales escritos presentados por el Estado y por </w:t>
      </w:r>
      <w:r w:rsidR="00183EC9">
        <w:t>las representantes</w:t>
      </w:r>
      <w:r w:rsidRPr="00A527D6">
        <w:t xml:space="preserve"> de las presuntas víctimas</w:t>
      </w:r>
      <w:r w:rsidRPr="00A527D6">
        <w:rPr>
          <w:rStyle w:val="Refdenotaalpie"/>
        </w:rPr>
        <w:footnoteReference w:id="28"/>
      </w:r>
      <w:r w:rsidRPr="00A527D6">
        <w:t xml:space="preserve">. El </w:t>
      </w:r>
      <w:r w:rsidR="0038208E" w:rsidRPr="00A527D6">
        <w:t xml:space="preserve">11 de junio de 2021 la Comisión y </w:t>
      </w:r>
      <w:r w:rsidR="00183EC9">
        <w:t>las representantes</w:t>
      </w:r>
      <w:r w:rsidR="0038208E" w:rsidRPr="00A527D6">
        <w:t xml:space="preserve"> presentaron, respectivamente, sus observaciones a los anexos del Estado</w:t>
      </w:r>
      <w:r w:rsidR="00196A44" w:rsidRPr="00A527D6">
        <w:t>. Por otro lado, e</w:t>
      </w:r>
      <w:r w:rsidR="00196A44" w:rsidRPr="00A527D6">
        <w:rPr>
          <w:lang w:val="es-ES"/>
        </w:rPr>
        <w:t xml:space="preserve">l 22 de junio de 2021 el Estado y la Comisión, respectivamente, </w:t>
      </w:r>
      <w:r w:rsidR="00382B67" w:rsidRPr="00A527D6">
        <w:rPr>
          <w:lang w:val="es-ES"/>
        </w:rPr>
        <w:t>remitieron sus</w:t>
      </w:r>
      <w:r w:rsidR="00196A44" w:rsidRPr="00A527D6">
        <w:rPr>
          <w:lang w:val="es-ES"/>
        </w:rPr>
        <w:t xml:space="preserve"> observaciones sobre los anexos remitidos por </w:t>
      </w:r>
      <w:r w:rsidR="00183EC9">
        <w:rPr>
          <w:lang w:val="es-ES"/>
        </w:rPr>
        <w:t>las representantes</w:t>
      </w:r>
      <w:r w:rsidR="00196A44" w:rsidRPr="00A527D6">
        <w:rPr>
          <w:lang w:val="es-ES"/>
        </w:rPr>
        <w:t>. Las partes y la Comisión</w:t>
      </w:r>
      <w:r w:rsidR="00196A44" w:rsidRPr="00A527D6">
        <w:t xml:space="preserve"> realizaron valoraciones con respecto al contenido de los anexos, si bien no se opusieron a que estos fuera</w:t>
      </w:r>
      <w:r w:rsidR="00814399">
        <w:t>n</w:t>
      </w:r>
      <w:r w:rsidR="00196A44" w:rsidRPr="00A527D6">
        <w:t xml:space="preserve"> </w:t>
      </w:r>
      <w:proofErr w:type="spellStart"/>
      <w:r w:rsidR="00196A44" w:rsidRPr="00A527D6">
        <w:t>admitido</w:t>
      </w:r>
      <w:r w:rsidR="00814399">
        <w:t>n</w:t>
      </w:r>
      <w:proofErr w:type="spellEnd"/>
      <w:r w:rsidR="00196A44" w:rsidRPr="00A527D6">
        <w:t>.</w:t>
      </w:r>
      <w:r w:rsidR="00E87467">
        <w:t xml:space="preserve"> </w:t>
      </w:r>
    </w:p>
    <w:p w14:paraId="5DD92191" w14:textId="36B9C813" w:rsidR="008209D4" w:rsidRDefault="008209D4" w:rsidP="006E63EF">
      <w:pPr>
        <w:widowControl/>
        <w:tabs>
          <w:tab w:val="left" w:pos="567"/>
        </w:tabs>
        <w:autoSpaceDE w:val="0"/>
        <w:autoSpaceDN w:val="0"/>
        <w:adjustRightInd/>
        <w:spacing w:line="240" w:lineRule="auto"/>
        <w:ind w:right="-90"/>
        <w:textAlignment w:val="auto"/>
        <w:rPr>
          <w:highlight w:val="yellow"/>
          <w:lang w:val="es-ES" w:eastAsia="es-ES_tradnl"/>
        </w:rPr>
      </w:pPr>
    </w:p>
    <w:p w14:paraId="2986DCB3" w14:textId="0E92BF32" w:rsidR="00DE301C" w:rsidRPr="00E65752" w:rsidRDefault="00DE301C" w:rsidP="00DE301C">
      <w:pPr>
        <w:numPr>
          <w:ilvl w:val="0"/>
          <w:numId w:val="4"/>
        </w:numPr>
        <w:tabs>
          <w:tab w:val="left" w:pos="567"/>
          <w:tab w:val="num" w:pos="1569"/>
          <w:tab w:val="num" w:pos="12305"/>
        </w:tabs>
        <w:spacing w:line="240" w:lineRule="auto"/>
        <w:ind w:left="0" w:firstLine="0"/>
      </w:pPr>
      <w:r w:rsidRPr="00E65752">
        <w:t xml:space="preserve">La </w:t>
      </w:r>
      <w:r w:rsidRPr="009F156B">
        <w:t>Corte</w:t>
      </w:r>
      <w:r w:rsidRPr="00E65752">
        <w:t xml:space="preserve"> constata que</w:t>
      </w:r>
      <w:r>
        <w:t xml:space="preserve"> </w:t>
      </w:r>
      <w:r w:rsidRPr="00E65752">
        <w:t xml:space="preserve">los documentos anexos a los alegatos finales escritos del Estado </w:t>
      </w:r>
      <w:r>
        <w:t xml:space="preserve">y de </w:t>
      </w:r>
      <w:r w:rsidR="00183EC9">
        <w:t>las representantes</w:t>
      </w:r>
      <w:r>
        <w:t xml:space="preserve"> </w:t>
      </w:r>
      <w:r w:rsidRPr="00E65752">
        <w:t xml:space="preserve">son documentos emitidos con posterioridad a la presentación </w:t>
      </w:r>
      <w:r>
        <w:t>de los escritos principales correspondientes y, por tanto</w:t>
      </w:r>
      <w:r w:rsidRPr="00E65752">
        <w:t>, constituyen prueba de hechos supervinientes. En vista de lo anterior, dichos documentos resultan admisibles en los términos del artículo 57.2 del Reglamento.</w:t>
      </w:r>
    </w:p>
    <w:p w14:paraId="332BF05A" w14:textId="77777777" w:rsidR="00616A72" w:rsidRPr="004F2666" w:rsidRDefault="00616A72" w:rsidP="00616A72">
      <w:pPr>
        <w:pStyle w:val="Ttulo2"/>
        <w:rPr>
          <w:lang w:val="es-ES"/>
        </w:rPr>
      </w:pPr>
      <w:bookmarkStart w:id="41" w:name="_Toc93400240"/>
      <w:r w:rsidRPr="004F2666">
        <w:rPr>
          <w:lang w:val="es-ES"/>
        </w:rPr>
        <w:t>B.</w:t>
      </w:r>
      <w:r w:rsidRPr="004F2666">
        <w:rPr>
          <w:lang w:val="es-ES"/>
        </w:rPr>
        <w:tab/>
        <w:t>Admisibilidad de la prueba testimonial y pericial</w:t>
      </w:r>
      <w:bookmarkEnd w:id="41"/>
    </w:p>
    <w:p w14:paraId="37B076F3" w14:textId="78CA5CE3" w:rsidR="00616A72" w:rsidRPr="004F2666" w:rsidRDefault="00616A72" w:rsidP="00D60EB1">
      <w:pPr>
        <w:numPr>
          <w:ilvl w:val="0"/>
          <w:numId w:val="4"/>
        </w:numPr>
        <w:tabs>
          <w:tab w:val="left" w:pos="567"/>
          <w:tab w:val="num" w:pos="1569"/>
          <w:tab w:val="num" w:pos="12305"/>
        </w:tabs>
        <w:spacing w:line="240" w:lineRule="auto"/>
        <w:ind w:left="0" w:firstLine="0"/>
        <w:rPr>
          <w:lang w:val="es-ES"/>
        </w:rPr>
      </w:pPr>
      <w:r w:rsidRPr="004F2666">
        <w:rPr>
          <w:lang w:val="es-ES"/>
        </w:rPr>
        <w:t xml:space="preserve"> La Corte estima pertinente admitir las declaraciones rendidas en audiencia pública</w:t>
      </w:r>
      <w:r w:rsidRPr="004F2666">
        <w:rPr>
          <w:rStyle w:val="Refdenotaalpie"/>
          <w:lang w:val="es-ES"/>
        </w:rPr>
        <w:footnoteReference w:id="29"/>
      </w:r>
      <w:r w:rsidRPr="004F2666">
        <w:rPr>
          <w:lang w:val="es-ES"/>
        </w:rPr>
        <w:t xml:space="preserve">, así como las </w:t>
      </w:r>
      <w:r w:rsidRPr="004F2666">
        <w:rPr>
          <w:rFonts w:cs="Verdana"/>
          <w:lang w:val="es-ES" w:eastAsia="es-MX"/>
        </w:rPr>
        <w:t>declaraciones rendidas</w:t>
      </w:r>
      <w:r w:rsidRPr="004F2666">
        <w:rPr>
          <w:lang w:val="es-ES"/>
        </w:rPr>
        <w:t xml:space="preserve"> ante fedatario público</w:t>
      </w:r>
      <w:r w:rsidRPr="004F2666">
        <w:rPr>
          <w:rStyle w:val="Refdenotaalpie"/>
          <w:lang w:val="es-ES"/>
        </w:rPr>
        <w:footnoteReference w:id="30"/>
      </w:r>
      <w:r w:rsidRPr="004F2666">
        <w:rPr>
          <w:lang w:val="es-ES"/>
        </w:rPr>
        <w:t xml:space="preserve"> en cuanto se ajustan al objeto definido por </w:t>
      </w:r>
      <w:r w:rsidR="001F53FB" w:rsidRPr="004F2666">
        <w:rPr>
          <w:lang w:val="es-ES"/>
        </w:rPr>
        <w:t>la</w:t>
      </w:r>
      <w:r w:rsidRPr="004F2666">
        <w:rPr>
          <w:lang w:val="es-ES"/>
        </w:rPr>
        <w:t xml:space="preserve"> </w:t>
      </w:r>
      <w:r w:rsidRPr="004F2666">
        <w:rPr>
          <w:lang w:val="es-ES"/>
        </w:rPr>
        <w:lastRenderedPageBreak/>
        <w:t>Presiden</w:t>
      </w:r>
      <w:r w:rsidR="001F53FB" w:rsidRPr="004F2666">
        <w:rPr>
          <w:lang w:val="es-ES"/>
        </w:rPr>
        <w:t>cia</w:t>
      </w:r>
      <w:r w:rsidRPr="004F2666">
        <w:rPr>
          <w:lang w:val="es-ES"/>
        </w:rPr>
        <w:t xml:space="preserve"> en la Resolución que ordenó recibirlos</w:t>
      </w:r>
      <w:r w:rsidRPr="004F2666">
        <w:rPr>
          <w:vertAlign w:val="superscript"/>
          <w:lang w:val="es-ES"/>
        </w:rPr>
        <w:footnoteReference w:id="31"/>
      </w:r>
      <w:r w:rsidRPr="004F2666">
        <w:rPr>
          <w:lang w:val="es-ES"/>
        </w:rPr>
        <w:t>.</w:t>
      </w:r>
    </w:p>
    <w:p w14:paraId="753FE50D" w14:textId="5EC9FEC4" w:rsidR="008E0797" w:rsidRPr="004F2666" w:rsidRDefault="00467516" w:rsidP="001D7534">
      <w:pPr>
        <w:pStyle w:val="Ttulo1"/>
        <w:rPr>
          <w:lang w:val="es-ES"/>
        </w:rPr>
      </w:pPr>
      <w:bookmarkStart w:id="42" w:name="_Toc93400241"/>
      <w:r w:rsidRPr="004F2666">
        <w:rPr>
          <w:lang w:val="es-ES"/>
        </w:rPr>
        <w:t>V</w:t>
      </w:r>
      <w:r w:rsidR="00F877B7" w:rsidRPr="004F2666">
        <w:rPr>
          <w:lang w:val="es-ES"/>
        </w:rPr>
        <w:t>II</w:t>
      </w:r>
      <w:r w:rsidRPr="004F2666">
        <w:rPr>
          <w:lang w:val="es-ES"/>
        </w:rPr>
        <w:br/>
        <w:t>HECHOS</w:t>
      </w:r>
      <w:bookmarkEnd w:id="0"/>
      <w:bookmarkEnd w:id="1"/>
      <w:bookmarkEnd w:id="2"/>
      <w:bookmarkEnd w:id="3"/>
      <w:bookmarkEnd w:id="42"/>
      <w:r w:rsidRPr="004F2666">
        <w:rPr>
          <w:lang w:val="es-ES"/>
        </w:rPr>
        <w:t xml:space="preserve"> </w:t>
      </w:r>
    </w:p>
    <w:p w14:paraId="5472EE78" w14:textId="64687ADC" w:rsidR="00BF590B" w:rsidRDefault="00BF590B" w:rsidP="00D60EB1">
      <w:pPr>
        <w:numPr>
          <w:ilvl w:val="0"/>
          <w:numId w:val="4"/>
        </w:numPr>
        <w:tabs>
          <w:tab w:val="left" w:pos="567"/>
          <w:tab w:val="num" w:pos="1569"/>
          <w:tab w:val="num" w:pos="12305"/>
        </w:tabs>
        <w:spacing w:line="240" w:lineRule="auto"/>
        <w:ind w:left="0" w:firstLine="0"/>
        <w:rPr>
          <w:lang w:val="es-ES"/>
        </w:rPr>
      </w:pPr>
      <w:r w:rsidRPr="004F2666">
        <w:rPr>
          <w:lang w:val="es-ES"/>
        </w:rPr>
        <w:t xml:space="preserve">En este capítulo, la Corte establecerá los hechos del caso con </w:t>
      </w:r>
      <w:r w:rsidRPr="009F156B">
        <w:rPr>
          <w:lang w:val="es-ES"/>
        </w:rPr>
        <w:t xml:space="preserve">base </w:t>
      </w:r>
      <w:r w:rsidR="00674E84" w:rsidRPr="009F156B">
        <w:rPr>
          <w:lang w:val="es-ES"/>
        </w:rPr>
        <w:t>en el</w:t>
      </w:r>
      <w:r w:rsidRPr="009F156B">
        <w:rPr>
          <w:lang w:val="es-ES"/>
        </w:rPr>
        <w:t xml:space="preserve"> marco</w:t>
      </w:r>
      <w:r w:rsidRPr="004F2666">
        <w:rPr>
          <w:lang w:val="es-ES"/>
        </w:rPr>
        <w:t xml:space="preserve"> fáctico </w:t>
      </w:r>
      <w:r w:rsidRPr="004F2666">
        <w:rPr>
          <w:rFonts w:cs="Calibri"/>
          <w:lang w:val="es-ES"/>
        </w:rPr>
        <w:t>sometido</w:t>
      </w:r>
      <w:r w:rsidRPr="004F2666">
        <w:rPr>
          <w:lang w:val="es-ES"/>
        </w:rPr>
        <w:t xml:space="preserve"> al conocimiento de la Corte por la Comisión Interamericana, en relación con </w:t>
      </w:r>
      <w:r w:rsidR="00416AAE" w:rsidRPr="004F2666">
        <w:rPr>
          <w:lang w:val="es-ES"/>
        </w:rPr>
        <w:t>(</w:t>
      </w:r>
      <w:r w:rsidR="00187A7D">
        <w:rPr>
          <w:lang w:val="es-ES"/>
        </w:rPr>
        <w:t>A</w:t>
      </w:r>
      <w:r w:rsidR="00416AAE" w:rsidRPr="004F2666">
        <w:rPr>
          <w:lang w:val="es-ES"/>
        </w:rPr>
        <w:t>)</w:t>
      </w:r>
      <w:r w:rsidR="008E0797" w:rsidRPr="004F2666">
        <w:rPr>
          <w:lang w:val="es-ES"/>
        </w:rPr>
        <w:t xml:space="preserve"> </w:t>
      </w:r>
      <w:r w:rsidR="00614177" w:rsidRPr="004F2666">
        <w:rPr>
          <w:lang w:val="es-ES"/>
        </w:rPr>
        <w:t xml:space="preserve">el contexto </w:t>
      </w:r>
      <w:r w:rsidR="00D5115F" w:rsidRPr="004F2666">
        <w:rPr>
          <w:lang w:val="es-ES"/>
        </w:rPr>
        <w:t xml:space="preserve">de violencia contra </w:t>
      </w:r>
      <w:r w:rsidR="0079556F">
        <w:rPr>
          <w:lang w:val="es-ES"/>
        </w:rPr>
        <w:t xml:space="preserve">las </w:t>
      </w:r>
      <w:r w:rsidR="0079556F" w:rsidRPr="001879D7">
        <w:t xml:space="preserve">defensoras </w:t>
      </w:r>
      <w:r w:rsidR="0079556F">
        <w:t xml:space="preserve">y defensores </w:t>
      </w:r>
      <w:r w:rsidR="00D5115F" w:rsidRPr="004F2666">
        <w:rPr>
          <w:lang w:val="es-ES"/>
        </w:rPr>
        <w:t xml:space="preserve">de derechos humanos en </w:t>
      </w:r>
      <w:r w:rsidR="00614177" w:rsidRPr="004F2666">
        <w:rPr>
          <w:lang w:val="es-ES"/>
        </w:rPr>
        <w:t>la época de los hechos</w:t>
      </w:r>
      <w:r w:rsidR="00A663EA" w:rsidRPr="004F2666">
        <w:rPr>
          <w:lang w:val="es-ES"/>
        </w:rPr>
        <w:t xml:space="preserve"> y en la actualidad</w:t>
      </w:r>
      <w:r w:rsidR="00BB5435">
        <w:rPr>
          <w:lang w:val="es-ES"/>
        </w:rPr>
        <w:t xml:space="preserve"> en México</w:t>
      </w:r>
      <w:r w:rsidR="00D875C2">
        <w:rPr>
          <w:lang w:val="es-ES"/>
        </w:rPr>
        <w:t xml:space="preserve"> y las m</w:t>
      </w:r>
      <w:r w:rsidR="00D875C2" w:rsidRPr="00D51095">
        <w:rPr>
          <w:lang w:val="es-ES"/>
        </w:rPr>
        <w:t>edidas cautelares y provisionales adoptadas por la Comisión y la Corte, respectivamente</w:t>
      </w:r>
      <w:r w:rsidR="00A663EA" w:rsidRPr="004F2666">
        <w:rPr>
          <w:lang w:val="es-ES"/>
        </w:rPr>
        <w:t>, así como sobre</w:t>
      </w:r>
      <w:r w:rsidR="00187A7D">
        <w:rPr>
          <w:lang w:val="es-ES"/>
        </w:rPr>
        <w:t xml:space="preserve"> (B)</w:t>
      </w:r>
      <w:r w:rsidR="00A663EA" w:rsidRPr="004F2666">
        <w:rPr>
          <w:lang w:val="es-ES"/>
        </w:rPr>
        <w:t xml:space="preserve"> </w:t>
      </w:r>
      <w:r w:rsidR="00DF328D" w:rsidRPr="004F2666">
        <w:rPr>
          <w:lang w:val="es-ES"/>
        </w:rPr>
        <w:t xml:space="preserve">la actividad de la </w:t>
      </w:r>
      <w:r w:rsidR="001F344D">
        <w:rPr>
          <w:lang w:val="es-ES"/>
        </w:rPr>
        <w:t>señora Digna Ochoa</w:t>
      </w:r>
      <w:r w:rsidR="00DF328D" w:rsidRPr="004F2666">
        <w:rPr>
          <w:lang w:val="es-ES"/>
        </w:rPr>
        <w:t xml:space="preserve"> </w:t>
      </w:r>
      <w:r w:rsidR="00187A7D">
        <w:rPr>
          <w:lang w:val="es-ES"/>
        </w:rPr>
        <w:t xml:space="preserve">y </w:t>
      </w:r>
      <w:r w:rsidR="00DF328D" w:rsidRPr="004F2666">
        <w:rPr>
          <w:lang w:val="es-ES"/>
        </w:rPr>
        <w:t xml:space="preserve">su muerte el día </w:t>
      </w:r>
      <w:r w:rsidR="00A5776C" w:rsidRPr="004F2666">
        <w:t>19 de octubre de 2001</w:t>
      </w:r>
      <w:r w:rsidR="00187A7D">
        <w:t>, para finalmente referirse a</w:t>
      </w:r>
      <w:r w:rsidR="00EE0CD0" w:rsidRPr="004F2666">
        <w:rPr>
          <w:lang w:val="es-ES"/>
        </w:rPr>
        <w:t xml:space="preserve"> </w:t>
      </w:r>
      <w:r w:rsidR="00416AAE" w:rsidRPr="004F2666">
        <w:rPr>
          <w:lang w:val="es-ES"/>
        </w:rPr>
        <w:t>(</w:t>
      </w:r>
      <w:r w:rsidR="00187A7D">
        <w:rPr>
          <w:lang w:val="es-ES"/>
        </w:rPr>
        <w:t>C</w:t>
      </w:r>
      <w:r w:rsidR="00416AAE" w:rsidRPr="004F2666">
        <w:rPr>
          <w:lang w:val="es-ES"/>
        </w:rPr>
        <w:t>)</w:t>
      </w:r>
      <w:r w:rsidR="008E0797" w:rsidRPr="004F2666">
        <w:rPr>
          <w:lang w:val="es-ES"/>
        </w:rPr>
        <w:t xml:space="preserve"> </w:t>
      </w:r>
      <w:r w:rsidR="00DF328D" w:rsidRPr="004F2666">
        <w:rPr>
          <w:lang w:val="es-ES"/>
        </w:rPr>
        <w:t xml:space="preserve">las investigaciones y procedimientos judiciales </w:t>
      </w:r>
      <w:r w:rsidR="00A663EA" w:rsidRPr="004F2666">
        <w:rPr>
          <w:lang w:val="es-ES"/>
        </w:rPr>
        <w:t>desarrollados</w:t>
      </w:r>
      <w:r w:rsidR="00DF328D" w:rsidRPr="004F2666">
        <w:rPr>
          <w:lang w:val="es-ES"/>
        </w:rPr>
        <w:t xml:space="preserve"> al respecto.</w:t>
      </w:r>
    </w:p>
    <w:p w14:paraId="58335446" w14:textId="4FEB1B82" w:rsidR="00BF590B" w:rsidRPr="004F2666" w:rsidRDefault="00BF590B" w:rsidP="00DB07DF">
      <w:pPr>
        <w:tabs>
          <w:tab w:val="left" w:pos="2475"/>
        </w:tabs>
        <w:spacing w:line="240" w:lineRule="auto"/>
        <w:rPr>
          <w:lang w:val="es-ES"/>
        </w:rPr>
      </w:pPr>
    </w:p>
    <w:p w14:paraId="4434E3BC" w14:textId="5739C465" w:rsidR="00BF590B" w:rsidRPr="004F2666" w:rsidRDefault="00A5776C" w:rsidP="00BB668C">
      <w:pPr>
        <w:pStyle w:val="Ttulo2"/>
        <w:numPr>
          <w:ilvl w:val="0"/>
          <w:numId w:val="7"/>
        </w:numPr>
        <w:spacing w:before="0" w:after="0"/>
        <w:rPr>
          <w:lang w:val="es-ES"/>
        </w:rPr>
      </w:pPr>
      <w:bookmarkStart w:id="43" w:name="_Toc93400242"/>
      <w:r w:rsidRPr="004F2666">
        <w:rPr>
          <w:lang w:val="es-ES"/>
        </w:rPr>
        <w:t>Contexto</w:t>
      </w:r>
      <w:bookmarkEnd w:id="43"/>
    </w:p>
    <w:p w14:paraId="45C88B8C" w14:textId="099E5BDC" w:rsidR="00365BE1" w:rsidRPr="004F2666" w:rsidRDefault="00365BE1" w:rsidP="00365BE1">
      <w:pPr>
        <w:pStyle w:val="Ttulo3"/>
        <w:rPr>
          <w:lang w:val="es-ES"/>
        </w:rPr>
      </w:pPr>
      <w:bookmarkStart w:id="44" w:name="_Toc93400243"/>
      <w:r w:rsidRPr="004F2666">
        <w:rPr>
          <w:rFonts w:cs="Times New Roman"/>
        </w:rPr>
        <w:t>a</w:t>
      </w:r>
      <w:r w:rsidRPr="004F2666">
        <w:rPr>
          <w:lang w:val="es-ES"/>
        </w:rPr>
        <w:t>.</w:t>
      </w:r>
      <w:r w:rsidRPr="004F2666">
        <w:rPr>
          <w:rFonts w:cs="Times New Roman"/>
        </w:rPr>
        <w:t xml:space="preserve">1. </w:t>
      </w:r>
      <w:r w:rsidRPr="004F2666">
        <w:rPr>
          <w:lang w:val="es-ES"/>
        </w:rPr>
        <w:t xml:space="preserve">Contexto de violencia contra </w:t>
      </w:r>
      <w:r w:rsidR="0079556F">
        <w:rPr>
          <w:lang w:val="es-ES"/>
        </w:rPr>
        <w:t xml:space="preserve">las </w:t>
      </w:r>
      <w:r w:rsidR="0079556F" w:rsidRPr="001879D7">
        <w:t xml:space="preserve">defensoras </w:t>
      </w:r>
      <w:r w:rsidR="0079556F">
        <w:t xml:space="preserve">y defensores </w:t>
      </w:r>
      <w:r w:rsidRPr="004F2666">
        <w:rPr>
          <w:lang w:val="es-ES"/>
        </w:rPr>
        <w:t>de derechos humanos en la época de los hechos y en la actualidad</w:t>
      </w:r>
      <w:r w:rsidR="00BB5435">
        <w:rPr>
          <w:lang w:val="es-ES"/>
        </w:rPr>
        <w:t xml:space="preserve"> en México</w:t>
      </w:r>
      <w:bookmarkEnd w:id="44"/>
    </w:p>
    <w:p w14:paraId="78993E0D" w14:textId="6E0FE97B" w:rsidR="00736DAC" w:rsidRPr="00D51095" w:rsidRDefault="00303553" w:rsidP="00D60EB1">
      <w:pPr>
        <w:numPr>
          <w:ilvl w:val="0"/>
          <w:numId w:val="4"/>
        </w:numPr>
        <w:tabs>
          <w:tab w:val="left" w:pos="567"/>
          <w:tab w:val="num" w:pos="1569"/>
          <w:tab w:val="num" w:pos="12305"/>
        </w:tabs>
        <w:spacing w:line="240" w:lineRule="auto"/>
        <w:ind w:left="0" w:firstLine="0"/>
        <w:rPr>
          <w:lang w:val="es-ES"/>
        </w:rPr>
      </w:pPr>
      <w:r w:rsidRPr="00D51095">
        <w:rPr>
          <w:lang w:val="es-ES"/>
        </w:rPr>
        <w:t>El Tribunal constata que, a la época de los hechos</w:t>
      </w:r>
      <w:r w:rsidR="00403535" w:rsidRPr="00D51095">
        <w:rPr>
          <w:lang w:val="es-ES"/>
        </w:rPr>
        <w:t xml:space="preserve"> (</w:t>
      </w:r>
      <w:r w:rsidR="008640F3" w:rsidRPr="00D51095">
        <w:rPr>
          <w:lang w:val="es-ES"/>
        </w:rPr>
        <w:t xml:space="preserve">esto es, a finales de los años 90 y principios de los años </w:t>
      </w:r>
      <w:r w:rsidR="00403535" w:rsidRPr="00D51095">
        <w:rPr>
          <w:lang w:val="es-ES"/>
        </w:rPr>
        <w:t>2000)</w:t>
      </w:r>
      <w:r w:rsidRPr="00D51095">
        <w:rPr>
          <w:lang w:val="es-ES"/>
        </w:rPr>
        <w:t xml:space="preserve">, las </w:t>
      </w:r>
      <w:r w:rsidR="0079556F" w:rsidRPr="001879D7">
        <w:t xml:space="preserve">defensoras </w:t>
      </w:r>
      <w:r w:rsidR="0079556F">
        <w:t xml:space="preserve">y defensores </w:t>
      </w:r>
      <w:r w:rsidRPr="00D51095">
        <w:rPr>
          <w:lang w:val="es-ES"/>
        </w:rPr>
        <w:t>de derechos humanos</w:t>
      </w:r>
      <w:r w:rsidR="0004174D">
        <w:rPr>
          <w:lang w:val="es-ES"/>
        </w:rPr>
        <w:t xml:space="preserve"> en México</w:t>
      </w:r>
      <w:r w:rsidRPr="00D51095">
        <w:rPr>
          <w:lang w:val="es-ES"/>
        </w:rPr>
        <w:t xml:space="preserve"> –además de otras </w:t>
      </w:r>
      <w:r w:rsidR="008640A9">
        <w:rPr>
          <w:lang w:val="es-ES"/>
        </w:rPr>
        <w:t xml:space="preserve">personas </w:t>
      </w:r>
      <w:r w:rsidRPr="00D51095">
        <w:rPr>
          <w:lang w:val="es-ES"/>
        </w:rPr>
        <w:t>que trabaja</w:t>
      </w:r>
      <w:r w:rsidR="009F156B">
        <w:rPr>
          <w:lang w:val="es-ES"/>
        </w:rPr>
        <w:t>ba</w:t>
      </w:r>
      <w:r w:rsidRPr="00D51095">
        <w:rPr>
          <w:lang w:val="es-ES"/>
        </w:rPr>
        <w:t>n en la defensa de los derechos humanos</w:t>
      </w:r>
      <w:r w:rsidR="009F156B">
        <w:rPr>
          <w:lang w:val="es-ES"/>
        </w:rPr>
        <w:t>,</w:t>
      </w:r>
      <w:r w:rsidRPr="00D51095">
        <w:rPr>
          <w:lang w:val="es-ES"/>
        </w:rPr>
        <w:t xml:space="preserve"> como periodistas, representantes sindicales o indígenas–</w:t>
      </w:r>
      <w:r w:rsidR="00E87467" w:rsidRPr="00D51095">
        <w:rPr>
          <w:lang w:val="es-ES"/>
        </w:rPr>
        <w:t xml:space="preserve"> </w:t>
      </w:r>
      <w:r w:rsidRPr="00D51095">
        <w:rPr>
          <w:lang w:val="es-ES"/>
        </w:rPr>
        <w:t xml:space="preserve">corrían riesgo de sufrir </w:t>
      </w:r>
      <w:r w:rsidR="002C6FEE" w:rsidRPr="00D51095">
        <w:rPr>
          <w:lang w:val="es-ES"/>
        </w:rPr>
        <w:t>numerosas</w:t>
      </w:r>
      <w:r w:rsidRPr="00D51095">
        <w:rPr>
          <w:lang w:val="es-ES"/>
        </w:rPr>
        <w:t xml:space="preserve"> violaciones de derechos humanos. Así, d</w:t>
      </w:r>
      <w:r w:rsidR="00103AE3" w:rsidRPr="00D51095">
        <w:rPr>
          <w:lang w:val="es-ES"/>
        </w:rPr>
        <w:t>e conformida</w:t>
      </w:r>
      <w:r w:rsidR="00417BF9" w:rsidRPr="00D51095">
        <w:rPr>
          <w:lang w:val="es-ES"/>
        </w:rPr>
        <w:t>d con</w:t>
      </w:r>
      <w:r w:rsidR="00736DAC" w:rsidRPr="00D51095">
        <w:rPr>
          <w:lang w:val="es-ES"/>
        </w:rPr>
        <w:t xml:space="preserve"> </w:t>
      </w:r>
      <w:r w:rsidR="00092447" w:rsidRPr="00D51095">
        <w:rPr>
          <w:lang w:val="es-ES"/>
        </w:rPr>
        <w:t>un informe de país de la Comisión Interamericana del año 1998, este ente había recibido “</w:t>
      </w:r>
      <w:r w:rsidR="00092447" w:rsidRPr="00D51095">
        <w:t xml:space="preserve">varias denuncias acerca de actos cometidos en México para amedrentar a integrantes de organizaciones de </w:t>
      </w:r>
      <w:r w:rsidR="009F156B">
        <w:t>defensa de los derechos humanos</w:t>
      </w:r>
      <w:r w:rsidR="00092447" w:rsidRPr="00D51095">
        <w:t xml:space="preserve"> y de organizaciones sociales”, detallando que “varias </w:t>
      </w:r>
      <w:r w:rsidR="00092447" w:rsidRPr="00D51095">
        <w:rPr>
          <w:color w:val="000000"/>
        </w:rPr>
        <w:t>organizaciones</w:t>
      </w:r>
      <w:r w:rsidR="00092447" w:rsidRPr="00D51095">
        <w:t xml:space="preserve"> y movimientos sociales y </w:t>
      </w:r>
      <w:r w:rsidR="00092447" w:rsidRPr="00D51095">
        <w:rPr>
          <w:lang w:val="es-ES"/>
        </w:rPr>
        <w:t>políticos</w:t>
      </w:r>
      <w:r w:rsidR="00092447" w:rsidRPr="00D51095">
        <w:t>, al igual que estudiantes, activistas y grupos de abogados, ha[</w:t>
      </w:r>
      <w:proofErr w:type="spellStart"/>
      <w:r w:rsidR="00092447" w:rsidRPr="00D51095">
        <w:t>bían</w:t>
      </w:r>
      <w:proofErr w:type="spellEnd"/>
      <w:r w:rsidR="00092447" w:rsidRPr="00D51095">
        <w:t>] sido objeto en México de amenazas, secuestros, detenciones arbitrarias, robos, allanamientos, fabricación de delitos y desaparición”</w:t>
      </w:r>
      <w:r w:rsidR="00092447" w:rsidRPr="00D51095">
        <w:rPr>
          <w:rStyle w:val="Refdenotaalpie"/>
        </w:rPr>
        <w:footnoteReference w:id="32"/>
      </w:r>
      <w:r w:rsidR="00092447" w:rsidRPr="00D51095">
        <w:t xml:space="preserve">. A raíz de lo anterior, expresaba su “preocupación por los graves hechos de hostigamiento y violencia contra los defensores de derechos humanos y organizaciones sociales en México”, e instaba al Estado mexicano a “analizar seriamente la situación descrita, a fin de evitar que tales hechos se </w:t>
      </w:r>
      <w:proofErr w:type="spellStart"/>
      <w:r w:rsidR="00092447" w:rsidRPr="00D51095">
        <w:t>repit</w:t>
      </w:r>
      <w:proofErr w:type="spellEnd"/>
      <w:r w:rsidR="00092447" w:rsidRPr="00D51095">
        <w:t>[</w:t>
      </w:r>
      <w:proofErr w:type="spellStart"/>
      <w:r w:rsidR="00092447" w:rsidRPr="00D51095">
        <w:t>iesen</w:t>
      </w:r>
      <w:proofErr w:type="spellEnd"/>
      <w:r w:rsidR="00092447" w:rsidRPr="00D51095">
        <w:t>]”</w:t>
      </w:r>
      <w:r w:rsidR="00092447" w:rsidRPr="00D51095">
        <w:rPr>
          <w:rStyle w:val="Refdenotaalpie"/>
        </w:rPr>
        <w:footnoteReference w:id="33"/>
      </w:r>
      <w:r w:rsidR="00092447" w:rsidRPr="00D51095">
        <w:t>.</w:t>
      </w:r>
    </w:p>
    <w:p w14:paraId="07DB2CAE" w14:textId="234041B2" w:rsidR="00736DAC" w:rsidRPr="004F2666" w:rsidRDefault="00736DAC" w:rsidP="00736DAC">
      <w:pPr>
        <w:tabs>
          <w:tab w:val="left" w:pos="567"/>
        </w:tabs>
        <w:spacing w:line="240" w:lineRule="auto"/>
        <w:rPr>
          <w:lang w:val="es-ES"/>
        </w:rPr>
      </w:pPr>
    </w:p>
    <w:p w14:paraId="4EF94B42" w14:textId="43E2586F" w:rsidR="00B64E26" w:rsidRPr="004F2666" w:rsidRDefault="00736DAC" w:rsidP="00D60EB1">
      <w:pPr>
        <w:numPr>
          <w:ilvl w:val="0"/>
          <w:numId w:val="4"/>
        </w:numPr>
        <w:tabs>
          <w:tab w:val="left" w:pos="567"/>
          <w:tab w:val="num" w:pos="1569"/>
          <w:tab w:val="num" w:pos="12305"/>
        </w:tabs>
        <w:spacing w:line="240" w:lineRule="auto"/>
        <w:ind w:left="0" w:firstLine="0"/>
        <w:rPr>
          <w:lang w:val="es-ES"/>
        </w:rPr>
      </w:pPr>
      <w:r w:rsidRPr="004F2666">
        <w:rPr>
          <w:lang w:val="es-ES"/>
        </w:rPr>
        <w:t>En esta misma línea,</w:t>
      </w:r>
      <w:r w:rsidR="00417BF9" w:rsidRPr="004F2666">
        <w:rPr>
          <w:lang w:val="es-ES"/>
        </w:rPr>
        <w:t xml:space="preserve"> </w:t>
      </w:r>
      <w:r w:rsidR="00303553" w:rsidRPr="004F2666">
        <w:rPr>
          <w:lang w:val="es-ES"/>
        </w:rPr>
        <w:t xml:space="preserve">la </w:t>
      </w:r>
      <w:r w:rsidR="00103AE3" w:rsidRPr="004F2666">
        <w:rPr>
          <w:lang w:val="es-ES"/>
        </w:rPr>
        <w:t>Oficina</w:t>
      </w:r>
      <w:r w:rsidR="00417BF9" w:rsidRPr="004F2666">
        <w:rPr>
          <w:lang w:val="es-ES"/>
        </w:rPr>
        <w:t xml:space="preserve"> en México</w:t>
      </w:r>
      <w:r w:rsidR="00103AE3" w:rsidRPr="004F2666">
        <w:rPr>
          <w:lang w:val="es-ES"/>
        </w:rPr>
        <w:t xml:space="preserve"> del Alto Comisionado de las Naciones Unidas para</w:t>
      </w:r>
      <w:r w:rsidR="00417BF9" w:rsidRPr="004F2666">
        <w:rPr>
          <w:lang w:val="es-ES"/>
        </w:rPr>
        <w:t xml:space="preserve"> los Derechos Humanos, </w:t>
      </w:r>
      <w:r w:rsidRPr="004F2666">
        <w:rPr>
          <w:lang w:val="es-ES"/>
        </w:rPr>
        <w:t>indicó que</w:t>
      </w:r>
      <w:r w:rsidR="00092447" w:rsidRPr="004F2666">
        <w:rPr>
          <w:lang w:val="es-ES"/>
        </w:rPr>
        <w:t>,</w:t>
      </w:r>
      <w:r w:rsidRPr="004F2666">
        <w:rPr>
          <w:lang w:val="es-ES"/>
        </w:rPr>
        <w:t xml:space="preserve"> en </w:t>
      </w:r>
      <w:r w:rsidR="00103AE3" w:rsidRPr="004F2666">
        <w:rPr>
          <w:lang w:val="es-ES"/>
        </w:rPr>
        <w:t>el año 2000</w:t>
      </w:r>
      <w:r w:rsidR="00092447" w:rsidRPr="004F2666">
        <w:rPr>
          <w:lang w:val="es-ES"/>
        </w:rPr>
        <w:t>,</w:t>
      </w:r>
      <w:r w:rsidR="00103AE3" w:rsidRPr="004F2666">
        <w:rPr>
          <w:lang w:val="es-ES"/>
        </w:rPr>
        <w:t xml:space="preserve"> </w:t>
      </w:r>
      <w:r w:rsidR="00354DF3">
        <w:rPr>
          <w:lang w:val="es-ES"/>
        </w:rPr>
        <w:t xml:space="preserve">las </w:t>
      </w:r>
      <w:r w:rsidR="0079556F" w:rsidRPr="001879D7">
        <w:t xml:space="preserve">defensoras </w:t>
      </w:r>
      <w:r w:rsidR="0079556F">
        <w:t xml:space="preserve">y defensores </w:t>
      </w:r>
      <w:r w:rsidR="00417BF9" w:rsidRPr="004F2666">
        <w:rPr>
          <w:lang w:val="es-ES"/>
        </w:rPr>
        <w:t xml:space="preserve">de derechos humanos </w:t>
      </w:r>
      <w:r w:rsidR="00303553" w:rsidRPr="004F2666">
        <w:rPr>
          <w:lang w:val="es-ES"/>
        </w:rPr>
        <w:t>sufrían</w:t>
      </w:r>
      <w:r w:rsidR="00103AE3" w:rsidRPr="004F2666">
        <w:rPr>
          <w:lang w:val="es-ES"/>
        </w:rPr>
        <w:t xml:space="preserve"> una “serie de</w:t>
      </w:r>
      <w:r w:rsidR="00B64E26" w:rsidRPr="004F2666">
        <w:rPr>
          <w:lang w:val="es-ES"/>
        </w:rPr>
        <w:t xml:space="preserve"> </w:t>
      </w:r>
      <w:r w:rsidR="00103AE3" w:rsidRPr="004F2666">
        <w:rPr>
          <w:lang w:val="es-ES"/>
        </w:rPr>
        <w:t>viol</w:t>
      </w:r>
      <w:r w:rsidR="00303553" w:rsidRPr="004F2666">
        <w:rPr>
          <w:lang w:val="es-ES"/>
        </w:rPr>
        <w:t>aciones a los derechos humanos”, tales como “</w:t>
      </w:r>
      <w:r w:rsidR="00103AE3" w:rsidRPr="004F2666">
        <w:rPr>
          <w:lang w:val="es-ES"/>
        </w:rPr>
        <w:t>la limitación en la prot</w:t>
      </w:r>
      <w:r w:rsidR="00354DF3">
        <w:rPr>
          <w:lang w:val="es-ES"/>
        </w:rPr>
        <w:t>ección y garantías jurídicas e i</w:t>
      </w:r>
      <w:r w:rsidR="00103AE3" w:rsidRPr="004F2666">
        <w:rPr>
          <w:lang w:val="es-ES"/>
        </w:rPr>
        <w:t>nstitucionales de los derechos humanos</w:t>
      </w:r>
      <w:r w:rsidR="00354DF3">
        <w:rPr>
          <w:lang w:val="es-ES"/>
        </w:rPr>
        <w:t>”</w:t>
      </w:r>
      <w:r w:rsidR="00103AE3" w:rsidRPr="004F2666">
        <w:rPr>
          <w:rStyle w:val="Refdenotaalpie"/>
          <w:lang w:val="es-ES"/>
        </w:rPr>
        <w:footnoteReference w:id="34"/>
      </w:r>
      <w:r w:rsidR="00103AE3" w:rsidRPr="004F2666">
        <w:rPr>
          <w:lang w:val="es-ES"/>
        </w:rPr>
        <w:t>.</w:t>
      </w:r>
      <w:r w:rsidR="00092447" w:rsidRPr="004F2666">
        <w:rPr>
          <w:lang w:val="es-ES"/>
        </w:rPr>
        <w:t xml:space="preserve"> </w:t>
      </w:r>
      <w:r w:rsidR="002C6FEE" w:rsidRPr="004F2666">
        <w:rPr>
          <w:lang w:val="es-ES"/>
        </w:rPr>
        <w:t>Por su parte, l</w:t>
      </w:r>
      <w:r w:rsidR="00B64E26" w:rsidRPr="004F2666">
        <w:rPr>
          <w:lang w:val="es-ES"/>
        </w:rPr>
        <w:t xml:space="preserve">a Relatora Especial sobre las ejecuciones extrajudiciales, sumarias o arbitrarias de Naciones Unidas </w:t>
      </w:r>
      <w:r w:rsidR="002C6FEE" w:rsidRPr="004F2666">
        <w:rPr>
          <w:lang w:val="es-ES"/>
        </w:rPr>
        <w:t xml:space="preserve">presentó en un informe del año 2000 </w:t>
      </w:r>
      <w:r w:rsidR="00B64E26" w:rsidRPr="004F2666">
        <w:rPr>
          <w:lang w:val="es-ES"/>
        </w:rPr>
        <w:t xml:space="preserve">su preocupación por las informaciones de amenazas de muerte o ejecuciones extrajudiciales de que son víctimas </w:t>
      </w:r>
      <w:r w:rsidR="00303553" w:rsidRPr="004F2666">
        <w:rPr>
          <w:lang w:val="es-ES"/>
        </w:rPr>
        <w:t>“l</w:t>
      </w:r>
      <w:r w:rsidR="00B64E26" w:rsidRPr="004F2666">
        <w:rPr>
          <w:lang w:val="es-ES"/>
        </w:rPr>
        <w:t xml:space="preserve">os activistas de los derechos humanos, los abogados, los animadores comunitarios, los maestros, los periodistas y otras personas que realizan actividades destinadas a la promoción de los derechos humanos o dar a conocer las violaciones de los derechos </w:t>
      </w:r>
      <w:r w:rsidR="00B64E26" w:rsidRPr="004F2666">
        <w:rPr>
          <w:lang w:val="es-ES"/>
        </w:rPr>
        <w:lastRenderedPageBreak/>
        <w:t>humanos</w:t>
      </w:r>
      <w:r w:rsidR="00303553" w:rsidRPr="004F2666">
        <w:rPr>
          <w:lang w:val="es-ES"/>
        </w:rPr>
        <w:t>”</w:t>
      </w:r>
      <w:r w:rsidR="00B64E26" w:rsidRPr="004F2666">
        <w:rPr>
          <w:lang w:val="es-ES"/>
        </w:rPr>
        <w:t xml:space="preserve"> e indicó que</w:t>
      </w:r>
      <w:r w:rsidR="00354DF3">
        <w:rPr>
          <w:lang w:val="es-ES"/>
        </w:rPr>
        <w:t>,</w:t>
      </w:r>
      <w:r w:rsidR="00B64E26" w:rsidRPr="004F2666">
        <w:rPr>
          <w:lang w:val="es-ES"/>
        </w:rPr>
        <w:t xml:space="preserve"> durante su mandato</w:t>
      </w:r>
      <w:r w:rsidR="00354DF3">
        <w:rPr>
          <w:lang w:val="es-ES"/>
        </w:rPr>
        <w:t>,</w:t>
      </w:r>
      <w:r w:rsidR="00B64E26" w:rsidRPr="004F2666">
        <w:rPr>
          <w:lang w:val="es-ES"/>
        </w:rPr>
        <w:t xml:space="preserve"> realizó dos llamamientos urgentes al Estado mexicano en favor de personas que realizaban actividades pacíficas de defensa de los derechos humanos. En esta misma línea, la Relatora Especial observó que </w:t>
      </w:r>
      <w:r w:rsidR="00303553" w:rsidRPr="004F2666">
        <w:rPr>
          <w:lang w:val="es-ES"/>
        </w:rPr>
        <w:t>“</w:t>
      </w:r>
      <w:r w:rsidR="00B64E26" w:rsidRPr="004F2666">
        <w:rPr>
          <w:lang w:val="es-ES"/>
        </w:rPr>
        <w:t>las autoridades mexicanas competentes se mostraban especialmente reticentes en cuanto a exigir responsabilidades a los miembros de las fuerzas armadas por ejecuciones extrajudiciales y otras graves violaciones de los derechos humanos</w:t>
      </w:r>
      <w:r w:rsidR="00303553" w:rsidRPr="004F2666">
        <w:rPr>
          <w:lang w:val="es-ES"/>
        </w:rPr>
        <w:t>”</w:t>
      </w:r>
      <w:r w:rsidR="00B64E26" w:rsidRPr="004F2666">
        <w:rPr>
          <w:rStyle w:val="Refdenotaalpie"/>
          <w:lang w:val="es-ES"/>
        </w:rPr>
        <w:footnoteReference w:id="35"/>
      </w:r>
      <w:r w:rsidR="00B64E26" w:rsidRPr="004F2666">
        <w:rPr>
          <w:lang w:val="es-ES"/>
        </w:rPr>
        <w:t>.</w:t>
      </w:r>
      <w:r w:rsidR="002C6FEE" w:rsidRPr="004F2666">
        <w:rPr>
          <w:lang w:val="es-ES"/>
        </w:rPr>
        <w:t xml:space="preserve"> La Relatora también </w:t>
      </w:r>
      <w:r w:rsidR="00E7237C">
        <w:rPr>
          <w:lang w:val="es-ES"/>
        </w:rPr>
        <w:t>destacó,</w:t>
      </w:r>
      <w:r w:rsidR="00E7237C" w:rsidRPr="004F2666">
        <w:rPr>
          <w:lang w:val="es-ES"/>
        </w:rPr>
        <w:t xml:space="preserve"> </w:t>
      </w:r>
      <w:r w:rsidR="002C6FEE" w:rsidRPr="004F2666">
        <w:rPr>
          <w:lang w:val="es-ES"/>
        </w:rPr>
        <w:t>en un informe de principios del año 2003</w:t>
      </w:r>
      <w:r w:rsidR="002C6FEE" w:rsidRPr="004F2666">
        <w:rPr>
          <w:rStyle w:val="Refdenotaalpie"/>
          <w:lang w:val="es-ES"/>
        </w:rPr>
        <w:footnoteReference w:id="36"/>
      </w:r>
      <w:r w:rsidR="00E7237C">
        <w:rPr>
          <w:lang w:val="es-ES"/>
        </w:rPr>
        <w:t>,</w:t>
      </w:r>
      <w:r w:rsidR="002C6FEE" w:rsidRPr="004F2666">
        <w:rPr>
          <w:lang w:val="es-ES"/>
        </w:rPr>
        <w:t xml:space="preserve"> su preocupación por el gran número de muertes de periodistas, jueces, abogados, defensores de los derechos humanos y representantes sindicales o indígena en México</w:t>
      </w:r>
      <w:r w:rsidR="002C6FEE" w:rsidRPr="004F2666">
        <w:rPr>
          <w:rStyle w:val="Refdenotaalpie"/>
          <w:lang w:val="es-ES"/>
        </w:rPr>
        <w:footnoteReference w:id="37"/>
      </w:r>
      <w:r w:rsidR="002C6FEE" w:rsidRPr="004F2666">
        <w:rPr>
          <w:lang w:val="es-ES"/>
        </w:rPr>
        <w:t>.</w:t>
      </w:r>
    </w:p>
    <w:p w14:paraId="061ADBDA" w14:textId="3448E483" w:rsidR="00B64E26" w:rsidRPr="004F2666" w:rsidRDefault="00B64E26" w:rsidP="00B64E26">
      <w:pPr>
        <w:tabs>
          <w:tab w:val="left" w:pos="567"/>
        </w:tabs>
        <w:spacing w:line="240" w:lineRule="auto"/>
        <w:rPr>
          <w:lang w:val="es-ES"/>
        </w:rPr>
      </w:pPr>
    </w:p>
    <w:p w14:paraId="41255A86" w14:textId="1C26D387" w:rsidR="00AD766B" w:rsidRPr="009F156B" w:rsidRDefault="00382B67" w:rsidP="00BB25AB">
      <w:pPr>
        <w:numPr>
          <w:ilvl w:val="0"/>
          <w:numId w:val="4"/>
        </w:numPr>
        <w:tabs>
          <w:tab w:val="left" w:pos="567"/>
          <w:tab w:val="num" w:pos="1569"/>
          <w:tab w:val="num" w:pos="12305"/>
        </w:tabs>
        <w:spacing w:line="240" w:lineRule="auto"/>
        <w:ind w:left="0" w:firstLine="0"/>
        <w:rPr>
          <w:rFonts w:eastAsiaTheme="minorHAnsi"/>
          <w:b/>
        </w:rPr>
      </w:pPr>
      <w:r w:rsidRPr="009F156B">
        <w:rPr>
          <w:rFonts w:eastAsiaTheme="minorHAnsi"/>
        </w:rPr>
        <w:t>Asimismo</w:t>
      </w:r>
      <w:r w:rsidR="0066140D" w:rsidRPr="009F156B">
        <w:rPr>
          <w:rFonts w:eastAsiaTheme="minorHAnsi"/>
        </w:rPr>
        <w:t>, e</w:t>
      </w:r>
      <w:r w:rsidR="00967D40" w:rsidRPr="009F156B">
        <w:rPr>
          <w:rFonts w:eastAsiaTheme="minorHAnsi"/>
        </w:rPr>
        <w:t>n lo que respecta a la situación actual de los y las defensoras derechos humanos</w:t>
      </w:r>
      <w:r w:rsidR="00354DF3" w:rsidRPr="009F156B">
        <w:rPr>
          <w:rFonts w:eastAsiaTheme="minorHAnsi"/>
        </w:rPr>
        <w:t xml:space="preserve"> en México</w:t>
      </w:r>
      <w:r w:rsidR="00967D40" w:rsidRPr="009F156B">
        <w:rPr>
          <w:rFonts w:eastAsiaTheme="minorHAnsi"/>
        </w:rPr>
        <w:t>, el Tribunal advierte que</w:t>
      </w:r>
      <w:r w:rsidR="000F6C6F" w:rsidRPr="009F156B">
        <w:rPr>
          <w:rFonts w:eastAsiaTheme="minorHAnsi"/>
        </w:rPr>
        <w:t xml:space="preserve"> el Relator Especial sobre la situación de personas defensoras </w:t>
      </w:r>
      <w:r w:rsidR="00967D40" w:rsidRPr="009F156B">
        <w:rPr>
          <w:rFonts w:eastAsiaTheme="minorHAnsi"/>
        </w:rPr>
        <w:t xml:space="preserve">señaló </w:t>
      </w:r>
      <w:r w:rsidR="000F6C6F" w:rsidRPr="009F156B">
        <w:rPr>
          <w:rFonts w:eastAsiaTheme="minorHAnsi"/>
        </w:rPr>
        <w:t>tras su visita a México en 2017</w:t>
      </w:r>
      <w:r w:rsidR="000F6C6F" w:rsidRPr="009F156B">
        <w:rPr>
          <w:rStyle w:val="Refdenotaalpie"/>
          <w:rFonts w:eastAsiaTheme="minorHAnsi" w:cs="Arial"/>
          <w:lang w:eastAsia="en-US"/>
        </w:rPr>
        <w:t xml:space="preserve"> </w:t>
      </w:r>
      <w:r w:rsidR="000F6C6F" w:rsidRPr="009F156B">
        <w:rPr>
          <w:rFonts w:eastAsiaTheme="minorHAnsi"/>
        </w:rPr>
        <w:t>que</w:t>
      </w:r>
      <w:r w:rsidR="00967D40" w:rsidRPr="009F156B">
        <w:rPr>
          <w:rFonts w:eastAsiaTheme="minorHAnsi"/>
        </w:rPr>
        <w:t>,</w:t>
      </w:r>
      <w:r w:rsidR="000F6C6F" w:rsidRPr="009F156B">
        <w:rPr>
          <w:rFonts w:eastAsiaTheme="minorHAnsi"/>
        </w:rPr>
        <w:t xml:space="preserve"> </w:t>
      </w:r>
      <w:r w:rsidR="00736DAC" w:rsidRPr="009F156B">
        <w:rPr>
          <w:rFonts w:eastAsiaTheme="minorHAnsi"/>
        </w:rPr>
        <w:t>“pese</w:t>
      </w:r>
      <w:r w:rsidR="00E87467" w:rsidRPr="009F156B">
        <w:rPr>
          <w:rFonts w:eastAsiaTheme="minorHAnsi"/>
        </w:rPr>
        <w:t xml:space="preserve"> </w:t>
      </w:r>
      <w:r w:rsidR="00736DAC" w:rsidRPr="009F156B">
        <w:rPr>
          <w:rFonts w:eastAsiaTheme="minorHAnsi"/>
        </w:rPr>
        <w:t>a</w:t>
      </w:r>
      <w:r w:rsidR="00E87467" w:rsidRPr="009F156B">
        <w:rPr>
          <w:rFonts w:eastAsiaTheme="minorHAnsi"/>
        </w:rPr>
        <w:t xml:space="preserve"> </w:t>
      </w:r>
      <w:r w:rsidR="00736DAC" w:rsidRPr="009F156B">
        <w:rPr>
          <w:rFonts w:eastAsiaTheme="minorHAnsi"/>
        </w:rPr>
        <w:t>que</w:t>
      </w:r>
      <w:r w:rsidR="00E87467" w:rsidRPr="009F156B">
        <w:rPr>
          <w:rFonts w:eastAsiaTheme="minorHAnsi"/>
        </w:rPr>
        <w:t xml:space="preserve"> </w:t>
      </w:r>
      <w:r w:rsidR="00736DAC" w:rsidRPr="009F156B">
        <w:rPr>
          <w:rFonts w:eastAsiaTheme="minorHAnsi"/>
        </w:rPr>
        <w:t>se</w:t>
      </w:r>
      <w:r w:rsidR="00E87467" w:rsidRPr="009F156B">
        <w:rPr>
          <w:rFonts w:eastAsiaTheme="minorHAnsi"/>
        </w:rPr>
        <w:t xml:space="preserve"> </w:t>
      </w:r>
      <w:r w:rsidR="00736DAC" w:rsidRPr="009F156B">
        <w:rPr>
          <w:rFonts w:eastAsiaTheme="minorHAnsi"/>
        </w:rPr>
        <w:t>han</w:t>
      </w:r>
      <w:r w:rsidR="00E87467" w:rsidRPr="009F156B">
        <w:rPr>
          <w:rFonts w:eastAsiaTheme="minorHAnsi"/>
        </w:rPr>
        <w:t xml:space="preserve"> </w:t>
      </w:r>
      <w:r w:rsidR="00736DAC" w:rsidRPr="009F156B">
        <w:rPr>
          <w:rFonts w:eastAsiaTheme="minorHAnsi"/>
        </w:rPr>
        <w:t>logrado</w:t>
      </w:r>
      <w:r w:rsidR="00E87467" w:rsidRPr="009F156B">
        <w:rPr>
          <w:rFonts w:eastAsiaTheme="minorHAnsi"/>
        </w:rPr>
        <w:t xml:space="preserve"> </w:t>
      </w:r>
      <w:r w:rsidR="00736DAC" w:rsidRPr="009F156B">
        <w:rPr>
          <w:rFonts w:eastAsiaTheme="minorHAnsi"/>
        </w:rPr>
        <w:t>ciertos</w:t>
      </w:r>
      <w:r w:rsidR="00E87467" w:rsidRPr="009F156B">
        <w:rPr>
          <w:rFonts w:eastAsiaTheme="minorHAnsi"/>
        </w:rPr>
        <w:t xml:space="preserve"> </w:t>
      </w:r>
      <w:r w:rsidR="00736DAC" w:rsidRPr="009F156B">
        <w:rPr>
          <w:rFonts w:eastAsiaTheme="minorHAnsi"/>
        </w:rPr>
        <w:t>progresos,</w:t>
      </w:r>
      <w:r w:rsidR="00E87467" w:rsidRPr="009F156B">
        <w:rPr>
          <w:rFonts w:eastAsiaTheme="minorHAnsi"/>
        </w:rPr>
        <w:t xml:space="preserve"> </w:t>
      </w:r>
      <w:r w:rsidR="00736DAC" w:rsidRPr="009F156B">
        <w:rPr>
          <w:rFonts w:eastAsiaTheme="minorHAnsi"/>
        </w:rPr>
        <w:t>el</w:t>
      </w:r>
      <w:r w:rsidR="00E87467" w:rsidRPr="009F156B">
        <w:rPr>
          <w:rFonts w:eastAsiaTheme="minorHAnsi"/>
        </w:rPr>
        <w:t xml:space="preserve"> </w:t>
      </w:r>
      <w:r w:rsidR="00736DAC" w:rsidRPr="009F156B">
        <w:rPr>
          <w:rFonts w:eastAsiaTheme="minorHAnsi"/>
        </w:rPr>
        <w:t>nivel</w:t>
      </w:r>
      <w:r w:rsidR="00E87467" w:rsidRPr="009F156B">
        <w:rPr>
          <w:rFonts w:eastAsiaTheme="minorHAnsi"/>
        </w:rPr>
        <w:t xml:space="preserve"> </w:t>
      </w:r>
      <w:r w:rsidR="00736DAC" w:rsidRPr="009F156B">
        <w:rPr>
          <w:rFonts w:eastAsiaTheme="minorHAnsi"/>
        </w:rPr>
        <w:t>de</w:t>
      </w:r>
      <w:r w:rsidR="00E87467" w:rsidRPr="009F156B">
        <w:rPr>
          <w:rFonts w:eastAsiaTheme="minorHAnsi"/>
        </w:rPr>
        <w:t xml:space="preserve"> </w:t>
      </w:r>
      <w:r w:rsidR="00736DAC" w:rsidRPr="009F156B">
        <w:rPr>
          <w:rFonts w:eastAsiaTheme="minorHAnsi"/>
        </w:rPr>
        <w:t>violencia</w:t>
      </w:r>
      <w:r w:rsidR="00E87467" w:rsidRPr="009F156B">
        <w:rPr>
          <w:rFonts w:eastAsiaTheme="minorHAnsi"/>
        </w:rPr>
        <w:t xml:space="preserve"> </w:t>
      </w:r>
      <w:r w:rsidR="00736DAC" w:rsidRPr="009F156B">
        <w:rPr>
          <w:rFonts w:eastAsiaTheme="minorHAnsi"/>
        </w:rPr>
        <w:t>en</w:t>
      </w:r>
      <w:r w:rsidR="00E87467" w:rsidRPr="009F156B">
        <w:rPr>
          <w:rFonts w:eastAsiaTheme="minorHAnsi"/>
        </w:rPr>
        <w:t xml:space="preserve"> </w:t>
      </w:r>
      <w:r w:rsidR="00736DAC" w:rsidRPr="009F156B">
        <w:rPr>
          <w:rFonts w:eastAsiaTheme="minorHAnsi"/>
        </w:rPr>
        <w:t>México</w:t>
      </w:r>
      <w:r w:rsidR="00E87467" w:rsidRPr="009F156B">
        <w:rPr>
          <w:rFonts w:eastAsiaTheme="minorHAnsi"/>
        </w:rPr>
        <w:t xml:space="preserve"> </w:t>
      </w:r>
      <w:r w:rsidR="00736DAC" w:rsidRPr="009F156B">
        <w:rPr>
          <w:rFonts w:eastAsiaTheme="minorHAnsi"/>
        </w:rPr>
        <w:t>s</w:t>
      </w:r>
      <w:r w:rsidR="00967D40" w:rsidRPr="009F156B">
        <w:rPr>
          <w:rFonts w:eastAsiaTheme="minorHAnsi"/>
        </w:rPr>
        <w:t>[</w:t>
      </w:r>
      <w:proofErr w:type="spellStart"/>
      <w:r w:rsidR="00967D40" w:rsidRPr="009F156B">
        <w:rPr>
          <w:rFonts w:eastAsiaTheme="minorHAnsi"/>
        </w:rPr>
        <w:t>eguía</w:t>
      </w:r>
      <w:proofErr w:type="spellEnd"/>
      <w:r w:rsidR="00967D40" w:rsidRPr="009F156B">
        <w:rPr>
          <w:rFonts w:eastAsiaTheme="minorHAnsi"/>
        </w:rPr>
        <w:t>]</w:t>
      </w:r>
      <w:r w:rsidR="00E87467" w:rsidRPr="009F156B">
        <w:rPr>
          <w:rFonts w:eastAsiaTheme="minorHAnsi"/>
        </w:rPr>
        <w:t xml:space="preserve"> </w:t>
      </w:r>
      <w:r w:rsidR="00736DAC" w:rsidRPr="009F156B">
        <w:rPr>
          <w:rFonts w:eastAsiaTheme="minorHAnsi"/>
        </w:rPr>
        <w:t>siendo</w:t>
      </w:r>
      <w:r w:rsidR="00E87467" w:rsidRPr="009F156B">
        <w:rPr>
          <w:rFonts w:eastAsiaTheme="minorHAnsi"/>
        </w:rPr>
        <w:t xml:space="preserve"> </w:t>
      </w:r>
      <w:r w:rsidR="00736DAC" w:rsidRPr="009F156B">
        <w:rPr>
          <w:rFonts w:eastAsiaTheme="minorHAnsi"/>
        </w:rPr>
        <w:t>alarmantemente</w:t>
      </w:r>
      <w:r w:rsidR="00E87467" w:rsidRPr="009F156B">
        <w:rPr>
          <w:rFonts w:eastAsiaTheme="minorHAnsi"/>
        </w:rPr>
        <w:t xml:space="preserve"> </w:t>
      </w:r>
      <w:r w:rsidR="00736DAC" w:rsidRPr="009F156B">
        <w:rPr>
          <w:rFonts w:eastAsiaTheme="minorHAnsi"/>
        </w:rPr>
        <w:t>alto,</w:t>
      </w:r>
      <w:r w:rsidR="00E87467" w:rsidRPr="009F156B">
        <w:rPr>
          <w:rFonts w:eastAsiaTheme="minorHAnsi"/>
        </w:rPr>
        <w:t xml:space="preserve"> </w:t>
      </w:r>
      <w:r w:rsidR="00736DAC" w:rsidRPr="009F156B">
        <w:rPr>
          <w:rFonts w:eastAsiaTheme="minorHAnsi"/>
        </w:rPr>
        <w:t>lo</w:t>
      </w:r>
      <w:r w:rsidR="00E87467" w:rsidRPr="009F156B">
        <w:rPr>
          <w:rFonts w:eastAsiaTheme="minorHAnsi"/>
        </w:rPr>
        <w:t xml:space="preserve"> </w:t>
      </w:r>
      <w:r w:rsidR="00736DAC" w:rsidRPr="009F156B">
        <w:rPr>
          <w:rFonts w:eastAsiaTheme="minorHAnsi"/>
        </w:rPr>
        <w:t>cual</w:t>
      </w:r>
      <w:r w:rsidR="00E87467" w:rsidRPr="009F156B">
        <w:rPr>
          <w:rFonts w:eastAsiaTheme="minorHAnsi"/>
        </w:rPr>
        <w:t xml:space="preserve"> </w:t>
      </w:r>
      <w:r w:rsidR="00736DAC" w:rsidRPr="009F156B">
        <w:rPr>
          <w:rFonts w:eastAsiaTheme="minorHAnsi"/>
        </w:rPr>
        <w:t>afecta</w:t>
      </w:r>
      <w:r w:rsidR="00967D40" w:rsidRPr="009F156B">
        <w:rPr>
          <w:rFonts w:eastAsiaTheme="minorHAnsi"/>
        </w:rPr>
        <w:t>[</w:t>
      </w:r>
      <w:proofErr w:type="spellStart"/>
      <w:r w:rsidR="00967D40" w:rsidRPr="009F156B">
        <w:rPr>
          <w:rFonts w:eastAsiaTheme="minorHAnsi"/>
        </w:rPr>
        <w:t>ba</w:t>
      </w:r>
      <w:proofErr w:type="spellEnd"/>
      <w:r w:rsidR="00967D40" w:rsidRPr="009F156B">
        <w:rPr>
          <w:rFonts w:eastAsiaTheme="minorHAnsi"/>
        </w:rPr>
        <w:t>]</w:t>
      </w:r>
      <w:r w:rsidR="00E87467" w:rsidRPr="009F156B">
        <w:rPr>
          <w:rFonts w:eastAsiaTheme="minorHAnsi"/>
        </w:rPr>
        <w:t xml:space="preserve"> </w:t>
      </w:r>
      <w:r w:rsidR="00736DAC" w:rsidRPr="009F156B">
        <w:rPr>
          <w:rFonts w:eastAsiaTheme="minorHAnsi"/>
        </w:rPr>
        <w:t>a</w:t>
      </w:r>
      <w:r w:rsidR="00E87467" w:rsidRPr="009F156B">
        <w:rPr>
          <w:rFonts w:eastAsiaTheme="minorHAnsi"/>
        </w:rPr>
        <w:t xml:space="preserve"> </w:t>
      </w:r>
      <w:r w:rsidR="00736DAC" w:rsidRPr="009F156B">
        <w:rPr>
          <w:rFonts w:eastAsiaTheme="minorHAnsi"/>
        </w:rPr>
        <w:t>la</w:t>
      </w:r>
      <w:r w:rsidR="00E87467" w:rsidRPr="009F156B">
        <w:rPr>
          <w:rFonts w:eastAsiaTheme="minorHAnsi"/>
        </w:rPr>
        <w:t xml:space="preserve"> </w:t>
      </w:r>
      <w:r w:rsidR="00736DAC" w:rsidRPr="009F156B">
        <w:rPr>
          <w:rFonts w:eastAsiaTheme="minorHAnsi"/>
        </w:rPr>
        <w:t>población</w:t>
      </w:r>
      <w:r w:rsidR="00E87467" w:rsidRPr="009F156B">
        <w:rPr>
          <w:rFonts w:eastAsiaTheme="minorHAnsi"/>
        </w:rPr>
        <w:t xml:space="preserve"> </w:t>
      </w:r>
      <w:r w:rsidR="00736DAC" w:rsidRPr="009F156B">
        <w:rPr>
          <w:rFonts w:eastAsiaTheme="minorHAnsi"/>
        </w:rPr>
        <w:t>en</w:t>
      </w:r>
      <w:r w:rsidR="00E87467" w:rsidRPr="009F156B">
        <w:rPr>
          <w:rFonts w:eastAsiaTheme="minorHAnsi"/>
        </w:rPr>
        <w:t xml:space="preserve"> </w:t>
      </w:r>
      <w:r w:rsidR="00736DAC" w:rsidRPr="009F156B">
        <w:rPr>
          <w:rFonts w:eastAsiaTheme="minorHAnsi"/>
        </w:rPr>
        <w:t>general”</w:t>
      </w:r>
      <w:r w:rsidR="00736DAC" w:rsidRPr="009F156B">
        <w:rPr>
          <w:rStyle w:val="Refdenotaalpie"/>
          <w:rFonts w:eastAsiaTheme="minorHAnsi" w:cs="Arial"/>
          <w:lang w:eastAsia="en-US"/>
        </w:rPr>
        <w:footnoteReference w:id="38"/>
      </w:r>
      <w:r w:rsidR="00736DAC" w:rsidRPr="009F156B">
        <w:rPr>
          <w:rFonts w:eastAsiaTheme="minorHAnsi"/>
        </w:rPr>
        <w:t xml:space="preserve">. Asimismo, indicó que </w:t>
      </w:r>
      <w:r w:rsidR="00967D40" w:rsidRPr="009F156B">
        <w:rPr>
          <w:rFonts w:eastAsiaTheme="minorHAnsi"/>
        </w:rPr>
        <w:t>l</w:t>
      </w:r>
      <w:r w:rsidR="00736DAC" w:rsidRPr="009F156B">
        <w:rPr>
          <w:rFonts w:eastAsiaTheme="minorHAnsi"/>
        </w:rPr>
        <w:t>a</w:t>
      </w:r>
      <w:r w:rsidR="00E87467" w:rsidRPr="009F156B">
        <w:rPr>
          <w:rFonts w:eastAsiaTheme="minorHAnsi"/>
        </w:rPr>
        <w:t xml:space="preserve"> </w:t>
      </w:r>
      <w:r w:rsidR="00736DAC" w:rsidRPr="009F156B">
        <w:rPr>
          <w:rFonts w:eastAsiaTheme="minorHAnsi"/>
        </w:rPr>
        <w:t>mayoría</w:t>
      </w:r>
      <w:r w:rsidR="00E87467" w:rsidRPr="009F156B">
        <w:rPr>
          <w:rFonts w:eastAsiaTheme="minorHAnsi"/>
        </w:rPr>
        <w:t xml:space="preserve"> </w:t>
      </w:r>
      <w:r w:rsidR="00736DAC" w:rsidRPr="009F156B">
        <w:rPr>
          <w:rFonts w:eastAsiaTheme="minorHAnsi"/>
        </w:rPr>
        <w:t>de</w:t>
      </w:r>
      <w:r w:rsidR="00E87467" w:rsidRPr="009F156B">
        <w:rPr>
          <w:rFonts w:eastAsiaTheme="minorHAnsi"/>
        </w:rPr>
        <w:t xml:space="preserve"> </w:t>
      </w:r>
      <w:r w:rsidR="00736DAC" w:rsidRPr="009F156B">
        <w:rPr>
          <w:rFonts w:eastAsiaTheme="minorHAnsi"/>
        </w:rPr>
        <w:t>los</w:t>
      </w:r>
      <w:r w:rsidR="00E87467" w:rsidRPr="009F156B">
        <w:rPr>
          <w:rFonts w:eastAsiaTheme="minorHAnsi"/>
        </w:rPr>
        <w:t xml:space="preserve"> </w:t>
      </w:r>
      <w:r w:rsidR="009F156B">
        <w:rPr>
          <w:rFonts w:eastAsiaTheme="minorHAnsi"/>
        </w:rPr>
        <w:t>y las defensora</w:t>
      </w:r>
      <w:r w:rsidR="00736DAC" w:rsidRPr="009F156B">
        <w:rPr>
          <w:rFonts w:eastAsiaTheme="minorHAnsi"/>
        </w:rPr>
        <w:t>s</w:t>
      </w:r>
      <w:r w:rsidR="00E87467" w:rsidRPr="009F156B">
        <w:rPr>
          <w:rFonts w:eastAsiaTheme="minorHAnsi"/>
        </w:rPr>
        <w:t xml:space="preserve"> </w:t>
      </w:r>
      <w:r w:rsidR="00736DAC" w:rsidRPr="009F156B">
        <w:rPr>
          <w:rFonts w:eastAsiaTheme="minorHAnsi"/>
        </w:rPr>
        <w:t>de</w:t>
      </w:r>
      <w:r w:rsidR="00E87467" w:rsidRPr="009F156B">
        <w:rPr>
          <w:rFonts w:eastAsiaTheme="minorHAnsi"/>
        </w:rPr>
        <w:t xml:space="preserve"> </w:t>
      </w:r>
      <w:r w:rsidR="00736DAC" w:rsidRPr="009F156B">
        <w:rPr>
          <w:rFonts w:eastAsiaTheme="minorHAnsi"/>
        </w:rPr>
        <w:t>derechos</w:t>
      </w:r>
      <w:r w:rsidR="00E87467" w:rsidRPr="009F156B">
        <w:rPr>
          <w:rFonts w:eastAsiaTheme="minorHAnsi"/>
        </w:rPr>
        <w:t xml:space="preserve"> </w:t>
      </w:r>
      <w:r w:rsidR="00736DAC" w:rsidRPr="009F156B">
        <w:rPr>
          <w:rFonts w:eastAsiaTheme="minorHAnsi"/>
        </w:rPr>
        <w:t>humanos</w:t>
      </w:r>
      <w:r w:rsidR="00E87467" w:rsidRPr="009F156B">
        <w:rPr>
          <w:rFonts w:eastAsiaTheme="minorHAnsi"/>
        </w:rPr>
        <w:t xml:space="preserve"> </w:t>
      </w:r>
      <w:r w:rsidR="00736DAC" w:rsidRPr="009F156B">
        <w:rPr>
          <w:rFonts w:eastAsiaTheme="minorHAnsi"/>
        </w:rPr>
        <w:t>con</w:t>
      </w:r>
      <w:r w:rsidR="00E87467" w:rsidRPr="009F156B">
        <w:rPr>
          <w:rFonts w:eastAsiaTheme="minorHAnsi"/>
        </w:rPr>
        <w:t xml:space="preserve"> </w:t>
      </w:r>
      <w:r w:rsidR="00736DAC" w:rsidRPr="009F156B">
        <w:rPr>
          <w:rFonts w:eastAsiaTheme="minorHAnsi"/>
        </w:rPr>
        <w:t>los</w:t>
      </w:r>
      <w:r w:rsidR="00E87467" w:rsidRPr="009F156B">
        <w:rPr>
          <w:rFonts w:eastAsiaTheme="minorHAnsi"/>
        </w:rPr>
        <w:t xml:space="preserve"> </w:t>
      </w:r>
      <w:r w:rsidR="00736DAC" w:rsidRPr="009F156B">
        <w:rPr>
          <w:rFonts w:eastAsiaTheme="minorHAnsi"/>
        </w:rPr>
        <w:t>que</w:t>
      </w:r>
      <w:r w:rsidR="00E87467" w:rsidRPr="009F156B">
        <w:rPr>
          <w:rFonts w:eastAsiaTheme="minorHAnsi"/>
        </w:rPr>
        <w:t xml:space="preserve"> </w:t>
      </w:r>
      <w:r w:rsidR="00736DAC" w:rsidRPr="009F156B">
        <w:rPr>
          <w:rFonts w:eastAsiaTheme="minorHAnsi"/>
        </w:rPr>
        <w:t>se</w:t>
      </w:r>
      <w:r w:rsidR="00E87467" w:rsidRPr="009F156B">
        <w:rPr>
          <w:rFonts w:eastAsiaTheme="minorHAnsi"/>
        </w:rPr>
        <w:t xml:space="preserve"> </w:t>
      </w:r>
      <w:r w:rsidR="00967D40" w:rsidRPr="009F156B">
        <w:rPr>
          <w:rFonts w:eastAsiaTheme="minorHAnsi"/>
        </w:rPr>
        <w:t>había reunido</w:t>
      </w:r>
      <w:r w:rsidR="00E87467" w:rsidRPr="009F156B">
        <w:rPr>
          <w:rFonts w:eastAsiaTheme="minorHAnsi"/>
        </w:rPr>
        <w:t xml:space="preserve"> </w:t>
      </w:r>
      <w:r w:rsidR="00736DAC" w:rsidRPr="009F156B">
        <w:rPr>
          <w:rFonts w:eastAsiaTheme="minorHAnsi"/>
        </w:rPr>
        <w:t>durante</w:t>
      </w:r>
      <w:r w:rsidR="00E87467" w:rsidRPr="009F156B">
        <w:rPr>
          <w:rFonts w:eastAsiaTheme="minorHAnsi"/>
        </w:rPr>
        <w:t xml:space="preserve"> </w:t>
      </w:r>
      <w:r w:rsidR="00736DAC" w:rsidRPr="009F156B">
        <w:rPr>
          <w:rFonts w:eastAsiaTheme="minorHAnsi"/>
        </w:rPr>
        <w:t>su</w:t>
      </w:r>
      <w:r w:rsidR="00E87467" w:rsidRPr="009F156B">
        <w:rPr>
          <w:rFonts w:eastAsiaTheme="minorHAnsi"/>
        </w:rPr>
        <w:t xml:space="preserve"> </w:t>
      </w:r>
      <w:r w:rsidR="00736DAC" w:rsidRPr="009F156B">
        <w:rPr>
          <w:rFonts w:eastAsiaTheme="minorHAnsi"/>
        </w:rPr>
        <w:t>visita</w:t>
      </w:r>
      <w:r w:rsidR="00E87467" w:rsidRPr="009F156B">
        <w:rPr>
          <w:rFonts w:eastAsiaTheme="minorHAnsi"/>
        </w:rPr>
        <w:t xml:space="preserve"> </w:t>
      </w:r>
      <w:r w:rsidR="00736DAC" w:rsidRPr="009F156B">
        <w:rPr>
          <w:rFonts w:eastAsiaTheme="minorHAnsi"/>
        </w:rPr>
        <w:t>confirmaron</w:t>
      </w:r>
      <w:r w:rsidR="00E87467" w:rsidRPr="009F156B">
        <w:rPr>
          <w:rFonts w:eastAsiaTheme="minorHAnsi"/>
        </w:rPr>
        <w:t xml:space="preserve"> </w:t>
      </w:r>
      <w:r w:rsidR="00736DAC" w:rsidRPr="009F156B">
        <w:rPr>
          <w:rFonts w:eastAsiaTheme="minorHAnsi"/>
        </w:rPr>
        <w:t>que</w:t>
      </w:r>
      <w:r w:rsidR="00E87467" w:rsidRPr="009F156B">
        <w:rPr>
          <w:rFonts w:eastAsiaTheme="minorHAnsi"/>
        </w:rPr>
        <w:t xml:space="preserve"> </w:t>
      </w:r>
      <w:r w:rsidR="00736DAC" w:rsidRPr="009F156B">
        <w:rPr>
          <w:rFonts w:eastAsiaTheme="minorHAnsi"/>
        </w:rPr>
        <w:t>habían</w:t>
      </w:r>
      <w:r w:rsidR="00E87467" w:rsidRPr="009F156B">
        <w:rPr>
          <w:rFonts w:eastAsiaTheme="minorHAnsi"/>
        </w:rPr>
        <w:t xml:space="preserve"> </w:t>
      </w:r>
      <w:r w:rsidR="00736DAC" w:rsidRPr="009F156B">
        <w:rPr>
          <w:rFonts w:eastAsiaTheme="minorHAnsi"/>
        </w:rPr>
        <w:t>sido</w:t>
      </w:r>
      <w:r w:rsidR="00E87467" w:rsidRPr="009F156B">
        <w:rPr>
          <w:rFonts w:eastAsiaTheme="minorHAnsi"/>
        </w:rPr>
        <w:t xml:space="preserve"> </w:t>
      </w:r>
      <w:r w:rsidR="00736DAC" w:rsidRPr="009F156B">
        <w:rPr>
          <w:rFonts w:eastAsiaTheme="minorHAnsi"/>
        </w:rPr>
        <w:t>víctimas</w:t>
      </w:r>
      <w:r w:rsidR="00E87467" w:rsidRPr="009F156B">
        <w:rPr>
          <w:rFonts w:eastAsiaTheme="minorHAnsi"/>
        </w:rPr>
        <w:t xml:space="preserve"> </w:t>
      </w:r>
      <w:r w:rsidR="00736DAC" w:rsidRPr="009F156B">
        <w:rPr>
          <w:rFonts w:eastAsiaTheme="minorHAnsi"/>
        </w:rPr>
        <w:t>de</w:t>
      </w:r>
      <w:r w:rsidR="00E87467" w:rsidRPr="009F156B">
        <w:rPr>
          <w:rFonts w:eastAsiaTheme="minorHAnsi"/>
        </w:rPr>
        <w:t xml:space="preserve"> </w:t>
      </w:r>
      <w:r w:rsidR="00967D40" w:rsidRPr="009F156B">
        <w:rPr>
          <w:rFonts w:eastAsiaTheme="minorHAnsi"/>
        </w:rPr>
        <w:t>“</w:t>
      </w:r>
      <w:r w:rsidR="00736DAC" w:rsidRPr="009F156B">
        <w:rPr>
          <w:rFonts w:eastAsiaTheme="minorHAnsi"/>
        </w:rPr>
        <w:t>actos</w:t>
      </w:r>
      <w:r w:rsidR="00E87467" w:rsidRPr="009F156B">
        <w:rPr>
          <w:rFonts w:eastAsiaTheme="minorHAnsi"/>
        </w:rPr>
        <w:t xml:space="preserve"> </w:t>
      </w:r>
      <w:r w:rsidR="00736DAC" w:rsidRPr="009F156B">
        <w:rPr>
          <w:rFonts w:eastAsiaTheme="minorHAnsi"/>
        </w:rPr>
        <w:t>de intimidación,</w:t>
      </w:r>
      <w:r w:rsidR="00E87467" w:rsidRPr="009F156B">
        <w:rPr>
          <w:rFonts w:eastAsiaTheme="minorHAnsi"/>
        </w:rPr>
        <w:t xml:space="preserve"> </w:t>
      </w:r>
      <w:r w:rsidR="00736DAC" w:rsidRPr="009F156B">
        <w:rPr>
          <w:rFonts w:eastAsiaTheme="minorHAnsi"/>
        </w:rPr>
        <w:t>acoso</w:t>
      </w:r>
      <w:r w:rsidR="00E87467" w:rsidRPr="009F156B">
        <w:rPr>
          <w:rFonts w:eastAsiaTheme="minorHAnsi"/>
        </w:rPr>
        <w:t xml:space="preserve"> </w:t>
      </w:r>
      <w:r w:rsidR="00736DAC" w:rsidRPr="009F156B">
        <w:rPr>
          <w:rFonts w:eastAsiaTheme="minorHAnsi"/>
        </w:rPr>
        <w:t>y</w:t>
      </w:r>
      <w:r w:rsidR="00E87467" w:rsidRPr="009F156B">
        <w:rPr>
          <w:rFonts w:eastAsiaTheme="minorHAnsi"/>
        </w:rPr>
        <w:t xml:space="preserve"> </w:t>
      </w:r>
      <w:r w:rsidR="00736DAC" w:rsidRPr="009F156B">
        <w:rPr>
          <w:rFonts w:eastAsiaTheme="minorHAnsi"/>
        </w:rPr>
        <w:t>estigmatización</w:t>
      </w:r>
      <w:r w:rsidR="00E87467" w:rsidRPr="009F156B">
        <w:rPr>
          <w:rFonts w:eastAsiaTheme="minorHAnsi"/>
        </w:rPr>
        <w:t xml:space="preserve"> </w:t>
      </w:r>
      <w:r w:rsidR="00736DAC" w:rsidRPr="009F156B">
        <w:rPr>
          <w:rFonts w:eastAsiaTheme="minorHAnsi"/>
        </w:rPr>
        <w:t>a</w:t>
      </w:r>
      <w:r w:rsidR="00E87467" w:rsidRPr="009F156B">
        <w:rPr>
          <w:rFonts w:eastAsiaTheme="minorHAnsi"/>
        </w:rPr>
        <w:t xml:space="preserve"> </w:t>
      </w:r>
      <w:r w:rsidR="00736DAC" w:rsidRPr="009F156B">
        <w:rPr>
          <w:rFonts w:eastAsiaTheme="minorHAnsi"/>
        </w:rPr>
        <w:t>manos</w:t>
      </w:r>
      <w:r w:rsidR="00E87467" w:rsidRPr="009F156B">
        <w:rPr>
          <w:rFonts w:eastAsiaTheme="minorHAnsi"/>
        </w:rPr>
        <w:t xml:space="preserve"> </w:t>
      </w:r>
      <w:r w:rsidR="00736DAC" w:rsidRPr="009F156B">
        <w:rPr>
          <w:rFonts w:eastAsiaTheme="minorHAnsi"/>
        </w:rPr>
        <w:t>de</w:t>
      </w:r>
      <w:r w:rsidR="00E87467" w:rsidRPr="009F156B">
        <w:rPr>
          <w:rFonts w:eastAsiaTheme="minorHAnsi"/>
        </w:rPr>
        <w:t xml:space="preserve"> </w:t>
      </w:r>
      <w:r w:rsidR="00736DAC" w:rsidRPr="009F156B">
        <w:rPr>
          <w:rFonts w:eastAsiaTheme="minorHAnsi"/>
        </w:rPr>
        <w:t>agentes</w:t>
      </w:r>
      <w:r w:rsidR="00E87467" w:rsidRPr="009F156B">
        <w:rPr>
          <w:rFonts w:eastAsiaTheme="minorHAnsi"/>
        </w:rPr>
        <w:t xml:space="preserve"> </w:t>
      </w:r>
      <w:r w:rsidR="00736DAC" w:rsidRPr="00BB25AB">
        <w:rPr>
          <w:lang w:val="es-ES"/>
        </w:rPr>
        <w:t>estatales</w:t>
      </w:r>
      <w:r w:rsidR="00E87467" w:rsidRPr="009F156B">
        <w:rPr>
          <w:rFonts w:eastAsiaTheme="minorHAnsi"/>
        </w:rPr>
        <w:t xml:space="preserve"> </w:t>
      </w:r>
      <w:r w:rsidR="00736DAC" w:rsidRPr="009F156B">
        <w:rPr>
          <w:rFonts w:eastAsiaTheme="minorHAnsi"/>
        </w:rPr>
        <w:t>y</w:t>
      </w:r>
      <w:r w:rsidR="00E87467" w:rsidRPr="009F156B">
        <w:rPr>
          <w:rFonts w:eastAsiaTheme="minorHAnsi"/>
        </w:rPr>
        <w:t xml:space="preserve"> </w:t>
      </w:r>
      <w:r w:rsidR="00736DAC" w:rsidRPr="009F156B">
        <w:rPr>
          <w:rFonts w:eastAsiaTheme="minorHAnsi"/>
        </w:rPr>
        <w:t>no</w:t>
      </w:r>
      <w:r w:rsidR="00E87467" w:rsidRPr="009F156B">
        <w:rPr>
          <w:rFonts w:eastAsiaTheme="minorHAnsi"/>
        </w:rPr>
        <w:t xml:space="preserve"> </w:t>
      </w:r>
      <w:r w:rsidR="00736DAC" w:rsidRPr="009F156B">
        <w:rPr>
          <w:rFonts w:eastAsiaTheme="minorHAnsi"/>
        </w:rPr>
        <w:t>estatales</w:t>
      </w:r>
      <w:r w:rsidR="00E87467" w:rsidRPr="009F156B">
        <w:rPr>
          <w:rFonts w:eastAsiaTheme="minorHAnsi"/>
        </w:rPr>
        <w:t xml:space="preserve"> </w:t>
      </w:r>
      <w:r w:rsidR="00736DAC" w:rsidRPr="009F156B">
        <w:rPr>
          <w:rFonts w:eastAsiaTheme="minorHAnsi"/>
        </w:rPr>
        <w:t xml:space="preserve">en represalia por su labor de defensa de los derechos </w:t>
      </w:r>
      <w:r w:rsidR="00736DAC" w:rsidRPr="009F156B">
        <w:rPr>
          <w:lang w:val="es-ES"/>
        </w:rPr>
        <w:t>humano</w:t>
      </w:r>
      <w:r w:rsidR="00967D40" w:rsidRPr="009F156B">
        <w:rPr>
          <w:lang w:val="es-ES"/>
        </w:rPr>
        <w:t>”</w:t>
      </w:r>
      <w:r w:rsidR="00736DAC" w:rsidRPr="009F156B">
        <w:rPr>
          <w:rStyle w:val="Refdenotaalpie"/>
          <w:lang w:val="es-ES"/>
        </w:rPr>
        <w:footnoteReference w:id="39"/>
      </w:r>
      <w:r w:rsidR="00736DAC" w:rsidRPr="009F156B">
        <w:rPr>
          <w:lang w:val="es-ES"/>
        </w:rPr>
        <w:t xml:space="preserve">. A lo anterior se une el alto nivel de impunidad que impera sobre estos crímenes. A este respecto, indicó que </w:t>
      </w:r>
      <w:r w:rsidR="000F6C6F" w:rsidRPr="009F156B">
        <w:rPr>
          <w:rStyle w:val="markedcontent"/>
          <w:rFonts w:eastAsia="MS Mincho" w:cs="Arial"/>
        </w:rPr>
        <w:t xml:space="preserve">cerca del 98% de los delitos cometidos en México </w:t>
      </w:r>
      <w:r w:rsidR="009F156B">
        <w:rPr>
          <w:rStyle w:val="markedcontent"/>
          <w:rFonts w:eastAsia="MS Mincho" w:cs="Arial"/>
        </w:rPr>
        <w:t>“</w:t>
      </w:r>
      <w:r w:rsidR="000F6C6F" w:rsidRPr="009F156B">
        <w:rPr>
          <w:rStyle w:val="markedcontent"/>
          <w:rFonts w:eastAsia="MS Mincho" w:cs="Arial"/>
        </w:rPr>
        <w:t>quedan sin resolver” y que el porcentaje de investigaciones y enjuiciamientos de delitos contra defensores de derechos humanos que prosperan era “insignificante”, lo cual generaba “un sentimiento de impunidad generalizada y persistente”</w:t>
      </w:r>
      <w:r w:rsidR="000F6C6F" w:rsidRPr="009F156B">
        <w:rPr>
          <w:rStyle w:val="Refdenotaalpie"/>
          <w:rFonts w:eastAsiaTheme="minorHAnsi" w:cs="Arial"/>
          <w:lang w:eastAsia="en-US"/>
        </w:rPr>
        <w:footnoteReference w:id="40"/>
      </w:r>
      <w:r w:rsidR="00967D40" w:rsidRPr="009F156B">
        <w:rPr>
          <w:rStyle w:val="markedcontent"/>
          <w:rFonts w:eastAsia="MS Mincho" w:cs="Arial"/>
        </w:rPr>
        <w:t>,</w:t>
      </w:r>
      <w:r w:rsidR="000F6C6F" w:rsidRPr="009F156B">
        <w:rPr>
          <w:rStyle w:val="markedcontent"/>
          <w:rFonts w:eastAsia="MS Mincho" w:cs="Arial"/>
        </w:rPr>
        <w:t xml:space="preserve"> el cual</w:t>
      </w:r>
      <w:r w:rsidR="00967D40" w:rsidRPr="009F156B">
        <w:rPr>
          <w:rStyle w:val="markedcontent"/>
          <w:rFonts w:eastAsia="MS Mincho" w:cs="Arial"/>
        </w:rPr>
        <w:t>, además,</w:t>
      </w:r>
      <w:r w:rsidR="000F6C6F" w:rsidRPr="009F156B">
        <w:rPr>
          <w:rStyle w:val="markedcontent"/>
          <w:rFonts w:eastAsia="MS Mincho" w:cs="Arial"/>
        </w:rPr>
        <w:t xml:space="preserve"> se había convertido en “causa y efecto de la inseguridad</w:t>
      </w:r>
      <w:r w:rsidR="00E87467" w:rsidRPr="009F156B">
        <w:rPr>
          <w:rStyle w:val="markedcontent"/>
          <w:rFonts w:eastAsia="MS Mincho" w:cs="Arial"/>
        </w:rPr>
        <w:t xml:space="preserve"> </w:t>
      </w:r>
      <w:r w:rsidR="000F6C6F" w:rsidRPr="009F156B">
        <w:rPr>
          <w:rStyle w:val="markedcontent"/>
          <w:rFonts w:eastAsia="MS Mincho" w:cs="Arial"/>
        </w:rPr>
        <w:t>general</w:t>
      </w:r>
      <w:r w:rsidR="00E87467" w:rsidRPr="009F156B">
        <w:rPr>
          <w:rStyle w:val="markedcontent"/>
          <w:rFonts w:eastAsia="MS Mincho" w:cs="Arial"/>
        </w:rPr>
        <w:t xml:space="preserve"> </w:t>
      </w:r>
      <w:r w:rsidR="000F6C6F" w:rsidRPr="009F156B">
        <w:rPr>
          <w:rStyle w:val="markedcontent"/>
          <w:rFonts w:eastAsia="MS Mincho" w:cs="Arial"/>
        </w:rPr>
        <w:t>de</w:t>
      </w:r>
      <w:r w:rsidR="00E87467" w:rsidRPr="009F156B">
        <w:rPr>
          <w:rStyle w:val="markedcontent"/>
          <w:rFonts w:eastAsia="MS Mincho" w:cs="Arial"/>
        </w:rPr>
        <w:t xml:space="preserve"> </w:t>
      </w:r>
      <w:r w:rsidR="000F6C6F" w:rsidRPr="009F156B">
        <w:rPr>
          <w:rStyle w:val="markedcontent"/>
          <w:rFonts w:eastAsia="MS Mincho" w:cs="Arial"/>
        </w:rPr>
        <w:t>los</w:t>
      </w:r>
      <w:r w:rsidR="00E87467" w:rsidRPr="009F156B">
        <w:rPr>
          <w:rStyle w:val="markedcontent"/>
          <w:rFonts w:eastAsia="MS Mincho" w:cs="Arial"/>
        </w:rPr>
        <w:t xml:space="preserve"> </w:t>
      </w:r>
      <w:r w:rsidR="000F6C6F" w:rsidRPr="009F156B">
        <w:rPr>
          <w:rStyle w:val="markedcontent"/>
          <w:rFonts w:eastAsia="MS Mincho" w:cs="Arial"/>
        </w:rPr>
        <w:t>defensores</w:t>
      </w:r>
      <w:r w:rsidR="00E87467" w:rsidRPr="009F156B">
        <w:rPr>
          <w:rStyle w:val="markedcontent"/>
          <w:rFonts w:eastAsia="MS Mincho" w:cs="Arial"/>
        </w:rPr>
        <w:t xml:space="preserve"> </w:t>
      </w:r>
      <w:r w:rsidR="000F6C6F" w:rsidRPr="009F156B">
        <w:rPr>
          <w:rStyle w:val="markedcontent"/>
          <w:rFonts w:eastAsia="MS Mincho" w:cs="Arial"/>
        </w:rPr>
        <w:t>de</w:t>
      </w:r>
      <w:r w:rsidR="00E87467" w:rsidRPr="009F156B">
        <w:rPr>
          <w:rStyle w:val="markedcontent"/>
          <w:rFonts w:eastAsia="MS Mincho" w:cs="Arial"/>
        </w:rPr>
        <w:t xml:space="preserve"> </w:t>
      </w:r>
      <w:r w:rsidR="000F6C6F" w:rsidRPr="009F156B">
        <w:rPr>
          <w:rStyle w:val="markedcontent"/>
          <w:rFonts w:eastAsia="MS Mincho" w:cs="Arial"/>
        </w:rPr>
        <w:t>los</w:t>
      </w:r>
      <w:r w:rsidR="00E87467" w:rsidRPr="009F156B">
        <w:rPr>
          <w:rStyle w:val="markedcontent"/>
          <w:rFonts w:eastAsia="MS Mincho" w:cs="Arial"/>
        </w:rPr>
        <w:t xml:space="preserve"> </w:t>
      </w:r>
      <w:r w:rsidR="000F6C6F" w:rsidRPr="009F156B">
        <w:rPr>
          <w:rStyle w:val="markedcontent"/>
          <w:rFonts w:eastAsia="MS Mincho" w:cs="Arial"/>
        </w:rPr>
        <w:t>derechos</w:t>
      </w:r>
      <w:r w:rsidR="00E87467" w:rsidRPr="009F156B">
        <w:rPr>
          <w:rStyle w:val="markedcontent"/>
          <w:rFonts w:eastAsia="MS Mincho" w:cs="Arial"/>
        </w:rPr>
        <w:t xml:space="preserve"> </w:t>
      </w:r>
      <w:r w:rsidR="000F6C6F" w:rsidRPr="009F156B">
        <w:rPr>
          <w:rStyle w:val="markedcontent"/>
          <w:rFonts w:eastAsia="MS Mincho" w:cs="Arial"/>
        </w:rPr>
        <w:t>humanos</w:t>
      </w:r>
      <w:r w:rsidR="00E87467" w:rsidRPr="009F156B">
        <w:rPr>
          <w:rStyle w:val="markedcontent"/>
          <w:rFonts w:eastAsia="MS Mincho" w:cs="Arial"/>
        </w:rPr>
        <w:t xml:space="preserve"> </w:t>
      </w:r>
      <w:r w:rsidR="000F6C6F" w:rsidRPr="009F156B">
        <w:rPr>
          <w:rStyle w:val="markedcontent"/>
          <w:rFonts w:eastAsia="MS Mincho" w:cs="Arial"/>
        </w:rPr>
        <w:t>en</w:t>
      </w:r>
      <w:r w:rsidR="00E87467" w:rsidRPr="009F156B">
        <w:rPr>
          <w:rStyle w:val="markedcontent"/>
          <w:rFonts w:eastAsia="MS Mincho" w:cs="Arial"/>
        </w:rPr>
        <w:t xml:space="preserve"> </w:t>
      </w:r>
      <w:r w:rsidR="000F6C6F" w:rsidRPr="009F156B">
        <w:rPr>
          <w:rStyle w:val="markedcontent"/>
          <w:rFonts w:eastAsia="MS Mincho" w:cs="Arial"/>
        </w:rPr>
        <w:t>México”</w:t>
      </w:r>
      <w:r w:rsidR="000F6C6F" w:rsidRPr="009F156B">
        <w:rPr>
          <w:rStyle w:val="Refdenotaalpie"/>
          <w:rFonts w:eastAsia="MS Mincho" w:cs="Arial"/>
        </w:rPr>
        <w:footnoteReference w:id="41"/>
      </w:r>
      <w:r w:rsidR="000F6C6F" w:rsidRPr="009F156B">
        <w:rPr>
          <w:rFonts w:eastAsiaTheme="minorHAnsi"/>
        </w:rPr>
        <w:t>.</w:t>
      </w:r>
      <w:r w:rsidR="00736DAC" w:rsidRPr="009F156B">
        <w:rPr>
          <w:rFonts w:eastAsiaTheme="minorHAnsi"/>
        </w:rPr>
        <w:t xml:space="preserve"> Observó</w:t>
      </w:r>
      <w:r w:rsidR="000F6C6F" w:rsidRPr="009F156B">
        <w:rPr>
          <w:rFonts w:eastAsiaTheme="minorHAnsi"/>
        </w:rPr>
        <w:t xml:space="preserve"> </w:t>
      </w:r>
      <w:r w:rsidR="00967D40" w:rsidRPr="009F156B">
        <w:rPr>
          <w:rFonts w:eastAsiaTheme="minorHAnsi"/>
        </w:rPr>
        <w:t>adicionalmente</w:t>
      </w:r>
      <w:r w:rsidR="000F6C6F" w:rsidRPr="009F156B">
        <w:rPr>
          <w:rFonts w:eastAsiaTheme="minorHAnsi"/>
        </w:rPr>
        <w:t xml:space="preserve"> que</w:t>
      </w:r>
      <w:r w:rsidR="00736DAC" w:rsidRPr="009F156B">
        <w:rPr>
          <w:rFonts w:eastAsiaTheme="minorHAnsi"/>
        </w:rPr>
        <w:t>,</w:t>
      </w:r>
      <w:r w:rsidR="000F6C6F" w:rsidRPr="009F156B">
        <w:rPr>
          <w:rFonts w:eastAsiaTheme="minorHAnsi"/>
        </w:rPr>
        <w:t xml:space="preserve"> entre 2010 y 2017, más de 43 defensoras y periodistas fueron asesinadas en México</w:t>
      </w:r>
      <w:r w:rsidR="009F156B">
        <w:rPr>
          <w:rFonts w:eastAsiaTheme="minorHAnsi"/>
        </w:rPr>
        <w:t>, que</w:t>
      </w:r>
      <w:r w:rsidR="000F6C6F" w:rsidRPr="009F156B">
        <w:rPr>
          <w:rFonts w:eastAsiaTheme="minorHAnsi"/>
        </w:rPr>
        <w:t xml:space="preserve"> al menos 5 activistas fueron asesinadas en 2017 y que </w:t>
      </w:r>
      <w:r w:rsidR="009F156B">
        <w:rPr>
          <w:rFonts w:eastAsiaTheme="minorHAnsi"/>
        </w:rPr>
        <w:t>l</w:t>
      </w:r>
      <w:r w:rsidR="000F6C6F" w:rsidRPr="009F156B">
        <w:rPr>
          <w:rFonts w:eastAsiaTheme="minorHAnsi"/>
        </w:rPr>
        <w:t>a</w:t>
      </w:r>
      <w:r w:rsidR="00E87467" w:rsidRPr="009F156B">
        <w:rPr>
          <w:rFonts w:eastAsiaTheme="minorHAnsi"/>
        </w:rPr>
        <w:t xml:space="preserve"> </w:t>
      </w:r>
      <w:r w:rsidR="000F6C6F" w:rsidRPr="009F156B">
        <w:rPr>
          <w:rFonts w:eastAsiaTheme="minorHAnsi"/>
        </w:rPr>
        <w:t>mayoría</w:t>
      </w:r>
      <w:r w:rsidR="00E87467" w:rsidRPr="009F156B">
        <w:rPr>
          <w:rFonts w:eastAsiaTheme="minorHAnsi"/>
        </w:rPr>
        <w:t xml:space="preserve"> </w:t>
      </w:r>
      <w:r w:rsidR="000F6C6F" w:rsidRPr="009F156B">
        <w:rPr>
          <w:rFonts w:eastAsiaTheme="minorHAnsi"/>
        </w:rPr>
        <w:t>de</w:t>
      </w:r>
      <w:r w:rsidR="00E87467" w:rsidRPr="009F156B">
        <w:rPr>
          <w:rFonts w:eastAsiaTheme="minorHAnsi"/>
        </w:rPr>
        <w:t xml:space="preserve"> </w:t>
      </w:r>
      <w:r w:rsidR="000F6C6F" w:rsidRPr="009F156B">
        <w:rPr>
          <w:rFonts w:eastAsiaTheme="minorHAnsi"/>
        </w:rPr>
        <w:t>las</w:t>
      </w:r>
      <w:r w:rsidR="00E87467" w:rsidRPr="009F156B">
        <w:rPr>
          <w:rFonts w:eastAsiaTheme="minorHAnsi"/>
        </w:rPr>
        <w:t xml:space="preserve"> </w:t>
      </w:r>
      <w:r w:rsidR="000F6C6F" w:rsidRPr="009F156B">
        <w:rPr>
          <w:rFonts w:eastAsiaTheme="minorHAnsi"/>
        </w:rPr>
        <w:t>defensoras</w:t>
      </w:r>
      <w:r w:rsidR="00E87467" w:rsidRPr="009F156B">
        <w:rPr>
          <w:rFonts w:eastAsiaTheme="minorHAnsi"/>
        </w:rPr>
        <w:t xml:space="preserve"> </w:t>
      </w:r>
      <w:r w:rsidR="000F6C6F" w:rsidRPr="009F156B">
        <w:rPr>
          <w:rFonts w:eastAsiaTheme="minorHAnsi"/>
        </w:rPr>
        <w:t>de</w:t>
      </w:r>
      <w:r w:rsidR="00E87467" w:rsidRPr="009F156B">
        <w:rPr>
          <w:rFonts w:eastAsiaTheme="minorHAnsi"/>
        </w:rPr>
        <w:t xml:space="preserve"> </w:t>
      </w:r>
      <w:r w:rsidR="000F6C6F" w:rsidRPr="009F156B">
        <w:rPr>
          <w:rFonts w:eastAsiaTheme="minorHAnsi"/>
        </w:rPr>
        <w:t>los</w:t>
      </w:r>
      <w:r w:rsidR="00E87467" w:rsidRPr="009F156B">
        <w:rPr>
          <w:rFonts w:eastAsiaTheme="minorHAnsi"/>
        </w:rPr>
        <w:t xml:space="preserve"> </w:t>
      </w:r>
      <w:r w:rsidR="000F6C6F" w:rsidRPr="009F156B">
        <w:rPr>
          <w:rFonts w:eastAsiaTheme="minorHAnsi"/>
        </w:rPr>
        <w:t>derechos</w:t>
      </w:r>
      <w:r w:rsidR="00E87467" w:rsidRPr="009F156B">
        <w:rPr>
          <w:rFonts w:eastAsiaTheme="minorHAnsi"/>
        </w:rPr>
        <w:t xml:space="preserve"> </w:t>
      </w:r>
      <w:r w:rsidR="000F6C6F" w:rsidRPr="009F156B">
        <w:rPr>
          <w:rFonts w:eastAsiaTheme="minorHAnsi"/>
        </w:rPr>
        <w:t>humanos</w:t>
      </w:r>
      <w:r w:rsidR="00E87467" w:rsidRPr="009F156B">
        <w:rPr>
          <w:rFonts w:eastAsiaTheme="minorHAnsi"/>
        </w:rPr>
        <w:t xml:space="preserve"> </w:t>
      </w:r>
      <w:r w:rsidR="000F6C6F" w:rsidRPr="009F156B">
        <w:rPr>
          <w:rFonts w:eastAsiaTheme="minorHAnsi"/>
        </w:rPr>
        <w:t>corren</w:t>
      </w:r>
      <w:r w:rsidR="00E87467" w:rsidRPr="009F156B">
        <w:rPr>
          <w:rFonts w:eastAsiaTheme="minorHAnsi"/>
        </w:rPr>
        <w:t xml:space="preserve"> </w:t>
      </w:r>
      <w:r w:rsidR="000F6C6F" w:rsidRPr="009F156B">
        <w:rPr>
          <w:rFonts w:eastAsiaTheme="minorHAnsi"/>
        </w:rPr>
        <w:t>también</w:t>
      </w:r>
      <w:r w:rsidR="00E87467" w:rsidRPr="009F156B">
        <w:rPr>
          <w:rFonts w:eastAsiaTheme="minorHAnsi"/>
        </w:rPr>
        <w:t xml:space="preserve"> </w:t>
      </w:r>
      <w:r w:rsidR="000F6C6F" w:rsidRPr="009F156B">
        <w:rPr>
          <w:rFonts w:eastAsiaTheme="minorHAnsi"/>
        </w:rPr>
        <w:t>riesgos relacionados con su género, incluidas la violencia sexual y las amenazas en medios sociales o las campañas de difamación basadas en estereotipos de género</w:t>
      </w:r>
      <w:r w:rsidR="000F6C6F" w:rsidRPr="009F156B">
        <w:rPr>
          <w:rStyle w:val="Refdenotaalpie"/>
          <w:rFonts w:eastAsiaTheme="minorHAnsi" w:cs="Arial"/>
          <w:lang w:eastAsia="en-US"/>
        </w:rPr>
        <w:footnoteReference w:id="42"/>
      </w:r>
      <w:r w:rsidR="000F6C6F" w:rsidRPr="009F156B">
        <w:rPr>
          <w:rFonts w:eastAsiaTheme="minorHAnsi"/>
        </w:rPr>
        <w:t>.</w:t>
      </w:r>
      <w:r w:rsidR="000F6C6F" w:rsidRPr="009F156B">
        <w:rPr>
          <w:lang w:val="es-ES"/>
        </w:rPr>
        <w:t xml:space="preserve"> </w:t>
      </w:r>
      <w:r w:rsidR="00967D40" w:rsidRPr="009F156B">
        <w:rPr>
          <w:lang w:val="es-ES"/>
        </w:rPr>
        <w:t xml:space="preserve">Lo anterior se une a la “preocupación” manifestada por </w:t>
      </w:r>
      <w:r w:rsidR="00967D40" w:rsidRPr="009F156B">
        <w:rPr>
          <w:rFonts w:eastAsiaTheme="minorHAnsi"/>
        </w:rPr>
        <w:t>l</w:t>
      </w:r>
      <w:r w:rsidR="00E803C1">
        <w:rPr>
          <w:rFonts w:eastAsiaTheme="minorHAnsi"/>
        </w:rPr>
        <w:t>a</w:t>
      </w:r>
      <w:r w:rsidR="00967D40" w:rsidRPr="009F156B">
        <w:rPr>
          <w:rFonts w:eastAsiaTheme="minorHAnsi"/>
        </w:rPr>
        <w:t xml:space="preserve"> Alt</w:t>
      </w:r>
      <w:r w:rsidR="00E803C1">
        <w:rPr>
          <w:rFonts w:eastAsiaTheme="minorHAnsi"/>
        </w:rPr>
        <w:t>a</w:t>
      </w:r>
      <w:r w:rsidR="00967D40" w:rsidRPr="009F156B">
        <w:rPr>
          <w:rFonts w:eastAsiaTheme="minorHAnsi"/>
        </w:rPr>
        <w:t xml:space="preserve"> Comisionad</w:t>
      </w:r>
      <w:r w:rsidR="00E803C1">
        <w:rPr>
          <w:rFonts w:eastAsiaTheme="minorHAnsi"/>
        </w:rPr>
        <w:t>a</w:t>
      </w:r>
      <w:r w:rsidR="00967D40" w:rsidRPr="009F156B">
        <w:rPr>
          <w:rFonts w:eastAsiaTheme="minorHAnsi"/>
        </w:rPr>
        <w:t xml:space="preserve"> de las Naciones Unidas para los Derechos Humanos</w:t>
      </w:r>
      <w:r w:rsidR="003266B7">
        <w:rPr>
          <w:rFonts w:eastAsiaTheme="minorHAnsi"/>
        </w:rPr>
        <w:t xml:space="preserve"> (en adelante “ACNUDH”)</w:t>
      </w:r>
      <w:r w:rsidR="00967D40" w:rsidRPr="009F156B">
        <w:rPr>
          <w:rFonts w:eastAsiaTheme="minorHAnsi"/>
        </w:rPr>
        <w:t xml:space="preserve"> y la Comisión Interamericana </w:t>
      </w:r>
      <w:r w:rsidR="00967D40" w:rsidRPr="009F156B">
        <w:rPr>
          <w:lang w:val="es-ES"/>
        </w:rPr>
        <w:t>a</w:t>
      </w:r>
      <w:r w:rsidR="00967D40" w:rsidRPr="009F156B">
        <w:rPr>
          <w:rFonts w:eastAsiaTheme="minorHAnsi"/>
        </w:rPr>
        <w:t xml:space="preserve"> principios de 2019,</w:t>
      </w:r>
      <w:r w:rsidR="00E87467" w:rsidRPr="009F156B">
        <w:rPr>
          <w:rFonts w:eastAsiaTheme="minorHAnsi"/>
        </w:rPr>
        <w:t xml:space="preserve"> </w:t>
      </w:r>
      <w:r w:rsidR="000F6C6F" w:rsidRPr="009F156B">
        <w:rPr>
          <w:rFonts w:eastAsiaTheme="minorHAnsi"/>
        </w:rPr>
        <w:t xml:space="preserve">por </w:t>
      </w:r>
      <w:r w:rsidR="00967D40" w:rsidRPr="009F156B">
        <w:rPr>
          <w:rFonts w:eastAsiaTheme="minorHAnsi"/>
        </w:rPr>
        <w:t>“</w:t>
      </w:r>
      <w:r w:rsidR="000F6C6F" w:rsidRPr="009F156B">
        <w:rPr>
          <w:rFonts w:eastAsiaTheme="minorHAnsi"/>
        </w:rPr>
        <w:t xml:space="preserve">el aumento de asesinatos a personas defensoras de derechos humanos en México durante los primeros cuatro meses del año, en comparación con años </w:t>
      </w:r>
      <w:r w:rsidR="000F6C6F" w:rsidRPr="009F156B">
        <w:rPr>
          <w:rFonts w:eastAsiaTheme="minorHAnsi"/>
        </w:rPr>
        <w:lastRenderedPageBreak/>
        <w:t>anteriores”, preocupando especialmente que 8 de las personas defensoras asesinadas fueran indígenas</w:t>
      </w:r>
      <w:r w:rsidR="000F6C6F" w:rsidRPr="009F156B">
        <w:rPr>
          <w:rStyle w:val="Refdenotaalpie"/>
          <w:rFonts w:eastAsiaTheme="minorHAnsi" w:cs="Arial"/>
          <w:lang w:eastAsia="en-US"/>
        </w:rPr>
        <w:footnoteReference w:id="43"/>
      </w:r>
      <w:r w:rsidR="000F6C6F" w:rsidRPr="009F156B">
        <w:rPr>
          <w:rFonts w:eastAsiaTheme="minorHAnsi"/>
        </w:rPr>
        <w:t xml:space="preserve">. </w:t>
      </w:r>
    </w:p>
    <w:p w14:paraId="2A8BBA15" w14:textId="77777777" w:rsidR="00F7202D" w:rsidRPr="00AD766B" w:rsidRDefault="00F7202D" w:rsidP="00F7202D">
      <w:pPr>
        <w:tabs>
          <w:tab w:val="left" w:pos="567"/>
        </w:tabs>
        <w:spacing w:line="240" w:lineRule="auto"/>
        <w:rPr>
          <w:rFonts w:eastAsiaTheme="minorHAnsi"/>
          <w:b/>
          <w:highlight w:val="yellow"/>
        </w:rPr>
      </w:pPr>
    </w:p>
    <w:p w14:paraId="0D3D7B02" w14:textId="630F5BA7" w:rsidR="00F33FCA" w:rsidRPr="009F156B" w:rsidRDefault="009A6496" w:rsidP="0079556F">
      <w:pPr>
        <w:numPr>
          <w:ilvl w:val="0"/>
          <w:numId w:val="4"/>
        </w:numPr>
        <w:tabs>
          <w:tab w:val="left" w:pos="567"/>
          <w:tab w:val="num" w:pos="1569"/>
          <w:tab w:val="num" w:pos="12305"/>
        </w:tabs>
        <w:spacing w:line="240" w:lineRule="auto"/>
        <w:ind w:left="0" w:firstLine="0"/>
        <w:rPr>
          <w:rFonts w:eastAsiaTheme="minorHAnsi"/>
        </w:rPr>
      </w:pPr>
      <w:r w:rsidRPr="009F156B">
        <w:rPr>
          <w:rFonts w:eastAsiaTheme="minorHAnsi"/>
        </w:rPr>
        <w:t xml:space="preserve">Además, en su último Informe sobre la situación de defensores </w:t>
      </w:r>
      <w:r w:rsidR="009F156B">
        <w:rPr>
          <w:rFonts w:eastAsiaTheme="minorHAnsi"/>
        </w:rPr>
        <w:t xml:space="preserve">y defensoras </w:t>
      </w:r>
      <w:r w:rsidRPr="009F156B">
        <w:rPr>
          <w:rFonts w:eastAsiaTheme="minorHAnsi"/>
        </w:rPr>
        <w:t xml:space="preserve">de derechos humanos presentado a finales del año 2020, la actual Relatora Especial sobre la situación de los defensores </w:t>
      </w:r>
      <w:r w:rsidR="007F32BE" w:rsidRPr="009F156B">
        <w:rPr>
          <w:rFonts w:eastAsiaTheme="minorHAnsi"/>
        </w:rPr>
        <w:t xml:space="preserve">de derechos </w:t>
      </w:r>
      <w:r w:rsidRPr="009F156B">
        <w:rPr>
          <w:rFonts w:eastAsiaTheme="minorHAnsi"/>
        </w:rPr>
        <w:t xml:space="preserve">humanos de la ONU, Mary </w:t>
      </w:r>
      <w:proofErr w:type="spellStart"/>
      <w:r w:rsidRPr="009F156B">
        <w:rPr>
          <w:rFonts w:eastAsiaTheme="minorHAnsi"/>
        </w:rPr>
        <w:t>Lawlor</w:t>
      </w:r>
      <w:proofErr w:type="spellEnd"/>
      <w:r w:rsidRPr="009F156B">
        <w:rPr>
          <w:rFonts w:eastAsiaTheme="minorHAnsi"/>
        </w:rPr>
        <w:t xml:space="preserve">, ha destacado a México como uno de los países donde se han producido más </w:t>
      </w:r>
      <w:r w:rsidR="0053392D" w:rsidRPr="009F156B">
        <w:rPr>
          <w:rFonts w:eastAsiaTheme="minorHAnsi"/>
        </w:rPr>
        <w:t>asesinatos</w:t>
      </w:r>
      <w:r w:rsidRPr="009F156B">
        <w:rPr>
          <w:rFonts w:eastAsiaTheme="minorHAnsi"/>
        </w:rPr>
        <w:t xml:space="preserve"> de </w:t>
      </w:r>
      <w:r w:rsidR="0079556F" w:rsidRPr="009F156B">
        <w:t xml:space="preserve">defensoras y defensores </w:t>
      </w:r>
      <w:r w:rsidRPr="009F156B">
        <w:rPr>
          <w:rFonts w:eastAsiaTheme="minorHAnsi"/>
        </w:rPr>
        <w:t>de derechos humanos</w:t>
      </w:r>
      <w:r w:rsidRPr="009F156B">
        <w:rPr>
          <w:rStyle w:val="Refdenotaalpie"/>
          <w:rFonts w:eastAsiaTheme="minorHAnsi" w:cs="Arial"/>
          <w:lang w:eastAsia="en-US"/>
        </w:rPr>
        <w:footnoteReference w:id="44"/>
      </w:r>
      <w:r w:rsidRPr="009F156B">
        <w:rPr>
          <w:rFonts w:eastAsiaTheme="minorHAnsi"/>
        </w:rPr>
        <w:t xml:space="preserve">, </w:t>
      </w:r>
      <w:r w:rsidR="009F156B">
        <w:rPr>
          <w:rFonts w:eastAsiaTheme="minorHAnsi"/>
        </w:rPr>
        <w:t>resaltando</w:t>
      </w:r>
      <w:r w:rsidRPr="009F156B">
        <w:rPr>
          <w:rFonts w:eastAsiaTheme="minorHAnsi"/>
        </w:rPr>
        <w:t xml:space="preserve"> </w:t>
      </w:r>
      <w:r w:rsidRPr="009F156B">
        <w:rPr>
          <w:rFonts w:eastAsiaTheme="minorHAnsi" w:cs="Arial"/>
          <w:lang w:eastAsia="en-US"/>
        </w:rPr>
        <w:t>además</w:t>
      </w:r>
      <w:r w:rsidRPr="009F156B">
        <w:rPr>
          <w:rFonts w:eastAsiaTheme="minorHAnsi"/>
        </w:rPr>
        <w:t xml:space="preserve"> que, si bien México era </w:t>
      </w:r>
      <w:r w:rsidR="002942EC" w:rsidRPr="009F156B">
        <w:rPr>
          <w:rFonts w:eastAsiaTheme="minorHAnsi"/>
        </w:rPr>
        <w:t>uno</w:t>
      </w:r>
      <w:r w:rsidRPr="009F156B">
        <w:rPr>
          <w:rFonts w:eastAsiaTheme="minorHAnsi"/>
        </w:rPr>
        <w:t xml:space="preserve"> de los países del continente americano que había implementado mecanismos de protección de </w:t>
      </w:r>
      <w:r w:rsidR="0079556F" w:rsidRPr="009F156B">
        <w:rPr>
          <w:rFonts w:eastAsiaTheme="minorHAnsi"/>
        </w:rPr>
        <w:t xml:space="preserve">defensoras y defensores </w:t>
      </w:r>
      <w:r w:rsidRPr="009F156B">
        <w:rPr>
          <w:rFonts w:eastAsiaTheme="minorHAnsi"/>
        </w:rPr>
        <w:t>de derechos humanos que “habían salvado vidas”, había “mucho que mejorar”, indicando que la respuesta a las amenazas de muerte que recibían solía ser “deficiente”</w:t>
      </w:r>
      <w:r w:rsidRPr="009F156B">
        <w:rPr>
          <w:rStyle w:val="Refdenotaalpie"/>
          <w:rFonts w:eastAsiaTheme="minorHAnsi" w:cs="Arial"/>
          <w:lang w:eastAsia="en-US"/>
        </w:rPr>
        <w:footnoteReference w:id="45"/>
      </w:r>
      <w:r w:rsidRPr="009F156B">
        <w:rPr>
          <w:rFonts w:eastAsiaTheme="minorHAnsi"/>
        </w:rPr>
        <w:t xml:space="preserve">. </w:t>
      </w:r>
      <w:r w:rsidR="007778B8" w:rsidRPr="009F156B">
        <w:rPr>
          <w:rFonts w:eastAsiaTheme="minorHAnsi"/>
        </w:rPr>
        <w:t xml:space="preserve">Además, muy recientemente, </w:t>
      </w:r>
      <w:r w:rsidR="007778B8" w:rsidRPr="009F156B">
        <w:t xml:space="preserve">la Secretaría de Gobernación </w:t>
      </w:r>
      <w:r w:rsidR="0053392D" w:rsidRPr="009F156B">
        <w:t xml:space="preserve">mexicana </w:t>
      </w:r>
      <w:r w:rsidR="007778B8" w:rsidRPr="009F156B">
        <w:t>(</w:t>
      </w:r>
      <w:r w:rsidR="00920C33" w:rsidRPr="009F156B">
        <w:t>SEGOB</w:t>
      </w:r>
      <w:r w:rsidR="007778B8" w:rsidRPr="009F156B">
        <w:t>) reconoció el asesinato de al menos 68 defensores de derechos humanos y 43 periodistas desde el 1 de diciembre de 2018</w:t>
      </w:r>
      <w:r w:rsidR="007778B8" w:rsidRPr="009F156B">
        <w:rPr>
          <w:rStyle w:val="Refdenotaalpie"/>
        </w:rPr>
        <w:footnoteReference w:id="46"/>
      </w:r>
      <w:r w:rsidR="00D42AC7" w:rsidRPr="009F156B">
        <w:t>, convirtiendo actualmente a México en uno de los países más peligrosos para la defensa de los derechos humanos</w:t>
      </w:r>
      <w:r w:rsidR="00D42AC7" w:rsidRPr="009F156B">
        <w:rPr>
          <w:rStyle w:val="Refdenotaalpie"/>
        </w:rPr>
        <w:footnoteReference w:id="47"/>
      </w:r>
      <w:r w:rsidR="007778B8" w:rsidRPr="009F156B">
        <w:t>.</w:t>
      </w:r>
      <w:r w:rsidR="0053392D" w:rsidRPr="009F156B">
        <w:t xml:space="preserve"> Lo anterior se inserta en un contexto mundial de violencia contra </w:t>
      </w:r>
      <w:r w:rsidR="00AD766B" w:rsidRPr="009F156B">
        <w:t>defensores y defensoras</w:t>
      </w:r>
      <w:r w:rsidR="0053392D" w:rsidRPr="009F156B">
        <w:t xml:space="preserve"> de derechos humanos donde, según información recopilada por el ACNUDH, desde el año 2015 han sido asesinadas 1.323 </w:t>
      </w:r>
      <w:r w:rsidR="00AD766B" w:rsidRPr="009F156B">
        <w:t>defensores y defensoras</w:t>
      </w:r>
      <w:r w:rsidR="0053392D" w:rsidRPr="009F156B">
        <w:t xml:space="preserve"> de derechos humanos en América Latina, </w:t>
      </w:r>
      <w:r w:rsidR="002942EC" w:rsidRPr="009F156B">
        <w:t>convirtiéndola</w:t>
      </w:r>
      <w:r w:rsidR="0053392D" w:rsidRPr="009F156B">
        <w:t xml:space="preserve"> en la “región más afectada”</w:t>
      </w:r>
      <w:r w:rsidR="0053392D" w:rsidRPr="009F156B">
        <w:rPr>
          <w:rStyle w:val="Refdenotaalpie"/>
        </w:rPr>
        <w:footnoteReference w:id="48"/>
      </w:r>
      <w:r w:rsidR="0053392D" w:rsidRPr="009F156B">
        <w:t>.</w:t>
      </w:r>
    </w:p>
    <w:p w14:paraId="206226B2" w14:textId="213103E5" w:rsidR="009A6496" w:rsidRDefault="009A6496" w:rsidP="009A6496">
      <w:pPr>
        <w:widowControl/>
        <w:tabs>
          <w:tab w:val="left" w:pos="567"/>
        </w:tabs>
        <w:autoSpaceDE w:val="0"/>
        <w:autoSpaceDN w:val="0"/>
        <w:spacing w:line="240" w:lineRule="auto"/>
        <w:textAlignment w:val="auto"/>
        <w:rPr>
          <w:rFonts w:eastAsiaTheme="minorHAnsi" w:cs="Arial"/>
          <w:b/>
          <w:highlight w:val="yellow"/>
          <w:lang w:eastAsia="en-US"/>
        </w:rPr>
      </w:pPr>
    </w:p>
    <w:p w14:paraId="5F9F8156" w14:textId="7E49FE7C" w:rsidR="008640F3" w:rsidRPr="008640F3" w:rsidRDefault="00F33FCA" w:rsidP="008640F3">
      <w:pPr>
        <w:numPr>
          <w:ilvl w:val="0"/>
          <w:numId w:val="4"/>
        </w:numPr>
        <w:tabs>
          <w:tab w:val="left" w:pos="567"/>
          <w:tab w:val="num" w:pos="1569"/>
          <w:tab w:val="num" w:pos="12305"/>
        </w:tabs>
        <w:spacing w:line="240" w:lineRule="auto"/>
        <w:ind w:left="0" w:firstLine="0"/>
        <w:rPr>
          <w:rFonts w:eastAsiaTheme="minorHAnsi" w:cs="Arial"/>
          <w:lang w:eastAsia="en-US"/>
        </w:rPr>
      </w:pPr>
      <w:r w:rsidRPr="008640F3">
        <w:rPr>
          <w:rFonts w:eastAsiaTheme="minorHAnsi" w:cs="Arial"/>
          <w:lang w:eastAsia="en-US"/>
        </w:rPr>
        <w:t xml:space="preserve">El Tribunal también destaca que </w:t>
      </w:r>
      <w:r w:rsidR="00E93869" w:rsidRPr="008640F3">
        <w:rPr>
          <w:rFonts w:eastAsiaTheme="minorHAnsi" w:cs="Arial"/>
          <w:lang w:eastAsia="en-US"/>
        </w:rPr>
        <w:t>l</w:t>
      </w:r>
      <w:r w:rsidRPr="008640F3">
        <w:rPr>
          <w:rFonts w:eastAsiaTheme="minorHAnsi" w:cs="Arial"/>
          <w:lang w:eastAsia="en-US"/>
        </w:rPr>
        <w:t>as mujeres defensoras de derechos humanos sufren obstáculos adicionales</w:t>
      </w:r>
      <w:r w:rsidR="00E87467" w:rsidRPr="008640F3">
        <w:rPr>
          <w:rFonts w:eastAsiaTheme="minorHAnsi" w:cs="Arial"/>
          <w:lang w:eastAsia="en-US"/>
        </w:rPr>
        <w:t xml:space="preserve"> </w:t>
      </w:r>
      <w:r w:rsidR="00DC6DD4">
        <w:rPr>
          <w:rFonts w:eastAsiaTheme="minorHAnsi" w:cs="Arial"/>
          <w:lang w:eastAsia="en-US"/>
        </w:rPr>
        <w:t>debido a su g</w:t>
      </w:r>
      <w:r w:rsidR="0063424E">
        <w:rPr>
          <w:rFonts w:eastAsiaTheme="minorHAnsi" w:cs="Arial"/>
          <w:lang w:eastAsia="en-US"/>
        </w:rPr>
        <w:t xml:space="preserve">énero, </w:t>
      </w:r>
      <w:r w:rsidR="00D67418">
        <w:rPr>
          <w:rFonts w:eastAsiaTheme="minorHAnsi" w:cs="Arial"/>
          <w:lang w:eastAsia="en-US"/>
        </w:rPr>
        <w:t>al ser</w:t>
      </w:r>
      <w:r w:rsidR="00D67418" w:rsidRPr="008640F3">
        <w:rPr>
          <w:rFonts w:eastAsiaTheme="minorHAnsi" w:cs="Arial"/>
          <w:lang w:eastAsia="en-US"/>
        </w:rPr>
        <w:t xml:space="preserve"> </w:t>
      </w:r>
      <w:r w:rsidRPr="008640F3">
        <w:rPr>
          <w:rFonts w:eastAsiaTheme="minorHAnsi" w:cs="Arial"/>
          <w:lang w:eastAsia="en-US"/>
        </w:rPr>
        <w:t>víctimas</w:t>
      </w:r>
      <w:r w:rsidR="00E87467" w:rsidRPr="008640F3">
        <w:rPr>
          <w:rFonts w:eastAsiaTheme="minorHAnsi" w:cs="Arial"/>
          <w:lang w:eastAsia="en-US"/>
        </w:rPr>
        <w:t xml:space="preserve"> </w:t>
      </w:r>
      <w:r w:rsidRPr="008640F3">
        <w:rPr>
          <w:rFonts w:eastAsiaTheme="minorHAnsi" w:cs="Arial"/>
          <w:lang w:eastAsia="en-US"/>
        </w:rPr>
        <w:t>de</w:t>
      </w:r>
      <w:r w:rsidR="00E87467" w:rsidRPr="008640F3">
        <w:rPr>
          <w:rFonts w:eastAsiaTheme="minorHAnsi" w:cs="Arial"/>
          <w:lang w:eastAsia="en-US"/>
        </w:rPr>
        <w:t xml:space="preserve"> </w:t>
      </w:r>
      <w:r w:rsidR="0063424E">
        <w:rPr>
          <w:rFonts w:eastAsiaTheme="minorHAnsi" w:cs="Arial"/>
          <w:lang w:eastAsia="en-US"/>
        </w:rPr>
        <w:t xml:space="preserve">estigmatización, </w:t>
      </w:r>
      <w:r w:rsidR="00D67418">
        <w:rPr>
          <w:rFonts w:eastAsiaTheme="minorHAnsi" w:cs="Arial"/>
          <w:lang w:eastAsia="en-US"/>
        </w:rPr>
        <w:t xml:space="preserve">estar </w:t>
      </w:r>
      <w:r w:rsidR="00DC6DD4">
        <w:rPr>
          <w:rFonts w:eastAsiaTheme="minorHAnsi" w:cs="Arial"/>
          <w:lang w:eastAsia="en-US"/>
        </w:rPr>
        <w:t>expuestas</w:t>
      </w:r>
      <w:r w:rsidR="0063424E">
        <w:rPr>
          <w:rFonts w:eastAsiaTheme="minorHAnsi" w:cs="Arial"/>
          <w:lang w:eastAsia="en-US"/>
        </w:rPr>
        <w:t xml:space="preserve"> </w:t>
      </w:r>
      <w:r w:rsidRPr="008640F3">
        <w:rPr>
          <w:rFonts w:eastAsiaTheme="minorHAnsi" w:cs="Arial"/>
          <w:lang w:eastAsia="en-US"/>
        </w:rPr>
        <w:t>a comentarios de contenido sexista o misógino</w:t>
      </w:r>
      <w:r w:rsidR="00D67418">
        <w:rPr>
          <w:rFonts w:eastAsiaTheme="minorHAnsi" w:cs="Arial"/>
          <w:lang w:eastAsia="en-US"/>
        </w:rPr>
        <w:t>,</w:t>
      </w:r>
      <w:r w:rsidRPr="008640F3">
        <w:rPr>
          <w:rFonts w:eastAsiaTheme="minorHAnsi" w:cs="Arial"/>
          <w:lang w:eastAsia="en-US"/>
        </w:rPr>
        <w:t xml:space="preserve"> o </w:t>
      </w:r>
      <w:r w:rsidR="00DC6DD4">
        <w:rPr>
          <w:rFonts w:eastAsiaTheme="minorHAnsi" w:cs="Arial"/>
          <w:lang w:eastAsia="en-US"/>
        </w:rPr>
        <w:t>sufri</w:t>
      </w:r>
      <w:r w:rsidR="00D67418">
        <w:rPr>
          <w:rFonts w:eastAsiaTheme="minorHAnsi" w:cs="Arial"/>
          <w:lang w:eastAsia="en-US"/>
        </w:rPr>
        <w:t>r</w:t>
      </w:r>
      <w:r w:rsidR="00DC6DD4">
        <w:rPr>
          <w:rFonts w:eastAsiaTheme="minorHAnsi" w:cs="Arial"/>
          <w:lang w:eastAsia="en-US"/>
        </w:rPr>
        <w:t xml:space="preserve"> el hecho de que las denuncias presentadas por ellas no sean asumidas </w:t>
      </w:r>
      <w:r w:rsidRPr="008640F3">
        <w:rPr>
          <w:rFonts w:eastAsiaTheme="minorHAnsi" w:cs="Arial"/>
          <w:lang w:eastAsia="en-US"/>
        </w:rPr>
        <w:t>con seriedad</w:t>
      </w:r>
      <w:r w:rsidRPr="008640F3">
        <w:rPr>
          <w:rStyle w:val="Refdenotaalpie"/>
          <w:rFonts w:eastAsiaTheme="minorHAnsi" w:cs="Arial"/>
          <w:lang w:eastAsia="en-US"/>
        </w:rPr>
        <w:footnoteReference w:id="49"/>
      </w:r>
      <w:r w:rsidR="00382B67" w:rsidRPr="008640F3">
        <w:rPr>
          <w:rFonts w:eastAsiaTheme="minorHAnsi" w:cs="Arial"/>
          <w:lang w:eastAsia="en-US"/>
        </w:rPr>
        <w:t xml:space="preserve">. </w:t>
      </w:r>
      <w:r w:rsidR="008640F3" w:rsidRPr="008640F3">
        <w:rPr>
          <w:rFonts w:eastAsiaTheme="minorHAnsi" w:cs="Arial"/>
          <w:lang w:eastAsia="en-US"/>
        </w:rPr>
        <w:t>Asimismo, cabe señalar que, tal y como lo ha indicado el Relator Especial sobre la situación de los defensores de los derechos humanos en un informe de 2019</w:t>
      </w:r>
      <w:r w:rsidR="00C141D6">
        <w:rPr>
          <w:rFonts w:eastAsiaTheme="minorHAnsi" w:cs="Arial"/>
          <w:lang w:eastAsia="en-US"/>
        </w:rPr>
        <w:t>,</w:t>
      </w:r>
      <w:r w:rsidR="008640F3" w:rsidRPr="008640F3">
        <w:rPr>
          <w:rFonts w:eastAsiaTheme="minorHAnsi" w:cs="Arial"/>
          <w:lang w:eastAsia="en-US"/>
        </w:rPr>
        <w:t xml:space="preserve"> “es frecuente que, para silenciar a las defensoras, se recurra a amenazas de violencia, incluidas amenazas de violencia sexual” y que las defensoras “corren también el riesgo de ser víctimas de feminicidios, violaciones, ataques con ácido, detenciones arbitrarias, encarcelamientos, asesinatos y desapariciones forzada”</w:t>
      </w:r>
      <w:r w:rsidR="008640F3" w:rsidRPr="008640F3">
        <w:rPr>
          <w:rStyle w:val="Refdenotaalpie"/>
          <w:rFonts w:eastAsiaTheme="minorHAnsi" w:cs="Arial"/>
          <w:lang w:eastAsia="en-US"/>
        </w:rPr>
        <w:footnoteReference w:id="50"/>
      </w:r>
      <w:r w:rsidR="008640F3" w:rsidRPr="008640F3">
        <w:rPr>
          <w:rFonts w:eastAsiaTheme="minorHAnsi" w:cs="Arial"/>
          <w:lang w:eastAsia="en-US"/>
        </w:rPr>
        <w:t xml:space="preserve">. </w:t>
      </w:r>
    </w:p>
    <w:p w14:paraId="2BFB0C56" w14:textId="71DF0E7A" w:rsidR="006C107B" w:rsidRPr="004F2666" w:rsidRDefault="006C107B" w:rsidP="006C107B">
      <w:pPr>
        <w:pStyle w:val="Ttulo3"/>
        <w:rPr>
          <w:lang w:val="es-ES"/>
        </w:rPr>
      </w:pPr>
      <w:bookmarkStart w:id="45" w:name="_Toc93400244"/>
      <w:r w:rsidRPr="00D51095">
        <w:rPr>
          <w:rFonts w:cs="Times New Roman"/>
        </w:rPr>
        <w:lastRenderedPageBreak/>
        <w:t>a</w:t>
      </w:r>
      <w:r w:rsidRPr="00D51095">
        <w:rPr>
          <w:lang w:val="es-ES"/>
        </w:rPr>
        <w:t>.</w:t>
      </w:r>
      <w:r w:rsidR="00F947B5" w:rsidRPr="00D51095">
        <w:rPr>
          <w:lang w:val="es-ES"/>
        </w:rPr>
        <w:t>2</w:t>
      </w:r>
      <w:r w:rsidRPr="00D51095">
        <w:rPr>
          <w:rFonts w:cs="Times New Roman"/>
        </w:rPr>
        <w:t xml:space="preserve">. </w:t>
      </w:r>
      <w:r w:rsidR="0039044A" w:rsidRPr="00D51095">
        <w:rPr>
          <w:lang w:val="es-ES"/>
        </w:rPr>
        <w:t>Medidas cautelares y provisionales adoptadas por la Comisión y la Corte, respectivamente</w:t>
      </w:r>
      <w:bookmarkEnd w:id="45"/>
    </w:p>
    <w:p w14:paraId="7C9AD1A3" w14:textId="36BF0E14" w:rsidR="00E739A4" w:rsidRPr="004F2666" w:rsidRDefault="00BE552F" w:rsidP="00D60EB1">
      <w:pPr>
        <w:numPr>
          <w:ilvl w:val="0"/>
          <w:numId w:val="4"/>
        </w:numPr>
        <w:tabs>
          <w:tab w:val="left" w:pos="567"/>
          <w:tab w:val="num" w:pos="1569"/>
          <w:tab w:val="num" w:pos="12305"/>
        </w:tabs>
        <w:spacing w:line="240" w:lineRule="auto"/>
        <w:ind w:left="0" w:firstLine="0"/>
        <w:rPr>
          <w:b/>
        </w:rPr>
      </w:pPr>
      <w:r w:rsidRPr="004F2666">
        <w:t xml:space="preserve">Durante el año 1999, </w:t>
      </w:r>
      <w:r w:rsidR="006C2EAA" w:rsidRPr="004F2666">
        <w:t xml:space="preserve">la </w:t>
      </w:r>
      <w:r w:rsidR="001F344D">
        <w:t>señora Digna Ochoa</w:t>
      </w:r>
      <w:r w:rsidRPr="004F2666">
        <w:t xml:space="preserve"> y otros miembros del Centro</w:t>
      </w:r>
      <w:r w:rsidR="003A666E">
        <w:t xml:space="preserve"> </w:t>
      </w:r>
      <w:proofErr w:type="spellStart"/>
      <w:r w:rsidR="004D63D3">
        <w:t>ProDH</w:t>
      </w:r>
      <w:proofErr w:type="spellEnd"/>
      <w:r w:rsidRPr="004F2666">
        <w:t xml:space="preserve"> fueron víctima de diversos actos intimidatorios</w:t>
      </w:r>
      <w:r w:rsidR="00195FE6" w:rsidRPr="004F2666">
        <w:t>, los cuales</w:t>
      </w:r>
      <w:r w:rsidRPr="004F2666">
        <w:t xml:space="preserve"> dieron lugar a la presentación de varias denuncias. Entre las diversas denuncias figura una interpuesta por la </w:t>
      </w:r>
      <w:r w:rsidR="001F344D">
        <w:t>señora Digna Ochoa</w:t>
      </w:r>
      <w:r w:rsidRPr="004F2666">
        <w:t xml:space="preserve"> el 9 de agosto de 1999</w:t>
      </w:r>
      <w:r w:rsidR="009E1259">
        <w:t>,</w:t>
      </w:r>
      <w:r w:rsidRPr="004F2666">
        <w:t xml:space="preserve"> en la que alegó que fue </w:t>
      </w:r>
      <w:r w:rsidRPr="00D60EB1">
        <w:rPr>
          <w:lang w:val="es-ES"/>
        </w:rPr>
        <w:t>secuestrada</w:t>
      </w:r>
      <w:r w:rsidRPr="004F2666">
        <w:t xml:space="preserve"> por cuatro horas y le robaron su mochila y portafolios los que contenían documentos personales</w:t>
      </w:r>
      <w:r w:rsidR="00E739A4" w:rsidRPr="004F2666">
        <w:rPr>
          <w:rStyle w:val="Refdenotaalpie"/>
        </w:rPr>
        <w:footnoteReference w:id="51"/>
      </w:r>
      <w:r w:rsidRPr="004F2666">
        <w:t xml:space="preserve">. </w:t>
      </w:r>
      <w:r w:rsidR="00E739A4" w:rsidRPr="004F2666">
        <w:t>El 8 de septiembre de 1999 los miembros del Centro</w:t>
      </w:r>
      <w:r w:rsidR="003A666E">
        <w:t xml:space="preserve"> </w:t>
      </w:r>
      <w:proofErr w:type="spellStart"/>
      <w:r w:rsidR="004D63D3">
        <w:t>ProDH</w:t>
      </w:r>
      <w:proofErr w:type="spellEnd"/>
      <w:r w:rsidR="00E739A4" w:rsidRPr="004F2666">
        <w:t xml:space="preserve"> recibieron nuevas amenazas en cuatro sobres que aparecieron dentro de sus oficinas.</w:t>
      </w:r>
      <w:r w:rsidR="00E87467">
        <w:t xml:space="preserve"> </w:t>
      </w:r>
      <w:r w:rsidR="00E739A4" w:rsidRPr="004F2666">
        <w:t>Los peticionarios denunciaron estos hechos a la Procuraduría General de Justicia del Distrito Federal, la cual decidió ampliar dos investigaciones que había iniciado en 1995 y 1996 a raíz de denuncias sobre amenazas de muerte contra el entonces Director del Centr</w:t>
      </w:r>
      <w:r w:rsidR="004D63D3">
        <w:t xml:space="preserve">o </w:t>
      </w:r>
      <w:proofErr w:type="spellStart"/>
      <w:r w:rsidR="004D63D3">
        <w:t>ProDH</w:t>
      </w:r>
      <w:proofErr w:type="spellEnd"/>
      <w:r w:rsidR="004D63D3">
        <w:t xml:space="preserve"> </w:t>
      </w:r>
      <w:r w:rsidR="00E739A4" w:rsidRPr="004F2666">
        <w:t>y otros miembros</w:t>
      </w:r>
      <w:r w:rsidR="00E87467">
        <w:t xml:space="preserve"> </w:t>
      </w:r>
      <w:r w:rsidR="00E739A4" w:rsidRPr="004F2666">
        <w:t xml:space="preserve">de la misma organización, incluyendo a la </w:t>
      </w:r>
      <w:r w:rsidR="001F344D">
        <w:t>señora Digna Ochoa</w:t>
      </w:r>
      <w:r w:rsidR="00E739A4" w:rsidRPr="004F2666">
        <w:rPr>
          <w:rStyle w:val="Refdenotaalpie"/>
        </w:rPr>
        <w:footnoteReference w:id="52"/>
      </w:r>
      <w:r w:rsidR="00E739A4" w:rsidRPr="004F2666">
        <w:t xml:space="preserve">. </w:t>
      </w:r>
      <w:r w:rsidRPr="004F2666">
        <w:t>Estos hechos dieron lugar a la apertura de diligencias penales.</w:t>
      </w:r>
      <w:r w:rsidR="00E739A4" w:rsidRPr="004F2666">
        <w:t xml:space="preserve"> </w:t>
      </w:r>
    </w:p>
    <w:p w14:paraId="7808CC92" w14:textId="77777777" w:rsidR="00E739A4" w:rsidRPr="004F2666" w:rsidRDefault="00E739A4" w:rsidP="00E739A4">
      <w:pPr>
        <w:widowControl/>
        <w:tabs>
          <w:tab w:val="left" w:pos="567"/>
        </w:tabs>
        <w:autoSpaceDE w:val="0"/>
        <w:autoSpaceDN w:val="0"/>
        <w:adjustRightInd/>
        <w:spacing w:line="240" w:lineRule="auto"/>
        <w:ind w:right="-90"/>
        <w:textAlignment w:val="auto"/>
        <w:rPr>
          <w:b/>
        </w:rPr>
      </w:pPr>
    </w:p>
    <w:p w14:paraId="09DCF2E5" w14:textId="6C43F1EE" w:rsidR="00BE552F" w:rsidRPr="004F2666" w:rsidRDefault="00BE552F" w:rsidP="00D60EB1">
      <w:pPr>
        <w:numPr>
          <w:ilvl w:val="0"/>
          <w:numId w:val="4"/>
        </w:numPr>
        <w:tabs>
          <w:tab w:val="left" w:pos="567"/>
          <w:tab w:val="num" w:pos="1569"/>
          <w:tab w:val="num" w:pos="12305"/>
        </w:tabs>
        <w:spacing w:line="240" w:lineRule="auto"/>
        <w:ind w:left="0" w:firstLine="0"/>
        <w:rPr>
          <w:b/>
        </w:rPr>
      </w:pPr>
      <w:r w:rsidRPr="004F2666">
        <w:t xml:space="preserve">La </w:t>
      </w:r>
      <w:r w:rsidR="001F344D">
        <w:t>señora Digna Ochoa</w:t>
      </w:r>
      <w:r w:rsidRPr="004F2666">
        <w:t xml:space="preserve"> también denunció el 29 de octubre de 1999 que el día anterior, alrededor de las 22:00 horas, fue secuestrada en su propio domicilio, </w:t>
      </w:r>
      <w:r w:rsidR="00C106E7" w:rsidRPr="004F2666">
        <w:t xml:space="preserve">amenazada y </w:t>
      </w:r>
      <w:r w:rsidRPr="004F2666">
        <w:t xml:space="preserve">dejada inconsciente </w:t>
      </w:r>
      <w:r w:rsidR="00C106E7" w:rsidRPr="004F2666">
        <w:t xml:space="preserve">atada a su propia cama. Los </w:t>
      </w:r>
      <w:r w:rsidR="00382B67" w:rsidRPr="004F2666">
        <w:t>agresores</w:t>
      </w:r>
      <w:r w:rsidR="00C106E7" w:rsidRPr="004F2666">
        <w:t xml:space="preserve"> </w:t>
      </w:r>
      <w:r w:rsidR="00BC3965" w:rsidRPr="004F2666">
        <w:t>habrían colocado</w:t>
      </w:r>
      <w:r w:rsidR="00C106E7" w:rsidRPr="004F2666">
        <w:t xml:space="preserve"> a su lado un tanque de gas abierto y </w:t>
      </w:r>
      <w:r w:rsidR="00BC3965" w:rsidRPr="004F2666">
        <w:t>habrían abandonado</w:t>
      </w:r>
      <w:r w:rsidR="00C106E7" w:rsidRPr="004F2666">
        <w:t xml:space="preserve"> su domicilio. La </w:t>
      </w:r>
      <w:r w:rsidR="001F344D">
        <w:t>señora Digna Ochoa</w:t>
      </w:r>
      <w:r w:rsidR="00C106E7" w:rsidRPr="004F2666">
        <w:t xml:space="preserve"> se despertó y</w:t>
      </w:r>
      <w:r w:rsidRPr="004F2666">
        <w:t xml:space="preserve"> pudo liberarse a tiempo para cerrar </w:t>
      </w:r>
      <w:r w:rsidRPr="004F2666">
        <w:rPr>
          <w:bCs/>
        </w:rPr>
        <w:t xml:space="preserve">el </w:t>
      </w:r>
      <w:r w:rsidRPr="004F2666">
        <w:t>tanque de</w:t>
      </w:r>
      <w:r w:rsidR="00C106E7" w:rsidRPr="004F2666">
        <w:t xml:space="preserve"> gas</w:t>
      </w:r>
      <w:r w:rsidRPr="004F2666">
        <w:t xml:space="preserve">. </w:t>
      </w:r>
      <w:r w:rsidR="00C106E7" w:rsidRPr="004F2666">
        <w:t>Más tarde</w:t>
      </w:r>
      <w:r w:rsidR="00C141D6">
        <w:t>,</w:t>
      </w:r>
      <w:r w:rsidR="00C106E7" w:rsidRPr="004F2666">
        <w:t xml:space="preserve"> encontró en su casa el portafolio que le había sido robado durante su secuestro de 9 de agosto de 1999</w:t>
      </w:r>
      <w:r w:rsidR="00D819D8" w:rsidRPr="004F2666">
        <w:t>.</w:t>
      </w:r>
      <w:r w:rsidR="00C106E7" w:rsidRPr="004F2666">
        <w:t xml:space="preserve"> </w:t>
      </w:r>
      <w:r w:rsidRPr="004F2666">
        <w:t xml:space="preserve">Ese mismo día, los trabajadores del Centro </w:t>
      </w:r>
      <w:proofErr w:type="spellStart"/>
      <w:r w:rsidRPr="004F2666">
        <w:t>Pro</w:t>
      </w:r>
      <w:r w:rsidR="00382B67">
        <w:t>DH</w:t>
      </w:r>
      <w:proofErr w:type="spellEnd"/>
      <w:r w:rsidRPr="004F2666">
        <w:t xml:space="preserve"> encontraron sus oficinas allanadas y desordenadas, así como nuevos anónimos amenazantes</w:t>
      </w:r>
      <w:r w:rsidR="00E739A4" w:rsidRPr="004F2666">
        <w:rPr>
          <w:rStyle w:val="Refdenotaalpie"/>
        </w:rPr>
        <w:footnoteReference w:id="53"/>
      </w:r>
      <w:r w:rsidRPr="004F2666">
        <w:t xml:space="preserve">. </w:t>
      </w:r>
    </w:p>
    <w:p w14:paraId="0D569377" w14:textId="77777777" w:rsidR="00093E34" w:rsidRPr="003266B7" w:rsidRDefault="00093E34" w:rsidP="00093E34">
      <w:pPr>
        <w:autoSpaceDE w:val="0"/>
        <w:autoSpaceDN w:val="0"/>
        <w:spacing w:line="240" w:lineRule="auto"/>
        <w:rPr>
          <w:b/>
        </w:rPr>
      </w:pPr>
    </w:p>
    <w:p w14:paraId="4EECB7C9" w14:textId="59657D5D" w:rsidR="00093E34" w:rsidRPr="004F2666" w:rsidRDefault="00E739A4" w:rsidP="00D60EB1">
      <w:pPr>
        <w:numPr>
          <w:ilvl w:val="0"/>
          <w:numId w:val="4"/>
        </w:numPr>
        <w:tabs>
          <w:tab w:val="left" w:pos="567"/>
          <w:tab w:val="num" w:pos="1569"/>
          <w:tab w:val="num" w:pos="12305"/>
        </w:tabs>
        <w:spacing w:line="240" w:lineRule="auto"/>
        <w:ind w:left="0" w:firstLine="0"/>
      </w:pPr>
      <w:r w:rsidRPr="004F2666">
        <w:t>En el marco de este escenario de amenazas e intimidaciones, e</w:t>
      </w:r>
      <w:r w:rsidR="00093E34" w:rsidRPr="004F2666">
        <w:t xml:space="preserve">l 9 de septiembre de 1999 la Comisión Interamericana otorgó medidas cautelares y solicitó al Estado la adopción de medidas concretas, con carácter urgente, a efectos de la protección de la vida e integridad física de Digna Ochoa y Plácido, </w:t>
      </w:r>
      <w:r w:rsidR="00093E34" w:rsidRPr="00D60EB1">
        <w:rPr>
          <w:lang w:val="es-ES"/>
        </w:rPr>
        <w:t>Edgar</w:t>
      </w:r>
      <w:r w:rsidR="00093E34" w:rsidRPr="004F2666">
        <w:t xml:space="preserve"> </w:t>
      </w:r>
      <w:proofErr w:type="spellStart"/>
      <w:r w:rsidR="00093E34" w:rsidRPr="004F2666">
        <w:t>Cortéz</w:t>
      </w:r>
      <w:proofErr w:type="spellEnd"/>
      <w:r w:rsidR="00093E34" w:rsidRPr="004F2666">
        <w:t xml:space="preserve"> Morale</w:t>
      </w:r>
      <w:r w:rsidR="00382B67">
        <w:t xml:space="preserve">s y los miembros del Centro </w:t>
      </w:r>
      <w:proofErr w:type="spellStart"/>
      <w:r w:rsidR="00382B67">
        <w:t>P</w:t>
      </w:r>
      <w:r w:rsidR="004D63D3">
        <w:t>ro</w:t>
      </w:r>
      <w:r w:rsidR="00382B67">
        <w:t>DH</w:t>
      </w:r>
      <w:proofErr w:type="spellEnd"/>
      <w:r w:rsidRPr="004F2666">
        <w:rPr>
          <w:rStyle w:val="Refdenotaalpie"/>
        </w:rPr>
        <w:footnoteReference w:id="54"/>
      </w:r>
      <w:r w:rsidR="00093E34" w:rsidRPr="004F2666">
        <w:t xml:space="preserve">. </w:t>
      </w:r>
    </w:p>
    <w:p w14:paraId="6A536851" w14:textId="77777777" w:rsidR="00093E34" w:rsidRPr="004F2666" w:rsidRDefault="00093E34" w:rsidP="00093E34">
      <w:pPr>
        <w:autoSpaceDE w:val="0"/>
        <w:autoSpaceDN w:val="0"/>
        <w:spacing w:line="240" w:lineRule="auto"/>
        <w:rPr>
          <w:highlight w:val="yellow"/>
        </w:rPr>
      </w:pPr>
    </w:p>
    <w:p w14:paraId="405D1D70" w14:textId="6D8B31FA" w:rsidR="00402951" w:rsidRPr="004F2666" w:rsidRDefault="00402951" w:rsidP="00D60EB1">
      <w:pPr>
        <w:numPr>
          <w:ilvl w:val="0"/>
          <w:numId w:val="4"/>
        </w:numPr>
        <w:tabs>
          <w:tab w:val="left" w:pos="567"/>
          <w:tab w:val="num" w:pos="1569"/>
          <w:tab w:val="num" w:pos="12305"/>
        </w:tabs>
        <w:spacing w:line="240" w:lineRule="auto"/>
        <w:ind w:left="0" w:firstLine="0"/>
      </w:pPr>
      <w:r w:rsidRPr="004F2666">
        <w:t>Toda vez que los peticionarios habían alegado que las medidas cautelares adoptadas por el Estado no habían sido eficaces, e</w:t>
      </w:r>
      <w:r w:rsidR="00093E34" w:rsidRPr="004F2666">
        <w:t>l 11 de noviembre de 1999 la Comisión solicitó medidas provisional</w:t>
      </w:r>
      <w:r w:rsidRPr="004F2666">
        <w:t>es ante la Corte</w:t>
      </w:r>
      <w:r w:rsidR="005F3046" w:rsidRPr="004F2666">
        <w:t xml:space="preserve">. </w:t>
      </w:r>
      <w:r w:rsidRPr="004F2666">
        <w:t xml:space="preserve">Las medidas provisionales </w:t>
      </w:r>
      <w:r w:rsidR="00093E34" w:rsidRPr="004F2666">
        <w:t xml:space="preserve">fueron otorgadas </w:t>
      </w:r>
      <w:r w:rsidRPr="004F2666">
        <w:t xml:space="preserve">por </w:t>
      </w:r>
      <w:r w:rsidR="004D63D3">
        <w:t>este Tribunal</w:t>
      </w:r>
      <w:r w:rsidRPr="004F2666">
        <w:t xml:space="preserve"> </w:t>
      </w:r>
      <w:r w:rsidR="00093E34" w:rsidRPr="004F2666">
        <w:t xml:space="preserve">el 17 de noviembre de </w:t>
      </w:r>
      <w:r w:rsidR="00093E34" w:rsidRPr="00D60EB1">
        <w:rPr>
          <w:lang w:val="es-ES"/>
        </w:rPr>
        <w:t>1999</w:t>
      </w:r>
      <w:r w:rsidR="00C106E7" w:rsidRPr="004F2666">
        <w:t xml:space="preserve">, </w:t>
      </w:r>
      <w:r w:rsidRPr="004F2666">
        <w:t>ya que</w:t>
      </w:r>
      <w:r w:rsidR="00C106E7" w:rsidRPr="004F2666">
        <w:t xml:space="preserve"> consideró que “la seguridad de los miembros del Centro</w:t>
      </w:r>
      <w:r w:rsidR="003A666E">
        <w:t xml:space="preserve"> </w:t>
      </w:r>
      <w:proofErr w:type="spellStart"/>
      <w:r w:rsidR="004D63D3">
        <w:t>ProDH</w:t>
      </w:r>
      <w:proofErr w:type="spellEnd"/>
      <w:r w:rsidRPr="004F2666">
        <w:t>”</w:t>
      </w:r>
      <w:r w:rsidR="00C106E7" w:rsidRPr="004F2666">
        <w:t xml:space="preserve"> </w:t>
      </w:r>
      <w:r w:rsidRPr="004F2666">
        <w:t>estaba “</w:t>
      </w:r>
      <w:r w:rsidR="00C106E7" w:rsidRPr="004F2666">
        <w:t>en grave riesgo”</w:t>
      </w:r>
      <w:r w:rsidR="00093E34" w:rsidRPr="004F2666">
        <w:rPr>
          <w:rStyle w:val="Refdenotaalpie"/>
          <w:rFonts w:eastAsiaTheme="majorEastAsia"/>
        </w:rPr>
        <w:footnoteReference w:id="55"/>
      </w:r>
      <w:r w:rsidR="00093E34" w:rsidRPr="004F2666">
        <w:t xml:space="preserve">. </w:t>
      </w:r>
      <w:r w:rsidR="00C106E7" w:rsidRPr="004F2666">
        <w:t xml:space="preserve">La Corte requirió al Estado adoptar cuantas medidas fueran necesarias para proteger la vida e </w:t>
      </w:r>
      <w:r w:rsidR="00382B67" w:rsidRPr="004F2666">
        <w:t>integridad</w:t>
      </w:r>
      <w:r w:rsidR="00C106E7" w:rsidRPr="004F2666">
        <w:t xml:space="preserve"> de la </w:t>
      </w:r>
      <w:r w:rsidR="001F344D">
        <w:t>señora Digna Ochoa</w:t>
      </w:r>
      <w:r w:rsidR="00C106E7" w:rsidRPr="004F2666">
        <w:t xml:space="preserve"> y de otros miembros del Centro</w:t>
      </w:r>
      <w:r w:rsidR="003A666E">
        <w:t xml:space="preserve"> </w:t>
      </w:r>
      <w:proofErr w:type="spellStart"/>
      <w:r w:rsidR="004D63D3">
        <w:t>ProDH</w:t>
      </w:r>
      <w:proofErr w:type="spellEnd"/>
      <w:r w:rsidR="00C106E7" w:rsidRPr="004F2666">
        <w:rPr>
          <w:rStyle w:val="Refdenotaalpie"/>
        </w:rPr>
        <w:footnoteReference w:id="56"/>
      </w:r>
      <w:r w:rsidR="00C106E7" w:rsidRPr="004F2666">
        <w:t xml:space="preserve">. </w:t>
      </w:r>
    </w:p>
    <w:p w14:paraId="1BCFAAE4" w14:textId="77777777" w:rsidR="00402951" w:rsidRPr="004F2666" w:rsidRDefault="00402951" w:rsidP="00402951">
      <w:pPr>
        <w:widowControl/>
        <w:tabs>
          <w:tab w:val="left" w:pos="567"/>
        </w:tabs>
        <w:autoSpaceDE w:val="0"/>
        <w:autoSpaceDN w:val="0"/>
        <w:adjustRightInd/>
        <w:spacing w:line="240" w:lineRule="auto"/>
        <w:ind w:right="-90"/>
        <w:textAlignment w:val="auto"/>
      </w:pPr>
    </w:p>
    <w:p w14:paraId="1CD5E483" w14:textId="3A96DAEC"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El 31 de mayo de 2001 el Estado solicitó el levantamiento de las </w:t>
      </w:r>
      <w:r w:rsidR="004D63D3">
        <w:t xml:space="preserve">referidas </w:t>
      </w:r>
      <w:r w:rsidRPr="004F2666">
        <w:t xml:space="preserve">medidas provisionales, reiterando su solicitud el 14 de agosto de 2001. El 21 de agosto de 2001 </w:t>
      </w:r>
      <w:r w:rsidR="00183EC9">
        <w:t>las representantes</w:t>
      </w:r>
      <w:r w:rsidRPr="004F2666">
        <w:t xml:space="preserve"> de los beneficiarios estuvieron de acuerdo con el levantamiento de las medidas </w:t>
      </w:r>
      <w:r w:rsidRPr="004F2666">
        <w:lastRenderedPageBreak/>
        <w:t>provisionales, dado que</w:t>
      </w:r>
      <w:r w:rsidR="00D819D8" w:rsidRPr="004F2666">
        <w:t>, según lo indicado por la Comisión,</w:t>
      </w:r>
      <w:r w:rsidRPr="004F2666">
        <w:t xml:space="preserve"> en los últimos meses </w:t>
      </w:r>
      <w:r w:rsidR="00D819D8" w:rsidRPr="004F2666">
        <w:t>“</w:t>
      </w:r>
      <w:r w:rsidRPr="004F2666">
        <w:t>habrían cesado los actos de amedrentamiento y amenazas que dieron origen a las medidas provisionales</w:t>
      </w:r>
      <w:r w:rsidR="00D819D8" w:rsidRPr="004F2666">
        <w:t>”</w:t>
      </w:r>
      <w:r w:rsidR="00D819D8" w:rsidRPr="004F2666">
        <w:rPr>
          <w:rStyle w:val="Refdenotaalpie"/>
        </w:rPr>
        <w:footnoteReference w:id="57"/>
      </w:r>
      <w:r w:rsidRPr="004F2666">
        <w:t xml:space="preserve">. A su vez, la Comisión informó el 22 de agosto de 2001 que, en tanto las medidas habían cumplido su objetivo, y, con la anuencia de </w:t>
      </w:r>
      <w:r w:rsidR="00183EC9">
        <w:t>las representantes</w:t>
      </w:r>
      <w:r w:rsidRPr="004F2666">
        <w:t xml:space="preserve"> de los beneficiarios, </w:t>
      </w:r>
      <w:r w:rsidR="00D819D8" w:rsidRPr="004F2666">
        <w:t>no tenía</w:t>
      </w:r>
      <w:r w:rsidRPr="004F2666">
        <w:t xml:space="preserve"> objeciones </w:t>
      </w:r>
      <w:r w:rsidR="00D819D8" w:rsidRPr="004F2666">
        <w:t>respecto d</w:t>
      </w:r>
      <w:r w:rsidRPr="004F2666">
        <w:t>el levantamiento de las medidas provisionales</w:t>
      </w:r>
      <w:r w:rsidR="005F3046" w:rsidRPr="004F2666">
        <w:rPr>
          <w:rStyle w:val="Refdenotaalpie"/>
        </w:rPr>
        <w:footnoteReference w:id="58"/>
      </w:r>
      <w:r w:rsidRPr="004F2666">
        <w:t xml:space="preserve">. </w:t>
      </w:r>
      <w:r w:rsidR="00D819D8" w:rsidRPr="004F2666">
        <w:t>En consecuencia, e</w:t>
      </w:r>
      <w:r w:rsidRPr="004F2666">
        <w:t xml:space="preserve">l 28 de agosto de 2001 la Corte </w:t>
      </w:r>
      <w:r w:rsidR="007305A8">
        <w:t>I</w:t>
      </w:r>
      <w:r w:rsidRPr="004F2666">
        <w:t>nteramericana levantó las medidas provisionales</w:t>
      </w:r>
      <w:r w:rsidRPr="004F2666">
        <w:rPr>
          <w:rStyle w:val="Refdenotaalpie"/>
          <w:rFonts w:eastAsiaTheme="majorEastAsia"/>
        </w:rPr>
        <w:footnoteReference w:id="59"/>
      </w:r>
      <w:r w:rsidRPr="004F2666">
        <w:t>.</w:t>
      </w:r>
      <w:r w:rsidRPr="004F2666">
        <w:rPr>
          <w:b/>
        </w:rPr>
        <w:t xml:space="preserve"> </w:t>
      </w:r>
    </w:p>
    <w:p w14:paraId="573F8FAB" w14:textId="77777777" w:rsidR="00093E34" w:rsidRPr="004F2666" w:rsidRDefault="00093E34" w:rsidP="00093E34">
      <w:pPr>
        <w:widowControl/>
        <w:tabs>
          <w:tab w:val="left" w:pos="567"/>
          <w:tab w:val="num" w:pos="12305"/>
        </w:tabs>
        <w:autoSpaceDE w:val="0"/>
        <w:autoSpaceDN w:val="0"/>
        <w:adjustRightInd/>
        <w:spacing w:line="240" w:lineRule="auto"/>
        <w:ind w:right="-90"/>
        <w:textAlignment w:val="auto"/>
        <w:rPr>
          <w:b/>
        </w:rPr>
      </w:pPr>
    </w:p>
    <w:p w14:paraId="13886471" w14:textId="4AF714CB" w:rsidR="00614177" w:rsidRPr="00D51095" w:rsidRDefault="00403535" w:rsidP="00BB668C">
      <w:pPr>
        <w:pStyle w:val="Ttulo2"/>
        <w:numPr>
          <w:ilvl w:val="0"/>
          <w:numId w:val="7"/>
        </w:numPr>
        <w:spacing w:before="0" w:after="0"/>
        <w:rPr>
          <w:lang w:val="es-ES"/>
        </w:rPr>
      </w:pPr>
      <w:bookmarkStart w:id="46" w:name="_Toc93400245"/>
      <w:r w:rsidRPr="00D51095">
        <w:rPr>
          <w:lang w:val="es-ES"/>
        </w:rPr>
        <w:t xml:space="preserve">Sobre la vida y </w:t>
      </w:r>
      <w:r w:rsidR="0039044A" w:rsidRPr="00D51095">
        <w:rPr>
          <w:lang w:val="es-ES"/>
        </w:rPr>
        <w:t>m</w:t>
      </w:r>
      <w:r w:rsidR="00614177" w:rsidRPr="00D51095">
        <w:rPr>
          <w:lang w:val="es-ES"/>
        </w:rPr>
        <w:t xml:space="preserve">uerte de la </w:t>
      </w:r>
      <w:r w:rsidR="001F344D">
        <w:rPr>
          <w:lang w:val="es-ES"/>
        </w:rPr>
        <w:t>señora Digna Ochoa</w:t>
      </w:r>
      <w:bookmarkEnd w:id="46"/>
    </w:p>
    <w:p w14:paraId="59F9BF52" w14:textId="54CD58BC" w:rsidR="00614177" w:rsidRDefault="00614177" w:rsidP="00614177">
      <w:pPr>
        <w:rPr>
          <w:lang w:val="es-ES"/>
        </w:rPr>
      </w:pPr>
    </w:p>
    <w:p w14:paraId="344177D8" w14:textId="49E5AE2D" w:rsidR="00F947B5" w:rsidRPr="004F2666" w:rsidRDefault="00F947B5" w:rsidP="00F947B5">
      <w:pPr>
        <w:numPr>
          <w:ilvl w:val="0"/>
          <w:numId w:val="4"/>
        </w:numPr>
        <w:tabs>
          <w:tab w:val="left" w:pos="567"/>
          <w:tab w:val="num" w:pos="1569"/>
          <w:tab w:val="num" w:pos="12305"/>
        </w:tabs>
        <w:spacing w:line="240" w:lineRule="auto"/>
        <w:ind w:left="0" w:firstLine="0"/>
        <w:rPr>
          <w:rFonts w:eastAsiaTheme="minorHAnsi" w:cs="Arial"/>
          <w:lang w:eastAsia="en-US"/>
        </w:rPr>
      </w:pPr>
      <w:r>
        <w:t xml:space="preserve">La señora </w:t>
      </w:r>
      <w:r w:rsidRPr="004F2666">
        <w:t xml:space="preserve">Digna Ochoa y Plácido, nacida el 15 de </w:t>
      </w:r>
      <w:r>
        <w:t xml:space="preserve">mayo de </w:t>
      </w:r>
      <w:r w:rsidRPr="004F2666">
        <w:t xml:space="preserve">1964 en Misantla, </w:t>
      </w:r>
      <w:r w:rsidRPr="004F2666">
        <w:rPr>
          <w:lang w:val="es-ES"/>
        </w:rPr>
        <w:t>Veracruz,</w:t>
      </w:r>
      <w:r w:rsidRPr="004F2666">
        <w:t xml:space="preserve"> fue una conocida defensora de derechos humanos en el ámbito nacional mexicano e</w:t>
      </w:r>
      <w:r w:rsidRPr="004F2666">
        <w:rPr>
          <w:rFonts w:cs="Arial"/>
          <w:b/>
          <w:bCs/>
        </w:rPr>
        <w:t xml:space="preserve"> </w:t>
      </w:r>
      <w:r w:rsidRPr="004F2666">
        <w:t>internacional. Fue integrante del equipo del Centro</w:t>
      </w:r>
      <w:r>
        <w:t xml:space="preserve"> </w:t>
      </w:r>
      <w:proofErr w:type="spellStart"/>
      <w:r>
        <w:t>ProDH</w:t>
      </w:r>
      <w:proofErr w:type="spellEnd"/>
      <w:r w:rsidRPr="004F2666">
        <w:t xml:space="preserve">, participando en la defensa de varios casos de gran relevancia en México, tales como </w:t>
      </w:r>
      <w:r w:rsidRPr="00F947B5">
        <w:t>la masacre de “Aguas Blancas”</w:t>
      </w:r>
      <w:r w:rsidRPr="004F2666">
        <w:t xml:space="preserve"> o las violaciones de derechos </w:t>
      </w:r>
      <w:r w:rsidRPr="004F2666">
        <w:rPr>
          <w:lang w:val="es-ES"/>
        </w:rPr>
        <w:t>humanos</w:t>
      </w:r>
      <w:r w:rsidRPr="004F2666">
        <w:t xml:space="preserve"> sufridas por los señores </w:t>
      </w:r>
      <w:r w:rsidRPr="004F2666">
        <w:rPr>
          <w:lang w:val="es-ES"/>
        </w:rPr>
        <w:t>Cabrera</w:t>
      </w:r>
      <w:r w:rsidRPr="004F2666">
        <w:t xml:space="preserve"> García y Montiel Flores o los señores García Cruz y Sánchez Silvestre</w:t>
      </w:r>
      <w:r w:rsidRPr="004F2666">
        <w:rPr>
          <w:rStyle w:val="Refdenotaalpie"/>
        </w:rPr>
        <w:footnoteReference w:id="60"/>
      </w:r>
      <w:r w:rsidRPr="004F2666">
        <w:t>, casos</w:t>
      </w:r>
      <w:r>
        <w:t>, estos últimos,</w:t>
      </w:r>
      <w:r w:rsidRPr="004F2666">
        <w:t xml:space="preserve"> que fueron posteriormente sometidos por la Comisión ante la Corte Interamericana</w:t>
      </w:r>
      <w:r w:rsidRPr="004F2666">
        <w:rPr>
          <w:rStyle w:val="Refdenotaalpie"/>
        </w:rPr>
        <w:footnoteReference w:id="61"/>
      </w:r>
      <w:r w:rsidRPr="004F2666">
        <w:t xml:space="preserve">. </w:t>
      </w:r>
      <w:r w:rsidRPr="004F2666">
        <w:rPr>
          <w:rFonts w:eastAsiaTheme="minorHAnsi" w:cs="Arial"/>
          <w:lang w:eastAsia="en-US"/>
        </w:rPr>
        <w:t xml:space="preserve">La Comisión de Derechos Humanos del Distrito Federal (en adelante “CDHDF”), en un informe especial sobre su caso de julio de 2004, se refirió al compromiso de la </w:t>
      </w:r>
      <w:r w:rsidR="001F344D">
        <w:rPr>
          <w:rFonts w:eastAsiaTheme="minorHAnsi" w:cs="Arial"/>
          <w:lang w:eastAsia="en-US"/>
        </w:rPr>
        <w:t>señora Digna Ochoa</w:t>
      </w:r>
      <w:r w:rsidRPr="004F2666">
        <w:rPr>
          <w:rFonts w:eastAsiaTheme="minorHAnsi" w:cs="Arial"/>
          <w:lang w:eastAsia="en-US"/>
        </w:rPr>
        <w:t xml:space="preserve"> por la defensa de los derechos humanos</w:t>
      </w:r>
      <w:r w:rsidR="009E1259">
        <w:rPr>
          <w:rFonts w:eastAsiaTheme="minorHAnsi" w:cs="Arial"/>
          <w:lang w:eastAsia="en-US"/>
        </w:rPr>
        <w:t xml:space="preserve"> indicando</w:t>
      </w:r>
      <w:r w:rsidRPr="004F2666">
        <w:rPr>
          <w:rFonts w:eastAsiaTheme="minorHAnsi" w:cs="Arial"/>
          <w:lang w:eastAsia="en-US"/>
        </w:rPr>
        <w:t xml:space="preserve"> lo siguiente:</w:t>
      </w:r>
    </w:p>
    <w:p w14:paraId="4E9F67D8" w14:textId="77777777" w:rsidR="00F947B5" w:rsidRPr="004F2666" w:rsidRDefault="00F947B5" w:rsidP="00F947B5">
      <w:pPr>
        <w:widowControl/>
        <w:autoSpaceDE w:val="0"/>
        <w:autoSpaceDN w:val="0"/>
        <w:spacing w:line="240" w:lineRule="auto"/>
        <w:jc w:val="left"/>
        <w:textAlignment w:val="auto"/>
        <w:rPr>
          <w:rFonts w:eastAsiaTheme="minorHAnsi" w:cs="Arial"/>
          <w:sz w:val="24"/>
          <w:szCs w:val="24"/>
          <w:lang w:eastAsia="en-US"/>
        </w:rPr>
      </w:pPr>
    </w:p>
    <w:p w14:paraId="545FA328" w14:textId="2616FF45" w:rsidR="00F947B5" w:rsidRPr="004F2666" w:rsidRDefault="00F947B5" w:rsidP="009E1259">
      <w:pPr>
        <w:widowControl/>
        <w:autoSpaceDE w:val="0"/>
        <w:autoSpaceDN w:val="0"/>
        <w:spacing w:line="240" w:lineRule="auto"/>
        <w:ind w:left="851" w:right="866"/>
        <w:textAlignment w:val="auto"/>
        <w:rPr>
          <w:rFonts w:eastAsiaTheme="minorHAnsi" w:cs="Arial"/>
          <w:sz w:val="18"/>
          <w:szCs w:val="18"/>
          <w:lang w:eastAsia="en-US"/>
        </w:rPr>
      </w:pPr>
      <w:r w:rsidRPr="004F2666">
        <w:rPr>
          <w:rFonts w:eastAsiaTheme="minorHAnsi" w:cs="Arial"/>
          <w:sz w:val="18"/>
          <w:szCs w:val="18"/>
          <w:lang w:eastAsia="en-US"/>
        </w:rPr>
        <w:t>La l</w:t>
      </w:r>
      <w:r w:rsidR="009E1259">
        <w:rPr>
          <w:rFonts w:eastAsiaTheme="minorHAnsi" w:cs="Arial"/>
          <w:sz w:val="18"/>
          <w:szCs w:val="18"/>
          <w:lang w:eastAsia="en-US"/>
        </w:rPr>
        <w:t>icenciada Digna Ochoa y Plácido</w:t>
      </w:r>
      <w:r w:rsidRPr="004F2666">
        <w:rPr>
          <w:rFonts w:eastAsiaTheme="minorHAnsi" w:cs="Arial"/>
          <w:sz w:val="18"/>
          <w:szCs w:val="18"/>
          <w:lang w:eastAsia="en-US"/>
        </w:rPr>
        <w:t xml:space="preserve"> ha sido identificada por su fuerte vocación social y amplio sentido ético. Lo que hizo en vida es motivo de reconocimiento. Su esfuerzo y compromiso constituyen un ejemplo en la lucha por la defensa de los derechos humanos, ya que ella defendió a quien pocos o nadie quería defender. Su destacada labor en la defensa de los derechos humanos la hizo merecedora de diversos reconocimientos, entre los que sobresalen la Medalla Roque Dalton, el Premio de Amnistía Internacional para Defensores de Derechos Humanos, el Premio de la Asociación de Derechos Humanos de la Barra de Abogados de Nueva York, entre otros</w:t>
      </w:r>
      <w:r w:rsidRPr="004F2666">
        <w:rPr>
          <w:rStyle w:val="Refdenotaalpie"/>
          <w:rFonts w:eastAsiaTheme="minorHAnsi" w:cs="Arial"/>
          <w:sz w:val="18"/>
          <w:szCs w:val="18"/>
          <w:lang w:eastAsia="en-US"/>
        </w:rPr>
        <w:footnoteReference w:id="62"/>
      </w:r>
      <w:r w:rsidRPr="004F2666">
        <w:rPr>
          <w:rFonts w:eastAsiaTheme="minorHAnsi" w:cs="Arial"/>
          <w:sz w:val="18"/>
          <w:szCs w:val="18"/>
          <w:lang w:eastAsia="en-US"/>
        </w:rPr>
        <w:t>.</w:t>
      </w:r>
    </w:p>
    <w:p w14:paraId="74031FA0" w14:textId="77777777" w:rsidR="00F947B5" w:rsidRPr="004F2666" w:rsidRDefault="00F947B5" w:rsidP="00F947B5">
      <w:pPr>
        <w:widowControl/>
        <w:autoSpaceDE w:val="0"/>
        <w:autoSpaceDN w:val="0"/>
        <w:spacing w:line="240" w:lineRule="auto"/>
        <w:ind w:left="851" w:right="866"/>
        <w:textAlignment w:val="auto"/>
        <w:rPr>
          <w:sz w:val="18"/>
          <w:szCs w:val="18"/>
        </w:rPr>
      </w:pPr>
    </w:p>
    <w:p w14:paraId="36E1451F" w14:textId="77777777" w:rsidR="00F947B5" w:rsidRDefault="00F947B5" w:rsidP="00B25C91">
      <w:pPr>
        <w:numPr>
          <w:ilvl w:val="0"/>
          <w:numId w:val="4"/>
        </w:numPr>
        <w:tabs>
          <w:tab w:val="left" w:pos="567"/>
          <w:tab w:val="num" w:pos="1569"/>
          <w:tab w:val="num" w:pos="12305"/>
        </w:tabs>
        <w:spacing w:line="240" w:lineRule="auto"/>
        <w:ind w:left="0" w:firstLine="0"/>
      </w:pPr>
      <w:r w:rsidRPr="004F2666">
        <w:t>Asimismo, en su escrito de contestación, el Estado mexicano expresó “su más sincero reconocimiento a la importante labor que en su momento desempeñó la defensora de derechos humanos”</w:t>
      </w:r>
      <w:r w:rsidRPr="004F2666">
        <w:rPr>
          <w:rStyle w:val="Refdenotaalpie"/>
        </w:rPr>
        <w:footnoteReference w:id="63"/>
      </w:r>
      <w:r w:rsidRPr="004F2666">
        <w:t>.</w:t>
      </w:r>
    </w:p>
    <w:p w14:paraId="64D2155D" w14:textId="77777777" w:rsidR="00F947B5" w:rsidRPr="00F947B5" w:rsidRDefault="00F947B5" w:rsidP="003266B7">
      <w:pPr>
        <w:spacing w:line="240" w:lineRule="auto"/>
      </w:pPr>
    </w:p>
    <w:p w14:paraId="24BFF666" w14:textId="536BE880" w:rsidR="00060775" w:rsidRPr="004F2666" w:rsidRDefault="00F947B5" w:rsidP="00B25C91">
      <w:pPr>
        <w:numPr>
          <w:ilvl w:val="0"/>
          <w:numId w:val="4"/>
        </w:numPr>
        <w:tabs>
          <w:tab w:val="left" w:pos="567"/>
          <w:tab w:val="num" w:pos="1569"/>
          <w:tab w:val="num" w:pos="12305"/>
        </w:tabs>
        <w:spacing w:line="240" w:lineRule="auto"/>
        <w:ind w:left="0" w:firstLine="0"/>
        <w:rPr>
          <w:b/>
        </w:rPr>
      </w:pPr>
      <w:r>
        <w:t>E</w:t>
      </w:r>
      <w:r w:rsidRPr="004F2666">
        <w:t>l 19 de octubre de 2001</w:t>
      </w:r>
      <w:r>
        <w:t>,</w:t>
      </w:r>
      <w:r w:rsidRPr="004F2666">
        <w:t xml:space="preserve"> a las 18:00 horas</w:t>
      </w:r>
      <w:r>
        <w:t>,</w:t>
      </w:r>
      <w:r w:rsidRPr="004F2666">
        <w:t xml:space="preserve"> </w:t>
      </w:r>
      <w:r>
        <w:t>la</w:t>
      </w:r>
      <w:r w:rsidR="00060775" w:rsidRPr="004F2666">
        <w:t xml:space="preserve"> </w:t>
      </w:r>
      <w:r w:rsidR="001F344D">
        <w:t>señora Digna Ochoa</w:t>
      </w:r>
      <w:r w:rsidR="00060775" w:rsidRPr="004F2666">
        <w:t xml:space="preserve"> fue encontrada sin vida por su compañero </w:t>
      </w:r>
      <w:r w:rsidR="00060775" w:rsidRPr="00D60EB1">
        <w:rPr>
          <w:lang w:val="es-ES"/>
        </w:rPr>
        <w:t>laboral</w:t>
      </w:r>
      <w:r w:rsidR="00060775" w:rsidRPr="004F2666">
        <w:t xml:space="preserve"> Gerardo González Pedraza </w:t>
      </w:r>
      <w:r w:rsidR="00093E34" w:rsidRPr="004F2666">
        <w:t>en el despacho de la organización “Servicios Legales de Investigación y Estudios Jurídicos A.C.”</w:t>
      </w:r>
      <w:r w:rsidR="002F7F7C" w:rsidRPr="004F2666">
        <w:t>,</w:t>
      </w:r>
      <w:r w:rsidR="00093E34" w:rsidRPr="004F2666">
        <w:t xml:space="preserve"> ubicado en la calle Zacatecas 31, </w:t>
      </w:r>
      <w:r w:rsidR="00656565" w:rsidRPr="004F2666">
        <w:t>Colonia Roma, Ciudad de México</w:t>
      </w:r>
      <w:r w:rsidR="002F7F7C" w:rsidRPr="004F2666">
        <w:t>, donde la</w:t>
      </w:r>
      <w:r w:rsidR="00C141D6">
        <w:t xml:space="preserve"> abogada acudía ocasionalmente, disponiendo para ello</w:t>
      </w:r>
      <w:r w:rsidR="002F7F7C" w:rsidRPr="004F2666">
        <w:t xml:space="preserve"> de las llaves del </w:t>
      </w:r>
      <w:r w:rsidR="002F7F7C" w:rsidRPr="004F2666">
        <w:lastRenderedPageBreak/>
        <w:t>despacho</w:t>
      </w:r>
      <w:r w:rsidR="002F7F7C" w:rsidRPr="004F2666">
        <w:rPr>
          <w:rStyle w:val="Refdenotaalpie"/>
        </w:rPr>
        <w:footnoteReference w:id="64"/>
      </w:r>
      <w:r w:rsidR="00656565" w:rsidRPr="004F2666">
        <w:t xml:space="preserve">. </w:t>
      </w:r>
      <w:r w:rsidR="00060775" w:rsidRPr="004F2666">
        <w:t>Según lo indicado por el señor González Pedraza</w:t>
      </w:r>
      <w:r w:rsidR="005047A8" w:rsidRPr="004F2666">
        <w:t>,</w:t>
      </w:r>
      <w:r w:rsidR="002F7F7C" w:rsidRPr="004F2666">
        <w:t xml:space="preserve"> al entrar en el despacho observó “un polvo blanco que parecía talco que estaba regado en la</w:t>
      </w:r>
      <w:r w:rsidR="005047A8" w:rsidRPr="004F2666">
        <w:t xml:space="preserve"> alfombra así como los sillones” </w:t>
      </w:r>
      <w:r w:rsidR="002F7F7C" w:rsidRPr="004F2666">
        <w:t>y</w:t>
      </w:r>
      <w:r w:rsidR="005047A8" w:rsidRPr="004F2666">
        <w:t>,</w:t>
      </w:r>
      <w:r w:rsidR="002F7F7C" w:rsidRPr="004F2666">
        <w:t xml:space="preserve"> </w:t>
      </w:r>
      <w:r w:rsidR="005047A8" w:rsidRPr="004F2666">
        <w:t>j</w:t>
      </w:r>
      <w:r w:rsidR="002F7F7C" w:rsidRPr="004F2666">
        <w:t xml:space="preserve">unto a un sillón que </w:t>
      </w:r>
      <w:r w:rsidR="005047A8" w:rsidRPr="004F2666">
        <w:t xml:space="preserve">estaba junto </w:t>
      </w:r>
      <w:r w:rsidR="002F7F7C" w:rsidRPr="004F2666">
        <w:t>a la entrada del baño</w:t>
      </w:r>
      <w:r w:rsidR="005047A8" w:rsidRPr="004F2666">
        <w:t>,</w:t>
      </w:r>
      <w:r w:rsidR="002F7F7C" w:rsidRPr="004F2666">
        <w:t xml:space="preserve"> </w:t>
      </w:r>
      <w:r w:rsidR="005047A8" w:rsidRPr="004F2666">
        <w:t>“</w:t>
      </w:r>
      <w:r w:rsidR="002F7F7C" w:rsidRPr="004F2666">
        <w:t>una sombra de una persona que estaba tirada en el piso”, junto con una mancha de sangre</w:t>
      </w:r>
      <w:r w:rsidR="00060775" w:rsidRPr="004F2666">
        <w:rPr>
          <w:rStyle w:val="Refdenotaalpie"/>
        </w:rPr>
        <w:footnoteReference w:id="65"/>
      </w:r>
      <w:r w:rsidR="002F7F7C" w:rsidRPr="004F2666">
        <w:t>. Al acercarse</w:t>
      </w:r>
      <w:r w:rsidR="005047A8" w:rsidRPr="004F2666">
        <w:t>,</w:t>
      </w:r>
      <w:r w:rsidR="002F7F7C" w:rsidRPr="004F2666">
        <w:t xml:space="preserve"> el señor González Pedraza </w:t>
      </w:r>
      <w:r w:rsidR="00382B67" w:rsidRPr="004F2666">
        <w:t>identificó</w:t>
      </w:r>
      <w:r w:rsidR="002F7F7C" w:rsidRPr="004F2666">
        <w:t xml:space="preserve"> a la </w:t>
      </w:r>
      <w:r w:rsidR="001F344D">
        <w:t>señora Digna Ochoa</w:t>
      </w:r>
      <w:r w:rsidR="002F7F7C" w:rsidRPr="004F2666">
        <w:t>. Realizó varias llamadas a ciertos compañeros y esperó a la llegada de estos y</w:t>
      </w:r>
      <w:r w:rsidR="004D63D3">
        <w:t>, posteriormente,</w:t>
      </w:r>
      <w:r w:rsidR="002F7F7C" w:rsidRPr="004F2666">
        <w:t xml:space="preserve"> la llegada de personal del Ministerio Público, momento en el que decidió trasladarse a las oficinas de la Fiscalía para rendir su </w:t>
      </w:r>
      <w:r w:rsidR="002F7F7C" w:rsidRPr="00D60EB1">
        <w:rPr>
          <w:lang w:val="es-ES"/>
        </w:rPr>
        <w:t>declaración</w:t>
      </w:r>
      <w:r w:rsidR="002F7F7C" w:rsidRPr="004F2666">
        <w:t xml:space="preserve"> respecto de los hechos</w:t>
      </w:r>
      <w:r w:rsidR="00563BBE" w:rsidRPr="004F2666">
        <w:t xml:space="preserve"> y presentar una denuncia por el delito de </w:t>
      </w:r>
      <w:r w:rsidR="00382B67" w:rsidRPr="004F2666">
        <w:t>homicidio</w:t>
      </w:r>
      <w:r w:rsidR="00563BBE" w:rsidRPr="004F2666">
        <w:t xml:space="preserve"> “cometido en agravio de la licenciada Digna Ochoa y Plácido y en contra de quien o quienes </w:t>
      </w:r>
      <w:proofErr w:type="spellStart"/>
      <w:r w:rsidR="00563BBE" w:rsidRPr="004F2666">
        <w:t>result</w:t>
      </w:r>
      <w:proofErr w:type="spellEnd"/>
      <w:r w:rsidR="005047A8" w:rsidRPr="004F2666">
        <w:t>[aran]</w:t>
      </w:r>
      <w:r w:rsidR="00563BBE" w:rsidRPr="004F2666">
        <w:t xml:space="preserve"> responsables”</w:t>
      </w:r>
      <w:r w:rsidR="002F7F7C" w:rsidRPr="004F2666">
        <w:rPr>
          <w:rStyle w:val="Refdenotaalpie"/>
        </w:rPr>
        <w:footnoteReference w:id="66"/>
      </w:r>
      <w:r w:rsidR="002F7F7C" w:rsidRPr="004F2666">
        <w:t>.</w:t>
      </w:r>
    </w:p>
    <w:p w14:paraId="280E6827" w14:textId="77777777" w:rsidR="00060775" w:rsidRPr="004F2666" w:rsidRDefault="00060775" w:rsidP="00060775">
      <w:pPr>
        <w:widowControl/>
        <w:tabs>
          <w:tab w:val="left" w:pos="567"/>
        </w:tabs>
        <w:autoSpaceDE w:val="0"/>
        <w:autoSpaceDN w:val="0"/>
        <w:adjustRightInd/>
        <w:spacing w:line="240" w:lineRule="auto"/>
        <w:ind w:right="-90"/>
        <w:textAlignment w:val="auto"/>
        <w:rPr>
          <w:b/>
        </w:rPr>
      </w:pPr>
    </w:p>
    <w:p w14:paraId="5AB9C2B2" w14:textId="61396976" w:rsidR="00093E34" w:rsidRPr="004F2666" w:rsidRDefault="00656565" w:rsidP="00D60EB1">
      <w:pPr>
        <w:numPr>
          <w:ilvl w:val="0"/>
          <w:numId w:val="4"/>
        </w:numPr>
        <w:tabs>
          <w:tab w:val="left" w:pos="567"/>
          <w:tab w:val="num" w:pos="1569"/>
          <w:tab w:val="num" w:pos="12305"/>
        </w:tabs>
        <w:spacing w:line="240" w:lineRule="auto"/>
        <w:ind w:left="0" w:firstLine="0"/>
        <w:rPr>
          <w:b/>
        </w:rPr>
      </w:pPr>
      <w:r w:rsidRPr="004F2666">
        <w:t xml:space="preserve">Según el </w:t>
      </w:r>
      <w:r w:rsidRPr="00D60EB1">
        <w:rPr>
          <w:lang w:val="es-ES"/>
        </w:rPr>
        <w:t>acta</w:t>
      </w:r>
      <w:r w:rsidRPr="004F2666">
        <w:t xml:space="preserve"> realizada por la Fiscalía Desconcentrada de Cuauhtémoc, la defensora de derechos humanos yacía muerta en un sillón </w:t>
      </w:r>
      <w:r w:rsidR="00093E34" w:rsidRPr="004F2666">
        <w:t>con impacto</w:t>
      </w:r>
      <w:r w:rsidRPr="004F2666">
        <w:t>s de proyectil de arma de fuego</w:t>
      </w:r>
      <w:r w:rsidRPr="004F2666">
        <w:rPr>
          <w:rStyle w:val="Refdenotaalpie"/>
        </w:rPr>
        <w:footnoteReference w:id="67"/>
      </w:r>
      <w:r w:rsidR="00093E34" w:rsidRPr="004F2666">
        <w:t>.</w:t>
      </w:r>
      <w:r w:rsidRPr="004F2666">
        <w:t xml:space="preserve"> También encontraron un arma de fuego del calibre 22 y tres casquillos de bala</w:t>
      </w:r>
      <w:r w:rsidRPr="004F2666">
        <w:rPr>
          <w:rStyle w:val="Refdenotaalpie"/>
        </w:rPr>
        <w:footnoteReference w:id="68"/>
      </w:r>
      <w:r w:rsidRPr="004F2666">
        <w:t xml:space="preserve">. La escena del crimen </w:t>
      </w:r>
      <w:r w:rsidR="00811EE8" w:rsidRPr="004F2666">
        <w:t>fue descrita como a continuación se indica</w:t>
      </w:r>
      <w:r w:rsidR="00B83D7A" w:rsidRPr="004F2666">
        <w:t xml:space="preserve">: </w:t>
      </w:r>
    </w:p>
    <w:p w14:paraId="1ED3F1A0" w14:textId="77777777" w:rsidR="003A071B" w:rsidRPr="004F2666" w:rsidRDefault="003A071B" w:rsidP="003A071B">
      <w:pPr>
        <w:widowControl/>
        <w:tabs>
          <w:tab w:val="left" w:pos="567"/>
        </w:tabs>
        <w:autoSpaceDE w:val="0"/>
        <w:autoSpaceDN w:val="0"/>
        <w:adjustRightInd/>
        <w:spacing w:line="240" w:lineRule="auto"/>
        <w:ind w:right="-90"/>
        <w:textAlignment w:val="auto"/>
        <w:rPr>
          <w:b/>
        </w:rPr>
      </w:pPr>
    </w:p>
    <w:p w14:paraId="694E207C" w14:textId="3D023A7E" w:rsidR="00B83D7A" w:rsidRPr="004F2666" w:rsidRDefault="00B83D7A" w:rsidP="00B83D7A">
      <w:pPr>
        <w:widowControl/>
        <w:tabs>
          <w:tab w:val="left" w:pos="567"/>
        </w:tabs>
        <w:autoSpaceDE w:val="0"/>
        <w:autoSpaceDN w:val="0"/>
        <w:adjustRightInd/>
        <w:spacing w:line="240" w:lineRule="auto"/>
        <w:ind w:left="567" w:right="582"/>
        <w:textAlignment w:val="auto"/>
        <w:rPr>
          <w:b/>
        </w:rPr>
      </w:pPr>
      <w:r w:rsidRPr="004F2666">
        <w:rPr>
          <w:rFonts w:cs="Arial"/>
          <w:sz w:val="18"/>
          <w:szCs w:val="18"/>
        </w:rPr>
        <w:t xml:space="preserve">Se aprecia un cuerpo ya sin vida del sexo </w:t>
      </w:r>
      <w:r w:rsidR="00382B67" w:rsidRPr="004F2666">
        <w:rPr>
          <w:rFonts w:cs="Arial"/>
          <w:sz w:val="18"/>
          <w:szCs w:val="18"/>
        </w:rPr>
        <w:t>femenino</w:t>
      </w:r>
      <w:r w:rsidRPr="004F2666">
        <w:rPr>
          <w:rFonts w:cs="Arial"/>
          <w:sz w:val="18"/>
          <w:szCs w:val="18"/>
        </w:rPr>
        <w:t xml:space="preserve">, lateralizada hacia el lado izquierdo con la cabeza apoyada en un sillón color café con rayas rojas así mismo se aprecia otro sillón en el muro norte del mismo color apreciándose en la parte del descanso del brazo del lado izquierdo, polvo color blanco al parecer talco y en el asiento del lado izquierdo, una mancha hemática […] y en el piso se aprecia goma de mascar masticada y una mancha hemática […] observándose entre los pies de la occisa un casquillo percutido al parecer calibre 22 apreciándose en el sillón donde tiene recargada la cabeza la occisa del lado contrario polvo blanco al parecer talco […] apreciándose también polvo blanco en el piso de la entrada de la habitación […]. Al levantamiento del cadáver se aprecia debajo de este un arma de fuego al parecer calibre 22 […] Asimismo, se aprecia en las manos del cadáver guantes de plástico en color rojo, apreciándose que el del lado derecho no se encuentra puesto en su totalidad y del lado izquierdo </w:t>
      </w:r>
      <w:r w:rsidRPr="00FB7FEF">
        <w:rPr>
          <w:rFonts w:cs="Arial"/>
          <w:sz w:val="18"/>
          <w:szCs w:val="18"/>
        </w:rPr>
        <w:t>únicamente el del dedo pulgar se encuentra fuera de su</w:t>
      </w:r>
      <w:r w:rsidRPr="00FB4D05">
        <w:rPr>
          <w:rFonts w:cs="Arial"/>
          <w:sz w:val="18"/>
          <w:szCs w:val="18"/>
        </w:rPr>
        <w:t xml:space="preserve"> espacio […] se procede a levantar el sillón en donde se encontraba descansando la cabeza de la occisa y se aprecian dos casquillos </w:t>
      </w:r>
      <w:r w:rsidR="00382B67" w:rsidRPr="00FB4D05">
        <w:rPr>
          <w:rFonts w:cs="Arial"/>
          <w:sz w:val="18"/>
          <w:szCs w:val="18"/>
        </w:rPr>
        <w:t>percutidos</w:t>
      </w:r>
      <w:r w:rsidRPr="00FB7FEF">
        <w:rPr>
          <w:rFonts w:cs="Arial"/>
          <w:sz w:val="18"/>
          <w:szCs w:val="18"/>
        </w:rPr>
        <w:t xml:space="preserve"> […]</w:t>
      </w:r>
      <w:r w:rsidRPr="003266B7">
        <w:rPr>
          <w:rStyle w:val="Refdenotaalpie"/>
          <w:sz w:val="18"/>
          <w:szCs w:val="18"/>
        </w:rPr>
        <w:footnoteReference w:id="69"/>
      </w:r>
      <w:r w:rsidRPr="00FB7FEF">
        <w:rPr>
          <w:rFonts w:cs="Arial"/>
          <w:sz w:val="18"/>
          <w:szCs w:val="18"/>
        </w:rPr>
        <w:t>.</w:t>
      </w:r>
    </w:p>
    <w:p w14:paraId="236EFE08" w14:textId="06384F71" w:rsidR="00093E34" w:rsidRPr="004F2666" w:rsidRDefault="00093E34" w:rsidP="00093E34">
      <w:pPr>
        <w:autoSpaceDE w:val="0"/>
        <w:autoSpaceDN w:val="0"/>
        <w:spacing w:line="240" w:lineRule="auto"/>
        <w:rPr>
          <w:b/>
        </w:rPr>
      </w:pPr>
    </w:p>
    <w:p w14:paraId="554E25BE" w14:textId="27BECA67" w:rsidR="00BF44D1" w:rsidRPr="004F2666" w:rsidRDefault="00811EE8" w:rsidP="00D60EB1">
      <w:pPr>
        <w:numPr>
          <w:ilvl w:val="0"/>
          <w:numId w:val="4"/>
        </w:numPr>
        <w:tabs>
          <w:tab w:val="left" w:pos="567"/>
          <w:tab w:val="num" w:pos="1569"/>
          <w:tab w:val="num" w:pos="12305"/>
        </w:tabs>
        <w:spacing w:line="240" w:lineRule="auto"/>
        <w:ind w:left="0" w:firstLine="0"/>
      </w:pPr>
      <w:r w:rsidRPr="004F2666">
        <w:t xml:space="preserve">Posteriormente, a través de varios peritajes </w:t>
      </w:r>
      <w:r w:rsidR="00BF44D1" w:rsidRPr="004F2666">
        <w:t xml:space="preserve">se determinó que la </w:t>
      </w:r>
      <w:r w:rsidR="001F344D">
        <w:t>señora Digna Ochoa</w:t>
      </w:r>
      <w:r w:rsidR="00BF44D1" w:rsidRPr="004F2666">
        <w:t xml:space="preserve"> presentaba tres lesiones: dos causadas por proyectil de arma de fuego –una en</w:t>
      </w:r>
      <w:r w:rsidR="009E1259">
        <w:t xml:space="preserve"> el</w:t>
      </w:r>
      <w:r w:rsidR="00BF44D1" w:rsidRPr="004F2666">
        <w:t xml:space="preserve"> cráneo en</w:t>
      </w:r>
      <w:r w:rsidR="009E1259">
        <w:t xml:space="preserve"> la</w:t>
      </w:r>
      <w:r w:rsidR="00BF44D1" w:rsidRPr="004F2666">
        <w:t xml:space="preserve"> región temporal izquierda únicamente </w:t>
      </w:r>
      <w:r w:rsidR="00BF44D1" w:rsidRPr="00D60EB1">
        <w:rPr>
          <w:lang w:val="es-ES"/>
        </w:rPr>
        <w:t>con</w:t>
      </w:r>
      <w:r w:rsidR="00BF44D1" w:rsidRPr="004F2666">
        <w:t xml:space="preserve"> orificio de entrada y otra en el muslo izquierdo con orificio de entrada y salida–, y </w:t>
      </w:r>
      <w:r w:rsidR="00515056">
        <w:t>un</w:t>
      </w:r>
      <w:r w:rsidR="00734F12" w:rsidRPr="004F2666">
        <w:t xml:space="preserve"> hematoma </w:t>
      </w:r>
      <w:r w:rsidR="00BF44D1" w:rsidRPr="004F2666">
        <w:t xml:space="preserve">en </w:t>
      </w:r>
      <w:r w:rsidR="00734F12" w:rsidRPr="004F2666">
        <w:t xml:space="preserve">el </w:t>
      </w:r>
      <w:r w:rsidR="00BF44D1" w:rsidRPr="004F2666">
        <w:t>muslo derecho</w:t>
      </w:r>
      <w:r w:rsidR="00BF44D1" w:rsidRPr="004F2666">
        <w:rPr>
          <w:rStyle w:val="Refdenotaalpie"/>
        </w:rPr>
        <w:footnoteReference w:id="70"/>
      </w:r>
      <w:r w:rsidR="00BF44D1" w:rsidRPr="004F2666">
        <w:t>.</w:t>
      </w:r>
    </w:p>
    <w:p w14:paraId="6AE43D04" w14:textId="77777777" w:rsidR="00BF44D1" w:rsidRPr="004F2666" w:rsidRDefault="00BF44D1" w:rsidP="00BF44D1">
      <w:pPr>
        <w:widowControl/>
        <w:tabs>
          <w:tab w:val="left" w:pos="567"/>
        </w:tabs>
        <w:autoSpaceDE w:val="0"/>
        <w:autoSpaceDN w:val="0"/>
        <w:adjustRightInd/>
        <w:spacing w:line="240" w:lineRule="auto"/>
        <w:ind w:left="825" w:right="-90"/>
        <w:textAlignment w:val="auto"/>
      </w:pPr>
    </w:p>
    <w:p w14:paraId="394C5201" w14:textId="7CA3017F" w:rsidR="00656565" w:rsidRPr="004F2666" w:rsidRDefault="00656565" w:rsidP="00D60EB1">
      <w:pPr>
        <w:numPr>
          <w:ilvl w:val="0"/>
          <w:numId w:val="4"/>
        </w:numPr>
        <w:tabs>
          <w:tab w:val="left" w:pos="567"/>
          <w:tab w:val="num" w:pos="1569"/>
          <w:tab w:val="num" w:pos="12305"/>
        </w:tabs>
        <w:spacing w:line="240" w:lineRule="auto"/>
        <w:ind w:left="0" w:firstLine="0"/>
      </w:pPr>
      <w:r w:rsidRPr="004F2666">
        <w:t>Entre los documentos que se encontraron en la escena del crimen figuraba un papel que contenía un mensaje con recortes de periódico que indicab</w:t>
      </w:r>
      <w:r w:rsidR="001854B4">
        <w:t>a “PRO</w:t>
      </w:r>
      <w:r w:rsidR="00FC5157">
        <w:t>’</w:t>
      </w:r>
      <w:r w:rsidRPr="004F2666">
        <w:t xml:space="preserve">S, hijos de puta si siguen a otro </w:t>
      </w:r>
      <w:r w:rsidR="00AD29EF">
        <w:lastRenderedPageBreak/>
        <w:t xml:space="preserve">también se lo cargará su madre, </w:t>
      </w:r>
      <w:r w:rsidRPr="004F2666">
        <w:t>sobre aviso no hay engaño”</w:t>
      </w:r>
      <w:r w:rsidRPr="004F2666">
        <w:rPr>
          <w:rStyle w:val="Refdenotaalpie"/>
        </w:rPr>
        <w:footnoteReference w:id="71"/>
      </w:r>
      <w:r w:rsidRPr="004F2666">
        <w:t>.</w:t>
      </w:r>
    </w:p>
    <w:p w14:paraId="568738D4" w14:textId="77777777" w:rsidR="00060775" w:rsidRPr="004F2666" w:rsidRDefault="00060775" w:rsidP="00060775">
      <w:pPr>
        <w:widowControl/>
        <w:tabs>
          <w:tab w:val="left" w:pos="567"/>
        </w:tabs>
        <w:autoSpaceDE w:val="0"/>
        <w:autoSpaceDN w:val="0"/>
        <w:adjustRightInd/>
        <w:spacing w:line="240" w:lineRule="auto"/>
        <w:ind w:right="-90"/>
        <w:textAlignment w:val="auto"/>
      </w:pPr>
    </w:p>
    <w:p w14:paraId="72FD8884" w14:textId="3252B849" w:rsidR="00093E34" w:rsidRPr="009E1259" w:rsidRDefault="00093E34" w:rsidP="00F37DBC">
      <w:pPr>
        <w:numPr>
          <w:ilvl w:val="0"/>
          <w:numId w:val="4"/>
        </w:numPr>
        <w:tabs>
          <w:tab w:val="left" w:pos="567"/>
          <w:tab w:val="num" w:pos="1569"/>
          <w:tab w:val="num" w:pos="12305"/>
        </w:tabs>
        <w:spacing w:line="240" w:lineRule="auto"/>
        <w:ind w:left="0" w:firstLine="0"/>
        <w:rPr>
          <w:b/>
        </w:rPr>
      </w:pPr>
      <w:r w:rsidRPr="009E1259">
        <w:t xml:space="preserve">La muerte de </w:t>
      </w:r>
      <w:r w:rsidR="004D63D3" w:rsidRPr="009E1259">
        <w:t xml:space="preserve">la señora </w:t>
      </w:r>
      <w:r w:rsidRPr="009E1259">
        <w:t xml:space="preserve">Digna Ochoa y Plácido tuvo repercusión nacional e internacional. Se manifestaron públicamente </w:t>
      </w:r>
      <w:r w:rsidR="00A5776C" w:rsidRPr="009E1259">
        <w:t>el entonces Presidente de México</w:t>
      </w:r>
      <w:r w:rsidR="00A5776C" w:rsidRPr="009E1259">
        <w:rPr>
          <w:rStyle w:val="Refdenotaalpie"/>
        </w:rPr>
        <w:footnoteReference w:id="72"/>
      </w:r>
      <w:r w:rsidR="00A5776C" w:rsidRPr="009E1259">
        <w:t>, los entonces</w:t>
      </w:r>
      <w:r w:rsidRPr="009E1259">
        <w:t xml:space="preserve"> Jefe de Gobierno del Distrito Federal</w:t>
      </w:r>
      <w:r w:rsidR="00B83D7A" w:rsidRPr="009E1259">
        <w:rPr>
          <w:rStyle w:val="Refdenotaalpie"/>
        </w:rPr>
        <w:footnoteReference w:id="73"/>
      </w:r>
      <w:r w:rsidR="007D6AC8">
        <w:t xml:space="preserve"> y</w:t>
      </w:r>
      <w:r w:rsidRPr="009E1259">
        <w:t xml:space="preserve"> Procurador General de Justicia del Distrito Federal</w:t>
      </w:r>
      <w:r w:rsidR="00B83D7A" w:rsidRPr="009E1259">
        <w:rPr>
          <w:rStyle w:val="Refdenotaalpie"/>
        </w:rPr>
        <w:footnoteReference w:id="74"/>
      </w:r>
      <w:r w:rsidR="00342BA3" w:rsidRPr="009E1259">
        <w:t xml:space="preserve">, </w:t>
      </w:r>
      <w:r w:rsidR="0082431A" w:rsidRPr="009E1259">
        <w:t>varios diputados de la Asamblea Legislativa del Distrito Federal</w:t>
      </w:r>
      <w:r w:rsidR="0082431A" w:rsidRPr="009E1259">
        <w:rPr>
          <w:rStyle w:val="Refdenotaalpie"/>
        </w:rPr>
        <w:footnoteReference w:id="75"/>
      </w:r>
      <w:r w:rsidR="00342BA3" w:rsidRPr="009E1259">
        <w:t xml:space="preserve"> y la Comisión de Derechos Humanos del Distrito Federal</w:t>
      </w:r>
      <w:r w:rsidR="00342BA3" w:rsidRPr="009E1259">
        <w:rPr>
          <w:rStyle w:val="Refdenotaalpie"/>
        </w:rPr>
        <w:footnoteReference w:id="76"/>
      </w:r>
      <w:r w:rsidR="00342BA3" w:rsidRPr="009E1259">
        <w:t>, entre otros</w:t>
      </w:r>
      <w:r w:rsidRPr="009E1259">
        <w:t xml:space="preserve">. En el ámbito </w:t>
      </w:r>
      <w:r w:rsidR="00B83D7A" w:rsidRPr="009E1259">
        <w:t>internacional</w:t>
      </w:r>
      <w:r w:rsidR="00926595" w:rsidRPr="009E1259">
        <w:t xml:space="preserve"> fueron muchas las organizaciones que expresaron su pesar y exigieron el esclarecimiento de las circunstan</w:t>
      </w:r>
      <w:r w:rsidR="0082431A" w:rsidRPr="009E1259">
        <w:t>cias de la muerte de la defenso</w:t>
      </w:r>
      <w:r w:rsidR="00926595" w:rsidRPr="009E1259">
        <w:t xml:space="preserve">ra de derechos humanos, tales como </w:t>
      </w:r>
      <w:r w:rsidR="00B83D7A" w:rsidRPr="009E1259">
        <w:t>el G</w:t>
      </w:r>
      <w:r w:rsidRPr="009E1259">
        <w:t>obierno francés</w:t>
      </w:r>
      <w:r w:rsidR="00B83D7A" w:rsidRPr="009E1259">
        <w:rPr>
          <w:rStyle w:val="Refdenotaalpie"/>
        </w:rPr>
        <w:footnoteReference w:id="77"/>
      </w:r>
      <w:r w:rsidRPr="009E1259">
        <w:t>, el Departamento de Estado de los Estados Unidos</w:t>
      </w:r>
      <w:r w:rsidR="00B83D7A" w:rsidRPr="009E1259">
        <w:rPr>
          <w:rStyle w:val="Refdenotaalpie"/>
        </w:rPr>
        <w:footnoteReference w:id="78"/>
      </w:r>
      <w:r w:rsidRPr="009E1259">
        <w:t xml:space="preserve">, la </w:t>
      </w:r>
      <w:r w:rsidR="00F01706" w:rsidRPr="009E1259">
        <w:t xml:space="preserve">Organización de </w:t>
      </w:r>
      <w:r w:rsidR="00E54FD0">
        <w:t xml:space="preserve">las </w:t>
      </w:r>
      <w:r w:rsidR="00F01706" w:rsidRPr="009E1259">
        <w:t>Naciones Unidas (en adelante “</w:t>
      </w:r>
      <w:r w:rsidRPr="009E1259">
        <w:t>ONU</w:t>
      </w:r>
      <w:r w:rsidR="00F01706" w:rsidRPr="009E1259">
        <w:t>”)</w:t>
      </w:r>
      <w:r w:rsidR="00B83D7A" w:rsidRPr="009E1259">
        <w:rPr>
          <w:rStyle w:val="Refdenotaalpie"/>
        </w:rPr>
        <w:footnoteReference w:id="79"/>
      </w:r>
      <w:r w:rsidRPr="009E1259">
        <w:t xml:space="preserve"> y diversas organizaciones de derechos humano</w:t>
      </w:r>
      <w:r w:rsidR="00AB69BF">
        <w:t>s</w:t>
      </w:r>
      <w:r w:rsidR="00B83D7A" w:rsidRPr="009E1259">
        <w:rPr>
          <w:rStyle w:val="Refdenotaalpie"/>
        </w:rPr>
        <w:footnoteReference w:id="80"/>
      </w:r>
      <w:r w:rsidRPr="009E1259">
        <w:t xml:space="preserve">. </w:t>
      </w:r>
      <w:r w:rsidR="00971B83" w:rsidRPr="009E1259">
        <w:t xml:space="preserve">Además, </w:t>
      </w:r>
      <w:r w:rsidR="009E1259" w:rsidRPr="009E1259">
        <w:t xml:space="preserve">en </w:t>
      </w:r>
      <w:r w:rsidR="009E1259">
        <w:t>el año 2002</w:t>
      </w:r>
      <w:r w:rsidR="00971B83" w:rsidRPr="009E1259">
        <w:t xml:space="preserve"> recibió </w:t>
      </w:r>
      <w:r w:rsidR="009E1259" w:rsidRPr="009E1259">
        <w:t xml:space="preserve">de manera póstuma </w:t>
      </w:r>
      <w:r w:rsidR="00971B83" w:rsidRPr="009E1259">
        <w:t xml:space="preserve">el “International Human </w:t>
      </w:r>
      <w:proofErr w:type="spellStart"/>
      <w:r w:rsidR="00971B83" w:rsidRPr="009E1259">
        <w:t>Rights</w:t>
      </w:r>
      <w:proofErr w:type="spellEnd"/>
      <w:r w:rsidR="00971B83" w:rsidRPr="009E1259">
        <w:t xml:space="preserve"> </w:t>
      </w:r>
      <w:proofErr w:type="spellStart"/>
      <w:r w:rsidR="00971B83" w:rsidRPr="009E1259">
        <w:t>Award</w:t>
      </w:r>
      <w:proofErr w:type="spellEnd"/>
      <w:r w:rsidR="00971B83" w:rsidRPr="009E1259">
        <w:t>” de Global</w:t>
      </w:r>
      <w:r w:rsidR="007F32BE" w:rsidRPr="009E1259">
        <w:t xml:space="preserve"> </w:t>
      </w:r>
      <w:r w:rsidR="00971B83" w:rsidRPr="009E1259">
        <w:t>Exchange y en</w:t>
      </w:r>
      <w:r w:rsidR="009E1259">
        <w:t xml:space="preserve"> el año</w:t>
      </w:r>
      <w:r w:rsidR="00971B83" w:rsidRPr="009E1259">
        <w:t xml:space="preserve"> 2003 recibió el Premio Internacional en derechos humanos “Ludovic </w:t>
      </w:r>
      <w:proofErr w:type="spellStart"/>
      <w:r w:rsidR="00971B83" w:rsidRPr="009E1259">
        <w:t>Trarieux</w:t>
      </w:r>
      <w:proofErr w:type="spellEnd"/>
      <w:r w:rsidR="00971B83" w:rsidRPr="009E1259">
        <w:t>”</w:t>
      </w:r>
      <w:r w:rsidR="00971B83" w:rsidRPr="009E1259">
        <w:rPr>
          <w:rStyle w:val="Refdenotaalpie"/>
        </w:rPr>
        <w:footnoteReference w:id="81"/>
      </w:r>
      <w:r w:rsidR="00971B83" w:rsidRPr="009E1259">
        <w:t xml:space="preserve">. </w:t>
      </w:r>
      <w:r w:rsidR="009E1259">
        <w:t>La</w:t>
      </w:r>
      <w:r w:rsidR="00971B83" w:rsidRPr="009E1259">
        <w:t xml:space="preserve"> señora </w:t>
      </w:r>
      <w:r w:rsidR="007D6AC8" w:rsidRPr="00AD29EF">
        <w:t>Digna</w:t>
      </w:r>
      <w:r w:rsidR="007D6AC8">
        <w:t xml:space="preserve"> </w:t>
      </w:r>
      <w:r w:rsidR="00971B83" w:rsidRPr="009E1259">
        <w:t>Ochoa fue una figura emblemática en la defensa de los derechos humanos y su muerte causó</w:t>
      </w:r>
      <w:r w:rsidR="007F32BE" w:rsidRPr="009E1259">
        <w:t>,</w:t>
      </w:r>
      <w:r w:rsidR="00971B83" w:rsidRPr="009E1259">
        <w:t xml:space="preserve"> y todavía causa</w:t>
      </w:r>
      <w:r w:rsidR="00AD766B" w:rsidRPr="009E1259">
        <w:t>,</w:t>
      </w:r>
      <w:r w:rsidR="00971B83" w:rsidRPr="009E1259">
        <w:t xml:space="preserve"> una gran conmoción, tanto en el ámbito nacional como en el internacional.</w:t>
      </w:r>
      <w:r w:rsidR="002942EC">
        <w:t xml:space="preserve"> </w:t>
      </w:r>
    </w:p>
    <w:p w14:paraId="739A8C72" w14:textId="77777777" w:rsidR="0082431A" w:rsidRPr="004F2666" w:rsidRDefault="0082431A" w:rsidP="0082431A">
      <w:pPr>
        <w:widowControl/>
        <w:tabs>
          <w:tab w:val="left" w:pos="567"/>
        </w:tabs>
        <w:autoSpaceDE w:val="0"/>
        <w:autoSpaceDN w:val="0"/>
        <w:adjustRightInd/>
        <w:spacing w:line="240" w:lineRule="auto"/>
        <w:ind w:right="-90"/>
        <w:textAlignment w:val="auto"/>
        <w:rPr>
          <w:b/>
        </w:rPr>
      </w:pPr>
    </w:p>
    <w:p w14:paraId="2CC7D84D" w14:textId="2FC241A7" w:rsidR="00614177" w:rsidRPr="004F2666" w:rsidRDefault="00614177" w:rsidP="00BB668C">
      <w:pPr>
        <w:pStyle w:val="Ttulo2"/>
        <w:numPr>
          <w:ilvl w:val="0"/>
          <w:numId w:val="7"/>
        </w:numPr>
        <w:spacing w:before="0" w:after="0"/>
        <w:rPr>
          <w:lang w:val="es-ES"/>
        </w:rPr>
      </w:pPr>
      <w:bookmarkStart w:id="47" w:name="_Toc93400246"/>
      <w:r w:rsidRPr="004F2666">
        <w:rPr>
          <w:lang w:val="es-ES"/>
        </w:rPr>
        <w:t xml:space="preserve">Investigaciones y procedimientos iniciados a raíz de la muerte de la </w:t>
      </w:r>
      <w:r w:rsidR="001F344D">
        <w:rPr>
          <w:lang w:val="es-ES"/>
        </w:rPr>
        <w:t>señora Digna Ochoa</w:t>
      </w:r>
      <w:bookmarkEnd w:id="47"/>
    </w:p>
    <w:p w14:paraId="2F552A39" w14:textId="0B5A5415" w:rsidR="00A5776C" w:rsidRPr="004F2666" w:rsidRDefault="00A5776C" w:rsidP="00A5776C">
      <w:pPr>
        <w:widowControl/>
        <w:tabs>
          <w:tab w:val="left" w:pos="567"/>
        </w:tabs>
        <w:autoSpaceDE w:val="0"/>
        <w:autoSpaceDN w:val="0"/>
        <w:adjustRightInd/>
        <w:spacing w:line="240" w:lineRule="auto"/>
        <w:ind w:right="-90"/>
        <w:textAlignment w:val="auto"/>
      </w:pPr>
    </w:p>
    <w:p w14:paraId="63C9975D" w14:textId="7D5D3026" w:rsidR="00093E34" w:rsidRPr="004F2666" w:rsidRDefault="00093E34" w:rsidP="00D60EB1">
      <w:pPr>
        <w:numPr>
          <w:ilvl w:val="0"/>
          <w:numId w:val="4"/>
        </w:numPr>
        <w:tabs>
          <w:tab w:val="left" w:pos="567"/>
          <w:tab w:val="num" w:pos="1569"/>
          <w:tab w:val="num" w:pos="12305"/>
        </w:tabs>
        <w:spacing w:line="240" w:lineRule="auto"/>
        <w:ind w:left="0" w:firstLine="0"/>
      </w:pPr>
      <w:r w:rsidRPr="004F2666">
        <w:t>El 19 de octubre de 2001</w:t>
      </w:r>
      <w:r w:rsidR="002B2E7D">
        <w:t>,</w:t>
      </w:r>
      <w:r w:rsidRPr="004F2666">
        <w:t xml:space="preserve"> a las 19:39 horas</w:t>
      </w:r>
      <w:r w:rsidR="002B2E7D">
        <w:t>,</w:t>
      </w:r>
      <w:r w:rsidRPr="004F2666">
        <w:t xml:space="preserve"> el Ministerio Público recibió una llamada telefónica que daba cuenta del hallazgo del cadáver </w:t>
      </w:r>
      <w:r w:rsidR="004D63D3">
        <w:t xml:space="preserve">de la </w:t>
      </w:r>
      <w:r w:rsidR="001F344D">
        <w:t>señora Digna Ochoa</w:t>
      </w:r>
      <w:r w:rsidRPr="004F2666">
        <w:t xml:space="preserve">, dando lugar al inicio de la averiguación previa </w:t>
      </w:r>
      <w:r w:rsidRPr="00D60EB1">
        <w:rPr>
          <w:lang w:val="es-ES"/>
        </w:rPr>
        <w:t>FDCUAUHT</w:t>
      </w:r>
      <w:r w:rsidRPr="004F2666">
        <w:t>/03/USD04/02576/2001-10 (“la AP-2576”). Ante dicho llamado, al lugar se desplazó el personal del Ministerio Público, Policía Judicial y peritos</w:t>
      </w:r>
      <w:r w:rsidR="00060775" w:rsidRPr="004F2666">
        <w:rPr>
          <w:rStyle w:val="Refdenotaalpie"/>
        </w:rPr>
        <w:footnoteReference w:id="82"/>
      </w:r>
      <w:r w:rsidRPr="004F2666">
        <w:t xml:space="preserve">. </w:t>
      </w:r>
    </w:p>
    <w:p w14:paraId="47C0C2BF" w14:textId="77777777" w:rsidR="00093E34" w:rsidRPr="004F2666" w:rsidRDefault="00093E34" w:rsidP="00093E34">
      <w:pPr>
        <w:autoSpaceDE w:val="0"/>
        <w:autoSpaceDN w:val="0"/>
        <w:spacing w:line="240" w:lineRule="auto"/>
        <w:ind w:right="9"/>
      </w:pPr>
    </w:p>
    <w:p w14:paraId="48FBEBCF" w14:textId="40B0A621" w:rsidR="00093E34" w:rsidRPr="004F2666" w:rsidRDefault="003A071B" w:rsidP="00D60EB1">
      <w:pPr>
        <w:numPr>
          <w:ilvl w:val="0"/>
          <w:numId w:val="4"/>
        </w:numPr>
        <w:tabs>
          <w:tab w:val="left" w:pos="567"/>
          <w:tab w:val="num" w:pos="1569"/>
          <w:tab w:val="num" w:pos="12305"/>
        </w:tabs>
        <w:spacing w:line="240" w:lineRule="auto"/>
        <w:ind w:left="0" w:firstLine="0"/>
        <w:rPr>
          <w:b/>
        </w:rPr>
      </w:pPr>
      <w:r w:rsidRPr="004F2666">
        <w:t xml:space="preserve">El 29 de octubre de 2001 el señor </w:t>
      </w:r>
      <w:r w:rsidR="00093E34" w:rsidRPr="004F2666">
        <w:t>Miguel Cortez Morales, representante legal del Centro</w:t>
      </w:r>
      <w:r w:rsidR="003A666E">
        <w:t xml:space="preserve"> </w:t>
      </w:r>
      <w:proofErr w:type="spellStart"/>
      <w:r w:rsidR="004D63D3">
        <w:t>ProDH</w:t>
      </w:r>
      <w:proofErr w:type="spellEnd"/>
      <w:r w:rsidR="00093E34" w:rsidRPr="004F2666">
        <w:t>, amplió la denuncia</w:t>
      </w:r>
      <w:r w:rsidRPr="004F2666">
        <w:t xml:space="preserve"> interpuesta previamente por el señor González Pedraza</w:t>
      </w:r>
      <w:r w:rsidR="00093E34" w:rsidRPr="004F2666">
        <w:t xml:space="preserve">, </w:t>
      </w:r>
      <w:r w:rsidRPr="004F2666">
        <w:t xml:space="preserve">debido a la amenaza que se había </w:t>
      </w:r>
      <w:r w:rsidRPr="00D60EB1">
        <w:rPr>
          <w:lang w:val="es-ES"/>
        </w:rPr>
        <w:t>encontrado</w:t>
      </w:r>
      <w:r w:rsidRPr="004F2666">
        <w:t xml:space="preserve"> en </w:t>
      </w:r>
      <w:r w:rsidR="00093E34" w:rsidRPr="004F2666">
        <w:t xml:space="preserve">el inmueble </w:t>
      </w:r>
      <w:r w:rsidRPr="004F2666">
        <w:t xml:space="preserve">al momento de la muerte de la </w:t>
      </w:r>
      <w:r w:rsidR="001F344D">
        <w:t>señora Digna Ochoa</w:t>
      </w:r>
      <w:r w:rsidRPr="004F2666">
        <w:rPr>
          <w:rStyle w:val="Refdenotaalpie"/>
        </w:rPr>
        <w:footnoteReference w:id="83"/>
      </w:r>
      <w:r w:rsidR="00093E34" w:rsidRPr="004F2666">
        <w:t>.</w:t>
      </w:r>
      <w:r w:rsidR="00093E34" w:rsidRPr="004F2666">
        <w:rPr>
          <w:b/>
        </w:rPr>
        <w:t xml:space="preserve"> </w:t>
      </w:r>
      <w:r w:rsidRPr="004F2666">
        <w:t xml:space="preserve">A partir de ese momento el Ministerio Público </w:t>
      </w:r>
      <w:r w:rsidR="004D63D3">
        <w:t xml:space="preserve">también </w:t>
      </w:r>
      <w:r w:rsidRPr="004F2666">
        <w:t xml:space="preserve">inició investigaciones por </w:t>
      </w:r>
      <w:r w:rsidR="004D63D3">
        <w:t xml:space="preserve">estos </w:t>
      </w:r>
      <w:r w:rsidRPr="004F2666">
        <w:t>hechos</w:t>
      </w:r>
      <w:r w:rsidRPr="004F2666">
        <w:rPr>
          <w:rStyle w:val="Refdenotaalpie"/>
        </w:rPr>
        <w:footnoteReference w:id="84"/>
      </w:r>
      <w:r w:rsidRPr="004F2666">
        <w:t>.</w:t>
      </w:r>
    </w:p>
    <w:p w14:paraId="0392368D" w14:textId="77777777" w:rsidR="00093E34" w:rsidRPr="004F2666" w:rsidRDefault="00093E34" w:rsidP="00093E34">
      <w:pPr>
        <w:spacing w:line="240" w:lineRule="auto"/>
        <w:rPr>
          <w:b/>
        </w:rPr>
      </w:pPr>
    </w:p>
    <w:p w14:paraId="036947AA" w14:textId="6F2A83AC" w:rsidR="00093E34" w:rsidRPr="004F2666" w:rsidRDefault="00A247E7" w:rsidP="00D60EB1">
      <w:pPr>
        <w:numPr>
          <w:ilvl w:val="0"/>
          <w:numId w:val="4"/>
        </w:numPr>
        <w:tabs>
          <w:tab w:val="left" w:pos="567"/>
          <w:tab w:val="num" w:pos="1569"/>
          <w:tab w:val="num" w:pos="12305"/>
        </w:tabs>
        <w:spacing w:line="240" w:lineRule="auto"/>
        <w:ind w:left="0" w:firstLine="0"/>
      </w:pPr>
      <w:r>
        <w:t>E</w:t>
      </w:r>
      <w:r w:rsidR="00093E34" w:rsidRPr="004F2666">
        <w:t xml:space="preserve">l 1 de agosto de 2002 </w:t>
      </w:r>
      <w:r w:rsidR="00342BA3" w:rsidRPr="004F2666">
        <w:t>el Procurador General de Justicia del Distrito Federal emitió el Acuerdo número A/006/02, por el cual creó la Agencia del Ministerio Público Especializada para la Investigación de los Hechos del Fallecimiento de Digna Ochoa y Plácido</w:t>
      </w:r>
      <w:r w:rsidR="00342BA3" w:rsidRPr="004F2666">
        <w:rPr>
          <w:rStyle w:val="Refdenotaalpie"/>
        </w:rPr>
        <w:footnoteReference w:id="85"/>
      </w:r>
      <w:r w:rsidR="00093E34" w:rsidRPr="004F2666">
        <w:t>. Durante la etapa inicial de la investigación se practicaron 1.370 diligencias, divi</w:t>
      </w:r>
      <w:r w:rsidR="004D63D3">
        <w:t>di</w:t>
      </w:r>
      <w:r w:rsidR="00093E34" w:rsidRPr="004F2666">
        <w:t xml:space="preserve">das por su naturaleza en las siguientes categorías: 282 declaraciones, 247 </w:t>
      </w:r>
      <w:r w:rsidR="00563BBE" w:rsidRPr="004F2666">
        <w:t>“</w:t>
      </w:r>
      <w:r w:rsidR="00093E34" w:rsidRPr="004F2666">
        <w:t>diligencias ministeriales</w:t>
      </w:r>
      <w:r w:rsidR="00563BBE" w:rsidRPr="004F2666">
        <w:t>”</w:t>
      </w:r>
      <w:r w:rsidR="00093E34" w:rsidRPr="004F2666">
        <w:t xml:space="preserve">, 269 pruebas periciales, 572 oficios recibidos e informes de la </w:t>
      </w:r>
      <w:r w:rsidR="004D63D3">
        <w:t>entonces</w:t>
      </w:r>
      <w:r w:rsidR="00093E34" w:rsidRPr="004F2666">
        <w:t xml:space="preserve"> Policía Judicial</w:t>
      </w:r>
      <w:r w:rsidR="00563BBE" w:rsidRPr="004F2666">
        <w:rPr>
          <w:rStyle w:val="Refdenotaalpie"/>
        </w:rPr>
        <w:footnoteReference w:id="86"/>
      </w:r>
      <w:r w:rsidR="00093E34" w:rsidRPr="004F2666">
        <w:t xml:space="preserve">. </w:t>
      </w:r>
    </w:p>
    <w:p w14:paraId="78EEED84" w14:textId="7757530B" w:rsidR="00093E34" w:rsidRPr="004F2666" w:rsidRDefault="00093E34" w:rsidP="00093E34">
      <w:pPr>
        <w:pStyle w:val="Ttulo3"/>
        <w:rPr>
          <w:rFonts w:cs="Times New Roman"/>
          <w:b/>
          <w:i w:val="0"/>
        </w:rPr>
      </w:pPr>
      <w:bookmarkStart w:id="48" w:name="_Toc93400247"/>
      <w:r w:rsidRPr="004F2666">
        <w:rPr>
          <w:rFonts w:cs="Times New Roman"/>
        </w:rPr>
        <w:t>c</w:t>
      </w:r>
      <w:r w:rsidRPr="004F2666">
        <w:rPr>
          <w:lang w:val="es-ES"/>
        </w:rPr>
        <w:t>.</w:t>
      </w:r>
      <w:r w:rsidRPr="004F2666">
        <w:rPr>
          <w:rFonts w:cs="Times New Roman"/>
        </w:rPr>
        <w:t xml:space="preserve">1. </w:t>
      </w:r>
      <w:r w:rsidRPr="004F2666">
        <w:rPr>
          <w:lang w:val="es-ES"/>
        </w:rPr>
        <w:t>Líneas</w:t>
      </w:r>
      <w:r w:rsidRPr="004F2666">
        <w:rPr>
          <w:rFonts w:cs="Times New Roman"/>
        </w:rPr>
        <w:t xml:space="preserve"> de investigación</w:t>
      </w:r>
      <w:bookmarkEnd w:id="48"/>
    </w:p>
    <w:p w14:paraId="011AD9F7" w14:textId="2D9E62F6"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En relación con la muerte de Digna Ochoa, la Fiscalía </w:t>
      </w:r>
      <w:r w:rsidR="004D63D3">
        <w:t xml:space="preserve">Especializada </w:t>
      </w:r>
      <w:r w:rsidRPr="004F2666">
        <w:t xml:space="preserve">planteó tres líneas de investigación principales: (i) posible autoría militar, (ii) la denominada línea “Guerrero” y (iii) la línea sobre el entorno </w:t>
      </w:r>
      <w:r w:rsidRPr="00D60EB1">
        <w:rPr>
          <w:lang w:val="es-ES"/>
        </w:rPr>
        <w:t>familiar</w:t>
      </w:r>
      <w:r w:rsidRPr="004F2666">
        <w:t>, social y laboral</w:t>
      </w:r>
      <w:r w:rsidR="00DA744A" w:rsidRPr="004F2666">
        <w:rPr>
          <w:rStyle w:val="Refdenotaalpie"/>
        </w:rPr>
        <w:footnoteReference w:id="87"/>
      </w:r>
      <w:r w:rsidRPr="004F2666">
        <w:t>.</w:t>
      </w:r>
    </w:p>
    <w:p w14:paraId="7E2899B1" w14:textId="0F06991D" w:rsidR="00093E34" w:rsidRPr="001854B4" w:rsidRDefault="00093E34" w:rsidP="001854B4">
      <w:pPr>
        <w:pStyle w:val="Ttulo4"/>
      </w:pPr>
      <w:r w:rsidRPr="001854B4">
        <w:t>Línea militar</w:t>
      </w:r>
    </w:p>
    <w:p w14:paraId="769D07A5" w14:textId="3031A804"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La Fiscalía abordó esta línea de investigación sobre la base de los testimonios relacionados con dos hechos. El primero, la detención de los ecologistas Rodolfo Montiel y Teodoro Cabrera el 2 de mayo de </w:t>
      </w:r>
      <w:r w:rsidRPr="00D60EB1">
        <w:rPr>
          <w:lang w:val="es-ES"/>
        </w:rPr>
        <w:t>1999</w:t>
      </w:r>
      <w:r w:rsidRPr="004F2666">
        <w:t xml:space="preserve"> a manos del Cuarenta Batallón de Infantería. El segundo se relaciona</w:t>
      </w:r>
      <w:r w:rsidR="00A30AD4">
        <w:t>ba</w:t>
      </w:r>
      <w:r w:rsidRPr="004F2666">
        <w:t xml:space="preserve"> con la presencia de Digna Ochoa el 1 y 2 de octubre de 2001 en la Sierra de Petatlán, en el estado de Guerrero, en la que ella y su acompañante habrían entrado en contacto con miembros del Diecinueve Batallón de Infantería desplegado en esa zona</w:t>
      </w:r>
      <w:r w:rsidR="00924B92" w:rsidRPr="004F2666">
        <w:rPr>
          <w:rStyle w:val="Refdenotaalpie"/>
        </w:rPr>
        <w:footnoteReference w:id="88"/>
      </w:r>
      <w:r w:rsidRPr="004F2666">
        <w:t xml:space="preserve">. </w:t>
      </w:r>
    </w:p>
    <w:p w14:paraId="013B4359" w14:textId="77777777" w:rsidR="00093E34" w:rsidRPr="004F2666" w:rsidRDefault="00093E34" w:rsidP="00093E34">
      <w:pPr>
        <w:autoSpaceDE w:val="0"/>
        <w:autoSpaceDN w:val="0"/>
        <w:spacing w:line="240" w:lineRule="auto"/>
      </w:pPr>
    </w:p>
    <w:p w14:paraId="5993714A" w14:textId="15DDDA80" w:rsidR="00093E34" w:rsidRPr="004F2666" w:rsidRDefault="00093E34" w:rsidP="00D4269E">
      <w:pPr>
        <w:numPr>
          <w:ilvl w:val="0"/>
          <w:numId w:val="4"/>
        </w:numPr>
        <w:tabs>
          <w:tab w:val="left" w:pos="567"/>
          <w:tab w:val="num" w:pos="1569"/>
          <w:tab w:val="num" w:pos="12305"/>
        </w:tabs>
        <w:spacing w:line="240" w:lineRule="auto"/>
        <w:ind w:left="0" w:firstLine="0"/>
      </w:pPr>
      <w:r w:rsidRPr="004F2666">
        <w:t>El órgano de investigación practicó la prueba correspondiente, giró los oficios a diferentes órganos militares y judiciales del estado de Guerrero para recabar información, así como a los posibles testigos. Finalmente, la Fiscalía descartó cualquier vinculación de agentes militares con la muerte de Digna Ochoa,</w:t>
      </w:r>
      <w:r w:rsidR="00DA744A" w:rsidRPr="004F2666">
        <w:t xml:space="preserve"> precisando que no existía razón fundada y</w:t>
      </w:r>
      <w:r w:rsidR="00A30AD4">
        <w:t>,</w:t>
      </w:r>
      <w:r w:rsidR="00DA744A" w:rsidRPr="004F2666">
        <w:t xml:space="preserve"> menos aún</w:t>
      </w:r>
      <w:r w:rsidR="00A30AD4">
        <w:t>,</w:t>
      </w:r>
      <w:r w:rsidR="00DA744A" w:rsidRPr="004F2666">
        <w:t xml:space="preserve"> indicio suficiente</w:t>
      </w:r>
      <w:r w:rsidR="009C24A5">
        <w:t>,</w:t>
      </w:r>
      <w:r w:rsidR="00DA744A" w:rsidRPr="004F2666">
        <w:t xml:space="preserve"> para vincular a </w:t>
      </w:r>
      <w:r w:rsidR="00DA744A" w:rsidRPr="009C24A5">
        <w:rPr>
          <w:lang w:val="es-ES"/>
        </w:rPr>
        <w:t>algún</w:t>
      </w:r>
      <w:r w:rsidR="00DA744A" w:rsidRPr="004F2666">
        <w:t xml:space="preserve"> miembro del </w:t>
      </w:r>
      <w:r w:rsidR="00382B67" w:rsidRPr="004F2666">
        <w:t>Cuarenta</w:t>
      </w:r>
      <w:r w:rsidR="00DA744A" w:rsidRPr="004F2666">
        <w:t xml:space="preserve"> Batallón de Infantería o del Diecinueve Batallón de Infantería con la muerte de la </w:t>
      </w:r>
      <w:r w:rsidR="001F344D">
        <w:t>señora Digna Ochoa</w:t>
      </w:r>
      <w:r w:rsidR="00DA744A" w:rsidRPr="004F2666">
        <w:rPr>
          <w:rStyle w:val="Refdenotaalpie"/>
        </w:rPr>
        <w:footnoteReference w:id="89"/>
      </w:r>
      <w:r w:rsidRPr="004F2666">
        <w:t>.</w:t>
      </w:r>
    </w:p>
    <w:p w14:paraId="086E1A6D" w14:textId="0BCBD0E1" w:rsidR="00093E34" w:rsidRPr="001854B4" w:rsidRDefault="00093E34" w:rsidP="001854B4">
      <w:pPr>
        <w:pStyle w:val="Ttulo4"/>
      </w:pPr>
      <w:r w:rsidRPr="001854B4">
        <w:lastRenderedPageBreak/>
        <w:t>Línea “Guerrero”</w:t>
      </w:r>
    </w:p>
    <w:p w14:paraId="02F86DD1" w14:textId="56F56D28"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La línea de investigación denominada “Guerrero” exploró la posibilidad de que la muerte de </w:t>
      </w:r>
      <w:r w:rsidR="00A30AD4">
        <w:t xml:space="preserve">la </w:t>
      </w:r>
      <w:r w:rsidR="001F344D">
        <w:t>señora Digna Ochoa</w:t>
      </w:r>
      <w:r w:rsidRPr="004F2666">
        <w:t xml:space="preserve"> estuviera relacionada con actos criminales por parte de terceros, tal y como así lo señalaron varios testigos y la prensa. En particular, las actividades de la </w:t>
      </w:r>
      <w:r w:rsidR="001F344D">
        <w:t>señora Digna Ochoa</w:t>
      </w:r>
      <w:r w:rsidRPr="004F2666">
        <w:t xml:space="preserve"> </w:t>
      </w:r>
      <w:r w:rsidR="009C24A5">
        <w:t>en</w:t>
      </w:r>
      <w:r w:rsidRPr="004F2666">
        <w:t xml:space="preserve"> defensa de grupos y personas ecologistas en Guerrero habría generado ciertas tensiones con los denominados “caciques”, quienes se dedicaban a la explotación maderera y generarían estragos en el ecosistema del lugar, deforestación y escasez de agua. Esta línea de investigación tampoco obtuvo resultados</w:t>
      </w:r>
      <w:r w:rsidR="00343ABB" w:rsidRPr="004F2666">
        <w:rPr>
          <w:rStyle w:val="Refdenotaalpie"/>
        </w:rPr>
        <w:footnoteReference w:id="90"/>
      </w:r>
      <w:r w:rsidRPr="004F2666">
        <w:t>.</w:t>
      </w:r>
    </w:p>
    <w:p w14:paraId="0F999078" w14:textId="1CD38E51" w:rsidR="00093E34" w:rsidRPr="004F2666" w:rsidRDefault="00093E34" w:rsidP="001854B4">
      <w:pPr>
        <w:pStyle w:val="Ttulo4"/>
      </w:pPr>
      <w:r w:rsidRPr="004F2666">
        <w:t>Línea sobre el entorno familiar, social y laboral</w:t>
      </w:r>
    </w:p>
    <w:p w14:paraId="1147FF26" w14:textId="574B681A"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En </w:t>
      </w:r>
      <w:r w:rsidRPr="00D60EB1">
        <w:rPr>
          <w:lang w:val="es-ES"/>
        </w:rPr>
        <w:t>relación</w:t>
      </w:r>
      <w:r w:rsidRPr="004F2666">
        <w:t xml:space="preserve"> con el “</w:t>
      </w:r>
      <w:r w:rsidRPr="004F2666">
        <w:rPr>
          <w:i/>
        </w:rPr>
        <w:t>entorno familiar</w:t>
      </w:r>
      <w:r w:rsidRPr="004F2666">
        <w:t>”, la Fiscalía determinó que “no se desprende ni se advierte que alguno de los parientes consanguíneos, con quienes llegó a convivir Digna Ochoa y Plácido a lo largo de su vida, t</w:t>
      </w:r>
      <w:r w:rsidR="009C24A5">
        <w:t>[</w:t>
      </w:r>
      <w:proofErr w:type="spellStart"/>
      <w:r w:rsidR="009C24A5">
        <w:t>uviera</w:t>
      </w:r>
      <w:proofErr w:type="spellEnd"/>
      <w:r w:rsidR="009C24A5">
        <w:t>]</w:t>
      </w:r>
      <w:r w:rsidRPr="004F2666">
        <w:t xml:space="preserve"> alguna vinculación con su deceso”</w:t>
      </w:r>
      <w:r w:rsidR="00343ABB" w:rsidRPr="004F2666">
        <w:rPr>
          <w:rStyle w:val="Refdenotaalpie"/>
        </w:rPr>
        <w:footnoteReference w:id="91"/>
      </w:r>
      <w:r w:rsidRPr="004F2666">
        <w:t xml:space="preserve">. </w:t>
      </w:r>
    </w:p>
    <w:p w14:paraId="12141E16" w14:textId="77777777" w:rsidR="00093E34" w:rsidRPr="004F2666" w:rsidRDefault="00093E34" w:rsidP="00093E34">
      <w:pPr>
        <w:autoSpaceDE w:val="0"/>
        <w:autoSpaceDN w:val="0"/>
        <w:spacing w:line="240" w:lineRule="auto"/>
      </w:pPr>
    </w:p>
    <w:p w14:paraId="416E9397" w14:textId="2E382425" w:rsidR="00093E34" w:rsidRPr="00AF3D34" w:rsidRDefault="00093E34" w:rsidP="007942A2">
      <w:pPr>
        <w:numPr>
          <w:ilvl w:val="0"/>
          <w:numId w:val="4"/>
        </w:numPr>
        <w:tabs>
          <w:tab w:val="left" w:pos="567"/>
          <w:tab w:val="num" w:pos="1569"/>
          <w:tab w:val="num" w:pos="12305"/>
        </w:tabs>
        <w:spacing w:line="240" w:lineRule="auto"/>
        <w:ind w:left="0" w:firstLine="0"/>
      </w:pPr>
      <w:r w:rsidRPr="00AF3D34">
        <w:t>De acuerdo con lo relacionado con su “</w:t>
      </w:r>
      <w:r w:rsidRPr="00AF3D34">
        <w:rPr>
          <w:i/>
        </w:rPr>
        <w:t>entorno social</w:t>
      </w:r>
      <w:r w:rsidRPr="00AF3D34">
        <w:t>”, la Fiscalía dividió su razonamiento en los rubros “</w:t>
      </w:r>
      <w:r w:rsidRPr="00AF3D34">
        <w:rPr>
          <w:i/>
        </w:rPr>
        <w:t>vida sentimental</w:t>
      </w:r>
      <w:r w:rsidRPr="00AF3D34">
        <w:t>”, “</w:t>
      </w:r>
      <w:r w:rsidRPr="00AF3D34">
        <w:rPr>
          <w:i/>
        </w:rPr>
        <w:t>vida religiosa</w:t>
      </w:r>
      <w:r w:rsidRPr="00AF3D34">
        <w:t>” y “</w:t>
      </w:r>
      <w:r w:rsidRPr="00AF3D34">
        <w:rPr>
          <w:i/>
        </w:rPr>
        <w:t>amigos cercanos</w:t>
      </w:r>
      <w:r w:rsidRPr="00AF3D34">
        <w:t xml:space="preserve">”. En </w:t>
      </w:r>
      <w:r w:rsidR="00AF3D34" w:rsidRPr="00AF3D34">
        <w:t xml:space="preserve">ninguna de las líneas de investigación se advirtió ningún tipo de relación con las circunstancias de la muerte de la </w:t>
      </w:r>
      <w:r w:rsidR="001F344D">
        <w:t>señora Digna Ochoa</w:t>
      </w:r>
      <w:r w:rsidR="00AF3D34" w:rsidRPr="00AF3D34">
        <w:rPr>
          <w:rStyle w:val="Refdenotaalpie"/>
        </w:rPr>
        <w:footnoteReference w:id="92"/>
      </w:r>
      <w:r w:rsidR="00AF3D34" w:rsidRPr="00AF3D34">
        <w:t xml:space="preserve">. </w:t>
      </w:r>
    </w:p>
    <w:p w14:paraId="109257FF" w14:textId="77777777" w:rsidR="00AF3D34" w:rsidRPr="004F2666" w:rsidRDefault="00AF3D34" w:rsidP="00AF3D34">
      <w:pPr>
        <w:tabs>
          <w:tab w:val="left" w:pos="567"/>
          <w:tab w:val="num" w:pos="12305"/>
        </w:tabs>
        <w:spacing w:line="240" w:lineRule="auto"/>
      </w:pPr>
    </w:p>
    <w:p w14:paraId="4A20D003" w14:textId="432D7F2F"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En </w:t>
      </w:r>
      <w:r w:rsidRPr="00D60EB1">
        <w:rPr>
          <w:lang w:val="es-ES"/>
        </w:rPr>
        <w:t>relación</w:t>
      </w:r>
      <w:r w:rsidRPr="004F2666">
        <w:t xml:space="preserve"> con el “</w:t>
      </w:r>
      <w:r w:rsidRPr="004F2666">
        <w:rPr>
          <w:i/>
        </w:rPr>
        <w:t>entorno laboral</w:t>
      </w:r>
      <w:r w:rsidRPr="004F2666">
        <w:t xml:space="preserve">”, la Fiscalía tampoco encontró ninguna vinculación con la muerte de la </w:t>
      </w:r>
      <w:r w:rsidR="001F344D">
        <w:t>señora Digna Ochoa</w:t>
      </w:r>
      <w:r w:rsidR="009A645E" w:rsidRPr="004F2666">
        <w:t xml:space="preserve">. La Fiscalía concluyó que no existían bases suficientemente fundadas que </w:t>
      </w:r>
      <w:r w:rsidR="00A30AD4">
        <w:t>establecieran</w:t>
      </w:r>
      <w:r w:rsidR="009A645E" w:rsidRPr="004F2666">
        <w:t xml:space="preserve"> que alguna persona relacionada con su entorno estuviera vinculada con su muerte</w:t>
      </w:r>
      <w:r w:rsidR="009A645E" w:rsidRPr="004F2666">
        <w:rPr>
          <w:rStyle w:val="Refdenotaalpie"/>
        </w:rPr>
        <w:footnoteReference w:id="93"/>
      </w:r>
      <w:r w:rsidR="009A645E" w:rsidRPr="004F2666">
        <w:t>.</w:t>
      </w:r>
    </w:p>
    <w:p w14:paraId="692E49E5" w14:textId="00F39FBF" w:rsidR="00093E34" w:rsidRPr="004F2666" w:rsidRDefault="00093E34" w:rsidP="00093E34">
      <w:pPr>
        <w:pStyle w:val="Ttulo3"/>
        <w:rPr>
          <w:rFonts w:cs="Times New Roman"/>
          <w:b/>
          <w:i w:val="0"/>
        </w:rPr>
      </w:pPr>
      <w:bookmarkStart w:id="49" w:name="_Toc93400248"/>
      <w:r w:rsidRPr="004F2666">
        <w:rPr>
          <w:rFonts w:cs="Times New Roman"/>
        </w:rPr>
        <w:t>c.</w:t>
      </w:r>
      <w:r w:rsidR="003266B7">
        <w:rPr>
          <w:rFonts w:cs="Times New Roman"/>
        </w:rPr>
        <w:t>2</w:t>
      </w:r>
      <w:r w:rsidRPr="004F2666">
        <w:rPr>
          <w:rFonts w:cs="Times New Roman"/>
        </w:rPr>
        <w:t xml:space="preserve">. </w:t>
      </w:r>
      <w:r w:rsidR="00734F12" w:rsidRPr="004F2666">
        <w:rPr>
          <w:rFonts w:cs="Times New Roman"/>
        </w:rPr>
        <w:t>Primer a</w:t>
      </w:r>
      <w:r w:rsidRPr="004F2666">
        <w:rPr>
          <w:rFonts w:cs="Times New Roman"/>
        </w:rPr>
        <w:t>cuerdo de no ejercicio de la acción penal de 18 de julio de 2003</w:t>
      </w:r>
      <w:bookmarkEnd w:id="49"/>
      <w:r w:rsidRPr="004F2666">
        <w:rPr>
          <w:rFonts w:cs="Times New Roman"/>
        </w:rPr>
        <w:t xml:space="preserve"> </w:t>
      </w:r>
    </w:p>
    <w:p w14:paraId="52A95C7A" w14:textId="33EFAC67"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El 18 de julio de 2003 el Agente del Ministerio Público encargado de la investigación propuso a la </w:t>
      </w:r>
      <w:r w:rsidRPr="00D60EB1">
        <w:rPr>
          <w:lang w:val="es-ES"/>
        </w:rPr>
        <w:t>Coordinación</w:t>
      </w:r>
      <w:r w:rsidRPr="004F2666">
        <w:t xml:space="preserve"> de Agentes del </w:t>
      </w:r>
      <w:r w:rsidRPr="004F2666">
        <w:rPr>
          <w:rFonts w:eastAsia="MS Mincho" w:cs="Verdana"/>
          <w:snapToGrid w:val="0"/>
          <w:lang w:val="es-ES" w:eastAsia="es-ES" w:bidi="en-US"/>
        </w:rPr>
        <w:t>Ministerio</w:t>
      </w:r>
      <w:r w:rsidRPr="004F2666">
        <w:t xml:space="preserve"> Público (en adelante “la CAMP”), el no ejercicio de la acción penal tras el análisis del acervo probatorio, adoptando el respectivo Acuerdo de Resolución de la AP-2576</w:t>
      </w:r>
      <w:r w:rsidR="00342BA3" w:rsidRPr="004F2666">
        <w:rPr>
          <w:rStyle w:val="Refdenotaalpie"/>
        </w:rPr>
        <w:footnoteReference w:id="94"/>
      </w:r>
      <w:r w:rsidRPr="004F2666">
        <w:t xml:space="preserve">. El mencionado Acuerdo descartó la hipótesis de homicidio y se inclinó por </w:t>
      </w:r>
      <w:r w:rsidR="00BC3965" w:rsidRPr="004F2666">
        <w:t>que la hipótesis más probable era la de un “suicidio disimulado”</w:t>
      </w:r>
      <w:r w:rsidR="00BC3965" w:rsidRPr="004F2666">
        <w:rPr>
          <w:rStyle w:val="Refdenotaalpie"/>
        </w:rPr>
        <w:footnoteReference w:id="95"/>
      </w:r>
      <w:r w:rsidR="00BC3965" w:rsidRPr="004F2666">
        <w:t xml:space="preserve">, señalando que no existían medios de prueba que </w:t>
      </w:r>
      <w:r w:rsidR="00BC3965" w:rsidRPr="004F2666">
        <w:lastRenderedPageBreak/>
        <w:t>hicieran suponer “ni aún a manera de indicio, que en su deceso haya participado alguna persona o grupo de persona</w:t>
      </w:r>
      <w:r w:rsidR="00E77D06">
        <w:t>s</w:t>
      </w:r>
      <w:r w:rsidR="00BC3965" w:rsidRPr="004F2666">
        <w:t>”</w:t>
      </w:r>
      <w:r w:rsidR="00BC3965" w:rsidRPr="004F2666">
        <w:rPr>
          <w:rStyle w:val="Refdenotaalpie"/>
        </w:rPr>
        <w:footnoteReference w:id="96"/>
      </w:r>
      <w:r w:rsidR="00BC3965" w:rsidRPr="004F2666">
        <w:t xml:space="preserve">. </w:t>
      </w:r>
      <w:r w:rsidR="00494851" w:rsidRPr="004F2666">
        <w:t>La Fiscalía concluyó qu</w:t>
      </w:r>
      <w:r w:rsidR="00943F47">
        <w:t xml:space="preserve">e </w:t>
      </w:r>
      <w:r w:rsidR="00494851" w:rsidRPr="004F2666">
        <w:t xml:space="preserve">los hechos </w:t>
      </w:r>
      <w:r w:rsidR="00943F47">
        <w:t xml:space="preserve">relativos a la muerte de la </w:t>
      </w:r>
      <w:r w:rsidR="001F344D">
        <w:t>señora Digna Ochoa</w:t>
      </w:r>
      <w:r w:rsidR="00494851" w:rsidRPr="004F2666">
        <w:t xml:space="preserve"> no t</w:t>
      </w:r>
      <w:r w:rsidR="00943F47">
        <w:t>enían “</w:t>
      </w:r>
      <w:r w:rsidR="00494851" w:rsidRPr="004F2666">
        <w:t>relevancia desde el punto de vista jurídico penal, en tanto que no se ubican en ninguna de las conductas reguladas dentro del Código Sustantivo aplicable”</w:t>
      </w:r>
      <w:r w:rsidR="00494851" w:rsidRPr="004F2666">
        <w:rPr>
          <w:rStyle w:val="Refdenotaalpie"/>
        </w:rPr>
        <w:footnoteReference w:id="97"/>
      </w:r>
      <w:r w:rsidR="00494851" w:rsidRPr="004F2666">
        <w:t>.</w:t>
      </w:r>
      <w:r w:rsidR="006C107B">
        <w:t xml:space="preserve"> </w:t>
      </w:r>
    </w:p>
    <w:p w14:paraId="63C975E8" w14:textId="77777777" w:rsidR="00494851" w:rsidRPr="004F2666" w:rsidRDefault="00494851" w:rsidP="00494851">
      <w:pPr>
        <w:tabs>
          <w:tab w:val="left" w:pos="567"/>
        </w:tabs>
        <w:autoSpaceDE w:val="0"/>
        <w:autoSpaceDN w:val="0"/>
        <w:spacing w:line="240" w:lineRule="auto"/>
        <w:ind w:left="825"/>
      </w:pPr>
    </w:p>
    <w:p w14:paraId="464D883D" w14:textId="0547D9AE" w:rsidR="00093E34" w:rsidRPr="004F2666" w:rsidRDefault="00093E34" w:rsidP="00D60EB1">
      <w:pPr>
        <w:numPr>
          <w:ilvl w:val="0"/>
          <w:numId w:val="4"/>
        </w:numPr>
        <w:tabs>
          <w:tab w:val="left" w:pos="567"/>
          <w:tab w:val="num" w:pos="1569"/>
          <w:tab w:val="num" w:pos="12305"/>
        </w:tabs>
        <w:spacing w:line="240" w:lineRule="auto"/>
        <w:ind w:left="0" w:firstLine="0"/>
      </w:pPr>
      <w:r w:rsidRPr="004F2666">
        <w:t xml:space="preserve">Si </w:t>
      </w:r>
      <w:r w:rsidRPr="004F2666">
        <w:rPr>
          <w:rFonts w:eastAsia="MS Mincho" w:cs="Verdana"/>
          <w:snapToGrid w:val="0"/>
          <w:lang w:val="es-ES" w:eastAsia="es-ES" w:bidi="en-US"/>
        </w:rPr>
        <w:t>bien</w:t>
      </w:r>
      <w:r w:rsidRPr="004F2666">
        <w:t xml:space="preserve"> la Fiscalía identificó problemas en la cadena de custodia de la prueba obtenida en el lugar de los hechos, alegó que dicha circunstancia “no fue de tal manera grave como para alterar </w:t>
      </w:r>
      <w:r w:rsidRPr="00D60EB1">
        <w:rPr>
          <w:lang w:val="es-ES"/>
        </w:rPr>
        <w:t>radicalmente</w:t>
      </w:r>
      <w:r w:rsidRPr="004F2666">
        <w:t xml:space="preserve"> el escenario, ni tampoco como para afirmar que las conclusiones de algunos dictámenes no fuesen del todo válidas”</w:t>
      </w:r>
      <w:r w:rsidR="00494851" w:rsidRPr="004F2666">
        <w:rPr>
          <w:rStyle w:val="Refdenotaalpie"/>
        </w:rPr>
        <w:footnoteReference w:id="98"/>
      </w:r>
      <w:r w:rsidRPr="004F2666">
        <w:t xml:space="preserve">. </w:t>
      </w:r>
    </w:p>
    <w:p w14:paraId="5FFB72E4" w14:textId="604CEECD" w:rsidR="006C4CB7" w:rsidRPr="004F2666" w:rsidRDefault="006C4CB7" w:rsidP="006C4CB7">
      <w:pPr>
        <w:tabs>
          <w:tab w:val="left" w:pos="567"/>
        </w:tabs>
        <w:spacing w:line="240" w:lineRule="auto"/>
      </w:pPr>
    </w:p>
    <w:p w14:paraId="3C444E15" w14:textId="5BFC09B1" w:rsidR="00FB6A67" w:rsidRPr="004F2666" w:rsidRDefault="005E146E" w:rsidP="00D60EB1">
      <w:pPr>
        <w:numPr>
          <w:ilvl w:val="0"/>
          <w:numId w:val="4"/>
        </w:numPr>
        <w:tabs>
          <w:tab w:val="left" w:pos="567"/>
          <w:tab w:val="num" w:pos="1569"/>
          <w:tab w:val="num" w:pos="12305"/>
        </w:tabs>
        <w:spacing w:line="240" w:lineRule="auto"/>
        <w:ind w:left="0" w:firstLine="0"/>
      </w:pPr>
      <w:r w:rsidRPr="004F2666">
        <w:t xml:space="preserve">En </w:t>
      </w:r>
      <w:r w:rsidRPr="00D60EB1">
        <w:rPr>
          <w:lang w:val="es-ES"/>
        </w:rPr>
        <w:t>relación</w:t>
      </w:r>
      <w:r w:rsidRPr="004F2666">
        <w:t xml:space="preserve"> con las amenazas que desde años anteriores </w:t>
      </w:r>
      <w:r w:rsidR="00A30AD4">
        <w:t xml:space="preserve">la </w:t>
      </w:r>
      <w:r w:rsidR="001F344D">
        <w:t>señora Digna Ochoa</w:t>
      </w:r>
      <w:r w:rsidRPr="004F2666">
        <w:t xml:space="preserve"> y el Centro </w:t>
      </w:r>
      <w:proofErr w:type="spellStart"/>
      <w:r w:rsidR="004D63D3">
        <w:t>ProDH</w:t>
      </w:r>
      <w:proofErr w:type="spellEnd"/>
      <w:r w:rsidRPr="004F2666">
        <w:t xml:space="preserve"> habían denunciado, la Fiscalía Especial </w:t>
      </w:r>
      <w:r w:rsidR="00E77D06">
        <w:t>advirtió</w:t>
      </w:r>
      <w:r w:rsidRPr="004F2666">
        <w:t xml:space="preserve"> que no era posible vincularlas a la AP-2576, dado que </w:t>
      </w:r>
      <w:r w:rsidRPr="004F2666">
        <w:rPr>
          <w:iCs/>
        </w:rPr>
        <w:t>se</w:t>
      </w:r>
      <w:r w:rsidRPr="004F2666">
        <w:rPr>
          <w:i/>
          <w:iCs/>
        </w:rPr>
        <w:t xml:space="preserve"> </w:t>
      </w:r>
      <w:r w:rsidRPr="004F2666">
        <w:t>deter</w:t>
      </w:r>
      <w:r w:rsidR="003266B7">
        <w:t>minó que Digna Ochoa se habría “qui[</w:t>
      </w:r>
      <w:proofErr w:type="spellStart"/>
      <w:r w:rsidR="003266B7">
        <w:t>tado</w:t>
      </w:r>
      <w:proofErr w:type="spellEnd"/>
      <w:r w:rsidR="003266B7">
        <w:t>] la vida”</w:t>
      </w:r>
      <w:r w:rsidR="00FB6A67" w:rsidRPr="004F2666">
        <w:rPr>
          <w:rStyle w:val="Refdenotaalpie"/>
        </w:rPr>
        <w:footnoteReference w:id="99"/>
      </w:r>
      <w:r w:rsidR="00FB6A67" w:rsidRPr="004F2666">
        <w:t>, argumentando lo siguiente:</w:t>
      </w:r>
    </w:p>
    <w:p w14:paraId="29706248" w14:textId="77777777" w:rsidR="00FB6A67" w:rsidRPr="004F2666" w:rsidRDefault="00FB6A67" w:rsidP="00FB6A67">
      <w:pPr>
        <w:tabs>
          <w:tab w:val="left" w:pos="567"/>
        </w:tabs>
        <w:spacing w:line="240" w:lineRule="auto"/>
      </w:pPr>
    </w:p>
    <w:p w14:paraId="6ADA631F" w14:textId="404AAF58" w:rsidR="005E146E" w:rsidRPr="004F2666" w:rsidRDefault="00FB6A67" w:rsidP="00FB6A67">
      <w:pPr>
        <w:tabs>
          <w:tab w:val="left" w:pos="567"/>
        </w:tabs>
        <w:spacing w:line="240" w:lineRule="auto"/>
        <w:ind w:left="567" w:right="724"/>
        <w:rPr>
          <w:sz w:val="18"/>
          <w:szCs w:val="18"/>
        </w:rPr>
      </w:pPr>
      <w:r w:rsidRPr="004F2666">
        <w:rPr>
          <w:sz w:val="18"/>
          <w:szCs w:val="18"/>
        </w:rPr>
        <w:t>[…] ninguno de los asuntos en los que intervino DIGNA OCHOA Y PLÁCIDO tuvo una duración tan amplia, es decir, ninguno de ellos abarcó el lapso comprendido desde 1995 mil novecientos noventa y cinco hasta el 2001 dos mil uno, como para poder vincular a los actores involucrados con la autoría de las amenazas y menos aún con la muerte de la Licenciada OCHOA, quien, se insiste, quiso aparentar en su muerte la existencia de un homicidio, cuando fue ella misma quien se quitó la vida. Luego entonces, las afirmaciones en el sentido de querer vincular las supuestas amenazas recibidas por DIGNA OCHOA Y PLÁCIDO años atrás, con su muerte, no encuentran sustento lógico, de conformidad con el material probatorio que integra la presente averiguación previa</w:t>
      </w:r>
      <w:r w:rsidRPr="004F2666">
        <w:rPr>
          <w:rStyle w:val="Refdenotaalpie"/>
          <w:sz w:val="18"/>
          <w:szCs w:val="18"/>
        </w:rPr>
        <w:footnoteReference w:id="100"/>
      </w:r>
      <w:r w:rsidRPr="004F2666">
        <w:rPr>
          <w:sz w:val="18"/>
          <w:szCs w:val="18"/>
        </w:rPr>
        <w:t>.</w:t>
      </w:r>
    </w:p>
    <w:p w14:paraId="34E1C949" w14:textId="77777777" w:rsidR="00F857C0" w:rsidRPr="004F2666" w:rsidRDefault="00F857C0" w:rsidP="006C4CB7">
      <w:pPr>
        <w:tabs>
          <w:tab w:val="left" w:pos="567"/>
        </w:tabs>
        <w:spacing w:line="240" w:lineRule="auto"/>
      </w:pPr>
    </w:p>
    <w:p w14:paraId="4CD20ED5" w14:textId="365D438D" w:rsidR="00071D89" w:rsidRPr="004F2666" w:rsidRDefault="006C4CB7" w:rsidP="00D60EB1">
      <w:pPr>
        <w:numPr>
          <w:ilvl w:val="0"/>
          <w:numId w:val="4"/>
        </w:numPr>
        <w:tabs>
          <w:tab w:val="left" w:pos="567"/>
          <w:tab w:val="num" w:pos="1569"/>
          <w:tab w:val="num" w:pos="12305"/>
        </w:tabs>
        <w:spacing w:line="240" w:lineRule="auto"/>
        <w:ind w:left="0" w:firstLine="0"/>
      </w:pPr>
      <w:r w:rsidRPr="004F2666">
        <w:t>El 17 de septiembre de 2003 la CAMP estimó procedente autorizar la propuesta de Acuerdo</w:t>
      </w:r>
      <w:r w:rsidRPr="004F2666">
        <w:rPr>
          <w:rStyle w:val="Refdenotaalpie"/>
        </w:rPr>
        <w:footnoteReference w:id="101"/>
      </w:r>
      <w:r w:rsidRPr="004F2666">
        <w:t xml:space="preserve">. </w:t>
      </w:r>
      <w:r w:rsidR="003266B7">
        <w:t>El 3 de octubre la</w:t>
      </w:r>
      <w:r w:rsidR="00F857C0">
        <w:t xml:space="preserve"> coadyuvancia</w:t>
      </w:r>
      <w:r w:rsidR="00F857C0">
        <w:rPr>
          <w:rStyle w:val="Refdenotaalpie"/>
        </w:rPr>
        <w:footnoteReference w:id="102"/>
      </w:r>
      <w:r w:rsidR="00F857C0">
        <w:t xml:space="preserve"> presentó</w:t>
      </w:r>
      <w:r w:rsidRPr="004F2666">
        <w:t xml:space="preserve"> un recurso de inconformidad apelando </w:t>
      </w:r>
      <w:r w:rsidR="00A30AD4">
        <w:t xml:space="preserve">dicho Acuerdo </w:t>
      </w:r>
      <w:r w:rsidRPr="004F2666">
        <w:t xml:space="preserve">ante la </w:t>
      </w:r>
      <w:r w:rsidR="003266B7">
        <w:t xml:space="preserve">propia </w:t>
      </w:r>
      <w:r w:rsidRPr="004F2666">
        <w:t xml:space="preserve">CAMP, el </w:t>
      </w:r>
      <w:r w:rsidR="00E77D06">
        <w:t>cual</w:t>
      </w:r>
      <w:r w:rsidRPr="004F2666">
        <w:t xml:space="preserve"> fue rechazado mediante auto de 29 de octubre de 2003</w:t>
      </w:r>
      <w:r w:rsidR="00885ED8" w:rsidRPr="004F2666">
        <w:rPr>
          <w:rStyle w:val="Refdenotaalpie"/>
        </w:rPr>
        <w:footnoteReference w:id="103"/>
      </w:r>
      <w:r w:rsidRPr="004F2666">
        <w:t xml:space="preserve">. </w:t>
      </w:r>
    </w:p>
    <w:p w14:paraId="162B7F2D" w14:textId="77777777" w:rsidR="00071D89" w:rsidRPr="004F2666" w:rsidRDefault="00071D89" w:rsidP="00071D89">
      <w:pPr>
        <w:widowControl/>
        <w:tabs>
          <w:tab w:val="left" w:pos="567"/>
        </w:tabs>
        <w:autoSpaceDE w:val="0"/>
        <w:autoSpaceDN w:val="0"/>
        <w:adjustRightInd/>
        <w:spacing w:line="240" w:lineRule="auto"/>
        <w:ind w:right="-90"/>
        <w:textAlignment w:val="auto"/>
      </w:pPr>
    </w:p>
    <w:p w14:paraId="7090F915" w14:textId="2E484B24" w:rsidR="00071D89" w:rsidRPr="004F2666" w:rsidRDefault="00071D89" w:rsidP="00A30AD4">
      <w:pPr>
        <w:numPr>
          <w:ilvl w:val="0"/>
          <w:numId w:val="4"/>
        </w:numPr>
        <w:tabs>
          <w:tab w:val="left" w:pos="567"/>
          <w:tab w:val="num" w:pos="1569"/>
          <w:tab w:val="num" w:pos="12305"/>
        </w:tabs>
        <w:spacing w:line="240" w:lineRule="auto"/>
        <w:ind w:left="0" w:firstLine="0"/>
      </w:pPr>
      <w:r w:rsidRPr="004F2666">
        <w:t xml:space="preserve">El 19 de noviembre de 2003 </w:t>
      </w:r>
      <w:r w:rsidR="00F857C0">
        <w:t>interpuso</w:t>
      </w:r>
      <w:r w:rsidRPr="004F2666">
        <w:t xml:space="preserve"> un amparo indirecto contra la desestimación del recurso de inconformidad, el cual fue rechazado</w:t>
      </w:r>
      <w:r w:rsidR="00885ED8" w:rsidRPr="004F2666">
        <w:t xml:space="preserve"> el 22 de julio de 2004</w:t>
      </w:r>
      <w:r w:rsidR="00885ED8" w:rsidRPr="004F2666">
        <w:rPr>
          <w:rStyle w:val="Refdenotaalpie"/>
        </w:rPr>
        <w:footnoteReference w:id="104"/>
      </w:r>
      <w:r w:rsidRPr="004F2666">
        <w:t>. Posteriormente</w:t>
      </w:r>
      <w:r w:rsidR="001A2943">
        <w:t>,</w:t>
      </w:r>
      <w:r w:rsidRPr="004F2666">
        <w:t xml:space="preserve"> </w:t>
      </w:r>
      <w:r w:rsidR="00F857C0">
        <w:t>presentó</w:t>
      </w:r>
      <w:r w:rsidRPr="004F2666">
        <w:t xml:space="preserve"> un recurso de revisión ante el Segundo Tribunal Colegiado en Materia Penal del primer Circuito, el cual fue resuelto el </w:t>
      </w:r>
      <w:r w:rsidR="001A6D8C">
        <w:t>2</w:t>
      </w:r>
      <w:r w:rsidR="001A2943">
        <w:t>4</w:t>
      </w:r>
      <w:r w:rsidRPr="004F2666">
        <w:t xml:space="preserve"> de febrero de 2005. En particular, el Tribunal Colegiado encontró que el descarte del ofrecimiento probatorio </w:t>
      </w:r>
      <w:r w:rsidRPr="00D60EB1">
        <w:rPr>
          <w:lang w:val="es-ES"/>
        </w:rPr>
        <w:t>de</w:t>
      </w:r>
      <w:r w:rsidRPr="004F2666">
        <w:t xml:space="preserve"> los familiares por el motivo de “superabundancia de la prueba” </w:t>
      </w:r>
      <w:r w:rsidRPr="004F2666">
        <w:lastRenderedPageBreak/>
        <w:t xml:space="preserve">“soslayó la defensa de sus intereses reconocidos constitucionalmente”, ya que la </w:t>
      </w:r>
      <w:r w:rsidR="00F857C0">
        <w:t xml:space="preserve">coadyuvancia </w:t>
      </w:r>
      <w:r w:rsidRPr="004F2666">
        <w:t>tenía el derecho de presentar sus medios de prueba si estaban en desacuerdo con los peritajes oficiales</w:t>
      </w:r>
      <w:r w:rsidR="00885ED8" w:rsidRPr="004F2666">
        <w:rPr>
          <w:rStyle w:val="Refdenotaalpie"/>
        </w:rPr>
        <w:footnoteReference w:id="105"/>
      </w:r>
      <w:r w:rsidR="001A6D8C">
        <w:t>, ordenando, asimismo, la admisión de las pruebas solicitadas por la coadyuvancia en virtud de escrito de 6 de mayo de 2003</w:t>
      </w:r>
      <w:r w:rsidR="001A6D8C">
        <w:rPr>
          <w:rStyle w:val="Refdenotaalpie"/>
        </w:rPr>
        <w:footnoteReference w:id="106"/>
      </w:r>
      <w:r w:rsidRPr="004F2666">
        <w:t xml:space="preserve">. </w:t>
      </w:r>
    </w:p>
    <w:p w14:paraId="79545956" w14:textId="0052587F" w:rsidR="00AB3B82" w:rsidRPr="004F2666" w:rsidRDefault="00AB3B82" w:rsidP="00AB3B82">
      <w:pPr>
        <w:pStyle w:val="Ttulo3"/>
        <w:rPr>
          <w:rFonts w:cs="Times New Roman"/>
          <w:b/>
          <w:i w:val="0"/>
        </w:rPr>
      </w:pPr>
      <w:bookmarkStart w:id="50" w:name="_Toc93400249"/>
      <w:r w:rsidRPr="004F2666">
        <w:rPr>
          <w:rFonts w:cs="Times New Roman"/>
        </w:rPr>
        <w:t>c.</w:t>
      </w:r>
      <w:r w:rsidR="003266B7">
        <w:rPr>
          <w:rFonts w:cs="Times New Roman"/>
        </w:rPr>
        <w:t>3</w:t>
      </w:r>
      <w:r w:rsidRPr="004F2666">
        <w:rPr>
          <w:rFonts w:cs="Times New Roman"/>
        </w:rPr>
        <w:t xml:space="preserve">. </w:t>
      </w:r>
      <w:r w:rsidR="00734F12" w:rsidRPr="004F2666">
        <w:rPr>
          <w:rFonts w:cs="Times New Roman"/>
        </w:rPr>
        <w:t>Segundo a</w:t>
      </w:r>
      <w:r w:rsidRPr="004F2666">
        <w:rPr>
          <w:rFonts w:cs="Times New Roman"/>
        </w:rPr>
        <w:t xml:space="preserve">cuerdo de no ejercicio de la acción penal de </w:t>
      </w:r>
      <w:r w:rsidR="00885ED8" w:rsidRPr="004F2666">
        <w:rPr>
          <w:rFonts w:cs="Times New Roman"/>
        </w:rPr>
        <w:t xml:space="preserve">12 de </w:t>
      </w:r>
      <w:r w:rsidR="001A6D8C">
        <w:rPr>
          <w:rFonts w:cs="Times New Roman"/>
        </w:rPr>
        <w:t>marzo</w:t>
      </w:r>
      <w:r w:rsidR="00885ED8" w:rsidRPr="004F2666">
        <w:rPr>
          <w:rFonts w:cs="Times New Roman"/>
        </w:rPr>
        <w:t xml:space="preserve"> de 2007</w:t>
      </w:r>
      <w:bookmarkEnd w:id="50"/>
      <w:r w:rsidRPr="004F2666">
        <w:rPr>
          <w:rFonts w:cs="Times New Roman"/>
        </w:rPr>
        <w:t xml:space="preserve"> </w:t>
      </w:r>
    </w:p>
    <w:p w14:paraId="7359DA2E" w14:textId="190FDD30" w:rsidR="00093E34" w:rsidRPr="004F2666" w:rsidRDefault="00093E34" w:rsidP="004247B5">
      <w:pPr>
        <w:widowControl/>
        <w:numPr>
          <w:ilvl w:val="0"/>
          <w:numId w:val="4"/>
        </w:numPr>
        <w:tabs>
          <w:tab w:val="left" w:pos="567"/>
          <w:tab w:val="num" w:pos="1569"/>
          <w:tab w:val="num" w:pos="12305"/>
        </w:tabs>
        <w:autoSpaceDE w:val="0"/>
        <w:autoSpaceDN w:val="0"/>
        <w:adjustRightInd/>
        <w:spacing w:line="240" w:lineRule="auto"/>
        <w:ind w:left="0" w:right="-90" w:firstLine="0"/>
        <w:textAlignment w:val="auto"/>
      </w:pPr>
      <w:r w:rsidRPr="004F2666">
        <w:t xml:space="preserve">En seguimiento de dicha resolución, la Fiscalía ordenó la admisión de las pruebas ofrecidas por </w:t>
      </w:r>
      <w:r w:rsidR="00F857C0">
        <w:t>la coadyuvancia</w:t>
      </w:r>
      <w:r w:rsidRPr="004F2666">
        <w:t xml:space="preserve">. El 12 de </w:t>
      </w:r>
      <w:r w:rsidR="001A6D8C">
        <w:t>marzo</w:t>
      </w:r>
      <w:r w:rsidRPr="004F2666">
        <w:t xml:space="preserve"> de 2007, tras la incorporación de la nueva prueba aportada, el agente del Ministerio Público propuso a la CAMP el segundo acuerdo de no ejercicio de la acción penal</w:t>
      </w:r>
      <w:r w:rsidR="00885ED8" w:rsidRPr="004F2666">
        <w:rPr>
          <w:rStyle w:val="Refdenotaalpie"/>
        </w:rPr>
        <w:footnoteReference w:id="107"/>
      </w:r>
      <w:r w:rsidR="00C05753" w:rsidRPr="004F2666">
        <w:t xml:space="preserve">. </w:t>
      </w:r>
      <w:r w:rsidR="007F1120" w:rsidRPr="004F2666">
        <w:t>El Ministerio</w:t>
      </w:r>
      <w:r w:rsidR="003266B7">
        <w:t xml:space="preserve"> Público</w:t>
      </w:r>
      <w:r w:rsidR="007F1120" w:rsidRPr="004F2666">
        <w:t xml:space="preserve"> </w:t>
      </w:r>
      <w:r w:rsidRPr="004F2666">
        <w:t xml:space="preserve">solicitó dar por cumplido el amparo ante el Juzgado Séptimo de Distrito de Amparo en Materia </w:t>
      </w:r>
      <w:r w:rsidRPr="001A6D8C">
        <w:rPr>
          <w:lang w:val="es-ES"/>
        </w:rPr>
        <w:t>Penal</w:t>
      </w:r>
      <w:r w:rsidRPr="004F2666">
        <w:t xml:space="preserve"> del Distrito Federal, órgano que el 7 de junio de 2007 declaró cumplida la sentencia de amparo</w:t>
      </w:r>
      <w:r w:rsidR="00885ED8" w:rsidRPr="004F2666">
        <w:rPr>
          <w:rStyle w:val="Refdenotaalpie"/>
        </w:rPr>
        <w:footnoteReference w:id="108"/>
      </w:r>
      <w:r w:rsidRPr="004F2666">
        <w:t xml:space="preserve">. Contra esta determinación, </w:t>
      </w:r>
      <w:r w:rsidR="00F857C0">
        <w:t>la coadyuvancia</w:t>
      </w:r>
      <w:r w:rsidR="00F857C0" w:rsidRPr="004F2666">
        <w:t xml:space="preserve"> </w:t>
      </w:r>
      <w:r w:rsidR="00F857C0">
        <w:t xml:space="preserve">interpuso </w:t>
      </w:r>
      <w:r w:rsidRPr="004F2666">
        <w:t xml:space="preserve">un recurso de inconformidad el cual fue </w:t>
      </w:r>
      <w:r w:rsidR="00885ED8" w:rsidRPr="004F2666">
        <w:t>desestimado</w:t>
      </w:r>
      <w:r w:rsidR="00586D7E" w:rsidRPr="004F2666">
        <w:t xml:space="preserve"> el 9 de junio de 2007</w:t>
      </w:r>
      <w:r w:rsidR="00885ED8" w:rsidRPr="004F2666">
        <w:rPr>
          <w:rStyle w:val="Refdenotaalpie"/>
        </w:rPr>
        <w:footnoteReference w:id="109"/>
      </w:r>
      <w:r w:rsidRPr="004F2666">
        <w:t xml:space="preserve">. </w:t>
      </w:r>
    </w:p>
    <w:p w14:paraId="5913FD23" w14:textId="77777777" w:rsidR="00093E34" w:rsidRPr="004F2666" w:rsidRDefault="00093E34" w:rsidP="00093E34">
      <w:pPr>
        <w:autoSpaceDE w:val="0"/>
        <w:autoSpaceDN w:val="0"/>
        <w:spacing w:line="240" w:lineRule="auto"/>
      </w:pPr>
    </w:p>
    <w:p w14:paraId="553124F9" w14:textId="124F4078" w:rsidR="00AB3B82" w:rsidRPr="004F2666" w:rsidRDefault="007F1120" w:rsidP="00D60EB1">
      <w:pPr>
        <w:numPr>
          <w:ilvl w:val="0"/>
          <w:numId w:val="4"/>
        </w:numPr>
        <w:tabs>
          <w:tab w:val="left" w:pos="567"/>
          <w:tab w:val="num" w:pos="1569"/>
          <w:tab w:val="num" w:pos="12305"/>
        </w:tabs>
        <w:spacing w:line="240" w:lineRule="auto"/>
        <w:ind w:left="0" w:firstLine="0"/>
        <w:rPr>
          <w:b/>
        </w:rPr>
      </w:pPr>
      <w:r w:rsidRPr="004F2666">
        <w:t>Sin embargo, el 17 de septiembre de 200</w:t>
      </w:r>
      <w:r w:rsidR="001A6D8C">
        <w:t>8</w:t>
      </w:r>
      <w:r w:rsidRPr="004F2666">
        <w:t xml:space="preserve">, la Coordinación de Agentes del Ministerio Público Auxiliares </w:t>
      </w:r>
      <w:r w:rsidRPr="00D60EB1">
        <w:rPr>
          <w:lang w:val="es-ES"/>
        </w:rPr>
        <w:t>del</w:t>
      </w:r>
      <w:r w:rsidRPr="004F2666">
        <w:t xml:space="preserve"> Procurador rechazó la solicitud del no ejercicio de la acción penal y ordenó la realización de </w:t>
      </w:r>
      <w:r w:rsidRPr="00D60EB1">
        <w:rPr>
          <w:lang w:val="es-ES"/>
        </w:rPr>
        <w:t>diversas</w:t>
      </w:r>
      <w:r w:rsidRPr="004F2666">
        <w:t xml:space="preserve"> diligencias</w:t>
      </w:r>
      <w:r w:rsidR="00900468" w:rsidRPr="004F2666">
        <w:rPr>
          <w:rStyle w:val="Refdenotaalpie"/>
        </w:rPr>
        <w:footnoteReference w:id="110"/>
      </w:r>
      <w:r w:rsidR="00093E34" w:rsidRPr="004F2666">
        <w:t xml:space="preserve">. </w:t>
      </w:r>
    </w:p>
    <w:p w14:paraId="1CF42EFA" w14:textId="25D628DB" w:rsidR="00AB3B82" w:rsidRPr="004F2666" w:rsidRDefault="00AB3B82" w:rsidP="00AB3B82">
      <w:pPr>
        <w:pStyle w:val="Ttulo3"/>
        <w:rPr>
          <w:rFonts w:cs="Times New Roman"/>
          <w:b/>
          <w:i w:val="0"/>
        </w:rPr>
      </w:pPr>
      <w:bookmarkStart w:id="51" w:name="_Toc93400250"/>
      <w:r w:rsidRPr="004F2666">
        <w:rPr>
          <w:rFonts w:cs="Times New Roman"/>
        </w:rPr>
        <w:t>c.</w:t>
      </w:r>
      <w:r w:rsidR="003266B7">
        <w:rPr>
          <w:rFonts w:cs="Times New Roman"/>
        </w:rPr>
        <w:t>4</w:t>
      </w:r>
      <w:r w:rsidRPr="004F2666">
        <w:rPr>
          <w:rFonts w:cs="Times New Roman"/>
        </w:rPr>
        <w:t xml:space="preserve">. </w:t>
      </w:r>
      <w:r w:rsidR="00734F12" w:rsidRPr="004F2666">
        <w:rPr>
          <w:rFonts w:cs="Times New Roman"/>
        </w:rPr>
        <w:t>Tercer a</w:t>
      </w:r>
      <w:r w:rsidRPr="004F2666">
        <w:rPr>
          <w:rFonts w:cs="Times New Roman"/>
        </w:rPr>
        <w:t xml:space="preserve">cuerdo de no ejercicio de la acción penal de </w:t>
      </w:r>
      <w:r w:rsidR="00060A66" w:rsidRPr="004F2666">
        <w:rPr>
          <w:rFonts w:cs="Times New Roman"/>
        </w:rPr>
        <w:t>26 de noviembre</w:t>
      </w:r>
      <w:r w:rsidR="00900468" w:rsidRPr="004F2666">
        <w:rPr>
          <w:rFonts w:cs="Times New Roman"/>
        </w:rPr>
        <w:t xml:space="preserve"> de 2010</w:t>
      </w:r>
      <w:bookmarkEnd w:id="51"/>
      <w:r w:rsidRPr="004F2666">
        <w:rPr>
          <w:rFonts w:cs="Times New Roman"/>
        </w:rPr>
        <w:t xml:space="preserve"> </w:t>
      </w:r>
    </w:p>
    <w:p w14:paraId="79A356CA" w14:textId="56CE4D86" w:rsidR="00D51095" w:rsidRPr="00A104BF" w:rsidRDefault="00093E34" w:rsidP="00A104BF">
      <w:pPr>
        <w:numPr>
          <w:ilvl w:val="0"/>
          <w:numId w:val="4"/>
        </w:numPr>
        <w:tabs>
          <w:tab w:val="left" w:pos="567"/>
          <w:tab w:val="num" w:pos="1569"/>
          <w:tab w:val="num" w:pos="12305"/>
        </w:tabs>
        <w:spacing w:line="240" w:lineRule="auto"/>
        <w:ind w:left="0" w:firstLine="0"/>
        <w:rPr>
          <w:b/>
        </w:rPr>
      </w:pPr>
      <w:r w:rsidRPr="004F2666">
        <w:t xml:space="preserve">Tras la práctica de nuevas diligencias, el </w:t>
      </w:r>
      <w:r w:rsidR="00900468" w:rsidRPr="004F2666">
        <w:t xml:space="preserve">20 de agosto de 2010 </w:t>
      </w:r>
      <w:r w:rsidR="0024329A">
        <w:t xml:space="preserve">el </w:t>
      </w:r>
      <w:r w:rsidRPr="004F2666">
        <w:t xml:space="preserve">agente del Ministerio Público propuso un tercer acuerdo de no ejercicio de la acción penal </w:t>
      </w:r>
      <w:r w:rsidR="00900468" w:rsidRPr="004F2666">
        <w:t xml:space="preserve">y ello sobre la base de que estaban “ante la inexistencia del delito de </w:t>
      </w:r>
      <w:r w:rsidR="006529B6" w:rsidRPr="004F2666">
        <w:t>homicidio</w:t>
      </w:r>
      <w:r w:rsidR="00900468" w:rsidRPr="004F2666">
        <w:t>” y que no existía “una conducta relevante para el derecho penal”</w:t>
      </w:r>
      <w:r w:rsidR="00900468" w:rsidRPr="004F2666">
        <w:rPr>
          <w:rStyle w:val="Refdenotaalpie"/>
        </w:rPr>
        <w:footnoteReference w:id="111"/>
      </w:r>
      <w:r w:rsidRPr="004F2666">
        <w:t xml:space="preserve">. </w:t>
      </w:r>
      <w:r w:rsidR="00075550" w:rsidRPr="004F2666">
        <w:t>El 26 de noviembre de 2010 se aprobó el no ejercicio de la acción penal</w:t>
      </w:r>
      <w:r w:rsidR="00075550" w:rsidRPr="004F2666">
        <w:rPr>
          <w:rStyle w:val="Refdenotaalpie"/>
        </w:rPr>
        <w:footnoteReference w:id="112"/>
      </w:r>
      <w:r w:rsidR="00075550" w:rsidRPr="004F2666">
        <w:t xml:space="preserve">. </w:t>
      </w:r>
      <w:r w:rsidRPr="004F2666">
        <w:t xml:space="preserve">El 5 de abril de 2011 </w:t>
      </w:r>
      <w:r w:rsidR="00F857C0">
        <w:t>la coadyuvancia</w:t>
      </w:r>
      <w:r w:rsidR="00F857C0" w:rsidRPr="004F2666">
        <w:t xml:space="preserve"> </w:t>
      </w:r>
      <w:r w:rsidR="00F857C0">
        <w:t xml:space="preserve">presentó un </w:t>
      </w:r>
      <w:r w:rsidRPr="004F2666">
        <w:t xml:space="preserve">recurso de amparo contra el </w:t>
      </w:r>
      <w:r w:rsidR="00B430F4">
        <w:t>referido acuerdo de no ejercicio de la acción penal</w:t>
      </w:r>
      <w:r w:rsidRPr="004F2666">
        <w:t>. El</w:t>
      </w:r>
      <w:r w:rsidR="00924B92" w:rsidRPr="004F2666">
        <w:t xml:space="preserve"> 19 de agosto de 2011 el</w:t>
      </w:r>
      <w:r w:rsidRPr="004F2666">
        <w:t xml:space="preserve"> </w:t>
      </w:r>
      <w:r w:rsidRPr="00D60EB1">
        <w:rPr>
          <w:lang w:val="es-ES"/>
        </w:rPr>
        <w:t>Juez</w:t>
      </w:r>
      <w:r w:rsidRPr="004F2666">
        <w:t xml:space="preserve"> de Amparo declaró inoperantes e infundados los argumentos de los recurrentes</w:t>
      </w:r>
      <w:r w:rsidR="007F1120" w:rsidRPr="004F2666">
        <w:rPr>
          <w:rStyle w:val="Refdenotaalpie"/>
        </w:rPr>
        <w:footnoteReference w:id="113"/>
      </w:r>
      <w:r w:rsidRPr="004F2666">
        <w:t>.</w:t>
      </w:r>
      <w:r w:rsidR="00924B92" w:rsidRPr="004F2666">
        <w:t xml:space="preserve"> El Estado señaló que e</w:t>
      </w:r>
      <w:r w:rsidRPr="004F2666">
        <w:t xml:space="preserve">l 9 de septiembre de 2011 el Juzgado Séptimo de Distrito de Amparo en materia penal del Distrito Federal resolvió que el proceso causó ejecutoria y dispuso su archivo en razón de que </w:t>
      </w:r>
      <w:r w:rsidR="00183EC9">
        <w:t>las representantes</w:t>
      </w:r>
      <w:r w:rsidRPr="004F2666">
        <w:t xml:space="preserve"> no interpusieron recurso de revisión en contra</w:t>
      </w:r>
      <w:r w:rsidR="007F1120" w:rsidRPr="004F2666">
        <w:rPr>
          <w:rStyle w:val="Refdenotaalpie"/>
        </w:rPr>
        <w:footnoteReference w:id="114"/>
      </w:r>
      <w:r w:rsidRPr="004F2666">
        <w:t xml:space="preserve">. </w:t>
      </w:r>
    </w:p>
    <w:p w14:paraId="69FC7DA1" w14:textId="77777777" w:rsidR="00A104BF" w:rsidRPr="00A104BF" w:rsidRDefault="00A104BF" w:rsidP="00A104BF">
      <w:pPr>
        <w:tabs>
          <w:tab w:val="left" w:pos="567"/>
          <w:tab w:val="num" w:pos="12305"/>
        </w:tabs>
        <w:spacing w:line="240" w:lineRule="auto"/>
        <w:rPr>
          <w:b/>
        </w:rPr>
      </w:pPr>
    </w:p>
    <w:p w14:paraId="5B12C716" w14:textId="4ECBC076" w:rsidR="00071D89" w:rsidRPr="004F2666" w:rsidRDefault="00071D89" w:rsidP="00BB668C">
      <w:pPr>
        <w:pStyle w:val="Ttulo2"/>
        <w:numPr>
          <w:ilvl w:val="0"/>
          <w:numId w:val="7"/>
        </w:numPr>
        <w:spacing w:before="0" w:after="0"/>
        <w:rPr>
          <w:lang w:val="es-ES"/>
        </w:rPr>
      </w:pPr>
      <w:bookmarkStart w:id="52" w:name="_Toc93400251"/>
      <w:r w:rsidRPr="004F2666">
        <w:rPr>
          <w:lang w:val="es-ES"/>
        </w:rPr>
        <w:t>Verificación técnica independiente de la investigación de la Fiscalía Especial de la Procuraduría General de Justicia del Distrito Federal de México</w:t>
      </w:r>
      <w:bookmarkEnd w:id="52"/>
    </w:p>
    <w:p w14:paraId="6BE67E22" w14:textId="77777777" w:rsidR="00071D89" w:rsidRPr="004F2666" w:rsidRDefault="00071D89" w:rsidP="00071D89">
      <w:pPr>
        <w:rPr>
          <w:lang w:val="es-ES"/>
        </w:rPr>
      </w:pPr>
    </w:p>
    <w:p w14:paraId="7A6C8A14" w14:textId="394E1388" w:rsidR="00071D89" w:rsidRPr="004F2666" w:rsidRDefault="00071D89" w:rsidP="00D60EB1">
      <w:pPr>
        <w:numPr>
          <w:ilvl w:val="0"/>
          <w:numId w:val="4"/>
        </w:numPr>
        <w:tabs>
          <w:tab w:val="left" w:pos="567"/>
          <w:tab w:val="num" w:pos="1569"/>
          <w:tab w:val="num" w:pos="12305"/>
        </w:tabs>
        <w:spacing w:line="240" w:lineRule="auto"/>
        <w:ind w:left="0" w:firstLine="0"/>
      </w:pPr>
      <w:r w:rsidRPr="004F2666">
        <w:t xml:space="preserve">Entre los años 2002 y 2003, por medio de la gestión de la Comisión Interamericana y con el consentimiento del Estado, un grupo de expertos independientes fue convocado para realizar un estudio respecto de “si las pruebas técnicas realizadas [en el marco de la investigación de la muerte de Digna Ochoa] en las áreas de patología forense, balística y criminalística se adecuan a los estándares internacionales”. Dichos expertos elaboraron un “Informe Independiente”. El 16 de junio de 2003 la Comisión </w:t>
      </w:r>
      <w:r w:rsidR="009F0BA4">
        <w:t>I</w:t>
      </w:r>
      <w:r w:rsidRPr="004F2666">
        <w:t xml:space="preserve">nteramericana transmitió al Gobierno de México y a los </w:t>
      </w:r>
      <w:r w:rsidR="003779AB" w:rsidRPr="004F2666">
        <w:t>peticionarios el “</w:t>
      </w:r>
      <w:r w:rsidRPr="004F2666">
        <w:t>Informe de la Verificación de la Prueba Técnica en la Investigación Criminal de la Muerte de Digna Ochoa y Plácido, realizada por la Fiscalía Especial de la Procuraduría General de Justicia del Distrito Federal”</w:t>
      </w:r>
      <w:r w:rsidRPr="004F2666">
        <w:rPr>
          <w:rStyle w:val="Refdenotaalpie"/>
        </w:rPr>
        <w:footnoteReference w:id="115"/>
      </w:r>
      <w:r w:rsidRPr="004F2666">
        <w:t>.</w:t>
      </w:r>
    </w:p>
    <w:p w14:paraId="30FA2178" w14:textId="77777777" w:rsidR="00071D89" w:rsidRPr="004F2666" w:rsidRDefault="00071D89" w:rsidP="00071D89">
      <w:pPr>
        <w:autoSpaceDE w:val="0"/>
        <w:autoSpaceDN w:val="0"/>
        <w:spacing w:line="240" w:lineRule="auto"/>
      </w:pPr>
    </w:p>
    <w:p w14:paraId="1BCB9C69" w14:textId="66F9CC96" w:rsidR="00A54383" w:rsidRPr="004F2666" w:rsidRDefault="00071D89" w:rsidP="00D4269E">
      <w:pPr>
        <w:numPr>
          <w:ilvl w:val="0"/>
          <w:numId w:val="4"/>
        </w:numPr>
        <w:tabs>
          <w:tab w:val="left" w:pos="567"/>
          <w:tab w:val="num" w:pos="1569"/>
          <w:tab w:val="num" w:pos="12305"/>
        </w:tabs>
        <w:spacing w:line="240" w:lineRule="auto"/>
        <w:ind w:left="0" w:firstLine="0"/>
      </w:pPr>
      <w:r w:rsidRPr="004F2666">
        <w:t xml:space="preserve">En el referido Informe se </w:t>
      </w:r>
      <w:r w:rsidR="00B729A7" w:rsidRPr="004F2666">
        <w:t xml:space="preserve">concluyó que </w:t>
      </w:r>
      <w:r w:rsidR="000C243B" w:rsidRPr="004F2666">
        <w:t xml:space="preserve">algunas de las pruebas practicadas en el marco de la investigación “no fueron evacuadas en la investigación en forma ajustada a los métodos y </w:t>
      </w:r>
      <w:r w:rsidR="000C243B" w:rsidRPr="001A2943">
        <w:rPr>
          <w:lang w:val="es-ES"/>
        </w:rPr>
        <w:t>procedimientos</w:t>
      </w:r>
      <w:r w:rsidR="000C243B" w:rsidRPr="004F2666">
        <w:t>”</w:t>
      </w:r>
      <w:r w:rsidR="00855C5E">
        <w:t>,</w:t>
      </w:r>
      <w:r w:rsidR="000C243B" w:rsidRPr="004F2666">
        <w:t xml:space="preserve"> y ello debido a “procedimientos rutinarios y desactualizados” que realizaron los Servicios Periciales de la Procuraduría General de Justicia del Distrito Federal y el Servicio Médico Forense del Tribunal de Justicia del Distrito Federal</w:t>
      </w:r>
      <w:r w:rsidR="000C243B" w:rsidRPr="004F2666">
        <w:rPr>
          <w:rStyle w:val="Refdenotaalpie"/>
        </w:rPr>
        <w:footnoteReference w:id="116"/>
      </w:r>
      <w:r w:rsidR="000C243B" w:rsidRPr="004F2666">
        <w:t>.</w:t>
      </w:r>
      <w:r w:rsidRPr="004F2666">
        <w:t xml:space="preserve"> </w:t>
      </w:r>
      <w:r w:rsidR="000C243B" w:rsidRPr="004F2666">
        <w:t xml:space="preserve">Dentro de las falencias que se constataron fue la inexistencia de una correcta cadena de custodia que garantizara </w:t>
      </w:r>
      <w:r w:rsidR="00A54383" w:rsidRPr="004F2666">
        <w:t>“</w:t>
      </w:r>
      <w:r w:rsidR="000C243B" w:rsidRPr="004F2666">
        <w:t xml:space="preserve">la </w:t>
      </w:r>
      <w:r w:rsidR="00382B67" w:rsidRPr="004F2666">
        <w:t>originalidad</w:t>
      </w:r>
      <w:r w:rsidR="000C243B" w:rsidRPr="004F2666">
        <w:t xml:space="preserve"> del hallazgo, su preservación e intangibilidad</w:t>
      </w:r>
      <w:r w:rsidR="00A54383" w:rsidRPr="004F2666">
        <w:t>”</w:t>
      </w:r>
      <w:r w:rsidR="00A54383" w:rsidRPr="004F2666">
        <w:rPr>
          <w:rStyle w:val="Refdenotaalpie"/>
        </w:rPr>
        <w:footnoteReference w:id="117"/>
      </w:r>
      <w:r w:rsidR="000C243B" w:rsidRPr="004F2666">
        <w:t>.</w:t>
      </w:r>
      <w:r w:rsidR="00A54383" w:rsidRPr="004F2666">
        <w:t xml:space="preserve"> Además, según dicho informe, algunos de los dictámenes periciales no cumplieron con los requisitos </w:t>
      </w:r>
      <w:r w:rsidR="00382B67" w:rsidRPr="004F2666">
        <w:t>metodológicos</w:t>
      </w:r>
      <w:r w:rsidR="00A54383" w:rsidRPr="004F2666">
        <w:t xml:space="preserve"> y de forma, carecieron de análisis científico y formularon “conclusiones sin fundamento”</w:t>
      </w:r>
      <w:r w:rsidR="00A54383" w:rsidRPr="004F2666">
        <w:rPr>
          <w:rStyle w:val="Refdenotaalpie"/>
        </w:rPr>
        <w:footnoteReference w:id="118"/>
      </w:r>
      <w:r w:rsidR="00A54383" w:rsidRPr="001A2943">
        <w:rPr>
          <w:rStyle w:val="Refdenotaalpie"/>
          <w:vertAlign w:val="baseline"/>
        </w:rPr>
        <w:t>.</w:t>
      </w:r>
      <w:r w:rsidR="00A54383" w:rsidRPr="004F2666">
        <w:t xml:space="preserve"> A raíz de lo anterior, el grupo de expertos independientes recomendó al Estado mexicano lo siguiente: </w:t>
      </w:r>
    </w:p>
    <w:p w14:paraId="3EE3411B" w14:textId="77777777" w:rsidR="00A54383" w:rsidRPr="004F2666" w:rsidRDefault="00A54383" w:rsidP="00A54383">
      <w:pPr>
        <w:tabs>
          <w:tab w:val="left" w:pos="567"/>
        </w:tabs>
        <w:spacing w:line="240" w:lineRule="auto"/>
      </w:pPr>
    </w:p>
    <w:p w14:paraId="746A747D" w14:textId="758351E9" w:rsidR="000C243B" w:rsidRPr="004F2666" w:rsidRDefault="00A54383" w:rsidP="00A54383">
      <w:pPr>
        <w:widowControl/>
        <w:autoSpaceDE w:val="0"/>
        <w:autoSpaceDN w:val="0"/>
        <w:spacing w:line="240" w:lineRule="auto"/>
        <w:ind w:left="567" w:right="724"/>
        <w:textAlignment w:val="auto"/>
        <w:rPr>
          <w:sz w:val="18"/>
          <w:szCs w:val="18"/>
        </w:rPr>
      </w:pPr>
      <w:r w:rsidRPr="004F2666">
        <w:rPr>
          <w:rFonts w:eastAsiaTheme="minorHAnsi" w:cs="Arial"/>
          <w:color w:val="0F0F0F"/>
          <w:sz w:val="18"/>
          <w:szCs w:val="18"/>
          <w:lang w:eastAsia="en-US"/>
        </w:rPr>
        <w:t xml:space="preserve">el diseño y la implementación de un </w:t>
      </w:r>
      <w:r w:rsidRPr="004F2666">
        <w:rPr>
          <w:rFonts w:eastAsiaTheme="minorHAnsi" w:cs="Arial"/>
          <w:color w:val="1E1E1E"/>
          <w:sz w:val="18"/>
          <w:szCs w:val="18"/>
          <w:lang w:eastAsia="en-US"/>
        </w:rPr>
        <w:t xml:space="preserve">agresivo plan </w:t>
      </w:r>
      <w:r w:rsidRPr="004F2666">
        <w:rPr>
          <w:rFonts w:eastAsiaTheme="minorHAnsi" w:cs="Arial"/>
          <w:color w:val="0F0F0F"/>
          <w:sz w:val="18"/>
          <w:szCs w:val="18"/>
          <w:lang w:eastAsia="en-US"/>
        </w:rPr>
        <w:t xml:space="preserve">de nuevos modelos de investigación criminal, que involucre la revisión de los recursos logísticos y materiales disponibles; la actualización de los métodos de investigación; la aplicación de </w:t>
      </w:r>
      <w:r w:rsidRPr="004F2666">
        <w:rPr>
          <w:rFonts w:eastAsiaTheme="minorHAnsi" w:cs="Arial"/>
          <w:color w:val="1E1E1E"/>
          <w:sz w:val="18"/>
          <w:szCs w:val="18"/>
          <w:lang w:eastAsia="en-US"/>
        </w:rPr>
        <w:t xml:space="preserve">estrictos </w:t>
      </w:r>
      <w:r w:rsidRPr="004F2666">
        <w:rPr>
          <w:rFonts w:eastAsiaTheme="minorHAnsi" w:cs="Arial"/>
          <w:color w:val="0F0F0F"/>
          <w:sz w:val="18"/>
          <w:szCs w:val="18"/>
          <w:lang w:eastAsia="en-US"/>
        </w:rPr>
        <w:t xml:space="preserve">procedimientos referidos a la cadena de custodia de la evidencia, el </w:t>
      </w:r>
      <w:r w:rsidRPr="004F2666">
        <w:rPr>
          <w:rFonts w:eastAsiaTheme="minorHAnsi" w:cs="Arial"/>
          <w:color w:val="1E1E1E"/>
          <w:sz w:val="18"/>
          <w:szCs w:val="18"/>
          <w:lang w:eastAsia="en-US"/>
        </w:rPr>
        <w:t xml:space="preserve">control </w:t>
      </w:r>
      <w:r w:rsidRPr="004F2666">
        <w:rPr>
          <w:rFonts w:eastAsiaTheme="minorHAnsi" w:cs="Arial"/>
          <w:color w:val="0F0F0F"/>
          <w:sz w:val="18"/>
          <w:szCs w:val="18"/>
          <w:lang w:eastAsia="en-US"/>
        </w:rPr>
        <w:t xml:space="preserve">de </w:t>
      </w:r>
      <w:r w:rsidRPr="004F2666">
        <w:rPr>
          <w:rFonts w:eastAsiaTheme="minorHAnsi" w:cs="Arial"/>
          <w:color w:val="1E1E1E"/>
          <w:sz w:val="18"/>
          <w:szCs w:val="18"/>
          <w:lang w:eastAsia="en-US"/>
        </w:rPr>
        <w:t xml:space="preserve">gestión </w:t>
      </w:r>
      <w:r w:rsidRPr="004F2666">
        <w:rPr>
          <w:rFonts w:eastAsiaTheme="minorHAnsi" w:cs="Arial"/>
          <w:color w:val="0F0F0F"/>
          <w:sz w:val="18"/>
          <w:szCs w:val="18"/>
          <w:lang w:eastAsia="en-US"/>
        </w:rPr>
        <w:t xml:space="preserve">y calidad del trabajo; la obligatoria capacitación </w:t>
      </w:r>
      <w:r w:rsidRPr="004F2666">
        <w:rPr>
          <w:rFonts w:eastAsiaTheme="minorHAnsi" w:cs="Arial"/>
          <w:color w:val="1E1E1E"/>
          <w:sz w:val="18"/>
          <w:szCs w:val="18"/>
          <w:lang w:eastAsia="en-US"/>
        </w:rPr>
        <w:t xml:space="preserve">y actualización </w:t>
      </w:r>
      <w:r w:rsidRPr="004F2666">
        <w:rPr>
          <w:rFonts w:eastAsiaTheme="minorHAnsi" w:cs="Arial"/>
          <w:color w:val="0F0F0F"/>
          <w:sz w:val="18"/>
          <w:szCs w:val="18"/>
          <w:lang w:eastAsia="en-US"/>
        </w:rPr>
        <w:t xml:space="preserve">de los conocimientos técnico-científicos de la criminalística en </w:t>
      </w:r>
      <w:r w:rsidRPr="004F2666">
        <w:rPr>
          <w:rFonts w:eastAsiaTheme="minorHAnsi" w:cs="Arial"/>
          <w:color w:val="1E1E1E"/>
          <w:sz w:val="18"/>
          <w:szCs w:val="18"/>
          <w:lang w:eastAsia="en-US"/>
        </w:rPr>
        <w:t xml:space="preserve">varios </w:t>
      </w:r>
      <w:r w:rsidRPr="004F2666">
        <w:rPr>
          <w:rFonts w:eastAsiaTheme="minorHAnsi" w:cs="Arial"/>
          <w:color w:val="0F0F0F"/>
          <w:sz w:val="18"/>
          <w:szCs w:val="18"/>
          <w:lang w:eastAsia="en-US"/>
        </w:rPr>
        <w:t xml:space="preserve">niveles, no solo para quienes corresponde la práctica de las pruebas, sino para </w:t>
      </w:r>
      <w:r w:rsidRPr="004F2666">
        <w:rPr>
          <w:rFonts w:eastAsiaTheme="minorHAnsi" w:cs="Arial"/>
          <w:color w:val="1E1E1E"/>
          <w:sz w:val="18"/>
          <w:szCs w:val="18"/>
          <w:lang w:eastAsia="en-US"/>
        </w:rPr>
        <w:t xml:space="preserve">los </w:t>
      </w:r>
      <w:r w:rsidRPr="004F2666">
        <w:rPr>
          <w:rFonts w:eastAsiaTheme="minorHAnsi" w:cs="Arial"/>
          <w:color w:val="0F0F0F"/>
          <w:sz w:val="18"/>
          <w:szCs w:val="18"/>
          <w:lang w:eastAsia="en-US"/>
        </w:rPr>
        <w:t xml:space="preserve">demás funcionarios que hacen parte del engranaje de la investigación; así como de la revisión de los requisitos profesionales, morales y personales de los funcionarios que conforman las unidades </w:t>
      </w:r>
      <w:r w:rsidRPr="004F2666">
        <w:rPr>
          <w:rFonts w:eastAsiaTheme="minorHAnsi" w:cs="Arial"/>
          <w:color w:val="1E1E1E"/>
          <w:sz w:val="18"/>
          <w:szCs w:val="18"/>
          <w:lang w:eastAsia="en-US"/>
        </w:rPr>
        <w:t xml:space="preserve">o equipos </w:t>
      </w:r>
      <w:r w:rsidRPr="004F2666">
        <w:rPr>
          <w:rFonts w:eastAsiaTheme="minorHAnsi" w:cs="Arial"/>
          <w:color w:val="0F0F0F"/>
          <w:sz w:val="18"/>
          <w:szCs w:val="18"/>
          <w:lang w:eastAsia="en-US"/>
        </w:rPr>
        <w:t xml:space="preserve">del Ministerio Público </w:t>
      </w:r>
      <w:r w:rsidRPr="004F2666">
        <w:rPr>
          <w:rFonts w:eastAsiaTheme="minorHAnsi" w:cs="Arial"/>
          <w:color w:val="1E1E1E"/>
          <w:sz w:val="18"/>
          <w:szCs w:val="18"/>
          <w:lang w:eastAsia="en-US"/>
        </w:rPr>
        <w:t xml:space="preserve">en </w:t>
      </w:r>
      <w:r w:rsidRPr="004F2666">
        <w:rPr>
          <w:rFonts w:eastAsiaTheme="minorHAnsi" w:cs="Arial"/>
          <w:color w:val="0F0F0F"/>
          <w:sz w:val="18"/>
          <w:szCs w:val="18"/>
          <w:lang w:eastAsia="en-US"/>
        </w:rPr>
        <w:t xml:space="preserve">el campo de la investigación </w:t>
      </w:r>
      <w:r w:rsidRPr="004F2666">
        <w:rPr>
          <w:rFonts w:eastAsiaTheme="minorHAnsi" w:cs="Arial"/>
          <w:color w:val="1E1E1E"/>
          <w:sz w:val="18"/>
          <w:szCs w:val="18"/>
          <w:lang w:eastAsia="en-US"/>
        </w:rPr>
        <w:t>criminal</w:t>
      </w:r>
      <w:r w:rsidRPr="004F2666">
        <w:rPr>
          <w:rStyle w:val="Refdenotaalpie"/>
          <w:rFonts w:eastAsiaTheme="minorHAnsi" w:cs="Arial"/>
          <w:color w:val="1E1E1E"/>
          <w:sz w:val="18"/>
          <w:szCs w:val="18"/>
          <w:lang w:eastAsia="en-US"/>
        </w:rPr>
        <w:footnoteReference w:id="119"/>
      </w:r>
      <w:r w:rsidRPr="004F2666">
        <w:rPr>
          <w:rFonts w:eastAsiaTheme="minorHAnsi" w:cs="Arial"/>
          <w:color w:val="1E1E1E"/>
          <w:sz w:val="18"/>
          <w:szCs w:val="18"/>
          <w:lang w:eastAsia="en-US"/>
        </w:rPr>
        <w:t>.</w:t>
      </w:r>
      <w:r w:rsidRPr="004F2666">
        <w:rPr>
          <w:sz w:val="18"/>
          <w:szCs w:val="18"/>
        </w:rPr>
        <w:t xml:space="preserve"> </w:t>
      </w:r>
    </w:p>
    <w:p w14:paraId="2AE88850" w14:textId="77777777" w:rsidR="00071D89" w:rsidRPr="004F2666" w:rsidRDefault="00071D89" w:rsidP="00071D89">
      <w:pPr>
        <w:widowControl/>
        <w:autoSpaceDE w:val="0"/>
        <w:autoSpaceDN w:val="0"/>
        <w:spacing w:line="240" w:lineRule="auto"/>
        <w:jc w:val="left"/>
        <w:textAlignment w:val="auto"/>
        <w:rPr>
          <w:rFonts w:eastAsiaTheme="minorHAnsi" w:cs="Arial"/>
          <w:b/>
          <w:bCs/>
          <w:sz w:val="19"/>
          <w:szCs w:val="19"/>
          <w:lang w:eastAsia="en-US"/>
        </w:rPr>
      </w:pPr>
    </w:p>
    <w:p w14:paraId="66E5A5FB" w14:textId="71325119" w:rsidR="00292098" w:rsidRDefault="00071D89" w:rsidP="00BB668C">
      <w:pPr>
        <w:pStyle w:val="Ttulo2"/>
        <w:numPr>
          <w:ilvl w:val="0"/>
          <w:numId w:val="7"/>
        </w:numPr>
        <w:spacing w:before="0" w:after="0"/>
        <w:rPr>
          <w:lang w:val="es-ES"/>
        </w:rPr>
      </w:pPr>
      <w:bookmarkStart w:id="53" w:name="_Toc93400252"/>
      <w:r w:rsidRPr="004F2666">
        <w:rPr>
          <w:lang w:val="es-ES"/>
        </w:rPr>
        <w:lastRenderedPageBreak/>
        <w:t>Informe Especial de la Comisión de Derechos Humanos del Distrito Federal (CDHDF)</w:t>
      </w:r>
      <w:bookmarkEnd w:id="53"/>
    </w:p>
    <w:p w14:paraId="325E21A5" w14:textId="6D0971C2" w:rsidR="00370213" w:rsidRDefault="00370213" w:rsidP="00370213">
      <w:pPr>
        <w:rPr>
          <w:lang w:val="es-ES"/>
        </w:rPr>
      </w:pPr>
    </w:p>
    <w:p w14:paraId="240B5B13" w14:textId="3181B314" w:rsidR="00AC651C" w:rsidRDefault="00071D89" w:rsidP="00DC6DD4">
      <w:pPr>
        <w:numPr>
          <w:ilvl w:val="0"/>
          <w:numId w:val="4"/>
        </w:numPr>
        <w:tabs>
          <w:tab w:val="left" w:pos="567"/>
          <w:tab w:val="num" w:pos="1569"/>
          <w:tab w:val="num" w:pos="12305"/>
        </w:tabs>
        <w:spacing w:line="240" w:lineRule="auto"/>
        <w:ind w:left="0" w:firstLine="0"/>
      </w:pPr>
      <w:r w:rsidRPr="004F2666">
        <w:t>En el mes de julio de 2004 la Comisión de Derechos Humanos del Distrito Federal</w:t>
      </w:r>
      <w:r w:rsidR="002B61D0">
        <w:t xml:space="preserve"> </w:t>
      </w:r>
      <w:r w:rsidRPr="004F2666">
        <w:t xml:space="preserve">realizó un informe </w:t>
      </w:r>
      <w:r w:rsidRPr="00AC651C">
        <w:rPr>
          <w:lang w:val="es-ES"/>
        </w:rPr>
        <w:t>especial</w:t>
      </w:r>
      <w:r w:rsidRPr="004F2666">
        <w:t xml:space="preserve"> sobre la investigación realizada hasta el momento en torno a las circunstancias de la muerte de la señora Digna Ochoa, y, en particular, sobre “las irregularidades en la averiguación previa iniciada por la muerte de la licenciada Digna Ochoa y Plácido”</w:t>
      </w:r>
      <w:r w:rsidRPr="004F2666">
        <w:rPr>
          <w:rStyle w:val="Refdenotaalpie"/>
        </w:rPr>
        <w:footnoteReference w:id="120"/>
      </w:r>
      <w:r w:rsidRPr="004F2666">
        <w:t>. Dicho órgano realizó el informe a raíz de la queja presentada por los familiares por las alegadas irregularidades en la etapa procesal de averiguación previa e irregularidades en algunas pruebas periciales realizadas dentro del proceso</w:t>
      </w:r>
      <w:r w:rsidRPr="004F2666">
        <w:rPr>
          <w:rStyle w:val="Refdenotaalpie"/>
        </w:rPr>
        <w:footnoteReference w:id="121"/>
      </w:r>
      <w:r w:rsidRPr="004F2666">
        <w:t xml:space="preserve">. </w:t>
      </w:r>
    </w:p>
    <w:p w14:paraId="3BE10904" w14:textId="77777777" w:rsidR="00AC651C" w:rsidRDefault="00AC651C" w:rsidP="00AC651C">
      <w:pPr>
        <w:tabs>
          <w:tab w:val="left" w:pos="567"/>
        </w:tabs>
        <w:spacing w:line="240" w:lineRule="auto"/>
      </w:pPr>
    </w:p>
    <w:p w14:paraId="3A67E7FC" w14:textId="246C84C9" w:rsidR="00631B89" w:rsidRPr="004F2666" w:rsidRDefault="00071D89" w:rsidP="00DC6DD4">
      <w:pPr>
        <w:widowControl/>
        <w:numPr>
          <w:ilvl w:val="0"/>
          <w:numId w:val="4"/>
        </w:numPr>
        <w:tabs>
          <w:tab w:val="left" w:pos="567"/>
          <w:tab w:val="num" w:pos="1569"/>
          <w:tab w:val="num" w:pos="12305"/>
        </w:tabs>
        <w:autoSpaceDE w:val="0"/>
        <w:autoSpaceDN w:val="0"/>
        <w:adjustRightInd/>
        <w:spacing w:line="240" w:lineRule="auto"/>
        <w:ind w:left="0" w:right="-90" w:firstLine="0"/>
        <w:textAlignment w:val="auto"/>
      </w:pPr>
      <w:r w:rsidRPr="004F2666">
        <w:t>La CDHDF observó</w:t>
      </w:r>
      <w:r w:rsidR="00C141D6">
        <w:t>,</w:t>
      </w:r>
      <w:r w:rsidRPr="004F2666">
        <w:t xml:space="preserve"> </w:t>
      </w:r>
      <w:r w:rsidR="00292098" w:rsidRPr="004F2666">
        <w:t>en primer lugar</w:t>
      </w:r>
      <w:r w:rsidR="00C141D6">
        <w:t>, que</w:t>
      </w:r>
      <w:r w:rsidR="00292098" w:rsidRPr="004F2666">
        <w:t xml:space="preserve"> </w:t>
      </w:r>
      <w:r w:rsidR="00C92442" w:rsidRPr="004F2666">
        <w:t xml:space="preserve">el Ministerio Público había obstaculizado a la coadyuvancia en su derecho a ofrecer pruebas, en tanto </w:t>
      </w:r>
      <w:r w:rsidR="001A2943">
        <w:t>que</w:t>
      </w:r>
      <w:r w:rsidR="00C92442" w:rsidRPr="004F2666">
        <w:t xml:space="preserve"> varias solicitudes fueron rechazadas de manera infundada. </w:t>
      </w:r>
      <w:r w:rsidR="00855C5E" w:rsidRPr="004F2666">
        <w:t xml:space="preserve">El informe también realizó observaciones en relación con la preservación del lugar de los hechos, la descripción del lugar de los hechos </w:t>
      </w:r>
      <w:r w:rsidR="00855C5E" w:rsidRPr="00AC651C">
        <w:rPr>
          <w:rFonts w:cs="Arial"/>
        </w:rPr>
        <w:t xml:space="preserve">y </w:t>
      </w:r>
      <w:r w:rsidR="00855C5E" w:rsidRPr="004F2666">
        <w:t>la falta de armonización con las fotografías, planos u otras gráficas del caso, así como hizo énfasis en las incongruencias en la descripción de las lesiones en los diferentes informes periciales y forenses. Indicó además que,</w:t>
      </w:r>
      <w:r w:rsidR="00855C5E">
        <w:t xml:space="preserve"> </w:t>
      </w:r>
      <w:r w:rsidR="00855C5E" w:rsidRPr="004F2666">
        <w:t>en algunos casos, la práctica de los peritajes careció de metodología y experimentación y se basó en información incompleta e inexacta</w:t>
      </w:r>
      <w:r w:rsidR="00AC651C">
        <w:t>.</w:t>
      </w:r>
      <w:r w:rsidR="00855C5E" w:rsidRPr="004F2666">
        <w:t xml:space="preserve"> La CDHDF notó que la mayoría de las conclusiones </w:t>
      </w:r>
      <w:r w:rsidR="00C141D6">
        <w:t>de los dictámenes</w:t>
      </w:r>
      <w:r w:rsidR="00855C5E" w:rsidRPr="004F2666">
        <w:t xml:space="preserve"> </w:t>
      </w:r>
      <w:r w:rsidR="001A2943">
        <w:t xml:space="preserve">elaborados en relación con la muerte de la señora Digna Ochoa </w:t>
      </w:r>
      <w:r w:rsidR="00855C5E" w:rsidRPr="004F2666">
        <w:t xml:space="preserve">no </w:t>
      </w:r>
      <w:r w:rsidR="001A2943">
        <w:t xml:space="preserve">estuvieron sustentadas racional </w:t>
      </w:r>
      <w:r w:rsidR="00855C5E" w:rsidRPr="004F2666">
        <w:t xml:space="preserve">ni experimentalmente. </w:t>
      </w:r>
      <w:r w:rsidR="00855C5E">
        <w:t>Añadió</w:t>
      </w:r>
      <w:r w:rsidR="001A2943">
        <w:t>,</w:t>
      </w:r>
      <w:r w:rsidR="00855C5E" w:rsidRPr="004F2666">
        <w:t xml:space="preserve"> además</w:t>
      </w:r>
      <w:r w:rsidR="001A2943">
        <w:t>,</w:t>
      </w:r>
      <w:r w:rsidR="00855C5E" w:rsidRPr="004F2666">
        <w:t xml:space="preserve"> que “no tomaron en cuenta todos los indicios, huellas, hallazgos y fotografías contenidos en la misma para ser motivo de análisis de los expertos”. </w:t>
      </w:r>
      <w:r w:rsidR="00855C5E">
        <w:t>Señaló adicionalmente que en los dictámenes</w:t>
      </w:r>
      <w:r w:rsidR="00855C5E" w:rsidRPr="004F2666">
        <w:t xml:space="preserve"> no se explicaban suficientemente “los fundamentos técnicos, las operaciones o procedimientos realizados, ni el análisis o interpretación de los resultados”.</w:t>
      </w:r>
      <w:r w:rsidR="00855C5E">
        <w:t xml:space="preserve"> Así, e</w:t>
      </w:r>
      <w:r w:rsidR="005E146E" w:rsidRPr="004F2666">
        <w:t>n lo que respecta al dictamen criminalístico, indicó que las conclusiones que el mismo contenía no estaban “sustentadas racionalmente ni experimentalmente, además no se explica suficientemente los fundamentos técnicos, las operaciones o procedimientos realizados, y el análisis o interpretación de los resultados”.</w:t>
      </w:r>
      <w:r w:rsidR="00DE37A1" w:rsidRPr="004F2666">
        <w:t xml:space="preserve"> En cuanto a la necropsia médico legal realizada, el informe destacó, entre otras falencias, que no </w:t>
      </w:r>
      <w:r w:rsidR="001A2943">
        <w:t>se</w:t>
      </w:r>
      <w:r w:rsidR="00DE37A1" w:rsidRPr="004F2666">
        <w:t xml:space="preserve"> estableció el tiempo de la muerte y, cuando fueron requeridos, se calculó “sin datos </w:t>
      </w:r>
      <w:r w:rsidR="00312DD4" w:rsidRPr="00AC651C">
        <w:rPr>
          <w:lang w:val="es-ES"/>
        </w:rPr>
        <w:t>suficientes</w:t>
      </w:r>
      <w:r w:rsidR="00DE37A1" w:rsidRPr="004F2666">
        <w:t xml:space="preserve"> y sin fundamentos en la literatura médico forense”.</w:t>
      </w:r>
      <w:r w:rsidR="00631B89" w:rsidRPr="004F2666">
        <w:t xml:space="preserve"> Tampoco se describieron de manera </w:t>
      </w:r>
      <w:r w:rsidR="00312DD4" w:rsidRPr="004F2666">
        <w:t>suficiente</w:t>
      </w:r>
      <w:r w:rsidR="00631B89" w:rsidRPr="004F2666">
        <w:t xml:space="preserve"> las lesiones que presentaba el cuerpo del cadáver y, además</w:t>
      </w:r>
      <w:r w:rsidR="001A2943">
        <w:t>,</w:t>
      </w:r>
      <w:r w:rsidR="00631B89" w:rsidRPr="004F2666">
        <w:t xml:space="preserve"> existieron contradicciones entre el dictamen del perito criminalista y el perito médico. Por otro lado, indicó que hubo también falencias a la hora de realizar </w:t>
      </w:r>
      <w:r w:rsidR="00C141D6">
        <w:t>la</w:t>
      </w:r>
      <w:r w:rsidR="00631B89" w:rsidRPr="004F2666">
        <w:t xml:space="preserve"> necropsia, el seguimiento de esta y en la cadena de custodia de las muestras</w:t>
      </w:r>
      <w:r w:rsidR="00AC651C" w:rsidRPr="004F2666">
        <w:rPr>
          <w:rStyle w:val="Refdenotaalpie"/>
        </w:rPr>
        <w:footnoteReference w:id="122"/>
      </w:r>
      <w:r w:rsidR="00631B89" w:rsidRPr="004F2666">
        <w:t>.</w:t>
      </w:r>
    </w:p>
    <w:p w14:paraId="2708D8B9" w14:textId="14A288D4" w:rsidR="00DE37A1" w:rsidRPr="004F2666" w:rsidRDefault="00631B89" w:rsidP="00631B89">
      <w:pPr>
        <w:widowControl/>
        <w:tabs>
          <w:tab w:val="left" w:pos="567"/>
        </w:tabs>
        <w:autoSpaceDE w:val="0"/>
        <w:autoSpaceDN w:val="0"/>
        <w:adjustRightInd/>
        <w:spacing w:line="240" w:lineRule="auto"/>
        <w:ind w:right="-90"/>
        <w:textAlignment w:val="auto"/>
      </w:pPr>
      <w:r w:rsidRPr="004F2666">
        <w:rPr>
          <w:i/>
          <w:sz w:val="16"/>
          <w:szCs w:val="16"/>
        </w:rPr>
        <w:t xml:space="preserve"> </w:t>
      </w:r>
    </w:p>
    <w:p w14:paraId="002C5A77" w14:textId="6D66E8F2" w:rsidR="00071D89" w:rsidRPr="004F2666" w:rsidRDefault="00855C5E" w:rsidP="00D60EB1">
      <w:pPr>
        <w:numPr>
          <w:ilvl w:val="0"/>
          <w:numId w:val="4"/>
        </w:numPr>
        <w:tabs>
          <w:tab w:val="left" w:pos="567"/>
          <w:tab w:val="num" w:pos="1569"/>
          <w:tab w:val="num" w:pos="12305"/>
        </w:tabs>
        <w:spacing w:line="240" w:lineRule="auto"/>
        <w:ind w:left="0" w:firstLine="0"/>
      </w:pPr>
      <w:r>
        <w:t xml:space="preserve">Por otro lado, </w:t>
      </w:r>
      <w:r w:rsidR="00C141D6">
        <w:t>l</w:t>
      </w:r>
      <w:r w:rsidR="00071D89" w:rsidRPr="004F2666">
        <w:t xml:space="preserve">a CDHDF advirtió </w:t>
      </w:r>
      <w:r w:rsidR="00071D89" w:rsidRPr="00D60EB1">
        <w:rPr>
          <w:lang w:val="es-ES"/>
        </w:rPr>
        <w:t>que</w:t>
      </w:r>
      <w:r w:rsidR="00071D89" w:rsidRPr="004F2666">
        <w:t xml:space="preserve">, en relación con la identificación, posición y orientación del cadáver, el examen externo, los signos cadavéricos, el examen de ropas y el de armas, casquillos y proyectiles, no hubo una reunión </w:t>
      </w:r>
      <w:r w:rsidR="007A1769" w:rsidRPr="004F2666">
        <w:t>o trabajo conjunto entre</w:t>
      </w:r>
      <w:r w:rsidR="00071D89" w:rsidRPr="004F2666">
        <w:t xml:space="preserve"> </w:t>
      </w:r>
      <w:r w:rsidR="007A1769" w:rsidRPr="004F2666">
        <w:t xml:space="preserve">el perito criminalístico, los médicos </w:t>
      </w:r>
      <w:r w:rsidR="00071D89" w:rsidRPr="004F2666">
        <w:t>que realizaron el acta médica y los que efectuaron el protocolo de necropsia al cadáver de Digna Ochoa</w:t>
      </w:r>
      <w:r w:rsidR="007A1769" w:rsidRPr="004F2666">
        <w:rPr>
          <w:rStyle w:val="Refdenotaalpie"/>
        </w:rPr>
        <w:footnoteReference w:id="123"/>
      </w:r>
      <w:r w:rsidR="00071D89" w:rsidRPr="004F2666">
        <w:t xml:space="preserve"> a efectos de intercambiar información y sustentar con mayores datos sus conclusiones.</w:t>
      </w:r>
    </w:p>
    <w:p w14:paraId="07E2767C" w14:textId="1B3CCF57" w:rsidR="0087580C" w:rsidRPr="004F2666" w:rsidRDefault="00C64353" w:rsidP="0010568E">
      <w:pPr>
        <w:pStyle w:val="Ttulo1"/>
        <w:rPr>
          <w:lang w:val="es-ES"/>
        </w:rPr>
      </w:pPr>
      <w:bookmarkStart w:id="54" w:name="_Toc24447086"/>
      <w:bookmarkStart w:id="55" w:name="_Toc93400253"/>
      <w:r>
        <w:rPr>
          <w:lang w:val="es-ES"/>
        </w:rPr>
        <w:lastRenderedPageBreak/>
        <w:t>VIII</w:t>
      </w:r>
      <w:r w:rsidR="0087580C" w:rsidRPr="004F2666">
        <w:rPr>
          <w:lang w:val="es-ES"/>
        </w:rPr>
        <w:br/>
        <w:t>FONDO</w:t>
      </w:r>
      <w:bookmarkEnd w:id="54"/>
      <w:bookmarkEnd w:id="55"/>
    </w:p>
    <w:p w14:paraId="113DB960" w14:textId="3008E392" w:rsidR="00D51095" w:rsidRPr="001A2943" w:rsidRDefault="00AC3AF9" w:rsidP="008F75C2">
      <w:pPr>
        <w:numPr>
          <w:ilvl w:val="0"/>
          <w:numId w:val="4"/>
        </w:numPr>
        <w:tabs>
          <w:tab w:val="left" w:pos="567"/>
          <w:tab w:val="num" w:pos="1569"/>
          <w:tab w:val="num" w:pos="12305"/>
        </w:tabs>
        <w:spacing w:line="240" w:lineRule="auto"/>
        <w:ind w:left="0" w:firstLine="0"/>
        <w:rPr>
          <w:lang w:val="es-ES"/>
        </w:rPr>
      </w:pPr>
      <w:r>
        <w:rPr>
          <w:lang w:val="es-ES"/>
        </w:rPr>
        <w:t xml:space="preserve">De conformidad </w:t>
      </w:r>
      <w:r w:rsidR="00A97723">
        <w:rPr>
          <w:lang w:val="es-ES"/>
        </w:rPr>
        <w:t>con e</w:t>
      </w:r>
      <w:r>
        <w:rPr>
          <w:lang w:val="es-ES"/>
        </w:rPr>
        <w:t>l marco fáctico plasmado en el Informe de Fondo de la Comisión, e</w:t>
      </w:r>
      <w:r w:rsidR="00316587" w:rsidRPr="00E176CF">
        <w:rPr>
          <w:lang w:val="es-ES"/>
        </w:rPr>
        <w:t xml:space="preserve">l presente caso se relaciona </w:t>
      </w:r>
      <w:r>
        <w:rPr>
          <w:lang w:val="es-ES"/>
        </w:rPr>
        <w:t xml:space="preserve">con </w:t>
      </w:r>
      <w:r w:rsidR="00316587" w:rsidRPr="00E176CF">
        <w:rPr>
          <w:lang w:val="es-ES"/>
        </w:rPr>
        <w:t xml:space="preserve">la </w:t>
      </w:r>
      <w:r w:rsidR="006B1241" w:rsidRPr="00E176CF">
        <w:rPr>
          <w:lang w:val="es-ES"/>
        </w:rPr>
        <w:t>falta de debida diligencia en la investigación de</w:t>
      </w:r>
      <w:r w:rsidRPr="00AC3AF9">
        <w:rPr>
          <w:lang w:val="es-ES"/>
        </w:rPr>
        <w:t xml:space="preserve"> </w:t>
      </w:r>
      <w:r w:rsidRPr="00E176CF">
        <w:rPr>
          <w:lang w:val="es-ES"/>
        </w:rPr>
        <w:t>la muerte de la defensora de derechos humanos Digna Ochoa y Plácido</w:t>
      </w:r>
      <w:r w:rsidR="006B1241" w:rsidRPr="00E176CF">
        <w:rPr>
          <w:lang w:val="es-ES"/>
        </w:rPr>
        <w:t>.</w:t>
      </w:r>
      <w:r w:rsidR="00E176CF" w:rsidRPr="00E176CF">
        <w:rPr>
          <w:lang w:val="es-ES"/>
        </w:rPr>
        <w:t xml:space="preserve"> </w:t>
      </w:r>
      <w:r w:rsidR="00F22898" w:rsidRPr="00D51095">
        <w:rPr>
          <w:rFonts w:cs="Verdana"/>
        </w:rPr>
        <w:t>En el presente caso, la</w:t>
      </w:r>
      <w:r w:rsidR="00F22898" w:rsidRPr="00D51095">
        <w:t xml:space="preserve"> Corte constata que</w:t>
      </w:r>
      <w:r w:rsidR="007F4E74">
        <w:t>, si bien</w:t>
      </w:r>
      <w:r w:rsidR="00F22898" w:rsidRPr="00D51095">
        <w:t xml:space="preserve"> la Comisión no incluyó en su Informe de Fondo a la señora Digna Ochoa como víctima del caso, </w:t>
      </w:r>
      <w:r w:rsidR="007F4E74">
        <w:t>el Estado sí la ha reconocido como tal</w:t>
      </w:r>
      <w:r w:rsidR="00F559D9">
        <w:t xml:space="preserve"> (</w:t>
      </w:r>
      <w:r w:rsidR="00F559D9" w:rsidRPr="00F559D9">
        <w:rPr>
          <w:i/>
        </w:rPr>
        <w:t>supra</w:t>
      </w:r>
      <w:r w:rsidR="00F559D9">
        <w:t xml:space="preserve"> </w:t>
      </w:r>
      <w:r w:rsidR="001A2943">
        <w:t>Capítulo IV</w:t>
      </w:r>
      <w:r w:rsidR="00F559D9">
        <w:t>)</w:t>
      </w:r>
      <w:r w:rsidR="007F4E74">
        <w:t>.</w:t>
      </w:r>
      <w:r w:rsidR="00A2681F">
        <w:t xml:space="preserve"> </w:t>
      </w:r>
      <w:r w:rsidR="00A2681F" w:rsidRPr="001A2943">
        <w:t xml:space="preserve">Lo anterior permitió que la señora Digna Ochoa y los graves hechos que rodearon </w:t>
      </w:r>
      <w:r w:rsidR="001A2943">
        <w:t>su</w:t>
      </w:r>
      <w:r w:rsidR="00A2681F" w:rsidRPr="001A2943">
        <w:t xml:space="preserve"> muerte no permanecieran invisibilizados y ajenos al Sistema Interamericano de Protección de Derechos Humanos, tal y como así habría sucedido en caso de que el Estado no la hubiera incluido como víctima</w:t>
      </w:r>
      <w:r w:rsidR="00F84E90" w:rsidRPr="001A2943">
        <w:t xml:space="preserve"> y las representantes no hubieran alegado la comisión de ciertas violaciones de derechos humanos en su contra</w:t>
      </w:r>
      <w:r w:rsidR="00A2681F" w:rsidRPr="001A2943">
        <w:t>.</w:t>
      </w:r>
    </w:p>
    <w:p w14:paraId="191FC637" w14:textId="77777777" w:rsidR="00D51095" w:rsidRPr="00D51095" w:rsidRDefault="00D51095" w:rsidP="00D51095">
      <w:pPr>
        <w:tabs>
          <w:tab w:val="left" w:pos="567"/>
        </w:tabs>
        <w:spacing w:line="240" w:lineRule="auto"/>
        <w:rPr>
          <w:lang w:val="es-ES"/>
        </w:rPr>
      </w:pPr>
    </w:p>
    <w:p w14:paraId="4D812AFF" w14:textId="6FAAE30A" w:rsidR="007F4E74" w:rsidRPr="007F4E74" w:rsidRDefault="007F4E74" w:rsidP="00F559D9">
      <w:pPr>
        <w:numPr>
          <w:ilvl w:val="0"/>
          <w:numId w:val="4"/>
        </w:numPr>
        <w:tabs>
          <w:tab w:val="left" w:pos="567"/>
          <w:tab w:val="num" w:pos="1569"/>
          <w:tab w:val="num" w:pos="12305"/>
        </w:tabs>
        <w:spacing w:line="240" w:lineRule="auto"/>
        <w:ind w:left="0" w:firstLine="0"/>
        <w:rPr>
          <w:lang w:val="es-ES"/>
        </w:rPr>
      </w:pPr>
      <w:r w:rsidRPr="007F4E74">
        <w:rPr>
          <w:lang w:val="es-ES"/>
        </w:rPr>
        <w:t>Adicionalmente, l</w:t>
      </w:r>
      <w:r w:rsidR="00D51095" w:rsidRPr="00D51095">
        <w:t xml:space="preserve">a Corte observa </w:t>
      </w:r>
      <w:r w:rsidR="00D51095" w:rsidRPr="007F4E74">
        <w:rPr>
          <w:lang w:val="es-CO"/>
        </w:rPr>
        <w:t>que</w:t>
      </w:r>
      <w:r w:rsidR="0024329A" w:rsidRPr="007F4E74">
        <w:rPr>
          <w:lang w:val="es-CO"/>
        </w:rPr>
        <w:t>,</w:t>
      </w:r>
      <w:r w:rsidR="00D51095" w:rsidRPr="00D51095">
        <w:t xml:space="preserve"> en el escrito de solicitudes y argumentos</w:t>
      </w:r>
      <w:r w:rsidR="0024329A">
        <w:t>,</w:t>
      </w:r>
      <w:r w:rsidR="00D51095" w:rsidRPr="00D51095">
        <w:t xml:space="preserve"> las representantes alegaron que el Estado violó el artículo 4.1 de la Convención Americana, en concordancia </w:t>
      </w:r>
      <w:r w:rsidR="00D51095" w:rsidRPr="007F4E74">
        <w:rPr>
          <w:lang w:val="es-CO"/>
        </w:rPr>
        <w:t>con</w:t>
      </w:r>
      <w:r w:rsidR="00D51095" w:rsidRPr="00D51095">
        <w:t xml:space="preserve"> el incumplimiento de las obligaciones contenidas en los artículos 1.1 del mismo instrumento y el artículo 7 de la </w:t>
      </w:r>
      <w:r w:rsidR="0024329A">
        <w:t>Convención de Belém do Pará</w:t>
      </w:r>
      <w:r w:rsidR="00D51095" w:rsidRPr="00D51095">
        <w:t xml:space="preserve">, debido (i) </w:t>
      </w:r>
      <w:r w:rsidR="00A97723">
        <w:t xml:space="preserve">a </w:t>
      </w:r>
      <w:r w:rsidR="00A97723" w:rsidRPr="00D51095">
        <w:t xml:space="preserve">que </w:t>
      </w:r>
      <w:r w:rsidR="00D51095" w:rsidRPr="00D51095">
        <w:t xml:space="preserve">el Estado no cumplió con su obligación de garantía, al no haber adoptado medidas efectivas para prevenir la alegada violación a los derechos de la </w:t>
      </w:r>
      <w:r w:rsidR="001F344D">
        <w:t>señora Digna Ochoa</w:t>
      </w:r>
      <w:r w:rsidR="00D51095" w:rsidRPr="00D51095">
        <w:t xml:space="preserve"> y (ii) a la ausencia de una investigación seria y efectiva que esclarezca lo sucedido respecto del alegado asesinato de </w:t>
      </w:r>
      <w:r w:rsidR="00A97723">
        <w:t xml:space="preserve">Digna </w:t>
      </w:r>
      <w:r w:rsidR="00D51095" w:rsidRPr="00D51095">
        <w:t>Ochoa. Asimismo, las representantes alegaron que el Estado también era responsable por la violación del artículo 5.1 de la Convención Americana, en concordancia con el incumplimiento de los deberes contenidos en el artículo 1.1 del mismo instrumento y 1, 6 y 8 de la CIPST</w:t>
      </w:r>
      <w:r w:rsidR="009C4BE9">
        <w:t>,</w:t>
      </w:r>
      <w:r w:rsidR="00D51095" w:rsidRPr="00D51095">
        <w:t xml:space="preserve"> debido a las amenazas perpetradas en contra de la defensora y la falta de investigación por parte del Estado de las mismas. </w:t>
      </w:r>
      <w:r>
        <w:t>Por último</w:t>
      </w:r>
      <w:r w:rsidR="00D51095" w:rsidRPr="00D51095">
        <w:t xml:space="preserve">, indicaron que el Estado incumplió su obligación de garantizar el derecho a defender derechos humanos de la </w:t>
      </w:r>
      <w:r w:rsidR="001F344D">
        <w:t>señora Digna Ochoa</w:t>
      </w:r>
      <w:r w:rsidR="00D51095" w:rsidRPr="00D51095">
        <w:t xml:space="preserve">. </w:t>
      </w:r>
    </w:p>
    <w:p w14:paraId="0D433B28" w14:textId="77777777" w:rsidR="007F4E74" w:rsidRDefault="007F4E74" w:rsidP="007F4E74">
      <w:pPr>
        <w:tabs>
          <w:tab w:val="left" w:pos="567"/>
        </w:tabs>
        <w:spacing w:line="240" w:lineRule="auto"/>
        <w:rPr>
          <w:lang w:val="es-ES"/>
        </w:rPr>
      </w:pPr>
    </w:p>
    <w:p w14:paraId="227E61B1" w14:textId="79447CC5" w:rsidR="0051663A" w:rsidRPr="007F4E74" w:rsidRDefault="00D51095" w:rsidP="00F559D9">
      <w:pPr>
        <w:numPr>
          <w:ilvl w:val="0"/>
          <w:numId w:val="4"/>
        </w:numPr>
        <w:tabs>
          <w:tab w:val="left" w:pos="567"/>
          <w:tab w:val="num" w:pos="1569"/>
          <w:tab w:val="num" w:pos="12305"/>
        </w:tabs>
        <w:spacing w:line="240" w:lineRule="auto"/>
        <w:ind w:left="0" w:firstLine="0"/>
        <w:rPr>
          <w:lang w:val="es-ES"/>
        </w:rPr>
      </w:pPr>
      <w:r w:rsidRPr="007F4E74">
        <w:rPr>
          <w:lang w:val="es-ES"/>
        </w:rPr>
        <w:t>Dicho lo anterior, t</w:t>
      </w:r>
      <w:r w:rsidR="001B78D5" w:rsidRPr="007F4E74">
        <w:rPr>
          <w:lang w:val="es-ES"/>
        </w:rPr>
        <w:t>eniendo en cuenta</w:t>
      </w:r>
      <w:r w:rsidR="00AE561D" w:rsidRPr="007F4E74">
        <w:rPr>
          <w:lang w:val="es-ES"/>
        </w:rPr>
        <w:t xml:space="preserve"> los alegatos de las partes y la Comisión, </w:t>
      </w:r>
      <w:r w:rsidR="006B1241" w:rsidRPr="007F4E74">
        <w:rPr>
          <w:lang w:val="es-ES"/>
        </w:rPr>
        <w:t xml:space="preserve">así como el reconocimiento </w:t>
      </w:r>
      <w:r w:rsidR="00E176CF" w:rsidRPr="007F4E74">
        <w:rPr>
          <w:lang w:val="es-ES"/>
        </w:rPr>
        <w:t xml:space="preserve">parcial </w:t>
      </w:r>
      <w:r w:rsidR="006B1241" w:rsidRPr="007F4E74">
        <w:rPr>
          <w:lang w:val="es-ES"/>
        </w:rPr>
        <w:t xml:space="preserve">de responsabilidad internacional realizado por el Estado, </w:t>
      </w:r>
      <w:r w:rsidR="00AE561D" w:rsidRPr="007F4E74">
        <w:rPr>
          <w:lang w:val="es-ES"/>
        </w:rPr>
        <w:t>en el presente caso la Corte examinará</w:t>
      </w:r>
      <w:r w:rsidR="007F4E74" w:rsidRPr="007F4E74">
        <w:rPr>
          <w:lang w:val="es-ES"/>
        </w:rPr>
        <w:t xml:space="preserve"> </w:t>
      </w:r>
      <w:r w:rsidR="00E176CF" w:rsidRPr="007F4E74">
        <w:rPr>
          <w:lang w:val="es-ES"/>
        </w:rPr>
        <w:t xml:space="preserve">las violaciones a los derechos humanos que acontecieron en relación con la falta de debida diligencia a la hora de investigar la muerte de la </w:t>
      </w:r>
      <w:r w:rsidR="001F344D">
        <w:rPr>
          <w:lang w:val="es-ES"/>
        </w:rPr>
        <w:t>señora Digna Ochoa</w:t>
      </w:r>
      <w:r w:rsidR="007F4E74">
        <w:rPr>
          <w:lang w:val="es-ES"/>
        </w:rPr>
        <w:t xml:space="preserve"> y las violaciones que derivan de tales falencias</w:t>
      </w:r>
      <w:r w:rsidR="007F4E74" w:rsidRPr="007F4E74">
        <w:rPr>
          <w:lang w:val="es-ES"/>
        </w:rPr>
        <w:t>.</w:t>
      </w:r>
      <w:r w:rsidR="00E176CF" w:rsidRPr="007F4E74">
        <w:rPr>
          <w:lang w:val="es-ES"/>
        </w:rPr>
        <w:t xml:space="preserve"> </w:t>
      </w:r>
      <w:bookmarkStart w:id="56" w:name="_Toc438113890"/>
      <w:bookmarkStart w:id="57" w:name="_Toc495658671"/>
      <w:bookmarkStart w:id="58" w:name="_Toc514172627"/>
    </w:p>
    <w:p w14:paraId="66441A15" w14:textId="2B5A4915" w:rsidR="00935AEC" w:rsidRPr="004F2666" w:rsidRDefault="00C64353" w:rsidP="007537A3">
      <w:pPr>
        <w:pStyle w:val="Ttulo1"/>
        <w:rPr>
          <w:rStyle w:val="Ttulo1Car"/>
          <w:b/>
          <w:bCs/>
          <w:caps/>
          <w:lang w:val="es-ES"/>
        </w:rPr>
      </w:pPr>
      <w:bookmarkStart w:id="59" w:name="_Toc24447096"/>
      <w:bookmarkStart w:id="60" w:name="_Toc93400254"/>
      <w:bookmarkEnd w:id="56"/>
      <w:bookmarkEnd w:id="57"/>
      <w:bookmarkEnd w:id="58"/>
      <w:r>
        <w:rPr>
          <w:rStyle w:val="Ttulo1Car"/>
          <w:b/>
          <w:bCs/>
          <w:caps/>
          <w:lang w:val="es-ES"/>
        </w:rPr>
        <w:t>VIII-I</w:t>
      </w:r>
      <w:r w:rsidR="00467516" w:rsidRPr="004F2666">
        <w:rPr>
          <w:rStyle w:val="Ttulo1Car"/>
          <w:b/>
          <w:bCs/>
          <w:caps/>
          <w:lang w:val="es-ES"/>
        </w:rPr>
        <w:br/>
      </w:r>
      <w:r w:rsidR="00B21AF4" w:rsidRPr="004F2666">
        <w:rPr>
          <w:rStyle w:val="Ttulo1Car"/>
          <w:b/>
          <w:bCs/>
          <w:caps/>
          <w:lang w:val="es-ES"/>
        </w:rPr>
        <w:t>DERECHO</w:t>
      </w:r>
      <w:r w:rsidR="00A97723">
        <w:rPr>
          <w:rStyle w:val="Ttulo1Car"/>
          <w:b/>
          <w:bCs/>
          <w:caps/>
          <w:lang w:val="es-ES"/>
        </w:rPr>
        <w:t>S</w:t>
      </w:r>
      <w:r w:rsidR="00B21AF4" w:rsidRPr="004F2666">
        <w:rPr>
          <w:rStyle w:val="Ttulo1Car"/>
          <w:b/>
          <w:bCs/>
          <w:caps/>
          <w:lang w:val="es-ES"/>
        </w:rPr>
        <w:t xml:space="preserve"> A</w:t>
      </w:r>
      <w:r w:rsidR="00A97723">
        <w:rPr>
          <w:rStyle w:val="Ttulo1Car"/>
          <w:b/>
          <w:bCs/>
          <w:caps/>
          <w:lang w:val="es-ES"/>
        </w:rPr>
        <w:t xml:space="preserve"> LA</w:t>
      </w:r>
      <w:r w:rsidR="00B21AF4" w:rsidRPr="004F2666">
        <w:rPr>
          <w:rStyle w:val="Ttulo1Car"/>
          <w:b/>
          <w:bCs/>
          <w:caps/>
          <w:lang w:val="es-ES"/>
        </w:rPr>
        <w:t xml:space="preserve"> </w:t>
      </w:r>
      <w:r w:rsidR="007F4E74">
        <w:rPr>
          <w:rStyle w:val="Ttulo1Car"/>
          <w:b/>
          <w:bCs/>
          <w:caps/>
          <w:lang w:val="es-ES"/>
        </w:rPr>
        <w:t xml:space="preserve">VIDA, LA INTEGRIDAD PERSONAL, GARANTÍAS JUDICIALES, </w:t>
      </w:r>
      <w:r w:rsidR="00891A4D" w:rsidRPr="004F2666">
        <w:rPr>
          <w:rStyle w:val="Ttulo1Car"/>
          <w:b/>
          <w:bCs/>
          <w:caps/>
          <w:lang w:val="es-ES"/>
        </w:rPr>
        <w:t>PROTECCIÓN JUDICIAL</w:t>
      </w:r>
      <w:bookmarkEnd w:id="59"/>
      <w:r w:rsidR="00E87467">
        <w:rPr>
          <w:rStyle w:val="Ttulo1Car"/>
          <w:b/>
          <w:bCs/>
          <w:caps/>
          <w:lang w:val="es-ES"/>
        </w:rPr>
        <w:t xml:space="preserve"> </w:t>
      </w:r>
      <w:r>
        <w:rPr>
          <w:rStyle w:val="Ttulo1Car"/>
          <w:b/>
          <w:bCs/>
          <w:caps/>
          <w:lang w:val="es-ES"/>
        </w:rPr>
        <w:t>Y</w:t>
      </w:r>
      <w:r w:rsidR="00810841" w:rsidRPr="001140AA">
        <w:rPr>
          <w:rStyle w:val="Ttulo1Car"/>
          <w:b/>
          <w:bCs/>
          <w:caps/>
          <w:lang w:val="es-ES"/>
        </w:rPr>
        <w:t xml:space="preserve"> </w:t>
      </w:r>
      <w:r w:rsidR="001140AA" w:rsidRPr="001140AA">
        <w:rPr>
          <w:rStyle w:val="Ttulo1Car"/>
          <w:b/>
          <w:bCs/>
          <w:caps/>
          <w:lang w:val="es-ES"/>
        </w:rPr>
        <w:t>PROTECCIÓN DE LA HONRA Y DE LA DIGNIDAD</w:t>
      </w:r>
      <w:r w:rsidR="001140AA" w:rsidRPr="001140AA">
        <w:rPr>
          <w:rStyle w:val="Refdenotaalpie"/>
          <w:snapToGrid/>
          <w:lang w:val="es-ES"/>
        </w:rPr>
        <w:footnoteReference w:id="124"/>
      </w:r>
      <w:bookmarkEnd w:id="60"/>
    </w:p>
    <w:p w14:paraId="5723D33B" w14:textId="258664A7" w:rsidR="00370213" w:rsidRPr="00AC3AF9" w:rsidRDefault="005E3680" w:rsidP="00AC3AF9">
      <w:pPr>
        <w:numPr>
          <w:ilvl w:val="0"/>
          <w:numId w:val="4"/>
        </w:numPr>
        <w:tabs>
          <w:tab w:val="left" w:pos="567"/>
          <w:tab w:val="num" w:pos="1569"/>
          <w:tab w:val="num" w:pos="12305"/>
        </w:tabs>
        <w:spacing w:line="240" w:lineRule="auto"/>
        <w:ind w:left="0" w:firstLine="0"/>
        <w:rPr>
          <w:lang w:val="es-ES"/>
        </w:rPr>
      </w:pPr>
      <w:r w:rsidRPr="00855C5E">
        <w:rPr>
          <w:lang w:val="es-ES"/>
        </w:rPr>
        <w:t>En el presente capítulo</w:t>
      </w:r>
      <w:r w:rsidR="00964694">
        <w:rPr>
          <w:lang w:val="es-ES"/>
        </w:rPr>
        <w:t>,</w:t>
      </w:r>
      <w:r w:rsidRPr="00855C5E">
        <w:rPr>
          <w:lang w:val="es-ES"/>
        </w:rPr>
        <w:t xml:space="preserve"> la Corte analizará</w:t>
      </w:r>
      <w:r w:rsidRPr="00AC3AF9">
        <w:rPr>
          <w:lang w:val="es-ES"/>
        </w:rPr>
        <w:t xml:space="preserve"> específicamente (i) </w:t>
      </w:r>
      <w:r w:rsidR="00855C5E" w:rsidRPr="00AC3AF9">
        <w:rPr>
          <w:lang w:val="es-ES"/>
        </w:rPr>
        <w:t xml:space="preserve">las alegadas falencias e incumplimiento con el deber de debida diligencia en la investigación y esclarecimiento de los hechos que rodearon la muerte de la </w:t>
      </w:r>
      <w:r w:rsidR="001F344D" w:rsidRPr="00AC3AF9">
        <w:rPr>
          <w:lang w:val="es-ES"/>
        </w:rPr>
        <w:t>señora Digna Ochoa</w:t>
      </w:r>
      <w:r w:rsidR="002731A9">
        <w:rPr>
          <w:lang w:val="es-ES"/>
        </w:rPr>
        <w:t>,</w:t>
      </w:r>
      <w:r w:rsidR="005C3457" w:rsidRPr="00AC3AF9">
        <w:rPr>
          <w:lang w:val="es-ES"/>
        </w:rPr>
        <w:t xml:space="preserve"> </w:t>
      </w:r>
      <w:r w:rsidRPr="00AC3AF9">
        <w:rPr>
          <w:lang w:val="es-ES"/>
        </w:rPr>
        <w:t>(ii</w:t>
      </w:r>
      <w:r w:rsidR="003A55B9" w:rsidRPr="00AC3AF9">
        <w:rPr>
          <w:lang w:val="es-ES"/>
        </w:rPr>
        <w:t xml:space="preserve">) </w:t>
      </w:r>
      <w:r w:rsidR="00855C5E" w:rsidRPr="00AC3AF9">
        <w:rPr>
          <w:lang w:val="es-ES"/>
        </w:rPr>
        <w:t>la utilización de estereotipos de género en el marco de las investigaciones y judicialización de los hechos</w:t>
      </w:r>
      <w:r w:rsidR="003A55B9" w:rsidRPr="00AC3AF9">
        <w:rPr>
          <w:lang w:val="es-ES"/>
        </w:rPr>
        <w:t xml:space="preserve">, </w:t>
      </w:r>
      <w:r w:rsidR="00855C5E" w:rsidRPr="00AC3AF9">
        <w:rPr>
          <w:lang w:val="es-ES"/>
        </w:rPr>
        <w:t>(iii) el alegado incumplimiento con el plazo razonable</w:t>
      </w:r>
      <w:r w:rsidRPr="00AC3AF9">
        <w:rPr>
          <w:lang w:val="es-ES"/>
        </w:rPr>
        <w:t>,</w:t>
      </w:r>
      <w:r w:rsidR="00855C5E" w:rsidRPr="00AC3AF9">
        <w:rPr>
          <w:lang w:val="es-ES"/>
        </w:rPr>
        <w:t xml:space="preserve"> </w:t>
      </w:r>
      <w:r w:rsidR="007F4E74" w:rsidRPr="00AC3AF9">
        <w:rPr>
          <w:lang w:val="es-ES"/>
        </w:rPr>
        <w:t>(iv)</w:t>
      </w:r>
      <w:r w:rsidR="00855C5E" w:rsidRPr="00AC3AF9">
        <w:rPr>
          <w:lang w:val="es-ES"/>
        </w:rPr>
        <w:t xml:space="preserve"> la afectación al derecho </w:t>
      </w:r>
      <w:r w:rsidR="002731A9">
        <w:rPr>
          <w:lang w:val="es-ES"/>
        </w:rPr>
        <w:t>a la protección de la honra y de la dignidad</w:t>
      </w:r>
      <w:r w:rsidR="00855C5E" w:rsidRPr="00AC3AF9">
        <w:rPr>
          <w:lang w:val="es-ES"/>
        </w:rPr>
        <w:t xml:space="preserve"> de la </w:t>
      </w:r>
      <w:r w:rsidR="001F344D" w:rsidRPr="00AC3AF9">
        <w:rPr>
          <w:lang w:val="es-ES"/>
        </w:rPr>
        <w:t>señora Digna Ochoa</w:t>
      </w:r>
      <w:r w:rsidR="00855C5E" w:rsidRPr="00AC3AF9">
        <w:rPr>
          <w:lang w:val="es-ES"/>
        </w:rPr>
        <w:t xml:space="preserve"> que produjo el procedimiento, </w:t>
      </w:r>
      <w:r w:rsidR="007F4E74" w:rsidRPr="00AC3AF9">
        <w:rPr>
          <w:lang w:val="es-ES"/>
        </w:rPr>
        <w:t>así como (v) la alegada violación de</w:t>
      </w:r>
      <w:r w:rsidR="002731A9">
        <w:rPr>
          <w:lang w:val="es-ES"/>
        </w:rPr>
        <w:t xml:space="preserve"> </w:t>
      </w:r>
      <w:r w:rsidR="007F4E74" w:rsidRPr="00AC3AF9">
        <w:rPr>
          <w:lang w:val="es-ES"/>
        </w:rPr>
        <w:t>l</w:t>
      </w:r>
      <w:r w:rsidR="002731A9">
        <w:rPr>
          <w:lang w:val="es-ES"/>
        </w:rPr>
        <w:t>os</w:t>
      </w:r>
      <w:r w:rsidR="007F4E74" w:rsidRPr="00AC3AF9">
        <w:rPr>
          <w:lang w:val="es-ES"/>
        </w:rPr>
        <w:t xml:space="preserve"> derecho</w:t>
      </w:r>
      <w:r w:rsidR="002731A9">
        <w:rPr>
          <w:lang w:val="es-ES"/>
        </w:rPr>
        <w:t>s</w:t>
      </w:r>
      <w:r w:rsidR="007F4E74" w:rsidRPr="00AC3AF9">
        <w:rPr>
          <w:lang w:val="es-ES"/>
        </w:rPr>
        <w:t xml:space="preserve"> a la vida y a la integridad personal, </w:t>
      </w:r>
      <w:r w:rsidR="005C3457" w:rsidRPr="00AC3AF9">
        <w:rPr>
          <w:lang w:val="es-ES"/>
        </w:rPr>
        <w:t xml:space="preserve">todo ello </w:t>
      </w:r>
      <w:r w:rsidR="00964E7B" w:rsidRPr="00AC3AF9">
        <w:rPr>
          <w:lang w:val="es-ES"/>
        </w:rPr>
        <w:t xml:space="preserve">en </w:t>
      </w:r>
      <w:r w:rsidR="00964E7B" w:rsidRPr="00AC3AF9">
        <w:rPr>
          <w:rFonts w:eastAsia="MS Mincho" w:cs="Verdana"/>
          <w:snapToGrid w:val="0"/>
          <w:lang w:val="es-ES" w:eastAsia="es-ES" w:bidi="en-US"/>
        </w:rPr>
        <w:t>alegada</w:t>
      </w:r>
      <w:r w:rsidR="00964E7B" w:rsidRPr="00AC3AF9">
        <w:rPr>
          <w:lang w:val="es-ES"/>
        </w:rPr>
        <w:t xml:space="preserve"> violación de los artículos </w:t>
      </w:r>
      <w:r w:rsidR="007F4E74" w:rsidRPr="00AC3AF9">
        <w:rPr>
          <w:lang w:val="es-ES"/>
        </w:rPr>
        <w:t xml:space="preserve">4, 5, </w:t>
      </w:r>
      <w:r w:rsidR="00891A4D" w:rsidRPr="00AC3AF9">
        <w:rPr>
          <w:lang w:val="es-ES"/>
        </w:rPr>
        <w:t>8</w:t>
      </w:r>
      <w:r w:rsidR="00855C5E" w:rsidRPr="00AC3AF9">
        <w:rPr>
          <w:lang w:val="es-ES"/>
        </w:rPr>
        <w:t xml:space="preserve">, 11 </w:t>
      </w:r>
      <w:r w:rsidR="00964E7B" w:rsidRPr="00AC3AF9">
        <w:rPr>
          <w:lang w:val="es-ES"/>
        </w:rPr>
        <w:t xml:space="preserve">y </w:t>
      </w:r>
      <w:r w:rsidR="00891A4D" w:rsidRPr="00AC3AF9">
        <w:rPr>
          <w:lang w:val="es-ES"/>
        </w:rPr>
        <w:t>2</w:t>
      </w:r>
      <w:r w:rsidR="00964E7B" w:rsidRPr="00AC3AF9">
        <w:rPr>
          <w:lang w:val="es-ES"/>
        </w:rPr>
        <w:t xml:space="preserve">5 de la Convención Americana, en relación con </w:t>
      </w:r>
      <w:r w:rsidR="00DA1539" w:rsidRPr="00AC3AF9">
        <w:rPr>
          <w:lang w:val="es-ES"/>
        </w:rPr>
        <w:t>el</w:t>
      </w:r>
      <w:r w:rsidR="00964E7B" w:rsidRPr="00AC3AF9">
        <w:rPr>
          <w:lang w:val="es-ES"/>
        </w:rPr>
        <w:t xml:space="preserve"> artícul</w:t>
      </w:r>
      <w:r w:rsidR="00891A4D" w:rsidRPr="00AC3AF9">
        <w:rPr>
          <w:lang w:val="es-ES"/>
        </w:rPr>
        <w:t>o 1.1 de dicho instrumento</w:t>
      </w:r>
      <w:r w:rsidR="00855C5E" w:rsidRPr="00AC3AF9">
        <w:rPr>
          <w:lang w:val="es-ES"/>
        </w:rPr>
        <w:t>, así como del artículo 7.b de la Convención de Belém do Pará.</w:t>
      </w:r>
    </w:p>
    <w:p w14:paraId="4CA529E0" w14:textId="71CE4D8C" w:rsidR="00467516" w:rsidRDefault="00467516" w:rsidP="00E06F63">
      <w:pPr>
        <w:pStyle w:val="Ttulo2"/>
        <w:rPr>
          <w:lang w:val="es-ES"/>
        </w:rPr>
      </w:pPr>
      <w:bookmarkStart w:id="61" w:name="_Toc24447097"/>
      <w:bookmarkStart w:id="62" w:name="_Toc93400255"/>
      <w:r w:rsidRPr="004F2666">
        <w:rPr>
          <w:lang w:val="es-ES"/>
        </w:rPr>
        <w:lastRenderedPageBreak/>
        <w:t>A.</w:t>
      </w:r>
      <w:r w:rsidRPr="004F2666">
        <w:rPr>
          <w:lang w:val="es-ES"/>
        </w:rPr>
        <w:tab/>
        <w:t>Argumentos de las partes y de la Comisión</w:t>
      </w:r>
      <w:bookmarkEnd w:id="61"/>
      <w:bookmarkEnd w:id="62"/>
    </w:p>
    <w:p w14:paraId="3DA20C2F" w14:textId="1136190C" w:rsidR="00F5500D" w:rsidRPr="004F2666" w:rsidRDefault="00D27AD3" w:rsidP="00D60EB1">
      <w:pPr>
        <w:numPr>
          <w:ilvl w:val="0"/>
          <w:numId w:val="4"/>
        </w:numPr>
        <w:tabs>
          <w:tab w:val="left" w:pos="567"/>
          <w:tab w:val="num" w:pos="1569"/>
          <w:tab w:val="num" w:pos="12305"/>
        </w:tabs>
        <w:spacing w:line="240" w:lineRule="auto"/>
        <w:ind w:left="0" w:firstLine="0"/>
      </w:pPr>
      <w:bookmarkStart w:id="63" w:name="_Toc495658692"/>
      <w:bookmarkStart w:id="64" w:name="_Toc514172660"/>
      <w:bookmarkStart w:id="65" w:name="_Toc24014572"/>
      <w:r w:rsidRPr="004F2666">
        <w:t xml:space="preserve">La </w:t>
      </w:r>
      <w:r w:rsidR="008518BE" w:rsidRPr="004F2666">
        <w:rPr>
          <w:b/>
          <w:i/>
        </w:rPr>
        <w:t>Comisión</w:t>
      </w:r>
      <w:r w:rsidRPr="004F2666">
        <w:t xml:space="preserve"> observó, en primer lugar, que hubo serias falencias a la hora de registrar la información médico forense, la información consignada sobre los fenómenos cadavéricos y la descripción de la presencia de lesiones en el cadáver de la </w:t>
      </w:r>
      <w:r w:rsidR="001F344D">
        <w:t>señora Digna Ochoa</w:t>
      </w:r>
      <w:r w:rsidRPr="004F2666">
        <w:t xml:space="preserve">. En particular, destacó que el acta médica, el protocolo de </w:t>
      </w:r>
      <w:r w:rsidR="00312DD4" w:rsidRPr="004F2666">
        <w:t>necropsia</w:t>
      </w:r>
      <w:r w:rsidRPr="004F2666">
        <w:t xml:space="preserve"> y el dictamen médico forense contenía información que fue posteriormente modificada, corregida o enmendada en el transcurso de la investigación hasta la adopción del </w:t>
      </w:r>
      <w:r w:rsidRPr="00D60EB1">
        <w:rPr>
          <w:lang w:val="es-ES"/>
        </w:rPr>
        <w:t>primer</w:t>
      </w:r>
      <w:r w:rsidRPr="004F2666">
        <w:t xml:space="preserve"> acuerdo de no ejercicio de acción penal. </w:t>
      </w:r>
      <w:r w:rsidR="00F5500D" w:rsidRPr="004F2666">
        <w:t>Asimismo, indicó que hubo inconsistencia</w:t>
      </w:r>
      <w:r w:rsidR="00AC3AF9">
        <w:t>s</w:t>
      </w:r>
      <w:r w:rsidR="00F5500D" w:rsidRPr="004F2666">
        <w:t xml:space="preserve"> con respecto al hallazgo de rastros de sustancias relacionadas a los disparos transferidos a las manos, guantes, puños de la ropa. </w:t>
      </w:r>
    </w:p>
    <w:p w14:paraId="383C70B1" w14:textId="77777777" w:rsidR="00626DA8" w:rsidRPr="004F2666" w:rsidRDefault="00626DA8" w:rsidP="00626DA8">
      <w:pPr>
        <w:tabs>
          <w:tab w:val="left" w:pos="567"/>
        </w:tabs>
        <w:spacing w:line="240" w:lineRule="auto"/>
      </w:pPr>
    </w:p>
    <w:p w14:paraId="3CE180CF" w14:textId="3E9716B7" w:rsidR="00F5500D" w:rsidRPr="004F2666" w:rsidRDefault="008518BE" w:rsidP="00D60EB1">
      <w:pPr>
        <w:numPr>
          <w:ilvl w:val="0"/>
          <w:numId w:val="4"/>
        </w:numPr>
        <w:tabs>
          <w:tab w:val="left" w:pos="567"/>
          <w:tab w:val="num" w:pos="1569"/>
          <w:tab w:val="num" w:pos="12305"/>
        </w:tabs>
        <w:spacing w:line="240" w:lineRule="auto"/>
        <w:ind w:left="0" w:firstLine="0"/>
      </w:pPr>
      <w:r w:rsidRPr="004F2666">
        <w:t xml:space="preserve">Añadió que la </w:t>
      </w:r>
      <w:r w:rsidRPr="00AD29EF">
        <w:t>etapa forense no cumplió con el Protocolo de Minnesota</w:t>
      </w:r>
      <w:r w:rsidRPr="004F2666">
        <w:t xml:space="preserve">. </w:t>
      </w:r>
      <w:r w:rsidR="00F5500D" w:rsidRPr="004F2666">
        <w:t xml:space="preserve">Por otro lado, indicó que se produjeron falencias en la cadena de custodia de la prueba que vulneraron la debida </w:t>
      </w:r>
      <w:r w:rsidR="00F5500D" w:rsidRPr="004F2666">
        <w:rPr>
          <w:rFonts w:eastAsia="MS Mincho" w:cs="Verdana"/>
          <w:snapToGrid w:val="0"/>
          <w:lang w:val="es-ES" w:eastAsia="es-ES" w:bidi="en-US"/>
        </w:rPr>
        <w:t>diligencia</w:t>
      </w:r>
      <w:r w:rsidR="00F5500D" w:rsidRPr="004F2666">
        <w:t>. También alegó que se dificultó la participación de los familiares en el procedimiento y, en particular, la presentación de pruebas.</w:t>
      </w:r>
      <w:r w:rsidR="00626DA8" w:rsidRPr="004F2666">
        <w:t xml:space="preserve"> Precisó a este respecto que tomó a la coadyuvancia alrededor de tres años lograr presentar sus pruebas y que </w:t>
      </w:r>
      <w:r w:rsidR="00312DD4" w:rsidRPr="004F2666">
        <w:t>así se</w:t>
      </w:r>
      <w:r w:rsidR="00626DA8" w:rsidRPr="004F2666">
        <w:t xml:space="preserve"> generó una “situación antagónica” entre los diferentes peritos participantes, por lo cual se vulneró el derecho de los familiares de las víctimas de participar activamente en la investigación.</w:t>
      </w:r>
    </w:p>
    <w:p w14:paraId="7DC44C77" w14:textId="77777777" w:rsidR="008518BE" w:rsidRPr="004F2666" w:rsidRDefault="008518BE" w:rsidP="008518BE">
      <w:pPr>
        <w:autoSpaceDE w:val="0"/>
        <w:autoSpaceDN w:val="0"/>
        <w:spacing w:line="240" w:lineRule="auto"/>
      </w:pPr>
    </w:p>
    <w:p w14:paraId="71006049" w14:textId="6DAB46C4" w:rsidR="00CD317A" w:rsidRPr="004F2666" w:rsidRDefault="00CD317A" w:rsidP="00D60EB1">
      <w:pPr>
        <w:numPr>
          <w:ilvl w:val="0"/>
          <w:numId w:val="4"/>
        </w:numPr>
        <w:tabs>
          <w:tab w:val="left" w:pos="567"/>
          <w:tab w:val="num" w:pos="1569"/>
          <w:tab w:val="num" w:pos="12305"/>
        </w:tabs>
        <w:spacing w:line="240" w:lineRule="auto"/>
        <w:ind w:left="0" w:firstLine="0"/>
      </w:pPr>
      <w:r w:rsidRPr="004F2666">
        <w:t>Adicionalmente</w:t>
      </w:r>
      <w:r w:rsidR="008518BE" w:rsidRPr="004F2666">
        <w:t xml:space="preserve">, la Comisión observó que en las distintas decisiones de no ejercicio de la acción penal, incluyendo la tercera, se le dio un “valor preponderante a las cuestiones relacionadas con la salud </w:t>
      </w:r>
      <w:r w:rsidR="008518BE" w:rsidRPr="00D60EB1">
        <w:rPr>
          <w:lang w:val="es-ES"/>
        </w:rPr>
        <w:t>mental</w:t>
      </w:r>
      <w:r w:rsidR="008518BE" w:rsidRPr="004F2666">
        <w:t xml:space="preserve"> de Digna Ochoa, en un sentido de corroboración de la hipótesis del suicidio”, lo cual resultaba “altamente problemático” no sólo por los resultados discordantes de los peritajes</w:t>
      </w:r>
      <w:r w:rsidR="00F5500D" w:rsidRPr="004F2666">
        <w:t xml:space="preserve"> practicados</w:t>
      </w:r>
      <w:r w:rsidR="008518BE" w:rsidRPr="004F2666">
        <w:t>, sino porque no se hizo una determinación sobre “cómo las afectaciones específicas mencionadas se relacionan con el supuesto suicidio”.</w:t>
      </w:r>
      <w:r w:rsidR="00F5500D" w:rsidRPr="004F2666">
        <w:t xml:space="preserve"> </w:t>
      </w:r>
    </w:p>
    <w:p w14:paraId="4CFE577C" w14:textId="77777777" w:rsidR="00CD317A" w:rsidRPr="004F2666" w:rsidRDefault="00CD317A" w:rsidP="00CD317A">
      <w:pPr>
        <w:tabs>
          <w:tab w:val="left" w:pos="567"/>
        </w:tabs>
        <w:spacing w:line="240" w:lineRule="auto"/>
      </w:pPr>
    </w:p>
    <w:p w14:paraId="46506087" w14:textId="65506C54" w:rsidR="00D27AD3" w:rsidRDefault="008518BE" w:rsidP="00DC6DD4">
      <w:pPr>
        <w:numPr>
          <w:ilvl w:val="0"/>
          <w:numId w:val="4"/>
        </w:numPr>
        <w:tabs>
          <w:tab w:val="left" w:pos="567"/>
          <w:tab w:val="num" w:pos="1569"/>
          <w:tab w:val="num" w:pos="12305"/>
        </w:tabs>
        <w:spacing w:line="240" w:lineRule="auto"/>
        <w:ind w:left="0" w:firstLine="0"/>
      </w:pPr>
      <w:r w:rsidRPr="004F2666">
        <w:t xml:space="preserve">Por último, la Comisión alegó que se vulneró el plazo razonable. </w:t>
      </w:r>
    </w:p>
    <w:p w14:paraId="5958CE4C" w14:textId="77777777" w:rsidR="00CE4B8C" w:rsidRPr="004F2666" w:rsidRDefault="00CE4B8C" w:rsidP="00CE4B8C">
      <w:pPr>
        <w:tabs>
          <w:tab w:val="left" w:pos="567"/>
          <w:tab w:val="num" w:pos="12305"/>
        </w:tabs>
        <w:spacing w:line="240" w:lineRule="auto"/>
      </w:pPr>
    </w:p>
    <w:p w14:paraId="210777A3" w14:textId="5A069401" w:rsidR="00D27AD3" w:rsidRPr="004F2666" w:rsidRDefault="00D27AD3" w:rsidP="00D60EB1">
      <w:pPr>
        <w:numPr>
          <w:ilvl w:val="0"/>
          <w:numId w:val="4"/>
        </w:numPr>
        <w:tabs>
          <w:tab w:val="left" w:pos="567"/>
          <w:tab w:val="num" w:pos="1569"/>
          <w:tab w:val="num" w:pos="12305"/>
        </w:tabs>
        <w:spacing w:line="240" w:lineRule="auto"/>
        <w:ind w:left="0" w:firstLine="0"/>
      </w:pPr>
      <w:r w:rsidRPr="004F2666">
        <w:t xml:space="preserve">A la vista de lo anterior, la Comisión concluyó que el Estado </w:t>
      </w:r>
      <w:r w:rsidR="00311E79">
        <w:t>mexicano</w:t>
      </w:r>
      <w:r w:rsidRPr="004F2666">
        <w:t xml:space="preserve"> es responsable por la violación de los derechos a la protección judicial y a las garantías judiciales establecidos en los artículos 8.1 y 25 de la Convención Americana, en relación con la obligación establecida en el artículo 1.1 del mismo instrumento, en</w:t>
      </w:r>
      <w:r w:rsidRPr="004F2666">
        <w:rPr>
          <w:b/>
        </w:rPr>
        <w:t xml:space="preserve"> </w:t>
      </w:r>
      <w:r w:rsidRPr="004F2666">
        <w:t xml:space="preserve">perjuicio de los familiares de Digna Ochoa </w:t>
      </w:r>
      <w:r w:rsidRPr="004F2666">
        <w:rPr>
          <w:rFonts w:cs="Arial"/>
          <w:iCs/>
        </w:rPr>
        <w:t xml:space="preserve">y </w:t>
      </w:r>
      <w:r w:rsidRPr="004F2666">
        <w:t>Plácido.</w:t>
      </w:r>
      <w:r w:rsidR="00626DA8" w:rsidRPr="004F2666">
        <w:t xml:space="preserve"> </w:t>
      </w:r>
    </w:p>
    <w:p w14:paraId="6D1FEEF4" w14:textId="77777777" w:rsidR="008518BE" w:rsidRPr="004F2666" w:rsidRDefault="008518BE" w:rsidP="00D27AD3">
      <w:pPr>
        <w:tabs>
          <w:tab w:val="left" w:pos="567"/>
        </w:tabs>
        <w:spacing w:line="240" w:lineRule="auto"/>
      </w:pPr>
    </w:p>
    <w:p w14:paraId="7D1EE99E" w14:textId="1D6391A2" w:rsidR="008518BE" w:rsidRPr="004F2666" w:rsidRDefault="00183EC9" w:rsidP="00D60EB1">
      <w:pPr>
        <w:numPr>
          <w:ilvl w:val="0"/>
          <w:numId w:val="4"/>
        </w:numPr>
        <w:tabs>
          <w:tab w:val="left" w:pos="567"/>
          <w:tab w:val="num" w:pos="1569"/>
          <w:tab w:val="num" w:pos="12305"/>
        </w:tabs>
        <w:spacing w:line="240" w:lineRule="auto"/>
        <w:ind w:left="0" w:firstLine="0"/>
        <w:rPr>
          <w:rFonts w:cs="Arial"/>
        </w:rPr>
      </w:pPr>
      <w:r>
        <w:t xml:space="preserve">Las </w:t>
      </w:r>
      <w:r w:rsidRPr="00CE4B8C">
        <w:rPr>
          <w:b/>
          <w:i/>
        </w:rPr>
        <w:t>representantes</w:t>
      </w:r>
      <w:r w:rsidR="008518BE" w:rsidRPr="004F2666">
        <w:t xml:space="preserve"> indicaron que el Estado (i) incurrió en graves deficiencias y omisiones en las primeras etapas de la investigación; (ii)</w:t>
      </w:r>
      <w:r w:rsidR="008518BE" w:rsidRPr="004F2666">
        <w:rPr>
          <w:rFonts w:cs="Arial"/>
        </w:rPr>
        <w:t xml:space="preserve"> no agotó exhaustivamente todas las líneas de investigación, tomando en cuenta la labor de la defensora y los antecedentes de amenazas en su contra; (iii) no actuó de manera imparcial para determinar la causa, forma, lugar y momento de la muerte; (iv) incurrió en actos de estigmatización y utilización de estereotipos de género en la investigación; (v) no </w:t>
      </w:r>
      <w:r w:rsidR="008518BE" w:rsidRPr="004F2666">
        <w:rPr>
          <w:rFonts w:eastAsia="MS Mincho" w:cs="Verdana"/>
          <w:snapToGrid w:val="0"/>
          <w:lang w:val="es-ES" w:eastAsia="es-ES" w:bidi="en-US"/>
        </w:rPr>
        <w:t>adoptó</w:t>
      </w:r>
      <w:r w:rsidR="008518BE" w:rsidRPr="004F2666">
        <w:rPr>
          <w:rFonts w:cs="Arial"/>
        </w:rPr>
        <w:t xml:space="preserve"> medidas de protección adecuadas a favor de testigos vinculados con la muerte de Digna Ochoa y Plácido; (vi) no respetó el derecho de las y los familiares de Digna Ochoa y Plácido a participar en el proceso de investigación; e (vii) incurrió en retardo injustificado en la investigación de los hechos. </w:t>
      </w:r>
    </w:p>
    <w:p w14:paraId="25F550A8" w14:textId="77777777" w:rsidR="008518BE" w:rsidRPr="004F2666" w:rsidRDefault="008518BE" w:rsidP="008518BE">
      <w:pPr>
        <w:autoSpaceDE w:val="0"/>
        <w:autoSpaceDN w:val="0"/>
        <w:spacing w:line="240" w:lineRule="auto"/>
        <w:rPr>
          <w:rFonts w:cs="Arial"/>
        </w:rPr>
      </w:pPr>
    </w:p>
    <w:p w14:paraId="4F23F30E" w14:textId="2C248343" w:rsidR="008518BE" w:rsidRDefault="004F2666" w:rsidP="00D60EB1">
      <w:pPr>
        <w:numPr>
          <w:ilvl w:val="0"/>
          <w:numId w:val="4"/>
        </w:numPr>
        <w:tabs>
          <w:tab w:val="left" w:pos="567"/>
          <w:tab w:val="num" w:pos="1569"/>
          <w:tab w:val="num" w:pos="12305"/>
        </w:tabs>
        <w:spacing w:line="240" w:lineRule="auto"/>
        <w:ind w:left="0" w:firstLine="0"/>
        <w:rPr>
          <w:b/>
        </w:rPr>
      </w:pPr>
      <w:r w:rsidRPr="00D60EB1">
        <w:rPr>
          <w:lang w:val="es-ES"/>
        </w:rPr>
        <w:t>Añadieron</w:t>
      </w:r>
      <w:r w:rsidRPr="004F2666">
        <w:rPr>
          <w:rFonts w:cs="Arial"/>
        </w:rPr>
        <w:t xml:space="preserve"> que, d</w:t>
      </w:r>
      <w:r w:rsidR="008518BE" w:rsidRPr="004F2666">
        <w:rPr>
          <w:rFonts w:cs="Arial"/>
        </w:rPr>
        <w:t xml:space="preserve">ebido a estas falencias, no ha sido posible develar la verdad de los hechos ocurridos el 19 de octubre de 2001 y los mismos se mantienen, hasta el día de hoy, en la </w:t>
      </w:r>
      <w:r w:rsidR="008518BE" w:rsidRPr="008B66C1">
        <w:t>impunidad</w:t>
      </w:r>
      <w:r w:rsidR="008518BE" w:rsidRPr="004F2666">
        <w:rPr>
          <w:rFonts w:cs="Arial"/>
        </w:rPr>
        <w:t xml:space="preserve">. En consecuencia, </w:t>
      </w:r>
      <w:r w:rsidR="008518BE" w:rsidRPr="004F2666">
        <w:rPr>
          <w:rFonts w:eastAsia="MS Mincho" w:cs="Verdana"/>
          <w:snapToGrid w:val="0"/>
          <w:lang w:val="es-ES" w:eastAsia="es-ES" w:bidi="en-US"/>
        </w:rPr>
        <w:t>concluyeron</w:t>
      </w:r>
      <w:r w:rsidR="008518BE" w:rsidRPr="004F2666">
        <w:rPr>
          <w:rFonts w:cs="Arial"/>
        </w:rPr>
        <w:t xml:space="preserve"> que el Estado es responsable </w:t>
      </w:r>
      <w:r w:rsidR="008518BE" w:rsidRPr="004F2666">
        <w:t>por</w:t>
      </w:r>
      <w:r w:rsidR="008518BE" w:rsidRPr="004F2666">
        <w:rPr>
          <w:rFonts w:cs="Arial"/>
        </w:rPr>
        <w:t xml:space="preserve"> la violación de los derechos a las </w:t>
      </w:r>
      <w:r w:rsidR="008518BE" w:rsidRPr="004F2666">
        <w:rPr>
          <w:rFonts w:eastAsia="MS Mincho" w:cs="Verdana"/>
          <w:snapToGrid w:val="0"/>
          <w:lang w:val="es-ES" w:eastAsia="es-ES" w:bidi="en-US"/>
        </w:rPr>
        <w:t>garantías</w:t>
      </w:r>
      <w:r w:rsidR="008518BE" w:rsidRPr="004F2666">
        <w:rPr>
          <w:rFonts w:cs="Arial"/>
        </w:rPr>
        <w:t xml:space="preserve"> judiciales y a la protección judicial de la víctima contenidos en los artículos 8 y 25 de la Convención, en concordancia con el incumplimiento de las obligaciones contenidas en el artículo 7 de la </w:t>
      </w:r>
      <w:r w:rsidR="00BC6540">
        <w:rPr>
          <w:rFonts w:cs="Arial"/>
        </w:rPr>
        <w:t>Convención de Belém do Pará</w:t>
      </w:r>
      <w:r w:rsidR="008518BE" w:rsidRPr="004F2666">
        <w:rPr>
          <w:rFonts w:cs="Arial"/>
        </w:rPr>
        <w:t>.</w:t>
      </w:r>
      <w:r w:rsidR="008518BE" w:rsidRPr="004F2666">
        <w:rPr>
          <w:rFonts w:cs="Arial"/>
          <w:b/>
        </w:rPr>
        <w:t xml:space="preserve"> </w:t>
      </w:r>
    </w:p>
    <w:p w14:paraId="1E95D25D" w14:textId="77777777" w:rsidR="00EE76AA" w:rsidRDefault="00EE76AA" w:rsidP="00EE76AA">
      <w:pPr>
        <w:tabs>
          <w:tab w:val="left" w:pos="567"/>
        </w:tabs>
        <w:spacing w:line="240" w:lineRule="auto"/>
        <w:rPr>
          <w:b/>
        </w:rPr>
      </w:pPr>
    </w:p>
    <w:p w14:paraId="2C806EA2" w14:textId="0B0D41D5" w:rsidR="00EE76AA" w:rsidRPr="00EE76AA" w:rsidRDefault="00EE76AA" w:rsidP="00EE76AA">
      <w:pPr>
        <w:numPr>
          <w:ilvl w:val="0"/>
          <w:numId w:val="4"/>
        </w:numPr>
        <w:tabs>
          <w:tab w:val="left" w:pos="567"/>
          <w:tab w:val="num" w:pos="1569"/>
          <w:tab w:val="num" w:pos="12305"/>
        </w:tabs>
        <w:spacing w:line="240" w:lineRule="auto"/>
        <w:ind w:left="0" w:firstLine="0"/>
        <w:rPr>
          <w:lang w:val="es-ES"/>
        </w:rPr>
      </w:pPr>
      <w:r w:rsidRPr="00BB1C84">
        <w:t>Por otro lado,</w:t>
      </w:r>
      <w:r w:rsidRPr="00EE76AA">
        <w:rPr>
          <w:b/>
        </w:rPr>
        <w:t xml:space="preserve"> </w:t>
      </w:r>
      <w:r w:rsidRPr="00EE76AA">
        <w:t xml:space="preserve">las representantes alegaron que el Estado violó el artículo 4.1 de la Convención Americana, en concordancia </w:t>
      </w:r>
      <w:r w:rsidRPr="00EE76AA">
        <w:rPr>
          <w:lang w:val="es-CO"/>
        </w:rPr>
        <w:t>con</w:t>
      </w:r>
      <w:r w:rsidRPr="00EE76AA">
        <w:t xml:space="preserve"> el incumplimiento de las obligaciones contenidas en los artículos 1.1 del mismo instrumento y el artículo 7 de la Convención de Belém do Pará, debido</w:t>
      </w:r>
      <w:r w:rsidR="00D624F2">
        <w:t xml:space="preserve"> a</w:t>
      </w:r>
      <w:r w:rsidRPr="00EE76AA">
        <w:t xml:space="preserve"> que (i) el Estado </w:t>
      </w:r>
      <w:r w:rsidRPr="00EE76AA">
        <w:lastRenderedPageBreak/>
        <w:t xml:space="preserve">no cumplió con su obligación de garantía, al no haber adoptado medidas efectivas para prevenir la alegada violación a los derechos de la </w:t>
      </w:r>
      <w:r w:rsidR="001F344D">
        <w:t>señora Digna Ochoa</w:t>
      </w:r>
      <w:r w:rsidRPr="00EE76AA">
        <w:t xml:space="preserve"> y (ii) a la ausencia de una investigación seria y efectiva que esclarezca lo sucedido respecto del alegado asesinato de Ochoa. Asimismo, las representantes alegaron que el Estado también </w:t>
      </w:r>
      <w:r w:rsidR="00D624F2">
        <w:t>es</w:t>
      </w:r>
      <w:r w:rsidRPr="00EE76AA">
        <w:t xml:space="preserve"> responsable por la violación del artículo 5.1 de la Convención Americana, en concordancia con el incumplimiento de los deberes contenidos en el artículo 1.1 del mismo instrumento y 1, 6 y 8 de la CIPST, debido a las amenazas perpetradas en contra de la defensora y la falta de investigación por parte del Estado de las mismas. Por último, indicaron que el Estado incumplió su obligación de garantizar el derecho a defender derechos humanos de la </w:t>
      </w:r>
      <w:r w:rsidR="001F344D">
        <w:t>señora Digna Ochoa</w:t>
      </w:r>
      <w:r w:rsidRPr="00EE76AA">
        <w:t xml:space="preserve">. </w:t>
      </w:r>
    </w:p>
    <w:p w14:paraId="07CB9835" w14:textId="77777777" w:rsidR="00EE76AA" w:rsidRPr="007F4E74" w:rsidRDefault="00EE76AA" w:rsidP="00EE76AA">
      <w:pPr>
        <w:tabs>
          <w:tab w:val="left" w:pos="567"/>
        </w:tabs>
        <w:spacing w:line="240" w:lineRule="auto"/>
        <w:rPr>
          <w:lang w:val="es-ES"/>
        </w:rPr>
      </w:pPr>
    </w:p>
    <w:p w14:paraId="1D2F8428" w14:textId="0D853486" w:rsidR="00675E76" w:rsidRPr="008B66C1" w:rsidRDefault="0076371A" w:rsidP="00D60EB1">
      <w:pPr>
        <w:numPr>
          <w:ilvl w:val="0"/>
          <w:numId w:val="4"/>
        </w:numPr>
        <w:tabs>
          <w:tab w:val="left" w:pos="567"/>
          <w:tab w:val="num" w:pos="1569"/>
          <w:tab w:val="num" w:pos="12305"/>
        </w:tabs>
        <w:spacing w:line="240" w:lineRule="auto"/>
        <w:ind w:left="0" w:firstLine="0"/>
        <w:rPr>
          <w:rFonts w:eastAsia="Batang"/>
          <w:lang w:val="es-ES" w:eastAsia="en-US"/>
        </w:rPr>
      </w:pPr>
      <w:r>
        <w:t>E</w:t>
      </w:r>
      <w:r w:rsidR="008518BE" w:rsidRPr="008B66C1">
        <w:t xml:space="preserve">l </w:t>
      </w:r>
      <w:r w:rsidR="008518BE" w:rsidRPr="008B66C1">
        <w:rPr>
          <w:b/>
          <w:i/>
        </w:rPr>
        <w:t xml:space="preserve">Estado </w:t>
      </w:r>
      <w:r w:rsidR="00675E76" w:rsidRPr="008B66C1">
        <w:t xml:space="preserve">reconoció su responsabilidad internacional por la </w:t>
      </w:r>
      <w:r w:rsidR="00CE4B8C">
        <w:t>v</w:t>
      </w:r>
      <w:r w:rsidR="00675E76" w:rsidRPr="008B66C1">
        <w:t>iolación</w:t>
      </w:r>
      <w:r w:rsidR="00675E76" w:rsidRPr="008B66C1">
        <w:rPr>
          <w:rFonts w:eastAsia="Batang"/>
          <w:lang w:val="es-ES" w:eastAsia="en-US"/>
        </w:rPr>
        <w:t xml:space="preserve"> de las garantías judiciales y protección judicial (artículos 8 y 25 de la Convención Americana en relación con el </w:t>
      </w:r>
      <w:r w:rsidR="00675E76" w:rsidRPr="00AD29EF">
        <w:rPr>
          <w:rFonts w:eastAsia="Batang"/>
          <w:lang w:val="es-ES" w:eastAsia="en-US"/>
        </w:rPr>
        <w:t xml:space="preserve">artículo 1.1 del mismo instrumento) en perjuicio </w:t>
      </w:r>
      <w:r w:rsidR="00675E76" w:rsidRPr="00AD29EF">
        <w:t>de</w:t>
      </w:r>
      <w:r w:rsidR="00675E76" w:rsidRPr="00AD29EF">
        <w:rPr>
          <w:rFonts w:eastAsia="Batang"/>
          <w:lang w:val="es-ES" w:eastAsia="en-US"/>
        </w:rPr>
        <w:t xml:space="preserve"> los familiares de </w:t>
      </w:r>
      <w:r w:rsidR="00CE4B8C" w:rsidRPr="00AD29EF">
        <w:rPr>
          <w:rFonts w:eastAsia="Batang"/>
          <w:lang w:val="es-ES" w:eastAsia="en-US"/>
        </w:rPr>
        <w:t xml:space="preserve">la </w:t>
      </w:r>
      <w:r w:rsidR="001F344D" w:rsidRPr="00AD29EF">
        <w:rPr>
          <w:rFonts w:eastAsia="Batang"/>
          <w:lang w:val="es-ES" w:eastAsia="en-US"/>
        </w:rPr>
        <w:t>señora Digna Ochoa</w:t>
      </w:r>
      <w:r w:rsidR="00675E76" w:rsidRPr="00AD29EF">
        <w:rPr>
          <w:rFonts w:eastAsia="Batang"/>
          <w:lang w:val="es-ES" w:eastAsia="en-US"/>
        </w:rPr>
        <w:t>, en los términos señalados en el Informe de Fondo de la Comisión Interamericana de Derechos Humanos</w:t>
      </w:r>
      <w:r w:rsidRPr="00AD29EF">
        <w:rPr>
          <w:rFonts w:eastAsia="Batang"/>
          <w:lang w:val="es-ES" w:eastAsia="en-US"/>
        </w:rPr>
        <w:t xml:space="preserve"> (</w:t>
      </w:r>
      <w:r w:rsidRPr="00AD29EF">
        <w:rPr>
          <w:rFonts w:eastAsia="Batang"/>
          <w:i/>
          <w:lang w:val="es-ES" w:eastAsia="en-US"/>
        </w:rPr>
        <w:t>supra</w:t>
      </w:r>
      <w:r w:rsidRPr="00AD29EF">
        <w:rPr>
          <w:rFonts w:eastAsia="Batang"/>
          <w:lang w:val="es-ES" w:eastAsia="en-US"/>
        </w:rPr>
        <w:t xml:space="preserve"> párr. </w:t>
      </w:r>
      <w:r w:rsidR="00AD29EF" w:rsidRPr="00AD29EF">
        <w:rPr>
          <w:rFonts w:eastAsia="Batang"/>
          <w:lang w:val="es-ES" w:eastAsia="en-US"/>
        </w:rPr>
        <w:t>21</w:t>
      </w:r>
      <w:r w:rsidRPr="00AD29EF">
        <w:rPr>
          <w:rFonts w:eastAsia="Batang"/>
          <w:lang w:val="es-ES" w:eastAsia="en-US"/>
        </w:rPr>
        <w:t>)</w:t>
      </w:r>
      <w:r w:rsidR="00675E76" w:rsidRPr="00AD29EF">
        <w:rPr>
          <w:rFonts w:eastAsia="Batang"/>
          <w:lang w:val="es-ES" w:eastAsia="en-US"/>
        </w:rPr>
        <w:t xml:space="preserve">. Asimismo, reconoció su responsabilidad por la violación del </w:t>
      </w:r>
      <w:r w:rsidR="00675E76" w:rsidRPr="00AD29EF">
        <w:rPr>
          <w:lang w:val="es-ES"/>
        </w:rPr>
        <w:t>artículo</w:t>
      </w:r>
      <w:r w:rsidR="00675E76" w:rsidRPr="00AD29EF">
        <w:rPr>
          <w:rFonts w:eastAsia="Batang"/>
          <w:lang w:val="es-ES" w:eastAsia="en-US"/>
        </w:rPr>
        <w:t xml:space="preserve"> 7 de la Convención de</w:t>
      </w:r>
      <w:r w:rsidR="00675E76" w:rsidRPr="008B66C1">
        <w:rPr>
          <w:rFonts w:eastAsia="Batang"/>
          <w:lang w:val="es-ES" w:eastAsia="en-US"/>
        </w:rPr>
        <w:t xml:space="preserve"> Belém do Pará en perjuicio de los familiares de </w:t>
      </w:r>
      <w:r w:rsidR="00CE4B8C">
        <w:rPr>
          <w:rFonts w:eastAsia="Batang"/>
          <w:lang w:val="es-ES" w:eastAsia="en-US"/>
        </w:rPr>
        <w:t xml:space="preserve">la </w:t>
      </w:r>
      <w:r w:rsidR="001F344D">
        <w:rPr>
          <w:rFonts w:eastAsia="Batang"/>
          <w:lang w:val="es-ES" w:eastAsia="en-US"/>
        </w:rPr>
        <w:t>señora Digna Ochoa</w:t>
      </w:r>
      <w:r w:rsidR="00675E76" w:rsidRPr="008B66C1">
        <w:rPr>
          <w:rFonts w:eastAsia="Batang"/>
          <w:lang w:val="es-ES" w:eastAsia="en-US"/>
        </w:rPr>
        <w:t xml:space="preserve">, al no haberse llevado a cabo una investigación con perspectiva de género en el presente caso. Por otro lado, también reconoció la violación del derecho a la protección de la </w:t>
      </w:r>
      <w:r w:rsidR="005B6232">
        <w:rPr>
          <w:rFonts w:eastAsia="Batang"/>
          <w:lang w:val="es-ES" w:eastAsia="en-US"/>
        </w:rPr>
        <w:t>H</w:t>
      </w:r>
      <w:r w:rsidR="00675E76" w:rsidRPr="008B66C1">
        <w:rPr>
          <w:rFonts w:eastAsia="Batang"/>
          <w:lang w:val="es-ES" w:eastAsia="en-US"/>
        </w:rPr>
        <w:t xml:space="preserve">onra y </w:t>
      </w:r>
      <w:r w:rsidR="00675E76" w:rsidRPr="008B66C1">
        <w:t>de</w:t>
      </w:r>
      <w:r w:rsidR="00675E76" w:rsidRPr="008B66C1">
        <w:rPr>
          <w:rFonts w:eastAsia="Batang"/>
          <w:lang w:val="es-ES" w:eastAsia="en-US"/>
        </w:rPr>
        <w:t xml:space="preserve"> la </w:t>
      </w:r>
      <w:r w:rsidR="005B6232">
        <w:rPr>
          <w:rFonts w:eastAsia="Batang"/>
          <w:lang w:val="es-ES" w:eastAsia="en-US"/>
        </w:rPr>
        <w:t>D</w:t>
      </w:r>
      <w:r w:rsidR="00675E76" w:rsidRPr="008B66C1">
        <w:rPr>
          <w:rFonts w:eastAsia="Batang"/>
          <w:lang w:val="es-ES" w:eastAsia="en-US"/>
        </w:rPr>
        <w:t xml:space="preserve">ignidad en perjuicio de la </w:t>
      </w:r>
      <w:r w:rsidR="001F344D">
        <w:rPr>
          <w:rFonts w:eastAsia="Batang"/>
          <w:lang w:val="es-ES" w:eastAsia="en-US"/>
        </w:rPr>
        <w:t>señora Digna Ochoa</w:t>
      </w:r>
      <w:r w:rsidR="00675E76" w:rsidRPr="008B66C1">
        <w:rPr>
          <w:rFonts w:eastAsia="Batang"/>
          <w:lang w:val="es-ES" w:eastAsia="en-US"/>
        </w:rPr>
        <w:t xml:space="preserve"> “como víctima de la imagen negativa que se generó respecto de su persona después de su fallecimiento y por el manejo dado a la información dentro de la investigación llevada por la muerte de esta defensora”. </w:t>
      </w:r>
    </w:p>
    <w:p w14:paraId="5FFA584F" w14:textId="77817C38" w:rsidR="00EE77EB" w:rsidRDefault="00EE77EB" w:rsidP="00EE77EB">
      <w:pPr>
        <w:pStyle w:val="Ttulo2"/>
        <w:rPr>
          <w:lang w:val="es-ES"/>
        </w:rPr>
      </w:pPr>
      <w:bookmarkStart w:id="66" w:name="_Toc93400256"/>
      <w:r w:rsidRPr="008B66C1">
        <w:rPr>
          <w:lang w:val="es-ES"/>
        </w:rPr>
        <w:t>B.</w:t>
      </w:r>
      <w:r w:rsidRPr="008B66C1">
        <w:rPr>
          <w:lang w:val="es-ES"/>
        </w:rPr>
        <w:tab/>
        <w:t>Consideraciones de la Corte</w:t>
      </w:r>
      <w:bookmarkEnd w:id="63"/>
      <w:bookmarkEnd w:id="64"/>
      <w:bookmarkEnd w:id="65"/>
      <w:bookmarkEnd w:id="66"/>
    </w:p>
    <w:p w14:paraId="32EF8643" w14:textId="14F1B15E" w:rsidR="005D45A0" w:rsidRPr="008B66C1" w:rsidRDefault="00D624F2" w:rsidP="005D45A0">
      <w:pPr>
        <w:numPr>
          <w:ilvl w:val="0"/>
          <w:numId w:val="4"/>
        </w:numPr>
        <w:tabs>
          <w:tab w:val="left" w:pos="567"/>
          <w:tab w:val="num" w:pos="1569"/>
          <w:tab w:val="num" w:pos="12305"/>
        </w:tabs>
        <w:spacing w:line="240" w:lineRule="auto"/>
        <w:ind w:left="0" w:firstLine="0"/>
        <w:rPr>
          <w:i/>
          <w:sz w:val="24"/>
          <w:lang w:val="es-ES" w:eastAsia="es-ES"/>
        </w:rPr>
      </w:pPr>
      <w:r>
        <w:t>Tal y como se señaló anteriormente, r</w:t>
      </w:r>
      <w:r w:rsidR="005D45A0" w:rsidRPr="008B66C1">
        <w:t>especto a la violación de</w:t>
      </w:r>
      <w:r w:rsidR="00CC3147">
        <w:t xml:space="preserve"> </w:t>
      </w:r>
      <w:r w:rsidR="005D45A0" w:rsidRPr="008B66C1">
        <w:t>l</w:t>
      </w:r>
      <w:r w:rsidR="00CC3147">
        <w:t>os</w:t>
      </w:r>
      <w:r w:rsidR="005D45A0" w:rsidRPr="008B66C1">
        <w:t xml:space="preserve"> derecho</w:t>
      </w:r>
      <w:r w:rsidR="00CC3147">
        <w:t>s</w:t>
      </w:r>
      <w:r w:rsidR="005D45A0" w:rsidRPr="008B66C1">
        <w:t xml:space="preserve"> a las garantías judiciales y la protección judicial, el </w:t>
      </w:r>
      <w:r w:rsidR="005D45A0" w:rsidRPr="008B66C1">
        <w:rPr>
          <w:lang w:val="es-ES"/>
        </w:rPr>
        <w:t>Estado</w:t>
      </w:r>
      <w:r w:rsidR="005D45A0" w:rsidRPr="008B66C1">
        <w:t xml:space="preserve"> reconoció que es responsable por la violación de los artículos 8.1 y 25.1 de la Convención Americana en relación con el artículo 1.1 </w:t>
      </w:r>
      <w:r w:rsidR="005D45A0" w:rsidRPr="008B66C1">
        <w:rPr>
          <w:rFonts w:eastAsia="Batang"/>
          <w:lang w:val="es-ES" w:eastAsia="en-US"/>
        </w:rPr>
        <w:t>del</w:t>
      </w:r>
      <w:r w:rsidR="005D45A0" w:rsidRPr="008B66C1">
        <w:t xml:space="preserve"> mismo instrumento</w:t>
      </w:r>
      <w:r w:rsidR="00FB4D05">
        <w:t>,</w:t>
      </w:r>
      <w:r w:rsidR="005D45A0" w:rsidRPr="008B66C1">
        <w:t xml:space="preserve"> en perjuicio de los familiares de la </w:t>
      </w:r>
      <w:r w:rsidR="001F344D">
        <w:t>señora Digna Ochoa</w:t>
      </w:r>
      <w:r w:rsidR="005D45A0" w:rsidRPr="008B66C1">
        <w:t xml:space="preserve">, en los términos y por las razones indicadas por la Comisión en su Informe de Fondo. El Tribunal procederá a continuación a precisar dichas violaciones y analizar los argumentos y violaciones adicionales </w:t>
      </w:r>
      <w:r w:rsidR="001140AA" w:rsidRPr="008B66C1">
        <w:t>expuestos</w:t>
      </w:r>
      <w:r w:rsidR="005D45A0" w:rsidRPr="008B66C1">
        <w:t xml:space="preserve"> por </w:t>
      </w:r>
      <w:r w:rsidR="00183EC9">
        <w:t>las representantes</w:t>
      </w:r>
      <w:r w:rsidR="005D45A0" w:rsidRPr="008B66C1">
        <w:t xml:space="preserve">. </w:t>
      </w:r>
    </w:p>
    <w:p w14:paraId="4D6FCEA7" w14:textId="77777777" w:rsidR="00D624F2" w:rsidRPr="00D624F2" w:rsidRDefault="00D624F2" w:rsidP="00D624F2">
      <w:pPr>
        <w:tabs>
          <w:tab w:val="left" w:pos="567"/>
        </w:tabs>
        <w:spacing w:line="240" w:lineRule="auto"/>
        <w:rPr>
          <w:lang w:val="es-ES"/>
        </w:rPr>
      </w:pPr>
    </w:p>
    <w:p w14:paraId="414FF21C" w14:textId="2E3BF697" w:rsidR="005D45A0" w:rsidRPr="008B66C1" w:rsidRDefault="005D45A0" w:rsidP="00B804A0">
      <w:pPr>
        <w:numPr>
          <w:ilvl w:val="0"/>
          <w:numId w:val="4"/>
        </w:numPr>
        <w:tabs>
          <w:tab w:val="left" w:pos="567"/>
          <w:tab w:val="num" w:pos="1569"/>
          <w:tab w:val="num" w:pos="12305"/>
        </w:tabs>
        <w:spacing w:line="240" w:lineRule="auto"/>
        <w:ind w:left="0" w:firstLine="0"/>
        <w:rPr>
          <w:lang w:val="es-ES"/>
        </w:rPr>
      </w:pPr>
      <w:r w:rsidRPr="008B66C1">
        <w:rPr>
          <w:kern w:val="2"/>
          <w:lang w:eastAsia="en-US"/>
        </w:rPr>
        <w:t>La</w:t>
      </w:r>
      <w:r w:rsidRPr="008B66C1">
        <w:rPr>
          <w:rFonts w:eastAsia="Calibri"/>
          <w:kern w:val="2"/>
          <w:lang w:eastAsia="en-US"/>
        </w:rPr>
        <w:t xml:space="preserve"> Corte ha </w:t>
      </w:r>
      <w:r w:rsidRPr="008B66C1">
        <w:rPr>
          <w:kern w:val="2"/>
          <w:lang w:eastAsia="en-US"/>
        </w:rPr>
        <w:t>establecido</w:t>
      </w:r>
      <w:r w:rsidRPr="008B66C1">
        <w:rPr>
          <w:rFonts w:eastAsia="Calibri"/>
          <w:kern w:val="2"/>
          <w:lang w:eastAsia="en-US"/>
        </w:rPr>
        <w:t xml:space="preserve"> que, de conformidad con la Convención Americana, los Estados Partes están </w:t>
      </w:r>
      <w:r w:rsidRPr="008B66C1">
        <w:rPr>
          <w:kern w:val="2"/>
          <w:lang w:eastAsia="en-US"/>
        </w:rPr>
        <w:t>obligados</w:t>
      </w:r>
      <w:r w:rsidRPr="008B66C1">
        <w:rPr>
          <w:rFonts w:eastAsia="Calibri"/>
          <w:kern w:val="2"/>
          <w:lang w:eastAsia="en-US"/>
        </w:rPr>
        <w:t xml:space="preserve"> a suministrar recursos judiciales efectivos a las víctimas de </w:t>
      </w:r>
      <w:r w:rsidRPr="008B66C1">
        <w:rPr>
          <w:kern w:val="2"/>
          <w:lang w:eastAsia="en-US"/>
        </w:rPr>
        <w:t>violaciones</w:t>
      </w:r>
      <w:r w:rsidRPr="008B66C1">
        <w:rPr>
          <w:rFonts w:eastAsia="Calibri"/>
          <w:kern w:val="2"/>
          <w:lang w:eastAsia="en-US"/>
        </w:rPr>
        <w:t xml:space="preserve"> a los derechos </w:t>
      </w:r>
      <w:r w:rsidRPr="008B66C1">
        <w:t>humanos</w:t>
      </w:r>
      <w:r w:rsidRPr="008B66C1">
        <w:rPr>
          <w:rFonts w:eastAsia="Calibri"/>
          <w:kern w:val="2"/>
          <w:lang w:eastAsia="en-US"/>
        </w:rPr>
        <w:t xml:space="preserve">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8B66C1">
        <w:rPr>
          <w:rFonts w:eastAsia="Calibri"/>
          <w:kern w:val="2"/>
          <w:vertAlign w:val="superscript"/>
          <w:lang w:eastAsia="en-US"/>
        </w:rPr>
        <w:footnoteReference w:id="125"/>
      </w:r>
      <w:r w:rsidRPr="008B66C1">
        <w:rPr>
          <w:rFonts w:eastAsia="Calibri"/>
          <w:kern w:val="2"/>
          <w:lang w:eastAsia="en-US"/>
        </w:rPr>
        <w:t>.</w:t>
      </w:r>
      <w:r w:rsidR="00B804A0">
        <w:rPr>
          <w:rFonts w:eastAsia="Calibri"/>
          <w:kern w:val="2"/>
          <w:lang w:eastAsia="en-US"/>
        </w:rPr>
        <w:t xml:space="preserve"> </w:t>
      </w:r>
    </w:p>
    <w:p w14:paraId="7F1B187C" w14:textId="77777777" w:rsidR="008B66C1" w:rsidRPr="008B66C1" w:rsidRDefault="008B66C1" w:rsidP="008B66C1">
      <w:pPr>
        <w:tabs>
          <w:tab w:val="left" w:pos="567"/>
        </w:tabs>
        <w:spacing w:line="240" w:lineRule="auto"/>
        <w:rPr>
          <w:lang w:val="es-ES"/>
        </w:rPr>
      </w:pPr>
    </w:p>
    <w:p w14:paraId="517DD31B" w14:textId="5C2A127E" w:rsidR="008B66C1" w:rsidRPr="008B66C1" w:rsidRDefault="004E6974" w:rsidP="008B66C1">
      <w:pPr>
        <w:numPr>
          <w:ilvl w:val="0"/>
          <w:numId w:val="4"/>
        </w:numPr>
        <w:tabs>
          <w:tab w:val="left" w:pos="567"/>
          <w:tab w:val="num" w:pos="1569"/>
          <w:tab w:val="num" w:pos="12305"/>
        </w:tabs>
        <w:spacing w:line="240" w:lineRule="auto"/>
        <w:ind w:left="0" w:firstLine="0"/>
        <w:rPr>
          <w:rFonts w:cs="Arial"/>
        </w:rPr>
      </w:pPr>
      <w:r>
        <w:rPr>
          <w:rFonts w:cs="Arial"/>
        </w:rPr>
        <w:t>El Tribunal</w:t>
      </w:r>
      <w:r w:rsidR="008B66C1" w:rsidRPr="008B66C1">
        <w:rPr>
          <w:rFonts w:cs="Arial"/>
        </w:rPr>
        <w:t xml:space="preserve"> ha señalado en su </w:t>
      </w:r>
      <w:r w:rsidR="008B66C1" w:rsidRPr="008B66C1">
        <w:rPr>
          <w:rFonts w:cs="Cambria"/>
        </w:rPr>
        <w:t>jurisprudencia</w:t>
      </w:r>
      <w:r w:rsidR="008B66C1" w:rsidRPr="008B66C1">
        <w:rPr>
          <w:rFonts w:cs="Arial"/>
        </w:rPr>
        <w:t xml:space="preserve"> reiterada </w:t>
      </w:r>
      <w:r w:rsidR="008B66C1" w:rsidRPr="008B66C1">
        <w:t>que, en casos de privación de la vida, es fundamental que los Estados identifiquen, investiguen efectivamente y, eventualmente, sancionen a sus responsables, pues de lo contrario se estarían creando, dentro de un ambiente de impunidad, las condiciones para que este tipo de hechos se repitan. E</w:t>
      </w:r>
      <w:r w:rsidR="008B66C1" w:rsidRPr="008B66C1">
        <w:rPr>
          <w:rFonts w:cs="Arial"/>
        </w:rPr>
        <w:t xml:space="preserve">l deber de investigar es una obligación de medios y no de resultado, que debe ser asumida por el Estado como un deber jurídico </w:t>
      </w:r>
      <w:r w:rsidR="008B66C1" w:rsidRPr="008B66C1">
        <w:t>propio</w:t>
      </w:r>
      <w:r w:rsidR="008B66C1" w:rsidRPr="008B66C1">
        <w:rPr>
          <w:lang w:eastAsia="es-MX"/>
        </w:rPr>
        <w:t xml:space="preserve">, que no dependa única o necesariamente de la iniciativa procesal de las víctimas o de sus familiares o de la aportación privada de </w:t>
      </w:r>
      <w:r w:rsidR="008B66C1" w:rsidRPr="008B66C1">
        <w:t>elementos</w:t>
      </w:r>
      <w:r w:rsidR="008B66C1" w:rsidRPr="008B66C1">
        <w:rPr>
          <w:lang w:eastAsia="es-MX"/>
        </w:rPr>
        <w:t xml:space="preserve"> probatorios</w:t>
      </w:r>
      <w:r w:rsidR="008B66C1" w:rsidRPr="008B66C1">
        <w:rPr>
          <w:rStyle w:val="Refdenotaalpie"/>
          <w:lang w:eastAsia="es-MX"/>
        </w:rPr>
        <w:footnoteReference w:id="126"/>
      </w:r>
      <w:r w:rsidR="008B66C1" w:rsidRPr="008B66C1">
        <w:rPr>
          <w:rFonts w:cs="Arial"/>
        </w:rPr>
        <w:t>.</w:t>
      </w:r>
    </w:p>
    <w:p w14:paraId="3E202712" w14:textId="77777777" w:rsidR="008B66C1" w:rsidRPr="008B66C1" w:rsidRDefault="008B66C1" w:rsidP="008B66C1">
      <w:pPr>
        <w:tabs>
          <w:tab w:val="left" w:pos="567"/>
        </w:tabs>
        <w:spacing w:line="240" w:lineRule="auto"/>
      </w:pPr>
    </w:p>
    <w:p w14:paraId="3C1DE71C" w14:textId="46BFE7D6" w:rsidR="005D45A0" w:rsidRPr="007F4E74" w:rsidRDefault="001A2A6E" w:rsidP="001A2A6E">
      <w:pPr>
        <w:numPr>
          <w:ilvl w:val="0"/>
          <w:numId w:val="4"/>
        </w:numPr>
        <w:tabs>
          <w:tab w:val="left" w:pos="567"/>
          <w:tab w:val="num" w:pos="1569"/>
          <w:tab w:val="num" w:pos="12305"/>
        </w:tabs>
        <w:spacing w:line="240" w:lineRule="auto"/>
        <w:ind w:left="0" w:firstLine="0"/>
        <w:rPr>
          <w:lang w:val="es-ES"/>
        </w:rPr>
      </w:pPr>
      <w:r w:rsidRPr="007F4E74">
        <w:t>Con respecto a la condición profesional de la persona defensora de derechos humanos, esta Corte reitera que el cumplimiento del deber de crear las condiciones necesarias para el efectivo goce y disfrute de los derech</w:t>
      </w:r>
      <w:r w:rsidR="00D16011">
        <w:t>os establecidos en la Convención</w:t>
      </w:r>
      <w:r w:rsidRPr="007F4E74">
        <w:t xml:space="preserve"> está intrínsecamente ligado a la protección y al reconocimiento de la importancia del papel</w:t>
      </w:r>
      <w:r w:rsidRPr="007F4E74">
        <w:rPr>
          <w:b/>
        </w:rPr>
        <w:t xml:space="preserve"> </w:t>
      </w:r>
      <w:r w:rsidRPr="007F4E74">
        <w:t>que cumplen las y los defensores de derechos humanos</w:t>
      </w:r>
      <w:r w:rsidRPr="007F4E74">
        <w:rPr>
          <w:rStyle w:val="Refdenotaalpie"/>
        </w:rPr>
        <w:footnoteReference w:id="127"/>
      </w:r>
      <w:r w:rsidRPr="007F4E74">
        <w:t>, cuya labor es fundamental para el fortalecimiento de la democracia y el Estado de Derecho</w:t>
      </w:r>
      <w:r w:rsidR="00EE554C" w:rsidRPr="007F4E74">
        <w:t>. E</w:t>
      </w:r>
      <w:r w:rsidR="006362F2" w:rsidRPr="007F4E74">
        <w:t>l Tribunal recuerda</w:t>
      </w:r>
      <w:r w:rsidR="00EE554C" w:rsidRPr="007F4E74">
        <w:t>,</w:t>
      </w:r>
      <w:r w:rsidR="006362F2" w:rsidRPr="007F4E74">
        <w:t xml:space="preserve"> </w:t>
      </w:r>
      <w:r w:rsidR="00EE554C" w:rsidRPr="007F4E74">
        <w:t xml:space="preserve">además, </w:t>
      </w:r>
      <w:r w:rsidR="006362F2" w:rsidRPr="007F4E74">
        <w:t>que</w:t>
      </w:r>
      <w:r w:rsidRPr="007F4E74">
        <w:t xml:space="preserve"> las</w:t>
      </w:r>
      <w:r w:rsidR="002942EC">
        <w:t xml:space="preserve"> </w:t>
      </w:r>
      <w:r w:rsidRPr="007F4E74">
        <w:t>actividades</w:t>
      </w:r>
      <w:r w:rsidR="002942EC">
        <w:t xml:space="preserve"> </w:t>
      </w:r>
      <w:r w:rsidRPr="007F4E74">
        <w:t>de</w:t>
      </w:r>
      <w:r w:rsidR="002942EC">
        <w:t xml:space="preserve"> </w:t>
      </w:r>
      <w:r w:rsidRPr="007F4E74">
        <w:t>vigilancia,</w:t>
      </w:r>
      <w:r w:rsidR="002942EC">
        <w:t xml:space="preserve"> </w:t>
      </w:r>
      <w:r w:rsidRPr="007F4E74">
        <w:t>denuncia</w:t>
      </w:r>
      <w:r w:rsidR="002942EC">
        <w:t xml:space="preserve"> </w:t>
      </w:r>
      <w:r w:rsidRPr="007F4E74">
        <w:t>y educación</w:t>
      </w:r>
      <w:r w:rsidR="002942EC">
        <w:t xml:space="preserve"> </w:t>
      </w:r>
      <w:r w:rsidRPr="007F4E74">
        <w:t>que</w:t>
      </w:r>
      <w:r w:rsidR="002942EC">
        <w:t xml:space="preserve"> </w:t>
      </w:r>
      <w:r w:rsidRPr="007F4E74">
        <w:t>realizan</w:t>
      </w:r>
      <w:r w:rsidR="002942EC">
        <w:t xml:space="preserve"> </w:t>
      </w:r>
      <w:r w:rsidRPr="007F4E74">
        <w:t>contribuyen</w:t>
      </w:r>
      <w:r w:rsidR="002942EC">
        <w:t xml:space="preserve"> </w:t>
      </w:r>
      <w:r w:rsidRPr="007F4E74">
        <w:t>de</w:t>
      </w:r>
      <w:r w:rsidR="002942EC">
        <w:t xml:space="preserve"> </w:t>
      </w:r>
      <w:r w:rsidRPr="007F4E74">
        <w:t>manera</w:t>
      </w:r>
      <w:r w:rsidR="002942EC">
        <w:t xml:space="preserve"> </w:t>
      </w:r>
      <w:r w:rsidRPr="007F4E74">
        <w:t>esencial</w:t>
      </w:r>
      <w:r w:rsidR="002942EC">
        <w:t xml:space="preserve"> </w:t>
      </w:r>
      <w:r w:rsidRPr="007F4E74">
        <w:t>a</w:t>
      </w:r>
      <w:r w:rsidR="002942EC">
        <w:t xml:space="preserve"> </w:t>
      </w:r>
      <w:r w:rsidRPr="007F4E74">
        <w:t>la</w:t>
      </w:r>
      <w:r w:rsidR="002942EC">
        <w:t xml:space="preserve"> </w:t>
      </w:r>
      <w:r w:rsidRPr="007F4E74">
        <w:t>observancia</w:t>
      </w:r>
      <w:r w:rsidR="002942EC">
        <w:t xml:space="preserve"> </w:t>
      </w:r>
      <w:r w:rsidRPr="007F4E74">
        <w:t>de</w:t>
      </w:r>
      <w:r w:rsidR="002942EC">
        <w:t xml:space="preserve"> </w:t>
      </w:r>
      <w:r w:rsidRPr="007F4E74">
        <w:t>los</w:t>
      </w:r>
      <w:r w:rsidR="002942EC">
        <w:t xml:space="preserve"> </w:t>
      </w:r>
      <w:r w:rsidRPr="007F4E74">
        <w:t>derechos</w:t>
      </w:r>
      <w:r w:rsidR="002942EC">
        <w:t xml:space="preserve"> </w:t>
      </w:r>
      <w:r w:rsidRPr="007F4E74">
        <w:t>humanos,</w:t>
      </w:r>
      <w:r w:rsidR="002942EC">
        <w:t xml:space="preserve"> </w:t>
      </w:r>
      <w:r w:rsidRPr="007F4E74">
        <w:t>pues actúan como garantes contra la impunidad. De esta manera se complementa el rol, no tan solo de los Estados, sino del Sistema Interamericano de Derechos Humanos en su conjunto</w:t>
      </w:r>
      <w:r w:rsidRPr="007F4E74">
        <w:rPr>
          <w:rStyle w:val="Refdenotaalpie"/>
        </w:rPr>
        <w:footnoteReference w:id="128"/>
      </w:r>
      <w:r w:rsidRPr="007F4E74">
        <w:t>. A raíz de lo anterior, el Tribunal ha señalado que</w:t>
      </w:r>
      <w:r w:rsidR="006362F2" w:rsidRPr="007F4E74">
        <w:t xml:space="preserve"> los Estados tienen el deber de facilitar los medios necesarios para que estos realicen libremente sus actividades</w:t>
      </w:r>
      <w:r w:rsidR="006362F2" w:rsidRPr="007F4E74">
        <w:rPr>
          <w:rStyle w:val="Refdenotaalpie"/>
        </w:rPr>
        <w:footnoteReference w:id="129"/>
      </w:r>
      <w:r w:rsidR="006362F2" w:rsidRPr="007F4E74">
        <w:t xml:space="preserve">; protegerlos cuando son objeto de amenazas para evitar los atentados a su vida e integridad; abstenerse de imponer obstáculos que dificulten la realización </w:t>
      </w:r>
      <w:r w:rsidR="006362F2" w:rsidRPr="007F4E74">
        <w:rPr>
          <w:rFonts w:eastAsiaTheme="minorHAnsi" w:cs="Arial"/>
        </w:rPr>
        <w:t>de</w:t>
      </w:r>
      <w:r w:rsidR="006362F2" w:rsidRPr="007F4E74">
        <w:t xml:space="preserve"> su labor, e investigar seria y eficazmente las violaciones cometidas en su contra, combatiendo la impunidad</w:t>
      </w:r>
      <w:r w:rsidR="006362F2" w:rsidRPr="007F4E74">
        <w:rPr>
          <w:rStyle w:val="Refdenotaalpie"/>
        </w:rPr>
        <w:footnoteReference w:id="130"/>
      </w:r>
      <w:r w:rsidR="006362F2" w:rsidRPr="007F4E74">
        <w:t xml:space="preserve">. </w:t>
      </w:r>
      <w:r w:rsidR="005D45A0" w:rsidRPr="007F4E74">
        <w:rPr>
          <w:lang w:val="es-ES"/>
        </w:rPr>
        <w:t xml:space="preserve">Además, </w:t>
      </w:r>
      <w:r w:rsidR="001140AA" w:rsidRPr="007F4E74">
        <w:t xml:space="preserve">en </w:t>
      </w:r>
      <w:r w:rsidR="001140AA" w:rsidRPr="007F4E74">
        <w:rPr>
          <w:rFonts w:cs="Arial"/>
        </w:rPr>
        <w:t>casos</w:t>
      </w:r>
      <w:r w:rsidR="001140AA" w:rsidRPr="007F4E74">
        <w:t xml:space="preserve"> de atentados </w:t>
      </w:r>
      <w:r w:rsidR="001140AA" w:rsidRPr="007F4E74">
        <w:rPr>
          <w:rFonts w:cs="Arial"/>
        </w:rPr>
        <w:t>contra</w:t>
      </w:r>
      <w:r w:rsidR="001140AA" w:rsidRPr="007F4E74">
        <w:t xml:space="preserve"> defensores y defensoras de derechos humanos, los Estados tienen la obligación de asegurar una justicia imparcial, oportuna y oficiosa, que implique una búsqueda exhaustiva de toda la información para diseñar y ejecutar una investigación que conduzca al debido análisis de las hipótesis de autoría, por acción o por omisión, en diferentes niveles, explorando todas las líneas investigativas pertinentes para identificar a los autores</w:t>
      </w:r>
      <w:r w:rsidR="001140AA" w:rsidRPr="007F4E74">
        <w:rPr>
          <w:vertAlign w:val="superscript"/>
        </w:rPr>
        <w:footnoteReference w:id="131"/>
      </w:r>
      <w:r w:rsidR="001140AA" w:rsidRPr="007F4E74">
        <w:t>.</w:t>
      </w:r>
      <w:r w:rsidR="001140AA" w:rsidRPr="007F4E74">
        <w:rPr>
          <w:lang w:val="es-ES" w:eastAsia="es-ES"/>
        </w:rPr>
        <w:t xml:space="preserve"> En </w:t>
      </w:r>
      <w:r w:rsidR="001140AA" w:rsidRPr="007F4E74">
        <w:t>consecuencia</w:t>
      </w:r>
      <w:r w:rsidR="001140AA" w:rsidRPr="007F4E74">
        <w:rPr>
          <w:lang w:val="es-ES" w:eastAsia="es-ES"/>
        </w:rPr>
        <w:t xml:space="preserve">, </w:t>
      </w:r>
      <w:r w:rsidR="005D45A0" w:rsidRPr="007F4E74">
        <w:t>ante indicios o alegaciones de que determinado hecho en contra de un defensor o defensora de derechos humanos pudo tener como móvil justamente su labor de defensa y promoción de derechos humanos, las autoridades investigadoras deben tomar en cuenta el contexto de los hechos y sus actividades para identificar los intereses que podrían haberse visto afectados en el ejercicio de las mismas, a efectos de establecer y agotar las líneas de investigación que tengan en cuenta su labor, determinar la hipótesis del delito e identificar a los autores</w:t>
      </w:r>
      <w:r w:rsidR="005D45A0" w:rsidRPr="007F4E74">
        <w:rPr>
          <w:vertAlign w:val="superscript"/>
        </w:rPr>
        <w:footnoteReference w:id="132"/>
      </w:r>
      <w:r w:rsidR="005D45A0" w:rsidRPr="007F4E74">
        <w:t>.</w:t>
      </w:r>
      <w:r w:rsidR="00861BA5" w:rsidRPr="007F4E74">
        <w:t xml:space="preserve"> </w:t>
      </w:r>
    </w:p>
    <w:p w14:paraId="3B339E08" w14:textId="77777777" w:rsidR="00861BA5" w:rsidRPr="00861BA5" w:rsidRDefault="00861BA5" w:rsidP="00861BA5">
      <w:pPr>
        <w:tabs>
          <w:tab w:val="left" w:pos="567"/>
        </w:tabs>
        <w:spacing w:line="240" w:lineRule="auto"/>
        <w:rPr>
          <w:lang w:val="es-ES"/>
        </w:rPr>
      </w:pPr>
    </w:p>
    <w:p w14:paraId="1E627610" w14:textId="222902E6" w:rsidR="00861BA5" w:rsidRPr="007F4E74" w:rsidRDefault="00861BA5" w:rsidP="00861BA5">
      <w:pPr>
        <w:numPr>
          <w:ilvl w:val="0"/>
          <w:numId w:val="4"/>
        </w:numPr>
        <w:tabs>
          <w:tab w:val="left" w:pos="567"/>
          <w:tab w:val="num" w:pos="1569"/>
          <w:tab w:val="num" w:pos="12305"/>
        </w:tabs>
        <w:spacing w:line="240" w:lineRule="auto"/>
        <w:ind w:left="0" w:firstLine="0"/>
      </w:pPr>
      <w:r w:rsidRPr="007F4E74">
        <w:rPr>
          <w:rFonts w:eastAsiaTheme="minorHAnsi" w:cs="ArialMT"/>
        </w:rPr>
        <w:t xml:space="preserve">En </w:t>
      </w:r>
      <w:r w:rsidRPr="007F4E74">
        <w:t>el caso de ataques dirigidos a mujeres defensoras de derechos humanos, el Tribunal considera que todas las medidas orientadas a mitigar los riesgos que corren deben ser adoptadas con perspectiva de género y con un enfoque interseccional, de tal manera que se les pueda brindar una protección integral a partir de considerar, comprender y dar un lugar central a las complejidades de las formas diferenciadas de violencia que afrontan las defensoras por su profesión y por su género</w:t>
      </w:r>
      <w:r w:rsidRPr="007F4E74">
        <w:rPr>
          <w:rStyle w:val="Refdenotaalpie"/>
        </w:rPr>
        <w:footnoteReference w:id="133"/>
      </w:r>
      <w:r w:rsidRPr="007F4E74">
        <w:t xml:space="preserve">. </w:t>
      </w:r>
      <w:r w:rsidR="007B5557" w:rsidRPr="007F4E74">
        <w:t xml:space="preserve">Entre estas complejidades se destacan los factores políticos, sociales, económicos, </w:t>
      </w:r>
      <w:r w:rsidR="007B5557" w:rsidRPr="007F4E74">
        <w:lastRenderedPageBreak/>
        <w:t>ambientales y sistémicos, incluidas las actitudes y prácticas patriarcales que producen y reproducen este tipo de violencia</w:t>
      </w:r>
      <w:r w:rsidR="007B5557" w:rsidRPr="007F4E74">
        <w:rPr>
          <w:rStyle w:val="Refdenotaalpie"/>
        </w:rPr>
        <w:footnoteReference w:id="134"/>
      </w:r>
      <w:r w:rsidR="007B5557" w:rsidRPr="007F4E74">
        <w:t xml:space="preserve">. </w:t>
      </w:r>
      <w:r w:rsidRPr="007F4E74">
        <w:t>Asimismo, este enfoque implica que sean las propias defensoras quienes definan sus priorida</w:t>
      </w:r>
      <w:r w:rsidR="00D51095" w:rsidRPr="007F4E74">
        <w:t>des y necesidades de protección</w:t>
      </w:r>
      <w:r w:rsidRPr="007F4E74">
        <w:t xml:space="preserve"> y</w:t>
      </w:r>
      <w:r w:rsidR="00D51095" w:rsidRPr="007F4E74">
        <w:t>,</w:t>
      </w:r>
      <w:r w:rsidRPr="007F4E74">
        <w:t xml:space="preserve"> en ese sentido, sean acompañadas desde una lógica de respeto a su voluntad</w:t>
      </w:r>
      <w:r w:rsidR="007B5557" w:rsidRPr="007F4E74">
        <w:rPr>
          <w:rStyle w:val="Refdenotaalpie"/>
        </w:rPr>
        <w:footnoteReference w:id="135"/>
      </w:r>
      <w:r w:rsidRPr="007F4E74">
        <w:t>.</w:t>
      </w:r>
      <w:r w:rsidR="00D16011">
        <w:t xml:space="preserve"> A</w:t>
      </w:r>
      <w:r w:rsidR="006A6914" w:rsidRPr="007F4E74">
        <w:t xml:space="preserve"> efectos de garantizar un efectivo</w:t>
      </w:r>
      <w:r w:rsidR="00501F55" w:rsidRPr="007F4E74">
        <w:t xml:space="preserve"> acceso a la justicia en pie de igualdad</w:t>
      </w:r>
      <w:r w:rsidR="006A6914" w:rsidRPr="007F4E74">
        <w:t xml:space="preserve"> para las mujeres defensoras de derechos humanos</w:t>
      </w:r>
      <w:r w:rsidR="00501F55" w:rsidRPr="007F4E74">
        <w:rPr>
          <w:rStyle w:val="Refdenotaalpie"/>
        </w:rPr>
        <w:footnoteReference w:id="136"/>
      </w:r>
      <w:r w:rsidR="00501F55" w:rsidRPr="007F4E74">
        <w:t xml:space="preserve">, </w:t>
      </w:r>
      <w:r w:rsidR="00CE652E" w:rsidRPr="007F4E74">
        <w:t xml:space="preserve">el Tribunal considera que </w:t>
      </w:r>
      <w:r w:rsidR="00501F55" w:rsidRPr="007F4E74">
        <w:t>los Estados deben garantizar (i) el acceso irrestricto y sin discriminación de la mujer a la justicia asegurando que l</w:t>
      </w:r>
      <w:r w:rsidR="0022279F" w:rsidRPr="007F4E74">
        <w:t>a</w:t>
      </w:r>
      <w:r w:rsidR="00501F55" w:rsidRPr="007F4E74">
        <w:t xml:space="preserve">s defensoras de derechos humanos reciban protección </w:t>
      </w:r>
      <w:r w:rsidR="00A86861" w:rsidRPr="007F4E74">
        <w:t xml:space="preserve">eficaz </w:t>
      </w:r>
      <w:r w:rsidR="00501F55" w:rsidRPr="007F4E74">
        <w:t>contra hostigamientos, amenazas, represalias y violencia</w:t>
      </w:r>
      <w:r w:rsidR="006A6914" w:rsidRPr="007F4E74">
        <w:t>;</w:t>
      </w:r>
      <w:r w:rsidR="00501F55" w:rsidRPr="007F4E74">
        <w:t xml:space="preserve"> (ii) un sistema de justicia que se ajuste a las normas internacionales de </w:t>
      </w:r>
      <w:r w:rsidR="0022279F" w:rsidRPr="007F4E74">
        <w:t xml:space="preserve">competencia, eficiencia, </w:t>
      </w:r>
      <w:r w:rsidR="00501F55" w:rsidRPr="007F4E74">
        <w:t>independencia, imparcialidad, integridad y credibilidad</w:t>
      </w:r>
      <w:r w:rsidR="0022279F" w:rsidRPr="007F4E74">
        <w:t>,</w:t>
      </w:r>
      <w:r w:rsidR="00501F55" w:rsidRPr="007F4E74">
        <w:t xml:space="preserve"> </w:t>
      </w:r>
      <w:r w:rsidR="00A86861" w:rsidRPr="007F4E74">
        <w:t>y asegure la investigación diligente y célere de hechos de violencia</w:t>
      </w:r>
      <w:r w:rsidR="00501F55" w:rsidRPr="007F4E74">
        <w:t>,</w:t>
      </w:r>
      <w:r w:rsidR="00D16011">
        <w:t xml:space="preserve"> así como</w:t>
      </w:r>
      <w:r w:rsidR="00501F55" w:rsidRPr="007F4E74">
        <w:t xml:space="preserve"> </w:t>
      </w:r>
      <w:r w:rsidR="0022279F" w:rsidRPr="007F4E74">
        <w:t>(iii) la aplicación, en el marco de este acceso a la justicia por parte de mujeres defensoras de derechos humanos, de mecanismos que garanticen que las normas probatorias, investigaciones y otros procedimientos probatorios jurídicos sean imparciales y no estén influenciados por prejuicios o estereotipos de género</w:t>
      </w:r>
      <w:r w:rsidR="0022279F" w:rsidRPr="007F4E74">
        <w:rPr>
          <w:rStyle w:val="Refdenotaalpie"/>
        </w:rPr>
        <w:footnoteReference w:id="137"/>
      </w:r>
      <w:r w:rsidR="0022279F" w:rsidRPr="007F4E74">
        <w:t>.</w:t>
      </w:r>
    </w:p>
    <w:p w14:paraId="724E2DAC" w14:textId="07C5DBBE" w:rsidR="00F5500D" w:rsidRDefault="00F5500D" w:rsidP="004C50FC">
      <w:pPr>
        <w:pStyle w:val="Ttulo3"/>
        <w:rPr>
          <w:lang w:val="es-ES"/>
        </w:rPr>
      </w:pPr>
      <w:r w:rsidRPr="001610BC">
        <w:rPr>
          <w:lang w:val="es-ES"/>
        </w:rPr>
        <w:tab/>
      </w:r>
      <w:bookmarkStart w:id="67" w:name="_Toc93400257"/>
      <w:r w:rsidRPr="001610BC">
        <w:rPr>
          <w:lang w:val="es-ES"/>
        </w:rPr>
        <w:t xml:space="preserve">b.1 </w:t>
      </w:r>
      <w:r w:rsidR="002D6028" w:rsidRPr="002D6028">
        <w:rPr>
          <w:lang w:val="es-ES"/>
        </w:rPr>
        <w:t>Debida diligencia en la investigación y esclarecimiento de los hechos</w:t>
      </w:r>
      <w:bookmarkEnd w:id="67"/>
    </w:p>
    <w:p w14:paraId="06444231" w14:textId="72B7238C" w:rsidR="00B6577C" w:rsidRPr="008F75C2" w:rsidRDefault="00B6577C" w:rsidP="00B6577C">
      <w:pPr>
        <w:numPr>
          <w:ilvl w:val="0"/>
          <w:numId w:val="4"/>
        </w:numPr>
        <w:tabs>
          <w:tab w:val="left" w:pos="567"/>
          <w:tab w:val="num" w:pos="1569"/>
          <w:tab w:val="num" w:pos="12305"/>
        </w:tabs>
        <w:spacing w:line="240" w:lineRule="auto"/>
        <w:ind w:left="0" w:firstLine="0"/>
        <w:rPr>
          <w:lang w:val="es-ES"/>
        </w:rPr>
      </w:pPr>
      <w:r>
        <w:rPr>
          <w:lang w:val="es-ES"/>
        </w:rPr>
        <w:t xml:space="preserve">Con carácter preliminar, </w:t>
      </w:r>
      <w:r>
        <w:t>l</w:t>
      </w:r>
      <w:r w:rsidRPr="00B804A0">
        <w:t xml:space="preserve">a Corte recuerda que corresponde a los tribunales </w:t>
      </w:r>
      <w:r w:rsidR="00D624F2">
        <w:t>internos</w:t>
      </w:r>
      <w:r w:rsidRPr="00B804A0">
        <w:t xml:space="preserve"> el examen de los hechos y las </w:t>
      </w:r>
      <w:r w:rsidRPr="00B804A0">
        <w:rPr>
          <w:rFonts w:cs="Arial"/>
        </w:rPr>
        <w:t>pruebas</w:t>
      </w:r>
      <w:r w:rsidRPr="00B804A0">
        <w:t xml:space="preserve"> </w:t>
      </w:r>
      <w:r w:rsidRPr="000A6B13">
        <w:t>presentadas</w:t>
      </w:r>
      <w:r w:rsidRPr="00B804A0">
        <w:t xml:space="preserve"> en las causas particulares.</w:t>
      </w:r>
      <w:r w:rsidR="00E87467">
        <w:t xml:space="preserve"> </w:t>
      </w:r>
      <w:r w:rsidRPr="00B804A0">
        <w:t xml:space="preserve">No compete a este Tribunal sustituir a la jurisdicción interna estableciendo las modalidades específicas de investigación y juzgamiento en un caso </w:t>
      </w:r>
      <w:r w:rsidRPr="001854B4">
        <w:rPr>
          <w:rFonts w:cs="Arial"/>
        </w:rPr>
        <w:t>concreto</w:t>
      </w:r>
      <w:r w:rsidRPr="00B804A0">
        <w:t xml:space="preserve"> para obtener un mejor o más eficaz resultado, sino constatar si en los pasos efectivamente dados a nivel interno se violaron o no obligaciones internacionales del Estado derivadas de los artículos 8 y 25 de la Convención </w:t>
      </w:r>
      <w:r w:rsidRPr="00B804A0">
        <w:rPr>
          <w:rFonts w:cs="Arial"/>
        </w:rPr>
        <w:t>Americana</w:t>
      </w:r>
      <w:r>
        <w:rPr>
          <w:rStyle w:val="Refdenotaalpie"/>
          <w:rFonts w:cs="Arial"/>
        </w:rPr>
        <w:footnoteReference w:id="138"/>
      </w:r>
      <w:r>
        <w:rPr>
          <w:rFonts w:cs="Arial"/>
        </w:rPr>
        <w:t>.</w:t>
      </w:r>
    </w:p>
    <w:p w14:paraId="03AC1384" w14:textId="77777777" w:rsidR="00B6577C" w:rsidRPr="00B804A0" w:rsidRDefault="00B6577C" w:rsidP="00B6577C">
      <w:pPr>
        <w:tabs>
          <w:tab w:val="left" w:pos="567"/>
          <w:tab w:val="num" w:pos="12305"/>
        </w:tabs>
        <w:spacing w:line="240" w:lineRule="auto"/>
        <w:rPr>
          <w:lang w:val="es-ES"/>
        </w:rPr>
      </w:pPr>
    </w:p>
    <w:p w14:paraId="7B756DE4" w14:textId="6FA1533E" w:rsidR="00B6577C" w:rsidRPr="0095129F" w:rsidRDefault="00B6577C" w:rsidP="00B6577C">
      <w:pPr>
        <w:numPr>
          <w:ilvl w:val="0"/>
          <w:numId w:val="4"/>
        </w:numPr>
        <w:tabs>
          <w:tab w:val="left" w:pos="567"/>
          <w:tab w:val="num" w:pos="1569"/>
          <w:tab w:val="num" w:pos="12305"/>
        </w:tabs>
        <w:spacing w:line="240" w:lineRule="auto"/>
        <w:ind w:left="0" w:firstLine="0"/>
        <w:rPr>
          <w:rFonts w:eastAsiaTheme="minorHAnsi" w:cs="Arial"/>
          <w:lang w:eastAsia="en-US"/>
        </w:rPr>
      </w:pPr>
      <w:r>
        <w:rPr>
          <w:rFonts w:cs="Arial"/>
        </w:rPr>
        <w:t>Dicho lo anterior, el Tribunal recuerda que, e</w:t>
      </w:r>
      <w:r w:rsidRPr="009D5EA7">
        <w:rPr>
          <w:rFonts w:cs="Arial"/>
        </w:rPr>
        <w:t>n la investigación de la muerte violenta de una persona, es crucial la importancia que tienen las primeras etapas de la investigación y el impacto negativo que las omisiones e irregularidades en tales etapas puede tener en las perspectivas reales y efectivas de esclarecer el hecho</w:t>
      </w:r>
      <w:r w:rsidRPr="009D5EA7">
        <w:rPr>
          <w:rStyle w:val="Refdenotaalpie"/>
          <w:rFonts w:cs="Arial"/>
        </w:rPr>
        <w:footnoteReference w:id="139"/>
      </w:r>
      <w:r>
        <w:rPr>
          <w:rFonts w:cs="Arial"/>
        </w:rPr>
        <w:t>.</w:t>
      </w:r>
    </w:p>
    <w:p w14:paraId="1B03666A" w14:textId="77777777" w:rsidR="0095129F" w:rsidRPr="0095129F" w:rsidRDefault="0095129F" w:rsidP="0095129F">
      <w:pPr>
        <w:tabs>
          <w:tab w:val="left" w:pos="567"/>
        </w:tabs>
        <w:spacing w:line="240" w:lineRule="auto"/>
        <w:rPr>
          <w:rFonts w:eastAsiaTheme="minorHAnsi" w:cs="Arial"/>
          <w:lang w:eastAsia="en-US"/>
        </w:rPr>
      </w:pPr>
    </w:p>
    <w:p w14:paraId="3FBB3978" w14:textId="1DF80892" w:rsidR="0095129F" w:rsidRPr="003C4E1B" w:rsidRDefault="0095129F" w:rsidP="0095129F">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rPr>
      </w:pPr>
      <w:r w:rsidRPr="003C4E1B">
        <w:rPr>
          <w:lang w:val="es-ES"/>
        </w:rPr>
        <w:t xml:space="preserve">Además, </w:t>
      </w:r>
      <w:r w:rsidR="000B0211">
        <w:rPr>
          <w:lang w:val="es-ES"/>
        </w:rPr>
        <w:t>la Corte</w:t>
      </w:r>
      <w:r w:rsidRPr="003C4E1B">
        <w:rPr>
          <w:lang w:val="es-ES"/>
        </w:rPr>
        <w:t xml:space="preserve"> observa que, tal y como fue señalado por la perita Buitrago y confirmado por la perita Camargo, el Estado mexicano tenía una obligación doblemente reforzada de llevar a cabo la investigación sobre la muerte de la </w:t>
      </w:r>
      <w:r w:rsidR="001F344D">
        <w:rPr>
          <w:lang w:val="es-ES"/>
        </w:rPr>
        <w:t>señora Digna Ochoa</w:t>
      </w:r>
      <w:r w:rsidRPr="003C4E1B">
        <w:rPr>
          <w:lang w:val="es-ES"/>
        </w:rPr>
        <w:t xml:space="preserve"> con debida diligencia, en virtud de su condición de mujer y defensora de derechos humanos</w:t>
      </w:r>
      <w:r w:rsidRPr="003C4E1B">
        <w:rPr>
          <w:rStyle w:val="Refdenotaalpie"/>
          <w:lang w:val="es-ES"/>
        </w:rPr>
        <w:footnoteReference w:id="140"/>
      </w:r>
      <w:r w:rsidRPr="003C4E1B">
        <w:rPr>
          <w:lang w:val="es-ES"/>
        </w:rPr>
        <w:t xml:space="preserve"> y, por tanto, </w:t>
      </w:r>
      <w:r w:rsidRPr="003C4E1B">
        <w:rPr>
          <w:rFonts w:eastAsiaTheme="minorHAnsi" w:cs="Arial"/>
        </w:rPr>
        <w:t xml:space="preserve">la investigación debía orientarse a documentar su actividad como defensora, el rol que jugaba en la comunidad y su entorno, así como la agenda que desarrollaba y la zona en que desempeñaba sus labores. De igual forma, el Tribunal considera necesario emplear herramientas metodológicas de asociación de casos </w:t>
      </w:r>
      <w:r w:rsidRPr="003C4E1B">
        <w:rPr>
          <w:rFonts w:eastAsiaTheme="minorHAnsi" w:cs="Arial"/>
        </w:rPr>
        <w:lastRenderedPageBreak/>
        <w:t xml:space="preserve">para identificar patrones de sistematicidad y aplicar protocolos de investigación de muertes violentas por razones de género, en </w:t>
      </w:r>
      <w:r w:rsidRPr="003C4E1B">
        <w:rPr>
          <w:rFonts w:eastAsiaTheme="minorHAnsi" w:cs="Arial"/>
          <w:lang w:eastAsia="en-US"/>
        </w:rPr>
        <w:t>particular</w:t>
      </w:r>
      <w:r w:rsidRPr="003C4E1B">
        <w:rPr>
          <w:rFonts w:eastAsiaTheme="minorHAnsi" w:cs="Arial"/>
        </w:rPr>
        <w:t>, aunque no haya sospecha de criminalidad y se maneje la hipótesis del suicidio</w:t>
      </w:r>
      <w:r w:rsidRPr="003C4E1B">
        <w:rPr>
          <w:rStyle w:val="Refdenotaalpie"/>
          <w:rFonts w:eastAsiaTheme="minorHAnsi" w:cs="Arial"/>
          <w:lang w:eastAsia="en-US"/>
        </w:rPr>
        <w:footnoteReference w:id="141"/>
      </w:r>
      <w:r w:rsidRPr="003C4E1B">
        <w:rPr>
          <w:rFonts w:eastAsiaTheme="minorHAnsi" w:cs="Arial"/>
        </w:rPr>
        <w:t xml:space="preserve">, tal y como sucedió en el presente caso. A este respecto, el Tribunal destaca lo señalado por el “Modelo de protocolo latinoamericano de investigación de las muertes violentas de mujeres por razones de género (femicidio/feminicidio)” elaborado por </w:t>
      </w:r>
      <w:r w:rsidRPr="003C4E1B">
        <w:rPr>
          <w:rFonts w:cs="Arial"/>
        </w:rPr>
        <w:t xml:space="preserve">OACNUDH y ONU Mujeres, </w:t>
      </w:r>
      <w:r w:rsidRPr="003C4E1B">
        <w:rPr>
          <w:rFonts w:eastAsiaTheme="minorHAnsi" w:cs="Arial"/>
        </w:rPr>
        <w:t>el cual resalta que muchos suicidios son consecuencia de la violencia previa que han sufrido las mujeres y que, en algunos casos, se simulan estos “suicid</w:t>
      </w:r>
      <w:r w:rsidR="008440D0">
        <w:rPr>
          <w:rFonts w:eastAsiaTheme="minorHAnsi" w:cs="Arial"/>
        </w:rPr>
        <w:t>i</w:t>
      </w:r>
      <w:r w:rsidRPr="003C4E1B">
        <w:rPr>
          <w:rFonts w:eastAsiaTheme="minorHAnsi" w:cs="Arial"/>
        </w:rPr>
        <w:t>os” para “ocultar un homicidio por parte de su autor, presentando la muerte de la mujer como un suicidio o muerte accidental”</w:t>
      </w:r>
      <w:r w:rsidRPr="003C4E1B">
        <w:rPr>
          <w:rStyle w:val="Refdenotaalpie"/>
          <w:rFonts w:eastAsiaTheme="minorHAnsi" w:cs="Arial"/>
        </w:rPr>
        <w:footnoteReference w:id="142"/>
      </w:r>
      <w:r w:rsidRPr="003C4E1B">
        <w:rPr>
          <w:rFonts w:eastAsiaTheme="minorHAnsi" w:cs="Arial"/>
        </w:rPr>
        <w:t xml:space="preserve">. </w:t>
      </w:r>
    </w:p>
    <w:p w14:paraId="05F7F86C" w14:textId="6604AA79" w:rsidR="000A6B13" w:rsidRPr="001854B4" w:rsidRDefault="001854B4" w:rsidP="003B7FF9">
      <w:pPr>
        <w:pStyle w:val="Ttulo4"/>
        <w:numPr>
          <w:ilvl w:val="0"/>
          <w:numId w:val="0"/>
        </w:numPr>
        <w:ind w:left="2127" w:hanging="360"/>
      </w:pPr>
      <w:r>
        <w:rPr>
          <w:lang w:val="es-ES"/>
        </w:rPr>
        <w:t xml:space="preserve">a) </w:t>
      </w:r>
      <w:r w:rsidR="000A6B13" w:rsidRPr="001854B4">
        <w:rPr>
          <w:lang w:val="es-ES"/>
        </w:rPr>
        <w:t>Deficiencias</w:t>
      </w:r>
      <w:r w:rsidR="000A6B13" w:rsidRPr="001854B4">
        <w:t xml:space="preserve"> </w:t>
      </w:r>
      <w:r w:rsidR="000A6B13" w:rsidRPr="001854B4">
        <w:rPr>
          <w:lang w:val="es-ES"/>
        </w:rPr>
        <w:t>en</w:t>
      </w:r>
      <w:r w:rsidR="000A6B13" w:rsidRPr="001854B4">
        <w:t xml:space="preserve"> la recolección de prueba</w:t>
      </w:r>
    </w:p>
    <w:p w14:paraId="0CE4E9D0" w14:textId="6A71D74E" w:rsidR="00453FF6" w:rsidRDefault="00470E54" w:rsidP="00453FF6">
      <w:pPr>
        <w:numPr>
          <w:ilvl w:val="0"/>
          <w:numId w:val="4"/>
        </w:numPr>
        <w:tabs>
          <w:tab w:val="left" w:pos="567"/>
          <w:tab w:val="num" w:pos="1569"/>
          <w:tab w:val="num" w:pos="12305"/>
        </w:tabs>
        <w:spacing w:line="240" w:lineRule="auto"/>
        <w:ind w:left="0" w:firstLine="0"/>
        <w:rPr>
          <w:rFonts w:eastAsiaTheme="minorHAnsi" w:cs="Arial"/>
          <w:lang w:eastAsia="en-US"/>
        </w:rPr>
      </w:pPr>
      <w:r w:rsidRPr="002D6028">
        <w:rPr>
          <w:rFonts w:eastAsiaTheme="minorHAnsi" w:cs="Arial"/>
          <w:lang w:eastAsia="en-US"/>
        </w:rPr>
        <w:t xml:space="preserve">En lo que respecta al presente caso, el Tribunal advierte en primer </w:t>
      </w:r>
      <w:r w:rsidR="00312DD4" w:rsidRPr="002D6028">
        <w:rPr>
          <w:rFonts w:eastAsiaTheme="minorHAnsi" w:cs="Arial"/>
          <w:lang w:eastAsia="en-US"/>
        </w:rPr>
        <w:t>lugar</w:t>
      </w:r>
      <w:r w:rsidRPr="002D6028">
        <w:rPr>
          <w:rFonts w:eastAsiaTheme="minorHAnsi" w:cs="Arial"/>
          <w:lang w:eastAsia="en-US"/>
        </w:rPr>
        <w:t xml:space="preserve"> que, </w:t>
      </w:r>
      <w:r w:rsidRPr="002D6028">
        <w:rPr>
          <w:rFonts w:eastAsiaTheme="minorHAnsi" w:cs="Arial"/>
          <w:lang w:val="es-CO" w:eastAsia="en-US"/>
        </w:rPr>
        <w:t xml:space="preserve">tal y como así lo reconoció el Estado, hubo numerosas falencias </w:t>
      </w:r>
      <w:r w:rsidRPr="002D6028">
        <w:rPr>
          <w:rFonts w:eastAsiaTheme="minorHAnsi" w:cs="Arial"/>
          <w:lang w:eastAsia="en-US"/>
        </w:rPr>
        <w:t xml:space="preserve">en el manejo de la escena del crimen y especialmente, </w:t>
      </w:r>
      <w:r w:rsidR="002D6028" w:rsidRPr="002D6028">
        <w:rPr>
          <w:rFonts w:eastAsiaTheme="minorHAnsi" w:cs="Arial"/>
          <w:lang w:eastAsia="en-US"/>
        </w:rPr>
        <w:t>en la</w:t>
      </w:r>
      <w:r w:rsidRPr="002D6028">
        <w:rPr>
          <w:rFonts w:eastAsiaTheme="minorHAnsi" w:cs="Arial"/>
          <w:lang w:eastAsia="en-US"/>
        </w:rPr>
        <w:t xml:space="preserve"> </w:t>
      </w:r>
      <w:r w:rsidR="00F948D9">
        <w:rPr>
          <w:rFonts w:eastAsiaTheme="minorHAnsi" w:cs="Arial"/>
          <w:lang w:eastAsia="en-US"/>
        </w:rPr>
        <w:t>documentación</w:t>
      </w:r>
      <w:r w:rsidRPr="002D6028">
        <w:rPr>
          <w:rFonts w:eastAsiaTheme="minorHAnsi" w:cs="Arial"/>
          <w:lang w:eastAsia="en-US"/>
        </w:rPr>
        <w:t xml:space="preserve"> de esta</w:t>
      </w:r>
      <w:r w:rsidR="00453FF6">
        <w:rPr>
          <w:rFonts w:eastAsiaTheme="minorHAnsi" w:cs="Arial"/>
          <w:lang w:eastAsia="en-US"/>
        </w:rPr>
        <w:t xml:space="preserve">, destacando </w:t>
      </w:r>
      <w:r w:rsidR="00D624F2" w:rsidRPr="00470E54">
        <w:rPr>
          <w:rFonts w:eastAsiaTheme="minorHAnsi" w:cs="Arial"/>
          <w:lang w:eastAsia="en-US"/>
        </w:rPr>
        <w:t xml:space="preserve">importantes </w:t>
      </w:r>
      <w:r w:rsidR="00360221">
        <w:rPr>
          <w:rFonts w:eastAsiaTheme="minorHAnsi" w:cs="Arial"/>
          <w:lang w:eastAsia="en-US"/>
        </w:rPr>
        <w:t>errores</w:t>
      </w:r>
      <w:r w:rsidR="00453FF6">
        <w:rPr>
          <w:rFonts w:eastAsiaTheme="minorHAnsi" w:cs="Arial"/>
          <w:lang w:eastAsia="en-US"/>
        </w:rPr>
        <w:t xml:space="preserve"> ocurrid</w:t>
      </w:r>
      <w:r w:rsidR="00360221">
        <w:rPr>
          <w:rFonts w:eastAsiaTheme="minorHAnsi" w:cs="Arial"/>
          <w:lang w:eastAsia="en-US"/>
        </w:rPr>
        <w:t>o</w:t>
      </w:r>
      <w:r w:rsidR="00453FF6">
        <w:rPr>
          <w:rFonts w:eastAsiaTheme="minorHAnsi" w:cs="Arial"/>
          <w:lang w:eastAsia="en-US"/>
        </w:rPr>
        <w:t>s en la</w:t>
      </w:r>
      <w:r w:rsidR="00453FF6" w:rsidRPr="00470E54">
        <w:rPr>
          <w:rFonts w:eastAsiaTheme="minorHAnsi" w:cs="Arial"/>
          <w:lang w:eastAsia="en-US"/>
        </w:rPr>
        <w:t xml:space="preserve"> descripción de hallazgos</w:t>
      </w:r>
      <w:r w:rsidR="00360221">
        <w:rPr>
          <w:rFonts w:eastAsiaTheme="minorHAnsi" w:cs="Arial"/>
          <w:lang w:eastAsia="en-US"/>
        </w:rPr>
        <w:t>,</w:t>
      </w:r>
      <w:r w:rsidR="00453FF6" w:rsidRPr="00470E54">
        <w:rPr>
          <w:rFonts w:eastAsiaTheme="minorHAnsi" w:cs="Arial"/>
          <w:lang w:eastAsia="en-US"/>
        </w:rPr>
        <w:t xml:space="preserve"> tanto en el cuerpo </w:t>
      </w:r>
      <w:r w:rsidR="00100421">
        <w:rPr>
          <w:rFonts w:eastAsiaTheme="minorHAnsi" w:cs="Arial"/>
          <w:lang w:eastAsia="en-US"/>
        </w:rPr>
        <w:t xml:space="preserve">como </w:t>
      </w:r>
      <w:r w:rsidR="00453FF6" w:rsidRPr="00470E54">
        <w:rPr>
          <w:rFonts w:eastAsiaTheme="minorHAnsi" w:cs="Arial"/>
          <w:lang w:eastAsia="en-US"/>
        </w:rPr>
        <w:t xml:space="preserve">en el lugar de los </w:t>
      </w:r>
      <w:r w:rsidR="00453FF6" w:rsidRPr="00470E54">
        <w:rPr>
          <w:rFonts w:eastAsia="Calibri"/>
          <w:lang w:val="es-CO"/>
        </w:rPr>
        <w:t>hechos</w:t>
      </w:r>
      <w:r w:rsidR="00453FF6" w:rsidRPr="00470E54">
        <w:rPr>
          <w:rFonts w:eastAsiaTheme="minorHAnsi" w:cs="Arial"/>
          <w:lang w:eastAsia="en-US"/>
        </w:rPr>
        <w:t xml:space="preserve">, </w:t>
      </w:r>
      <w:r w:rsidR="00453FF6" w:rsidRPr="00470E54">
        <w:rPr>
          <w:lang w:val="es-ES"/>
        </w:rPr>
        <w:t>en</w:t>
      </w:r>
      <w:r w:rsidR="00453FF6" w:rsidRPr="00470E54">
        <w:rPr>
          <w:rFonts w:eastAsiaTheme="minorHAnsi" w:cs="Arial"/>
          <w:lang w:eastAsia="en-US"/>
        </w:rPr>
        <w:t xml:space="preserve"> la realización </w:t>
      </w:r>
      <w:r w:rsidR="00453FF6">
        <w:rPr>
          <w:rFonts w:eastAsiaTheme="minorHAnsi" w:cs="Arial"/>
          <w:lang w:eastAsia="en-US"/>
        </w:rPr>
        <w:t xml:space="preserve">de los exámenes </w:t>
      </w:r>
      <w:r w:rsidR="00453FF6" w:rsidRPr="00470E54">
        <w:rPr>
          <w:rFonts w:eastAsiaTheme="minorHAnsi" w:cs="Arial"/>
          <w:lang w:eastAsia="en-US"/>
        </w:rPr>
        <w:t>externo</w:t>
      </w:r>
      <w:r w:rsidR="00453FF6">
        <w:rPr>
          <w:rFonts w:eastAsiaTheme="minorHAnsi" w:cs="Arial"/>
          <w:lang w:eastAsia="en-US"/>
        </w:rPr>
        <w:t xml:space="preserve"> e internos</w:t>
      </w:r>
      <w:r w:rsidR="00453FF6" w:rsidRPr="00470E54">
        <w:rPr>
          <w:rFonts w:eastAsiaTheme="minorHAnsi" w:cs="Arial"/>
          <w:lang w:eastAsia="en-US"/>
        </w:rPr>
        <w:t xml:space="preserve">, </w:t>
      </w:r>
      <w:r w:rsidR="00453FF6">
        <w:rPr>
          <w:rFonts w:eastAsiaTheme="minorHAnsi" w:cs="Arial"/>
          <w:lang w:eastAsia="en-US"/>
        </w:rPr>
        <w:t xml:space="preserve">así como en </w:t>
      </w:r>
      <w:r w:rsidR="00453FF6" w:rsidRPr="00470E54">
        <w:rPr>
          <w:rFonts w:eastAsiaTheme="minorHAnsi" w:cs="Arial"/>
          <w:lang w:eastAsia="en-US"/>
        </w:rPr>
        <w:t xml:space="preserve">la necropsia médico legal. </w:t>
      </w:r>
    </w:p>
    <w:p w14:paraId="73DFE950" w14:textId="77777777" w:rsidR="00F948D9" w:rsidRDefault="00F948D9" w:rsidP="00F948D9">
      <w:pPr>
        <w:tabs>
          <w:tab w:val="left" w:pos="567"/>
          <w:tab w:val="num" w:pos="12305"/>
        </w:tabs>
        <w:spacing w:line="240" w:lineRule="auto"/>
        <w:rPr>
          <w:rFonts w:eastAsiaTheme="minorHAnsi" w:cs="Arial"/>
          <w:lang w:eastAsia="en-US"/>
        </w:rPr>
      </w:pPr>
    </w:p>
    <w:p w14:paraId="40BB134C" w14:textId="1DD11061" w:rsidR="002E43D8" w:rsidRDefault="00D624F2" w:rsidP="002E43D8">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MT"/>
          <w:lang w:eastAsia="en-US"/>
        </w:rPr>
      </w:pPr>
      <w:r>
        <w:rPr>
          <w:rFonts w:eastAsiaTheme="minorHAnsi" w:cs="Arial"/>
          <w:lang w:eastAsia="en-US"/>
        </w:rPr>
        <w:t>Así</w:t>
      </w:r>
      <w:r w:rsidR="002E43D8">
        <w:rPr>
          <w:rFonts w:eastAsiaTheme="minorHAnsi" w:cs="Arial"/>
          <w:lang w:eastAsia="en-US"/>
        </w:rPr>
        <w:t xml:space="preserve">, en íntima relación con la preservación de la escena del </w:t>
      </w:r>
      <w:r w:rsidR="00386C7B">
        <w:rPr>
          <w:rFonts w:eastAsiaTheme="minorHAnsi" w:cs="Arial"/>
          <w:lang w:eastAsia="en-US"/>
        </w:rPr>
        <w:t>crimen</w:t>
      </w:r>
      <w:r w:rsidR="002E43D8">
        <w:rPr>
          <w:rFonts w:eastAsiaTheme="minorHAnsi" w:cs="Arial"/>
          <w:lang w:eastAsia="en-US"/>
        </w:rPr>
        <w:t>,</w:t>
      </w:r>
      <w:r w:rsidR="002E43D8" w:rsidRPr="001A6002">
        <w:rPr>
          <w:rFonts w:eastAsiaTheme="minorHAnsi" w:cs="Arial"/>
          <w:lang w:eastAsia="en-US"/>
        </w:rPr>
        <w:t xml:space="preserve"> no consta en el expediente que se hayan identificado a todas las personas que tuvieron acceso al cadáver de manera previa a la llegada de los equipos de investigación, todo ello con el objetivo de poder determinar si la escena del </w:t>
      </w:r>
      <w:r w:rsidR="00312DD4" w:rsidRPr="001A6002">
        <w:rPr>
          <w:rFonts w:eastAsiaTheme="minorHAnsi" w:cs="Arial"/>
          <w:lang w:eastAsia="en-US"/>
        </w:rPr>
        <w:t>crimen</w:t>
      </w:r>
      <w:r w:rsidR="002E43D8" w:rsidRPr="001A6002">
        <w:rPr>
          <w:rFonts w:eastAsiaTheme="minorHAnsi" w:cs="Arial"/>
          <w:lang w:eastAsia="en-US"/>
        </w:rPr>
        <w:t xml:space="preserve"> fue contaminada</w:t>
      </w:r>
      <w:r w:rsidR="002E43D8">
        <w:rPr>
          <w:rStyle w:val="Refdenotaalpie"/>
          <w:rFonts w:eastAsiaTheme="minorHAnsi" w:cs="Arial"/>
          <w:lang w:eastAsia="en-US"/>
        </w:rPr>
        <w:footnoteReference w:id="143"/>
      </w:r>
      <w:r w:rsidR="002E43D8" w:rsidRPr="001A6002">
        <w:rPr>
          <w:rFonts w:eastAsiaTheme="minorHAnsi" w:cs="Arial"/>
          <w:lang w:eastAsia="en-US"/>
        </w:rPr>
        <w:t xml:space="preserve">. En ese sentido, el perito José Luis Prieto destacó que la primera medida a adoptar en el examen de </w:t>
      </w:r>
      <w:r>
        <w:rPr>
          <w:rFonts w:eastAsiaTheme="minorHAnsi" w:cs="Arial"/>
          <w:lang w:eastAsia="en-US"/>
        </w:rPr>
        <w:t>una</w:t>
      </w:r>
      <w:r w:rsidR="002E43D8" w:rsidRPr="001A6002">
        <w:rPr>
          <w:rFonts w:eastAsiaTheme="minorHAnsi" w:cs="Arial"/>
          <w:lang w:eastAsia="en-US"/>
        </w:rPr>
        <w:t xml:space="preserve"> escena</w:t>
      </w:r>
      <w:r>
        <w:rPr>
          <w:rFonts w:eastAsiaTheme="minorHAnsi" w:cs="Arial"/>
          <w:lang w:eastAsia="en-US"/>
        </w:rPr>
        <w:t xml:space="preserve"> de un crimen</w:t>
      </w:r>
      <w:r w:rsidR="002E43D8" w:rsidRPr="001A6002">
        <w:rPr>
          <w:rFonts w:eastAsiaTheme="minorHAnsi" w:cs="Arial"/>
          <w:lang w:eastAsia="en-US"/>
        </w:rPr>
        <w:t xml:space="preserve"> es “limitación de acceso a la misma para toda aquella persona que no sea investigador o experto a cargo caso, considerándose éste el primer eslabón en la generación de la preceptiva cadena de custodia, así como, en su caso, identificar a las personas que tuvieron acceso al cadáver previamente a la llegada de los equipos de investigación”</w:t>
      </w:r>
      <w:r w:rsidR="002E43D8">
        <w:rPr>
          <w:rStyle w:val="Refdenotaalpie"/>
          <w:rFonts w:eastAsiaTheme="minorHAnsi" w:cs="Arial"/>
          <w:lang w:eastAsia="en-US"/>
        </w:rPr>
        <w:footnoteReference w:id="144"/>
      </w:r>
      <w:r w:rsidR="002E43D8" w:rsidRPr="001A6002">
        <w:rPr>
          <w:rFonts w:eastAsiaTheme="minorHAnsi" w:cs="Arial"/>
          <w:lang w:eastAsia="en-US"/>
        </w:rPr>
        <w:t xml:space="preserve">. A este respecto, el perito llamó la </w:t>
      </w:r>
      <w:r w:rsidR="002E43D8" w:rsidRPr="001A6002">
        <w:rPr>
          <w:lang w:val="es-ES"/>
        </w:rPr>
        <w:t>atención</w:t>
      </w:r>
      <w:r w:rsidR="002E43D8" w:rsidRPr="001A6002">
        <w:rPr>
          <w:rFonts w:eastAsiaTheme="minorHAnsi" w:cs="Arial"/>
          <w:lang w:eastAsia="en-US"/>
        </w:rPr>
        <w:t xml:space="preserve"> sobre el </w:t>
      </w:r>
      <w:r w:rsidR="00312DD4" w:rsidRPr="001A6002">
        <w:rPr>
          <w:rFonts w:eastAsiaTheme="minorHAnsi" w:cs="Arial"/>
          <w:lang w:eastAsia="en-US"/>
        </w:rPr>
        <w:t>hecho de</w:t>
      </w:r>
      <w:r w:rsidR="002E43D8" w:rsidRPr="001A6002">
        <w:rPr>
          <w:rFonts w:eastAsiaTheme="minorHAnsi" w:cs="Arial"/>
          <w:lang w:eastAsia="en-US"/>
        </w:rPr>
        <w:t xml:space="preserve"> que al menos cuatro personas tuvieron acceso al cadáver previo a la llegada de los investigadores, sin que tales incidencias </w:t>
      </w:r>
      <w:r>
        <w:rPr>
          <w:rFonts w:eastAsiaTheme="minorHAnsi" w:cs="Arial"/>
          <w:lang w:eastAsia="en-US"/>
        </w:rPr>
        <w:t>aparecieran</w:t>
      </w:r>
      <w:r w:rsidR="002E43D8" w:rsidRPr="001A6002">
        <w:rPr>
          <w:rFonts w:eastAsiaTheme="minorHAnsi" w:cs="Arial"/>
          <w:lang w:eastAsia="en-US"/>
        </w:rPr>
        <w:t xml:space="preserve"> suficientemente investigadas</w:t>
      </w:r>
      <w:r w:rsidR="002E43D8" w:rsidRPr="001610BC">
        <w:rPr>
          <w:rStyle w:val="Refdenotaalpie"/>
          <w:rFonts w:eastAsiaTheme="minorHAnsi" w:cs="Arial"/>
          <w:lang w:eastAsia="en-US"/>
        </w:rPr>
        <w:footnoteReference w:id="145"/>
      </w:r>
      <w:r w:rsidR="002E43D8" w:rsidRPr="001A6002">
        <w:rPr>
          <w:rFonts w:eastAsiaTheme="minorHAnsi" w:cs="Arial"/>
          <w:lang w:eastAsia="en-US"/>
        </w:rPr>
        <w:t xml:space="preserve">. Sobre el mismo punto, la perita Buitrago señaló ante la Corte que </w:t>
      </w:r>
      <w:r w:rsidR="002E43D8" w:rsidRPr="001A6002">
        <w:rPr>
          <w:rFonts w:eastAsiaTheme="minorHAnsi" w:cs="ArialMT"/>
          <w:lang w:eastAsia="en-US"/>
        </w:rPr>
        <w:t>“</w:t>
      </w:r>
      <w:r w:rsidR="002E43D8" w:rsidRPr="001A6002">
        <w:rPr>
          <w:rFonts w:eastAsiaTheme="minorHAnsi" w:cs="Arial"/>
          <w:lang w:eastAsia="en-US"/>
        </w:rPr>
        <w:t xml:space="preserve">la presencia de varias personas en la escena debería de haber llevado a la convicción </w:t>
      </w:r>
      <w:r w:rsidR="002E43D8" w:rsidRPr="001A6002">
        <w:rPr>
          <w:rFonts w:eastAsiaTheme="minorHAnsi" w:cs="ArialMT"/>
          <w:lang w:eastAsia="en-US"/>
        </w:rPr>
        <w:t>de la contaminación de la escena</w:t>
      </w:r>
      <w:r w:rsidR="0042502D">
        <w:rPr>
          <w:rFonts w:eastAsiaTheme="minorHAnsi" w:cs="ArialMT"/>
          <w:lang w:eastAsia="en-US"/>
        </w:rPr>
        <w:t>”</w:t>
      </w:r>
      <w:r w:rsidR="002E43D8" w:rsidRPr="001610BC">
        <w:rPr>
          <w:rStyle w:val="Refdenotaalpie"/>
          <w:rFonts w:eastAsiaTheme="minorHAnsi" w:cs="ArialMT"/>
          <w:lang w:eastAsia="en-US"/>
        </w:rPr>
        <w:footnoteReference w:id="146"/>
      </w:r>
      <w:r w:rsidR="002E43D8">
        <w:rPr>
          <w:rFonts w:eastAsiaTheme="minorHAnsi" w:cs="ArialMT"/>
          <w:lang w:eastAsia="en-US"/>
        </w:rPr>
        <w:t>.</w:t>
      </w:r>
    </w:p>
    <w:p w14:paraId="25170A5A" w14:textId="77777777" w:rsidR="002E43D8" w:rsidRPr="001A6002" w:rsidRDefault="002E43D8" w:rsidP="002E43D8">
      <w:pPr>
        <w:widowControl/>
        <w:tabs>
          <w:tab w:val="left" w:pos="567"/>
          <w:tab w:val="num" w:pos="12305"/>
        </w:tabs>
        <w:autoSpaceDE w:val="0"/>
        <w:autoSpaceDN w:val="0"/>
        <w:spacing w:line="240" w:lineRule="auto"/>
        <w:textAlignment w:val="auto"/>
        <w:rPr>
          <w:rFonts w:eastAsiaTheme="minorHAnsi" w:cs="ArialMT"/>
          <w:lang w:eastAsia="en-US"/>
        </w:rPr>
      </w:pPr>
    </w:p>
    <w:p w14:paraId="51FC7897" w14:textId="6F4A7077" w:rsidR="00386C7B" w:rsidRPr="00453FF6" w:rsidRDefault="002E43D8" w:rsidP="00453FF6">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sidRPr="00386C7B">
        <w:rPr>
          <w:rFonts w:eastAsiaTheme="minorHAnsi" w:cs="Arial"/>
          <w:lang w:eastAsia="en-US"/>
        </w:rPr>
        <w:t>Por otro lado</w:t>
      </w:r>
      <w:r w:rsidR="00F948D9" w:rsidRPr="00386C7B">
        <w:rPr>
          <w:rFonts w:eastAsiaTheme="minorHAnsi" w:cs="Arial"/>
          <w:lang w:eastAsia="en-US"/>
        </w:rPr>
        <w:t xml:space="preserve">, </w:t>
      </w:r>
      <w:r w:rsidR="002E49EB" w:rsidRPr="00386C7B">
        <w:rPr>
          <w:rFonts w:eastAsiaTheme="minorHAnsi" w:cs="Arial"/>
          <w:lang w:eastAsia="en-US"/>
        </w:rPr>
        <w:t>llama la atención de este Tribunal que consta probado que el acta de</w:t>
      </w:r>
      <w:r w:rsidR="00453FF6">
        <w:rPr>
          <w:rFonts w:eastAsiaTheme="minorHAnsi" w:cs="Arial"/>
          <w:lang w:eastAsia="en-US"/>
        </w:rPr>
        <w:t xml:space="preserve"> inspección del lugar de los </w:t>
      </w:r>
      <w:r w:rsidR="00BF4A2F">
        <w:rPr>
          <w:rFonts w:eastAsiaTheme="minorHAnsi" w:cs="Arial"/>
          <w:lang w:eastAsia="en-US"/>
        </w:rPr>
        <w:t>hechos</w:t>
      </w:r>
      <w:r w:rsidR="00453FF6">
        <w:rPr>
          <w:rFonts w:eastAsiaTheme="minorHAnsi" w:cs="Arial"/>
          <w:lang w:eastAsia="en-US"/>
        </w:rPr>
        <w:t xml:space="preserve"> no describió la ubicación del cadáver, ni consignó la descripción de fenómenos cadavéricos en el lugar de los hechos</w:t>
      </w:r>
      <w:r w:rsidR="00453FF6">
        <w:rPr>
          <w:rStyle w:val="Refdenotaalpie"/>
          <w:rFonts w:eastAsiaTheme="minorHAnsi" w:cs="Arial"/>
          <w:lang w:eastAsia="en-US"/>
        </w:rPr>
        <w:footnoteReference w:id="147"/>
      </w:r>
      <w:r w:rsidR="00453FF6">
        <w:rPr>
          <w:rFonts w:eastAsiaTheme="minorHAnsi" w:cs="Arial"/>
          <w:lang w:eastAsia="en-US"/>
        </w:rPr>
        <w:t>.</w:t>
      </w:r>
      <w:r w:rsidR="002E49EB" w:rsidRPr="00386C7B">
        <w:rPr>
          <w:rFonts w:eastAsiaTheme="minorHAnsi" w:cs="Arial"/>
          <w:lang w:eastAsia="en-US"/>
        </w:rPr>
        <w:t xml:space="preserve"> </w:t>
      </w:r>
      <w:r w:rsidR="00453FF6">
        <w:rPr>
          <w:rFonts w:eastAsiaTheme="minorHAnsi" w:cs="Arial"/>
          <w:lang w:eastAsia="en-US"/>
        </w:rPr>
        <w:t xml:space="preserve">Además, el acta de </w:t>
      </w:r>
      <w:r w:rsidR="002E49EB" w:rsidRPr="00453FF6">
        <w:rPr>
          <w:rFonts w:eastAsiaTheme="minorHAnsi" w:cs="Arial"/>
          <w:lang w:eastAsia="en-US"/>
        </w:rPr>
        <w:t>levantamiento del cadáver no fue elaborada con “los parámetros usualmente reconocidos para este tipo de diligencias”,</w:t>
      </w:r>
      <w:r w:rsidR="004504E3">
        <w:rPr>
          <w:rFonts w:eastAsiaTheme="minorHAnsi" w:cs="Arial"/>
          <w:lang w:eastAsia="en-US"/>
        </w:rPr>
        <w:t xml:space="preserve"> y</w:t>
      </w:r>
      <w:r w:rsidR="002E49EB" w:rsidRPr="00453FF6">
        <w:rPr>
          <w:rFonts w:eastAsiaTheme="minorHAnsi" w:cs="Arial"/>
          <w:lang w:eastAsia="en-US"/>
        </w:rPr>
        <w:t xml:space="preserve"> </w:t>
      </w:r>
      <w:r w:rsidR="00386C7B" w:rsidRPr="00453FF6">
        <w:rPr>
          <w:rFonts w:eastAsiaTheme="minorHAnsi" w:cs="Arial"/>
          <w:lang w:eastAsia="en-US"/>
        </w:rPr>
        <w:t>adolec</w:t>
      </w:r>
      <w:r w:rsidR="004504E3">
        <w:rPr>
          <w:rFonts w:eastAsiaTheme="minorHAnsi" w:cs="Arial"/>
          <w:lang w:eastAsia="en-US"/>
        </w:rPr>
        <w:t>e</w:t>
      </w:r>
      <w:r w:rsidR="00386C7B" w:rsidRPr="00453FF6">
        <w:rPr>
          <w:rFonts w:eastAsiaTheme="minorHAnsi" w:cs="Arial"/>
          <w:lang w:eastAsia="en-US"/>
        </w:rPr>
        <w:t xml:space="preserve"> </w:t>
      </w:r>
      <w:r w:rsidR="004504E3">
        <w:rPr>
          <w:rFonts w:eastAsiaTheme="minorHAnsi" w:cs="Arial"/>
          <w:lang w:eastAsia="en-US"/>
        </w:rPr>
        <w:t xml:space="preserve">en la </w:t>
      </w:r>
      <w:r w:rsidR="00386C7B" w:rsidRPr="00453FF6">
        <w:rPr>
          <w:rFonts w:eastAsiaTheme="minorHAnsi" w:cs="Arial"/>
          <w:lang w:eastAsia="en-US"/>
        </w:rPr>
        <w:t xml:space="preserve">descripción de los fenómenos cadavéricos y de la temperatura del cuerpo, </w:t>
      </w:r>
      <w:r w:rsidR="002E49EB" w:rsidRPr="00453FF6">
        <w:rPr>
          <w:rFonts w:eastAsiaTheme="minorHAnsi" w:cs="Arial"/>
          <w:lang w:eastAsia="en-US"/>
        </w:rPr>
        <w:t xml:space="preserve">lo cual tiene como </w:t>
      </w:r>
      <w:r w:rsidR="002E49EB" w:rsidRPr="00453FF6">
        <w:rPr>
          <w:rFonts w:eastAsiaTheme="minorHAnsi" w:cs="Arial"/>
          <w:lang w:eastAsia="en-US"/>
        </w:rPr>
        <w:lastRenderedPageBreak/>
        <w:t>consecuencia que no se pueda determinar una cuestión tan relevante como es saber si el cadáver fue movido de su posición original</w:t>
      </w:r>
      <w:r w:rsidR="00386C7B" w:rsidRPr="00453FF6">
        <w:rPr>
          <w:rFonts w:eastAsiaTheme="minorHAnsi" w:cs="Arial"/>
          <w:lang w:eastAsia="en-US"/>
        </w:rPr>
        <w:t xml:space="preserve"> o el tiempo probable de la muerte</w:t>
      </w:r>
      <w:r w:rsidR="002E49EB">
        <w:rPr>
          <w:rStyle w:val="Refdenotaalpie"/>
          <w:rFonts w:eastAsiaTheme="minorHAnsi" w:cs="Arial"/>
          <w:lang w:eastAsia="en-US"/>
        </w:rPr>
        <w:footnoteReference w:id="148"/>
      </w:r>
      <w:r w:rsidR="002E49EB" w:rsidRPr="00453FF6">
        <w:rPr>
          <w:rFonts w:eastAsiaTheme="minorHAnsi" w:cs="Arial"/>
          <w:lang w:eastAsia="en-US"/>
        </w:rPr>
        <w:t xml:space="preserve">. Al respecto, sobre la ubicación del cuerpo de </w:t>
      </w:r>
      <w:r w:rsidR="00BB65C1">
        <w:rPr>
          <w:rFonts w:eastAsiaTheme="minorHAnsi" w:cs="Arial"/>
          <w:lang w:eastAsia="en-US"/>
        </w:rPr>
        <w:t xml:space="preserve">la </w:t>
      </w:r>
      <w:r w:rsidR="001F344D">
        <w:rPr>
          <w:rFonts w:eastAsiaTheme="minorHAnsi" w:cs="Arial"/>
          <w:lang w:eastAsia="en-US"/>
        </w:rPr>
        <w:t>señora Digna Ochoa</w:t>
      </w:r>
      <w:r w:rsidR="002E49EB" w:rsidRPr="00453FF6">
        <w:rPr>
          <w:rFonts w:eastAsiaTheme="minorHAnsi" w:cs="Arial"/>
          <w:lang w:eastAsia="en-US"/>
        </w:rPr>
        <w:t>, la perita Buitrago estimó que “la manifestación de que el cuerpo fue movido es fundamental para poder indagar acertadamente dentro del tema de criminalística no solamente los disparos, la actuación, sino la reconstrucción de los hechos que es obligatorio”. Lo anterior impacta de manera trascendental en la investigación y provoca que no se haya podido realizar “análisis integral y reforzado</w:t>
      </w:r>
      <w:r w:rsidR="00BB65C1">
        <w:rPr>
          <w:rFonts w:eastAsiaTheme="minorHAnsi" w:cs="Arial"/>
          <w:lang w:eastAsia="en-US"/>
        </w:rPr>
        <w:t>”</w:t>
      </w:r>
      <w:r w:rsidR="002E49EB" w:rsidRPr="00453FF6">
        <w:rPr>
          <w:rFonts w:eastAsiaTheme="minorHAnsi" w:cs="Arial"/>
          <w:lang w:eastAsia="en-US"/>
        </w:rPr>
        <w:t xml:space="preserve"> dentro de la investigación de </w:t>
      </w:r>
      <w:r w:rsidR="00BB65C1">
        <w:rPr>
          <w:rFonts w:eastAsiaTheme="minorHAnsi" w:cs="Arial"/>
          <w:lang w:eastAsia="en-US"/>
        </w:rPr>
        <w:t xml:space="preserve">la muerte de la </w:t>
      </w:r>
      <w:r w:rsidR="001F344D">
        <w:rPr>
          <w:rFonts w:eastAsiaTheme="minorHAnsi" w:cs="Arial"/>
          <w:lang w:eastAsia="en-US"/>
        </w:rPr>
        <w:t>señora Digna Ochoa</w:t>
      </w:r>
      <w:r w:rsidR="002E49EB" w:rsidRPr="001610BC">
        <w:rPr>
          <w:rStyle w:val="Refdenotaalpie"/>
          <w:rFonts w:eastAsiaTheme="minorHAnsi" w:cs="Arial"/>
          <w:lang w:eastAsia="en-US"/>
        </w:rPr>
        <w:footnoteReference w:id="149"/>
      </w:r>
      <w:r w:rsidR="002E49EB" w:rsidRPr="00453FF6">
        <w:rPr>
          <w:rFonts w:eastAsiaTheme="minorHAnsi" w:cs="Arial"/>
          <w:lang w:eastAsia="en-US"/>
        </w:rPr>
        <w:t>.</w:t>
      </w:r>
      <w:r w:rsidR="00386C7B" w:rsidRPr="00453FF6">
        <w:rPr>
          <w:rFonts w:eastAsiaTheme="minorHAnsi" w:cs="Arial"/>
          <w:lang w:eastAsia="en-US"/>
        </w:rPr>
        <w:t xml:space="preserve"> </w:t>
      </w:r>
    </w:p>
    <w:p w14:paraId="50764F6A" w14:textId="77777777" w:rsidR="00386C7B" w:rsidRPr="001610BC" w:rsidRDefault="00386C7B" w:rsidP="00386C7B">
      <w:pPr>
        <w:tabs>
          <w:tab w:val="left" w:pos="567"/>
          <w:tab w:val="num" w:pos="12305"/>
        </w:tabs>
        <w:spacing w:line="240" w:lineRule="auto"/>
        <w:rPr>
          <w:rFonts w:eastAsiaTheme="minorHAnsi" w:cs="Arial"/>
          <w:lang w:eastAsia="en-US"/>
        </w:rPr>
      </w:pPr>
    </w:p>
    <w:p w14:paraId="75AD8101" w14:textId="2EA1D459" w:rsidR="000C77D7" w:rsidRDefault="002E49EB" w:rsidP="00F948D9">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Pr>
          <w:rFonts w:eastAsiaTheme="minorHAnsi" w:cs="Arial"/>
          <w:lang w:eastAsia="en-US"/>
        </w:rPr>
        <w:t>Asimismo, e</w:t>
      </w:r>
      <w:r w:rsidR="00F948D9" w:rsidRPr="00F948D9">
        <w:rPr>
          <w:rFonts w:eastAsiaTheme="minorHAnsi" w:cs="Arial"/>
          <w:lang w:eastAsia="en-US"/>
        </w:rPr>
        <w:t xml:space="preserve">l Tribunal destaca que, tal y como así lo </w:t>
      </w:r>
      <w:r w:rsidR="00F948D9">
        <w:rPr>
          <w:rFonts w:eastAsiaTheme="minorHAnsi" w:cs="Arial"/>
          <w:lang w:eastAsia="en-US"/>
        </w:rPr>
        <w:t>reflejó</w:t>
      </w:r>
      <w:r w:rsidR="00F948D9" w:rsidRPr="00F948D9">
        <w:rPr>
          <w:rFonts w:eastAsiaTheme="minorHAnsi" w:cs="Arial"/>
          <w:lang w:eastAsia="en-US"/>
        </w:rPr>
        <w:t xml:space="preserve"> el Informe Especial de la </w:t>
      </w:r>
      <w:r w:rsidR="00F948D9">
        <w:rPr>
          <w:rFonts w:eastAsiaTheme="minorHAnsi" w:cs="Arial"/>
          <w:lang w:eastAsia="en-US"/>
        </w:rPr>
        <w:t>CDHDF,</w:t>
      </w:r>
      <w:r w:rsidR="00F948D9" w:rsidRPr="00F948D9">
        <w:rPr>
          <w:rFonts w:eastAsiaTheme="minorHAnsi" w:cs="Arial"/>
          <w:lang w:eastAsia="en-US"/>
        </w:rPr>
        <w:t xml:space="preserve"> el acta de inspección ocular y levantamiento del cadáver no se </w:t>
      </w:r>
      <w:r>
        <w:rPr>
          <w:rFonts w:eastAsiaTheme="minorHAnsi" w:cs="Arial"/>
          <w:lang w:eastAsia="en-US"/>
        </w:rPr>
        <w:t>encontraba</w:t>
      </w:r>
      <w:r w:rsidR="00F948D9" w:rsidRPr="00F948D9">
        <w:rPr>
          <w:rFonts w:eastAsiaTheme="minorHAnsi" w:cs="Arial"/>
          <w:lang w:eastAsia="en-US"/>
        </w:rPr>
        <w:t xml:space="preserve"> </w:t>
      </w:r>
      <w:r w:rsidR="00F948D9">
        <w:rPr>
          <w:rFonts w:eastAsiaTheme="minorHAnsi" w:cs="Arial"/>
          <w:lang w:eastAsia="en-US"/>
        </w:rPr>
        <w:t xml:space="preserve">acompañada de fotografías, sino que dichas fotografías constan de manera separada, </w:t>
      </w:r>
      <w:r>
        <w:rPr>
          <w:rFonts w:eastAsiaTheme="minorHAnsi" w:cs="Arial"/>
          <w:lang w:eastAsia="en-US"/>
        </w:rPr>
        <w:t>sin</w:t>
      </w:r>
      <w:r w:rsidR="00F948D9" w:rsidRPr="00F948D9">
        <w:rPr>
          <w:rFonts w:eastAsiaTheme="minorHAnsi" w:cs="Arial"/>
          <w:lang w:eastAsia="en-US"/>
        </w:rPr>
        <w:t xml:space="preserve"> </w:t>
      </w:r>
      <w:r w:rsidR="00F948D9" w:rsidRPr="00F948D9">
        <w:rPr>
          <w:rFonts w:eastAsiaTheme="minorHAnsi" w:cs="Arial"/>
          <w:iCs/>
          <w:lang w:eastAsia="en-US"/>
        </w:rPr>
        <w:t>pies de foto</w:t>
      </w:r>
      <w:r w:rsidR="00F948D9" w:rsidRPr="00F948D9">
        <w:rPr>
          <w:rFonts w:eastAsiaTheme="minorHAnsi" w:cs="Arial"/>
          <w:i/>
          <w:iCs/>
          <w:lang w:eastAsia="en-US"/>
        </w:rPr>
        <w:t xml:space="preserve"> </w:t>
      </w:r>
      <w:r w:rsidR="00F948D9" w:rsidRPr="00F948D9">
        <w:rPr>
          <w:rFonts w:eastAsiaTheme="minorHAnsi" w:cs="Arial"/>
          <w:lang w:eastAsia="en-US"/>
        </w:rPr>
        <w:t xml:space="preserve">o anotaciones que expliquen </w:t>
      </w:r>
      <w:r w:rsidR="00F948D9">
        <w:rPr>
          <w:rFonts w:eastAsiaTheme="minorHAnsi" w:cs="Arial"/>
          <w:lang w:eastAsia="en-US"/>
        </w:rPr>
        <w:t xml:space="preserve">lo que se ve </w:t>
      </w:r>
      <w:r>
        <w:rPr>
          <w:rFonts w:eastAsiaTheme="minorHAnsi" w:cs="Arial"/>
          <w:lang w:eastAsia="en-US"/>
        </w:rPr>
        <w:t xml:space="preserve">en </w:t>
      </w:r>
      <w:r w:rsidR="00F948D9">
        <w:rPr>
          <w:rFonts w:eastAsiaTheme="minorHAnsi" w:cs="Arial"/>
          <w:lang w:eastAsia="en-US"/>
        </w:rPr>
        <w:t xml:space="preserve">ellas. </w:t>
      </w:r>
      <w:r w:rsidR="00453FF6">
        <w:rPr>
          <w:rFonts w:eastAsiaTheme="minorHAnsi" w:cs="Arial"/>
          <w:lang w:eastAsia="en-US"/>
        </w:rPr>
        <w:t xml:space="preserve">Además, estas fotografías fueron de “calidad </w:t>
      </w:r>
      <w:r w:rsidR="00453FF6" w:rsidRPr="00C23C0F">
        <w:rPr>
          <w:rFonts w:eastAsiaTheme="minorHAnsi" w:cs="Arial"/>
          <w:lang w:eastAsia="en-US"/>
        </w:rPr>
        <w:t>deficiente</w:t>
      </w:r>
      <w:r w:rsidR="00453FF6" w:rsidRPr="008440D0">
        <w:rPr>
          <w:rFonts w:eastAsiaTheme="minorHAnsi" w:cs="Arial"/>
          <w:bCs/>
          <w:lang w:eastAsia="en-US"/>
        </w:rPr>
        <w:t xml:space="preserve"> </w:t>
      </w:r>
      <w:r w:rsidR="00453FF6" w:rsidRPr="00C23C0F">
        <w:rPr>
          <w:rFonts w:eastAsiaTheme="minorHAnsi" w:cs="Arial"/>
          <w:bCs/>
          <w:lang w:eastAsia="en-US"/>
        </w:rPr>
        <w:t>en</w:t>
      </w:r>
      <w:r w:rsidR="00453FF6" w:rsidRPr="008440D0">
        <w:rPr>
          <w:rFonts w:eastAsiaTheme="minorHAnsi" w:cs="Arial"/>
          <w:bCs/>
          <w:lang w:eastAsia="en-US"/>
        </w:rPr>
        <w:t xml:space="preserve"> </w:t>
      </w:r>
      <w:r w:rsidR="00453FF6" w:rsidRPr="00453FF6">
        <w:rPr>
          <w:rFonts w:eastAsiaTheme="minorHAnsi" w:cs="Arial"/>
          <w:bCs/>
          <w:lang w:eastAsia="en-US"/>
        </w:rPr>
        <w:t>cuanto al enfoque, presentación, acercamientos, testigos métricos e identificación del caso”</w:t>
      </w:r>
      <w:r w:rsidR="00453FF6">
        <w:rPr>
          <w:rStyle w:val="Refdenotaalpie"/>
          <w:rFonts w:eastAsiaTheme="minorHAnsi" w:cs="Arial"/>
          <w:bCs/>
          <w:lang w:eastAsia="en-US"/>
        </w:rPr>
        <w:footnoteReference w:id="150"/>
      </w:r>
      <w:r w:rsidR="00453FF6" w:rsidRPr="00453FF6">
        <w:rPr>
          <w:rFonts w:eastAsiaTheme="minorHAnsi" w:cs="Arial"/>
          <w:bCs/>
          <w:lang w:eastAsia="en-US"/>
        </w:rPr>
        <w:t>.</w:t>
      </w:r>
      <w:r w:rsidR="00453FF6">
        <w:rPr>
          <w:rFonts w:eastAsiaTheme="minorHAnsi" w:cs="Arial"/>
          <w:b/>
          <w:bCs/>
          <w:lang w:eastAsia="en-US"/>
        </w:rPr>
        <w:t xml:space="preserve"> </w:t>
      </w:r>
      <w:r w:rsidR="00F948D9">
        <w:rPr>
          <w:rFonts w:eastAsiaTheme="minorHAnsi" w:cs="Arial"/>
          <w:lang w:eastAsia="en-US"/>
        </w:rPr>
        <w:t xml:space="preserve">El informe destacó la relevancia de lo </w:t>
      </w:r>
      <w:r>
        <w:rPr>
          <w:rFonts w:eastAsiaTheme="minorHAnsi" w:cs="Arial"/>
          <w:lang w:eastAsia="en-US"/>
        </w:rPr>
        <w:t>anterior</w:t>
      </w:r>
      <w:r w:rsidR="00F948D9">
        <w:rPr>
          <w:rFonts w:eastAsiaTheme="minorHAnsi" w:cs="Arial"/>
          <w:lang w:eastAsia="en-US"/>
        </w:rPr>
        <w:t xml:space="preserve"> por cuanto “l</w:t>
      </w:r>
      <w:r w:rsidR="00F948D9" w:rsidRPr="00F948D9">
        <w:rPr>
          <w:rFonts w:eastAsiaTheme="minorHAnsi" w:cs="Arial"/>
          <w:lang w:eastAsia="en-US"/>
        </w:rPr>
        <w:t>a descripción e</w:t>
      </w:r>
      <w:r w:rsidR="00F948D9">
        <w:rPr>
          <w:rFonts w:eastAsiaTheme="minorHAnsi" w:cs="Arial"/>
          <w:lang w:eastAsia="en-US"/>
        </w:rPr>
        <w:t xml:space="preserve">scrita, si </w:t>
      </w:r>
      <w:r w:rsidR="00F948D9" w:rsidRPr="00F948D9">
        <w:rPr>
          <w:rFonts w:eastAsiaTheme="minorHAnsi" w:cs="Arial"/>
          <w:lang w:eastAsia="en-US"/>
        </w:rPr>
        <w:t xml:space="preserve">no es complementada con </w:t>
      </w:r>
      <w:r w:rsidR="00F948D9">
        <w:rPr>
          <w:rFonts w:eastAsiaTheme="minorHAnsi" w:cs="Arial"/>
          <w:lang w:eastAsia="en-US"/>
        </w:rPr>
        <w:t>fotografías</w:t>
      </w:r>
      <w:r w:rsidR="00F948D9" w:rsidRPr="00F948D9">
        <w:rPr>
          <w:rFonts w:eastAsiaTheme="minorHAnsi" w:cs="Arial"/>
          <w:lang w:eastAsia="en-US"/>
        </w:rPr>
        <w:t xml:space="preserve">, esquemas, planos o croquis que ilustren lo que se describe por escrito, puede dar lugar a imprecisiones </w:t>
      </w:r>
      <w:r w:rsidR="00F948D9">
        <w:rPr>
          <w:rFonts w:eastAsiaTheme="minorHAnsi" w:cs="Arial"/>
          <w:lang w:eastAsia="en-US"/>
        </w:rPr>
        <w:t>y</w:t>
      </w:r>
      <w:r w:rsidR="00F948D9" w:rsidRPr="00F948D9">
        <w:rPr>
          <w:rFonts w:eastAsiaTheme="minorHAnsi"/>
          <w:i/>
          <w:iCs/>
          <w:lang w:eastAsia="en-US"/>
        </w:rPr>
        <w:t xml:space="preserve"> </w:t>
      </w:r>
      <w:r w:rsidR="00F948D9">
        <w:rPr>
          <w:rFonts w:eastAsiaTheme="minorHAnsi" w:cs="Arial"/>
          <w:lang w:eastAsia="en-US"/>
        </w:rPr>
        <w:t>malas interpretaciones”</w:t>
      </w:r>
      <w:r w:rsidR="00F948D9">
        <w:rPr>
          <w:rStyle w:val="Refdenotaalpie"/>
          <w:rFonts w:eastAsiaTheme="minorHAnsi" w:cs="Arial"/>
          <w:lang w:eastAsia="en-US"/>
        </w:rPr>
        <w:footnoteReference w:id="151"/>
      </w:r>
      <w:r w:rsidR="00F948D9">
        <w:rPr>
          <w:rFonts w:eastAsiaTheme="minorHAnsi" w:cs="Arial"/>
          <w:lang w:eastAsia="en-US"/>
        </w:rPr>
        <w:t xml:space="preserve">. </w:t>
      </w:r>
    </w:p>
    <w:p w14:paraId="01A7F37C" w14:textId="77777777" w:rsidR="00386C7B" w:rsidRDefault="00386C7B" w:rsidP="00386C7B">
      <w:pPr>
        <w:widowControl/>
        <w:tabs>
          <w:tab w:val="left" w:pos="567"/>
        </w:tabs>
        <w:autoSpaceDE w:val="0"/>
        <w:autoSpaceDN w:val="0"/>
        <w:spacing w:line="240" w:lineRule="auto"/>
        <w:textAlignment w:val="auto"/>
        <w:rPr>
          <w:rFonts w:eastAsiaTheme="minorHAnsi" w:cs="Arial"/>
          <w:lang w:eastAsia="en-US"/>
        </w:rPr>
      </w:pPr>
    </w:p>
    <w:p w14:paraId="6AA245C1" w14:textId="7586EFB5" w:rsidR="00CC6F08" w:rsidRPr="001610BC" w:rsidRDefault="00BF4A2F" w:rsidP="00254389">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sidRPr="00D413AD">
        <w:rPr>
          <w:rFonts w:eastAsiaTheme="minorHAnsi" w:cs="Arial"/>
          <w:lang w:eastAsia="en-US"/>
        </w:rPr>
        <w:t xml:space="preserve">Como ya se indicó, también hubo numerosas falencias en la necropsia del cadáver, destacando que los médicos del </w:t>
      </w:r>
      <w:r w:rsidR="00312DD4" w:rsidRPr="00D413AD">
        <w:rPr>
          <w:rFonts w:eastAsiaTheme="minorHAnsi" w:cs="Arial"/>
          <w:lang w:eastAsia="en-US"/>
        </w:rPr>
        <w:t>Servicio</w:t>
      </w:r>
      <w:r w:rsidRPr="00D413AD">
        <w:rPr>
          <w:rFonts w:eastAsiaTheme="minorHAnsi" w:cs="Arial"/>
          <w:lang w:eastAsia="en-US"/>
        </w:rPr>
        <w:t xml:space="preserve"> Médico Forense que realizaron dicha necropsia omitieron ac</w:t>
      </w:r>
      <w:r w:rsidR="00D413AD">
        <w:rPr>
          <w:rFonts w:eastAsiaTheme="minorHAnsi" w:cs="Arial"/>
          <w:lang w:eastAsia="en-US"/>
        </w:rPr>
        <w:t>udir al lugar d</w:t>
      </w:r>
      <w:r w:rsidRPr="00D413AD">
        <w:rPr>
          <w:rFonts w:eastAsiaTheme="minorHAnsi" w:cs="Arial"/>
          <w:lang w:eastAsia="en-US"/>
        </w:rPr>
        <w:t>e</w:t>
      </w:r>
      <w:r w:rsidR="00D413AD">
        <w:rPr>
          <w:rFonts w:eastAsiaTheme="minorHAnsi" w:cs="Arial"/>
          <w:lang w:eastAsia="en-US"/>
        </w:rPr>
        <w:t xml:space="preserve"> </w:t>
      </w:r>
      <w:r w:rsidRPr="00D413AD">
        <w:rPr>
          <w:rFonts w:eastAsiaTheme="minorHAnsi" w:cs="Arial"/>
          <w:lang w:eastAsia="en-US"/>
        </w:rPr>
        <w:t xml:space="preserve">los hechos y no participaron en el levantamiento del </w:t>
      </w:r>
      <w:r w:rsidR="00312DD4" w:rsidRPr="00D413AD">
        <w:rPr>
          <w:rFonts w:eastAsiaTheme="minorHAnsi" w:cs="Arial"/>
          <w:lang w:eastAsia="en-US"/>
        </w:rPr>
        <w:t>cadáver</w:t>
      </w:r>
      <w:r w:rsidRPr="00D413AD">
        <w:rPr>
          <w:rFonts w:eastAsiaTheme="minorHAnsi" w:cs="Arial"/>
          <w:lang w:eastAsia="en-US"/>
        </w:rPr>
        <w:t>, lo cual provocó que no pudieron verificar que se tomara información adecuada de aspectos importantes</w:t>
      </w:r>
      <w:r>
        <w:rPr>
          <w:rStyle w:val="Refdenotaalpie"/>
          <w:rFonts w:eastAsiaTheme="minorHAnsi" w:cs="Arial"/>
          <w:lang w:eastAsia="en-US"/>
        </w:rPr>
        <w:footnoteReference w:id="152"/>
      </w:r>
      <w:r w:rsidRPr="00D413AD">
        <w:rPr>
          <w:rFonts w:eastAsiaTheme="minorHAnsi" w:cs="Arial"/>
          <w:lang w:eastAsia="en-US"/>
        </w:rPr>
        <w:t>. Otra</w:t>
      </w:r>
      <w:r w:rsidR="00D413AD" w:rsidRPr="00D413AD">
        <w:rPr>
          <w:rFonts w:eastAsiaTheme="minorHAnsi" w:cs="Arial"/>
          <w:lang w:eastAsia="en-US"/>
        </w:rPr>
        <w:t xml:space="preserve"> de las falencias </w:t>
      </w:r>
      <w:r w:rsidR="00D413AD">
        <w:rPr>
          <w:rFonts w:eastAsiaTheme="minorHAnsi" w:cs="Arial"/>
          <w:lang w:eastAsia="en-US"/>
        </w:rPr>
        <w:t xml:space="preserve">que </w:t>
      </w:r>
      <w:r w:rsidR="00D413AD" w:rsidRPr="00D413AD">
        <w:rPr>
          <w:rFonts w:eastAsiaTheme="minorHAnsi" w:cs="Arial"/>
          <w:lang w:eastAsia="en-US"/>
        </w:rPr>
        <w:t>destaca es el incumplimiento de la necropsia con el “Protocolo Modelo para la Investigación Forense de Muertes sospechosas</w:t>
      </w:r>
      <w:r w:rsidR="00E87467">
        <w:rPr>
          <w:rFonts w:eastAsiaTheme="minorHAnsi" w:cs="Arial"/>
          <w:lang w:eastAsia="en-US"/>
        </w:rPr>
        <w:t xml:space="preserve"> </w:t>
      </w:r>
      <w:r w:rsidR="00D413AD" w:rsidRPr="00D413AD">
        <w:rPr>
          <w:rFonts w:eastAsiaTheme="minorHAnsi" w:cs="Arial"/>
          <w:lang w:eastAsia="en-US"/>
        </w:rPr>
        <w:t>de haberse producido por Violación de los Derechos Humanos” de mayo de 2001</w:t>
      </w:r>
      <w:r w:rsidR="00D413AD">
        <w:rPr>
          <w:rStyle w:val="Refdenotaalpie"/>
          <w:rFonts w:eastAsiaTheme="minorHAnsi" w:cs="Arial"/>
          <w:lang w:eastAsia="en-US"/>
        </w:rPr>
        <w:footnoteReference w:id="153"/>
      </w:r>
      <w:r w:rsidR="00D413AD" w:rsidRPr="00D413AD">
        <w:rPr>
          <w:rFonts w:eastAsiaTheme="minorHAnsi" w:cs="Arial"/>
          <w:lang w:eastAsia="en-US"/>
        </w:rPr>
        <w:t>,</w:t>
      </w:r>
      <w:r w:rsidR="00E87467">
        <w:rPr>
          <w:rFonts w:eastAsiaTheme="minorHAnsi" w:cs="Arial"/>
          <w:lang w:eastAsia="en-US"/>
        </w:rPr>
        <w:t xml:space="preserve"> </w:t>
      </w:r>
      <w:r w:rsidR="00D413AD">
        <w:rPr>
          <w:rFonts w:eastAsiaTheme="minorHAnsi" w:cs="Arial"/>
          <w:lang w:eastAsia="en-US"/>
        </w:rPr>
        <w:t xml:space="preserve">donde resalta la ausencia de hora y término de la autopsia, los </w:t>
      </w:r>
      <w:r w:rsidR="00F4726C">
        <w:rPr>
          <w:rFonts w:eastAsiaTheme="minorHAnsi" w:cs="Arial"/>
          <w:lang w:eastAsia="en-US"/>
        </w:rPr>
        <w:t>n</w:t>
      </w:r>
      <w:r w:rsidR="00D413AD">
        <w:rPr>
          <w:rFonts w:eastAsiaTheme="minorHAnsi" w:cs="Arial"/>
          <w:lang w:eastAsia="en-US"/>
        </w:rPr>
        <w:t>ombres de las personas presentes en la necropsia, la toma de radiografías y la realización de pruebas complementarias</w:t>
      </w:r>
      <w:r w:rsidR="00D413AD">
        <w:rPr>
          <w:rStyle w:val="Refdenotaalpie"/>
          <w:rFonts w:eastAsiaTheme="minorHAnsi" w:cs="Arial"/>
          <w:lang w:eastAsia="en-US"/>
        </w:rPr>
        <w:footnoteReference w:id="154"/>
      </w:r>
      <w:r w:rsidR="00D413AD">
        <w:rPr>
          <w:rFonts w:eastAsiaTheme="minorHAnsi" w:cs="Arial"/>
          <w:lang w:eastAsia="en-US"/>
        </w:rPr>
        <w:t>. La necropsia contenía además u</w:t>
      </w:r>
      <w:r w:rsidRPr="00D413AD">
        <w:rPr>
          <w:rFonts w:eastAsiaTheme="minorHAnsi" w:cs="Arial"/>
          <w:lang w:eastAsia="en-US"/>
        </w:rPr>
        <w:t xml:space="preserve">na descripción de hallazgos limitada, una descripción de lesiones </w:t>
      </w:r>
      <w:r w:rsidR="00D413AD">
        <w:rPr>
          <w:rFonts w:eastAsiaTheme="minorHAnsi" w:cs="Arial"/>
          <w:lang w:eastAsia="en-US"/>
        </w:rPr>
        <w:t xml:space="preserve">internas y </w:t>
      </w:r>
      <w:r w:rsidRPr="00D413AD">
        <w:rPr>
          <w:rFonts w:eastAsiaTheme="minorHAnsi" w:cs="Arial"/>
          <w:lang w:eastAsia="en-US"/>
        </w:rPr>
        <w:t xml:space="preserve">externas insuficiente, </w:t>
      </w:r>
      <w:r w:rsidR="00D413AD">
        <w:rPr>
          <w:rFonts w:eastAsiaTheme="minorHAnsi" w:cs="Arial"/>
          <w:lang w:eastAsia="en-US"/>
        </w:rPr>
        <w:t xml:space="preserve">así como </w:t>
      </w:r>
      <w:r w:rsidRPr="00D413AD">
        <w:rPr>
          <w:rFonts w:eastAsiaTheme="minorHAnsi" w:cs="Arial"/>
          <w:lang w:eastAsia="en-US"/>
        </w:rPr>
        <w:t xml:space="preserve">la ausencia de un registro de las personas que </w:t>
      </w:r>
      <w:r w:rsidR="00312DD4" w:rsidRPr="00D413AD">
        <w:rPr>
          <w:rFonts w:eastAsiaTheme="minorHAnsi" w:cs="Arial"/>
          <w:lang w:eastAsia="en-US"/>
        </w:rPr>
        <w:t>intervinieron</w:t>
      </w:r>
      <w:r w:rsidRPr="00D413AD">
        <w:rPr>
          <w:rFonts w:eastAsiaTheme="minorHAnsi" w:cs="Arial"/>
          <w:lang w:eastAsia="en-US"/>
        </w:rPr>
        <w:t xml:space="preserve"> sobre el cuerpo</w:t>
      </w:r>
      <w:r>
        <w:rPr>
          <w:rStyle w:val="Refdenotaalpie"/>
          <w:rFonts w:eastAsiaTheme="minorHAnsi" w:cs="Arial"/>
          <w:lang w:eastAsia="en-US"/>
        </w:rPr>
        <w:footnoteReference w:id="155"/>
      </w:r>
      <w:r w:rsidRPr="00D413AD">
        <w:rPr>
          <w:rFonts w:eastAsiaTheme="minorHAnsi" w:cs="Arial"/>
          <w:lang w:eastAsia="en-US"/>
        </w:rPr>
        <w:t>.</w:t>
      </w:r>
      <w:r w:rsidR="00E87467">
        <w:rPr>
          <w:rFonts w:eastAsiaTheme="minorHAnsi" w:cs="Arial"/>
          <w:lang w:eastAsia="en-US"/>
        </w:rPr>
        <w:t xml:space="preserve"> </w:t>
      </w:r>
      <w:r w:rsidRPr="00D413AD">
        <w:rPr>
          <w:rFonts w:eastAsiaTheme="minorHAnsi" w:cs="Arial"/>
          <w:lang w:eastAsia="en-US"/>
        </w:rPr>
        <w:t xml:space="preserve">A este respecto, resulta también relevante </w:t>
      </w:r>
      <w:r w:rsidR="004E7CA0">
        <w:rPr>
          <w:rFonts w:eastAsiaTheme="minorHAnsi" w:cs="Arial"/>
          <w:lang w:eastAsia="en-US"/>
        </w:rPr>
        <w:t>subrayar</w:t>
      </w:r>
      <w:r w:rsidR="004E7CA0" w:rsidRPr="00D413AD">
        <w:rPr>
          <w:rFonts w:eastAsiaTheme="minorHAnsi" w:cs="Arial"/>
          <w:lang w:eastAsia="en-US"/>
        </w:rPr>
        <w:t xml:space="preserve"> </w:t>
      </w:r>
      <w:r w:rsidRPr="00D413AD">
        <w:rPr>
          <w:rFonts w:eastAsiaTheme="minorHAnsi" w:cs="Arial"/>
          <w:lang w:eastAsia="en-US"/>
        </w:rPr>
        <w:t>que la deficiente información respecto a la presencia o ausencia de lesiones traumáticas impidió establecer una cuestión tan relevante como e</w:t>
      </w:r>
      <w:r w:rsidR="00D624F2">
        <w:rPr>
          <w:rFonts w:eastAsiaTheme="minorHAnsi" w:cs="Arial"/>
          <w:lang w:eastAsia="en-US"/>
        </w:rPr>
        <w:t>s</w:t>
      </w:r>
      <w:r w:rsidRPr="00D413AD">
        <w:rPr>
          <w:rFonts w:eastAsiaTheme="minorHAnsi" w:cs="Arial"/>
          <w:lang w:eastAsia="en-US"/>
        </w:rPr>
        <w:t xml:space="preserve"> saber si existió algún tipo de riña, lucha previa o heridas de defensa antes de la muerte</w:t>
      </w:r>
      <w:r>
        <w:rPr>
          <w:rStyle w:val="Refdenotaalpie"/>
          <w:rFonts w:eastAsiaTheme="minorHAnsi" w:cs="Arial"/>
          <w:lang w:eastAsia="en-US"/>
        </w:rPr>
        <w:footnoteReference w:id="156"/>
      </w:r>
      <w:r w:rsidRPr="00D413AD">
        <w:rPr>
          <w:rFonts w:eastAsiaTheme="minorHAnsi" w:cs="Arial"/>
          <w:lang w:eastAsia="en-US"/>
        </w:rPr>
        <w:t>.</w:t>
      </w:r>
      <w:r w:rsidR="00CC6F08">
        <w:rPr>
          <w:rFonts w:eastAsiaTheme="minorHAnsi" w:cs="Arial"/>
          <w:lang w:eastAsia="en-US"/>
        </w:rPr>
        <w:t xml:space="preserve"> A lo anterior se añade que también se produjeron falencias en las fotografías de </w:t>
      </w:r>
      <w:r w:rsidR="00312DD4">
        <w:rPr>
          <w:rFonts w:eastAsiaTheme="minorHAnsi" w:cs="Arial"/>
          <w:lang w:eastAsia="en-US"/>
        </w:rPr>
        <w:t>necropsia</w:t>
      </w:r>
      <w:r w:rsidR="00CC6F08">
        <w:rPr>
          <w:rFonts w:eastAsiaTheme="minorHAnsi" w:cs="Arial"/>
          <w:lang w:eastAsia="en-US"/>
        </w:rPr>
        <w:t xml:space="preserve">. </w:t>
      </w:r>
      <w:r w:rsidR="00CC6F08">
        <w:rPr>
          <w:rFonts w:eastAsiaTheme="minorHAnsi" w:cs="Arial"/>
          <w:lang w:eastAsia="en-US"/>
        </w:rPr>
        <w:lastRenderedPageBreak/>
        <w:t>Así, según el Informe Especial de la CDHDF, l</w:t>
      </w:r>
      <w:r w:rsidR="00CC6F08" w:rsidRPr="001610BC">
        <w:rPr>
          <w:rFonts w:eastAsiaTheme="minorHAnsi" w:cs="Arial"/>
          <w:lang w:eastAsia="en-US"/>
        </w:rPr>
        <w:t xml:space="preserve">as 14 fotografías que </w:t>
      </w:r>
      <w:r w:rsidR="00BB65C1">
        <w:rPr>
          <w:rFonts w:eastAsiaTheme="minorHAnsi" w:cs="Arial"/>
          <w:lang w:eastAsia="en-US"/>
        </w:rPr>
        <w:t>acompañaron</w:t>
      </w:r>
      <w:r w:rsidR="00CC6F08" w:rsidRPr="001610BC">
        <w:rPr>
          <w:rFonts w:eastAsiaTheme="minorHAnsi" w:cs="Arial"/>
          <w:lang w:eastAsia="en-US"/>
        </w:rPr>
        <w:t xml:space="preserve"> </w:t>
      </w:r>
      <w:r w:rsidR="00CC6F08">
        <w:rPr>
          <w:rFonts w:eastAsiaTheme="minorHAnsi" w:cs="Arial"/>
          <w:lang w:eastAsia="en-US"/>
        </w:rPr>
        <w:t>el dictamen de la autopsia</w:t>
      </w:r>
      <w:r w:rsidR="00CC6F08" w:rsidRPr="001610BC">
        <w:rPr>
          <w:rFonts w:eastAsiaTheme="minorHAnsi"/>
          <w:i/>
          <w:iCs/>
          <w:lang w:eastAsia="en-US"/>
        </w:rPr>
        <w:t xml:space="preserve"> </w:t>
      </w:r>
      <w:r w:rsidR="00BB65C1">
        <w:rPr>
          <w:rFonts w:eastAsiaTheme="minorHAnsi"/>
          <w:i/>
          <w:iCs/>
          <w:lang w:eastAsia="en-US"/>
        </w:rPr>
        <w:t>“</w:t>
      </w:r>
      <w:r w:rsidR="00CC6F08" w:rsidRPr="001610BC">
        <w:rPr>
          <w:rFonts w:eastAsiaTheme="minorHAnsi" w:cs="Arial"/>
          <w:lang w:eastAsia="en-US"/>
        </w:rPr>
        <w:t>no reflejan la progresión del examen externo</w:t>
      </w:r>
      <w:r w:rsidR="00CC6F08">
        <w:rPr>
          <w:rFonts w:eastAsiaTheme="minorHAnsi" w:cs="Arial"/>
          <w:lang w:eastAsia="en-US"/>
        </w:rPr>
        <w:t>,</w:t>
      </w:r>
      <w:r w:rsidR="00CC6F08" w:rsidRPr="001610BC">
        <w:rPr>
          <w:rFonts w:eastAsiaTheme="minorHAnsi" w:cs="Arial"/>
          <w:lang w:eastAsia="en-US"/>
        </w:rPr>
        <w:t xml:space="preserve"> no se incluyen fotografías del cadáver antes y después de desvestirlo y no se presenta todas las tomas que confirman detalladamente la presencia de todas las señales demostrables de lesiones</w:t>
      </w:r>
      <w:r w:rsidR="00CC6F08">
        <w:rPr>
          <w:rFonts w:eastAsiaTheme="minorHAnsi" w:cs="Arial"/>
          <w:lang w:eastAsia="en-US"/>
        </w:rPr>
        <w:t>”</w:t>
      </w:r>
      <w:r w:rsidR="00CC6F08">
        <w:rPr>
          <w:rStyle w:val="Refdenotaalpie"/>
          <w:rFonts w:eastAsiaTheme="minorHAnsi" w:cs="Arial"/>
          <w:lang w:eastAsia="en-US"/>
        </w:rPr>
        <w:footnoteReference w:id="157"/>
      </w:r>
      <w:r w:rsidR="00CC6F08">
        <w:rPr>
          <w:rFonts w:eastAsiaTheme="minorHAnsi" w:cs="Arial"/>
          <w:lang w:eastAsia="en-US"/>
        </w:rPr>
        <w:t xml:space="preserve">, lo cual incumple </w:t>
      </w:r>
      <w:r w:rsidR="004E7CA0">
        <w:rPr>
          <w:rFonts w:eastAsiaTheme="minorHAnsi" w:cs="Arial"/>
          <w:lang w:eastAsia="en-US"/>
        </w:rPr>
        <w:t xml:space="preserve">lo dispuesto en </w:t>
      </w:r>
      <w:r w:rsidR="00CC6F08">
        <w:rPr>
          <w:rFonts w:eastAsiaTheme="minorHAnsi" w:cs="Arial"/>
          <w:lang w:eastAsia="en-US"/>
        </w:rPr>
        <w:t>el “Manual de Naciones Unidas sobre la prevención e investigación eficaces de las ejecuciones extralegales, arbitrarias o sumarias” del año 1991</w:t>
      </w:r>
      <w:r w:rsidR="00BB65C1">
        <w:rPr>
          <w:rFonts w:eastAsiaTheme="minorHAnsi" w:cs="Arial"/>
          <w:lang w:eastAsia="en-US"/>
        </w:rPr>
        <w:t>,</w:t>
      </w:r>
      <w:r w:rsidR="00CC6F08" w:rsidRPr="001610BC">
        <w:rPr>
          <w:rFonts w:eastAsiaTheme="minorHAnsi" w:cs="Arial"/>
          <w:lang w:eastAsia="en-US"/>
        </w:rPr>
        <w:t xml:space="preserve"> </w:t>
      </w:r>
      <w:r w:rsidR="00CC6F08">
        <w:rPr>
          <w:rFonts w:eastAsiaTheme="minorHAnsi" w:cs="Arial"/>
          <w:lang w:eastAsia="en-US"/>
        </w:rPr>
        <w:t xml:space="preserve">el cual señala que </w:t>
      </w:r>
      <w:r w:rsidR="00CC6F08" w:rsidRPr="001610BC">
        <w:rPr>
          <w:rFonts w:eastAsiaTheme="minorHAnsi" w:cs="Arial"/>
          <w:lang w:eastAsia="en-US"/>
        </w:rPr>
        <w:t>las fotografías de la necropsia deben ser suficientes y en cantidad tal que contribuyan a documentar detalladamente las conclusiones de la autopsia</w:t>
      </w:r>
      <w:r w:rsidR="00CC6F08">
        <w:rPr>
          <w:rStyle w:val="Refdenotaalpie"/>
          <w:rFonts w:eastAsiaTheme="minorHAnsi" w:cs="Arial"/>
          <w:lang w:eastAsia="en-US"/>
        </w:rPr>
        <w:footnoteReference w:id="158"/>
      </w:r>
      <w:r w:rsidR="00CC6F08" w:rsidRPr="001610BC">
        <w:rPr>
          <w:rFonts w:eastAsiaTheme="minorHAnsi" w:cs="Arial"/>
          <w:lang w:eastAsia="en-US"/>
        </w:rPr>
        <w:t>.</w:t>
      </w:r>
    </w:p>
    <w:p w14:paraId="19F12B65" w14:textId="278CF161" w:rsidR="000A6B13" w:rsidRPr="000A6B13" w:rsidRDefault="001854B4" w:rsidP="003B7FF9">
      <w:pPr>
        <w:pStyle w:val="Ttulo4"/>
        <w:numPr>
          <w:ilvl w:val="0"/>
          <w:numId w:val="0"/>
        </w:numPr>
        <w:ind w:left="2127" w:hanging="360"/>
        <w:rPr>
          <w:lang w:val="es-ES"/>
        </w:rPr>
      </w:pPr>
      <w:r>
        <w:rPr>
          <w:lang w:val="es-ES"/>
        </w:rPr>
        <w:t xml:space="preserve">b) </w:t>
      </w:r>
      <w:r w:rsidR="000A6B13">
        <w:rPr>
          <w:lang w:val="es-ES"/>
        </w:rPr>
        <w:t>Contradicciones en la recolección de datos</w:t>
      </w:r>
      <w:r w:rsidR="00E9332E">
        <w:rPr>
          <w:lang w:val="es-ES"/>
        </w:rPr>
        <w:t xml:space="preserve"> y rectificaciones</w:t>
      </w:r>
    </w:p>
    <w:p w14:paraId="0A054CBF" w14:textId="4212E6A8" w:rsidR="00BB65C1" w:rsidRDefault="00AB31AC" w:rsidP="00E9332E">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Pr>
          <w:rFonts w:eastAsiaTheme="minorHAnsi" w:cs="Arial"/>
          <w:lang w:eastAsia="en-US"/>
        </w:rPr>
        <w:t xml:space="preserve">Por otro </w:t>
      </w:r>
      <w:r w:rsidR="00312DD4">
        <w:rPr>
          <w:rFonts w:eastAsiaTheme="minorHAnsi" w:cs="Arial"/>
          <w:lang w:eastAsia="en-US"/>
        </w:rPr>
        <w:t>lado</w:t>
      </w:r>
      <w:r w:rsidR="00D624F2">
        <w:rPr>
          <w:rFonts w:eastAsiaTheme="minorHAnsi" w:cs="Arial"/>
          <w:lang w:eastAsia="en-US"/>
        </w:rPr>
        <w:t>,</w:t>
      </w:r>
      <w:r>
        <w:rPr>
          <w:rFonts w:eastAsiaTheme="minorHAnsi" w:cs="Arial"/>
          <w:lang w:eastAsia="en-US"/>
        </w:rPr>
        <w:t xml:space="preserve"> </w:t>
      </w:r>
      <w:r w:rsidR="001D1954">
        <w:rPr>
          <w:rFonts w:eastAsiaTheme="minorHAnsi" w:cs="Arial"/>
          <w:lang w:eastAsia="en-US"/>
        </w:rPr>
        <w:t>la Corte</w:t>
      </w:r>
      <w:r>
        <w:rPr>
          <w:rFonts w:eastAsiaTheme="minorHAnsi" w:cs="Arial"/>
          <w:lang w:eastAsia="en-US"/>
        </w:rPr>
        <w:t xml:space="preserve"> observa que también hubo</w:t>
      </w:r>
      <w:r w:rsidR="00D413AD">
        <w:rPr>
          <w:rFonts w:eastAsiaTheme="minorHAnsi" w:cs="Arial"/>
          <w:lang w:eastAsia="en-US"/>
        </w:rPr>
        <w:t xml:space="preserve"> graves </w:t>
      </w:r>
      <w:r w:rsidR="000A6B13">
        <w:rPr>
          <w:rFonts w:eastAsiaTheme="minorHAnsi" w:cs="Arial"/>
          <w:lang w:eastAsia="en-US"/>
        </w:rPr>
        <w:t xml:space="preserve">inconsistencias y contradicciones </w:t>
      </w:r>
      <w:r w:rsidR="00D413AD">
        <w:rPr>
          <w:rFonts w:eastAsiaTheme="minorHAnsi" w:cs="Arial"/>
          <w:lang w:eastAsia="en-US"/>
        </w:rPr>
        <w:t xml:space="preserve">en la recolección de datos y, en particular, entre </w:t>
      </w:r>
      <w:r w:rsidR="00BA419E">
        <w:rPr>
          <w:rFonts w:eastAsiaTheme="minorHAnsi" w:cs="Arial"/>
          <w:lang w:eastAsia="en-US"/>
        </w:rPr>
        <w:t xml:space="preserve">un dictamen de criminalística de 19 de octubre de 2001, el acta médica realizada tres horas más tarde y el protocolo de necropsia, donde no coinciden o hay ausencias destacables entre, </w:t>
      </w:r>
      <w:r w:rsidR="00BA419E" w:rsidRPr="00BA419E">
        <w:rPr>
          <w:rFonts w:eastAsiaTheme="minorHAnsi" w:cs="Arial"/>
          <w:i/>
          <w:lang w:eastAsia="en-US"/>
        </w:rPr>
        <w:t xml:space="preserve">inter </w:t>
      </w:r>
      <w:proofErr w:type="spellStart"/>
      <w:r w:rsidR="00BA419E" w:rsidRPr="00BA419E">
        <w:rPr>
          <w:rFonts w:eastAsiaTheme="minorHAnsi" w:cs="Arial"/>
          <w:i/>
          <w:lang w:eastAsia="en-US"/>
        </w:rPr>
        <w:t>alia</w:t>
      </w:r>
      <w:proofErr w:type="spellEnd"/>
      <w:r w:rsidR="00BA419E">
        <w:rPr>
          <w:rFonts w:eastAsiaTheme="minorHAnsi" w:cs="Arial"/>
          <w:lang w:eastAsia="en-US"/>
        </w:rPr>
        <w:t xml:space="preserve">, la lesión que presentaba la </w:t>
      </w:r>
      <w:r w:rsidR="001F344D">
        <w:rPr>
          <w:rFonts w:eastAsiaTheme="minorHAnsi" w:cs="Arial"/>
          <w:lang w:eastAsia="en-US"/>
        </w:rPr>
        <w:t>señora Digna Ochoa</w:t>
      </w:r>
      <w:r w:rsidR="00BA419E">
        <w:rPr>
          <w:rFonts w:eastAsiaTheme="minorHAnsi" w:cs="Arial"/>
          <w:lang w:eastAsia="en-US"/>
        </w:rPr>
        <w:t xml:space="preserve"> en la cabeza, el hematoma que tenía en el </w:t>
      </w:r>
      <w:r w:rsidR="00312DD4">
        <w:rPr>
          <w:rFonts w:eastAsiaTheme="minorHAnsi" w:cs="Arial"/>
          <w:lang w:eastAsia="en-US"/>
        </w:rPr>
        <w:t>párpado</w:t>
      </w:r>
      <w:r w:rsidR="00BA419E">
        <w:rPr>
          <w:rFonts w:eastAsiaTheme="minorHAnsi" w:cs="Arial"/>
          <w:lang w:eastAsia="en-US"/>
        </w:rPr>
        <w:t xml:space="preserve"> superior derecho, las heridas por arma de fuego que presentaba en el muslo izquierdo o el hematoma que presentaba en el muslo derecho</w:t>
      </w:r>
      <w:r w:rsidR="00BA419E">
        <w:rPr>
          <w:rStyle w:val="Refdenotaalpie"/>
          <w:rFonts w:eastAsiaTheme="minorHAnsi" w:cs="Arial"/>
          <w:lang w:eastAsia="en-US"/>
        </w:rPr>
        <w:footnoteReference w:id="159"/>
      </w:r>
      <w:r w:rsidR="00BA419E">
        <w:rPr>
          <w:rFonts w:eastAsiaTheme="minorHAnsi" w:cs="Arial"/>
          <w:lang w:eastAsia="en-US"/>
        </w:rPr>
        <w:t xml:space="preserve"> </w:t>
      </w:r>
      <w:r w:rsidR="00D413AD">
        <w:rPr>
          <w:rFonts w:eastAsiaTheme="minorHAnsi" w:cs="Arial"/>
          <w:lang w:eastAsia="en-US"/>
        </w:rPr>
        <w:t xml:space="preserve">. </w:t>
      </w:r>
    </w:p>
    <w:p w14:paraId="1382CBA2" w14:textId="750665A2" w:rsidR="00C141D6" w:rsidRDefault="00C141D6" w:rsidP="00C141D6">
      <w:pPr>
        <w:widowControl/>
        <w:tabs>
          <w:tab w:val="left" w:pos="567"/>
        </w:tabs>
        <w:autoSpaceDE w:val="0"/>
        <w:autoSpaceDN w:val="0"/>
        <w:spacing w:line="240" w:lineRule="auto"/>
        <w:textAlignment w:val="auto"/>
        <w:rPr>
          <w:rFonts w:eastAsiaTheme="minorHAnsi" w:cs="Arial"/>
          <w:lang w:eastAsia="en-US"/>
        </w:rPr>
      </w:pPr>
    </w:p>
    <w:p w14:paraId="774FA19E" w14:textId="665A25FD" w:rsidR="00BB65C1" w:rsidRDefault="0053429B" w:rsidP="00BB65C1">
      <w:pPr>
        <w:widowControl/>
        <w:numPr>
          <w:ilvl w:val="0"/>
          <w:numId w:val="4"/>
        </w:numPr>
        <w:tabs>
          <w:tab w:val="left" w:pos="567"/>
          <w:tab w:val="num" w:pos="1569"/>
          <w:tab w:val="num" w:pos="12305"/>
        </w:tabs>
        <w:autoSpaceDE w:val="0"/>
        <w:autoSpaceDN w:val="0"/>
        <w:spacing w:line="240" w:lineRule="auto"/>
        <w:ind w:left="0" w:firstLine="0"/>
        <w:textAlignment w:val="auto"/>
      </w:pPr>
      <w:r>
        <w:rPr>
          <w:rFonts w:eastAsiaTheme="minorHAnsi" w:cs="Arial"/>
          <w:lang w:eastAsia="en-US"/>
        </w:rPr>
        <w:t>La Corte</w:t>
      </w:r>
      <w:r w:rsidR="00BB65C1" w:rsidRPr="001A6002">
        <w:rPr>
          <w:rFonts w:eastAsiaTheme="minorHAnsi" w:cs="Arial"/>
          <w:lang w:eastAsia="en-US"/>
        </w:rPr>
        <w:t xml:space="preserve"> también </w:t>
      </w:r>
      <w:r w:rsidR="00BB65C1">
        <w:rPr>
          <w:rFonts w:eastAsiaTheme="minorHAnsi" w:cs="Arial"/>
          <w:lang w:eastAsia="en-US"/>
        </w:rPr>
        <w:t>advierte</w:t>
      </w:r>
      <w:r w:rsidR="00BB65C1" w:rsidRPr="001A6002">
        <w:rPr>
          <w:rFonts w:eastAsiaTheme="minorHAnsi" w:cs="Arial"/>
          <w:lang w:eastAsia="en-US"/>
        </w:rPr>
        <w:t xml:space="preserve"> con preocupación lo señalado por la perita Ángela María Buitrago en la audiencia pública celebrada en el presente caso</w:t>
      </w:r>
      <w:r w:rsidR="00BB65C1">
        <w:rPr>
          <w:rFonts w:eastAsiaTheme="minorHAnsi" w:cs="Arial"/>
          <w:lang w:eastAsia="en-US"/>
        </w:rPr>
        <w:t xml:space="preserve"> en cuanto a la inconsistencia identificada respecto al arma utilizada</w:t>
      </w:r>
      <w:r w:rsidR="00BB65C1" w:rsidRPr="001A6002">
        <w:rPr>
          <w:rFonts w:eastAsiaTheme="minorHAnsi" w:cs="Arial"/>
          <w:lang w:eastAsia="en-US"/>
        </w:rPr>
        <w:t xml:space="preserve">, al indicar que </w:t>
      </w:r>
      <w:r w:rsidR="00BB65C1" w:rsidRPr="001A6002">
        <w:t>dentro d</w:t>
      </w:r>
      <w:r w:rsidR="00BB65C1">
        <w:t>el expediente l</w:t>
      </w:r>
      <w:r w:rsidR="00BB65C1" w:rsidRPr="001A6002">
        <w:t xml:space="preserve">a numeración de matrícula </w:t>
      </w:r>
      <w:r w:rsidR="00BB65C1">
        <w:t xml:space="preserve">del arma </w:t>
      </w:r>
      <w:r w:rsidR="00BB65C1" w:rsidRPr="001A6002">
        <w:t>no coincide</w:t>
      </w:r>
      <w:r w:rsidR="00BB65C1" w:rsidRPr="001A6002">
        <w:rPr>
          <w:rStyle w:val="Refdenotaalpie"/>
        </w:rPr>
        <w:footnoteReference w:id="160"/>
      </w:r>
      <w:r w:rsidR="00BB65C1" w:rsidRPr="001A6002">
        <w:t>.</w:t>
      </w:r>
      <w:r w:rsidR="00BB65C1">
        <w:t xml:space="preserve"> El Tribunal observa que, efectivamente, en el dictamen de criminalística de 20 de octubre de 2011 elaborado por el Departamento de Balística Forense consta que la matrícula del arma recogida en la escena del crim</w:t>
      </w:r>
      <w:r w:rsidR="00F74FA4">
        <w:t>e</w:t>
      </w:r>
      <w:r w:rsidR="00BB65C1">
        <w:t>n era M13711</w:t>
      </w:r>
      <w:r w:rsidR="00BB65C1">
        <w:rPr>
          <w:rStyle w:val="Refdenotaalpie"/>
        </w:rPr>
        <w:footnoteReference w:id="161"/>
      </w:r>
      <w:r w:rsidR="00BB65C1">
        <w:t>. Sin embargo, en un dictamen de misma fecha elaborado por el Departamento de Criminalística de Campo y Fotografía Forense, se indica que la matrícula del arma es 79311</w:t>
      </w:r>
      <w:r w:rsidR="00BB65C1">
        <w:rPr>
          <w:rStyle w:val="Refdenotaalpie"/>
        </w:rPr>
        <w:footnoteReference w:id="162"/>
      </w:r>
      <w:r w:rsidR="00BB65C1">
        <w:t>.</w:t>
      </w:r>
    </w:p>
    <w:p w14:paraId="4B0AE01C" w14:textId="62E75AAC" w:rsidR="00C141D6" w:rsidRDefault="00C141D6" w:rsidP="00C141D6">
      <w:pPr>
        <w:widowControl/>
        <w:tabs>
          <w:tab w:val="left" w:pos="567"/>
        </w:tabs>
        <w:autoSpaceDE w:val="0"/>
        <w:autoSpaceDN w:val="0"/>
        <w:spacing w:line="240" w:lineRule="auto"/>
        <w:textAlignment w:val="auto"/>
      </w:pPr>
    </w:p>
    <w:p w14:paraId="5EA7A64C" w14:textId="5D50399E" w:rsidR="00BA419E" w:rsidRDefault="000A6B13" w:rsidP="00E9332E">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Pr>
          <w:rFonts w:eastAsiaTheme="minorHAnsi" w:cs="Arial"/>
          <w:lang w:eastAsia="en-US"/>
        </w:rPr>
        <w:t>Asimismo, también se produjeron numerosas correccione</w:t>
      </w:r>
      <w:r w:rsidR="004504E3">
        <w:rPr>
          <w:rFonts w:eastAsiaTheme="minorHAnsi" w:cs="Arial"/>
          <w:lang w:eastAsia="en-US"/>
        </w:rPr>
        <w:t>s en relación con la investigación</w:t>
      </w:r>
      <w:r>
        <w:rPr>
          <w:rFonts w:eastAsiaTheme="minorHAnsi" w:cs="Arial"/>
          <w:lang w:eastAsia="en-US"/>
        </w:rPr>
        <w:t xml:space="preserve">. </w:t>
      </w:r>
      <w:r w:rsidR="00D413AD">
        <w:rPr>
          <w:rFonts w:eastAsiaTheme="minorHAnsi" w:cs="Arial"/>
          <w:lang w:eastAsia="en-US"/>
        </w:rPr>
        <w:t xml:space="preserve">Por ejemplo, </w:t>
      </w:r>
      <w:r w:rsidR="00D413AD" w:rsidRPr="001610BC">
        <w:rPr>
          <w:rFonts w:eastAsiaTheme="minorHAnsi" w:cs="Cambria"/>
          <w:lang w:eastAsia="en-US"/>
        </w:rPr>
        <w:t xml:space="preserve">la trayectoria del proyectil que causó la muerte de </w:t>
      </w:r>
      <w:r w:rsidR="001F344D">
        <w:rPr>
          <w:rFonts w:eastAsiaTheme="minorHAnsi" w:cs="Cambria"/>
          <w:lang w:eastAsia="en-US"/>
        </w:rPr>
        <w:t>señora Digna Ochoa</w:t>
      </w:r>
      <w:r w:rsidR="00D413AD" w:rsidRPr="001610BC">
        <w:rPr>
          <w:rFonts w:eastAsiaTheme="minorHAnsi" w:cs="Cambria"/>
          <w:lang w:eastAsia="en-US"/>
        </w:rPr>
        <w:t xml:space="preserve"> y la posición en que se encontraba el arma al momento del disparo debieron ser rectificadas por los propios peritos que realizaron el informe de necropsia por las fallas e imprecisiones que tenía la primera versión.</w:t>
      </w:r>
      <w:r w:rsidR="00BA419E" w:rsidRPr="00BA419E">
        <w:rPr>
          <w:rFonts w:eastAsiaTheme="minorHAnsi" w:cs="Arial"/>
          <w:lang w:eastAsia="en-US"/>
        </w:rPr>
        <w:t xml:space="preserve"> </w:t>
      </w:r>
      <w:r w:rsidR="00BA419E">
        <w:rPr>
          <w:rFonts w:eastAsiaTheme="minorHAnsi" w:cs="Arial"/>
          <w:lang w:eastAsia="en-US"/>
        </w:rPr>
        <w:t>A este respecto, el perito Prieto Carreto señaló lo siguiente</w:t>
      </w:r>
      <w:r w:rsidR="00BA419E" w:rsidRPr="001610BC">
        <w:rPr>
          <w:rFonts w:eastAsiaTheme="minorHAnsi" w:cs="Arial"/>
          <w:lang w:eastAsia="en-US"/>
        </w:rPr>
        <w:t>:</w:t>
      </w:r>
    </w:p>
    <w:p w14:paraId="60A39C75" w14:textId="15FA4616" w:rsidR="00BA419E" w:rsidRPr="00BA419E" w:rsidRDefault="00BA419E" w:rsidP="00431DC9">
      <w:pPr>
        <w:widowControl/>
        <w:autoSpaceDE w:val="0"/>
        <w:autoSpaceDN w:val="0"/>
        <w:spacing w:before="240" w:after="240" w:line="240" w:lineRule="auto"/>
        <w:ind w:left="567" w:right="726"/>
        <w:textAlignment w:val="auto"/>
        <w:rPr>
          <w:rFonts w:eastAsiaTheme="minorHAnsi" w:cs="Arial"/>
          <w:bCs/>
          <w:sz w:val="18"/>
          <w:szCs w:val="18"/>
          <w:lang w:eastAsia="en-US"/>
        </w:rPr>
      </w:pPr>
      <w:r w:rsidRPr="00BA419E">
        <w:rPr>
          <w:rFonts w:eastAsiaTheme="minorHAnsi" w:cs="Arial"/>
          <w:sz w:val="18"/>
          <w:szCs w:val="18"/>
          <w:lang w:eastAsia="en-US"/>
        </w:rPr>
        <w:t xml:space="preserve">La imprecisión en la descripción de los hallazgos, las discrepancias cronológicas referidas y el incompleto procesado de la escena en las inspecciones </w:t>
      </w:r>
      <w:r w:rsidR="00312DD4" w:rsidRPr="00BA419E">
        <w:rPr>
          <w:rFonts w:eastAsiaTheme="minorHAnsi" w:cs="Arial"/>
          <w:sz w:val="18"/>
          <w:szCs w:val="18"/>
          <w:lang w:eastAsia="en-US"/>
        </w:rPr>
        <w:t>iniciales demuestran</w:t>
      </w:r>
      <w:r w:rsidRPr="00BA419E">
        <w:rPr>
          <w:rFonts w:eastAsiaTheme="minorHAnsi" w:cs="Arial"/>
          <w:sz w:val="18"/>
          <w:szCs w:val="18"/>
          <w:lang w:eastAsia="en-US"/>
        </w:rPr>
        <w:t xml:space="preserve"> una evidente </w:t>
      </w:r>
      <w:r w:rsidRPr="00BA419E">
        <w:rPr>
          <w:rFonts w:eastAsiaTheme="minorHAnsi" w:cs="Arial"/>
          <w:bCs/>
          <w:sz w:val="18"/>
          <w:szCs w:val="18"/>
          <w:lang w:eastAsia="en-US"/>
        </w:rPr>
        <w:t xml:space="preserve">falta de rigor en las diligencias practicadas y cumplimentación de documentos oficiales, fuente potencial </w:t>
      </w:r>
      <w:r w:rsidRPr="00BA419E">
        <w:rPr>
          <w:rFonts w:eastAsiaTheme="minorHAnsi" w:cs="Arial"/>
          <w:bCs/>
          <w:sz w:val="18"/>
          <w:szCs w:val="18"/>
          <w:lang w:eastAsia="en-US"/>
        </w:rPr>
        <w:lastRenderedPageBreak/>
        <w:t>de errores en la posterior interpretación de dichos hallazgos y en las hipótesis de trabajo y conclusiones de los dictámenes ampliatorios de criminalística</w:t>
      </w:r>
      <w:r w:rsidRPr="00BA419E">
        <w:rPr>
          <w:rStyle w:val="Refdenotaalpie"/>
          <w:rFonts w:eastAsiaTheme="minorHAnsi" w:cs="Arial"/>
          <w:bCs/>
          <w:sz w:val="18"/>
          <w:szCs w:val="18"/>
          <w:lang w:eastAsia="en-US"/>
        </w:rPr>
        <w:footnoteReference w:id="163"/>
      </w:r>
      <w:r w:rsidR="00D624F2">
        <w:rPr>
          <w:rFonts w:eastAsiaTheme="minorHAnsi" w:cs="Arial"/>
          <w:bCs/>
          <w:sz w:val="18"/>
          <w:szCs w:val="18"/>
          <w:lang w:eastAsia="en-US"/>
        </w:rPr>
        <w:t>.</w:t>
      </w:r>
    </w:p>
    <w:p w14:paraId="2B458E8B" w14:textId="77777777" w:rsidR="00146BB8" w:rsidRPr="00C141D6" w:rsidRDefault="00146BB8" w:rsidP="00146BB8">
      <w:pPr>
        <w:numPr>
          <w:ilvl w:val="0"/>
          <w:numId w:val="4"/>
        </w:numPr>
        <w:tabs>
          <w:tab w:val="left" w:pos="567"/>
          <w:tab w:val="num" w:pos="1569"/>
          <w:tab w:val="num" w:pos="12305"/>
        </w:tabs>
        <w:spacing w:line="240" w:lineRule="auto"/>
        <w:ind w:left="0" w:firstLine="0"/>
      </w:pPr>
      <w:r>
        <w:t>A este respecto la Corte nota que,</w:t>
      </w:r>
      <w:r w:rsidRPr="004F2666">
        <w:t xml:space="preserve"> en relación con la identificación, posición y orientación del cadáver, el examen externo, los signos cadavéricos, el examen de ropas y el de armas, casquillos y proyectiles, no hubo una reunión o trabajo conjunto entre el perito criminalístico, los médicos que realizaron el acta médica y los que efectuaron el protocolo de necropsia al cadáver de Digna Ochoa</w:t>
      </w:r>
      <w:r w:rsidRPr="004F2666">
        <w:rPr>
          <w:rStyle w:val="Refdenotaalpie"/>
        </w:rPr>
        <w:footnoteReference w:id="164"/>
      </w:r>
      <w:r w:rsidRPr="004F2666">
        <w:t>, a efectos de intercambiar información y sustentar con mayores datos sus conclusiones</w:t>
      </w:r>
      <w:r>
        <w:t>, lo cual trajo como con</w:t>
      </w:r>
      <w:r w:rsidRPr="004F2666">
        <w:rPr>
          <w:rFonts w:eastAsiaTheme="minorHAnsi" w:cs="Arial"/>
          <w:lang w:eastAsia="en-US"/>
        </w:rPr>
        <w:t>secuencia negativa que</w:t>
      </w:r>
      <w:r>
        <w:rPr>
          <w:rFonts w:eastAsiaTheme="minorHAnsi" w:cs="Arial"/>
          <w:lang w:eastAsia="en-US"/>
        </w:rPr>
        <w:t xml:space="preserve"> se obtuviera información contradictoria la cual, </w:t>
      </w:r>
      <w:r w:rsidRPr="004F2666">
        <w:rPr>
          <w:rFonts w:eastAsiaTheme="minorHAnsi" w:cs="Arial"/>
          <w:lang w:eastAsia="en-US"/>
        </w:rPr>
        <w:t xml:space="preserve">lejos de contribuir a esclarecer los hechos respecto al cadáver, los </w:t>
      </w:r>
      <w:r>
        <w:rPr>
          <w:rFonts w:eastAsiaTheme="minorHAnsi" w:cs="Arial"/>
          <w:lang w:eastAsia="en-US"/>
        </w:rPr>
        <w:t>confundieron</w:t>
      </w:r>
      <w:r w:rsidRPr="004F2666">
        <w:rPr>
          <w:rStyle w:val="Refdenotaalpie"/>
          <w:rFonts w:eastAsiaTheme="minorHAnsi" w:cs="Arial"/>
          <w:lang w:eastAsia="en-US"/>
        </w:rPr>
        <w:footnoteReference w:id="165"/>
      </w:r>
      <w:r w:rsidRPr="004F2666">
        <w:rPr>
          <w:rFonts w:eastAsiaTheme="minorHAnsi" w:cs="Arial"/>
          <w:lang w:eastAsia="en-US"/>
        </w:rPr>
        <w:t>.</w:t>
      </w:r>
    </w:p>
    <w:p w14:paraId="4E04F22B" w14:textId="14BF3105" w:rsidR="000A6B13" w:rsidRPr="000A6B13" w:rsidRDefault="001854B4" w:rsidP="003B7FF9">
      <w:pPr>
        <w:pStyle w:val="Ttulo4"/>
        <w:numPr>
          <w:ilvl w:val="0"/>
          <w:numId w:val="0"/>
        </w:numPr>
        <w:ind w:left="2127" w:hanging="360"/>
        <w:rPr>
          <w:i w:val="0"/>
          <w:lang w:val="es-ES"/>
        </w:rPr>
      </w:pPr>
      <w:r>
        <w:rPr>
          <w:lang w:val="es-ES"/>
        </w:rPr>
        <w:t xml:space="preserve">c) </w:t>
      </w:r>
      <w:r w:rsidR="000A6B13" w:rsidRPr="000A6B13">
        <w:rPr>
          <w:lang w:val="es-ES"/>
        </w:rPr>
        <w:t xml:space="preserve">Deficiencias en la </w:t>
      </w:r>
      <w:r w:rsidR="000A6B13">
        <w:rPr>
          <w:lang w:val="es-ES"/>
        </w:rPr>
        <w:t>cadena de custodia</w:t>
      </w:r>
    </w:p>
    <w:p w14:paraId="12D18AC9" w14:textId="6273975D" w:rsidR="00572626" w:rsidRDefault="00572626" w:rsidP="00572626">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lang w:eastAsia="en-US"/>
        </w:rPr>
      </w:pPr>
      <w:r>
        <w:rPr>
          <w:rFonts w:eastAsiaTheme="minorHAnsi"/>
          <w:lang w:eastAsia="en-US"/>
        </w:rPr>
        <w:t>L</w:t>
      </w:r>
      <w:r w:rsidRPr="001610BC">
        <w:rPr>
          <w:rFonts w:eastAsiaTheme="minorHAnsi"/>
          <w:lang w:eastAsia="en-US"/>
        </w:rPr>
        <w:t xml:space="preserve">a Corte ha indicado que </w:t>
      </w:r>
      <w:r w:rsidR="00446516">
        <w:rPr>
          <w:rFonts w:eastAsiaTheme="minorHAnsi"/>
          <w:lang w:eastAsia="en-US"/>
        </w:rPr>
        <w:t>la incorrecta cumplimentación</w:t>
      </w:r>
      <w:r w:rsidRPr="001610BC">
        <w:rPr>
          <w:rFonts w:eastAsiaTheme="minorHAnsi"/>
          <w:lang w:eastAsia="en-US"/>
        </w:rPr>
        <w:t xml:space="preserve"> de los registro</w:t>
      </w:r>
      <w:r w:rsidR="00710DC9">
        <w:rPr>
          <w:rFonts w:eastAsiaTheme="minorHAnsi"/>
          <w:lang w:eastAsia="en-US"/>
        </w:rPr>
        <w:t>s</w:t>
      </w:r>
      <w:r w:rsidRPr="001610BC">
        <w:rPr>
          <w:rFonts w:eastAsiaTheme="minorHAnsi"/>
          <w:lang w:eastAsia="en-US"/>
        </w:rPr>
        <w:t xml:space="preserve"> </w:t>
      </w:r>
      <w:r w:rsidR="00312DD4">
        <w:rPr>
          <w:rFonts w:eastAsiaTheme="minorHAnsi"/>
          <w:lang w:eastAsia="en-US"/>
        </w:rPr>
        <w:t>d</w:t>
      </w:r>
      <w:r w:rsidRPr="001610BC">
        <w:rPr>
          <w:rFonts w:eastAsiaTheme="minorHAnsi"/>
          <w:lang w:eastAsia="en-US"/>
        </w:rPr>
        <w:t>e</w:t>
      </w:r>
      <w:r w:rsidR="00312DD4">
        <w:rPr>
          <w:rFonts w:eastAsiaTheme="minorHAnsi"/>
          <w:lang w:eastAsia="en-US"/>
        </w:rPr>
        <w:t xml:space="preserve"> </w:t>
      </w:r>
      <w:r w:rsidRPr="001610BC">
        <w:rPr>
          <w:rFonts w:eastAsiaTheme="minorHAnsi"/>
          <w:lang w:eastAsia="en-US"/>
        </w:rPr>
        <w:t>l</w:t>
      </w:r>
      <w:r w:rsidR="00312DD4">
        <w:rPr>
          <w:rFonts w:eastAsiaTheme="minorHAnsi"/>
          <w:lang w:eastAsia="en-US"/>
        </w:rPr>
        <w:t>a</w:t>
      </w:r>
      <w:r w:rsidRPr="001610BC">
        <w:rPr>
          <w:rFonts w:eastAsiaTheme="minorHAnsi"/>
          <w:lang w:eastAsia="en-US"/>
        </w:rPr>
        <w:t xml:space="preserve"> cadena de </w:t>
      </w:r>
      <w:r w:rsidR="00312DD4">
        <w:rPr>
          <w:rFonts w:eastAsiaTheme="minorHAnsi"/>
          <w:lang w:eastAsia="en-US"/>
        </w:rPr>
        <w:t>custodia</w:t>
      </w:r>
      <w:r w:rsidRPr="001610BC">
        <w:rPr>
          <w:rStyle w:val="Refdenotaalpie"/>
          <w:rFonts w:eastAsiaTheme="minorHAnsi"/>
          <w:lang w:eastAsia="en-US"/>
        </w:rPr>
        <w:footnoteReference w:id="166"/>
      </w:r>
      <w:r w:rsidRPr="001610BC">
        <w:rPr>
          <w:rFonts w:eastAsiaTheme="minorHAnsi"/>
          <w:lang w:eastAsia="en-US"/>
        </w:rPr>
        <w:t xml:space="preserve">, la falta de </w:t>
      </w:r>
      <w:r w:rsidRPr="005346DB">
        <w:rPr>
          <w:rFonts w:eastAsiaTheme="minorHAnsi" w:cs="Arial"/>
          <w:lang w:eastAsia="en-US"/>
        </w:rPr>
        <w:t>consignación</w:t>
      </w:r>
      <w:r w:rsidRPr="001610BC">
        <w:rPr>
          <w:rFonts w:eastAsiaTheme="minorHAnsi"/>
          <w:lang w:eastAsia="en-US"/>
        </w:rPr>
        <w:t xml:space="preserve"> o de aseguramiento de objetos hallados en el lugar de los </w:t>
      </w:r>
      <w:r w:rsidR="00312DD4" w:rsidRPr="001610BC">
        <w:rPr>
          <w:rFonts w:eastAsiaTheme="minorHAnsi"/>
          <w:lang w:eastAsia="en-US"/>
        </w:rPr>
        <w:t>hechos</w:t>
      </w:r>
      <w:r w:rsidRPr="001610BC">
        <w:rPr>
          <w:rStyle w:val="Refdenotaalpie"/>
          <w:rFonts w:eastAsiaTheme="minorHAnsi"/>
          <w:lang w:eastAsia="en-US"/>
        </w:rPr>
        <w:footnoteReference w:id="167"/>
      </w:r>
      <w:r w:rsidRPr="001610BC">
        <w:rPr>
          <w:rFonts w:eastAsiaTheme="minorHAnsi"/>
          <w:lang w:eastAsia="en-US"/>
        </w:rPr>
        <w:t xml:space="preserve">, </w:t>
      </w:r>
      <w:r w:rsidR="00446516">
        <w:rPr>
          <w:rFonts w:eastAsiaTheme="minorHAnsi"/>
          <w:lang w:eastAsia="en-US"/>
        </w:rPr>
        <w:t xml:space="preserve">o </w:t>
      </w:r>
      <w:r w:rsidRPr="001610BC">
        <w:rPr>
          <w:rFonts w:eastAsiaTheme="minorHAnsi"/>
          <w:lang w:eastAsia="en-US"/>
        </w:rPr>
        <w:t>la destrucción de prueba en custodia</w:t>
      </w:r>
      <w:r w:rsidRPr="001610BC">
        <w:rPr>
          <w:rStyle w:val="Refdenotaalpie"/>
          <w:rFonts w:eastAsiaTheme="minorHAnsi"/>
          <w:lang w:eastAsia="en-US"/>
        </w:rPr>
        <w:footnoteReference w:id="168"/>
      </w:r>
      <w:r w:rsidRPr="001610BC">
        <w:rPr>
          <w:rFonts w:eastAsiaTheme="minorHAnsi"/>
          <w:lang w:eastAsia="en-US"/>
        </w:rPr>
        <w:t xml:space="preserve"> </w:t>
      </w:r>
      <w:r>
        <w:rPr>
          <w:rFonts w:eastAsiaTheme="minorHAnsi" w:cs="Arial"/>
          <w:lang w:eastAsia="en-US"/>
        </w:rPr>
        <w:t>son faltas</w:t>
      </w:r>
      <w:r w:rsidRPr="001610BC">
        <w:rPr>
          <w:rFonts w:eastAsiaTheme="minorHAnsi"/>
          <w:lang w:eastAsia="en-US"/>
        </w:rPr>
        <w:t xml:space="preserve"> estatales al deber </w:t>
      </w:r>
      <w:r>
        <w:rPr>
          <w:rFonts w:eastAsiaTheme="minorHAnsi"/>
          <w:lang w:eastAsia="en-US"/>
        </w:rPr>
        <w:t>de</w:t>
      </w:r>
      <w:r w:rsidRPr="001610BC">
        <w:rPr>
          <w:rFonts w:eastAsiaTheme="minorHAnsi"/>
          <w:lang w:eastAsia="en-US"/>
        </w:rPr>
        <w:t xml:space="preserve"> debida diligencia.</w:t>
      </w:r>
    </w:p>
    <w:p w14:paraId="2B271CA1" w14:textId="77777777" w:rsidR="00572626" w:rsidRPr="00572626" w:rsidRDefault="00572626" w:rsidP="00572626">
      <w:pPr>
        <w:widowControl/>
        <w:tabs>
          <w:tab w:val="left" w:pos="567"/>
        </w:tabs>
        <w:autoSpaceDE w:val="0"/>
        <w:autoSpaceDN w:val="0"/>
        <w:spacing w:line="240" w:lineRule="auto"/>
        <w:textAlignment w:val="auto"/>
        <w:rPr>
          <w:rFonts w:eastAsiaTheme="minorHAnsi" w:cs="Arial"/>
          <w:lang w:eastAsia="en-US"/>
        </w:rPr>
      </w:pPr>
    </w:p>
    <w:p w14:paraId="3E912BFC" w14:textId="1E473B22" w:rsidR="005E2FAC" w:rsidRPr="005E2FAC" w:rsidRDefault="00572626" w:rsidP="005346DB">
      <w:pPr>
        <w:widowControl/>
        <w:numPr>
          <w:ilvl w:val="0"/>
          <w:numId w:val="4"/>
        </w:numPr>
        <w:tabs>
          <w:tab w:val="left" w:pos="567"/>
          <w:tab w:val="num" w:pos="1569"/>
          <w:tab w:val="num" w:pos="12305"/>
        </w:tabs>
        <w:autoSpaceDE w:val="0"/>
        <w:autoSpaceDN w:val="0"/>
        <w:spacing w:line="240" w:lineRule="auto"/>
        <w:ind w:left="0" w:firstLine="0"/>
        <w:textAlignment w:val="auto"/>
        <w:rPr>
          <w:rFonts w:eastAsia="Calibri" w:cs="Arial"/>
          <w:b/>
          <w:lang w:val="es-CO"/>
        </w:rPr>
      </w:pPr>
      <w:r w:rsidRPr="00BB65C1">
        <w:rPr>
          <w:rFonts w:eastAsiaTheme="minorHAnsi"/>
          <w:lang w:eastAsia="en-US"/>
        </w:rPr>
        <w:t>El Tribunal también advierte numerosas falencias en la cadena de custodia, lo cual tuvo un impacto en los resultados de la investigación. A este respecto, e</w:t>
      </w:r>
      <w:r w:rsidRPr="00BB65C1">
        <w:rPr>
          <w:rFonts w:eastAsiaTheme="minorHAnsi" w:cs="Arial"/>
          <w:lang w:eastAsia="en-US"/>
        </w:rPr>
        <w:t>l perito José Luis Prieto llam</w:t>
      </w:r>
      <w:r w:rsidR="00462B60">
        <w:rPr>
          <w:rFonts w:eastAsiaTheme="minorHAnsi" w:cs="Arial"/>
          <w:lang w:eastAsia="en-US"/>
        </w:rPr>
        <w:t>ó</w:t>
      </w:r>
      <w:r w:rsidRPr="00BB65C1">
        <w:rPr>
          <w:rFonts w:eastAsiaTheme="minorHAnsi" w:cs="Arial"/>
          <w:lang w:eastAsia="en-US"/>
        </w:rPr>
        <w:t xml:space="preserve"> la atención sobre la ausencia de constancia de que se haya seguido un procedimiento estandarizado para la cadena de custodia de los elementos derivados de la investigación de la escena y del cadáver</w:t>
      </w:r>
      <w:r w:rsidRPr="001610BC">
        <w:rPr>
          <w:rStyle w:val="Refdenotaalpie"/>
          <w:rFonts w:eastAsiaTheme="minorHAnsi" w:cs="Arial"/>
          <w:lang w:eastAsia="en-US"/>
        </w:rPr>
        <w:footnoteReference w:id="169"/>
      </w:r>
      <w:r w:rsidRPr="00BB65C1">
        <w:rPr>
          <w:rFonts w:eastAsiaTheme="minorHAnsi" w:cs="Arial"/>
          <w:lang w:eastAsia="en-US"/>
        </w:rPr>
        <w:t>.</w:t>
      </w:r>
      <w:r w:rsidR="00BB65C1" w:rsidRPr="00BB65C1">
        <w:rPr>
          <w:rFonts w:eastAsiaTheme="minorHAnsi" w:cs="Arial"/>
          <w:lang w:eastAsia="en-US"/>
        </w:rPr>
        <w:t xml:space="preserve"> </w:t>
      </w:r>
      <w:r w:rsidRPr="00BB65C1">
        <w:rPr>
          <w:rFonts w:eastAsiaTheme="minorHAnsi"/>
          <w:lang w:eastAsia="en-US"/>
        </w:rPr>
        <w:t>Además, lo anterior está conectado con la deficiente recolección de datos. Así, e</w:t>
      </w:r>
      <w:r w:rsidRPr="00BB65C1">
        <w:rPr>
          <w:rFonts w:eastAsiaTheme="minorHAnsi" w:cs="Arial"/>
          <w:lang w:eastAsia="en-US"/>
        </w:rPr>
        <w:t>n lo que respecta al examen externo del cadáver, el Informe Especial elaborado por la CDHD</w:t>
      </w:r>
      <w:r w:rsidR="008440D0">
        <w:rPr>
          <w:rFonts w:eastAsiaTheme="minorHAnsi" w:cs="Arial"/>
          <w:lang w:eastAsia="en-US"/>
        </w:rPr>
        <w:t>F</w:t>
      </w:r>
      <w:r w:rsidRPr="00BB65C1">
        <w:rPr>
          <w:rFonts w:eastAsiaTheme="minorHAnsi" w:cs="Arial"/>
          <w:lang w:eastAsia="en-US"/>
        </w:rPr>
        <w:t xml:space="preserve"> indicó que </w:t>
      </w:r>
      <w:r w:rsidR="00887241">
        <w:rPr>
          <w:rFonts w:eastAsiaTheme="minorHAnsi" w:cs="Arial"/>
          <w:lang w:eastAsia="en-US"/>
        </w:rPr>
        <w:t xml:space="preserve">la </w:t>
      </w:r>
      <w:r w:rsidRPr="00446516">
        <w:rPr>
          <w:rFonts w:eastAsiaTheme="minorHAnsi" w:cs="Arial"/>
          <w:lang w:eastAsia="en-US"/>
        </w:rPr>
        <w:t>descripción</w:t>
      </w:r>
      <w:r w:rsidRPr="00BB65C1">
        <w:rPr>
          <w:rFonts w:eastAsiaTheme="minorHAnsi" w:cs="Arial"/>
          <w:lang w:eastAsia="en-US"/>
        </w:rPr>
        <w:t xml:space="preserve"> “no permite establecer aspectos relacionados con la cadena de custodia, embalaje de la evidencia, la manipulación previa así como el estado en que el cuerpo ingresó a la morgue del Servicio Médico Forense”</w:t>
      </w:r>
      <w:r>
        <w:rPr>
          <w:rStyle w:val="Refdenotaalpie"/>
          <w:rFonts w:ascii="Arial" w:eastAsiaTheme="minorHAnsi" w:hAnsi="Arial" w:cs="Arial"/>
          <w:lang w:eastAsia="en-US"/>
        </w:rPr>
        <w:footnoteReference w:id="170"/>
      </w:r>
      <w:r w:rsidRPr="00BB65C1">
        <w:rPr>
          <w:rFonts w:eastAsiaTheme="minorHAnsi" w:cs="Arial"/>
          <w:lang w:eastAsia="en-US"/>
        </w:rPr>
        <w:t>.</w:t>
      </w:r>
      <w:r w:rsidR="00BB65C1" w:rsidRPr="00BB65C1">
        <w:rPr>
          <w:rFonts w:eastAsiaTheme="minorHAnsi" w:cs="Arial"/>
          <w:lang w:eastAsia="en-US"/>
        </w:rPr>
        <w:t xml:space="preserve"> </w:t>
      </w:r>
    </w:p>
    <w:p w14:paraId="18B84B96" w14:textId="77777777" w:rsidR="00446516" w:rsidRDefault="00446516" w:rsidP="00446516">
      <w:pPr>
        <w:widowControl/>
        <w:tabs>
          <w:tab w:val="left" w:pos="567"/>
        </w:tabs>
        <w:autoSpaceDE w:val="0"/>
        <w:autoSpaceDN w:val="0"/>
        <w:spacing w:line="240" w:lineRule="auto"/>
        <w:textAlignment w:val="auto"/>
        <w:rPr>
          <w:rFonts w:eastAsiaTheme="minorHAnsi"/>
        </w:rPr>
      </w:pPr>
    </w:p>
    <w:p w14:paraId="1A7A9AA3" w14:textId="10728CA0" w:rsidR="005346DB" w:rsidRDefault="005E2FAC" w:rsidP="00912D40">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rPr>
      </w:pPr>
      <w:r w:rsidRPr="005346DB">
        <w:rPr>
          <w:rFonts w:eastAsiaTheme="minorHAnsi"/>
        </w:rPr>
        <w:t xml:space="preserve">Estas deficiencias fueron incluso reconocidas por la propia Fiscalía, la cual </w:t>
      </w:r>
      <w:r w:rsidRPr="004F2666">
        <w:t xml:space="preserve">identificó problemas en la cadena de custodia de la prueba obtenida en el lugar de los hechos, </w:t>
      </w:r>
      <w:r>
        <w:t xml:space="preserve">si bien </w:t>
      </w:r>
      <w:r w:rsidRPr="004F2666">
        <w:t xml:space="preserve">alegó que dicha circunstancia “no fue de tal manera grave como para alterar </w:t>
      </w:r>
      <w:r w:rsidRPr="005346DB">
        <w:rPr>
          <w:lang w:val="es-ES"/>
        </w:rPr>
        <w:t>radicalmente</w:t>
      </w:r>
      <w:r w:rsidRPr="004F2666">
        <w:t xml:space="preserve"> el escenario, ni tampoco como para afirmar que las conclusiones de algunos dictámenes no fuesen del todo válidas”</w:t>
      </w:r>
      <w:r w:rsidRPr="004F2666">
        <w:rPr>
          <w:rStyle w:val="Refdenotaalpie"/>
        </w:rPr>
        <w:footnoteReference w:id="171"/>
      </w:r>
      <w:r w:rsidRPr="004F2666">
        <w:t xml:space="preserve">. </w:t>
      </w:r>
      <w:r w:rsidRPr="005346DB">
        <w:rPr>
          <w:rFonts w:eastAsiaTheme="minorHAnsi"/>
        </w:rPr>
        <w:t>A título de ejemplo</w:t>
      </w:r>
      <w:r w:rsidR="00572626" w:rsidRPr="005346DB">
        <w:rPr>
          <w:rFonts w:eastAsiaTheme="minorHAnsi"/>
        </w:rPr>
        <w:t>, e</w:t>
      </w:r>
      <w:r w:rsidR="00AB31AC" w:rsidRPr="005346DB">
        <w:rPr>
          <w:rFonts w:eastAsiaTheme="minorHAnsi"/>
        </w:rPr>
        <w:t>l Tribunal obser</w:t>
      </w:r>
      <w:r w:rsidRPr="005346DB">
        <w:rPr>
          <w:rFonts w:eastAsiaTheme="minorHAnsi"/>
        </w:rPr>
        <w:t>va</w:t>
      </w:r>
      <w:r w:rsidR="00572626" w:rsidRPr="005346DB">
        <w:rPr>
          <w:rFonts w:eastAsiaTheme="minorHAnsi"/>
        </w:rPr>
        <w:t xml:space="preserve"> </w:t>
      </w:r>
      <w:r w:rsidR="00AB31AC" w:rsidRPr="005346DB">
        <w:rPr>
          <w:rFonts w:eastAsiaTheme="minorHAnsi"/>
        </w:rPr>
        <w:t>que</w:t>
      </w:r>
      <w:r w:rsidR="000C77D7" w:rsidRPr="005346DB">
        <w:rPr>
          <w:rFonts w:eastAsiaTheme="minorHAnsi"/>
        </w:rPr>
        <w:t xml:space="preserve"> no existe una explicación </w:t>
      </w:r>
      <w:r w:rsidR="00AB31AC" w:rsidRPr="005346DB">
        <w:rPr>
          <w:rFonts w:eastAsiaTheme="minorHAnsi"/>
        </w:rPr>
        <w:t>clara sobre</w:t>
      </w:r>
      <w:r w:rsidR="00312DD4" w:rsidRPr="005346DB">
        <w:rPr>
          <w:rFonts w:eastAsiaTheme="minorHAnsi"/>
        </w:rPr>
        <w:t xml:space="preserve"> la </w:t>
      </w:r>
      <w:r w:rsidR="000C77D7" w:rsidRPr="005346DB">
        <w:rPr>
          <w:rFonts w:eastAsiaTheme="minorHAnsi"/>
        </w:rPr>
        <w:t xml:space="preserve">falta de registro de la bolsa </w:t>
      </w:r>
      <w:r w:rsidR="00AB31AC" w:rsidRPr="005346DB">
        <w:rPr>
          <w:rFonts w:eastAsiaTheme="minorHAnsi"/>
        </w:rPr>
        <w:t>que contenía</w:t>
      </w:r>
      <w:r w:rsidR="00446516">
        <w:rPr>
          <w:rFonts w:eastAsiaTheme="minorHAnsi"/>
        </w:rPr>
        <w:t xml:space="preserve"> </w:t>
      </w:r>
      <w:r w:rsidR="000C77D7" w:rsidRPr="005346DB">
        <w:rPr>
          <w:rFonts w:eastAsiaTheme="minorHAnsi"/>
        </w:rPr>
        <w:t xml:space="preserve">el polvo blanco, la </w:t>
      </w:r>
      <w:r w:rsidR="00AB31AC" w:rsidRPr="005346DB">
        <w:rPr>
          <w:rFonts w:eastAsiaTheme="minorHAnsi"/>
        </w:rPr>
        <w:t>cual</w:t>
      </w:r>
      <w:r w:rsidR="008A6E07" w:rsidRPr="005346DB">
        <w:rPr>
          <w:rFonts w:eastAsiaTheme="minorHAnsi"/>
        </w:rPr>
        <w:t xml:space="preserve"> no fue oficialmente re</w:t>
      </w:r>
      <w:r w:rsidR="000C77D7" w:rsidRPr="005346DB">
        <w:rPr>
          <w:rFonts w:eastAsiaTheme="minorHAnsi"/>
        </w:rPr>
        <w:t xml:space="preserve">conocida sino </w:t>
      </w:r>
      <w:r w:rsidR="00AB31AC" w:rsidRPr="005346DB">
        <w:rPr>
          <w:rFonts w:eastAsiaTheme="minorHAnsi"/>
        </w:rPr>
        <w:t xml:space="preserve">hasta el 27 de </w:t>
      </w:r>
      <w:r w:rsidR="00BB65C1" w:rsidRPr="005346DB">
        <w:rPr>
          <w:rFonts w:eastAsiaTheme="minorHAnsi"/>
        </w:rPr>
        <w:t>febrero</w:t>
      </w:r>
      <w:r w:rsidR="00AB31AC" w:rsidRPr="005346DB">
        <w:rPr>
          <w:rFonts w:eastAsiaTheme="minorHAnsi"/>
        </w:rPr>
        <w:t xml:space="preserve"> </w:t>
      </w:r>
      <w:r w:rsidR="00AB31AC" w:rsidRPr="005346DB">
        <w:rPr>
          <w:rFonts w:eastAsiaTheme="minorHAnsi"/>
        </w:rPr>
        <w:lastRenderedPageBreak/>
        <w:t>de 200</w:t>
      </w:r>
      <w:r w:rsidRPr="005346DB">
        <w:rPr>
          <w:rFonts w:eastAsiaTheme="minorHAnsi"/>
        </w:rPr>
        <w:t>3</w:t>
      </w:r>
      <w:r w:rsidR="00BB65C1" w:rsidRPr="005346DB">
        <w:rPr>
          <w:rFonts w:eastAsiaTheme="minorHAnsi"/>
        </w:rPr>
        <w:t xml:space="preserve">, esto es, dieciséis meses después de la muerte de la </w:t>
      </w:r>
      <w:r w:rsidR="001F344D">
        <w:rPr>
          <w:rFonts w:eastAsiaTheme="minorHAnsi"/>
        </w:rPr>
        <w:t>señora Digna Ochoa</w:t>
      </w:r>
      <w:r w:rsidR="00BB65C1">
        <w:rPr>
          <w:rStyle w:val="Refdenotaalpie"/>
          <w:rFonts w:eastAsiaTheme="minorHAnsi"/>
          <w:lang w:eastAsia="en-US"/>
        </w:rPr>
        <w:footnoteReference w:id="172"/>
      </w:r>
      <w:r w:rsidR="00AB31AC" w:rsidRPr="005346DB">
        <w:rPr>
          <w:rFonts w:eastAsiaTheme="minorHAnsi"/>
        </w:rPr>
        <w:t xml:space="preserve">. Dicha </w:t>
      </w:r>
      <w:r w:rsidR="000C77D7" w:rsidRPr="005346DB">
        <w:rPr>
          <w:rFonts w:eastAsiaTheme="minorHAnsi"/>
        </w:rPr>
        <w:t xml:space="preserve">evidencia </w:t>
      </w:r>
      <w:r w:rsidR="00AB31AC" w:rsidRPr="005346DB">
        <w:rPr>
          <w:rFonts w:eastAsiaTheme="minorHAnsi"/>
        </w:rPr>
        <w:t>n</w:t>
      </w:r>
      <w:r w:rsidR="000C77D7" w:rsidRPr="005346DB">
        <w:rPr>
          <w:rFonts w:eastAsiaTheme="minorHAnsi"/>
        </w:rPr>
        <w:t xml:space="preserve">o quedó correctamente asegurada ni advertida, siendo el polvo blanco uno de los elementos más </w:t>
      </w:r>
      <w:r w:rsidR="000C77D7" w:rsidRPr="005346DB">
        <w:rPr>
          <w:rFonts w:eastAsiaTheme="minorHAnsi" w:cs="Arial"/>
        </w:rPr>
        <w:t>característicos</w:t>
      </w:r>
      <w:r w:rsidR="000C77D7" w:rsidRPr="005346DB">
        <w:rPr>
          <w:rFonts w:eastAsiaTheme="minorHAnsi"/>
        </w:rPr>
        <w:t xml:space="preserve"> de la escena criminal. </w:t>
      </w:r>
      <w:r w:rsidR="00572626" w:rsidRPr="005346DB">
        <w:rPr>
          <w:rFonts w:eastAsiaTheme="minorHAnsi"/>
        </w:rPr>
        <w:t xml:space="preserve">Lo anterior afectó </w:t>
      </w:r>
      <w:r w:rsidR="00912D40">
        <w:rPr>
          <w:rFonts w:eastAsiaTheme="minorHAnsi"/>
        </w:rPr>
        <w:t>e</w:t>
      </w:r>
      <w:r w:rsidR="00572626" w:rsidRPr="005346DB">
        <w:rPr>
          <w:rFonts w:eastAsiaTheme="minorHAnsi"/>
        </w:rPr>
        <w:t>l</w:t>
      </w:r>
      <w:r w:rsidR="000C77D7" w:rsidRPr="005346DB">
        <w:rPr>
          <w:rFonts w:eastAsiaTheme="minorHAnsi"/>
        </w:rPr>
        <w:t xml:space="preserve"> valor probatorio e </w:t>
      </w:r>
      <w:r w:rsidR="00572626" w:rsidRPr="005346DB">
        <w:rPr>
          <w:rFonts w:eastAsiaTheme="minorHAnsi"/>
        </w:rPr>
        <w:t xml:space="preserve">información </w:t>
      </w:r>
      <w:r w:rsidR="000C77D7" w:rsidRPr="005346DB">
        <w:rPr>
          <w:rFonts w:eastAsiaTheme="minorHAnsi"/>
        </w:rPr>
        <w:t>que dicho elemento podría haber aportado</w:t>
      </w:r>
      <w:r w:rsidR="00572626" w:rsidRPr="005346DB">
        <w:rPr>
          <w:rFonts w:eastAsiaTheme="minorHAnsi"/>
        </w:rPr>
        <w:t>.</w:t>
      </w:r>
      <w:r w:rsidRPr="005346DB">
        <w:rPr>
          <w:rFonts w:eastAsiaTheme="minorHAnsi"/>
        </w:rPr>
        <w:t xml:space="preserve"> Otra de las falen</w:t>
      </w:r>
      <w:r w:rsidR="00462B60">
        <w:rPr>
          <w:rFonts w:eastAsiaTheme="minorHAnsi"/>
        </w:rPr>
        <w:t>c</w:t>
      </w:r>
      <w:r w:rsidRPr="005346DB">
        <w:rPr>
          <w:rFonts w:eastAsiaTheme="minorHAnsi"/>
        </w:rPr>
        <w:t xml:space="preserve">ias fue que se procediera a la recolección de pruebas dactilares en el lugar de los hechos </w:t>
      </w:r>
      <w:r w:rsidR="005346DB" w:rsidRPr="005346DB">
        <w:rPr>
          <w:rFonts w:eastAsiaTheme="minorHAnsi"/>
        </w:rPr>
        <w:t>un año</w:t>
      </w:r>
      <w:r w:rsidRPr="005346DB">
        <w:rPr>
          <w:rFonts w:eastAsiaTheme="minorHAnsi"/>
        </w:rPr>
        <w:t xml:space="preserve"> después de</w:t>
      </w:r>
      <w:r w:rsidR="00511715">
        <w:rPr>
          <w:rFonts w:eastAsiaTheme="minorHAnsi"/>
        </w:rPr>
        <w:t>l deceso</w:t>
      </w:r>
      <w:r w:rsidR="00446516">
        <w:rPr>
          <w:rFonts w:eastAsiaTheme="minorHAnsi"/>
        </w:rPr>
        <w:t>,</w:t>
      </w:r>
      <w:r w:rsidR="005346DB" w:rsidRPr="005346DB">
        <w:rPr>
          <w:rFonts w:eastAsiaTheme="minorHAnsi"/>
        </w:rPr>
        <w:t xml:space="preserve"> lo cual provoc</w:t>
      </w:r>
      <w:r w:rsidR="00D30E67">
        <w:rPr>
          <w:rFonts w:eastAsiaTheme="minorHAnsi"/>
        </w:rPr>
        <w:t>ó</w:t>
      </w:r>
      <w:r w:rsidR="005346DB" w:rsidRPr="005346DB">
        <w:rPr>
          <w:rFonts w:eastAsiaTheme="minorHAnsi"/>
        </w:rPr>
        <w:t xml:space="preserve"> que result</w:t>
      </w:r>
      <w:r w:rsidR="00D30E67">
        <w:rPr>
          <w:rFonts w:eastAsiaTheme="minorHAnsi"/>
        </w:rPr>
        <w:t>ara</w:t>
      </w:r>
      <w:r w:rsidR="005346DB" w:rsidRPr="005346DB">
        <w:rPr>
          <w:rFonts w:eastAsiaTheme="minorHAnsi"/>
        </w:rPr>
        <w:t xml:space="preserve"> muy difícil</w:t>
      </w:r>
      <w:r w:rsidR="005346DB" w:rsidRPr="005346DB">
        <w:t xml:space="preserve"> </w:t>
      </w:r>
      <w:r w:rsidR="005346DB" w:rsidRPr="005346DB">
        <w:rPr>
          <w:rFonts w:eastAsiaTheme="minorHAnsi"/>
        </w:rPr>
        <w:t>apreciar la originalidad de tales huellas en un lugar que ha sido frecuentado por diferentes personas</w:t>
      </w:r>
      <w:r w:rsidR="00446516">
        <w:rPr>
          <w:rFonts w:eastAsiaTheme="minorHAnsi"/>
        </w:rPr>
        <w:t>,</w:t>
      </w:r>
      <w:r w:rsidR="005346DB" w:rsidRPr="005346DB">
        <w:rPr>
          <w:rFonts w:eastAsiaTheme="minorHAnsi"/>
        </w:rPr>
        <w:t xml:space="preserve"> como los agentes de la Procuraduría, los moradores del estudio y de personas que lo han visitado, o que pudieran </w:t>
      </w:r>
      <w:r w:rsidR="005346DB">
        <w:rPr>
          <w:rFonts w:eastAsiaTheme="minorHAnsi"/>
        </w:rPr>
        <w:t>ser alter</w:t>
      </w:r>
      <w:r w:rsidR="009C6298">
        <w:rPr>
          <w:rFonts w:eastAsiaTheme="minorHAnsi"/>
        </w:rPr>
        <w:t>a</w:t>
      </w:r>
      <w:r w:rsidR="005346DB" w:rsidRPr="005346DB">
        <w:rPr>
          <w:rFonts w:eastAsiaTheme="minorHAnsi"/>
        </w:rPr>
        <w:t>dos por el mismo ambiente interno del luga</w:t>
      </w:r>
      <w:r w:rsidR="00462B60">
        <w:rPr>
          <w:rFonts w:eastAsiaTheme="minorHAnsi"/>
        </w:rPr>
        <w:t>r</w:t>
      </w:r>
      <w:r>
        <w:rPr>
          <w:rStyle w:val="Refdenotaalpie"/>
          <w:rFonts w:eastAsiaTheme="minorHAnsi"/>
          <w:lang w:eastAsia="en-US"/>
        </w:rPr>
        <w:footnoteReference w:id="173"/>
      </w:r>
      <w:r w:rsidRPr="005346DB">
        <w:rPr>
          <w:rFonts w:eastAsiaTheme="minorHAnsi"/>
        </w:rPr>
        <w:t>.</w:t>
      </w:r>
    </w:p>
    <w:p w14:paraId="3D2FAF90" w14:textId="77777777" w:rsidR="005346DB" w:rsidRPr="005346DB" w:rsidRDefault="005346DB" w:rsidP="008440D0">
      <w:pPr>
        <w:spacing w:line="240" w:lineRule="auto"/>
        <w:rPr>
          <w:rFonts w:eastAsiaTheme="minorHAnsi"/>
          <w:lang w:eastAsia="en-US"/>
        </w:rPr>
      </w:pPr>
    </w:p>
    <w:p w14:paraId="1D3B3A18" w14:textId="0FA4A399" w:rsidR="005346DB" w:rsidRDefault="005346DB" w:rsidP="00912D40">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lang w:eastAsia="en-US"/>
        </w:rPr>
      </w:pPr>
      <w:r>
        <w:rPr>
          <w:rFonts w:eastAsiaTheme="minorHAnsi"/>
          <w:lang w:eastAsia="en-US"/>
        </w:rPr>
        <w:t xml:space="preserve">De hecho, el propio informe elaborado por expertos independientes de la Comisión </w:t>
      </w:r>
      <w:r w:rsidRPr="005346DB">
        <w:rPr>
          <w:rFonts w:eastAsiaTheme="minorHAnsi" w:cs="Arial"/>
          <w:lang w:eastAsia="en-US"/>
        </w:rPr>
        <w:t>Interamericana</w:t>
      </w:r>
      <w:r>
        <w:rPr>
          <w:rFonts w:eastAsiaTheme="minorHAnsi"/>
          <w:lang w:eastAsia="en-US"/>
        </w:rPr>
        <w:t xml:space="preserve"> indicó que era “notoria </w:t>
      </w:r>
      <w:r w:rsidRPr="005346DB">
        <w:rPr>
          <w:rFonts w:eastAsiaTheme="minorHAnsi"/>
          <w:lang w:eastAsia="en-US"/>
        </w:rPr>
        <w:t>a ausencia de procedimientos formales de</w:t>
      </w:r>
      <w:r>
        <w:rPr>
          <w:rFonts w:eastAsiaTheme="minorHAnsi"/>
          <w:lang w:eastAsia="en-US"/>
        </w:rPr>
        <w:t xml:space="preserve"> </w:t>
      </w:r>
      <w:r w:rsidRPr="005346DB">
        <w:rPr>
          <w:rFonts w:eastAsiaTheme="minorHAnsi"/>
          <w:lang w:eastAsia="en-US"/>
        </w:rPr>
        <w:t xml:space="preserve">cadena </w:t>
      </w:r>
      <w:r w:rsidR="00250E15">
        <w:rPr>
          <w:rFonts w:eastAsiaTheme="minorHAnsi"/>
          <w:lang w:eastAsia="en-US"/>
        </w:rPr>
        <w:t>de</w:t>
      </w:r>
      <w:r w:rsidRPr="005346DB">
        <w:rPr>
          <w:rFonts w:eastAsiaTheme="minorHAnsi"/>
          <w:lang w:eastAsia="en-US"/>
        </w:rPr>
        <w:t xml:space="preserve"> </w:t>
      </w:r>
      <w:r w:rsidR="00462B60">
        <w:rPr>
          <w:rFonts w:eastAsiaTheme="minorHAnsi"/>
          <w:lang w:eastAsia="en-US"/>
        </w:rPr>
        <w:t>c</w:t>
      </w:r>
      <w:r w:rsidRPr="005346DB">
        <w:rPr>
          <w:rFonts w:eastAsiaTheme="minorHAnsi"/>
          <w:lang w:eastAsia="en-US"/>
        </w:rPr>
        <w:t>ustodia a la evidencia recuperada</w:t>
      </w:r>
      <w:r w:rsidR="00250E15">
        <w:rPr>
          <w:rFonts w:eastAsiaTheme="minorHAnsi"/>
          <w:lang w:eastAsia="en-US"/>
        </w:rPr>
        <w:t xml:space="preserve"> en el lugar de los hechos</w:t>
      </w:r>
      <w:r w:rsidR="00462B60">
        <w:rPr>
          <w:rFonts w:eastAsiaTheme="minorHAnsi"/>
          <w:lang w:eastAsia="en-US"/>
        </w:rPr>
        <w:t>”</w:t>
      </w:r>
      <w:r w:rsidR="00250E15">
        <w:rPr>
          <w:rFonts w:eastAsiaTheme="minorHAnsi"/>
          <w:lang w:eastAsia="en-US"/>
        </w:rPr>
        <w:t>, destacando además que en las primeras diligencias no hubo un sistema de identificación detallado y autónomo de los diferentes elementos encontrados o un embalaje adecuado de estos</w:t>
      </w:r>
      <w:r w:rsidR="00250E15">
        <w:rPr>
          <w:rStyle w:val="Refdenotaalpie"/>
          <w:rFonts w:eastAsiaTheme="minorHAnsi"/>
          <w:lang w:eastAsia="en-US"/>
        </w:rPr>
        <w:footnoteReference w:id="174"/>
      </w:r>
      <w:r>
        <w:rPr>
          <w:rFonts w:eastAsiaTheme="minorHAnsi"/>
          <w:lang w:eastAsia="en-US"/>
        </w:rPr>
        <w:t>.</w:t>
      </w:r>
    </w:p>
    <w:p w14:paraId="468B7A69" w14:textId="2802B042" w:rsidR="000A6B13" w:rsidRPr="000A6B13" w:rsidRDefault="001854B4" w:rsidP="003B7FF9">
      <w:pPr>
        <w:pStyle w:val="Ttulo4"/>
        <w:numPr>
          <w:ilvl w:val="0"/>
          <w:numId w:val="0"/>
        </w:numPr>
        <w:ind w:left="2127" w:hanging="360"/>
        <w:rPr>
          <w:i w:val="0"/>
          <w:lang w:val="es-ES"/>
        </w:rPr>
      </w:pPr>
      <w:r>
        <w:rPr>
          <w:lang w:val="es-ES"/>
        </w:rPr>
        <w:t xml:space="preserve">d) </w:t>
      </w:r>
      <w:r w:rsidR="000A6B13">
        <w:rPr>
          <w:lang w:val="es-ES"/>
        </w:rPr>
        <w:t>Falencias en la práctica de prueba testimonial</w:t>
      </w:r>
    </w:p>
    <w:p w14:paraId="17419752" w14:textId="7A24D594" w:rsidR="001A081B" w:rsidRPr="001610BC" w:rsidRDefault="00897F14" w:rsidP="00AB31AC">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Pr>
          <w:rFonts w:eastAsiaTheme="minorHAnsi" w:cs="Arial"/>
          <w:lang w:eastAsia="en-US"/>
        </w:rPr>
        <w:t xml:space="preserve">El Tribunal recuerda que, para garantizar un debido proceso, el Estado </w:t>
      </w:r>
      <w:r w:rsidR="004C50FC" w:rsidRPr="001610BC">
        <w:rPr>
          <w:rFonts w:eastAsiaTheme="minorHAnsi" w:cs="Arial"/>
          <w:lang w:eastAsia="en-US"/>
        </w:rPr>
        <w:t>debe facilitar todos los</w:t>
      </w:r>
      <w:r w:rsidR="001A081B" w:rsidRPr="001610BC">
        <w:rPr>
          <w:rFonts w:eastAsiaTheme="minorHAnsi" w:cs="Arial"/>
          <w:lang w:eastAsia="en-US"/>
        </w:rPr>
        <w:t xml:space="preserve"> </w:t>
      </w:r>
      <w:r w:rsidR="004C50FC" w:rsidRPr="001610BC">
        <w:rPr>
          <w:rFonts w:eastAsiaTheme="minorHAnsi" w:cs="Arial"/>
          <w:lang w:eastAsia="en-US"/>
        </w:rPr>
        <w:t>medios necesarios para proteger a los operadores de justicia, investigadores,</w:t>
      </w:r>
      <w:r w:rsidR="001A081B" w:rsidRPr="001610BC">
        <w:rPr>
          <w:rFonts w:eastAsiaTheme="minorHAnsi" w:cs="Arial"/>
          <w:lang w:eastAsia="en-US"/>
        </w:rPr>
        <w:t xml:space="preserve"> </w:t>
      </w:r>
      <w:r w:rsidR="004C50FC" w:rsidRPr="001610BC">
        <w:rPr>
          <w:rFonts w:eastAsiaTheme="minorHAnsi" w:cs="Arial"/>
          <w:lang w:eastAsia="en-US"/>
        </w:rPr>
        <w:t>testigos y familiares de las víctimas de hostigamientos y amenazas que tengan</w:t>
      </w:r>
      <w:r w:rsidR="001A081B" w:rsidRPr="001610BC">
        <w:rPr>
          <w:rFonts w:eastAsiaTheme="minorHAnsi" w:cs="Arial"/>
          <w:lang w:eastAsia="en-US"/>
        </w:rPr>
        <w:t xml:space="preserve"> </w:t>
      </w:r>
      <w:r w:rsidR="004C50FC" w:rsidRPr="001610BC">
        <w:rPr>
          <w:rFonts w:eastAsiaTheme="minorHAnsi" w:cs="Arial"/>
          <w:lang w:eastAsia="en-US"/>
        </w:rPr>
        <w:t>como finalidad entorpecer el proceso y evitar el esclarecimiento de los hechos</w:t>
      </w:r>
      <w:r w:rsidR="001A081B" w:rsidRPr="001610BC">
        <w:rPr>
          <w:rFonts w:eastAsiaTheme="minorHAnsi" w:cs="Arial"/>
          <w:lang w:eastAsia="en-US"/>
        </w:rPr>
        <w:t xml:space="preserve"> </w:t>
      </w:r>
      <w:r w:rsidR="004C50FC" w:rsidRPr="001610BC">
        <w:rPr>
          <w:rFonts w:eastAsiaTheme="minorHAnsi" w:cs="Arial"/>
          <w:lang w:eastAsia="en-US"/>
        </w:rPr>
        <w:t>y encubrir a los responsables de los mismos</w:t>
      </w:r>
      <w:r w:rsidR="004C50FC" w:rsidRPr="001610BC">
        <w:rPr>
          <w:rStyle w:val="Refdenotaalpie"/>
          <w:rFonts w:eastAsiaTheme="minorHAnsi" w:cs="Arial"/>
          <w:lang w:eastAsia="en-US"/>
        </w:rPr>
        <w:footnoteReference w:id="175"/>
      </w:r>
      <w:r w:rsidR="002D572B">
        <w:rPr>
          <w:rFonts w:eastAsiaTheme="minorHAnsi" w:cs="Arial"/>
          <w:lang w:eastAsia="en-US"/>
        </w:rPr>
        <w:t>.</w:t>
      </w:r>
      <w:r w:rsidR="001A081B" w:rsidRPr="001610BC">
        <w:rPr>
          <w:rFonts w:eastAsiaTheme="minorHAnsi" w:cs="Arial"/>
          <w:lang w:eastAsia="en-US"/>
        </w:rPr>
        <w:t xml:space="preserve"> </w:t>
      </w:r>
    </w:p>
    <w:p w14:paraId="0069613C" w14:textId="77777777" w:rsidR="00F9364E" w:rsidRPr="001610BC" w:rsidRDefault="00F9364E" w:rsidP="00CF4C50">
      <w:pPr>
        <w:widowControl/>
        <w:autoSpaceDE w:val="0"/>
        <w:autoSpaceDN w:val="0"/>
        <w:spacing w:line="240" w:lineRule="auto"/>
        <w:textAlignment w:val="auto"/>
        <w:rPr>
          <w:rFonts w:eastAsiaTheme="minorHAnsi" w:cs="Arial"/>
          <w:lang w:eastAsia="en-US"/>
        </w:rPr>
      </w:pPr>
    </w:p>
    <w:p w14:paraId="01DDFE57" w14:textId="0CE75AF2" w:rsidR="004C50FC" w:rsidRPr="00897F14" w:rsidRDefault="002D572B" w:rsidP="00D71AB9">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Pr>
          <w:rFonts w:eastAsiaTheme="minorHAnsi" w:cs="Arial"/>
          <w:lang w:eastAsia="en-US"/>
        </w:rPr>
        <w:t xml:space="preserve">Dicho lo anterior, la Corte </w:t>
      </w:r>
      <w:r w:rsidR="00897F14" w:rsidRPr="00897F14">
        <w:rPr>
          <w:rFonts w:eastAsiaTheme="minorHAnsi" w:cs="Arial"/>
          <w:lang w:eastAsia="en-US"/>
        </w:rPr>
        <w:t xml:space="preserve">observa que, </w:t>
      </w:r>
      <w:r w:rsidR="004C50FC" w:rsidRPr="00897F14">
        <w:rPr>
          <w:rFonts w:eastAsiaTheme="minorHAnsi" w:cs="Arial"/>
          <w:lang w:eastAsia="en-US"/>
        </w:rPr>
        <w:t>en algunos casos</w:t>
      </w:r>
      <w:r w:rsidR="00897F14">
        <w:rPr>
          <w:rFonts w:eastAsiaTheme="minorHAnsi" w:cs="Arial"/>
          <w:lang w:eastAsia="en-US"/>
        </w:rPr>
        <w:t>,</w:t>
      </w:r>
      <w:r w:rsidR="004C50FC" w:rsidRPr="00897F14">
        <w:rPr>
          <w:rFonts w:eastAsiaTheme="minorHAnsi" w:cs="Arial"/>
          <w:lang w:eastAsia="en-US"/>
        </w:rPr>
        <w:t xml:space="preserve"> los testimonios</w:t>
      </w:r>
      <w:r>
        <w:rPr>
          <w:rFonts w:eastAsiaTheme="minorHAnsi" w:cs="Arial"/>
          <w:lang w:eastAsia="en-US"/>
        </w:rPr>
        <w:t xml:space="preserve"> recabados en el marco de la investigación</w:t>
      </w:r>
      <w:r w:rsidR="004C50FC" w:rsidRPr="00897F14">
        <w:rPr>
          <w:rFonts w:eastAsiaTheme="minorHAnsi" w:cs="Arial"/>
          <w:lang w:eastAsia="en-US"/>
        </w:rPr>
        <w:t xml:space="preserve"> fueron obtenidos </w:t>
      </w:r>
      <w:r>
        <w:rPr>
          <w:rFonts w:eastAsiaTheme="minorHAnsi" w:cs="Arial"/>
          <w:lang w:eastAsia="en-US"/>
        </w:rPr>
        <w:t>en presencia de personas</w:t>
      </w:r>
      <w:r w:rsidR="004C50FC" w:rsidRPr="00897F14">
        <w:rPr>
          <w:rFonts w:eastAsiaTheme="minorHAnsi" w:cs="Arial"/>
          <w:lang w:eastAsia="en-US"/>
        </w:rPr>
        <w:t xml:space="preserve"> p</w:t>
      </w:r>
      <w:r>
        <w:rPr>
          <w:rFonts w:eastAsiaTheme="minorHAnsi" w:cs="Arial"/>
          <w:lang w:eastAsia="en-US"/>
        </w:rPr>
        <w:t xml:space="preserve">resuntamente vinculadas con </w:t>
      </w:r>
      <w:r w:rsidR="004C50FC" w:rsidRPr="00897F14">
        <w:rPr>
          <w:rFonts w:eastAsiaTheme="minorHAnsi" w:cs="Arial"/>
          <w:lang w:eastAsia="en-US"/>
        </w:rPr>
        <w:t>los hechos. En este sentido, el informe del grupo de</w:t>
      </w:r>
      <w:r w:rsidR="001A081B" w:rsidRPr="00897F14">
        <w:rPr>
          <w:rFonts w:eastAsiaTheme="minorHAnsi" w:cs="Arial"/>
          <w:lang w:eastAsia="en-US"/>
        </w:rPr>
        <w:t xml:space="preserve"> </w:t>
      </w:r>
      <w:r w:rsidR="004C50FC" w:rsidRPr="00897F14">
        <w:rPr>
          <w:rFonts w:eastAsiaTheme="minorHAnsi" w:cs="Arial"/>
          <w:lang w:eastAsia="en-US"/>
        </w:rPr>
        <w:t xml:space="preserve">expertos independientes de la </w:t>
      </w:r>
      <w:r w:rsidR="002466D7">
        <w:rPr>
          <w:rFonts w:eastAsiaTheme="minorHAnsi" w:cs="Arial"/>
          <w:lang w:eastAsia="en-US"/>
        </w:rPr>
        <w:t>Comisión Interamericana</w:t>
      </w:r>
      <w:r w:rsidR="002466D7" w:rsidRPr="00897F14">
        <w:rPr>
          <w:rFonts w:eastAsiaTheme="minorHAnsi" w:cs="Arial"/>
          <w:lang w:eastAsia="en-US"/>
        </w:rPr>
        <w:t xml:space="preserve"> </w:t>
      </w:r>
      <w:r w:rsidR="004C50FC" w:rsidRPr="00897F14">
        <w:rPr>
          <w:rFonts w:eastAsiaTheme="minorHAnsi" w:cs="Arial"/>
          <w:lang w:eastAsia="en-US"/>
        </w:rPr>
        <w:t>señaló:</w:t>
      </w:r>
    </w:p>
    <w:p w14:paraId="41A6AED2" w14:textId="77777777" w:rsidR="00897F14" w:rsidRDefault="00897F14" w:rsidP="00897F14">
      <w:pPr>
        <w:widowControl/>
        <w:tabs>
          <w:tab w:val="left" w:pos="567"/>
          <w:tab w:val="num" w:pos="12305"/>
        </w:tabs>
        <w:autoSpaceDE w:val="0"/>
        <w:autoSpaceDN w:val="0"/>
        <w:spacing w:line="240" w:lineRule="auto"/>
        <w:textAlignment w:val="auto"/>
        <w:rPr>
          <w:rFonts w:eastAsiaTheme="minorHAnsi" w:cs="Arial"/>
          <w:lang w:eastAsia="en-US"/>
        </w:rPr>
      </w:pPr>
    </w:p>
    <w:p w14:paraId="3B13F210" w14:textId="06265CB5" w:rsidR="00897F14" w:rsidRDefault="00897F14" w:rsidP="00897F14">
      <w:pPr>
        <w:widowControl/>
        <w:tabs>
          <w:tab w:val="left" w:pos="567"/>
          <w:tab w:val="left" w:pos="9356"/>
          <w:tab w:val="num" w:pos="12305"/>
        </w:tabs>
        <w:autoSpaceDE w:val="0"/>
        <w:autoSpaceDN w:val="0"/>
        <w:spacing w:line="240" w:lineRule="auto"/>
        <w:ind w:left="567" w:right="866"/>
        <w:textAlignment w:val="auto"/>
        <w:rPr>
          <w:rFonts w:eastAsiaTheme="minorHAnsi" w:cs="Arial"/>
          <w:sz w:val="18"/>
          <w:szCs w:val="18"/>
          <w:lang w:eastAsia="en-US"/>
        </w:rPr>
      </w:pPr>
      <w:r>
        <w:rPr>
          <w:rFonts w:eastAsiaTheme="minorHAnsi" w:cs="Arial"/>
          <w:sz w:val="18"/>
          <w:szCs w:val="18"/>
          <w:lang w:eastAsia="en-US"/>
        </w:rPr>
        <w:t>[…]</w:t>
      </w:r>
      <w:r w:rsidR="004C50FC" w:rsidRPr="00897F14">
        <w:rPr>
          <w:rFonts w:eastAsiaTheme="minorHAnsi" w:cs="Arial"/>
          <w:sz w:val="18"/>
          <w:szCs w:val="18"/>
          <w:lang w:eastAsia="en-US"/>
        </w:rPr>
        <w:t xml:space="preserve"> uno de los testigos que la rindió, se habría sentido coaccionado por la</w:t>
      </w:r>
      <w:r w:rsidR="001A081B" w:rsidRPr="00897F14">
        <w:rPr>
          <w:rFonts w:eastAsiaTheme="minorHAnsi" w:cs="Arial"/>
          <w:sz w:val="18"/>
          <w:szCs w:val="18"/>
          <w:lang w:eastAsia="en-US"/>
        </w:rPr>
        <w:t xml:space="preserve"> </w:t>
      </w:r>
      <w:r w:rsidR="004C50FC" w:rsidRPr="00897F14">
        <w:rPr>
          <w:rFonts w:eastAsiaTheme="minorHAnsi" w:cs="Arial"/>
          <w:sz w:val="18"/>
          <w:szCs w:val="18"/>
          <w:lang w:eastAsia="en-US"/>
        </w:rPr>
        <w:t xml:space="preserve">presencia de </w:t>
      </w:r>
      <w:r>
        <w:rPr>
          <w:rFonts w:eastAsiaTheme="minorHAnsi" w:cs="Arial"/>
          <w:sz w:val="18"/>
          <w:szCs w:val="18"/>
          <w:lang w:eastAsia="en-US"/>
        </w:rPr>
        <w:t xml:space="preserve">R.A.A. </w:t>
      </w:r>
      <w:r w:rsidR="004C50FC" w:rsidRPr="00897F14">
        <w:rPr>
          <w:rFonts w:eastAsiaTheme="minorHAnsi" w:cs="Arial"/>
          <w:sz w:val="18"/>
          <w:szCs w:val="18"/>
          <w:lang w:eastAsia="en-US"/>
        </w:rPr>
        <w:t>en la diligencia, lo cual debilita de por si</w:t>
      </w:r>
      <w:r w:rsidR="001A081B" w:rsidRPr="00897F14">
        <w:rPr>
          <w:rFonts w:eastAsiaTheme="minorHAnsi" w:cs="Arial"/>
          <w:sz w:val="18"/>
          <w:szCs w:val="18"/>
          <w:lang w:eastAsia="en-US"/>
        </w:rPr>
        <w:t xml:space="preserve"> </w:t>
      </w:r>
      <w:r w:rsidR="004C50FC" w:rsidRPr="00897F14">
        <w:rPr>
          <w:rFonts w:eastAsiaTheme="minorHAnsi" w:cs="Arial"/>
          <w:sz w:val="18"/>
          <w:szCs w:val="18"/>
          <w:lang w:eastAsia="en-US"/>
        </w:rPr>
        <w:t>la seriedad del testimonio, pues afecta la autonomía y libertad del testigo para</w:t>
      </w:r>
      <w:r w:rsidR="001A081B" w:rsidRPr="00897F14">
        <w:rPr>
          <w:rFonts w:eastAsiaTheme="minorHAnsi" w:cs="Arial"/>
          <w:sz w:val="18"/>
          <w:szCs w:val="18"/>
          <w:lang w:eastAsia="en-US"/>
        </w:rPr>
        <w:t xml:space="preserve"> </w:t>
      </w:r>
      <w:r w:rsidR="004C50FC" w:rsidRPr="00897F14">
        <w:rPr>
          <w:rFonts w:eastAsiaTheme="minorHAnsi" w:cs="Arial"/>
          <w:sz w:val="18"/>
          <w:szCs w:val="18"/>
          <w:lang w:eastAsia="en-US"/>
        </w:rPr>
        <w:t xml:space="preserve">rendir su </w:t>
      </w:r>
      <w:r w:rsidR="00312DD4" w:rsidRPr="00897F14">
        <w:rPr>
          <w:rFonts w:eastAsiaTheme="minorHAnsi" w:cs="Arial"/>
          <w:sz w:val="18"/>
          <w:szCs w:val="18"/>
          <w:lang w:eastAsia="en-US"/>
        </w:rPr>
        <w:t>versión</w:t>
      </w:r>
      <w:r w:rsidR="004C50FC" w:rsidRPr="00897F14">
        <w:rPr>
          <w:rStyle w:val="Refdenotaalpie"/>
          <w:rFonts w:eastAsiaTheme="minorHAnsi" w:cs="Arial"/>
          <w:sz w:val="18"/>
          <w:szCs w:val="18"/>
          <w:lang w:eastAsia="en-US"/>
        </w:rPr>
        <w:footnoteReference w:id="176"/>
      </w:r>
      <w:r w:rsidR="004C50FC" w:rsidRPr="00897F14">
        <w:rPr>
          <w:rFonts w:eastAsiaTheme="minorHAnsi" w:cs="Arial"/>
          <w:sz w:val="18"/>
          <w:szCs w:val="18"/>
          <w:lang w:eastAsia="en-US"/>
        </w:rPr>
        <w:t xml:space="preserve"> </w:t>
      </w:r>
    </w:p>
    <w:p w14:paraId="0A0DB376" w14:textId="77777777" w:rsidR="00897F14" w:rsidRDefault="00897F14" w:rsidP="00897F14">
      <w:pPr>
        <w:widowControl/>
        <w:tabs>
          <w:tab w:val="left" w:pos="567"/>
          <w:tab w:val="left" w:pos="9356"/>
          <w:tab w:val="num" w:pos="12305"/>
        </w:tabs>
        <w:autoSpaceDE w:val="0"/>
        <w:autoSpaceDN w:val="0"/>
        <w:spacing w:line="240" w:lineRule="auto"/>
        <w:ind w:right="866"/>
        <w:textAlignment w:val="auto"/>
        <w:rPr>
          <w:rFonts w:eastAsiaTheme="minorHAnsi" w:cs="Arial"/>
          <w:sz w:val="18"/>
          <w:szCs w:val="18"/>
          <w:lang w:eastAsia="en-US"/>
        </w:rPr>
      </w:pPr>
    </w:p>
    <w:p w14:paraId="3A341CF0" w14:textId="33C49080" w:rsidR="004C50FC" w:rsidRPr="00897F14" w:rsidRDefault="004C50FC" w:rsidP="00D71AB9">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MT"/>
          <w:lang w:eastAsia="en-US"/>
        </w:rPr>
      </w:pPr>
      <w:r w:rsidRPr="00897F14">
        <w:rPr>
          <w:rFonts w:eastAsiaTheme="minorHAnsi" w:cs="Arial"/>
          <w:lang w:eastAsia="en-US"/>
        </w:rPr>
        <w:t xml:space="preserve">Asimismo, </w:t>
      </w:r>
      <w:r w:rsidR="00897F14" w:rsidRPr="00897F14">
        <w:rPr>
          <w:rFonts w:eastAsiaTheme="minorHAnsi" w:cs="Arial"/>
          <w:lang w:eastAsia="en-US"/>
        </w:rPr>
        <w:t xml:space="preserve">el Tribunal advierte con </w:t>
      </w:r>
      <w:r w:rsidR="00312DD4" w:rsidRPr="00897F14">
        <w:rPr>
          <w:rFonts w:eastAsiaTheme="minorHAnsi" w:cs="Arial"/>
          <w:lang w:eastAsia="en-US"/>
        </w:rPr>
        <w:t>preocupación</w:t>
      </w:r>
      <w:r w:rsidR="002D572B">
        <w:rPr>
          <w:rFonts w:eastAsiaTheme="minorHAnsi" w:cs="Arial"/>
          <w:lang w:eastAsia="en-US"/>
        </w:rPr>
        <w:t xml:space="preserve"> que</w:t>
      </w:r>
      <w:r w:rsidR="00312DD4" w:rsidRPr="00897F14">
        <w:rPr>
          <w:rFonts w:eastAsiaTheme="minorHAnsi" w:cs="Arial"/>
          <w:lang w:eastAsia="en-US"/>
        </w:rPr>
        <w:t xml:space="preserve"> la</w:t>
      </w:r>
      <w:r w:rsidRPr="00897F14">
        <w:rPr>
          <w:rFonts w:eastAsiaTheme="minorHAnsi" w:cs="Arial"/>
          <w:lang w:eastAsia="en-US"/>
        </w:rPr>
        <w:t xml:space="preserve"> organización de campesinos ecologistas denunció públicamente qu</w:t>
      </w:r>
      <w:r w:rsidR="001A081B" w:rsidRPr="00897F14">
        <w:rPr>
          <w:rFonts w:eastAsiaTheme="minorHAnsi" w:cs="Arial"/>
          <w:lang w:eastAsia="en-US"/>
        </w:rPr>
        <w:t xml:space="preserve">e </w:t>
      </w:r>
      <w:r w:rsidRPr="00897F14">
        <w:rPr>
          <w:rFonts w:eastAsiaTheme="minorHAnsi" w:cs="Arial"/>
          <w:lang w:eastAsia="en-US"/>
        </w:rPr>
        <w:t>n</w:t>
      </w:r>
      <w:r w:rsidR="001A081B" w:rsidRPr="00897F14">
        <w:rPr>
          <w:rFonts w:eastAsiaTheme="minorHAnsi" w:cs="Arial"/>
          <w:lang w:eastAsia="en-US"/>
        </w:rPr>
        <w:t xml:space="preserve">o </w:t>
      </w:r>
      <w:r w:rsidRPr="00897F14">
        <w:rPr>
          <w:rFonts w:eastAsiaTheme="minorHAnsi" w:cs="Arial"/>
          <w:lang w:eastAsia="en-US"/>
        </w:rPr>
        <w:t>había condiciones que permitieran declarar con libertad respecto de la muerte de</w:t>
      </w:r>
      <w:r w:rsidR="001A081B" w:rsidRPr="00897F14">
        <w:rPr>
          <w:rFonts w:eastAsiaTheme="minorHAnsi" w:cs="Arial"/>
          <w:lang w:eastAsia="en-US"/>
        </w:rPr>
        <w:t xml:space="preserve"> </w:t>
      </w:r>
      <w:r w:rsidRPr="00897F14">
        <w:rPr>
          <w:rFonts w:eastAsiaTheme="minorHAnsi" w:cs="Arial"/>
          <w:lang w:eastAsia="en-US"/>
        </w:rPr>
        <w:t>Digna Ochoa y Plácido</w:t>
      </w:r>
      <w:r w:rsidRPr="00897F14">
        <w:rPr>
          <w:rStyle w:val="Refdenotaalpie"/>
          <w:rFonts w:eastAsiaTheme="minorHAnsi" w:cs="Arial"/>
          <w:lang w:eastAsia="en-US"/>
        </w:rPr>
        <w:footnoteReference w:id="177"/>
      </w:r>
      <w:r w:rsidR="00897F14" w:rsidRPr="00897F14">
        <w:rPr>
          <w:rFonts w:eastAsiaTheme="minorHAnsi" w:cs="Arial"/>
          <w:lang w:eastAsia="en-US"/>
        </w:rPr>
        <w:t xml:space="preserve">. Cuestión similar </w:t>
      </w:r>
      <w:r w:rsidR="00897F14">
        <w:rPr>
          <w:rFonts w:eastAsiaTheme="minorHAnsi" w:cs="Arial"/>
          <w:lang w:eastAsia="en-US"/>
        </w:rPr>
        <w:t>oc</w:t>
      </w:r>
      <w:r w:rsidRPr="00897F14">
        <w:rPr>
          <w:rFonts w:eastAsiaTheme="minorHAnsi" w:cs="Arial"/>
          <w:lang w:eastAsia="en-US"/>
        </w:rPr>
        <w:t xml:space="preserve">urrió en los casos de Javier Torres Cruz </w:t>
      </w:r>
      <w:r w:rsidR="00463903">
        <w:rPr>
          <w:rFonts w:eastAsiaTheme="minorHAnsi" w:cs="Arial"/>
          <w:lang w:eastAsia="en-US"/>
        </w:rPr>
        <w:t>e</w:t>
      </w:r>
      <w:r w:rsidRPr="00897F14">
        <w:rPr>
          <w:rFonts w:eastAsiaTheme="minorHAnsi" w:cs="Arial"/>
          <w:lang w:eastAsia="en-US"/>
        </w:rPr>
        <w:t xml:space="preserve"> Isaías Torres, quienes dieron</w:t>
      </w:r>
      <w:r w:rsidR="001A081B" w:rsidRPr="00897F14">
        <w:rPr>
          <w:rFonts w:eastAsiaTheme="minorHAnsi" w:cs="Arial"/>
          <w:lang w:eastAsia="en-US"/>
        </w:rPr>
        <w:t xml:space="preserve"> </w:t>
      </w:r>
      <w:r w:rsidRPr="00897F14">
        <w:rPr>
          <w:rFonts w:eastAsiaTheme="minorHAnsi" w:cs="Arial"/>
          <w:lang w:eastAsia="en-US"/>
        </w:rPr>
        <w:t xml:space="preserve">sus testimonios a la </w:t>
      </w:r>
      <w:r w:rsidR="00AB1A22">
        <w:rPr>
          <w:rFonts w:eastAsiaTheme="minorHAnsi" w:cs="Arial"/>
          <w:lang w:eastAsia="en-US"/>
        </w:rPr>
        <w:t>Procuraduría General de Justicia de la Ciudad de México (en adelante la “</w:t>
      </w:r>
      <w:r w:rsidRPr="00897F14">
        <w:rPr>
          <w:rFonts w:eastAsiaTheme="minorHAnsi" w:cs="Arial"/>
          <w:lang w:eastAsia="en-US"/>
        </w:rPr>
        <w:t>PGJDF</w:t>
      </w:r>
      <w:r w:rsidR="00AB1A22">
        <w:rPr>
          <w:rFonts w:eastAsiaTheme="minorHAnsi" w:cs="Arial"/>
          <w:lang w:eastAsia="en-US"/>
        </w:rPr>
        <w:t>”)</w:t>
      </w:r>
      <w:r w:rsidRPr="00897F14">
        <w:rPr>
          <w:rFonts w:eastAsiaTheme="minorHAnsi" w:cs="Arial"/>
          <w:lang w:eastAsia="en-US"/>
        </w:rPr>
        <w:t xml:space="preserve"> el 19 de septiembre de 2007, indicando como presunto</w:t>
      </w:r>
      <w:r w:rsidR="001A081B" w:rsidRPr="00897F14">
        <w:rPr>
          <w:rFonts w:eastAsiaTheme="minorHAnsi" w:cs="Arial"/>
          <w:lang w:eastAsia="en-US"/>
        </w:rPr>
        <w:t xml:space="preserve"> </w:t>
      </w:r>
      <w:r w:rsidRPr="00897F14">
        <w:rPr>
          <w:rFonts w:eastAsiaTheme="minorHAnsi" w:cs="Arial"/>
          <w:lang w:eastAsia="en-US"/>
        </w:rPr>
        <w:t xml:space="preserve">responsable </w:t>
      </w:r>
      <w:r w:rsidRPr="00897F14">
        <w:rPr>
          <w:rFonts w:eastAsiaTheme="minorHAnsi" w:cs="Arial"/>
          <w:lang w:eastAsia="en-US"/>
        </w:rPr>
        <w:lastRenderedPageBreak/>
        <w:t xml:space="preserve">de la muerte de </w:t>
      </w:r>
      <w:r w:rsidR="00897F14">
        <w:rPr>
          <w:rFonts w:eastAsiaTheme="minorHAnsi" w:cs="Arial"/>
          <w:lang w:eastAsia="en-US"/>
        </w:rPr>
        <w:t xml:space="preserve">la señora Digna al señor </w:t>
      </w:r>
      <w:r w:rsidRPr="00897F14">
        <w:rPr>
          <w:rFonts w:eastAsiaTheme="minorHAnsi" w:cs="Arial"/>
          <w:lang w:eastAsia="en-US"/>
        </w:rPr>
        <w:t xml:space="preserve">a </w:t>
      </w:r>
      <w:r w:rsidR="00897F14">
        <w:rPr>
          <w:rFonts w:eastAsiaTheme="minorHAnsi" w:cs="Arial"/>
          <w:lang w:eastAsia="en-US"/>
        </w:rPr>
        <w:t>R.A.A.</w:t>
      </w:r>
      <w:r w:rsidRPr="001610BC">
        <w:rPr>
          <w:rStyle w:val="Refdenotaalpie"/>
          <w:rFonts w:eastAsiaTheme="minorHAnsi" w:cs="Arial"/>
          <w:lang w:eastAsia="en-US"/>
        </w:rPr>
        <w:footnoteReference w:id="178"/>
      </w:r>
      <w:r w:rsidRPr="00897F14">
        <w:rPr>
          <w:rFonts w:eastAsiaTheme="minorHAnsi" w:cs="Arial"/>
          <w:lang w:eastAsia="en-US"/>
        </w:rPr>
        <w:t>. Durante su</w:t>
      </w:r>
      <w:r w:rsidR="001A081B" w:rsidRPr="00897F14">
        <w:rPr>
          <w:rFonts w:eastAsiaTheme="minorHAnsi" w:cs="Arial"/>
          <w:lang w:eastAsia="en-US"/>
        </w:rPr>
        <w:t xml:space="preserve"> </w:t>
      </w:r>
      <w:r w:rsidRPr="00897F14">
        <w:rPr>
          <w:rFonts w:eastAsiaTheme="minorHAnsi" w:cs="Arial"/>
          <w:lang w:eastAsia="en-US"/>
        </w:rPr>
        <w:t>declaración, el señor Isaías Torres manifestó que él y su familia corrían el riesgo de</w:t>
      </w:r>
      <w:r w:rsidR="001A081B" w:rsidRPr="00897F14">
        <w:rPr>
          <w:rFonts w:eastAsiaTheme="minorHAnsi" w:cs="Arial"/>
          <w:lang w:eastAsia="en-US"/>
        </w:rPr>
        <w:t xml:space="preserve"> </w:t>
      </w:r>
      <w:r w:rsidRPr="00897F14">
        <w:rPr>
          <w:rFonts w:eastAsiaTheme="minorHAnsi" w:cs="Arial"/>
          <w:lang w:eastAsia="en-US"/>
        </w:rPr>
        <w:t xml:space="preserve">ser agredidos por </w:t>
      </w:r>
      <w:r w:rsidR="00897F14">
        <w:rPr>
          <w:rFonts w:eastAsiaTheme="minorHAnsi" w:cs="Arial"/>
          <w:lang w:eastAsia="en-US"/>
        </w:rPr>
        <w:t>dicho señor</w:t>
      </w:r>
      <w:r w:rsidRPr="00897F14">
        <w:rPr>
          <w:rFonts w:eastAsiaTheme="minorHAnsi" w:cs="Arial"/>
          <w:lang w:eastAsia="en-US"/>
        </w:rPr>
        <w:t xml:space="preserve"> por el hecho de que él había declarado</w:t>
      </w:r>
      <w:r w:rsidR="001A081B" w:rsidRPr="00897F14">
        <w:rPr>
          <w:rFonts w:eastAsiaTheme="minorHAnsi" w:cs="Arial"/>
          <w:lang w:eastAsia="en-US"/>
        </w:rPr>
        <w:t xml:space="preserve"> </w:t>
      </w:r>
      <w:r w:rsidRPr="00897F14">
        <w:rPr>
          <w:rFonts w:eastAsiaTheme="minorHAnsi" w:cs="Arial"/>
          <w:lang w:eastAsia="en-US"/>
        </w:rPr>
        <w:t>ante la PGJDF</w:t>
      </w:r>
      <w:r w:rsidRPr="001610BC">
        <w:rPr>
          <w:rStyle w:val="Refdenotaalpie"/>
          <w:rFonts w:eastAsiaTheme="minorHAnsi" w:cs="Arial"/>
          <w:lang w:eastAsia="en-US"/>
        </w:rPr>
        <w:footnoteReference w:id="179"/>
      </w:r>
      <w:r w:rsidR="00897F14">
        <w:rPr>
          <w:rFonts w:eastAsiaTheme="minorHAnsi" w:cs="Arial"/>
          <w:lang w:eastAsia="en-US"/>
        </w:rPr>
        <w:t xml:space="preserve">. El Tribunal </w:t>
      </w:r>
      <w:r w:rsidR="00446516">
        <w:rPr>
          <w:rFonts w:eastAsiaTheme="minorHAnsi" w:cs="Arial"/>
          <w:lang w:eastAsia="en-US"/>
        </w:rPr>
        <w:t>advierte</w:t>
      </w:r>
      <w:r w:rsidR="00897F14">
        <w:rPr>
          <w:rFonts w:eastAsiaTheme="minorHAnsi" w:cs="Arial"/>
          <w:lang w:eastAsia="en-US"/>
        </w:rPr>
        <w:t xml:space="preserve"> que el </w:t>
      </w:r>
      <w:r w:rsidRPr="00897F14">
        <w:rPr>
          <w:rFonts w:eastAsiaTheme="minorHAnsi" w:cs="Arial"/>
          <w:lang w:eastAsia="en-US"/>
        </w:rPr>
        <w:t xml:space="preserve">señor Javier Torres </w:t>
      </w:r>
      <w:r w:rsidR="00897F14">
        <w:rPr>
          <w:rFonts w:eastAsiaTheme="minorHAnsi" w:cs="Arial"/>
          <w:lang w:eastAsia="en-US"/>
        </w:rPr>
        <w:t>habría sido</w:t>
      </w:r>
      <w:r w:rsidRPr="00897F14">
        <w:rPr>
          <w:rFonts w:eastAsiaTheme="minorHAnsi" w:cs="Arial"/>
          <w:lang w:eastAsia="en-US"/>
        </w:rPr>
        <w:t xml:space="preserve"> detenido, torturado e interrogado el 3 de</w:t>
      </w:r>
      <w:r w:rsidR="001A081B" w:rsidRPr="00897F14">
        <w:rPr>
          <w:rFonts w:eastAsiaTheme="minorHAnsi" w:cs="Arial"/>
          <w:lang w:eastAsia="en-US"/>
        </w:rPr>
        <w:t xml:space="preserve"> </w:t>
      </w:r>
      <w:r w:rsidRPr="00897F14">
        <w:rPr>
          <w:rFonts w:eastAsiaTheme="minorHAnsi" w:cs="Arial"/>
          <w:lang w:eastAsia="en-US"/>
        </w:rPr>
        <w:t>diciembre de 2008</w:t>
      </w:r>
      <w:r w:rsidRPr="001610BC">
        <w:rPr>
          <w:rStyle w:val="Refdenotaalpie"/>
          <w:rFonts w:eastAsiaTheme="minorHAnsi" w:cs="Arial"/>
          <w:lang w:eastAsia="en-US"/>
        </w:rPr>
        <w:footnoteReference w:id="180"/>
      </w:r>
      <w:r w:rsidRPr="00897F14">
        <w:rPr>
          <w:rFonts w:eastAsiaTheme="minorHAnsi" w:cs="Arial"/>
          <w:lang w:eastAsia="en-US"/>
        </w:rPr>
        <w:t>, y posteriormente, fue encontrad</w:t>
      </w:r>
      <w:r w:rsidR="00897F14">
        <w:rPr>
          <w:rFonts w:eastAsiaTheme="minorHAnsi" w:cs="Arial"/>
          <w:lang w:eastAsia="en-US"/>
        </w:rPr>
        <w:t>o muerto el 19 de abril de 2011</w:t>
      </w:r>
      <w:r w:rsidRPr="001610BC">
        <w:rPr>
          <w:rStyle w:val="Refdenotaalpie"/>
          <w:rFonts w:eastAsiaTheme="minorHAnsi" w:cs="Arial"/>
          <w:lang w:eastAsia="en-US"/>
        </w:rPr>
        <w:footnoteReference w:id="181"/>
      </w:r>
      <w:r w:rsidR="00897F14">
        <w:rPr>
          <w:rFonts w:eastAsiaTheme="minorHAnsi" w:cs="Arial"/>
          <w:lang w:eastAsia="en-US"/>
        </w:rPr>
        <w:t>.</w:t>
      </w:r>
    </w:p>
    <w:p w14:paraId="566B2192" w14:textId="694218B4" w:rsidR="00B94206" w:rsidRPr="001610BC" w:rsidRDefault="00B94206" w:rsidP="00897F14">
      <w:pPr>
        <w:widowControl/>
        <w:tabs>
          <w:tab w:val="left" w:pos="567"/>
          <w:tab w:val="num" w:pos="12305"/>
        </w:tabs>
        <w:autoSpaceDE w:val="0"/>
        <w:autoSpaceDN w:val="0"/>
        <w:spacing w:line="240" w:lineRule="auto"/>
        <w:textAlignment w:val="auto"/>
        <w:rPr>
          <w:rFonts w:eastAsiaTheme="minorHAnsi" w:cs="ArialMT"/>
          <w:lang w:eastAsia="en-US"/>
        </w:rPr>
      </w:pPr>
    </w:p>
    <w:p w14:paraId="7813241C" w14:textId="47252E63" w:rsidR="000A6B13" w:rsidRPr="0095129F" w:rsidRDefault="008A6E07" w:rsidP="008A6E07">
      <w:pPr>
        <w:widowControl/>
        <w:numPr>
          <w:ilvl w:val="0"/>
          <w:numId w:val="4"/>
        </w:numPr>
        <w:tabs>
          <w:tab w:val="left" w:pos="567"/>
          <w:tab w:val="num" w:pos="1569"/>
          <w:tab w:val="num" w:pos="12305"/>
        </w:tabs>
        <w:autoSpaceDE w:val="0"/>
        <w:autoSpaceDN w:val="0"/>
        <w:spacing w:before="60" w:after="60" w:line="240" w:lineRule="auto"/>
        <w:ind w:left="0" w:firstLine="0"/>
        <w:contextualSpacing/>
        <w:textAlignment w:val="auto"/>
      </w:pPr>
      <w:r w:rsidRPr="0095129F">
        <w:t>Adicionalmente</w:t>
      </w:r>
      <w:r w:rsidR="000A6B13" w:rsidRPr="0095129F">
        <w:t xml:space="preserve">, resulta relevante destacar </w:t>
      </w:r>
      <w:r w:rsidR="00446516">
        <w:t xml:space="preserve">que </w:t>
      </w:r>
      <w:r w:rsidR="000A6B13" w:rsidRPr="0095129F">
        <w:t xml:space="preserve">las pruebas testimoniales practicadas a los campesinos de la región no tomaron en consideración su situación </w:t>
      </w:r>
      <w:r w:rsidR="00446516" w:rsidRPr="0095129F">
        <w:t xml:space="preserve">vulnerable </w:t>
      </w:r>
      <w:r w:rsidR="000A6B13" w:rsidRPr="0095129F">
        <w:t>en relación con las dinámicas delictivas de la zona, sino que se trat</w:t>
      </w:r>
      <w:r w:rsidR="00446516">
        <w:t xml:space="preserve">aron </w:t>
      </w:r>
      <w:r w:rsidR="000A6B13" w:rsidRPr="0095129F">
        <w:t>de diligencias ordinarias por exhorto, con preguntas habituales, preestablecidas, contrarias a las recomendaciones del informe preliminar que elaborara la Comisión Interamericana el 28 de marzo de 2002</w:t>
      </w:r>
      <w:r w:rsidR="000A6B13" w:rsidRPr="0095129F">
        <w:rPr>
          <w:rStyle w:val="Refdenotaalpie"/>
        </w:rPr>
        <w:footnoteReference w:id="182"/>
      </w:r>
      <w:r w:rsidR="000A6B13" w:rsidRPr="0095129F">
        <w:t>.</w:t>
      </w:r>
      <w:r w:rsidR="00370213" w:rsidRPr="0095129F">
        <w:t xml:space="preserve"> </w:t>
      </w:r>
      <w:r w:rsidR="000A6B13" w:rsidRPr="0095129F">
        <w:rPr>
          <w:rFonts w:eastAsiaTheme="minorHAnsi" w:cs="Arial"/>
          <w:color w:val="111111"/>
          <w:lang w:eastAsia="en-US"/>
        </w:rPr>
        <w:t>En cuanto a las pruebas testimoniales de los campesinos de la región</w:t>
      </w:r>
      <w:r w:rsidRPr="0095129F">
        <w:rPr>
          <w:rFonts w:eastAsiaTheme="minorHAnsi" w:cs="Arial"/>
          <w:color w:val="111111"/>
          <w:lang w:eastAsia="en-US"/>
        </w:rPr>
        <w:t>, se destaca que</w:t>
      </w:r>
      <w:r w:rsidR="0095129F" w:rsidRPr="0095129F">
        <w:rPr>
          <w:rFonts w:eastAsiaTheme="minorHAnsi" w:cs="Arial"/>
          <w:color w:val="111111"/>
          <w:lang w:eastAsia="en-US"/>
        </w:rPr>
        <w:t>, debido a las particularidades del presente caso</w:t>
      </w:r>
      <w:r w:rsidR="0095129F">
        <w:rPr>
          <w:rFonts w:eastAsiaTheme="minorHAnsi" w:cs="Arial"/>
          <w:color w:val="111111"/>
          <w:lang w:eastAsia="en-US"/>
        </w:rPr>
        <w:t xml:space="preserve"> y los riesgos que enfrentaban los posibles testigos interrogados a sufrir represa</w:t>
      </w:r>
      <w:r w:rsidR="00446516">
        <w:rPr>
          <w:rFonts w:eastAsiaTheme="minorHAnsi" w:cs="Arial"/>
          <w:color w:val="111111"/>
          <w:lang w:eastAsia="en-US"/>
        </w:rPr>
        <w:t>lias,</w:t>
      </w:r>
      <w:r w:rsidR="002942EC">
        <w:rPr>
          <w:rFonts w:eastAsiaTheme="minorHAnsi" w:cs="Arial"/>
          <w:color w:val="111111"/>
          <w:lang w:eastAsia="en-US"/>
        </w:rPr>
        <w:t xml:space="preserve"> </w:t>
      </w:r>
      <w:r w:rsidRPr="0095129F">
        <w:rPr>
          <w:rFonts w:eastAsiaTheme="minorHAnsi" w:cs="Arial"/>
          <w:color w:val="111111"/>
          <w:lang w:eastAsia="en-US"/>
        </w:rPr>
        <w:t xml:space="preserve">estas </w:t>
      </w:r>
      <w:r w:rsidR="000A6B13" w:rsidRPr="0095129F">
        <w:rPr>
          <w:rFonts w:eastAsiaTheme="minorHAnsi" w:cs="Arial"/>
          <w:color w:val="111111"/>
          <w:lang w:eastAsia="en-US"/>
        </w:rPr>
        <w:t>requerían de una metodología especial más allá de la rutinaria práctica de comisionar al funcionario de la zona para que evacue un cuestionario enviado previamente, sin que tenga la posibilidad del c</w:t>
      </w:r>
      <w:r w:rsidR="0095129F">
        <w:rPr>
          <w:rFonts w:eastAsiaTheme="minorHAnsi" w:cs="Arial"/>
          <w:color w:val="111111"/>
          <w:lang w:eastAsia="en-US"/>
        </w:rPr>
        <w:t xml:space="preserve">onocimiento del expediente, </w:t>
      </w:r>
      <w:r w:rsidR="000A6B13" w:rsidRPr="0095129F">
        <w:rPr>
          <w:rFonts w:eastAsiaTheme="minorHAnsi" w:cs="Arial"/>
          <w:color w:val="111111"/>
          <w:lang w:eastAsia="en-US"/>
        </w:rPr>
        <w:t xml:space="preserve">de la </w:t>
      </w:r>
      <w:r w:rsidR="000A6B13" w:rsidRPr="0095129F">
        <w:rPr>
          <w:rFonts w:eastAsiaTheme="minorHAnsi" w:cs="Arial"/>
          <w:lang w:eastAsia="en-US"/>
        </w:rPr>
        <w:t>finalidad</w:t>
      </w:r>
      <w:r w:rsidR="000A6B13" w:rsidRPr="0095129F">
        <w:rPr>
          <w:rFonts w:eastAsiaTheme="minorHAnsi" w:cs="Arial"/>
          <w:color w:val="111111"/>
          <w:lang w:eastAsia="en-US"/>
        </w:rPr>
        <w:t xml:space="preserve"> de la prueba</w:t>
      </w:r>
      <w:r w:rsidR="0095129F">
        <w:rPr>
          <w:rFonts w:eastAsiaTheme="minorHAnsi" w:cs="Arial"/>
          <w:color w:val="111111"/>
          <w:lang w:eastAsia="en-US"/>
        </w:rPr>
        <w:t xml:space="preserve"> y del contexto en el que la misma se desarrolla</w:t>
      </w:r>
      <w:r w:rsidR="000A6B13" w:rsidRPr="0095129F">
        <w:rPr>
          <w:rFonts w:eastAsiaTheme="minorHAnsi" w:cs="Arial"/>
          <w:color w:val="111111"/>
          <w:lang w:eastAsia="en-US"/>
        </w:rPr>
        <w:t xml:space="preserve">. </w:t>
      </w:r>
      <w:r w:rsidRPr="0095129F">
        <w:rPr>
          <w:rFonts w:eastAsiaTheme="minorHAnsi" w:cs="Arial"/>
          <w:color w:val="111111"/>
          <w:lang w:eastAsia="en-US"/>
        </w:rPr>
        <w:t>P</w:t>
      </w:r>
      <w:r w:rsidR="000A6B13" w:rsidRPr="0095129F">
        <w:rPr>
          <w:rFonts w:eastAsiaTheme="minorHAnsi" w:cs="Arial"/>
          <w:color w:val="111111"/>
          <w:lang w:eastAsia="en-US"/>
        </w:rPr>
        <w:t xml:space="preserve">or el contrario, </w:t>
      </w:r>
      <w:r w:rsidRPr="0095129F">
        <w:rPr>
          <w:rFonts w:eastAsiaTheme="minorHAnsi" w:cs="Arial"/>
          <w:color w:val="111111"/>
          <w:lang w:eastAsia="en-US"/>
        </w:rPr>
        <w:t xml:space="preserve">las declaraciones </w:t>
      </w:r>
      <w:r w:rsidR="000A6B13" w:rsidRPr="0095129F">
        <w:rPr>
          <w:rFonts w:eastAsiaTheme="minorHAnsi" w:cs="Arial"/>
          <w:color w:val="111111"/>
          <w:lang w:eastAsia="en-US"/>
        </w:rPr>
        <w:t>continuaron practicándose por exhorto a las autoridades de la Procuraduría</w:t>
      </w:r>
      <w:r w:rsidRPr="0095129F">
        <w:rPr>
          <w:rFonts w:eastAsiaTheme="minorHAnsi" w:cs="Arial"/>
          <w:color w:val="111111"/>
          <w:lang w:eastAsia="en-US"/>
        </w:rPr>
        <w:t xml:space="preserve"> </w:t>
      </w:r>
      <w:r w:rsidR="000A6B13" w:rsidRPr="0095129F">
        <w:rPr>
          <w:rFonts w:eastAsiaTheme="minorHAnsi" w:cs="Arial"/>
          <w:color w:val="111111"/>
          <w:lang w:eastAsia="en-US"/>
        </w:rPr>
        <w:t xml:space="preserve">de Guerrero con competencia en esa región </w:t>
      </w:r>
      <w:r w:rsidR="000A6B13" w:rsidRPr="0095129F">
        <w:rPr>
          <w:rFonts w:eastAsiaTheme="minorHAnsi"/>
          <w:color w:val="111111"/>
          <w:lang w:eastAsia="en-US"/>
        </w:rPr>
        <w:t xml:space="preserve">y </w:t>
      </w:r>
      <w:r w:rsidR="000A6B13" w:rsidRPr="0095129F">
        <w:rPr>
          <w:rFonts w:eastAsiaTheme="minorHAnsi" w:cs="Arial"/>
          <w:color w:val="111111"/>
          <w:lang w:eastAsia="en-US"/>
        </w:rPr>
        <w:t>a quienes la comunidad ha cuestionado por</w:t>
      </w:r>
      <w:r w:rsidRPr="0095129F">
        <w:rPr>
          <w:rFonts w:eastAsiaTheme="minorHAnsi" w:cs="Arial"/>
          <w:color w:val="111111"/>
          <w:lang w:eastAsia="en-US"/>
        </w:rPr>
        <w:t xml:space="preserve"> </w:t>
      </w:r>
      <w:r w:rsidR="000A6B13" w:rsidRPr="0095129F">
        <w:rPr>
          <w:rFonts w:eastAsiaTheme="minorHAnsi" w:cs="Arial"/>
          <w:color w:val="111111"/>
          <w:lang w:eastAsia="en-US"/>
        </w:rPr>
        <w:t xml:space="preserve">sus vínculos con los </w:t>
      </w:r>
      <w:r w:rsidR="0095129F">
        <w:rPr>
          <w:rFonts w:eastAsiaTheme="minorHAnsi" w:cs="Arial"/>
          <w:color w:val="282828"/>
          <w:lang w:eastAsia="en-US"/>
        </w:rPr>
        <w:t>“caciques”</w:t>
      </w:r>
      <w:r w:rsidR="000A6B13" w:rsidRPr="0095129F">
        <w:rPr>
          <w:rFonts w:eastAsiaTheme="minorHAnsi" w:cs="Arial"/>
          <w:color w:val="282828"/>
          <w:lang w:eastAsia="en-US"/>
        </w:rPr>
        <w:t xml:space="preserve"> </w:t>
      </w:r>
      <w:r w:rsidR="000A6B13" w:rsidRPr="0095129F">
        <w:rPr>
          <w:rFonts w:eastAsiaTheme="minorHAnsi"/>
          <w:color w:val="111111"/>
          <w:lang w:eastAsia="en-US"/>
        </w:rPr>
        <w:t xml:space="preserve">y </w:t>
      </w:r>
      <w:r w:rsidR="000A6B13" w:rsidRPr="0095129F">
        <w:rPr>
          <w:rFonts w:eastAsiaTheme="minorHAnsi" w:cs="Arial"/>
          <w:color w:val="111111"/>
          <w:lang w:eastAsia="en-US"/>
        </w:rPr>
        <w:t xml:space="preserve">las actividades ilícitas que </w:t>
      </w:r>
      <w:r w:rsidR="0095129F" w:rsidRPr="0095129F">
        <w:rPr>
          <w:rFonts w:eastAsiaTheme="minorHAnsi" w:cs="Arial"/>
          <w:color w:val="111111"/>
          <w:lang w:eastAsia="en-US"/>
        </w:rPr>
        <w:t xml:space="preserve">allí </w:t>
      </w:r>
      <w:r w:rsidR="0095129F">
        <w:rPr>
          <w:rFonts w:eastAsiaTheme="minorHAnsi" w:cs="Arial"/>
          <w:color w:val="111111"/>
          <w:lang w:eastAsia="en-US"/>
        </w:rPr>
        <w:t>se desarrollaban</w:t>
      </w:r>
      <w:r w:rsidR="000A6B13" w:rsidRPr="0095129F">
        <w:rPr>
          <w:rStyle w:val="Refdenotaalpie"/>
          <w:rFonts w:eastAsiaTheme="minorHAnsi" w:cs="Arial"/>
          <w:color w:val="111111"/>
          <w:lang w:eastAsia="en-US"/>
        </w:rPr>
        <w:footnoteReference w:id="183"/>
      </w:r>
      <w:r w:rsidR="0095129F">
        <w:rPr>
          <w:rFonts w:eastAsiaTheme="minorHAnsi" w:cs="Arial"/>
          <w:color w:val="111111"/>
          <w:lang w:eastAsia="en-US"/>
        </w:rPr>
        <w:t>, lo cual obstaculiza la obtención de testimonios fiables que permitan esclarecer los hechos</w:t>
      </w:r>
      <w:r w:rsidR="000A6B13" w:rsidRPr="0095129F">
        <w:rPr>
          <w:rFonts w:eastAsiaTheme="minorHAnsi" w:cs="Arial"/>
          <w:color w:val="111111"/>
          <w:lang w:eastAsia="en-US"/>
        </w:rPr>
        <w:t>.</w:t>
      </w:r>
    </w:p>
    <w:p w14:paraId="6822E862" w14:textId="77777777" w:rsidR="00431DC9" w:rsidRPr="008A6E07" w:rsidRDefault="00431DC9" w:rsidP="00431DC9">
      <w:pPr>
        <w:widowControl/>
        <w:tabs>
          <w:tab w:val="left" w:pos="567"/>
        </w:tabs>
        <w:autoSpaceDE w:val="0"/>
        <w:autoSpaceDN w:val="0"/>
        <w:spacing w:before="60" w:after="60" w:line="240" w:lineRule="auto"/>
        <w:contextualSpacing/>
        <w:textAlignment w:val="auto"/>
      </w:pPr>
    </w:p>
    <w:p w14:paraId="574F0666" w14:textId="047619C3" w:rsidR="00254389" w:rsidRDefault="00254389" w:rsidP="00254389">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sidRPr="001610BC">
        <w:rPr>
          <w:rFonts w:eastAsiaTheme="minorHAnsi" w:cs="Arial"/>
          <w:lang w:eastAsia="en-US"/>
        </w:rPr>
        <w:t xml:space="preserve">En virtud de lo anterior, </w:t>
      </w:r>
      <w:r>
        <w:rPr>
          <w:rFonts w:eastAsiaTheme="minorHAnsi" w:cs="Arial"/>
          <w:lang w:eastAsia="en-US"/>
        </w:rPr>
        <w:t xml:space="preserve">el Tribunal considera que </w:t>
      </w:r>
      <w:r w:rsidRPr="001610BC">
        <w:rPr>
          <w:rFonts w:eastAsiaTheme="minorHAnsi" w:cs="Arial"/>
          <w:lang w:eastAsia="en-US"/>
        </w:rPr>
        <w:t xml:space="preserve">el Estado no tomó medidas adecuadas para identificar a declarantes que podrían tener algún temor en declarar ni tampoco adoptó medidas de protección a favor de testigos vinculados con la muerte </w:t>
      </w:r>
      <w:r>
        <w:rPr>
          <w:rFonts w:eastAsiaTheme="minorHAnsi" w:cs="Arial"/>
          <w:lang w:eastAsia="en-US"/>
        </w:rPr>
        <w:t xml:space="preserve">de la </w:t>
      </w:r>
      <w:r w:rsidR="001F344D">
        <w:rPr>
          <w:rFonts w:eastAsiaTheme="minorHAnsi" w:cs="Arial"/>
          <w:lang w:eastAsia="en-US"/>
        </w:rPr>
        <w:t>señora Digna Ochoa</w:t>
      </w:r>
      <w:r w:rsidRPr="001610BC">
        <w:rPr>
          <w:rFonts w:eastAsiaTheme="minorHAnsi" w:cs="Arial"/>
          <w:lang w:eastAsia="en-US"/>
        </w:rPr>
        <w:t>, lo cual</w:t>
      </w:r>
      <w:r w:rsidR="007439AA">
        <w:rPr>
          <w:rFonts w:eastAsiaTheme="minorHAnsi" w:cs="Arial"/>
          <w:lang w:eastAsia="en-US"/>
        </w:rPr>
        <w:t>,</w:t>
      </w:r>
      <w:r w:rsidRPr="001610BC">
        <w:rPr>
          <w:rFonts w:eastAsiaTheme="minorHAnsi" w:cs="Arial"/>
          <w:lang w:eastAsia="en-US"/>
        </w:rPr>
        <w:t xml:space="preserve"> </w:t>
      </w:r>
      <w:r w:rsidR="002D572B">
        <w:rPr>
          <w:rFonts w:eastAsiaTheme="minorHAnsi" w:cs="Arial"/>
          <w:lang w:eastAsia="en-US"/>
        </w:rPr>
        <w:t>inevitablemente</w:t>
      </w:r>
      <w:r w:rsidR="007439AA">
        <w:rPr>
          <w:rFonts w:eastAsiaTheme="minorHAnsi" w:cs="Arial"/>
          <w:lang w:eastAsia="en-US"/>
        </w:rPr>
        <w:t>,</w:t>
      </w:r>
      <w:r w:rsidR="002D572B">
        <w:rPr>
          <w:rFonts w:eastAsiaTheme="minorHAnsi" w:cs="Arial"/>
          <w:lang w:eastAsia="en-US"/>
        </w:rPr>
        <w:t xml:space="preserve"> </w:t>
      </w:r>
      <w:r w:rsidR="0095129F">
        <w:rPr>
          <w:rFonts w:eastAsiaTheme="minorHAnsi" w:cs="Arial"/>
          <w:lang w:eastAsia="en-US"/>
        </w:rPr>
        <w:t>pudo</w:t>
      </w:r>
      <w:r w:rsidR="002D572B">
        <w:rPr>
          <w:rFonts w:eastAsiaTheme="minorHAnsi" w:cs="Arial"/>
          <w:lang w:eastAsia="en-US"/>
        </w:rPr>
        <w:t xml:space="preserve"> influir en el res</w:t>
      </w:r>
      <w:r>
        <w:rPr>
          <w:rFonts w:eastAsiaTheme="minorHAnsi" w:cs="Arial"/>
          <w:lang w:eastAsia="en-US"/>
        </w:rPr>
        <w:t xml:space="preserve">ultado fiable de algunos de los </w:t>
      </w:r>
      <w:r w:rsidRPr="001610BC">
        <w:rPr>
          <w:rFonts w:eastAsiaTheme="minorHAnsi" w:cs="Arial"/>
          <w:lang w:eastAsia="en-US"/>
        </w:rPr>
        <w:t>testimonios</w:t>
      </w:r>
      <w:r>
        <w:rPr>
          <w:rFonts w:eastAsiaTheme="minorHAnsi" w:cs="Arial"/>
          <w:lang w:eastAsia="en-US"/>
        </w:rPr>
        <w:t xml:space="preserve">. </w:t>
      </w:r>
    </w:p>
    <w:p w14:paraId="223A586D" w14:textId="1C0B452D" w:rsidR="00F5500D" w:rsidRDefault="00F5500D" w:rsidP="004C50FC">
      <w:pPr>
        <w:pStyle w:val="Ttulo3"/>
        <w:rPr>
          <w:lang w:val="es-ES"/>
        </w:rPr>
      </w:pPr>
      <w:r w:rsidRPr="001610BC">
        <w:rPr>
          <w:lang w:val="es-ES"/>
        </w:rPr>
        <w:tab/>
      </w:r>
      <w:bookmarkStart w:id="68" w:name="_Toc93400258"/>
      <w:r w:rsidRPr="001610BC">
        <w:rPr>
          <w:lang w:val="es-ES"/>
        </w:rPr>
        <w:t>b.2 Utilización de estereotipos de género</w:t>
      </w:r>
      <w:bookmarkEnd w:id="68"/>
    </w:p>
    <w:p w14:paraId="39E4337B" w14:textId="21FFBE9E" w:rsidR="001120FA" w:rsidRPr="00D12723" w:rsidRDefault="00BB129E" w:rsidP="005F2C1A">
      <w:pPr>
        <w:numPr>
          <w:ilvl w:val="0"/>
          <w:numId w:val="4"/>
        </w:numPr>
        <w:tabs>
          <w:tab w:val="left" w:pos="567"/>
        </w:tabs>
        <w:spacing w:line="240" w:lineRule="auto"/>
        <w:ind w:left="0" w:firstLine="0"/>
        <w:rPr>
          <w:rFonts w:eastAsia="Calibri"/>
          <w:lang w:eastAsia="es-MX"/>
        </w:rPr>
      </w:pPr>
      <w:r w:rsidRPr="00D12723">
        <w:rPr>
          <w:rFonts w:eastAsia="Batang"/>
          <w:lang w:eastAsia="es-MX"/>
        </w:rPr>
        <w:t>Este Tribunal ya</w:t>
      </w:r>
      <w:r w:rsidRPr="00D12723">
        <w:rPr>
          <w:rStyle w:val="markedcontent"/>
          <w:rFonts w:eastAsia="MS Mincho" w:cs="Arial"/>
        </w:rPr>
        <w:t xml:space="preserve"> ha resaltado en numerosas ocasiones la importancia de reconocer, visibilizar y rechazar los </w:t>
      </w:r>
      <w:r w:rsidRPr="00D12723">
        <w:rPr>
          <w:rStyle w:val="highlight"/>
          <w:rFonts w:eastAsia="Verdana" w:cs="Arial"/>
        </w:rPr>
        <w:t>estereot</w:t>
      </w:r>
      <w:r w:rsidRPr="00D12723">
        <w:rPr>
          <w:rStyle w:val="markedcontent"/>
          <w:rFonts w:eastAsia="MS Mincho" w:cs="Arial"/>
        </w:rPr>
        <w:t xml:space="preserve">ipos de género negativos, que son una de las causas y consecuencias de la violencia de género en contra de la mujer, a </w:t>
      </w:r>
      <w:r w:rsidRPr="00D12723">
        <w:rPr>
          <w:rFonts w:eastAsia="Batang"/>
          <w:lang w:eastAsia="es-MX"/>
        </w:rPr>
        <w:t>fin</w:t>
      </w:r>
      <w:r w:rsidRPr="00D12723">
        <w:rPr>
          <w:rStyle w:val="markedcontent"/>
          <w:rFonts w:eastAsia="MS Mincho" w:cs="Arial"/>
        </w:rPr>
        <w:t xml:space="preserve"> de modificar las condiciones socio-culturales que </w:t>
      </w:r>
      <w:r w:rsidRPr="00D12723">
        <w:rPr>
          <w:rStyle w:val="markedcontent"/>
          <w:rFonts w:eastAsia="MS Mincho" w:cs="Arial"/>
        </w:rPr>
        <w:lastRenderedPageBreak/>
        <w:t>permiten y perpetúan la subordinación de la mujer</w:t>
      </w:r>
      <w:r w:rsidRPr="00D71AB9">
        <w:rPr>
          <w:rStyle w:val="Refdenotaalpie"/>
          <w:rFonts w:eastAsiaTheme="minorHAnsi" w:cs="Arial"/>
          <w:lang w:eastAsia="en-US"/>
        </w:rPr>
        <w:footnoteReference w:id="184"/>
      </w:r>
      <w:r w:rsidRPr="00D12723">
        <w:rPr>
          <w:rStyle w:val="markedcontent"/>
          <w:rFonts w:eastAsia="MS Mincho" w:cs="Arial"/>
        </w:rPr>
        <w:t>. A este respecto, la</w:t>
      </w:r>
      <w:r w:rsidR="001120FA" w:rsidRPr="00D12723">
        <w:rPr>
          <w:rFonts w:eastAsia="Batang"/>
          <w:lang w:eastAsia="es-MX"/>
        </w:rPr>
        <w:t xml:space="preserve"> Corte reitera que el estereotipo de género se refiere a una pre-concepción de atributos, conductas o características poseídas o papeles que son o deberían ser ejecutados por hombres y mujeres respectivamente, y que es posible asociar la </w:t>
      </w:r>
      <w:r w:rsidR="001120FA" w:rsidRPr="00D12723">
        <w:rPr>
          <w:rFonts w:eastAsia="Calibri"/>
          <w:lang w:eastAsia="en-US"/>
        </w:rPr>
        <w:t>subordinación</w:t>
      </w:r>
      <w:r w:rsidR="001120FA" w:rsidRPr="00D12723">
        <w:rPr>
          <w:rFonts w:eastAsia="Batang"/>
          <w:lang w:eastAsia="es-MX"/>
        </w:rPr>
        <w:t xml:space="preserve"> de la mujer a prácticas basadas en estereotipos de género socialmente dominantes y socialmente persistentes. En este sentido, </w:t>
      </w:r>
      <w:r w:rsidR="001120FA" w:rsidRPr="0093488D">
        <w:t>su</w:t>
      </w:r>
      <w:r w:rsidR="001120FA" w:rsidRPr="00D12723">
        <w:rPr>
          <w:rFonts w:eastAsia="Batang" w:cs="Arial"/>
          <w:lang w:eastAsia="es-MX"/>
        </w:rPr>
        <w:t xml:space="preserve"> creación y uso se convierte en una de las causas y consecuencias de la violencia de género en contra de la mujer</w:t>
      </w:r>
      <w:r w:rsidR="001120FA" w:rsidRPr="00D12723">
        <w:rPr>
          <w:rFonts w:eastAsia="Batang"/>
          <w:lang w:eastAsia="es-MX"/>
        </w:rPr>
        <w:t xml:space="preserve">, condiciones que se agravan cuando se reflejan, implícita o explícitamente, en políticas y prácticas, particularmente en el razonamiento y el lenguaje de las </w:t>
      </w:r>
      <w:r w:rsidR="001120FA" w:rsidRPr="00D12723">
        <w:rPr>
          <w:rFonts w:eastAsia="Calibri"/>
          <w:spacing w:val="-2"/>
        </w:rPr>
        <w:t>autoridades</w:t>
      </w:r>
      <w:r w:rsidR="001120FA" w:rsidRPr="00D12723">
        <w:rPr>
          <w:rFonts w:eastAsia="Batang"/>
          <w:lang w:eastAsia="es-MX"/>
        </w:rPr>
        <w:t xml:space="preserve"> estatales</w:t>
      </w:r>
      <w:r w:rsidR="001120FA" w:rsidRPr="0093488D">
        <w:rPr>
          <w:rFonts w:eastAsia="Batang"/>
          <w:vertAlign w:val="superscript"/>
          <w:lang w:eastAsia="es-MX"/>
        </w:rPr>
        <w:footnoteReference w:id="185"/>
      </w:r>
      <w:r w:rsidR="001120FA" w:rsidRPr="00D12723">
        <w:rPr>
          <w:rFonts w:eastAsia="Batang"/>
          <w:lang w:eastAsia="es-MX"/>
        </w:rPr>
        <w:t>.</w:t>
      </w:r>
      <w:r w:rsidR="00D12723" w:rsidRPr="00D12723">
        <w:rPr>
          <w:rFonts w:eastAsiaTheme="minorHAnsi" w:cs="SegoeUI-Semilight"/>
          <w:lang w:eastAsia="en-US"/>
        </w:rPr>
        <w:t xml:space="preserve"> </w:t>
      </w:r>
    </w:p>
    <w:p w14:paraId="291F13CA" w14:textId="77777777" w:rsidR="001120FA" w:rsidRPr="001120FA" w:rsidRDefault="001120FA" w:rsidP="001120FA">
      <w:pPr>
        <w:tabs>
          <w:tab w:val="left" w:pos="567"/>
        </w:tabs>
        <w:spacing w:line="240" w:lineRule="auto"/>
        <w:rPr>
          <w:rFonts w:eastAsia="Calibri"/>
          <w:lang w:eastAsia="es-MX"/>
        </w:rPr>
      </w:pPr>
    </w:p>
    <w:p w14:paraId="7E331B2C" w14:textId="2E45D8DC" w:rsidR="001120FA" w:rsidRPr="008640F3" w:rsidRDefault="00BB129E" w:rsidP="001120FA">
      <w:pPr>
        <w:numPr>
          <w:ilvl w:val="0"/>
          <w:numId w:val="4"/>
        </w:numPr>
        <w:tabs>
          <w:tab w:val="left" w:pos="567"/>
        </w:tabs>
        <w:spacing w:line="240" w:lineRule="auto"/>
        <w:ind w:left="0" w:firstLine="0"/>
      </w:pPr>
      <w:r>
        <w:rPr>
          <w:rFonts w:eastAsia="Calibri"/>
          <w:lang w:eastAsia="en-US"/>
        </w:rPr>
        <w:t xml:space="preserve">En lo que se refiere al ámbito de las investigaciones de denuncias que se les presentan, </w:t>
      </w:r>
      <w:r w:rsidR="001120FA" w:rsidRPr="0093488D">
        <w:rPr>
          <w:rFonts w:eastAsia="Calibri"/>
          <w:lang w:eastAsia="en-US"/>
        </w:rPr>
        <w:t>la Corte</w:t>
      </w:r>
      <w:r w:rsidR="001120FA" w:rsidRPr="0093488D">
        <w:t xml:space="preserve"> ha reconocido que los prejuicios personales y los estereotipos de género afectan la objetividad de los funcionarios estatales encargados de investigar </w:t>
      </w:r>
      <w:r w:rsidR="00312DD4">
        <w:t>dichas</w:t>
      </w:r>
      <w:r>
        <w:t xml:space="preserve"> denuncias</w:t>
      </w:r>
      <w:r w:rsidR="001120FA" w:rsidRPr="0093488D">
        <w:t>, influyendo en su percepción para determinar si ocurrió́ o no un hecho de violencia, en su evaluación de la credibilidad de los testigos y de la propia víctima</w:t>
      </w:r>
      <w:r w:rsidR="001120FA" w:rsidRPr="0093488D">
        <w:rPr>
          <w:rFonts w:eastAsia="Calibri"/>
          <w:lang w:eastAsia="en-US"/>
        </w:rPr>
        <w:t xml:space="preserve">. Los </w:t>
      </w:r>
      <w:r w:rsidR="001120FA" w:rsidRPr="00BB129E">
        <w:rPr>
          <w:rFonts w:eastAsia="Batang"/>
          <w:lang w:eastAsia="es-MX"/>
        </w:rPr>
        <w:t>estereotipos</w:t>
      </w:r>
      <w:r w:rsidR="001120FA" w:rsidRPr="0093488D">
        <w:rPr>
          <w:rFonts w:eastAsia="Calibri"/>
          <w:lang w:eastAsia="en-US"/>
        </w:rPr>
        <w:t xml:space="preserve"> “distorsionan las percepciones y dan lugar a decisiones basadas en creencias preconcebidas y mitos, en lugar de hechos”, lo que a su</w:t>
      </w:r>
      <w:r w:rsidR="001120FA" w:rsidRPr="0093488D">
        <w:rPr>
          <w:rFonts w:eastAsia="Calibri"/>
          <w:color w:val="1A1A1A"/>
          <w:lang w:eastAsia="en-US"/>
        </w:rPr>
        <w:t xml:space="preserve"> vez puede dar lugar a la denegación de</w:t>
      </w:r>
      <w:r w:rsidR="001120FA" w:rsidRPr="0093488D">
        <w:t xml:space="preserve"> </w:t>
      </w:r>
      <w:r w:rsidR="001120FA" w:rsidRPr="0093488D">
        <w:rPr>
          <w:rFonts w:eastAsia="Calibri"/>
          <w:color w:val="1A1A1A"/>
          <w:lang w:eastAsia="en-US"/>
        </w:rPr>
        <w:t>justicia, incluida la revictimización de las denunciantes</w:t>
      </w:r>
      <w:r w:rsidR="001120FA" w:rsidRPr="0093488D">
        <w:rPr>
          <w:rFonts w:eastAsia="Calibri" w:cs="Cambria"/>
          <w:color w:val="1A1A1A"/>
          <w:vertAlign w:val="superscript"/>
          <w:lang w:eastAsia="en-US"/>
        </w:rPr>
        <w:footnoteReference w:id="186"/>
      </w:r>
      <w:r w:rsidR="001120FA" w:rsidRPr="0093488D">
        <w:rPr>
          <w:rFonts w:eastAsia="Calibri"/>
          <w:color w:val="1A1A1A"/>
          <w:lang w:eastAsia="en-US"/>
        </w:rPr>
        <w:t xml:space="preserve">. </w:t>
      </w:r>
      <w:r>
        <w:rPr>
          <w:rFonts w:eastAsia="Calibri"/>
          <w:color w:val="1A1A1A"/>
          <w:lang w:eastAsia="en-US"/>
        </w:rPr>
        <w:t>Además, c</w:t>
      </w:r>
      <w:r w:rsidR="001120FA" w:rsidRPr="0093488D">
        <w:rPr>
          <w:rFonts w:eastAsia="Calibri"/>
          <w:color w:val="1A1A1A"/>
          <w:lang w:eastAsia="en-US"/>
        </w:rPr>
        <w:t xml:space="preserve">uando se utilizan estereotipos en las investigaciones de violencia contra la mujer se afecta el derecho a una vida libre de violencia, más aún en los casos en que </w:t>
      </w:r>
      <w:r w:rsidR="001120FA">
        <w:rPr>
          <w:rFonts w:eastAsia="Calibri"/>
          <w:color w:val="1A1A1A"/>
          <w:lang w:eastAsia="en-US"/>
        </w:rPr>
        <w:t>su empleo</w:t>
      </w:r>
      <w:r w:rsidR="001120FA" w:rsidRPr="0093488D">
        <w:rPr>
          <w:rFonts w:eastAsia="Calibri"/>
          <w:color w:val="1A1A1A"/>
          <w:lang w:eastAsia="en-US"/>
        </w:rPr>
        <w:t xml:space="preserve"> por parte de los operadores jurídicos impide el desarrollo de investigaciones apropiadas, denegándose, además, el derecho </w:t>
      </w:r>
      <w:r w:rsidR="001120FA">
        <w:rPr>
          <w:rFonts w:eastAsia="Calibri"/>
          <w:color w:val="1A1A1A"/>
          <w:lang w:eastAsia="en-US"/>
        </w:rPr>
        <w:t>de</w:t>
      </w:r>
      <w:r w:rsidR="001120FA" w:rsidRPr="0093488D">
        <w:rPr>
          <w:rFonts w:eastAsia="Calibri"/>
          <w:color w:val="1A1A1A"/>
          <w:lang w:eastAsia="en-US"/>
        </w:rPr>
        <w:t xml:space="preserve"> acceso a la justicia de las mujeres. A su vez, cuando el Estado no desarrolla acciones concretas para erradicarlos, los refuerza e institucionaliza, lo cual genera y reproduce</w:t>
      </w:r>
      <w:r w:rsidR="001120FA">
        <w:rPr>
          <w:rFonts w:eastAsia="Calibri"/>
          <w:color w:val="1A1A1A"/>
          <w:lang w:eastAsia="en-US"/>
        </w:rPr>
        <w:t xml:space="preserve"> la</w:t>
      </w:r>
      <w:r w:rsidR="001120FA" w:rsidRPr="0093488D">
        <w:rPr>
          <w:rFonts w:eastAsia="Calibri"/>
          <w:color w:val="1A1A1A"/>
          <w:lang w:eastAsia="en-US"/>
        </w:rPr>
        <w:t xml:space="preserve"> violencia contra la mujer</w:t>
      </w:r>
      <w:r w:rsidR="001120FA" w:rsidRPr="0093488D">
        <w:rPr>
          <w:rFonts w:eastAsia="Calibri" w:cs="Cambria"/>
          <w:color w:val="1A1A1A"/>
          <w:vertAlign w:val="superscript"/>
          <w:lang w:eastAsia="en-US"/>
        </w:rPr>
        <w:footnoteReference w:id="187"/>
      </w:r>
      <w:r w:rsidR="001120FA" w:rsidRPr="0093488D">
        <w:rPr>
          <w:rFonts w:eastAsia="Calibri"/>
          <w:color w:val="1A1A1A"/>
          <w:lang w:eastAsia="en-US"/>
        </w:rPr>
        <w:t>.</w:t>
      </w:r>
      <w:r w:rsidR="00D12723">
        <w:rPr>
          <w:rFonts w:eastAsia="Calibri"/>
          <w:color w:val="1A1A1A"/>
          <w:lang w:eastAsia="en-US"/>
        </w:rPr>
        <w:t xml:space="preserve"> </w:t>
      </w:r>
      <w:r w:rsidR="00D12723">
        <w:rPr>
          <w:rFonts w:eastAsiaTheme="minorHAnsi" w:cs="SegoeUI-Semilight"/>
          <w:lang w:eastAsia="en-US"/>
        </w:rPr>
        <w:t>Por tanto, los</w:t>
      </w:r>
      <w:r w:rsidR="00D12723" w:rsidRPr="001610BC">
        <w:rPr>
          <w:rFonts w:eastAsiaTheme="minorHAnsi" w:cs="SegoeUI-Semilight"/>
          <w:lang w:eastAsia="en-US"/>
        </w:rPr>
        <w:t xml:space="preserve"> Estados tienen la obligación de adoptar un enfoque diferenciado que incluya la discriminación y estereotipos de género que han acentuado históricamente la violencia contra las mujeres y personas defensoras</w:t>
      </w:r>
      <w:r w:rsidR="00D12723">
        <w:rPr>
          <w:rFonts w:eastAsiaTheme="minorHAnsi" w:cs="SegoeUI-Semilight"/>
          <w:lang w:eastAsia="en-US"/>
        </w:rPr>
        <w:t>.</w:t>
      </w:r>
    </w:p>
    <w:p w14:paraId="4115D841" w14:textId="005317AD" w:rsidR="008640F3" w:rsidRDefault="008640F3" w:rsidP="008640F3">
      <w:pPr>
        <w:tabs>
          <w:tab w:val="left" w:pos="567"/>
        </w:tabs>
        <w:spacing w:line="240" w:lineRule="auto"/>
        <w:rPr>
          <w:rFonts w:eastAsiaTheme="minorHAnsi" w:cs="SegoeUI-Semilight"/>
          <w:lang w:eastAsia="en-US"/>
        </w:rPr>
      </w:pPr>
    </w:p>
    <w:p w14:paraId="39FEA2F2" w14:textId="53140D41" w:rsidR="00421C60" w:rsidRPr="008640F3" w:rsidRDefault="008640F3" w:rsidP="00DC6DD4">
      <w:pPr>
        <w:widowControl/>
        <w:numPr>
          <w:ilvl w:val="0"/>
          <w:numId w:val="4"/>
        </w:numPr>
        <w:tabs>
          <w:tab w:val="left" w:pos="567"/>
          <w:tab w:val="num" w:pos="1569"/>
          <w:tab w:val="num" w:pos="12305"/>
        </w:tabs>
        <w:adjustRightInd/>
        <w:spacing w:line="240" w:lineRule="auto"/>
        <w:ind w:left="0" w:firstLine="0"/>
        <w:textAlignment w:val="auto"/>
        <w:rPr>
          <w:rFonts w:eastAsia="Batang"/>
          <w:lang w:eastAsia="es-MX"/>
        </w:rPr>
      </w:pPr>
      <w:r w:rsidRPr="008640F3">
        <w:rPr>
          <w:rFonts w:eastAsiaTheme="minorHAnsi" w:cs="Arial"/>
          <w:lang w:eastAsia="en-US"/>
        </w:rPr>
        <w:t>El Tribunal también destaca que las mujeres defensoras de los derechos humanos sufren obstáculos adicionales vinculados con la discriminación de género y son víctimas de estigmatización, se les expone a comentarios de contenido sexista o misógino o no se asumen con seriedad sus denuncias</w:t>
      </w:r>
      <w:r w:rsidRPr="008640F3">
        <w:rPr>
          <w:rStyle w:val="Refdenotaalpie"/>
          <w:rFonts w:eastAsiaTheme="minorHAnsi" w:cs="Arial"/>
          <w:lang w:eastAsia="en-US"/>
        </w:rPr>
        <w:footnoteReference w:id="188"/>
      </w:r>
      <w:r w:rsidRPr="008640F3">
        <w:rPr>
          <w:rFonts w:eastAsiaTheme="minorHAnsi" w:cs="Arial"/>
          <w:lang w:eastAsia="en-US"/>
        </w:rPr>
        <w:t>. En este sentido, en su Recomendación General núm. 33 sobre el acceso de las mujeres a la justicia, el Comité para la Eliminación de la Discriminación contra la Mujer afirmó que otros factores que entorpecen el acceso de las mujeres a la justicia incluyen “la estigmatización de las mujeres que luchan por sus derechos”</w:t>
      </w:r>
      <w:r w:rsidRPr="008640F3">
        <w:rPr>
          <w:rStyle w:val="Refdenotaalpie"/>
          <w:rFonts w:eastAsiaTheme="minorHAnsi" w:cs="Arial"/>
          <w:lang w:eastAsia="en-US"/>
        </w:rPr>
        <w:footnoteReference w:id="189"/>
      </w:r>
      <w:r w:rsidRPr="008640F3">
        <w:rPr>
          <w:rFonts w:eastAsiaTheme="minorHAnsi" w:cs="Arial"/>
          <w:lang w:eastAsia="en-US"/>
        </w:rPr>
        <w:t>, habiendo documentado “</w:t>
      </w:r>
      <w:r w:rsidRPr="008640F3">
        <w:t xml:space="preserve">muchos ejemplos de los efectos negativos de las formas interseccionales de discriminación sobre el </w:t>
      </w:r>
      <w:r w:rsidRPr="008640F3">
        <w:rPr>
          <w:rFonts w:eastAsiaTheme="minorHAnsi" w:cs="Arial"/>
          <w:lang w:eastAsia="en-US"/>
        </w:rPr>
        <w:t>acceso</w:t>
      </w:r>
      <w:r w:rsidRPr="008640F3">
        <w:t xml:space="preserve"> a la justicia, incluidos los recursos ineficaces, para grupos específicos de mujeres”</w:t>
      </w:r>
      <w:r w:rsidRPr="008640F3">
        <w:rPr>
          <w:rStyle w:val="Refdenotaalpie"/>
        </w:rPr>
        <w:footnoteReference w:id="190"/>
      </w:r>
      <w:r w:rsidRPr="008640F3">
        <w:rPr>
          <w:rFonts w:eastAsiaTheme="minorHAnsi" w:cs="Arial"/>
          <w:lang w:eastAsia="en-US"/>
        </w:rPr>
        <w:t xml:space="preserve">. Por otro lado, en su Recomendación General núm. 35 sobre la violencia por razón de género contra la mujer, el </w:t>
      </w:r>
      <w:r w:rsidR="00A70B65">
        <w:rPr>
          <w:rFonts w:eastAsiaTheme="minorHAnsi" w:cs="Arial"/>
          <w:lang w:eastAsia="en-US"/>
        </w:rPr>
        <w:t xml:space="preserve">referido </w:t>
      </w:r>
      <w:r w:rsidRPr="008640F3">
        <w:rPr>
          <w:rFonts w:eastAsiaTheme="minorHAnsi" w:cs="Arial"/>
          <w:lang w:eastAsia="en-US"/>
        </w:rPr>
        <w:t xml:space="preserve">Comité señaló que “la discriminación contra la mujer está “inseparablemente vinculada a otros factores que afectan </w:t>
      </w:r>
      <w:r w:rsidRPr="008640F3">
        <w:rPr>
          <w:rFonts w:eastAsiaTheme="minorHAnsi" w:cs="Arial"/>
          <w:lang w:eastAsia="en-US"/>
        </w:rPr>
        <w:lastRenderedPageBreak/>
        <w:t>a su vida”, como la “estigmatización de las mujeres que luchan por sus derechos y, en particular, las defensoras de los derechos humanos”</w:t>
      </w:r>
      <w:r w:rsidRPr="008640F3">
        <w:rPr>
          <w:rStyle w:val="Refdenotaalpie"/>
          <w:rFonts w:eastAsiaTheme="minorHAnsi" w:cs="Arial"/>
          <w:lang w:eastAsia="en-US"/>
        </w:rPr>
        <w:footnoteReference w:id="191"/>
      </w:r>
      <w:r w:rsidRPr="008640F3">
        <w:rPr>
          <w:rFonts w:eastAsiaTheme="minorHAnsi" w:cs="Arial"/>
          <w:lang w:eastAsia="en-US"/>
        </w:rPr>
        <w:t xml:space="preserve">. </w:t>
      </w:r>
    </w:p>
    <w:p w14:paraId="0313EF66" w14:textId="77777777" w:rsidR="008640F3" w:rsidRPr="008640F3" w:rsidRDefault="008640F3" w:rsidP="008640F3">
      <w:pPr>
        <w:widowControl/>
        <w:tabs>
          <w:tab w:val="left" w:pos="567"/>
          <w:tab w:val="num" w:pos="12305"/>
        </w:tabs>
        <w:adjustRightInd/>
        <w:spacing w:line="240" w:lineRule="auto"/>
        <w:textAlignment w:val="auto"/>
        <w:rPr>
          <w:rFonts w:eastAsia="Batang"/>
          <w:lang w:eastAsia="es-MX"/>
        </w:rPr>
      </w:pPr>
    </w:p>
    <w:p w14:paraId="5B5F71EB" w14:textId="34386088" w:rsidR="00DC4234" w:rsidRDefault="000B1A9D" w:rsidP="00421C60">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rPr>
      </w:pPr>
      <w:r>
        <w:t>L</w:t>
      </w:r>
      <w:r w:rsidR="001120FA" w:rsidRPr="002C3E33">
        <w:rPr>
          <w:rFonts w:eastAsia="Batang"/>
        </w:rPr>
        <w:t xml:space="preserve">a Corte </w:t>
      </w:r>
      <w:r>
        <w:t>advierte</w:t>
      </w:r>
      <w:r w:rsidR="001120FA" w:rsidRPr="002C3E33">
        <w:rPr>
          <w:rFonts w:eastAsia="Batang"/>
        </w:rPr>
        <w:t xml:space="preserve"> que</w:t>
      </w:r>
      <w:r w:rsidR="00DE085C">
        <w:rPr>
          <w:rFonts w:eastAsia="Batang"/>
        </w:rPr>
        <w:t>,</w:t>
      </w:r>
      <w:r w:rsidR="00DB688F" w:rsidRPr="002C3E33">
        <w:rPr>
          <w:rFonts w:eastAsia="Batang"/>
        </w:rPr>
        <w:t xml:space="preserve"> en el presente caso</w:t>
      </w:r>
      <w:r w:rsidR="00DE085C">
        <w:rPr>
          <w:rFonts w:eastAsia="Batang"/>
        </w:rPr>
        <w:t>,</w:t>
      </w:r>
      <w:r w:rsidR="00DB688F" w:rsidRPr="002C3E33">
        <w:rPr>
          <w:rFonts w:eastAsia="Batang"/>
        </w:rPr>
        <w:t xml:space="preserve"> se determinó en tres ocasiones que no era procedente el ejercicio de la acción penal, situando la hipótesis del “suicidio disimulado” como la más probable. Para ello, entre otras diligencias probatorias, las resoluciones se basaron en una serie de </w:t>
      </w:r>
      <w:r w:rsidR="00157403">
        <w:rPr>
          <w:rFonts w:eastAsia="Batang"/>
        </w:rPr>
        <w:t>dictámenes en materia de psicología forense</w:t>
      </w:r>
      <w:r w:rsidR="00DB688F" w:rsidRPr="002C3E33">
        <w:rPr>
          <w:rFonts w:eastAsia="Batang"/>
        </w:rPr>
        <w:t xml:space="preserve"> para sustentar este escenario</w:t>
      </w:r>
      <w:r>
        <w:t>.</w:t>
      </w:r>
      <w:r w:rsidR="002C3E33" w:rsidRPr="00D12723">
        <w:rPr>
          <w:rFonts w:eastAsiaTheme="minorHAnsi"/>
          <w:lang w:eastAsia="en-US"/>
        </w:rPr>
        <w:t xml:space="preserve"> </w:t>
      </w:r>
      <w:r w:rsidR="00D12723" w:rsidRPr="00D12723">
        <w:rPr>
          <w:rFonts w:eastAsiaTheme="minorHAnsi" w:cs="Arial"/>
        </w:rPr>
        <w:t xml:space="preserve">La autopsia </w:t>
      </w:r>
      <w:r w:rsidR="00157403">
        <w:rPr>
          <w:rFonts w:eastAsiaTheme="minorHAnsi" w:cs="Arial"/>
        </w:rPr>
        <w:t>p</w:t>
      </w:r>
      <w:r w:rsidR="00D12723" w:rsidRPr="00D12723">
        <w:rPr>
          <w:rFonts w:eastAsiaTheme="minorHAnsi" w:cs="Arial"/>
        </w:rPr>
        <w:t xml:space="preserve">sicológica es una técnica que se </w:t>
      </w:r>
      <w:r w:rsidR="00D12723" w:rsidRPr="00D12723">
        <w:rPr>
          <w:rFonts w:eastAsiaTheme="minorHAnsi" w:cs="Arial"/>
          <w:lang w:eastAsia="en-US"/>
        </w:rPr>
        <w:t>utiliza</w:t>
      </w:r>
      <w:r w:rsidR="00D12723" w:rsidRPr="00D12723">
        <w:rPr>
          <w:rFonts w:eastAsiaTheme="minorHAnsi" w:cs="Arial"/>
        </w:rPr>
        <w:t xml:space="preserve"> cuando existe duda entre las hipótesis de accidente, suicidio u homicidio y busca la reconstrucción del estilo comportamental de él o la fallecida, mediante la evaluación de varios aspectos: (i) si la persona tenía un motivo para suicidarse; (ii) sus vulnerabilidades; y (iii) el</w:t>
      </w:r>
      <w:r w:rsidR="00157403">
        <w:rPr>
          <w:rFonts w:eastAsiaTheme="minorHAnsi" w:cs="Arial"/>
        </w:rPr>
        <w:t xml:space="preserve"> </w:t>
      </w:r>
      <w:r w:rsidR="00D12723" w:rsidRPr="00D12723">
        <w:rPr>
          <w:rFonts w:eastAsiaTheme="minorHAnsi" w:cs="Arial"/>
        </w:rPr>
        <w:t>estudio de su personalidad a partir de una evaluación retrospectiva de su vida</w:t>
      </w:r>
      <w:r w:rsidR="00D12723">
        <w:rPr>
          <w:rStyle w:val="Refdenotaalpie"/>
          <w:rFonts w:eastAsiaTheme="minorHAnsi" w:cs="Arial"/>
        </w:rPr>
        <w:footnoteReference w:id="192"/>
      </w:r>
      <w:r w:rsidR="00D12723" w:rsidRPr="00D12723">
        <w:rPr>
          <w:rFonts w:eastAsiaTheme="minorHAnsi" w:cs="Arial"/>
        </w:rPr>
        <w:t>.</w:t>
      </w:r>
      <w:r w:rsidR="002942EC">
        <w:rPr>
          <w:rFonts w:eastAsiaTheme="minorHAnsi" w:cs="Arial"/>
        </w:rPr>
        <w:t xml:space="preserve"> </w:t>
      </w:r>
    </w:p>
    <w:p w14:paraId="6BDAC06E" w14:textId="77777777" w:rsidR="00DC4234" w:rsidRDefault="00DC4234" w:rsidP="00DC4234">
      <w:pPr>
        <w:widowControl/>
        <w:tabs>
          <w:tab w:val="left" w:pos="567"/>
        </w:tabs>
        <w:autoSpaceDE w:val="0"/>
        <w:autoSpaceDN w:val="0"/>
        <w:spacing w:line="240" w:lineRule="auto"/>
        <w:textAlignment w:val="auto"/>
        <w:rPr>
          <w:rFonts w:eastAsiaTheme="minorHAnsi" w:cs="Arial"/>
        </w:rPr>
      </w:pPr>
    </w:p>
    <w:p w14:paraId="084134CD" w14:textId="21BDEC34" w:rsidR="00C8301F" w:rsidRPr="00446516" w:rsidRDefault="00DC4234" w:rsidP="00446516">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sidRPr="00CB2343">
        <w:rPr>
          <w:rFonts w:eastAsiaTheme="minorHAnsi" w:cs="Arial"/>
        </w:rPr>
        <w:t xml:space="preserve">El Tribunal observa que los dictámenes de psicología forense realizados a la </w:t>
      </w:r>
      <w:r w:rsidR="001F344D">
        <w:rPr>
          <w:rFonts w:eastAsiaTheme="minorHAnsi" w:cs="Arial"/>
        </w:rPr>
        <w:t>señora Digna Ochoa</w:t>
      </w:r>
      <w:r w:rsidRPr="00CB2343">
        <w:rPr>
          <w:rFonts w:eastAsiaTheme="minorHAnsi" w:cs="Arial"/>
        </w:rPr>
        <w:t xml:space="preserve"> se </w:t>
      </w:r>
      <w:r w:rsidR="002F4BA3" w:rsidRPr="00CB2343">
        <w:rPr>
          <w:rFonts w:eastAsiaTheme="minorHAnsi" w:cs="Arial"/>
        </w:rPr>
        <w:t>basaron</w:t>
      </w:r>
      <w:r w:rsidRPr="00CB2343">
        <w:rPr>
          <w:rFonts w:eastAsiaTheme="minorHAnsi" w:cs="Arial"/>
        </w:rPr>
        <w:t xml:space="preserve"> </w:t>
      </w:r>
      <w:r w:rsidR="00446516">
        <w:rPr>
          <w:rFonts w:eastAsiaTheme="minorHAnsi" w:cs="Arial"/>
        </w:rPr>
        <w:t>en</w:t>
      </w:r>
      <w:r w:rsidRPr="00CB2343">
        <w:rPr>
          <w:rFonts w:eastAsiaTheme="minorHAnsi" w:cs="Arial"/>
        </w:rPr>
        <w:t xml:space="preserve"> </w:t>
      </w:r>
      <w:r w:rsidR="002F4BA3" w:rsidRPr="00CB2343">
        <w:rPr>
          <w:rFonts w:eastAsiaTheme="minorHAnsi" w:cs="Arial"/>
        </w:rPr>
        <w:t xml:space="preserve">el estudio de </w:t>
      </w:r>
      <w:r w:rsidRPr="00CB2343">
        <w:rPr>
          <w:rFonts w:eastAsiaTheme="minorHAnsi" w:cs="Arial"/>
        </w:rPr>
        <w:t>objetos personales que estuvier</w:t>
      </w:r>
      <w:r w:rsidR="00446516">
        <w:rPr>
          <w:rFonts w:eastAsiaTheme="minorHAnsi" w:cs="Arial"/>
        </w:rPr>
        <w:t>o</w:t>
      </w:r>
      <w:r w:rsidRPr="00CB2343">
        <w:rPr>
          <w:rFonts w:eastAsiaTheme="minorHAnsi" w:cs="Arial"/>
        </w:rPr>
        <w:t xml:space="preserve">n en su posesión (como </w:t>
      </w:r>
      <w:r w:rsidR="0095129F">
        <w:rPr>
          <w:rFonts w:eastAsiaTheme="minorHAnsi" w:cs="Arial"/>
        </w:rPr>
        <w:t>pudieron</w:t>
      </w:r>
      <w:r w:rsidRPr="00CB2343">
        <w:rPr>
          <w:rFonts w:eastAsiaTheme="minorHAnsi" w:cs="Arial"/>
        </w:rPr>
        <w:t xml:space="preserve"> ser </w:t>
      </w:r>
      <w:r w:rsidR="00FC5157" w:rsidRPr="00CB2343">
        <w:rPr>
          <w:rFonts w:eastAsiaTheme="minorHAnsi" w:cs="Arial"/>
        </w:rPr>
        <w:t>las notas de un diario y algunas cartas de su autoría</w:t>
      </w:r>
      <w:r w:rsidR="002F4BA3" w:rsidRPr="00CB2343">
        <w:rPr>
          <w:rFonts w:eastAsiaTheme="minorHAnsi" w:cs="Arial"/>
        </w:rPr>
        <w:t>, entre otros</w:t>
      </w:r>
      <w:r w:rsidR="00FC5157" w:rsidRPr="00CB2343">
        <w:rPr>
          <w:rFonts w:eastAsiaTheme="minorHAnsi" w:cs="Arial"/>
        </w:rPr>
        <w:t>)</w:t>
      </w:r>
      <w:r w:rsidR="00C67BC5">
        <w:rPr>
          <w:rFonts w:eastAsiaTheme="minorHAnsi" w:cs="Arial"/>
        </w:rPr>
        <w:t>,</w:t>
      </w:r>
      <w:r w:rsidR="00FC5157" w:rsidRPr="00CB2343">
        <w:rPr>
          <w:rFonts w:eastAsiaTheme="minorHAnsi" w:cs="Arial"/>
        </w:rPr>
        <w:t xml:space="preserve"> así como entrevistas con</w:t>
      </w:r>
      <w:r w:rsidRPr="00CB2343">
        <w:rPr>
          <w:rFonts w:eastAsiaTheme="minorHAnsi" w:cs="Arial"/>
        </w:rPr>
        <w:t xml:space="preserve"> personas que la conocieron. </w:t>
      </w:r>
      <w:r w:rsidR="00157403" w:rsidRPr="00CB2343">
        <w:rPr>
          <w:rFonts w:eastAsiaTheme="minorHAnsi" w:cs="Arial"/>
          <w:lang w:eastAsia="en-US"/>
        </w:rPr>
        <w:t xml:space="preserve">Así, según el dictamen de </w:t>
      </w:r>
      <w:r w:rsidR="00FC5157" w:rsidRPr="00CB2343">
        <w:rPr>
          <w:rFonts w:eastAsiaTheme="minorHAnsi" w:cs="Arial"/>
          <w:lang w:eastAsia="en-US"/>
        </w:rPr>
        <w:t>28 junio de 2002</w:t>
      </w:r>
      <w:r w:rsidR="00157403" w:rsidRPr="00CB2343">
        <w:rPr>
          <w:rFonts w:eastAsiaTheme="minorHAnsi" w:cs="Arial"/>
          <w:lang w:eastAsia="en-US"/>
        </w:rPr>
        <w:t xml:space="preserve">, la </w:t>
      </w:r>
      <w:r w:rsidR="001F344D">
        <w:rPr>
          <w:rFonts w:eastAsiaTheme="minorHAnsi" w:cs="Arial"/>
          <w:lang w:eastAsia="en-US"/>
        </w:rPr>
        <w:t>señora Digna Ochoa</w:t>
      </w:r>
      <w:r w:rsidR="00157403" w:rsidRPr="00CB2343">
        <w:rPr>
          <w:rFonts w:eastAsiaTheme="minorHAnsi" w:cs="Arial"/>
          <w:lang w:eastAsia="en-US"/>
        </w:rPr>
        <w:t xml:space="preserve"> era descrita como una p</w:t>
      </w:r>
      <w:r w:rsidR="00297A68">
        <w:rPr>
          <w:rFonts w:eastAsiaTheme="minorHAnsi" w:cs="Arial"/>
          <w:lang w:eastAsia="en-US"/>
        </w:rPr>
        <w:t xml:space="preserve">ersona “exigente”, “religiosa” y </w:t>
      </w:r>
      <w:r w:rsidR="00157403" w:rsidRPr="00CB2343">
        <w:rPr>
          <w:rFonts w:eastAsiaTheme="minorHAnsi" w:cs="Arial"/>
          <w:lang w:eastAsia="en-US"/>
        </w:rPr>
        <w:t>con un “fuerte sentimiento de ira”, entre otros</w:t>
      </w:r>
      <w:r w:rsidR="00297A68" w:rsidRPr="00CB2343">
        <w:rPr>
          <w:rStyle w:val="Refdenotaalpie"/>
          <w:rFonts w:eastAsiaTheme="minorHAnsi" w:cs="Arial"/>
          <w:lang w:eastAsia="en-US"/>
        </w:rPr>
        <w:footnoteReference w:id="193"/>
      </w:r>
      <w:r w:rsidR="00157403" w:rsidRPr="00CB2343">
        <w:rPr>
          <w:rFonts w:eastAsiaTheme="minorHAnsi" w:cs="Arial"/>
          <w:lang w:eastAsia="en-US"/>
        </w:rPr>
        <w:t xml:space="preserve">. </w:t>
      </w:r>
      <w:r w:rsidR="006B1EC7" w:rsidRPr="00CB2343">
        <w:rPr>
          <w:rFonts w:eastAsiaTheme="minorHAnsi" w:cs="Arial"/>
          <w:lang w:eastAsia="en-US"/>
        </w:rPr>
        <w:t xml:space="preserve">Por otro lado, un dictamen psicodinámico de 8 de mayo de 2003 definía a la </w:t>
      </w:r>
      <w:r w:rsidR="001F344D">
        <w:rPr>
          <w:rFonts w:eastAsiaTheme="minorHAnsi" w:cs="Arial"/>
          <w:lang w:eastAsia="en-US"/>
        </w:rPr>
        <w:t>señora Digna Ochoa</w:t>
      </w:r>
      <w:r w:rsidR="006B1EC7" w:rsidRPr="00CB2343">
        <w:rPr>
          <w:rFonts w:eastAsiaTheme="minorHAnsi" w:cs="Arial"/>
          <w:lang w:eastAsia="en-US"/>
        </w:rPr>
        <w:t xml:space="preserve"> como una persona con “relaciones interpersonales </w:t>
      </w:r>
      <w:r w:rsidR="00551BF9" w:rsidRPr="00CB2343">
        <w:rPr>
          <w:rFonts w:eastAsiaTheme="minorHAnsi" w:cs="Arial"/>
          <w:lang w:eastAsia="en-US"/>
        </w:rPr>
        <w:t>inestables</w:t>
      </w:r>
      <w:r w:rsidR="006B1EC7" w:rsidRPr="00CB2343">
        <w:rPr>
          <w:rFonts w:eastAsiaTheme="minorHAnsi" w:cs="Arial"/>
          <w:lang w:eastAsia="en-US"/>
        </w:rPr>
        <w:t>”</w:t>
      </w:r>
      <w:r w:rsidR="00C50F1E">
        <w:rPr>
          <w:rFonts w:eastAsiaTheme="minorHAnsi" w:cs="Arial"/>
          <w:lang w:eastAsia="en-US"/>
        </w:rPr>
        <w:t xml:space="preserve">, </w:t>
      </w:r>
      <w:r w:rsidR="006B1EC7" w:rsidRPr="00CB2343">
        <w:rPr>
          <w:rFonts w:eastAsiaTheme="minorHAnsi" w:cs="Arial"/>
          <w:lang w:eastAsia="en-US"/>
        </w:rPr>
        <w:t>elucubrando</w:t>
      </w:r>
      <w:r w:rsidR="00446516">
        <w:rPr>
          <w:rFonts w:eastAsiaTheme="minorHAnsi" w:cs="Arial"/>
          <w:lang w:eastAsia="en-US"/>
        </w:rPr>
        <w:t>,</w:t>
      </w:r>
      <w:r w:rsidR="006B1EC7" w:rsidRPr="00CB2343">
        <w:rPr>
          <w:rFonts w:eastAsiaTheme="minorHAnsi" w:cs="Arial"/>
          <w:lang w:eastAsia="en-US"/>
        </w:rPr>
        <w:t xml:space="preserve"> además</w:t>
      </w:r>
      <w:r w:rsidR="00446516">
        <w:rPr>
          <w:rFonts w:eastAsiaTheme="minorHAnsi" w:cs="Arial"/>
          <w:lang w:eastAsia="en-US"/>
        </w:rPr>
        <w:t>,</w:t>
      </w:r>
      <w:r w:rsidR="006B1EC7" w:rsidRPr="00CB2343">
        <w:rPr>
          <w:rFonts w:eastAsiaTheme="minorHAnsi" w:cs="Arial"/>
          <w:lang w:eastAsia="en-US"/>
        </w:rPr>
        <w:t xml:space="preserve"> que podía padecer de “histeria conversiva”</w:t>
      </w:r>
      <w:r w:rsidR="006B1EC7" w:rsidRPr="00CB2343">
        <w:rPr>
          <w:rStyle w:val="Refdenotaalpie"/>
          <w:rFonts w:eastAsiaTheme="minorHAnsi" w:cs="Arial"/>
          <w:lang w:eastAsia="en-US"/>
        </w:rPr>
        <w:footnoteReference w:id="194"/>
      </w:r>
      <w:r w:rsidR="006B1EC7" w:rsidRPr="00CB2343">
        <w:rPr>
          <w:rFonts w:eastAsiaTheme="minorHAnsi" w:cs="Arial"/>
          <w:lang w:eastAsia="en-US"/>
        </w:rPr>
        <w:t xml:space="preserve">. </w:t>
      </w:r>
      <w:r w:rsidR="000B1A9D" w:rsidRPr="00CB2343">
        <w:rPr>
          <w:rFonts w:eastAsiaTheme="minorHAnsi" w:cs="Arial"/>
          <w:lang w:eastAsia="en-US"/>
        </w:rPr>
        <w:t xml:space="preserve">El Tribunal </w:t>
      </w:r>
      <w:r w:rsidR="00C67BC5">
        <w:rPr>
          <w:rFonts w:eastAsiaTheme="minorHAnsi" w:cs="Arial"/>
          <w:lang w:eastAsia="en-US"/>
        </w:rPr>
        <w:t>nota</w:t>
      </w:r>
      <w:r w:rsidR="00C67BC5" w:rsidRPr="00CB2343">
        <w:rPr>
          <w:rFonts w:eastAsiaTheme="minorHAnsi" w:cs="Arial"/>
          <w:lang w:eastAsia="en-US"/>
        </w:rPr>
        <w:t xml:space="preserve"> </w:t>
      </w:r>
      <w:r w:rsidR="00157403" w:rsidRPr="00CB2343">
        <w:rPr>
          <w:rFonts w:eastAsiaTheme="minorHAnsi" w:cs="Arial"/>
          <w:lang w:eastAsia="en-US"/>
        </w:rPr>
        <w:t>que</w:t>
      </w:r>
      <w:r w:rsidR="000B1A9D" w:rsidRPr="00CB2343">
        <w:rPr>
          <w:rFonts w:eastAsiaTheme="minorHAnsi" w:cs="Arial"/>
          <w:lang w:eastAsia="en-US"/>
        </w:rPr>
        <w:t xml:space="preserve">, para concluir que </w:t>
      </w:r>
      <w:r w:rsidR="002F4BA3" w:rsidRPr="00CB2343">
        <w:rPr>
          <w:rFonts w:eastAsiaTheme="minorHAnsi" w:cs="Arial"/>
          <w:lang w:eastAsia="en-US"/>
        </w:rPr>
        <w:t xml:space="preserve">la </w:t>
      </w:r>
      <w:r w:rsidR="001F344D">
        <w:rPr>
          <w:rFonts w:eastAsiaTheme="minorHAnsi" w:cs="Arial"/>
          <w:lang w:eastAsia="en-US"/>
        </w:rPr>
        <w:t>señora Digna Ochoa</w:t>
      </w:r>
      <w:r w:rsidR="002F4BA3" w:rsidRPr="00CB2343">
        <w:rPr>
          <w:rFonts w:eastAsiaTheme="minorHAnsi" w:cs="Arial"/>
          <w:lang w:eastAsia="en-US"/>
        </w:rPr>
        <w:t xml:space="preserve"> </w:t>
      </w:r>
      <w:r w:rsidR="000B1A9D" w:rsidRPr="00CB2343">
        <w:rPr>
          <w:rFonts w:eastAsiaTheme="minorHAnsi" w:cs="Arial"/>
          <w:lang w:eastAsia="en-US"/>
        </w:rPr>
        <w:t xml:space="preserve">padecía </w:t>
      </w:r>
      <w:r w:rsidR="009C6298">
        <w:rPr>
          <w:rFonts w:eastAsiaTheme="minorHAnsi" w:cs="Arial"/>
          <w:lang w:eastAsia="en-US"/>
        </w:rPr>
        <w:t>una suerte de trastorno</w:t>
      </w:r>
      <w:r w:rsidR="000B1A9D" w:rsidRPr="00CB2343">
        <w:rPr>
          <w:rFonts w:eastAsiaTheme="minorHAnsi" w:cs="Arial"/>
          <w:lang w:eastAsia="en-US"/>
        </w:rPr>
        <w:t xml:space="preserve"> psicológico o de personalidad, </w:t>
      </w:r>
      <w:r w:rsidR="00551BF9" w:rsidRPr="00CB2343">
        <w:rPr>
          <w:rFonts w:eastAsiaTheme="minorHAnsi" w:cs="ArialMT"/>
          <w:lang w:eastAsia="en-US"/>
        </w:rPr>
        <w:t>los dictámenes hicieron</w:t>
      </w:r>
      <w:r w:rsidR="000B1A9D" w:rsidRPr="00CB2343">
        <w:rPr>
          <w:rFonts w:eastAsiaTheme="minorHAnsi" w:cs="ArialMT"/>
          <w:lang w:eastAsia="en-US"/>
        </w:rPr>
        <w:t xml:space="preserve"> referencia a aspectos </w:t>
      </w:r>
      <w:r w:rsidR="000B1A9D" w:rsidRPr="00CB2343">
        <w:rPr>
          <w:rFonts w:eastAsiaTheme="minorHAnsi" w:cs="Arial"/>
          <w:lang w:eastAsia="en-US"/>
        </w:rPr>
        <w:t xml:space="preserve">de </w:t>
      </w:r>
      <w:r w:rsidR="002F4BA3" w:rsidRPr="00CB2343">
        <w:rPr>
          <w:rFonts w:eastAsiaTheme="minorHAnsi" w:cs="Arial"/>
          <w:lang w:eastAsia="en-US"/>
        </w:rPr>
        <w:t>su</w:t>
      </w:r>
      <w:r w:rsidR="000B1A9D" w:rsidRPr="00CB2343">
        <w:rPr>
          <w:rFonts w:eastAsiaTheme="minorHAnsi" w:cs="Arial"/>
          <w:lang w:eastAsia="en-US"/>
        </w:rPr>
        <w:t xml:space="preserve"> vida</w:t>
      </w:r>
      <w:r w:rsidR="002F4BA3" w:rsidRPr="00CB2343">
        <w:rPr>
          <w:rFonts w:eastAsiaTheme="minorHAnsi" w:cs="Arial"/>
          <w:lang w:eastAsia="en-US"/>
        </w:rPr>
        <w:t xml:space="preserve"> personal</w:t>
      </w:r>
      <w:r w:rsidR="0095129F" w:rsidRPr="0095129F">
        <w:rPr>
          <w:rFonts w:eastAsiaTheme="minorHAnsi" w:cs="Arial"/>
          <w:lang w:eastAsia="en-US"/>
        </w:rPr>
        <w:t xml:space="preserve"> </w:t>
      </w:r>
      <w:r w:rsidR="0095129F" w:rsidRPr="00FC5157">
        <w:rPr>
          <w:rFonts w:eastAsiaTheme="minorHAnsi" w:cs="Arial"/>
          <w:lang w:eastAsia="en-US"/>
        </w:rPr>
        <w:t>como era su asistencia a terapia psicológica</w:t>
      </w:r>
      <w:r w:rsidR="0095129F" w:rsidRPr="00FC5157">
        <w:rPr>
          <w:rStyle w:val="Refdenotaalpie"/>
          <w:rFonts w:eastAsiaTheme="minorHAnsi" w:cs="Arial"/>
          <w:lang w:eastAsia="en-US"/>
        </w:rPr>
        <w:footnoteReference w:id="195"/>
      </w:r>
      <w:r w:rsidR="00AF3D34" w:rsidRPr="00CB2343">
        <w:rPr>
          <w:rFonts w:eastAsiaTheme="minorHAnsi" w:cs="Arial"/>
          <w:lang w:eastAsia="en-US"/>
        </w:rPr>
        <w:t xml:space="preserve">, </w:t>
      </w:r>
      <w:r w:rsidR="0095129F">
        <w:rPr>
          <w:rFonts w:eastAsiaTheme="minorHAnsi" w:cs="Arial"/>
          <w:lang w:eastAsia="en-US"/>
        </w:rPr>
        <w:t>así como</w:t>
      </w:r>
      <w:r w:rsidR="00AF3D34" w:rsidRPr="00CB2343">
        <w:rPr>
          <w:rFonts w:eastAsiaTheme="minorHAnsi" w:cs="Arial"/>
          <w:lang w:eastAsia="en-US"/>
        </w:rPr>
        <w:t xml:space="preserve"> cuestiones relativas a sus relaciones sentimentales e incluso algunas relativas a su autonomía sexual y reproductiva</w:t>
      </w:r>
      <w:r w:rsidR="00AF3D34" w:rsidRPr="00CB2343">
        <w:rPr>
          <w:rStyle w:val="Refdenotaalpie"/>
          <w:rFonts w:eastAsiaTheme="minorHAnsi" w:cs="Arial"/>
          <w:lang w:eastAsia="en-US"/>
        </w:rPr>
        <w:footnoteReference w:id="196"/>
      </w:r>
      <w:r w:rsidR="00AF3D34" w:rsidRPr="00CB2343">
        <w:rPr>
          <w:rFonts w:eastAsiaTheme="minorHAnsi" w:cs="Arial"/>
          <w:lang w:eastAsia="en-US"/>
        </w:rPr>
        <w:t>.</w:t>
      </w:r>
      <w:r w:rsidR="002942EC">
        <w:rPr>
          <w:rFonts w:eastAsiaTheme="minorHAnsi" w:cs="Arial"/>
          <w:lang w:eastAsia="en-US"/>
        </w:rPr>
        <w:t xml:space="preserve"> </w:t>
      </w:r>
      <w:r w:rsidR="00551BF9" w:rsidRPr="00CB2343">
        <w:rPr>
          <w:rFonts w:eastAsiaTheme="minorHAnsi" w:cs="Arial"/>
          <w:lang w:eastAsia="en-US"/>
        </w:rPr>
        <w:t xml:space="preserve">Todo ello llevó a la adopción de </w:t>
      </w:r>
      <w:r w:rsidR="00157403" w:rsidRPr="00CB2343">
        <w:rPr>
          <w:rFonts w:eastAsiaTheme="minorHAnsi" w:cs="Arial"/>
          <w:lang w:eastAsia="en-US"/>
        </w:rPr>
        <w:t xml:space="preserve">conclusiones estereotipadas </w:t>
      </w:r>
      <w:r w:rsidR="00551BF9" w:rsidRPr="00CB2343">
        <w:rPr>
          <w:rFonts w:eastAsiaTheme="minorHAnsi" w:cs="Arial"/>
          <w:lang w:eastAsia="en-US"/>
        </w:rPr>
        <w:t xml:space="preserve">basadas en </w:t>
      </w:r>
      <w:r w:rsidR="00446516">
        <w:rPr>
          <w:rFonts w:eastAsiaTheme="minorHAnsi" w:cs="Arial"/>
          <w:lang w:eastAsia="en-US"/>
        </w:rPr>
        <w:t>su</w:t>
      </w:r>
      <w:r w:rsidR="00551BF9" w:rsidRPr="00CB2343">
        <w:rPr>
          <w:rFonts w:eastAsiaTheme="minorHAnsi" w:cs="Arial"/>
          <w:lang w:eastAsia="en-US"/>
        </w:rPr>
        <w:t xml:space="preserve"> género, e incluso en algunos momentos </w:t>
      </w:r>
      <w:r w:rsidR="00157403" w:rsidRPr="00CB2343">
        <w:rPr>
          <w:rFonts w:eastAsiaTheme="minorHAnsi" w:cs="Arial"/>
          <w:lang w:eastAsia="en-US"/>
        </w:rPr>
        <w:t>paternalistas</w:t>
      </w:r>
      <w:r w:rsidR="00551BF9" w:rsidRPr="00CB2343">
        <w:rPr>
          <w:rFonts w:eastAsiaTheme="minorHAnsi" w:cs="Arial"/>
          <w:lang w:eastAsia="en-US"/>
        </w:rPr>
        <w:t xml:space="preserve">, como lo fue la afirmación de que </w:t>
      </w:r>
      <w:r w:rsidR="00157403" w:rsidRPr="00CB2343">
        <w:rPr>
          <w:rFonts w:eastAsiaTheme="minorHAnsi" w:cs="Arial"/>
          <w:lang w:eastAsia="en-US"/>
        </w:rPr>
        <w:t>el hecho de que su relación de pareja atravesaba un momento conflictivo la hacía encontrarse “des</w:t>
      </w:r>
      <w:r w:rsidR="006B1EC7" w:rsidRPr="00CB2343">
        <w:rPr>
          <w:rFonts w:eastAsiaTheme="minorHAnsi" w:cs="Arial"/>
          <w:lang w:eastAsia="en-US"/>
        </w:rPr>
        <w:t>p</w:t>
      </w:r>
      <w:r w:rsidR="00157403" w:rsidRPr="00CB2343">
        <w:rPr>
          <w:rFonts w:eastAsiaTheme="minorHAnsi" w:cs="Arial"/>
          <w:lang w:eastAsia="en-US"/>
        </w:rPr>
        <w:t>rotegida”, haciéndola “vulnerable a no soportar el estrés”</w:t>
      </w:r>
      <w:r w:rsidR="000B1A9D" w:rsidRPr="00CB2343">
        <w:rPr>
          <w:rStyle w:val="Refdenotaalpie"/>
          <w:rFonts w:eastAsiaTheme="minorHAnsi" w:cs="Arial"/>
          <w:lang w:eastAsia="en-US"/>
        </w:rPr>
        <w:footnoteReference w:id="197"/>
      </w:r>
      <w:r w:rsidR="000B1A9D" w:rsidRPr="00CB2343">
        <w:rPr>
          <w:rFonts w:eastAsiaTheme="minorHAnsi" w:cs="Arial"/>
          <w:lang w:eastAsia="en-US"/>
        </w:rPr>
        <w:t xml:space="preserve">. </w:t>
      </w:r>
      <w:r w:rsidR="00FC5157" w:rsidRPr="00CB2343">
        <w:rPr>
          <w:rFonts w:eastAsiaTheme="minorHAnsi" w:cs="Arial"/>
          <w:lang w:eastAsia="en-US"/>
        </w:rPr>
        <w:t>Particular atención merecen las consideraciones sobre una</w:t>
      </w:r>
      <w:r w:rsidR="00551BF9" w:rsidRPr="00CB2343">
        <w:rPr>
          <w:rFonts w:eastAsiaTheme="minorHAnsi" w:cs="Arial"/>
          <w:lang w:eastAsia="en-US"/>
        </w:rPr>
        <w:t xml:space="preserve"> </w:t>
      </w:r>
      <w:r w:rsidR="00551BF9" w:rsidRPr="00CB2343">
        <w:rPr>
          <w:rFonts w:eastAsiaTheme="minorHAnsi" w:cs="Arial"/>
          <w:lang w:eastAsia="en-US"/>
        </w:rPr>
        <w:lastRenderedPageBreak/>
        <w:t>supuesta</w:t>
      </w:r>
      <w:r w:rsidR="00FC5157" w:rsidRPr="00CB2343">
        <w:rPr>
          <w:rFonts w:eastAsiaTheme="minorHAnsi" w:cs="Arial"/>
          <w:lang w:eastAsia="en-US"/>
        </w:rPr>
        <w:t xml:space="preserve"> interrupción </w:t>
      </w:r>
      <w:r w:rsidR="00551BF9" w:rsidRPr="00CB2343">
        <w:rPr>
          <w:rFonts w:eastAsiaTheme="minorHAnsi" w:cs="Arial"/>
          <w:lang w:eastAsia="en-US"/>
        </w:rPr>
        <w:t>de un</w:t>
      </w:r>
      <w:r w:rsidR="00FC5157" w:rsidRPr="00CB2343">
        <w:rPr>
          <w:rFonts w:eastAsiaTheme="minorHAnsi" w:cs="Arial"/>
          <w:lang w:eastAsia="en-US"/>
        </w:rPr>
        <w:t xml:space="preserve"> embarazo realizada por la </w:t>
      </w:r>
      <w:r w:rsidR="001F344D">
        <w:rPr>
          <w:rFonts w:eastAsiaTheme="minorHAnsi" w:cs="Arial"/>
          <w:lang w:eastAsia="en-US"/>
        </w:rPr>
        <w:t>señora Digna Ochoa</w:t>
      </w:r>
      <w:r w:rsidR="00FC5157" w:rsidRPr="00CB2343">
        <w:rPr>
          <w:rFonts w:eastAsiaTheme="minorHAnsi" w:cs="Arial"/>
          <w:lang w:eastAsia="en-US"/>
        </w:rPr>
        <w:t xml:space="preserve">, la cual fue definida como un “hecho </w:t>
      </w:r>
      <w:r w:rsidR="00312DD4" w:rsidRPr="00CB2343">
        <w:rPr>
          <w:rFonts w:eastAsiaTheme="minorHAnsi" w:cs="Arial"/>
          <w:lang w:eastAsia="en-US"/>
        </w:rPr>
        <w:t>significativo</w:t>
      </w:r>
      <w:r w:rsidR="00FC5157" w:rsidRPr="00CB2343">
        <w:rPr>
          <w:rFonts w:eastAsiaTheme="minorHAnsi" w:cs="Arial"/>
          <w:lang w:eastAsia="en-US"/>
        </w:rPr>
        <w:t xml:space="preserve">” en el que la </w:t>
      </w:r>
      <w:r w:rsidR="00446516">
        <w:rPr>
          <w:rFonts w:eastAsiaTheme="minorHAnsi" w:cs="Arial"/>
          <w:lang w:eastAsia="en-US"/>
        </w:rPr>
        <w:t>defensora de derechos humanos</w:t>
      </w:r>
      <w:r w:rsidR="00FC5157" w:rsidRPr="00CB2343">
        <w:rPr>
          <w:rFonts w:eastAsiaTheme="minorHAnsi" w:cs="Arial"/>
          <w:lang w:eastAsia="en-US"/>
        </w:rPr>
        <w:t xml:space="preserve"> no tenía “sensación de culpa”</w:t>
      </w:r>
      <w:r w:rsidR="00FC5157" w:rsidRPr="00CB2343">
        <w:rPr>
          <w:rStyle w:val="Refdenotaalpie"/>
          <w:rFonts w:eastAsiaTheme="minorHAnsi" w:cs="Arial"/>
          <w:lang w:eastAsia="en-US"/>
        </w:rPr>
        <w:footnoteReference w:id="198"/>
      </w:r>
      <w:r w:rsidR="00551BF9" w:rsidRPr="00CB2343">
        <w:rPr>
          <w:rFonts w:eastAsiaTheme="minorHAnsi" w:cs="Arial"/>
          <w:lang w:eastAsia="en-US"/>
        </w:rPr>
        <w:t xml:space="preserve"> donde respondió “sin mayor trámite, ni culpa evidente”, y pese a que “se decía muy apegada a la religión católica”</w:t>
      </w:r>
      <w:r w:rsidR="00551BF9" w:rsidRPr="00CB2343">
        <w:rPr>
          <w:rStyle w:val="Refdenotaalpie"/>
          <w:rFonts w:eastAsiaTheme="minorHAnsi" w:cs="Arial"/>
          <w:lang w:eastAsia="en-US"/>
        </w:rPr>
        <w:footnoteReference w:id="199"/>
      </w:r>
      <w:r w:rsidR="00551BF9" w:rsidRPr="00CB2343">
        <w:rPr>
          <w:rFonts w:eastAsiaTheme="minorHAnsi" w:cs="Arial"/>
          <w:lang w:eastAsia="en-US"/>
        </w:rPr>
        <w:t>.</w:t>
      </w:r>
      <w:r w:rsidR="001510C0" w:rsidRPr="00CB2343">
        <w:rPr>
          <w:rFonts w:eastAsiaTheme="minorHAnsi" w:cs="Arial"/>
          <w:lang w:eastAsia="en-US"/>
        </w:rPr>
        <w:t xml:space="preserve"> Por otro lado, algunos de los peritajes denostaron el compromiso de la </w:t>
      </w:r>
      <w:r w:rsidR="001F344D">
        <w:rPr>
          <w:rFonts w:eastAsiaTheme="minorHAnsi" w:cs="Arial"/>
          <w:lang w:eastAsia="en-US"/>
        </w:rPr>
        <w:t>señora Digna Ochoa</w:t>
      </w:r>
      <w:r w:rsidR="001510C0" w:rsidRPr="00CB2343">
        <w:rPr>
          <w:rFonts w:eastAsiaTheme="minorHAnsi" w:cs="Arial"/>
          <w:lang w:eastAsia="en-US"/>
        </w:rPr>
        <w:t xml:space="preserve"> con la de</w:t>
      </w:r>
      <w:r w:rsidR="002F4BA3" w:rsidRPr="00CB2343">
        <w:rPr>
          <w:rFonts w:eastAsiaTheme="minorHAnsi" w:cs="Arial"/>
          <w:lang w:eastAsia="en-US"/>
        </w:rPr>
        <w:t xml:space="preserve">fensa de los derechos humanos, generando así </w:t>
      </w:r>
      <w:r w:rsidR="001510C0" w:rsidRPr="00CB2343">
        <w:rPr>
          <w:rFonts w:eastAsiaTheme="minorHAnsi" w:cs="Arial"/>
          <w:lang w:eastAsia="en-US"/>
        </w:rPr>
        <w:t>la imagen de una persona poseída por una exagerada devoción. Así, se apunt</w:t>
      </w:r>
      <w:r w:rsidR="002F4BA3" w:rsidRPr="00CB2343">
        <w:rPr>
          <w:rFonts w:eastAsiaTheme="minorHAnsi" w:cs="Arial"/>
          <w:lang w:eastAsia="en-US"/>
        </w:rPr>
        <w:t>ó</w:t>
      </w:r>
      <w:r w:rsidR="001510C0" w:rsidRPr="00CB2343">
        <w:rPr>
          <w:rFonts w:eastAsiaTheme="minorHAnsi" w:cs="Arial"/>
          <w:lang w:eastAsia="en-US"/>
        </w:rPr>
        <w:t xml:space="preserve"> a una “tendencia al sufrimiento [... y un], pensamiento y convicción de dar la vida por enfrentar todo lo que para ella representaba violación a los derechos humanos”</w:t>
      </w:r>
      <w:r w:rsidR="001510C0" w:rsidRPr="00CB2343">
        <w:rPr>
          <w:rStyle w:val="Refdenotaalpie"/>
          <w:rFonts w:eastAsiaTheme="minorHAnsi" w:cs="Arial"/>
          <w:lang w:eastAsia="en-US"/>
        </w:rPr>
        <w:footnoteReference w:id="200"/>
      </w:r>
      <w:r w:rsidR="002F4BA3" w:rsidRPr="00CB2343">
        <w:rPr>
          <w:rFonts w:eastAsiaTheme="minorHAnsi" w:cs="Arial"/>
          <w:lang w:eastAsia="en-US"/>
        </w:rPr>
        <w:t xml:space="preserve">, así como a la valoración con un sentido negativo de que la </w:t>
      </w:r>
      <w:r w:rsidR="001F344D">
        <w:rPr>
          <w:rFonts w:eastAsiaTheme="minorHAnsi" w:cs="Arial"/>
          <w:lang w:eastAsia="en-US"/>
        </w:rPr>
        <w:t>señora Digna Ochoa</w:t>
      </w:r>
      <w:r w:rsidR="001510C0" w:rsidRPr="00CB2343">
        <w:rPr>
          <w:rFonts w:eastAsiaTheme="minorHAnsi" w:cs="Arial"/>
          <w:lang w:eastAsia="en-US"/>
        </w:rPr>
        <w:t xml:space="preserve"> “pasó la mayor parte de su vida erigiéndose como defensora de víctimas y buscando agresores”</w:t>
      </w:r>
      <w:r w:rsidR="001510C0" w:rsidRPr="00CB2343">
        <w:rPr>
          <w:rStyle w:val="Refdenotaalpie"/>
          <w:rFonts w:eastAsiaTheme="minorHAnsi" w:cs="Arial"/>
          <w:lang w:eastAsia="en-US"/>
        </w:rPr>
        <w:footnoteReference w:id="201"/>
      </w:r>
      <w:r w:rsidR="001510C0" w:rsidRPr="00CB2343">
        <w:rPr>
          <w:rFonts w:eastAsiaTheme="minorHAnsi" w:cs="Arial"/>
          <w:lang w:eastAsia="en-US"/>
        </w:rPr>
        <w:t xml:space="preserve">. </w:t>
      </w:r>
    </w:p>
    <w:p w14:paraId="0CD1E006" w14:textId="77777777" w:rsidR="00F7202D" w:rsidRDefault="00F7202D" w:rsidP="00F7202D">
      <w:pPr>
        <w:widowControl/>
        <w:tabs>
          <w:tab w:val="left" w:pos="567"/>
        </w:tabs>
        <w:autoSpaceDE w:val="0"/>
        <w:autoSpaceDN w:val="0"/>
        <w:spacing w:line="240" w:lineRule="auto"/>
        <w:textAlignment w:val="auto"/>
        <w:rPr>
          <w:rFonts w:eastAsiaTheme="minorHAnsi" w:cs="Arial"/>
          <w:lang w:eastAsia="en-US"/>
        </w:rPr>
      </w:pPr>
    </w:p>
    <w:p w14:paraId="7E845876" w14:textId="1D9FF3B7" w:rsidR="00F51721" w:rsidRPr="00A70B65" w:rsidRDefault="003C4E1B" w:rsidP="00F7202D">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cs="Arial"/>
          <w:lang w:eastAsia="en-US"/>
        </w:rPr>
      </w:pPr>
      <w:r w:rsidRPr="0093488D">
        <w:t xml:space="preserve">La Corte </w:t>
      </w:r>
      <w:r w:rsidRPr="00446516">
        <w:t xml:space="preserve">reafirma </w:t>
      </w:r>
      <w:r w:rsidRPr="00446516">
        <w:rPr>
          <w:rFonts w:eastAsiaTheme="minorHAnsi" w:cs="Arial"/>
        </w:rPr>
        <w:t>que</w:t>
      </w:r>
      <w:r w:rsidRPr="00446516">
        <w:t xml:space="preserve"> prácticas como las señaladas, tend</w:t>
      </w:r>
      <w:r w:rsidR="00C8301F" w:rsidRPr="00446516">
        <w:t>i</w:t>
      </w:r>
      <w:r w:rsidRPr="00446516">
        <w:t>entes a devaluar a la víctima en función de estereotipo</w:t>
      </w:r>
      <w:r w:rsidR="00887241" w:rsidRPr="00446516">
        <w:t>s</w:t>
      </w:r>
      <w:r w:rsidRPr="00446516">
        <w:t xml:space="preserve"> negativo</w:t>
      </w:r>
      <w:r w:rsidR="00887241" w:rsidRPr="00446516">
        <w:t>s</w:t>
      </w:r>
      <w:r w:rsidR="00F51721" w:rsidRPr="00446516">
        <w:t xml:space="preserve">, en un intento de </w:t>
      </w:r>
      <w:r w:rsidR="00887241" w:rsidRPr="00446516">
        <w:t>justificar los crímenes cometidos contra esta y</w:t>
      </w:r>
      <w:r w:rsidR="00F51721" w:rsidRPr="00446516">
        <w:t>/o</w:t>
      </w:r>
      <w:r w:rsidR="00887241" w:rsidRPr="00446516">
        <w:t xml:space="preserve"> encubrir </w:t>
      </w:r>
      <w:r w:rsidR="00F51721" w:rsidRPr="00446516">
        <w:t>a</w:t>
      </w:r>
      <w:r w:rsidR="00A70B65">
        <w:t xml:space="preserve"> </w:t>
      </w:r>
      <w:r w:rsidR="00F51721" w:rsidRPr="00446516">
        <w:t>l</w:t>
      </w:r>
      <w:r w:rsidR="00A70B65">
        <w:t>a</w:t>
      </w:r>
      <w:r w:rsidR="00F51721" w:rsidRPr="00446516">
        <w:t xml:space="preserve"> o las personas</w:t>
      </w:r>
      <w:r w:rsidR="00887241" w:rsidRPr="00446516">
        <w:t xml:space="preserve"> responsables</w:t>
      </w:r>
      <w:r w:rsidRPr="00446516">
        <w:t>, deben ser rechazadas y calificadas como incompatibles con el derecho internacional de los derechos humanos</w:t>
      </w:r>
      <w:r w:rsidRPr="00446516">
        <w:rPr>
          <w:vertAlign w:val="superscript"/>
        </w:rPr>
        <w:footnoteReference w:id="202"/>
      </w:r>
      <w:r w:rsidRPr="00446516">
        <w:t xml:space="preserve">. </w:t>
      </w:r>
      <w:r w:rsidR="00F51721" w:rsidRPr="00446516">
        <w:t xml:space="preserve">Además, la Corte ha reconocido que los prejuicios personales y los estereotipos de género afectan la objetividad de los funcionarios estatales encargados de investigar las denuncias que se les presentan, influyendo en su percepción para determinar si ocurrió́ o no un hecho de violencia, en su evaluación de la credibilidad de los testigos y de la propia víctima. </w:t>
      </w:r>
      <w:r w:rsidR="00F51721" w:rsidRPr="00446516">
        <w:rPr>
          <w:bCs/>
          <w:iCs/>
        </w:rPr>
        <w:t xml:space="preserve">La Corte resalta, además, que la utilización de estereotipos por parte de las </w:t>
      </w:r>
      <w:r w:rsidR="00F51721" w:rsidRPr="00460C66">
        <w:rPr>
          <w:bCs/>
          <w:iCs/>
        </w:rPr>
        <w:t>autoridades judiciales puede constituir u</w:t>
      </w:r>
      <w:r w:rsidR="00F51721" w:rsidRPr="00A70B65">
        <w:rPr>
          <w:bCs/>
          <w:iCs/>
        </w:rPr>
        <w:t>n elemento indicativo de la existencia de falta de imparcialidad</w:t>
      </w:r>
      <w:r w:rsidR="00F51721" w:rsidRPr="00460C66">
        <w:rPr>
          <w:rStyle w:val="Refdenotaalpie"/>
          <w:bCs/>
          <w:iCs/>
        </w:rPr>
        <w:footnoteReference w:id="203"/>
      </w:r>
      <w:r w:rsidR="00F51721" w:rsidRPr="00460C66">
        <w:rPr>
          <w:bCs/>
          <w:iCs/>
        </w:rPr>
        <w:t>.</w:t>
      </w:r>
    </w:p>
    <w:p w14:paraId="355210FE" w14:textId="77777777" w:rsidR="00F84E90" w:rsidRPr="008440D0" w:rsidRDefault="00F84E90" w:rsidP="00F84E90">
      <w:pPr>
        <w:widowControl/>
        <w:tabs>
          <w:tab w:val="left" w:pos="567"/>
          <w:tab w:val="num" w:pos="12305"/>
        </w:tabs>
        <w:autoSpaceDE w:val="0"/>
        <w:autoSpaceDN w:val="0"/>
        <w:spacing w:line="240" w:lineRule="auto"/>
        <w:textAlignment w:val="auto"/>
        <w:rPr>
          <w:b/>
        </w:rPr>
      </w:pPr>
    </w:p>
    <w:p w14:paraId="4A4A4DA6" w14:textId="1279929F" w:rsidR="00260958" w:rsidRPr="00446516" w:rsidRDefault="00F51721" w:rsidP="00A81982">
      <w:pPr>
        <w:widowControl/>
        <w:numPr>
          <w:ilvl w:val="0"/>
          <w:numId w:val="4"/>
        </w:numPr>
        <w:tabs>
          <w:tab w:val="left" w:pos="567"/>
          <w:tab w:val="num" w:pos="12305"/>
        </w:tabs>
        <w:autoSpaceDE w:val="0"/>
        <w:autoSpaceDN w:val="0"/>
        <w:adjustRightInd/>
        <w:spacing w:line="240" w:lineRule="auto"/>
        <w:ind w:left="0" w:firstLine="0"/>
        <w:textAlignment w:val="auto"/>
        <w:rPr>
          <w:rFonts w:eastAsiaTheme="minorHAnsi" w:cs="Arial"/>
        </w:rPr>
      </w:pPr>
      <w:r w:rsidRPr="00460C66">
        <w:t>Sentado lo anterior,</w:t>
      </w:r>
      <w:r w:rsidR="003C4E1B" w:rsidRPr="00A70B65">
        <w:t xml:space="preserve"> e</w:t>
      </w:r>
      <w:r w:rsidR="00DB688F" w:rsidRPr="00A70B65">
        <w:rPr>
          <w:lang w:val="es-ES"/>
        </w:rPr>
        <w:t xml:space="preserve">l Tribunal advierte que </w:t>
      </w:r>
      <w:r w:rsidR="00F84E90" w:rsidRPr="00A70B65">
        <w:rPr>
          <w:lang w:val="es-ES"/>
        </w:rPr>
        <w:t xml:space="preserve">la investigación </w:t>
      </w:r>
      <w:r w:rsidR="0079556F" w:rsidRPr="00A70B65">
        <w:rPr>
          <w:lang w:val="es-ES"/>
        </w:rPr>
        <w:t>relativa a las circunst</w:t>
      </w:r>
      <w:r w:rsidR="00C8301F" w:rsidRPr="00A70B65">
        <w:rPr>
          <w:lang w:val="es-ES"/>
        </w:rPr>
        <w:t>a</w:t>
      </w:r>
      <w:r w:rsidR="0079556F" w:rsidRPr="00A70B65">
        <w:rPr>
          <w:lang w:val="es-ES"/>
        </w:rPr>
        <w:t>ncias de la muerte</w:t>
      </w:r>
      <w:r w:rsidR="0079556F" w:rsidRPr="00446516">
        <w:rPr>
          <w:lang w:val="es-ES"/>
        </w:rPr>
        <w:t xml:space="preserve"> de la señora </w:t>
      </w:r>
      <w:r w:rsidR="00AD29EF">
        <w:rPr>
          <w:lang w:val="es-ES"/>
        </w:rPr>
        <w:t xml:space="preserve">Digna </w:t>
      </w:r>
      <w:r w:rsidR="0079556F" w:rsidRPr="00446516">
        <w:rPr>
          <w:lang w:val="es-ES"/>
        </w:rPr>
        <w:t xml:space="preserve">Ochoa </w:t>
      </w:r>
      <w:r w:rsidR="00F84E90" w:rsidRPr="00446516">
        <w:rPr>
          <w:lang w:val="es-ES"/>
        </w:rPr>
        <w:t xml:space="preserve">estuvo sesgada, desde el principio, por la aplicación de </w:t>
      </w:r>
      <w:r w:rsidR="002942EC" w:rsidRPr="00446516">
        <w:rPr>
          <w:lang w:val="es-ES"/>
        </w:rPr>
        <w:t>estereotipos</w:t>
      </w:r>
      <w:r w:rsidR="00F84E90" w:rsidRPr="00446516">
        <w:rPr>
          <w:lang w:val="es-ES"/>
        </w:rPr>
        <w:t xml:space="preserve"> de género</w:t>
      </w:r>
      <w:r w:rsidR="00F84E90" w:rsidRPr="00446516">
        <w:rPr>
          <w:rStyle w:val="Refdenotaalpie"/>
          <w:lang w:val="es-ES"/>
        </w:rPr>
        <w:footnoteReference w:id="204"/>
      </w:r>
      <w:r w:rsidR="0079556F" w:rsidRPr="00446516">
        <w:rPr>
          <w:lang w:val="es-ES"/>
        </w:rPr>
        <w:t>, donde destaca la elaboración de</w:t>
      </w:r>
      <w:r w:rsidR="00DB688F" w:rsidRPr="003C4E1B">
        <w:rPr>
          <w:lang w:val="es-ES"/>
        </w:rPr>
        <w:t xml:space="preserve"> peritajes con base </w:t>
      </w:r>
      <w:r w:rsidR="00F3775B">
        <w:rPr>
          <w:lang w:val="es-ES"/>
        </w:rPr>
        <w:t>en</w:t>
      </w:r>
      <w:r w:rsidR="00DB688F" w:rsidRPr="003C4E1B">
        <w:rPr>
          <w:lang w:val="es-ES"/>
        </w:rPr>
        <w:t xml:space="preserve"> </w:t>
      </w:r>
      <w:r w:rsidR="0079556F">
        <w:rPr>
          <w:lang w:val="es-ES"/>
        </w:rPr>
        <w:t xml:space="preserve">este tipo de </w:t>
      </w:r>
      <w:r w:rsidR="00DB688F" w:rsidRPr="003C4E1B">
        <w:rPr>
          <w:lang w:val="es-ES"/>
        </w:rPr>
        <w:t xml:space="preserve">estereotipos que apelaban a aspectos íntimos y personales de la </w:t>
      </w:r>
      <w:r w:rsidR="00312DD4" w:rsidRPr="003C4E1B">
        <w:rPr>
          <w:lang w:val="es-ES"/>
        </w:rPr>
        <w:t>defensora, todo</w:t>
      </w:r>
      <w:r w:rsidR="00DB688F" w:rsidRPr="003C4E1B">
        <w:rPr>
          <w:lang w:val="es-ES"/>
        </w:rPr>
        <w:t xml:space="preserve"> ello con el objetiv</w:t>
      </w:r>
      <w:r w:rsidR="000B1A9D" w:rsidRPr="003C4E1B">
        <w:rPr>
          <w:lang w:val="es-ES"/>
        </w:rPr>
        <w:t>o</w:t>
      </w:r>
      <w:r w:rsidR="00DB688F" w:rsidRPr="003C4E1B">
        <w:rPr>
          <w:lang w:val="es-ES"/>
        </w:rPr>
        <w:t xml:space="preserve"> de cuestionar su credibilidad. </w:t>
      </w:r>
      <w:r w:rsidR="00F33142" w:rsidRPr="003C4E1B">
        <w:rPr>
          <w:lang w:val="es-ES"/>
        </w:rPr>
        <w:t xml:space="preserve">Así, se proyectó una imagen de la </w:t>
      </w:r>
      <w:r w:rsidR="001F344D">
        <w:rPr>
          <w:lang w:val="es-ES"/>
        </w:rPr>
        <w:t>señora Digna Ochoa</w:t>
      </w:r>
      <w:r w:rsidR="00F33142" w:rsidRPr="003C4E1B">
        <w:rPr>
          <w:lang w:val="es-ES"/>
        </w:rPr>
        <w:t xml:space="preserve"> </w:t>
      </w:r>
      <w:r w:rsidR="00F33142" w:rsidRPr="003C4E1B">
        <w:rPr>
          <w:rFonts w:eastAsiaTheme="minorHAnsi" w:cs="Arial"/>
          <w:lang w:eastAsia="en-US"/>
        </w:rPr>
        <w:t xml:space="preserve">como una mujer poco creíble y exagerada, </w:t>
      </w:r>
      <w:r w:rsidR="002F4BA3" w:rsidRPr="003C4E1B">
        <w:rPr>
          <w:rFonts w:eastAsia="Batang"/>
        </w:rPr>
        <w:t>lo cual les permitía concluir</w:t>
      </w:r>
      <w:r w:rsidR="00F33142" w:rsidRPr="003C4E1B">
        <w:rPr>
          <w:rFonts w:eastAsia="Batang"/>
        </w:rPr>
        <w:t xml:space="preserve"> que </w:t>
      </w:r>
      <w:r w:rsidR="003B7FF9" w:rsidRPr="003C4E1B">
        <w:rPr>
          <w:rFonts w:eastAsia="Calibri"/>
          <w:lang w:val="es-CO"/>
        </w:rPr>
        <w:t xml:space="preserve">habría cometido un </w:t>
      </w:r>
      <w:r w:rsidR="00F33142" w:rsidRPr="003C4E1B">
        <w:rPr>
          <w:rFonts w:eastAsia="Calibri"/>
          <w:lang w:val="es-CO"/>
        </w:rPr>
        <w:t>suicido producto de una</w:t>
      </w:r>
      <w:r w:rsidR="00F33142" w:rsidRPr="003C4E1B">
        <w:rPr>
          <w:lang w:val="es-CO"/>
        </w:rPr>
        <w:t xml:space="preserve"> </w:t>
      </w:r>
      <w:r w:rsidR="00F33142" w:rsidRPr="003C4E1B">
        <w:rPr>
          <w:rFonts w:eastAsia="Calibri"/>
          <w:lang w:val="es-CO"/>
        </w:rPr>
        <w:t>inestabilidad emocional, inestabilidad que además estaba relacionada con su condición de mujer.</w:t>
      </w:r>
      <w:r w:rsidR="00260958" w:rsidRPr="003C4E1B">
        <w:rPr>
          <w:rFonts w:eastAsia="Calibri"/>
          <w:lang w:val="es-CO"/>
        </w:rPr>
        <w:t xml:space="preserve"> </w:t>
      </w:r>
      <w:r w:rsidR="00260958" w:rsidRPr="003C4E1B">
        <w:rPr>
          <w:rFonts w:eastAsia="Calibri" w:cs="Arial"/>
          <w:lang w:val="es-CO"/>
        </w:rPr>
        <w:t>Además</w:t>
      </w:r>
      <w:r w:rsidR="002C3E33" w:rsidRPr="003C4E1B">
        <w:rPr>
          <w:rFonts w:eastAsia="Calibri" w:cs="Arial"/>
          <w:lang w:val="es-CO"/>
        </w:rPr>
        <w:t xml:space="preserve">, </w:t>
      </w:r>
      <w:r w:rsidR="003C4E1B">
        <w:rPr>
          <w:rFonts w:eastAsia="Calibri" w:cs="Arial"/>
          <w:lang w:val="es-CO"/>
        </w:rPr>
        <w:t xml:space="preserve">los </w:t>
      </w:r>
      <w:r w:rsidR="003C4E1B">
        <w:rPr>
          <w:rFonts w:eastAsia="Calibri" w:cs="Arial"/>
          <w:lang w:val="es-CO"/>
        </w:rPr>
        <w:lastRenderedPageBreak/>
        <w:t>referidos</w:t>
      </w:r>
      <w:r w:rsidR="002F4BA3" w:rsidRPr="003C4E1B">
        <w:rPr>
          <w:rFonts w:eastAsia="Calibri" w:cs="Arial"/>
          <w:lang w:val="es-CO"/>
        </w:rPr>
        <w:t xml:space="preserve"> dictáme</w:t>
      </w:r>
      <w:r w:rsidR="00F3775B">
        <w:rPr>
          <w:rFonts w:eastAsia="Calibri" w:cs="Arial"/>
          <w:lang w:val="es-CO"/>
        </w:rPr>
        <w:t>n</w:t>
      </w:r>
      <w:r w:rsidR="002F4BA3" w:rsidRPr="003C4E1B">
        <w:rPr>
          <w:rFonts w:eastAsia="Calibri" w:cs="Arial"/>
          <w:lang w:val="es-CO"/>
        </w:rPr>
        <w:t>es</w:t>
      </w:r>
      <w:r w:rsidR="002C3E33" w:rsidRPr="003C4E1B">
        <w:rPr>
          <w:rFonts w:eastAsia="Calibri" w:cs="Arial"/>
          <w:lang w:val="es-CO"/>
        </w:rPr>
        <w:t xml:space="preserve"> </w:t>
      </w:r>
      <w:r w:rsidR="00260958" w:rsidRPr="003C4E1B">
        <w:rPr>
          <w:rFonts w:eastAsia="Calibri" w:cs="Arial"/>
          <w:lang w:val="es-CO"/>
        </w:rPr>
        <w:t>pusieron</w:t>
      </w:r>
      <w:r w:rsidR="002C3E33" w:rsidRPr="003C4E1B">
        <w:rPr>
          <w:rFonts w:eastAsiaTheme="minorHAnsi" w:cs="Arial"/>
          <w:lang w:eastAsia="en-US"/>
        </w:rPr>
        <w:t xml:space="preserve"> el acento en la víctima y sus comportamientos, aislando e invisibilizando de esta forma los hechos del contexto en que ocurrió</w:t>
      </w:r>
      <w:r w:rsidR="002F4BA3" w:rsidRPr="003C4E1B">
        <w:rPr>
          <w:rFonts w:eastAsiaTheme="minorHAnsi" w:cs="Arial"/>
          <w:lang w:eastAsia="en-US"/>
        </w:rPr>
        <w:t xml:space="preserve"> la muerte, desvinculándola automática</w:t>
      </w:r>
      <w:r w:rsidR="00952421">
        <w:rPr>
          <w:rFonts w:eastAsiaTheme="minorHAnsi" w:cs="Arial"/>
          <w:lang w:eastAsia="en-US"/>
        </w:rPr>
        <w:t>mente</w:t>
      </w:r>
      <w:r w:rsidR="002F4BA3" w:rsidRPr="003C4E1B">
        <w:rPr>
          <w:rFonts w:eastAsiaTheme="minorHAnsi" w:cs="Arial"/>
          <w:lang w:eastAsia="en-US"/>
        </w:rPr>
        <w:t xml:space="preserve"> de su labor de defensa de derechos humanos y, en consecuencia</w:t>
      </w:r>
      <w:r w:rsidR="002C3E33" w:rsidRPr="003C4E1B">
        <w:rPr>
          <w:rFonts w:eastAsiaTheme="minorHAnsi" w:cs="Arial"/>
          <w:lang w:eastAsia="en-US"/>
        </w:rPr>
        <w:t>, afectando negativamente a la investigación y a la valoración de la prueba</w:t>
      </w:r>
      <w:r w:rsidR="00A2681F">
        <w:rPr>
          <w:rFonts w:eastAsiaTheme="minorHAnsi" w:cs="Arial"/>
          <w:lang w:eastAsia="en-US"/>
        </w:rPr>
        <w:t xml:space="preserve">. </w:t>
      </w:r>
      <w:r w:rsidR="00252F97" w:rsidRPr="00446516">
        <w:rPr>
          <w:rFonts w:eastAsiaTheme="minorHAnsi" w:cs="Arial"/>
          <w:lang w:eastAsia="en-US"/>
        </w:rPr>
        <w:t xml:space="preserve">En consecuencia, la determinación a nivel interno de que la señora Digna Ochoa falleció como consecuencia de un </w:t>
      </w:r>
      <w:r w:rsidR="00C8301F" w:rsidRPr="00446516">
        <w:rPr>
          <w:rFonts w:eastAsiaTheme="minorHAnsi" w:cs="Arial"/>
          <w:lang w:eastAsia="en-US"/>
        </w:rPr>
        <w:t xml:space="preserve">supuesto </w:t>
      </w:r>
      <w:r w:rsidR="00252F97" w:rsidRPr="00446516">
        <w:rPr>
          <w:rFonts w:eastAsiaTheme="minorHAnsi" w:cs="Arial"/>
          <w:lang w:eastAsia="en-US"/>
        </w:rPr>
        <w:t>“suicidio disimulado”</w:t>
      </w:r>
      <w:r w:rsidR="00252F97" w:rsidRPr="00446516">
        <w:rPr>
          <w:spacing w:val="-2"/>
        </w:rPr>
        <w:t xml:space="preserve"> </w:t>
      </w:r>
      <w:r w:rsidR="00C8301F" w:rsidRPr="00446516">
        <w:rPr>
          <w:spacing w:val="-2"/>
        </w:rPr>
        <w:t>(</w:t>
      </w:r>
      <w:r w:rsidR="00C8301F" w:rsidRPr="00446516">
        <w:rPr>
          <w:i/>
          <w:spacing w:val="-2"/>
        </w:rPr>
        <w:t>sic</w:t>
      </w:r>
      <w:r w:rsidR="00C8301F" w:rsidRPr="00446516">
        <w:rPr>
          <w:spacing w:val="-2"/>
        </w:rPr>
        <w:t xml:space="preserve">) </w:t>
      </w:r>
      <w:r w:rsidR="00252F97" w:rsidRPr="00446516">
        <w:rPr>
          <w:spacing w:val="-2"/>
        </w:rPr>
        <w:t>no solo no estuvo sustentada en la valoración objetiva de prueba recolectada, sino que, a criterio de la Corte, es difícilmente compatible con la sucesión de hechos que constan probados y, en específico, con las circunstancias y forma en la que habría tenido lugar dicha muerte.</w:t>
      </w:r>
    </w:p>
    <w:p w14:paraId="25783256" w14:textId="4DEB5FB5" w:rsidR="002D3B1C" w:rsidRDefault="00462AF9" w:rsidP="002D3B1C">
      <w:pPr>
        <w:pStyle w:val="Ttulo3"/>
        <w:rPr>
          <w:lang w:val="es-ES"/>
        </w:rPr>
      </w:pPr>
      <w:r>
        <w:rPr>
          <w:lang w:val="es-ES"/>
        </w:rPr>
        <w:t xml:space="preserve"> </w:t>
      </w:r>
      <w:bookmarkStart w:id="69" w:name="_Toc93400259"/>
      <w:r w:rsidR="002D3B1C" w:rsidRPr="00FE71B7">
        <w:rPr>
          <w:lang w:val="es-ES"/>
        </w:rPr>
        <w:t>b.3 Plazo razonable</w:t>
      </w:r>
      <w:bookmarkEnd w:id="69"/>
    </w:p>
    <w:p w14:paraId="0F2FC6DE" w14:textId="77777777" w:rsidR="002D3B1C" w:rsidRPr="00FE71B7" w:rsidRDefault="002D3B1C" w:rsidP="002D3B1C">
      <w:pPr>
        <w:numPr>
          <w:ilvl w:val="0"/>
          <w:numId w:val="4"/>
        </w:numPr>
        <w:tabs>
          <w:tab w:val="left" w:pos="567"/>
          <w:tab w:val="num" w:pos="1569"/>
          <w:tab w:val="num" w:pos="12305"/>
        </w:tabs>
        <w:spacing w:line="240" w:lineRule="auto"/>
        <w:ind w:left="0" w:firstLine="0"/>
        <w:rPr>
          <w:rFonts w:eastAsiaTheme="minorHAnsi" w:cs="Arial"/>
          <w:lang w:val="es-ES" w:eastAsia="en-US"/>
        </w:rPr>
      </w:pPr>
      <w:r w:rsidRPr="00FE71B7">
        <w:rPr>
          <w:rFonts w:eastAsia="Calibri"/>
          <w:kern w:val="2"/>
          <w:lang w:eastAsia="en-US"/>
        </w:rPr>
        <w:t xml:space="preserve">El Tribunal ha </w:t>
      </w:r>
      <w:r w:rsidRPr="00FE71B7">
        <w:rPr>
          <w:lang w:val="es-ES"/>
        </w:rPr>
        <w:t>señalado</w:t>
      </w:r>
      <w:r w:rsidRPr="00FE71B7">
        <w:rPr>
          <w:rFonts w:eastAsia="Calibri"/>
          <w:kern w:val="2"/>
          <w:lang w:eastAsia="en-US"/>
        </w:rPr>
        <w:t xml:space="preserve"> que el derecho de acceso a la justicia en casos de violaciones a los derechos humanos –o, como es este caso, donde existe la posibilidad de que se hayan podido cometer violaciones a los derechos humanos– debe asegurar, en tiempo razonable, el derecho de las presuntas víctimas o sus familiares a </w:t>
      </w:r>
      <w:r w:rsidRPr="00FE71B7">
        <w:rPr>
          <w:lang w:val="es-ES"/>
        </w:rPr>
        <w:t>que</w:t>
      </w:r>
      <w:r w:rsidRPr="00FE71B7">
        <w:rPr>
          <w:rFonts w:eastAsia="Calibri"/>
          <w:kern w:val="2"/>
          <w:lang w:eastAsia="en-US"/>
        </w:rPr>
        <w:t xml:space="preserve"> se haga todo lo necesario para conocer la verdad de lo sucedido e investigar, juzgar y, en su caso, sancionar a los eventuales responsables</w:t>
      </w:r>
      <w:r w:rsidRPr="00FE71B7">
        <w:rPr>
          <w:rFonts w:eastAsia="Calibri"/>
          <w:kern w:val="2"/>
          <w:vertAlign w:val="superscript"/>
          <w:lang w:eastAsia="en-US"/>
        </w:rPr>
        <w:footnoteReference w:id="205"/>
      </w:r>
      <w:r w:rsidRPr="00FE71B7">
        <w:rPr>
          <w:rFonts w:eastAsia="Calibri"/>
          <w:kern w:val="2"/>
          <w:lang w:eastAsia="en-US"/>
        </w:rPr>
        <w:t xml:space="preserve">. </w:t>
      </w:r>
      <w:r w:rsidRPr="00FE71B7">
        <w:rPr>
          <w:rFonts w:cs="Arial"/>
        </w:rPr>
        <w:t xml:space="preserve">No menos importante es lo indicado por </w:t>
      </w:r>
      <w:r w:rsidRPr="00FE71B7">
        <w:rPr>
          <w:rFonts w:eastAsia="MS Mincho" w:cs="Verdana"/>
          <w:bCs/>
          <w:lang w:eastAsia="en-US"/>
        </w:rPr>
        <w:t>el Tribunal</w:t>
      </w:r>
      <w:r w:rsidRPr="00FE71B7">
        <w:rPr>
          <w:rFonts w:cs="Verdana"/>
          <w:bCs/>
        </w:rPr>
        <w:t xml:space="preserve"> con respecto a que una demora prolongada en el proceso puede llegar a constituir, por sí misma, una </w:t>
      </w:r>
      <w:r w:rsidRPr="00FE71B7">
        <w:rPr>
          <w:snapToGrid w:val="0"/>
          <w:lang w:eastAsia="es-ES"/>
        </w:rPr>
        <w:t>violación</w:t>
      </w:r>
      <w:r w:rsidRPr="00FE71B7">
        <w:rPr>
          <w:rFonts w:cs="Verdana"/>
          <w:bCs/>
        </w:rPr>
        <w:t xml:space="preserve"> a las garantías judiciales</w:t>
      </w:r>
      <w:r w:rsidRPr="00FE71B7">
        <w:rPr>
          <w:rStyle w:val="Refdenotaalpie"/>
          <w:bCs/>
        </w:rPr>
        <w:footnoteReference w:id="206"/>
      </w:r>
      <w:r w:rsidRPr="00FE71B7">
        <w:rPr>
          <w:rFonts w:cs="Verdana"/>
          <w:bCs/>
        </w:rPr>
        <w:t xml:space="preserve">. </w:t>
      </w:r>
    </w:p>
    <w:p w14:paraId="36ECE56A" w14:textId="77777777" w:rsidR="002D3B1C" w:rsidRPr="005F2C1A" w:rsidRDefault="002D3B1C" w:rsidP="002D3B1C">
      <w:pPr>
        <w:tabs>
          <w:tab w:val="left" w:pos="567"/>
        </w:tabs>
        <w:spacing w:line="240" w:lineRule="auto"/>
        <w:rPr>
          <w:rFonts w:eastAsiaTheme="minorHAnsi" w:cs="Arial"/>
          <w:lang w:val="es-ES" w:eastAsia="en-US"/>
        </w:rPr>
      </w:pPr>
    </w:p>
    <w:p w14:paraId="3929DC87" w14:textId="1C230DC9" w:rsidR="002D3B1C" w:rsidRPr="005F2C1A" w:rsidRDefault="00034CBC" w:rsidP="002D3B1C">
      <w:pPr>
        <w:numPr>
          <w:ilvl w:val="0"/>
          <w:numId w:val="4"/>
        </w:numPr>
        <w:tabs>
          <w:tab w:val="left" w:pos="567"/>
          <w:tab w:val="num" w:pos="1569"/>
          <w:tab w:val="num" w:pos="12305"/>
        </w:tabs>
        <w:spacing w:line="240" w:lineRule="auto"/>
        <w:ind w:left="0" w:firstLine="0"/>
        <w:rPr>
          <w:rFonts w:eastAsiaTheme="minorHAnsi" w:cs="Arial"/>
          <w:lang w:val="es-ES" w:eastAsia="en-US"/>
        </w:rPr>
      </w:pPr>
      <w:r>
        <w:rPr>
          <w:rFonts w:cs="Verdana"/>
          <w:bCs/>
        </w:rPr>
        <w:t>La Corte</w:t>
      </w:r>
      <w:r w:rsidR="002D3B1C" w:rsidRPr="004926F6">
        <w:rPr>
          <w:rFonts w:cs="Verdana"/>
          <w:bCs/>
        </w:rPr>
        <w:t xml:space="preserve"> ha establecido que la evaluación del plazo razonable se debe analizar en cada caso concreto, en relación con la duración total del proceso, lo cual podría también incluir la ejecución de la sentencia definitiva. Así, ha considerado cuatro elementos para analizar si se cumplió con la garantía del plazo razonable, a saber: a) la complejidad del asunto</w:t>
      </w:r>
      <w:r w:rsidR="002D3B1C" w:rsidRPr="004926F6">
        <w:rPr>
          <w:rStyle w:val="Refdenotaalpie"/>
          <w:bCs/>
        </w:rPr>
        <w:footnoteReference w:id="207"/>
      </w:r>
      <w:r w:rsidR="002D3B1C" w:rsidRPr="004926F6">
        <w:rPr>
          <w:rFonts w:cs="Verdana"/>
          <w:bCs/>
        </w:rPr>
        <w:t>; b) la actividad procesal del interesado</w:t>
      </w:r>
      <w:r w:rsidR="002D3B1C" w:rsidRPr="004926F6">
        <w:rPr>
          <w:rStyle w:val="Refdenotaalpie"/>
          <w:bCs/>
        </w:rPr>
        <w:footnoteReference w:id="208"/>
      </w:r>
      <w:r w:rsidR="002D3B1C" w:rsidRPr="004926F6">
        <w:rPr>
          <w:rFonts w:cs="Verdana"/>
          <w:bCs/>
        </w:rPr>
        <w:t>; c) la conducta de las autoridades judiciales</w:t>
      </w:r>
      <w:r w:rsidR="002D3B1C" w:rsidRPr="004926F6">
        <w:rPr>
          <w:rStyle w:val="Refdenotaalpie"/>
          <w:bCs/>
        </w:rPr>
        <w:footnoteReference w:id="209"/>
      </w:r>
      <w:r w:rsidR="002D3B1C" w:rsidRPr="004926F6">
        <w:rPr>
          <w:rFonts w:cs="Verdana"/>
          <w:bCs/>
        </w:rPr>
        <w:t>, y d) la afectación generada en la situación jurídica de la presunta víctima</w:t>
      </w:r>
      <w:r w:rsidR="002D3B1C" w:rsidRPr="004926F6">
        <w:rPr>
          <w:rStyle w:val="Refdenotaalpie"/>
          <w:bCs/>
        </w:rPr>
        <w:footnoteReference w:id="210"/>
      </w:r>
      <w:r w:rsidR="002D3B1C" w:rsidRPr="004926F6">
        <w:rPr>
          <w:rFonts w:cs="Verdana"/>
          <w:bCs/>
        </w:rPr>
        <w:t xml:space="preserve">. La Corte recuerda que corresponde al Estado justificar, con fundamento en los criterios señalados, la razón por la cual ha requerido del tiempo transcurrido para tratar los casos y, en la eventualidad de que este no lo </w:t>
      </w:r>
      <w:r w:rsidR="002D3B1C" w:rsidRPr="004926F6">
        <w:rPr>
          <w:lang w:val="es-ES"/>
        </w:rPr>
        <w:t>demuestre</w:t>
      </w:r>
      <w:r w:rsidR="002D3B1C" w:rsidRPr="004926F6">
        <w:rPr>
          <w:rFonts w:cs="Verdana"/>
          <w:bCs/>
        </w:rPr>
        <w:t>, la Corte tiene amplias atribuciones para hacer su propia estimación al respecto</w:t>
      </w:r>
      <w:r w:rsidR="002D3B1C" w:rsidRPr="004926F6">
        <w:rPr>
          <w:rStyle w:val="Refdenotaalpie"/>
          <w:bCs/>
        </w:rPr>
        <w:footnoteReference w:id="211"/>
      </w:r>
      <w:r w:rsidR="002D3B1C" w:rsidRPr="004926F6">
        <w:rPr>
          <w:rFonts w:cs="Verdana"/>
          <w:bCs/>
        </w:rPr>
        <w:t xml:space="preserve">. El Tribunal reitera, además, que se debe </w:t>
      </w:r>
      <w:r w:rsidR="002D3B1C" w:rsidRPr="004926F6">
        <w:rPr>
          <w:rFonts w:cs="Verdana"/>
          <w:bCs/>
        </w:rPr>
        <w:lastRenderedPageBreak/>
        <w:t>apreciar la duración total del proceso, desde el primer acto procesal hasta que se dicte la sentencia definitiva, incluyendo los recursos de instancia que pudieran eventualmente presentarse</w:t>
      </w:r>
      <w:r w:rsidR="002D3B1C" w:rsidRPr="004926F6">
        <w:rPr>
          <w:rStyle w:val="Refdenotaalpie"/>
          <w:bCs/>
        </w:rPr>
        <w:footnoteReference w:id="212"/>
      </w:r>
      <w:r w:rsidR="002D3B1C" w:rsidRPr="004926F6">
        <w:rPr>
          <w:rFonts w:cs="Verdana"/>
          <w:bCs/>
        </w:rPr>
        <w:t>.</w:t>
      </w:r>
      <w:r w:rsidR="009C6298">
        <w:rPr>
          <w:rFonts w:cs="Verdana"/>
          <w:bCs/>
        </w:rPr>
        <w:t xml:space="preserve"> En vista de lo anterior, el Tribunal realizará el presente análisis desde el día de la </w:t>
      </w:r>
      <w:proofErr w:type="spellStart"/>
      <w:r w:rsidR="009C6298" w:rsidRPr="00286D43">
        <w:rPr>
          <w:rFonts w:cs="Verdana"/>
          <w:bCs/>
          <w:i/>
        </w:rPr>
        <w:t>notitia</w:t>
      </w:r>
      <w:proofErr w:type="spellEnd"/>
      <w:r w:rsidR="009C6298" w:rsidRPr="00286D43">
        <w:rPr>
          <w:rFonts w:cs="Verdana"/>
          <w:bCs/>
          <w:i/>
        </w:rPr>
        <w:t xml:space="preserve"> </w:t>
      </w:r>
      <w:proofErr w:type="spellStart"/>
      <w:r w:rsidR="009C6298" w:rsidRPr="00286D43">
        <w:rPr>
          <w:rFonts w:cs="Verdana"/>
          <w:bCs/>
          <w:i/>
        </w:rPr>
        <w:t>criminis</w:t>
      </w:r>
      <w:proofErr w:type="spellEnd"/>
      <w:r w:rsidR="009C6298">
        <w:rPr>
          <w:rFonts w:cs="Verdana"/>
          <w:bCs/>
        </w:rPr>
        <w:t xml:space="preserve"> –esto es, el </w:t>
      </w:r>
      <w:r w:rsidR="009C6298" w:rsidRPr="004F2666">
        <w:t>19 de octubre de 2001</w:t>
      </w:r>
      <w:r w:rsidR="009C6298">
        <w:t>, día de su muerte</w:t>
      </w:r>
      <w:r w:rsidR="009C6298">
        <w:rPr>
          <w:rFonts w:cs="Verdana"/>
          <w:bCs/>
        </w:rPr>
        <w:t xml:space="preserve">– hasta </w:t>
      </w:r>
      <w:r w:rsidR="00D42B8A">
        <w:rPr>
          <w:rFonts w:cs="Verdana"/>
          <w:bCs/>
        </w:rPr>
        <w:t>la actualidad</w:t>
      </w:r>
      <w:r w:rsidR="009C6298">
        <w:rPr>
          <w:rFonts w:cs="Verdana"/>
          <w:bCs/>
        </w:rPr>
        <w:t xml:space="preserve">, toda vez que el Estado, en el marco del reconocimiento parcial de responsabilidad efectuado, se ha comprometido a reabrir la investigación por la muerte de la </w:t>
      </w:r>
      <w:r w:rsidR="001F344D">
        <w:rPr>
          <w:rFonts w:cs="Verdana"/>
          <w:bCs/>
        </w:rPr>
        <w:t>señora Digna Ochoa</w:t>
      </w:r>
      <w:r w:rsidR="009C6298">
        <w:rPr>
          <w:rFonts w:cs="Verdana"/>
          <w:bCs/>
        </w:rPr>
        <w:t>.</w:t>
      </w:r>
    </w:p>
    <w:p w14:paraId="15FDEE14" w14:textId="77777777" w:rsidR="002D3B1C" w:rsidRPr="005F2C1A" w:rsidRDefault="002D3B1C" w:rsidP="002D3B1C">
      <w:pPr>
        <w:tabs>
          <w:tab w:val="left" w:pos="567"/>
        </w:tabs>
        <w:spacing w:line="240" w:lineRule="auto"/>
        <w:rPr>
          <w:rFonts w:eastAsiaTheme="minorHAnsi" w:cs="Arial"/>
          <w:lang w:val="es-ES" w:eastAsia="en-US"/>
        </w:rPr>
      </w:pPr>
    </w:p>
    <w:p w14:paraId="49A3303C" w14:textId="2465DB68" w:rsidR="002D3B1C" w:rsidRPr="004926F6" w:rsidRDefault="002D3B1C" w:rsidP="002D3B1C">
      <w:pPr>
        <w:numPr>
          <w:ilvl w:val="0"/>
          <w:numId w:val="4"/>
        </w:numPr>
        <w:tabs>
          <w:tab w:val="left" w:pos="567"/>
          <w:tab w:val="num" w:pos="1569"/>
          <w:tab w:val="num" w:pos="12305"/>
        </w:tabs>
        <w:spacing w:line="240" w:lineRule="auto"/>
        <w:ind w:left="0" w:firstLine="0"/>
        <w:rPr>
          <w:rFonts w:eastAsiaTheme="minorHAnsi" w:cs="Arial"/>
          <w:lang w:val="es-ES" w:eastAsia="en-US"/>
        </w:rPr>
      </w:pPr>
      <w:r>
        <w:rPr>
          <w:rFonts w:cs="Verdana"/>
          <w:bCs/>
        </w:rPr>
        <w:t xml:space="preserve">En cuanto a la complejidad del asunto, </w:t>
      </w:r>
      <w:r w:rsidR="00AD2CF5">
        <w:rPr>
          <w:rFonts w:cs="Verdana"/>
          <w:bCs/>
        </w:rPr>
        <w:t>la Corte</w:t>
      </w:r>
      <w:r>
        <w:rPr>
          <w:rFonts w:cs="Verdana"/>
          <w:bCs/>
        </w:rPr>
        <w:t xml:space="preserve"> advierte que, a raíz de </w:t>
      </w:r>
      <w:r w:rsidR="00DE085C">
        <w:rPr>
          <w:rFonts w:cs="Verdana"/>
          <w:bCs/>
        </w:rPr>
        <w:t xml:space="preserve">(i) </w:t>
      </w:r>
      <w:r>
        <w:rPr>
          <w:rFonts w:cs="Verdana"/>
          <w:bCs/>
        </w:rPr>
        <w:t>las nu</w:t>
      </w:r>
      <w:r w:rsidR="00DE085C">
        <w:rPr>
          <w:rFonts w:cs="Verdana"/>
          <w:bCs/>
        </w:rPr>
        <w:t xml:space="preserve">merosas diligencias practicadas, (ii) </w:t>
      </w:r>
      <w:r>
        <w:rPr>
          <w:rFonts w:cs="Verdana"/>
          <w:bCs/>
        </w:rPr>
        <w:t xml:space="preserve">la extensión geográfica que requería la investigación del hecho, </w:t>
      </w:r>
      <w:r w:rsidR="00DE085C">
        <w:rPr>
          <w:rFonts w:cs="Verdana"/>
          <w:bCs/>
        </w:rPr>
        <w:t>(iii) el hecho de que</w:t>
      </w:r>
      <w:r>
        <w:rPr>
          <w:rFonts w:cs="Verdana"/>
          <w:bCs/>
        </w:rPr>
        <w:t xml:space="preserve"> la escena del crimen </w:t>
      </w:r>
      <w:r w:rsidR="00734C1A">
        <w:rPr>
          <w:rFonts w:cs="Verdana"/>
          <w:bCs/>
        </w:rPr>
        <w:t xml:space="preserve">mostraba elementos que indicaban que había sido </w:t>
      </w:r>
      <w:r w:rsidR="00734C1A" w:rsidRPr="009C6298">
        <w:rPr>
          <w:rFonts w:cs="Verdana"/>
          <w:bCs/>
        </w:rPr>
        <w:t>contaminada</w:t>
      </w:r>
      <w:r w:rsidR="00DE085C">
        <w:rPr>
          <w:rFonts w:cs="Verdana"/>
          <w:bCs/>
        </w:rPr>
        <w:t>, así como (iv) la existencia de</w:t>
      </w:r>
      <w:r w:rsidR="009C6298">
        <w:rPr>
          <w:rFonts w:cs="Verdana"/>
          <w:bCs/>
        </w:rPr>
        <w:t xml:space="preserve"> </w:t>
      </w:r>
      <w:r>
        <w:rPr>
          <w:rFonts w:cs="Verdana"/>
          <w:bCs/>
        </w:rPr>
        <w:t xml:space="preserve">elementos disruptivos y fuera de lo común </w:t>
      </w:r>
      <w:r w:rsidR="00DE085C">
        <w:rPr>
          <w:rFonts w:cs="Verdana"/>
          <w:bCs/>
        </w:rPr>
        <w:t>–</w:t>
      </w:r>
      <w:r>
        <w:rPr>
          <w:rFonts w:cs="Verdana"/>
          <w:bCs/>
        </w:rPr>
        <w:t xml:space="preserve">como lo fueron el polvo blanco que se encontró en los alrededores del cadáver, los guantes de látex que tenía en ese momento la </w:t>
      </w:r>
      <w:r w:rsidR="001F344D">
        <w:rPr>
          <w:rFonts w:cs="Verdana"/>
          <w:bCs/>
        </w:rPr>
        <w:t>señora Digna Ochoa</w:t>
      </w:r>
      <w:r>
        <w:rPr>
          <w:rFonts w:cs="Verdana"/>
          <w:bCs/>
        </w:rPr>
        <w:t xml:space="preserve"> o la, cuando menos, extraña existencia de dos disparos previos al que fue el disparo en la cabeza causante de la muerte</w:t>
      </w:r>
      <w:r w:rsidR="00DE085C">
        <w:rPr>
          <w:rFonts w:cs="Verdana"/>
          <w:bCs/>
        </w:rPr>
        <w:t>–,</w:t>
      </w:r>
      <w:r>
        <w:rPr>
          <w:rFonts w:cs="Verdana"/>
          <w:bCs/>
        </w:rPr>
        <w:t xml:space="preserve"> hacían de la presente investigación un caso complejo.</w:t>
      </w:r>
      <w:r w:rsidR="00E87467">
        <w:rPr>
          <w:rFonts w:cs="Verdana"/>
          <w:bCs/>
        </w:rPr>
        <w:t xml:space="preserve"> </w:t>
      </w:r>
    </w:p>
    <w:p w14:paraId="147E45C4" w14:textId="77777777" w:rsidR="002D3B1C" w:rsidRPr="005F2C1A" w:rsidRDefault="002D3B1C" w:rsidP="002D3B1C">
      <w:pPr>
        <w:widowControl/>
        <w:tabs>
          <w:tab w:val="left" w:pos="567"/>
        </w:tabs>
        <w:autoSpaceDE w:val="0"/>
        <w:autoSpaceDN w:val="0"/>
        <w:spacing w:line="240" w:lineRule="auto"/>
        <w:textAlignment w:val="auto"/>
        <w:rPr>
          <w:rFonts w:eastAsiaTheme="minorHAnsi"/>
          <w:lang w:eastAsia="en-US"/>
        </w:rPr>
      </w:pPr>
    </w:p>
    <w:p w14:paraId="418124B7" w14:textId="4F5CA300" w:rsidR="002D3B1C" w:rsidRPr="00A720DF" w:rsidRDefault="002D3B1C" w:rsidP="008440D0">
      <w:pPr>
        <w:widowControl/>
        <w:numPr>
          <w:ilvl w:val="0"/>
          <w:numId w:val="4"/>
        </w:numPr>
        <w:tabs>
          <w:tab w:val="left" w:pos="567"/>
          <w:tab w:val="num" w:pos="1569"/>
          <w:tab w:val="num" w:pos="12305"/>
        </w:tabs>
        <w:autoSpaceDE w:val="0"/>
        <w:autoSpaceDN w:val="0"/>
        <w:spacing w:line="240" w:lineRule="auto"/>
        <w:ind w:left="0" w:firstLine="0"/>
        <w:textAlignment w:val="auto"/>
      </w:pPr>
      <w:r w:rsidRPr="00A720DF">
        <w:rPr>
          <w:rFonts w:eastAsiaTheme="minorHAnsi"/>
        </w:rPr>
        <w:t xml:space="preserve">No obstante, a juicio de este Tribunal, esa naturaleza compleja no justifica los largos períodos de inacción que se produjeron en el marco del procedimiento. Lo anterior se vio alimentado por los reiterados rechazos por parte del Ministerio Público a la aportación de prueba por parte de la </w:t>
      </w:r>
      <w:r w:rsidR="00312DD4" w:rsidRPr="00A720DF">
        <w:rPr>
          <w:rFonts w:eastAsiaTheme="minorHAnsi"/>
        </w:rPr>
        <w:t>coadyuvancia</w:t>
      </w:r>
      <w:r w:rsidR="005B4CA5" w:rsidRPr="00A720DF">
        <w:rPr>
          <w:rFonts w:eastAsiaTheme="minorHAnsi"/>
        </w:rPr>
        <w:t xml:space="preserve"> hasta que finalmente la prueba fue admitida en el año 2003</w:t>
      </w:r>
      <w:r w:rsidRPr="00A720DF">
        <w:rPr>
          <w:rStyle w:val="Refdenotaalpie"/>
        </w:rPr>
        <w:footnoteReference w:id="213"/>
      </w:r>
      <w:r w:rsidRPr="00A720DF">
        <w:t>.</w:t>
      </w:r>
      <w:r w:rsidR="005B4CA5" w:rsidRPr="00A720DF">
        <w:t xml:space="preserve"> Adicionalmente, </w:t>
      </w:r>
      <w:r w:rsidR="006F787C">
        <w:t>la Corte</w:t>
      </w:r>
      <w:r w:rsidR="005B4CA5" w:rsidRPr="00A720DF">
        <w:t xml:space="preserve"> advierte </w:t>
      </w:r>
      <w:r w:rsidR="006769C5">
        <w:t xml:space="preserve">que </w:t>
      </w:r>
      <w:r w:rsidR="005B4CA5" w:rsidRPr="00A720DF">
        <w:t xml:space="preserve">durante el proceso judicial </w:t>
      </w:r>
      <w:r w:rsidR="006769C5">
        <w:t>h</w:t>
      </w:r>
      <w:r w:rsidR="005B4CA5" w:rsidRPr="00A720DF">
        <w:t>u</w:t>
      </w:r>
      <w:r w:rsidR="006769C5">
        <w:t>b</w:t>
      </w:r>
      <w:r w:rsidR="005B4CA5" w:rsidRPr="00A720DF">
        <w:t xml:space="preserve">o </w:t>
      </w:r>
      <w:r w:rsidR="006769C5">
        <w:t xml:space="preserve">prolongados </w:t>
      </w:r>
      <w:r w:rsidR="005B4CA5" w:rsidRPr="00A720DF">
        <w:t>per</w:t>
      </w:r>
      <w:r w:rsidR="006769C5">
        <w:t>í</w:t>
      </w:r>
      <w:r w:rsidR="005B4CA5" w:rsidRPr="00A720DF">
        <w:t>odos de inactividad, como el transcurrido entre el 17 de septiembre de 2007 y el 11 de septiembre de 2008, en el cual la averiguación previa se mantuvo sin realizar ningún tipo de diligencia debido a su traslado entre varias fiscalías y a pesar de los señalamientos hechos por la propia Coordinación de Agentes del Ministerio Público adscritos a la Oficina del Procurador</w:t>
      </w:r>
      <w:r w:rsidR="005B4CA5" w:rsidRPr="00A720DF">
        <w:rPr>
          <w:rStyle w:val="Refdenotaalpie"/>
        </w:rPr>
        <w:footnoteReference w:id="214"/>
      </w:r>
      <w:r w:rsidR="005B4CA5" w:rsidRPr="00A720DF">
        <w:t>.</w:t>
      </w:r>
      <w:r w:rsidR="00A104BF" w:rsidRPr="00A720DF">
        <w:t xml:space="preserve"> </w:t>
      </w:r>
      <w:r w:rsidR="00A104BF" w:rsidRPr="009C6298">
        <w:t xml:space="preserve">Por último, el Tribunal </w:t>
      </w:r>
      <w:r w:rsidR="009C6298">
        <w:t>reitera</w:t>
      </w:r>
      <w:r w:rsidR="00A104BF" w:rsidRPr="009C6298">
        <w:t xml:space="preserve"> que el propio Estado ha reconocido que</w:t>
      </w:r>
      <w:r w:rsidR="00396A91" w:rsidRPr="009C6298">
        <w:t xml:space="preserve"> la investigación por la muerte de la </w:t>
      </w:r>
      <w:r w:rsidR="001F344D">
        <w:t>señora Digna Ochoa</w:t>
      </w:r>
      <w:r w:rsidR="00396A91" w:rsidRPr="009C6298">
        <w:t xml:space="preserve"> constituyó una violación</w:t>
      </w:r>
      <w:r w:rsidR="00396A91" w:rsidRPr="009C6298">
        <w:rPr>
          <w:rFonts w:eastAsia="Batang"/>
          <w:lang w:val="es-ES" w:eastAsia="en-US"/>
        </w:rPr>
        <w:t xml:space="preserve"> de los artículos 8 y 25 de la Convención </w:t>
      </w:r>
      <w:r w:rsidR="002942EC" w:rsidRPr="009C6298">
        <w:rPr>
          <w:rFonts w:eastAsia="Batang"/>
          <w:lang w:val="es-ES" w:eastAsia="en-US"/>
        </w:rPr>
        <w:t>Americana,</w:t>
      </w:r>
      <w:r w:rsidR="009C6298">
        <w:rPr>
          <w:rFonts w:eastAsia="Batang"/>
          <w:lang w:val="es-ES" w:eastAsia="en-US"/>
        </w:rPr>
        <w:t xml:space="preserve"> así como, en particular, del plazo razonable</w:t>
      </w:r>
      <w:r w:rsidR="00396A91" w:rsidRPr="009C6298">
        <w:rPr>
          <w:rFonts w:eastAsia="Batang"/>
          <w:lang w:val="es-ES" w:eastAsia="en-US"/>
        </w:rPr>
        <w:t xml:space="preserve">, lo cual </w:t>
      </w:r>
      <w:r w:rsidR="009C6298">
        <w:rPr>
          <w:rFonts w:eastAsia="Batang"/>
          <w:lang w:val="es-ES" w:eastAsia="en-US"/>
        </w:rPr>
        <w:t xml:space="preserve">ha provocado </w:t>
      </w:r>
      <w:r w:rsidR="00396A91" w:rsidRPr="009C6298">
        <w:rPr>
          <w:rFonts w:eastAsia="Batang"/>
          <w:lang w:val="es-ES" w:eastAsia="en-US"/>
        </w:rPr>
        <w:t>que, a día de hoy, transcurridos más de veinte años desde los hechos</w:t>
      </w:r>
      <w:r w:rsidR="009C6298">
        <w:rPr>
          <w:rFonts w:eastAsia="Batang"/>
          <w:lang w:val="es-ES" w:eastAsia="en-US"/>
        </w:rPr>
        <w:t xml:space="preserve">, no </w:t>
      </w:r>
      <w:r w:rsidR="00396A91" w:rsidRPr="009C6298">
        <w:rPr>
          <w:rFonts w:eastAsia="Batang"/>
          <w:lang w:val="es-ES" w:eastAsia="en-US"/>
        </w:rPr>
        <w:t>se haya</w:t>
      </w:r>
      <w:r w:rsidR="009C6298">
        <w:rPr>
          <w:rFonts w:eastAsia="Batang"/>
          <w:lang w:val="es-ES" w:eastAsia="en-US"/>
        </w:rPr>
        <w:t>n</w:t>
      </w:r>
      <w:r w:rsidR="00396A91" w:rsidRPr="009C6298">
        <w:rPr>
          <w:rFonts w:eastAsia="Batang"/>
          <w:lang w:val="es-ES" w:eastAsia="en-US"/>
        </w:rPr>
        <w:t xml:space="preserve"> podido determinar judicialmente las causas de dicha muerte y, eventualmente, las responsabilidades penales que correspondan.</w:t>
      </w:r>
    </w:p>
    <w:p w14:paraId="37C50ED6" w14:textId="77777777" w:rsidR="00286D43" w:rsidRDefault="00286D43" w:rsidP="008440D0">
      <w:pPr>
        <w:widowControl/>
        <w:tabs>
          <w:tab w:val="left" w:pos="567"/>
        </w:tabs>
        <w:autoSpaceDE w:val="0"/>
        <w:autoSpaceDN w:val="0"/>
        <w:spacing w:line="240" w:lineRule="auto"/>
        <w:textAlignment w:val="auto"/>
      </w:pPr>
    </w:p>
    <w:p w14:paraId="14AD7240" w14:textId="2FA3BE37" w:rsidR="002D3B1C" w:rsidRDefault="005B4CA5" w:rsidP="008440D0">
      <w:pPr>
        <w:widowControl/>
        <w:numPr>
          <w:ilvl w:val="0"/>
          <w:numId w:val="4"/>
        </w:numPr>
        <w:tabs>
          <w:tab w:val="left" w:pos="567"/>
          <w:tab w:val="num" w:pos="1569"/>
          <w:tab w:val="num" w:pos="12305"/>
        </w:tabs>
        <w:autoSpaceDE w:val="0"/>
        <w:autoSpaceDN w:val="0"/>
        <w:spacing w:line="240" w:lineRule="auto"/>
        <w:ind w:left="0" w:firstLine="0"/>
        <w:textAlignment w:val="auto"/>
      </w:pPr>
      <w:r>
        <w:t>Asimismo, e</w:t>
      </w:r>
      <w:r w:rsidR="002D3B1C" w:rsidRPr="001610BC">
        <w:t xml:space="preserve">n relación con el comportamiento procesal de las víctimas, </w:t>
      </w:r>
      <w:r w:rsidR="002D3B1C">
        <w:t>el Tribunal advierte que</w:t>
      </w:r>
      <w:r w:rsidR="002D3B1C" w:rsidRPr="001610BC">
        <w:t xml:space="preserve"> no se </w:t>
      </w:r>
      <w:r w:rsidR="002D3B1C" w:rsidRPr="002C71D1">
        <w:rPr>
          <w:rFonts w:eastAsiaTheme="minorHAnsi"/>
          <w:lang w:eastAsia="en-US"/>
        </w:rPr>
        <w:t>observan</w:t>
      </w:r>
      <w:r w:rsidR="002D3B1C" w:rsidRPr="001610BC">
        <w:t xml:space="preserve"> cond</w:t>
      </w:r>
      <w:r w:rsidR="002D3B1C">
        <w:t xml:space="preserve">uctas dilatorias u obstructivas </w:t>
      </w:r>
      <w:r w:rsidR="002D3B1C" w:rsidRPr="001610BC">
        <w:t xml:space="preserve">por parte de </w:t>
      </w:r>
      <w:r w:rsidR="002D3B1C">
        <w:t>la coadyuvancia, sino solo que estas ejercitaron todos los recursos que estaban a su disposición para la legítima defensa de sus intereses.</w:t>
      </w:r>
    </w:p>
    <w:p w14:paraId="5D04B34D" w14:textId="77777777" w:rsidR="002D3B1C" w:rsidRDefault="002D3B1C" w:rsidP="002D3B1C">
      <w:pPr>
        <w:widowControl/>
        <w:tabs>
          <w:tab w:val="left" w:pos="567"/>
        </w:tabs>
        <w:autoSpaceDE w:val="0"/>
        <w:autoSpaceDN w:val="0"/>
        <w:spacing w:line="240" w:lineRule="auto"/>
        <w:textAlignment w:val="auto"/>
      </w:pPr>
    </w:p>
    <w:p w14:paraId="185F77B4" w14:textId="3F95BAFB" w:rsidR="002D3B1C" w:rsidRPr="00DD2C62" w:rsidRDefault="005B4CA5" w:rsidP="002D3B1C">
      <w:pPr>
        <w:numPr>
          <w:ilvl w:val="0"/>
          <w:numId w:val="4"/>
        </w:numPr>
        <w:tabs>
          <w:tab w:val="left" w:pos="567"/>
          <w:tab w:val="num" w:pos="1569"/>
          <w:tab w:val="num" w:pos="12305"/>
        </w:tabs>
        <w:spacing w:line="240" w:lineRule="auto"/>
        <w:ind w:left="0" w:firstLine="0"/>
        <w:rPr>
          <w:lang w:val="es-ES"/>
        </w:rPr>
      </w:pPr>
      <w:r>
        <w:t>Por último, e</w:t>
      </w:r>
      <w:r w:rsidR="002D3B1C" w:rsidRPr="00DD2C62">
        <w:rPr>
          <w:lang w:val="es-ES"/>
        </w:rPr>
        <w:t>n lo relativo a la afectación generada en la situación jurídica de la</w:t>
      </w:r>
      <w:r w:rsidR="002D3B1C">
        <w:rPr>
          <w:lang w:val="es-ES"/>
        </w:rPr>
        <w:t>s</w:t>
      </w:r>
      <w:r w:rsidR="002D3B1C" w:rsidRPr="00DD2C62">
        <w:rPr>
          <w:lang w:val="es-ES"/>
        </w:rPr>
        <w:t xml:space="preserve"> persona</w:t>
      </w:r>
      <w:r w:rsidR="002D3B1C">
        <w:rPr>
          <w:lang w:val="es-ES"/>
        </w:rPr>
        <w:t>s</w:t>
      </w:r>
      <w:r w:rsidR="002D3B1C" w:rsidRPr="00DD2C62">
        <w:rPr>
          <w:lang w:val="es-ES"/>
        </w:rPr>
        <w:t xml:space="preserve"> involucrada</w:t>
      </w:r>
      <w:r w:rsidR="002D3B1C">
        <w:rPr>
          <w:lang w:val="es-ES"/>
        </w:rPr>
        <w:t>s</w:t>
      </w:r>
      <w:r w:rsidR="002D3B1C" w:rsidRPr="00DD2C62">
        <w:rPr>
          <w:lang w:val="es-ES"/>
        </w:rPr>
        <w:t xml:space="preserve"> en el proceso, este Tribunal ha establecido que</w:t>
      </w:r>
      <w:r w:rsidR="002D3B1C">
        <w:rPr>
          <w:lang w:val="es-ES"/>
        </w:rPr>
        <w:t>,</w:t>
      </w:r>
      <w:r w:rsidR="002D3B1C" w:rsidRPr="00DD2C62">
        <w:rPr>
          <w:lang w:val="es-ES"/>
        </w:rPr>
        <w:t xml:space="preserve"> si el paso del tiempo incide de manera relevante en la situación jurídica del individuo, resultará necesario que el procedimiento avance con mayor diligencia a fin de que el caso se resuelva en un tiempo breve</w:t>
      </w:r>
      <w:r w:rsidR="002D3B1C" w:rsidRPr="00DD2C62">
        <w:rPr>
          <w:rStyle w:val="Refdenotaalpie"/>
          <w:lang w:val="es-ES"/>
        </w:rPr>
        <w:footnoteReference w:id="215"/>
      </w:r>
      <w:r w:rsidR="002D3B1C" w:rsidRPr="00DD2C62">
        <w:rPr>
          <w:lang w:val="es-ES"/>
        </w:rPr>
        <w:t>.</w:t>
      </w:r>
      <w:r w:rsidR="002D3B1C">
        <w:rPr>
          <w:lang w:val="es-ES"/>
        </w:rPr>
        <w:t xml:space="preserve"> </w:t>
      </w:r>
      <w:r w:rsidR="002D3B1C" w:rsidRPr="00DD2C62">
        <w:rPr>
          <w:lang w:val="es-ES"/>
        </w:rPr>
        <w:t xml:space="preserve">En el presente caso el Tribunal observa que, tratándose de una mujer </w:t>
      </w:r>
      <w:r w:rsidR="002D3B1C">
        <w:rPr>
          <w:lang w:val="es-ES"/>
        </w:rPr>
        <w:t>defensora de derechos humanos</w:t>
      </w:r>
      <w:r w:rsidR="002D3B1C" w:rsidRPr="00DD2C62">
        <w:rPr>
          <w:lang w:val="es-ES"/>
        </w:rPr>
        <w:t xml:space="preserve">, las autoridades judiciales tendrían que haber obrado con mayor diligencia </w:t>
      </w:r>
      <w:r w:rsidR="00286D43">
        <w:rPr>
          <w:lang w:val="es-ES"/>
        </w:rPr>
        <w:t xml:space="preserve">y celeridad </w:t>
      </w:r>
      <w:r w:rsidR="002D3B1C" w:rsidRPr="00DD2C62">
        <w:rPr>
          <w:lang w:val="es-ES"/>
        </w:rPr>
        <w:t xml:space="preserve">en el marco </w:t>
      </w:r>
      <w:r w:rsidR="002D3B1C">
        <w:rPr>
          <w:lang w:val="es-ES"/>
        </w:rPr>
        <w:t xml:space="preserve">de la recolección </w:t>
      </w:r>
      <w:r w:rsidR="002D3B1C">
        <w:rPr>
          <w:lang w:val="es-ES"/>
        </w:rPr>
        <w:lastRenderedPageBreak/>
        <w:t>de prueba,</w:t>
      </w:r>
      <w:r w:rsidR="002D3B1C" w:rsidRPr="00DD2C62">
        <w:rPr>
          <w:lang w:val="es-ES"/>
        </w:rPr>
        <w:t xml:space="preserve"> de las investigaciones</w:t>
      </w:r>
      <w:r w:rsidR="002D3B1C">
        <w:rPr>
          <w:lang w:val="es-ES"/>
        </w:rPr>
        <w:t xml:space="preserve">, </w:t>
      </w:r>
      <w:r w:rsidR="002D3B1C" w:rsidRPr="00DD2C62">
        <w:rPr>
          <w:lang w:val="es-ES"/>
        </w:rPr>
        <w:t xml:space="preserve">y de los procedimientos judiciales sobre los hechos del presente caso, toda vez que de estas actuaciones judiciales dependía investigar </w:t>
      </w:r>
      <w:r w:rsidR="002D3B1C">
        <w:rPr>
          <w:lang w:val="es-ES"/>
        </w:rPr>
        <w:t xml:space="preserve">y determinar la verdad de lo sucedido, siendo una posibilidad que la </w:t>
      </w:r>
      <w:r w:rsidR="001F344D">
        <w:rPr>
          <w:lang w:val="es-ES"/>
        </w:rPr>
        <w:t>señora Digna Ochoa</w:t>
      </w:r>
      <w:r w:rsidR="002D3B1C">
        <w:rPr>
          <w:lang w:val="es-ES"/>
        </w:rPr>
        <w:t xml:space="preserve"> hubiese sido víctima de una muerte violenta </w:t>
      </w:r>
      <w:r w:rsidR="00286D43">
        <w:rPr>
          <w:lang w:val="es-ES"/>
        </w:rPr>
        <w:t xml:space="preserve">vinculada a </w:t>
      </w:r>
      <w:r w:rsidR="002D3B1C">
        <w:rPr>
          <w:lang w:val="es-ES"/>
        </w:rPr>
        <w:t>su actividad de defensora de derechos humanos, lo cual podía interpretarse como un mensaje de</w:t>
      </w:r>
      <w:r w:rsidR="002D3B1C" w:rsidRPr="00DD2C62">
        <w:rPr>
          <w:lang w:val="es-ES"/>
        </w:rPr>
        <w:t xml:space="preserve"> ataque</w:t>
      </w:r>
      <w:r w:rsidR="002D3B1C">
        <w:rPr>
          <w:lang w:val="es-ES"/>
        </w:rPr>
        <w:t xml:space="preserve"> directo hacia</w:t>
      </w:r>
      <w:r w:rsidR="002D3B1C" w:rsidRPr="00DD2C62">
        <w:rPr>
          <w:lang w:val="es-ES"/>
        </w:rPr>
        <w:t xml:space="preserve"> </w:t>
      </w:r>
      <w:r w:rsidR="002D3B1C">
        <w:rPr>
          <w:lang w:val="es-ES"/>
        </w:rPr>
        <w:t xml:space="preserve">el colectivo de defensoras </w:t>
      </w:r>
      <w:r w:rsidR="0079556F">
        <w:rPr>
          <w:lang w:val="es-ES"/>
        </w:rPr>
        <w:t xml:space="preserve">y defensores </w:t>
      </w:r>
      <w:r w:rsidR="002D3B1C">
        <w:rPr>
          <w:lang w:val="es-ES"/>
        </w:rPr>
        <w:t>de derechos humanos.</w:t>
      </w:r>
      <w:r w:rsidR="002D3B1C" w:rsidRPr="00DD2C62">
        <w:rPr>
          <w:lang w:val="es-ES"/>
        </w:rPr>
        <w:t xml:space="preserve"> </w:t>
      </w:r>
      <w:r w:rsidR="00FA5E07">
        <w:rPr>
          <w:lang w:val="es-ES"/>
        </w:rPr>
        <w:t>Al respecto, la C</w:t>
      </w:r>
      <w:r w:rsidR="00FC2AB5">
        <w:rPr>
          <w:lang w:val="es-ES"/>
        </w:rPr>
        <w:t>orte y</w:t>
      </w:r>
      <w:r w:rsidR="00FA5E07">
        <w:rPr>
          <w:lang w:val="es-ES"/>
        </w:rPr>
        <w:t>a ha recalcado la necesidad de</w:t>
      </w:r>
      <w:r w:rsidR="00883401">
        <w:rPr>
          <w:lang w:val="es-ES"/>
        </w:rPr>
        <w:t xml:space="preserve"> </w:t>
      </w:r>
      <w:r w:rsidR="00FA5E07">
        <w:rPr>
          <w:lang w:val="es-ES"/>
        </w:rPr>
        <w:t>erradicar la impunidad en hechos de violencia cometidos contra defensoras de derechos humanos (</w:t>
      </w:r>
      <w:r w:rsidR="00FA5E07">
        <w:rPr>
          <w:i/>
          <w:lang w:val="es-ES"/>
        </w:rPr>
        <w:t xml:space="preserve">supra </w:t>
      </w:r>
      <w:r w:rsidR="00FA5E07">
        <w:rPr>
          <w:lang w:val="es-ES"/>
        </w:rPr>
        <w:t xml:space="preserve">párr. </w:t>
      </w:r>
      <w:r w:rsidR="00286D43">
        <w:rPr>
          <w:lang w:val="es-ES"/>
        </w:rPr>
        <w:t>100</w:t>
      </w:r>
      <w:r w:rsidR="00FA5E07">
        <w:rPr>
          <w:lang w:val="es-ES"/>
        </w:rPr>
        <w:t xml:space="preserve">), pues resulta un elemento fundamental para garantizar que puedan realizar </w:t>
      </w:r>
      <w:r w:rsidR="008B3F75">
        <w:rPr>
          <w:lang w:val="es-ES"/>
        </w:rPr>
        <w:t xml:space="preserve">libremente </w:t>
      </w:r>
      <w:r w:rsidR="00FA5E07">
        <w:rPr>
          <w:lang w:val="es-ES"/>
        </w:rPr>
        <w:t xml:space="preserve">sus labores en un </w:t>
      </w:r>
      <w:r w:rsidR="008B3F75">
        <w:rPr>
          <w:lang w:val="es-ES"/>
        </w:rPr>
        <w:t>entorno seguro</w:t>
      </w:r>
      <w:r w:rsidR="00FA5E07">
        <w:rPr>
          <w:lang w:val="es-ES"/>
        </w:rPr>
        <w:t>.</w:t>
      </w:r>
    </w:p>
    <w:p w14:paraId="217FE8FE" w14:textId="77777777" w:rsidR="002D3B1C" w:rsidRPr="004926F6" w:rsidRDefault="002D3B1C" w:rsidP="002D3B1C">
      <w:pPr>
        <w:tabs>
          <w:tab w:val="left" w:pos="567"/>
        </w:tabs>
        <w:spacing w:line="240" w:lineRule="auto"/>
        <w:rPr>
          <w:lang w:val="es-ES"/>
        </w:rPr>
      </w:pPr>
    </w:p>
    <w:p w14:paraId="431A1F61" w14:textId="53D8B8D7" w:rsidR="002D3B1C" w:rsidRPr="00DC6448" w:rsidRDefault="002D3B1C" w:rsidP="002D3B1C">
      <w:pPr>
        <w:numPr>
          <w:ilvl w:val="0"/>
          <w:numId w:val="4"/>
        </w:numPr>
        <w:tabs>
          <w:tab w:val="left" w:pos="567"/>
          <w:tab w:val="num" w:pos="12305"/>
        </w:tabs>
        <w:spacing w:line="240" w:lineRule="auto"/>
        <w:ind w:left="0" w:firstLine="0"/>
        <w:rPr>
          <w:lang w:val="es-ES"/>
        </w:rPr>
      </w:pPr>
      <w:r>
        <w:rPr>
          <w:lang w:val="es-ES"/>
        </w:rPr>
        <w:t>Por</w:t>
      </w:r>
      <w:r w:rsidRPr="004926F6">
        <w:rPr>
          <w:lang w:val="es-ES"/>
        </w:rPr>
        <w:t xml:space="preserve"> todo lo anterior, el Tribunal concluye que </w:t>
      </w:r>
      <w:r>
        <w:rPr>
          <w:lang w:val="es-ES"/>
        </w:rPr>
        <w:t>México</w:t>
      </w:r>
      <w:r w:rsidRPr="004926F6">
        <w:rPr>
          <w:lang w:val="es-ES"/>
        </w:rPr>
        <w:t xml:space="preserve"> también violó el plazo razonable por la investigación y judicialización </w:t>
      </w:r>
      <w:r>
        <w:rPr>
          <w:lang w:val="es-ES"/>
        </w:rPr>
        <w:t xml:space="preserve">de los hechos relacionados con la muerte de la </w:t>
      </w:r>
      <w:r w:rsidR="001F344D">
        <w:rPr>
          <w:lang w:val="es-ES"/>
        </w:rPr>
        <w:t>señora Digna Ochoa</w:t>
      </w:r>
      <w:r>
        <w:rPr>
          <w:lang w:val="es-ES"/>
        </w:rPr>
        <w:t xml:space="preserve"> </w:t>
      </w:r>
      <w:r w:rsidR="00B9771F">
        <w:rPr>
          <w:lang w:val="es-ES"/>
        </w:rPr>
        <w:t xml:space="preserve">ocurrida </w:t>
      </w:r>
      <w:r>
        <w:rPr>
          <w:lang w:val="es-ES"/>
        </w:rPr>
        <w:t xml:space="preserve">el </w:t>
      </w:r>
      <w:r w:rsidRPr="004F2666">
        <w:t>19 de octubre de 2001</w:t>
      </w:r>
      <w:r>
        <w:t>.</w:t>
      </w:r>
    </w:p>
    <w:p w14:paraId="38C373E4" w14:textId="401C2E3A" w:rsidR="00F5500D" w:rsidRPr="001610BC" w:rsidRDefault="00F5500D" w:rsidP="004C50FC">
      <w:pPr>
        <w:pStyle w:val="Ttulo3"/>
        <w:rPr>
          <w:lang w:val="es-ES"/>
        </w:rPr>
      </w:pPr>
      <w:r w:rsidRPr="001610BC">
        <w:rPr>
          <w:lang w:val="es-ES"/>
        </w:rPr>
        <w:tab/>
      </w:r>
      <w:bookmarkStart w:id="70" w:name="_Toc93400260"/>
      <w:r w:rsidRPr="001610BC">
        <w:rPr>
          <w:lang w:val="es-ES"/>
        </w:rPr>
        <w:t>b.</w:t>
      </w:r>
      <w:r w:rsidR="002D3B1C">
        <w:rPr>
          <w:lang w:val="es-ES"/>
        </w:rPr>
        <w:t>4</w:t>
      </w:r>
      <w:r w:rsidRPr="001610BC">
        <w:rPr>
          <w:lang w:val="es-ES"/>
        </w:rPr>
        <w:t xml:space="preserve"> Afectación al derecho </w:t>
      </w:r>
      <w:r w:rsidR="00DC7D77">
        <w:rPr>
          <w:lang w:val="es-ES"/>
        </w:rPr>
        <w:t xml:space="preserve">a la </w:t>
      </w:r>
      <w:r w:rsidR="00B9771F">
        <w:rPr>
          <w:lang w:val="es-ES"/>
        </w:rPr>
        <w:t>h</w:t>
      </w:r>
      <w:r w:rsidR="004C6B7B">
        <w:rPr>
          <w:lang w:val="es-ES"/>
        </w:rPr>
        <w:t xml:space="preserve">onra y </w:t>
      </w:r>
      <w:r w:rsidR="00B9771F">
        <w:rPr>
          <w:lang w:val="es-ES"/>
        </w:rPr>
        <w:t>d</w:t>
      </w:r>
      <w:r w:rsidR="00DC7D77">
        <w:rPr>
          <w:lang w:val="es-ES"/>
        </w:rPr>
        <w:t>ignidad</w:t>
      </w:r>
      <w:r w:rsidRPr="001610BC">
        <w:rPr>
          <w:lang w:val="es-ES"/>
        </w:rPr>
        <w:t xml:space="preserve"> de la </w:t>
      </w:r>
      <w:r w:rsidR="001F344D">
        <w:rPr>
          <w:lang w:val="es-ES"/>
        </w:rPr>
        <w:t>señora Digna Ochoa</w:t>
      </w:r>
      <w:bookmarkEnd w:id="70"/>
    </w:p>
    <w:p w14:paraId="1AE64776" w14:textId="6D0906B2" w:rsidR="00002253" w:rsidRDefault="00002253" w:rsidP="00002253">
      <w:pPr>
        <w:widowControl/>
        <w:numPr>
          <w:ilvl w:val="0"/>
          <w:numId w:val="4"/>
        </w:numPr>
        <w:tabs>
          <w:tab w:val="left" w:pos="567"/>
          <w:tab w:val="num" w:pos="1569"/>
          <w:tab w:val="num" w:pos="12305"/>
        </w:tabs>
        <w:autoSpaceDE w:val="0"/>
        <w:autoSpaceDN w:val="0"/>
        <w:spacing w:line="240" w:lineRule="auto"/>
        <w:ind w:left="0" w:firstLine="0"/>
        <w:textAlignment w:val="auto"/>
        <w:rPr>
          <w:rFonts w:eastAsia="Batang"/>
          <w:lang w:val="es-ES" w:eastAsia="en-US"/>
        </w:rPr>
      </w:pPr>
      <w:r>
        <w:rPr>
          <w:rFonts w:eastAsiaTheme="minorHAnsi" w:cs="Arial"/>
          <w:lang w:eastAsia="en-US"/>
        </w:rPr>
        <w:t>En el presente caso</w:t>
      </w:r>
      <w:r w:rsidR="0014755F">
        <w:rPr>
          <w:rFonts w:eastAsiaTheme="minorHAnsi" w:cs="Arial"/>
          <w:lang w:eastAsia="en-US"/>
        </w:rPr>
        <w:t>,</w:t>
      </w:r>
      <w:r>
        <w:rPr>
          <w:rFonts w:eastAsiaTheme="minorHAnsi" w:cs="Arial"/>
          <w:lang w:eastAsia="en-US"/>
        </w:rPr>
        <w:t xml:space="preserve"> el Estado ha reconocido su responsabilidad parcial internacional por</w:t>
      </w:r>
      <w:r w:rsidRPr="00002253">
        <w:rPr>
          <w:rFonts w:eastAsia="Batang"/>
          <w:lang w:val="es-ES" w:eastAsia="en-US"/>
        </w:rPr>
        <w:t xml:space="preserve"> </w:t>
      </w:r>
      <w:r w:rsidR="004F05D3">
        <w:rPr>
          <w:rFonts w:eastAsia="Batang"/>
          <w:lang w:val="es-ES" w:eastAsia="en-US"/>
        </w:rPr>
        <w:t xml:space="preserve">la </w:t>
      </w:r>
      <w:r>
        <w:rPr>
          <w:rFonts w:eastAsia="Batang"/>
          <w:lang w:val="es-ES" w:eastAsia="en-US"/>
        </w:rPr>
        <w:t>v</w:t>
      </w:r>
      <w:r w:rsidRPr="004F2666">
        <w:rPr>
          <w:rFonts w:eastAsia="Batang"/>
          <w:lang w:val="es-ES" w:eastAsia="en-US"/>
        </w:rPr>
        <w:t xml:space="preserve">iolación del derecho a la protección de la </w:t>
      </w:r>
      <w:r w:rsidR="0014755F">
        <w:rPr>
          <w:rFonts w:eastAsia="Batang"/>
          <w:lang w:val="es-ES" w:eastAsia="en-US"/>
        </w:rPr>
        <w:t>h</w:t>
      </w:r>
      <w:r w:rsidRPr="004F2666">
        <w:rPr>
          <w:rFonts w:eastAsia="Batang"/>
          <w:lang w:val="es-ES" w:eastAsia="en-US"/>
        </w:rPr>
        <w:t xml:space="preserve">onra y de la </w:t>
      </w:r>
      <w:r w:rsidR="0014755F">
        <w:rPr>
          <w:rFonts w:eastAsia="Batang"/>
          <w:lang w:val="es-ES" w:eastAsia="en-US"/>
        </w:rPr>
        <w:t>d</w:t>
      </w:r>
      <w:r w:rsidRPr="004F2666">
        <w:rPr>
          <w:rFonts w:eastAsia="Batang"/>
          <w:lang w:val="es-ES" w:eastAsia="en-US"/>
        </w:rPr>
        <w:t xml:space="preserve">ignidad (artículo 11 de la Convención Americana) en perjuicio de la </w:t>
      </w:r>
      <w:r w:rsidR="001F344D">
        <w:rPr>
          <w:rFonts w:eastAsia="Batang"/>
          <w:lang w:val="es-ES" w:eastAsia="en-US"/>
        </w:rPr>
        <w:t>señora Digna Ochoa</w:t>
      </w:r>
      <w:r w:rsidRPr="004F2666">
        <w:rPr>
          <w:rFonts w:eastAsia="Batang"/>
          <w:lang w:val="es-ES" w:eastAsia="en-US"/>
        </w:rPr>
        <w:t xml:space="preserve"> “como víctima de la imagen negativa que se generó respecto de su persona después de su fallecimiento y por el manejo dado a la información dentro de la investigación llevada por la muerte de esta defensora”</w:t>
      </w:r>
      <w:r w:rsidR="00142F86">
        <w:rPr>
          <w:rStyle w:val="Refdenotaalpie"/>
          <w:rFonts w:eastAsia="Batang"/>
          <w:lang w:val="es-ES" w:eastAsia="en-US"/>
        </w:rPr>
        <w:footnoteReference w:id="216"/>
      </w:r>
      <w:r w:rsidRPr="004F2666">
        <w:rPr>
          <w:rFonts w:eastAsia="Batang"/>
          <w:lang w:val="es-ES" w:eastAsia="en-US"/>
        </w:rPr>
        <w:t>.</w:t>
      </w:r>
    </w:p>
    <w:p w14:paraId="7D5FBC54" w14:textId="77777777" w:rsidR="00002253" w:rsidRDefault="00002253" w:rsidP="00002253">
      <w:pPr>
        <w:widowControl/>
        <w:tabs>
          <w:tab w:val="left" w:pos="567"/>
        </w:tabs>
        <w:autoSpaceDE w:val="0"/>
        <w:autoSpaceDN w:val="0"/>
        <w:spacing w:line="240" w:lineRule="auto"/>
        <w:textAlignment w:val="auto"/>
        <w:rPr>
          <w:rFonts w:eastAsia="Batang"/>
          <w:lang w:val="es-ES" w:eastAsia="en-US"/>
        </w:rPr>
      </w:pPr>
    </w:p>
    <w:p w14:paraId="25CAFD8D" w14:textId="5C2809E1" w:rsidR="00002253" w:rsidRPr="00381FD7" w:rsidRDefault="00002253" w:rsidP="00AB1A22">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rPr>
      </w:pPr>
      <w:r w:rsidRPr="00381FD7">
        <w:rPr>
          <w:rFonts w:eastAsia="Batang"/>
          <w:lang w:val="es-ES"/>
        </w:rPr>
        <w:t>A este respecto, el Tribunal observa que, efectivamente,</w:t>
      </w:r>
      <w:r w:rsidRPr="00381FD7">
        <w:rPr>
          <w:rFonts w:eastAsiaTheme="minorHAnsi"/>
        </w:rPr>
        <w:t xml:space="preserve"> desde el primer mes de la investigación</w:t>
      </w:r>
      <w:r w:rsidR="00381FD7" w:rsidRPr="00381FD7">
        <w:rPr>
          <w:rFonts w:eastAsiaTheme="minorHAnsi"/>
        </w:rPr>
        <w:t xml:space="preserve">, la </w:t>
      </w:r>
      <w:r w:rsidR="00AB1A22" w:rsidRPr="00381FD7">
        <w:rPr>
          <w:rFonts w:eastAsiaTheme="minorHAnsi"/>
        </w:rPr>
        <w:t xml:space="preserve">PGJDF </w:t>
      </w:r>
      <w:r w:rsidRPr="00381FD7">
        <w:rPr>
          <w:rFonts w:eastAsiaTheme="minorHAnsi"/>
        </w:rPr>
        <w:t>comenzó a filtrar información sensible de la averiguación previa, como fue la publicación en un periódico de circulación nacional d</w:t>
      </w:r>
      <w:r w:rsidR="001879D7">
        <w:rPr>
          <w:rFonts w:eastAsiaTheme="minorHAnsi"/>
        </w:rPr>
        <w:t>e la foto del</w:t>
      </w:r>
      <w:r w:rsidRPr="00381FD7">
        <w:rPr>
          <w:rFonts w:eastAsiaTheme="minorHAnsi"/>
        </w:rPr>
        <w:t xml:space="preserve"> cadáver </w:t>
      </w:r>
      <w:r w:rsidR="00AB1A22" w:rsidRPr="00381FD7">
        <w:rPr>
          <w:rFonts w:eastAsiaTheme="minorHAnsi"/>
        </w:rPr>
        <w:t xml:space="preserve">de la </w:t>
      </w:r>
      <w:r w:rsidR="001F344D">
        <w:rPr>
          <w:rFonts w:eastAsiaTheme="minorHAnsi"/>
        </w:rPr>
        <w:t>señora Digna Ochoa</w:t>
      </w:r>
      <w:r w:rsidRPr="00381FD7">
        <w:rPr>
          <w:rFonts w:eastAsiaTheme="minorHAnsi"/>
        </w:rPr>
        <w:t>, en la posición que fue encontrada por las autoridades el</w:t>
      </w:r>
      <w:r w:rsidR="00AB1A22" w:rsidRPr="00381FD7">
        <w:rPr>
          <w:rFonts w:eastAsiaTheme="minorHAnsi"/>
        </w:rPr>
        <w:t xml:space="preserve"> día de su muerte</w:t>
      </w:r>
      <w:r w:rsidRPr="00381FD7">
        <w:rPr>
          <w:rStyle w:val="Refdenotaalpie"/>
          <w:rFonts w:eastAsiaTheme="minorHAnsi" w:cs="Arial"/>
          <w:lang w:eastAsia="en-US"/>
        </w:rPr>
        <w:footnoteReference w:id="217"/>
      </w:r>
      <w:r w:rsidR="00AB1A22" w:rsidRPr="00381FD7">
        <w:rPr>
          <w:rFonts w:eastAsiaTheme="minorHAnsi"/>
        </w:rPr>
        <w:t>.</w:t>
      </w:r>
      <w:r w:rsidRPr="00381FD7">
        <w:rPr>
          <w:rFonts w:eastAsiaTheme="minorHAnsi"/>
        </w:rPr>
        <w:t xml:space="preserve"> Al respecto, organizaciones de derechos </w:t>
      </w:r>
      <w:r w:rsidRPr="00381FD7">
        <w:rPr>
          <w:rFonts w:eastAsiaTheme="minorHAnsi" w:cs="Arial"/>
          <w:lang w:eastAsia="en-US"/>
        </w:rPr>
        <w:t>humanos</w:t>
      </w:r>
      <w:r w:rsidRPr="00381FD7">
        <w:rPr>
          <w:rFonts w:eastAsiaTheme="minorHAnsi"/>
        </w:rPr>
        <w:t xml:space="preserve"> en México, entre ellas la </w:t>
      </w:r>
      <w:r w:rsidR="00AB1A22" w:rsidRPr="00381FD7">
        <w:rPr>
          <w:rFonts w:eastAsiaTheme="minorHAnsi" w:cs="Arial"/>
        </w:rPr>
        <w:t>Comisión de Derechos Humanos de la Ciudad de México</w:t>
      </w:r>
      <w:r w:rsidRPr="00381FD7">
        <w:rPr>
          <w:rFonts w:eastAsiaTheme="minorHAnsi"/>
        </w:rPr>
        <w:t>, criticaron la filtración de información por parte de la PGJDF a los medios de comunicación</w:t>
      </w:r>
      <w:r w:rsidRPr="00381FD7">
        <w:rPr>
          <w:rStyle w:val="Refdenotaalpie"/>
          <w:rFonts w:eastAsiaTheme="minorHAnsi" w:cs="Arial"/>
          <w:lang w:eastAsia="en-US"/>
        </w:rPr>
        <w:footnoteReference w:id="218"/>
      </w:r>
      <w:r w:rsidR="00377850" w:rsidRPr="00381FD7">
        <w:rPr>
          <w:rFonts w:eastAsiaTheme="minorHAnsi"/>
        </w:rPr>
        <w:t>.</w:t>
      </w:r>
      <w:r w:rsidR="00142F86" w:rsidRPr="00381FD7">
        <w:rPr>
          <w:rFonts w:eastAsiaTheme="minorHAnsi"/>
        </w:rPr>
        <w:t xml:space="preserve"> Además, el propio Estado </w:t>
      </w:r>
      <w:r w:rsidR="00C141D6">
        <w:rPr>
          <w:rFonts w:eastAsiaTheme="minorHAnsi"/>
        </w:rPr>
        <w:t>reconoció</w:t>
      </w:r>
      <w:r w:rsidR="00142F86" w:rsidRPr="00381FD7">
        <w:rPr>
          <w:rFonts w:eastAsiaTheme="minorHAnsi"/>
        </w:rPr>
        <w:t xml:space="preserve"> que la filtración de la información contribuyó a generar una imagen negativa en torno a la figura de la </w:t>
      </w:r>
      <w:r w:rsidR="001F344D">
        <w:rPr>
          <w:rFonts w:eastAsiaTheme="minorHAnsi"/>
        </w:rPr>
        <w:t>señora Digna Ochoa</w:t>
      </w:r>
      <w:r w:rsidR="00142F86" w:rsidRPr="00381FD7">
        <w:rPr>
          <w:rFonts w:eastAsiaTheme="minorHAnsi"/>
        </w:rPr>
        <w:t>.</w:t>
      </w:r>
    </w:p>
    <w:p w14:paraId="762585D9" w14:textId="77777777" w:rsidR="00002253" w:rsidRDefault="00002253" w:rsidP="00002253">
      <w:pPr>
        <w:widowControl/>
        <w:tabs>
          <w:tab w:val="left" w:pos="567"/>
        </w:tabs>
        <w:autoSpaceDE w:val="0"/>
        <w:autoSpaceDN w:val="0"/>
        <w:spacing w:line="240" w:lineRule="auto"/>
        <w:textAlignment w:val="auto"/>
        <w:rPr>
          <w:rFonts w:eastAsiaTheme="minorHAnsi" w:cs="Arial"/>
          <w:lang w:eastAsia="en-US"/>
        </w:rPr>
      </w:pPr>
    </w:p>
    <w:p w14:paraId="2E37E2C3" w14:textId="3E12D29F" w:rsidR="00377850" w:rsidRPr="003C4E1B" w:rsidRDefault="00377850" w:rsidP="00377850">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lang w:eastAsia="en-US"/>
        </w:rPr>
      </w:pPr>
      <w:r>
        <w:rPr>
          <w:rFonts w:eastAsiaTheme="minorHAnsi"/>
        </w:rPr>
        <w:t>Tal y como lo señala el Relator</w:t>
      </w:r>
      <w:r w:rsidRPr="00377850">
        <w:t xml:space="preserve"> </w:t>
      </w:r>
      <w:r w:rsidRPr="00377850">
        <w:rPr>
          <w:rFonts w:eastAsiaTheme="minorHAnsi"/>
        </w:rPr>
        <w:t>Especial sobre la situación de l</w:t>
      </w:r>
      <w:r w:rsidR="00616768">
        <w:rPr>
          <w:rFonts w:eastAsiaTheme="minorHAnsi"/>
        </w:rPr>
        <w:t>o</w:t>
      </w:r>
      <w:r w:rsidRPr="00377850">
        <w:rPr>
          <w:rFonts w:eastAsiaTheme="minorHAnsi"/>
        </w:rPr>
        <w:t>s defensores de derechos humanos</w:t>
      </w:r>
      <w:r>
        <w:rPr>
          <w:rFonts w:eastAsiaTheme="minorHAnsi"/>
        </w:rPr>
        <w:t>, u</w:t>
      </w:r>
      <w:r w:rsidRPr="001610BC">
        <w:rPr>
          <w:rFonts w:eastAsiaTheme="minorHAnsi"/>
        </w:rPr>
        <w:t xml:space="preserve">na manera </w:t>
      </w:r>
      <w:r w:rsidR="002E167B">
        <w:rPr>
          <w:rFonts w:eastAsiaTheme="minorHAnsi"/>
        </w:rPr>
        <w:t>perversa</w:t>
      </w:r>
      <w:r w:rsidR="002E167B" w:rsidRPr="001610BC">
        <w:rPr>
          <w:rFonts w:eastAsiaTheme="minorHAnsi"/>
        </w:rPr>
        <w:t xml:space="preserve"> </w:t>
      </w:r>
      <w:r w:rsidRPr="001610BC">
        <w:rPr>
          <w:rFonts w:eastAsiaTheme="minorHAnsi"/>
        </w:rPr>
        <w:t xml:space="preserve">de atacar a las defensoras de los derechos humanos es </w:t>
      </w:r>
      <w:r w:rsidRPr="001610BC">
        <w:rPr>
          <w:rFonts w:eastAsiaTheme="minorHAnsi" w:cs="TimesNewRomanPSMT"/>
        </w:rPr>
        <w:t>dañar su “honor” o su reputación</w:t>
      </w:r>
      <w:r w:rsidR="00A26087">
        <w:rPr>
          <w:rFonts w:eastAsiaTheme="minorHAnsi" w:cs="TimesNewRomanPSMT"/>
        </w:rPr>
        <w:t xml:space="preserve"> bajo diversos calificativos</w:t>
      </w:r>
      <w:r>
        <w:rPr>
          <w:rStyle w:val="Refdenotaalpie"/>
          <w:rFonts w:cs="TimesNewRomanPSMT"/>
        </w:rPr>
        <w:footnoteReference w:id="219"/>
      </w:r>
      <w:r w:rsidRPr="001610BC">
        <w:rPr>
          <w:rFonts w:eastAsiaTheme="minorHAnsi" w:cs="TimesNewRomanPSMT"/>
        </w:rPr>
        <w:t xml:space="preserve">. El descrédito social de las mujeres lleva a su </w:t>
      </w:r>
      <w:r w:rsidRPr="001610BC">
        <w:rPr>
          <w:rFonts w:eastAsiaTheme="minorHAnsi"/>
        </w:rPr>
        <w:t xml:space="preserve">estigmatización y aislamiento. En algunos contextos, </w:t>
      </w:r>
      <w:r w:rsidR="00616768">
        <w:rPr>
          <w:rFonts w:eastAsiaTheme="minorHAnsi"/>
        </w:rPr>
        <w:t xml:space="preserve">se trata de reducir a </w:t>
      </w:r>
      <w:r w:rsidRPr="001610BC">
        <w:rPr>
          <w:rFonts w:eastAsiaTheme="minorHAnsi"/>
        </w:rPr>
        <w:t xml:space="preserve">las mujeres a su papel de madres, hijas y cuidadoras, en lugar de ser consideradas </w:t>
      </w:r>
      <w:r w:rsidRPr="00431DC9">
        <w:rPr>
          <w:rFonts w:eastAsiaTheme="minorHAnsi" w:cs="Arial"/>
        </w:rPr>
        <w:t>agentes</w:t>
      </w:r>
      <w:r w:rsidRPr="001610BC">
        <w:rPr>
          <w:rFonts w:eastAsiaTheme="minorHAnsi"/>
        </w:rPr>
        <w:t xml:space="preserve"> políticos y económicos legítimos en todos los ámbitos de la </w:t>
      </w:r>
      <w:r w:rsidRPr="003C4E1B">
        <w:rPr>
          <w:rFonts w:eastAsiaTheme="minorHAnsi"/>
        </w:rPr>
        <w:t>sociedad</w:t>
      </w:r>
      <w:r w:rsidR="00213D54">
        <w:rPr>
          <w:rFonts w:eastAsiaTheme="minorHAnsi"/>
        </w:rPr>
        <w:t xml:space="preserve"> y</w:t>
      </w:r>
      <w:r w:rsidR="00616768">
        <w:rPr>
          <w:rFonts w:eastAsiaTheme="minorHAnsi"/>
        </w:rPr>
        <w:t xml:space="preserve"> reconocer </w:t>
      </w:r>
      <w:r w:rsidR="00213D54">
        <w:rPr>
          <w:rFonts w:eastAsiaTheme="minorHAnsi"/>
        </w:rPr>
        <w:t xml:space="preserve">su </w:t>
      </w:r>
      <w:r w:rsidR="00616768">
        <w:rPr>
          <w:rFonts w:eastAsiaTheme="minorHAnsi"/>
        </w:rPr>
        <w:t xml:space="preserve">valiosa </w:t>
      </w:r>
      <w:r w:rsidR="00213D54">
        <w:rPr>
          <w:rFonts w:eastAsiaTheme="minorHAnsi"/>
        </w:rPr>
        <w:t>participación en el espacio público</w:t>
      </w:r>
      <w:r w:rsidR="00A26087">
        <w:rPr>
          <w:rFonts w:eastAsiaTheme="minorHAnsi"/>
        </w:rPr>
        <w:t xml:space="preserve"> y</w:t>
      </w:r>
      <w:r w:rsidRPr="003C4E1B">
        <w:rPr>
          <w:rFonts w:eastAsiaTheme="minorHAnsi"/>
        </w:rPr>
        <w:t xml:space="preserve"> sus </w:t>
      </w:r>
      <w:r w:rsidRPr="003C4E1B">
        <w:rPr>
          <w:rFonts w:eastAsiaTheme="minorHAnsi" w:cs="TimesNewRomanPSMT"/>
        </w:rPr>
        <w:t>esfuerzos por generar cambios</w:t>
      </w:r>
      <w:r w:rsidRPr="003C4E1B">
        <w:rPr>
          <w:rStyle w:val="Refdenotaalpie"/>
          <w:rFonts w:eastAsiaTheme="minorHAnsi" w:cs="TimesNewRomanPSMT"/>
          <w:lang w:eastAsia="en-US"/>
        </w:rPr>
        <w:footnoteReference w:id="220"/>
      </w:r>
      <w:r w:rsidRPr="003C4E1B">
        <w:rPr>
          <w:rFonts w:cs="TimesNewRomanPSMT"/>
        </w:rPr>
        <w:t>.</w:t>
      </w:r>
      <w:r w:rsidRPr="003C4E1B">
        <w:rPr>
          <w:rFonts w:eastAsiaTheme="minorHAnsi"/>
          <w:lang w:eastAsia="en-US"/>
        </w:rPr>
        <w:t xml:space="preserve"> </w:t>
      </w:r>
    </w:p>
    <w:p w14:paraId="17D55090" w14:textId="77777777" w:rsidR="00377850" w:rsidRPr="003C4E1B" w:rsidRDefault="00377850" w:rsidP="00377850">
      <w:pPr>
        <w:widowControl/>
        <w:tabs>
          <w:tab w:val="left" w:pos="567"/>
        </w:tabs>
        <w:autoSpaceDE w:val="0"/>
        <w:autoSpaceDN w:val="0"/>
        <w:spacing w:line="240" w:lineRule="auto"/>
        <w:textAlignment w:val="auto"/>
        <w:rPr>
          <w:rFonts w:eastAsiaTheme="minorHAnsi"/>
          <w:lang w:eastAsia="en-US"/>
        </w:rPr>
      </w:pPr>
    </w:p>
    <w:p w14:paraId="1903B938" w14:textId="76EA815D" w:rsidR="009D1D48" w:rsidRPr="003C4E1B" w:rsidRDefault="00002253" w:rsidP="00377850">
      <w:pPr>
        <w:widowControl/>
        <w:numPr>
          <w:ilvl w:val="0"/>
          <w:numId w:val="4"/>
        </w:numPr>
        <w:tabs>
          <w:tab w:val="left" w:pos="567"/>
          <w:tab w:val="num" w:pos="1569"/>
          <w:tab w:val="num" w:pos="12305"/>
        </w:tabs>
        <w:autoSpaceDE w:val="0"/>
        <w:autoSpaceDN w:val="0"/>
        <w:spacing w:line="240" w:lineRule="auto"/>
        <w:ind w:left="0" w:firstLine="0"/>
        <w:textAlignment w:val="auto"/>
        <w:rPr>
          <w:rFonts w:eastAsiaTheme="minorHAnsi"/>
          <w:lang w:eastAsia="en-US"/>
        </w:rPr>
      </w:pPr>
      <w:r w:rsidRPr="003C4E1B">
        <w:rPr>
          <w:rFonts w:eastAsiaTheme="minorHAnsi" w:cs="Arial"/>
          <w:lang w:eastAsia="en-US"/>
        </w:rPr>
        <w:t xml:space="preserve">El Tribunal observa, por tanto, que la violación de derechos </w:t>
      </w:r>
      <w:r w:rsidR="00400D96" w:rsidRPr="003C4E1B">
        <w:rPr>
          <w:rFonts w:eastAsiaTheme="minorHAnsi" w:cs="Arial"/>
          <w:lang w:eastAsia="en-US"/>
        </w:rPr>
        <w:t xml:space="preserve">humanos de </w:t>
      </w:r>
      <w:r w:rsidRPr="003C4E1B">
        <w:rPr>
          <w:rFonts w:eastAsiaTheme="minorHAnsi" w:cs="Arial"/>
          <w:lang w:eastAsia="en-US"/>
        </w:rPr>
        <w:t xml:space="preserve">la </w:t>
      </w:r>
      <w:r w:rsidR="001F344D">
        <w:rPr>
          <w:rFonts w:eastAsiaTheme="minorHAnsi" w:cs="Arial"/>
          <w:lang w:eastAsia="en-US"/>
        </w:rPr>
        <w:t>señora Digna Ochoa</w:t>
      </w:r>
      <w:r w:rsidRPr="003C4E1B">
        <w:rPr>
          <w:rFonts w:eastAsiaTheme="minorHAnsi" w:cs="Arial"/>
          <w:lang w:eastAsia="en-US"/>
        </w:rPr>
        <w:t xml:space="preserve"> no se agotó </w:t>
      </w:r>
      <w:r w:rsidR="00400D96" w:rsidRPr="003C4E1B">
        <w:rPr>
          <w:rFonts w:eastAsiaTheme="minorHAnsi" w:cs="Arial"/>
          <w:lang w:eastAsia="en-US"/>
        </w:rPr>
        <w:t xml:space="preserve">–a los efectos del presente caso– </w:t>
      </w:r>
      <w:r w:rsidRPr="003C4E1B">
        <w:rPr>
          <w:rFonts w:eastAsiaTheme="minorHAnsi" w:cs="Arial"/>
          <w:lang w:eastAsia="en-US"/>
        </w:rPr>
        <w:t xml:space="preserve">en la deficiente investigación de los hechos que </w:t>
      </w:r>
      <w:r w:rsidRPr="003C4E1B">
        <w:rPr>
          <w:rFonts w:eastAsiaTheme="minorHAnsi" w:cs="Arial"/>
          <w:lang w:eastAsia="en-US"/>
        </w:rPr>
        <w:lastRenderedPageBreak/>
        <w:t>rodea</w:t>
      </w:r>
      <w:r w:rsidR="00400D96" w:rsidRPr="003C4E1B">
        <w:rPr>
          <w:rFonts w:eastAsiaTheme="minorHAnsi" w:cs="Arial"/>
          <w:lang w:eastAsia="en-US"/>
        </w:rPr>
        <w:t>ron</w:t>
      </w:r>
      <w:r w:rsidRPr="003C4E1B">
        <w:rPr>
          <w:rFonts w:eastAsiaTheme="minorHAnsi" w:cs="Arial"/>
          <w:lang w:eastAsia="en-US"/>
        </w:rPr>
        <w:t xml:space="preserve"> su muerte, sino que tuvo continuidad y se </w:t>
      </w:r>
      <w:r w:rsidR="00400D96" w:rsidRPr="003C4E1B">
        <w:rPr>
          <w:rFonts w:eastAsiaTheme="minorHAnsi" w:cs="Arial"/>
          <w:lang w:eastAsia="en-US"/>
        </w:rPr>
        <w:t xml:space="preserve">vio </w:t>
      </w:r>
      <w:r w:rsidR="002942EC" w:rsidRPr="003C4E1B">
        <w:rPr>
          <w:rFonts w:eastAsiaTheme="minorHAnsi" w:cs="Arial"/>
          <w:lang w:eastAsia="en-US"/>
        </w:rPr>
        <w:t>exacerbada</w:t>
      </w:r>
      <w:r w:rsidRPr="003C4E1B">
        <w:rPr>
          <w:rFonts w:eastAsiaTheme="minorHAnsi" w:cs="Arial"/>
          <w:lang w:eastAsia="en-US"/>
        </w:rPr>
        <w:t xml:space="preserve"> </w:t>
      </w:r>
      <w:r w:rsidR="009D1D48" w:rsidRPr="003C4E1B">
        <w:rPr>
          <w:rFonts w:eastAsiaTheme="minorHAnsi"/>
          <w:lang w:eastAsia="en-US"/>
        </w:rPr>
        <w:t>a trav</w:t>
      </w:r>
      <w:r w:rsidRPr="003C4E1B">
        <w:rPr>
          <w:rFonts w:eastAsiaTheme="minorHAnsi"/>
          <w:lang w:eastAsia="en-US"/>
        </w:rPr>
        <w:t xml:space="preserve">és de </w:t>
      </w:r>
      <w:r w:rsidR="00400D96" w:rsidRPr="003C4E1B">
        <w:rPr>
          <w:rFonts w:eastAsiaTheme="minorHAnsi"/>
          <w:lang w:eastAsia="en-US"/>
        </w:rPr>
        <w:t>un</w:t>
      </w:r>
      <w:r w:rsidRPr="003C4E1B">
        <w:rPr>
          <w:rFonts w:eastAsiaTheme="minorHAnsi"/>
          <w:lang w:eastAsia="en-US"/>
        </w:rPr>
        <w:t xml:space="preserve"> discurso canalizado por agentes estatales</w:t>
      </w:r>
      <w:r w:rsidR="009D1D48" w:rsidRPr="003C4E1B">
        <w:rPr>
          <w:rFonts w:eastAsiaTheme="minorHAnsi"/>
          <w:lang w:eastAsia="en-US"/>
        </w:rPr>
        <w:t xml:space="preserve"> encaminado a </w:t>
      </w:r>
      <w:r w:rsidRPr="003C4E1B">
        <w:rPr>
          <w:rFonts w:eastAsiaTheme="minorHAnsi"/>
          <w:lang w:eastAsia="en-US"/>
        </w:rPr>
        <w:t xml:space="preserve">denostar su imagen </w:t>
      </w:r>
      <w:r w:rsidRPr="003C4E1B">
        <w:rPr>
          <w:rFonts w:eastAsiaTheme="minorHAnsi" w:cs="Arial"/>
          <w:lang w:eastAsia="en-US"/>
        </w:rPr>
        <w:t>pública</w:t>
      </w:r>
      <w:r w:rsidR="00377850" w:rsidRPr="003C4E1B">
        <w:rPr>
          <w:rFonts w:eastAsiaTheme="minorHAnsi" w:cs="Arial"/>
          <w:lang w:eastAsia="en-US"/>
        </w:rPr>
        <w:t>, polarizar a la sociedad</w:t>
      </w:r>
      <w:r w:rsidR="00400D96" w:rsidRPr="003C4E1B">
        <w:rPr>
          <w:rFonts w:eastAsiaTheme="minorHAnsi" w:cs="Arial"/>
          <w:lang w:eastAsia="en-US"/>
        </w:rPr>
        <w:t xml:space="preserve"> mexicana</w:t>
      </w:r>
      <w:r w:rsidRPr="003C4E1B">
        <w:rPr>
          <w:rFonts w:eastAsiaTheme="minorHAnsi"/>
          <w:lang w:eastAsia="en-US"/>
        </w:rPr>
        <w:t xml:space="preserve"> y sustentar ante la opinión pública la versión del suicidio</w:t>
      </w:r>
      <w:r w:rsidR="00377850" w:rsidRPr="003C4E1B">
        <w:rPr>
          <w:rFonts w:eastAsiaTheme="minorHAnsi"/>
          <w:lang w:eastAsia="en-US"/>
        </w:rPr>
        <w:t>, todo ello además haciendo uso de estereotipos de género</w:t>
      </w:r>
      <w:r w:rsidR="007470A9">
        <w:rPr>
          <w:rFonts w:eastAsiaTheme="minorHAnsi"/>
          <w:lang w:eastAsia="en-US"/>
        </w:rPr>
        <w:t xml:space="preserve"> nocivos</w:t>
      </w:r>
      <w:r w:rsidRPr="003C4E1B">
        <w:rPr>
          <w:rFonts w:eastAsiaTheme="minorHAnsi"/>
          <w:lang w:eastAsia="en-US"/>
        </w:rPr>
        <w:t>.</w:t>
      </w:r>
      <w:r w:rsidR="00377850" w:rsidRPr="003C4E1B">
        <w:rPr>
          <w:rFonts w:eastAsiaTheme="minorHAnsi"/>
          <w:lang w:eastAsia="en-US"/>
        </w:rPr>
        <w:t xml:space="preserve"> </w:t>
      </w:r>
      <w:r w:rsidR="00A2681F" w:rsidRPr="00286D43">
        <w:rPr>
          <w:rFonts w:eastAsiaTheme="minorHAnsi"/>
          <w:lang w:eastAsia="en-US"/>
        </w:rPr>
        <w:t xml:space="preserve">La Corte advierte, además, que la intromisión </w:t>
      </w:r>
      <w:r w:rsidR="00A2681F" w:rsidRPr="00286D43">
        <w:rPr>
          <w:rFonts w:eastAsiaTheme="minorHAnsi"/>
          <w:i/>
          <w:lang w:eastAsia="en-US"/>
        </w:rPr>
        <w:t>post mortem</w:t>
      </w:r>
      <w:r w:rsidR="00A2681F" w:rsidRPr="00286D43">
        <w:rPr>
          <w:rFonts w:eastAsiaTheme="minorHAnsi"/>
          <w:lang w:eastAsia="en-US"/>
        </w:rPr>
        <w:t xml:space="preserve"> en la vida privada de una persona por parte de autoridades estatales, de tal manera que se afecte su </w:t>
      </w:r>
      <w:r w:rsidR="00F84E90" w:rsidRPr="00286D43">
        <w:rPr>
          <w:rFonts w:eastAsiaTheme="minorHAnsi"/>
          <w:lang w:eastAsia="en-US"/>
        </w:rPr>
        <w:t xml:space="preserve">derecho al respeto de la </w:t>
      </w:r>
      <w:r w:rsidR="004F05D3">
        <w:rPr>
          <w:rFonts w:eastAsiaTheme="minorHAnsi"/>
          <w:lang w:eastAsia="en-US"/>
        </w:rPr>
        <w:t>h</w:t>
      </w:r>
      <w:r w:rsidR="00F84E90" w:rsidRPr="00286D43">
        <w:rPr>
          <w:rFonts w:eastAsiaTheme="minorHAnsi"/>
          <w:lang w:eastAsia="en-US"/>
        </w:rPr>
        <w:t xml:space="preserve">onra y </w:t>
      </w:r>
      <w:r w:rsidR="004F05D3">
        <w:rPr>
          <w:rFonts w:eastAsiaTheme="minorHAnsi"/>
          <w:lang w:eastAsia="en-US"/>
        </w:rPr>
        <w:t>d</w:t>
      </w:r>
      <w:r w:rsidR="00F84E90" w:rsidRPr="00286D43">
        <w:rPr>
          <w:rFonts w:eastAsiaTheme="minorHAnsi"/>
          <w:lang w:eastAsia="en-US"/>
        </w:rPr>
        <w:t>ignidad</w:t>
      </w:r>
      <w:r w:rsidR="00A2681F" w:rsidRPr="00286D43">
        <w:rPr>
          <w:rFonts w:eastAsiaTheme="minorHAnsi"/>
          <w:lang w:eastAsia="en-US"/>
        </w:rPr>
        <w:t xml:space="preserve">, es incompatible </w:t>
      </w:r>
      <w:r w:rsidR="00F84E90" w:rsidRPr="00286D43">
        <w:rPr>
          <w:rFonts w:eastAsiaTheme="minorHAnsi"/>
          <w:lang w:eastAsia="en-US"/>
        </w:rPr>
        <w:t>con</w:t>
      </w:r>
      <w:r w:rsidR="00A2681F" w:rsidRPr="00286D43">
        <w:rPr>
          <w:rFonts w:eastAsiaTheme="minorHAnsi"/>
          <w:lang w:eastAsia="en-US"/>
        </w:rPr>
        <w:t xml:space="preserve"> la Convención Americana.</w:t>
      </w:r>
      <w:r w:rsidR="00A2681F">
        <w:rPr>
          <w:rFonts w:eastAsiaTheme="minorHAnsi"/>
          <w:lang w:eastAsia="en-US"/>
        </w:rPr>
        <w:t xml:space="preserve"> </w:t>
      </w:r>
      <w:r w:rsidR="00377850" w:rsidRPr="003C4E1B">
        <w:rPr>
          <w:rFonts w:eastAsiaTheme="minorHAnsi"/>
          <w:lang w:eastAsia="en-US"/>
        </w:rPr>
        <w:t>Todo lo anterior supuso una violación del artículo 11 de la Convención Americana, en relación con el artículo 1.1 del mismo instrumento</w:t>
      </w:r>
      <w:r w:rsidR="007470A9">
        <w:rPr>
          <w:rFonts w:eastAsiaTheme="minorHAnsi"/>
          <w:lang w:eastAsia="en-US"/>
        </w:rPr>
        <w:t xml:space="preserve"> en su perjuicio</w:t>
      </w:r>
      <w:r w:rsidR="00377850" w:rsidRPr="003C4E1B">
        <w:rPr>
          <w:rFonts w:eastAsiaTheme="minorHAnsi"/>
          <w:lang w:eastAsia="en-US"/>
        </w:rPr>
        <w:t>.</w:t>
      </w:r>
      <w:r w:rsidR="003B7FF9" w:rsidRPr="003C4E1B">
        <w:rPr>
          <w:rFonts w:eastAsiaTheme="minorHAnsi"/>
          <w:lang w:eastAsia="en-US"/>
        </w:rPr>
        <w:t xml:space="preserve"> </w:t>
      </w:r>
    </w:p>
    <w:p w14:paraId="62FA976B" w14:textId="4F7DF035" w:rsidR="002370A7" w:rsidRPr="003C4E1B" w:rsidRDefault="002E0ABF" w:rsidP="002370A7">
      <w:pPr>
        <w:pStyle w:val="Ttulo3"/>
        <w:rPr>
          <w:lang w:val="es-ES"/>
        </w:rPr>
      </w:pPr>
      <w:r w:rsidRPr="003C4E1B">
        <w:rPr>
          <w:lang w:val="es-ES"/>
        </w:rPr>
        <w:t xml:space="preserve"> </w:t>
      </w:r>
      <w:bookmarkStart w:id="71" w:name="_Toc93400261"/>
      <w:r w:rsidR="002370A7" w:rsidRPr="003C4E1B">
        <w:rPr>
          <w:lang w:val="es-ES"/>
        </w:rPr>
        <w:t xml:space="preserve">b.5 Afectación al derecho a la vida de la </w:t>
      </w:r>
      <w:r w:rsidR="001F344D">
        <w:rPr>
          <w:lang w:val="es-ES"/>
        </w:rPr>
        <w:t>señora Digna Ochoa</w:t>
      </w:r>
      <w:bookmarkEnd w:id="71"/>
    </w:p>
    <w:p w14:paraId="3FA1E2F8" w14:textId="6FD84FD6" w:rsidR="005B3A39" w:rsidRPr="003C4E1B" w:rsidRDefault="005B3A39" w:rsidP="005B3A39">
      <w:pPr>
        <w:widowControl/>
        <w:numPr>
          <w:ilvl w:val="0"/>
          <w:numId w:val="4"/>
        </w:numPr>
        <w:tabs>
          <w:tab w:val="left" w:pos="567"/>
        </w:tabs>
        <w:autoSpaceDE w:val="0"/>
        <w:autoSpaceDN w:val="0"/>
        <w:spacing w:line="240" w:lineRule="auto"/>
        <w:ind w:left="0" w:firstLine="0"/>
        <w:textAlignment w:val="auto"/>
        <w:rPr>
          <w:spacing w:val="-2"/>
        </w:rPr>
      </w:pPr>
      <w:bookmarkStart w:id="72" w:name="_Ref462933005"/>
      <w:r w:rsidRPr="003C4E1B">
        <w:rPr>
          <w:spacing w:val="-2"/>
        </w:rPr>
        <w:t xml:space="preserve">Este </w:t>
      </w:r>
      <w:r w:rsidRPr="003C4E1B">
        <w:rPr>
          <w:lang w:val="es-ES"/>
        </w:rPr>
        <w:t>Tribunal</w:t>
      </w:r>
      <w:r w:rsidRPr="003C4E1B">
        <w:rPr>
          <w:spacing w:val="-2"/>
        </w:rPr>
        <w:t xml:space="preserve"> ha establecido que el derecho a la vida juega un papel fundamental en la Convención Americana, por ser el presupuesto esencial para el ejercicio de los demás derechos. Los Estados tienen la </w:t>
      </w:r>
      <w:r w:rsidRPr="003C4E1B">
        <w:t>obligación</w:t>
      </w:r>
      <w:r w:rsidRPr="003C4E1B">
        <w:rPr>
          <w:spacing w:val="-2"/>
        </w:rPr>
        <w:t xml:space="preserve"> de garantizar la creación de las condiciones </w:t>
      </w:r>
      <w:r w:rsidRPr="003C4E1B">
        <w:t>que</w:t>
      </w:r>
      <w:r w:rsidRPr="003C4E1B">
        <w:rPr>
          <w:spacing w:val="-2"/>
        </w:rPr>
        <w:t xml:space="preserve"> se requieran para que no se produzcan violaciones de este derecho inalienable y, en particular, el deber de impedir que sus agentes atenten contra él. La observancia del artículo 4, relacionado con el artículo 1.1 de la Convención Americana, no solo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jurisdicción</w:t>
      </w:r>
      <w:r w:rsidR="004E7D7E" w:rsidRPr="003C4E1B">
        <w:rPr>
          <w:rStyle w:val="Refdenotaalpie"/>
          <w:spacing w:val="-2"/>
        </w:rPr>
        <w:footnoteReference w:id="221"/>
      </w:r>
      <w:r w:rsidRPr="003C4E1B">
        <w:rPr>
          <w:spacing w:val="-2"/>
        </w:rPr>
        <w:t xml:space="preserve">. </w:t>
      </w:r>
    </w:p>
    <w:p w14:paraId="408D098E" w14:textId="77777777" w:rsidR="005B3A39" w:rsidRPr="003C4E1B" w:rsidRDefault="005B3A39" w:rsidP="005B3A39">
      <w:pPr>
        <w:tabs>
          <w:tab w:val="left" w:pos="0"/>
          <w:tab w:val="left" w:pos="567"/>
        </w:tabs>
        <w:autoSpaceDE w:val="0"/>
        <w:autoSpaceDN w:val="0"/>
        <w:contextualSpacing/>
        <w:rPr>
          <w:spacing w:val="-2"/>
        </w:rPr>
      </w:pPr>
    </w:p>
    <w:p w14:paraId="7DB45A22" w14:textId="66D99CDD" w:rsidR="005B3A39" w:rsidRPr="003C4E1B" w:rsidRDefault="005B3A39" w:rsidP="005B3A39">
      <w:pPr>
        <w:widowControl/>
        <w:numPr>
          <w:ilvl w:val="0"/>
          <w:numId w:val="4"/>
        </w:numPr>
        <w:tabs>
          <w:tab w:val="left" w:pos="567"/>
        </w:tabs>
        <w:autoSpaceDE w:val="0"/>
        <w:autoSpaceDN w:val="0"/>
        <w:spacing w:line="240" w:lineRule="auto"/>
        <w:ind w:left="0" w:firstLine="0"/>
        <w:textAlignment w:val="auto"/>
        <w:rPr>
          <w:spacing w:val="-2"/>
        </w:rPr>
      </w:pPr>
      <w:bookmarkStart w:id="73" w:name="_Ref470093204"/>
      <w:r w:rsidRPr="003C4E1B">
        <w:rPr>
          <w:bCs/>
        </w:rPr>
        <w:t>Al respecto</w:t>
      </w:r>
      <w:r w:rsidRPr="003C4E1B">
        <w:rPr>
          <w:spacing w:val="-2"/>
        </w:rPr>
        <w:t>, la Corte ha señalado reiteradamente que el Estado tiene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Pr="003C4E1B">
        <w:rPr>
          <w:rStyle w:val="Refdenotaalpie"/>
          <w:spacing w:val="-2"/>
        </w:rPr>
        <w:footnoteReference w:id="222"/>
      </w:r>
      <w:r w:rsidRPr="003C4E1B">
        <w:rPr>
          <w:spacing w:val="-2"/>
        </w:rPr>
        <w:t>.</w:t>
      </w:r>
      <w:r w:rsidRPr="003C4E1B">
        <w:t xml:space="preserve"> </w:t>
      </w:r>
      <w:bookmarkEnd w:id="73"/>
      <w:r w:rsidR="004E7D7E" w:rsidRPr="003C4E1B">
        <w:rPr>
          <w:rFonts w:cs="Verdana"/>
        </w:rPr>
        <w:t>Lo anterior incluye, entre otras medidas, “establecer un sistema de justicia efectivo capaz de investigar, castigar y dar reparación por la privación de la vida por parte de agentes estatales o particulares</w:t>
      </w:r>
      <w:r w:rsidR="00B14906">
        <w:rPr>
          <w:rFonts w:cs="Verdana"/>
        </w:rPr>
        <w:t>”</w:t>
      </w:r>
      <w:r w:rsidR="004E7D7E" w:rsidRPr="003C4E1B">
        <w:rPr>
          <w:rStyle w:val="Refdenotaalpie"/>
        </w:rPr>
        <w:footnoteReference w:id="223"/>
      </w:r>
      <w:r w:rsidR="004E7D7E" w:rsidRPr="003C4E1B">
        <w:rPr>
          <w:rFonts w:cs="Verdana"/>
        </w:rPr>
        <w:t>.</w:t>
      </w:r>
    </w:p>
    <w:p w14:paraId="27CB10F9" w14:textId="77777777" w:rsidR="004E7D7E" w:rsidRPr="003C4E1B" w:rsidRDefault="004E7D7E" w:rsidP="004E7D7E">
      <w:pPr>
        <w:widowControl/>
        <w:tabs>
          <w:tab w:val="left" w:pos="567"/>
        </w:tabs>
        <w:autoSpaceDE w:val="0"/>
        <w:autoSpaceDN w:val="0"/>
        <w:spacing w:line="240" w:lineRule="auto"/>
        <w:textAlignment w:val="auto"/>
        <w:rPr>
          <w:spacing w:val="-2"/>
        </w:rPr>
      </w:pPr>
    </w:p>
    <w:p w14:paraId="029E07BF" w14:textId="179649F1" w:rsidR="004E7D7E" w:rsidRPr="00A2584B" w:rsidRDefault="004E7D7E" w:rsidP="004E7D7E">
      <w:pPr>
        <w:widowControl/>
        <w:numPr>
          <w:ilvl w:val="0"/>
          <w:numId w:val="4"/>
        </w:numPr>
        <w:tabs>
          <w:tab w:val="left" w:pos="567"/>
        </w:tabs>
        <w:autoSpaceDE w:val="0"/>
        <w:autoSpaceDN w:val="0"/>
        <w:spacing w:line="240" w:lineRule="auto"/>
        <w:ind w:left="0" w:firstLine="0"/>
        <w:textAlignment w:val="auto"/>
        <w:rPr>
          <w:rFonts w:cs="Arial"/>
          <w:lang w:val="es-PR"/>
        </w:rPr>
      </w:pPr>
      <w:r w:rsidRPr="003C4E1B">
        <w:rPr>
          <w:rFonts w:cs="Verdana"/>
        </w:rPr>
        <w:t xml:space="preserve">Asimismo, este Tribunal resaltó que investigar los casos de violaciones al derecho a la vida constituye un elemento central al momento de determinar la responsabilidad internacional del Estado y que esa obligación se desprende de la garantía del artículo 1.1 de la Convención y si se llegare a comprobar cualquier carencia o defecto en la investigación que perjudique la eficacia para establecer la causa de la </w:t>
      </w:r>
      <w:r w:rsidRPr="003C4E1B">
        <w:rPr>
          <w:bCs/>
        </w:rPr>
        <w:t>muerte</w:t>
      </w:r>
      <w:r w:rsidRPr="003C4E1B">
        <w:rPr>
          <w:rFonts w:cs="Verdana"/>
        </w:rPr>
        <w:t xml:space="preserve"> o identificar a los responsables, implicará que no se cumpla con la obligación de proteger el derecho a la vida</w:t>
      </w:r>
      <w:r w:rsidRPr="003C4E1B">
        <w:rPr>
          <w:rStyle w:val="Refdenotaalpie"/>
        </w:rPr>
        <w:footnoteReference w:id="224"/>
      </w:r>
      <w:r w:rsidRPr="003C4E1B">
        <w:rPr>
          <w:rFonts w:cs="Verdana"/>
        </w:rPr>
        <w:t xml:space="preserve">. En ese mismo sentido, el Tribunal indicó que la ausencia de </w:t>
      </w:r>
      <w:r w:rsidRPr="003C4E1B">
        <w:rPr>
          <w:rFonts w:cs="Verdana"/>
        </w:rPr>
        <w:lastRenderedPageBreak/>
        <w:t>mecanismos efectivos de investigación de violaciones del derecho a la vida y la debilidad de los sistemas de justicia para afrontar dichas violaciones pueden propiciar, en los Estados, un clima de impunidad respecto de las mismas, y, en ciertos contextos y circunstancias, pueden llegar a configurar situaciones generalizadas o graves esquemas de impunidad, estimulando y perpetuando, así, la repetición de las violaciones</w:t>
      </w:r>
      <w:r w:rsidRPr="003C4E1B">
        <w:rPr>
          <w:rStyle w:val="Refdenotaalpie"/>
        </w:rPr>
        <w:footnoteReference w:id="225"/>
      </w:r>
      <w:r w:rsidRPr="003C4E1B">
        <w:rPr>
          <w:rFonts w:cs="Verdana"/>
        </w:rPr>
        <w:t>.</w:t>
      </w:r>
      <w:r w:rsidR="004D3128">
        <w:rPr>
          <w:rFonts w:cs="Verdana"/>
        </w:rPr>
        <w:t xml:space="preserve"> Además, la Corte resaltó la importancia de investigaciones </w:t>
      </w:r>
      <w:r w:rsidR="00261470" w:rsidRPr="00A2584B">
        <w:rPr>
          <w:rFonts w:cs="Verdana"/>
        </w:rPr>
        <w:t xml:space="preserve">diligentes y céleres </w:t>
      </w:r>
      <w:r w:rsidR="004D3128" w:rsidRPr="00A2584B">
        <w:rPr>
          <w:rFonts w:cs="Verdana"/>
        </w:rPr>
        <w:t>cuando la víctima es una mujer defensora de derechos humanos (</w:t>
      </w:r>
      <w:r w:rsidR="004D3128" w:rsidRPr="00010A58">
        <w:rPr>
          <w:rFonts w:cs="Verdana"/>
          <w:i/>
        </w:rPr>
        <w:t xml:space="preserve">supra </w:t>
      </w:r>
      <w:r w:rsidR="004D3128" w:rsidRPr="00010A58">
        <w:rPr>
          <w:rFonts w:cs="Verdana"/>
        </w:rPr>
        <w:t xml:space="preserve">párr. </w:t>
      </w:r>
      <w:r w:rsidR="00286D43" w:rsidRPr="00A2584B">
        <w:rPr>
          <w:rFonts w:cs="Verdana"/>
        </w:rPr>
        <w:t>101</w:t>
      </w:r>
      <w:r w:rsidR="004D3128" w:rsidRPr="00A2584B">
        <w:rPr>
          <w:rFonts w:cs="Verdana"/>
        </w:rPr>
        <w:t>).</w:t>
      </w:r>
    </w:p>
    <w:p w14:paraId="1869A105" w14:textId="77777777" w:rsidR="00D16011" w:rsidRPr="008440D0" w:rsidRDefault="00D16011" w:rsidP="00D16011">
      <w:pPr>
        <w:widowControl/>
        <w:tabs>
          <w:tab w:val="left" w:pos="567"/>
        </w:tabs>
        <w:autoSpaceDE w:val="0"/>
        <w:autoSpaceDN w:val="0"/>
        <w:spacing w:line="240" w:lineRule="auto"/>
        <w:textAlignment w:val="auto"/>
        <w:rPr>
          <w:b/>
        </w:rPr>
      </w:pPr>
    </w:p>
    <w:p w14:paraId="25B1C238" w14:textId="7CD552C8" w:rsidR="005B3A39" w:rsidRPr="008440D0" w:rsidRDefault="005B3A39" w:rsidP="004D5B83">
      <w:pPr>
        <w:widowControl/>
        <w:numPr>
          <w:ilvl w:val="0"/>
          <w:numId w:val="4"/>
        </w:numPr>
        <w:tabs>
          <w:tab w:val="left" w:pos="567"/>
        </w:tabs>
        <w:autoSpaceDE w:val="0"/>
        <w:autoSpaceDN w:val="0"/>
        <w:spacing w:line="240" w:lineRule="auto"/>
        <w:ind w:left="0" w:firstLine="0"/>
        <w:textAlignment w:val="auto"/>
        <w:rPr>
          <w:b/>
        </w:rPr>
      </w:pPr>
      <w:r w:rsidRPr="003C4E1B">
        <w:rPr>
          <w:spacing w:val="-2"/>
        </w:rPr>
        <w:t>En el presente caso</w:t>
      </w:r>
      <w:r w:rsidR="0014670E">
        <w:rPr>
          <w:spacing w:val="-2"/>
        </w:rPr>
        <w:t>,</w:t>
      </w:r>
      <w:r w:rsidRPr="003C4E1B">
        <w:rPr>
          <w:spacing w:val="-2"/>
        </w:rPr>
        <w:t xml:space="preserve"> la Corte determinó que la investigación y posterior procedimiento por los hechos que rodearon la muerte de la </w:t>
      </w:r>
      <w:r w:rsidR="001F344D">
        <w:rPr>
          <w:spacing w:val="-2"/>
        </w:rPr>
        <w:t>señora Digna Ochoa</w:t>
      </w:r>
      <w:r w:rsidRPr="003C4E1B">
        <w:rPr>
          <w:spacing w:val="-2"/>
        </w:rPr>
        <w:t xml:space="preserve"> adoleció de numerosas falencias </w:t>
      </w:r>
      <w:r w:rsidR="0014670E">
        <w:rPr>
          <w:spacing w:val="-2"/>
        </w:rPr>
        <w:t xml:space="preserve">desde el inicio de la investigación </w:t>
      </w:r>
      <w:r w:rsidRPr="003C4E1B">
        <w:rPr>
          <w:spacing w:val="-2"/>
        </w:rPr>
        <w:t xml:space="preserve">que impiden tomar como veraz y definitiva la decisión adoptada a nivel interno por las autoridades judiciales, según la cual la </w:t>
      </w:r>
      <w:r w:rsidR="001F344D">
        <w:rPr>
          <w:spacing w:val="-2"/>
        </w:rPr>
        <w:t>señora Digna Ochoa</w:t>
      </w:r>
      <w:r w:rsidRPr="003C4E1B">
        <w:rPr>
          <w:spacing w:val="-2"/>
        </w:rPr>
        <w:t xml:space="preserve"> habría cometido un “suicidio </w:t>
      </w:r>
      <w:r w:rsidRPr="00010A58">
        <w:rPr>
          <w:spacing w:val="-2"/>
        </w:rPr>
        <w:t>disimulado”.</w:t>
      </w:r>
      <w:r w:rsidR="003A666E" w:rsidRPr="00DA34CE">
        <w:rPr>
          <w:spacing w:val="-2"/>
        </w:rPr>
        <w:t xml:space="preserve"> </w:t>
      </w:r>
      <w:r w:rsidR="00404443" w:rsidRPr="00DA34CE">
        <w:rPr>
          <w:spacing w:val="-2"/>
        </w:rPr>
        <w:t xml:space="preserve">En </w:t>
      </w:r>
      <w:r w:rsidR="004E7D7E" w:rsidRPr="00DA34CE">
        <w:t xml:space="preserve">este punto, este Tribunal ha señalado que las falencias en la investigación interna o su falta de conclusión no obstan a que la Corte determine que el Estado irrespetó el derecho a la vida, siempre </w:t>
      </w:r>
      <w:r w:rsidR="004E7D7E" w:rsidRPr="008440D0">
        <w:t>que</w:t>
      </w:r>
      <w:r w:rsidR="004E7D7E" w:rsidRPr="00010A58">
        <w:t xml:space="preserve"> existan elementos d</w:t>
      </w:r>
      <w:r w:rsidR="004E7D7E" w:rsidRPr="00DA34CE">
        <w:t>e juicio suficientes que permitan arribar a esa conclusión</w:t>
      </w:r>
      <w:r w:rsidR="004E7D7E" w:rsidRPr="00010A58">
        <w:rPr>
          <w:rStyle w:val="Refdenotaalpie"/>
        </w:rPr>
        <w:footnoteReference w:id="226"/>
      </w:r>
      <w:r w:rsidR="004E7D7E" w:rsidRPr="00010A58">
        <w:t>.</w:t>
      </w:r>
    </w:p>
    <w:p w14:paraId="2E5FEF48" w14:textId="77777777" w:rsidR="00404443" w:rsidRPr="008440D0" w:rsidRDefault="00404443" w:rsidP="00404443">
      <w:pPr>
        <w:widowControl/>
        <w:tabs>
          <w:tab w:val="left" w:pos="567"/>
        </w:tabs>
        <w:autoSpaceDE w:val="0"/>
        <w:autoSpaceDN w:val="0"/>
        <w:spacing w:line="240" w:lineRule="auto"/>
        <w:textAlignment w:val="auto"/>
        <w:rPr>
          <w:b/>
        </w:rPr>
      </w:pPr>
    </w:p>
    <w:p w14:paraId="2AB53E70" w14:textId="3088F5E0" w:rsidR="00901564" w:rsidRDefault="00B50BC2" w:rsidP="00242E9D">
      <w:pPr>
        <w:widowControl/>
        <w:numPr>
          <w:ilvl w:val="0"/>
          <w:numId w:val="4"/>
        </w:numPr>
        <w:tabs>
          <w:tab w:val="left" w:pos="567"/>
        </w:tabs>
        <w:autoSpaceDE w:val="0"/>
        <w:autoSpaceDN w:val="0"/>
        <w:spacing w:line="240" w:lineRule="auto"/>
        <w:ind w:left="0" w:firstLine="0"/>
        <w:textAlignment w:val="auto"/>
      </w:pPr>
      <w:r w:rsidRPr="00010A58">
        <w:t>En este sentido</w:t>
      </w:r>
      <w:r w:rsidR="00404443" w:rsidRPr="00DA34CE">
        <w:t>, la Corte advierte que el capítulo de Hechos de esta Sentencia se refirió al c</w:t>
      </w:r>
      <w:r w:rsidR="00404443" w:rsidRPr="001879D7">
        <w:t xml:space="preserve">ontexto de homicidios contra defensoras </w:t>
      </w:r>
      <w:r w:rsidR="0079556F">
        <w:t xml:space="preserve">y defensores </w:t>
      </w:r>
      <w:r w:rsidR="00404443" w:rsidRPr="001879D7">
        <w:t xml:space="preserve">de derechos humanos que </w:t>
      </w:r>
      <w:r w:rsidR="00404443" w:rsidRPr="00901564">
        <w:t>se producía</w:t>
      </w:r>
      <w:r w:rsidR="00404443" w:rsidRPr="00901564">
        <w:rPr>
          <w:b/>
        </w:rPr>
        <w:t xml:space="preserve"> </w:t>
      </w:r>
      <w:r w:rsidR="00901564" w:rsidRPr="001879D7">
        <w:t xml:space="preserve">durante la época en la cual ocurrió la muerte de la </w:t>
      </w:r>
      <w:r w:rsidR="00901564">
        <w:t xml:space="preserve">señora Digna </w:t>
      </w:r>
      <w:r w:rsidR="00901564" w:rsidRPr="00286D43">
        <w:t>Ochoa</w:t>
      </w:r>
      <w:r w:rsidR="00901564" w:rsidRPr="00286D43">
        <w:rPr>
          <w:b/>
        </w:rPr>
        <w:t xml:space="preserve"> </w:t>
      </w:r>
      <w:r w:rsidR="00404443" w:rsidRPr="00286D43">
        <w:t xml:space="preserve">y </w:t>
      </w:r>
      <w:r w:rsidR="00901564" w:rsidRPr="00286D43">
        <w:t>se sigue</w:t>
      </w:r>
      <w:r w:rsidR="00404443" w:rsidRPr="00286D43">
        <w:t xml:space="preserve"> produciendo</w:t>
      </w:r>
      <w:r w:rsidR="00901564" w:rsidRPr="00286D43">
        <w:t xml:space="preserve"> hasta el día de hoy (</w:t>
      </w:r>
      <w:r w:rsidR="00901564" w:rsidRPr="00286D43">
        <w:rPr>
          <w:i/>
        </w:rPr>
        <w:t>supra</w:t>
      </w:r>
      <w:r w:rsidR="00901564" w:rsidRPr="00286D43">
        <w:t xml:space="preserve"> </w:t>
      </w:r>
      <w:proofErr w:type="spellStart"/>
      <w:r w:rsidR="00901564" w:rsidRPr="00286D43">
        <w:t>párrs</w:t>
      </w:r>
      <w:proofErr w:type="spellEnd"/>
      <w:r w:rsidR="00901564" w:rsidRPr="00286D43">
        <w:t xml:space="preserve">. </w:t>
      </w:r>
      <w:r w:rsidR="00286D43" w:rsidRPr="00286D43">
        <w:t>44 a 48</w:t>
      </w:r>
      <w:r w:rsidR="00901564" w:rsidRPr="00286D43">
        <w:t>)</w:t>
      </w:r>
      <w:r w:rsidR="00404443" w:rsidRPr="00286D43">
        <w:t>.</w:t>
      </w:r>
      <w:r w:rsidR="00404443" w:rsidRPr="001879D7">
        <w:t xml:space="preserve"> Del mismo modo, en ese apartado</w:t>
      </w:r>
      <w:r w:rsidR="0020144A">
        <w:t>,</w:t>
      </w:r>
      <w:r w:rsidR="00404443" w:rsidRPr="001879D7">
        <w:t xml:space="preserve"> se pudo verificar que ese contexto de </w:t>
      </w:r>
      <w:r w:rsidR="00404443" w:rsidRPr="001879D7">
        <w:rPr>
          <w:lang w:eastAsia="es-ES"/>
        </w:rPr>
        <w:t xml:space="preserve">homicidios </w:t>
      </w:r>
      <w:r w:rsidR="00404443" w:rsidRPr="001879D7">
        <w:t>iba acompañado por altos índices de impunidad y de investigaciones que no desembocaban en la determinación y procesamiento de los responsables y que</w:t>
      </w:r>
      <w:r w:rsidR="00CD7CD6" w:rsidRPr="001879D7">
        <w:t>,</w:t>
      </w:r>
      <w:r w:rsidR="00404443" w:rsidRPr="001879D7">
        <w:t xml:space="preserve"> </w:t>
      </w:r>
      <w:r w:rsidR="00404443" w:rsidRPr="00242E9D">
        <w:rPr>
          <w:spacing w:val="-2"/>
        </w:rPr>
        <w:t>por</w:t>
      </w:r>
      <w:r w:rsidR="00404443" w:rsidRPr="001879D7">
        <w:t xml:space="preserve"> ende</w:t>
      </w:r>
      <w:r w:rsidR="00CD7CD6" w:rsidRPr="001879D7">
        <w:t>,</w:t>
      </w:r>
      <w:r w:rsidR="00404443" w:rsidRPr="001879D7">
        <w:t xml:space="preserve"> seguían en la impunidad. </w:t>
      </w:r>
      <w:r w:rsidR="003C4E1B" w:rsidRPr="001879D7">
        <w:t xml:space="preserve">A lo anterior se une el hecho de que la </w:t>
      </w:r>
      <w:r w:rsidR="001F344D">
        <w:t>señora Digna Ochoa</w:t>
      </w:r>
      <w:r w:rsidR="003C4E1B" w:rsidRPr="001879D7">
        <w:t xml:space="preserve"> llevaba años siendo objeto de amenazas que ponían en riesgo su vida e integridad personal, lo cual, ante el def</w:t>
      </w:r>
      <w:r w:rsidR="00AB077C" w:rsidRPr="001879D7">
        <w:t>iciente actuar del Estado, llevó</w:t>
      </w:r>
      <w:r w:rsidR="003C4E1B" w:rsidRPr="001879D7">
        <w:t xml:space="preserve"> a </w:t>
      </w:r>
      <w:r w:rsidR="00CD7CD6" w:rsidRPr="001879D7">
        <w:t>los órganos del sistema interamericano de protección de los derechos humanos a adoptar medidas cautelares y, posteriormente,</w:t>
      </w:r>
      <w:r w:rsidR="003C4E1B" w:rsidRPr="001879D7">
        <w:t xml:space="preserve"> medidas provisionales a su favor (</w:t>
      </w:r>
      <w:r w:rsidR="003C4E1B" w:rsidRPr="00242E9D">
        <w:rPr>
          <w:i/>
        </w:rPr>
        <w:t>supra</w:t>
      </w:r>
      <w:r w:rsidR="003C4E1B" w:rsidRPr="001879D7">
        <w:t xml:space="preserve"> </w:t>
      </w:r>
      <w:proofErr w:type="spellStart"/>
      <w:r w:rsidR="003C4E1B" w:rsidRPr="001879D7">
        <w:t>párr</w:t>
      </w:r>
      <w:r w:rsidR="00286D43">
        <w:t>s</w:t>
      </w:r>
      <w:proofErr w:type="spellEnd"/>
      <w:r w:rsidR="003C4E1B" w:rsidRPr="001879D7">
        <w:t xml:space="preserve">. </w:t>
      </w:r>
      <w:r w:rsidR="00286D43">
        <w:t>49 a 53</w:t>
      </w:r>
      <w:r w:rsidR="003C4E1B" w:rsidRPr="001879D7">
        <w:t xml:space="preserve">). </w:t>
      </w:r>
    </w:p>
    <w:p w14:paraId="5EBEBF70" w14:textId="77777777" w:rsidR="00901564" w:rsidRDefault="00901564" w:rsidP="00901564">
      <w:pPr>
        <w:widowControl/>
        <w:tabs>
          <w:tab w:val="left" w:pos="567"/>
        </w:tabs>
        <w:autoSpaceDE w:val="0"/>
        <w:autoSpaceDN w:val="0"/>
        <w:spacing w:line="240" w:lineRule="auto"/>
        <w:textAlignment w:val="auto"/>
      </w:pPr>
    </w:p>
    <w:p w14:paraId="24B24E59" w14:textId="2E5797C7" w:rsidR="00404443" w:rsidRPr="00286D43" w:rsidRDefault="003C4E1B" w:rsidP="00242E9D">
      <w:pPr>
        <w:widowControl/>
        <w:numPr>
          <w:ilvl w:val="0"/>
          <w:numId w:val="4"/>
        </w:numPr>
        <w:tabs>
          <w:tab w:val="left" w:pos="567"/>
        </w:tabs>
        <w:autoSpaceDE w:val="0"/>
        <w:autoSpaceDN w:val="0"/>
        <w:spacing w:line="240" w:lineRule="auto"/>
        <w:ind w:left="0" w:firstLine="0"/>
        <w:textAlignment w:val="auto"/>
      </w:pPr>
      <w:r w:rsidRPr="001879D7">
        <w:t>En suma, e</w:t>
      </w:r>
      <w:r w:rsidR="005E7B6C" w:rsidRPr="001879D7">
        <w:t>l Tribunal</w:t>
      </w:r>
      <w:r w:rsidR="00404443" w:rsidRPr="001879D7">
        <w:t xml:space="preserve"> encuentra que </w:t>
      </w:r>
      <w:r w:rsidR="005E7B6C" w:rsidRPr="001879D7">
        <w:t xml:space="preserve">la muerte de la </w:t>
      </w:r>
      <w:r w:rsidR="001F344D">
        <w:t>señora Digna Ochoa</w:t>
      </w:r>
      <w:r w:rsidR="00404443" w:rsidRPr="001879D7">
        <w:t xml:space="preserve"> se </w:t>
      </w:r>
      <w:r w:rsidR="00286D43">
        <w:t>inscribió</w:t>
      </w:r>
      <w:r w:rsidR="00404443" w:rsidRPr="001879D7">
        <w:t xml:space="preserve"> dentro de un contexto generalizado de impunidad por los homicidios de </w:t>
      </w:r>
      <w:r w:rsidR="00901564">
        <w:t>defensoras y defensores</w:t>
      </w:r>
      <w:r w:rsidR="005E7B6C" w:rsidRPr="001879D7">
        <w:t xml:space="preserve"> de derechos humanos</w:t>
      </w:r>
      <w:r w:rsidR="00404443" w:rsidRPr="001879D7">
        <w:t xml:space="preserve"> que ocurrían en la época de los hechos del presente caso en </w:t>
      </w:r>
      <w:r w:rsidR="005E7B6C" w:rsidRPr="001879D7">
        <w:t>México</w:t>
      </w:r>
      <w:r w:rsidRPr="001879D7">
        <w:t xml:space="preserve"> y que vino precedida de años de amenazas contra ella</w:t>
      </w:r>
      <w:r w:rsidR="00404443" w:rsidRPr="001879D7">
        <w:t xml:space="preserve">. En ese sentido, la investigación </w:t>
      </w:r>
      <w:r w:rsidR="005E7B6C" w:rsidRPr="001879D7">
        <w:t>absolutamente deficiente de</w:t>
      </w:r>
      <w:r w:rsidR="00404443" w:rsidRPr="001879D7">
        <w:t xml:space="preserve"> </w:t>
      </w:r>
      <w:r w:rsidR="005E7B6C" w:rsidRPr="001879D7">
        <w:t xml:space="preserve">la muerte de la </w:t>
      </w:r>
      <w:r w:rsidR="001F344D">
        <w:t>señora Digna Ochoa</w:t>
      </w:r>
      <w:r w:rsidR="00404443" w:rsidRPr="001879D7">
        <w:t xml:space="preserve"> por parte de las autoridades </w:t>
      </w:r>
      <w:r w:rsidR="005E7B6C" w:rsidRPr="001879D7">
        <w:t>mexicanas</w:t>
      </w:r>
      <w:r w:rsidR="00FA3056">
        <w:t xml:space="preserve">, </w:t>
      </w:r>
      <w:r w:rsidR="00FA3056" w:rsidRPr="00286D43">
        <w:t>junto al hecho de que se hayan descartado arbitrariamente otras líneas de investigación,</w:t>
      </w:r>
      <w:r w:rsidRPr="00286D43">
        <w:t xml:space="preserve"> </w:t>
      </w:r>
      <w:r w:rsidR="00AB077C" w:rsidRPr="001879D7">
        <w:t xml:space="preserve">no </w:t>
      </w:r>
      <w:r w:rsidR="0020144A">
        <w:t>permitió</w:t>
      </w:r>
      <w:r w:rsidR="00AB077C" w:rsidRPr="001879D7">
        <w:t xml:space="preserve"> arrojar luz sobre las circunstancias particulares que rodearon esta muerte y</w:t>
      </w:r>
      <w:r w:rsidR="0020144A">
        <w:t>, por tanto,</w:t>
      </w:r>
      <w:r w:rsidR="00AB077C" w:rsidRPr="001879D7">
        <w:t xml:space="preserve"> </w:t>
      </w:r>
      <w:r w:rsidRPr="001879D7">
        <w:t>constituyó</w:t>
      </w:r>
      <w:r w:rsidR="00404443" w:rsidRPr="001879D7">
        <w:t xml:space="preserve">, en sí misma, una violación a la obligación de garantizar el derecho a la vida </w:t>
      </w:r>
      <w:r w:rsidR="005E7B6C" w:rsidRPr="001879D7">
        <w:t xml:space="preserve">de la </w:t>
      </w:r>
      <w:r w:rsidR="003E701D">
        <w:t xml:space="preserve">señora Digna Ochoa </w:t>
      </w:r>
      <w:r w:rsidR="003E701D" w:rsidRPr="00286D43">
        <w:t xml:space="preserve">y, además, violó </w:t>
      </w:r>
      <w:r w:rsidR="003E701D" w:rsidRPr="00286D43">
        <w:lastRenderedPageBreak/>
        <w:t xml:space="preserve">el derecho a la verdad de los familiares de la señora </w:t>
      </w:r>
      <w:r w:rsidR="00C8301F" w:rsidRPr="00286D43">
        <w:t xml:space="preserve">Digna </w:t>
      </w:r>
      <w:r w:rsidR="003E701D" w:rsidRPr="00286D43">
        <w:t>Ochoa.</w:t>
      </w:r>
      <w:r w:rsidR="00242E9D" w:rsidRPr="00286D43">
        <w:t xml:space="preserve"> A este respecto, la Corte reitera que el Estado está obligado a combatir la eventual situación de impunidad que podría tener lugar en el presente caso por todos los medios disponibles, ya que ésta propicia la repetición crónica de las violaciones de derechos humanos y la total indefensión de las víctimas y de sus familiares, quienes tienen derecho a conocer la verdad de lo</w:t>
      </w:r>
      <w:r w:rsidR="00FA3056" w:rsidRPr="00286D43">
        <w:t xml:space="preserve"> sucedido respecto de las circunstancias de su muerte</w:t>
      </w:r>
      <w:r w:rsidR="00242E9D" w:rsidRPr="00286D43">
        <w:rPr>
          <w:rStyle w:val="Refdenotaalpie"/>
        </w:rPr>
        <w:footnoteReference w:id="227"/>
      </w:r>
      <w:r w:rsidR="00242E9D" w:rsidRPr="00286D43">
        <w:t>.</w:t>
      </w:r>
    </w:p>
    <w:p w14:paraId="1361CCDC" w14:textId="147E0D12" w:rsidR="00F0375C" w:rsidRDefault="00F0375C" w:rsidP="00F0375C">
      <w:pPr>
        <w:widowControl/>
        <w:tabs>
          <w:tab w:val="left" w:pos="567"/>
        </w:tabs>
        <w:autoSpaceDE w:val="0"/>
        <w:autoSpaceDN w:val="0"/>
        <w:spacing w:line="240" w:lineRule="auto"/>
        <w:textAlignment w:val="auto"/>
      </w:pPr>
    </w:p>
    <w:p w14:paraId="4548EAA3" w14:textId="7971CB5F" w:rsidR="00F0375C" w:rsidRPr="001879D7" w:rsidRDefault="00F0375C" w:rsidP="001879D7">
      <w:pPr>
        <w:widowControl/>
        <w:numPr>
          <w:ilvl w:val="0"/>
          <w:numId w:val="4"/>
        </w:numPr>
        <w:tabs>
          <w:tab w:val="left" w:pos="567"/>
        </w:tabs>
        <w:autoSpaceDE w:val="0"/>
        <w:autoSpaceDN w:val="0"/>
        <w:spacing w:line="240" w:lineRule="auto"/>
        <w:ind w:left="0" w:firstLine="0"/>
        <w:textAlignment w:val="auto"/>
      </w:pPr>
      <w:r w:rsidRPr="001879D7">
        <w:t xml:space="preserve">A la luz de la conclusión anterior, </w:t>
      </w:r>
      <w:r w:rsidR="001879D7" w:rsidRPr="001879D7">
        <w:t xml:space="preserve">el Tribunal considera que </w:t>
      </w:r>
      <w:r w:rsidRPr="001879D7">
        <w:t xml:space="preserve">no es necesario </w:t>
      </w:r>
      <w:r w:rsidR="001879D7" w:rsidRPr="001879D7">
        <w:t xml:space="preserve">realizar un análisis adicional sobre las amenazas </w:t>
      </w:r>
      <w:r w:rsidR="00EE76AA" w:rsidRPr="00D51095">
        <w:t>perpetradas en contra de la defensora y la</w:t>
      </w:r>
      <w:r w:rsidR="00EE76AA">
        <w:t xml:space="preserve"> alegada</w:t>
      </w:r>
      <w:r w:rsidR="00EE76AA" w:rsidRPr="00D51095">
        <w:t xml:space="preserve"> falta de investigación por parte del Estado de las mismas</w:t>
      </w:r>
      <w:r w:rsidRPr="001879D7">
        <w:t>.</w:t>
      </w:r>
    </w:p>
    <w:bookmarkEnd w:id="72"/>
    <w:p w14:paraId="4D92960B" w14:textId="5E571204" w:rsidR="00F9364E" w:rsidRDefault="00F9364E" w:rsidP="00F9364E">
      <w:pPr>
        <w:pStyle w:val="Ttulo3"/>
        <w:rPr>
          <w:lang w:val="es-ES"/>
        </w:rPr>
      </w:pPr>
      <w:r w:rsidRPr="001610BC">
        <w:rPr>
          <w:lang w:val="es-ES"/>
        </w:rPr>
        <w:tab/>
      </w:r>
      <w:bookmarkStart w:id="74" w:name="_Toc93400262"/>
      <w:r w:rsidRPr="001610BC">
        <w:rPr>
          <w:lang w:val="es-ES"/>
        </w:rPr>
        <w:t>b.</w:t>
      </w:r>
      <w:r w:rsidR="002370A7">
        <w:rPr>
          <w:lang w:val="es-ES"/>
        </w:rPr>
        <w:t>6</w:t>
      </w:r>
      <w:r w:rsidRPr="001610BC">
        <w:rPr>
          <w:lang w:val="es-ES"/>
        </w:rPr>
        <w:t xml:space="preserve"> Conclusión</w:t>
      </w:r>
      <w:bookmarkEnd w:id="74"/>
    </w:p>
    <w:p w14:paraId="2C02CBBF" w14:textId="5E9F533B" w:rsidR="007351F2" w:rsidRDefault="009D1D48" w:rsidP="00F559D9">
      <w:pPr>
        <w:widowControl/>
        <w:numPr>
          <w:ilvl w:val="0"/>
          <w:numId w:val="4"/>
        </w:numPr>
        <w:tabs>
          <w:tab w:val="left" w:pos="567"/>
          <w:tab w:val="num" w:pos="12305"/>
        </w:tabs>
        <w:autoSpaceDE w:val="0"/>
        <w:autoSpaceDN w:val="0"/>
        <w:spacing w:before="60" w:after="60" w:line="240" w:lineRule="auto"/>
        <w:ind w:left="0" w:firstLine="0"/>
        <w:textAlignment w:val="auto"/>
        <w:rPr>
          <w:rFonts w:eastAsiaTheme="minorHAnsi" w:cs="Arial"/>
          <w:lang w:eastAsia="en-US"/>
        </w:rPr>
      </w:pPr>
      <w:r w:rsidRPr="007351F2">
        <w:rPr>
          <w:rFonts w:eastAsiaTheme="minorHAnsi"/>
        </w:rPr>
        <w:t xml:space="preserve">En el presente </w:t>
      </w:r>
      <w:r w:rsidRPr="00C15A1C">
        <w:t>caso</w:t>
      </w:r>
      <w:r w:rsidR="00DA34CE">
        <w:t>,</w:t>
      </w:r>
      <w:r w:rsidRPr="007351F2">
        <w:rPr>
          <w:rFonts w:eastAsiaTheme="minorHAnsi"/>
        </w:rPr>
        <w:t xml:space="preserve"> </w:t>
      </w:r>
      <w:r w:rsidR="002D3B1C" w:rsidRPr="007351F2">
        <w:rPr>
          <w:rFonts w:eastAsiaTheme="minorHAnsi"/>
        </w:rPr>
        <w:t xml:space="preserve">el Tribunal ha determinado que la investigación y judicialización de la muerte de la </w:t>
      </w:r>
      <w:r w:rsidR="001F344D">
        <w:rPr>
          <w:rFonts w:eastAsiaTheme="minorHAnsi"/>
        </w:rPr>
        <w:t>señora Digna Ochoa</w:t>
      </w:r>
      <w:r w:rsidR="002D3B1C" w:rsidRPr="007351F2">
        <w:rPr>
          <w:rFonts w:eastAsiaTheme="minorHAnsi"/>
        </w:rPr>
        <w:t xml:space="preserve"> no cumplió con los estándares de debida diligencia, se usaron y aplicaron estereotipos de género que obstaculizaron el </w:t>
      </w:r>
      <w:r w:rsidR="00312DD4" w:rsidRPr="007351F2">
        <w:rPr>
          <w:rFonts w:eastAsiaTheme="minorHAnsi"/>
        </w:rPr>
        <w:t>procedimiento, no</w:t>
      </w:r>
      <w:r w:rsidR="002D3B1C" w:rsidRPr="007351F2">
        <w:rPr>
          <w:rFonts w:eastAsiaTheme="minorHAnsi"/>
        </w:rPr>
        <w:t xml:space="preserve"> se respetó el plazo razonable y, además, se realizaron declaraciones públicas en el marco de la investigación que dañaron </w:t>
      </w:r>
      <w:r w:rsidR="00CC334E">
        <w:rPr>
          <w:rFonts w:eastAsiaTheme="minorHAnsi"/>
        </w:rPr>
        <w:t>la honra y la dignidad</w:t>
      </w:r>
      <w:r w:rsidR="002D3B1C" w:rsidRPr="007351F2">
        <w:rPr>
          <w:rFonts w:eastAsiaTheme="minorHAnsi"/>
        </w:rPr>
        <w:t xml:space="preserve"> de la </w:t>
      </w:r>
      <w:r w:rsidR="001F344D">
        <w:rPr>
          <w:rFonts w:eastAsiaTheme="minorHAnsi"/>
        </w:rPr>
        <w:t>señora Digna Ochoa</w:t>
      </w:r>
      <w:r w:rsidR="002D3B1C" w:rsidRPr="007351F2">
        <w:rPr>
          <w:rFonts w:eastAsiaTheme="minorHAnsi"/>
        </w:rPr>
        <w:t xml:space="preserve">. </w:t>
      </w:r>
      <w:r w:rsidR="007351F2">
        <w:t xml:space="preserve">Todo lo anterior también supuso una violación del </w:t>
      </w:r>
      <w:r w:rsidR="007351F2" w:rsidRPr="007351F2">
        <w:rPr>
          <w:rFonts w:eastAsiaTheme="minorHAnsi" w:cs="Arial"/>
        </w:rPr>
        <w:t xml:space="preserve">derecho a la verdad de </w:t>
      </w:r>
      <w:r w:rsidR="007351F2" w:rsidRPr="007351F2">
        <w:rPr>
          <w:rFonts w:eastAsiaTheme="minorHAnsi" w:cs="Arial"/>
          <w:lang w:eastAsia="en-US"/>
        </w:rPr>
        <w:t xml:space="preserve">los familiares de la </w:t>
      </w:r>
      <w:r w:rsidR="001F344D">
        <w:rPr>
          <w:rFonts w:eastAsiaTheme="minorHAnsi" w:cs="Arial"/>
          <w:lang w:eastAsia="en-US"/>
        </w:rPr>
        <w:t>señora Digna Ochoa</w:t>
      </w:r>
      <w:r w:rsidR="007351F2" w:rsidRPr="007351F2">
        <w:rPr>
          <w:rFonts w:eastAsiaTheme="minorHAnsi" w:cs="Arial"/>
        </w:rPr>
        <w:t>.</w:t>
      </w:r>
      <w:r w:rsidR="007351F2">
        <w:rPr>
          <w:rFonts w:eastAsiaTheme="minorHAnsi" w:cs="Arial"/>
        </w:rPr>
        <w:t xml:space="preserve"> </w:t>
      </w:r>
      <w:r w:rsidR="00B36B88" w:rsidRPr="007351F2">
        <w:rPr>
          <w:rFonts w:eastAsiaTheme="minorHAnsi" w:cs="Arial"/>
          <w:lang w:eastAsia="en-US"/>
        </w:rPr>
        <w:t xml:space="preserve">Además, la muerte de la </w:t>
      </w:r>
      <w:r w:rsidR="001F344D">
        <w:rPr>
          <w:rFonts w:eastAsiaTheme="minorHAnsi" w:cs="Arial"/>
          <w:lang w:eastAsia="en-US"/>
        </w:rPr>
        <w:t>señora Digna Ochoa</w:t>
      </w:r>
      <w:r w:rsidR="00B36B88" w:rsidRPr="007351F2">
        <w:rPr>
          <w:rFonts w:eastAsiaTheme="minorHAnsi" w:cs="Arial"/>
          <w:lang w:eastAsia="en-US"/>
        </w:rPr>
        <w:t xml:space="preserve"> se enmarcó en un contexto de</w:t>
      </w:r>
      <w:r w:rsidR="00B36B88" w:rsidRPr="00C15A1C">
        <w:t xml:space="preserve"> un </w:t>
      </w:r>
      <w:r w:rsidR="002942EC" w:rsidRPr="00C15A1C">
        <w:t>exacerbado</w:t>
      </w:r>
      <w:r w:rsidR="00B36B88" w:rsidRPr="00C15A1C">
        <w:t xml:space="preserve"> nivel de homicidios contra </w:t>
      </w:r>
      <w:r w:rsidR="0079556F" w:rsidRPr="001879D7">
        <w:t xml:space="preserve">defensoras </w:t>
      </w:r>
      <w:r w:rsidR="0079556F">
        <w:t xml:space="preserve">y defensores </w:t>
      </w:r>
      <w:r w:rsidR="00B36B88" w:rsidRPr="00C15A1C">
        <w:t>de derechos humanos</w:t>
      </w:r>
      <w:r w:rsidR="00B36B88" w:rsidRPr="007351F2">
        <w:rPr>
          <w:rFonts w:eastAsiaTheme="minorHAnsi" w:cs="Arial"/>
          <w:lang w:eastAsia="en-US"/>
        </w:rPr>
        <w:t>, acompañado de una situación generalizada de impunidad respecto de este tipo de delitos</w:t>
      </w:r>
      <w:r w:rsidR="00C15A1C" w:rsidRPr="007351F2">
        <w:rPr>
          <w:rFonts w:eastAsiaTheme="minorHAnsi" w:cs="Arial"/>
          <w:lang w:eastAsia="en-US"/>
        </w:rPr>
        <w:t xml:space="preserve"> y precedido de numerosas amenazas dirigidas contra ella y otros de sus compañeros y compañeras</w:t>
      </w:r>
      <w:r w:rsidR="00B36B88" w:rsidRPr="007351F2">
        <w:rPr>
          <w:rFonts w:eastAsiaTheme="minorHAnsi" w:cs="Arial"/>
          <w:lang w:eastAsia="en-US"/>
        </w:rPr>
        <w:t xml:space="preserve">. </w:t>
      </w:r>
    </w:p>
    <w:p w14:paraId="342260D0" w14:textId="77777777" w:rsidR="007351F2" w:rsidRDefault="007351F2" w:rsidP="007351F2">
      <w:pPr>
        <w:widowControl/>
        <w:tabs>
          <w:tab w:val="left" w:pos="567"/>
        </w:tabs>
        <w:autoSpaceDE w:val="0"/>
        <w:autoSpaceDN w:val="0"/>
        <w:spacing w:before="60" w:after="60" w:line="240" w:lineRule="auto"/>
        <w:textAlignment w:val="auto"/>
        <w:rPr>
          <w:rFonts w:eastAsiaTheme="minorHAnsi" w:cs="Arial"/>
          <w:lang w:eastAsia="en-US"/>
        </w:rPr>
      </w:pPr>
    </w:p>
    <w:p w14:paraId="2155D1F3" w14:textId="0CF24787" w:rsidR="009D1D48" w:rsidRPr="007351F2" w:rsidRDefault="009D1D48" w:rsidP="00F559D9">
      <w:pPr>
        <w:widowControl/>
        <w:numPr>
          <w:ilvl w:val="0"/>
          <w:numId w:val="4"/>
        </w:numPr>
        <w:tabs>
          <w:tab w:val="left" w:pos="567"/>
          <w:tab w:val="num" w:pos="12305"/>
        </w:tabs>
        <w:autoSpaceDE w:val="0"/>
        <w:autoSpaceDN w:val="0"/>
        <w:spacing w:before="60" w:after="60" w:line="240" w:lineRule="auto"/>
        <w:ind w:left="0" w:firstLine="0"/>
        <w:textAlignment w:val="auto"/>
        <w:rPr>
          <w:rFonts w:eastAsiaTheme="minorHAnsi" w:cs="Arial"/>
          <w:lang w:eastAsia="en-US"/>
        </w:rPr>
      </w:pPr>
      <w:r w:rsidRPr="007351F2">
        <w:rPr>
          <w:rFonts w:eastAsiaTheme="minorHAnsi" w:cs="Arial"/>
          <w:lang w:eastAsia="en-US"/>
        </w:rPr>
        <w:t>Por ello, el Estado mexicano</w:t>
      </w:r>
      <w:r w:rsidR="001F1323" w:rsidRPr="007351F2">
        <w:rPr>
          <w:rFonts w:eastAsiaTheme="minorHAnsi" w:cs="Arial"/>
          <w:lang w:eastAsia="en-US"/>
        </w:rPr>
        <w:t xml:space="preserve"> es responsable por la violación de</w:t>
      </w:r>
      <w:r w:rsidRPr="007351F2">
        <w:rPr>
          <w:rFonts w:eastAsiaTheme="minorHAnsi" w:cs="Arial"/>
          <w:lang w:eastAsia="en-US"/>
        </w:rPr>
        <w:t xml:space="preserve"> </w:t>
      </w:r>
      <w:r w:rsidR="002D3B1C" w:rsidRPr="007351F2">
        <w:rPr>
          <w:rFonts w:eastAsiaTheme="minorHAnsi" w:cs="Arial"/>
          <w:lang w:eastAsia="en-US"/>
        </w:rPr>
        <w:t>los artículos 8, 11 y 25 de la Convención Americana</w:t>
      </w:r>
      <w:r w:rsidR="001F1323" w:rsidRPr="007351F2">
        <w:rPr>
          <w:rFonts w:eastAsiaTheme="minorHAnsi" w:cs="Arial"/>
          <w:lang w:eastAsia="en-US"/>
        </w:rPr>
        <w:t>,</w:t>
      </w:r>
      <w:r w:rsidR="002D3B1C" w:rsidRPr="007351F2">
        <w:rPr>
          <w:rFonts w:eastAsiaTheme="minorHAnsi" w:cs="Arial"/>
          <w:lang w:eastAsia="en-US"/>
        </w:rPr>
        <w:t xml:space="preserve"> en relación con el 1.1 del mismo instrumento y </w:t>
      </w:r>
      <w:r w:rsidRPr="007351F2">
        <w:rPr>
          <w:rFonts w:eastAsiaTheme="minorHAnsi" w:cs="Arial"/>
          <w:lang w:eastAsia="en-US"/>
        </w:rPr>
        <w:t>el artículo 7</w:t>
      </w:r>
      <w:r w:rsidR="002D3B1C" w:rsidRPr="007351F2">
        <w:rPr>
          <w:rFonts w:eastAsiaTheme="minorHAnsi" w:cs="Arial"/>
          <w:lang w:eastAsia="en-US"/>
        </w:rPr>
        <w:t>.b</w:t>
      </w:r>
      <w:r w:rsidRPr="007351F2">
        <w:rPr>
          <w:rFonts w:eastAsiaTheme="minorHAnsi" w:cs="Arial"/>
          <w:lang w:eastAsia="en-US"/>
        </w:rPr>
        <w:t xml:space="preserve"> de la Convención </w:t>
      </w:r>
      <w:r w:rsidR="003448AE">
        <w:rPr>
          <w:rFonts w:eastAsiaTheme="minorHAnsi" w:cs="Arial"/>
          <w:lang w:eastAsia="en-US"/>
        </w:rPr>
        <w:t xml:space="preserve">de </w:t>
      </w:r>
      <w:r w:rsidRPr="007351F2">
        <w:rPr>
          <w:rFonts w:eastAsiaTheme="minorHAnsi" w:cs="Arial"/>
          <w:lang w:eastAsia="en-US"/>
        </w:rPr>
        <w:t>Belém Do Pará</w:t>
      </w:r>
      <w:r w:rsidR="00013511" w:rsidRPr="007351F2">
        <w:rPr>
          <w:rFonts w:eastAsiaTheme="minorHAnsi" w:cs="Arial"/>
          <w:lang w:eastAsia="en-US"/>
        </w:rPr>
        <w:t xml:space="preserve">, en perjuicio de </w:t>
      </w:r>
      <w:r w:rsidR="00013511" w:rsidRPr="007351F2">
        <w:rPr>
          <w:lang w:val="es-ES" w:eastAsia="es-ES_tradnl"/>
        </w:rPr>
        <w:t>Irene Alicia Plácido Evangelista (madre), Eusebio Ochoa López (padre), así como los hermanos Agustín, Carmen, Elia, Estela, Eusebio, Guadalupe, Ignacio, Ismael, Jesús, Juan Carlos, Luz María y Roberto Ochoa y Plácido</w:t>
      </w:r>
      <w:r w:rsidR="002D3B1C" w:rsidRPr="007351F2">
        <w:rPr>
          <w:rFonts w:eastAsiaTheme="minorHAnsi" w:cs="Arial"/>
          <w:lang w:eastAsia="en-US"/>
        </w:rPr>
        <w:t>.</w:t>
      </w:r>
      <w:r w:rsidR="005B3A39" w:rsidRPr="007351F2">
        <w:rPr>
          <w:lang w:val="es-ES"/>
        </w:rPr>
        <w:t xml:space="preserve"> </w:t>
      </w:r>
      <w:r w:rsidR="005E7B6C" w:rsidRPr="00C15A1C">
        <w:t xml:space="preserve">Asimismo, el Estado mexicano es responsable por la </w:t>
      </w:r>
      <w:r w:rsidR="001F1323">
        <w:t>violación</w:t>
      </w:r>
      <w:r w:rsidR="001F1323" w:rsidRPr="00C15A1C">
        <w:t xml:space="preserve"> </w:t>
      </w:r>
      <w:r w:rsidR="005E7B6C" w:rsidRPr="00C15A1C">
        <w:t>al deber de garantía del derecho a la vida, contenido en el artículo 4.1 de la Convención Americana, en relación con los artículos 1.1, 8 y 25 del mismo instrumento, así como por la violación del artículo 11 de la Convención Americana en relación el artículo 1.1 del mismo instrumento</w:t>
      </w:r>
      <w:r w:rsidR="00B36B88" w:rsidRPr="00C15A1C">
        <w:t>,</w:t>
      </w:r>
      <w:r w:rsidR="005E7B6C" w:rsidRPr="00C15A1C">
        <w:t xml:space="preserve"> en perjuicio de la </w:t>
      </w:r>
      <w:r w:rsidR="001F344D">
        <w:t>señora Digna Ochoa</w:t>
      </w:r>
      <w:r w:rsidR="005E7B6C" w:rsidRPr="00C15A1C">
        <w:t>.</w:t>
      </w:r>
    </w:p>
    <w:p w14:paraId="1D214CB4" w14:textId="636DFC25" w:rsidR="00935AEC" w:rsidRDefault="00C64353" w:rsidP="00096AF5">
      <w:pPr>
        <w:pStyle w:val="Ttulo1"/>
        <w:rPr>
          <w:lang w:val="es-ES"/>
        </w:rPr>
      </w:pPr>
      <w:bookmarkStart w:id="75" w:name="_Toc514172661"/>
      <w:bookmarkStart w:id="76" w:name="_Toc375517149"/>
      <w:bookmarkStart w:id="77" w:name="_Toc449460763"/>
      <w:bookmarkStart w:id="78" w:name="_Toc459158147"/>
      <w:bookmarkStart w:id="79" w:name="_Toc495658693"/>
      <w:bookmarkStart w:id="80" w:name="_Toc15933770"/>
      <w:bookmarkStart w:id="81" w:name="_Toc16270609"/>
      <w:bookmarkStart w:id="82" w:name="_Toc24447103"/>
      <w:bookmarkStart w:id="83" w:name="_Toc93400263"/>
      <w:r>
        <w:rPr>
          <w:lang w:val="es-ES"/>
        </w:rPr>
        <w:t>I</w:t>
      </w:r>
      <w:r w:rsidR="00F877B7" w:rsidRPr="004F2666">
        <w:rPr>
          <w:lang w:val="es-ES"/>
        </w:rPr>
        <w:t>X</w:t>
      </w:r>
      <w:r w:rsidR="005B0504" w:rsidRPr="004F2666">
        <w:rPr>
          <w:lang w:val="es-ES"/>
        </w:rPr>
        <w:br/>
        <w:t>REPARACIONES</w:t>
      </w:r>
      <w:bookmarkStart w:id="84" w:name="_Toc495658707"/>
      <w:bookmarkStart w:id="85" w:name="_Toc470180115"/>
      <w:bookmarkStart w:id="86" w:name="_Toc459158160"/>
      <w:bookmarkStart w:id="87" w:name="_Toc375517156"/>
      <w:bookmarkStart w:id="88" w:name="_Toc514172675"/>
      <w:bookmarkStart w:id="89" w:name="_Toc15933784"/>
      <w:bookmarkStart w:id="90" w:name="_Toc16270623"/>
      <w:bookmarkEnd w:id="75"/>
      <w:bookmarkEnd w:id="76"/>
      <w:bookmarkEnd w:id="77"/>
      <w:bookmarkEnd w:id="78"/>
      <w:bookmarkEnd w:id="79"/>
      <w:bookmarkEnd w:id="80"/>
      <w:bookmarkEnd w:id="81"/>
      <w:bookmarkEnd w:id="82"/>
      <w:bookmarkEnd w:id="83"/>
    </w:p>
    <w:p w14:paraId="73D320BD" w14:textId="1434F1FF" w:rsidR="005B0504" w:rsidRPr="004F2666" w:rsidRDefault="005B0504" w:rsidP="00D60EB1">
      <w:pPr>
        <w:numPr>
          <w:ilvl w:val="0"/>
          <w:numId w:val="4"/>
        </w:numPr>
        <w:tabs>
          <w:tab w:val="left" w:pos="567"/>
          <w:tab w:val="num" w:pos="1569"/>
          <w:tab w:val="num" w:pos="12305"/>
        </w:tabs>
        <w:spacing w:line="240" w:lineRule="auto"/>
        <w:ind w:left="0" w:firstLine="0"/>
        <w:rPr>
          <w:lang w:val="es-ES" w:bidi="en-US"/>
        </w:rPr>
      </w:pPr>
      <w:r w:rsidRPr="004F2666">
        <w:rPr>
          <w:lang w:val="es-ES" w:eastAsia="es-ES" w:bidi="en-US"/>
        </w:rPr>
        <w:t>Sobre</w:t>
      </w:r>
      <w:r w:rsidRPr="004F2666">
        <w:rPr>
          <w:lang w:val="es-ES" w:bidi="en-US"/>
        </w:rPr>
        <w:t xml:space="preserve"> </w:t>
      </w:r>
      <w:r w:rsidRPr="004F2666">
        <w:rPr>
          <w:bCs/>
          <w:lang w:val="es-ES" w:bidi="en-US"/>
        </w:rPr>
        <w:t>la</w:t>
      </w:r>
      <w:r w:rsidRPr="004F2666">
        <w:rPr>
          <w:lang w:val="es-ES" w:bidi="en-US"/>
        </w:rPr>
        <w:t xml:space="preserve"> base de lo dispuesto en el artículo 63.1 de la Convención American</w:t>
      </w:r>
      <w:r w:rsidR="000B64C0" w:rsidRPr="004F2666">
        <w:rPr>
          <w:lang w:val="es-ES" w:bidi="en-US"/>
        </w:rPr>
        <w:t>a</w:t>
      </w:r>
      <w:r w:rsidRPr="004F2666">
        <w:rPr>
          <w:lang w:val="es-ES" w:bidi="en-US"/>
        </w:rPr>
        <w:t xml:space="preserve">, la Corte ha indicado que toda violación de una obligación internacional que haya producido daño comporta el deber de </w:t>
      </w:r>
      <w:r w:rsidRPr="004F2666">
        <w:rPr>
          <w:lang w:val="es-ES"/>
        </w:rPr>
        <w:t>repararlo</w:t>
      </w:r>
      <w:r w:rsidRPr="004F2666">
        <w:rPr>
          <w:lang w:val="es-ES" w:bidi="en-US"/>
        </w:rPr>
        <w:t xml:space="preserve"> </w:t>
      </w:r>
      <w:r w:rsidRPr="004F2666">
        <w:rPr>
          <w:lang w:val="es-ES"/>
        </w:rPr>
        <w:t>adecuadamente</w:t>
      </w:r>
      <w:r w:rsidRPr="004F2666">
        <w:rPr>
          <w:lang w:val="es-ES" w:bidi="en-US"/>
        </w:rPr>
        <w:t xml:space="preserve"> y que esa disposición recoge una norma consuetudinaria que constituye uno </w:t>
      </w:r>
      <w:r w:rsidRPr="004F2666">
        <w:rPr>
          <w:lang w:val="es-ES"/>
        </w:rPr>
        <w:t>de</w:t>
      </w:r>
      <w:r w:rsidRPr="004F2666">
        <w:rPr>
          <w:lang w:val="es-ES" w:bidi="en-US"/>
        </w:rPr>
        <w:t xml:space="preserve"> los principios fundamentales del Derecho Internacional contemporáneo sobre responsabilidad de un Estado</w:t>
      </w:r>
      <w:r w:rsidRPr="004F2666">
        <w:rPr>
          <w:vertAlign w:val="superscript"/>
          <w:lang w:val="es-ES" w:bidi="en-US"/>
        </w:rPr>
        <w:footnoteReference w:id="228"/>
      </w:r>
      <w:r w:rsidRPr="004F2666">
        <w:rPr>
          <w:lang w:val="es-ES" w:bidi="en-US"/>
        </w:rPr>
        <w:t>.</w:t>
      </w:r>
    </w:p>
    <w:p w14:paraId="059BDE09" w14:textId="77777777" w:rsidR="00B21AF4" w:rsidRPr="004F2666" w:rsidRDefault="00B21AF4" w:rsidP="00E06F63">
      <w:pPr>
        <w:pStyle w:val="Normal1"/>
        <w:widowControl/>
        <w:contextualSpacing/>
        <w:jc w:val="both"/>
        <w:rPr>
          <w:rFonts w:ascii="Verdana" w:hAnsi="Verdana"/>
          <w:sz w:val="20"/>
          <w:szCs w:val="20"/>
          <w:lang w:val="es-ES" w:bidi="en-US"/>
        </w:rPr>
      </w:pPr>
    </w:p>
    <w:p w14:paraId="47A1BDFC" w14:textId="25B18C12" w:rsidR="005B0504" w:rsidRPr="004F2666" w:rsidRDefault="005B0504" w:rsidP="00B479A1">
      <w:pPr>
        <w:numPr>
          <w:ilvl w:val="0"/>
          <w:numId w:val="4"/>
        </w:numPr>
        <w:tabs>
          <w:tab w:val="left" w:pos="567"/>
          <w:tab w:val="num" w:pos="1569"/>
          <w:tab w:val="num" w:pos="12305"/>
        </w:tabs>
        <w:spacing w:line="240" w:lineRule="auto"/>
        <w:ind w:left="0" w:firstLine="0"/>
        <w:rPr>
          <w:lang w:val="es-ES" w:bidi="en-US"/>
        </w:rPr>
      </w:pPr>
      <w:r w:rsidRPr="004F2666">
        <w:rPr>
          <w:lang w:val="es-ES" w:bidi="en-US"/>
        </w:rPr>
        <w:t xml:space="preserve">La </w:t>
      </w:r>
      <w:r w:rsidRPr="004F2666">
        <w:rPr>
          <w:lang w:val="es-ES" w:eastAsia="es-ES" w:bidi="en-US"/>
        </w:rPr>
        <w:t>reparación</w:t>
      </w:r>
      <w:r w:rsidRPr="004F2666">
        <w:rPr>
          <w:lang w:val="es-ES" w:bidi="en-US"/>
        </w:rPr>
        <w:t xml:space="preserve"> del daño </w:t>
      </w:r>
      <w:r w:rsidRPr="004F2666">
        <w:rPr>
          <w:lang w:val="es-ES" w:eastAsia="es-ES" w:bidi="en-US"/>
        </w:rPr>
        <w:t>ocasionado</w:t>
      </w:r>
      <w:r w:rsidRPr="004F2666">
        <w:rPr>
          <w:lang w:val="es-ES" w:bidi="en-US"/>
        </w:rPr>
        <w:t xml:space="preserve"> por la infracción de una obligación internacional requiere, </w:t>
      </w:r>
      <w:r w:rsidRPr="004F2666">
        <w:rPr>
          <w:lang w:val="es-ES" w:eastAsia="es-ES_tradnl"/>
        </w:rPr>
        <w:t>siempre</w:t>
      </w:r>
      <w:r w:rsidRPr="004F2666">
        <w:rPr>
          <w:lang w:val="es-ES" w:bidi="en-US"/>
        </w:rPr>
        <w:t xml:space="preserve"> que sea posible, la plena restitución (</w:t>
      </w:r>
      <w:proofErr w:type="spellStart"/>
      <w:r w:rsidRPr="004F2666">
        <w:rPr>
          <w:i/>
          <w:lang w:val="es-ES" w:bidi="en-US"/>
        </w:rPr>
        <w:t>restitutio</w:t>
      </w:r>
      <w:proofErr w:type="spellEnd"/>
      <w:r w:rsidRPr="004F2666">
        <w:rPr>
          <w:i/>
          <w:lang w:val="es-ES" w:bidi="en-US"/>
        </w:rPr>
        <w:t xml:space="preserve"> in </w:t>
      </w:r>
      <w:proofErr w:type="spellStart"/>
      <w:r w:rsidRPr="004F2666">
        <w:rPr>
          <w:i/>
          <w:lang w:val="es-ES" w:bidi="en-US"/>
        </w:rPr>
        <w:t>integrum</w:t>
      </w:r>
      <w:proofErr w:type="spellEnd"/>
      <w:r w:rsidRPr="004F2666">
        <w:rPr>
          <w:lang w:val="es-ES" w:bidi="en-US"/>
        </w:rPr>
        <w:t xml:space="preserve">), que consiste en el restablecimiento de la </w:t>
      </w:r>
      <w:r w:rsidRPr="004F2666">
        <w:rPr>
          <w:lang w:val="es-ES"/>
        </w:rPr>
        <w:t>situación</w:t>
      </w:r>
      <w:r w:rsidRPr="004F2666">
        <w:rPr>
          <w:lang w:val="es-ES" w:bidi="en-US"/>
        </w:rPr>
        <w:t xml:space="preserve"> anterior. De no ser esto factible, como ocurre en la mayoría de los casos de </w:t>
      </w:r>
      <w:r w:rsidRPr="00D60EB1">
        <w:rPr>
          <w:lang w:val="es-ES"/>
        </w:rPr>
        <w:t>violaciones</w:t>
      </w:r>
      <w:r w:rsidRPr="004F2666">
        <w:rPr>
          <w:lang w:val="es-ES" w:bidi="en-US"/>
        </w:rPr>
        <w:t xml:space="preserve"> a derechos humanos, el Tribunal determinará medidas para garantizar los </w:t>
      </w:r>
      <w:r w:rsidRPr="004F2666">
        <w:rPr>
          <w:lang w:val="es-ES" w:bidi="en-US"/>
        </w:rPr>
        <w:lastRenderedPageBreak/>
        <w:t xml:space="preserve">derechos </w:t>
      </w:r>
      <w:r w:rsidRPr="004F2666">
        <w:rPr>
          <w:rFonts w:eastAsia="MS Mincho" w:cs="Verdana"/>
          <w:snapToGrid w:val="0"/>
          <w:lang w:val="es-ES" w:eastAsia="es-ES" w:bidi="en-US"/>
        </w:rPr>
        <w:t>conculcados</w:t>
      </w:r>
      <w:r w:rsidRPr="004F2666">
        <w:rPr>
          <w:lang w:val="es-ES" w:bidi="en-US"/>
        </w:rPr>
        <w:t xml:space="preserve"> y reparar las consecuencias que las infracciones produjeron</w:t>
      </w:r>
      <w:r w:rsidRPr="004F2666">
        <w:rPr>
          <w:vertAlign w:val="superscript"/>
          <w:lang w:val="es-ES" w:bidi="en-US"/>
        </w:rPr>
        <w:footnoteReference w:id="229"/>
      </w:r>
      <w:r w:rsidRPr="004F2666">
        <w:rPr>
          <w:lang w:val="es-ES" w:bidi="en-US"/>
        </w:rPr>
        <w:t xml:space="preserve">. Por tanto, la Corte ha </w:t>
      </w:r>
      <w:r w:rsidRPr="004F2666">
        <w:rPr>
          <w:lang w:val="es-ES"/>
        </w:rPr>
        <w:t>considerado</w:t>
      </w:r>
      <w:r w:rsidRPr="004F2666">
        <w:rPr>
          <w:lang w:val="es-ES" w:bidi="en-US"/>
        </w:rPr>
        <w:t xml:space="preserve">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4F2666">
        <w:rPr>
          <w:vertAlign w:val="superscript"/>
          <w:lang w:val="es-ES" w:bidi="en-US"/>
        </w:rPr>
        <w:footnoteReference w:id="230"/>
      </w:r>
      <w:r w:rsidRPr="004F2666">
        <w:rPr>
          <w:lang w:val="es-ES" w:bidi="en-US"/>
        </w:rPr>
        <w:t>.</w:t>
      </w:r>
      <w:r w:rsidR="00B479A1">
        <w:rPr>
          <w:lang w:val="es-ES" w:bidi="en-US"/>
        </w:rPr>
        <w:t xml:space="preserve"> </w:t>
      </w:r>
      <w:r w:rsidR="00B479A1" w:rsidRPr="00B479A1">
        <w:rPr>
          <w:lang w:val="es-ES" w:bidi="en-US"/>
        </w:rPr>
        <w:t>Asimismo, la Corte estima que las reparaciones deberán incluir un análisis que contemple no sólo el derecho de las víctimas a obtener una reparación, sino que, además, incorpore una perspectiva de género, tanto en su formulación como en su implementación</w:t>
      </w:r>
      <w:r w:rsidR="00B479A1">
        <w:rPr>
          <w:rStyle w:val="Refdenotaalpie"/>
          <w:lang w:val="es-ES" w:bidi="en-US"/>
        </w:rPr>
        <w:footnoteReference w:id="231"/>
      </w:r>
      <w:r w:rsidR="00B479A1" w:rsidRPr="00B479A1">
        <w:rPr>
          <w:lang w:val="es-ES" w:bidi="en-US"/>
        </w:rPr>
        <w:t>.</w:t>
      </w:r>
    </w:p>
    <w:p w14:paraId="230247A9" w14:textId="77777777" w:rsidR="00C12182" w:rsidRPr="004F2666" w:rsidRDefault="00C12182" w:rsidP="00E06F63">
      <w:pPr>
        <w:pStyle w:val="Normal1"/>
        <w:widowControl/>
        <w:contextualSpacing/>
        <w:jc w:val="both"/>
        <w:rPr>
          <w:rFonts w:ascii="Verdana" w:hAnsi="Verdana"/>
          <w:sz w:val="20"/>
          <w:szCs w:val="20"/>
          <w:lang w:val="es-ES" w:bidi="en-US"/>
        </w:rPr>
      </w:pPr>
    </w:p>
    <w:p w14:paraId="2983F371" w14:textId="77777777" w:rsidR="005B0504" w:rsidRPr="004F2666" w:rsidRDefault="005B0504" w:rsidP="00D60EB1">
      <w:pPr>
        <w:numPr>
          <w:ilvl w:val="0"/>
          <w:numId w:val="4"/>
        </w:numPr>
        <w:tabs>
          <w:tab w:val="left" w:pos="567"/>
          <w:tab w:val="num" w:pos="1569"/>
          <w:tab w:val="num" w:pos="12305"/>
        </w:tabs>
        <w:spacing w:line="240" w:lineRule="auto"/>
        <w:ind w:left="0" w:firstLine="0"/>
        <w:rPr>
          <w:lang w:val="es-ES" w:bidi="en-US"/>
        </w:rPr>
      </w:pPr>
      <w:r w:rsidRPr="004F2666">
        <w:rPr>
          <w:lang w:val="es-ES" w:bidi="en-US"/>
        </w:rPr>
        <w:t xml:space="preserve">La </w:t>
      </w:r>
      <w:r w:rsidRPr="004F2666">
        <w:rPr>
          <w:bCs/>
          <w:lang w:val="es-ES" w:bidi="en-US"/>
        </w:rPr>
        <w:t>Corte</w:t>
      </w:r>
      <w:r w:rsidRPr="004F2666">
        <w:rPr>
          <w:lang w:val="es-ES" w:bidi="en-US"/>
        </w:rPr>
        <w:t xml:space="preserve"> ha establecido que las reparaciones deben tener un nexo causal con los hechos del caso, las violaciones declaradas, los daños acreditados, así como las medidas solicitadas para reparar los daños </w:t>
      </w:r>
      <w:r w:rsidRPr="00D60EB1">
        <w:rPr>
          <w:lang w:val="es-ES"/>
        </w:rPr>
        <w:t>respectivos</w:t>
      </w:r>
      <w:r w:rsidRPr="004F2666">
        <w:rPr>
          <w:lang w:val="es-ES" w:bidi="en-US"/>
        </w:rPr>
        <w:t xml:space="preserve">. </w:t>
      </w:r>
      <w:r w:rsidRPr="004F2666">
        <w:rPr>
          <w:lang w:val="es-ES"/>
        </w:rPr>
        <w:t>Por</w:t>
      </w:r>
      <w:r w:rsidRPr="004F2666">
        <w:rPr>
          <w:lang w:val="es-ES" w:bidi="en-US"/>
        </w:rPr>
        <w:t xml:space="preserve"> lo tanto, la Corte deberá observar dicha concurrencia para pronunciarse debidamente y conforme a derecho</w:t>
      </w:r>
      <w:r w:rsidRPr="004F2666">
        <w:rPr>
          <w:vertAlign w:val="superscript"/>
          <w:lang w:val="es-ES" w:bidi="en-US"/>
        </w:rPr>
        <w:footnoteReference w:id="232"/>
      </w:r>
      <w:r w:rsidRPr="004F2666">
        <w:rPr>
          <w:lang w:val="es-ES" w:bidi="en-US"/>
        </w:rPr>
        <w:t>.</w:t>
      </w:r>
    </w:p>
    <w:p w14:paraId="7FD542BA" w14:textId="77777777" w:rsidR="00B50BC2" w:rsidRPr="004F2666" w:rsidRDefault="00B50BC2" w:rsidP="00E06F63">
      <w:pPr>
        <w:pStyle w:val="Normal1"/>
        <w:widowControl/>
        <w:contextualSpacing/>
        <w:jc w:val="both"/>
        <w:rPr>
          <w:rFonts w:ascii="Verdana" w:hAnsi="Verdana"/>
          <w:sz w:val="20"/>
          <w:szCs w:val="20"/>
          <w:lang w:val="es-ES" w:bidi="en-US"/>
        </w:rPr>
      </w:pPr>
    </w:p>
    <w:p w14:paraId="07442040" w14:textId="74FD7D2B" w:rsidR="002D77E4" w:rsidRPr="004F2666" w:rsidRDefault="005B0504" w:rsidP="00D60EB1">
      <w:pPr>
        <w:numPr>
          <w:ilvl w:val="0"/>
          <w:numId w:val="4"/>
        </w:numPr>
        <w:tabs>
          <w:tab w:val="left" w:pos="567"/>
          <w:tab w:val="num" w:pos="1569"/>
          <w:tab w:val="num" w:pos="12305"/>
        </w:tabs>
        <w:spacing w:line="240" w:lineRule="auto"/>
        <w:ind w:left="0" w:firstLine="0"/>
        <w:rPr>
          <w:lang w:val="es-ES" w:bidi="en-US"/>
        </w:rPr>
      </w:pPr>
      <w:r w:rsidRPr="004F2666">
        <w:rPr>
          <w:lang w:val="es-ES"/>
        </w:rPr>
        <w:t xml:space="preserve">Tomando en cuenta las violaciones a la Convención Americana declaradas en los capítulos </w:t>
      </w:r>
      <w:r w:rsidRPr="004F2666">
        <w:rPr>
          <w:lang w:val="es-ES" w:eastAsia="es-ES_tradnl"/>
        </w:rPr>
        <w:t>anteriores</w:t>
      </w:r>
      <w:r w:rsidRPr="004F2666">
        <w:rPr>
          <w:lang w:val="es-ES"/>
        </w:rPr>
        <w:t xml:space="preserve">, a la luz de los criterios fijados en la jurisprudencia del Tribunal en relación con la naturaleza y </w:t>
      </w:r>
      <w:r w:rsidRPr="004F2666">
        <w:rPr>
          <w:rFonts w:eastAsia="MS Mincho" w:cs="Verdana"/>
          <w:snapToGrid w:val="0"/>
          <w:lang w:val="es-ES" w:eastAsia="es-ES" w:bidi="en-US"/>
        </w:rPr>
        <w:t>alcances</w:t>
      </w:r>
      <w:r w:rsidRPr="004F2666">
        <w:rPr>
          <w:lang w:val="es-ES"/>
        </w:rPr>
        <w:t xml:space="preserve"> de la obligación de reparar</w:t>
      </w:r>
      <w:r w:rsidRPr="004F2666">
        <w:rPr>
          <w:rFonts w:eastAsia="Calibri"/>
          <w:vertAlign w:val="superscript"/>
          <w:lang w:val="es-ES"/>
        </w:rPr>
        <w:footnoteReference w:id="233"/>
      </w:r>
      <w:r w:rsidRPr="004F2666">
        <w:rPr>
          <w:lang w:val="es-ES"/>
        </w:rPr>
        <w:t xml:space="preserve">, la Corte analizará las pretensiones presentadas por la Comisión y </w:t>
      </w:r>
      <w:r w:rsidR="00D96F43" w:rsidRPr="004F2666">
        <w:rPr>
          <w:lang w:val="es-ES"/>
        </w:rPr>
        <w:t>l</w:t>
      </w:r>
      <w:r w:rsidR="00ED1C6D">
        <w:rPr>
          <w:lang w:val="es-ES"/>
        </w:rPr>
        <w:t>as</w:t>
      </w:r>
      <w:r w:rsidR="00D96F43" w:rsidRPr="004F2666">
        <w:rPr>
          <w:lang w:val="es-ES"/>
        </w:rPr>
        <w:t xml:space="preserve"> representante</w:t>
      </w:r>
      <w:r w:rsidR="00ED1C6D">
        <w:rPr>
          <w:lang w:val="es-ES"/>
        </w:rPr>
        <w:t>s</w:t>
      </w:r>
      <w:r w:rsidRPr="004F2666">
        <w:rPr>
          <w:lang w:val="es-ES"/>
        </w:rPr>
        <w:t>, así como los argumentos del Estado al respecto, con el objeto de disponer a continuación las medidas tendientes a reparar dichas violaciones.</w:t>
      </w:r>
    </w:p>
    <w:p w14:paraId="71C212FD" w14:textId="77777777" w:rsidR="002D77E4" w:rsidRPr="004F2666" w:rsidRDefault="002D77E4" w:rsidP="002D77E4">
      <w:pPr>
        <w:pStyle w:val="Ttulo2"/>
        <w:rPr>
          <w:lang w:val="es-ES"/>
        </w:rPr>
      </w:pPr>
      <w:bookmarkStart w:id="91" w:name="_Toc33017896"/>
      <w:bookmarkStart w:id="92" w:name="_Toc93400264"/>
      <w:r w:rsidRPr="004F2666">
        <w:rPr>
          <w:lang w:val="es-ES"/>
        </w:rPr>
        <w:t>A. Parte lesionada</w:t>
      </w:r>
      <w:bookmarkEnd w:id="91"/>
      <w:bookmarkEnd w:id="92"/>
    </w:p>
    <w:p w14:paraId="3D5F5DEF" w14:textId="7AB24321" w:rsidR="002D77E4" w:rsidRDefault="002D77E4" w:rsidP="00D60EB1">
      <w:pPr>
        <w:numPr>
          <w:ilvl w:val="0"/>
          <w:numId w:val="4"/>
        </w:numPr>
        <w:tabs>
          <w:tab w:val="left" w:pos="567"/>
          <w:tab w:val="num" w:pos="1569"/>
          <w:tab w:val="num" w:pos="12305"/>
        </w:tabs>
        <w:spacing w:line="240" w:lineRule="auto"/>
        <w:ind w:left="0" w:firstLine="0"/>
        <w:rPr>
          <w:lang w:val="es-ES" w:eastAsia="es-ES_tradnl"/>
        </w:rPr>
      </w:pPr>
      <w:r w:rsidRPr="004F2666">
        <w:rPr>
          <w:lang w:val="es-ES" w:eastAsia="es-ES_tradnl"/>
        </w:rPr>
        <w:t xml:space="preserve">Este Tribunal considera parte lesionada, en los términos del artículo 63.1 de la </w:t>
      </w:r>
      <w:r w:rsidRPr="004F2666">
        <w:rPr>
          <w:lang w:val="es-ES"/>
        </w:rPr>
        <w:t>Convención</w:t>
      </w:r>
      <w:r w:rsidRPr="004F2666">
        <w:rPr>
          <w:lang w:val="es-ES" w:eastAsia="es-ES_tradnl"/>
        </w:rPr>
        <w:t xml:space="preserve">, a </w:t>
      </w:r>
      <w:r w:rsidRPr="004F2666">
        <w:rPr>
          <w:lang w:val="es-ES" w:eastAsia="es-ES" w:bidi="en-US"/>
        </w:rPr>
        <w:t>quienes</w:t>
      </w:r>
      <w:r w:rsidRPr="004F2666">
        <w:rPr>
          <w:lang w:val="es-ES" w:eastAsia="es-ES_tradnl"/>
        </w:rPr>
        <w:t xml:space="preserve"> han sido </w:t>
      </w:r>
      <w:r w:rsidRPr="004F2666">
        <w:rPr>
          <w:lang w:val="es-ES" w:eastAsia="es-ES" w:bidi="en-US"/>
        </w:rPr>
        <w:t>declaradas</w:t>
      </w:r>
      <w:r w:rsidRPr="004F2666">
        <w:rPr>
          <w:lang w:val="es-ES" w:eastAsia="es-ES_tradnl"/>
        </w:rPr>
        <w:t xml:space="preserve"> víctimas de la violación de algún derecho reconocido en la misma. Por lo tanto, esta Corte </w:t>
      </w:r>
      <w:r w:rsidRPr="006525FC">
        <w:rPr>
          <w:rFonts w:cs="Arial"/>
        </w:rPr>
        <w:t>considera</w:t>
      </w:r>
      <w:r w:rsidRPr="004F2666">
        <w:rPr>
          <w:lang w:val="es-ES" w:eastAsia="es-ES_tradnl"/>
        </w:rPr>
        <w:t xml:space="preserve"> como “parte lesionada” a </w:t>
      </w:r>
      <w:r w:rsidR="00B479A1">
        <w:rPr>
          <w:lang w:val="es-ES" w:eastAsia="es-ES_tradnl"/>
        </w:rPr>
        <w:t>Digna Ochoa y Plácido</w:t>
      </w:r>
      <w:r w:rsidR="001A4A5C">
        <w:rPr>
          <w:lang w:val="es-ES" w:eastAsia="es-ES_tradnl"/>
        </w:rPr>
        <w:t xml:space="preserve">, </w:t>
      </w:r>
      <w:r w:rsidR="006525FC" w:rsidRPr="006525FC">
        <w:rPr>
          <w:lang w:val="es-ES" w:eastAsia="es-ES_tradnl"/>
        </w:rPr>
        <w:t xml:space="preserve">Irene Alicia Plácido Evangelista (madre), Eusebio Ochoa </w:t>
      </w:r>
      <w:r w:rsidR="006525FC" w:rsidRPr="006525FC">
        <w:rPr>
          <w:lang w:val="es-ES"/>
        </w:rPr>
        <w:t>López</w:t>
      </w:r>
      <w:r w:rsidR="006525FC" w:rsidRPr="006525FC">
        <w:rPr>
          <w:lang w:val="es-ES" w:eastAsia="es-ES_tradnl"/>
        </w:rPr>
        <w:t xml:space="preserve"> (padre), así como los hermanos Agustín, Carmen, Elia, Estela, Eusebio, Guadalupe, Ignacio, Ismael, Jesús, Juan Carlos, Luz María y Roberto </w:t>
      </w:r>
      <w:r w:rsidR="00990B94">
        <w:rPr>
          <w:lang w:val="es-ES" w:eastAsia="es-ES_tradnl"/>
        </w:rPr>
        <w:t xml:space="preserve">todos de apellido </w:t>
      </w:r>
      <w:r w:rsidR="006525FC" w:rsidRPr="006525FC">
        <w:rPr>
          <w:lang w:val="es-ES" w:eastAsia="es-ES_tradnl"/>
        </w:rPr>
        <w:t>Ochoa y Plácido</w:t>
      </w:r>
      <w:r w:rsidRPr="004F2666">
        <w:rPr>
          <w:lang w:val="es-ES" w:eastAsia="es-ES_tradnl"/>
        </w:rPr>
        <w:t>,</w:t>
      </w:r>
      <w:r w:rsidRPr="004F2666">
        <w:rPr>
          <w:lang w:val="es-ES"/>
        </w:rPr>
        <w:t xml:space="preserve"> </w:t>
      </w:r>
      <w:r w:rsidRPr="004F2666">
        <w:rPr>
          <w:lang w:val="es-ES" w:eastAsia="es-ES_tradnl"/>
        </w:rPr>
        <w:t>quienes</w:t>
      </w:r>
      <w:r w:rsidR="006525FC">
        <w:rPr>
          <w:lang w:val="es-ES" w:eastAsia="es-ES_tradnl"/>
        </w:rPr>
        <w:t>,</w:t>
      </w:r>
      <w:r w:rsidRPr="004F2666">
        <w:rPr>
          <w:lang w:val="es-ES" w:eastAsia="es-ES_tradnl"/>
        </w:rPr>
        <w:t xml:space="preserve"> en su carácter de víctimas de las violaciones declaradas en </w:t>
      </w:r>
      <w:r w:rsidR="007537A3" w:rsidRPr="004F2666">
        <w:rPr>
          <w:lang w:val="es-ES" w:eastAsia="es-ES_tradnl"/>
        </w:rPr>
        <w:t>el</w:t>
      </w:r>
      <w:r w:rsidRPr="004F2666">
        <w:rPr>
          <w:lang w:val="es-ES" w:eastAsia="es-ES_tradnl"/>
        </w:rPr>
        <w:t xml:space="preserve"> </w:t>
      </w:r>
      <w:r w:rsidR="00ED1C6D">
        <w:rPr>
          <w:lang w:val="es-ES" w:eastAsia="es-ES_tradnl"/>
        </w:rPr>
        <w:t>C</w:t>
      </w:r>
      <w:r w:rsidR="00286D43">
        <w:rPr>
          <w:lang w:val="es-ES" w:eastAsia="es-ES_tradnl"/>
        </w:rPr>
        <w:t>apítulo</w:t>
      </w:r>
      <w:r w:rsidR="00ED1C6D">
        <w:rPr>
          <w:lang w:val="es-ES" w:eastAsia="es-ES_tradnl"/>
        </w:rPr>
        <w:t xml:space="preserve"> VIII</w:t>
      </w:r>
      <w:r w:rsidR="006525FC">
        <w:rPr>
          <w:lang w:val="es-ES" w:eastAsia="es-ES_tradnl"/>
        </w:rPr>
        <w:t>,</w:t>
      </w:r>
      <w:r w:rsidR="007537A3" w:rsidRPr="004F2666">
        <w:rPr>
          <w:lang w:val="es-ES" w:eastAsia="es-ES_tradnl"/>
        </w:rPr>
        <w:t xml:space="preserve"> </w:t>
      </w:r>
      <w:r w:rsidRPr="004F2666">
        <w:rPr>
          <w:lang w:val="es-ES" w:eastAsia="es-ES_tradnl"/>
        </w:rPr>
        <w:t xml:space="preserve">serán beneficiarios de las reparaciones que la Corte ordene. </w:t>
      </w:r>
    </w:p>
    <w:p w14:paraId="47AC5FFE" w14:textId="3DE5C1C8" w:rsidR="002D77E4" w:rsidRPr="004F2666" w:rsidRDefault="002D77E4" w:rsidP="00B52909">
      <w:pPr>
        <w:pStyle w:val="Ttulo2"/>
        <w:rPr>
          <w:lang w:val="es-ES"/>
        </w:rPr>
      </w:pPr>
      <w:bookmarkStart w:id="93" w:name="_Toc15064196"/>
      <w:bookmarkStart w:id="94" w:name="_Toc15933772"/>
      <w:bookmarkStart w:id="95" w:name="_Toc33017897"/>
      <w:bookmarkStart w:id="96" w:name="_Toc93400265"/>
      <w:r w:rsidRPr="004F2666">
        <w:rPr>
          <w:lang w:val="es-ES"/>
        </w:rPr>
        <w:t>B. Investigación, determinación, enjuiciamiento y, en su caso, sanción de todos los responsables</w:t>
      </w:r>
      <w:bookmarkEnd w:id="93"/>
      <w:bookmarkEnd w:id="94"/>
      <w:bookmarkEnd w:id="95"/>
      <w:bookmarkEnd w:id="96"/>
    </w:p>
    <w:p w14:paraId="1B5A6580" w14:textId="50AD7BBA" w:rsidR="00F061A9" w:rsidRPr="004F2666" w:rsidRDefault="00F061A9" w:rsidP="00D60EB1">
      <w:pPr>
        <w:numPr>
          <w:ilvl w:val="0"/>
          <w:numId w:val="4"/>
        </w:numPr>
        <w:tabs>
          <w:tab w:val="left" w:pos="567"/>
          <w:tab w:val="num" w:pos="1569"/>
          <w:tab w:val="num" w:pos="12305"/>
        </w:tabs>
        <w:spacing w:line="240" w:lineRule="auto"/>
        <w:ind w:left="0" w:firstLine="0"/>
        <w:rPr>
          <w:rFonts w:cs="Arial"/>
          <w:b/>
        </w:rPr>
      </w:pPr>
      <w:r w:rsidRPr="004F2666">
        <w:rPr>
          <w:rFonts w:cs="Arial"/>
        </w:rPr>
        <w:t xml:space="preserve">La </w:t>
      </w:r>
      <w:r w:rsidRPr="004F2666">
        <w:rPr>
          <w:rFonts w:cs="Arial"/>
          <w:b/>
          <w:i/>
        </w:rPr>
        <w:t>Comisión</w:t>
      </w:r>
      <w:r w:rsidRPr="004F2666">
        <w:rPr>
          <w:rFonts w:cs="Arial"/>
        </w:rPr>
        <w:t xml:space="preserve"> solicitó reabrir la investigación penal de manera diligente, efectiva y dentro de un plazo razonable con el </w:t>
      </w:r>
      <w:r w:rsidRPr="00D60EB1">
        <w:rPr>
          <w:lang w:val="es-ES"/>
        </w:rPr>
        <w:t>objeto</w:t>
      </w:r>
      <w:r w:rsidRPr="004F2666">
        <w:rPr>
          <w:rFonts w:cs="Arial"/>
        </w:rPr>
        <w:t xml:space="preserve"> de </w:t>
      </w:r>
      <w:r w:rsidRPr="004F2666">
        <w:rPr>
          <w:rFonts w:eastAsia="MS Mincho" w:cs="Verdana"/>
          <w:snapToGrid w:val="0"/>
          <w:lang w:val="es-ES" w:eastAsia="es-ES" w:bidi="en-US"/>
        </w:rPr>
        <w:t>esclarecer</w:t>
      </w:r>
      <w:r w:rsidRPr="004F2666">
        <w:rPr>
          <w:rFonts w:cs="Arial"/>
        </w:rPr>
        <w:t xml:space="preserve"> los hechos en forma completa. </w:t>
      </w:r>
    </w:p>
    <w:p w14:paraId="75F4A182" w14:textId="77777777" w:rsidR="00F061A9" w:rsidRPr="004F2666" w:rsidRDefault="00F061A9" w:rsidP="00F061A9">
      <w:pPr>
        <w:spacing w:line="240" w:lineRule="auto"/>
        <w:rPr>
          <w:rFonts w:cs="Arial"/>
          <w:b/>
        </w:rPr>
      </w:pPr>
    </w:p>
    <w:p w14:paraId="44E4F967" w14:textId="5B5A6581" w:rsidR="00F061A9" w:rsidRPr="004F2666" w:rsidRDefault="00183EC9" w:rsidP="00D60EB1">
      <w:pPr>
        <w:numPr>
          <w:ilvl w:val="0"/>
          <w:numId w:val="4"/>
        </w:numPr>
        <w:tabs>
          <w:tab w:val="left" w:pos="567"/>
          <w:tab w:val="num" w:pos="1569"/>
          <w:tab w:val="num" w:pos="12305"/>
        </w:tabs>
        <w:spacing w:line="240" w:lineRule="auto"/>
        <w:ind w:left="0" w:firstLine="0"/>
        <w:rPr>
          <w:rFonts w:cs="Arial"/>
        </w:rPr>
      </w:pPr>
      <w:r>
        <w:rPr>
          <w:rFonts w:cs="Arial"/>
        </w:rPr>
        <w:t xml:space="preserve">Las </w:t>
      </w:r>
      <w:r w:rsidRPr="00286D43">
        <w:rPr>
          <w:rFonts w:cs="Arial"/>
          <w:b/>
          <w:i/>
        </w:rPr>
        <w:t>representantes</w:t>
      </w:r>
      <w:r w:rsidR="00F061A9" w:rsidRPr="004F2666">
        <w:rPr>
          <w:rFonts w:cs="Arial"/>
        </w:rPr>
        <w:t xml:space="preserve"> solicitaron que la Corte ordene al Estado que investigue con la debida diligencia, con perspectiva de género y en un plazo razonable, los hechos a los que se refiere este caso, “a fin buscar la verdad, esclarecer los hechos, e identificar y en su caso, sancionar a los responsables materiales e </w:t>
      </w:r>
      <w:r w:rsidR="00F061A9" w:rsidRPr="00D60EB1">
        <w:rPr>
          <w:lang w:val="es-ES"/>
        </w:rPr>
        <w:t>intelectuales</w:t>
      </w:r>
      <w:r w:rsidR="00F061A9" w:rsidRPr="004F2666">
        <w:rPr>
          <w:rFonts w:cs="Arial"/>
        </w:rPr>
        <w:t xml:space="preserve"> del homicidio de Digna Ochoa y Plácido tomando en cuenta el contexto de violaciones a derechos </w:t>
      </w:r>
      <w:r w:rsidR="00F061A9" w:rsidRPr="004F2666">
        <w:rPr>
          <w:rFonts w:eastAsia="MS Mincho" w:cs="Verdana"/>
          <w:snapToGrid w:val="0"/>
          <w:lang w:val="es-ES" w:eastAsia="es-ES" w:bidi="en-US"/>
        </w:rPr>
        <w:t>humanos</w:t>
      </w:r>
      <w:r w:rsidR="00F061A9" w:rsidRPr="004F2666">
        <w:rPr>
          <w:rFonts w:cs="Arial"/>
        </w:rPr>
        <w:t xml:space="preserve"> existente en la época en que ocurrieron los hechos y la actualidad de la violencia contra personas defensoras de derechos humanos”. </w:t>
      </w:r>
    </w:p>
    <w:p w14:paraId="1F40C3F4" w14:textId="77777777" w:rsidR="00F061A9" w:rsidRPr="004F2666" w:rsidRDefault="00F061A9" w:rsidP="00F061A9">
      <w:pPr>
        <w:spacing w:line="240" w:lineRule="auto"/>
        <w:rPr>
          <w:rFonts w:cs="Arial"/>
        </w:rPr>
      </w:pPr>
    </w:p>
    <w:p w14:paraId="12AA31D3" w14:textId="5A8B2A71" w:rsidR="00F061A9" w:rsidRPr="004F2666" w:rsidRDefault="00F061A9" w:rsidP="00D60EB1">
      <w:pPr>
        <w:numPr>
          <w:ilvl w:val="0"/>
          <w:numId w:val="4"/>
        </w:numPr>
        <w:tabs>
          <w:tab w:val="left" w:pos="567"/>
          <w:tab w:val="num" w:pos="1569"/>
          <w:tab w:val="num" w:pos="12305"/>
        </w:tabs>
        <w:spacing w:line="240" w:lineRule="auto"/>
        <w:ind w:left="0" w:firstLine="0"/>
        <w:rPr>
          <w:rFonts w:cs="Arial"/>
          <w:b/>
        </w:rPr>
      </w:pPr>
      <w:r w:rsidRPr="004F2666">
        <w:rPr>
          <w:rFonts w:cs="Arial"/>
        </w:rPr>
        <w:t xml:space="preserve">En esta línea, también consideraron “fundamental” que se investigue de manera seria, exhaustiva e imparcial a las y los funcionarios estatales cuyas acciones y omisiones han obstaculizado las investigaciones de los hechos de este caso. </w:t>
      </w:r>
    </w:p>
    <w:p w14:paraId="26461863" w14:textId="77777777" w:rsidR="00F061A9" w:rsidRPr="004F2666" w:rsidRDefault="00F061A9" w:rsidP="00F061A9">
      <w:pPr>
        <w:spacing w:line="240" w:lineRule="auto"/>
        <w:rPr>
          <w:rFonts w:eastAsia="Arial" w:cs="Arial"/>
          <w:b/>
          <w:lang w:val="es-ES"/>
        </w:rPr>
      </w:pPr>
    </w:p>
    <w:p w14:paraId="39F8F01A" w14:textId="79BFA41C" w:rsidR="00C50D84" w:rsidRPr="00A527D6" w:rsidRDefault="00525863" w:rsidP="00D60EB1">
      <w:pPr>
        <w:numPr>
          <w:ilvl w:val="0"/>
          <w:numId w:val="4"/>
        </w:numPr>
        <w:tabs>
          <w:tab w:val="left" w:pos="567"/>
          <w:tab w:val="num" w:pos="1569"/>
          <w:tab w:val="num" w:pos="12305"/>
        </w:tabs>
        <w:spacing w:line="240" w:lineRule="auto"/>
        <w:ind w:left="0" w:firstLine="0"/>
        <w:rPr>
          <w:rFonts w:cs="Arial"/>
        </w:rPr>
      </w:pPr>
      <w:r w:rsidRPr="00FC69B4">
        <w:rPr>
          <w:lang w:val="es-ES"/>
        </w:rPr>
        <w:t xml:space="preserve">En su escrito de alegatos finales, y derivado del reconocimiento parcial de responsabilidad realizado por el </w:t>
      </w:r>
      <w:r w:rsidRPr="00FC69B4">
        <w:rPr>
          <w:b/>
          <w:i/>
          <w:lang w:val="es-ES"/>
        </w:rPr>
        <w:t>Estado</w:t>
      </w:r>
      <w:r w:rsidRPr="00FC69B4">
        <w:rPr>
          <w:lang w:val="es-ES"/>
        </w:rPr>
        <w:t xml:space="preserve">, este </w:t>
      </w:r>
      <w:r w:rsidR="00247C91" w:rsidRPr="00FC69B4">
        <w:rPr>
          <w:rFonts w:cs="Arial"/>
        </w:rPr>
        <w:t xml:space="preserve">informó a la Corte que había llegado a un acuerdo con los </w:t>
      </w:r>
      <w:r w:rsidR="00312DD4" w:rsidRPr="00FC69B4">
        <w:rPr>
          <w:rFonts w:cs="Arial"/>
        </w:rPr>
        <w:t>familiares</w:t>
      </w:r>
      <w:r w:rsidR="00247C91" w:rsidRPr="00FC69B4">
        <w:rPr>
          <w:rFonts w:cs="Arial"/>
        </w:rPr>
        <w:t xml:space="preserve"> de la </w:t>
      </w:r>
      <w:r w:rsidR="001F344D">
        <w:rPr>
          <w:rFonts w:cs="Arial"/>
        </w:rPr>
        <w:t>señora Digna Ochoa</w:t>
      </w:r>
      <w:r w:rsidR="00247C91" w:rsidRPr="00FC69B4">
        <w:rPr>
          <w:rFonts w:cs="Arial"/>
        </w:rPr>
        <w:t xml:space="preserve"> </w:t>
      </w:r>
      <w:r w:rsidR="00247C91" w:rsidRPr="00FC69B4">
        <w:rPr>
          <w:rFonts w:eastAsiaTheme="minorHAnsi"/>
          <w:lang w:eastAsia="en-US"/>
        </w:rPr>
        <w:t xml:space="preserve">que comprende “la aceptación y disposición de reabrir la </w:t>
      </w:r>
      <w:r w:rsidR="00247C91" w:rsidRPr="00FC69B4">
        <w:rPr>
          <w:rFonts w:cs="Arial"/>
        </w:rPr>
        <w:t>investigación</w:t>
      </w:r>
      <w:r w:rsidR="00247C91" w:rsidRPr="00FC69B4">
        <w:rPr>
          <w:rFonts w:eastAsiaTheme="minorHAnsi"/>
          <w:lang w:eastAsia="en-US"/>
        </w:rPr>
        <w:t xml:space="preserve">, en términos de lo señalado en la recomendación tercera del Informe de Fondo emitido por la </w:t>
      </w:r>
      <w:r w:rsidR="00247C91" w:rsidRPr="00D60EB1">
        <w:rPr>
          <w:lang w:val="es-ES"/>
        </w:rPr>
        <w:t>Comisión</w:t>
      </w:r>
      <w:r w:rsidR="00247C91" w:rsidRPr="00FC69B4">
        <w:rPr>
          <w:rFonts w:eastAsiaTheme="minorHAnsi"/>
          <w:lang w:eastAsia="en-US"/>
        </w:rPr>
        <w:t xml:space="preserve"> Interamericana de Derechos Humanos”. Añadió que</w:t>
      </w:r>
      <w:r w:rsidR="00013511">
        <w:rPr>
          <w:rFonts w:eastAsiaTheme="minorHAnsi"/>
          <w:lang w:eastAsia="en-US"/>
        </w:rPr>
        <w:t>,</w:t>
      </w:r>
      <w:r w:rsidR="00247C91" w:rsidRPr="00FC69B4">
        <w:rPr>
          <w:rFonts w:eastAsiaTheme="minorHAnsi"/>
          <w:lang w:eastAsia="en-US"/>
        </w:rPr>
        <w:t xml:space="preserve"> del análisis de la normatividad de la Fiscalía General de Justicia de la Ciudad de México, </w:t>
      </w:r>
      <w:r w:rsidR="00013511">
        <w:rPr>
          <w:rFonts w:eastAsiaTheme="minorHAnsi"/>
          <w:lang w:eastAsia="en-US"/>
        </w:rPr>
        <w:t>“</w:t>
      </w:r>
      <w:r w:rsidR="00247C91" w:rsidRPr="00FC69B4">
        <w:rPr>
          <w:rFonts w:eastAsiaTheme="minorHAnsi"/>
          <w:lang w:eastAsia="en-US"/>
        </w:rPr>
        <w:t xml:space="preserve">se encuentra viable la de reapertura de la unidad de investigación especial bajo el encuadre de </w:t>
      </w:r>
      <w:r w:rsidR="002942EC" w:rsidRPr="00FC69B4">
        <w:rPr>
          <w:rFonts w:eastAsiaTheme="minorHAnsi"/>
          <w:lang w:eastAsia="en-US"/>
        </w:rPr>
        <w:t>garantizo</w:t>
      </w:r>
      <w:r w:rsidR="00247C91" w:rsidRPr="00FC69B4">
        <w:rPr>
          <w:rFonts w:eastAsiaTheme="minorHAnsi"/>
          <w:lang w:eastAsia="en-US"/>
        </w:rPr>
        <w:t xml:space="preserve"> </w:t>
      </w:r>
      <w:r w:rsidR="00247C91" w:rsidRPr="00FC69B4">
        <w:rPr>
          <w:rFonts w:cs="Arial"/>
        </w:rPr>
        <w:t>penal</w:t>
      </w:r>
      <w:r w:rsidR="00247C91" w:rsidRPr="00FC69B4">
        <w:rPr>
          <w:rFonts w:eastAsiaTheme="minorHAnsi"/>
          <w:lang w:eastAsia="en-US"/>
        </w:rPr>
        <w:t>, enfoque diferencial y perspectiva de género de la indagatoria FDCUAUHT/03/USD04/2576/01-10, relativa al caso de la abogada y defensora de derechos humanos Digna Ochoa y Plácido</w:t>
      </w:r>
      <w:r w:rsidR="00013511">
        <w:rPr>
          <w:rFonts w:eastAsiaTheme="minorHAnsi"/>
          <w:lang w:eastAsia="en-US"/>
        </w:rPr>
        <w:t>”</w:t>
      </w:r>
      <w:r w:rsidR="00247C91" w:rsidRPr="00FC69B4">
        <w:rPr>
          <w:rFonts w:eastAsiaTheme="minorHAnsi"/>
          <w:lang w:eastAsia="en-US"/>
        </w:rPr>
        <w:t xml:space="preserve">. </w:t>
      </w:r>
      <w:r w:rsidR="00312DD4" w:rsidRPr="00312DD4">
        <w:rPr>
          <w:rFonts w:eastAsiaTheme="minorHAnsi"/>
          <w:lang w:eastAsia="en-US"/>
        </w:rPr>
        <w:t>Adjuntó</w:t>
      </w:r>
      <w:r w:rsidRPr="00FC69B4">
        <w:rPr>
          <w:rFonts w:eastAsiaTheme="minorHAnsi"/>
          <w:lang w:eastAsia="en-US"/>
        </w:rPr>
        <w:t xml:space="preserve"> como anexo un documento con una “ruta crítica” de reapertura de la referida indagatoria.</w:t>
      </w:r>
      <w:r w:rsidR="00C50D84" w:rsidRPr="00FC69B4">
        <w:rPr>
          <w:rFonts w:eastAsiaTheme="minorHAnsi"/>
          <w:lang w:eastAsia="en-US"/>
        </w:rPr>
        <w:t xml:space="preserve"> </w:t>
      </w:r>
      <w:r w:rsidR="00F0234C" w:rsidRPr="00FC69B4">
        <w:rPr>
          <w:rFonts w:eastAsia="MS Mincho"/>
          <w:lang w:val="es-ES" w:bidi="en-US"/>
        </w:rPr>
        <w:t xml:space="preserve">El 11 de junio de 2021 </w:t>
      </w:r>
      <w:r w:rsidR="00183EC9">
        <w:rPr>
          <w:rFonts w:eastAsia="MS Mincho"/>
          <w:lang w:val="es-ES" w:bidi="en-US"/>
        </w:rPr>
        <w:t>las representantes</w:t>
      </w:r>
      <w:r w:rsidR="00F0234C" w:rsidRPr="00FC69B4">
        <w:rPr>
          <w:rFonts w:eastAsia="MS Mincho"/>
          <w:lang w:val="es-ES" w:bidi="en-US"/>
        </w:rPr>
        <w:t xml:space="preserve"> remitieron sus observaciones al respecto y </w:t>
      </w:r>
      <w:r w:rsidR="00C50D84" w:rsidRPr="00FC69B4">
        <w:rPr>
          <w:rFonts w:cs="Arial"/>
        </w:rPr>
        <w:t>confirmaron que dicho documento correspondía con el</w:t>
      </w:r>
      <w:r w:rsidR="00E87467">
        <w:rPr>
          <w:rFonts w:cs="Arial"/>
        </w:rPr>
        <w:t xml:space="preserve"> </w:t>
      </w:r>
      <w:r w:rsidR="00C50D84" w:rsidRPr="00FC69B4">
        <w:rPr>
          <w:rFonts w:cs="Arial"/>
        </w:rPr>
        <w:t xml:space="preserve">acuerdo alcanzado entre las partes sobre los parámetros generales que han de observarse para llevar a cabo la reapertura de la investigación </w:t>
      </w:r>
      <w:r w:rsidR="00013511">
        <w:rPr>
          <w:rFonts w:cs="Arial"/>
        </w:rPr>
        <w:t>de la muerte</w:t>
      </w:r>
      <w:r w:rsidR="00C50D84" w:rsidRPr="00FC69B4">
        <w:rPr>
          <w:rFonts w:cs="Arial"/>
        </w:rPr>
        <w:t xml:space="preserve"> de la </w:t>
      </w:r>
      <w:r w:rsidR="001F344D">
        <w:rPr>
          <w:rFonts w:cs="Arial"/>
        </w:rPr>
        <w:t>señora Digna Ochoa</w:t>
      </w:r>
      <w:r w:rsidR="00F0234C" w:rsidRPr="00FC69B4">
        <w:rPr>
          <w:rFonts w:cs="Arial"/>
        </w:rPr>
        <w:t>.</w:t>
      </w:r>
      <w:r w:rsidR="00C50D84" w:rsidRPr="00FC69B4">
        <w:rPr>
          <w:rFonts w:cs="Arial"/>
        </w:rPr>
        <w:t xml:space="preserve"> </w:t>
      </w:r>
      <w:r w:rsidR="00FC69B4" w:rsidRPr="00FC69B4">
        <w:rPr>
          <w:rFonts w:cs="Arial"/>
        </w:rPr>
        <w:t xml:space="preserve">Asimismo, sin perjuicio </w:t>
      </w:r>
      <w:r w:rsidR="00013511">
        <w:rPr>
          <w:rFonts w:cs="Arial"/>
        </w:rPr>
        <w:t>de este acuerdo</w:t>
      </w:r>
      <w:r w:rsidR="00FC69B4" w:rsidRPr="00FC69B4">
        <w:rPr>
          <w:rFonts w:cs="Arial"/>
        </w:rPr>
        <w:t>, solicita</w:t>
      </w:r>
      <w:r w:rsidR="00013511">
        <w:rPr>
          <w:rFonts w:cs="Arial"/>
        </w:rPr>
        <w:t>ron a la</w:t>
      </w:r>
      <w:r w:rsidR="00FC69B4" w:rsidRPr="00FC69B4">
        <w:rPr>
          <w:rFonts w:cs="Arial"/>
        </w:rPr>
        <w:t xml:space="preserve"> Corte </w:t>
      </w:r>
      <w:r w:rsidR="00013511">
        <w:rPr>
          <w:rFonts w:cs="Arial"/>
        </w:rPr>
        <w:t xml:space="preserve">que </w:t>
      </w:r>
      <w:r w:rsidR="00FC69B4" w:rsidRPr="00FC69B4">
        <w:rPr>
          <w:rFonts w:cs="Arial"/>
        </w:rPr>
        <w:t>ordenara “la investigación de los funcionarios públicos que obstaculizaron las investigaciones y que son los responsables, no solo de que los hechos permanezcan en la impunidad, sino de que la imagen de Digna haya sido seriamente afectada con posterioridad a su muerte, como lo reconoció el propio Estado</w:t>
      </w:r>
      <w:r w:rsidR="00FC69B4" w:rsidRPr="008440D0">
        <w:rPr>
          <w:rFonts w:cs="Arial"/>
        </w:rPr>
        <w:t>”</w:t>
      </w:r>
      <w:r w:rsidR="006B7041">
        <w:rPr>
          <w:rFonts w:cs="Arial"/>
        </w:rPr>
        <w:t>.</w:t>
      </w:r>
      <w:r w:rsidR="00FC69B4" w:rsidRPr="008440D0">
        <w:rPr>
          <w:rFonts w:cs="Arial"/>
        </w:rPr>
        <w:t xml:space="preserve"> </w:t>
      </w:r>
    </w:p>
    <w:p w14:paraId="13AB62C6" w14:textId="7F81B435" w:rsidR="00A527D6" w:rsidRDefault="00A527D6" w:rsidP="00A527D6">
      <w:pPr>
        <w:tabs>
          <w:tab w:val="left" w:pos="567"/>
        </w:tabs>
        <w:spacing w:line="240" w:lineRule="auto"/>
        <w:rPr>
          <w:rFonts w:cs="Arial"/>
          <w:b/>
        </w:rPr>
      </w:pPr>
    </w:p>
    <w:p w14:paraId="36770ED3" w14:textId="7A70F707" w:rsidR="00D51095" w:rsidRPr="00286D43" w:rsidRDefault="000017DB" w:rsidP="00D51095">
      <w:pPr>
        <w:numPr>
          <w:ilvl w:val="0"/>
          <w:numId w:val="4"/>
        </w:numPr>
        <w:tabs>
          <w:tab w:val="left" w:pos="567"/>
          <w:tab w:val="num" w:pos="1569"/>
          <w:tab w:val="num" w:pos="12305"/>
        </w:tabs>
        <w:spacing w:line="240" w:lineRule="auto"/>
        <w:ind w:left="0" w:firstLine="0"/>
        <w:rPr>
          <w:rFonts w:cs="Arial"/>
        </w:rPr>
      </w:pPr>
      <w:r w:rsidRPr="00286D43">
        <w:t>La</w:t>
      </w:r>
      <w:r w:rsidR="00E87467" w:rsidRPr="00286D43">
        <w:t xml:space="preserve"> </w:t>
      </w:r>
      <w:r w:rsidRPr="00286D43">
        <w:rPr>
          <w:b/>
          <w:i/>
        </w:rPr>
        <w:t>Corte</w:t>
      </w:r>
      <w:r w:rsidR="00E87467" w:rsidRPr="00286D43">
        <w:t xml:space="preserve"> </w:t>
      </w:r>
      <w:r w:rsidRPr="00286D43">
        <w:t xml:space="preserve">valora positivamente la voluntad del Estado de reabrir la investigación penal de manera diligente, efectiva y dentro de un plazo razonable con el </w:t>
      </w:r>
      <w:r w:rsidRPr="00286D43">
        <w:rPr>
          <w:lang w:val="es-ES"/>
        </w:rPr>
        <w:t>objeto</w:t>
      </w:r>
      <w:r w:rsidRPr="00286D43">
        <w:t xml:space="preserve"> de </w:t>
      </w:r>
      <w:r w:rsidRPr="00286D43">
        <w:rPr>
          <w:rFonts w:eastAsia="MS Mincho" w:cs="Verdana"/>
          <w:snapToGrid w:val="0"/>
          <w:lang w:val="es-ES" w:eastAsia="es-ES" w:bidi="en-US"/>
        </w:rPr>
        <w:t>esclarecer</w:t>
      </w:r>
      <w:r w:rsidRPr="00286D43">
        <w:t xml:space="preserve"> los hechos en forma completa.</w:t>
      </w:r>
      <w:r w:rsidR="00C51769" w:rsidRPr="00286D43">
        <w:t xml:space="preserve"> </w:t>
      </w:r>
      <w:r w:rsidR="00B479A1" w:rsidRPr="00286D43">
        <w:rPr>
          <w:rFonts w:cs="Arial"/>
        </w:rPr>
        <w:t>A la vista de lo anterior, la Corte dispone que el Estado deberá, en un plazo razonable, promover y continuar las investigaciones que sean necesarias para determinar las circunstancias de la muert</w:t>
      </w:r>
      <w:r w:rsidR="00887241" w:rsidRPr="00286D43">
        <w:rPr>
          <w:rFonts w:cs="Arial"/>
        </w:rPr>
        <w:t>e</w:t>
      </w:r>
      <w:r w:rsidR="00B479A1" w:rsidRPr="00286D43">
        <w:rPr>
          <w:rFonts w:cs="Arial"/>
        </w:rPr>
        <w:t xml:space="preserve"> de la </w:t>
      </w:r>
      <w:r w:rsidR="001F344D" w:rsidRPr="00286D43">
        <w:rPr>
          <w:rFonts w:cs="Arial"/>
        </w:rPr>
        <w:t>señora Digna Ochoa</w:t>
      </w:r>
      <w:r w:rsidR="00B479A1" w:rsidRPr="00286D43">
        <w:rPr>
          <w:rFonts w:cs="Arial"/>
        </w:rPr>
        <w:t xml:space="preserve"> y, en su caso</w:t>
      </w:r>
      <w:r w:rsidR="006B7041">
        <w:rPr>
          <w:rFonts w:cs="Arial"/>
        </w:rPr>
        <w:t>,</w:t>
      </w:r>
      <w:r w:rsidR="00B479A1" w:rsidRPr="00286D43">
        <w:rPr>
          <w:rFonts w:cs="Arial"/>
        </w:rPr>
        <w:t xml:space="preserve"> juzgar y eventualmente sancionar a la persona o personas responsables de su muerte, </w:t>
      </w:r>
      <w:r w:rsidR="00F37DBC" w:rsidRPr="00286D43">
        <w:rPr>
          <w:rFonts w:cs="Arial"/>
        </w:rPr>
        <w:t>todo ello realizado con la debida perspectiva de género</w:t>
      </w:r>
      <w:r w:rsidR="00C36D2B" w:rsidRPr="00286D43">
        <w:rPr>
          <w:rFonts w:cs="Arial"/>
        </w:rPr>
        <w:t xml:space="preserve"> y sin </w:t>
      </w:r>
      <w:r w:rsidR="00F37DBC" w:rsidRPr="00286D43">
        <w:rPr>
          <w:rFonts w:cs="Arial"/>
        </w:rPr>
        <w:t>la aplicación</w:t>
      </w:r>
      <w:r w:rsidR="00C36D2B" w:rsidRPr="00286D43">
        <w:rPr>
          <w:rFonts w:cs="Arial"/>
        </w:rPr>
        <w:t xml:space="preserve"> </w:t>
      </w:r>
      <w:r w:rsidR="00B479A1" w:rsidRPr="00286D43">
        <w:rPr>
          <w:rFonts w:cs="Arial"/>
        </w:rPr>
        <w:t>de estereotipos perjudiciales</w:t>
      </w:r>
      <w:r w:rsidR="00B479A1" w:rsidRPr="00286D43">
        <w:rPr>
          <w:rStyle w:val="Refdenotaalpie"/>
          <w:rFonts w:cs="Arial"/>
        </w:rPr>
        <w:footnoteReference w:id="234"/>
      </w:r>
      <w:r w:rsidR="00B479A1" w:rsidRPr="00286D43">
        <w:rPr>
          <w:rFonts w:cs="Arial"/>
        </w:rPr>
        <w:t xml:space="preserve">. </w:t>
      </w:r>
    </w:p>
    <w:p w14:paraId="2147A99E" w14:textId="0E6EB18A" w:rsidR="00B52909" w:rsidRPr="004F2666" w:rsidRDefault="002D77E4" w:rsidP="00B52909">
      <w:pPr>
        <w:pStyle w:val="Ttulo2"/>
        <w:rPr>
          <w:lang w:val="es-ES"/>
        </w:rPr>
      </w:pPr>
      <w:bookmarkStart w:id="97" w:name="_Toc93400266"/>
      <w:r w:rsidRPr="004F2666">
        <w:rPr>
          <w:lang w:val="es-ES"/>
        </w:rPr>
        <w:t>C. Rehabilitación</w:t>
      </w:r>
      <w:bookmarkEnd w:id="97"/>
      <w:r w:rsidRPr="004F2666">
        <w:rPr>
          <w:lang w:val="es-ES"/>
        </w:rPr>
        <w:t xml:space="preserve"> </w:t>
      </w:r>
    </w:p>
    <w:p w14:paraId="4FAFDDB4" w14:textId="71F99FE2" w:rsidR="00F0234C" w:rsidRPr="00B5011F" w:rsidRDefault="00F0234C" w:rsidP="00D60EB1">
      <w:pPr>
        <w:numPr>
          <w:ilvl w:val="0"/>
          <w:numId w:val="4"/>
        </w:numPr>
        <w:tabs>
          <w:tab w:val="left" w:pos="567"/>
          <w:tab w:val="num" w:pos="1569"/>
          <w:tab w:val="num" w:pos="12305"/>
        </w:tabs>
        <w:spacing w:line="240" w:lineRule="auto"/>
        <w:ind w:left="0" w:firstLine="0"/>
        <w:rPr>
          <w:rFonts w:cs="Arial"/>
          <w:b/>
        </w:rPr>
      </w:pPr>
      <w:r w:rsidRPr="00B5011F">
        <w:rPr>
          <w:rFonts w:cs="Arial"/>
        </w:rPr>
        <w:t xml:space="preserve">La </w:t>
      </w:r>
      <w:r w:rsidRPr="00412F06">
        <w:rPr>
          <w:b/>
          <w:i/>
          <w:lang w:val="es-ES"/>
        </w:rPr>
        <w:t>Comisión</w:t>
      </w:r>
      <w:r w:rsidRPr="00B5011F">
        <w:rPr>
          <w:rFonts w:cs="Arial"/>
        </w:rPr>
        <w:t xml:space="preserve"> </w:t>
      </w:r>
      <w:r w:rsidRPr="00F0234C">
        <w:rPr>
          <w:lang w:val="es-ES"/>
        </w:rPr>
        <w:t>recomendó</w:t>
      </w:r>
      <w:r w:rsidRPr="00B5011F">
        <w:rPr>
          <w:rFonts w:cs="Arial"/>
        </w:rPr>
        <w:t xml:space="preserve"> disponer las medidas de atención en salud física y mental necesarias para la rehabilitación de </w:t>
      </w:r>
      <w:r w:rsidR="00412F06">
        <w:rPr>
          <w:rFonts w:cs="Arial"/>
        </w:rPr>
        <w:t>los familiares</w:t>
      </w:r>
      <w:r w:rsidRPr="00B5011F">
        <w:rPr>
          <w:rFonts w:cs="Arial"/>
        </w:rPr>
        <w:t xml:space="preserve"> de Digna Ochoa y Plácido, “de ser su voluntad y de manera concertada”. </w:t>
      </w:r>
    </w:p>
    <w:p w14:paraId="28D92320" w14:textId="77777777" w:rsidR="00F0234C" w:rsidRPr="00B5011F" w:rsidRDefault="00F0234C" w:rsidP="00F0234C">
      <w:pPr>
        <w:spacing w:line="240" w:lineRule="auto"/>
        <w:rPr>
          <w:rFonts w:cs="Arial"/>
          <w:b/>
        </w:rPr>
      </w:pPr>
    </w:p>
    <w:p w14:paraId="77DD5788" w14:textId="492D95B6" w:rsidR="00DD76C4" w:rsidRPr="00DD76C4" w:rsidRDefault="00183EC9" w:rsidP="00D60EB1">
      <w:pPr>
        <w:numPr>
          <w:ilvl w:val="0"/>
          <w:numId w:val="4"/>
        </w:numPr>
        <w:tabs>
          <w:tab w:val="left" w:pos="567"/>
          <w:tab w:val="num" w:pos="1569"/>
          <w:tab w:val="num" w:pos="12305"/>
        </w:tabs>
        <w:spacing w:line="240" w:lineRule="auto"/>
        <w:ind w:left="0" w:firstLine="0"/>
        <w:rPr>
          <w:rFonts w:cs="Arial"/>
          <w:b/>
        </w:rPr>
      </w:pPr>
      <w:r>
        <w:rPr>
          <w:rFonts w:cs="Arial"/>
        </w:rPr>
        <w:t xml:space="preserve">Las </w:t>
      </w:r>
      <w:r w:rsidRPr="00412F06">
        <w:rPr>
          <w:rFonts w:cs="Arial"/>
          <w:b/>
          <w:i/>
        </w:rPr>
        <w:t>representantes</w:t>
      </w:r>
      <w:r w:rsidR="00F0234C" w:rsidRPr="00B5011F">
        <w:rPr>
          <w:rFonts w:cs="Arial"/>
        </w:rPr>
        <w:t xml:space="preserve"> se adhirieron a lo solicitado por la Comisión</w:t>
      </w:r>
      <w:r w:rsidR="00DD76C4">
        <w:rPr>
          <w:rFonts w:cs="Arial"/>
        </w:rPr>
        <w:t xml:space="preserve"> y precisaron que la Corte debía ordenar al Estado </w:t>
      </w:r>
      <w:r w:rsidR="00DD76C4" w:rsidRPr="00D60EB1">
        <w:rPr>
          <w:lang w:val="es-ES"/>
        </w:rPr>
        <w:t>proveer</w:t>
      </w:r>
      <w:r w:rsidR="00DD76C4">
        <w:rPr>
          <w:rFonts w:cs="Arial"/>
        </w:rPr>
        <w:t xml:space="preserve"> gratuitamente el tratamiento médico y/o psicológico requerido por las víctimas, el cual deberá ser brindado: </w:t>
      </w:r>
    </w:p>
    <w:p w14:paraId="195A815D" w14:textId="77777777" w:rsidR="00DD76C4" w:rsidRDefault="00DD76C4" w:rsidP="00DD76C4">
      <w:pPr>
        <w:widowControl/>
        <w:autoSpaceDE w:val="0"/>
        <w:autoSpaceDN w:val="0"/>
        <w:spacing w:line="240" w:lineRule="auto"/>
        <w:ind w:left="709" w:right="724"/>
        <w:textAlignment w:val="auto"/>
        <w:rPr>
          <w:rFonts w:eastAsiaTheme="minorHAnsi" w:cs="Arial"/>
          <w:sz w:val="18"/>
          <w:szCs w:val="18"/>
          <w:lang w:eastAsia="en-US"/>
        </w:rPr>
      </w:pPr>
    </w:p>
    <w:p w14:paraId="2D254935" w14:textId="3DDBD282" w:rsidR="00F0234C" w:rsidRPr="00DD76C4" w:rsidRDefault="00DD76C4" w:rsidP="00DD76C4">
      <w:pPr>
        <w:widowControl/>
        <w:autoSpaceDE w:val="0"/>
        <w:autoSpaceDN w:val="0"/>
        <w:spacing w:line="240" w:lineRule="auto"/>
        <w:ind w:left="709" w:right="724"/>
        <w:textAlignment w:val="auto"/>
        <w:rPr>
          <w:rFonts w:cs="Arial"/>
          <w:b/>
          <w:sz w:val="18"/>
          <w:szCs w:val="18"/>
        </w:rPr>
      </w:pPr>
      <w:r w:rsidRPr="00DD76C4">
        <w:rPr>
          <w:rFonts w:eastAsiaTheme="minorHAnsi" w:cs="Arial"/>
          <w:sz w:val="18"/>
          <w:szCs w:val="18"/>
          <w:lang w:eastAsia="en-US"/>
        </w:rPr>
        <w:t xml:space="preserve">gratuitamente, a través de sus servicios de salud especializados, y de forma inmediata, adecuada y efectiva, […] previo consentimiento informado, incluida la provisión gratuita de los medicamentos que eventualmente se requieran, tomando en consideración los padecimientos de cada uno de ellos. En el caso de que el Estado careciera de ellas deberá recurrir a instituciones privadas o de la sociedad civil especializadas. Asimismo, los tratamientos respectivos deberán prestarse, en la medida de lo posible, en los centros más cercanos a sus lugares de residencia </w:t>
      </w:r>
      <w:r w:rsidRPr="00DD76C4">
        <w:rPr>
          <w:rFonts w:eastAsiaTheme="minorHAnsi" w:cs="Arial"/>
          <w:sz w:val="18"/>
          <w:szCs w:val="18"/>
          <w:lang w:eastAsia="en-US"/>
        </w:rPr>
        <w:lastRenderedPageBreak/>
        <w:t>y por el tiempo que sea necesario. Al proveer el tratamiento psicológico o psiquiátrico se debe considerar, además, las circunstancias y necesidades particulares de cada víctima, de manera que se les brinden tratamientos familiares e individuales, según lo que se acuerde con cada una de ellas y despu</w:t>
      </w:r>
      <w:r w:rsidR="00286D43">
        <w:rPr>
          <w:rFonts w:eastAsiaTheme="minorHAnsi" w:cs="Arial"/>
          <w:sz w:val="18"/>
          <w:szCs w:val="18"/>
          <w:lang w:eastAsia="en-US"/>
        </w:rPr>
        <w:t>és de una evaluación individual.</w:t>
      </w:r>
    </w:p>
    <w:p w14:paraId="5A4A1A3D" w14:textId="77777777" w:rsidR="00F061A9" w:rsidRPr="004F2666" w:rsidRDefault="00F061A9" w:rsidP="00F0234C">
      <w:pPr>
        <w:tabs>
          <w:tab w:val="left" w:pos="567"/>
        </w:tabs>
        <w:spacing w:line="240" w:lineRule="auto"/>
        <w:rPr>
          <w:b/>
          <w:lang w:val="es-ES"/>
        </w:rPr>
      </w:pPr>
    </w:p>
    <w:p w14:paraId="1E120580" w14:textId="1879BDD7" w:rsidR="00FC69B4" w:rsidRPr="00723E0F" w:rsidRDefault="00525863" w:rsidP="00D60EB1">
      <w:pPr>
        <w:numPr>
          <w:ilvl w:val="0"/>
          <w:numId w:val="4"/>
        </w:numPr>
        <w:tabs>
          <w:tab w:val="left" w:pos="567"/>
          <w:tab w:val="num" w:pos="1569"/>
          <w:tab w:val="num" w:pos="12305"/>
        </w:tabs>
        <w:spacing w:line="240" w:lineRule="auto"/>
        <w:ind w:left="0" w:firstLine="0"/>
        <w:rPr>
          <w:rFonts w:eastAsia="MS Mincho"/>
          <w:lang w:val="es-ES" w:bidi="en-US"/>
        </w:rPr>
      </w:pPr>
      <w:r w:rsidRPr="00723E0F">
        <w:rPr>
          <w:lang w:val="es-ES"/>
        </w:rPr>
        <w:t xml:space="preserve">En su escrito de alegatos finales, y derivado del reconocimiento parcial de responsabilidad realizado por el </w:t>
      </w:r>
      <w:r w:rsidRPr="00723E0F">
        <w:rPr>
          <w:b/>
          <w:i/>
          <w:lang w:val="es-ES"/>
        </w:rPr>
        <w:t>Estado</w:t>
      </w:r>
      <w:r w:rsidRPr="00723E0F">
        <w:rPr>
          <w:lang w:val="es-ES"/>
        </w:rPr>
        <w:t>, este se comprometió a elaborar “una ruta de salud para las</w:t>
      </w:r>
      <w:r w:rsidR="00723E0F">
        <w:rPr>
          <w:lang w:val="es-ES"/>
        </w:rPr>
        <w:t xml:space="preserve"> </w:t>
      </w:r>
      <w:r w:rsidRPr="00723E0F">
        <w:rPr>
          <w:lang w:val="es-ES"/>
        </w:rPr>
        <w:t xml:space="preserve">víctimas a fin de brindar atención médica y psicosocial que requieran y deseen, de forma prioritaria, mediante instituciones de salud públicas especializadas”. </w:t>
      </w:r>
      <w:r w:rsidR="00CE14F0" w:rsidRPr="00723E0F">
        <w:rPr>
          <w:rFonts w:eastAsia="MS Mincho"/>
          <w:lang w:val="es-ES" w:bidi="en-US"/>
        </w:rPr>
        <w:t xml:space="preserve">Posteriormente, en un escrito de 7 de junio de 2021, el Estado precisó el alcance de </w:t>
      </w:r>
      <w:r w:rsidR="005B186F">
        <w:rPr>
          <w:rFonts w:eastAsia="MS Mincho"/>
          <w:lang w:val="es-ES" w:bidi="en-US"/>
        </w:rPr>
        <w:t>esta</w:t>
      </w:r>
      <w:r w:rsidR="005B186F" w:rsidRPr="00723E0F">
        <w:rPr>
          <w:rFonts w:eastAsia="MS Mincho"/>
          <w:lang w:val="es-ES" w:bidi="en-US"/>
        </w:rPr>
        <w:t xml:space="preserve"> </w:t>
      </w:r>
      <w:r w:rsidR="00CE14F0" w:rsidRPr="00723E0F">
        <w:rPr>
          <w:rFonts w:eastAsia="MS Mincho"/>
          <w:lang w:val="es-ES" w:bidi="en-US"/>
        </w:rPr>
        <w:t>medida de reparación, e indicó que l</w:t>
      </w:r>
      <w:r w:rsidR="00CE14F0" w:rsidRPr="00723E0F">
        <w:rPr>
          <w:rFonts w:eastAsiaTheme="minorHAnsi"/>
          <w:lang w:eastAsia="en-US"/>
        </w:rPr>
        <w:t xml:space="preserve">a ruta de salud que se </w:t>
      </w:r>
      <w:r w:rsidR="00CE14F0" w:rsidRPr="00D60EB1">
        <w:rPr>
          <w:lang w:val="es-ES"/>
        </w:rPr>
        <w:t>trace</w:t>
      </w:r>
      <w:r w:rsidR="00CE14F0" w:rsidRPr="00723E0F">
        <w:rPr>
          <w:rFonts w:eastAsiaTheme="minorHAnsi"/>
          <w:lang w:eastAsia="en-US"/>
        </w:rPr>
        <w:t xml:space="preserve"> para su atención “será permanente e incluirán la provisión de medicamentos que necesiten de acuerdo con sus padecimientos”. Asimismo, debe prever medidas de primer, segundo y tercer nivel de intervención médica y </w:t>
      </w:r>
      <w:r w:rsidR="00312DD4">
        <w:rPr>
          <w:rFonts w:eastAsiaTheme="minorHAnsi"/>
          <w:lang w:eastAsia="en-US"/>
        </w:rPr>
        <w:t>se</w:t>
      </w:r>
      <w:r w:rsidR="00CE14F0" w:rsidRPr="00723E0F">
        <w:rPr>
          <w:rFonts w:eastAsiaTheme="minorHAnsi"/>
          <w:lang w:eastAsia="en-US"/>
        </w:rPr>
        <w:t xml:space="preserve"> asegurará que todos los tratamientos, servicios de servicios de análisis médicos, laboratorios e imágenes diagnósticas, así como gastos de traslados sean gratuitos</w:t>
      </w:r>
      <w:r w:rsidR="00CE14F0" w:rsidRPr="00723E0F">
        <w:rPr>
          <w:lang w:val="es-ES"/>
        </w:rPr>
        <w:t xml:space="preserve">. </w:t>
      </w:r>
      <w:r w:rsidR="00F0234C" w:rsidRPr="00723E0F">
        <w:rPr>
          <w:rFonts w:eastAsia="MS Mincho"/>
          <w:lang w:val="es-ES" w:bidi="en-US"/>
        </w:rPr>
        <w:t xml:space="preserve">El 11 de junio de 2021 </w:t>
      </w:r>
      <w:r w:rsidR="00183EC9">
        <w:rPr>
          <w:rFonts w:eastAsia="MS Mincho"/>
          <w:lang w:val="es-ES" w:bidi="en-US"/>
        </w:rPr>
        <w:t>las representantes</w:t>
      </w:r>
      <w:r w:rsidR="00F0234C" w:rsidRPr="00723E0F">
        <w:rPr>
          <w:rFonts w:eastAsia="MS Mincho"/>
          <w:lang w:val="es-ES" w:bidi="en-US"/>
        </w:rPr>
        <w:t xml:space="preserve"> remitieron sus </w:t>
      </w:r>
      <w:r w:rsidR="00F0234C" w:rsidRPr="00723E0F">
        <w:rPr>
          <w:rFonts w:cs="Arial"/>
        </w:rPr>
        <w:t>observaciones</w:t>
      </w:r>
      <w:r w:rsidR="00F0234C" w:rsidRPr="00723E0F">
        <w:rPr>
          <w:rFonts w:eastAsia="MS Mincho"/>
          <w:lang w:val="es-ES" w:bidi="en-US"/>
        </w:rPr>
        <w:t xml:space="preserve"> respecto del referido escrito estatal de 7 de junio y confirmaron que estas medidas correspondían con los acuerdos alcanzados entre las partes</w:t>
      </w:r>
      <w:r w:rsidR="00FC69B4" w:rsidRPr="00723E0F">
        <w:rPr>
          <w:rFonts w:eastAsia="MS Mincho"/>
          <w:lang w:val="es-ES" w:bidi="en-US"/>
        </w:rPr>
        <w:t>, si bien señalaron que dicha medida se encontraba incompleta al omitir las últimas líneas de la cláusula acordada y que establece lo siguiente:</w:t>
      </w:r>
    </w:p>
    <w:p w14:paraId="534DDB51" w14:textId="77777777" w:rsidR="00FC69B4" w:rsidRDefault="00FC69B4" w:rsidP="00CE14F0">
      <w:pPr>
        <w:widowControl/>
        <w:autoSpaceDE w:val="0"/>
        <w:autoSpaceDN w:val="0"/>
        <w:spacing w:line="240" w:lineRule="auto"/>
        <w:textAlignment w:val="auto"/>
        <w:rPr>
          <w:rFonts w:eastAsia="MS Mincho"/>
          <w:lang w:val="es-ES" w:bidi="en-US"/>
        </w:rPr>
      </w:pPr>
    </w:p>
    <w:p w14:paraId="13B06471" w14:textId="26027CC9" w:rsidR="002D77E4" w:rsidRPr="00CE14F0" w:rsidRDefault="00FC69B4" w:rsidP="00FC69B4">
      <w:pPr>
        <w:widowControl/>
        <w:autoSpaceDE w:val="0"/>
        <w:autoSpaceDN w:val="0"/>
        <w:spacing w:line="240" w:lineRule="auto"/>
        <w:ind w:left="851" w:right="724"/>
        <w:textAlignment w:val="auto"/>
        <w:rPr>
          <w:b/>
          <w:lang w:val="es-ES"/>
        </w:rPr>
      </w:pPr>
      <w:r w:rsidRPr="00FC69B4">
        <w:rPr>
          <w:rFonts w:eastAsia="MS Mincho"/>
          <w:sz w:val="18"/>
          <w:szCs w:val="18"/>
          <w:lang w:val="es-ES" w:bidi="en-US"/>
        </w:rPr>
        <w:t>El “ESTADO MEXICANO” no estará obligado a proporcionar atención médica o psicológica a “LAS VÍCTIMAS” si deciden cambiar de forma temporal o permanente su residencia fuera del territorio nacional. Sin menoscabo de lo anterior, si “LAS VÍCTIMAS” regresan al territorio mexicano, dicha obligación continuará siendo atendida de conformidad con lo antes señalado</w:t>
      </w:r>
      <w:r>
        <w:rPr>
          <w:rFonts w:eastAsia="MS Mincho"/>
          <w:sz w:val="18"/>
          <w:szCs w:val="18"/>
          <w:lang w:val="es-ES" w:bidi="en-US"/>
        </w:rPr>
        <w:t>.</w:t>
      </w:r>
      <w:r w:rsidR="00F0234C">
        <w:rPr>
          <w:rFonts w:eastAsia="MS Mincho"/>
          <w:b/>
          <w:lang w:val="es-ES" w:bidi="en-US"/>
        </w:rPr>
        <w:t xml:space="preserve"> </w:t>
      </w:r>
    </w:p>
    <w:p w14:paraId="302DFA7B" w14:textId="5935E699" w:rsidR="00525863" w:rsidRDefault="00525863" w:rsidP="002D77E4">
      <w:pPr>
        <w:tabs>
          <w:tab w:val="left" w:pos="567"/>
        </w:tabs>
        <w:spacing w:line="240" w:lineRule="auto"/>
        <w:textAlignment w:val="auto"/>
        <w:rPr>
          <w:b/>
          <w:lang w:val="es-ES"/>
        </w:rPr>
      </w:pPr>
      <w:r w:rsidRPr="00525863">
        <w:rPr>
          <w:b/>
          <w:lang w:val="es-ES"/>
        </w:rPr>
        <w:t xml:space="preserve"> </w:t>
      </w:r>
    </w:p>
    <w:p w14:paraId="139B9B00" w14:textId="05B56341" w:rsidR="00DD76C4" w:rsidRPr="00C04E63" w:rsidRDefault="000017DB" w:rsidP="00D60EB1">
      <w:pPr>
        <w:numPr>
          <w:ilvl w:val="0"/>
          <w:numId w:val="4"/>
        </w:numPr>
        <w:tabs>
          <w:tab w:val="left" w:pos="567"/>
          <w:tab w:val="num" w:pos="1569"/>
          <w:tab w:val="num" w:pos="12305"/>
        </w:tabs>
        <w:spacing w:line="240" w:lineRule="auto"/>
        <w:ind w:left="0" w:firstLine="0"/>
        <w:rPr>
          <w:lang w:val="es-ES"/>
        </w:rPr>
      </w:pPr>
      <w:r w:rsidRPr="00FE71B7">
        <w:rPr>
          <w:rFonts w:eastAsia="MS Mincho"/>
          <w:lang w:val="es-ES" w:bidi="en-US"/>
        </w:rPr>
        <w:t xml:space="preserve">La </w:t>
      </w:r>
      <w:r w:rsidRPr="00FE71B7">
        <w:rPr>
          <w:rFonts w:eastAsia="MS Mincho"/>
          <w:b/>
          <w:i/>
          <w:lang w:val="es-ES" w:bidi="en-US"/>
        </w:rPr>
        <w:t>Corte</w:t>
      </w:r>
      <w:r w:rsidRPr="00FE71B7">
        <w:rPr>
          <w:rFonts w:eastAsia="MS Mincho"/>
          <w:lang w:val="es-ES" w:bidi="en-US"/>
        </w:rPr>
        <w:t xml:space="preserve"> valora positivamente la “ruta de salud” acordada por ambas partes</w:t>
      </w:r>
      <w:r w:rsidR="00A527D6" w:rsidRPr="00FE71B7">
        <w:rPr>
          <w:rFonts w:eastAsia="MS Mincho"/>
          <w:lang w:val="es-ES" w:bidi="en-US"/>
        </w:rPr>
        <w:t>, en virtud de la cual</w:t>
      </w:r>
      <w:r w:rsidR="00A527D6" w:rsidRPr="00FE71B7">
        <w:rPr>
          <w:lang w:val="es-ES"/>
        </w:rPr>
        <w:t xml:space="preserve"> el Estado brindará gratuitamente el tratamiento médico y/o </w:t>
      </w:r>
      <w:r w:rsidR="00A527D6" w:rsidRPr="00412F06">
        <w:rPr>
          <w:lang w:val="es-ES"/>
        </w:rPr>
        <w:t>psicológico</w:t>
      </w:r>
      <w:r w:rsidR="00DC6448" w:rsidRPr="00412F06">
        <w:rPr>
          <w:lang w:val="es-ES"/>
        </w:rPr>
        <w:t xml:space="preserve">, </w:t>
      </w:r>
      <w:r w:rsidR="00EE76AA" w:rsidRPr="00412F06">
        <w:rPr>
          <w:lang w:val="es-ES"/>
        </w:rPr>
        <w:t>psiquiátrico</w:t>
      </w:r>
      <w:r w:rsidR="00DC6448" w:rsidRPr="00412F06">
        <w:rPr>
          <w:lang w:val="es-ES"/>
        </w:rPr>
        <w:t xml:space="preserve"> o </w:t>
      </w:r>
      <w:r w:rsidR="002942EC" w:rsidRPr="00412F06">
        <w:rPr>
          <w:lang w:val="es-ES"/>
        </w:rPr>
        <w:t>psicosocial</w:t>
      </w:r>
      <w:r w:rsidR="00A527D6" w:rsidRPr="00FE71B7">
        <w:rPr>
          <w:lang w:val="es-ES"/>
        </w:rPr>
        <w:t xml:space="preserve"> requerido por </w:t>
      </w:r>
      <w:r w:rsidR="00412F06">
        <w:rPr>
          <w:lang w:val="es-ES"/>
        </w:rPr>
        <w:t>los familiares de la señora Digna Ochoa y Plácido que, a su vez, son</w:t>
      </w:r>
      <w:r w:rsidR="00A527D6" w:rsidRPr="00FE71B7">
        <w:rPr>
          <w:lang w:val="es-ES"/>
        </w:rPr>
        <w:t xml:space="preserve"> víctimas del presente caso</w:t>
      </w:r>
      <w:r w:rsidR="00740AA6">
        <w:rPr>
          <w:lang w:val="es-ES"/>
        </w:rPr>
        <w:t>. En</w:t>
      </w:r>
      <w:r w:rsidRPr="00FE71B7">
        <w:rPr>
          <w:rFonts w:eastAsia="MS Mincho"/>
          <w:lang w:val="es-ES" w:bidi="en-US"/>
        </w:rPr>
        <w:t xml:space="preserve"> razón</w:t>
      </w:r>
      <w:r w:rsidR="00412F06">
        <w:rPr>
          <w:rFonts w:eastAsia="MS Mincho"/>
          <w:lang w:val="es-ES" w:bidi="en-US"/>
        </w:rPr>
        <w:t xml:space="preserve"> </w:t>
      </w:r>
      <w:r w:rsidR="00740AA6">
        <w:rPr>
          <w:rFonts w:eastAsia="MS Mincho"/>
          <w:lang w:val="es-ES" w:bidi="en-US"/>
        </w:rPr>
        <w:t>de ello,</w:t>
      </w:r>
      <w:r w:rsidRPr="00FE71B7">
        <w:rPr>
          <w:rFonts w:eastAsia="MS Mincho"/>
          <w:lang w:val="es-ES" w:bidi="en-US"/>
        </w:rPr>
        <w:t xml:space="preserve"> </w:t>
      </w:r>
      <w:r w:rsidR="00FE71B7" w:rsidRPr="00FE71B7">
        <w:rPr>
          <w:rFonts w:eastAsia="MS Mincho"/>
          <w:lang w:val="es-ES" w:bidi="en-US"/>
        </w:rPr>
        <w:t>ordena al</w:t>
      </w:r>
      <w:r w:rsidR="00723E0F" w:rsidRPr="00FE71B7">
        <w:rPr>
          <w:lang w:val="es-ES"/>
        </w:rPr>
        <w:t xml:space="preserve"> Estado </w:t>
      </w:r>
      <w:r w:rsidR="00FE71B7" w:rsidRPr="00FE71B7">
        <w:rPr>
          <w:lang w:val="es-ES"/>
        </w:rPr>
        <w:t>elaborar</w:t>
      </w:r>
      <w:r w:rsidR="00DD76C4" w:rsidRPr="00FE71B7">
        <w:rPr>
          <w:lang w:val="es-ES"/>
        </w:rPr>
        <w:t xml:space="preserve"> una “Ruta de Salud” para </w:t>
      </w:r>
      <w:r w:rsidR="00723E0F" w:rsidRPr="00FE71B7">
        <w:rPr>
          <w:lang w:val="es-ES"/>
        </w:rPr>
        <w:t xml:space="preserve">las </w:t>
      </w:r>
      <w:r w:rsidR="00412F06">
        <w:rPr>
          <w:lang w:val="es-ES"/>
        </w:rPr>
        <w:t xml:space="preserve">referidas </w:t>
      </w:r>
      <w:r w:rsidR="00723E0F" w:rsidRPr="00FE71B7">
        <w:rPr>
          <w:lang w:val="es-ES"/>
        </w:rPr>
        <w:t>víctimas</w:t>
      </w:r>
      <w:r w:rsidR="00DD76C4" w:rsidRPr="00FE71B7">
        <w:rPr>
          <w:lang w:val="es-ES"/>
        </w:rPr>
        <w:t xml:space="preserve">, a fin de brindar </w:t>
      </w:r>
      <w:r w:rsidR="00EE76AA">
        <w:rPr>
          <w:lang w:val="es-ES"/>
        </w:rPr>
        <w:t xml:space="preserve">la referida </w:t>
      </w:r>
      <w:r w:rsidR="00DD76C4" w:rsidRPr="00FE71B7">
        <w:rPr>
          <w:rFonts w:cs="Arial"/>
        </w:rPr>
        <w:t>atención</w:t>
      </w:r>
      <w:r w:rsidR="00DD76C4" w:rsidRPr="00FE71B7">
        <w:rPr>
          <w:lang w:val="es-ES"/>
        </w:rPr>
        <w:t xml:space="preserve"> médica que requieran y deseen, </w:t>
      </w:r>
      <w:r w:rsidR="00312DD4" w:rsidRPr="00FE71B7">
        <w:rPr>
          <w:lang w:val="es-ES"/>
        </w:rPr>
        <w:t>de forma</w:t>
      </w:r>
      <w:r w:rsidR="00DD76C4" w:rsidRPr="00FE71B7">
        <w:rPr>
          <w:lang w:val="es-ES"/>
        </w:rPr>
        <w:t xml:space="preserve"> prioritaria, mediante instituciones de salud públicas especializadas. La ruta de salud que se trace para su atención será permanente e incluirán la provisión </w:t>
      </w:r>
      <w:r w:rsidR="00772F6F">
        <w:rPr>
          <w:lang w:val="es-ES"/>
        </w:rPr>
        <w:t xml:space="preserve">gratuita </w:t>
      </w:r>
      <w:r w:rsidR="00DD76C4" w:rsidRPr="00FE71B7">
        <w:rPr>
          <w:lang w:val="es-ES"/>
        </w:rPr>
        <w:t>de medicamentos que necesiten de acuerdo a sus padecimientos. Asimismo, debe contempla</w:t>
      </w:r>
      <w:r w:rsidR="00723E0F" w:rsidRPr="00FE71B7">
        <w:rPr>
          <w:lang w:val="es-ES"/>
        </w:rPr>
        <w:t>r</w:t>
      </w:r>
      <w:r w:rsidR="00DD76C4" w:rsidRPr="00FE71B7">
        <w:rPr>
          <w:lang w:val="es-ES"/>
        </w:rPr>
        <w:t xml:space="preserve"> medidas de primer, segundo y</w:t>
      </w:r>
      <w:r w:rsidR="00723E0F" w:rsidRPr="00FE71B7">
        <w:rPr>
          <w:lang w:val="es-ES"/>
        </w:rPr>
        <w:t xml:space="preserve"> </w:t>
      </w:r>
      <w:r w:rsidR="00DD76C4" w:rsidRPr="00FE71B7">
        <w:rPr>
          <w:lang w:val="es-ES"/>
        </w:rPr>
        <w:t xml:space="preserve">tercer nivel de intervención médica. Se asegurará que todos los tratamientos, servicios de análisis médicos, laboratorios e imágenes diagnósticas, así como gastos de traslados sean gratuitos. </w:t>
      </w:r>
      <w:r w:rsidR="00723E0F" w:rsidRPr="00FE71B7">
        <w:rPr>
          <w:rFonts w:eastAsiaTheme="minorHAnsi" w:cs="Montserrat-Regular"/>
          <w:lang w:eastAsia="en-US"/>
        </w:rPr>
        <w:t xml:space="preserve">Si las víctimas cambian de domicilio a otra entidad federativa de la República mexicana, la </w:t>
      </w:r>
      <w:r w:rsidR="00723E0F" w:rsidRPr="00FE71B7">
        <w:rPr>
          <w:lang w:val="es-ES"/>
        </w:rPr>
        <w:t>atención</w:t>
      </w:r>
      <w:r w:rsidR="00723E0F" w:rsidRPr="00FE71B7">
        <w:rPr>
          <w:rFonts w:eastAsiaTheme="minorHAnsi" w:cs="Montserrat-Regular"/>
          <w:lang w:eastAsia="en-US"/>
        </w:rPr>
        <w:t xml:space="preserve"> médica se brindará </w:t>
      </w:r>
      <w:r w:rsidR="008252BC">
        <w:rPr>
          <w:rFonts w:eastAsiaTheme="minorHAnsi" w:cs="Montserrat-Regular"/>
          <w:lang w:eastAsia="en-US"/>
        </w:rPr>
        <w:t>en lugares cercanos a</w:t>
      </w:r>
      <w:r w:rsidR="00723E0F" w:rsidRPr="00FE71B7">
        <w:rPr>
          <w:rFonts w:eastAsiaTheme="minorHAnsi" w:cs="Montserrat-Regular"/>
          <w:lang w:eastAsia="en-US"/>
        </w:rPr>
        <w:t xml:space="preserve"> </w:t>
      </w:r>
      <w:r w:rsidR="00312DD4" w:rsidRPr="00FE71B7">
        <w:rPr>
          <w:rFonts w:eastAsiaTheme="minorHAnsi" w:cs="Montserrat-Regular"/>
          <w:lang w:eastAsia="en-US"/>
        </w:rPr>
        <w:t>su nuevo</w:t>
      </w:r>
      <w:r w:rsidR="00723E0F" w:rsidRPr="00FE71B7">
        <w:rPr>
          <w:rFonts w:eastAsiaTheme="minorHAnsi" w:cs="Montserrat-Regular"/>
          <w:lang w:eastAsia="en-US"/>
        </w:rPr>
        <w:t xml:space="preserve"> lugar de residencia a través de instancias del Sistema Nacional de Salud. El Estado no estará obligado a proporcionar atención médica o psicológica a las víctimas si deciden cambiar de forma temporal o permanente su residencia fuera del territorio nacional. Sin menoscabo de lo anterior, si las víctimas regresan al territorio mexicano, dicha obligación continuará siendo atendida de conformidad con lo antes señalado.</w:t>
      </w:r>
    </w:p>
    <w:p w14:paraId="5FCDB11B" w14:textId="3BF51630" w:rsidR="00462AF9" w:rsidRPr="00462AF9" w:rsidRDefault="002D77E4" w:rsidP="00462AF9">
      <w:pPr>
        <w:pStyle w:val="Ttulo2"/>
        <w:rPr>
          <w:lang w:val="es-ES"/>
        </w:rPr>
      </w:pPr>
      <w:bookmarkStart w:id="98" w:name="_Toc93400267"/>
      <w:bookmarkStart w:id="99" w:name="_Toc15933773"/>
      <w:bookmarkStart w:id="100" w:name="_Toc33017898"/>
      <w:r w:rsidRPr="004F2666">
        <w:rPr>
          <w:lang w:val="es-ES"/>
        </w:rPr>
        <w:t>D. Medidas de satisfacción</w:t>
      </w:r>
      <w:bookmarkEnd w:id="98"/>
      <w:r w:rsidRPr="004F2666">
        <w:rPr>
          <w:lang w:val="es-ES"/>
        </w:rPr>
        <w:t xml:space="preserve"> </w:t>
      </w:r>
      <w:bookmarkEnd w:id="99"/>
      <w:bookmarkEnd w:id="100"/>
    </w:p>
    <w:p w14:paraId="69B25CF7" w14:textId="446D6ED9" w:rsidR="00462AF9" w:rsidRDefault="00462AF9" w:rsidP="00462AF9">
      <w:pPr>
        <w:pStyle w:val="Ttulo3"/>
        <w:rPr>
          <w:lang w:val="es-ES"/>
        </w:rPr>
      </w:pPr>
      <w:r>
        <w:rPr>
          <w:lang w:val="es-ES"/>
        </w:rPr>
        <w:tab/>
      </w:r>
      <w:bookmarkStart w:id="101" w:name="_Toc93400268"/>
      <w:r>
        <w:rPr>
          <w:lang w:val="es-ES"/>
        </w:rPr>
        <w:t>d</w:t>
      </w:r>
      <w:r w:rsidRPr="001610BC">
        <w:rPr>
          <w:lang w:val="es-ES"/>
        </w:rPr>
        <w:t xml:space="preserve">.1 </w:t>
      </w:r>
      <w:r>
        <w:rPr>
          <w:lang w:val="es-ES"/>
        </w:rPr>
        <w:t>Publicación y difusión de la Sentencia</w:t>
      </w:r>
      <w:bookmarkEnd w:id="101"/>
    </w:p>
    <w:p w14:paraId="697B4AB1" w14:textId="52B50533" w:rsidR="00462AF9" w:rsidRPr="00462AF9" w:rsidRDefault="00462AF9" w:rsidP="00462AF9">
      <w:pPr>
        <w:numPr>
          <w:ilvl w:val="0"/>
          <w:numId w:val="4"/>
        </w:numPr>
        <w:tabs>
          <w:tab w:val="left" w:pos="567"/>
          <w:tab w:val="num" w:pos="1569"/>
          <w:tab w:val="num" w:pos="12305"/>
        </w:tabs>
        <w:spacing w:line="240" w:lineRule="auto"/>
        <w:ind w:left="0" w:firstLine="0"/>
        <w:rPr>
          <w:rFonts w:cs="Arial"/>
        </w:rPr>
      </w:pPr>
      <w:r w:rsidRPr="004F2666">
        <w:rPr>
          <w:rFonts w:cs="Arial"/>
        </w:rPr>
        <w:t xml:space="preserve">La </w:t>
      </w:r>
      <w:r w:rsidRPr="004F2666">
        <w:rPr>
          <w:rFonts w:cs="Arial"/>
          <w:b/>
          <w:i/>
        </w:rPr>
        <w:t>Comisión</w:t>
      </w:r>
      <w:r w:rsidRPr="004F2666">
        <w:rPr>
          <w:rFonts w:cs="Arial"/>
        </w:rPr>
        <w:t xml:space="preserve"> </w:t>
      </w:r>
      <w:r w:rsidRPr="00247C91">
        <w:rPr>
          <w:rFonts w:eastAsia="MS Mincho"/>
          <w:lang w:val="es-ES" w:bidi="en-US"/>
        </w:rPr>
        <w:t>recomendó</w:t>
      </w:r>
      <w:r w:rsidRPr="004F2666">
        <w:rPr>
          <w:rFonts w:cs="Arial"/>
        </w:rPr>
        <w:t>, de manera general, que se adopten medidas de satisfacción.</w:t>
      </w:r>
    </w:p>
    <w:p w14:paraId="08AE1650" w14:textId="77777777" w:rsidR="00462AF9" w:rsidRPr="004F2666" w:rsidRDefault="00462AF9" w:rsidP="00462AF9">
      <w:pPr>
        <w:tabs>
          <w:tab w:val="left" w:pos="567"/>
        </w:tabs>
        <w:spacing w:line="240" w:lineRule="auto"/>
        <w:rPr>
          <w:rFonts w:cs="Arial"/>
        </w:rPr>
      </w:pPr>
    </w:p>
    <w:p w14:paraId="354240E4" w14:textId="0330FA19" w:rsidR="00462AF9" w:rsidRPr="009A00F5" w:rsidRDefault="00462AF9" w:rsidP="00462AF9">
      <w:pPr>
        <w:numPr>
          <w:ilvl w:val="0"/>
          <w:numId w:val="4"/>
        </w:numPr>
        <w:tabs>
          <w:tab w:val="left" w:pos="567"/>
          <w:tab w:val="num" w:pos="1569"/>
          <w:tab w:val="num" w:pos="12305"/>
        </w:tabs>
        <w:spacing w:line="240" w:lineRule="auto"/>
        <w:ind w:left="0" w:firstLine="0"/>
        <w:rPr>
          <w:lang w:val="es-ES"/>
        </w:rPr>
      </w:pPr>
      <w:r w:rsidRPr="004F2666">
        <w:rPr>
          <w:rFonts w:cs="Arial"/>
          <w:lang w:val="es-ES"/>
        </w:rPr>
        <w:t xml:space="preserve">Las </w:t>
      </w:r>
      <w:r w:rsidRPr="004F2666">
        <w:rPr>
          <w:rFonts w:cs="Arial"/>
          <w:b/>
          <w:i/>
          <w:lang w:val="es-ES"/>
        </w:rPr>
        <w:t>representantes</w:t>
      </w:r>
      <w:r w:rsidRPr="004F2666">
        <w:rPr>
          <w:rFonts w:eastAsia="Arial" w:cs="Arial"/>
          <w:lang w:val="es-ES"/>
        </w:rPr>
        <w:t xml:space="preserve"> solicitaron que se ordene al Estado mexicano publicar el resumen oficial de la </w:t>
      </w:r>
      <w:r w:rsidRPr="00D60EB1">
        <w:rPr>
          <w:lang w:val="es-ES"/>
        </w:rPr>
        <w:t>Sentencia</w:t>
      </w:r>
      <w:r w:rsidRPr="004F2666">
        <w:rPr>
          <w:rFonts w:eastAsia="Arial" w:cs="Arial"/>
          <w:lang w:val="es-ES"/>
        </w:rPr>
        <w:t xml:space="preserve"> en un </w:t>
      </w:r>
      <w:r w:rsidRPr="00462AF9">
        <w:rPr>
          <w:rFonts w:cs="Arial"/>
        </w:rPr>
        <w:t>diario</w:t>
      </w:r>
      <w:r w:rsidRPr="004F2666">
        <w:rPr>
          <w:rFonts w:eastAsia="Arial" w:cs="Arial"/>
          <w:lang w:val="es-ES"/>
        </w:rPr>
        <w:t xml:space="preserve"> de amplia circulación a nivel nacional. Además, solicitaron la publicación de la sentencia en su totalidad y que esté disponible al menos por el periodo de un año a través de un enlace en las </w:t>
      </w:r>
      <w:r w:rsidRPr="004F2666">
        <w:rPr>
          <w:rFonts w:eastAsia="MS Mincho" w:cs="Verdana"/>
          <w:snapToGrid w:val="0"/>
          <w:lang w:val="es-ES" w:eastAsia="es-ES" w:bidi="en-US"/>
        </w:rPr>
        <w:t>páginas</w:t>
      </w:r>
      <w:r w:rsidRPr="004F2666">
        <w:rPr>
          <w:rFonts w:eastAsia="Arial" w:cs="Arial"/>
          <w:lang w:val="es-ES"/>
        </w:rPr>
        <w:t xml:space="preserve"> iniciales del sitio web de la Secretaría de Relaciones Exteriores, de la Secretaría de Gobernación y del Poder Judicial de la Federación.</w:t>
      </w:r>
      <w:r w:rsidRPr="004F2666">
        <w:rPr>
          <w:rFonts w:eastAsia="Arial" w:cs="Arial"/>
          <w:b/>
          <w:lang w:val="es-ES"/>
        </w:rPr>
        <w:t xml:space="preserve"> </w:t>
      </w:r>
    </w:p>
    <w:p w14:paraId="0CB4DF3B" w14:textId="77777777" w:rsidR="009A00F5" w:rsidRPr="009A00F5" w:rsidRDefault="009A00F5" w:rsidP="009A00F5">
      <w:pPr>
        <w:tabs>
          <w:tab w:val="left" w:pos="567"/>
        </w:tabs>
        <w:spacing w:line="240" w:lineRule="auto"/>
        <w:rPr>
          <w:lang w:val="es-ES"/>
        </w:rPr>
      </w:pPr>
    </w:p>
    <w:p w14:paraId="0BAC7347" w14:textId="073F20BE" w:rsidR="009A00F5" w:rsidRPr="00462AF9" w:rsidRDefault="009A00F5" w:rsidP="009A00F5">
      <w:pPr>
        <w:numPr>
          <w:ilvl w:val="0"/>
          <w:numId w:val="4"/>
        </w:numPr>
        <w:tabs>
          <w:tab w:val="left" w:pos="567"/>
          <w:tab w:val="num" w:pos="1569"/>
          <w:tab w:val="num" w:pos="12305"/>
        </w:tabs>
        <w:spacing w:line="240" w:lineRule="auto"/>
        <w:ind w:left="0" w:firstLine="0"/>
        <w:rPr>
          <w:rFonts w:eastAsia="MS Mincho"/>
          <w:lang w:val="es-ES" w:bidi="en-US"/>
        </w:rPr>
      </w:pPr>
      <w:r w:rsidRPr="00CE14F0">
        <w:rPr>
          <w:lang w:val="es-ES"/>
        </w:rPr>
        <w:t xml:space="preserve">En su escrito de alegatos finales, y derivado del reconocimiento parcial de responsabilidad </w:t>
      </w:r>
      <w:r w:rsidRPr="00CE14F0">
        <w:rPr>
          <w:lang w:val="es-ES"/>
        </w:rPr>
        <w:lastRenderedPageBreak/>
        <w:t xml:space="preserve">realizado por el </w:t>
      </w:r>
      <w:r w:rsidRPr="00CE14F0">
        <w:rPr>
          <w:b/>
          <w:i/>
          <w:lang w:val="es-ES"/>
        </w:rPr>
        <w:t>Estado</w:t>
      </w:r>
      <w:r w:rsidRPr="00CE14F0">
        <w:rPr>
          <w:lang w:val="es-ES"/>
        </w:rPr>
        <w:t>, este</w:t>
      </w:r>
      <w:r w:rsidRPr="00CE14F0">
        <w:rPr>
          <w:rFonts w:eastAsia="MS Mincho"/>
          <w:lang w:val="es-ES" w:bidi="en-US"/>
        </w:rPr>
        <w:t xml:space="preserve"> se comprometió a publicar, mediante vías oficiales, el resumen oficial de la Sentencia que recaiga en el presente </w:t>
      </w:r>
      <w:r w:rsidRPr="00CE14F0">
        <w:rPr>
          <w:rFonts w:cs="Arial"/>
          <w:lang w:val="es-ES"/>
        </w:rPr>
        <w:t>caso</w:t>
      </w:r>
      <w:r w:rsidRPr="00CE14F0">
        <w:rPr>
          <w:rFonts w:eastAsia="MS Mincho"/>
          <w:lang w:val="es-ES" w:bidi="en-US"/>
        </w:rPr>
        <w:t xml:space="preserve">. Posteriormente, en </w:t>
      </w:r>
      <w:r>
        <w:rPr>
          <w:rFonts w:eastAsia="MS Mincho"/>
          <w:lang w:val="es-ES" w:bidi="en-US"/>
        </w:rPr>
        <w:t>un</w:t>
      </w:r>
      <w:r w:rsidRPr="00CE14F0">
        <w:rPr>
          <w:rFonts w:eastAsia="MS Mincho"/>
          <w:lang w:val="es-ES" w:bidi="en-US"/>
        </w:rPr>
        <w:t xml:space="preserve"> escrito de 7 de junio de 2021, el Estado precisó el alcance de </w:t>
      </w:r>
      <w:r>
        <w:rPr>
          <w:rFonts w:eastAsia="MS Mincho"/>
          <w:lang w:val="es-ES" w:bidi="en-US"/>
        </w:rPr>
        <w:t>esta</w:t>
      </w:r>
      <w:r w:rsidRPr="00CE14F0">
        <w:rPr>
          <w:rFonts w:eastAsia="MS Mincho"/>
          <w:lang w:val="es-ES" w:bidi="en-US"/>
        </w:rPr>
        <w:t xml:space="preserve"> medida de reparación, </w:t>
      </w:r>
      <w:r>
        <w:rPr>
          <w:rFonts w:eastAsia="MS Mincho"/>
          <w:lang w:val="es-ES" w:bidi="en-US"/>
        </w:rPr>
        <w:t>y</w:t>
      </w:r>
      <w:r w:rsidRPr="00723E0F">
        <w:rPr>
          <w:rFonts w:eastAsiaTheme="minorHAnsi"/>
          <w:lang w:eastAsia="en-US"/>
        </w:rPr>
        <w:t xml:space="preserve"> también se comprometió a la publicación</w:t>
      </w:r>
      <w:r w:rsidR="005B186F">
        <w:rPr>
          <w:rFonts w:eastAsiaTheme="minorHAnsi"/>
          <w:lang w:eastAsia="en-US"/>
        </w:rPr>
        <w:t>,</w:t>
      </w:r>
      <w:r w:rsidRPr="00723E0F">
        <w:rPr>
          <w:rFonts w:eastAsiaTheme="minorHAnsi"/>
          <w:lang w:eastAsia="en-US"/>
        </w:rPr>
        <w:t xml:space="preserve"> </w:t>
      </w:r>
      <w:r w:rsidRPr="00312DD4">
        <w:rPr>
          <w:rFonts w:eastAsia="MS Mincho"/>
          <w:lang w:val="es-ES" w:bidi="en-US"/>
        </w:rPr>
        <w:t>por</w:t>
      </w:r>
      <w:r w:rsidRPr="00723E0F">
        <w:rPr>
          <w:rFonts w:eastAsiaTheme="minorHAnsi"/>
          <w:lang w:eastAsia="en-US"/>
        </w:rPr>
        <w:t xml:space="preserve"> un lapso de doce meses, </w:t>
      </w:r>
      <w:r w:rsidR="005B186F">
        <w:rPr>
          <w:rFonts w:eastAsiaTheme="minorHAnsi"/>
          <w:lang w:eastAsia="en-US"/>
        </w:rPr>
        <w:t xml:space="preserve">de </w:t>
      </w:r>
      <w:r w:rsidRPr="00723E0F">
        <w:rPr>
          <w:rFonts w:eastAsiaTheme="minorHAnsi"/>
          <w:lang w:eastAsia="en-US"/>
        </w:rPr>
        <w:t xml:space="preserve">la sentencia que emita la Corte en su integralidad a través de las páginas electrónicas de </w:t>
      </w:r>
      <w:r w:rsidR="002B61D0" w:rsidRPr="00CE14F0">
        <w:rPr>
          <w:rFonts w:eastAsiaTheme="minorHAnsi"/>
          <w:lang w:eastAsia="en-US"/>
        </w:rPr>
        <w:t>Secretaría de Gobernación (SEGOB)</w:t>
      </w:r>
      <w:r w:rsidRPr="00723E0F">
        <w:rPr>
          <w:rFonts w:eastAsiaTheme="minorHAnsi"/>
          <w:lang w:eastAsia="en-US"/>
        </w:rPr>
        <w:t xml:space="preserve">, </w:t>
      </w:r>
      <w:r w:rsidR="002B61D0">
        <w:rPr>
          <w:rFonts w:eastAsiaTheme="minorHAnsi"/>
          <w:lang w:eastAsia="en-US"/>
        </w:rPr>
        <w:t xml:space="preserve">Secretaría de </w:t>
      </w:r>
      <w:r w:rsidR="002B61D0" w:rsidRPr="00CE14F0">
        <w:rPr>
          <w:rFonts w:eastAsiaTheme="minorHAnsi"/>
          <w:lang w:eastAsia="en-US"/>
        </w:rPr>
        <w:t xml:space="preserve">Relaciones Exteriores </w:t>
      </w:r>
      <w:r w:rsidR="002B61D0">
        <w:rPr>
          <w:rFonts w:eastAsiaTheme="minorHAnsi"/>
          <w:lang w:eastAsia="en-US"/>
        </w:rPr>
        <w:t>(SER)</w:t>
      </w:r>
      <w:r w:rsidR="002B61D0" w:rsidRPr="00723E0F">
        <w:rPr>
          <w:rFonts w:eastAsiaTheme="minorHAnsi"/>
          <w:lang w:eastAsia="en-US"/>
        </w:rPr>
        <w:t xml:space="preserve"> </w:t>
      </w:r>
      <w:r w:rsidRPr="00723E0F">
        <w:rPr>
          <w:rFonts w:eastAsiaTheme="minorHAnsi"/>
          <w:lang w:eastAsia="en-US"/>
        </w:rPr>
        <w:t>y la Fiscalía General de Justicia de la Ciudad de México.</w:t>
      </w:r>
      <w:r w:rsidRPr="00CE14F0">
        <w:rPr>
          <w:rFonts w:eastAsia="MS Mincho"/>
          <w:b/>
          <w:lang w:val="es-ES" w:bidi="en-US"/>
        </w:rPr>
        <w:t xml:space="preserve"> </w:t>
      </w:r>
      <w:r w:rsidRPr="00C50D84">
        <w:rPr>
          <w:rFonts w:eastAsia="MS Mincho"/>
          <w:lang w:val="es-ES" w:bidi="en-US"/>
        </w:rPr>
        <w:t xml:space="preserve">El 11 de junio de 2021 </w:t>
      </w:r>
      <w:r>
        <w:rPr>
          <w:rFonts w:eastAsia="MS Mincho"/>
          <w:lang w:val="es-ES" w:bidi="en-US"/>
        </w:rPr>
        <w:t>las representantes</w:t>
      </w:r>
      <w:r w:rsidRPr="00C50D84">
        <w:rPr>
          <w:rFonts w:eastAsia="MS Mincho"/>
          <w:lang w:val="es-ES" w:bidi="en-US"/>
        </w:rPr>
        <w:t xml:space="preserve"> remitieron sus observaciones </w:t>
      </w:r>
      <w:r>
        <w:rPr>
          <w:rFonts w:eastAsia="MS Mincho"/>
          <w:lang w:val="es-ES" w:bidi="en-US"/>
        </w:rPr>
        <w:t xml:space="preserve">respecto del referido escrito estatal de 7 de junio y </w:t>
      </w:r>
      <w:r w:rsidRPr="00C50D84">
        <w:rPr>
          <w:rFonts w:eastAsia="MS Mincho"/>
          <w:lang w:val="es-ES" w:bidi="en-US"/>
        </w:rPr>
        <w:t>confirmaron que esta medida</w:t>
      </w:r>
      <w:r>
        <w:rPr>
          <w:rFonts w:eastAsia="MS Mincho"/>
          <w:lang w:val="es-ES" w:bidi="en-US"/>
        </w:rPr>
        <w:t xml:space="preserve"> </w:t>
      </w:r>
      <w:r w:rsidRPr="00C50D84">
        <w:rPr>
          <w:rFonts w:eastAsia="MS Mincho"/>
          <w:lang w:val="es-ES" w:bidi="en-US"/>
        </w:rPr>
        <w:t xml:space="preserve">correspondía </w:t>
      </w:r>
      <w:r>
        <w:rPr>
          <w:rFonts w:eastAsia="MS Mincho"/>
          <w:lang w:val="es-ES" w:bidi="en-US"/>
        </w:rPr>
        <w:t>con</w:t>
      </w:r>
      <w:r w:rsidRPr="00C50D84">
        <w:rPr>
          <w:rFonts w:eastAsia="MS Mincho"/>
          <w:lang w:val="es-ES" w:bidi="en-US"/>
        </w:rPr>
        <w:t xml:space="preserve"> los acuerdos alcanzados entre las partes</w:t>
      </w:r>
      <w:r>
        <w:rPr>
          <w:rFonts w:eastAsia="MS Mincho"/>
          <w:lang w:val="es-ES" w:bidi="en-US"/>
        </w:rPr>
        <w:t>.</w:t>
      </w:r>
      <w:r>
        <w:rPr>
          <w:rFonts w:eastAsia="MS Mincho"/>
          <w:b/>
          <w:lang w:val="es-ES" w:bidi="en-US"/>
        </w:rPr>
        <w:t xml:space="preserve"> </w:t>
      </w:r>
    </w:p>
    <w:p w14:paraId="1D76F460" w14:textId="77777777" w:rsidR="00462AF9" w:rsidRPr="00462AF9" w:rsidRDefault="00462AF9" w:rsidP="00462AF9">
      <w:pPr>
        <w:tabs>
          <w:tab w:val="left" w:pos="567"/>
          <w:tab w:val="num" w:pos="12305"/>
        </w:tabs>
        <w:spacing w:line="240" w:lineRule="auto"/>
        <w:rPr>
          <w:lang w:val="es-ES"/>
        </w:rPr>
      </w:pPr>
    </w:p>
    <w:p w14:paraId="4B7DA852" w14:textId="1F760E59" w:rsidR="00B52909" w:rsidRPr="00723E0F" w:rsidRDefault="00723E0F" w:rsidP="00D60EB1">
      <w:pPr>
        <w:numPr>
          <w:ilvl w:val="0"/>
          <w:numId w:val="4"/>
        </w:numPr>
        <w:tabs>
          <w:tab w:val="left" w:pos="567"/>
          <w:tab w:val="num" w:pos="1569"/>
          <w:tab w:val="num" w:pos="12305"/>
        </w:tabs>
        <w:spacing w:line="240" w:lineRule="auto"/>
        <w:ind w:left="0" w:firstLine="0"/>
        <w:rPr>
          <w:rFonts w:eastAsia="MS Mincho"/>
          <w:i/>
          <w:lang w:val="es-ES" w:bidi="en-US"/>
        </w:rPr>
      </w:pPr>
      <w:r w:rsidRPr="00723E0F">
        <w:rPr>
          <w:rFonts w:eastAsia="MS Mincho"/>
          <w:lang w:val="es-ES" w:bidi="en-US"/>
        </w:rPr>
        <w:t xml:space="preserve">A la vista del acuerdo alcanzado por las partes, así como su </w:t>
      </w:r>
      <w:r w:rsidR="00312DD4" w:rsidRPr="00723E0F">
        <w:rPr>
          <w:rFonts w:eastAsia="MS Mincho"/>
          <w:lang w:val="es-ES" w:bidi="en-US"/>
        </w:rPr>
        <w:t>jurisprudencia</w:t>
      </w:r>
      <w:r w:rsidRPr="00723E0F">
        <w:rPr>
          <w:rFonts w:eastAsia="MS Mincho"/>
          <w:lang w:val="es-ES" w:bidi="en-US"/>
        </w:rPr>
        <w:t xml:space="preserve"> constante a este respecto</w:t>
      </w:r>
      <w:r w:rsidR="002D77E4" w:rsidRPr="00723E0F">
        <w:rPr>
          <w:rFonts w:eastAsia="MS Mincho"/>
          <w:lang w:val="es-ES" w:bidi="en-US"/>
        </w:rPr>
        <w:t xml:space="preserve">, </w:t>
      </w:r>
      <w:r w:rsidRPr="00723E0F">
        <w:rPr>
          <w:rFonts w:eastAsia="MS Mincho"/>
          <w:lang w:val="es-ES" w:bidi="en-US"/>
        </w:rPr>
        <w:t xml:space="preserve">la </w:t>
      </w:r>
      <w:r w:rsidRPr="00723E0F">
        <w:rPr>
          <w:rFonts w:eastAsia="MS Mincho"/>
          <w:b/>
          <w:bCs/>
          <w:i/>
          <w:iCs/>
          <w:lang w:val="es-ES" w:bidi="en-US"/>
        </w:rPr>
        <w:t>Corte</w:t>
      </w:r>
      <w:r w:rsidRPr="00723E0F">
        <w:rPr>
          <w:rFonts w:eastAsia="MS Mincho"/>
          <w:lang w:val="es-ES" w:bidi="en-US"/>
        </w:rPr>
        <w:t xml:space="preserve"> estima, como lo ha dispuesto en otros casos</w:t>
      </w:r>
      <w:r w:rsidRPr="00723E0F">
        <w:rPr>
          <w:rStyle w:val="Refdenotaalpie"/>
          <w:rFonts w:eastAsia="MS Mincho"/>
          <w:lang w:val="es-ES" w:bidi="en-US"/>
        </w:rPr>
        <w:footnoteReference w:id="235"/>
      </w:r>
      <w:r w:rsidRPr="00723E0F">
        <w:rPr>
          <w:rFonts w:eastAsia="MS Mincho"/>
          <w:lang w:val="es-ES" w:bidi="en-US"/>
        </w:rPr>
        <w:t xml:space="preserve">, </w:t>
      </w:r>
      <w:r w:rsidR="002D77E4" w:rsidRPr="00723E0F">
        <w:rPr>
          <w:rFonts w:eastAsia="MS Mincho"/>
          <w:lang w:val="es-ES" w:bidi="en-US"/>
        </w:rPr>
        <w:t xml:space="preserve">que el Estado debe publicar, en el plazo de seis meses, contado a partir de la notificación de la presente Sentencia: a) el resumen oficial de la presente Sentencia elaborado por la Corte, por una sola vez, en el Diario Oficial en un tamaño de letra legible y adecuado; b) el resumen oficial de la presente Sentencia elaborado por la Corte, por una sola vez, en un diario de amplia circulación nacional en un tamaño de letra legible y adecuado, y c) la </w:t>
      </w:r>
      <w:r w:rsidR="002D77E4" w:rsidRPr="00D60EB1">
        <w:rPr>
          <w:lang w:val="es-ES"/>
        </w:rPr>
        <w:t>presente</w:t>
      </w:r>
      <w:r w:rsidR="002D77E4" w:rsidRPr="00723E0F">
        <w:rPr>
          <w:rFonts w:eastAsia="MS Mincho"/>
          <w:lang w:val="es-ES" w:bidi="en-US"/>
        </w:rPr>
        <w:t xml:space="preserve"> Sentencia en su integridad, disponib</w:t>
      </w:r>
      <w:r w:rsidRPr="00723E0F">
        <w:rPr>
          <w:rFonts w:eastAsia="MS Mincho"/>
          <w:lang w:val="es-ES" w:bidi="en-US"/>
        </w:rPr>
        <w:t xml:space="preserve">le por un período de un año, </w:t>
      </w:r>
      <w:r w:rsidRPr="00723E0F">
        <w:rPr>
          <w:rFonts w:eastAsiaTheme="minorHAnsi"/>
          <w:lang w:eastAsia="en-US"/>
        </w:rPr>
        <w:t xml:space="preserve">en los sitios web de </w:t>
      </w:r>
      <w:r w:rsidR="00EE7D2C">
        <w:rPr>
          <w:rFonts w:eastAsiaTheme="minorHAnsi"/>
          <w:lang w:eastAsia="en-US"/>
        </w:rPr>
        <w:t xml:space="preserve">la </w:t>
      </w:r>
      <w:r w:rsidR="0092386E" w:rsidRPr="00CE14F0">
        <w:rPr>
          <w:rFonts w:eastAsiaTheme="minorHAnsi"/>
          <w:lang w:eastAsia="en-US"/>
        </w:rPr>
        <w:t>Secretaría de Gobernación (SEGOB)</w:t>
      </w:r>
      <w:r w:rsidRPr="00723E0F">
        <w:rPr>
          <w:rFonts w:eastAsiaTheme="minorHAnsi"/>
          <w:lang w:eastAsia="en-US"/>
        </w:rPr>
        <w:t xml:space="preserve">, </w:t>
      </w:r>
      <w:r w:rsidR="00001439">
        <w:rPr>
          <w:rFonts w:eastAsiaTheme="minorHAnsi"/>
          <w:lang w:eastAsia="en-US"/>
        </w:rPr>
        <w:t xml:space="preserve">la </w:t>
      </w:r>
      <w:r w:rsidR="0092386E">
        <w:rPr>
          <w:rFonts w:eastAsiaTheme="minorHAnsi"/>
          <w:lang w:eastAsia="en-US"/>
        </w:rPr>
        <w:t xml:space="preserve">Secretaría de </w:t>
      </w:r>
      <w:r w:rsidR="0092386E" w:rsidRPr="00CE14F0">
        <w:rPr>
          <w:rFonts w:eastAsiaTheme="minorHAnsi"/>
          <w:lang w:eastAsia="en-US"/>
        </w:rPr>
        <w:t xml:space="preserve">Relaciones Exteriores </w:t>
      </w:r>
      <w:r w:rsidR="0092386E">
        <w:rPr>
          <w:rFonts w:eastAsiaTheme="minorHAnsi"/>
          <w:lang w:eastAsia="en-US"/>
        </w:rPr>
        <w:t>(SER)</w:t>
      </w:r>
      <w:r w:rsidRPr="00723E0F">
        <w:rPr>
          <w:rFonts w:eastAsiaTheme="minorHAnsi"/>
          <w:lang w:eastAsia="en-US"/>
        </w:rPr>
        <w:t xml:space="preserve"> y la Fiscalía General de Justicia de la Ciudad de México</w:t>
      </w:r>
      <w:r w:rsidR="002D77E4" w:rsidRPr="00723E0F">
        <w:rPr>
          <w:rFonts w:eastAsia="MS Mincho"/>
          <w:lang w:val="es-ES" w:bidi="en-US"/>
        </w:rPr>
        <w:t>.</w:t>
      </w:r>
      <w:r w:rsidR="002D77E4" w:rsidRPr="00723E0F">
        <w:rPr>
          <w:rFonts w:eastAsia="MS Mincho"/>
          <w:i/>
          <w:lang w:val="es-ES" w:bidi="en-US"/>
        </w:rPr>
        <w:t xml:space="preserve"> </w:t>
      </w:r>
      <w:r w:rsidR="002D77E4" w:rsidRPr="00723E0F">
        <w:rPr>
          <w:rFonts w:eastAsiaTheme="minorHAnsi" w:cs="Verdana"/>
          <w:lang w:val="es-ES" w:eastAsia="en-US"/>
        </w:rPr>
        <w:t xml:space="preserve">El Estado deberá informar de forma inmediata a este Tribunal una vez que proceda a realizar cada una </w:t>
      </w:r>
      <w:r w:rsidR="002D77E4" w:rsidRPr="00723E0F">
        <w:rPr>
          <w:rFonts w:eastAsia="MS Mincho"/>
          <w:lang w:val="es-ES" w:bidi="en-US"/>
        </w:rPr>
        <w:t>de</w:t>
      </w:r>
      <w:r w:rsidR="002D77E4" w:rsidRPr="00723E0F">
        <w:rPr>
          <w:rFonts w:eastAsiaTheme="minorHAnsi" w:cs="Verdana"/>
          <w:lang w:val="es-ES" w:eastAsia="en-US"/>
        </w:rPr>
        <w:t xml:space="preserve"> las publicaciones dispuestas, independientemente del plazo de un año para presentar su primer informe dispuesto en el punto resolutivo </w:t>
      </w:r>
      <w:r w:rsidR="002D4674">
        <w:rPr>
          <w:rFonts w:eastAsiaTheme="minorHAnsi" w:cs="Verdana"/>
          <w:lang w:val="es-ES" w:eastAsia="en-US"/>
        </w:rPr>
        <w:t>24</w:t>
      </w:r>
      <w:r w:rsidR="002D77E4" w:rsidRPr="00723E0F">
        <w:rPr>
          <w:rFonts w:eastAsiaTheme="minorHAnsi" w:cs="Verdana"/>
          <w:lang w:val="es-ES" w:eastAsia="en-US"/>
        </w:rPr>
        <w:t xml:space="preserve"> de la Sentencia.</w:t>
      </w:r>
    </w:p>
    <w:p w14:paraId="65A5D5E9" w14:textId="75E270CC" w:rsidR="00462AF9" w:rsidRDefault="00462AF9" w:rsidP="00462AF9">
      <w:pPr>
        <w:pStyle w:val="Ttulo3"/>
        <w:rPr>
          <w:lang w:val="es-ES"/>
        </w:rPr>
      </w:pPr>
      <w:r>
        <w:rPr>
          <w:lang w:val="es-ES"/>
        </w:rPr>
        <w:tab/>
      </w:r>
      <w:bookmarkStart w:id="102" w:name="_Toc93400269"/>
      <w:r>
        <w:rPr>
          <w:lang w:val="es-ES"/>
        </w:rPr>
        <w:t>d</w:t>
      </w:r>
      <w:r w:rsidRPr="001610BC">
        <w:rPr>
          <w:lang w:val="es-ES"/>
        </w:rPr>
        <w:t>.</w:t>
      </w:r>
      <w:r>
        <w:rPr>
          <w:lang w:val="es-ES"/>
        </w:rPr>
        <w:t>2</w:t>
      </w:r>
      <w:r w:rsidRPr="001610BC">
        <w:rPr>
          <w:lang w:val="es-ES"/>
        </w:rPr>
        <w:t xml:space="preserve"> </w:t>
      </w:r>
      <w:r>
        <w:rPr>
          <w:lang w:val="es-ES"/>
        </w:rPr>
        <w:t>Acto público de reconocimiento de responsabilidad</w:t>
      </w:r>
      <w:bookmarkEnd w:id="102"/>
    </w:p>
    <w:p w14:paraId="0B0E3AF9" w14:textId="419BA711" w:rsidR="00462AF9" w:rsidRPr="009A00F5" w:rsidRDefault="00462AF9" w:rsidP="00462AF9">
      <w:pPr>
        <w:numPr>
          <w:ilvl w:val="0"/>
          <w:numId w:val="4"/>
        </w:numPr>
        <w:tabs>
          <w:tab w:val="left" w:pos="567"/>
          <w:tab w:val="num" w:pos="1569"/>
          <w:tab w:val="num" w:pos="12305"/>
        </w:tabs>
        <w:spacing w:line="240" w:lineRule="auto"/>
        <w:ind w:left="0" w:firstLine="0"/>
        <w:rPr>
          <w:lang w:val="es-ES"/>
        </w:rPr>
      </w:pPr>
      <w:r w:rsidRPr="004F2666">
        <w:rPr>
          <w:rFonts w:cs="Arial"/>
          <w:lang w:val="es-ES"/>
        </w:rPr>
        <w:t xml:space="preserve">Las </w:t>
      </w:r>
      <w:r w:rsidRPr="004F2666">
        <w:rPr>
          <w:rFonts w:cs="Arial"/>
          <w:b/>
          <w:i/>
          <w:lang w:val="es-ES"/>
        </w:rPr>
        <w:t>representantes</w:t>
      </w:r>
      <w:r w:rsidRPr="004F2666">
        <w:rPr>
          <w:rFonts w:eastAsia="Arial" w:cs="Arial"/>
          <w:lang w:val="es-ES"/>
        </w:rPr>
        <w:t xml:space="preserve"> solicitaron que se</w:t>
      </w:r>
      <w:r w:rsidRPr="004F2666">
        <w:t xml:space="preserve"> </w:t>
      </w:r>
      <w:r w:rsidRPr="004F2666">
        <w:rPr>
          <w:rFonts w:eastAsia="Arial" w:cs="Arial"/>
          <w:lang w:val="es-ES"/>
        </w:rPr>
        <w:t xml:space="preserve">ordene al Estado mexicano que reconozca, en un acto público, su </w:t>
      </w:r>
      <w:r w:rsidRPr="00462AF9">
        <w:rPr>
          <w:rFonts w:eastAsia="MS Mincho"/>
          <w:lang w:val="es-ES" w:bidi="en-US"/>
        </w:rPr>
        <w:t>responsabilidad</w:t>
      </w:r>
      <w:r w:rsidRPr="004F2666">
        <w:rPr>
          <w:rFonts w:eastAsia="Arial" w:cs="Arial"/>
          <w:lang w:val="es-ES"/>
        </w:rPr>
        <w:t xml:space="preserve"> por las violaciones cometidas en perjuicio de la señora Digna Ochoa y Plácido y sus </w:t>
      </w:r>
      <w:r w:rsidRPr="00D60EB1">
        <w:rPr>
          <w:lang w:val="es-ES"/>
        </w:rPr>
        <w:t>familiares</w:t>
      </w:r>
      <w:r w:rsidRPr="004F2666">
        <w:rPr>
          <w:rFonts w:eastAsia="Arial" w:cs="Arial"/>
          <w:lang w:val="es-ES"/>
        </w:rPr>
        <w:t>.</w:t>
      </w:r>
      <w:r w:rsidR="009A00F5">
        <w:rPr>
          <w:rFonts w:eastAsia="Arial" w:cs="Arial"/>
          <w:b/>
          <w:lang w:val="es-ES"/>
        </w:rPr>
        <w:t xml:space="preserve"> </w:t>
      </w:r>
    </w:p>
    <w:p w14:paraId="6CA8C05F" w14:textId="77777777" w:rsidR="009A00F5" w:rsidRPr="009A00F5" w:rsidRDefault="009A00F5" w:rsidP="009A00F5">
      <w:pPr>
        <w:tabs>
          <w:tab w:val="left" w:pos="567"/>
        </w:tabs>
        <w:spacing w:line="240" w:lineRule="auto"/>
        <w:rPr>
          <w:lang w:val="es-ES"/>
        </w:rPr>
      </w:pPr>
    </w:p>
    <w:p w14:paraId="787A83CA" w14:textId="3C514F3D" w:rsidR="009A00F5" w:rsidRPr="00462AF9" w:rsidRDefault="009A00F5" w:rsidP="009A00F5">
      <w:pPr>
        <w:numPr>
          <w:ilvl w:val="0"/>
          <w:numId w:val="4"/>
        </w:numPr>
        <w:tabs>
          <w:tab w:val="left" w:pos="567"/>
          <w:tab w:val="num" w:pos="1569"/>
          <w:tab w:val="num" w:pos="12305"/>
        </w:tabs>
        <w:spacing w:line="240" w:lineRule="auto"/>
        <w:ind w:left="0" w:firstLine="0"/>
        <w:rPr>
          <w:rFonts w:eastAsia="MS Mincho"/>
          <w:lang w:val="es-ES" w:bidi="en-US"/>
        </w:rPr>
      </w:pPr>
      <w:r w:rsidRPr="00CE14F0">
        <w:rPr>
          <w:lang w:val="es-ES"/>
        </w:rPr>
        <w:t xml:space="preserve">En su escrito de alegatos finales, y derivado del reconocimiento parcial de responsabilidad realizado por el </w:t>
      </w:r>
      <w:r w:rsidRPr="00CE14F0">
        <w:rPr>
          <w:b/>
          <w:i/>
          <w:lang w:val="es-ES"/>
        </w:rPr>
        <w:t>Estado</w:t>
      </w:r>
      <w:r w:rsidRPr="00CE14F0">
        <w:rPr>
          <w:lang w:val="es-ES"/>
        </w:rPr>
        <w:t xml:space="preserve">, este se comprometió a </w:t>
      </w:r>
      <w:r w:rsidRPr="00CE14F0">
        <w:rPr>
          <w:rFonts w:eastAsia="MS Mincho"/>
          <w:lang w:val="es-ES" w:bidi="en-US"/>
        </w:rPr>
        <w:t>realizar</w:t>
      </w:r>
      <w:r w:rsidRPr="00CE14F0">
        <w:rPr>
          <w:lang w:val="es-ES"/>
        </w:rPr>
        <w:t xml:space="preserve"> </w:t>
      </w:r>
      <w:r w:rsidRPr="00CE14F0">
        <w:rPr>
          <w:rFonts w:eastAsia="MS Mincho"/>
          <w:lang w:val="es-ES" w:bidi="en-US"/>
        </w:rPr>
        <w:t>un “un acto público de reconocimiento de responsabilidad en el que intervendrán las máximas autoridades como representantes”.</w:t>
      </w:r>
      <w:r w:rsidRPr="009A00F5">
        <w:rPr>
          <w:rFonts w:eastAsia="MS Mincho"/>
          <w:b/>
          <w:lang w:val="es-ES" w:bidi="en-US"/>
        </w:rPr>
        <w:t xml:space="preserve"> </w:t>
      </w:r>
      <w:r w:rsidRPr="00CE14F0">
        <w:rPr>
          <w:rFonts w:eastAsia="MS Mincho"/>
          <w:lang w:val="es-ES" w:bidi="en-US"/>
        </w:rPr>
        <w:t xml:space="preserve">Posteriormente, en </w:t>
      </w:r>
      <w:r>
        <w:rPr>
          <w:rFonts w:eastAsia="MS Mincho"/>
          <w:lang w:val="es-ES" w:bidi="en-US"/>
        </w:rPr>
        <w:t>el referido</w:t>
      </w:r>
      <w:r w:rsidRPr="00CE14F0">
        <w:rPr>
          <w:rFonts w:eastAsia="MS Mincho"/>
          <w:lang w:val="es-ES" w:bidi="en-US"/>
        </w:rPr>
        <w:t xml:space="preserve"> escrito de 7 de junio de 2021, el Estado precisó el alcance de </w:t>
      </w:r>
      <w:r>
        <w:rPr>
          <w:rFonts w:eastAsia="MS Mincho"/>
          <w:lang w:val="es-ES" w:bidi="en-US"/>
        </w:rPr>
        <w:t>estas</w:t>
      </w:r>
      <w:r w:rsidRPr="00CE14F0">
        <w:rPr>
          <w:rFonts w:eastAsia="MS Mincho"/>
          <w:lang w:val="es-ES" w:bidi="en-US"/>
        </w:rPr>
        <w:t xml:space="preserve"> medidas de reparación, </w:t>
      </w:r>
      <w:r>
        <w:rPr>
          <w:rFonts w:eastAsia="MS Mincho"/>
          <w:lang w:val="es-ES" w:bidi="en-US"/>
        </w:rPr>
        <w:t>e indicó</w:t>
      </w:r>
      <w:r w:rsidRPr="00CE14F0">
        <w:rPr>
          <w:rFonts w:eastAsia="MS Mincho"/>
          <w:lang w:val="es-ES" w:bidi="en-US"/>
        </w:rPr>
        <w:t xml:space="preserve"> que el acto público de reconocimiento contaría con la participación de las personas víctimas y su representación y, además, acordará con estos la modalidad de </w:t>
      </w:r>
      <w:r>
        <w:rPr>
          <w:rFonts w:eastAsia="MS Mincho"/>
          <w:lang w:val="es-ES" w:bidi="en-US"/>
        </w:rPr>
        <w:t>cumplimiento</w:t>
      </w:r>
      <w:r w:rsidRPr="00CE14F0">
        <w:rPr>
          <w:rFonts w:eastAsia="MS Mincho"/>
          <w:lang w:val="es-ES" w:bidi="en-US"/>
        </w:rPr>
        <w:t xml:space="preserve"> de dicho acto. Indicó que el acto </w:t>
      </w:r>
      <w:r w:rsidRPr="00CE14F0">
        <w:rPr>
          <w:rFonts w:eastAsiaTheme="minorHAnsi"/>
          <w:lang w:eastAsia="en-US"/>
        </w:rPr>
        <w:t>se difundirá a través de los medios de comunicación que las partes convoquen al Acto de Reconocimiento, así como por medio de redes sociales de la Secretaría de Gobernación y la Secretaría (SEGOB) de Relaciones Exteriores (SRE). A su vez, la versión estenográfica y audiovisual del acto de reconocimiento se publicará en las páginas electrónicas de SEGOB y de la SRE</w:t>
      </w:r>
      <w:r w:rsidRPr="00723E0F">
        <w:rPr>
          <w:rFonts w:eastAsiaTheme="minorHAnsi"/>
          <w:lang w:eastAsia="en-US"/>
        </w:rPr>
        <w:t>.</w:t>
      </w:r>
      <w:r>
        <w:rPr>
          <w:rFonts w:eastAsiaTheme="minorHAnsi"/>
          <w:lang w:eastAsia="en-US"/>
        </w:rPr>
        <w:t xml:space="preserve"> </w:t>
      </w:r>
      <w:r w:rsidRPr="00C50D84">
        <w:rPr>
          <w:rFonts w:eastAsia="MS Mincho"/>
          <w:lang w:val="es-ES" w:bidi="en-US"/>
        </w:rPr>
        <w:t xml:space="preserve">El 11 de junio de 2021 </w:t>
      </w:r>
      <w:r>
        <w:rPr>
          <w:rFonts w:eastAsia="MS Mincho"/>
          <w:lang w:val="es-ES" w:bidi="en-US"/>
        </w:rPr>
        <w:t>las representantes</w:t>
      </w:r>
      <w:r w:rsidRPr="00C50D84">
        <w:rPr>
          <w:rFonts w:eastAsia="MS Mincho"/>
          <w:lang w:val="es-ES" w:bidi="en-US"/>
        </w:rPr>
        <w:t xml:space="preserve"> remitieron sus observaciones </w:t>
      </w:r>
      <w:r>
        <w:rPr>
          <w:rFonts w:eastAsia="MS Mincho"/>
          <w:lang w:val="es-ES" w:bidi="en-US"/>
        </w:rPr>
        <w:t xml:space="preserve">respecto del referido escrito estatal de 7 de junio y </w:t>
      </w:r>
      <w:r w:rsidRPr="00C50D84">
        <w:rPr>
          <w:rFonts w:eastAsia="MS Mincho"/>
          <w:lang w:val="es-ES" w:bidi="en-US"/>
        </w:rPr>
        <w:t>confirmaron que esta medida</w:t>
      </w:r>
      <w:r>
        <w:rPr>
          <w:rFonts w:eastAsia="MS Mincho"/>
          <w:lang w:val="es-ES" w:bidi="en-US"/>
        </w:rPr>
        <w:t xml:space="preserve"> </w:t>
      </w:r>
      <w:r w:rsidRPr="00C50D84">
        <w:rPr>
          <w:rFonts w:eastAsia="MS Mincho"/>
          <w:lang w:val="es-ES" w:bidi="en-US"/>
        </w:rPr>
        <w:t xml:space="preserve">correspondía </w:t>
      </w:r>
      <w:r>
        <w:rPr>
          <w:rFonts w:eastAsia="MS Mincho"/>
          <w:lang w:val="es-ES" w:bidi="en-US"/>
        </w:rPr>
        <w:t>con</w:t>
      </w:r>
      <w:r w:rsidRPr="00C50D84">
        <w:rPr>
          <w:rFonts w:eastAsia="MS Mincho"/>
          <w:lang w:val="es-ES" w:bidi="en-US"/>
        </w:rPr>
        <w:t xml:space="preserve"> los acuerdos alcanzados entre las partes</w:t>
      </w:r>
      <w:r>
        <w:rPr>
          <w:rFonts w:eastAsia="MS Mincho"/>
          <w:lang w:val="es-ES" w:bidi="en-US"/>
        </w:rPr>
        <w:t>.</w:t>
      </w:r>
      <w:r>
        <w:rPr>
          <w:rFonts w:eastAsia="MS Mincho"/>
          <w:b/>
          <w:lang w:val="es-ES" w:bidi="en-US"/>
        </w:rPr>
        <w:t xml:space="preserve"> </w:t>
      </w:r>
    </w:p>
    <w:p w14:paraId="2D4CF7F2" w14:textId="77777777" w:rsidR="00462AF9" w:rsidRPr="00462AF9" w:rsidRDefault="00462AF9" w:rsidP="00462AF9">
      <w:pPr>
        <w:tabs>
          <w:tab w:val="left" w:pos="567"/>
          <w:tab w:val="num" w:pos="12305"/>
        </w:tabs>
        <w:spacing w:line="240" w:lineRule="auto"/>
        <w:rPr>
          <w:lang w:val="es-ES"/>
        </w:rPr>
      </w:pPr>
    </w:p>
    <w:p w14:paraId="556E195A" w14:textId="248220C1" w:rsidR="00723E0F" w:rsidRPr="009A00F5" w:rsidRDefault="00723E0F" w:rsidP="00F559D9">
      <w:pPr>
        <w:numPr>
          <w:ilvl w:val="0"/>
          <w:numId w:val="4"/>
        </w:numPr>
        <w:tabs>
          <w:tab w:val="left" w:pos="567"/>
          <w:tab w:val="num" w:pos="1569"/>
          <w:tab w:val="num" w:pos="12305"/>
        </w:tabs>
        <w:spacing w:line="240" w:lineRule="auto"/>
        <w:ind w:left="0" w:firstLine="0"/>
        <w:rPr>
          <w:rFonts w:eastAsia="MS Mincho"/>
          <w:i/>
          <w:lang w:val="es-ES" w:bidi="en-US"/>
        </w:rPr>
      </w:pPr>
      <w:r w:rsidRPr="009A00F5">
        <w:rPr>
          <w:rFonts w:eastAsia="MS Mincho"/>
          <w:lang w:val="es-ES" w:bidi="en-US"/>
        </w:rPr>
        <w:t xml:space="preserve">Asimismo, </w:t>
      </w:r>
      <w:r w:rsidR="001064F4" w:rsidRPr="009A00F5">
        <w:rPr>
          <w:rFonts w:eastAsia="MS Mincho"/>
          <w:lang w:val="es-ES" w:bidi="en-US"/>
        </w:rPr>
        <w:t xml:space="preserve">la </w:t>
      </w:r>
      <w:r w:rsidR="001064F4" w:rsidRPr="009A00F5">
        <w:rPr>
          <w:rFonts w:eastAsia="MS Mincho"/>
          <w:b/>
          <w:i/>
          <w:lang w:val="es-ES" w:bidi="en-US"/>
        </w:rPr>
        <w:t>Corte</w:t>
      </w:r>
      <w:r w:rsidR="001064F4" w:rsidRPr="009A00F5">
        <w:rPr>
          <w:rFonts w:eastAsia="MS Mincho"/>
          <w:lang w:val="es-ES" w:bidi="en-US"/>
        </w:rPr>
        <w:t xml:space="preserve"> valora positivamente la voluntad del Estado de realizar un</w:t>
      </w:r>
      <w:r w:rsidRPr="009A00F5">
        <w:rPr>
          <w:rFonts w:eastAsia="MS Mincho"/>
          <w:lang w:val="es-ES" w:bidi="en-US"/>
        </w:rPr>
        <w:t xml:space="preserve"> acto público de reconocimiento de responsabilidad</w:t>
      </w:r>
      <w:r w:rsidR="00FE71B7" w:rsidRPr="009A00F5">
        <w:rPr>
          <w:rFonts w:eastAsia="MS Mincho"/>
          <w:lang w:val="es-ES" w:bidi="en-US"/>
        </w:rPr>
        <w:t>.</w:t>
      </w:r>
      <w:r w:rsidR="001064F4" w:rsidRPr="009A00F5">
        <w:rPr>
          <w:rFonts w:eastAsia="MS Mincho"/>
          <w:lang w:val="es-ES" w:bidi="en-US"/>
        </w:rPr>
        <w:t xml:space="preserve"> </w:t>
      </w:r>
      <w:r w:rsidR="009A00F5">
        <w:rPr>
          <w:rFonts w:eastAsia="MS Mincho"/>
          <w:lang w:val="es-ES" w:bidi="en-US"/>
        </w:rPr>
        <w:t>La Corte, determina, por tanto, que el Estado deberá realizar</w:t>
      </w:r>
      <w:r w:rsidR="002942EC">
        <w:rPr>
          <w:rFonts w:eastAsia="MS Mincho"/>
          <w:lang w:val="es-ES" w:bidi="en-US"/>
        </w:rPr>
        <w:t xml:space="preserve"> </w:t>
      </w:r>
      <w:r w:rsidR="009A00F5" w:rsidRPr="009A00F5">
        <w:rPr>
          <w:rFonts w:eastAsia="MS Mincho"/>
          <w:lang w:val="es-ES" w:bidi="en-US"/>
        </w:rPr>
        <w:t>un</w:t>
      </w:r>
      <w:r w:rsidR="002942EC">
        <w:rPr>
          <w:rFonts w:eastAsia="MS Mincho"/>
          <w:lang w:val="es-ES" w:bidi="en-US"/>
        </w:rPr>
        <w:t xml:space="preserve"> </w:t>
      </w:r>
      <w:r w:rsidR="009A00F5" w:rsidRPr="009A00F5">
        <w:rPr>
          <w:rFonts w:eastAsia="MS Mincho"/>
          <w:lang w:val="es-ES" w:bidi="en-US"/>
        </w:rPr>
        <w:t>acto</w:t>
      </w:r>
      <w:r w:rsidR="002942EC">
        <w:rPr>
          <w:rFonts w:eastAsia="MS Mincho"/>
          <w:lang w:val="es-ES" w:bidi="en-US"/>
        </w:rPr>
        <w:t xml:space="preserve"> </w:t>
      </w:r>
      <w:r w:rsidR="009A00F5" w:rsidRPr="009A00F5">
        <w:rPr>
          <w:rFonts w:eastAsia="MS Mincho"/>
          <w:lang w:val="es-ES" w:bidi="en-US"/>
        </w:rPr>
        <w:t>público</w:t>
      </w:r>
      <w:r w:rsidR="002942EC">
        <w:rPr>
          <w:rFonts w:eastAsia="MS Mincho"/>
          <w:lang w:val="es-ES" w:bidi="en-US"/>
        </w:rPr>
        <w:t xml:space="preserve"> </w:t>
      </w:r>
      <w:r w:rsidR="009A00F5" w:rsidRPr="009A00F5">
        <w:rPr>
          <w:rFonts w:eastAsia="MS Mincho"/>
          <w:lang w:val="es-ES" w:bidi="en-US"/>
        </w:rPr>
        <w:t>de</w:t>
      </w:r>
      <w:r w:rsidR="002942EC">
        <w:rPr>
          <w:rFonts w:eastAsia="MS Mincho"/>
          <w:lang w:val="es-ES" w:bidi="en-US"/>
        </w:rPr>
        <w:t xml:space="preserve"> </w:t>
      </w:r>
      <w:r w:rsidR="009A00F5" w:rsidRPr="009A00F5">
        <w:rPr>
          <w:rFonts w:eastAsia="MS Mincho"/>
          <w:lang w:val="es-ES" w:bidi="en-US"/>
        </w:rPr>
        <w:t>reconocimiento</w:t>
      </w:r>
      <w:r w:rsidR="002942EC">
        <w:rPr>
          <w:rFonts w:eastAsia="MS Mincho"/>
          <w:lang w:val="es-ES" w:bidi="en-US"/>
        </w:rPr>
        <w:t xml:space="preserve"> </w:t>
      </w:r>
      <w:r w:rsidR="009A00F5" w:rsidRPr="009A00F5">
        <w:rPr>
          <w:rFonts w:eastAsia="MS Mincho"/>
          <w:lang w:val="es-ES" w:bidi="en-US"/>
        </w:rPr>
        <w:t xml:space="preserve">de responsabilidad internacional en </w:t>
      </w:r>
      <w:r w:rsidR="009A00F5" w:rsidRPr="009A00F5">
        <w:rPr>
          <w:lang w:val="es-ES"/>
        </w:rPr>
        <w:t>relación</w:t>
      </w:r>
      <w:r w:rsidR="009A00F5" w:rsidRPr="009A00F5">
        <w:rPr>
          <w:rFonts w:eastAsia="MS Mincho"/>
          <w:lang w:val="es-ES" w:bidi="en-US"/>
        </w:rPr>
        <w:t xml:space="preserve"> con los hechos del presente cas</w:t>
      </w:r>
      <w:r w:rsidR="009A00F5">
        <w:rPr>
          <w:rFonts w:eastAsia="MS Mincho"/>
          <w:lang w:val="es-ES" w:bidi="en-US"/>
        </w:rPr>
        <w:t>o</w:t>
      </w:r>
      <w:r w:rsidR="002E747E">
        <w:rPr>
          <w:rFonts w:eastAsia="MS Mincho"/>
          <w:lang w:val="es-ES" w:bidi="en-US"/>
        </w:rPr>
        <w:t xml:space="preserve">, </w:t>
      </w:r>
      <w:r w:rsidR="002E747E" w:rsidRPr="002D4674">
        <w:rPr>
          <w:rFonts w:eastAsia="MS Mincho"/>
          <w:lang w:val="es-ES" w:bidi="en-US"/>
        </w:rPr>
        <w:t xml:space="preserve">donde el Estado realice un reconocimiento expreso sobre la labor de las defensoras y defensores de derechos humanos, así como una condena expresa a todo tipo de atentados y delitos que se cometan </w:t>
      </w:r>
      <w:r w:rsidR="002942EC" w:rsidRPr="002D4674">
        <w:rPr>
          <w:rFonts w:eastAsia="MS Mincho"/>
          <w:lang w:val="es-ES" w:bidi="en-US"/>
        </w:rPr>
        <w:t>contra</w:t>
      </w:r>
      <w:r w:rsidR="002E747E" w:rsidRPr="002D4674">
        <w:rPr>
          <w:rFonts w:eastAsia="MS Mincho"/>
          <w:lang w:val="es-ES" w:bidi="en-US"/>
        </w:rPr>
        <w:t xml:space="preserve"> ellas y ellos</w:t>
      </w:r>
      <w:r w:rsidR="009A00F5" w:rsidRPr="002D4674">
        <w:rPr>
          <w:rFonts w:eastAsia="MS Mincho"/>
          <w:lang w:val="es-ES" w:bidi="en-US"/>
        </w:rPr>
        <w:t>.</w:t>
      </w:r>
      <w:r w:rsidR="009A00F5">
        <w:rPr>
          <w:rFonts w:eastAsia="MS Mincho"/>
          <w:lang w:val="es-ES" w:bidi="en-US"/>
        </w:rPr>
        <w:t xml:space="preserve"> </w:t>
      </w:r>
      <w:r w:rsidR="001064F4" w:rsidRPr="009A00F5">
        <w:rPr>
          <w:rFonts w:eastAsia="MS Mincho"/>
          <w:lang w:val="es-ES" w:bidi="en-US"/>
        </w:rPr>
        <w:t xml:space="preserve">De conformidad con lo acordado por las partes, en dicho acto </w:t>
      </w:r>
      <w:r w:rsidR="001064F4" w:rsidRPr="009A00F5">
        <w:rPr>
          <w:rFonts w:cs="Arial"/>
        </w:rPr>
        <w:lastRenderedPageBreak/>
        <w:t>inte</w:t>
      </w:r>
      <w:r w:rsidRPr="009A00F5">
        <w:rPr>
          <w:rFonts w:cs="Arial"/>
        </w:rPr>
        <w:t>rvendrán</w:t>
      </w:r>
      <w:r w:rsidRPr="009A00F5">
        <w:rPr>
          <w:rFonts w:eastAsia="MS Mincho"/>
          <w:lang w:val="es-ES" w:bidi="en-US"/>
        </w:rPr>
        <w:t xml:space="preserve"> las máximas autoridades </w:t>
      </w:r>
      <w:r w:rsidR="0092386E" w:rsidRPr="009A00F5">
        <w:rPr>
          <w:rFonts w:eastAsia="MS Mincho"/>
          <w:lang w:val="es-ES" w:bidi="en-US"/>
        </w:rPr>
        <w:t>del Estado</w:t>
      </w:r>
      <w:r w:rsidRPr="009A00F5">
        <w:rPr>
          <w:rFonts w:eastAsia="MS Mincho"/>
          <w:lang w:val="es-ES" w:bidi="en-US"/>
        </w:rPr>
        <w:t xml:space="preserve"> y contará con la participación de las víctimas y su representación. </w:t>
      </w:r>
      <w:r w:rsidRPr="009A00F5">
        <w:rPr>
          <w:lang w:val="es-ES"/>
        </w:rPr>
        <w:t>Además</w:t>
      </w:r>
      <w:r w:rsidRPr="009A00F5">
        <w:rPr>
          <w:rFonts w:eastAsia="MS Mincho"/>
          <w:lang w:val="es-ES" w:bidi="en-US"/>
        </w:rPr>
        <w:t xml:space="preserve">, acordará con estos la modalidad de cumplimiento de dicho acto. El acto </w:t>
      </w:r>
      <w:r w:rsidRPr="009A00F5">
        <w:rPr>
          <w:rFonts w:eastAsiaTheme="minorHAnsi"/>
        </w:rPr>
        <w:t xml:space="preserve">se difundirá a través de los medios de comunicación que las partes convoquen al </w:t>
      </w:r>
      <w:r w:rsidR="0092386E" w:rsidRPr="009A00F5">
        <w:rPr>
          <w:rFonts w:eastAsiaTheme="minorHAnsi"/>
        </w:rPr>
        <w:t>acto</w:t>
      </w:r>
      <w:r w:rsidRPr="009A00F5">
        <w:rPr>
          <w:rFonts w:eastAsiaTheme="minorHAnsi"/>
        </w:rPr>
        <w:t xml:space="preserve">, así como por medio de redes sociales de la Secretaría de Gobernación </w:t>
      </w:r>
      <w:r w:rsidR="0092386E" w:rsidRPr="009A00F5">
        <w:rPr>
          <w:rFonts w:eastAsiaTheme="minorHAnsi"/>
        </w:rPr>
        <w:t xml:space="preserve">(SEGOB) </w:t>
      </w:r>
      <w:r w:rsidRPr="009A00F5">
        <w:rPr>
          <w:rFonts w:eastAsiaTheme="minorHAnsi"/>
        </w:rPr>
        <w:t xml:space="preserve">y la Secretaría de Relaciones Exteriores (SRE). A su vez, la versión estenográfica y audiovisual del acto de reconocimiento se publicará en las páginas electrónicas de </w:t>
      </w:r>
      <w:r w:rsidR="0092386E" w:rsidRPr="009A00F5">
        <w:rPr>
          <w:rFonts w:eastAsiaTheme="minorHAnsi"/>
        </w:rPr>
        <w:t>ambas Secretarías.</w:t>
      </w:r>
      <w:r w:rsidR="00847C1C" w:rsidRPr="00847C1C">
        <w:t xml:space="preserve"> </w:t>
      </w:r>
      <w:r w:rsidR="00847C1C" w:rsidRPr="009A00F5">
        <w:rPr>
          <w:rFonts w:eastAsiaTheme="minorHAnsi"/>
        </w:rPr>
        <w:t>Para cumplir con esta obligación el Estado cuenta con un plazo de un año a partir de la notificación de la presente Sentencia.</w:t>
      </w:r>
      <w:r w:rsidR="00C36D2B">
        <w:rPr>
          <w:rFonts w:eastAsiaTheme="minorHAnsi"/>
        </w:rPr>
        <w:t xml:space="preserve"> </w:t>
      </w:r>
    </w:p>
    <w:p w14:paraId="5D66AC7B" w14:textId="0819FF0C" w:rsidR="00B52909" w:rsidRPr="004F2666" w:rsidRDefault="00B95745" w:rsidP="00B52909">
      <w:pPr>
        <w:pStyle w:val="Ttulo2"/>
        <w:rPr>
          <w:lang w:val="es-ES" w:bidi="en-US"/>
        </w:rPr>
      </w:pPr>
      <w:bookmarkStart w:id="103" w:name="_Toc93400270"/>
      <w:r w:rsidRPr="004F2666">
        <w:rPr>
          <w:lang w:val="es-ES"/>
        </w:rPr>
        <w:t>E</w:t>
      </w:r>
      <w:r w:rsidR="00B52909" w:rsidRPr="004F2666">
        <w:rPr>
          <w:lang w:val="es-ES"/>
        </w:rPr>
        <w:t xml:space="preserve">. </w:t>
      </w:r>
      <w:r w:rsidR="00073397" w:rsidRPr="004F2666">
        <w:rPr>
          <w:lang w:val="es-ES"/>
        </w:rPr>
        <w:t xml:space="preserve">Garantías </w:t>
      </w:r>
      <w:r w:rsidR="00B52909" w:rsidRPr="004F2666">
        <w:rPr>
          <w:lang w:val="es-ES"/>
        </w:rPr>
        <w:t>de no repetición</w:t>
      </w:r>
      <w:bookmarkEnd w:id="103"/>
    </w:p>
    <w:p w14:paraId="525941BE" w14:textId="3E59606A" w:rsidR="00F0234C" w:rsidRPr="004F2666" w:rsidRDefault="00F0234C" w:rsidP="00D60EB1">
      <w:pPr>
        <w:numPr>
          <w:ilvl w:val="0"/>
          <w:numId w:val="4"/>
        </w:numPr>
        <w:tabs>
          <w:tab w:val="left" w:pos="567"/>
          <w:tab w:val="num" w:pos="1569"/>
          <w:tab w:val="num" w:pos="12305"/>
        </w:tabs>
        <w:spacing w:line="240" w:lineRule="auto"/>
        <w:ind w:left="0" w:firstLine="0"/>
        <w:rPr>
          <w:rFonts w:cs="Arial"/>
        </w:rPr>
      </w:pPr>
      <w:r w:rsidRPr="004F2666">
        <w:rPr>
          <w:rFonts w:cs="Arial"/>
        </w:rPr>
        <w:t xml:space="preserve">La </w:t>
      </w:r>
      <w:r w:rsidRPr="004F2666">
        <w:rPr>
          <w:rFonts w:cs="Arial"/>
          <w:b/>
          <w:i/>
        </w:rPr>
        <w:t>Comisión</w:t>
      </w:r>
      <w:r w:rsidRPr="004F2666">
        <w:rPr>
          <w:rFonts w:cs="Arial"/>
        </w:rPr>
        <w:t xml:space="preserve"> recomendó que el Estado dispusiera de mecanismos de no repetición que incluyan el “fortalecimiento de la capacidad investigativa de actos de violencia contra defensoras y defensores de derechos </w:t>
      </w:r>
      <w:r w:rsidRPr="00D60EB1">
        <w:rPr>
          <w:lang w:val="es-ES"/>
        </w:rPr>
        <w:t>humanos</w:t>
      </w:r>
      <w:r w:rsidRPr="004F2666">
        <w:rPr>
          <w:rFonts w:cs="Arial"/>
        </w:rPr>
        <w:t>, a la luz de las directrices mencion</w:t>
      </w:r>
      <w:r w:rsidR="00D60EB1">
        <w:rPr>
          <w:rFonts w:cs="Arial"/>
        </w:rPr>
        <w:t>adas en el presente Informe de F</w:t>
      </w:r>
      <w:r w:rsidRPr="004F2666">
        <w:rPr>
          <w:rFonts w:cs="Arial"/>
        </w:rPr>
        <w:t xml:space="preserve">ondo, lo que deberá incluir el diseño y puesta en práctica de protocolos, así como las medidas de fortalecimiento institucional y debida capacitación a todas las autoridades que entran en contacto con este tipo de casos, desde policiales, hasta ministeriales y judiciales”. </w:t>
      </w:r>
    </w:p>
    <w:p w14:paraId="453BEA2B" w14:textId="77777777" w:rsidR="00F0234C" w:rsidRPr="004F2666" w:rsidRDefault="00F0234C" w:rsidP="00F0234C">
      <w:pPr>
        <w:spacing w:line="240" w:lineRule="auto"/>
        <w:rPr>
          <w:rFonts w:cs="Arial"/>
        </w:rPr>
      </w:pPr>
    </w:p>
    <w:p w14:paraId="2E07F318" w14:textId="4C32A271" w:rsidR="00462AF9" w:rsidRDefault="00183EC9" w:rsidP="00462AF9">
      <w:pPr>
        <w:numPr>
          <w:ilvl w:val="0"/>
          <w:numId w:val="4"/>
        </w:numPr>
        <w:tabs>
          <w:tab w:val="left" w:pos="567"/>
          <w:tab w:val="num" w:pos="1569"/>
          <w:tab w:val="num" w:pos="12305"/>
        </w:tabs>
        <w:spacing w:line="240" w:lineRule="auto"/>
        <w:ind w:left="0" w:firstLine="0"/>
        <w:rPr>
          <w:rFonts w:eastAsia="Arial" w:cs="Arial"/>
          <w:b/>
          <w:lang w:val="es-ES"/>
        </w:rPr>
      </w:pPr>
      <w:r>
        <w:rPr>
          <w:lang w:val="es-ES"/>
        </w:rPr>
        <w:t xml:space="preserve">Las </w:t>
      </w:r>
      <w:r w:rsidRPr="00462AF9">
        <w:rPr>
          <w:b/>
          <w:i/>
          <w:lang w:val="es-ES"/>
        </w:rPr>
        <w:t>representantes</w:t>
      </w:r>
      <w:r w:rsidR="00F0234C" w:rsidRPr="004F2666">
        <w:rPr>
          <w:lang w:val="es-ES"/>
        </w:rPr>
        <w:t xml:space="preserve"> </w:t>
      </w:r>
      <w:r w:rsidR="00F0234C" w:rsidRPr="004F2666">
        <w:rPr>
          <w:rFonts w:eastAsia="MS Mincho" w:cs="Verdana"/>
          <w:snapToGrid w:val="0"/>
          <w:lang w:val="es-ES" w:eastAsia="es-ES" w:bidi="en-US"/>
        </w:rPr>
        <w:t>solicitaron</w:t>
      </w:r>
      <w:r w:rsidR="00F0234C" w:rsidRPr="004F2666">
        <w:rPr>
          <w:lang w:val="es-ES"/>
        </w:rPr>
        <w:t xml:space="preserve"> que </w:t>
      </w:r>
      <w:r w:rsidR="00462AF9" w:rsidRPr="004F2666">
        <w:rPr>
          <w:rFonts w:eastAsia="Arial" w:cs="Arial"/>
          <w:lang w:val="es-ES"/>
        </w:rPr>
        <w:t>la entrega de un reconocimiento anual que lleve el nombre de la abogada Digna Ochoa y Plácido, el cual deberá ser otorgado a mujeres defensoras de derechos humanos cuya labor se haya destacado en el último año.</w:t>
      </w:r>
      <w:r w:rsidR="00462AF9" w:rsidRPr="004F2666">
        <w:rPr>
          <w:rFonts w:eastAsia="Arial" w:cs="Arial"/>
          <w:b/>
          <w:lang w:val="es-ES"/>
        </w:rPr>
        <w:t xml:space="preserve"> </w:t>
      </w:r>
    </w:p>
    <w:p w14:paraId="6F82D2FC" w14:textId="77777777" w:rsidR="00462AF9" w:rsidRPr="004F2666" w:rsidRDefault="00462AF9" w:rsidP="00462AF9">
      <w:pPr>
        <w:tabs>
          <w:tab w:val="left" w:pos="567"/>
        </w:tabs>
        <w:spacing w:line="240" w:lineRule="auto"/>
        <w:rPr>
          <w:rFonts w:eastAsia="Arial" w:cs="Arial"/>
          <w:b/>
          <w:lang w:val="es-ES"/>
        </w:rPr>
      </w:pPr>
    </w:p>
    <w:p w14:paraId="26934CCA" w14:textId="61267063" w:rsidR="00F0234C" w:rsidRPr="004F2666" w:rsidRDefault="00462AF9" w:rsidP="00D60EB1">
      <w:pPr>
        <w:numPr>
          <w:ilvl w:val="0"/>
          <w:numId w:val="4"/>
        </w:numPr>
        <w:tabs>
          <w:tab w:val="left" w:pos="567"/>
          <w:tab w:val="num" w:pos="1569"/>
          <w:tab w:val="num" w:pos="12305"/>
        </w:tabs>
        <w:spacing w:line="240" w:lineRule="auto"/>
        <w:ind w:left="0" w:firstLine="0"/>
        <w:rPr>
          <w:lang w:val="es-ES"/>
        </w:rPr>
      </w:pPr>
      <w:r>
        <w:rPr>
          <w:lang w:val="es-ES"/>
        </w:rPr>
        <w:t>Asimismo, solicitaron que es</w:t>
      </w:r>
      <w:r w:rsidR="00F147BD">
        <w:rPr>
          <w:lang w:val="es-ES"/>
        </w:rPr>
        <w:t>t</w:t>
      </w:r>
      <w:r>
        <w:rPr>
          <w:lang w:val="es-ES"/>
        </w:rPr>
        <w:t xml:space="preserve">a Corte </w:t>
      </w:r>
      <w:r w:rsidR="00F0234C" w:rsidRPr="004F2666">
        <w:rPr>
          <w:lang w:val="es-ES"/>
        </w:rPr>
        <w:t xml:space="preserve">ordene al Estado mexicano la aprobación y debida implementación </w:t>
      </w:r>
      <w:r>
        <w:rPr>
          <w:lang w:val="es-ES"/>
        </w:rPr>
        <w:t xml:space="preserve">de un protocolo homologado para la investigación con la debida diligencia y perspectiva de género, de crímenes cometidos contra </w:t>
      </w:r>
      <w:r w:rsidR="0079556F">
        <w:rPr>
          <w:lang w:val="es-ES"/>
        </w:rPr>
        <w:t xml:space="preserve">las </w:t>
      </w:r>
      <w:r w:rsidR="0079556F" w:rsidRPr="001879D7">
        <w:t xml:space="preserve">defensoras </w:t>
      </w:r>
      <w:r w:rsidR="0079556F">
        <w:t xml:space="preserve">y defensores </w:t>
      </w:r>
      <w:r>
        <w:rPr>
          <w:lang w:val="es-ES"/>
        </w:rPr>
        <w:t>de derechos humanos</w:t>
      </w:r>
      <w:r w:rsidR="00F0234C" w:rsidRPr="004F2666">
        <w:rPr>
          <w:lang w:val="es-ES"/>
        </w:rPr>
        <w:t>, el cual debe considerar lo siguiente:</w:t>
      </w:r>
    </w:p>
    <w:p w14:paraId="7BF59AB3" w14:textId="77777777" w:rsidR="00F0234C" w:rsidRPr="004F2666" w:rsidRDefault="00F0234C" w:rsidP="00F0234C">
      <w:pPr>
        <w:spacing w:line="240" w:lineRule="auto"/>
        <w:rPr>
          <w:lang w:val="es-ES"/>
        </w:rPr>
      </w:pPr>
    </w:p>
    <w:p w14:paraId="183CC382" w14:textId="77777777"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El concepto de persona defensora de derechos humanos;</w:t>
      </w:r>
    </w:p>
    <w:p w14:paraId="6E251D14" w14:textId="77777777" w:rsidR="00F0234C" w:rsidRPr="004F2666" w:rsidRDefault="00F0234C" w:rsidP="00F0234C">
      <w:pPr>
        <w:spacing w:line="240" w:lineRule="auto"/>
        <w:ind w:left="426"/>
        <w:rPr>
          <w:lang w:val="es-ES"/>
        </w:rPr>
      </w:pPr>
    </w:p>
    <w:p w14:paraId="20D973B7" w14:textId="77777777"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 xml:space="preserve">Los estándares sobre el desarrollo de instrumentos de investigación con la debida diligencia, incluyendo las mejores prácticas y estándares internacionales sobre debida diligencia según el tipo de delito (por ejemplo, ejecuciones extrajudiciales, asesinatos, tortura, amenazas, </w:t>
      </w:r>
      <w:r w:rsidRPr="004F2666">
        <w:rPr>
          <w:i/>
          <w:lang w:val="es-ES"/>
        </w:rPr>
        <w:t xml:space="preserve">inter </w:t>
      </w:r>
      <w:proofErr w:type="spellStart"/>
      <w:r w:rsidRPr="004F2666">
        <w:rPr>
          <w:i/>
          <w:lang w:val="es-ES"/>
        </w:rPr>
        <w:t>alia</w:t>
      </w:r>
      <w:proofErr w:type="spellEnd"/>
      <w:r w:rsidRPr="004F2666">
        <w:rPr>
          <w:lang w:val="es-ES"/>
        </w:rPr>
        <w:t>);</w:t>
      </w:r>
    </w:p>
    <w:p w14:paraId="5138F93D" w14:textId="77777777" w:rsidR="00F0234C" w:rsidRPr="004F2666" w:rsidRDefault="00F0234C" w:rsidP="00F0234C">
      <w:pPr>
        <w:pStyle w:val="Prrafodelista"/>
        <w:spacing w:line="240" w:lineRule="auto"/>
        <w:ind w:left="426"/>
        <w:rPr>
          <w:lang w:val="es-ES"/>
        </w:rPr>
      </w:pPr>
    </w:p>
    <w:p w14:paraId="11BE7720" w14:textId="75AE1B12"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Los riesgos inherentes a la labor de defensa de los derechos humanos en México</w:t>
      </w:r>
      <w:r w:rsidR="0092386E">
        <w:rPr>
          <w:lang w:val="es-ES"/>
        </w:rPr>
        <w:t>;</w:t>
      </w:r>
    </w:p>
    <w:p w14:paraId="52ECB18F" w14:textId="77777777" w:rsidR="00F0234C" w:rsidRPr="004F2666" w:rsidRDefault="00F0234C" w:rsidP="00F0234C">
      <w:pPr>
        <w:pStyle w:val="Prrafodelista"/>
        <w:spacing w:line="240" w:lineRule="auto"/>
        <w:ind w:left="426"/>
        <w:rPr>
          <w:lang w:val="es-ES"/>
        </w:rPr>
      </w:pPr>
    </w:p>
    <w:p w14:paraId="5D6497DC" w14:textId="405BCFE0"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 xml:space="preserve">El contexto en el cual desarrollan su trabajo las </w:t>
      </w:r>
      <w:r w:rsidR="0079556F" w:rsidRPr="001879D7">
        <w:t xml:space="preserve">defensoras </w:t>
      </w:r>
      <w:r w:rsidR="0079556F">
        <w:t xml:space="preserve">y defensores </w:t>
      </w:r>
      <w:r w:rsidRPr="004F2666">
        <w:rPr>
          <w:lang w:val="es-ES"/>
        </w:rPr>
        <w:t xml:space="preserve">de derechos humanos y los intereses que adversan en el país; </w:t>
      </w:r>
    </w:p>
    <w:p w14:paraId="7722B5C0" w14:textId="77777777" w:rsidR="00F0234C" w:rsidRPr="004F2666" w:rsidRDefault="00F0234C" w:rsidP="00F0234C">
      <w:pPr>
        <w:pStyle w:val="Prrafodelista"/>
        <w:spacing w:line="240" w:lineRule="auto"/>
        <w:ind w:left="426"/>
        <w:rPr>
          <w:lang w:val="es-ES"/>
        </w:rPr>
      </w:pPr>
    </w:p>
    <w:p w14:paraId="09A376FF" w14:textId="0EB9572A"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 xml:space="preserve">La existencia de patrones de amenazas y toda tipología utilizada para amedrentar, amenazar, intimidar o agredir a las </w:t>
      </w:r>
      <w:r w:rsidR="0079556F" w:rsidRPr="001879D7">
        <w:t xml:space="preserve">defensoras </w:t>
      </w:r>
      <w:r w:rsidR="0079556F">
        <w:t xml:space="preserve">y defensores </w:t>
      </w:r>
      <w:r w:rsidRPr="004F2666">
        <w:rPr>
          <w:lang w:val="es-ES"/>
        </w:rPr>
        <w:t>de derechos humanos en el ejercicio de sus actividades;</w:t>
      </w:r>
    </w:p>
    <w:p w14:paraId="5F18CC02" w14:textId="77777777" w:rsidR="00F0234C" w:rsidRPr="004F2666" w:rsidRDefault="00F0234C" w:rsidP="00F0234C">
      <w:pPr>
        <w:pStyle w:val="Prrafodelista"/>
        <w:spacing w:line="240" w:lineRule="auto"/>
        <w:ind w:left="426"/>
        <w:rPr>
          <w:lang w:val="es-ES"/>
        </w:rPr>
      </w:pPr>
    </w:p>
    <w:p w14:paraId="55574B7B" w14:textId="77777777"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Criterios y técnicas de investigación para determinar si el hecho delictivo tiene relación con la actividad que realiza la persona defensora de derechos humanos;</w:t>
      </w:r>
    </w:p>
    <w:p w14:paraId="10F796F6" w14:textId="77777777" w:rsidR="00F0234C" w:rsidRPr="004F2666" w:rsidRDefault="00F0234C" w:rsidP="00F0234C">
      <w:pPr>
        <w:spacing w:line="240" w:lineRule="auto"/>
        <w:ind w:left="426"/>
        <w:rPr>
          <w:lang w:val="es-ES"/>
        </w:rPr>
      </w:pPr>
    </w:p>
    <w:p w14:paraId="056716B7" w14:textId="2D4A5B01"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 xml:space="preserve">Técnicas para investigar la existencia y funcionamiento de estructuras criminales complejas en la zona de trabajo de las </w:t>
      </w:r>
      <w:r w:rsidR="0079556F" w:rsidRPr="001879D7">
        <w:t xml:space="preserve">defensoras </w:t>
      </w:r>
      <w:r w:rsidR="0079556F">
        <w:t>y defensores</w:t>
      </w:r>
      <w:r w:rsidRPr="004F2666">
        <w:rPr>
          <w:lang w:val="es-ES"/>
        </w:rPr>
        <w:t>, así como análisis de contexto de otros grupos de poder ajenos al poder público;</w:t>
      </w:r>
    </w:p>
    <w:p w14:paraId="5EDF188F" w14:textId="77777777" w:rsidR="00F0234C" w:rsidRPr="004F2666" w:rsidRDefault="00F0234C" w:rsidP="00F0234C">
      <w:pPr>
        <w:pStyle w:val="Prrafodelista"/>
        <w:spacing w:line="240" w:lineRule="auto"/>
        <w:ind w:left="426"/>
        <w:rPr>
          <w:lang w:val="es-ES"/>
        </w:rPr>
      </w:pPr>
    </w:p>
    <w:p w14:paraId="2FBE1AFD" w14:textId="77777777"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 xml:space="preserve">Técnicas </w:t>
      </w:r>
      <w:r w:rsidRPr="006E2362">
        <w:rPr>
          <w:rFonts w:eastAsiaTheme="minorHAnsi"/>
          <w:lang w:eastAsia="en-US"/>
        </w:rPr>
        <w:t>para</w:t>
      </w:r>
      <w:r w:rsidRPr="004F2666">
        <w:rPr>
          <w:lang w:val="es-ES"/>
        </w:rPr>
        <w:t xml:space="preserve"> investigar autoría material e intelectual; </w:t>
      </w:r>
    </w:p>
    <w:p w14:paraId="2B1E2B1C" w14:textId="77777777" w:rsidR="00F0234C" w:rsidRPr="004F2666" w:rsidRDefault="00F0234C" w:rsidP="006E2362">
      <w:pPr>
        <w:pStyle w:val="Prrafodelista"/>
        <w:tabs>
          <w:tab w:val="left" w:pos="567"/>
        </w:tabs>
        <w:spacing w:line="240" w:lineRule="auto"/>
        <w:ind w:left="284"/>
        <w:textAlignment w:val="auto"/>
        <w:rPr>
          <w:lang w:val="es-ES"/>
        </w:rPr>
      </w:pPr>
    </w:p>
    <w:p w14:paraId="3F68AAC9" w14:textId="77777777" w:rsidR="00F0234C" w:rsidRPr="004F2666" w:rsidRDefault="00F0234C" w:rsidP="00BB668C">
      <w:pPr>
        <w:pStyle w:val="Prrafodelista"/>
        <w:numPr>
          <w:ilvl w:val="0"/>
          <w:numId w:val="15"/>
        </w:numPr>
        <w:tabs>
          <w:tab w:val="left" w:pos="567"/>
        </w:tabs>
        <w:spacing w:line="240" w:lineRule="auto"/>
        <w:ind w:left="284"/>
        <w:textAlignment w:val="auto"/>
        <w:rPr>
          <w:lang w:val="es-ES"/>
        </w:rPr>
      </w:pPr>
      <w:r w:rsidRPr="004F2666">
        <w:rPr>
          <w:lang w:val="es-ES"/>
        </w:rPr>
        <w:t>La perspectiva de género e intercultural en la investigación de los delitos involucrados, eliminando estereotipos y estigmatizaciones;</w:t>
      </w:r>
    </w:p>
    <w:p w14:paraId="2D6CC427" w14:textId="77777777" w:rsidR="00F0234C" w:rsidRPr="004F2666" w:rsidRDefault="00F0234C" w:rsidP="00F0234C">
      <w:pPr>
        <w:pStyle w:val="Prrafodelista"/>
        <w:spacing w:line="240" w:lineRule="auto"/>
        <w:ind w:left="426"/>
        <w:rPr>
          <w:lang w:val="es-ES"/>
        </w:rPr>
      </w:pPr>
    </w:p>
    <w:p w14:paraId="40ADCB8F" w14:textId="7ABDEBFA" w:rsidR="00F0234C" w:rsidRPr="004F2666" w:rsidRDefault="006E2362" w:rsidP="00BB668C">
      <w:pPr>
        <w:pStyle w:val="Prrafodelista"/>
        <w:numPr>
          <w:ilvl w:val="0"/>
          <w:numId w:val="15"/>
        </w:numPr>
        <w:tabs>
          <w:tab w:val="left" w:pos="567"/>
        </w:tabs>
        <w:spacing w:line="240" w:lineRule="auto"/>
        <w:ind w:left="284"/>
        <w:textAlignment w:val="auto"/>
        <w:rPr>
          <w:lang w:val="es-ES"/>
        </w:rPr>
      </w:pPr>
      <w:r>
        <w:rPr>
          <w:lang w:val="es-ES"/>
        </w:rPr>
        <w:lastRenderedPageBreak/>
        <w:t xml:space="preserve"> </w:t>
      </w:r>
      <w:r w:rsidR="00F0234C" w:rsidRPr="004F2666">
        <w:rPr>
          <w:lang w:val="es-ES"/>
        </w:rPr>
        <w:t xml:space="preserve">El derecho de la coadyuvancia de las víctimas; es decir, el derecho de las víctimas a participar de las </w:t>
      </w:r>
      <w:r w:rsidR="00F0234C" w:rsidRPr="006E2362">
        <w:rPr>
          <w:rFonts w:eastAsiaTheme="minorHAnsi"/>
          <w:lang w:eastAsia="en-US"/>
        </w:rPr>
        <w:t>investigaciones</w:t>
      </w:r>
      <w:r w:rsidR="00F0234C" w:rsidRPr="004F2666">
        <w:rPr>
          <w:lang w:val="es-ES"/>
        </w:rPr>
        <w:t xml:space="preserve"> y estar debidamente informados de todos los avances, obstáculos y resultados, tal como lo reconoce la Constitución Política de los Estados Unidos Mexicanos en su artículo 20; y</w:t>
      </w:r>
    </w:p>
    <w:p w14:paraId="6666FA0C" w14:textId="77777777" w:rsidR="00F0234C" w:rsidRPr="004F2666" w:rsidRDefault="00F0234C" w:rsidP="00F0234C">
      <w:pPr>
        <w:pStyle w:val="Prrafodelista"/>
        <w:spacing w:line="240" w:lineRule="auto"/>
        <w:ind w:left="426"/>
        <w:rPr>
          <w:lang w:val="es-ES"/>
        </w:rPr>
      </w:pPr>
    </w:p>
    <w:p w14:paraId="17939B0B" w14:textId="43A45B7D" w:rsidR="00F0234C" w:rsidRPr="004F2666" w:rsidRDefault="006E2362" w:rsidP="00BB668C">
      <w:pPr>
        <w:pStyle w:val="Prrafodelista"/>
        <w:numPr>
          <w:ilvl w:val="0"/>
          <w:numId w:val="15"/>
        </w:numPr>
        <w:tabs>
          <w:tab w:val="left" w:pos="567"/>
        </w:tabs>
        <w:spacing w:line="240" w:lineRule="auto"/>
        <w:ind w:left="284"/>
        <w:textAlignment w:val="auto"/>
        <w:rPr>
          <w:lang w:val="es-ES"/>
        </w:rPr>
      </w:pPr>
      <w:r>
        <w:rPr>
          <w:lang w:val="es-ES"/>
        </w:rPr>
        <w:t xml:space="preserve"> </w:t>
      </w:r>
      <w:r w:rsidR="00F0234C" w:rsidRPr="004F2666">
        <w:rPr>
          <w:lang w:val="es-ES"/>
        </w:rPr>
        <w:t xml:space="preserve">La </w:t>
      </w:r>
      <w:r w:rsidR="00F0234C" w:rsidRPr="006E2362">
        <w:rPr>
          <w:rFonts w:eastAsiaTheme="minorHAnsi"/>
          <w:lang w:eastAsia="en-US"/>
        </w:rPr>
        <w:t>obligación</w:t>
      </w:r>
      <w:r w:rsidR="00F0234C" w:rsidRPr="004F2666">
        <w:rPr>
          <w:lang w:val="es-ES"/>
        </w:rPr>
        <w:t xml:space="preserve"> de todas las autoridades encargadas de la procuración e impartición de justicia de evitar estigmatizar y estereotipar la labor de defensa de los derechos humanos, respetando la dignidad y honra de todas las personas que defienden los derechos fundamentales.</w:t>
      </w:r>
    </w:p>
    <w:p w14:paraId="14AFB211" w14:textId="77777777" w:rsidR="00F0234C" w:rsidRPr="004F2666" w:rsidRDefault="00F0234C" w:rsidP="00F0234C">
      <w:pPr>
        <w:spacing w:line="240" w:lineRule="auto"/>
        <w:rPr>
          <w:lang w:val="es-ES"/>
        </w:rPr>
      </w:pPr>
    </w:p>
    <w:p w14:paraId="271D27EB" w14:textId="0CE2582C" w:rsidR="00F0234C" w:rsidRPr="00D60EB1" w:rsidRDefault="00F0234C" w:rsidP="00D60EB1">
      <w:pPr>
        <w:numPr>
          <w:ilvl w:val="0"/>
          <w:numId w:val="4"/>
        </w:numPr>
        <w:tabs>
          <w:tab w:val="left" w:pos="567"/>
          <w:tab w:val="num" w:pos="1569"/>
          <w:tab w:val="num" w:pos="12305"/>
        </w:tabs>
        <w:spacing w:line="240" w:lineRule="auto"/>
        <w:ind w:left="0" w:firstLine="0"/>
        <w:rPr>
          <w:lang w:val="es-ES"/>
        </w:rPr>
      </w:pPr>
      <w:r w:rsidRPr="00D60EB1">
        <w:rPr>
          <w:lang w:val="es-ES"/>
        </w:rPr>
        <w:t xml:space="preserve">Adicionalmente, solicitaron </w:t>
      </w:r>
      <w:r w:rsidR="002B61D0">
        <w:rPr>
          <w:lang w:val="es-ES"/>
        </w:rPr>
        <w:t>(</w:t>
      </w:r>
      <w:r w:rsidR="00D60EB1" w:rsidRPr="00D60EB1">
        <w:rPr>
          <w:lang w:val="es-ES"/>
        </w:rPr>
        <w:t xml:space="preserve">i) </w:t>
      </w:r>
      <w:r w:rsidRPr="00D60EB1">
        <w:rPr>
          <w:lang w:val="es-ES"/>
        </w:rPr>
        <w:t xml:space="preserve">que se requiera al Estado la creación de una Fiscalía Especializada para la investigación de </w:t>
      </w:r>
      <w:r w:rsidRPr="00D60EB1">
        <w:rPr>
          <w:rFonts w:eastAsia="MS Mincho" w:cs="Verdana"/>
          <w:snapToGrid w:val="0"/>
          <w:lang w:val="es-ES" w:eastAsia="es-ES" w:bidi="en-US"/>
        </w:rPr>
        <w:t>los</w:t>
      </w:r>
      <w:r w:rsidRPr="00D60EB1">
        <w:rPr>
          <w:lang w:val="es-ES"/>
        </w:rPr>
        <w:t xml:space="preserve"> delitos cometidos contra </w:t>
      </w:r>
      <w:r w:rsidR="0079556F">
        <w:rPr>
          <w:lang w:val="es-ES"/>
        </w:rPr>
        <w:t xml:space="preserve">las </w:t>
      </w:r>
      <w:r w:rsidR="0079556F" w:rsidRPr="001879D7">
        <w:t xml:space="preserve">defensoras </w:t>
      </w:r>
      <w:r w:rsidR="0079556F">
        <w:t xml:space="preserve">y defensores </w:t>
      </w:r>
      <w:r w:rsidRPr="00D60EB1">
        <w:rPr>
          <w:lang w:val="es-ES"/>
        </w:rPr>
        <w:t>de derechos humanos, tanto en la Ciudad de México como a nivel federal, así como la creación de un mecanismo de protección a víctimas, testigos y otros sujetos procesales en la Ciudad de México y a nivel federal. Por otro lado, solicitaron (</w:t>
      </w:r>
      <w:r w:rsidR="00D60EB1">
        <w:rPr>
          <w:lang w:val="es-ES"/>
        </w:rPr>
        <w:t>ii</w:t>
      </w:r>
      <w:r w:rsidRPr="00D60EB1">
        <w:rPr>
          <w:lang w:val="es-ES"/>
        </w:rPr>
        <w:t xml:space="preserve">) la realización de una campaña permanente de reconocimiento de la labor de las </w:t>
      </w:r>
      <w:r w:rsidR="0079556F" w:rsidRPr="001879D7">
        <w:t xml:space="preserve">defensoras </w:t>
      </w:r>
      <w:r w:rsidR="0079556F">
        <w:t xml:space="preserve">y defensores </w:t>
      </w:r>
      <w:r w:rsidRPr="00D60EB1">
        <w:rPr>
          <w:lang w:val="es-ES"/>
        </w:rPr>
        <w:t>de derechos humanos y su aportación a la democracia en México, la (i</w:t>
      </w:r>
      <w:r w:rsidR="002B61D0">
        <w:rPr>
          <w:lang w:val="es-ES"/>
        </w:rPr>
        <w:t>ii</w:t>
      </w:r>
      <w:r w:rsidRPr="00D60EB1">
        <w:rPr>
          <w:lang w:val="es-ES"/>
        </w:rPr>
        <w:t>) realización de las adecuaciones normativas y administrativas necesarias para que los servicios periciales sean independientes de las fiscalías estatales y federal, y (</w:t>
      </w:r>
      <w:r w:rsidR="002B61D0">
        <w:rPr>
          <w:lang w:val="es-ES"/>
        </w:rPr>
        <w:t>i</w:t>
      </w:r>
      <w:r w:rsidR="00D60EB1">
        <w:rPr>
          <w:lang w:val="es-ES"/>
        </w:rPr>
        <w:t>v</w:t>
      </w:r>
      <w:r w:rsidRPr="00D60EB1">
        <w:rPr>
          <w:lang w:val="es-ES"/>
        </w:rPr>
        <w:t>) que se garantice normativamente que las pruebas periciales aportadas por las víctimas sean incorporadas a las investigaciones sin necesidad de validación o autorización del Ministerio Público.</w:t>
      </w:r>
      <w:r w:rsidRPr="00D60EB1">
        <w:rPr>
          <w:b/>
          <w:lang w:val="es-ES"/>
        </w:rPr>
        <w:t xml:space="preserve"> </w:t>
      </w:r>
    </w:p>
    <w:p w14:paraId="1A30D636" w14:textId="77777777" w:rsidR="002D77E4" w:rsidRPr="004F2666" w:rsidRDefault="002D77E4" w:rsidP="002D77E4">
      <w:pPr>
        <w:tabs>
          <w:tab w:val="left" w:pos="567"/>
        </w:tabs>
        <w:spacing w:line="240" w:lineRule="auto"/>
        <w:textAlignment w:val="auto"/>
        <w:rPr>
          <w:rFonts w:eastAsia="MS Mincho"/>
          <w:lang w:val="es-ES" w:bidi="en-US"/>
        </w:rPr>
      </w:pPr>
    </w:p>
    <w:p w14:paraId="59EE729A" w14:textId="2DE6AE6D" w:rsidR="0079556F" w:rsidRPr="0079556F" w:rsidRDefault="00525863" w:rsidP="00D60EB1">
      <w:pPr>
        <w:numPr>
          <w:ilvl w:val="0"/>
          <w:numId w:val="4"/>
        </w:numPr>
        <w:tabs>
          <w:tab w:val="left" w:pos="567"/>
          <w:tab w:val="num" w:pos="1569"/>
          <w:tab w:val="num" w:pos="12305"/>
        </w:tabs>
        <w:spacing w:line="240" w:lineRule="auto"/>
        <w:ind w:left="0" w:firstLine="0"/>
        <w:rPr>
          <w:rFonts w:eastAsia="MS Mincho"/>
          <w:lang w:val="es-ES" w:bidi="en-US"/>
        </w:rPr>
      </w:pPr>
      <w:r w:rsidRPr="00FC69B4">
        <w:rPr>
          <w:lang w:val="es-ES"/>
        </w:rPr>
        <w:t xml:space="preserve">En su escrito de alegatos finales, y derivado del reconocimiento parcial de responsabilidad realizado por el </w:t>
      </w:r>
      <w:r w:rsidRPr="00FC69B4">
        <w:rPr>
          <w:b/>
          <w:i/>
          <w:lang w:val="es-ES"/>
        </w:rPr>
        <w:t>Estado</w:t>
      </w:r>
      <w:r w:rsidRPr="00FC69B4">
        <w:rPr>
          <w:lang w:val="es-ES"/>
        </w:rPr>
        <w:t xml:space="preserve">, este se comprometió a </w:t>
      </w:r>
      <w:r w:rsidR="0089537C" w:rsidRPr="00FC69B4">
        <w:rPr>
          <w:lang w:val="es-ES"/>
        </w:rPr>
        <w:t xml:space="preserve">(i) </w:t>
      </w:r>
      <w:r w:rsidRPr="00FC69B4">
        <w:rPr>
          <w:lang w:val="es-ES"/>
        </w:rPr>
        <w:t>crear</w:t>
      </w:r>
      <w:r w:rsidR="0089537C" w:rsidRPr="00FC69B4">
        <w:rPr>
          <w:lang w:val="es-ES"/>
        </w:rPr>
        <w:t xml:space="preserve"> </w:t>
      </w:r>
      <w:r w:rsidRPr="00FC69B4">
        <w:rPr>
          <w:lang w:val="es-ES"/>
        </w:rPr>
        <w:t xml:space="preserve">un reconocimiento en materia de defensa de derechos humanos que llevará el </w:t>
      </w:r>
      <w:r w:rsidRPr="00FC69B4">
        <w:rPr>
          <w:rFonts w:eastAsia="MS Mincho"/>
          <w:iCs/>
          <w:lang w:val="es-ES" w:bidi="en-US"/>
        </w:rPr>
        <w:t>nombre</w:t>
      </w:r>
      <w:r w:rsidRPr="00FC69B4">
        <w:rPr>
          <w:lang w:val="es-ES"/>
        </w:rPr>
        <w:t xml:space="preserve"> Digna Ochoa y Plácido, así como </w:t>
      </w:r>
      <w:r w:rsidR="0089537C" w:rsidRPr="00FC69B4">
        <w:rPr>
          <w:lang w:val="es-ES"/>
        </w:rPr>
        <w:t xml:space="preserve">(ii) </w:t>
      </w:r>
      <w:r w:rsidRPr="00FC69B4">
        <w:rPr>
          <w:rFonts w:eastAsia="MS Mincho"/>
          <w:iCs/>
          <w:lang w:val="es-ES" w:bidi="en-US"/>
        </w:rPr>
        <w:t>una</w:t>
      </w:r>
      <w:r w:rsidRPr="00FC69B4">
        <w:rPr>
          <w:lang w:val="es-ES"/>
        </w:rPr>
        <w:t xml:space="preserve"> </w:t>
      </w:r>
      <w:r w:rsidR="00914CEC" w:rsidRPr="00FC69B4">
        <w:rPr>
          <w:lang w:val="es-ES"/>
        </w:rPr>
        <w:t>c</w:t>
      </w:r>
      <w:r w:rsidRPr="00FC69B4">
        <w:rPr>
          <w:lang w:val="es-ES"/>
        </w:rPr>
        <w:t xml:space="preserve">ampaña para </w:t>
      </w:r>
      <w:r w:rsidRPr="00FC69B4">
        <w:rPr>
          <w:rFonts w:eastAsia="MS Mincho"/>
          <w:iCs/>
          <w:lang w:val="es-ES" w:bidi="en-US"/>
        </w:rPr>
        <w:t>reconocer</w:t>
      </w:r>
      <w:r w:rsidRPr="00FC69B4">
        <w:rPr>
          <w:lang w:val="es-ES"/>
        </w:rPr>
        <w:t xml:space="preserve"> la labor de las </w:t>
      </w:r>
      <w:r w:rsidR="0079556F" w:rsidRPr="001879D7">
        <w:t xml:space="preserve">defensoras </w:t>
      </w:r>
      <w:r w:rsidR="0079556F">
        <w:t xml:space="preserve">y defensores </w:t>
      </w:r>
      <w:r w:rsidRPr="00FC69B4">
        <w:rPr>
          <w:lang w:val="es-ES"/>
        </w:rPr>
        <w:t xml:space="preserve">de derechos humanos. </w:t>
      </w:r>
      <w:r w:rsidRPr="00FC69B4">
        <w:rPr>
          <w:rFonts w:eastAsiaTheme="minorHAnsi"/>
          <w:lang w:eastAsia="en-US"/>
        </w:rPr>
        <w:t xml:space="preserve">De igual manera, </w:t>
      </w:r>
      <w:r w:rsidR="0089537C" w:rsidRPr="00FC69B4">
        <w:rPr>
          <w:rFonts w:eastAsiaTheme="minorHAnsi"/>
          <w:lang w:eastAsia="en-US"/>
        </w:rPr>
        <w:t xml:space="preserve">indicó que se comprometía a (iii) gestionar </w:t>
      </w:r>
      <w:r w:rsidRPr="00FC69B4">
        <w:rPr>
          <w:rFonts w:eastAsiaTheme="minorHAnsi"/>
          <w:lang w:eastAsia="en-US"/>
        </w:rPr>
        <w:t xml:space="preserve">el cambio de nombre en una calle en la ciudad de Misantla, estado de Veracruz, así como en la Ciudad de México, para quedar bajo el nombre de Digna Ochoa Y </w:t>
      </w:r>
      <w:r w:rsidRPr="00D60EB1">
        <w:rPr>
          <w:lang w:val="es-ES"/>
        </w:rPr>
        <w:t>Plácido</w:t>
      </w:r>
      <w:r w:rsidR="002D4674" w:rsidRPr="002B61D0">
        <w:rPr>
          <w:lang w:val="es-ES"/>
        </w:rPr>
        <w:t xml:space="preserve">. </w:t>
      </w:r>
      <w:r w:rsidRPr="00FC69B4">
        <w:rPr>
          <w:lang w:val="es-ES"/>
        </w:rPr>
        <w:t xml:space="preserve">Indicó, además que, </w:t>
      </w:r>
      <w:r w:rsidR="0089537C" w:rsidRPr="00FC69B4">
        <w:rPr>
          <w:lang w:val="es-ES"/>
        </w:rPr>
        <w:t>(iv</w:t>
      </w:r>
      <w:r w:rsidR="0089537C" w:rsidRPr="00C65CDE">
        <w:rPr>
          <w:lang w:val="es-ES"/>
        </w:rPr>
        <w:t>)</w:t>
      </w:r>
      <w:r w:rsidR="0089537C" w:rsidRPr="002B61D0">
        <w:rPr>
          <w:lang w:val="es-ES"/>
        </w:rPr>
        <w:t xml:space="preserve"> </w:t>
      </w:r>
      <w:r w:rsidRPr="002B61D0">
        <w:rPr>
          <w:lang w:val="es-ES"/>
        </w:rPr>
        <w:t>“</w:t>
      </w:r>
      <w:r w:rsidRPr="00FC69B4">
        <w:rPr>
          <w:rFonts w:eastAsia="MS Mincho"/>
          <w:iCs/>
          <w:lang w:val="es-ES" w:bidi="en-US"/>
        </w:rPr>
        <w:t>en</w:t>
      </w:r>
      <w:r w:rsidRPr="00FC69B4">
        <w:rPr>
          <w:rFonts w:eastAsiaTheme="minorHAnsi"/>
          <w:lang w:eastAsia="en-US"/>
        </w:rPr>
        <w:t xml:space="preserve"> seguimiento a los esfuerzos emprendidos por el Estado mexicano para el fortalecimiento del Mecanismo de </w:t>
      </w:r>
      <w:r w:rsidRPr="00FC69B4">
        <w:rPr>
          <w:lang w:val="es-ES"/>
        </w:rPr>
        <w:t>Protección</w:t>
      </w:r>
      <w:r w:rsidRPr="00FC69B4">
        <w:rPr>
          <w:rFonts w:eastAsiaTheme="minorHAnsi"/>
          <w:lang w:eastAsia="en-US"/>
        </w:rPr>
        <w:t xml:space="preserve"> para </w:t>
      </w:r>
      <w:r w:rsidRPr="00FC69B4">
        <w:rPr>
          <w:rFonts w:eastAsia="MS Mincho"/>
          <w:iCs/>
          <w:lang w:val="es-ES" w:bidi="en-US"/>
        </w:rPr>
        <w:t>Personas</w:t>
      </w:r>
      <w:r w:rsidRPr="00FC69B4">
        <w:rPr>
          <w:rFonts w:eastAsiaTheme="minorHAnsi"/>
          <w:lang w:eastAsia="en-US"/>
        </w:rPr>
        <w:t xml:space="preserve"> Defensoras de Derechos Humanos y Periodistas, se retomaran las recomendaciones y propuestas de los peritos de la </w:t>
      </w:r>
      <w:proofErr w:type="gramStart"/>
      <w:r w:rsidRPr="00FC69B4">
        <w:rPr>
          <w:rFonts w:eastAsiaTheme="minorHAnsi"/>
          <w:lang w:eastAsia="en-US"/>
        </w:rPr>
        <w:t>representación</w:t>
      </w:r>
      <w:proofErr w:type="gramEnd"/>
      <w:r w:rsidRPr="00FC69B4">
        <w:rPr>
          <w:rFonts w:eastAsiaTheme="minorHAnsi"/>
          <w:lang w:eastAsia="en-US"/>
        </w:rPr>
        <w:t xml:space="preserve"> así como las Recomendaciones formuladas por la ONUDH en el año 2019”. Finalmente, </w:t>
      </w:r>
      <w:r w:rsidR="0089537C" w:rsidRPr="00FC69B4">
        <w:rPr>
          <w:rFonts w:eastAsiaTheme="minorHAnsi"/>
          <w:lang w:eastAsia="en-US"/>
        </w:rPr>
        <w:t>añadió que se había acordado</w:t>
      </w:r>
      <w:r w:rsidRPr="00FC69B4">
        <w:rPr>
          <w:rFonts w:eastAsiaTheme="minorHAnsi"/>
          <w:lang w:eastAsia="en-US"/>
        </w:rPr>
        <w:t xml:space="preserve"> también</w:t>
      </w:r>
      <w:r w:rsidR="0089537C" w:rsidRPr="00FC69B4">
        <w:rPr>
          <w:rFonts w:eastAsiaTheme="minorHAnsi"/>
          <w:lang w:eastAsia="en-US"/>
        </w:rPr>
        <w:t xml:space="preserve"> (v)</w:t>
      </w:r>
      <w:r w:rsidRPr="00FC69B4">
        <w:rPr>
          <w:rFonts w:eastAsiaTheme="minorHAnsi"/>
          <w:lang w:eastAsia="en-US"/>
        </w:rPr>
        <w:t xml:space="preserve"> que el Estado mexicano </w:t>
      </w:r>
      <w:r w:rsidR="00312DD4" w:rsidRPr="00FC69B4">
        <w:rPr>
          <w:rFonts w:eastAsiaTheme="minorHAnsi"/>
          <w:lang w:eastAsia="en-US"/>
        </w:rPr>
        <w:t>impulsará</w:t>
      </w:r>
      <w:r w:rsidRPr="00FC69B4">
        <w:rPr>
          <w:rFonts w:eastAsiaTheme="minorHAnsi"/>
          <w:lang w:eastAsia="en-US"/>
        </w:rPr>
        <w:t xml:space="preserve"> la presentación de una iniciativa para la creación de un </w:t>
      </w:r>
      <w:r w:rsidR="0089537C" w:rsidRPr="00FC69B4">
        <w:rPr>
          <w:rFonts w:eastAsiaTheme="minorHAnsi"/>
          <w:lang w:eastAsia="en-US"/>
        </w:rPr>
        <w:t>“</w:t>
      </w:r>
      <w:r w:rsidRPr="00FC69B4">
        <w:rPr>
          <w:rFonts w:eastAsiaTheme="minorHAnsi"/>
          <w:lang w:eastAsia="en-US"/>
        </w:rPr>
        <w:t xml:space="preserve">Mecanismo de Protección de Testigos que intervengan en el Procedimiento Penal, misma que incluirá los parámetros y </w:t>
      </w:r>
      <w:r w:rsidRPr="00FC69B4">
        <w:rPr>
          <w:rFonts w:eastAsia="MS Mincho"/>
          <w:iCs/>
          <w:lang w:val="es-ES" w:bidi="en-US"/>
        </w:rPr>
        <w:t>estándares</w:t>
      </w:r>
      <w:r w:rsidRPr="00FC69B4">
        <w:rPr>
          <w:rFonts w:eastAsiaTheme="minorHAnsi"/>
          <w:lang w:eastAsia="en-US"/>
        </w:rPr>
        <w:t xml:space="preserve"> internacionales sobre la materia, como lo es el análisis de riesgo de forma personal en un tiempo determinado</w:t>
      </w:r>
      <w:r w:rsidR="0089537C" w:rsidRPr="00FC69B4">
        <w:rPr>
          <w:rFonts w:eastAsiaTheme="minorHAnsi"/>
          <w:lang w:eastAsia="en-US"/>
        </w:rPr>
        <w:t>,</w:t>
      </w:r>
      <w:r w:rsidRPr="00FC69B4">
        <w:rPr>
          <w:rFonts w:eastAsiaTheme="minorHAnsi"/>
          <w:lang w:eastAsia="en-US"/>
        </w:rPr>
        <w:t xml:space="preserve"> así como la descripción de los mecanismos de protección que podrán ser otorgados a las personas beneficiarias</w:t>
      </w:r>
      <w:r w:rsidR="0089537C" w:rsidRPr="00FC69B4">
        <w:rPr>
          <w:rFonts w:eastAsiaTheme="minorHAnsi"/>
          <w:lang w:eastAsia="en-US"/>
        </w:rPr>
        <w:t>”.</w:t>
      </w:r>
      <w:r w:rsidRPr="00FC69B4">
        <w:rPr>
          <w:rFonts w:eastAsiaTheme="minorHAnsi"/>
          <w:b/>
          <w:lang w:val="es-ES" w:eastAsia="en-US"/>
        </w:rPr>
        <w:t xml:space="preserve"> </w:t>
      </w:r>
    </w:p>
    <w:p w14:paraId="058C1529" w14:textId="77777777" w:rsidR="0079556F" w:rsidRPr="0079556F" w:rsidRDefault="0079556F" w:rsidP="0079556F">
      <w:pPr>
        <w:tabs>
          <w:tab w:val="left" w:pos="567"/>
        </w:tabs>
        <w:spacing w:line="240" w:lineRule="auto"/>
        <w:rPr>
          <w:rFonts w:eastAsia="MS Mincho"/>
          <w:lang w:val="es-ES" w:bidi="en-US"/>
        </w:rPr>
      </w:pPr>
    </w:p>
    <w:p w14:paraId="6EE619D1" w14:textId="58040C77" w:rsidR="0089537C" w:rsidRPr="008640F3" w:rsidRDefault="00914CEC" w:rsidP="00D60EB1">
      <w:pPr>
        <w:numPr>
          <w:ilvl w:val="0"/>
          <w:numId w:val="4"/>
        </w:numPr>
        <w:tabs>
          <w:tab w:val="left" w:pos="567"/>
          <w:tab w:val="num" w:pos="1569"/>
          <w:tab w:val="num" w:pos="12305"/>
        </w:tabs>
        <w:spacing w:line="240" w:lineRule="auto"/>
        <w:ind w:left="0" w:firstLine="0"/>
        <w:rPr>
          <w:rFonts w:eastAsia="MS Mincho"/>
          <w:lang w:val="es-ES" w:bidi="en-US"/>
        </w:rPr>
      </w:pPr>
      <w:r w:rsidRPr="00FC69B4">
        <w:rPr>
          <w:rFonts w:eastAsia="MS Mincho"/>
          <w:lang w:val="es-ES" w:bidi="en-US"/>
        </w:rPr>
        <w:t xml:space="preserve">Posteriormente, en un escrito de 7 de junio de 2021, el Estado precisó el alcance de </w:t>
      </w:r>
      <w:r w:rsidR="00743606">
        <w:rPr>
          <w:rFonts w:eastAsia="MS Mincho"/>
          <w:lang w:val="es-ES" w:bidi="en-US"/>
        </w:rPr>
        <w:t>dichas</w:t>
      </w:r>
      <w:r w:rsidR="00743606" w:rsidRPr="00FC69B4">
        <w:rPr>
          <w:rFonts w:eastAsia="MS Mincho"/>
          <w:lang w:val="es-ES" w:bidi="en-US"/>
        </w:rPr>
        <w:t xml:space="preserve"> </w:t>
      </w:r>
      <w:r w:rsidRPr="00FC69B4">
        <w:rPr>
          <w:rFonts w:eastAsia="MS Mincho"/>
          <w:lang w:val="es-ES" w:bidi="en-US"/>
        </w:rPr>
        <w:t xml:space="preserve">medidas de reparación, e indicó que el </w:t>
      </w:r>
      <w:r w:rsidR="0089537C" w:rsidRPr="00FC69B4">
        <w:rPr>
          <w:rFonts w:eastAsia="MS Mincho"/>
          <w:lang w:val="es-ES" w:bidi="en-US"/>
        </w:rPr>
        <w:t xml:space="preserve">referido </w:t>
      </w:r>
      <w:r w:rsidRPr="00FC69B4">
        <w:rPr>
          <w:rFonts w:eastAsia="MS Mincho"/>
          <w:lang w:val="es-ES" w:bidi="en-US"/>
        </w:rPr>
        <w:t>reconocimiento será entregado</w:t>
      </w:r>
      <w:r w:rsidR="00743606">
        <w:rPr>
          <w:rFonts w:eastAsia="MS Mincho"/>
          <w:lang w:val="es-ES" w:bidi="en-US"/>
        </w:rPr>
        <w:t xml:space="preserve"> a</w:t>
      </w:r>
      <w:r w:rsidRPr="00FC69B4">
        <w:rPr>
          <w:rFonts w:eastAsia="MS Mincho"/>
          <w:lang w:val="es-ES" w:bidi="en-US"/>
        </w:rPr>
        <w:t xml:space="preserve"> “</w:t>
      </w:r>
      <w:r w:rsidRPr="00FC69B4">
        <w:rPr>
          <w:rFonts w:eastAsiaTheme="minorHAnsi"/>
          <w:lang w:eastAsia="en-US"/>
        </w:rPr>
        <w:t xml:space="preserve">las personas defensoras de derechos humanos en México, cuya labor se haya destacado en la defensa, promoción, protección y garantía de los derechos fundamentales”. Además, indicó que </w:t>
      </w:r>
      <w:r w:rsidR="0089537C" w:rsidRPr="00FC69B4">
        <w:rPr>
          <w:rFonts w:eastAsiaTheme="minorHAnsi"/>
          <w:lang w:eastAsia="en-US"/>
        </w:rPr>
        <w:t>“</w:t>
      </w:r>
      <w:r w:rsidRPr="00FC69B4">
        <w:rPr>
          <w:rFonts w:eastAsiaTheme="minorHAnsi"/>
          <w:lang w:eastAsia="en-US"/>
        </w:rPr>
        <w:t>adoptará las medidas pertinentes para el fortalecimiento del Mecanismo de Protección a personas defensoras de derechos human</w:t>
      </w:r>
      <w:r w:rsidR="0089537C" w:rsidRPr="00FC69B4">
        <w:rPr>
          <w:rFonts w:eastAsiaTheme="minorHAnsi"/>
          <w:lang w:eastAsia="en-US"/>
        </w:rPr>
        <w:t>os y periodistas de la SEGOB, r</w:t>
      </w:r>
      <w:r w:rsidRPr="00FC69B4">
        <w:rPr>
          <w:rFonts w:eastAsiaTheme="minorHAnsi"/>
          <w:lang w:eastAsia="en-US"/>
        </w:rPr>
        <w:t xml:space="preserve">etomando las recomendaciones y propuestas de los peritos de la representación ante la Corte IDH, Erika Guevara Rosas y Michel Forst, respectivamente”. Además, </w:t>
      </w:r>
      <w:r w:rsidR="0089537C" w:rsidRPr="00FC69B4">
        <w:rPr>
          <w:rFonts w:eastAsiaTheme="minorHAnsi"/>
          <w:lang w:eastAsia="en-US"/>
        </w:rPr>
        <w:t>añadió</w:t>
      </w:r>
      <w:r w:rsidRPr="00FC69B4">
        <w:rPr>
          <w:rFonts w:eastAsiaTheme="minorHAnsi"/>
          <w:lang w:eastAsia="en-US"/>
        </w:rPr>
        <w:t xml:space="preserve"> que</w:t>
      </w:r>
      <w:r w:rsidRPr="002B61D0">
        <w:rPr>
          <w:rFonts w:eastAsiaTheme="minorHAnsi"/>
          <w:lang w:eastAsia="en-US"/>
        </w:rPr>
        <w:t xml:space="preserve"> </w:t>
      </w:r>
      <w:r w:rsidR="0089537C" w:rsidRPr="001E1F44">
        <w:rPr>
          <w:rFonts w:eastAsiaTheme="minorHAnsi"/>
          <w:lang w:eastAsia="en-US"/>
        </w:rPr>
        <w:t>(vi)</w:t>
      </w:r>
      <w:r w:rsidR="0089537C" w:rsidRPr="002B61D0">
        <w:rPr>
          <w:rFonts w:eastAsiaTheme="minorHAnsi"/>
          <w:lang w:eastAsia="en-US"/>
        </w:rPr>
        <w:t xml:space="preserve"> </w:t>
      </w:r>
      <w:r w:rsidRPr="002B61D0">
        <w:rPr>
          <w:rFonts w:eastAsiaTheme="minorHAnsi"/>
          <w:lang w:eastAsia="en-US"/>
        </w:rPr>
        <w:t>“</w:t>
      </w:r>
      <w:r w:rsidRPr="00FC69B4">
        <w:rPr>
          <w:rFonts w:eastAsiaTheme="minorHAnsi"/>
          <w:lang w:eastAsia="en-US"/>
        </w:rPr>
        <w:t>elaborará, presentará e impulsará, a través de la Consejería Jurídica del Ejecutivo Federal,</w:t>
      </w:r>
      <w:r w:rsidR="00E87467">
        <w:rPr>
          <w:rFonts w:eastAsiaTheme="minorHAnsi"/>
          <w:lang w:eastAsia="en-US"/>
        </w:rPr>
        <w:t xml:space="preserve"> </w:t>
      </w:r>
      <w:r w:rsidRPr="00FC69B4">
        <w:rPr>
          <w:rFonts w:eastAsiaTheme="minorHAnsi"/>
          <w:lang w:eastAsia="en-US"/>
        </w:rPr>
        <w:t>una iniciativa de reforma constitucional para dotar de autonomía e</w:t>
      </w:r>
      <w:r w:rsidR="00E87467">
        <w:rPr>
          <w:rFonts w:eastAsiaTheme="minorHAnsi"/>
          <w:lang w:eastAsia="en-US"/>
        </w:rPr>
        <w:t xml:space="preserve"> </w:t>
      </w:r>
      <w:r w:rsidRPr="00FC69B4">
        <w:rPr>
          <w:rFonts w:eastAsiaTheme="minorHAnsi"/>
          <w:lang w:eastAsia="en-US"/>
        </w:rPr>
        <w:t xml:space="preserve">independencia a los Servicios Periciales, como órganos especializados, imparciales, con </w:t>
      </w:r>
      <w:r w:rsidRPr="00FC69B4">
        <w:rPr>
          <w:rFonts w:cs="Verdana"/>
          <w:bCs/>
          <w:iCs/>
          <w:lang w:val="es-ES"/>
        </w:rPr>
        <w:t>personalidad</w:t>
      </w:r>
      <w:r w:rsidRPr="00FC69B4">
        <w:rPr>
          <w:rFonts w:eastAsiaTheme="minorHAnsi"/>
          <w:lang w:eastAsia="en-US"/>
        </w:rPr>
        <w:t xml:space="preserve"> jurídica y patrimonio propio, los cuales gozarán de plena autonomía técnica y de gestión, así como de capacidad para decidir sobre el ejercicio de su presupuesto y para determinar su organización interna”.</w:t>
      </w:r>
      <w:r w:rsidRPr="00FC69B4">
        <w:rPr>
          <w:rFonts w:eastAsiaTheme="minorHAnsi"/>
          <w:b/>
          <w:lang w:eastAsia="en-US"/>
        </w:rPr>
        <w:t xml:space="preserve"> </w:t>
      </w:r>
      <w:r w:rsidR="00655BB0" w:rsidRPr="00FC69B4">
        <w:rPr>
          <w:rFonts w:eastAsiaTheme="minorHAnsi"/>
          <w:lang w:eastAsia="en-US"/>
        </w:rPr>
        <w:t>En lo que respecta a la creación de un mecanismo de protección de testigo</w:t>
      </w:r>
      <w:r w:rsidR="0089537C" w:rsidRPr="00FC69B4">
        <w:rPr>
          <w:rFonts w:eastAsiaTheme="minorHAnsi"/>
          <w:lang w:eastAsia="en-US"/>
        </w:rPr>
        <w:t>s</w:t>
      </w:r>
      <w:r w:rsidR="00655BB0" w:rsidRPr="00FC69B4">
        <w:rPr>
          <w:rFonts w:eastAsiaTheme="minorHAnsi"/>
          <w:lang w:eastAsia="en-US"/>
        </w:rPr>
        <w:t xml:space="preserve">, indicó que elaborará, presentará e impulsará, </w:t>
      </w:r>
      <w:r w:rsidR="0089537C" w:rsidRPr="00FC69B4">
        <w:rPr>
          <w:rFonts w:eastAsiaTheme="minorHAnsi"/>
          <w:lang w:eastAsia="en-US"/>
        </w:rPr>
        <w:t>a</w:t>
      </w:r>
      <w:r w:rsidR="0089537C" w:rsidRPr="00FC69B4">
        <w:rPr>
          <w:rFonts w:eastAsiaTheme="minorHAnsi"/>
          <w:b/>
          <w:lang w:eastAsia="en-US"/>
        </w:rPr>
        <w:t xml:space="preserve"> </w:t>
      </w:r>
      <w:r w:rsidR="00655BB0" w:rsidRPr="00FC69B4">
        <w:rPr>
          <w:rFonts w:eastAsiaTheme="minorHAnsi"/>
          <w:lang w:eastAsia="en-US"/>
        </w:rPr>
        <w:t xml:space="preserve">través de la Consejería Jurídica del Ejecutivo Federal, una iniciativa de reforma a la “Ley Federal Para La Protección a Personas que intervienen en el Procedimiento Penal” para que </w:t>
      </w:r>
      <w:r w:rsidR="0089537C" w:rsidRPr="00FC69B4">
        <w:rPr>
          <w:rFonts w:eastAsiaTheme="minorHAnsi"/>
          <w:lang w:eastAsia="en-US"/>
        </w:rPr>
        <w:t>“</w:t>
      </w:r>
      <w:r w:rsidR="00655BB0" w:rsidRPr="00FC69B4">
        <w:rPr>
          <w:rFonts w:eastAsiaTheme="minorHAnsi"/>
          <w:lang w:eastAsia="en-US"/>
        </w:rPr>
        <w:t>incluya los parámetros y estándares internacionales sobre la materia para la creación y operación efectiva de un Mecanismo de Protección a Testigos</w:t>
      </w:r>
      <w:r w:rsidR="0089537C" w:rsidRPr="00FC69B4">
        <w:rPr>
          <w:rFonts w:eastAsiaTheme="minorHAnsi"/>
          <w:lang w:eastAsia="en-US"/>
        </w:rPr>
        <w:t>”</w:t>
      </w:r>
      <w:r w:rsidR="00655BB0" w:rsidRPr="00FC69B4">
        <w:rPr>
          <w:rFonts w:eastAsiaTheme="minorHAnsi"/>
          <w:lang w:eastAsia="en-US"/>
        </w:rPr>
        <w:t>.</w:t>
      </w:r>
      <w:r w:rsidR="00655BB0" w:rsidRPr="00FC69B4">
        <w:rPr>
          <w:rFonts w:eastAsiaTheme="minorHAnsi"/>
          <w:b/>
          <w:lang w:eastAsia="en-US"/>
        </w:rPr>
        <w:t xml:space="preserve"> </w:t>
      </w:r>
      <w:r w:rsidR="00FC69B4" w:rsidRPr="00FC69B4">
        <w:rPr>
          <w:rFonts w:eastAsia="MS Mincho"/>
          <w:lang w:val="es-ES" w:bidi="en-US"/>
        </w:rPr>
        <w:t xml:space="preserve">El 11 de junio de 2021 </w:t>
      </w:r>
      <w:r w:rsidR="00183EC9">
        <w:rPr>
          <w:rFonts w:eastAsia="MS Mincho"/>
          <w:lang w:val="es-ES" w:bidi="en-US"/>
        </w:rPr>
        <w:t>las representantes</w:t>
      </w:r>
      <w:r w:rsidR="00FC69B4" w:rsidRPr="00FC69B4">
        <w:rPr>
          <w:rFonts w:eastAsia="MS Mincho"/>
          <w:lang w:val="es-ES" w:bidi="en-US"/>
        </w:rPr>
        <w:t xml:space="preserve"> </w:t>
      </w:r>
      <w:r w:rsidR="00FC69B4" w:rsidRPr="00FC69B4">
        <w:rPr>
          <w:rFonts w:eastAsia="MS Mincho"/>
          <w:lang w:val="es-ES" w:bidi="en-US"/>
        </w:rPr>
        <w:lastRenderedPageBreak/>
        <w:t>remitieron sus observaciones respecto del referido escrito estatal de 7 de junio y confirmaron que estas seis medidas correspondían con los acuerdos alcanzados entre las partes.</w:t>
      </w:r>
      <w:r w:rsidR="00FC69B4" w:rsidRPr="00FC69B4">
        <w:rPr>
          <w:rFonts w:eastAsia="MS Mincho"/>
          <w:b/>
          <w:lang w:val="es-ES" w:bidi="en-US"/>
        </w:rPr>
        <w:t xml:space="preserve"> </w:t>
      </w:r>
      <w:r w:rsidR="00FC69B4" w:rsidRPr="00FC69B4">
        <w:rPr>
          <w:rFonts w:eastAsia="MS Mincho"/>
          <w:lang w:val="es-ES" w:bidi="en-US"/>
        </w:rPr>
        <w:t xml:space="preserve">Asimismo, </w:t>
      </w:r>
      <w:r w:rsidR="00FC69B4">
        <w:rPr>
          <w:rFonts w:eastAsia="MS Mincho"/>
          <w:lang w:val="es-ES" w:bidi="en-US"/>
        </w:rPr>
        <w:t xml:space="preserve">advirtieron que existían </w:t>
      </w:r>
      <w:r w:rsidR="00FC69B4" w:rsidRPr="00FC69B4">
        <w:rPr>
          <w:rFonts w:eastAsia="MS Mincho"/>
          <w:lang w:val="es-ES" w:bidi="en-US"/>
        </w:rPr>
        <w:t xml:space="preserve">otras medidas de reparación que </w:t>
      </w:r>
      <w:r w:rsidR="00FC69B4">
        <w:rPr>
          <w:rFonts w:eastAsia="MS Mincho"/>
          <w:lang w:val="es-ES" w:bidi="en-US"/>
        </w:rPr>
        <w:t>debían</w:t>
      </w:r>
      <w:r w:rsidR="00FC69B4" w:rsidRPr="00FC69B4">
        <w:rPr>
          <w:rFonts w:eastAsia="MS Mincho"/>
          <w:lang w:val="es-ES" w:bidi="en-US"/>
        </w:rPr>
        <w:t xml:space="preserve"> ser ordenadas por </w:t>
      </w:r>
      <w:r w:rsidR="00FC69B4">
        <w:rPr>
          <w:rFonts w:eastAsia="MS Mincho"/>
          <w:lang w:val="es-ES" w:bidi="en-US"/>
        </w:rPr>
        <w:t xml:space="preserve">el </w:t>
      </w:r>
      <w:r w:rsidR="00FC69B4" w:rsidRPr="00FC69B4">
        <w:rPr>
          <w:rFonts w:eastAsia="MS Mincho"/>
          <w:lang w:val="es-ES" w:bidi="en-US"/>
        </w:rPr>
        <w:t>Tribunal, tales como la creación de un protocolo homologado y una fiscalía especializada para la investigación con la debida diligencia y perspectiva de género de delitos cometidos contra personas defensoras de derechos humanos</w:t>
      </w:r>
      <w:r w:rsidR="00FC69B4">
        <w:rPr>
          <w:rFonts w:eastAsia="MS Mincho"/>
          <w:lang w:val="es-ES" w:bidi="en-US"/>
        </w:rPr>
        <w:t xml:space="preserve">. </w:t>
      </w:r>
    </w:p>
    <w:p w14:paraId="337787DD" w14:textId="437DAD51" w:rsidR="00525863" w:rsidRDefault="00525863" w:rsidP="0092386E">
      <w:pPr>
        <w:tabs>
          <w:tab w:val="left" w:pos="567"/>
        </w:tabs>
        <w:spacing w:line="240" w:lineRule="auto"/>
        <w:textAlignment w:val="auto"/>
        <w:rPr>
          <w:rFonts w:eastAsia="MS Mincho"/>
          <w:lang w:val="es-ES" w:bidi="en-US"/>
        </w:rPr>
      </w:pPr>
    </w:p>
    <w:p w14:paraId="29D48EDA" w14:textId="0C66C6D1" w:rsidR="00B52909" w:rsidRPr="00FE71B7" w:rsidRDefault="0092386E" w:rsidP="00D60EB1">
      <w:pPr>
        <w:numPr>
          <w:ilvl w:val="0"/>
          <w:numId w:val="4"/>
        </w:numPr>
        <w:tabs>
          <w:tab w:val="left" w:pos="567"/>
          <w:tab w:val="num" w:pos="1569"/>
          <w:tab w:val="num" w:pos="12305"/>
        </w:tabs>
        <w:spacing w:line="240" w:lineRule="auto"/>
        <w:ind w:left="0" w:firstLine="0"/>
        <w:rPr>
          <w:rFonts w:eastAsia="MS Mincho"/>
          <w:lang w:val="es-ES" w:bidi="en-US"/>
        </w:rPr>
      </w:pPr>
      <w:r w:rsidRPr="00FE71B7">
        <w:rPr>
          <w:rFonts w:eastAsia="MS Mincho"/>
          <w:lang w:val="es-ES" w:bidi="en-US"/>
        </w:rPr>
        <w:t>En el presente caso</w:t>
      </w:r>
      <w:r w:rsidR="00B52909" w:rsidRPr="00FE71B7">
        <w:rPr>
          <w:rFonts w:eastAsia="MS Mincho"/>
          <w:lang w:val="es-ES" w:bidi="en-US"/>
        </w:rPr>
        <w:t xml:space="preserve">, la </w:t>
      </w:r>
      <w:r w:rsidR="00B52909" w:rsidRPr="00FE71B7">
        <w:rPr>
          <w:rFonts w:eastAsia="MS Mincho"/>
          <w:b/>
          <w:i/>
          <w:lang w:val="es-ES" w:bidi="en-US"/>
        </w:rPr>
        <w:t>Corte</w:t>
      </w:r>
      <w:r w:rsidR="001064F4" w:rsidRPr="00FE71B7">
        <w:rPr>
          <w:rFonts w:eastAsia="MS Mincho"/>
          <w:b/>
          <w:i/>
          <w:lang w:val="es-ES" w:bidi="en-US"/>
        </w:rPr>
        <w:t xml:space="preserve"> </w:t>
      </w:r>
      <w:r w:rsidR="001064F4" w:rsidRPr="00FE71B7">
        <w:rPr>
          <w:rFonts w:eastAsia="MS Mincho"/>
          <w:lang w:val="es-ES" w:bidi="en-US"/>
        </w:rPr>
        <w:t>valora positivamente</w:t>
      </w:r>
      <w:r w:rsidR="00B52909" w:rsidRPr="00FE71B7">
        <w:rPr>
          <w:rFonts w:eastAsia="MS Mincho"/>
          <w:lang w:val="es-ES" w:bidi="en-US"/>
        </w:rPr>
        <w:t xml:space="preserve"> </w:t>
      </w:r>
      <w:r w:rsidR="001064F4" w:rsidRPr="00FE71B7">
        <w:rPr>
          <w:rFonts w:eastAsia="MS Mincho"/>
          <w:lang w:val="es-ES" w:bidi="en-US"/>
        </w:rPr>
        <w:t xml:space="preserve">las garantías de no repetición propuestas por el Estado, con las cuales </w:t>
      </w:r>
      <w:r w:rsidR="00183EC9">
        <w:rPr>
          <w:rFonts w:eastAsia="MS Mincho"/>
          <w:lang w:val="es-ES" w:bidi="en-US"/>
        </w:rPr>
        <w:t>las representantes</w:t>
      </w:r>
      <w:r w:rsidR="001064F4" w:rsidRPr="00FE71B7">
        <w:rPr>
          <w:rFonts w:eastAsia="MS Mincho"/>
          <w:lang w:val="es-ES" w:bidi="en-US"/>
        </w:rPr>
        <w:t xml:space="preserve"> han mostrado su conformida</w:t>
      </w:r>
      <w:r w:rsidR="001064F4" w:rsidRPr="002D4674">
        <w:rPr>
          <w:rFonts w:eastAsia="MS Mincho"/>
          <w:lang w:val="es-ES" w:bidi="en-US"/>
        </w:rPr>
        <w:t xml:space="preserve">d, </w:t>
      </w:r>
      <w:r w:rsidR="00CF08EB" w:rsidRPr="002D4674">
        <w:rPr>
          <w:rFonts w:eastAsia="MS Mincho"/>
          <w:lang w:val="es-ES" w:bidi="en-US"/>
        </w:rPr>
        <w:t>máxime cuando, tal</w:t>
      </w:r>
      <w:r w:rsidR="00F37DBC" w:rsidRPr="002D4674">
        <w:rPr>
          <w:rFonts w:eastAsia="MS Mincho"/>
          <w:lang w:val="es-ES" w:bidi="en-US"/>
        </w:rPr>
        <w:t xml:space="preserve"> </w:t>
      </w:r>
      <w:r w:rsidR="00CF08EB" w:rsidRPr="002D4674">
        <w:rPr>
          <w:rFonts w:eastAsia="MS Mincho"/>
          <w:lang w:val="es-ES" w:bidi="en-US"/>
        </w:rPr>
        <w:t xml:space="preserve">y como se elaboró </w:t>
      </w:r>
      <w:r w:rsidR="00CF08EB" w:rsidRPr="002D4674">
        <w:rPr>
          <w:rFonts w:eastAsia="MS Mincho"/>
          <w:i/>
          <w:lang w:val="es-ES" w:bidi="en-US"/>
        </w:rPr>
        <w:t xml:space="preserve">supra </w:t>
      </w:r>
      <w:r w:rsidR="002D4674">
        <w:rPr>
          <w:rFonts w:eastAsia="MS Mincho"/>
          <w:lang w:val="es-ES" w:bidi="en-US"/>
        </w:rPr>
        <w:t>(</w:t>
      </w:r>
      <w:proofErr w:type="spellStart"/>
      <w:r w:rsidR="002D4674">
        <w:rPr>
          <w:rFonts w:eastAsia="MS Mincho"/>
          <w:lang w:val="es-ES" w:bidi="en-US"/>
        </w:rPr>
        <w:t>párrs</w:t>
      </w:r>
      <w:proofErr w:type="spellEnd"/>
      <w:r w:rsidR="002D4674">
        <w:rPr>
          <w:rFonts w:eastAsia="MS Mincho"/>
          <w:lang w:val="es-ES" w:bidi="en-US"/>
        </w:rPr>
        <w:t>. 46 a 48</w:t>
      </w:r>
      <w:r w:rsidR="00CF08EB" w:rsidRPr="002D4674">
        <w:rPr>
          <w:rFonts w:eastAsia="MS Mincho"/>
          <w:lang w:val="es-ES" w:bidi="en-US"/>
        </w:rPr>
        <w:t xml:space="preserve">), las cifras de muertes y ataques contra defensoras </w:t>
      </w:r>
      <w:r w:rsidR="00FD0840" w:rsidRPr="002D4674">
        <w:rPr>
          <w:rFonts w:eastAsia="MS Mincho"/>
          <w:lang w:val="es-ES" w:bidi="en-US"/>
        </w:rPr>
        <w:t xml:space="preserve">y defensores </w:t>
      </w:r>
      <w:r w:rsidR="00CF08EB" w:rsidRPr="002D4674">
        <w:rPr>
          <w:rFonts w:eastAsia="MS Mincho"/>
          <w:lang w:val="es-ES" w:bidi="en-US"/>
        </w:rPr>
        <w:t>de derechos humanos en México continúan siendo muy alarmantes</w:t>
      </w:r>
      <w:r w:rsidR="00D33060">
        <w:rPr>
          <w:rFonts w:eastAsia="MS Mincho"/>
          <w:lang w:val="es-ES" w:bidi="en-US"/>
        </w:rPr>
        <w:t xml:space="preserve">. En consecuencia, a la vista de lo acordado por las partes, la Corte </w:t>
      </w:r>
      <w:r w:rsidR="00FE71B7" w:rsidRPr="00FE71B7">
        <w:rPr>
          <w:rFonts w:eastAsia="MS Mincho"/>
          <w:lang w:val="es-ES" w:bidi="en-US"/>
        </w:rPr>
        <w:t>ordena al</w:t>
      </w:r>
      <w:r w:rsidRPr="00FE71B7">
        <w:rPr>
          <w:rFonts w:eastAsia="MS Mincho"/>
          <w:lang w:val="es-ES" w:bidi="en-US"/>
        </w:rPr>
        <w:t xml:space="preserve"> Estado</w:t>
      </w:r>
      <w:r w:rsidR="006E2362" w:rsidRPr="00FE71B7">
        <w:rPr>
          <w:rFonts w:eastAsia="MS Mincho"/>
          <w:lang w:val="es-ES" w:bidi="en-US"/>
        </w:rPr>
        <w:t>:</w:t>
      </w:r>
    </w:p>
    <w:p w14:paraId="3594FCE9" w14:textId="56AF6B65" w:rsidR="0092386E" w:rsidRDefault="0092386E" w:rsidP="0092386E">
      <w:pPr>
        <w:tabs>
          <w:tab w:val="left" w:pos="567"/>
        </w:tabs>
        <w:spacing w:line="240" w:lineRule="auto"/>
        <w:textAlignment w:val="auto"/>
        <w:rPr>
          <w:rFonts w:eastAsia="MS Mincho"/>
          <w:lang w:val="es-ES" w:bidi="en-US"/>
        </w:rPr>
      </w:pPr>
    </w:p>
    <w:p w14:paraId="0976F890" w14:textId="59AD7FA2" w:rsidR="0092386E" w:rsidRPr="00D51095" w:rsidRDefault="00663E10" w:rsidP="00BB668C">
      <w:pPr>
        <w:pStyle w:val="Prrafodelista"/>
        <w:numPr>
          <w:ilvl w:val="0"/>
          <w:numId w:val="16"/>
        </w:numPr>
        <w:tabs>
          <w:tab w:val="left" w:pos="567"/>
        </w:tabs>
        <w:spacing w:line="240" w:lineRule="auto"/>
        <w:ind w:left="284"/>
        <w:textAlignment w:val="auto"/>
        <w:rPr>
          <w:lang w:val="es-ES"/>
        </w:rPr>
      </w:pPr>
      <w:r>
        <w:rPr>
          <w:lang w:val="es-ES"/>
        </w:rPr>
        <w:t>C</w:t>
      </w:r>
      <w:r w:rsidR="0092386E" w:rsidRPr="00663E10">
        <w:rPr>
          <w:lang w:val="es-ES"/>
        </w:rPr>
        <w:t xml:space="preserve">rear </w:t>
      </w:r>
      <w:r w:rsidR="0092386E" w:rsidRPr="00D51095">
        <w:rPr>
          <w:lang w:val="es-ES"/>
        </w:rPr>
        <w:t xml:space="preserve">un reconocimiento en materia de defensa de derechos humanos que llevará el </w:t>
      </w:r>
      <w:r w:rsidR="0092386E" w:rsidRPr="00D51095">
        <w:rPr>
          <w:rFonts w:eastAsia="MS Mincho"/>
          <w:iCs/>
          <w:lang w:val="es-ES" w:bidi="en-US"/>
        </w:rPr>
        <w:t>nombre</w:t>
      </w:r>
      <w:r w:rsidR="0092386E" w:rsidRPr="00D51095">
        <w:rPr>
          <w:lang w:val="es-ES"/>
        </w:rPr>
        <w:t xml:space="preserve"> </w:t>
      </w:r>
      <w:r w:rsidR="00F96B08">
        <w:rPr>
          <w:lang w:val="es-ES"/>
        </w:rPr>
        <w:t>“</w:t>
      </w:r>
      <w:r w:rsidR="0092386E" w:rsidRPr="00D51095">
        <w:rPr>
          <w:lang w:val="es-ES"/>
        </w:rPr>
        <w:t>Digna Ochoa y Plácido</w:t>
      </w:r>
      <w:r w:rsidR="00F96B08">
        <w:rPr>
          <w:lang w:val="es-ES"/>
        </w:rPr>
        <w:t>”</w:t>
      </w:r>
      <w:r w:rsidR="0092386E" w:rsidRPr="00D51095">
        <w:rPr>
          <w:lang w:val="es-ES"/>
        </w:rPr>
        <w:t>,</w:t>
      </w:r>
      <w:r w:rsidR="006E2362" w:rsidRPr="00D51095">
        <w:rPr>
          <w:lang w:val="es-ES"/>
        </w:rPr>
        <w:t xml:space="preserve"> el cual </w:t>
      </w:r>
      <w:r w:rsidR="00847C1C" w:rsidRPr="00D51095">
        <w:rPr>
          <w:lang w:val="es-ES"/>
        </w:rPr>
        <w:t xml:space="preserve">se celebrará anualmente y </w:t>
      </w:r>
      <w:r w:rsidR="006E2362" w:rsidRPr="00D51095">
        <w:rPr>
          <w:rFonts w:eastAsia="MS Mincho"/>
          <w:lang w:val="es-ES" w:bidi="en-US"/>
        </w:rPr>
        <w:t>será entregado a p</w:t>
      </w:r>
      <w:proofErr w:type="spellStart"/>
      <w:r w:rsidR="006E2362" w:rsidRPr="00D51095">
        <w:rPr>
          <w:rFonts w:eastAsiaTheme="minorHAnsi"/>
          <w:lang w:eastAsia="en-US"/>
        </w:rPr>
        <w:t>ersonas</w:t>
      </w:r>
      <w:proofErr w:type="spellEnd"/>
      <w:r w:rsidR="006E2362" w:rsidRPr="00D51095">
        <w:rPr>
          <w:rFonts w:eastAsiaTheme="minorHAnsi"/>
          <w:lang w:eastAsia="en-US"/>
        </w:rPr>
        <w:t xml:space="preserve"> defensoras de derechos humanos en México, cuya labor se haya destacado en la defensa, promoción, protección y garantía de los derechos fundamentales</w:t>
      </w:r>
      <w:r w:rsidR="0061234F" w:rsidRPr="00D51095">
        <w:rPr>
          <w:lang w:val="es-ES"/>
        </w:rPr>
        <w:t>.</w:t>
      </w:r>
      <w:r w:rsidRPr="00D51095">
        <w:rPr>
          <w:lang w:val="es-ES"/>
        </w:rPr>
        <w:t xml:space="preserve"> </w:t>
      </w:r>
      <w:r w:rsidRPr="00D51095">
        <w:rPr>
          <w:rFonts w:cs="Arial"/>
        </w:rPr>
        <w:t>Para cumplir con esta obligación el Estado cuenta con un plazo de un año a partir de la notificación de la presente Sentencia.</w:t>
      </w:r>
      <w:r w:rsidRPr="00D51095">
        <w:rPr>
          <w:rStyle w:val="Ttulo1Car"/>
          <w:rFonts w:eastAsia="MS Mincho" w:cs="Arial"/>
        </w:rPr>
        <w:t xml:space="preserve"> </w:t>
      </w:r>
      <w:r w:rsidRPr="00D51095">
        <w:rPr>
          <w:rStyle w:val="markedcontent"/>
          <w:rFonts w:eastAsia="MS Mincho" w:cs="Arial"/>
        </w:rPr>
        <w:t>El Estado deberá remitir anualmente un informe detallado sobre dicho reconocimiento durante cinco años a partir de la emisión y remisión a la Corte del primer informe.</w:t>
      </w:r>
    </w:p>
    <w:p w14:paraId="28B0AD54" w14:textId="77777777" w:rsidR="0092386E" w:rsidRPr="00D51095" w:rsidRDefault="0092386E" w:rsidP="006E2362">
      <w:pPr>
        <w:tabs>
          <w:tab w:val="left" w:pos="567"/>
        </w:tabs>
        <w:spacing w:line="240" w:lineRule="auto"/>
        <w:ind w:left="284"/>
        <w:textAlignment w:val="auto"/>
        <w:rPr>
          <w:lang w:val="es-ES"/>
        </w:rPr>
      </w:pPr>
    </w:p>
    <w:p w14:paraId="09F5B87C" w14:textId="21B80696" w:rsidR="0092386E" w:rsidRPr="00D51095" w:rsidRDefault="00663E10" w:rsidP="00A81982">
      <w:pPr>
        <w:pStyle w:val="Prrafodelista"/>
        <w:numPr>
          <w:ilvl w:val="0"/>
          <w:numId w:val="16"/>
        </w:numPr>
        <w:tabs>
          <w:tab w:val="left" w:pos="567"/>
        </w:tabs>
        <w:spacing w:line="240" w:lineRule="auto"/>
        <w:ind w:left="284"/>
        <w:textAlignment w:val="auto"/>
        <w:rPr>
          <w:rFonts w:eastAsiaTheme="minorHAnsi"/>
          <w:lang w:eastAsia="en-US"/>
        </w:rPr>
      </w:pPr>
      <w:r w:rsidRPr="00D51095">
        <w:rPr>
          <w:lang w:val="es-ES"/>
        </w:rPr>
        <w:t>D</w:t>
      </w:r>
      <w:r w:rsidR="0092386E" w:rsidRPr="00D51095">
        <w:rPr>
          <w:lang w:val="es-ES"/>
        </w:rPr>
        <w:t xml:space="preserve">iseñar e implementar </w:t>
      </w:r>
      <w:r w:rsidR="0092386E" w:rsidRPr="00D51095">
        <w:rPr>
          <w:rFonts w:eastAsia="MS Mincho"/>
          <w:iCs/>
          <w:lang w:val="es-ES" w:bidi="en-US"/>
        </w:rPr>
        <w:t>una</w:t>
      </w:r>
      <w:r w:rsidR="0092386E" w:rsidRPr="00D51095">
        <w:rPr>
          <w:lang w:val="es-ES"/>
        </w:rPr>
        <w:t xml:space="preserve"> campaña para </w:t>
      </w:r>
      <w:r w:rsidR="0092386E" w:rsidRPr="00D51095">
        <w:rPr>
          <w:rFonts w:eastAsia="MS Mincho"/>
          <w:iCs/>
          <w:lang w:val="es-ES" w:bidi="en-US"/>
        </w:rPr>
        <w:t>reconocer</w:t>
      </w:r>
      <w:r w:rsidR="0092386E" w:rsidRPr="00D51095">
        <w:rPr>
          <w:lang w:val="es-ES"/>
        </w:rPr>
        <w:t xml:space="preserve"> la labor de las </w:t>
      </w:r>
      <w:r w:rsidR="0079556F" w:rsidRPr="001879D7">
        <w:t xml:space="preserve">defensoras </w:t>
      </w:r>
      <w:r w:rsidR="0079556F">
        <w:t xml:space="preserve">y defensores </w:t>
      </w:r>
      <w:r w:rsidR="0092386E" w:rsidRPr="00D51095">
        <w:rPr>
          <w:lang w:val="es-ES"/>
        </w:rPr>
        <w:t>de derechos humanos</w:t>
      </w:r>
      <w:r w:rsidRPr="00D51095">
        <w:rPr>
          <w:lang w:val="es-ES"/>
        </w:rPr>
        <w:t>, la cual deberá ser puesta en práctica en un plazo no mayor a seis meses y deberá tener una duración de un año. La campaña deberá ser diseñada en colaboración con las víctimas y sus representantes.</w:t>
      </w:r>
    </w:p>
    <w:p w14:paraId="7E5ECAA5" w14:textId="77777777" w:rsidR="00663E10" w:rsidRPr="00D51095" w:rsidRDefault="00663E10" w:rsidP="00663E10">
      <w:pPr>
        <w:pStyle w:val="Prrafodelista"/>
        <w:tabs>
          <w:tab w:val="left" w:pos="567"/>
        </w:tabs>
        <w:spacing w:line="240" w:lineRule="auto"/>
        <w:ind w:left="284"/>
        <w:textAlignment w:val="auto"/>
        <w:rPr>
          <w:rFonts w:eastAsiaTheme="minorHAnsi"/>
          <w:lang w:eastAsia="en-US"/>
        </w:rPr>
      </w:pPr>
    </w:p>
    <w:p w14:paraId="4C01F8C4" w14:textId="6F50CED0" w:rsidR="0092386E" w:rsidRPr="00D51095" w:rsidRDefault="00663E10" w:rsidP="00BB668C">
      <w:pPr>
        <w:pStyle w:val="Prrafodelista"/>
        <w:numPr>
          <w:ilvl w:val="0"/>
          <w:numId w:val="16"/>
        </w:numPr>
        <w:tabs>
          <w:tab w:val="left" w:pos="567"/>
        </w:tabs>
        <w:spacing w:line="240" w:lineRule="auto"/>
        <w:ind w:left="284"/>
        <w:textAlignment w:val="auto"/>
        <w:rPr>
          <w:b/>
          <w:lang w:val="es-ES"/>
        </w:rPr>
      </w:pPr>
      <w:r w:rsidRPr="00D51095">
        <w:rPr>
          <w:rFonts w:eastAsiaTheme="minorHAnsi"/>
          <w:lang w:eastAsia="en-US"/>
        </w:rPr>
        <w:t xml:space="preserve">Otorgar el nombre de </w:t>
      </w:r>
      <w:r w:rsidR="00F96B08">
        <w:rPr>
          <w:rFonts w:eastAsiaTheme="minorHAnsi"/>
          <w:lang w:eastAsia="en-US"/>
        </w:rPr>
        <w:t>“</w:t>
      </w:r>
      <w:r w:rsidRPr="00D51095">
        <w:rPr>
          <w:rFonts w:eastAsiaTheme="minorHAnsi"/>
          <w:lang w:eastAsia="en-US"/>
        </w:rPr>
        <w:t>Digna Ochoa y Plácido</w:t>
      </w:r>
      <w:r w:rsidR="00F96B08">
        <w:rPr>
          <w:rFonts w:eastAsiaTheme="minorHAnsi"/>
          <w:lang w:eastAsia="en-US"/>
        </w:rPr>
        <w:t>”</w:t>
      </w:r>
      <w:r w:rsidRPr="00D51095">
        <w:rPr>
          <w:rFonts w:eastAsiaTheme="minorHAnsi"/>
          <w:lang w:eastAsia="en-US"/>
        </w:rPr>
        <w:t xml:space="preserve"> a </w:t>
      </w:r>
      <w:r w:rsidR="0092386E" w:rsidRPr="00D51095">
        <w:rPr>
          <w:rFonts w:eastAsiaTheme="minorHAnsi"/>
          <w:lang w:eastAsia="en-US"/>
        </w:rPr>
        <w:t xml:space="preserve">una calle en la ciudad de Misantla, estado de Veracruz, </w:t>
      </w:r>
      <w:r w:rsidR="000D6337">
        <w:rPr>
          <w:rFonts w:eastAsiaTheme="minorHAnsi"/>
          <w:lang w:eastAsia="en-US"/>
        </w:rPr>
        <w:t>así como en la Ciudad de México</w:t>
      </w:r>
      <w:r w:rsidR="006901C2">
        <w:rPr>
          <w:rFonts w:eastAsiaTheme="minorHAnsi"/>
          <w:lang w:eastAsia="en-US"/>
        </w:rPr>
        <w:t>.</w:t>
      </w:r>
      <w:r w:rsidRPr="00D51095">
        <w:rPr>
          <w:rFonts w:cs="Arial"/>
        </w:rPr>
        <w:t xml:space="preserve"> Para cumplir con esta obligación el Estado cuenta con un plazo de </w:t>
      </w:r>
      <w:r w:rsidR="006901C2">
        <w:rPr>
          <w:rFonts w:cs="Arial"/>
        </w:rPr>
        <w:t>dos</w:t>
      </w:r>
      <w:r w:rsidR="006901C2" w:rsidRPr="00D51095">
        <w:rPr>
          <w:rFonts w:cs="Arial"/>
        </w:rPr>
        <w:t xml:space="preserve"> </w:t>
      </w:r>
      <w:r w:rsidRPr="00D51095">
        <w:rPr>
          <w:rFonts w:cs="Arial"/>
        </w:rPr>
        <w:t>año</w:t>
      </w:r>
      <w:r w:rsidR="006901C2">
        <w:rPr>
          <w:rFonts w:cs="Arial"/>
        </w:rPr>
        <w:t>s</w:t>
      </w:r>
      <w:r w:rsidRPr="00D51095">
        <w:rPr>
          <w:rFonts w:cs="Arial"/>
        </w:rPr>
        <w:t xml:space="preserve"> a partir de la notificación de la presente Sentencia.</w:t>
      </w:r>
    </w:p>
    <w:p w14:paraId="001FB322" w14:textId="77777777" w:rsidR="0092386E" w:rsidRPr="00D51095" w:rsidRDefault="0092386E" w:rsidP="006E2362">
      <w:pPr>
        <w:tabs>
          <w:tab w:val="left" w:pos="567"/>
        </w:tabs>
        <w:spacing w:line="240" w:lineRule="auto"/>
        <w:ind w:left="284"/>
        <w:textAlignment w:val="auto"/>
        <w:rPr>
          <w:b/>
          <w:lang w:val="es-ES"/>
        </w:rPr>
      </w:pPr>
    </w:p>
    <w:p w14:paraId="4773BB0A" w14:textId="510556CA" w:rsidR="006E2362" w:rsidRPr="00663E10" w:rsidRDefault="00663E10" w:rsidP="00663E10">
      <w:pPr>
        <w:pStyle w:val="Prrafodelista"/>
        <w:numPr>
          <w:ilvl w:val="0"/>
          <w:numId w:val="16"/>
        </w:numPr>
        <w:tabs>
          <w:tab w:val="left" w:pos="567"/>
        </w:tabs>
        <w:spacing w:line="240" w:lineRule="auto"/>
        <w:ind w:left="284"/>
        <w:textAlignment w:val="auto"/>
        <w:rPr>
          <w:rFonts w:eastAsiaTheme="minorHAnsi"/>
          <w:lang w:eastAsia="en-US"/>
        </w:rPr>
      </w:pPr>
      <w:r w:rsidRPr="00D51095">
        <w:rPr>
          <w:rStyle w:val="markedcontent"/>
          <w:rFonts w:eastAsia="MS Mincho" w:cs="Arial"/>
          <w:lang w:val="es-ES"/>
        </w:rPr>
        <w:t>E</w:t>
      </w:r>
      <w:r w:rsidRPr="00D51095">
        <w:rPr>
          <w:rStyle w:val="markedcontent"/>
          <w:rFonts w:eastAsia="MS Mincho" w:cs="Arial"/>
        </w:rPr>
        <w:t xml:space="preserve">n un plazo de dos años, elaborar un plan de fortalecimiento </w:t>
      </w:r>
      <w:r w:rsidRPr="00D51095">
        <w:rPr>
          <w:rStyle w:val="highlight"/>
          <w:rFonts w:eastAsia="Verdana" w:cs="Arial"/>
        </w:rPr>
        <w:t>calendar</w:t>
      </w:r>
      <w:r w:rsidRPr="00D51095">
        <w:rPr>
          <w:rStyle w:val="markedcontent"/>
          <w:rFonts w:eastAsia="MS Mincho" w:cs="Arial"/>
        </w:rPr>
        <w:t>izado d</w:t>
      </w:r>
      <w:r w:rsidR="0092386E" w:rsidRPr="00D51095">
        <w:rPr>
          <w:rFonts w:eastAsiaTheme="minorHAnsi"/>
          <w:lang w:eastAsia="en-US"/>
        </w:rPr>
        <w:t xml:space="preserve">el </w:t>
      </w:r>
      <w:r w:rsidR="007C68CF">
        <w:rPr>
          <w:rFonts w:eastAsiaTheme="minorHAnsi"/>
          <w:lang w:eastAsia="en-US"/>
        </w:rPr>
        <w:t>“</w:t>
      </w:r>
      <w:r w:rsidR="0092386E" w:rsidRPr="00D51095">
        <w:rPr>
          <w:rFonts w:eastAsiaTheme="minorHAnsi"/>
          <w:lang w:eastAsia="en-US"/>
        </w:rPr>
        <w:t xml:space="preserve">Mecanismo de </w:t>
      </w:r>
      <w:r w:rsidR="0092386E" w:rsidRPr="00D51095">
        <w:rPr>
          <w:lang w:val="es-ES"/>
        </w:rPr>
        <w:t>Protección</w:t>
      </w:r>
      <w:r w:rsidR="0092386E" w:rsidRPr="00D51095">
        <w:rPr>
          <w:rFonts w:eastAsiaTheme="minorHAnsi"/>
          <w:lang w:eastAsia="en-US"/>
        </w:rPr>
        <w:t xml:space="preserve"> para </w:t>
      </w:r>
      <w:r w:rsidR="0092386E" w:rsidRPr="00D51095">
        <w:rPr>
          <w:rFonts w:eastAsia="MS Mincho"/>
          <w:iCs/>
          <w:lang w:val="es-ES" w:bidi="en-US"/>
        </w:rPr>
        <w:t>Personas</w:t>
      </w:r>
      <w:r w:rsidR="0092386E" w:rsidRPr="00D51095">
        <w:rPr>
          <w:rFonts w:eastAsiaTheme="minorHAnsi"/>
          <w:lang w:eastAsia="en-US"/>
        </w:rPr>
        <w:t xml:space="preserve"> Defensoras de Derechos Humanos y Periodistas</w:t>
      </w:r>
      <w:r w:rsidR="007C68CF">
        <w:rPr>
          <w:rFonts w:eastAsiaTheme="minorHAnsi"/>
          <w:lang w:eastAsia="en-US"/>
        </w:rPr>
        <w:t>”</w:t>
      </w:r>
      <w:r w:rsidR="0092386E" w:rsidRPr="00D51095">
        <w:rPr>
          <w:rFonts w:eastAsiaTheme="minorHAnsi"/>
          <w:lang w:eastAsia="en-US"/>
        </w:rPr>
        <w:t xml:space="preserve">, retomando para ello las recomendaciones y propuestas de los peritos </w:t>
      </w:r>
      <w:r w:rsidR="006E2362" w:rsidRPr="00D51095">
        <w:rPr>
          <w:rFonts w:eastAsiaTheme="minorHAnsi"/>
          <w:lang w:eastAsia="en-US"/>
        </w:rPr>
        <w:t>Erika Guevara Rosas y Michel Forst que declararon ante la Corte en el marco del caso,</w:t>
      </w:r>
      <w:r w:rsidR="0092386E" w:rsidRPr="00D51095">
        <w:rPr>
          <w:rFonts w:eastAsiaTheme="minorHAnsi"/>
          <w:lang w:eastAsia="en-US"/>
        </w:rPr>
        <w:t xml:space="preserve"> así como las recomendaciones formuladas por </w:t>
      </w:r>
      <w:r w:rsidR="00F96B08">
        <w:rPr>
          <w:rFonts w:eastAsiaTheme="minorHAnsi"/>
          <w:lang w:eastAsia="en-US"/>
        </w:rPr>
        <w:t xml:space="preserve">la </w:t>
      </w:r>
      <w:r w:rsidR="006E2362" w:rsidRPr="00D51095">
        <w:rPr>
          <w:rFonts w:eastAsiaTheme="minorHAnsi"/>
          <w:lang w:eastAsia="en-US"/>
        </w:rPr>
        <w:t xml:space="preserve">Oficina en México del Alto Comisionado de las Naciones Unidas para los Derechos Humanos </w:t>
      </w:r>
      <w:r w:rsidR="0092386E" w:rsidRPr="00D51095">
        <w:rPr>
          <w:rFonts w:eastAsiaTheme="minorHAnsi"/>
          <w:lang w:eastAsia="en-US"/>
        </w:rPr>
        <w:t>en el año 2019</w:t>
      </w:r>
      <w:r w:rsidR="006E2362" w:rsidRPr="00D51095">
        <w:rPr>
          <w:rStyle w:val="Refdenotaalpie"/>
          <w:rFonts w:eastAsiaTheme="minorHAnsi"/>
          <w:lang w:eastAsia="en-US"/>
        </w:rPr>
        <w:footnoteReference w:id="236"/>
      </w:r>
      <w:r w:rsidR="00DE08FD" w:rsidRPr="00D51095">
        <w:rPr>
          <w:rFonts w:eastAsiaTheme="minorHAnsi"/>
          <w:lang w:eastAsia="en-US"/>
        </w:rPr>
        <w:t>.</w:t>
      </w:r>
      <w:r w:rsidRPr="00D51095">
        <w:rPr>
          <w:rFonts w:eastAsiaTheme="minorHAnsi"/>
          <w:lang w:eastAsia="en-US"/>
        </w:rPr>
        <w:t xml:space="preserve"> Dicho</w:t>
      </w:r>
      <w:r w:rsidRPr="00663E10">
        <w:rPr>
          <w:rFonts w:eastAsiaTheme="minorHAnsi"/>
          <w:lang w:eastAsia="en-US"/>
        </w:rPr>
        <w:t xml:space="preserve"> plan debe incluir la asignación de recursos para el cumplimiento</w:t>
      </w:r>
      <w:r w:rsidR="002942EC">
        <w:rPr>
          <w:rFonts w:eastAsiaTheme="minorHAnsi"/>
          <w:lang w:eastAsia="en-US"/>
        </w:rPr>
        <w:t xml:space="preserve"> </w:t>
      </w:r>
      <w:r w:rsidRPr="00663E10">
        <w:rPr>
          <w:rFonts w:eastAsiaTheme="minorHAnsi"/>
          <w:lang w:eastAsia="en-US"/>
        </w:rPr>
        <w:t>de</w:t>
      </w:r>
      <w:r w:rsidR="002942EC">
        <w:rPr>
          <w:rFonts w:eastAsiaTheme="minorHAnsi"/>
          <w:lang w:eastAsia="en-US"/>
        </w:rPr>
        <w:t xml:space="preserve"> </w:t>
      </w:r>
      <w:r w:rsidRPr="00663E10">
        <w:rPr>
          <w:rFonts w:eastAsiaTheme="minorHAnsi"/>
          <w:lang w:eastAsia="en-US"/>
        </w:rPr>
        <w:t>sus</w:t>
      </w:r>
      <w:r w:rsidR="002942EC">
        <w:rPr>
          <w:rFonts w:eastAsiaTheme="minorHAnsi"/>
          <w:lang w:eastAsia="en-US"/>
        </w:rPr>
        <w:t xml:space="preserve"> </w:t>
      </w:r>
      <w:r w:rsidRPr="00663E10">
        <w:rPr>
          <w:rFonts w:eastAsiaTheme="minorHAnsi"/>
          <w:lang w:eastAsia="en-US"/>
        </w:rPr>
        <w:t>funciones</w:t>
      </w:r>
      <w:r w:rsidR="002942EC">
        <w:rPr>
          <w:rFonts w:eastAsiaTheme="minorHAnsi"/>
          <w:lang w:eastAsia="en-US"/>
        </w:rPr>
        <w:t xml:space="preserve"> </w:t>
      </w:r>
      <w:r w:rsidRPr="00663E10">
        <w:rPr>
          <w:rFonts w:eastAsiaTheme="minorHAnsi"/>
          <w:lang w:eastAsia="en-US"/>
        </w:rPr>
        <w:t>en</w:t>
      </w:r>
      <w:r w:rsidR="002942EC">
        <w:rPr>
          <w:rFonts w:eastAsiaTheme="minorHAnsi"/>
          <w:lang w:eastAsia="en-US"/>
        </w:rPr>
        <w:t xml:space="preserve"> </w:t>
      </w:r>
      <w:r w:rsidRPr="00663E10">
        <w:rPr>
          <w:rFonts w:eastAsiaTheme="minorHAnsi"/>
          <w:lang w:eastAsia="en-US"/>
        </w:rPr>
        <w:t>el</w:t>
      </w:r>
      <w:r w:rsidR="002942EC">
        <w:rPr>
          <w:rFonts w:eastAsiaTheme="minorHAnsi"/>
          <w:lang w:eastAsia="en-US"/>
        </w:rPr>
        <w:t xml:space="preserve"> </w:t>
      </w:r>
      <w:r w:rsidRPr="00663E10">
        <w:rPr>
          <w:rFonts w:eastAsiaTheme="minorHAnsi"/>
          <w:lang w:eastAsia="en-US"/>
        </w:rPr>
        <w:t>territorio</w:t>
      </w:r>
      <w:r w:rsidR="002942EC">
        <w:rPr>
          <w:rFonts w:eastAsiaTheme="minorHAnsi"/>
          <w:lang w:eastAsia="en-US"/>
        </w:rPr>
        <w:t xml:space="preserve"> </w:t>
      </w:r>
      <w:r w:rsidRPr="00663E10">
        <w:rPr>
          <w:rFonts w:eastAsiaTheme="minorHAnsi"/>
          <w:lang w:eastAsia="en-US"/>
        </w:rPr>
        <w:t>nacional,</w:t>
      </w:r>
      <w:r w:rsidR="002942EC">
        <w:rPr>
          <w:rFonts w:eastAsiaTheme="minorHAnsi"/>
          <w:lang w:eastAsia="en-US"/>
        </w:rPr>
        <w:t xml:space="preserve"> </w:t>
      </w:r>
      <w:r w:rsidRPr="00663E10">
        <w:rPr>
          <w:rFonts w:eastAsiaTheme="minorHAnsi"/>
          <w:lang w:eastAsia="en-US"/>
        </w:rPr>
        <w:t>y</w:t>
      </w:r>
      <w:r w:rsidR="002942EC">
        <w:rPr>
          <w:rFonts w:eastAsiaTheme="minorHAnsi"/>
          <w:lang w:eastAsia="en-US"/>
        </w:rPr>
        <w:t xml:space="preserve"> </w:t>
      </w:r>
      <w:r w:rsidRPr="00663E10">
        <w:rPr>
          <w:rFonts w:eastAsiaTheme="minorHAnsi"/>
          <w:lang w:eastAsia="en-US"/>
        </w:rPr>
        <w:t>establezca</w:t>
      </w:r>
      <w:r w:rsidR="002942EC">
        <w:rPr>
          <w:rFonts w:eastAsiaTheme="minorHAnsi"/>
          <w:lang w:eastAsia="en-US"/>
        </w:rPr>
        <w:t xml:space="preserve"> </w:t>
      </w:r>
      <w:r w:rsidRPr="00663E10">
        <w:rPr>
          <w:rFonts w:eastAsiaTheme="minorHAnsi"/>
          <w:lang w:eastAsia="en-US"/>
        </w:rPr>
        <w:t>plazos</w:t>
      </w:r>
      <w:r w:rsidR="002942EC">
        <w:rPr>
          <w:rFonts w:eastAsiaTheme="minorHAnsi"/>
          <w:lang w:eastAsia="en-US"/>
        </w:rPr>
        <w:t xml:space="preserve"> </w:t>
      </w:r>
      <w:r w:rsidRPr="00663E10">
        <w:rPr>
          <w:rFonts w:eastAsiaTheme="minorHAnsi"/>
          <w:lang w:eastAsia="en-US"/>
        </w:rPr>
        <w:t>anuales</w:t>
      </w:r>
      <w:r w:rsidR="002942EC">
        <w:rPr>
          <w:rFonts w:eastAsiaTheme="minorHAnsi"/>
          <w:lang w:eastAsia="en-US"/>
        </w:rPr>
        <w:t xml:space="preserve"> </w:t>
      </w:r>
      <w:r w:rsidRPr="00663E10">
        <w:rPr>
          <w:rFonts w:eastAsiaTheme="minorHAnsi"/>
          <w:lang w:eastAsia="en-US"/>
        </w:rPr>
        <w:t>para</w:t>
      </w:r>
      <w:r w:rsidR="002942EC">
        <w:rPr>
          <w:rFonts w:eastAsiaTheme="minorHAnsi"/>
          <w:lang w:eastAsia="en-US"/>
        </w:rPr>
        <w:t xml:space="preserve"> </w:t>
      </w:r>
      <w:r w:rsidRPr="00663E10">
        <w:rPr>
          <w:rFonts w:eastAsiaTheme="minorHAnsi"/>
          <w:lang w:eastAsia="en-US"/>
        </w:rPr>
        <w:t>la presentación</w:t>
      </w:r>
      <w:r w:rsidR="002942EC">
        <w:rPr>
          <w:rFonts w:eastAsiaTheme="minorHAnsi"/>
          <w:lang w:eastAsia="en-US"/>
        </w:rPr>
        <w:t xml:space="preserve"> </w:t>
      </w:r>
      <w:r w:rsidRPr="00663E10">
        <w:rPr>
          <w:rFonts w:eastAsiaTheme="minorHAnsi"/>
          <w:lang w:eastAsia="en-US"/>
        </w:rPr>
        <w:t>de</w:t>
      </w:r>
      <w:r w:rsidR="002942EC">
        <w:rPr>
          <w:rFonts w:eastAsiaTheme="minorHAnsi"/>
          <w:lang w:eastAsia="en-US"/>
        </w:rPr>
        <w:t xml:space="preserve"> </w:t>
      </w:r>
      <w:r w:rsidRPr="00663E10">
        <w:rPr>
          <w:rFonts w:eastAsiaTheme="minorHAnsi"/>
          <w:lang w:eastAsia="en-US"/>
        </w:rPr>
        <w:t>informes</w:t>
      </w:r>
      <w:r>
        <w:rPr>
          <w:rStyle w:val="Refdenotaalpie"/>
          <w:rFonts w:eastAsiaTheme="minorHAnsi"/>
          <w:lang w:eastAsia="en-US"/>
        </w:rPr>
        <w:footnoteReference w:id="237"/>
      </w:r>
      <w:r w:rsidR="00A2791D">
        <w:rPr>
          <w:rFonts w:eastAsiaTheme="minorHAnsi"/>
          <w:lang w:eastAsia="en-US"/>
        </w:rPr>
        <w:t>.</w:t>
      </w:r>
    </w:p>
    <w:p w14:paraId="17BC051D" w14:textId="77777777" w:rsidR="006E2362" w:rsidRDefault="006E2362" w:rsidP="006E2362">
      <w:pPr>
        <w:tabs>
          <w:tab w:val="left" w:pos="567"/>
        </w:tabs>
        <w:spacing w:line="240" w:lineRule="auto"/>
        <w:ind w:left="284"/>
        <w:textAlignment w:val="auto"/>
        <w:rPr>
          <w:rFonts w:eastAsiaTheme="minorHAnsi"/>
          <w:lang w:eastAsia="en-US"/>
        </w:rPr>
      </w:pPr>
    </w:p>
    <w:p w14:paraId="5BC8823E" w14:textId="51EA3B05" w:rsidR="006E2362" w:rsidRPr="006E2362" w:rsidRDefault="00663E10" w:rsidP="00BB668C">
      <w:pPr>
        <w:pStyle w:val="Prrafodelista"/>
        <w:numPr>
          <w:ilvl w:val="0"/>
          <w:numId w:val="16"/>
        </w:numPr>
        <w:tabs>
          <w:tab w:val="left" w:pos="567"/>
        </w:tabs>
        <w:spacing w:line="240" w:lineRule="auto"/>
        <w:ind w:left="284"/>
        <w:textAlignment w:val="auto"/>
        <w:rPr>
          <w:rFonts w:eastAsiaTheme="minorHAnsi"/>
          <w:b/>
          <w:lang w:val="es-ES" w:eastAsia="en-US"/>
        </w:rPr>
      </w:pPr>
      <w:r>
        <w:rPr>
          <w:rFonts w:eastAsiaTheme="minorHAnsi"/>
          <w:lang w:eastAsia="en-US"/>
        </w:rPr>
        <w:t>Crear e implementar un</w:t>
      </w:r>
      <w:r w:rsidR="0092386E" w:rsidRPr="006E2362">
        <w:rPr>
          <w:rFonts w:eastAsiaTheme="minorHAnsi"/>
          <w:lang w:eastAsia="en-US"/>
        </w:rPr>
        <w:t xml:space="preserve"> “Mecanismo de Protección de Testigos que interven</w:t>
      </w:r>
      <w:r w:rsidR="006E2362" w:rsidRPr="006E2362">
        <w:rPr>
          <w:rFonts w:eastAsiaTheme="minorHAnsi"/>
          <w:lang w:eastAsia="en-US"/>
        </w:rPr>
        <w:t>gan en el Procedimiento Penal</w:t>
      </w:r>
      <w:r w:rsidR="007C68CF">
        <w:rPr>
          <w:rFonts w:eastAsiaTheme="minorHAnsi"/>
          <w:lang w:eastAsia="en-US"/>
        </w:rPr>
        <w:t>”</w:t>
      </w:r>
      <w:r w:rsidR="006E2362" w:rsidRPr="006E2362">
        <w:rPr>
          <w:rFonts w:eastAsiaTheme="minorHAnsi"/>
          <w:lang w:eastAsia="en-US"/>
        </w:rPr>
        <w:t xml:space="preserve">, </w:t>
      </w:r>
      <w:r>
        <w:rPr>
          <w:rFonts w:eastAsiaTheme="minorHAnsi"/>
          <w:lang w:eastAsia="en-US"/>
        </w:rPr>
        <w:t>el</w:t>
      </w:r>
      <w:r w:rsidR="006E2362" w:rsidRPr="006E2362">
        <w:rPr>
          <w:rFonts w:eastAsiaTheme="minorHAnsi"/>
          <w:lang w:eastAsia="en-US"/>
        </w:rPr>
        <w:t xml:space="preserve"> cual</w:t>
      </w:r>
      <w:r w:rsidR="0092386E" w:rsidRPr="006E2362">
        <w:rPr>
          <w:rFonts w:eastAsiaTheme="minorHAnsi"/>
          <w:lang w:eastAsia="en-US"/>
        </w:rPr>
        <w:t xml:space="preserve"> incluirá los parámetros y </w:t>
      </w:r>
      <w:r w:rsidR="0092386E" w:rsidRPr="006E2362">
        <w:rPr>
          <w:rFonts w:eastAsia="MS Mincho"/>
          <w:iCs/>
          <w:lang w:val="es-ES" w:bidi="en-US"/>
        </w:rPr>
        <w:t>estándares</w:t>
      </w:r>
      <w:r w:rsidR="0092386E" w:rsidRPr="006E2362">
        <w:rPr>
          <w:rFonts w:eastAsiaTheme="minorHAnsi"/>
          <w:lang w:eastAsia="en-US"/>
        </w:rPr>
        <w:t xml:space="preserve"> internacionales sobre la materia, como lo es el análisis de riesgo de forma personal en un tiempo determinado, así como la </w:t>
      </w:r>
      <w:r w:rsidR="0092386E" w:rsidRPr="009511E3">
        <w:rPr>
          <w:rFonts w:eastAsiaTheme="minorHAnsi"/>
          <w:lang w:eastAsia="en-US"/>
        </w:rPr>
        <w:t>descripción de los mecanismos de protección que podrán ser otorgados a las personas beneficiarias.</w:t>
      </w:r>
      <w:r w:rsidR="0092386E" w:rsidRPr="009511E3">
        <w:rPr>
          <w:rFonts w:eastAsiaTheme="minorHAnsi"/>
          <w:b/>
          <w:lang w:val="es-ES" w:eastAsia="en-US"/>
        </w:rPr>
        <w:t xml:space="preserve"> </w:t>
      </w:r>
      <w:r w:rsidRPr="009511E3">
        <w:rPr>
          <w:rFonts w:cs="Arial"/>
        </w:rPr>
        <w:t>Para cumplir con esta obligación el Estado cuenta con un plazo de un año a partir de la notificación de la presente Sentencia.</w:t>
      </w:r>
    </w:p>
    <w:p w14:paraId="728202F3" w14:textId="77777777" w:rsidR="006E2362" w:rsidRPr="006E2362" w:rsidRDefault="006E2362" w:rsidP="006E2362">
      <w:pPr>
        <w:tabs>
          <w:tab w:val="left" w:pos="567"/>
        </w:tabs>
        <w:spacing w:line="240" w:lineRule="auto"/>
        <w:ind w:left="284"/>
        <w:textAlignment w:val="auto"/>
        <w:rPr>
          <w:rFonts w:eastAsiaTheme="minorHAnsi"/>
          <w:lang w:val="es-ES" w:eastAsia="en-US"/>
        </w:rPr>
      </w:pPr>
    </w:p>
    <w:p w14:paraId="4B742F7E" w14:textId="3F32BE5F" w:rsidR="006E2362" w:rsidRPr="00A2791D" w:rsidRDefault="00A2791D" w:rsidP="00BB668C">
      <w:pPr>
        <w:pStyle w:val="Prrafodelista"/>
        <w:numPr>
          <w:ilvl w:val="0"/>
          <w:numId w:val="16"/>
        </w:numPr>
        <w:tabs>
          <w:tab w:val="left" w:pos="567"/>
        </w:tabs>
        <w:spacing w:line="240" w:lineRule="auto"/>
        <w:ind w:left="284"/>
        <w:textAlignment w:val="auto"/>
        <w:rPr>
          <w:rFonts w:eastAsiaTheme="minorHAnsi"/>
          <w:b/>
          <w:lang w:eastAsia="en-US"/>
        </w:rPr>
      </w:pPr>
      <w:r w:rsidRPr="00A2791D">
        <w:rPr>
          <w:rFonts w:eastAsiaTheme="minorHAnsi"/>
          <w:lang w:val="es-ES" w:eastAsia="en-US"/>
        </w:rPr>
        <w:lastRenderedPageBreak/>
        <w:t>E</w:t>
      </w:r>
      <w:r w:rsidR="0092386E" w:rsidRPr="00A2791D">
        <w:rPr>
          <w:rFonts w:eastAsiaTheme="minorHAnsi"/>
          <w:lang w:eastAsia="en-US"/>
        </w:rPr>
        <w:t xml:space="preserve">laborar, presentar e impulsar, a través de la Consejería Jurídica del Ejecutivo </w:t>
      </w:r>
      <w:r w:rsidR="00312DD4" w:rsidRPr="00A2791D">
        <w:rPr>
          <w:rFonts w:eastAsiaTheme="minorHAnsi"/>
          <w:lang w:eastAsia="en-US"/>
        </w:rPr>
        <w:t>Federal, una</w:t>
      </w:r>
      <w:r w:rsidR="0092386E" w:rsidRPr="00A2791D">
        <w:rPr>
          <w:rFonts w:eastAsiaTheme="minorHAnsi"/>
          <w:lang w:eastAsia="en-US"/>
        </w:rPr>
        <w:t xml:space="preserve"> iniciativa de reforma constitucional para dotar de autonomía </w:t>
      </w:r>
      <w:r w:rsidR="00312DD4" w:rsidRPr="00A2791D">
        <w:rPr>
          <w:rFonts w:eastAsiaTheme="minorHAnsi"/>
          <w:lang w:eastAsia="en-US"/>
        </w:rPr>
        <w:t>e independencia</w:t>
      </w:r>
      <w:r w:rsidR="0092386E" w:rsidRPr="00A2791D">
        <w:rPr>
          <w:rFonts w:eastAsiaTheme="minorHAnsi"/>
          <w:lang w:eastAsia="en-US"/>
        </w:rPr>
        <w:t xml:space="preserve"> a los Servicios Periciales, como órganos especializados, imparciales, con </w:t>
      </w:r>
      <w:r w:rsidR="0092386E" w:rsidRPr="00A2791D">
        <w:rPr>
          <w:rFonts w:cs="Verdana"/>
          <w:bCs/>
          <w:iCs/>
          <w:lang w:val="es-ES"/>
        </w:rPr>
        <w:t>personalidad</w:t>
      </w:r>
      <w:r w:rsidR="0092386E" w:rsidRPr="00A2791D">
        <w:rPr>
          <w:rFonts w:eastAsiaTheme="minorHAnsi"/>
          <w:lang w:eastAsia="en-US"/>
        </w:rPr>
        <w:t xml:space="preserve"> jurídica y patrimonio propio, los cuales gozarán de plena autonomía técnica y de gestión, así como de capacidad para decidir sobre el ejercicio de su presupuesto y para determinar su organi</w:t>
      </w:r>
      <w:r w:rsidR="006E2362" w:rsidRPr="00A2791D">
        <w:rPr>
          <w:rFonts w:eastAsiaTheme="minorHAnsi"/>
          <w:lang w:eastAsia="en-US"/>
        </w:rPr>
        <w:t>zación interna</w:t>
      </w:r>
      <w:r w:rsidR="0092386E" w:rsidRPr="00A2791D">
        <w:rPr>
          <w:rFonts w:eastAsiaTheme="minorHAnsi"/>
          <w:lang w:eastAsia="en-US"/>
        </w:rPr>
        <w:t>.</w:t>
      </w:r>
      <w:r w:rsidR="009511E3">
        <w:rPr>
          <w:rFonts w:eastAsiaTheme="minorHAnsi"/>
          <w:lang w:eastAsia="en-US"/>
        </w:rPr>
        <w:t xml:space="preserve"> </w:t>
      </w:r>
      <w:r w:rsidR="009511E3" w:rsidRPr="009511E3">
        <w:rPr>
          <w:rFonts w:cs="Arial"/>
        </w:rPr>
        <w:t xml:space="preserve">Para cumplir con esta obligación el Estado cuenta con un plazo de </w:t>
      </w:r>
      <w:r w:rsidR="00517A6D">
        <w:rPr>
          <w:rFonts w:cs="Arial"/>
        </w:rPr>
        <w:t>dos</w:t>
      </w:r>
      <w:r w:rsidR="00517A6D" w:rsidRPr="009511E3">
        <w:rPr>
          <w:rFonts w:cs="Arial"/>
        </w:rPr>
        <w:t xml:space="preserve"> </w:t>
      </w:r>
      <w:r w:rsidR="009511E3" w:rsidRPr="009511E3">
        <w:rPr>
          <w:rFonts w:cs="Arial"/>
        </w:rPr>
        <w:t>año</w:t>
      </w:r>
      <w:r w:rsidR="00517A6D">
        <w:rPr>
          <w:rFonts w:cs="Arial"/>
        </w:rPr>
        <w:t>s</w:t>
      </w:r>
      <w:r w:rsidR="009511E3" w:rsidRPr="009511E3">
        <w:rPr>
          <w:rFonts w:cs="Arial"/>
        </w:rPr>
        <w:t xml:space="preserve"> a partir de la notificación de la presente Sentencia.</w:t>
      </w:r>
    </w:p>
    <w:p w14:paraId="3A2E9722" w14:textId="77777777" w:rsidR="006E2362" w:rsidRPr="006E2362" w:rsidRDefault="006E2362" w:rsidP="006E2362">
      <w:pPr>
        <w:pStyle w:val="Prrafodelista"/>
        <w:tabs>
          <w:tab w:val="left" w:pos="567"/>
        </w:tabs>
        <w:spacing w:line="240" w:lineRule="auto"/>
        <w:ind w:left="284"/>
        <w:textAlignment w:val="auto"/>
        <w:rPr>
          <w:rFonts w:eastAsiaTheme="minorHAnsi"/>
          <w:b/>
          <w:lang w:eastAsia="en-US"/>
        </w:rPr>
      </w:pPr>
    </w:p>
    <w:p w14:paraId="22B7E4AC" w14:textId="75F8591D" w:rsidR="0092386E" w:rsidRPr="00643129" w:rsidRDefault="00B67D69" w:rsidP="00BB668C">
      <w:pPr>
        <w:pStyle w:val="Prrafodelista"/>
        <w:numPr>
          <w:ilvl w:val="0"/>
          <w:numId w:val="16"/>
        </w:numPr>
        <w:tabs>
          <w:tab w:val="left" w:pos="567"/>
        </w:tabs>
        <w:spacing w:line="240" w:lineRule="auto"/>
        <w:ind w:left="284"/>
        <w:textAlignment w:val="auto"/>
        <w:rPr>
          <w:rFonts w:eastAsia="MS Mincho"/>
          <w:lang w:val="es-ES" w:bidi="en-US"/>
        </w:rPr>
      </w:pPr>
      <w:r>
        <w:rPr>
          <w:rFonts w:eastAsiaTheme="minorHAnsi"/>
          <w:lang w:eastAsia="en-US"/>
        </w:rPr>
        <w:t>E</w:t>
      </w:r>
      <w:r w:rsidR="0092386E" w:rsidRPr="006E2362">
        <w:rPr>
          <w:rFonts w:eastAsiaTheme="minorHAnsi"/>
          <w:lang w:eastAsia="en-US"/>
        </w:rPr>
        <w:t>laborar, presentar e impulsar, a</w:t>
      </w:r>
      <w:r w:rsidR="0092386E" w:rsidRPr="006E2362">
        <w:rPr>
          <w:rFonts w:eastAsiaTheme="minorHAnsi"/>
          <w:b/>
          <w:lang w:eastAsia="en-US"/>
        </w:rPr>
        <w:t xml:space="preserve"> </w:t>
      </w:r>
      <w:r w:rsidR="0092386E" w:rsidRPr="006E2362">
        <w:rPr>
          <w:rFonts w:eastAsiaTheme="minorHAnsi"/>
          <w:lang w:eastAsia="en-US"/>
        </w:rPr>
        <w:t xml:space="preserve">través de la Consejería Jurídica del Ejecutivo Federal, una iniciativa de reforma a la “Ley Federal Para </w:t>
      </w:r>
      <w:r w:rsidR="00BD6542">
        <w:rPr>
          <w:rFonts w:eastAsiaTheme="minorHAnsi"/>
          <w:lang w:eastAsia="en-US"/>
        </w:rPr>
        <w:t>l</w:t>
      </w:r>
      <w:r w:rsidR="0092386E" w:rsidRPr="006E2362">
        <w:rPr>
          <w:rFonts w:eastAsiaTheme="minorHAnsi"/>
          <w:lang w:eastAsia="en-US"/>
        </w:rPr>
        <w:t>a Protección a Personas que intervienen en el Procedimiento Penal” para que “incluya los parámetros y estándares internacionales sobre la materia para la creación y operación efectiva de un Mecanismo de Protección a Testigos”</w:t>
      </w:r>
      <w:r w:rsidR="006E2362" w:rsidRPr="006E2362">
        <w:rPr>
          <w:rFonts w:eastAsiaTheme="minorHAnsi"/>
          <w:lang w:eastAsia="en-US"/>
        </w:rPr>
        <w:t>.</w:t>
      </w:r>
      <w:r w:rsidR="009511E3">
        <w:rPr>
          <w:rFonts w:eastAsiaTheme="minorHAnsi"/>
          <w:lang w:eastAsia="en-US"/>
        </w:rPr>
        <w:t xml:space="preserve"> </w:t>
      </w:r>
      <w:r w:rsidR="009511E3" w:rsidRPr="009511E3">
        <w:rPr>
          <w:rFonts w:cs="Arial"/>
        </w:rPr>
        <w:t>Para cumplir con esta obligación el Estado cuenta con un plazo de un año a partir de la notificación de la presente Sentencia.</w:t>
      </w:r>
    </w:p>
    <w:p w14:paraId="35606DAE" w14:textId="570F72A8" w:rsidR="00643129" w:rsidRDefault="00643129" w:rsidP="00643129">
      <w:pPr>
        <w:tabs>
          <w:tab w:val="left" w:pos="567"/>
        </w:tabs>
        <w:spacing w:line="240" w:lineRule="auto"/>
        <w:textAlignment w:val="auto"/>
        <w:rPr>
          <w:rFonts w:eastAsia="MS Mincho"/>
          <w:lang w:val="es-ES" w:bidi="en-US"/>
        </w:rPr>
      </w:pPr>
    </w:p>
    <w:p w14:paraId="7B5C66FC" w14:textId="40D1A850" w:rsidR="00643129" w:rsidRPr="009511E3" w:rsidRDefault="00D60EB1" w:rsidP="00F225E7">
      <w:pPr>
        <w:widowControl/>
        <w:numPr>
          <w:ilvl w:val="0"/>
          <w:numId w:val="4"/>
        </w:numPr>
        <w:tabs>
          <w:tab w:val="left" w:pos="567"/>
          <w:tab w:val="num" w:pos="1569"/>
          <w:tab w:val="num" w:pos="12305"/>
        </w:tabs>
        <w:autoSpaceDE w:val="0"/>
        <w:autoSpaceDN w:val="0"/>
        <w:spacing w:line="240" w:lineRule="auto"/>
        <w:ind w:left="0" w:firstLine="0"/>
        <w:textAlignment w:val="auto"/>
        <w:rPr>
          <w:rFonts w:ascii="Arial" w:eastAsiaTheme="minorHAnsi" w:hAnsi="Arial" w:cs="Arial"/>
          <w:sz w:val="22"/>
          <w:szCs w:val="22"/>
          <w:lang w:eastAsia="en-US"/>
        </w:rPr>
      </w:pPr>
      <w:bookmarkStart w:id="104" w:name="_Toc514172669"/>
      <w:bookmarkStart w:id="105" w:name="_Toc476390741"/>
      <w:bookmarkStart w:id="106" w:name="_Toc495658701"/>
      <w:bookmarkStart w:id="107" w:name="_Toc15933778"/>
      <w:bookmarkStart w:id="108" w:name="_Toc33017902"/>
      <w:r w:rsidRPr="009511E3">
        <w:rPr>
          <w:rFonts w:cs="Verdana"/>
        </w:rPr>
        <w:t xml:space="preserve">Adicionalmente, el Tribunal ordena que el </w:t>
      </w:r>
      <w:r w:rsidR="00AD3BDF" w:rsidRPr="009511E3">
        <w:rPr>
          <w:rFonts w:cs="Verdana"/>
        </w:rPr>
        <w:t>Estado</w:t>
      </w:r>
      <w:r w:rsidR="00F225E7" w:rsidRPr="009511E3">
        <w:rPr>
          <w:rFonts w:cs="Verdana"/>
        </w:rPr>
        <w:t xml:space="preserve"> debe</w:t>
      </w:r>
      <w:r w:rsidR="00AD3BDF" w:rsidRPr="009511E3">
        <w:rPr>
          <w:rFonts w:cs="Verdana"/>
        </w:rPr>
        <w:t xml:space="preserve"> </w:t>
      </w:r>
      <w:r w:rsidR="00643129" w:rsidRPr="009511E3">
        <w:rPr>
          <w:rFonts w:cs="Verdana"/>
        </w:rPr>
        <w:t>crear e</w:t>
      </w:r>
      <w:r w:rsidR="00AD3BDF" w:rsidRPr="009511E3">
        <w:rPr>
          <w:rFonts w:cs="Verdana"/>
        </w:rPr>
        <w:t xml:space="preserve"> implementar</w:t>
      </w:r>
      <w:r w:rsidR="00F225E7" w:rsidRPr="009511E3">
        <w:rPr>
          <w:rFonts w:cs="Verdana"/>
        </w:rPr>
        <w:t xml:space="preserve"> a nivel federal</w:t>
      </w:r>
      <w:r w:rsidR="00AD3BDF" w:rsidRPr="009511E3">
        <w:rPr>
          <w:rFonts w:cs="Verdana"/>
        </w:rPr>
        <w:t xml:space="preserve">, en un plazo </w:t>
      </w:r>
      <w:r w:rsidR="00A2791D" w:rsidRPr="009511E3">
        <w:rPr>
          <w:rFonts w:cs="Verdana"/>
        </w:rPr>
        <w:t>no superior a dos años</w:t>
      </w:r>
      <w:r w:rsidR="00AD3BDF" w:rsidRPr="009511E3">
        <w:rPr>
          <w:rFonts w:cs="Verdana"/>
        </w:rPr>
        <w:t xml:space="preserve">, </w:t>
      </w:r>
      <w:r w:rsidR="00643129" w:rsidRPr="009511E3">
        <w:rPr>
          <w:rFonts w:cs="Verdana"/>
        </w:rPr>
        <w:t>un</w:t>
      </w:r>
      <w:r w:rsidR="00F225E7" w:rsidRPr="009511E3">
        <w:rPr>
          <w:rFonts w:cs="Verdana"/>
        </w:rPr>
        <w:t xml:space="preserve"> protocolo</w:t>
      </w:r>
      <w:r w:rsidR="00643129" w:rsidRPr="009511E3">
        <w:rPr>
          <w:rFonts w:cs="Verdana"/>
        </w:rPr>
        <w:t xml:space="preserve"> </w:t>
      </w:r>
      <w:r w:rsidR="00F225E7" w:rsidRPr="009511E3">
        <w:rPr>
          <w:rFonts w:eastAsiaTheme="minorHAnsi" w:cs="Arial"/>
          <w:lang w:eastAsia="en-US"/>
        </w:rPr>
        <w:t>específico y especializado</w:t>
      </w:r>
      <w:r w:rsidR="00643129" w:rsidRPr="009511E3">
        <w:rPr>
          <w:rFonts w:eastAsiaTheme="minorHAnsi" w:cs="Arial"/>
          <w:lang w:eastAsia="en-US"/>
        </w:rPr>
        <w:t xml:space="preserve"> para la investigación de ataques contra </w:t>
      </w:r>
      <w:r w:rsidR="0079556F">
        <w:rPr>
          <w:rFonts w:eastAsiaTheme="minorHAnsi" w:cs="Arial"/>
          <w:lang w:eastAsia="en-US"/>
        </w:rPr>
        <w:t xml:space="preserve">las </w:t>
      </w:r>
      <w:r w:rsidR="0079556F" w:rsidRPr="00F96B08">
        <w:t xml:space="preserve">defensoras y defensores </w:t>
      </w:r>
      <w:r w:rsidR="00643129" w:rsidRPr="00E4108C">
        <w:rPr>
          <w:rFonts w:eastAsiaTheme="minorHAnsi" w:cs="Arial"/>
          <w:lang w:eastAsia="en-US"/>
        </w:rPr>
        <w:t xml:space="preserve">de derechos humanos, que tengan en cuenta los riesgos inherentes a su </w:t>
      </w:r>
      <w:r w:rsidR="00643129" w:rsidRPr="00F96B08">
        <w:rPr>
          <w:rFonts w:eastAsiaTheme="minorHAnsi" w:cs="Arial"/>
          <w:lang w:eastAsia="en-US"/>
        </w:rPr>
        <w:t>labor</w:t>
      </w:r>
      <w:r w:rsidR="00643129" w:rsidRPr="00F96B08">
        <w:rPr>
          <w:rStyle w:val="Refdenotaalpie"/>
          <w:rFonts w:eastAsiaTheme="minorHAnsi" w:cs="ArialMT"/>
          <w:lang w:eastAsia="en-US"/>
        </w:rPr>
        <w:footnoteReference w:id="238"/>
      </w:r>
      <w:r w:rsidR="00F225E7" w:rsidRPr="00F96B08">
        <w:rPr>
          <w:rFonts w:eastAsiaTheme="minorHAnsi" w:cs="Arial"/>
          <w:lang w:eastAsia="en-US"/>
        </w:rPr>
        <w:t>, que exija un examen exhaustivo de la posibilidad de que el ataque esté motivado o vinculado a la promoción de los derechos humanos de la víctima</w:t>
      </w:r>
      <w:r w:rsidR="00F225E7" w:rsidRPr="002B61D0">
        <w:rPr>
          <w:rStyle w:val="Refdenotaalpie"/>
          <w:rFonts w:eastAsiaTheme="minorHAnsi" w:cs="Arial"/>
          <w:lang w:eastAsia="en-US"/>
        </w:rPr>
        <w:footnoteReference w:id="239"/>
      </w:r>
      <w:r w:rsidR="00766D95" w:rsidRPr="00F96B08">
        <w:rPr>
          <w:rFonts w:eastAsiaTheme="minorHAnsi" w:cs="Arial"/>
          <w:lang w:eastAsia="en-US"/>
        </w:rPr>
        <w:t xml:space="preserve">, </w:t>
      </w:r>
      <w:r w:rsidR="00F225E7" w:rsidRPr="00F96B08">
        <w:rPr>
          <w:rFonts w:eastAsiaTheme="minorHAnsi" w:cs="Arial"/>
          <w:lang w:eastAsia="en-US"/>
        </w:rPr>
        <w:t>con perspectiva de género</w:t>
      </w:r>
      <w:r w:rsidR="00766D95" w:rsidRPr="00F96B08">
        <w:rPr>
          <w:rFonts w:eastAsiaTheme="minorHAnsi" w:cs="Arial"/>
          <w:lang w:eastAsia="en-US"/>
        </w:rPr>
        <w:t xml:space="preserve"> y de etnia</w:t>
      </w:r>
      <w:r w:rsidR="00643129" w:rsidRPr="00F96B08">
        <w:rPr>
          <w:rStyle w:val="Refdenotaalpie"/>
          <w:rFonts w:eastAsiaTheme="minorHAnsi" w:cs="Arial"/>
          <w:lang w:eastAsia="en-US"/>
        </w:rPr>
        <w:footnoteReference w:id="240"/>
      </w:r>
      <w:r w:rsidR="00F225E7" w:rsidRPr="00F96B08">
        <w:rPr>
          <w:rFonts w:eastAsiaTheme="minorHAnsi" w:cs="Arial"/>
          <w:lang w:eastAsia="en-US"/>
        </w:rPr>
        <w:t>. Dicho protocolo deberá incluir:</w:t>
      </w:r>
      <w:r w:rsidR="00F225E7" w:rsidRPr="009511E3">
        <w:rPr>
          <w:rFonts w:eastAsiaTheme="minorHAnsi" w:cs="Arial"/>
          <w:lang w:eastAsia="en-US"/>
        </w:rPr>
        <w:t xml:space="preserve"> </w:t>
      </w:r>
    </w:p>
    <w:p w14:paraId="704CDB62" w14:textId="77777777" w:rsidR="00AD3BDF" w:rsidRDefault="00AD3BDF" w:rsidP="00AD3BDF">
      <w:pPr>
        <w:tabs>
          <w:tab w:val="left" w:pos="567"/>
        </w:tabs>
        <w:spacing w:line="240" w:lineRule="auto"/>
        <w:textAlignment w:val="auto"/>
        <w:rPr>
          <w:rFonts w:cs="Verdana"/>
        </w:rPr>
      </w:pPr>
    </w:p>
    <w:p w14:paraId="425DEDBB" w14:textId="77777777"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El concepto de persona defensora de derechos humanos;</w:t>
      </w:r>
    </w:p>
    <w:p w14:paraId="2875F1E2" w14:textId="77777777" w:rsidR="00AD3BDF" w:rsidRPr="004F2666" w:rsidRDefault="00AD3BDF" w:rsidP="00AD3BDF">
      <w:pPr>
        <w:spacing w:line="240" w:lineRule="auto"/>
        <w:ind w:left="426"/>
        <w:rPr>
          <w:lang w:val="es-ES"/>
        </w:rPr>
      </w:pPr>
    </w:p>
    <w:p w14:paraId="4FCD2180" w14:textId="77777777"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 xml:space="preserve">Los estándares sobre el desarrollo de instrumentos de investigación con la debida diligencia, incluyendo las mejores prácticas y estándares internacionales sobre debida diligencia según el tipo de delito (por ejemplo, ejecuciones extrajudiciales, asesinatos, tortura, amenazas, </w:t>
      </w:r>
      <w:r w:rsidRPr="004F2666">
        <w:rPr>
          <w:i/>
          <w:lang w:val="es-ES"/>
        </w:rPr>
        <w:t xml:space="preserve">inter </w:t>
      </w:r>
      <w:proofErr w:type="spellStart"/>
      <w:r w:rsidRPr="004F2666">
        <w:rPr>
          <w:i/>
          <w:lang w:val="es-ES"/>
        </w:rPr>
        <w:t>alia</w:t>
      </w:r>
      <w:proofErr w:type="spellEnd"/>
      <w:r w:rsidRPr="004F2666">
        <w:rPr>
          <w:lang w:val="es-ES"/>
        </w:rPr>
        <w:t>);</w:t>
      </w:r>
    </w:p>
    <w:p w14:paraId="0B8B0066" w14:textId="77777777" w:rsidR="00AD3BDF" w:rsidRPr="004F2666" w:rsidRDefault="00AD3BDF" w:rsidP="00AD3BDF">
      <w:pPr>
        <w:pStyle w:val="Prrafodelista"/>
        <w:spacing w:line="240" w:lineRule="auto"/>
        <w:ind w:left="426"/>
        <w:rPr>
          <w:lang w:val="es-ES"/>
        </w:rPr>
      </w:pPr>
    </w:p>
    <w:p w14:paraId="6E9AF4CF" w14:textId="77777777"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Los riesgos inherentes a la labor de defensa de los derechos humanos en México</w:t>
      </w:r>
      <w:r>
        <w:rPr>
          <w:lang w:val="es-ES"/>
        </w:rPr>
        <w:t>;</w:t>
      </w:r>
    </w:p>
    <w:p w14:paraId="49AEAC66" w14:textId="77777777" w:rsidR="00AD3BDF" w:rsidRPr="004F2666" w:rsidRDefault="00AD3BDF" w:rsidP="00AD3BDF">
      <w:pPr>
        <w:pStyle w:val="Prrafodelista"/>
        <w:spacing w:line="240" w:lineRule="auto"/>
        <w:ind w:left="426"/>
        <w:rPr>
          <w:lang w:val="es-ES"/>
        </w:rPr>
      </w:pPr>
    </w:p>
    <w:p w14:paraId="4D18A0FE" w14:textId="16DB1CDA"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 xml:space="preserve">El contexto en el cual desarrollan su trabajo las </w:t>
      </w:r>
      <w:r w:rsidR="0079556F" w:rsidRPr="001879D7">
        <w:t xml:space="preserve">defensoras </w:t>
      </w:r>
      <w:r w:rsidR="0079556F">
        <w:t xml:space="preserve">y defensores </w:t>
      </w:r>
      <w:r w:rsidRPr="004F2666">
        <w:rPr>
          <w:lang w:val="es-ES"/>
        </w:rPr>
        <w:t xml:space="preserve">de derechos humanos y los intereses que adversan en el país; </w:t>
      </w:r>
    </w:p>
    <w:p w14:paraId="44E5053E" w14:textId="77777777" w:rsidR="00AD3BDF" w:rsidRPr="004F2666" w:rsidRDefault="00AD3BDF" w:rsidP="00AD3BDF">
      <w:pPr>
        <w:pStyle w:val="Prrafodelista"/>
        <w:spacing w:line="240" w:lineRule="auto"/>
        <w:ind w:left="426"/>
        <w:rPr>
          <w:lang w:val="es-ES"/>
        </w:rPr>
      </w:pPr>
    </w:p>
    <w:p w14:paraId="2106F49E" w14:textId="0C3D826B"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 xml:space="preserve">La existencia de patrones de amenazas y toda tipología utilizada para amedrentar, amenazar, intimidar o agredir a las </w:t>
      </w:r>
      <w:r w:rsidR="0079556F" w:rsidRPr="001879D7">
        <w:t xml:space="preserve">defensoras </w:t>
      </w:r>
      <w:r w:rsidR="0079556F">
        <w:t xml:space="preserve">y defensores </w:t>
      </w:r>
      <w:r w:rsidRPr="004F2666">
        <w:rPr>
          <w:lang w:val="es-ES"/>
        </w:rPr>
        <w:t>de derechos humanos en el ejercicio de sus actividades;</w:t>
      </w:r>
    </w:p>
    <w:p w14:paraId="22E303C1" w14:textId="77777777" w:rsidR="00AD3BDF" w:rsidRPr="004F2666" w:rsidRDefault="00AD3BDF" w:rsidP="00F225E7">
      <w:pPr>
        <w:pStyle w:val="Prrafodelista"/>
        <w:tabs>
          <w:tab w:val="left" w:pos="567"/>
        </w:tabs>
        <w:spacing w:line="240" w:lineRule="auto"/>
        <w:ind w:left="284"/>
        <w:textAlignment w:val="auto"/>
        <w:rPr>
          <w:lang w:val="es-ES"/>
        </w:rPr>
      </w:pPr>
    </w:p>
    <w:p w14:paraId="7A13B8FC" w14:textId="77777777"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Criterios y técnicas de investigación para determinar si el hecho delictivo tiene relación con la actividad que realiza la persona defensora de derechos humanos;</w:t>
      </w:r>
    </w:p>
    <w:p w14:paraId="61AC8C63" w14:textId="77777777" w:rsidR="00AD3BDF" w:rsidRPr="004F2666" w:rsidRDefault="00AD3BDF" w:rsidP="00AD3BDF">
      <w:pPr>
        <w:spacing w:line="240" w:lineRule="auto"/>
        <w:ind w:left="426"/>
        <w:rPr>
          <w:lang w:val="es-ES"/>
        </w:rPr>
      </w:pPr>
    </w:p>
    <w:p w14:paraId="3392A116" w14:textId="5CFB7082"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 xml:space="preserve">Técnicas para investigar la existencia y funcionamiento de estructuras criminales complejas en la zona de trabajo de las </w:t>
      </w:r>
      <w:r w:rsidR="0079556F" w:rsidRPr="001879D7">
        <w:t xml:space="preserve">defensoras </w:t>
      </w:r>
      <w:r w:rsidR="0079556F">
        <w:t>y defensores</w:t>
      </w:r>
      <w:r w:rsidRPr="004F2666">
        <w:rPr>
          <w:lang w:val="es-ES"/>
        </w:rPr>
        <w:t>, así como análisis de contexto de otros grupos de poder ajenos al poder público;</w:t>
      </w:r>
    </w:p>
    <w:p w14:paraId="1B3A8AC8" w14:textId="77777777" w:rsidR="00AD3BDF" w:rsidRPr="004F2666" w:rsidRDefault="00AD3BDF" w:rsidP="00AD3BDF">
      <w:pPr>
        <w:pStyle w:val="Prrafodelista"/>
        <w:spacing w:line="240" w:lineRule="auto"/>
        <w:ind w:left="426"/>
        <w:rPr>
          <w:lang w:val="es-ES"/>
        </w:rPr>
      </w:pPr>
    </w:p>
    <w:p w14:paraId="2FEAE091" w14:textId="77777777" w:rsidR="00AD3BDF" w:rsidRPr="004F2666" w:rsidRDefault="00AD3BDF" w:rsidP="00BB668C">
      <w:pPr>
        <w:pStyle w:val="Prrafodelista"/>
        <w:numPr>
          <w:ilvl w:val="0"/>
          <w:numId w:val="17"/>
        </w:numPr>
        <w:tabs>
          <w:tab w:val="left" w:pos="567"/>
        </w:tabs>
        <w:spacing w:line="240" w:lineRule="auto"/>
        <w:ind w:left="284"/>
        <w:textAlignment w:val="auto"/>
        <w:rPr>
          <w:lang w:val="es-ES"/>
        </w:rPr>
      </w:pPr>
      <w:r w:rsidRPr="004F2666">
        <w:rPr>
          <w:lang w:val="es-ES"/>
        </w:rPr>
        <w:t xml:space="preserve">Técnicas </w:t>
      </w:r>
      <w:r w:rsidRPr="006E2362">
        <w:rPr>
          <w:rFonts w:eastAsiaTheme="minorHAnsi"/>
          <w:lang w:eastAsia="en-US"/>
        </w:rPr>
        <w:t>para</w:t>
      </w:r>
      <w:r w:rsidRPr="004F2666">
        <w:rPr>
          <w:lang w:val="es-ES"/>
        </w:rPr>
        <w:t xml:space="preserve"> investigar autoría material e intelectual; </w:t>
      </w:r>
    </w:p>
    <w:p w14:paraId="60B5E035" w14:textId="77777777" w:rsidR="00AD3BDF" w:rsidRPr="004F2666" w:rsidRDefault="00AD3BDF" w:rsidP="00AD3BDF">
      <w:pPr>
        <w:pStyle w:val="Prrafodelista"/>
        <w:tabs>
          <w:tab w:val="left" w:pos="567"/>
        </w:tabs>
        <w:spacing w:line="240" w:lineRule="auto"/>
        <w:ind w:left="284"/>
        <w:textAlignment w:val="auto"/>
        <w:rPr>
          <w:lang w:val="es-ES"/>
        </w:rPr>
      </w:pPr>
    </w:p>
    <w:p w14:paraId="3C6740AC" w14:textId="38CC0D0A" w:rsidR="00AD3BDF" w:rsidRPr="004F2666" w:rsidRDefault="00766D95" w:rsidP="00BB668C">
      <w:pPr>
        <w:pStyle w:val="Prrafodelista"/>
        <w:numPr>
          <w:ilvl w:val="0"/>
          <w:numId w:val="17"/>
        </w:numPr>
        <w:tabs>
          <w:tab w:val="left" w:pos="567"/>
        </w:tabs>
        <w:spacing w:line="240" w:lineRule="auto"/>
        <w:ind w:left="284"/>
        <w:textAlignment w:val="auto"/>
        <w:rPr>
          <w:lang w:val="es-ES"/>
        </w:rPr>
      </w:pPr>
      <w:r>
        <w:rPr>
          <w:lang w:val="es-ES"/>
        </w:rPr>
        <w:t>La perspectiva de género y de etnia</w:t>
      </w:r>
      <w:r w:rsidR="00AD3BDF" w:rsidRPr="004F2666">
        <w:rPr>
          <w:lang w:val="es-ES"/>
        </w:rPr>
        <w:t xml:space="preserve"> en la investigación de los delitos involucrados, eliminando estereotipos y estigmatizaciones;</w:t>
      </w:r>
    </w:p>
    <w:p w14:paraId="6028E425" w14:textId="77777777" w:rsidR="00AD3BDF" w:rsidRPr="004F2666" w:rsidRDefault="00AD3BDF" w:rsidP="00AD3BDF">
      <w:pPr>
        <w:pStyle w:val="Prrafodelista"/>
        <w:spacing w:line="240" w:lineRule="auto"/>
        <w:ind w:left="426"/>
        <w:rPr>
          <w:lang w:val="es-ES"/>
        </w:rPr>
      </w:pPr>
    </w:p>
    <w:p w14:paraId="669C4B40" w14:textId="5F19B526" w:rsidR="00643129" w:rsidRPr="009511E3" w:rsidRDefault="00F225E7" w:rsidP="000A53EA">
      <w:pPr>
        <w:widowControl/>
        <w:numPr>
          <w:ilvl w:val="0"/>
          <w:numId w:val="4"/>
        </w:numPr>
        <w:tabs>
          <w:tab w:val="left" w:pos="567"/>
          <w:tab w:val="num" w:pos="1569"/>
          <w:tab w:val="num" w:pos="12305"/>
        </w:tabs>
        <w:autoSpaceDE w:val="0"/>
        <w:autoSpaceDN w:val="0"/>
        <w:spacing w:line="240" w:lineRule="auto"/>
        <w:ind w:left="0" w:firstLine="0"/>
        <w:textAlignment w:val="auto"/>
        <w:rPr>
          <w:rStyle w:val="markedcontent"/>
          <w:rFonts w:eastAsia="MS Mincho" w:cs="Arial"/>
        </w:rPr>
      </w:pPr>
      <w:r w:rsidRPr="009511E3">
        <w:rPr>
          <w:rFonts w:cs="Verdana"/>
        </w:rPr>
        <w:t xml:space="preserve">Asimismo, </w:t>
      </w:r>
      <w:r w:rsidR="00A2791D" w:rsidRPr="009511E3">
        <w:rPr>
          <w:rFonts w:eastAsiaTheme="minorHAnsi" w:cs="Arial"/>
          <w:lang w:eastAsia="en-US"/>
        </w:rPr>
        <w:t>el Estado deberá</w:t>
      </w:r>
      <w:r w:rsidR="00643129" w:rsidRPr="009511E3">
        <w:rPr>
          <w:rFonts w:eastAsiaTheme="minorHAnsi" w:cs="Arial"/>
          <w:lang w:eastAsia="en-US"/>
        </w:rPr>
        <w:t xml:space="preserve"> realizar un plan de</w:t>
      </w:r>
      <w:r w:rsidRPr="009511E3">
        <w:rPr>
          <w:rFonts w:eastAsiaTheme="minorHAnsi" w:cs="Arial"/>
          <w:lang w:eastAsia="en-US"/>
        </w:rPr>
        <w:t xml:space="preserve"> </w:t>
      </w:r>
      <w:r w:rsidR="00643129" w:rsidRPr="009511E3">
        <w:rPr>
          <w:rFonts w:eastAsiaTheme="minorHAnsi" w:cs="Arial"/>
          <w:lang w:eastAsia="en-US"/>
        </w:rPr>
        <w:t xml:space="preserve">capacitación del personal de investigación </w:t>
      </w:r>
      <w:r w:rsidR="00A2791D" w:rsidRPr="009511E3">
        <w:rPr>
          <w:rFonts w:eastAsiaTheme="minorHAnsi" w:cs="Arial"/>
          <w:lang w:eastAsia="en-US"/>
        </w:rPr>
        <w:t xml:space="preserve">sobre dicho protocolo así, como </w:t>
      </w:r>
      <w:r w:rsidR="00643129" w:rsidRPr="009511E3">
        <w:rPr>
          <w:rFonts w:eastAsiaTheme="minorHAnsi" w:cs="Arial"/>
          <w:lang w:eastAsia="en-US"/>
        </w:rPr>
        <w:t>la creación de un sistema de indicadores</w:t>
      </w:r>
      <w:r w:rsidR="00141A07" w:rsidRPr="009511E3">
        <w:rPr>
          <w:rFonts w:eastAsiaTheme="minorHAnsi" w:cs="Arial"/>
          <w:lang w:eastAsia="en-US"/>
        </w:rPr>
        <w:t xml:space="preserve"> </w:t>
      </w:r>
      <w:r w:rsidR="00643129" w:rsidRPr="009511E3">
        <w:rPr>
          <w:rFonts w:eastAsiaTheme="minorHAnsi" w:cs="Arial"/>
          <w:lang w:eastAsia="en-US"/>
        </w:rPr>
        <w:t>que permitan medir la efectividad del protocolo y comprobar, de manera diferenciada</w:t>
      </w:r>
      <w:r w:rsidRPr="009511E3">
        <w:rPr>
          <w:rFonts w:eastAsiaTheme="minorHAnsi" w:cs="Arial"/>
          <w:lang w:eastAsia="en-US"/>
        </w:rPr>
        <w:t xml:space="preserve"> </w:t>
      </w:r>
      <w:r w:rsidR="00643129" w:rsidRPr="009511E3">
        <w:rPr>
          <w:rFonts w:eastAsiaTheme="minorHAnsi" w:cs="Arial"/>
          <w:lang w:eastAsia="en-US"/>
        </w:rPr>
        <w:t>y por género, la disminución sustantiva de la impunidad respecto de los delitos que</w:t>
      </w:r>
      <w:r w:rsidRPr="009511E3">
        <w:rPr>
          <w:rFonts w:eastAsiaTheme="minorHAnsi" w:cs="Arial"/>
          <w:lang w:eastAsia="en-US"/>
        </w:rPr>
        <w:t xml:space="preserve"> </w:t>
      </w:r>
      <w:r w:rsidR="00643129" w:rsidRPr="009511E3">
        <w:rPr>
          <w:rFonts w:eastAsiaTheme="minorHAnsi" w:cs="Arial"/>
          <w:lang w:eastAsia="en-US"/>
        </w:rPr>
        <w:t xml:space="preserve">afectan a las </w:t>
      </w:r>
      <w:r w:rsidR="0079556F" w:rsidRPr="001879D7">
        <w:t xml:space="preserve">defensoras </w:t>
      </w:r>
      <w:r w:rsidR="0079556F">
        <w:t xml:space="preserve">y defensores. </w:t>
      </w:r>
      <w:r w:rsidR="00A2791D" w:rsidRPr="009511E3">
        <w:rPr>
          <w:rFonts w:cs="Arial"/>
        </w:rPr>
        <w:t>Para cumplir con esta obligación el Estado cuenta con un plazo de dos años a partir de la adopción del referido protocolo. Una vez adoptado, e</w:t>
      </w:r>
      <w:r w:rsidR="00A2791D" w:rsidRPr="009511E3">
        <w:rPr>
          <w:rStyle w:val="markedcontent"/>
          <w:rFonts w:eastAsia="MS Mincho" w:cs="Arial"/>
        </w:rPr>
        <w:t>l Estado deberá remitir anualmente un informe detallado sobre el plan de capacitación y el sistema de indicadores durante cinco años a partir de la emisión y remisión a la Corte del primer informe.</w:t>
      </w:r>
    </w:p>
    <w:p w14:paraId="017D24A6" w14:textId="77777777" w:rsidR="00AD3BDF" w:rsidRPr="001064F4" w:rsidRDefault="00AD3BDF" w:rsidP="00AD3BDF">
      <w:pPr>
        <w:tabs>
          <w:tab w:val="left" w:pos="567"/>
        </w:tabs>
        <w:spacing w:line="240" w:lineRule="auto"/>
        <w:textAlignment w:val="auto"/>
        <w:rPr>
          <w:rStyle w:val="markedcontent"/>
          <w:rFonts w:cs="Verdana"/>
        </w:rPr>
      </w:pPr>
    </w:p>
    <w:p w14:paraId="1CACE500" w14:textId="610FF5F9" w:rsidR="0092386E" w:rsidRPr="00C76DC9" w:rsidRDefault="0092386E" w:rsidP="00191080">
      <w:pPr>
        <w:numPr>
          <w:ilvl w:val="0"/>
          <w:numId w:val="4"/>
        </w:numPr>
        <w:tabs>
          <w:tab w:val="left" w:pos="567"/>
          <w:tab w:val="num" w:pos="1569"/>
          <w:tab w:val="num" w:pos="12305"/>
        </w:tabs>
        <w:spacing w:line="240" w:lineRule="auto"/>
        <w:ind w:left="0" w:firstLine="0"/>
        <w:rPr>
          <w:rFonts w:cs="Verdana"/>
        </w:rPr>
      </w:pPr>
      <w:r w:rsidRPr="00C76DC9">
        <w:rPr>
          <w:rFonts w:cs="Verdana"/>
        </w:rPr>
        <w:t xml:space="preserve">Con respecto a las </w:t>
      </w:r>
      <w:r w:rsidR="000E0D67" w:rsidRPr="00C76DC9">
        <w:rPr>
          <w:rFonts w:cs="Verdana"/>
        </w:rPr>
        <w:t xml:space="preserve">demás </w:t>
      </w:r>
      <w:r w:rsidRPr="00C76DC9">
        <w:rPr>
          <w:rFonts w:cs="Verdana"/>
        </w:rPr>
        <w:t xml:space="preserve">medidas solicitadas por </w:t>
      </w:r>
      <w:r w:rsidR="00183EC9" w:rsidRPr="00C76DC9">
        <w:rPr>
          <w:rFonts w:cs="Verdana"/>
        </w:rPr>
        <w:t>las representantes</w:t>
      </w:r>
      <w:r w:rsidRPr="00C76DC9">
        <w:rPr>
          <w:rFonts w:cs="Verdana"/>
        </w:rPr>
        <w:t>, el Tribunal no considera procedente ordenar estas medidas, ya que la emisión de la presente Sentencia y las reparaciones ordenadas resultan suficientes y adecuadas para remediar las violaciones sufridas por las víctimas del presente caso.</w:t>
      </w:r>
      <w:r w:rsidR="00582383" w:rsidRPr="00C76DC9">
        <w:rPr>
          <w:rFonts w:cs="Verdana"/>
        </w:rPr>
        <w:t xml:space="preserve"> </w:t>
      </w:r>
    </w:p>
    <w:p w14:paraId="265550AA" w14:textId="4384489F" w:rsidR="002D77E4" w:rsidRPr="004F2666" w:rsidRDefault="00B95745" w:rsidP="00D24D77">
      <w:pPr>
        <w:pStyle w:val="Ttulo2"/>
        <w:tabs>
          <w:tab w:val="left" w:pos="7635"/>
        </w:tabs>
        <w:rPr>
          <w:lang w:val="es-ES"/>
        </w:rPr>
      </w:pPr>
      <w:bookmarkStart w:id="109" w:name="_Toc93400271"/>
      <w:r w:rsidRPr="004F2666">
        <w:rPr>
          <w:lang w:val="es-ES"/>
        </w:rPr>
        <w:t>F</w:t>
      </w:r>
      <w:r w:rsidR="002D77E4" w:rsidRPr="004F2666">
        <w:rPr>
          <w:lang w:val="es-ES"/>
        </w:rPr>
        <w:t>. Indemnizaciones compensatorias</w:t>
      </w:r>
      <w:bookmarkEnd w:id="104"/>
      <w:bookmarkEnd w:id="105"/>
      <w:bookmarkEnd w:id="106"/>
      <w:bookmarkEnd w:id="107"/>
      <w:bookmarkEnd w:id="108"/>
      <w:bookmarkEnd w:id="109"/>
      <w:r w:rsidR="00D24D77">
        <w:rPr>
          <w:lang w:val="es-ES"/>
        </w:rPr>
        <w:tab/>
      </w:r>
    </w:p>
    <w:p w14:paraId="6C2604FF" w14:textId="074592B8" w:rsidR="002D77E4" w:rsidRPr="006B77EF" w:rsidRDefault="002D77E4" w:rsidP="006B77EF">
      <w:pPr>
        <w:numPr>
          <w:ilvl w:val="0"/>
          <w:numId w:val="4"/>
        </w:numPr>
        <w:tabs>
          <w:tab w:val="left" w:pos="567"/>
          <w:tab w:val="num" w:pos="1569"/>
          <w:tab w:val="num" w:pos="12305"/>
        </w:tabs>
        <w:spacing w:line="240" w:lineRule="auto"/>
        <w:ind w:left="0" w:firstLine="0"/>
        <w:rPr>
          <w:rFonts w:eastAsia="MS Mincho"/>
          <w:lang w:val="es-ES" w:bidi="en-US"/>
        </w:rPr>
      </w:pPr>
      <w:r w:rsidRPr="006B77EF">
        <w:rPr>
          <w:lang w:val="es-ES"/>
        </w:rPr>
        <w:t xml:space="preserve">La </w:t>
      </w:r>
      <w:r w:rsidRPr="006B77EF">
        <w:rPr>
          <w:rFonts w:eastAsia="Batang"/>
          <w:lang w:val="es-ES"/>
        </w:rPr>
        <w:t>Corte</w:t>
      </w:r>
      <w:r w:rsidRPr="006B77EF">
        <w:rPr>
          <w:i/>
          <w:lang w:val="es-ES"/>
        </w:rPr>
        <w:t xml:space="preserve"> </w:t>
      </w:r>
      <w:r w:rsidRPr="006B77EF">
        <w:rPr>
          <w:lang w:val="es-ES"/>
        </w:rPr>
        <w:t xml:space="preserve">ha desarrollado en su jurisprudencia el concepto de daño material y ha establecido que éste supone la </w:t>
      </w:r>
      <w:r w:rsidRPr="006B77EF">
        <w:rPr>
          <w:rFonts w:cs="Arial"/>
        </w:rPr>
        <w:t>pérdida</w:t>
      </w:r>
      <w:r w:rsidRPr="006B77EF">
        <w:rPr>
          <w:lang w:val="es-ES"/>
        </w:rPr>
        <w:t xml:space="preserve"> o detrimento de los ingresos de las víctimas, los gastos efectuados con motivo de los hechos y las consecuencias de carácter pecuniario que tengan un nexo causal con los hechos del caso</w:t>
      </w:r>
      <w:r w:rsidRPr="004F2666">
        <w:rPr>
          <w:rFonts w:eastAsia="MS Mincho"/>
          <w:vertAlign w:val="superscript"/>
          <w:lang w:val="es-ES" w:bidi="en-US"/>
        </w:rPr>
        <w:footnoteReference w:id="241"/>
      </w:r>
      <w:r w:rsidRPr="006B77EF">
        <w:rPr>
          <w:lang w:val="es-ES"/>
        </w:rPr>
        <w:t>.</w:t>
      </w:r>
      <w:r w:rsidR="006B77EF" w:rsidRPr="006B77EF">
        <w:rPr>
          <w:lang w:val="es-ES"/>
        </w:rPr>
        <w:t xml:space="preserve"> Con respecto al daño inmaterial, el Tribunal </w:t>
      </w:r>
      <w:r w:rsidR="006B77EF" w:rsidRPr="006B77EF">
        <w:rPr>
          <w:rFonts w:cs="Verdana"/>
          <w:bCs/>
          <w:iCs/>
          <w:lang w:val="es-ES"/>
        </w:rPr>
        <w:t>ha</w:t>
      </w:r>
      <w:r w:rsidR="002942EC">
        <w:rPr>
          <w:rFonts w:cs="Verdana"/>
          <w:bCs/>
          <w:iCs/>
          <w:lang w:val="es-ES"/>
        </w:rPr>
        <w:t xml:space="preserve"> </w:t>
      </w:r>
      <w:r w:rsidR="006B77EF" w:rsidRPr="006B77EF">
        <w:rPr>
          <w:rFonts w:cs="Verdana"/>
          <w:bCs/>
          <w:iCs/>
          <w:lang w:val="es-ES"/>
        </w:rPr>
        <w:t>establecido que este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006B77EF">
        <w:rPr>
          <w:rStyle w:val="Refdenotaalpie"/>
          <w:rFonts w:cs="Verdana"/>
          <w:bCs/>
          <w:iCs/>
          <w:lang w:val="es-ES"/>
        </w:rPr>
        <w:footnoteReference w:id="242"/>
      </w:r>
      <w:r w:rsidR="006B77EF">
        <w:rPr>
          <w:rFonts w:cs="Verdana"/>
          <w:bCs/>
          <w:iCs/>
          <w:lang w:val="es-ES"/>
        </w:rPr>
        <w:t>.</w:t>
      </w:r>
    </w:p>
    <w:p w14:paraId="099A8D79" w14:textId="77777777" w:rsidR="002D77E4" w:rsidRPr="004F2666" w:rsidRDefault="002D77E4" w:rsidP="002D77E4">
      <w:pPr>
        <w:tabs>
          <w:tab w:val="left" w:pos="567"/>
        </w:tabs>
        <w:spacing w:line="240" w:lineRule="auto"/>
        <w:textAlignment w:val="auto"/>
        <w:rPr>
          <w:rFonts w:eastAsia="MS Mincho"/>
          <w:bCs/>
          <w:lang w:val="es-ES" w:bidi="en-US"/>
        </w:rPr>
      </w:pPr>
    </w:p>
    <w:p w14:paraId="591814E2" w14:textId="3A13EBCA" w:rsidR="00F061A9" w:rsidRPr="004F2666" w:rsidRDefault="00F061A9" w:rsidP="00D60EB1">
      <w:pPr>
        <w:numPr>
          <w:ilvl w:val="0"/>
          <w:numId w:val="4"/>
        </w:numPr>
        <w:tabs>
          <w:tab w:val="left" w:pos="567"/>
          <w:tab w:val="num" w:pos="1569"/>
          <w:tab w:val="num" w:pos="12305"/>
        </w:tabs>
        <w:spacing w:line="240" w:lineRule="auto"/>
        <w:ind w:left="0" w:firstLine="0"/>
        <w:rPr>
          <w:rFonts w:cs="Arial"/>
          <w:b/>
        </w:rPr>
      </w:pPr>
      <w:r w:rsidRPr="004F2666">
        <w:rPr>
          <w:rFonts w:cs="Arial"/>
        </w:rPr>
        <w:t xml:space="preserve">La </w:t>
      </w:r>
      <w:r w:rsidRPr="004F2666">
        <w:rPr>
          <w:rFonts w:cs="Arial"/>
          <w:b/>
          <w:i/>
        </w:rPr>
        <w:t xml:space="preserve">Comisión </w:t>
      </w:r>
      <w:r w:rsidRPr="004F2666">
        <w:rPr>
          <w:rFonts w:cs="Arial"/>
        </w:rPr>
        <w:t xml:space="preserve">solicitó, en términos generales, que se </w:t>
      </w:r>
      <w:proofErr w:type="gramStart"/>
      <w:r w:rsidRPr="004F2666">
        <w:rPr>
          <w:rFonts w:cs="Arial"/>
        </w:rPr>
        <w:t>reparara</w:t>
      </w:r>
      <w:proofErr w:type="gramEnd"/>
      <w:r w:rsidRPr="004F2666">
        <w:rPr>
          <w:rFonts w:cs="Arial"/>
        </w:rPr>
        <w:t xml:space="preserve"> integralmente las violaciones de derechos humanos declaradas en el presente informe, tanto en el aspecto material como inmaterial, precisando </w:t>
      </w:r>
      <w:r w:rsidRPr="004F2666">
        <w:rPr>
          <w:rFonts w:eastAsia="MS Mincho" w:cs="Verdana"/>
          <w:snapToGrid w:val="0"/>
          <w:lang w:val="es-ES" w:eastAsia="es-ES" w:bidi="en-US"/>
        </w:rPr>
        <w:t>que</w:t>
      </w:r>
      <w:r w:rsidRPr="004F2666">
        <w:rPr>
          <w:rFonts w:cs="Arial"/>
        </w:rPr>
        <w:t xml:space="preserve"> el Estado “deberá adoptar las medidas de compensación económica y satisfacción”. </w:t>
      </w:r>
    </w:p>
    <w:p w14:paraId="1CFF1831" w14:textId="77777777" w:rsidR="002C7845" w:rsidRPr="004F2666" w:rsidRDefault="002C7845" w:rsidP="002C7845">
      <w:pPr>
        <w:tabs>
          <w:tab w:val="left" w:pos="567"/>
        </w:tabs>
        <w:spacing w:line="240" w:lineRule="auto"/>
        <w:textAlignment w:val="auto"/>
        <w:rPr>
          <w:rFonts w:eastAsia="MS Mincho"/>
          <w:bCs/>
          <w:lang w:val="es-ES" w:bidi="en-US"/>
        </w:rPr>
      </w:pPr>
    </w:p>
    <w:p w14:paraId="78C75C38" w14:textId="0CA771DE" w:rsidR="00C50D84" w:rsidRPr="00CE14F0" w:rsidRDefault="00CE14F0" w:rsidP="00D60EB1">
      <w:pPr>
        <w:numPr>
          <w:ilvl w:val="0"/>
          <w:numId w:val="4"/>
        </w:numPr>
        <w:tabs>
          <w:tab w:val="left" w:pos="567"/>
          <w:tab w:val="num" w:pos="1569"/>
          <w:tab w:val="num" w:pos="12305"/>
        </w:tabs>
        <w:spacing w:line="240" w:lineRule="auto"/>
        <w:ind w:left="0" w:firstLine="0"/>
        <w:rPr>
          <w:rFonts w:eastAsia="MS Mincho"/>
          <w:lang w:val="es-ES" w:bidi="en-US"/>
        </w:rPr>
      </w:pPr>
      <w:r>
        <w:rPr>
          <w:rFonts w:cs="Arial"/>
          <w:lang w:val="es-ES"/>
        </w:rPr>
        <w:t xml:space="preserve">El 7 de junio de 2021 el Estado remitió a la Corte un escrito en el que precisaba los alcances de las medidas de reparación ofrecidas con base en el reconocimiento parcial de responsabilidad, e indicó que había llegado a un acuerdo con </w:t>
      </w:r>
      <w:r w:rsidR="00183EC9">
        <w:rPr>
          <w:rFonts w:cs="Arial"/>
          <w:lang w:val="es-ES"/>
        </w:rPr>
        <w:t>las representantes</w:t>
      </w:r>
      <w:r>
        <w:rPr>
          <w:rFonts w:cs="Arial"/>
          <w:lang w:val="es-ES"/>
        </w:rPr>
        <w:t xml:space="preserve"> respecto a los montos indemnizatorios por daño material e inmaterial. </w:t>
      </w:r>
      <w:r w:rsidR="00C50D84" w:rsidRPr="00C50D84">
        <w:rPr>
          <w:rFonts w:eastAsia="MS Mincho"/>
          <w:lang w:val="es-ES" w:bidi="en-US"/>
        </w:rPr>
        <w:t xml:space="preserve">El 11 de junio de 2021 </w:t>
      </w:r>
      <w:r w:rsidR="00183EC9">
        <w:rPr>
          <w:rFonts w:eastAsia="MS Mincho"/>
          <w:lang w:val="es-ES" w:bidi="en-US"/>
        </w:rPr>
        <w:t>las representantes</w:t>
      </w:r>
      <w:r w:rsidR="00C50D84" w:rsidRPr="00C50D84">
        <w:rPr>
          <w:rFonts w:eastAsia="MS Mincho"/>
          <w:lang w:val="es-ES" w:bidi="en-US"/>
        </w:rPr>
        <w:t xml:space="preserve"> remitieron sus observaciones </w:t>
      </w:r>
      <w:r w:rsidR="00C50D84">
        <w:rPr>
          <w:rFonts w:eastAsia="MS Mincho"/>
          <w:lang w:val="es-ES" w:bidi="en-US"/>
        </w:rPr>
        <w:t xml:space="preserve">respecto del referido escrito estatal de 7 de junio y </w:t>
      </w:r>
      <w:r w:rsidR="00C50D84" w:rsidRPr="00C50D84">
        <w:rPr>
          <w:rFonts w:eastAsia="MS Mincho"/>
          <w:lang w:val="es-ES" w:bidi="en-US"/>
        </w:rPr>
        <w:t xml:space="preserve">confirmaron que </w:t>
      </w:r>
      <w:r w:rsidR="00C50D84">
        <w:rPr>
          <w:rFonts w:eastAsia="MS Mincho"/>
          <w:lang w:val="es-ES" w:bidi="en-US"/>
        </w:rPr>
        <w:t xml:space="preserve">los </w:t>
      </w:r>
      <w:r w:rsidR="00312DD4">
        <w:rPr>
          <w:rFonts w:eastAsia="MS Mincho"/>
          <w:lang w:val="es-ES" w:bidi="en-US"/>
        </w:rPr>
        <w:t>montos</w:t>
      </w:r>
      <w:r w:rsidR="00C50D84">
        <w:rPr>
          <w:rFonts w:eastAsia="MS Mincho"/>
          <w:lang w:val="es-ES" w:bidi="en-US"/>
        </w:rPr>
        <w:t xml:space="preserve"> indemnizatorios indicados</w:t>
      </w:r>
      <w:r w:rsidR="00C50D84" w:rsidRPr="00C50D84">
        <w:rPr>
          <w:rFonts w:eastAsia="MS Mincho"/>
          <w:lang w:val="es-ES" w:bidi="en-US"/>
        </w:rPr>
        <w:t xml:space="preserve"> correspondía</w:t>
      </w:r>
      <w:r w:rsidR="00C50D84">
        <w:rPr>
          <w:rFonts w:eastAsia="MS Mincho"/>
          <w:lang w:val="es-ES" w:bidi="en-US"/>
        </w:rPr>
        <w:t>n</w:t>
      </w:r>
      <w:r w:rsidR="00C50D84" w:rsidRPr="00C50D84">
        <w:rPr>
          <w:rFonts w:eastAsia="MS Mincho"/>
          <w:lang w:val="es-ES" w:bidi="en-US"/>
        </w:rPr>
        <w:t xml:space="preserve"> </w:t>
      </w:r>
      <w:r w:rsidR="00C50D84">
        <w:rPr>
          <w:rFonts w:eastAsia="MS Mincho"/>
          <w:lang w:val="es-ES" w:bidi="en-US"/>
        </w:rPr>
        <w:t>con</w:t>
      </w:r>
      <w:r w:rsidR="00C50D84" w:rsidRPr="00C50D84">
        <w:rPr>
          <w:rFonts w:eastAsia="MS Mincho"/>
          <w:lang w:val="es-ES" w:bidi="en-US"/>
        </w:rPr>
        <w:t xml:space="preserve"> los acuerdos alcanzados entre las partes</w:t>
      </w:r>
      <w:r w:rsidR="00C50D84">
        <w:rPr>
          <w:rFonts w:eastAsia="MS Mincho"/>
          <w:lang w:val="es-ES" w:bidi="en-US"/>
        </w:rPr>
        <w:t>.</w:t>
      </w:r>
      <w:r w:rsidR="00C50D84">
        <w:rPr>
          <w:rFonts w:eastAsia="MS Mincho"/>
          <w:b/>
          <w:lang w:val="es-ES" w:bidi="en-US"/>
        </w:rPr>
        <w:t xml:space="preserve"> </w:t>
      </w:r>
    </w:p>
    <w:p w14:paraId="2D0F6DAD" w14:textId="77777777" w:rsidR="002D77E4" w:rsidRPr="004F2666" w:rsidRDefault="002D77E4" w:rsidP="002D77E4">
      <w:pPr>
        <w:tabs>
          <w:tab w:val="left" w:pos="567"/>
        </w:tabs>
        <w:spacing w:line="240" w:lineRule="auto"/>
        <w:textAlignment w:val="auto"/>
        <w:rPr>
          <w:rFonts w:eastAsia="MS Mincho"/>
          <w:lang w:val="es-ES" w:bidi="en-US"/>
        </w:rPr>
      </w:pPr>
    </w:p>
    <w:p w14:paraId="4A9106D4" w14:textId="3F5A1132" w:rsidR="00CE14F0" w:rsidRPr="00914CEC" w:rsidRDefault="00CE14F0" w:rsidP="00D60EB1">
      <w:pPr>
        <w:numPr>
          <w:ilvl w:val="0"/>
          <w:numId w:val="4"/>
        </w:numPr>
        <w:tabs>
          <w:tab w:val="left" w:pos="567"/>
          <w:tab w:val="num" w:pos="1569"/>
          <w:tab w:val="num" w:pos="12305"/>
        </w:tabs>
        <w:spacing w:line="240" w:lineRule="auto"/>
        <w:ind w:left="0" w:firstLine="0"/>
        <w:rPr>
          <w:rFonts w:eastAsia="Verdana" w:cs="Verdana"/>
          <w:color w:val="000000" w:themeColor="text1"/>
          <w:lang w:val="es-ES"/>
        </w:rPr>
      </w:pPr>
      <w:r>
        <w:rPr>
          <w:rFonts w:cs="Arial"/>
          <w:lang w:val="es-ES"/>
        </w:rPr>
        <w:t xml:space="preserve">A la vista de lo anterior, </w:t>
      </w:r>
      <w:r w:rsidR="003862A3">
        <w:rPr>
          <w:rFonts w:cs="Arial"/>
          <w:lang w:val="es-ES"/>
        </w:rPr>
        <w:t xml:space="preserve">con base en el acuerdo adoptado </w:t>
      </w:r>
      <w:r w:rsidR="00191080">
        <w:rPr>
          <w:rFonts w:cs="Arial"/>
          <w:lang w:val="es-ES"/>
        </w:rPr>
        <w:t>por las partes</w:t>
      </w:r>
      <w:r w:rsidR="001D1A7A">
        <w:rPr>
          <w:rFonts w:cs="Arial"/>
          <w:lang w:val="es-ES"/>
        </w:rPr>
        <w:t>, la Corte</w:t>
      </w:r>
      <w:r w:rsidR="00191080">
        <w:rPr>
          <w:rFonts w:cs="Arial"/>
          <w:lang w:val="es-ES"/>
        </w:rPr>
        <w:t xml:space="preserve"> </w:t>
      </w:r>
      <w:r>
        <w:rPr>
          <w:rFonts w:cs="Arial"/>
          <w:lang w:val="es-ES"/>
        </w:rPr>
        <w:t xml:space="preserve">ordena los siguientes montos indemnizatorios en concepto de </w:t>
      </w:r>
      <w:r w:rsidRPr="001519D0">
        <w:rPr>
          <w:rFonts w:cs="Arial"/>
          <w:lang w:val="es-ES"/>
        </w:rPr>
        <w:t>daño material e inmaterial</w:t>
      </w:r>
      <w:r>
        <w:rPr>
          <w:rFonts w:cs="Arial"/>
          <w:lang w:val="es-ES"/>
        </w:rPr>
        <w:t>:</w:t>
      </w:r>
    </w:p>
    <w:p w14:paraId="3924C673" w14:textId="12209C6B" w:rsidR="00914CEC" w:rsidRDefault="00914CEC" w:rsidP="00914CEC">
      <w:pPr>
        <w:tabs>
          <w:tab w:val="left" w:pos="567"/>
        </w:tabs>
        <w:spacing w:line="240" w:lineRule="auto"/>
        <w:textAlignment w:val="auto"/>
        <w:rPr>
          <w:rFonts w:cs="Arial"/>
          <w:lang w:val="es-ES"/>
        </w:rPr>
      </w:pPr>
    </w:p>
    <w:p w14:paraId="5E4306E4" w14:textId="38706258" w:rsidR="00CE14F0" w:rsidRDefault="00CE14F0" w:rsidP="00CE14F0">
      <w:pPr>
        <w:tabs>
          <w:tab w:val="left" w:pos="567"/>
        </w:tabs>
        <w:spacing w:line="240" w:lineRule="auto"/>
        <w:textAlignment w:val="auto"/>
        <w:rPr>
          <w:rFonts w:cs="Arial"/>
          <w:lang w:val="es-ES"/>
        </w:rPr>
      </w:pPr>
    </w:p>
    <w:tbl>
      <w:tblPr>
        <w:tblStyle w:val="Tablaconcuadrcula"/>
        <w:tblW w:w="0" w:type="auto"/>
        <w:jc w:val="center"/>
        <w:tblLook w:val="04A0" w:firstRow="1" w:lastRow="0" w:firstColumn="1" w:lastColumn="0" w:noHBand="0" w:noVBand="1"/>
      </w:tblPr>
      <w:tblGrid>
        <w:gridCol w:w="2517"/>
        <w:gridCol w:w="2517"/>
        <w:gridCol w:w="2518"/>
        <w:gridCol w:w="2518"/>
      </w:tblGrid>
      <w:tr w:rsidR="00CE14F0" w:rsidRPr="001D2E63" w14:paraId="7406D0A9" w14:textId="77777777" w:rsidTr="00914CEC">
        <w:trPr>
          <w:jc w:val="center"/>
        </w:trPr>
        <w:tc>
          <w:tcPr>
            <w:tcW w:w="2517" w:type="dxa"/>
          </w:tcPr>
          <w:p w14:paraId="6251D667" w14:textId="3EE3F524" w:rsidR="00CE14F0" w:rsidRPr="001D2E63" w:rsidRDefault="00CE14F0" w:rsidP="00914CEC">
            <w:pPr>
              <w:tabs>
                <w:tab w:val="left" w:pos="567"/>
              </w:tabs>
              <w:spacing w:before="120" w:after="120" w:line="240" w:lineRule="auto"/>
              <w:jc w:val="center"/>
              <w:textAlignment w:val="auto"/>
              <w:rPr>
                <w:rFonts w:eastAsia="Verdana" w:cs="Verdana"/>
                <w:b/>
                <w:color w:val="000000" w:themeColor="text1"/>
                <w:lang w:val="es-ES"/>
              </w:rPr>
            </w:pPr>
            <w:r w:rsidRPr="001D2E63">
              <w:rPr>
                <w:rFonts w:eastAsia="Verdana" w:cs="Verdana"/>
                <w:b/>
                <w:color w:val="000000" w:themeColor="text1"/>
                <w:lang w:val="es-ES"/>
              </w:rPr>
              <w:t xml:space="preserve">PERSONA </w:t>
            </w:r>
            <w:r w:rsidRPr="001D2E63">
              <w:rPr>
                <w:rFonts w:eastAsia="Verdana" w:cs="Verdana"/>
                <w:b/>
                <w:color w:val="000000" w:themeColor="text1"/>
                <w:lang w:val="es-ES"/>
              </w:rPr>
              <w:lastRenderedPageBreak/>
              <w:t>BENEFICIARIA</w:t>
            </w:r>
          </w:p>
        </w:tc>
        <w:tc>
          <w:tcPr>
            <w:tcW w:w="2517" w:type="dxa"/>
          </w:tcPr>
          <w:p w14:paraId="789B0D79" w14:textId="7A5B6433" w:rsidR="00CE14F0" w:rsidRPr="001D2E63" w:rsidRDefault="00CE14F0" w:rsidP="00914CEC">
            <w:pPr>
              <w:tabs>
                <w:tab w:val="left" w:pos="567"/>
              </w:tabs>
              <w:spacing w:before="120" w:after="120" w:line="240" w:lineRule="auto"/>
              <w:jc w:val="center"/>
              <w:textAlignment w:val="auto"/>
              <w:rPr>
                <w:rFonts w:eastAsia="Verdana" w:cs="Verdana"/>
                <w:b/>
                <w:color w:val="000000" w:themeColor="text1"/>
                <w:lang w:val="es-ES"/>
              </w:rPr>
            </w:pPr>
            <w:r w:rsidRPr="001D2E63">
              <w:rPr>
                <w:rFonts w:eastAsia="Verdana" w:cs="Verdana"/>
                <w:b/>
                <w:color w:val="000000" w:themeColor="text1"/>
                <w:lang w:val="es-ES"/>
              </w:rPr>
              <w:lastRenderedPageBreak/>
              <w:t>DAÑO MATERIAL</w:t>
            </w:r>
          </w:p>
        </w:tc>
        <w:tc>
          <w:tcPr>
            <w:tcW w:w="2518" w:type="dxa"/>
          </w:tcPr>
          <w:p w14:paraId="6F60D5E9" w14:textId="1F1FE0E8" w:rsidR="00CE14F0" w:rsidRPr="001D2E63" w:rsidRDefault="00CE14F0" w:rsidP="00914CEC">
            <w:pPr>
              <w:tabs>
                <w:tab w:val="left" w:pos="567"/>
              </w:tabs>
              <w:spacing w:before="120" w:after="120" w:line="240" w:lineRule="auto"/>
              <w:jc w:val="center"/>
              <w:textAlignment w:val="auto"/>
              <w:rPr>
                <w:rFonts w:eastAsia="Verdana" w:cs="Verdana"/>
                <w:b/>
                <w:color w:val="000000" w:themeColor="text1"/>
                <w:lang w:val="es-ES"/>
              </w:rPr>
            </w:pPr>
            <w:r w:rsidRPr="001D2E63">
              <w:rPr>
                <w:rFonts w:eastAsia="Verdana" w:cs="Verdana"/>
                <w:b/>
                <w:color w:val="000000" w:themeColor="text1"/>
                <w:lang w:val="es-ES"/>
              </w:rPr>
              <w:t>DAÑO INMATERIAL</w:t>
            </w:r>
          </w:p>
        </w:tc>
        <w:tc>
          <w:tcPr>
            <w:tcW w:w="2518" w:type="dxa"/>
          </w:tcPr>
          <w:p w14:paraId="70FB4EB1" w14:textId="35997AE0" w:rsidR="00CE14F0" w:rsidRPr="001D2E63" w:rsidRDefault="00CE14F0" w:rsidP="00914CEC">
            <w:pPr>
              <w:tabs>
                <w:tab w:val="left" w:pos="567"/>
              </w:tabs>
              <w:spacing w:before="120" w:after="120" w:line="240" w:lineRule="auto"/>
              <w:jc w:val="center"/>
              <w:textAlignment w:val="auto"/>
              <w:rPr>
                <w:rFonts w:eastAsia="Verdana" w:cs="Verdana"/>
                <w:b/>
                <w:color w:val="000000" w:themeColor="text1"/>
                <w:lang w:val="es-ES"/>
              </w:rPr>
            </w:pPr>
            <w:r w:rsidRPr="001D2E63">
              <w:rPr>
                <w:rFonts w:eastAsia="Verdana" w:cs="Verdana"/>
                <w:b/>
                <w:color w:val="000000" w:themeColor="text1"/>
                <w:lang w:val="es-ES"/>
              </w:rPr>
              <w:t>TOTAL</w:t>
            </w:r>
          </w:p>
        </w:tc>
      </w:tr>
      <w:tr w:rsidR="00CE14F0" w:rsidRPr="001D2E63" w14:paraId="4D22B0C9" w14:textId="77777777" w:rsidTr="00914CEC">
        <w:trPr>
          <w:jc w:val="center"/>
        </w:trPr>
        <w:tc>
          <w:tcPr>
            <w:tcW w:w="2517" w:type="dxa"/>
          </w:tcPr>
          <w:p w14:paraId="447FE70B" w14:textId="361E46E2" w:rsidR="00CE14F0" w:rsidRPr="001D2E63" w:rsidRDefault="00CE14F0"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Digna Ochoa y Plácido</w:t>
            </w:r>
          </w:p>
        </w:tc>
        <w:tc>
          <w:tcPr>
            <w:tcW w:w="2517" w:type="dxa"/>
          </w:tcPr>
          <w:p w14:paraId="79CF7060" w14:textId="77777777" w:rsidR="00CE14F0" w:rsidRPr="001D2E63" w:rsidRDefault="00CE14F0" w:rsidP="00191080">
            <w:pPr>
              <w:tabs>
                <w:tab w:val="left" w:pos="567"/>
              </w:tabs>
              <w:spacing w:before="40" w:after="40" w:line="240" w:lineRule="auto"/>
              <w:jc w:val="center"/>
              <w:textAlignment w:val="auto"/>
              <w:rPr>
                <w:rFonts w:eastAsia="Verdana" w:cs="Verdana"/>
                <w:color w:val="000000" w:themeColor="text1"/>
                <w:lang w:val="es-ES"/>
              </w:rPr>
            </w:pPr>
          </w:p>
        </w:tc>
        <w:tc>
          <w:tcPr>
            <w:tcW w:w="2518" w:type="dxa"/>
          </w:tcPr>
          <w:p w14:paraId="26171BD9" w14:textId="742DC5B4" w:rsidR="00CE14F0" w:rsidRPr="001D2E63" w:rsidRDefault="00CE14F0" w:rsidP="00191080">
            <w:pPr>
              <w:tabs>
                <w:tab w:val="left" w:pos="567"/>
              </w:tabs>
              <w:spacing w:before="40" w:after="40" w:line="240" w:lineRule="auto"/>
              <w:jc w:val="center"/>
              <w:textAlignment w:val="auto"/>
              <w:rPr>
                <w:rFonts w:eastAsia="Verdana" w:cs="Verdana"/>
                <w:color w:val="000000" w:themeColor="text1"/>
                <w:lang w:val="es-ES"/>
              </w:rPr>
            </w:pPr>
          </w:p>
        </w:tc>
        <w:tc>
          <w:tcPr>
            <w:tcW w:w="2518" w:type="dxa"/>
          </w:tcPr>
          <w:p w14:paraId="5F9408CE" w14:textId="3F9ECA39" w:rsidR="00CE14F0"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USD$ 50,000</w:t>
            </w:r>
          </w:p>
        </w:tc>
      </w:tr>
      <w:tr w:rsidR="00914CEC" w:rsidRPr="001D2E63" w14:paraId="5C38E8EE" w14:textId="77777777" w:rsidTr="00914CEC">
        <w:trPr>
          <w:jc w:val="center"/>
        </w:trPr>
        <w:tc>
          <w:tcPr>
            <w:tcW w:w="2517" w:type="dxa"/>
          </w:tcPr>
          <w:p w14:paraId="1F454B48"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Eusebio Ochoa López</w:t>
            </w:r>
          </w:p>
          <w:p w14:paraId="0B0FAA5A" w14:textId="4065CCBE"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(padre)</w:t>
            </w:r>
          </w:p>
        </w:tc>
        <w:tc>
          <w:tcPr>
            <w:tcW w:w="2517" w:type="dxa"/>
          </w:tcPr>
          <w:p w14:paraId="7306F910" w14:textId="3E80BB01"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USD$ 15,000</w:t>
            </w:r>
          </w:p>
        </w:tc>
        <w:tc>
          <w:tcPr>
            <w:tcW w:w="2518" w:type="dxa"/>
          </w:tcPr>
          <w:p w14:paraId="6D8DC7C1" w14:textId="01D8F4BA"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USD$ 30,000</w:t>
            </w:r>
          </w:p>
        </w:tc>
        <w:tc>
          <w:tcPr>
            <w:tcW w:w="2518" w:type="dxa"/>
          </w:tcPr>
          <w:p w14:paraId="73353B82" w14:textId="3B769CF5"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w:t>
            </w:r>
            <w:r w:rsidR="00BA4F57">
              <w:rPr>
                <w:rFonts w:eastAsiaTheme="minorHAnsi"/>
                <w:lang w:eastAsia="en-US"/>
              </w:rPr>
              <w:t xml:space="preserve"> </w:t>
            </w:r>
            <w:r w:rsidRPr="001D2E63">
              <w:rPr>
                <w:rFonts w:eastAsiaTheme="minorHAnsi"/>
                <w:lang w:eastAsia="en-US"/>
              </w:rPr>
              <w:t>45,000</w:t>
            </w:r>
          </w:p>
        </w:tc>
      </w:tr>
      <w:tr w:rsidR="00914CEC" w:rsidRPr="001D2E63" w14:paraId="2D9D6215" w14:textId="77777777" w:rsidTr="00914CEC">
        <w:trPr>
          <w:jc w:val="center"/>
        </w:trPr>
        <w:tc>
          <w:tcPr>
            <w:tcW w:w="2517" w:type="dxa"/>
          </w:tcPr>
          <w:p w14:paraId="45F053C1"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Alicia Plácido Evangelista</w:t>
            </w:r>
          </w:p>
          <w:p w14:paraId="0E4CD24C" w14:textId="2FC9FBCA"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(madre)</w:t>
            </w:r>
          </w:p>
        </w:tc>
        <w:tc>
          <w:tcPr>
            <w:tcW w:w="2517" w:type="dxa"/>
          </w:tcPr>
          <w:p w14:paraId="342C6D4D" w14:textId="277F47C9"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USD$ 15,000</w:t>
            </w:r>
          </w:p>
        </w:tc>
        <w:tc>
          <w:tcPr>
            <w:tcW w:w="2518" w:type="dxa"/>
          </w:tcPr>
          <w:p w14:paraId="2769E596" w14:textId="55ED4EA3"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USD$ 30,000</w:t>
            </w:r>
          </w:p>
        </w:tc>
        <w:tc>
          <w:tcPr>
            <w:tcW w:w="2518" w:type="dxa"/>
          </w:tcPr>
          <w:p w14:paraId="24997154" w14:textId="4C31C402"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w:t>
            </w:r>
            <w:r w:rsidR="00BA4F57">
              <w:rPr>
                <w:rFonts w:eastAsiaTheme="minorHAnsi"/>
                <w:lang w:eastAsia="en-US"/>
              </w:rPr>
              <w:t xml:space="preserve"> </w:t>
            </w:r>
            <w:r w:rsidRPr="001D2E63">
              <w:rPr>
                <w:rFonts w:eastAsiaTheme="minorHAnsi"/>
                <w:lang w:eastAsia="en-US"/>
              </w:rPr>
              <w:t>45,000</w:t>
            </w:r>
          </w:p>
        </w:tc>
      </w:tr>
      <w:tr w:rsidR="003E6D30" w:rsidRPr="001D2E63" w14:paraId="5D892C26" w14:textId="77777777" w:rsidTr="00914CEC">
        <w:trPr>
          <w:jc w:val="center"/>
        </w:trPr>
        <w:tc>
          <w:tcPr>
            <w:tcW w:w="2517" w:type="dxa"/>
          </w:tcPr>
          <w:p w14:paraId="3EE924C3" w14:textId="1A03B463" w:rsidR="003E6D30" w:rsidRPr="001D2E63" w:rsidRDefault="003E6D30" w:rsidP="003E6D3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Jesús Ochoa y Plácido (hermano)</w:t>
            </w:r>
          </w:p>
        </w:tc>
        <w:tc>
          <w:tcPr>
            <w:tcW w:w="2517" w:type="dxa"/>
          </w:tcPr>
          <w:p w14:paraId="11341A8B" w14:textId="1B2BEBDF" w:rsidR="003E6D30" w:rsidRPr="001D2E63" w:rsidRDefault="003E6D30" w:rsidP="003E6D30">
            <w:pPr>
              <w:tabs>
                <w:tab w:val="left" w:pos="567"/>
              </w:tabs>
              <w:spacing w:before="40" w:after="40" w:line="240" w:lineRule="auto"/>
              <w:jc w:val="center"/>
              <w:textAlignment w:val="auto"/>
              <w:rPr>
                <w:rFonts w:eastAsiaTheme="minorHAnsi"/>
                <w:lang w:eastAsia="en-US"/>
              </w:rPr>
            </w:pPr>
            <w:r w:rsidRPr="001D2E63">
              <w:rPr>
                <w:rFonts w:eastAsiaTheme="minorHAnsi"/>
                <w:lang w:eastAsia="en-US"/>
              </w:rPr>
              <w:t>USD$ 35,000</w:t>
            </w:r>
          </w:p>
        </w:tc>
        <w:tc>
          <w:tcPr>
            <w:tcW w:w="2518" w:type="dxa"/>
          </w:tcPr>
          <w:p w14:paraId="16EB07D6" w14:textId="7F047C6F" w:rsidR="003E6D30" w:rsidRPr="001D2E63" w:rsidRDefault="003E6D30" w:rsidP="003E6D30">
            <w:pPr>
              <w:tabs>
                <w:tab w:val="left" w:pos="567"/>
              </w:tabs>
              <w:spacing w:before="40" w:after="40" w:line="240" w:lineRule="auto"/>
              <w:jc w:val="center"/>
              <w:textAlignment w:val="auto"/>
              <w:rPr>
                <w:rFonts w:eastAsiaTheme="minorHAnsi"/>
                <w:lang w:eastAsia="en-US"/>
              </w:rPr>
            </w:pPr>
            <w:r w:rsidRPr="001D2E63">
              <w:rPr>
                <w:rFonts w:eastAsiaTheme="minorHAnsi"/>
                <w:lang w:eastAsia="en-US"/>
              </w:rPr>
              <w:t>USD$ 10,000</w:t>
            </w:r>
          </w:p>
        </w:tc>
        <w:tc>
          <w:tcPr>
            <w:tcW w:w="2518" w:type="dxa"/>
          </w:tcPr>
          <w:p w14:paraId="51985F34" w14:textId="223E3524" w:rsidR="003E6D30" w:rsidRPr="001D2E63" w:rsidRDefault="003E6D30" w:rsidP="003E6D30">
            <w:pPr>
              <w:tabs>
                <w:tab w:val="left" w:pos="567"/>
              </w:tabs>
              <w:spacing w:before="40" w:after="40" w:line="240" w:lineRule="auto"/>
              <w:jc w:val="center"/>
              <w:textAlignment w:val="auto"/>
              <w:rPr>
                <w:rFonts w:eastAsiaTheme="minorHAnsi"/>
                <w:lang w:eastAsia="en-US"/>
              </w:rPr>
            </w:pPr>
            <w:r w:rsidRPr="001D2E63">
              <w:rPr>
                <w:rFonts w:eastAsiaTheme="minorHAnsi"/>
                <w:lang w:eastAsia="en-US"/>
              </w:rPr>
              <w:t>USD$</w:t>
            </w:r>
            <w:r w:rsidR="00BA4F57">
              <w:rPr>
                <w:rFonts w:eastAsiaTheme="minorHAnsi"/>
                <w:lang w:eastAsia="en-US"/>
              </w:rPr>
              <w:t xml:space="preserve"> </w:t>
            </w:r>
            <w:r w:rsidRPr="001D2E63">
              <w:rPr>
                <w:rFonts w:eastAsiaTheme="minorHAnsi"/>
                <w:lang w:eastAsia="en-US"/>
              </w:rPr>
              <w:t>45,000</w:t>
            </w:r>
          </w:p>
        </w:tc>
      </w:tr>
      <w:tr w:rsidR="00914CEC" w:rsidRPr="001D2E63" w14:paraId="1DAAB44F" w14:textId="77777777" w:rsidTr="00914CEC">
        <w:trPr>
          <w:jc w:val="center"/>
        </w:trPr>
        <w:tc>
          <w:tcPr>
            <w:tcW w:w="2517" w:type="dxa"/>
          </w:tcPr>
          <w:p w14:paraId="4F6AF21A"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Agustín Ochoa Plácido</w:t>
            </w:r>
          </w:p>
          <w:p w14:paraId="09C88CCF" w14:textId="54D6BE30"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(hermano)</w:t>
            </w:r>
          </w:p>
        </w:tc>
        <w:tc>
          <w:tcPr>
            <w:tcW w:w="2517" w:type="dxa"/>
          </w:tcPr>
          <w:p w14:paraId="6DCE981F" w14:textId="1EDD0E11"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29AEBC92" w14:textId="5D92DAB3"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2F8508AD" w14:textId="2365F277"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4E3E8813" w14:textId="77777777" w:rsidTr="00914CEC">
        <w:trPr>
          <w:jc w:val="center"/>
        </w:trPr>
        <w:tc>
          <w:tcPr>
            <w:tcW w:w="2517" w:type="dxa"/>
          </w:tcPr>
          <w:p w14:paraId="1FA5A94E"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Carmen Ochoa y Plácido</w:t>
            </w:r>
          </w:p>
          <w:p w14:paraId="38D3FDE9" w14:textId="315CCA29"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(hermana)</w:t>
            </w:r>
          </w:p>
        </w:tc>
        <w:tc>
          <w:tcPr>
            <w:tcW w:w="2517" w:type="dxa"/>
          </w:tcPr>
          <w:p w14:paraId="37C0AADD" w14:textId="01E5621A"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7567A43E" w14:textId="41723256"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2414D510" w14:textId="1042EBB1"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20CD9A4D" w14:textId="77777777" w:rsidTr="00914CEC">
        <w:trPr>
          <w:jc w:val="center"/>
        </w:trPr>
        <w:tc>
          <w:tcPr>
            <w:tcW w:w="2517" w:type="dxa"/>
          </w:tcPr>
          <w:p w14:paraId="3DC401A7"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Elia Ochoa y Plácido</w:t>
            </w:r>
          </w:p>
          <w:p w14:paraId="4FF722C2" w14:textId="23802F1F"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(hermana)</w:t>
            </w:r>
          </w:p>
        </w:tc>
        <w:tc>
          <w:tcPr>
            <w:tcW w:w="2517" w:type="dxa"/>
          </w:tcPr>
          <w:p w14:paraId="56FD4EDB" w14:textId="1B176BC0"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4EC7145B" w14:textId="6DC87AB9"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4664B702" w14:textId="0FADAE37"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713C8B22" w14:textId="77777777" w:rsidTr="00914CEC">
        <w:trPr>
          <w:jc w:val="center"/>
        </w:trPr>
        <w:tc>
          <w:tcPr>
            <w:tcW w:w="2517" w:type="dxa"/>
          </w:tcPr>
          <w:p w14:paraId="21590ECE"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proofErr w:type="spellStart"/>
            <w:r w:rsidRPr="001D2E63">
              <w:rPr>
                <w:rFonts w:eastAsiaTheme="minorHAnsi"/>
                <w:lang w:eastAsia="en-US"/>
              </w:rPr>
              <w:t>Esthela</w:t>
            </w:r>
            <w:proofErr w:type="spellEnd"/>
            <w:r w:rsidRPr="001D2E63">
              <w:rPr>
                <w:rFonts w:eastAsiaTheme="minorHAnsi"/>
                <w:lang w:eastAsia="en-US"/>
              </w:rPr>
              <w:t xml:space="preserve"> Ochoa Plácido</w:t>
            </w:r>
          </w:p>
          <w:p w14:paraId="58CBD8C3" w14:textId="7099CBE6"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(hermana)</w:t>
            </w:r>
          </w:p>
        </w:tc>
        <w:tc>
          <w:tcPr>
            <w:tcW w:w="2517" w:type="dxa"/>
          </w:tcPr>
          <w:p w14:paraId="1F478E6D" w14:textId="095043DF"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172FC06B" w14:textId="3FFEB43F"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1DF59407" w14:textId="71B014EF"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04FAFDF4" w14:textId="77777777" w:rsidTr="00914CEC">
        <w:trPr>
          <w:jc w:val="center"/>
        </w:trPr>
        <w:tc>
          <w:tcPr>
            <w:tcW w:w="2517" w:type="dxa"/>
          </w:tcPr>
          <w:p w14:paraId="67968EF0"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Eusebio Ochoa y Plácido</w:t>
            </w:r>
          </w:p>
          <w:p w14:paraId="3AB29934" w14:textId="15F684ED"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(hermano)</w:t>
            </w:r>
          </w:p>
        </w:tc>
        <w:tc>
          <w:tcPr>
            <w:tcW w:w="2517" w:type="dxa"/>
          </w:tcPr>
          <w:p w14:paraId="70AC317C" w14:textId="588EE6C1"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18F35AD6" w14:textId="254C4CB6"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4AF06FBA" w14:textId="6D3AB7F3"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5A291D44" w14:textId="77777777" w:rsidTr="00914CEC">
        <w:trPr>
          <w:jc w:val="center"/>
        </w:trPr>
        <w:tc>
          <w:tcPr>
            <w:tcW w:w="2517" w:type="dxa"/>
          </w:tcPr>
          <w:p w14:paraId="4324EDF7"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Guadalupe Ochoa y</w:t>
            </w:r>
          </w:p>
          <w:p w14:paraId="2BED22C7" w14:textId="7AC9E5DB"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Plácido (hermana)</w:t>
            </w:r>
          </w:p>
        </w:tc>
        <w:tc>
          <w:tcPr>
            <w:tcW w:w="2517" w:type="dxa"/>
          </w:tcPr>
          <w:p w14:paraId="435BFB6B" w14:textId="41731790"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3AC90A85" w14:textId="240E5100"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4DA55134" w14:textId="6020915F"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2B0DBE67" w14:textId="77777777" w:rsidTr="00914CEC">
        <w:trPr>
          <w:jc w:val="center"/>
        </w:trPr>
        <w:tc>
          <w:tcPr>
            <w:tcW w:w="2517" w:type="dxa"/>
          </w:tcPr>
          <w:p w14:paraId="34F61EF8"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Ignacio Ochoa y Plácido</w:t>
            </w:r>
          </w:p>
          <w:p w14:paraId="61DEB9D5" w14:textId="610EE955"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(hermano)</w:t>
            </w:r>
          </w:p>
        </w:tc>
        <w:tc>
          <w:tcPr>
            <w:tcW w:w="2517" w:type="dxa"/>
          </w:tcPr>
          <w:p w14:paraId="388C05E8" w14:textId="76747D96"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6ECB73D7" w14:textId="499A9A7B"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0E27E1CA" w14:textId="5B930E6D"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7FACAD02" w14:textId="77777777" w:rsidTr="00914CEC">
        <w:trPr>
          <w:jc w:val="center"/>
        </w:trPr>
        <w:tc>
          <w:tcPr>
            <w:tcW w:w="2517" w:type="dxa"/>
          </w:tcPr>
          <w:p w14:paraId="7A47A2DF"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Ismael Ochoa Plácido</w:t>
            </w:r>
          </w:p>
          <w:p w14:paraId="494E3BDA" w14:textId="29402EBD"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(hermano)</w:t>
            </w:r>
          </w:p>
        </w:tc>
        <w:tc>
          <w:tcPr>
            <w:tcW w:w="2517" w:type="dxa"/>
          </w:tcPr>
          <w:p w14:paraId="595AEA25" w14:textId="1D162B6D"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0FD56004" w14:textId="03B5360C"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07D13360" w14:textId="66837916"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3FACA8F9" w14:textId="77777777" w:rsidTr="00914CEC">
        <w:trPr>
          <w:jc w:val="center"/>
        </w:trPr>
        <w:tc>
          <w:tcPr>
            <w:tcW w:w="2517" w:type="dxa"/>
          </w:tcPr>
          <w:p w14:paraId="71ACA419"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Juan Carlos Ochoa</w:t>
            </w:r>
          </w:p>
          <w:p w14:paraId="1E761C57" w14:textId="07205071"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Plácido (hermano)</w:t>
            </w:r>
          </w:p>
        </w:tc>
        <w:tc>
          <w:tcPr>
            <w:tcW w:w="2517" w:type="dxa"/>
          </w:tcPr>
          <w:p w14:paraId="3429FDC3" w14:textId="241AC0A2"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49F8F89B" w14:textId="653C303A"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6F66392F" w14:textId="65DECE1D"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7084D2D4" w14:textId="77777777" w:rsidTr="00914CEC">
        <w:trPr>
          <w:jc w:val="center"/>
        </w:trPr>
        <w:tc>
          <w:tcPr>
            <w:tcW w:w="2517" w:type="dxa"/>
          </w:tcPr>
          <w:p w14:paraId="72CE64C9"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Luz María Ochoa y</w:t>
            </w:r>
          </w:p>
          <w:p w14:paraId="5DDB3DAF" w14:textId="72FD6415"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Plácido (hermana</w:t>
            </w:r>
          </w:p>
        </w:tc>
        <w:tc>
          <w:tcPr>
            <w:tcW w:w="2517" w:type="dxa"/>
          </w:tcPr>
          <w:p w14:paraId="3EDA4BA0" w14:textId="1B34CC55"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579405ED" w14:textId="50B03607"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64B435E7" w14:textId="5E7FE73E"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r w:rsidR="00914CEC" w:rsidRPr="001D2E63" w14:paraId="47610C74" w14:textId="77777777" w:rsidTr="00914CEC">
        <w:trPr>
          <w:jc w:val="center"/>
        </w:trPr>
        <w:tc>
          <w:tcPr>
            <w:tcW w:w="2517" w:type="dxa"/>
          </w:tcPr>
          <w:p w14:paraId="3CAECCAA" w14:textId="77777777" w:rsidR="00914CEC" w:rsidRPr="001D2E63" w:rsidRDefault="00914CEC" w:rsidP="00191080">
            <w:pPr>
              <w:widowControl/>
              <w:autoSpaceDE w:val="0"/>
              <w:autoSpaceDN w:val="0"/>
              <w:spacing w:before="40" w:after="40" w:line="240" w:lineRule="auto"/>
              <w:jc w:val="center"/>
              <w:textAlignment w:val="auto"/>
              <w:rPr>
                <w:rFonts w:eastAsiaTheme="minorHAnsi"/>
                <w:lang w:eastAsia="en-US"/>
              </w:rPr>
            </w:pPr>
            <w:r w:rsidRPr="001D2E63">
              <w:rPr>
                <w:rFonts w:eastAsiaTheme="minorHAnsi"/>
                <w:lang w:eastAsia="en-US"/>
              </w:rPr>
              <w:t>Roberto Ochoa Plácido</w:t>
            </w:r>
          </w:p>
          <w:p w14:paraId="32990F25" w14:textId="18EE7B5D"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(hermano)</w:t>
            </w:r>
          </w:p>
        </w:tc>
        <w:tc>
          <w:tcPr>
            <w:tcW w:w="2517" w:type="dxa"/>
          </w:tcPr>
          <w:p w14:paraId="34E6C94C" w14:textId="581AA65C"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14C52DB2" w14:textId="3FD23A8B"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USD$ 10,000</w:t>
            </w:r>
          </w:p>
        </w:tc>
        <w:tc>
          <w:tcPr>
            <w:tcW w:w="2518" w:type="dxa"/>
          </w:tcPr>
          <w:p w14:paraId="6B76CB45" w14:textId="608D6B61" w:rsidR="00914CEC" w:rsidRPr="001D2E63" w:rsidRDefault="00914CEC" w:rsidP="00191080">
            <w:pPr>
              <w:tabs>
                <w:tab w:val="left" w:pos="567"/>
              </w:tabs>
              <w:spacing w:before="40" w:after="40" w:line="240" w:lineRule="auto"/>
              <w:jc w:val="center"/>
              <w:textAlignment w:val="auto"/>
              <w:rPr>
                <w:rFonts w:eastAsia="Verdana" w:cs="Verdana"/>
                <w:color w:val="000000" w:themeColor="text1"/>
                <w:lang w:val="es-ES"/>
              </w:rPr>
            </w:pPr>
            <w:r w:rsidRPr="001D2E63">
              <w:rPr>
                <w:rFonts w:eastAsiaTheme="minorHAnsi"/>
                <w:lang w:eastAsia="en-US"/>
              </w:rPr>
              <w:t>USD$ 20,000</w:t>
            </w:r>
          </w:p>
        </w:tc>
      </w:tr>
    </w:tbl>
    <w:p w14:paraId="444A36B4" w14:textId="77777777" w:rsidR="009511E3" w:rsidRDefault="009511E3" w:rsidP="009511E3">
      <w:pPr>
        <w:tabs>
          <w:tab w:val="left" w:pos="567"/>
        </w:tabs>
        <w:spacing w:line="240" w:lineRule="auto"/>
        <w:rPr>
          <w:highlight w:val="cyan"/>
          <w:lang w:val="es-ES"/>
        </w:rPr>
      </w:pPr>
      <w:bookmarkStart w:id="110" w:name="_Toc514172673"/>
      <w:bookmarkStart w:id="111" w:name="_Toc476390747"/>
      <w:bookmarkStart w:id="112" w:name="_Toc495658705"/>
      <w:bookmarkStart w:id="113" w:name="_Toc15933782"/>
      <w:bookmarkStart w:id="114" w:name="_Toc33017906"/>
    </w:p>
    <w:p w14:paraId="4484B6C2" w14:textId="3D2114FF" w:rsidR="000719F5" w:rsidRPr="009511E3" w:rsidRDefault="000719F5" w:rsidP="000719F5">
      <w:pPr>
        <w:numPr>
          <w:ilvl w:val="0"/>
          <w:numId w:val="4"/>
        </w:numPr>
        <w:tabs>
          <w:tab w:val="left" w:pos="567"/>
          <w:tab w:val="num" w:pos="1569"/>
          <w:tab w:val="num" w:pos="12305"/>
        </w:tabs>
        <w:spacing w:line="240" w:lineRule="auto"/>
        <w:ind w:left="0" w:firstLine="0"/>
        <w:rPr>
          <w:lang w:val="es-ES"/>
        </w:rPr>
      </w:pPr>
      <w:r w:rsidRPr="009511E3">
        <w:rPr>
          <w:lang w:val="es-ES"/>
        </w:rPr>
        <w:t xml:space="preserve">La </w:t>
      </w:r>
      <w:r w:rsidRPr="009511E3">
        <w:rPr>
          <w:rFonts w:cs="Arial"/>
          <w:lang w:val="es-ES"/>
        </w:rPr>
        <w:t>suma</w:t>
      </w:r>
      <w:r w:rsidRPr="009511E3">
        <w:rPr>
          <w:lang w:val="es-ES"/>
        </w:rPr>
        <w:t xml:space="preserve"> correspondiente a la señora Digna Ochoa y Plácido deberá ser entregada, en partes </w:t>
      </w:r>
      <w:r w:rsidRPr="009511E3">
        <w:rPr>
          <w:rFonts w:cs="Arial"/>
          <w:lang w:val="es-ES"/>
        </w:rPr>
        <w:br/>
      </w:r>
      <w:r w:rsidRPr="009511E3">
        <w:rPr>
          <w:lang w:val="es-ES"/>
        </w:rPr>
        <w:t>iguales,</w:t>
      </w:r>
      <w:r w:rsidR="003B4B80">
        <w:rPr>
          <w:lang w:val="es-ES"/>
        </w:rPr>
        <w:t xml:space="preserve"> a</w:t>
      </w:r>
      <w:r w:rsidRPr="009511E3">
        <w:rPr>
          <w:lang w:val="es-ES"/>
        </w:rPr>
        <w:t xml:space="preserve"> Eusebio Ochoa López (padre) y Alicia Plácido Evangelista (madre).</w:t>
      </w:r>
    </w:p>
    <w:p w14:paraId="2614D24F" w14:textId="189539BF" w:rsidR="00B82619" w:rsidRPr="004F2666" w:rsidRDefault="00B82619" w:rsidP="00B82619">
      <w:pPr>
        <w:pStyle w:val="Ttulo2"/>
        <w:rPr>
          <w:lang w:val="es-ES"/>
        </w:rPr>
      </w:pPr>
      <w:bookmarkStart w:id="115" w:name="_Toc93400272"/>
      <w:r w:rsidRPr="004F2666">
        <w:rPr>
          <w:lang w:val="es-ES"/>
        </w:rPr>
        <w:t>H.</w:t>
      </w:r>
      <w:r w:rsidR="002942EC">
        <w:rPr>
          <w:lang w:val="es-ES"/>
        </w:rPr>
        <w:t xml:space="preserve"> </w:t>
      </w:r>
      <w:r w:rsidRPr="004F2666">
        <w:rPr>
          <w:lang w:val="es-ES"/>
        </w:rPr>
        <w:t>Costas y gastos</w:t>
      </w:r>
      <w:bookmarkEnd w:id="115"/>
    </w:p>
    <w:p w14:paraId="100F4382" w14:textId="77777777" w:rsidR="00F061A9" w:rsidRPr="004F2666" w:rsidRDefault="00F061A9" w:rsidP="00D60EB1">
      <w:pPr>
        <w:numPr>
          <w:ilvl w:val="0"/>
          <w:numId w:val="4"/>
        </w:numPr>
        <w:tabs>
          <w:tab w:val="left" w:pos="567"/>
          <w:tab w:val="num" w:pos="1569"/>
          <w:tab w:val="num" w:pos="12305"/>
        </w:tabs>
        <w:spacing w:line="240" w:lineRule="auto"/>
        <w:ind w:left="0" w:firstLine="0"/>
        <w:rPr>
          <w:rFonts w:cs="Arial"/>
          <w:lang w:val="es-ES"/>
        </w:rPr>
      </w:pPr>
      <w:r w:rsidRPr="004F2666">
        <w:rPr>
          <w:rFonts w:cs="Arial"/>
          <w:lang w:val="es-ES"/>
        </w:rPr>
        <w:t xml:space="preserve">Las </w:t>
      </w:r>
      <w:r w:rsidRPr="004F2666">
        <w:rPr>
          <w:rFonts w:cs="Arial"/>
          <w:b/>
          <w:i/>
          <w:lang w:val="es-ES"/>
        </w:rPr>
        <w:t>representantes</w:t>
      </w:r>
      <w:r w:rsidRPr="004F2666">
        <w:rPr>
          <w:rFonts w:cs="Arial"/>
          <w:lang w:val="es-ES"/>
        </w:rPr>
        <w:t xml:space="preserve"> </w:t>
      </w:r>
      <w:r w:rsidRPr="00D60EB1">
        <w:rPr>
          <w:lang w:val="es-ES"/>
        </w:rPr>
        <w:t>solicitaron</w:t>
      </w:r>
      <w:r w:rsidRPr="004F2666">
        <w:rPr>
          <w:rFonts w:cs="Arial"/>
          <w:lang w:val="es-ES"/>
        </w:rPr>
        <w:t xml:space="preserve"> el pago de los siguientes gastos:</w:t>
      </w:r>
    </w:p>
    <w:p w14:paraId="349D96A3" w14:textId="77777777" w:rsidR="00F061A9" w:rsidRPr="004F2666" w:rsidRDefault="00F061A9" w:rsidP="00BB668C">
      <w:pPr>
        <w:pStyle w:val="Prrafodelista"/>
        <w:widowControl/>
        <w:numPr>
          <w:ilvl w:val="0"/>
          <w:numId w:val="12"/>
        </w:numPr>
        <w:autoSpaceDE w:val="0"/>
        <w:autoSpaceDN w:val="0"/>
        <w:spacing w:before="240" w:after="240" w:line="240" w:lineRule="auto"/>
        <w:ind w:left="714" w:hanging="357"/>
        <w:textAlignment w:val="auto"/>
        <w:rPr>
          <w:rFonts w:cs="Arial"/>
          <w:i/>
        </w:rPr>
      </w:pPr>
      <w:r w:rsidRPr="004F2666">
        <w:rPr>
          <w:rFonts w:cs="Arial"/>
          <w:i/>
        </w:rPr>
        <w:t>Gastos de la familia Ochoa y Plácido</w:t>
      </w:r>
    </w:p>
    <w:p w14:paraId="10ADE67F" w14:textId="6585DCE5" w:rsidR="00F061A9" w:rsidRPr="00191080" w:rsidRDefault="00F061A9" w:rsidP="008D5F5A">
      <w:pPr>
        <w:numPr>
          <w:ilvl w:val="0"/>
          <w:numId w:val="4"/>
        </w:numPr>
        <w:tabs>
          <w:tab w:val="left" w:pos="567"/>
          <w:tab w:val="num" w:pos="1569"/>
          <w:tab w:val="num" w:pos="12305"/>
        </w:tabs>
        <w:spacing w:line="240" w:lineRule="auto"/>
        <w:ind w:left="0" w:firstLine="0"/>
        <w:rPr>
          <w:rFonts w:cs="Arial"/>
        </w:rPr>
      </w:pPr>
      <w:r w:rsidRPr="00191080">
        <w:rPr>
          <w:rFonts w:cs="Arial"/>
        </w:rPr>
        <w:t xml:space="preserve">Según </w:t>
      </w:r>
      <w:r w:rsidR="00183EC9">
        <w:rPr>
          <w:rFonts w:cs="Arial"/>
        </w:rPr>
        <w:t>las representantes</w:t>
      </w:r>
      <w:r w:rsidRPr="00191080">
        <w:rPr>
          <w:rFonts w:cs="Arial"/>
        </w:rPr>
        <w:t xml:space="preserve">, la familia </w:t>
      </w:r>
      <w:r w:rsidRPr="008D5F5A">
        <w:rPr>
          <w:rFonts w:eastAsia="Arial" w:cs="Arial"/>
          <w:lang w:val="es-ES"/>
        </w:rPr>
        <w:t>Ochoa</w:t>
      </w:r>
      <w:r w:rsidRPr="00191080">
        <w:rPr>
          <w:rFonts w:cs="Arial"/>
        </w:rPr>
        <w:t xml:space="preserve"> y Plácido ha participado activamente en la </w:t>
      </w:r>
      <w:r w:rsidRPr="00191080">
        <w:rPr>
          <w:rFonts w:cs="Arial"/>
        </w:rPr>
        <w:lastRenderedPageBreak/>
        <w:t xml:space="preserve">investigación del asesinato de </w:t>
      </w:r>
      <w:r w:rsidRPr="00191080">
        <w:rPr>
          <w:lang w:val="es-ES"/>
        </w:rPr>
        <w:t>Digna</w:t>
      </w:r>
      <w:r w:rsidRPr="00191080">
        <w:rPr>
          <w:rFonts w:cs="Arial"/>
        </w:rPr>
        <w:t xml:space="preserve"> Ochoa y Plácido desde que ocurrió. En el ejercicio de dicha</w:t>
      </w:r>
      <w:r w:rsidR="00191080">
        <w:rPr>
          <w:rFonts w:cs="Arial"/>
        </w:rPr>
        <w:t xml:space="preserve"> p</w:t>
      </w:r>
      <w:r w:rsidRPr="00191080">
        <w:rPr>
          <w:rFonts w:cs="Arial"/>
        </w:rPr>
        <w:t xml:space="preserve">articipación ha </w:t>
      </w:r>
      <w:r w:rsidRPr="008D5F5A">
        <w:rPr>
          <w:rFonts w:eastAsia="Arial" w:cs="Arial"/>
          <w:lang w:val="es-ES"/>
        </w:rPr>
        <w:t>incurrido</w:t>
      </w:r>
      <w:r w:rsidRPr="00191080">
        <w:rPr>
          <w:rFonts w:cs="Arial"/>
        </w:rPr>
        <w:t xml:space="preserve"> en “gastos correspondientes al pago de honorarios de abogados hasta el año 2008, </w:t>
      </w:r>
      <w:r w:rsidRPr="00191080">
        <w:rPr>
          <w:rFonts w:eastAsia="MS Mincho" w:cs="Verdana"/>
          <w:snapToGrid w:val="0"/>
          <w:lang w:val="es-ES" w:eastAsia="es-ES" w:bidi="en-US"/>
        </w:rPr>
        <w:t>fotocopias</w:t>
      </w:r>
      <w:r w:rsidRPr="00191080">
        <w:rPr>
          <w:rFonts w:cs="Arial"/>
        </w:rPr>
        <w:t xml:space="preserve"> del expediente, gastos en viajas nacionales e internacionales, y el pago de expertos independientes”. En función de ello, solicitaron que se les otorgue la suma de </w:t>
      </w:r>
      <w:r w:rsidRPr="00BD3A78">
        <w:rPr>
          <w:rFonts w:cs="Arial"/>
        </w:rPr>
        <w:t>83,167.55 USD.</w:t>
      </w:r>
    </w:p>
    <w:p w14:paraId="7A7045F0" w14:textId="77777777" w:rsidR="00F061A9" w:rsidRPr="00BD3A78" w:rsidRDefault="00F061A9" w:rsidP="00BB668C">
      <w:pPr>
        <w:pStyle w:val="Prrafodelista"/>
        <w:widowControl/>
        <w:numPr>
          <w:ilvl w:val="0"/>
          <w:numId w:val="12"/>
        </w:numPr>
        <w:autoSpaceDE w:val="0"/>
        <w:autoSpaceDN w:val="0"/>
        <w:spacing w:before="240" w:after="240" w:line="240" w:lineRule="auto"/>
        <w:ind w:left="714" w:hanging="357"/>
        <w:textAlignment w:val="auto"/>
        <w:rPr>
          <w:rFonts w:eastAsia="Arial" w:cs="Arial"/>
          <w:lang w:val="es-ES"/>
        </w:rPr>
      </w:pPr>
      <w:r w:rsidRPr="00BD3A78">
        <w:rPr>
          <w:rFonts w:cs="Arial"/>
        </w:rPr>
        <w:t>Gastos del Grupo de Acción por los Derechos Humanos y la Justicia Social (</w:t>
      </w:r>
      <w:proofErr w:type="spellStart"/>
      <w:r w:rsidRPr="00BD3A78">
        <w:rPr>
          <w:rFonts w:cs="Arial"/>
        </w:rPr>
        <w:t>Acción_dh</w:t>
      </w:r>
      <w:proofErr w:type="spellEnd"/>
      <w:r w:rsidRPr="00BD3A78">
        <w:rPr>
          <w:rFonts w:cs="Arial"/>
        </w:rPr>
        <w:t xml:space="preserve">) </w:t>
      </w:r>
    </w:p>
    <w:p w14:paraId="4038040B" w14:textId="2A79EFAC" w:rsidR="00F061A9" w:rsidRPr="00BD3A78" w:rsidRDefault="00F061A9" w:rsidP="00191080">
      <w:pPr>
        <w:numPr>
          <w:ilvl w:val="0"/>
          <w:numId w:val="4"/>
        </w:numPr>
        <w:tabs>
          <w:tab w:val="left" w:pos="567"/>
          <w:tab w:val="num" w:pos="1569"/>
          <w:tab w:val="num" w:pos="12305"/>
        </w:tabs>
        <w:spacing w:line="240" w:lineRule="auto"/>
        <w:ind w:left="0" w:firstLine="0"/>
        <w:rPr>
          <w:rFonts w:eastAsia="Arial" w:cs="Arial"/>
          <w:lang w:val="es-ES"/>
        </w:rPr>
      </w:pPr>
      <w:r w:rsidRPr="004F2666">
        <w:rPr>
          <w:rFonts w:eastAsia="Arial" w:cs="Arial"/>
          <w:lang w:val="es-ES"/>
        </w:rPr>
        <w:t xml:space="preserve">Según </w:t>
      </w:r>
      <w:r w:rsidR="00183EC9">
        <w:rPr>
          <w:rFonts w:eastAsia="Arial" w:cs="Arial"/>
          <w:lang w:val="es-ES"/>
        </w:rPr>
        <w:t>las representantes</w:t>
      </w:r>
      <w:r w:rsidRPr="004F2666">
        <w:rPr>
          <w:rFonts w:eastAsia="Arial" w:cs="Arial"/>
          <w:lang w:val="es-ES"/>
        </w:rPr>
        <w:t xml:space="preserve">, </w:t>
      </w:r>
      <w:r w:rsidR="00BD3A78">
        <w:rPr>
          <w:rFonts w:eastAsia="Arial" w:cs="Arial"/>
          <w:lang w:val="es-ES"/>
        </w:rPr>
        <w:t>i</w:t>
      </w:r>
      <w:r w:rsidRPr="004F2666">
        <w:rPr>
          <w:rFonts w:eastAsia="Arial" w:cs="Arial"/>
          <w:lang w:val="es-ES"/>
        </w:rPr>
        <w:t xml:space="preserve">ntegrantes de </w:t>
      </w:r>
      <w:proofErr w:type="spellStart"/>
      <w:r w:rsidRPr="004F2666">
        <w:rPr>
          <w:rFonts w:eastAsia="Arial" w:cs="Arial"/>
          <w:lang w:val="es-ES"/>
        </w:rPr>
        <w:t>Acción_dh</w:t>
      </w:r>
      <w:proofErr w:type="spellEnd"/>
      <w:r w:rsidRPr="004F2666">
        <w:rPr>
          <w:rFonts w:eastAsia="Arial" w:cs="Arial"/>
          <w:lang w:val="es-ES"/>
        </w:rPr>
        <w:t xml:space="preserve"> han actuado como representantes de las víctimas en el proceso nacional e internacional desde el año 2009. En el ejercicio de dicha </w:t>
      </w:r>
      <w:r w:rsidRPr="00191080">
        <w:rPr>
          <w:lang w:val="es-ES"/>
        </w:rPr>
        <w:t>representación</w:t>
      </w:r>
      <w:r w:rsidRPr="004F2666">
        <w:rPr>
          <w:rFonts w:eastAsia="Arial" w:cs="Arial"/>
          <w:lang w:val="es-ES"/>
        </w:rPr>
        <w:t xml:space="preserve"> ha incurrido en “gastos correspondientes a viajes, entrevistas con las víctimas y trabajo jurídico </w:t>
      </w:r>
      <w:r w:rsidRPr="00191080">
        <w:t>dedicado</w:t>
      </w:r>
      <w:r w:rsidRPr="004F2666">
        <w:rPr>
          <w:rFonts w:eastAsia="Arial" w:cs="Arial"/>
          <w:lang w:val="es-ES"/>
        </w:rPr>
        <w:t xml:space="preserve"> a la atención específica del caso, lo que incluye la investigación, recopilación y presentación de pruebas, la realización de </w:t>
      </w:r>
      <w:r w:rsidRPr="00BD3A78">
        <w:rPr>
          <w:rFonts w:eastAsia="Arial" w:cs="Arial"/>
          <w:lang w:val="es-ES"/>
        </w:rPr>
        <w:t>entrevistas y la preparación de escritos”. En función de ello, solicitaron que se les otorgue la suma de 20,000 USD.</w:t>
      </w:r>
    </w:p>
    <w:p w14:paraId="3FFFFD93" w14:textId="36688093" w:rsidR="00F061A9" w:rsidRPr="00BD3A78" w:rsidRDefault="00F061A9" w:rsidP="00BB668C">
      <w:pPr>
        <w:pStyle w:val="Prrafodelista"/>
        <w:widowControl/>
        <w:numPr>
          <w:ilvl w:val="0"/>
          <w:numId w:val="12"/>
        </w:numPr>
        <w:autoSpaceDE w:val="0"/>
        <w:autoSpaceDN w:val="0"/>
        <w:spacing w:before="240" w:after="240" w:line="240" w:lineRule="auto"/>
        <w:ind w:left="714" w:hanging="357"/>
        <w:textAlignment w:val="auto"/>
        <w:rPr>
          <w:rFonts w:eastAsia="Arial" w:cs="Arial"/>
          <w:lang w:val="es-ES"/>
        </w:rPr>
      </w:pPr>
      <w:r w:rsidRPr="00BD3A78">
        <w:rPr>
          <w:rFonts w:eastAsia="Arial" w:cs="Arial"/>
          <w:lang w:val="es-ES"/>
        </w:rPr>
        <w:t xml:space="preserve">Gastos </w:t>
      </w:r>
      <w:r w:rsidRPr="00BD3A78">
        <w:rPr>
          <w:rFonts w:cs="Arial"/>
        </w:rPr>
        <w:t>de</w:t>
      </w:r>
      <w:r w:rsidR="00BD3A78">
        <w:rPr>
          <w:rFonts w:cs="Arial"/>
        </w:rPr>
        <w:t>l</w:t>
      </w:r>
      <w:r w:rsidRPr="00BD3A78">
        <w:rPr>
          <w:rFonts w:eastAsia="Arial" w:cs="Arial"/>
          <w:lang w:val="es-ES"/>
        </w:rPr>
        <w:t xml:space="preserve"> </w:t>
      </w:r>
      <w:r w:rsidR="00BD3A78">
        <w:t>Centro por la Justicia y el Derecho Internacional (CEJIL)</w:t>
      </w:r>
    </w:p>
    <w:p w14:paraId="5AAFD99A" w14:textId="62C677B2" w:rsidR="00F061A9" w:rsidRPr="00BD3A78" w:rsidRDefault="00183EC9" w:rsidP="00191080">
      <w:pPr>
        <w:numPr>
          <w:ilvl w:val="0"/>
          <w:numId w:val="4"/>
        </w:numPr>
        <w:tabs>
          <w:tab w:val="left" w:pos="567"/>
          <w:tab w:val="num" w:pos="1569"/>
          <w:tab w:val="num" w:pos="12305"/>
        </w:tabs>
        <w:spacing w:line="240" w:lineRule="auto"/>
        <w:ind w:left="0" w:firstLine="0"/>
        <w:rPr>
          <w:rFonts w:eastAsia="Arial" w:cs="Arial"/>
          <w:lang w:val="es-ES"/>
        </w:rPr>
      </w:pPr>
      <w:r>
        <w:rPr>
          <w:rFonts w:eastAsia="Arial" w:cs="Arial"/>
          <w:lang w:val="es-ES"/>
        </w:rPr>
        <w:t>Las representantes</w:t>
      </w:r>
      <w:r w:rsidR="00F061A9" w:rsidRPr="00BD3A78">
        <w:rPr>
          <w:rFonts w:eastAsia="Arial" w:cs="Arial"/>
          <w:lang w:val="es-ES"/>
        </w:rPr>
        <w:t xml:space="preserve"> indicaron que CEJIL ha actuado como representante de las víctimas en el proceso </w:t>
      </w:r>
      <w:r w:rsidR="00F061A9" w:rsidRPr="00BD3A78">
        <w:rPr>
          <w:rFonts w:cs="Arial"/>
          <w:lang w:val="es-ES"/>
        </w:rPr>
        <w:t>internacional</w:t>
      </w:r>
      <w:r w:rsidR="00F061A9" w:rsidRPr="00BD3A78">
        <w:rPr>
          <w:rFonts w:eastAsia="Arial" w:cs="Arial"/>
          <w:lang w:val="es-ES"/>
        </w:rPr>
        <w:t xml:space="preserve"> desde el año 1999. En el ejercicio de dicha representación ha incurrido en gastos </w:t>
      </w:r>
      <w:r w:rsidR="00F061A9" w:rsidRPr="00BD3A78">
        <w:rPr>
          <w:lang w:val="es-ES"/>
        </w:rPr>
        <w:t>correspondientes</w:t>
      </w:r>
      <w:r w:rsidR="00F061A9" w:rsidRPr="00BD3A78">
        <w:rPr>
          <w:rFonts w:eastAsia="Arial" w:cs="Arial"/>
          <w:lang w:val="es-ES"/>
        </w:rPr>
        <w:t xml:space="preserve"> a “</w:t>
      </w:r>
      <w:r w:rsidR="00F061A9" w:rsidRPr="00BD3A78">
        <w:rPr>
          <w:rFonts w:eastAsia="MS Mincho" w:cs="Verdana"/>
          <w:snapToGrid w:val="0"/>
          <w:lang w:val="es-ES" w:eastAsia="es-ES" w:bidi="en-US"/>
        </w:rPr>
        <w:t>viajes</w:t>
      </w:r>
      <w:r w:rsidR="00F061A9" w:rsidRPr="00BD3A78">
        <w:rPr>
          <w:rFonts w:eastAsia="Arial" w:cs="Arial"/>
          <w:lang w:val="es-ES"/>
        </w:rPr>
        <w:t xml:space="preserve"> y trabajo jurídico dedicado a la atención específica del caso, lo que incluye la </w:t>
      </w:r>
      <w:r w:rsidR="00F061A9" w:rsidRPr="00BD3A78">
        <w:t>investigación</w:t>
      </w:r>
      <w:r w:rsidR="00F061A9" w:rsidRPr="00BD3A78">
        <w:rPr>
          <w:rFonts w:eastAsia="Arial" w:cs="Arial"/>
          <w:lang w:val="es-ES"/>
        </w:rPr>
        <w:t>, recopilación y presentación de pruebas, la realización de entrevistas y la preparación de escritos”. En función de ello, solicitaron que se les otorgue la suma de 35,577.47 USD.</w:t>
      </w:r>
    </w:p>
    <w:p w14:paraId="273BC3AF" w14:textId="77777777" w:rsidR="00F061A9" w:rsidRPr="004F2666" w:rsidRDefault="00F061A9" w:rsidP="00BB668C">
      <w:pPr>
        <w:pStyle w:val="Prrafodelista"/>
        <w:widowControl/>
        <w:numPr>
          <w:ilvl w:val="0"/>
          <w:numId w:val="12"/>
        </w:numPr>
        <w:autoSpaceDE w:val="0"/>
        <w:autoSpaceDN w:val="0"/>
        <w:spacing w:before="240" w:after="240" w:line="240" w:lineRule="auto"/>
        <w:ind w:left="714" w:hanging="357"/>
        <w:textAlignment w:val="auto"/>
        <w:rPr>
          <w:rFonts w:eastAsia="Arial" w:cs="Arial"/>
          <w:lang w:val="es-ES"/>
        </w:rPr>
      </w:pPr>
      <w:r w:rsidRPr="004F2666">
        <w:rPr>
          <w:rFonts w:eastAsia="Arial" w:cs="Arial"/>
          <w:lang w:val="es-ES"/>
        </w:rPr>
        <w:t>Gastos futuros</w:t>
      </w:r>
    </w:p>
    <w:p w14:paraId="541FA270" w14:textId="5E8CB10C" w:rsidR="00191080" w:rsidRPr="001519D0" w:rsidRDefault="00183EC9" w:rsidP="00D4269E">
      <w:pPr>
        <w:numPr>
          <w:ilvl w:val="0"/>
          <w:numId w:val="4"/>
        </w:numPr>
        <w:tabs>
          <w:tab w:val="left" w:pos="567"/>
          <w:tab w:val="num" w:pos="1569"/>
          <w:tab w:val="num" w:pos="12305"/>
        </w:tabs>
        <w:spacing w:line="240" w:lineRule="auto"/>
        <w:ind w:left="0" w:firstLine="0"/>
        <w:rPr>
          <w:rFonts w:eastAsia="Arial" w:cs="Arial"/>
          <w:b/>
          <w:lang w:val="es-ES"/>
        </w:rPr>
      </w:pPr>
      <w:r w:rsidRPr="001519D0">
        <w:rPr>
          <w:rFonts w:eastAsia="Arial" w:cs="Arial"/>
          <w:lang w:val="es-ES"/>
        </w:rPr>
        <w:t>Las representantes</w:t>
      </w:r>
      <w:r w:rsidR="00F061A9" w:rsidRPr="001519D0">
        <w:rPr>
          <w:rFonts w:eastAsia="Arial" w:cs="Arial"/>
          <w:lang w:val="es-ES"/>
        </w:rPr>
        <w:t xml:space="preserve"> solicitaron que, en la etapa procesal correspondiente, se les otorgue “la oportunidad de presentar cifras y comprobantes actualizados sobre los gastos en los que se incurrirá durante el desarrollo </w:t>
      </w:r>
      <w:r w:rsidR="00F061A9" w:rsidRPr="001519D0">
        <w:rPr>
          <w:lang w:val="es-ES"/>
        </w:rPr>
        <w:t>del</w:t>
      </w:r>
      <w:r w:rsidR="00F061A9" w:rsidRPr="001519D0">
        <w:rPr>
          <w:rFonts w:eastAsia="Arial" w:cs="Arial"/>
          <w:lang w:val="es-ES"/>
        </w:rPr>
        <w:t xml:space="preserve"> proceso contencioso internacional, en todo lo que de otorgarse el Fondo Legal de Asistencia a </w:t>
      </w:r>
      <w:r w:rsidR="00F061A9" w:rsidRPr="00191080">
        <w:t>Víctimas</w:t>
      </w:r>
      <w:r w:rsidR="00F061A9" w:rsidRPr="001519D0">
        <w:rPr>
          <w:rFonts w:eastAsia="Arial" w:cs="Arial"/>
          <w:lang w:val="es-ES"/>
        </w:rPr>
        <w:t xml:space="preserve"> no se halle cubierto por este”. Asimismo, solicitaron que en la sentencia que se dicte sobre </w:t>
      </w:r>
      <w:r w:rsidR="00F061A9" w:rsidRPr="001519D0">
        <w:rPr>
          <w:rFonts w:cs="Arial"/>
          <w:lang w:val="es-ES"/>
        </w:rPr>
        <w:t>el</w:t>
      </w:r>
      <w:r w:rsidR="00F061A9" w:rsidRPr="001519D0">
        <w:rPr>
          <w:rFonts w:eastAsia="Arial" w:cs="Arial"/>
          <w:lang w:val="es-ES"/>
        </w:rPr>
        <w:t xml:space="preserve"> caso se prevea un monto para gastos de la etapa de supervisión de cumplimiento. </w:t>
      </w:r>
    </w:p>
    <w:p w14:paraId="5670F67F" w14:textId="51CF31A6" w:rsidR="001519D0" w:rsidRPr="001519D0" w:rsidRDefault="001519D0" w:rsidP="001519D0">
      <w:pPr>
        <w:tabs>
          <w:tab w:val="left" w:pos="567"/>
          <w:tab w:val="num" w:pos="12305"/>
        </w:tabs>
        <w:spacing w:line="240" w:lineRule="auto"/>
        <w:rPr>
          <w:rFonts w:eastAsia="Arial" w:cs="Arial"/>
          <w:b/>
          <w:lang w:val="es-ES"/>
        </w:rPr>
      </w:pPr>
    </w:p>
    <w:p w14:paraId="55B5E6D5" w14:textId="5F78DE4B" w:rsidR="00A527D6" w:rsidRDefault="00A527D6" w:rsidP="00D4269E">
      <w:pPr>
        <w:numPr>
          <w:ilvl w:val="0"/>
          <w:numId w:val="4"/>
        </w:numPr>
        <w:tabs>
          <w:tab w:val="left" w:pos="567"/>
          <w:tab w:val="num" w:pos="1569"/>
          <w:tab w:val="num" w:pos="12305"/>
        </w:tabs>
        <w:spacing w:line="240" w:lineRule="auto"/>
        <w:ind w:left="0" w:firstLine="0"/>
        <w:rPr>
          <w:rFonts w:eastAsia="Arial" w:cs="Arial"/>
          <w:lang w:val="es-ES"/>
        </w:rPr>
      </w:pPr>
      <w:r w:rsidRPr="001519D0">
        <w:rPr>
          <w:rFonts w:eastAsia="Arial" w:cs="Arial"/>
          <w:lang w:val="es-ES"/>
        </w:rPr>
        <w:t>El Estado mexicano indicó que la pretensión era “excesiva”, sobre todo “cuando a raíz del diálogo sostenido para fijar los criterios de indemnización se realizaron ajustes para cubrir los gastos realizados a lo largo de estos años en la búsqueda de justicia”.</w:t>
      </w:r>
      <w:r w:rsidR="00E87467" w:rsidRPr="001519D0">
        <w:rPr>
          <w:rFonts w:eastAsia="Arial" w:cs="Arial"/>
          <w:lang w:val="es-ES"/>
        </w:rPr>
        <w:t xml:space="preserve"> </w:t>
      </w:r>
      <w:r w:rsidRPr="001519D0">
        <w:rPr>
          <w:rFonts w:eastAsia="Arial" w:cs="Arial"/>
          <w:lang w:val="es-ES"/>
        </w:rPr>
        <w:t xml:space="preserve">Asimismo, indicó que los gastos futuros a los que hacen referencia </w:t>
      </w:r>
      <w:r w:rsidR="00183EC9" w:rsidRPr="001519D0">
        <w:rPr>
          <w:rFonts w:eastAsia="Arial" w:cs="Arial"/>
          <w:lang w:val="es-ES"/>
        </w:rPr>
        <w:t>las representantes</w:t>
      </w:r>
      <w:r w:rsidRPr="001519D0">
        <w:rPr>
          <w:rFonts w:eastAsia="Arial" w:cs="Arial"/>
          <w:lang w:val="es-ES"/>
        </w:rPr>
        <w:t xml:space="preserve"> sobre la etapa de cumplimiento de sentencia “no corresponden a la lógica de conceptos sobre los cuales debe pronunciarse la Corte”. </w:t>
      </w:r>
    </w:p>
    <w:p w14:paraId="3AF4DDFB" w14:textId="77777777" w:rsidR="001519D0" w:rsidRPr="001519D0" w:rsidRDefault="001519D0" w:rsidP="001519D0">
      <w:pPr>
        <w:tabs>
          <w:tab w:val="left" w:pos="567"/>
          <w:tab w:val="num" w:pos="12305"/>
        </w:tabs>
        <w:spacing w:line="240" w:lineRule="auto"/>
        <w:rPr>
          <w:rFonts w:eastAsia="Arial" w:cs="Arial"/>
          <w:lang w:val="es-ES"/>
        </w:rPr>
      </w:pPr>
    </w:p>
    <w:p w14:paraId="39AB8088" w14:textId="62ABBCC0" w:rsidR="00191080" w:rsidRDefault="00191080" w:rsidP="00191080">
      <w:pPr>
        <w:numPr>
          <w:ilvl w:val="0"/>
          <w:numId w:val="4"/>
        </w:numPr>
        <w:tabs>
          <w:tab w:val="left" w:pos="567"/>
          <w:tab w:val="num" w:pos="1569"/>
          <w:tab w:val="num" w:pos="12305"/>
        </w:tabs>
        <w:spacing w:line="240" w:lineRule="auto"/>
        <w:ind w:left="0" w:firstLine="0"/>
      </w:pPr>
      <w:bookmarkStart w:id="116" w:name="_Ref532988410"/>
      <w:r w:rsidRPr="00075241">
        <w:t xml:space="preserve">La </w:t>
      </w:r>
      <w:r w:rsidRPr="00191080">
        <w:rPr>
          <w:rFonts w:cs="Verdana"/>
          <w:b/>
          <w:i/>
        </w:rPr>
        <w:t>Corte</w:t>
      </w:r>
      <w:r w:rsidRPr="00075241">
        <w:t xml:space="preserve"> reitera que, conforme a su jurisprudencia</w:t>
      </w:r>
      <w:r w:rsidRPr="00075241">
        <w:rPr>
          <w:vertAlign w:val="superscript"/>
        </w:rPr>
        <w:footnoteReference w:id="243"/>
      </w:r>
      <w:r w:rsidRPr="00075241">
        <w:t xml:space="preserve">, las costas y gastos hacen parte del concepto de reparación, toda vez que la actividad desplegada por las víctimas con el fin de obtener justicia, tanto a nivel nacional como internacional, implica erogaciones que deben ser compensadas cuando la </w:t>
      </w:r>
      <w:r w:rsidRPr="00191080">
        <w:rPr>
          <w:rFonts w:cs="Arial"/>
          <w:lang w:val="es-ES"/>
        </w:rPr>
        <w:t>responsabilidad</w:t>
      </w:r>
      <w:r w:rsidRPr="00075241">
        <w:t xml:space="preserve"> internacional del Estado es </w:t>
      </w:r>
      <w:r w:rsidRPr="00075241">
        <w:rPr>
          <w:lang w:val="es-ES"/>
        </w:rPr>
        <w:t>declarada</w:t>
      </w:r>
      <w:r w:rsidRPr="00075241">
        <w:t xml:space="preserve"> mediante una sentencia condenatoria. </w:t>
      </w:r>
      <w:r w:rsidRPr="00075241">
        <w:rPr>
          <w:rFonts w:cs="Verdana"/>
        </w:rPr>
        <w:t xml:space="preserve">En cuanto al </w:t>
      </w:r>
      <w:r w:rsidRPr="00191080">
        <w:rPr>
          <w:lang w:val="es-ES"/>
        </w:rPr>
        <w:t>reembolso</w:t>
      </w:r>
      <w:r w:rsidRPr="00075241">
        <w:rPr>
          <w:rFonts w:cs="Verdana"/>
        </w:rPr>
        <w:t xml:space="preserve"> de las costas y gastos, corresponde al Tribunal </w:t>
      </w:r>
      <w:r w:rsidRPr="00075241">
        <w:rPr>
          <w:rFonts w:eastAsia="Arial" w:cs="Arial"/>
          <w:lang w:val="es-ES"/>
        </w:rPr>
        <w:t>apreciar</w:t>
      </w:r>
      <w:r w:rsidRPr="00075241">
        <w:rPr>
          <w:rFonts w:cs="Verdana"/>
        </w:rPr>
        <w:t xml:space="preserve"> </w:t>
      </w:r>
      <w:r w:rsidRPr="00191080">
        <w:rPr>
          <w:rFonts w:eastAsia="SimSun"/>
          <w:lang w:val="es-ES"/>
        </w:rPr>
        <w:t>prudentemente</w:t>
      </w:r>
      <w:r w:rsidRPr="00075241">
        <w:rPr>
          <w:rFonts w:cs="Verdana"/>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w:t>
      </w:r>
      <w:r w:rsidRPr="00075241">
        <w:rPr>
          <w:rFonts w:cs="Arial"/>
          <w:lang w:val="es-ES"/>
        </w:rPr>
        <w:t>jurisdicción</w:t>
      </w:r>
      <w:r w:rsidRPr="00075241">
        <w:rPr>
          <w:rFonts w:cs="Verdana"/>
        </w:rPr>
        <w:t xml:space="preserve"> internacional de protección de los derechos humanos. Esta apreciación puede ser realizada con base en el principio </w:t>
      </w:r>
      <w:r w:rsidRPr="00075241">
        <w:rPr>
          <w:rFonts w:cs="Verdana"/>
        </w:rPr>
        <w:lastRenderedPageBreak/>
        <w:t xml:space="preserve">de equidad y tomando en cuenta los gastos señalados por las partes, siempre que su </w:t>
      </w:r>
      <w:r w:rsidRPr="00075241">
        <w:rPr>
          <w:rFonts w:cs="Verdana"/>
          <w:i/>
          <w:iCs/>
        </w:rPr>
        <w:t>quantum</w:t>
      </w:r>
      <w:r w:rsidRPr="00075241">
        <w:rPr>
          <w:rFonts w:cs="Verdana"/>
          <w:iCs/>
        </w:rPr>
        <w:t xml:space="preserve"> </w:t>
      </w:r>
      <w:r w:rsidRPr="00075241">
        <w:rPr>
          <w:rFonts w:cs="Verdana"/>
        </w:rPr>
        <w:t>sea razonable</w:t>
      </w:r>
      <w:r w:rsidRPr="00075241">
        <w:rPr>
          <w:vertAlign w:val="superscript"/>
        </w:rPr>
        <w:footnoteReference w:id="244"/>
      </w:r>
      <w:r w:rsidRPr="00075241">
        <w:t>.</w:t>
      </w:r>
      <w:bookmarkEnd w:id="116"/>
    </w:p>
    <w:p w14:paraId="7174F2EE" w14:textId="77777777" w:rsidR="001D2E63" w:rsidRPr="00075241" w:rsidRDefault="001D2E63" w:rsidP="001D2E63">
      <w:pPr>
        <w:tabs>
          <w:tab w:val="left" w:pos="567"/>
        </w:tabs>
        <w:spacing w:line="240" w:lineRule="auto"/>
      </w:pPr>
    </w:p>
    <w:p w14:paraId="62730E60" w14:textId="53C3EC06" w:rsidR="00BD3A78" w:rsidRPr="00251345" w:rsidRDefault="00BD3A78" w:rsidP="00BD3A78">
      <w:pPr>
        <w:numPr>
          <w:ilvl w:val="0"/>
          <w:numId w:val="4"/>
        </w:numPr>
        <w:tabs>
          <w:tab w:val="left" w:pos="567"/>
          <w:tab w:val="num" w:pos="1569"/>
          <w:tab w:val="num" w:pos="12305"/>
        </w:tabs>
        <w:spacing w:line="240" w:lineRule="auto"/>
        <w:ind w:left="0" w:firstLine="0"/>
      </w:pPr>
      <w:r w:rsidRPr="00251345">
        <w:t xml:space="preserve">Tomando en cuenta </w:t>
      </w:r>
      <w:r w:rsidR="001F06AB">
        <w:t>(i) el hecho de que ya se ha determinado el monto indemnizatorio por daño material e inmaterial a favor de la familia Ochoa y Plácido en el apartado anterior (</w:t>
      </w:r>
      <w:r w:rsidR="001F06AB" w:rsidRPr="001F06AB">
        <w:rPr>
          <w:i/>
        </w:rPr>
        <w:t>supra</w:t>
      </w:r>
      <w:r w:rsidR="001F06AB">
        <w:t xml:space="preserve"> párr. </w:t>
      </w:r>
      <w:r w:rsidR="001519D0">
        <w:t>184</w:t>
      </w:r>
      <w:r w:rsidR="001F06AB">
        <w:t xml:space="preserve">), así como (ii) </w:t>
      </w:r>
      <w:r w:rsidRPr="00251345">
        <w:t>los montos solicitados por cada una de las organizaciones y los comprobantes de gastos presentados</w:t>
      </w:r>
      <w:r w:rsidR="001069CB">
        <w:t>,</w:t>
      </w:r>
      <w:r w:rsidRPr="00251345">
        <w:t xml:space="preserve"> la Corte dispone fijar en equidad el pago de: un monto total de USD $</w:t>
      </w:r>
      <w:r>
        <w:t>2</w:t>
      </w:r>
      <w:r w:rsidRPr="00251345">
        <w:t>0,000.00 (</w:t>
      </w:r>
      <w:r>
        <w:t>veinte</w:t>
      </w:r>
      <w:r w:rsidRPr="00251345">
        <w:t xml:space="preserve"> mil dólares de los Estados Unidos de América) por concepto de costas y gastos a favor de </w:t>
      </w:r>
      <w:proofErr w:type="spellStart"/>
      <w:r w:rsidRPr="00BD3A78">
        <w:t>Acción_dh</w:t>
      </w:r>
      <w:proofErr w:type="spellEnd"/>
      <w:r w:rsidRPr="00251345">
        <w:t>, así como un monto total de USD $</w:t>
      </w:r>
      <w:r>
        <w:t>30</w:t>
      </w:r>
      <w:r w:rsidRPr="00251345">
        <w:t>,000.00 (</w:t>
      </w:r>
      <w:r>
        <w:t>treinta</w:t>
      </w:r>
      <w:r w:rsidRPr="00251345">
        <w:t xml:space="preserve"> mil dólares de los Estados Unidos de América) por concepto de costas y gastos a favor de </w:t>
      </w:r>
      <w:r>
        <w:t>CEJIL</w:t>
      </w:r>
      <w:r w:rsidRPr="00251345">
        <w:t xml:space="preserve">. Dichas cantidades deberán ser entregadas directamente </w:t>
      </w:r>
      <w:r w:rsidRPr="00251345">
        <w:rPr>
          <w:lang w:val="es-VE"/>
        </w:rPr>
        <w:t>a dichas organizaciones</w:t>
      </w:r>
      <w:r w:rsidRPr="00251345">
        <w:t xml:space="preserve">. En la etapa de </w:t>
      </w:r>
      <w:r w:rsidRPr="00251345">
        <w:rPr>
          <w:rFonts w:cs="Verdana"/>
          <w:lang w:val="es-ES"/>
        </w:rPr>
        <w:t xml:space="preserve">supervisión del cumplimiento de la presente </w:t>
      </w:r>
      <w:r w:rsidRPr="00251345">
        <w:rPr>
          <w:lang w:val="es-ES"/>
        </w:rPr>
        <w:t>Sentencia</w:t>
      </w:r>
      <w:r w:rsidRPr="00251345">
        <w:rPr>
          <w:rFonts w:cs="Verdana"/>
          <w:lang w:val="es-ES"/>
        </w:rPr>
        <w:t>, la Corte podrá disponer que el Estado reembolse a las víctimas o sus representantes los gastos razonables en que incurran en dicha etapa procesal</w:t>
      </w:r>
      <w:r w:rsidRPr="00251345">
        <w:rPr>
          <w:rStyle w:val="Refdenotaalpie"/>
          <w:lang w:val="es-ES"/>
        </w:rPr>
        <w:footnoteReference w:id="245"/>
      </w:r>
      <w:r w:rsidRPr="00251345">
        <w:rPr>
          <w:rFonts w:cs="Verdana"/>
          <w:lang w:val="es-ES"/>
        </w:rPr>
        <w:t>.</w:t>
      </w:r>
    </w:p>
    <w:p w14:paraId="27816793" w14:textId="514CF6EE" w:rsidR="002D77E4" w:rsidRPr="004F2666" w:rsidRDefault="00B82619" w:rsidP="00B82619">
      <w:pPr>
        <w:pStyle w:val="Ttulo2"/>
        <w:rPr>
          <w:lang w:val="es-ES"/>
        </w:rPr>
      </w:pPr>
      <w:bookmarkStart w:id="117" w:name="_Toc93400273"/>
      <w:r w:rsidRPr="004F2666">
        <w:rPr>
          <w:lang w:val="es-ES"/>
        </w:rPr>
        <w:t xml:space="preserve">I. </w:t>
      </w:r>
      <w:r w:rsidR="002D77E4" w:rsidRPr="004F2666">
        <w:rPr>
          <w:lang w:val="es-ES"/>
        </w:rPr>
        <w:t>Reintegro de los gastos al Fondo de Asistencia Legal de Víctimas</w:t>
      </w:r>
      <w:bookmarkEnd w:id="110"/>
      <w:bookmarkEnd w:id="111"/>
      <w:bookmarkEnd w:id="112"/>
      <w:r w:rsidR="002D77E4" w:rsidRPr="004F2666">
        <w:rPr>
          <w:lang w:val="es-ES"/>
        </w:rPr>
        <w:t xml:space="preserve"> de la Corte Interamericana</w:t>
      </w:r>
      <w:bookmarkEnd w:id="113"/>
      <w:bookmarkEnd w:id="114"/>
      <w:bookmarkEnd w:id="117"/>
    </w:p>
    <w:p w14:paraId="2A6F43B4" w14:textId="77777777" w:rsidR="002D77E4" w:rsidRPr="004F2666" w:rsidRDefault="002D77E4" w:rsidP="00191080">
      <w:pPr>
        <w:numPr>
          <w:ilvl w:val="0"/>
          <w:numId w:val="4"/>
        </w:numPr>
        <w:tabs>
          <w:tab w:val="left" w:pos="567"/>
          <w:tab w:val="num" w:pos="1569"/>
          <w:tab w:val="num" w:pos="12305"/>
        </w:tabs>
        <w:spacing w:line="240" w:lineRule="auto"/>
        <w:ind w:left="0" w:firstLine="0"/>
        <w:rPr>
          <w:rFonts w:cs="Arial"/>
          <w:lang w:val="es-ES"/>
        </w:rPr>
      </w:pPr>
      <w:r w:rsidRPr="004F2666">
        <w:rPr>
          <w:rFonts w:eastAsia="MS Mincho" w:cs="Verdana"/>
          <w:snapToGrid w:val="0"/>
          <w:lang w:val="es-ES" w:eastAsia="es-ES" w:bidi="en-US"/>
        </w:rPr>
        <w:t xml:space="preserve">En el 2008 la </w:t>
      </w:r>
      <w:r w:rsidRPr="00D60EB1">
        <w:rPr>
          <w:lang w:val="es-ES"/>
        </w:rPr>
        <w:t>Asamblea</w:t>
      </w:r>
      <w:r w:rsidRPr="004F2666">
        <w:rPr>
          <w:rFonts w:eastAsia="MS Mincho" w:cs="Verdana"/>
          <w:snapToGrid w:val="0"/>
          <w:lang w:val="es-ES" w:eastAsia="es-ES" w:bidi="en-US"/>
        </w:rPr>
        <w:t xml:space="preserve"> General de la Organización de Estados Americanos creó el Fondo de </w:t>
      </w:r>
      <w:r w:rsidRPr="004F2666">
        <w:rPr>
          <w:rFonts w:eastAsia="MS Mincho"/>
          <w:lang w:val="es-ES" w:bidi="en-US"/>
        </w:rPr>
        <w:t>Asistencia</w:t>
      </w:r>
      <w:r w:rsidRPr="004F2666">
        <w:rPr>
          <w:rFonts w:eastAsia="MS Mincho" w:cs="Verdana"/>
          <w:snapToGrid w:val="0"/>
          <w:lang w:val="es-ES" w:eastAsia="es-ES" w:bidi="en-US"/>
        </w:rPr>
        <w:t xml:space="preserve"> Legal del Sistema Interamericano de Derechos Humanos, con el “objeto [de] facilitar acceso al </w:t>
      </w:r>
      <w:r w:rsidRPr="00191080">
        <w:rPr>
          <w:lang w:val="es-ES"/>
        </w:rPr>
        <w:t>sistema</w:t>
      </w:r>
      <w:r w:rsidRPr="004F2666">
        <w:rPr>
          <w:rFonts w:eastAsia="MS Mincho" w:cs="Verdana"/>
          <w:snapToGrid w:val="0"/>
          <w:lang w:val="es-ES" w:eastAsia="es-ES" w:bidi="en-US"/>
        </w:rPr>
        <w:t xml:space="preserve"> </w:t>
      </w:r>
      <w:r w:rsidRPr="00191080">
        <w:rPr>
          <w:rFonts w:cs="Arial"/>
          <w:lang w:val="es-ES"/>
        </w:rPr>
        <w:t>interamericano</w:t>
      </w:r>
      <w:r w:rsidRPr="004F2666">
        <w:rPr>
          <w:rFonts w:eastAsia="MS Mincho" w:cs="Verdana"/>
          <w:snapToGrid w:val="0"/>
          <w:lang w:val="es-ES" w:eastAsia="es-ES" w:bidi="en-US"/>
        </w:rPr>
        <w:t xml:space="preserve"> de derechos humanos a aquellas personas que actualmente no tienen los </w:t>
      </w:r>
      <w:r w:rsidRPr="00191080">
        <w:rPr>
          <w:rFonts w:eastAsia="SimSun"/>
          <w:lang w:val="es-ES"/>
        </w:rPr>
        <w:t>recursos</w:t>
      </w:r>
      <w:r w:rsidRPr="004F2666">
        <w:rPr>
          <w:rFonts w:eastAsia="MS Mincho" w:cs="Verdana"/>
          <w:snapToGrid w:val="0"/>
          <w:lang w:val="es-ES" w:eastAsia="es-ES" w:bidi="en-US"/>
        </w:rPr>
        <w:t xml:space="preserve"> necesarios para llevar su caso al sistema”</w:t>
      </w:r>
      <w:r w:rsidRPr="004F2666">
        <w:rPr>
          <w:rFonts w:eastAsia="MS Mincho" w:cs="Verdana"/>
          <w:snapToGrid w:val="0"/>
          <w:vertAlign w:val="superscript"/>
          <w:lang w:val="es-ES" w:eastAsia="es-ES" w:bidi="en-US"/>
        </w:rPr>
        <w:footnoteReference w:id="246"/>
      </w:r>
      <w:r w:rsidRPr="004F2666">
        <w:rPr>
          <w:rFonts w:eastAsia="MS Mincho" w:cs="Verdana"/>
          <w:snapToGrid w:val="0"/>
          <w:lang w:val="es-ES" w:eastAsia="es-ES" w:bidi="en-US"/>
        </w:rPr>
        <w:t xml:space="preserve">. </w:t>
      </w:r>
    </w:p>
    <w:p w14:paraId="098506F1" w14:textId="414FDF58" w:rsidR="002D77E4" w:rsidRPr="004F2666" w:rsidRDefault="002D77E4" w:rsidP="002D77E4">
      <w:pPr>
        <w:tabs>
          <w:tab w:val="left" w:pos="567"/>
        </w:tabs>
        <w:spacing w:line="240" w:lineRule="auto"/>
        <w:rPr>
          <w:rFonts w:cs="Arial"/>
          <w:lang w:val="es-ES"/>
        </w:rPr>
      </w:pPr>
    </w:p>
    <w:p w14:paraId="29AEE9E1" w14:textId="1D663454" w:rsidR="00DD4AE9" w:rsidRDefault="002D77E4" w:rsidP="00F559D9">
      <w:pPr>
        <w:numPr>
          <w:ilvl w:val="0"/>
          <w:numId w:val="4"/>
        </w:numPr>
        <w:tabs>
          <w:tab w:val="left" w:pos="567"/>
          <w:tab w:val="num" w:pos="1569"/>
          <w:tab w:val="num" w:pos="12305"/>
        </w:tabs>
        <w:spacing w:line="240" w:lineRule="auto"/>
        <w:ind w:left="0" w:firstLine="0"/>
        <w:rPr>
          <w:rFonts w:eastAsia="MS Mincho" w:cs="Verdana"/>
          <w:snapToGrid w:val="0"/>
          <w:lang w:val="es-ES" w:eastAsia="es-ES" w:bidi="en-US"/>
        </w:rPr>
      </w:pPr>
      <w:r w:rsidRPr="001F06AB">
        <w:rPr>
          <w:rFonts w:eastAsia="MS Mincho" w:cs="Verdana"/>
          <w:snapToGrid w:val="0"/>
          <w:lang w:val="es-ES" w:eastAsia="es-ES" w:bidi="en-US"/>
        </w:rPr>
        <w:t xml:space="preserve">Mediante nota de Secretaría de la Corte de </w:t>
      </w:r>
      <w:r w:rsidR="009511E3" w:rsidRPr="001F06AB">
        <w:rPr>
          <w:rFonts w:eastAsia="MS Mincho" w:cs="Verdana"/>
          <w:snapToGrid w:val="0"/>
          <w:lang w:val="es-ES" w:eastAsia="es-ES" w:bidi="en-US"/>
        </w:rPr>
        <w:t>15</w:t>
      </w:r>
      <w:r w:rsidRPr="001F06AB">
        <w:rPr>
          <w:rFonts w:eastAsia="MS Mincho" w:cs="Verdana"/>
          <w:snapToGrid w:val="0"/>
          <w:lang w:val="es-ES" w:eastAsia="es-ES" w:bidi="en-US"/>
        </w:rPr>
        <w:t xml:space="preserve"> de </w:t>
      </w:r>
      <w:r w:rsidR="009511E3" w:rsidRPr="001F06AB">
        <w:rPr>
          <w:rFonts w:eastAsia="MS Mincho" w:cs="Verdana"/>
          <w:snapToGrid w:val="0"/>
          <w:lang w:val="es-ES" w:eastAsia="es-ES" w:bidi="en-US"/>
        </w:rPr>
        <w:t>octubre</w:t>
      </w:r>
      <w:r w:rsidRPr="001F06AB">
        <w:rPr>
          <w:rFonts w:eastAsia="MS Mincho" w:cs="Verdana"/>
          <w:snapToGrid w:val="0"/>
          <w:lang w:val="es-ES" w:eastAsia="es-ES" w:bidi="en-US"/>
        </w:rPr>
        <w:t xml:space="preserve"> de </w:t>
      </w:r>
      <w:r w:rsidR="009511E3" w:rsidRPr="001F06AB">
        <w:rPr>
          <w:rFonts w:eastAsia="MS Mincho" w:cs="Verdana"/>
          <w:snapToGrid w:val="0"/>
          <w:lang w:val="es-ES" w:eastAsia="es-ES" w:bidi="en-US"/>
        </w:rPr>
        <w:t>2021</w:t>
      </w:r>
      <w:r w:rsidRPr="001F06AB">
        <w:rPr>
          <w:rFonts w:eastAsia="MS Mincho" w:cs="Verdana"/>
          <w:snapToGrid w:val="0"/>
          <w:lang w:val="es-ES" w:eastAsia="es-ES" w:bidi="en-US"/>
        </w:rPr>
        <w:t xml:space="preserve"> se remitió un informe al Estado sobre las erogaciones efectuadas en aplicación del Fondo de Asistencia Legal de Víctimas en el presente </w:t>
      </w:r>
      <w:r w:rsidRPr="001F06AB">
        <w:rPr>
          <w:lang w:val="es-ES"/>
        </w:rPr>
        <w:t>caso</w:t>
      </w:r>
      <w:r w:rsidRPr="001F06AB">
        <w:rPr>
          <w:rFonts w:eastAsia="MS Mincho" w:cs="Verdana"/>
          <w:snapToGrid w:val="0"/>
          <w:lang w:val="es-ES" w:eastAsia="es-ES" w:bidi="en-US"/>
        </w:rPr>
        <w:t xml:space="preserve">, las cuales </w:t>
      </w:r>
      <w:r w:rsidRPr="001F06AB">
        <w:rPr>
          <w:rFonts w:cs="Arial"/>
          <w:lang w:val="es-ES"/>
        </w:rPr>
        <w:t>ascendieron</w:t>
      </w:r>
      <w:r w:rsidRPr="001F06AB">
        <w:rPr>
          <w:rFonts w:eastAsia="MS Mincho" w:cs="Verdana"/>
          <w:snapToGrid w:val="0"/>
          <w:lang w:val="es-ES" w:eastAsia="es-ES" w:bidi="en-US"/>
        </w:rPr>
        <w:t xml:space="preserve"> a la suma de USD$</w:t>
      </w:r>
      <w:r w:rsidR="009511E3" w:rsidRPr="001F06AB">
        <w:rPr>
          <w:rFonts w:eastAsia="MS Mincho" w:cs="Verdana"/>
          <w:snapToGrid w:val="0"/>
          <w:lang w:val="es-ES" w:eastAsia="es-ES" w:bidi="en-US"/>
        </w:rPr>
        <w:t>715,15</w:t>
      </w:r>
      <w:r w:rsidR="001519D0">
        <w:rPr>
          <w:rFonts w:eastAsia="MS Mincho" w:cs="Verdana"/>
          <w:snapToGrid w:val="0"/>
          <w:lang w:val="es-ES" w:eastAsia="es-ES" w:bidi="en-US"/>
        </w:rPr>
        <w:t xml:space="preserve"> </w:t>
      </w:r>
      <w:r w:rsidRPr="001F06AB">
        <w:rPr>
          <w:rFonts w:eastAsia="MS Mincho" w:cs="Verdana"/>
          <w:snapToGrid w:val="0"/>
          <w:lang w:val="es-ES" w:eastAsia="es-ES" w:bidi="en-US"/>
        </w:rPr>
        <w:t>(</w:t>
      </w:r>
      <w:r w:rsidR="009511E3" w:rsidRPr="001F06AB">
        <w:rPr>
          <w:rFonts w:eastAsia="MS Mincho" w:cs="Verdana"/>
          <w:snapToGrid w:val="0"/>
          <w:lang w:val="es-ES" w:eastAsia="es-ES" w:bidi="en-US"/>
        </w:rPr>
        <w:t>setecientos quince dólares</w:t>
      </w:r>
      <w:r w:rsidR="0090048D" w:rsidRPr="001F06AB">
        <w:rPr>
          <w:rFonts w:eastAsia="MS Mincho" w:cs="Verdana"/>
          <w:snapToGrid w:val="0"/>
          <w:lang w:val="es-ES" w:eastAsia="es-ES" w:bidi="en-US"/>
        </w:rPr>
        <w:t xml:space="preserve"> </w:t>
      </w:r>
      <w:r w:rsidRPr="001F06AB">
        <w:rPr>
          <w:rFonts w:eastAsia="MS Mincho" w:cs="Verdana"/>
          <w:snapToGrid w:val="0"/>
          <w:lang w:val="es-ES" w:eastAsia="es-ES" w:bidi="en-US"/>
        </w:rPr>
        <w:t>de los Estados Unidos de América</w:t>
      </w:r>
      <w:r w:rsidR="009511E3" w:rsidRPr="001F06AB">
        <w:rPr>
          <w:rFonts w:eastAsia="MS Mincho" w:cs="Verdana"/>
          <w:snapToGrid w:val="0"/>
          <w:lang w:val="es-ES" w:eastAsia="es-ES" w:bidi="en-US"/>
        </w:rPr>
        <w:t xml:space="preserve"> con quince centavos</w:t>
      </w:r>
      <w:r w:rsidRPr="001F06AB">
        <w:rPr>
          <w:rFonts w:eastAsia="MS Mincho" w:cs="Verdana"/>
          <w:snapToGrid w:val="0"/>
          <w:lang w:val="es-ES" w:eastAsia="es-ES" w:bidi="en-US"/>
        </w:rPr>
        <w:t xml:space="preserve">) y, según lo </w:t>
      </w:r>
      <w:r w:rsidRPr="001F06AB">
        <w:rPr>
          <w:rFonts w:eastAsia="SimSun"/>
          <w:lang w:val="es-ES"/>
        </w:rPr>
        <w:t>dispuesto</w:t>
      </w:r>
      <w:r w:rsidRPr="001F06AB">
        <w:rPr>
          <w:rFonts w:eastAsia="MS Mincho" w:cs="Verdana"/>
          <w:snapToGrid w:val="0"/>
          <w:lang w:val="es-ES" w:eastAsia="es-ES" w:bidi="en-US"/>
        </w:rPr>
        <w:t xml:space="preserve"> en el artículo 5 del Reglamento de la Corte sobre el Funcionamiento del referido Fondo, se </w:t>
      </w:r>
      <w:r w:rsidRPr="001F06AB">
        <w:rPr>
          <w:lang w:val="es-ES"/>
        </w:rPr>
        <w:t>otorgó</w:t>
      </w:r>
      <w:r w:rsidRPr="001F06AB">
        <w:rPr>
          <w:rFonts w:eastAsia="MS Mincho" w:cs="Verdana"/>
          <w:snapToGrid w:val="0"/>
          <w:lang w:val="es-ES" w:eastAsia="es-ES" w:bidi="en-US"/>
        </w:rPr>
        <w:t xml:space="preserve"> un plazo para que </w:t>
      </w:r>
      <w:r w:rsidR="009511E3" w:rsidRPr="001F06AB">
        <w:rPr>
          <w:rFonts w:eastAsia="MS Mincho" w:cs="Verdana"/>
          <w:snapToGrid w:val="0"/>
          <w:lang w:val="es-ES" w:eastAsia="es-ES" w:bidi="en-US"/>
        </w:rPr>
        <w:t>el Estado mexicano</w:t>
      </w:r>
      <w:r w:rsidRPr="001F06AB">
        <w:rPr>
          <w:rFonts w:eastAsia="MS Mincho" w:cs="Verdana"/>
          <w:snapToGrid w:val="0"/>
          <w:lang w:val="es-ES" w:eastAsia="es-ES" w:bidi="en-US"/>
        </w:rPr>
        <w:t xml:space="preserve"> presentara las observaciones que estimara pertinentes. El Estado </w:t>
      </w:r>
      <w:r w:rsidR="009511E3" w:rsidRPr="001F06AB">
        <w:rPr>
          <w:rFonts w:eastAsia="MS Mincho" w:cs="Verdana"/>
          <w:snapToGrid w:val="0"/>
          <w:lang w:val="es-ES" w:eastAsia="es-ES" w:bidi="en-US"/>
        </w:rPr>
        <w:t xml:space="preserve">no </w:t>
      </w:r>
      <w:r w:rsidR="001F06AB">
        <w:rPr>
          <w:rFonts w:eastAsia="MS Mincho" w:cs="Verdana"/>
          <w:snapToGrid w:val="0"/>
          <w:lang w:val="es-ES" w:eastAsia="es-ES" w:bidi="en-US"/>
        </w:rPr>
        <w:t>presentó observaciones.</w:t>
      </w:r>
    </w:p>
    <w:p w14:paraId="6DE374AA" w14:textId="77777777" w:rsidR="001F06AB" w:rsidRPr="001F06AB" w:rsidRDefault="001F06AB" w:rsidP="001F06AB">
      <w:pPr>
        <w:tabs>
          <w:tab w:val="left" w:pos="567"/>
          <w:tab w:val="num" w:pos="12305"/>
        </w:tabs>
        <w:spacing w:line="240" w:lineRule="auto"/>
        <w:rPr>
          <w:rFonts w:eastAsia="MS Mincho" w:cs="Verdana"/>
          <w:snapToGrid w:val="0"/>
          <w:lang w:val="es-ES" w:eastAsia="es-ES" w:bidi="en-US"/>
        </w:rPr>
      </w:pPr>
    </w:p>
    <w:p w14:paraId="0FFE9741" w14:textId="37D64E4E" w:rsidR="002D77E4" w:rsidRPr="004F2666" w:rsidRDefault="002D77E4" w:rsidP="00191080">
      <w:pPr>
        <w:numPr>
          <w:ilvl w:val="0"/>
          <w:numId w:val="4"/>
        </w:numPr>
        <w:tabs>
          <w:tab w:val="left" w:pos="567"/>
          <w:tab w:val="num" w:pos="1569"/>
          <w:tab w:val="num" w:pos="12305"/>
        </w:tabs>
        <w:spacing w:line="240" w:lineRule="auto"/>
        <w:ind w:left="0" w:firstLine="0"/>
        <w:rPr>
          <w:rFonts w:eastAsia="MS Mincho" w:cs="Verdana"/>
          <w:snapToGrid w:val="0"/>
          <w:lang w:val="es-ES" w:eastAsia="es-ES" w:bidi="en-US"/>
        </w:rPr>
      </w:pPr>
      <w:r w:rsidRPr="004F2666">
        <w:rPr>
          <w:rFonts w:eastAsia="MS Mincho" w:cs="Verdana"/>
          <w:snapToGrid w:val="0"/>
          <w:lang w:val="es-ES" w:eastAsia="es-ES" w:bidi="en-US"/>
        </w:rPr>
        <w:t xml:space="preserve">A la luz del artículo 5 del Reglamento del Fondo, en razón de las violaciones declaradas en la presente Sentencia y que se cumplió con los requisitos para acogerse al Fondo, la Corte ordena al Estado el </w:t>
      </w:r>
      <w:r w:rsidRPr="00191080">
        <w:rPr>
          <w:rFonts w:eastAsia="SimSun"/>
          <w:lang w:val="es-ES"/>
        </w:rPr>
        <w:t>reintegro</w:t>
      </w:r>
      <w:r w:rsidRPr="004F2666">
        <w:rPr>
          <w:rFonts w:eastAsia="MS Mincho" w:cs="Verdana"/>
          <w:snapToGrid w:val="0"/>
          <w:lang w:val="es-ES" w:eastAsia="es-ES" w:bidi="en-US"/>
        </w:rPr>
        <w:t xml:space="preserve"> a dicho Fondo de la cantidad de </w:t>
      </w:r>
      <w:r w:rsidR="009511E3" w:rsidRPr="004F2666">
        <w:rPr>
          <w:rFonts w:eastAsia="MS Mincho" w:cs="Verdana"/>
          <w:snapToGrid w:val="0"/>
          <w:lang w:val="es-ES" w:eastAsia="es-ES" w:bidi="en-US"/>
        </w:rPr>
        <w:t>USD$</w:t>
      </w:r>
      <w:r w:rsidR="009511E3">
        <w:rPr>
          <w:rFonts w:eastAsia="MS Mincho" w:cs="Verdana"/>
          <w:snapToGrid w:val="0"/>
          <w:lang w:val="es-ES" w:eastAsia="es-ES" w:bidi="en-US"/>
        </w:rPr>
        <w:t>715,15</w:t>
      </w:r>
      <w:r w:rsidR="001519D0">
        <w:rPr>
          <w:rFonts w:eastAsia="MS Mincho" w:cs="Verdana"/>
          <w:snapToGrid w:val="0"/>
          <w:lang w:val="es-ES" w:eastAsia="es-ES" w:bidi="en-US"/>
        </w:rPr>
        <w:t xml:space="preserve"> </w:t>
      </w:r>
      <w:r w:rsidR="009511E3" w:rsidRPr="004F2666">
        <w:rPr>
          <w:rFonts w:eastAsia="MS Mincho" w:cs="Verdana"/>
          <w:snapToGrid w:val="0"/>
          <w:lang w:val="es-ES" w:eastAsia="es-ES" w:bidi="en-US"/>
        </w:rPr>
        <w:t>(</w:t>
      </w:r>
      <w:r w:rsidR="009511E3">
        <w:rPr>
          <w:rFonts w:eastAsia="MS Mincho" w:cs="Verdana"/>
          <w:snapToGrid w:val="0"/>
          <w:lang w:val="es-ES" w:eastAsia="es-ES" w:bidi="en-US"/>
        </w:rPr>
        <w:t>setecientos quince dólares</w:t>
      </w:r>
      <w:r w:rsidR="009511E3" w:rsidRPr="004F2666">
        <w:rPr>
          <w:rFonts w:eastAsia="MS Mincho" w:cs="Verdana"/>
          <w:snapToGrid w:val="0"/>
          <w:lang w:val="es-ES" w:eastAsia="es-ES" w:bidi="en-US"/>
        </w:rPr>
        <w:t xml:space="preserve"> de los Estados Unidos de América</w:t>
      </w:r>
      <w:r w:rsidR="009511E3">
        <w:rPr>
          <w:rFonts w:eastAsia="MS Mincho" w:cs="Verdana"/>
          <w:snapToGrid w:val="0"/>
          <w:lang w:val="es-ES" w:eastAsia="es-ES" w:bidi="en-US"/>
        </w:rPr>
        <w:t xml:space="preserve"> con quince centavos</w:t>
      </w:r>
      <w:r w:rsidR="009511E3" w:rsidRPr="004F2666">
        <w:rPr>
          <w:rFonts w:eastAsia="MS Mincho" w:cs="Verdana"/>
          <w:snapToGrid w:val="0"/>
          <w:lang w:val="es-ES" w:eastAsia="es-ES" w:bidi="en-US"/>
        </w:rPr>
        <w:t xml:space="preserve">) </w:t>
      </w:r>
      <w:r w:rsidRPr="004F2666">
        <w:rPr>
          <w:rFonts w:eastAsia="MS Mincho" w:cs="Verdana"/>
          <w:snapToGrid w:val="0"/>
          <w:lang w:val="es-ES" w:eastAsia="es-ES" w:bidi="en-US"/>
        </w:rPr>
        <w:t>por concepto de los gastos necesarios realizados. Dicha cantidad deberá ser reintegrada en el plazo de seis meses, contados a partir de la notificación del presente Fallo.</w:t>
      </w:r>
    </w:p>
    <w:p w14:paraId="339C0BDA" w14:textId="75B7A457" w:rsidR="00287F90" w:rsidRPr="004F2666" w:rsidRDefault="00B82619" w:rsidP="00287F90">
      <w:pPr>
        <w:pStyle w:val="Ttulo2"/>
        <w:rPr>
          <w:lang w:val="es-ES"/>
        </w:rPr>
      </w:pPr>
      <w:bookmarkStart w:id="118" w:name="_Toc514172674"/>
      <w:bookmarkStart w:id="119" w:name="_Toc476390748"/>
      <w:bookmarkStart w:id="120" w:name="_Toc495658706"/>
      <w:bookmarkStart w:id="121" w:name="_Toc15933783"/>
      <w:bookmarkStart w:id="122" w:name="_Toc33017907"/>
      <w:bookmarkStart w:id="123" w:name="_Toc93400274"/>
      <w:r w:rsidRPr="004F2666">
        <w:rPr>
          <w:lang w:val="es-ES"/>
        </w:rPr>
        <w:t>J</w:t>
      </w:r>
      <w:r w:rsidR="002D77E4" w:rsidRPr="004F2666">
        <w:rPr>
          <w:lang w:val="es-ES"/>
        </w:rPr>
        <w:t>. Modalidad de cumplimiento de los pagos ordenados</w:t>
      </w:r>
      <w:bookmarkEnd w:id="118"/>
      <w:bookmarkEnd w:id="119"/>
      <w:bookmarkEnd w:id="120"/>
      <w:bookmarkEnd w:id="121"/>
      <w:bookmarkEnd w:id="122"/>
      <w:bookmarkEnd w:id="123"/>
    </w:p>
    <w:p w14:paraId="762705C9" w14:textId="5E74DA73" w:rsidR="00191080" w:rsidRPr="00075241" w:rsidRDefault="00191080" w:rsidP="00191080">
      <w:pPr>
        <w:numPr>
          <w:ilvl w:val="0"/>
          <w:numId w:val="4"/>
        </w:numPr>
        <w:tabs>
          <w:tab w:val="left" w:pos="567"/>
          <w:tab w:val="num" w:pos="1569"/>
          <w:tab w:val="num" w:pos="12305"/>
        </w:tabs>
        <w:spacing w:line="240" w:lineRule="auto"/>
        <w:ind w:left="0" w:firstLine="0"/>
        <w:rPr>
          <w:rFonts w:eastAsia="MS Mincho"/>
          <w:lang w:val="es-ES" w:bidi="en-US"/>
        </w:rPr>
      </w:pPr>
      <w:bookmarkStart w:id="124" w:name="_Ref512872975"/>
      <w:r w:rsidRPr="00075241">
        <w:rPr>
          <w:rFonts w:eastAsia="SimSun"/>
          <w:lang w:val="es-ES"/>
        </w:rPr>
        <w:t xml:space="preserve">El Estado deberá efectuar el pago de </w:t>
      </w:r>
      <w:r w:rsidRPr="0053375D">
        <w:rPr>
          <w:rFonts w:eastAsia="SimSun"/>
          <w:lang w:val="es-ES"/>
        </w:rPr>
        <w:t xml:space="preserve">las indemnizaciones por concepto de daño </w:t>
      </w:r>
      <w:r>
        <w:rPr>
          <w:rFonts w:eastAsia="SimSun"/>
          <w:lang w:val="es-ES"/>
        </w:rPr>
        <w:t xml:space="preserve">material e </w:t>
      </w:r>
      <w:r w:rsidRPr="0053375D">
        <w:rPr>
          <w:rFonts w:eastAsia="SimSun"/>
          <w:lang w:val="es-ES"/>
        </w:rPr>
        <w:t xml:space="preserve">inmaterial y el reintegro de costas y gastos establecidos en la presente </w:t>
      </w:r>
      <w:r w:rsidRPr="0053375D">
        <w:rPr>
          <w:lang w:val="es-ES"/>
        </w:rPr>
        <w:t>Sentencia</w:t>
      </w:r>
      <w:r w:rsidRPr="0053375D">
        <w:rPr>
          <w:rFonts w:eastAsia="SimSun"/>
          <w:lang w:val="es-ES"/>
        </w:rPr>
        <w:t xml:space="preserve"> directamente a las personas </w:t>
      </w:r>
      <w:r w:rsidR="0094128E">
        <w:rPr>
          <w:rFonts w:eastAsia="SimSun"/>
          <w:lang w:val="es-ES"/>
        </w:rPr>
        <w:t xml:space="preserve">y organizaciones </w:t>
      </w:r>
      <w:r w:rsidRPr="00191080">
        <w:rPr>
          <w:rFonts w:cs="Arial"/>
          <w:lang w:val="es-ES"/>
        </w:rPr>
        <w:t>indicadas</w:t>
      </w:r>
      <w:r w:rsidRPr="0053375D">
        <w:rPr>
          <w:rFonts w:eastAsia="SimSun"/>
          <w:lang w:val="es-ES"/>
        </w:rPr>
        <w:t xml:space="preserve"> en la misma, dentro del plazo de un año contado a partir de la </w:t>
      </w:r>
      <w:r w:rsidRPr="0053375D">
        <w:rPr>
          <w:rFonts w:eastAsia="SimSun"/>
          <w:lang w:val="es-ES"/>
        </w:rPr>
        <w:lastRenderedPageBreak/>
        <w:t>notificación</w:t>
      </w:r>
      <w:r w:rsidRPr="00075241">
        <w:rPr>
          <w:rFonts w:eastAsia="SimSun"/>
          <w:lang w:val="es-ES"/>
        </w:rPr>
        <w:t xml:space="preserve"> de la presente Sentencia</w:t>
      </w:r>
      <w:bookmarkEnd w:id="124"/>
      <w:r w:rsidRPr="00075241">
        <w:rPr>
          <w:rFonts w:eastAsia="SimSun"/>
          <w:lang w:val="es-ES"/>
        </w:rPr>
        <w:t>, sin perjuicio de que pueda adelantar el pago completo en un plazo menor, en los términos de los siguientes párrafos</w:t>
      </w:r>
      <w:r w:rsidRPr="00075241">
        <w:rPr>
          <w:rFonts w:eastAsia="MS Mincho"/>
          <w:lang w:val="es-ES" w:bidi="en-US"/>
        </w:rPr>
        <w:t>.</w:t>
      </w:r>
    </w:p>
    <w:p w14:paraId="1DFF285B" w14:textId="77777777" w:rsidR="00287F90" w:rsidRPr="004F2666" w:rsidRDefault="00287F90" w:rsidP="00287F90">
      <w:pPr>
        <w:spacing w:line="240" w:lineRule="auto"/>
        <w:rPr>
          <w:rFonts w:eastAsia="SimSun" w:cs="Vrinda"/>
          <w:lang w:val="es-ES" w:bidi="en-US"/>
        </w:rPr>
      </w:pPr>
    </w:p>
    <w:p w14:paraId="60BBF7F0" w14:textId="383687C6" w:rsidR="00287F90" w:rsidRPr="004F2666" w:rsidRDefault="00287F90" w:rsidP="00D60EB1">
      <w:pPr>
        <w:numPr>
          <w:ilvl w:val="0"/>
          <w:numId w:val="4"/>
        </w:numPr>
        <w:tabs>
          <w:tab w:val="left" w:pos="567"/>
          <w:tab w:val="num" w:pos="1569"/>
          <w:tab w:val="num" w:pos="12305"/>
        </w:tabs>
        <w:spacing w:line="240" w:lineRule="auto"/>
        <w:ind w:left="0" w:firstLine="0"/>
        <w:rPr>
          <w:rFonts w:eastAsia="SimSun" w:cs="Vrinda"/>
          <w:lang w:val="es-ES" w:bidi="en-US"/>
        </w:rPr>
      </w:pPr>
      <w:r w:rsidRPr="004F2666">
        <w:rPr>
          <w:rFonts w:eastAsia="SimSun"/>
          <w:lang w:val="es-ES"/>
        </w:rPr>
        <w:t xml:space="preserve">En caso de que </w:t>
      </w:r>
      <w:r w:rsidR="00B030A1" w:rsidRPr="004F2666">
        <w:rPr>
          <w:rFonts w:eastAsia="SimSun"/>
          <w:lang w:val="es-ES"/>
        </w:rPr>
        <w:t>l</w:t>
      </w:r>
      <w:r w:rsidRPr="004F2666">
        <w:rPr>
          <w:rFonts w:eastAsia="SimSun"/>
          <w:lang w:val="es-ES"/>
        </w:rPr>
        <w:t xml:space="preserve">os beneficiarios hayan fallecido o fallezcan antes de que les sea entregada la </w:t>
      </w:r>
      <w:r w:rsidRPr="004F2666">
        <w:rPr>
          <w:rFonts w:eastAsia="MS Mincho"/>
          <w:lang w:val="es-ES" w:bidi="en-US"/>
        </w:rPr>
        <w:t>cantidad</w:t>
      </w:r>
      <w:r w:rsidRPr="004F2666">
        <w:rPr>
          <w:rFonts w:eastAsia="SimSun"/>
          <w:lang w:val="es-ES"/>
        </w:rPr>
        <w:t xml:space="preserve"> </w:t>
      </w:r>
      <w:r w:rsidRPr="00D60EB1">
        <w:rPr>
          <w:lang w:val="es-ES"/>
        </w:rPr>
        <w:t>respectiva</w:t>
      </w:r>
      <w:r w:rsidRPr="004F2666">
        <w:rPr>
          <w:rFonts w:eastAsia="SimSun"/>
          <w:lang w:val="es-ES"/>
        </w:rPr>
        <w:t xml:space="preserve">, esta se entregará directamente a sus derechohabientes, conforme al derecho interno </w:t>
      </w:r>
      <w:r w:rsidRPr="00191080">
        <w:rPr>
          <w:rFonts w:cs="Arial"/>
          <w:lang w:val="es-ES"/>
        </w:rPr>
        <w:t>aplicable</w:t>
      </w:r>
      <w:r w:rsidRPr="004F2666">
        <w:rPr>
          <w:rFonts w:eastAsia="SimSun"/>
          <w:lang w:val="es-ES"/>
        </w:rPr>
        <w:t>.</w:t>
      </w:r>
    </w:p>
    <w:p w14:paraId="26238A9B" w14:textId="77777777" w:rsidR="00287F90" w:rsidRPr="004F2666" w:rsidRDefault="00287F90" w:rsidP="00287F90">
      <w:pPr>
        <w:spacing w:line="240" w:lineRule="auto"/>
        <w:rPr>
          <w:rFonts w:eastAsia="SimSun" w:cs="Vrinda"/>
          <w:lang w:val="es-ES" w:bidi="en-US"/>
        </w:rPr>
      </w:pPr>
    </w:p>
    <w:p w14:paraId="06D74FC2" w14:textId="77777777" w:rsidR="00191080" w:rsidRPr="00075241" w:rsidRDefault="00191080" w:rsidP="00191080">
      <w:pPr>
        <w:numPr>
          <w:ilvl w:val="0"/>
          <w:numId w:val="4"/>
        </w:numPr>
        <w:tabs>
          <w:tab w:val="left" w:pos="567"/>
          <w:tab w:val="num" w:pos="1569"/>
          <w:tab w:val="num" w:pos="12305"/>
        </w:tabs>
        <w:spacing w:line="240" w:lineRule="auto"/>
        <w:ind w:left="0" w:firstLine="0"/>
        <w:rPr>
          <w:rFonts w:eastAsia="SimSun" w:cs="Vrinda"/>
          <w:lang w:val="es-ES" w:bidi="en-US"/>
        </w:rPr>
      </w:pPr>
      <w:r w:rsidRPr="00075241">
        <w:rPr>
          <w:lang w:val="es-ES"/>
        </w:rPr>
        <w:t xml:space="preserve">El Estado deberá cumplir con las obligaciones </w:t>
      </w:r>
      <w:r w:rsidRPr="00075241">
        <w:rPr>
          <w:rFonts w:eastAsia="SimSun" w:cs="Vrinda"/>
          <w:lang w:val="es-ES" w:bidi="en-US"/>
        </w:rPr>
        <w:t>m</w:t>
      </w:r>
      <w:r w:rsidRPr="00075241">
        <w:rPr>
          <w:lang w:val="es-ES"/>
        </w:rPr>
        <w:t xml:space="preserve">onetarias mediante el pago en dólares de los Estados Unidos de </w:t>
      </w:r>
      <w:r w:rsidRPr="00075241">
        <w:rPr>
          <w:rFonts w:eastAsia="SimSun"/>
          <w:lang w:val="es-ES"/>
        </w:rPr>
        <w:t>América</w:t>
      </w:r>
      <w:r w:rsidRPr="00075241">
        <w:rPr>
          <w:lang w:val="es-ES"/>
        </w:rPr>
        <w:t xml:space="preserve"> o su equivalente en moneda nacional, utilizando para el cálculo respectivo el tipo de cambio de mercado publicado o calculado por una autoridad bancaria o financiera pertinente en la fecha más cercana al día del pago. </w:t>
      </w:r>
    </w:p>
    <w:p w14:paraId="731DCD72" w14:textId="77777777" w:rsidR="00287F90" w:rsidRPr="004F2666" w:rsidRDefault="00287F90" w:rsidP="00287F90">
      <w:pPr>
        <w:spacing w:line="240" w:lineRule="auto"/>
        <w:rPr>
          <w:rFonts w:eastAsia="SimSun" w:cs="Vrinda"/>
          <w:lang w:val="es-ES" w:bidi="en-US"/>
        </w:rPr>
      </w:pPr>
    </w:p>
    <w:p w14:paraId="6C14CAE6" w14:textId="71D0F6A4" w:rsidR="00191080" w:rsidRPr="00075241" w:rsidRDefault="00191080" w:rsidP="00191080">
      <w:pPr>
        <w:numPr>
          <w:ilvl w:val="0"/>
          <w:numId w:val="4"/>
        </w:numPr>
        <w:tabs>
          <w:tab w:val="left" w:pos="567"/>
          <w:tab w:val="num" w:pos="1569"/>
          <w:tab w:val="num" w:pos="12305"/>
        </w:tabs>
        <w:spacing w:line="240" w:lineRule="auto"/>
        <w:ind w:left="0" w:firstLine="0"/>
        <w:rPr>
          <w:rFonts w:eastAsia="SimSun" w:cs="Vrinda"/>
          <w:lang w:val="es-ES" w:bidi="en-US"/>
        </w:rPr>
      </w:pPr>
      <w:r w:rsidRPr="00075241">
        <w:rPr>
          <w:rFonts w:eastAsia="SimSun"/>
          <w:lang w:val="es-ES"/>
        </w:rPr>
        <w:t xml:space="preserve">Si por causas atribuibles a los beneficiarios de las indemnizaciones o a sus derechohabientes no fuese posible el pago de las cantidades determinadas dentro del plazo indicado, el Estado consignará </w:t>
      </w:r>
      <w:r w:rsidRPr="00191080">
        <w:rPr>
          <w:rFonts w:cs="Arial"/>
          <w:lang w:val="es-ES"/>
        </w:rPr>
        <w:t>dichos</w:t>
      </w:r>
      <w:r w:rsidRPr="00075241">
        <w:rPr>
          <w:rFonts w:eastAsia="SimSun"/>
          <w:lang w:val="es-ES"/>
        </w:rPr>
        <w:t xml:space="preserve"> montos a su favor en una cuenta o certificado de depósito en </w:t>
      </w:r>
      <w:r w:rsidRPr="00075241">
        <w:rPr>
          <w:rFonts w:eastAsia="MS Mincho"/>
          <w:lang w:val="es-ES" w:bidi="en-US"/>
        </w:rPr>
        <w:t>una</w:t>
      </w:r>
      <w:r w:rsidRPr="00075241">
        <w:rPr>
          <w:rFonts w:eastAsia="SimSun"/>
          <w:lang w:val="es-ES"/>
        </w:rPr>
        <w:t xml:space="preserve"> institución financiera </w:t>
      </w:r>
      <w:r w:rsidR="009511E3">
        <w:rPr>
          <w:rFonts w:eastAsia="SimSun"/>
          <w:lang w:val="es-ES"/>
        </w:rPr>
        <w:t>mexicana</w:t>
      </w:r>
      <w:r w:rsidRPr="00075241">
        <w:rPr>
          <w:rFonts w:eastAsia="SimSun"/>
          <w:lang w:val="es-ES"/>
        </w:rPr>
        <w:t xml:space="preserve">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3F20757A" w14:textId="77777777" w:rsidR="00287F90" w:rsidRPr="004F2666" w:rsidRDefault="00287F90" w:rsidP="00D60EB1">
      <w:pPr>
        <w:tabs>
          <w:tab w:val="left" w:pos="567"/>
          <w:tab w:val="num" w:pos="12305"/>
        </w:tabs>
        <w:spacing w:line="240" w:lineRule="auto"/>
        <w:rPr>
          <w:rFonts w:eastAsia="SimSun" w:cs="Vrinda"/>
          <w:lang w:val="es-ES" w:bidi="en-US"/>
        </w:rPr>
      </w:pPr>
    </w:p>
    <w:p w14:paraId="5B47A422" w14:textId="79EF6592" w:rsidR="00287F90" w:rsidRPr="00191080" w:rsidRDefault="00287F90" w:rsidP="00D60EB1">
      <w:pPr>
        <w:numPr>
          <w:ilvl w:val="0"/>
          <w:numId w:val="4"/>
        </w:numPr>
        <w:tabs>
          <w:tab w:val="left" w:pos="567"/>
          <w:tab w:val="num" w:pos="1569"/>
          <w:tab w:val="num" w:pos="12305"/>
        </w:tabs>
        <w:spacing w:line="240" w:lineRule="auto"/>
        <w:ind w:left="0" w:firstLine="0"/>
        <w:rPr>
          <w:rFonts w:eastAsia="SimSun" w:cs="Vrinda"/>
          <w:lang w:val="es-ES" w:bidi="en-US"/>
        </w:rPr>
      </w:pPr>
      <w:r w:rsidRPr="00191080">
        <w:rPr>
          <w:rFonts w:eastAsia="SimSun"/>
          <w:lang w:val="es-ES"/>
        </w:rPr>
        <w:t xml:space="preserve">Las </w:t>
      </w:r>
      <w:r w:rsidRPr="00191080">
        <w:rPr>
          <w:lang w:val="es-ES"/>
        </w:rPr>
        <w:t>cantidades</w:t>
      </w:r>
      <w:r w:rsidRPr="00191080">
        <w:rPr>
          <w:rFonts w:eastAsia="SimSun"/>
          <w:lang w:val="es-ES"/>
        </w:rPr>
        <w:t xml:space="preserve"> asignadas en la presente Sentencia </w:t>
      </w:r>
      <w:r w:rsidR="004168BF" w:rsidRPr="00191080">
        <w:rPr>
          <w:rFonts w:eastAsia="SimSun"/>
          <w:lang w:val="es-ES"/>
        </w:rPr>
        <w:t xml:space="preserve">en concepto de </w:t>
      </w:r>
      <w:r w:rsidRPr="00191080">
        <w:rPr>
          <w:rFonts w:eastAsia="SimSun"/>
          <w:lang w:val="es-ES"/>
        </w:rPr>
        <w:t>indemnización po</w:t>
      </w:r>
      <w:r w:rsidR="004168BF" w:rsidRPr="00191080">
        <w:rPr>
          <w:rFonts w:eastAsia="SimSun"/>
          <w:lang w:val="es-ES"/>
        </w:rPr>
        <w:t xml:space="preserve">r </w:t>
      </w:r>
      <w:r w:rsidRPr="00191080">
        <w:rPr>
          <w:rFonts w:eastAsia="SimSun"/>
          <w:lang w:val="es-ES"/>
        </w:rPr>
        <w:t xml:space="preserve">daños materiales e </w:t>
      </w:r>
      <w:r w:rsidRPr="00191080">
        <w:rPr>
          <w:rFonts w:cs="Arial"/>
          <w:lang w:val="es-ES"/>
        </w:rPr>
        <w:t>inmateriales</w:t>
      </w:r>
      <w:r w:rsidR="00BA4F57">
        <w:rPr>
          <w:rFonts w:cs="Arial"/>
          <w:lang w:val="es-ES"/>
        </w:rPr>
        <w:t>, así como por el reintegro de costas y gastos,</w:t>
      </w:r>
      <w:r w:rsidR="0009794F" w:rsidRPr="00191080">
        <w:rPr>
          <w:rFonts w:eastAsia="SimSun"/>
          <w:lang w:val="es-ES"/>
        </w:rPr>
        <w:t xml:space="preserve"> </w:t>
      </w:r>
      <w:r w:rsidRPr="00191080">
        <w:rPr>
          <w:rFonts w:eastAsia="SimSun"/>
          <w:lang w:val="es-ES"/>
        </w:rPr>
        <w:t>deberán ser entregadas a las personas</w:t>
      </w:r>
      <w:r w:rsidR="00BE4F5B">
        <w:rPr>
          <w:rFonts w:eastAsia="SimSun"/>
          <w:lang w:val="es-ES"/>
        </w:rPr>
        <w:t xml:space="preserve"> y organizaciones</w:t>
      </w:r>
      <w:r w:rsidRPr="00191080">
        <w:rPr>
          <w:rFonts w:eastAsia="SimSun"/>
          <w:lang w:val="es-ES"/>
        </w:rPr>
        <w:t xml:space="preserve"> indicada</w:t>
      </w:r>
      <w:r w:rsidR="00B030A1" w:rsidRPr="00191080">
        <w:rPr>
          <w:rFonts w:eastAsia="SimSun"/>
          <w:lang w:val="es-ES"/>
        </w:rPr>
        <w:t>s</w:t>
      </w:r>
      <w:r w:rsidRPr="00191080">
        <w:rPr>
          <w:rFonts w:eastAsia="SimSun"/>
          <w:lang w:val="es-ES"/>
        </w:rPr>
        <w:t xml:space="preserve"> en forma íntegra, conforme a lo establecido en esta Sentencia, sin reducciones derivadas de </w:t>
      </w:r>
      <w:r w:rsidRPr="00191080">
        <w:rPr>
          <w:lang w:val="es-ES"/>
        </w:rPr>
        <w:t>eventuales</w:t>
      </w:r>
      <w:r w:rsidRPr="00191080">
        <w:rPr>
          <w:rFonts w:eastAsia="SimSun"/>
          <w:lang w:val="es-ES"/>
        </w:rPr>
        <w:t xml:space="preserve"> cargas fiscales.</w:t>
      </w:r>
      <w:bookmarkStart w:id="125" w:name="_Ref469940442"/>
    </w:p>
    <w:p w14:paraId="66708BE2" w14:textId="77777777" w:rsidR="00287F90" w:rsidRPr="004F2666" w:rsidRDefault="00287F90" w:rsidP="00287F90">
      <w:pPr>
        <w:spacing w:line="240" w:lineRule="auto"/>
        <w:rPr>
          <w:rFonts w:eastAsia="SimSun" w:cs="Vrinda"/>
          <w:lang w:val="es-ES" w:bidi="en-US"/>
        </w:rPr>
      </w:pPr>
    </w:p>
    <w:p w14:paraId="7997A0DE" w14:textId="1D12BCEB" w:rsidR="009B1E4D" w:rsidRDefault="00287F90" w:rsidP="009B1E4D">
      <w:pPr>
        <w:numPr>
          <w:ilvl w:val="0"/>
          <w:numId w:val="4"/>
        </w:numPr>
        <w:tabs>
          <w:tab w:val="left" w:pos="567"/>
          <w:tab w:val="left" w:pos="720"/>
          <w:tab w:val="num" w:pos="1569"/>
          <w:tab w:val="num" w:pos="12305"/>
        </w:tabs>
        <w:spacing w:line="20" w:lineRule="atLeast"/>
        <w:ind w:left="0" w:right="-93" w:firstLine="0"/>
        <w:contextualSpacing/>
        <w:rPr>
          <w:rFonts w:eastAsia="Batang" w:cs="Times"/>
          <w:noProof/>
          <w:lang w:val="es-ES"/>
        </w:rPr>
      </w:pPr>
      <w:r w:rsidRPr="00E65720">
        <w:rPr>
          <w:rFonts w:eastAsia="Batang" w:cs="Times"/>
          <w:noProof/>
          <w:lang w:val="es-ES"/>
        </w:rPr>
        <w:t xml:space="preserve">En caso de </w:t>
      </w:r>
      <w:r w:rsidRPr="00E65720">
        <w:rPr>
          <w:rFonts w:eastAsia="SimSun"/>
          <w:lang w:val="es-ES"/>
        </w:rPr>
        <w:t>que</w:t>
      </w:r>
      <w:r w:rsidRPr="00E65720">
        <w:rPr>
          <w:rFonts w:eastAsia="Batang" w:cs="Times"/>
          <w:noProof/>
          <w:lang w:val="es-ES"/>
        </w:rPr>
        <w:t xml:space="preserve"> el Estado incurriera en mora, incluyendo en el reintegro de los gastos al Fondo de </w:t>
      </w:r>
      <w:r w:rsidRPr="00E65720">
        <w:rPr>
          <w:rFonts w:eastAsia="MS Mincho"/>
          <w:lang w:val="es-ES" w:bidi="en-US"/>
        </w:rPr>
        <w:t>Asistencia</w:t>
      </w:r>
      <w:r w:rsidRPr="00E65720">
        <w:rPr>
          <w:rFonts w:eastAsia="Batang" w:cs="Times"/>
          <w:noProof/>
          <w:lang w:val="es-ES"/>
        </w:rPr>
        <w:t xml:space="preserve"> </w:t>
      </w:r>
      <w:r w:rsidRPr="00E65720">
        <w:rPr>
          <w:rFonts w:cs="Arial"/>
          <w:lang w:val="es-ES"/>
        </w:rPr>
        <w:t>Legal</w:t>
      </w:r>
      <w:r w:rsidRPr="00E65720">
        <w:rPr>
          <w:rFonts w:eastAsia="Batang" w:cs="Times"/>
          <w:noProof/>
          <w:lang w:val="es-ES"/>
        </w:rPr>
        <w:t xml:space="preserve"> de </w:t>
      </w:r>
      <w:r w:rsidRPr="00E65720">
        <w:rPr>
          <w:rFonts w:eastAsia="SimSun"/>
          <w:lang w:val="es-ES"/>
        </w:rPr>
        <w:t>Víctimas</w:t>
      </w:r>
      <w:r w:rsidRPr="00E65720">
        <w:rPr>
          <w:rFonts w:eastAsia="Batang" w:cs="Times"/>
          <w:noProof/>
          <w:lang w:val="es-ES"/>
        </w:rPr>
        <w:t>, deberá pagar un interés sobre la cantidad adeudada correspondiente al interés bancario moratorio en</w:t>
      </w:r>
      <w:bookmarkEnd w:id="125"/>
      <w:r w:rsidR="005A647B" w:rsidRPr="00E65720">
        <w:rPr>
          <w:rFonts w:eastAsia="Batang" w:cs="Times"/>
          <w:noProof/>
          <w:lang w:val="es-ES"/>
        </w:rPr>
        <w:t xml:space="preserve"> </w:t>
      </w:r>
      <w:bookmarkEnd w:id="84"/>
      <w:bookmarkEnd w:id="85"/>
      <w:bookmarkEnd w:id="86"/>
      <w:bookmarkEnd w:id="87"/>
      <w:bookmarkEnd w:id="88"/>
      <w:bookmarkEnd w:id="89"/>
      <w:bookmarkEnd w:id="90"/>
      <w:r w:rsidR="00BE4F5B">
        <w:rPr>
          <w:rFonts w:eastAsia="Batang" w:cs="Times"/>
          <w:noProof/>
          <w:lang w:val="es-ES"/>
        </w:rPr>
        <w:t>los Estados Unidos Mexicanos</w:t>
      </w:r>
      <w:r w:rsidR="00BE4F5B" w:rsidRPr="00E65720">
        <w:rPr>
          <w:rFonts w:eastAsia="Batang" w:cs="Times"/>
          <w:noProof/>
          <w:lang w:val="es-ES"/>
        </w:rPr>
        <w:t>.</w:t>
      </w:r>
    </w:p>
    <w:p w14:paraId="2AE5E453" w14:textId="290F10CD" w:rsidR="001F06AB" w:rsidRPr="00F559D9" w:rsidRDefault="001F06AB" w:rsidP="001F06AB">
      <w:pPr>
        <w:pStyle w:val="Ttulo1"/>
        <w:rPr>
          <w:lang w:val="es-ES"/>
        </w:rPr>
      </w:pPr>
      <w:bookmarkStart w:id="126" w:name="_Toc24447115"/>
      <w:bookmarkStart w:id="127" w:name="_Toc85193240"/>
      <w:bookmarkStart w:id="128" w:name="_Toc93400275"/>
      <w:r w:rsidRPr="00F559D9">
        <w:rPr>
          <w:lang w:val="es-ES"/>
        </w:rPr>
        <w:t>X</w:t>
      </w:r>
      <w:r w:rsidRPr="00F559D9">
        <w:rPr>
          <w:lang w:val="es-ES"/>
        </w:rPr>
        <w:br/>
        <w:t>PUNTOS RESOLUTIVOS</w:t>
      </w:r>
      <w:bookmarkEnd w:id="126"/>
      <w:bookmarkEnd w:id="127"/>
      <w:bookmarkEnd w:id="128"/>
    </w:p>
    <w:p w14:paraId="5074FB86" w14:textId="77777777" w:rsidR="001F06AB" w:rsidRPr="00F559D9" w:rsidRDefault="001F06AB" w:rsidP="001F06AB">
      <w:pPr>
        <w:widowControl/>
        <w:numPr>
          <w:ilvl w:val="0"/>
          <w:numId w:val="4"/>
        </w:numPr>
        <w:tabs>
          <w:tab w:val="left" w:pos="567"/>
        </w:tabs>
        <w:adjustRightInd/>
        <w:spacing w:before="360" w:after="160" w:line="259" w:lineRule="auto"/>
        <w:ind w:left="0" w:right="-86" w:firstLine="0"/>
        <w:contextualSpacing/>
        <w:jc w:val="left"/>
        <w:textAlignment w:val="auto"/>
        <w:rPr>
          <w:rFonts w:eastAsia="MS Mincho"/>
          <w:b/>
          <w:bCs/>
          <w:lang w:val="es-ES" w:bidi="en-US"/>
        </w:rPr>
      </w:pPr>
      <w:r w:rsidRPr="00F559D9">
        <w:t xml:space="preserve">Por tanto, </w:t>
      </w:r>
    </w:p>
    <w:p w14:paraId="32E22670" w14:textId="77777777" w:rsidR="001F06AB" w:rsidRPr="00F559D9" w:rsidRDefault="001F06AB" w:rsidP="001F06AB">
      <w:pPr>
        <w:widowControl/>
        <w:tabs>
          <w:tab w:val="left" w:pos="567"/>
        </w:tabs>
        <w:adjustRightInd/>
        <w:spacing w:before="360" w:after="160" w:line="259" w:lineRule="auto"/>
        <w:ind w:right="-86"/>
        <w:contextualSpacing/>
        <w:jc w:val="left"/>
        <w:textAlignment w:val="auto"/>
        <w:rPr>
          <w:rFonts w:eastAsia="MS Mincho"/>
          <w:b/>
          <w:bCs/>
          <w:lang w:val="es-ES" w:bidi="en-US"/>
        </w:rPr>
      </w:pPr>
    </w:p>
    <w:p w14:paraId="28E9599A" w14:textId="77777777" w:rsidR="001F06AB" w:rsidRPr="00F559D9" w:rsidRDefault="001F06AB" w:rsidP="001F06AB">
      <w:pPr>
        <w:tabs>
          <w:tab w:val="left" w:pos="720"/>
        </w:tabs>
        <w:spacing w:before="360" w:after="360" w:line="20" w:lineRule="atLeast"/>
        <w:ind w:right="-86"/>
        <w:contextualSpacing/>
        <w:rPr>
          <w:rFonts w:eastAsia="MS Mincho"/>
          <w:b/>
          <w:bCs/>
          <w:lang w:val="es-ES" w:bidi="en-US"/>
        </w:rPr>
      </w:pPr>
      <w:r w:rsidRPr="00F559D9">
        <w:rPr>
          <w:rFonts w:eastAsia="MS Mincho"/>
          <w:b/>
          <w:bCs/>
          <w:lang w:val="es-ES" w:bidi="en-US"/>
        </w:rPr>
        <w:t>LA CORTE</w:t>
      </w:r>
    </w:p>
    <w:p w14:paraId="1B1F244B" w14:textId="77777777" w:rsidR="001F06AB" w:rsidRPr="00F559D9" w:rsidRDefault="001F06AB" w:rsidP="001F06AB">
      <w:pPr>
        <w:tabs>
          <w:tab w:val="left" w:pos="720"/>
        </w:tabs>
        <w:spacing w:line="20" w:lineRule="atLeast"/>
        <w:ind w:right="-90"/>
        <w:contextualSpacing/>
        <w:rPr>
          <w:lang w:val="es-ES"/>
        </w:rPr>
      </w:pPr>
    </w:p>
    <w:p w14:paraId="14BFFF54" w14:textId="4313210C" w:rsidR="001F06AB" w:rsidRPr="00F559D9" w:rsidRDefault="001F06AB" w:rsidP="001F06AB">
      <w:r w:rsidRPr="00F559D9">
        <w:t xml:space="preserve">Por </w:t>
      </w:r>
      <w:r w:rsidR="00D922E6">
        <w:t>unanimidad</w:t>
      </w:r>
      <w:r w:rsidRPr="00F559D9">
        <w:t xml:space="preserve">, </w:t>
      </w:r>
    </w:p>
    <w:p w14:paraId="24B30831" w14:textId="77777777" w:rsidR="001F06AB" w:rsidRPr="00F559D9" w:rsidRDefault="001F06AB" w:rsidP="001F06AB">
      <w:pPr>
        <w:pStyle w:val="Prrafodelista"/>
        <w:widowControl/>
        <w:ind w:left="0"/>
        <w:contextualSpacing/>
        <w:rPr>
          <w:b/>
        </w:rPr>
      </w:pPr>
    </w:p>
    <w:p w14:paraId="034E0F01" w14:textId="77777777" w:rsidR="001F06AB" w:rsidRPr="00F559D9" w:rsidRDefault="001F06AB" w:rsidP="001F06AB">
      <w:pPr>
        <w:pStyle w:val="Prrafodelista"/>
        <w:widowControl/>
        <w:ind w:left="0"/>
        <w:contextualSpacing/>
        <w:rPr>
          <w:b/>
        </w:rPr>
      </w:pPr>
      <w:r w:rsidRPr="00F559D9">
        <w:rPr>
          <w:b/>
        </w:rPr>
        <w:t xml:space="preserve">DECIDE, </w:t>
      </w:r>
    </w:p>
    <w:p w14:paraId="64A24C9D" w14:textId="77777777" w:rsidR="001F06AB" w:rsidRPr="00F559D9" w:rsidRDefault="001F06AB" w:rsidP="001F06AB"/>
    <w:p w14:paraId="4162062B" w14:textId="545709DB" w:rsidR="001F06AB" w:rsidRDefault="001F06AB" w:rsidP="001F06AB">
      <w:pPr>
        <w:numPr>
          <w:ilvl w:val="0"/>
          <w:numId w:val="28"/>
        </w:numPr>
        <w:tabs>
          <w:tab w:val="left" w:pos="720"/>
        </w:tabs>
        <w:spacing w:line="20" w:lineRule="atLeast"/>
        <w:ind w:right="-90"/>
        <w:contextualSpacing/>
      </w:pPr>
      <w:r w:rsidRPr="00F559D9">
        <w:t xml:space="preserve">Aceptar el reconocimiento parcial de responsabilidad internacional efectuado por el Estado, en los términos de los párrafos </w:t>
      </w:r>
      <w:r w:rsidR="00564285">
        <w:t>19</w:t>
      </w:r>
      <w:r w:rsidRPr="00F559D9">
        <w:t xml:space="preserve"> a </w:t>
      </w:r>
      <w:r w:rsidR="00564285">
        <w:t>25</w:t>
      </w:r>
      <w:r w:rsidRPr="00F559D9">
        <w:t xml:space="preserve"> de la presente Sentencia.</w:t>
      </w:r>
    </w:p>
    <w:p w14:paraId="0D50A89B" w14:textId="77777777" w:rsidR="00C36D2B" w:rsidRDefault="00C36D2B" w:rsidP="00C36D2B">
      <w:pPr>
        <w:tabs>
          <w:tab w:val="left" w:pos="720"/>
        </w:tabs>
        <w:spacing w:line="20" w:lineRule="atLeast"/>
        <w:ind w:right="-90"/>
        <w:contextualSpacing/>
      </w:pPr>
    </w:p>
    <w:p w14:paraId="6F6767A5" w14:textId="2F886C65" w:rsidR="00984AEE" w:rsidRDefault="00984AEE" w:rsidP="00F37DBC">
      <w:pPr>
        <w:numPr>
          <w:ilvl w:val="0"/>
          <w:numId w:val="28"/>
        </w:numPr>
        <w:tabs>
          <w:tab w:val="left" w:pos="720"/>
        </w:tabs>
        <w:spacing w:before="360" w:after="360" w:line="20" w:lineRule="atLeast"/>
        <w:ind w:right="-86"/>
        <w:contextualSpacing/>
      </w:pPr>
      <w:r>
        <w:t xml:space="preserve">Desestimar la excepción preliminar relativa a la incompetencia de la Corte </w:t>
      </w:r>
      <w:proofErr w:type="spellStart"/>
      <w:r w:rsidRPr="002E747E">
        <w:rPr>
          <w:i/>
        </w:rPr>
        <w:t>ratione</w:t>
      </w:r>
      <w:proofErr w:type="spellEnd"/>
      <w:r w:rsidRPr="002E747E">
        <w:rPr>
          <w:i/>
        </w:rPr>
        <w:t xml:space="preserve"> </w:t>
      </w:r>
      <w:proofErr w:type="spellStart"/>
      <w:r w:rsidRPr="002E747E">
        <w:rPr>
          <w:i/>
        </w:rPr>
        <w:t>materia</w:t>
      </w:r>
      <w:r w:rsidR="002E747E" w:rsidRPr="002E747E">
        <w:rPr>
          <w:i/>
        </w:rPr>
        <w:t>e</w:t>
      </w:r>
      <w:proofErr w:type="spellEnd"/>
      <w:r>
        <w:t xml:space="preserve">, de conformidad con los párrafos </w:t>
      </w:r>
      <w:r w:rsidR="00564285">
        <w:t>33</w:t>
      </w:r>
      <w:r>
        <w:t xml:space="preserve"> a </w:t>
      </w:r>
      <w:r w:rsidR="00564285">
        <w:t>34</w:t>
      </w:r>
      <w:r>
        <w:t xml:space="preserve"> de esta Sentencia.</w:t>
      </w:r>
    </w:p>
    <w:p w14:paraId="1354D786" w14:textId="77777777" w:rsidR="00971B83" w:rsidRDefault="00971B83" w:rsidP="00971B83">
      <w:pPr>
        <w:tabs>
          <w:tab w:val="left" w:pos="720"/>
        </w:tabs>
        <w:spacing w:before="360" w:after="360" w:line="20" w:lineRule="atLeast"/>
        <w:ind w:right="-86"/>
        <w:contextualSpacing/>
      </w:pPr>
    </w:p>
    <w:p w14:paraId="11F65445" w14:textId="159C598F" w:rsidR="00971B83" w:rsidRDefault="00971B83" w:rsidP="00564285">
      <w:pPr>
        <w:numPr>
          <w:ilvl w:val="0"/>
          <w:numId w:val="28"/>
        </w:numPr>
        <w:tabs>
          <w:tab w:val="left" w:pos="720"/>
        </w:tabs>
        <w:spacing w:line="20" w:lineRule="atLeast"/>
        <w:ind w:right="-90"/>
        <w:contextualSpacing/>
      </w:pPr>
      <w:r>
        <w:t xml:space="preserve">Desestimar la excepción preliminar de “cuarta instancia”, de conformidad con </w:t>
      </w:r>
      <w:r w:rsidR="00564285">
        <w:t xml:space="preserve">el párrafo 38 </w:t>
      </w:r>
      <w:r>
        <w:t>de esta Sentencia.</w:t>
      </w:r>
    </w:p>
    <w:p w14:paraId="19C40E46" w14:textId="58434C12" w:rsidR="00984AEE" w:rsidRDefault="00984AEE" w:rsidP="00984AEE">
      <w:pPr>
        <w:tabs>
          <w:tab w:val="left" w:pos="720"/>
        </w:tabs>
        <w:spacing w:before="360" w:after="360" w:line="20" w:lineRule="atLeast"/>
        <w:ind w:right="-86"/>
        <w:contextualSpacing/>
      </w:pPr>
    </w:p>
    <w:p w14:paraId="28CA32DF" w14:textId="77777777" w:rsidR="00984AEE" w:rsidRPr="00F559D9" w:rsidRDefault="00984AEE" w:rsidP="00984AEE">
      <w:pPr>
        <w:tabs>
          <w:tab w:val="left" w:pos="720"/>
        </w:tabs>
        <w:spacing w:before="360" w:after="360" w:line="20" w:lineRule="atLeast"/>
        <w:ind w:right="-86"/>
        <w:contextualSpacing/>
        <w:rPr>
          <w:rFonts w:eastAsia="MS Mincho"/>
          <w:b/>
          <w:bCs/>
          <w:lang w:val="es-ES" w:bidi="en-US"/>
        </w:rPr>
      </w:pPr>
    </w:p>
    <w:p w14:paraId="7C233B7C" w14:textId="77777777" w:rsidR="001F06AB" w:rsidRPr="00F559D9" w:rsidRDefault="001F06AB" w:rsidP="001F06AB">
      <w:pPr>
        <w:tabs>
          <w:tab w:val="left" w:pos="720"/>
        </w:tabs>
        <w:spacing w:before="360" w:after="360" w:line="20" w:lineRule="atLeast"/>
        <w:ind w:right="-86"/>
        <w:contextualSpacing/>
        <w:rPr>
          <w:rFonts w:eastAsia="MS Mincho"/>
          <w:b/>
          <w:bCs/>
          <w:lang w:val="es-ES" w:bidi="en-US"/>
        </w:rPr>
      </w:pPr>
      <w:r w:rsidRPr="00F559D9">
        <w:rPr>
          <w:rFonts w:eastAsia="MS Mincho"/>
          <w:b/>
          <w:bCs/>
          <w:lang w:val="es-ES" w:bidi="en-US"/>
        </w:rPr>
        <w:lastRenderedPageBreak/>
        <w:t>DECLARA,</w:t>
      </w:r>
    </w:p>
    <w:p w14:paraId="6EAE018D" w14:textId="77777777" w:rsidR="001F06AB" w:rsidRPr="00F559D9" w:rsidRDefault="001F06AB" w:rsidP="001F06AB">
      <w:pPr>
        <w:tabs>
          <w:tab w:val="left" w:pos="720"/>
        </w:tabs>
        <w:spacing w:line="20" w:lineRule="atLeast"/>
        <w:ind w:right="-90"/>
        <w:contextualSpacing/>
        <w:rPr>
          <w:kern w:val="2"/>
          <w:lang w:val="es-ES"/>
        </w:rPr>
      </w:pPr>
    </w:p>
    <w:p w14:paraId="247E61A8" w14:textId="6F297FA4" w:rsidR="001F06AB" w:rsidRPr="00F559D9" w:rsidRDefault="001F06AB" w:rsidP="001F06AB">
      <w:pPr>
        <w:tabs>
          <w:tab w:val="left" w:pos="720"/>
        </w:tabs>
        <w:spacing w:line="20" w:lineRule="atLeast"/>
        <w:ind w:right="-90"/>
        <w:contextualSpacing/>
        <w:rPr>
          <w:rFonts w:eastAsia="MS Mincho"/>
          <w:lang w:val="es-ES" w:bidi="en-US"/>
        </w:rPr>
      </w:pPr>
      <w:r w:rsidRPr="00F559D9">
        <w:rPr>
          <w:rFonts w:eastAsia="MS Mincho"/>
          <w:lang w:val="es-ES" w:bidi="en-US"/>
        </w:rPr>
        <w:t xml:space="preserve">Por </w:t>
      </w:r>
      <w:r w:rsidR="00D922E6">
        <w:t>unanimidad</w:t>
      </w:r>
      <w:r w:rsidRPr="00F559D9">
        <w:t>,</w:t>
      </w:r>
      <w:r w:rsidRPr="00F559D9">
        <w:rPr>
          <w:rFonts w:eastAsia="MS Mincho"/>
          <w:lang w:val="es-ES" w:bidi="en-US"/>
        </w:rPr>
        <w:t xml:space="preserve"> que:</w:t>
      </w:r>
    </w:p>
    <w:p w14:paraId="1F751F02" w14:textId="77777777" w:rsidR="001F06AB" w:rsidRPr="00F559D9" w:rsidRDefault="001F06AB" w:rsidP="001F06AB">
      <w:pPr>
        <w:spacing w:line="20" w:lineRule="atLeast"/>
        <w:ind w:right="-90"/>
        <w:contextualSpacing/>
        <w:rPr>
          <w:rFonts w:eastAsia="MS Mincho"/>
          <w:highlight w:val="yellow"/>
          <w:lang w:val="es-ES" w:bidi="en-US"/>
        </w:rPr>
      </w:pPr>
    </w:p>
    <w:p w14:paraId="7E8E07A3" w14:textId="140C90BA" w:rsidR="00412F06" w:rsidRPr="00F559D9" w:rsidRDefault="001F06AB" w:rsidP="001F06AB">
      <w:pPr>
        <w:numPr>
          <w:ilvl w:val="0"/>
          <w:numId w:val="28"/>
        </w:numPr>
        <w:tabs>
          <w:tab w:val="left" w:pos="720"/>
        </w:tabs>
        <w:spacing w:line="20" w:lineRule="atLeast"/>
        <w:ind w:right="-90"/>
        <w:contextualSpacing/>
        <w:rPr>
          <w:lang w:val="es-ES"/>
        </w:rPr>
      </w:pPr>
      <w:r w:rsidRPr="00F559D9">
        <w:rPr>
          <w:kern w:val="2"/>
          <w:lang w:val="es-ES"/>
        </w:rPr>
        <w:t xml:space="preserve">El Estado es responsable por la violación de </w:t>
      </w:r>
      <w:r w:rsidRPr="00F559D9">
        <w:rPr>
          <w:lang w:val="es-ES"/>
        </w:rPr>
        <w:t xml:space="preserve">los artículos </w:t>
      </w:r>
      <w:r w:rsidRPr="00F559D9">
        <w:rPr>
          <w:rFonts w:eastAsiaTheme="minorHAnsi" w:cs="Arial"/>
          <w:lang w:eastAsia="en-US"/>
        </w:rPr>
        <w:t>8, 11 y 25 de la Convención Americana</w:t>
      </w:r>
      <w:r w:rsidR="006B7041">
        <w:rPr>
          <w:rFonts w:eastAsiaTheme="minorHAnsi" w:cs="Arial"/>
          <w:lang w:eastAsia="en-US"/>
        </w:rPr>
        <w:t xml:space="preserve"> sobre Derechos Humanos</w:t>
      </w:r>
      <w:r w:rsidRPr="00F559D9">
        <w:rPr>
          <w:rFonts w:eastAsiaTheme="minorHAnsi" w:cs="Arial"/>
          <w:lang w:eastAsia="en-US"/>
        </w:rPr>
        <w:t xml:space="preserve">, en relación con el 1.1 del mismo instrumento y el artículo 7.b de la Convención </w:t>
      </w:r>
      <w:r w:rsidR="00C246B1">
        <w:rPr>
          <w:rFonts w:eastAsiaTheme="minorHAnsi" w:cs="Arial"/>
          <w:lang w:eastAsia="en-US"/>
        </w:rPr>
        <w:t xml:space="preserve">de </w:t>
      </w:r>
      <w:r w:rsidRPr="00F559D9">
        <w:rPr>
          <w:rFonts w:eastAsiaTheme="minorHAnsi" w:cs="Arial"/>
          <w:lang w:eastAsia="en-US"/>
        </w:rPr>
        <w:t xml:space="preserve">Belém Do Pará, </w:t>
      </w:r>
      <w:r w:rsidR="007351F2" w:rsidRPr="00F559D9">
        <w:t xml:space="preserve">así como del derecho a conocer la verdad de los hechos, </w:t>
      </w:r>
      <w:r w:rsidRPr="00F559D9">
        <w:rPr>
          <w:rFonts w:eastAsiaTheme="minorHAnsi" w:cs="Arial"/>
          <w:lang w:eastAsia="en-US"/>
        </w:rPr>
        <w:t xml:space="preserve">en perjuicio de </w:t>
      </w:r>
      <w:r w:rsidRPr="00F559D9">
        <w:rPr>
          <w:lang w:val="es-ES" w:eastAsia="es-ES_tradnl"/>
        </w:rPr>
        <w:t>Ir</w:t>
      </w:r>
      <w:r w:rsidR="00412F06" w:rsidRPr="00F559D9">
        <w:rPr>
          <w:lang w:val="es-ES" w:eastAsia="es-ES_tradnl"/>
        </w:rPr>
        <w:t>ene Alicia Plácido Evangelista</w:t>
      </w:r>
      <w:r w:rsidRPr="00F559D9">
        <w:rPr>
          <w:lang w:val="es-ES" w:eastAsia="es-ES_tradnl"/>
        </w:rPr>
        <w:t>, Eusebio Ochoa López, así como los hermanos Agustín, Carmen, Elia, Estela, Eusebio, Guadalupe, Ignacio, Ismael, Jesús, Juan Carlos, Luz María y Roberto Ochoa y Plácido</w:t>
      </w:r>
      <w:r w:rsidR="00564285" w:rsidRPr="00F559D9">
        <w:rPr>
          <w:kern w:val="2"/>
          <w:lang w:val="es-ES"/>
        </w:rPr>
        <w:t xml:space="preserve">, en los términos de los párrafos </w:t>
      </w:r>
      <w:r w:rsidR="00564285">
        <w:rPr>
          <w:kern w:val="2"/>
          <w:lang w:val="es-ES"/>
        </w:rPr>
        <w:t>102</w:t>
      </w:r>
      <w:r w:rsidR="00564285" w:rsidRPr="00F559D9">
        <w:rPr>
          <w:kern w:val="2"/>
          <w:lang w:val="es-ES"/>
        </w:rPr>
        <w:t xml:space="preserve"> a </w:t>
      </w:r>
      <w:r w:rsidR="00564285">
        <w:rPr>
          <w:kern w:val="2"/>
          <w:lang w:val="es-ES"/>
        </w:rPr>
        <w:t>136, 148 y 149</w:t>
      </w:r>
      <w:r w:rsidR="00564285" w:rsidRPr="00F559D9">
        <w:rPr>
          <w:kern w:val="2"/>
          <w:lang w:val="es-ES"/>
        </w:rPr>
        <w:t xml:space="preserve"> de la presente Sentencia.</w:t>
      </w:r>
      <w:r w:rsidRPr="00F559D9">
        <w:rPr>
          <w:lang w:val="es-ES"/>
        </w:rPr>
        <w:t xml:space="preserve"> </w:t>
      </w:r>
    </w:p>
    <w:p w14:paraId="3A482C49" w14:textId="77777777" w:rsidR="00412F06" w:rsidRPr="00F559D9" w:rsidRDefault="00412F06" w:rsidP="00412F06">
      <w:pPr>
        <w:tabs>
          <w:tab w:val="left" w:pos="720"/>
        </w:tabs>
        <w:spacing w:line="20" w:lineRule="atLeast"/>
        <w:ind w:right="-90"/>
        <w:contextualSpacing/>
        <w:rPr>
          <w:highlight w:val="yellow"/>
          <w:lang w:val="es-ES"/>
        </w:rPr>
      </w:pPr>
    </w:p>
    <w:p w14:paraId="6B33534F" w14:textId="316D519E" w:rsidR="001F06AB" w:rsidRPr="00F559D9" w:rsidRDefault="00412F06" w:rsidP="001F06AB">
      <w:pPr>
        <w:numPr>
          <w:ilvl w:val="0"/>
          <w:numId w:val="28"/>
        </w:numPr>
        <w:tabs>
          <w:tab w:val="left" w:pos="720"/>
        </w:tabs>
        <w:spacing w:line="20" w:lineRule="atLeast"/>
        <w:ind w:right="-90"/>
        <w:contextualSpacing/>
        <w:rPr>
          <w:lang w:val="es-ES"/>
        </w:rPr>
      </w:pPr>
      <w:r w:rsidRPr="00F559D9">
        <w:rPr>
          <w:kern w:val="2"/>
          <w:lang w:val="es-ES"/>
        </w:rPr>
        <w:t xml:space="preserve">El Estado es responsable por la violación del artículo </w:t>
      </w:r>
      <w:r w:rsidR="001F06AB" w:rsidRPr="00F559D9">
        <w:t xml:space="preserve">11 de la Convención Americana </w:t>
      </w:r>
      <w:r w:rsidR="006B7041">
        <w:t xml:space="preserve">sobre Derechos Humanos, </w:t>
      </w:r>
      <w:r w:rsidR="001F06AB" w:rsidRPr="00F559D9">
        <w:t>en relación el artículo 1.1 del mismo instrumento,</w:t>
      </w:r>
      <w:r w:rsidR="001F06AB" w:rsidRPr="00F559D9">
        <w:rPr>
          <w:kern w:val="2"/>
          <w:lang w:val="es-ES"/>
        </w:rPr>
        <w:t xml:space="preserve"> en perjuicio de la señora </w:t>
      </w:r>
      <w:r w:rsidRPr="00F559D9">
        <w:rPr>
          <w:rFonts w:eastAsia="Batang"/>
          <w:lang w:val="es-ES" w:eastAsia="en-US"/>
        </w:rPr>
        <w:t>Digna Ochoa y Plácido</w:t>
      </w:r>
      <w:r w:rsidR="001F06AB" w:rsidRPr="00F559D9">
        <w:rPr>
          <w:kern w:val="2"/>
          <w:lang w:val="es-ES"/>
        </w:rPr>
        <w:t xml:space="preserve">, en los términos de los párrafos </w:t>
      </w:r>
      <w:r w:rsidR="00564285">
        <w:rPr>
          <w:kern w:val="2"/>
          <w:lang w:val="es-ES"/>
        </w:rPr>
        <w:t>137</w:t>
      </w:r>
      <w:r w:rsidR="001F06AB" w:rsidRPr="00F559D9">
        <w:rPr>
          <w:kern w:val="2"/>
          <w:lang w:val="es-ES"/>
        </w:rPr>
        <w:t xml:space="preserve"> a </w:t>
      </w:r>
      <w:r w:rsidR="00564285">
        <w:rPr>
          <w:kern w:val="2"/>
          <w:lang w:val="es-ES"/>
        </w:rPr>
        <w:t>140, 148 y 149</w:t>
      </w:r>
      <w:r w:rsidR="001F06AB" w:rsidRPr="00F559D9">
        <w:rPr>
          <w:kern w:val="2"/>
          <w:lang w:val="es-ES"/>
        </w:rPr>
        <w:t xml:space="preserve"> de la presente Sentencia. </w:t>
      </w:r>
    </w:p>
    <w:p w14:paraId="2B0FF7C2" w14:textId="77777777" w:rsidR="001F06AB" w:rsidRPr="00F559D9" w:rsidRDefault="001F06AB" w:rsidP="001F06AB">
      <w:pPr>
        <w:tabs>
          <w:tab w:val="left" w:pos="720"/>
        </w:tabs>
        <w:spacing w:line="20" w:lineRule="atLeast"/>
        <w:ind w:right="-90"/>
        <w:contextualSpacing/>
        <w:rPr>
          <w:lang w:val="es-ES"/>
        </w:rPr>
      </w:pPr>
    </w:p>
    <w:p w14:paraId="72030E84" w14:textId="3497F0CE" w:rsidR="00412F06" w:rsidRPr="00F559D9" w:rsidRDefault="00412F06" w:rsidP="00412F06">
      <w:pPr>
        <w:numPr>
          <w:ilvl w:val="0"/>
          <w:numId w:val="28"/>
        </w:numPr>
        <w:tabs>
          <w:tab w:val="left" w:pos="720"/>
        </w:tabs>
        <w:spacing w:line="20" w:lineRule="atLeast"/>
        <w:ind w:right="-90"/>
        <w:contextualSpacing/>
        <w:rPr>
          <w:lang w:val="es-ES"/>
        </w:rPr>
      </w:pPr>
      <w:r w:rsidRPr="00F559D9">
        <w:rPr>
          <w:kern w:val="2"/>
          <w:lang w:val="es-ES"/>
        </w:rPr>
        <w:t>El Estado es responsable por la violación del</w:t>
      </w:r>
      <w:r w:rsidRPr="00F559D9">
        <w:rPr>
          <w:lang w:val="es-ES"/>
        </w:rPr>
        <w:t xml:space="preserve"> </w:t>
      </w:r>
      <w:r w:rsidRPr="00F559D9">
        <w:t>artículo 4.1 de la Convención Americana</w:t>
      </w:r>
      <w:r w:rsidR="006B7041">
        <w:t xml:space="preserve"> sobre Derechos Humanos</w:t>
      </w:r>
      <w:r w:rsidRPr="00F559D9">
        <w:t xml:space="preserve">, en relación con los artículos 1.1, 8 y 25 del mismo instrumento, </w:t>
      </w:r>
      <w:r w:rsidRPr="00F559D9">
        <w:rPr>
          <w:kern w:val="2"/>
          <w:lang w:val="es-ES"/>
        </w:rPr>
        <w:t xml:space="preserve">en perjuicio de la señora </w:t>
      </w:r>
      <w:r w:rsidRPr="00F559D9">
        <w:rPr>
          <w:rFonts w:eastAsia="Batang"/>
          <w:lang w:val="es-ES" w:eastAsia="en-US"/>
        </w:rPr>
        <w:t>Digna Ochoa y Plácido</w:t>
      </w:r>
      <w:r w:rsidRPr="00F559D9">
        <w:rPr>
          <w:kern w:val="2"/>
          <w:lang w:val="es-ES"/>
        </w:rPr>
        <w:t xml:space="preserve">, en los términos de los párrafos </w:t>
      </w:r>
      <w:r w:rsidR="00564285">
        <w:rPr>
          <w:kern w:val="2"/>
          <w:lang w:val="es-ES"/>
        </w:rPr>
        <w:t>141</w:t>
      </w:r>
      <w:r w:rsidR="00564285" w:rsidRPr="00F559D9">
        <w:rPr>
          <w:kern w:val="2"/>
          <w:lang w:val="es-ES"/>
        </w:rPr>
        <w:t xml:space="preserve"> a </w:t>
      </w:r>
      <w:r w:rsidR="00564285">
        <w:rPr>
          <w:kern w:val="2"/>
          <w:lang w:val="es-ES"/>
        </w:rPr>
        <w:t xml:space="preserve">149 </w:t>
      </w:r>
      <w:r w:rsidRPr="00F559D9">
        <w:rPr>
          <w:kern w:val="2"/>
          <w:lang w:val="es-ES"/>
        </w:rPr>
        <w:t>de la presente Sentencia.</w:t>
      </w:r>
    </w:p>
    <w:p w14:paraId="56C1023B" w14:textId="77777777" w:rsidR="00412F06" w:rsidRPr="00F559D9" w:rsidRDefault="00412F06" w:rsidP="00412F06">
      <w:pPr>
        <w:tabs>
          <w:tab w:val="left" w:pos="720"/>
        </w:tabs>
        <w:spacing w:line="20" w:lineRule="atLeast"/>
        <w:ind w:right="-90"/>
        <w:contextualSpacing/>
        <w:rPr>
          <w:lang w:val="es-ES"/>
        </w:rPr>
      </w:pPr>
    </w:p>
    <w:p w14:paraId="342C86B0" w14:textId="76AB8F59" w:rsidR="001F06AB" w:rsidRPr="00F559D9" w:rsidRDefault="001F06AB" w:rsidP="001F06AB">
      <w:pPr>
        <w:numPr>
          <w:ilvl w:val="0"/>
          <w:numId w:val="28"/>
        </w:numPr>
        <w:tabs>
          <w:tab w:val="left" w:pos="720"/>
        </w:tabs>
        <w:spacing w:line="20" w:lineRule="atLeast"/>
        <w:ind w:right="-90"/>
        <w:contextualSpacing/>
        <w:rPr>
          <w:lang w:val="es-ES"/>
        </w:rPr>
      </w:pPr>
      <w:r w:rsidRPr="00F559D9">
        <w:rPr>
          <w:kern w:val="2"/>
          <w:lang w:val="es-ES"/>
        </w:rPr>
        <w:t>El Estado es responsable por la violación d</w:t>
      </w:r>
      <w:r w:rsidRPr="00F559D9">
        <w:rPr>
          <w:rFonts w:eastAsia="Batang"/>
          <w:lang w:val="es-ES" w:eastAsia="en-US"/>
        </w:rPr>
        <w:t xml:space="preserve">el artículo 5.1 de la Convención Americana </w:t>
      </w:r>
      <w:r w:rsidRPr="00F559D9">
        <w:rPr>
          <w:lang w:val="es-ES"/>
        </w:rPr>
        <w:t>sobre Derechos Humanos</w:t>
      </w:r>
      <w:r w:rsidRPr="00F559D9">
        <w:rPr>
          <w:rFonts w:eastAsia="Batang"/>
          <w:lang w:val="es-ES" w:eastAsia="en-US"/>
        </w:rPr>
        <w:t xml:space="preserve">, en relación con el artículo 1.1 de dicho instrumento, en perjuicio de </w:t>
      </w:r>
      <w:r w:rsidR="00412F06" w:rsidRPr="00F559D9">
        <w:rPr>
          <w:lang w:val="es-ES" w:eastAsia="es-ES_tradnl"/>
        </w:rPr>
        <w:t>Irene Alicia Plácido Evangelista, Eusebio Ochoa López, así como los hermanos Agustín, Carmen, Elia, Estela, Eusebio, Guadalupe, Ignacio, Ismael, Jesús, Juan Carlos, Luz María y Roberto Ochoa y Plácido</w:t>
      </w:r>
      <w:r w:rsidRPr="00F559D9">
        <w:rPr>
          <w:kern w:val="2"/>
          <w:lang w:val="es-ES"/>
        </w:rPr>
        <w:t>, en los térmi</w:t>
      </w:r>
      <w:r w:rsidR="00564285">
        <w:rPr>
          <w:kern w:val="2"/>
          <w:lang w:val="es-ES"/>
        </w:rPr>
        <w:t>nos de</w:t>
      </w:r>
      <w:r w:rsidR="00C246B1">
        <w:rPr>
          <w:kern w:val="2"/>
          <w:lang w:val="es-ES"/>
        </w:rPr>
        <w:t xml:space="preserve"> los párrafos 19 y </w:t>
      </w:r>
      <w:r w:rsidR="00564285">
        <w:rPr>
          <w:kern w:val="2"/>
          <w:lang w:val="es-ES"/>
        </w:rPr>
        <w:t xml:space="preserve">21 </w:t>
      </w:r>
      <w:r w:rsidRPr="00F559D9">
        <w:rPr>
          <w:kern w:val="2"/>
          <w:lang w:val="es-ES"/>
        </w:rPr>
        <w:t xml:space="preserve">de la presente Sentencia. </w:t>
      </w:r>
    </w:p>
    <w:p w14:paraId="2B37D618" w14:textId="77777777" w:rsidR="001F06AB" w:rsidRPr="00F559D9" w:rsidRDefault="001F06AB" w:rsidP="001F06AB">
      <w:pPr>
        <w:tabs>
          <w:tab w:val="left" w:pos="720"/>
        </w:tabs>
        <w:spacing w:line="20" w:lineRule="atLeast"/>
        <w:ind w:right="-90"/>
        <w:contextualSpacing/>
        <w:rPr>
          <w:lang w:val="es-ES"/>
        </w:rPr>
      </w:pPr>
    </w:p>
    <w:p w14:paraId="181D2D7D" w14:textId="77777777" w:rsidR="001F06AB" w:rsidRPr="00F559D9" w:rsidRDefault="001F06AB" w:rsidP="001F06AB">
      <w:pPr>
        <w:tabs>
          <w:tab w:val="left" w:pos="720"/>
        </w:tabs>
        <w:spacing w:before="360" w:after="360" w:line="20" w:lineRule="atLeast"/>
        <w:ind w:right="-86"/>
        <w:contextualSpacing/>
        <w:rPr>
          <w:rFonts w:eastAsia="MS Mincho"/>
          <w:b/>
          <w:bCs/>
          <w:lang w:val="es-ES" w:bidi="en-US"/>
        </w:rPr>
      </w:pPr>
      <w:r w:rsidRPr="00F559D9">
        <w:rPr>
          <w:rFonts w:eastAsia="MS Mincho"/>
          <w:b/>
          <w:bCs/>
          <w:lang w:val="es-ES" w:bidi="en-US"/>
        </w:rPr>
        <w:t xml:space="preserve">Y DISPONE: </w:t>
      </w:r>
    </w:p>
    <w:p w14:paraId="3266D4ED" w14:textId="77777777" w:rsidR="001F06AB" w:rsidRPr="00F559D9" w:rsidRDefault="001F06AB" w:rsidP="001F06AB">
      <w:pPr>
        <w:tabs>
          <w:tab w:val="left" w:pos="720"/>
        </w:tabs>
        <w:spacing w:before="360" w:after="360" w:line="20" w:lineRule="atLeast"/>
        <w:ind w:right="-86"/>
        <w:contextualSpacing/>
        <w:rPr>
          <w:rFonts w:eastAsia="MS Mincho"/>
          <w:b/>
          <w:bCs/>
          <w:lang w:val="es-ES" w:bidi="en-US"/>
        </w:rPr>
      </w:pPr>
    </w:p>
    <w:p w14:paraId="2E034AA3" w14:textId="4E362E37" w:rsidR="001F06AB" w:rsidRPr="00F559D9" w:rsidRDefault="001F06AB" w:rsidP="001F06AB">
      <w:pPr>
        <w:tabs>
          <w:tab w:val="left" w:pos="720"/>
        </w:tabs>
        <w:spacing w:line="20" w:lineRule="atLeast"/>
        <w:ind w:right="-90"/>
        <w:contextualSpacing/>
        <w:rPr>
          <w:rFonts w:eastAsia="MS Mincho"/>
          <w:lang w:val="es-ES" w:bidi="en-US"/>
        </w:rPr>
      </w:pPr>
      <w:r w:rsidRPr="00F559D9">
        <w:rPr>
          <w:rFonts w:eastAsia="MS Mincho"/>
          <w:lang w:val="es-ES" w:bidi="en-US"/>
        </w:rPr>
        <w:t xml:space="preserve">Por </w:t>
      </w:r>
      <w:r w:rsidR="00D922E6">
        <w:t>unanimidad</w:t>
      </w:r>
      <w:r w:rsidR="00740264" w:rsidRPr="00F559D9">
        <w:t>,</w:t>
      </w:r>
      <w:r w:rsidRPr="00F559D9">
        <w:rPr>
          <w:rFonts w:eastAsia="MS Mincho"/>
          <w:lang w:val="es-ES" w:bidi="en-US"/>
        </w:rPr>
        <w:t xml:space="preserve"> que:</w:t>
      </w:r>
    </w:p>
    <w:p w14:paraId="4F530E14" w14:textId="77777777" w:rsidR="001F06AB" w:rsidRPr="00F559D9" w:rsidRDefault="001F06AB" w:rsidP="001F06AB">
      <w:pPr>
        <w:tabs>
          <w:tab w:val="left" w:pos="720"/>
        </w:tabs>
        <w:spacing w:line="20" w:lineRule="atLeast"/>
        <w:ind w:right="-90"/>
        <w:contextualSpacing/>
        <w:rPr>
          <w:rFonts w:eastAsia="MS Mincho"/>
          <w:bCs/>
          <w:lang w:val="es-ES" w:bidi="en-US"/>
        </w:rPr>
      </w:pPr>
    </w:p>
    <w:p w14:paraId="404FFE51" w14:textId="77777777" w:rsidR="001F06AB" w:rsidRPr="00F559D9" w:rsidRDefault="001F06AB" w:rsidP="001F06AB">
      <w:pPr>
        <w:numPr>
          <w:ilvl w:val="0"/>
          <w:numId w:val="28"/>
        </w:numPr>
        <w:tabs>
          <w:tab w:val="left" w:pos="720"/>
        </w:tabs>
        <w:spacing w:line="20" w:lineRule="atLeast"/>
        <w:ind w:right="-90"/>
        <w:contextualSpacing/>
        <w:rPr>
          <w:bCs/>
          <w:lang w:val="es-ES"/>
        </w:rPr>
      </w:pPr>
      <w:r w:rsidRPr="00F559D9">
        <w:rPr>
          <w:lang w:val="es-ES"/>
        </w:rPr>
        <w:t>Esta</w:t>
      </w:r>
      <w:r w:rsidRPr="00F559D9">
        <w:rPr>
          <w:bCs/>
          <w:lang w:val="es-ES"/>
        </w:rPr>
        <w:t xml:space="preserve"> Sentencia constituye, por sí misma, una forma de reparación.</w:t>
      </w:r>
    </w:p>
    <w:p w14:paraId="57DC363A" w14:textId="77777777" w:rsidR="001F06AB" w:rsidRPr="00F559D9" w:rsidRDefault="001F06AB" w:rsidP="001F06AB">
      <w:pPr>
        <w:tabs>
          <w:tab w:val="left" w:pos="720"/>
        </w:tabs>
        <w:spacing w:line="20" w:lineRule="atLeast"/>
        <w:ind w:right="-90"/>
        <w:contextualSpacing/>
        <w:rPr>
          <w:bCs/>
          <w:lang w:val="es-ES"/>
        </w:rPr>
      </w:pPr>
    </w:p>
    <w:p w14:paraId="36192FE1" w14:textId="2D86DD42" w:rsidR="001F06AB" w:rsidRPr="00F559D9" w:rsidRDefault="001F06AB" w:rsidP="001F06AB">
      <w:pPr>
        <w:numPr>
          <w:ilvl w:val="0"/>
          <w:numId w:val="28"/>
        </w:numPr>
        <w:tabs>
          <w:tab w:val="left" w:pos="720"/>
        </w:tabs>
        <w:spacing w:line="240" w:lineRule="auto"/>
        <w:ind w:right="-90"/>
        <w:contextualSpacing/>
        <w:textAlignment w:val="auto"/>
        <w:rPr>
          <w:rFonts w:eastAsiaTheme="minorHAnsi" w:cs="Arial"/>
          <w:lang w:val="es-ES" w:eastAsia="en-US"/>
        </w:rPr>
      </w:pPr>
      <w:r w:rsidRPr="00F559D9">
        <w:rPr>
          <w:rFonts w:eastAsiaTheme="minorHAnsi" w:cs="Arial"/>
          <w:lang w:val="es-ES" w:eastAsia="en-US"/>
        </w:rPr>
        <w:t xml:space="preserve">El Estado </w:t>
      </w:r>
      <w:r w:rsidR="00740264" w:rsidRPr="00F559D9">
        <w:rPr>
          <w:rFonts w:cs="Arial"/>
        </w:rPr>
        <w:t xml:space="preserve">deberá, en un plazo razonable, promover y continuar las investigaciones que sean necesarias para determinar las circunstancias de la muerta de la </w:t>
      </w:r>
      <w:r w:rsidR="001F344D">
        <w:rPr>
          <w:rFonts w:cs="Arial"/>
        </w:rPr>
        <w:t>señora Digna Ochoa</w:t>
      </w:r>
      <w:r w:rsidR="00740264" w:rsidRPr="00F559D9">
        <w:rPr>
          <w:rFonts w:cs="Arial"/>
        </w:rPr>
        <w:t xml:space="preserve"> y, en su caso juzgar</w:t>
      </w:r>
      <w:r w:rsidR="006B7041">
        <w:rPr>
          <w:rFonts w:cs="Arial"/>
        </w:rPr>
        <w:t>,</w:t>
      </w:r>
      <w:r w:rsidR="00740264" w:rsidRPr="00F559D9">
        <w:rPr>
          <w:rFonts w:cs="Arial"/>
        </w:rPr>
        <w:t xml:space="preserve"> y eventualmente sancionar a la persona o personas responsables de su muerte</w:t>
      </w:r>
      <w:r w:rsidRPr="00F559D9">
        <w:rPr>
          <w:rFonts w:eastAsiaTheme="minorHAnsi" w:cs="Arial"/>
          <w:lang w:val="es-ES" w:eastAsia="en-US"/>
        </w:rPr>
        <w:t xml:space="preserve">, </w:t>
      </w:r>
      <w:r w:rsidRPr="00F559D9">
        <w:rPr>
          <w:bCs/>
          <w:lang w:val="es-ES"/>
        </w:rPr>
        <w:t xml:space="preserve">en los términos del párrafo </w:t>
      </w:r>
      <w:r w:rsidR="00564285">
        <w:rPr>
          <w:bCs/>
          <w:lang w:val="es-ES"/>
        </w:rPr>
        <w:t>159</w:t>
      </w:r>
      <w:r w:rsidRPr="00F559D9">
        <w:rPr>
          <w:bCs/>
          <w:lang w:val="es-ES"/>
        </w:rPr>
        <w:t xml:space="preserve"> de la presente Sentencia.</w:t>
      </w:r>
    </w:p>
    <w:p w14:paraId="7F4E9849" w14:textId="77777777" w:rsidR="001F06AB" w:rsidRPr="00F559D9" w:rsidRDefault="001F06AB" w:rsidP="001F06AB">
      <w:pPr>
        <w:tabs>
          <w:tab w:val="left" w:pos="720"/>
        </w:tabs>
        <w:spacing w:line="240" w:lineRule="auto"/>
        <w:ind w:right="-90"/>
        <w:contextualSpacing/>
        <w:textAlignment w:val="auto"/>
        <w:rPr>
          <w:rFonts w:eastAsiaTheme="minorHAnsi" w:cs="Arial"/>
          <w:lang w:val="es-ES" w:eastAsia="en-US"/>
        </w:rPr>
      </w:pPr>
    </w:p>
    <w:p w14:paraId="61BA5CF4" w14:textId="78284240" w:rsidR="00740264" w:rsidRPr="00F559D9" w:rsidRDefault="00740264" w:rsidP="00740264">
      <w:pPr>
        <w:numPr>
          <w:ilvl w:val="0"/>
          <w:numId w:val="28"/>
        </w:numPr>
        <w:tabs>
          <w:tab w:val="left" w:pos="720"/>
        </w:tabs>
        <w:spacing w:line="20" w:lineRule="atLeast"/>
        <w:ind w:right="-90"/>
        <w:contextualSpacing/>
        <w:rPr>
          <w:lang w:val="es-ES"/>
        </w:rPr>
      </w:pPr>
      <w:r w:rsidRPr="00F559D9">
        <w:rPr>
          <w:lang w:val="es-ES"/>
        </w:rPr>
        <w:t>El Estado brindará el tratamiento médico y/o psicológico, psiquiátrico o p</w:t>
      </w:r>
      <w:r w:rsidR="002E747E">
        <w:rPr>
          <w:lang w:val="es-ES"/>
        </w:rPr>
        <w:t>s</w:t>
      </w:r>
      <w:r w:rsidRPr="00F559D9">
        <w:rPr>
          <w:lang w:val="es-ES"/>
        </w:rPr>
        <w:t xml:space="preserve">icosocial que requieran las víctimas, en </w:t>
      </w:r>
      <w:r w:rsidRPr="00F559D9">
        <w:rPr>
          <w:rFonts w:eastAsia="MS Mincho"/>
          <w:lang w:val="es-ES" w:bidi="en-US"/>
        </w:rPr>
        <w:t>los</w:t>
      </w:r>
      <w:r w:rsidRPr="00F559D9">
        <w:rPr>
          <w:lang w:val="es-ES"/>
        </w:rPr>
        <w:t xml:space="preserve"> términos de lo establecido en el párrafo </w:t>
      </w:r>
      <w:r w:rsidR="00564285">
        <w:rPr>
          <w:lang w:val="es-ES"/>
        </w:rPr>
        <w:t>163</w:t>
      </w:r>
      <w:r w:rsidRPr="00F559D9">
        <w:rPr>
          <w:lang w:val="es-ES"/>
        </w:rPr>
        <w:t xml:space="preserve"> de esta Sentencia. </w:t>
      </w:r>
    </w:p>
    <w:p w14:paraId="09E92E4E" w14:textId="77777777" w:rsidR="00740264" w:rsidRPr="00F559D9" w:rsidRDefault="00740264" w:rsidP="00740264">
      <w:pPr>
        <w:tabs>
          <w:tab w:val="left" w:pos="720"/>
        </w:tabs>
        <w:spacing w:line="20" w:lineRule="atLeast"/>
        <w:ind w:right="-90"/>
        <w:contextualSpacing/>
        <w:rPr>
          <w:lang w:val="es-ES"/>
        </w:rPr>
      </w:pPr>
    </w:p>
    <w:p w14:paraId="3973556A" w14:textId="6789D25A" w:rsidR="00740264" w:rsidRPr="00F559D9" w:rsidRDefault="00740264" w:rsidP="00740264">
      <w:pPr>
        <w:numPr>
          <w:ilvl w:val="0"/>
          <w:numId w:val="28"/>
        </w:numPr>
        <w:tabs>
          <w:tab w:val="left" w:pos="720"/>
        </w:tabs>
        <w:spacing w:line="20" w:lineRule="atLeast"/>
        <w:ind w:right="-90"/>
        <w:contextualSpacing/>
        <w:rPr>
          <w:bCs/>
          <w:lang w:val="es-ES"/>
        </w:rPr>
      </w:pPr>
      <w:r w:rsidRPr="00F559D9">
        <w:rPr>
          <w:bCs/>
          <w:lang w:val="es-ES"/>
        </w:rPr>
        <w:t xml:space="preserve">El Estado realizará las publicaciones indicadas en el párrafo </w:t>
      </w:r>
      <w:r w:rsidR="00564285">
        <w:rPr>
          <w:bCs/>
          <w:lang w:val="es-ES"/>
        </w:rPr>
        <w:t>167</w:t>
      </w:r>
      <w:r w:rsidRPr="00F559D9">
        <w:rPr>
          <w:bCs/>
          <w:lang w:val="es-ES"/>
        </w:rPr>
        <w:t xml:space="preserve"> de la presente Sentencia.</w:t>
      </w:r>
    </w:p>
    <w:p w14:paraId="1247A70C" w14:textId="52B72AFA" w:rsidR="00740264" w:rsidRPr="00F559D9" w:rsidRDefault="00740264" w:rsidP="00740264">
      <w:pPr>
        <w:tabs>
          <w:tab w:val="left" w:pos="720"/>
        </w:tabs>
        <w:spacing w:line="20" w:lineRule="atLeast"/>
        <w:ind w:right="-90"/>
        <w:contextualSpacing/>
        <w:rPr>
          <w:lang w:val="es-ES"/>
        </w:rPr>
      </w:pPr>
    </w:p>
    <w:p w14:paraId="57F8A431" w14:textId="27093FAC" w:rsidR="00740264" w:rsidRPr="00F559D9" w:rsidRDefault="00740264" w:rsidP="00740264">
      <w:pPr>
        <w:numPr>
          <w:ilvl w:val="0"/>
          <w:numId w:val="28"/>
        </w:numPr>
        <w:tabs>
          <w:tab w:val="left" w:pos="720"/>
        </w:tabs>
        <w:spacing w:line="20" w:lineRule="atLeast"/>
        <w:ind w:right="-90"/>
        <w:contextualSpacing/>
        <w:rPr>
          <w:bCs/>
          <w:lang w:val="es-ES"/>
        </w:rPr>
      </w:pPr>
      <w:r w:rsidRPr="00F559D9">
        <w:rPr>
          <w:bCs/>
          <w:lang w:val="es-ES"/>
        </w:rPr>
        <w:t xml:space="preserve">El Estado realizará un acto público de reconocimiento de responsabilidad internacional, </w:t>
      </w:r>
      <w:r w:rsidRPr="00F559D9">
        <w:rPr>
          <w:bCs/>
          <w:lang w:val="es-ES"/>
        </w:rPr>
        <w:br/>
        <w:t xml:space="preserve">en los términos del párrafo </w:t>
      </w:r>
      <w:r w:rsidR="00564285">
        <w:rPr>
          <w:bCs/>
          <w:lang w:val="es-ES"/>
        </w:rPr>
        <w:t>170</w:t>
      </w:r>
      <w:r w:rsidRPr="00F559D9">
        <w:rPr>
          <w:bCs/>
          <w:lang w:val="es-ES"/>
        </w:rPr>
        <w:t xml:space="preserve"> de esta Sentencia.</w:t>
      </w:r>
    </w:p>
    <w:p w14:paraId="771BEB78" w14:textId="77777777" w:rsidR="00B67D69" w:rsidRPr="00F559D9" w:rsidRDefault="00B67D69" w:rsidP="00B67D69">
      <w:pPr>
        <w:tabs>
          <w:tab w:val="left" w:pos="720"/>
        </w:tabs>
        <w:spacing w:line="20" w:lineRule="atLeast"/>
        <w:ind w:right="-90"/>
        <w:contextualSpacing/>
        <w:rPr>
          <w:bCs/>
          <w:lang w:val="es-ES"/>
        </w:rPr>
      </w:pPr>
    </w:p>
    <w:p w14:paraId="1310407D" w14:textId="5126E4E2" w:rsidR="00B67D69" w:rsidRPr="00F559D9" w:rsidRDefault="000D6337" w:rsidP="00B67D69">
      <w:pPr>
        <w:numPr>
          <w:ilvl w:val="0"/>
          <w:numId w:val="28"/>
        </w:numPr>
        <w:tabs>
          <w:tab w:val="left" w:pos="720"/>
        </w:tabs>
        <w:spacing w:line="20" w:lineRule="atLeast"/>
        <w:ind w:right="-90"/>
        <w:contextualSpacing/>
        <w:rPr>
          <w:lang w:val="es-ES"/>
        </w:rPr>
      </w:pPr>
      <w:r w:rsidRPr="00F559D9">
        <w:rPr>
          <w:bCs/>
          <w:lang w:val="es-ES"/>
        </w:rPr>
        <w:t xml:space="preserve">El Estado </w:t>
      </w:r>
      <w:r w:rsidRPr="00F559D9">
        <w:rPr>
          <w:lang w:val="es-ES"/>
        </w:rPr>
        <w:t>creará</w:t>
      </w:r>
      <w:r w:rsidR="00B67D69" w:rsidRPr="00F559D9">
        <w:rPr>
          <w:lang w:val="es-ES"/>
        </w:rPr>
        <w:t xml:space="preserve"> un reconocimiento en materia de defensa de derechos humanos que llevará el </w:t>
      </w:r>
      <w:r w:rsidR="00B67D69" w:rsidRPr="00F559D9">
        <w:rPr>
          <w:rFonts w:eastAsia="MS Mincho"/>
          <w:iCs/>
          <w:lang w:val="es-ES" w:bidi="en-US"/>
        </w:rPr>
        <w:t>nombre</w:t>
      </w:r>
      <w:r w:rsidR="00B67D69" w:rsidRPr="00F559D9">
        <w:rPr>
          <w:lang w:val="es-ES"/>
        </w:rPr>
        <w:t xml:space="preserve"> </w:t>
      </w:r>
      <w:r w:rsidRPr="00F559D9">
        <w:rPr>
          <w:lang w:val="es-ES"/>
        </w:rPr>
        <w:t>“</w:t>
      </w:r>
      <w:r w:rsidR="00B67D69" w:rsidRPr="00F559D9">
        <w:rPr>
          <w:lang w:val="es-ES"/>
        </w:rPr>
        <w:t>Digna Ochoa y Plácido</w:t>
      </w:r>
      <w:r w:rsidRPr="00F559D9">
        <w:rPr>
          <w:lang w:val="es-ES"/>
        </w:rPr>
        <w:t>”</w:t>
      </w:r>
      <w:r w:rsidR="00B67D69" w:rsidRPr="00F559D9">
        <w:rPr>
          <w:lang w:val="es-ES"/>
        </w:rPr>
        <w:t xml:space="preserve">, </w:t>
      </w:r>
      <w:r w:rsidRPr="00F559D9">
        <w:rPr>
          <w:bCs/>
          <w:lang w:val="es-ES"/>
        </w:rPr>
        <w:t xml:space="preserve">en los términos del párrafo </w:t>
      </w:r>
      <w:r w:rsidR="00564285">
        <w:rPr>
          <w:bCs/>
          <w:lang w:val="es-ES"/>
        </w:rPr>
        <w:t>177</w:t>
      </w:r>
      <w:r w:rsidR="00BD6542">
        <w:rPr>
          <w:bCs/>
          <w:lang w:val="es-ES"/>
        </w:rPr>
        <w:t>.1</w:t>
      </w:r>
      <w:r w:rsidRPr="00F559D9">
        <w:rPr>
          <w:bCs/>
          <w:lang w:val="es-ES"/>
        </w:rPr>
        <w:t xml:space="preserve"> de esta Sentencia</w:t>
      </w:r>
      <w:r w:rsidR="00C246B1">
        <w:rPr>
          <w:bCs/>
          <w:lang w:val="es-ES"/>
        </w:rPr>
        <w:t>.</w:t>
      </w:r>
    </w:p>
    <w:p w14:paraId="7186B327" w14:textId="77777777" w:rsidR="00B67D69" w:rsidRPr="00F559D9" w:rsidRDefault="00B67D69" w:rsidP="00B67D69">
      <w:pPr>
        <w:tabs>
          <w:tab w:val="left" w:pos="567"/>
        </w:tabs>
        <w:spacing w:line="240" w:lineRule="auto"/>
        <w:ind w:left="284"/>
        <w:textAlignment w:val="auto"/>
        <w:rPr>
          <w:lang w:val="es-ES"/>
        </w:rPr>
      </w:pPr>
    </w:p>
    <w:p w14:paraId="5793E4C4" w14:textId="08328ADD" w:rsidR="00B67D69" w:rsidRPr="00F559D9" w:rsidRDefault="000D6337" w:rsidP="00B67D69">
      <w:pPr>
        <w:numPr>
          <w:ilvl w:val="0"/>
          <w:numId w:val="28"/>
        </w:numPr>
        <w:tabs>
          <w:tab w:val="left" w:pos="720"/>
        </w:tabs>
        <w:spacing w:line="20" w:lineRule="atLeast"/>
        <w:ind w:right="-90"/>
        <w:contextualSpacing/>
        <w:rPr>
          <w:rFonts w:eastAsiaTheme="minorHAnsi"/>
          <w:lang w:eastAsia="en-US"/>
        </w:rPr>
      </w:pPr>
      <w:r w:rsidRPr="00F559D9">
        <w:rPr>
          <w:bCs/>
          <w:lang w:val="es-ES"/>
        </w:rPr>
        <w:t xml:space="preserve">El Estado </w:t>
      </w:r>
      <w:r w:rsidRPr="00F559D9">
        <w:rPr>
          <w:lang w:val="es-ES"/>
        </w:rPr>
        <w:t>diseñará</w:t>
      </w:r>
      <w:r w:rsidR="00B67D69" w:rsidRPr="00F559D9">
        <w:rPr>
          <w:lang w:val="es-ES"/>
        </w:rPr>
        <w:t xml:space="preserve"> e implementar</w:t>
      </w:r>
      <w:r w:rsidRPr="00F559D9">
        <w:rPr>
          <w:lang w:val="es-ES"/>
        </w:rPr>
        <w:t>á</w:t>
      </w:r>
      <w:r w:rsidR="00B67D69" w:rsidRPr="00F559D9">
        <w:rPr>
          <w:lang w:val="es-ES"/>
        </w:rPr>
        <w:t xml:space="preserve"> </w:t>
      </w:r>
      <w:r w:rsidR="00B67D69" w:rsidRPr="00F559D9">
        <w:rPr>
          <w:rFonts w:eastAsia="MS Mincho"/>
          <w:iCs/>
          <w:lang w:val="es-ES" w:bidi="en-US"/>
        </w:rPr>
        <w:t>una</w:t>
      </w:r>
      <w:r w:rsidR="00B67D69" w:rsidRPr="00F559D9">
        <w:rPr>
          <w:lang w:val="es-ES"/>
        </w:rPr>
        <w:t xml:space="preserve"> campaña para </w:t>
      </w:r>
      <w:r w:rsidR="00B67D69" w:rsidRPr="00F559D9">
        <w:rPr>
          <w:rFonts w:eastAsia="MS Mincho"/>
          <w:iCs/>
          <w:lang w:val="es-ES" w:bidi="en-US"/>
        </w:rPr>
        <w:t>reconocer</w:t>
      </w:r>
      <w:r w:rsidR="00B67D69" w:rsidRPr="00F559D9">
        <w:rPr>
          <w:lang w:val="es-ES"/>
        </w:rPr>
        <w:t xml:space="preserve"> la labor de las </w:t>
      </w:r>
      <w:r w:rsidR="0079556F" w:rsidRPr="001879D7">
        <w:t xml:space="preserve">defensoras </w:t>
      </w:r>
      <w:r w:rsidR="0079556F">
        <w:t>y defensores</w:t>
      </w:r>
      <w:r w:rsidR="00B67D69" w:rsidRPr="00F559D9">
        <w:rPr>
          <w:lang w:val="es-ES"/>
        </w:rPr>
        <w:t xml:space="preserve"> de derechos humanos, </w:t>
      </w:r>
      <w:r w:rsidRPr="00F559D9">
        <w:rPr>
          <w:bCs/>
          <w:lang w:val="es-ES"/>
        </w:rPr>
        <w:t xml:space="preserve">en los términos del </w:t>
      </w:r>
      <w:r w:rsidR="00564285" w:rsidRPr="00F559D9">
        <w:rPr>
          <w:bCs/>
          <w:lang w:val="es-ES"/>
        </w:rPr>
        <w:t xml:space="preserve">párrafo </w:t>
      </w:r>
      <w:r w:rsidR="00564285">
        <w:rPr>
          <w:bCs/>
          <w:lang w:val="es-ES"/>
        </w:rPr>
        <w:t>177</w:t>
      </w:r>
      <w:r w:rsidR="00BD6542">
        <w:rPr>
          <w:bCs/>
          <w:lang w:val="es-ES"/>
        </w:rPr>
        <w:t>.2</w:t>
      </w:r>
      <w:r w:rsidR="00564285" w:rsidRPr="00F559D9">
        <w:rPr>
          <w:bCs/>
          <w:lang w:val="es-ES"/>
        </w:rPr>
        <w:t xml:space="preserve"> </w:t>
      </w:r>
      <w:r w:rsidRPr="00F559D9">
        <w:rPr>
          <w:bCs/>
          <w:lang w:val="es-ES"/>
        </w:rPr>
        <w:t>de esta Sentencia</w:t>
      </w:r>
      <w:r w:rsidR="00C246B1">
        <w:rPr>
          <w:bCs/>
          <w:lang w:val="es-ES"/>
        </w:rPr>
        <w:t>.</w:t>
      </w:r>
    </w:p>
    <w:p w14:paraId="5FBC07F2" w14:textId="77777777" w:rsidR="00B67D69" w:rsidRPr="00F559D9" w:rsidRDefault="00B67D69" w:rsidP="00B67D69">
      <w:pPr>
        <w:pStyle w:val="Prrafodelista"/>
        <w:tabs>
          <w:tab w:val="left" w:pos="567"/>
        </w:tabs>
        <w:spacing w:line="240" w:lineRule="auto"/>
        <w:ind w:left="284"/>
        <w:textAlignment w:val="auto"/>
        <w:rPr>
          <w:rFonts w:eastAsiaTheme="minorHAnsi"/>
          <w:lang w:eastAsia="en-US"/>
        </w:rPr>
      </w:pPr>
    </w:p>
    <w:p w14:paraId="4B89B976" w14:textId="15451A0F" w:rsidR="00B67D69" w:rsidRPr="00F559D9" w:rsidRDefault="000D6337" w:rsidP="00B67D69">
      <w:pPr>
        <w:numPr>
          <w:ilvl w:val="0"/>
          <w:numId w:val="28"/>
        </w:numPr>
        <w:tabs>
          <w:tab w:val="left" w:pos="720"/>
        </w:tabs>
        <w:spacing w:line="20" w:lineRule="atLeast"/>
        <w:ind w:right="-90"/>
        <w:contextualSpacing/>
        <w:rPr>
          <w:b/>
          <w:lang w:val="es-ES"/>
        </w:rPr>
      </w:pPr>
      <w:r w:rsidRPr="00F559D9">
        <w:rPr>
          <w:bCs/>
          <w:lang w:val="es-ES"/>
        </w:rPr>
        <w:t xml:space="preserve">El Estado </w:t>
      </w:r>
      <w:r w:rsidRPr="00F559D9">
        <w:rPr>
          <w:rFonts w:eastAsiaTheme="minorHAnsi"/>
          <w:lang w:eastAsia="en-US"/>
        </w:rPr>
        <w:t>otorgará</w:t>
      </w:r>
      <w:r w:rsidR="00B67D69" w:rsidRPr="00F559D9">
        <w:rPr>
          <w:rFonts w:eastAsiaTheme="minorHAnsi"/>
          <w:lang w:eastAsia="en-US"/>
        </w:rPr>
        <w:t xml:space="preserve"> el nombre de </w:t>
      </w:r>
      <w:r w:rsidRPr="00F559D9">
        <w:rPr>
          <w:rFonts w:eastAsiaTheme="minorHAnsi"/>
          <w:lang w:eastAsia="en-US"/>
        </w:rPr>
        <w:t>“</w:t>
      </w:r>
      <w:r w:rsidR="00B67D69" w:rsidRPr="00F559D9">
        <w:rPr>
          <w:rFonts w:eastAsiaTheme="minorHAnsi"/>
          <w:lang w:eastAsia="en-US"/>
        </w:rPr>
        <w:t>Digna Ochoa y Plácido</w:t>
      </w:r>
      <w:r w:rsidRPr="00F559D9">
        <w:rPr>
          <w:rFonts w:eastAsiaTheme="minorHAnsi"/>
          <w:lang w:eastAsia="en-US"/>
        </w:rPr>
        <w:t>”</w:t>
      </w:r>
      <w:r w:rsidR="00B67D69" w:rsidRPr="00F559D9">
        <w:rPr>
          <w:rFonts w:eastAsiaTheme="minorHAnsi"/>
          <w:lang w:eastAsia="en-US"/>
        </w:rPr>
        <w:t xml:space="preserve"> a una calle en la ciudad de Misantla, estado de Veracruz, </w:t>
      </w:r>
      <w:r w:rsidR="00B67D69" w:rsidRPr="00F559D9">
        <w:rPr>
          <w:bCs/>
          <w:lang w:val="es-ES"/>
        </w:rPr>
        <w:t>así</w:t>
      </w:r>
      <w:r w:rsidR="00B67D69" w:rsidRPr="00F559D9">
        <w:rPr>
          <w:rFonts w:eastAsiaTheme="minorHAnsi"/>
          <w:lang w:eastAsia="en-US"/>
        </w:rPr>
        <w:t xml:space="preserve"> como en la Ciudad de México, </w:t>
      </w:r>
      <w:r w:rsidRPr="00F559D9">
        <w:rPr>
          <w:bCs/>
          <w:lang w:val="es-ES"/>
        </w:rPr>
        <w:t xml:space="preserve">en los términos del </w:t>
      </w:r>
      <w:r w:rsidR="00564285" w:rsidRPr="00F559D9">
        <w:rPr>
          <w:bCs/>
          <w:lang w:val="es-ES"/>
        </w:rPr>
        <w:t xml:space="preserve">párrafo </w:t>
      </w:r>
      <w:r w:rsidR="00564285">
        <w:rPr>
          <w:bCs/>
          <w:lang w:val="es-ES"/>
        </w:rPr>
        <w:t>177</w:t>
      </w:r>
      <w:r w:rsidR="00BD6542">
        <w:rPr>
          <w:bCs/>
          <w:lang w:val="es-ES"/>
        </w:rPr>
        <w:t>.3</w:t>
      </w:r>
      <w:r w:rsidR="00564285" w:rsidRPr="00F559D9">
        <w:rPr>
          <w:bCs/>
          <w:lang w:val="es-ES"/>
        </w:rPr>
        <w:t xml:space="preserve"> </w:t>
      </w:r>
      <w:r w:rsidRPr="00F559D9">
        <w:rPr>
          <w:bCs/>
          <w:lang w:val="es-ES"/>
        </w:rPr>
        <w:t>de esta Sentencia</w:t>
      </w:r>
      <w:r w:rsidR="00C246B1">
        <w:rPr>
          <w:bCs/>
          <w:lang w:val="es-ES"/>
        </w:rPr>
        <w:t>.</w:t>
      </w:r>
    </w:p>
    <w:p w14:paraId="7D9CC8F1" w14:textId="77777777" w:rsidR="00B67D69" w:rsidRPr="00F559D9" w:rsidRDefault="00B67D69" w:rsidP="00B67D69">
      <w:pPr>
        <w:tabs>
          <w:tab w:val="left" w:pos="567"/>
        </w:tabs>
        <w:spacing w:line="240" w:lineRule="auto"/>
        <w:ind w:left="284"/>
        <w:textAlignment w:val="auto"/>
        <w:rPr>
          <w:b/>
          <w:lang w:val="es-ES"/>
        </w:rPr>
      </w:pPr>
    </w:p>
    <w:p w14:paraId="02D5C708" w14:textId="0C866F8E" w:rsidR="00B67D69" w:rsidRPr="00F559D9" w:rsidRDefault="000D6337" w:rsidP="00B67D69">
      <w:pPr>
        <w:numPr>
          <w:ilvl w:val="0"/>
          <w:numId w:val="28"/>
        </w:numPr>
        <w:tabs>
          <w:tab w:val="left" w:pos="720"/>
        </w:tabs>
        <w:spacing w:line="20" w:lineRule="atLeast"/>
        <w:ind w:right="-90"/>
        <w:contextualSpacing/>
        <w:rPr>
          <w:rFonts w:eastAsiaTheme="minorHAnsi"/>
          <w:lang w:eastAsia="en-US"/>
        </w:rPr>
      </w:pPr>
      <w:r w:rsidRPr="00F559D9">
        <w:rPr>
          <w:bCs/>
          <w:lang w:val="es-ES"/>
        </w:rPr>
        <w:t xml:space="preserve">El Estado </w:t>
      </w:r>
      <w:r w:rsidRPr="00F559D9">
        <w:rPr>
          <w:rStyle w:val="markedcontent"/>
          <w:rFonts w:eastAsia="MS Mincho" w:cs="Arial"/>
          <w:lang w:val="es-ES"/>
        </w:rPr>
        <w:t>elaborará</w:t>
      </w:r>
      <w:r w:rsidRPr="00F559D9">
        <w:rPr>
          <w:rStyle w:val="markedcontent"/>
          <w:rFonts w:eastAsia="MS Mincho" w:cs="Arial"/>
        </w:rPr>
        <w:t xml:space="preserve"> un plan de fortalecimiento </w:t>
      </w:r>
      <w:r w:rsidRPr="00F559D9">
        <w:rPr>
          <w:rStyle w:val="highlight"/>
          <w:rFonts w:eastAsia="Verdana" w:cs="Arial"/>
        </w:rPr>
        <w:t>calendar</w:t>
      </w:r>
      <w:r w:rsidRPr="00F559D9">
        <w:rPr>
          <w:rStyle w:val="markedcontent"/>
          <w:rFonts w:eastAsia="MS Mincho" w:cs="Arial"/>
        </w:rPr>
        <w:t>izado d</w:t>
      </w:r>
      <w:r w:rsidRPr="00F559D9">
        <w:rPr>
          <w:rFonts w:eastAsiaTheme="minorHAnsi"/>
          <w:lang w:eastAsia="en-US"/>
        </w:rPr>
        <w:t xml:space="preserve">el “Mecanismo de </w:t>
      </w:r>
      <w:r w:rsidRPr="00F559D9">
        <w:rPr>
          <w:lang w:val="es-ES"/>
        </w:rPr>
        <w:t>Protección</w:t>
      </w:r>
      <w:r w:rsidRPr="00F559D9">
        <w:rPr>
          <w:rFonts w:eastAsiaTheme="minorHAnsi"/>
          <w:lang w:eastAsia="en-US"/>
        </w:rPr>
        <w:t xml:space="preserve"> para </w:t>
      </w:r>
      <w:r w:rsidRPr="00F559D9">
        <w:rPr>
          <w:rFonts w:eastAsia="MS Mincho"/>
          <w:iCs/>
          <w:lang w:val="es-ES" w:bidi="en-US"/>
        </w:rPr>
        <w:t>Personas</w:t>
      </w:r>
      <w:r w:rsidRPr="00F559D9">
        <w:rPr>
          <w:rFonts w:eastAsiaTheme="minorHAnsi"/>
          <w:lang w:eastAsia="en-US"/>
        </w:rPr>
        <w:t xml:space="preserve"> Defensoras de Derechos Humanos y Periodistas”, </w:t>
      </w:r>
      <w:r w:rsidRPr="00F559D9">
        <w:rPr>
          <w:bCs/>
          <w:lang w:val="es-ES"/>
        </w:rPr>
        <w:t xml:space="preserve">en los términos del </w:t>
      </w:r>
      <w:r w:rsidR="00564285" w:rsidRPr="00F559D9">
        <w:rPr>
          <w:bCs/>
          <w:lang w:val="es-ES"/>
        </w:rPr>
        <w:t xml:space="preserve">párrafo </w:t>
      </w:r>
      <w:r w:rsidR="00564285">
        <w:rPr>
          <w:bCs/>
          <w:lang w:val="es-ES"/>
        </w:rPr>
        <w:t>177</w:t>
      </w:r>
      <w:r w:rsidR="00BD6542">
        <w:rPr>
          <w:bCs/>
          <w:lang w:val="es-ES"/>
        </w:rPr>
        <w:t>.4</w:t>
      </w:r>
      <w:r w:rsidR="00564285" w:rsidRPr="00F559D9">
        <w:rPr>
          <w:bCs/>
          <w:lang w:val="es-ES"/>
        </w:rPr>
        <w:t xml:space="preserve"> </w:t>
      </w:r>
      <w:r w:rsidRPr="00F559D9">
        <w:rPr>
          <w:bCs/>
          <w:lang w:val="es-ES"/>
        </w:rPr>
        <w:t>de esta Sentencia.</w:t>
      </w:r>
    </w:p>
    <w:p w14:paraId="5E412C96" w14:textId="77777777" w:rsidR="00B67D69" w:rsidRPr="00F559D9" w:rsidRDefault="00B67D69" w:rsidP="00B67D69">
      <w:pPr>
        <w:tabs>
          <w:tab w:val="left" w:pos="567"/>
        </w:tabs>
        <w:spacing w:line="240" w:lineRule="auto"/>
        <w:ind w:left="284"/>
        <w:textAlignment w:val="auto"/>
        <w:rPr>
          <w:rFonts w:eastAsiaTheme="minorHAnsi"/>
          <w:lang w:eastAsia="en-US"/>
        </w:rPr>
      </w:pPr>
    </w:p>
    <w:p w14:paraId="28FD4AD2" w14:textId="32517DCF" w:rsidR="00B67D69" w:rsidRPr="00F559D9" w:rsidRDefault="000D6337" w:rsidP="000D6337">
      <w:pPr>
        <w:numPr>
          <w:ilvl w:val="0"/>
          <w:numId w:val="28"/>
        </w:numPr>
        <w:tabs>
          <w:tab w:val="left" w:pos="720"/>
        </w:tabs>
        <w:spacing w:line="20" w:lineRule="atLeast"/>
        <w:ind w:right="-90"/>
        <w:contextualSpacing/>
        <w:rPr>
          <w:rFonts w:eastAsiaTheme="minorHAnsi"/>
          <w:lang w:val="es-ES" w:eastAsia="en-US"/>
        </w:rPr>
      </w:pPr>
      <w:r w:rsidRPr="00F559D9">
        <w:rPr>
          <w:bCs/>
          <w:lang w:val="es-ES"/>
        </w:rPr>
        <w:t xml:space="preserve">El Estado </w:t>
      </w:r>
      <w:r w:rsidRPr="00F559D9">
        <w:rPr>
          <w:rFonts w:eastAsiaTheme="minorHAnsi"/>
          <w:lang w:eastAsia="en-US"/>
        </w:rPr>
        <w:t xml:space="preserve">creará e </w:t>
      </w:r>
      <w:r w:rsidRPr="00F559D9">
        <w:rPr>
          <w:bCs/>
          <w:lang w:val="es-ES"/>
        </w:rPr>
        <w:t>implementará</w:t>
      </w:r>
      <w:r w:rsidR="00B67D69" w:rsidRPr="00F559D9">
        <w:rPr>
          <w:rFonts w:eastAsiaTheme="minorHAnsi"/>
          <w:lang w:eastAsia="en-US"/>
        </w:rPr>
        <w:t xml:space="preserve"> un “Mecanismo de Protección de Testigos que intervengan en el Procedimiento Penal</w:t>
      </w:r>
      <w:r w:rsidRPr="00F559D9">
        <w:rPr>
          <w:rFonts w:eastAsiaTheme="minorHAnsi"/>
          <w:lang w:eastAsia="en-US"/>
        </w:rPr>
        <w:t>”</w:t>
      </w:r>
      <w:r w:rsidR="00B67D69" w:rsidRPr="00F559D9">
        <w:rPr>
          <w:rFonts w:eastAsiaTheme="minorHAnsi"/>
          <w:lang w:eastAsia="en-US"/>
        </w:rPr>
        <w:t xml:space="preserve">, </w:t>
      </w:r>
      <w:r w:rsidRPr="00F559D9">
        <w:rPr>
          <w:bCs/>
          <w:lang w:val="es-ES"/>
        </w:rPr>
        <w:t xml:space="preserve">en los términos del </w:t>
      </w:r>
      <w:r w:rsidR="00564285" w:rsidRPr="00F559D9">
        <w:rPr>
          <w:bCs/>
          <w:lang w:val="es-ES"/>
        </w:rPr>
        <w:t xml:space="preserve">párrafo </w:t>
      </w:r>
      <w:r w:rsidR="00564285">
        <w:rPr>
          <w:bCs/>
          <w:lang w:val="es-ES"/>
        </w:rPr>
        <w:t>177</w:t>
      </w:r>
      <w:r w:rsidR="00BD6542">
        <w:rPr>
          <w:bCs/>
          <w:lang w:val="es-ES"/>
        </w:rPr>
        <w:t>.5</w:t>
      </w:r>
      <w:r w:rsidR="00564285" w:rsidRPr="00F559D9">
        <w:rPr>
          <w:bCs/>
          <w:lang w:val="es-ES"/>
        </w:rPr>
        <w:t xml:space="preserve"> </w:t>
      </w:r>
      <w:r w:rsidRPr="00F559D9">
        <w:rPr>
          <w:bCs/>
          <w:lang w:val="es-ES"/>
        </w:rPr>
        <w:t>de esta Sentencia.</w:t>
      </w:r>
    </w:p>
    <w:p w14:paraId="57BE60BE" w14:textId="77777777" w:rsidR="000D6337" w:rsidRPr="00F559D9" w:rsidRDefault="000D6337" w:rsidP="000D6337">
      <w:pPr>
        <w:tabs>
          <w:tab w:val="left" w:pos="720"/>
        </w:tabs>
        <w:spacing w:line="20" w:lineRule="atLeast"/>
        <w:ind w:right="-90"/>
        <w:contextualSpacing/>
        <w:rPr>
          <w:rFonts w:eastAsiaTheme="minorHAnsi"/>
          <w:lang w:val="es-ES" w:eastAsia="en-US"/>
        </w:rPr>
      </w:pPr>
    </w:p>
    <w:p w14:paraId="182C2DD6" w14:textId="7773FECB" w:rsidR="00B67D69" w:rsidRPr="00F559D9" w:rsidRDefault="000D6337" w:rsidP="00B67D69">
      <w:pPr>
        <w:numPr>
          <w:ilvl w:val="0"/>
          <w:numId w:val="28"/>
        </w:numPr>
        <w:tabs>
          <w:tab w:val="left" w:pos="720"/>
        </w:tabs>
        <w:spacing w:line="20" w:lineRule="atLeast"/>
        <w:ind w:right="-90"/>
        <w:contextualSpacing/>
        <w:rPr>
          <w:rFonts w:eastAsiaTheme="minorHAnsi"/>
          <w:b/>
          <w:lang w:eastAsia="en-US"/>
        </w:rPr>
      </w:pPr>
      <w:r w:rsidRPr="00F559D9">
        <w:rPr>
          <w:bCs/>
          <w:lang w:val="es-ES"/>
        </w:rPr>
        <w:t xml:space="preserve">El Estado </w:t>
      </w:r>
      <w:r w:rsidRPr="00F559D9">
        <w:rPr>
          <w:rFonts w:eastAsiaTheme="minorHAnsi"/>
          <w:lang w:val="es-ES" w:eastAsia="en-US"/>
        </w:rPr>
        <w:t>elaborará, presentará e impulsará</w:t>
      </w:r>
      <w:r w:rsidR="002942EC">
        <w:rPr>
          <w:rFonts w:eastAsiaTheme="minorHAnsi"/>
          <w:lang w:val="es-ES" w:eastAsia="en-US"/>
        </w:rPr>
        <w:t xml:space="preserve"> </w:t>
      </w:r>
      <w:r w:rsidR="00B67D69" w:rsidRPr="00F559D9">
        <w:rPr>
          <w:rFonts w:eastAsiaTheme="minorHAnsi"/>
          <w:lang w:eastAsia="en-US"/>
        </w:rPr>
        <w:t xml:space="preserve">una iniciativa de reforma constitucional para dotar de autonomía e independencia a los Servicios Periciales, </w:t>
      </w:r>
      <w:r w:rsidRPr="00F559D9">
        <w:rPr>
          <w:bCs/>
          <w:lang w:val="es-ES"/>
        </w:rPr>
        <w:t xml:space="preserve">en los términos del </w:t>
      </w:r>
      <w:r w:rsidR="00564285" w:rsidRPr="00F559D9">
        <w:rPr>
          <w:bCs/>
          <w:lang w:val="es-ES"/>
        </w:rPr>
        <w:t xml:space="preserve">párrafo </w:t>
      </w:r>
      <w:r w:rsidR="00564285">
        <w:rPr>
          <w:bCs/>
          <w:lang w:val="es-ES"/>
        </w:rPr>
        <w:t>177</w:t>
      </w:r>
      <w:r w:rsidR="00BD6542">
        <w:rPr>
          <w:bCs/>
          <w:lang w:val="es-ES"/>
        </w:rPr>
        <w:t>.6</w:t>
      </w:r>
      <w:r w:rsidRPr="00F559D9">
        <w:rPr>
          <w:bCs/>
          <w:lang w:val="es-ES"/>
        </w:rPr>
        <w:t xml:space="preserve"> de esta Sentencia</w:t>
      </w:r>
      <w:r w:rsidR="00B67D69" w:rsidRPr="00F559D9">
        <w:rPr>
          <w:rFonts w:cs="Arial"/>
        </w:rPr>
        <w:t>.</w:t>
      </w:r>
    </w:p>
    <w:p w14:paraId="71E73285" w14:textId="77777777" w:rsidR="00B67D69" w:rsidRPr="00F559D9" w:rsidRDefault="00B67D69" w:rsidP="00B67D69">
      <w:pPr>
        <w:pStyle w:val="Prrafodelista"/>
        <w:tabs>
          <w:tab w:val="left" w:pos="567"/>
        </w:tabs>
        <w:spacing w:line="240" w:lineRule="auto"/>
        <w:ind w:left="284"/>
        <w:textAlignment w:val="auto"/>
        <w:rPr>
          <w:rFonts w:eastAsiaTheme="minorHAnsi"/>
          <w:b/>
          <w:lang w:eastAsia="en-US"/>
        </w:rPr>
      </w:pPr>
    </w:p>
    <w:p w14:paraId="4D8A18F8" w14:textId="6340E386" w:rsidR="00B67D69" w:rsidRPr="00F559D9" w:rsidRDefault="000D6337" w:rsidP="00B67D69">
      <w:pPr>
        <w:numPr>
          <w:ilvl w:val="0"/>
          <w:numId w:val="28"/>
        </w:numPr>
        <w:tabs>
          <w:tab w:val="left" w:pos="720"/>
        </w:tabs>
        <w:spacing w:line="20" w:lineRule="atLeast"/>
        <w:ind w:right="-90"/>
        <w:contextualSpacing/>
        <w:rPr>
          <w:rFonts w:eastAsia="MS Mincho"/>
          <w:lang w:val="es-ES" w:bidi="en-US"/>
        </w:rPr>
      </w:pPr>
      <w:r w:rsidRPr="00F559D9">
        <w:rPr>
          <w:bCs/>
          <w:lang w:val="es-ES"/>
        </w:rPr>
        <w:t xml:space="preserve">El Estado </w:t>
      </w:r>
      <w:r w:rsidRPr="00F559D9">
        <w:rPr>
          <w:rFonts w:eastAsiaTheme="minorHAnsi"/>
          <w:lang w:eastAsia="en-US"/>
        </w:rPr>
        <w:t>elaborará, presentará e impulsará</w:t>
      </w:r>
      <w:r w:rsidR="00B67D69" w:rsidRPr="00F559D9">
        <w:rPr>
          <w:rFonts w:eastAsiaTheme="minorHAnsi"/>
          <w:lang w:eastAsia="en-US"/>
        </w:rPr>
        <w:t xml:space="preserve"> una iniciativa de reforma a la “Ley Federal Para </w:t>
      </w:r>
      <w:r w:rsidR="00BD6542">
        <w:rPr>
          <w:rFonts w:eastAsiaTheme="minorHAnsi"/>
          <w:lang w:eastAsia="en-US"/>
        </w:rPr>
        <w:t>l</w:t>
      </w:r>
      <w:r w:rsidR="00B67D69" w:rsidRPr="00F559D9">
        <w:rPr>
          <w:rFonts w:eastAsiaTheme="minorHAnsi"/>
          <w:lang w:eastAsia="en-US"/>
        </w:rPr>
        <w:t>a Protección a Personas que intervienen en el Procedimiento Penal” para que “incluya los parámetros y estándares internacionales sobre la materia para la creación y operación efectiva de un Mecanismo de Protección a Testigos”</w:t>
      </w:r>
      <w:r w:rsidRPr="00F559D9">
        <w:rPr>
          <w:rFonts w:eastAsiaTheme="minorHAnsi"/>
          <w:lang w:eastAsia="en-US"/>
        </w:rPr>
        <w:t>,</w:t>
      </w:r>
      <w:r w:rsidRPr="00F559D9">
        <w:rPr>
          <w:bCs/>
          <w:lang w:val="es-ES"/>
        </w:rPr>
        <w:t xml:space="preserve"> en los términos del </w:t>
      </w:r>
      <w:r w:rsidR="00564285" w:rsidRPr="00F559D9">
        <w:rPr>
          <w:bCs/>
          <w:lang w:val="es-ES"/>
        </w:rPr>
        <w:t xml:space="preserve">párrafo </w:t>
      </w:r>
      <w:r w:rsidR="00564285">
        <w:rPr>
          <w:bCs/>
          <w:lang w:val="es-ES"/>
        </w:rPr>
        <w:t>177</w:t>
      </w:r>
      <w:r w:rsidR="00BD6542">
        <w:rPr>
          <w:bCs/>
          <w:lang w:val="es-ES"/>
        </w:rPr>
        <w:t>.7</w:t>
      </w:r>
      <w:r w:rsidR="00564285" w:rsidRPr="00F559D9">
        <w:rPr>
          <w:bCs/>
          <w:lang w:val="es-ES"/>
        </w:rPr>
        <w:t xml:space="preserve"> </w:t>
      </w:r>
      <w:r w:rsidRPr="00F559D9">
        <w:rPr>
          <w:bCs/>
          <w:lang w:val="es-ES"/>
        </w:rPr>
        <w:t>de esta Sentencia.</w:t>
      </w:r>
    </w:p>
    <w:p w14:paraId="59C08125" w14:textId="77777777" w:rsidR="000D6337" w:rsidRPr="00F559D9" w:rsidRDefault="000D6337" w:rsidP="000D6337">
      <w:pPr>
        <w:tabs>
          <w:tab w:val="left" w:pos="720"/>
        </w:tabs>
        <w:spacing w:line="20" w:lineRule="atLeast"/>
        <w:ind w:right="-90"/>
        <w:contextualSpacing/>
        <w:rPr>
          <w:rFonts w:eastAsia="MS Mincho"/>
          <w:lang w:val="es-ES" w:bidi="en-US"/>
        </w:rPr>
      </w:pPr>
    </w:p>
    <w:p w14:paraId="05F162E3" w14:textId="2364B896" w:rsidR="000D6337" w:rsidRPr="00F559D9" w:rsidRDefault="000D6337" w:rsidP="00B67D69">
      <w:pPr>
        <w:numPr>
          <w:ilvl w:val="0"/>
          <w:numId w:val="28"/>
        </w:numPr>
        <w:tabs>
          <w:tab w:val="left" w:pos="720"/>
        </w:tabs>
        <w:spacing w:line="20" w:lineRule="atLeast"/>
        <w:ind w:right="-90"/>
        <w:contextualSpacing/>
        <w:rPr>
          <w:rFonts w:eastAsia="MS Mincho"/>
          <w:lang w:val="es-ES" w:bidi="en-US"/>
        </w:rPr>
      </w:pPr>
      <w:r w:rsidRPr="00F559D9">
        <w:rPr>
          <w:bCs/>
          <w:lang w:val="es-ES"/>
        </w:rPr>
        <w:t xml:space="preserve">El Estado creará e implementará </w:t>
      </w:r>
      <w:r w:rsidRPr="00F559D9">
        <w:rPr>
          <w:rFonts w:cs="Verdana"/>
        </w:rPr>
        <w:t xml:space="preserve">a nivel federal un protocolo </w:t>
      </w:r>
      <w:r w:rsidRPr="00F559D9">
        <w:rPr>
          <w:rFonts w:eastAsiaTheme="minorHAnsi" w:cs="Arial"/>
          <w:lang w:eastAsia="en-US"/>
        </w:rPr>
        <w:t xml:space="preserve">específico y especializado para la investigación de ataques contra </w:t>
      </w:r>
      <w:r w:rsidR="0079556F">
        <w:rPr>
          <w:rFonts w:eastAsiaTheme="minorHAnsi" w:cs="Arial"/>
          <w:lang w:eastAsia="en-US"/>
        </w:rPr>
        <w:t xml:space="preserve">las </w:t>
      </w:r>
      <w:r w:rsidR="0079556F" w:rsidRPr="001879D7">
        <w:t xml:space="preserve">defensoras </w:t>
      </w:r>
      <w:r w:rsidR="0079556F">
        <w:t>y defensores</w:t>
      </w:r>
      <w:r w:rsidRPr="00F559D9">
        <w:rPr>
          <w:rFonts w:eastAsiaTheme="minorHAnsi" w:cs="Arial"/>
          <w:lang w:eastAsia="en-US"/>
        </w:rPr>
        <w:t xml:space="preserve"> de derechos humanos</w:t>
      </w:r>
      <w:r w:rsidRPr="00F559D9">
        <w:rPr>
          <w:rFonts w:eastAsiaTheme="minorHAnsi"/>
          <w:lang w:eastAsia="en-US"/>
        </w:rPr>
        <w:t>,</w:t>
      </w:r>
      <w:r w:rsidRPr="00F559D9">
        <w:rPr>
          <w:bCs/>
          <w:lang w:val="es-ES"/>
        </w:rPr>
        <w:t xml:space="preserve"> en los términos del párrafo </w:t>
      </w:r>
      <w:r w:rsidR="00564285">
        <w:rPr>
          <w:bCs/>
          <w:lang w:val="es-ES"/>
        </w:rPr>
        <w:t>178</w:t>
      </w:r>
      <w:r w:rsidRPr="00F559D9">
        <w:rPr>
          <w:bCs/>
          <w:lang w:val="es-ES"/>
        </w:rPr>
        <w:t xml:space="preserve"> de esta Sentencia.</w:t>
      </w:r>
    </w:p>
    <w:p w14:paraId="0A419607" w14:textId="77777777" w:rsidR="000D6337" w:rsidRPr="00F559D9" w:rsidRDefault="000D6337" w:rsidP="000D6337">
      <w:pPr>
        <w:tabs>
          <w:tab w:val="left" w:pos="720"/>
        </w:tabs>
        <w:spacing w:line="20" w:lineRule="atLeast"/>
        <w:ind w:right="-90"/>
        <w:contextualSpacing/>
        <w:rPr>
          <w:rFonts w:eastAsia="MS Mincho"/>
          <w:lang w:val="es-ES" w:bidi="en-US"/>
        </w:rPr>
      </w:pPr>
    </w:p>
    <w:p w14:paraId="6DF40CBE" w14:textId="6678769A" w:rsidR="000D6337" w:rsidRPr="00F559D9" w:rsidRDefault="000D6337" w:rsidP="00B67D69">
      <w:pPr>
        <w:numPr>
          <w:ilvl w:val="0"/>
          <w:numId w:val="28"/>
        </w:numPr>
        <w:tabs>
          <w:tab w:val="left" w:pos="720"/>
        </w:tabs>
        <w:spacing w:line="20" w:lineRule="atLeast"/>
        <w:ind w:right="-90"/>
        <w:contextualSpacing/>
        <w:rPr>
          <w:rFonts w:eastAsia="MS Mincho"/>
          <w:lang w:val="es-ES" w:bidi="en-US"/>
        </w:rPr>
      </w:pPr>
      <w:r w:rsidRPr="00F559D9">
        <w:rPr>
          <w:bCs/>
          <w:lang w:val="es-ES"/>
        </w:rPr>
        <w:t xml:space="preserve">El </w:t>
      </w:r>
      <w:r w:rsidRPr="00F559D9">
        <w:rPr>
          <w:rFonts w:eastAsiaTheme="minorHAnsi" w:cs="Arial"/>
          <w:lang w:eastAsia="en-US"/>
        </w:rPr>
        <w:t xml:space="preserve">Estado realizará un plan de capacitación del personal de investigación sobre el protocolo referido en el punto resolutivo </w:t>
      </w:r>
      <w:r w:rsidR="002942EC" w:rsidRPr="00F559D9">
        <w:rPr>
          <w:rFonts w:eastAsiaTheme="minorHAnsi" w:cs="Arial"/>
          <w:lang w:eastAsia="en-US"/>
        </w:rPr>
        <w:t>anterior,</w:t>
      </w:r>
      <w:r w:rsidRPr="00F559D9">
        <w:rPr>
          <w:rFonts w:eastAsiaTheme="minorHAnsi" w:cs="Arial"/>
          <w:lang w:eastAsia="en-US"/>
        </w:rPr>
        <w:t xml:space="preserve"> así como la creación de un sistema de indicadores que permitan medir la efectividad del protocolo</w:t>
      </w:r>
      <w:r w:rsidRPr="00F559D9">
        <w:rPr>
          <w:rFonts w:eastAsiaTheme="minorHAnsi"/>
          <w:lang w:eastAsia="en-US"/>
        </w:rPr>
        <w:t>,</w:t>
      </w:r>
      <w:r w:rsidRPr="00F559D9">
        <w:rPr>
          <w:bCs/>
          <w:lang w:val="es-ES"/>
        </w:rPr>
        <w:t xml:space="preserve"> en los términos del párrafo </w:t>
      </w:r>
      <w:r w:rsidR="00564285">
        <w:rPr>
          <w:bCs/>
          <w:lang w:val="es-ES"/>
        </w:rPr>
        <w:t>179</w:t>
      </w:r>
      <w:r w:rsidRPr="00F559D9">
        <w:rPr>
          <w:bCs/>
          <w:lang w:val="es-ES"/>
        </w:rPr>
        <w:t xml:space="preserve"> de esta Sentencia.</w:t>
      </w:r>
    </w:p>
    <w:p w14:paraId="2323DC54" w14:textId="77777777" w:rsidR="00740264" w:rsidRPr="00F559D9" w:rsidRDefault="00740264" w:rsidP="00740264">
      <w:pPr>
        <w:tabs>
          <w:tab w:val="left" w:pos="720"/>
        </w:tabs>
        <w:spacing w:line="20" w:lineRule="atLeast"/>
        <w:ind w:right="-90"/>
        <w:contextualSpacing/>
        <w:rPr>
          <w:bCs/>
          <w:lang w:val="es-ES"/>
        </w:rPr>
      </w:pPr>
    </w:p>
    <w:p w14:paraId="39E00F11" w14:textId="2B6BCA67" w:rsidR="001F06AB" w:rsidRPr="00F559D9" w:rsidRDefault="001F06AB" w:rsidP="001F06AB">
      <w:pPr>
        <w:numPr>
          <w:ilvl w:val="0"/>
          <w:numId w:val="28"/>
        </w:numPr>
        <w:tabs>
          <w:tab w:val="left" w:pos="720"/>
        </w:tabs>
        <w:spacing w:line="20" w:lineRule="atLeast"/>
        <w:ind w:right="-90"/>
        <w:contextualSpacing/>
        <w:rPr>
          <w:bCs/>
          <w:lang w:val="es-ES"/>
        </w:rPr>
      </w:pPr>
      <w:r w:rsidRPr="00F559D9">
        <w:rPr>
          <w:bCs/>
          <w:lang w:val="es-ES"/>
        </w:rPr>
        <w:t xml:space="preserve">El Estado pagará las cantidades fijadas en los párrafos </w:t>
      </w:r>
      <w:r w:rsidR="00564285">
        <w:rPr>
          <w:bCs/>
          <w:lang w:val="es-ES"/>
        </w:rPr>
        <w:t>184 y 193 d</w:t>
      </w:r>
      <w:r w:rsidRPr="00F559D9">
        <w:rPr>
          <w:bCs/>
          <w:lang w:val="es-ES"/>
        </w:rPr>
        <w:t xml:space="preserve">e la presente Sentencia por concepto de indemnización por daño material e inmaterial, </w:t>
      </w:r>
      <w:r w:rsidR="007454BA">
        <w:rPr>
          <w:bCs/>
          <w:lang w:val="es-ES"/>
        </w:rPr>
        <w:t xml:space="preserve">así como el </w:t>
      </w:r>
      <w:proofErr w:type="spellStart"/>
      <w:r w:rsidR="007454BA">
        <w:rPr>
          <w:bCs/>
          <w:lang w:val="es-ES"/>
        </w:rPr>
        <w:t>reintergro</w:t>
      </w:r>
      <w:proofErr w:type="spellEnd"/>
      <w:r w:rsidR="007454BA">
        <w:rPr>
          <w:bCs/>
          <w:lang w:val="es-ES"/>
        </w:rPr>
        <w:t xml:space="preserve"> de </w:t>
      </w:r>
      <w:r w:rsidRPr="00F559D9">
        <w:rPr>
          <w:bCs/>
          <w:lang w:val="es-ES"/>
        </w:rPr>
        <w:t>costas y gastos</w:t>
      </w:r>
      <w:r w:rsidRPr="00F559D9">
        <w:rPr>
          <w:lang w:val="es-ES"/>
        </w:rPr>
        <w:t xml:space="preserve">, en los términos de los párrafos </w:t>
      </w:r>
      <w:r w:rsidR="00BA4F57">
        <w:rPr>
          <w:lang w:val="es-ES"/>
        </w:rPr>
        <w:t xml:space="preserve">185, </w:t>
      </w:r>
      <w:r w:rsidR="00564285">
        <w:rPr>
          <w:lang w:val="es-ES"/>
        </w:rPr>
        <w:t>197</w:t>
      </w:r>
      <w:r w:rsidRPr="00F559D9">
        <w:rPr>
          <w:lang w:val="es-ES"/>
        </w:rPr>
        <w:t xml:space="preserve"> a </w:t>
      </w:r>
      <w:r w:rsidR="00564285">
        <w:rPr>
          <w:lang w:val="es-ES"/>
        </w:rPr>
        <w:t>202</w:t>
      </w:r>
      <w:r w:rsidRPr="00F559D9">
        <w:rPr>
          <w:lang w:val="es-ES"/>
        </w:rPr>
        <w:t xml:space="preserve"> de esta Sentencia</w:t>
      </w:r>
      <w:r w:rsidRPr="00F559D9">
        <w:rPr>
          <w:bCs/>
          <w:lang w:val="es-ES"/>
        </w:rPr>
        <w:t>.</w:t>
      </w:r>
    </w:p>
    <w:p w14:paraId="63AED8DD" w14:textId="77777777" w:rsidR="001F06AB" w:rsidRPr="00F559D9" w:rsidRDefault="001F06AB" w:rsidP="001F06AB">
      <w:pPr>
        <w:tabs>
          <w:tab w:val="left" w:pos="720"/>
        </w:tabs>
        <w:spacing w:line="20" w:lineRule="atLeast"/>
        <w:ind w:right="-90"/>
        <w:contextualSpacing/>
        <w:rPr>
          <w:bCs/>
          <w:lang w:val="es-ES"/>
        </w:rPr>
      </w:pPr>
    </w:p>
    <w:p w14:paraId="45C28062" w14:textId="54ADCD85" w:rsidR="001F06AB" w:rsidRPr="00F559D9" w:rsidRDefault="001F06AB" w:rsidP="001F06AB">
      <w:pPr>
        <w:numPr>
          <w:ilvl w:val="0"/>
          <w:numId w:val="28"/>
        </w:numPr>
        <w:tabs>
          <w:tab w:val="left" w:pos="720"/>
        </w:tabs>
        <w:spacing w:line="20" w:lineRule="atLeast"/>
        <w:ind w:right="-90"/>
        <w:contextualSpacing/>
        <w:rPr>
          <w:lang w:val="es-ES"/>
        </w:rPr>
      </w:pPr>
      <w:r w:rsidRPr="00F559D9">
        <w:rPr>
          <w:lang w:val="es-ES"/>
        </w:rPr>
        <w:t xml:space="preserve">El Estado reintegrará al Fondo de Asistencia Legal de Víctimas de la Corte Interamericana de Derechos Humanos la cantidad erogada durante la tramitación del presente caso, en los términos del párrafo </w:t>
      </w:r>
      <w:r w:rsidR="00564285">
        <w:rPr>
          <w:lang w:val="es-ES"/>
        </w:rPr>
        <w:t>196</w:t>
      </w:r>
      <w:r w:rsidRPr="00F559D9">
        <w:rPr>
          <w:lang w:val="es-ES"/>
        </w:rPr>
        <w:t xml:space="preserve"> de esta Sentencia.</w:t>
      </w:r>
    </w:p>
    <w:p w14:paraId="51C4113B" w14:textId="77777777" w:rsidR="001F06AB" w:rsidRPr="00F559D9" w:rsidRDefault="001F06AB" w:rsidP="001F06AB">
      <w:pPr>
        <w:tabs>
          <w:tab w:val="left" w:pos="720"/>
        </w:tabs>
        <w:spacing w:line="20" w:lineRule="atLeast"/>
        <w:ind w:right="-90"/>
        <w:contextualSpacing/>
        <w:rPr>
          <w:lang w:val="es-ES"/>
        </w:rPr>
      </w:pPr>
    </w:p>
    <w:p w14:paraId="69D5F845" w14:textId="77777777" w:rsidR="001F06AB" w:rsidRPr="00F559D9" w:rsidRDefault="001F06AB" w:rsidP="001F06AB">
      <w:pPr>
        <w:numPr>
          <w:ilvl w:val="0"/>
          <w:numId w:val="28"/>
        </w:numPr>
        <w:tabs>
          <w:tab w:val="left" w:pos="720"/>
        </w:tabs>
        <w:spacing w:line="20" w:lineRule="atLeast"/>
        <w:ind w:right="-90"/>
        <w:contextualSpacing/>
        <w:rPr>
          <w:rFonts w:eastAsia="MS Mincho"/>
          <w:bCs/>
          <w:lang w:val="es-ES" w:bidi="en-US"/>
        </w:rPr>
      </w:pPr>
      <w:r w:rsidRPr="00F559D9">
        <w:rPr>
          <w:bCs/>
          <w:lang w:val="es-ES"/>
        </w:rPr>
        <w:t>El Estado, dentro del plazo de un año contado a partir de la notificación de esta Sentencia, rendirá al Tribunal un informe sobre las medidas adoptadas para cumplir con la misma.</w:t>
      </w:r>
    </w:p>
    <w:p w14:paraId="50A2683A" w14:textId="77777777" w:rsidR="001F06AB" w:rsidRPr="00F559D9" w:rsidRDefault="001F06AB" w:rsidP="001F06AB">
      <w:pPr>
        <w:tabs>
          <w:tab w:val="left" w:pos="720"/>
        </w:tabs>
        <w:spacing w:line="20" w:lineRule="atLeast"/>
        <w:ind w:right="-90"/>
        <w:contextualSpacing/>
        <w:rPr>
          <w:rFonts w:eastAsia="MS Mincho"/>
          <w:bCs/>
          <w:lang w:val="es-ES" w:bidi="en-US"/>
        </w:rPr>
      </w:pPr>
    </w:p>
    <w:p w14:paraId="018547E6" w14:textId="77777777" w:rsidR="001F06AB" w:rsidRPr="00F559D9" w:rsidRDefault="001F06AB" w:rsidP="001F06AB">
      <w:pPr>
        <w:numPr>
          <w:ilvl w:val="0"/>
          <w:numId w:val="28"/>
        </w:numPr>
        <w:tabs>
          <w:tab w:val="left" w:pos="720"/>
        </w:tabs>
        <w:spacing w:line="20" w:lineRule="atLeast"/>
        <w:ind w:right="-90"/>
        <w:contextualSpacing/>
        <w:rPr>
          <w:b/>
          <w:bCs/>
          <w:lang w:val="es-ES"/>
        </w:rPr>
      </w:pPr>
      <w:r w:rsidRPr="00F559D9">
        <w:rPr>
          <w:bCs/>
          <w:lang w:val="es-ES"/>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r w:rsidRPr="00F559D9">
        <w:rPr>
          <w:rFonts w:cs="Verdana"/>
          <w:lang w:val="es-ES"/>
        </w:rPr>
        <w:t xml:space="preserve"> </w:t>
      </w:r>
    </w:p>
    <w:p w14:paraId="7123F953" w14:textId="77777777" w:rsidR="001F06AB" w:rsidRPr="00F559D9" w:rsidRDefault="001F06AB" w:rsidP="001F06AB">
      <w:pPr>
        <w:tabs>
          <w:tab w:val="left" w:pos="720"/>
        </w:tabs>
        <w:spacing w:line="20" w:lineRule="atLeast"/>
        <w:ind w:right="-90"/>
        <w:contextualSpacing/>
        <w:rPr>
          <w:rFonts w:cs="Verdana"/>
          <w:lang w:val="es-ES"/>
        </w:rPr>
      </w:pPr>
    </w:p>
    <w:p w14:paraId="63C6DFE2" w14:textId="77777777" w:rsidR="001F06AB" w:rsidRPr="00F559D9" w:rsidRDefault="001F06AB" w:rsidP="001F06AB">
      <w:pPr>
        <w:tabs>
          <w:tab w:val="left" w:pos="720"/>
        </w:tabs>
        <w:spacing w:line="20" w:lineRule="atLeast"/>
        <w:ind w:right="-90"/>
        <w:contextualSpacing/>
        <w:rPr>
          <w:b/>
          <w:bCs/>
          <w:lang w:val="es-ES"/>
        </w:rPr>
      </w:pPr>
    </w:p>
    <w:p w14:paraId="5F87BEC3" w14:textId="1043548D" w:rsidR="001F06AB" w:rsidRPr="00F559D9" w:rsidRDefault="001F06AB" w:rsidP="001F06AB">
      <w:pPr>
        <w:tabs>
          <w:tab w:val="left" w:pos="720"/>
        </w:tabs>
        <w:spacing w:line="20" w:lineRule="atLeast"/>
        <w:ind w:right="-93"/>
        <w:contextualSpacing/>
        <w:rPr>
          <w:rFonts w:cs="Verdana"/>
          <w:lang w:val="es-ES"/>
        </w:rPr>
      </w:pPr>
      <w:r w:rsidRPr="00F559D9">
        <w:rPr>
          <w:rFonts w:cs="Verdana"/>
          <w:lang w:val="es-ES"/>
        </w:rPr>
        <w:t xml:space="preserve">Redactada en español en San José, Costa Rica, el </w:t>
      </w:r>
      <w:r w:rsidR="00D922E6">
        <w:rPr>
          <w:rFonts w:cs="Verdana"/>
          <w:lang w:val="es-ES"/>
        </w:rPr>
        <w:t>25</w:t>
      </w:r>
      <w:r w:rsidRPr="00F559D9">
        <w:rPr>
          <w:rFonts w:cs="Verdana"/>
          <w:lang w:val="es-ES"/>
        </w:rPr>
        <w:t xml:space="preserve"> de noviembre de 2021.</w:t>
      </w:r>
    </w:p>
    <w:p w14:paraId="0D011408" w14:textId="43CE964B" w:rsidR="00BB755C" w:rsidRDefault="00BB755C">
      <w:pPr>
        <w:widowControl/>
        <w:adjustRightInd/>
        <w:spacing w:after="160" w:line="259" w:lineRule="auto"/>
        <w:jc w:val="left"/>
        <w:textAlignment w:val="auto"/>
        <w:rPr>
          <w:rFonts w:eastAsia="Batang" w:cs="Times"/>
          <w:noProof/>
          <w:lang w:val="es-ES"/>
        </w:rPr>
      </w:pPr>
      <w:r>
        <w:rPr>
          <w:rFonts w:eastAsia="Batang" w:cs="Times"/>
          <w:noProof/>
          <w:lang w:val="es-ES"/>
        </w:rPr>
        <w:br w:type="page"/>
      </w:r>
    </w:p>
    <w:p w14:paraId="48E7291B" w14:textId="65FE9FF8" w:rsidR="00BB755C" w:rsidRPr="006F4791" w:rsidRDefault="00BB755C" w:rsidP="00BB755C">
      <w:pPr>
        <w:spacing w:line="240" w:lineRule="auto"/>
        <w:rPr>
          <w:lang w:val="es-CO"/>
        </w:rPr>
      </w:pPr>
      <w:r w:rsidRPr="00B772E6">
        <w:rPr>
          <w:lang w:val="pt-BR"/>
        </w:rPr>
        <w:lastRenderedPageBreak/>
        <w:t xml:space="preserve">Corte IDH. </w:t>
      </w:r>
      <w:r w:rsidRPr="00B772E6">
        <w:rPr>
          <w:i/>
          <w:lang w:val="pt-BR"/>
        </w:rPr>
        <w:t>Caso</w:t>
      </w:r>
      <w:r>
        <w:rPr>
          <w:i/>
          <w:lang w:val="pt-BR"/>
        </w:rPr>
        <w:t xml:space="preserve"> Digna Ochoa y Familiares Vs. México</w:t>
      </w:r>
      <w:r w:rsidRPr="00425B5F">
        <w:rPr>
          <w:i/>
          <w:lang w:val="es-CO"/>
        </w:rPr>
        <w:t xml:space="preserve">. </w:t>
      </w:r>
      <w:r>
        <w:rPr>
          <w:lang w:val="es-CO"/>
        </w:rPr>
        <w:t xml:space="preserve">Excepciones Preliminares, </w:t>
      </w:r>
      <w:r w:rsidRPr="006F4791">
        <w:rPr>
          <w:lang w:val="es-CO"/>
        </w:rPr>
        <w:t>Fondo, Repar</w:t>
      </w:r>
      <w:r>
        <w:rPr>
          <w:lang w:val="es-CO"/>
        </w:rPr>
        <w:t>aciones y Costas. Sentencia de 25 de noviembre</w:t>
      </w:r>
      <w:r w:rsidRPr="006F4791">
        <w:rPr>
          <w:lang w:val="es-CO"/>
        </w:rPr>
        <w:t xml:space="preserve"> de 2021.</w:t>
      </w:r>
      <w:r>
        <w:rPr>
          <w:lang w:val="es-CO"/>
        </w:rPr>
        <w:t xml:space="preserve"> Sentencia adoptada en San José de Costa Rica por medio de sesión virtual.</w:t>
      </w:r>
    </w:p>
    <w:p w14:paraId="6720CF11" w14:textId="77777777" w:rsidR="00BB755C" w:rsidRDefault="00BB755C" w:rsidP="00BB755C">
      <w:pPr>
        <w:keepNext/>
        <w:spacing w:line="240" w:lineRule="auto"/>
        <w:outlineLvl w:val="0"/>
        <w:rPr>
          <w:color w:val="000000"/>
          <w:spacing w:val="-2"/>
        </w:rPr>
      </w:pPr>
    </w:p>
    <w:p w14:paraId="70B4AC58" w14:textId="77777777" w:rsidR="00BB755C" w:rsidRDefault="00BB755C" w:rsidP="00BB755C">
      <w:pPr>
        <w:keepNext/>
        <w:spacing w:line="240" w:lineRule="auto"/>
        <w:outlineLvl w:val="0"/>
        <w:rPr>
          <w:color w:val="000000"/>
          <w:spacing w:val="-2"/>
        </w:rPr>
      </w:pPr>
    </w:p>
    <w:p w14:paraId="5E449EC2" w14:textId="77777777" w:rsidR="00BB755C" w:rsidRDefault="00BB755C" w:rsidP="00BB755C">
      <w:pPr>
        <w:spacing w:line="240" w:lineRule="auto"/>
        <w:ind w:left="4253"/>
        <w:rPr>
          <w:color w:val="000000"/>
          <w:spacing w:val="-2"/>
        </w:rPr>
      </w:pPr>
    </w:p>
    <w:p w14:paraId="098B5CCF" w14:textId="77777777" w:rsidR="00BB755C" w:rsidRPr="00F7096F" w:rsidRDefault="00BB755C" w:rsidP="00BB755C">
      <w:pPr>
        <w:spacing w:line="240" w:lineRule="auto"/>
        <w:ind w:left="4253"/>
        <w:rPr>
          <w:color w:val="000000"/>
          <w:spacing w:val="-2"/>
        </w:rPr>
      </w:pPr>
    </w:p>
    <w:p w14:paraId="42742CFE" w14:textId="77777777" w:rsidR="00BB755C" w:rsidRDefault="00BB755C" w:rsidP="00BB755C">
      <w:pPr>
        <w:spacing w:line="240" w:lineRule="auto"/>
        <w:jc w:val="center"/>
      </w:pPr>
    </w:p>
    <w:p w14:paraId="7DEEE429" w14:textId="77777777" w:rsidR="00BB755C" w:rsidRDefault="00BB755C" w:rsidP="00BB755C">
      <w:pPr>
        <w:spacing w:line="240" w:lineRule="auto"/>
        <w:jc w:val="center"/>
      </w:pPr>
      <w:r>
        <w:t>Elizabeth Odio Benito</w:t>
      </w:r>
    </w:p>
    <w:p w14:paraId="50B3FB92" w14:textId="77777777" w:rsidR="00BB755C" w:rsidRDefault="00BB755C" w:rsidP="00BB755C">
      <w:pPr>
        <w:spacing w:line="240" w:lineRule="auto"/>
        <w:jc w:val="center"/>
      </w:pPr>
      <w:r>
        <w:t>Presidenta</w:t>
      </w:r>
    </w:p>
    <w:p w14:paraId="23C6E17D" w14:textId="4F739C35" w:rsidR="00BB755C" w:rsidRDefault="00BB755C" w:rsidP="00BB755C">
      <w:pPr>
        <w:spacing w:line="240" w:lineRule="auto"/>
      </w:pPr>
    </w:p>
    <w:p w14:paraId="1FC53CE6" w14:textId="2E48DAD6" w:rsidR="00BB755C" w:rsidRDefault="00BB755C" w:rsidP="00BB755C">
      <w:pPr>
        <w:spacing w:line="240" w:lineRule="auto"/>
      </w:pPr>
    </w:p>
    <w:p w14:paraId="6CBDF7C7" w14:textId="77777777" w:rsidR="00BB755C" w:rsidRDefault="00BB755C" w:rsidP="00BB755C">
      <w:pPr>
        <w:spacing w:line="240" w:lineRule="auto"/>
      </w:pPr>
    </w:p>
    <w:p w14:paraId="4ED77E49" w14:textId="77777777" w:rsidR="00BB755C" w:rsidRDefault="00BB755C" w:rsidP="00BB755C">
      <w:pPr>
        <w:spacing w:line="240" w:lineRule="auto"/>
      </w:pPr>
    </w:p>
    <w:p w14:paraId="3C148D10" w14:textId="77777777" w:rsidR="00BB755C" w:rsidRDefault="00BB755C" w:rsidP="00BB755C">
      <w:pPr>
        <w:spacing w:line="240" w:lineRule="auto"/>
      </w:pPr>
    </w:p>
    <w:p w14:paraId="7B7470C8" w14:textId="6E9BE106" w:rsidR="00BB755C" w:rsidRDefault="00BB755C" w:rsidP="00BB755C">
      <w:pPr>
        <w:spacing w:line="240" w:lineRule="auto"/>
      </w:pPr>
    </w:p>
    <w:p w14:paraId="3D179DEB" w14:textId="77777777" w:rsidR="00BB755C" w:rsidRDefault="00BB755C" w:rsidP="00BB755C">
      <w:pPr>
        <w:spacing w:line="240" w:lineRule="auto"/>
      </w:pPr>
      <w:r>
        <w:t>L. Patricio Pazmiño Freire</w:t>
      </w:r>
      <w:r>
        <w:tab/>
      </w:r>
      <w:r>
        <w:tab/>
      </w:r>
      <w:r>
        <w:tab/>
      </w:r>
      <w:r>
        <w:tab/>
      </w:r>
      <w:r>
        <w:tab/>
      </w:r>
      <w:r>
        <w:tab/>
      </w:r>
      <w:r>
        <w:tab/>
      </w:r>
      <w:r>
        <w:tab/>
        <w:t xml:space="preserve">    Eduardo Vio Grossi</w:t>
      </w:r>
    </w:p>
    <w:p w14:paraId="4E12248D" w14:textId="00C0DB74" w:rsidR="00BB755C" w:rsidRDefault="00BB755C" w:rsidP="00BB755C">
      <w:pPr>
        <w:spacing w:line="240" w:lineRule="auto"/>
      </w:pPr>
    </w:p>
    <w:p w14:paraId="29110972" w14:textId="77777777" w:rsidR="00BB755C" w:rsidRDefault="00BB755C" w:rsidP="00BB755C">
      <w:pPr>
        <w:spacing w:line="240" w:lineRule="auto"/>
      </w:pPr>
    </w:p>
    <w:p w14:paraId="0DA41430" w14:textId="77777777" w:rsidR="00BB755C" w:rsidRDefault="00BB755C" w:rsidP="00BB755C">
      <w:pPr>
        <w:spacing w:line="240" w:lineRule="auto"/>
      </w:pPr>
    </w:p>
    <w:p w14:paraId="6AA72AA2" w14:textId="77777777" w:rsidR="00BB755C" w:rsidRDefault="00BB755C" w:rsidP="00BB755C">
      <w:pPr>
        <w:spacing w:line="240" w:lineRule="auto"/>
      </w:pPr>
    </w:p>
    <w:p w14:paraId="2A1B87B5" w14:textId="77777777" w:rsidR="00BB755C" w:rsidRDefault="00BB755C" w:rsidP="00BB755C">
      <w:pPr>
        <w:spacing w:line="240" w:lineRule="auto"/>
      </w:pPr>
    </w:p>
    <w:p w14:paraId="7D31F215" w14:textId="0B6486B4" w:rsidR="00BB755C" w:rsidRDefault="00BB755C" w:rsidP="00BB755C">
      <w:pPr>
        <w:spacing w:line="240" w:lineRule="auto"/>
      </w:pPr>
      <w:r>
        <w:t>Humberto Antonio</w:t>
      </w:r>
      <w:r w:rsidRPr="00CD72B7">
        <w:t xml:space="preserve"> Sierra Porto</w:t>
      </w:r>
      <w:r>
        <w:tab/>
      </w:r>
      <w:r>
        <w:tab/>
      </w:r>
      <w:r>
        <w:tab/>
      </w:r>
      <w:r>
        <w:tab/>
      </w:r>
      <w:r>
        <w:tab/>
      </w:r>
      <w:r>
        <w:tab/>
        <w:t xml:space="preserve">        Eugenio Raúl Zaffaroni</w:t>
      </w:r>
    </w:p>
    <w:p w14:paraId="00210CD7" w14:textId="77777777" w:rsidR="00BB755C" w:rsidRDefault="00BB755C" w:rsidP="00BB755C">
      <w:pPr>
        <w:spacing w:line="240" w:lineRule="auto"/>
      </w:pPr>
    </w:p>
    <w:p w14:paraId="0EF6354D" w14:textId="77777777" w:rsidR="00BB755C" w:rsidRDefault="00BB755C" w:rsidP="00BB755C">
      <w:pPr>
        <w:spacing w:line="240" w:lineRule="auto"/>
      </w:pPr>
    </w:p>
    <w:p w14:paraId="1667905C" w14:textId="77777777" w:rsidR="00BB755C" w:rsidRDefault="00BB755C" w:rsidP="00BB755C">
      <w:pPr>
        <w:spacing w:line="240" w:lineRule="auto"/>
      </w:pPr>
    </w:p>
    <w:p w14:paraId="1E19E2E9" w14:textId="77777777" w:rsidR="00BB755C" w:rsidRDefault="00BB755C" w:rsidP="00BB755C">
      <w:pPr>
        <w:spacing w:line="240" w:lineRule="auto"/>
      </w:pPr>
    </w:p>
    <w:p w14:paraId="6222C73C" w14:textId="77777777" w:rsidR="00BB755C" w:rsidRDefault="00BB755C" w:rsidP="00BB755C">
      <w:pPr>
        <w:spacing w:line="240" w:lineRule="auto"/>
      </w:pPr>
    </w:p>
    <w:p w14:paraId="6B423CDC" w14:textId="3403ABDB" w:rsidR="00BB755C" w:rsidRDefault="00BB755C" w:rsidP="00BB755C">
      <w:pPr>
        <w:spacing w:line="240" w:lineRule="auto"/>
      </w:pPr>
    </w:p>
    <w:p w14:paraId="6725AB9F" w14:textId="77777777" w:rsidR="00BB755C" w:rsidRPr="00FF3C80" w:rsidRDefault="00BB755C" w:rsidP="00BB755C">
      <w:pPr>
        <w:spacing w:line="240" w:lineRule="auto"/>
        <w:jc w:val="center"/>
      </w:pPr>
      <w:r>
        <w:t>Ricardo C. Pérez Manrique</w:t>
      </w:r>
    </w:p>
    <w:p w14:paraId="2B35DB97" w14:textId="77777777" w:rsidR="00BB755C" w:rsidRDefault="00BB755C" w:rsidP="00BB755C">
      <w:pPr>
        <w:spacing w:line="240" w:lineRule="auto"/>
      </w:pPr>
    </w:p>
    <w:p w14:paraId="4C35E7C0" w14:textId="77777777" w:rsidR="00BB755C" w:rsidRDefault="00BB755C" w:rsidP="00BB755C">
      <w:pPr>
        <w:tabs>
          <w:tab w:val="left" w:pos="8460"/>
          <w:tab w:val="left" w:pos="8640"/>
        </w:tabs>
        <w:spacing w:line="240" w:lineRule="auto"/>
      </w:pPr>
    </w:p>
    <w:p w14:paraId="4B089DEC" w14:textId="77777777" w:rsidR="00BB755C" w:rsidRDefault="00BB755C" w:rsidP="00BB755C">
      <w:pPr>
        <w:tabs>
          <w:tab w:val="left" w:pos="8460"/>
          <w:tab w:val="left" w:pos="8640"/>
        </w:tabs>
        <w:spacing w:line="240" w:lineRule="auto"/>
      </w:pPr>
    </w:p>
    <w:p w14:paraId="249F332A" w14:textId="77777777" w:rsidR="00BB755C" w:rsidRDefault="00BB755C" w:rsidP="00BB755C">
      <w:pPr>
        <w:tabs>
          <w:tab w:val="left" w:pos="8460"/>
          <w:tab w:val="left" w:pos="8640"/>
        </w:tabs>
        <w:spacing w:line="240" w:lineRule="auto"/>
      </w:pPr>
    </w:p>
    <w:p w14:paraId="0A7A903A" w14:textId="77777777" w:rsidR="00BB755C" w:rsidRDefault="00BB755C" w:rsidP="00BB755C">
      <w:pPr>
        <w:tabs>
          <w:tab w:val="left" w:pos="8460"/>
          <w:tab w:val="left" w:pos="8640"/>
        </w:tabs>
        <w:spacing w:line="240" w:lineRule="auto"/>
      </w:pPr>
    </w:p>
    <w:p w14:paraId="1AFBBCDE" w14:textId="77777777" w:rsidR="00BB755C" w:rsidRPr="00274D2F" w:rsidRDefault="00BB755C" w:rsidP="00BB755C">
      <w:pPr>
        <w:tabs>
          <w:tab w:val="left" w:pos="8460"/>
          <w:tab w:val="left" w:pos="8640"/>
        </w:tabs>
        <w:spacing w:line="240" w:lineRule="auto"/>
      </w:pPr>
    </w:p>
    <w:p w14:paraId="4689422D" w14:textId="77777777" w:rsidR="00BB755C" w:rsidRDefault="00BB755C" w:rsidP="00BB755C">
      <w:pPr>
        <w:tabs>
          <w:tab w:val="left" w:pos="8460"/>
          <w:tab w:val="left" w:pos="8640"/>
        </w:tabs>
        <w:spacing w:line="240" w:lineRule="auto"/>
        <w:jc w:val="center"/>
      </w:pPr>
      <w:r>
        <w:t>Pablo Saavedra Alessandri</w:t>
      </w:r>
    </w:p>
    <w:p w14:paraId="1ABC94A9" w14:textId="77777777" w:rsidR="00BB755C" w:rsidRDefault="00BB755C" w:rsidP="00BB755C">
      <w:pPr>
        <w:tabs>
          <w:tab w:val="left" w:pos="8460"/>
          <w:tab w:val="left" w:pos="8640"/>
        </w:tabs>
        <w:spacing w:line="240" w:lineRule="auto"/>
        <w:jc w:val="center"/>
      </w:pPr>
      <w:r>
        <w:t>Secretario</w:t>
      </w:r>
    </w:p>
    <w:p w14:paraId="4F9FE8D7" w14:textId="4D4F84B0" w:rsidR="00BB755C" w:rsidRDefault="00BB755C" w:rsidP="00BB755C">
      <w:pPr>
        <w:tabs>
          <w:tab w:val="left" w:pos="8460"/>
          <w:tab w:val="left" w:pos="8640"/>
        </w:tabs>
        <w:spacing w:line="240" w:lineRule="auto"/>
      </w:pPr>
    </w:p>
    <w:p w14:paraId="44B46AF4" w14:textId="77777777" w:rsidR="00BB755C" w:rsidRDefault="00BB755C" w:rsidP="00BB755C">
      <w:pPr>
        <w:tabs>
          <w:tab w:val="left" w:pos="8460"/>
          <w:tab w:val="left" w:pos="8640"/>
        </w:tabs>
        <w:spacing w:line="240" w:lineRule="auto"/>
      </w:pPr>
      <w:r>
        <w:t>Comuníquese y ejecútese,</w:t>
      </w:r>
    </w:p>
    <w:p w14:paraId="5877ED3A" w14:textId="77777777" w:rsidR="00BB755C" w:rsidRDefault="00BB755C" w:rsidP="00BB755C">
      <w:pPr>
        <w:tabs>
          <w:tab w:val="left" w:pos="8460"/>
          <w:tab w:val="left" w:pos="8640"/>
        </w:tabs>
        <w:spacing w:line="240" w:lineRule="auto"/>
      </w:pPr>
    </w:p>
    <w:p w14:paraId="0BD4BB11" w14:textId="68D97CA2" w:rsidR="00BB755C" w:rsidRDefault="00BB755C" w:rsidP="00BB755C">
      <w:pPr>
        <w:tabs>
          <w:tab w:val="left" w:pos="8460"/>
          <w:tab w:val="left" w:pos="8640"/>
        </w:tabs>
        <w:spacing w:line="240" w:lineRule="auto"/>
      </w:pPr>
    </w:p>
    <w:p w14:paraId="7B192B5A" w14:textId="77777777" w:rsidR="00BB755C" w:rsidRDefault="00BB755C" w:rsidP="00BB755C">
      <w:pPr>
        <w:tabs>
          <w:tab w:val="left" w:pos="8460"/>
          <w:tab w:val="left" w:pos="8640"/>
        </w:tabs>
        <w:spacing w:line="240" w:lineRule="auto"/>
      </w:pPr>
    </w:p>
    <w:p w14:paraId="0FA11409" w14:textId="77777777" w:rsidR="00BB755C" w:rsidRDefault="00BB755C" w:rsidP="00BB755C">
      <w:pPr>
        <w:tabs>
          <w:tab w:val="left" w:pos="8460"/>
          <w:tab w:val="left" w:pos="8640"/>
        </w:tabs>
        <w:spacing w:line="240" w:lineRule="auto"/>
      </w:pPr>
    </w:p>
    <w:p w14:paraId="318A45F5" w14:textId="77777777" w:rsidR="00BB755C" w:rsidRDefault="00BB755C" w:rsidP="00BB755C">
      <w:pPr>
        <w:spacing w:line="240" w:lineRule="auto"/>
        <w:ind w:left="7200" w:hanging="112"/>
        <w:jc w:val="center"/>
      </w:pPr>
      <w:r>
        <w:t>Elizabeth Odio Benito</w:t>
      </w:r>
    </w:p>
    <w:p w14:paraId="20AA93AF" w14:textId="77777777" w:rsidR="00BB755C" w:rsidRDefault="00BB755C" w:rsidP="00BB755C">
      <w:pPr>
        <w:spacing w:line="240" w:lineRule="auto"/>
        <w:ind w:right="866"/>
        <w:jc w:val="right"/>
      </w:pPr>
      <w:r>
        <w:t>Presidenta</w:t>
      </w:r>
    </w:p>
    <w:p w14:paraId="4AF06595" w14:textId="77777777" w:rsidR="00BB755C" w:rsidRDefault="00BB755C" w:rsidP="00BB755C">
      <w:pPr>
        <w:tabs>
          <w:tab w:val="left" w:pos="8460"/>
          <w:tab w:val="left" w:pos="8640"/>
        </w:tabs>
        <w:spacing w:line="240" w:lineRule="auto"/>
      </w:pPr>
    </w:p>
    <w:p w14:paraId="0375EA23" w14:textId="77777777" w:rsidR="00BB755C" w:rsidRDefault="00BB755C" w:rsidP="00BB755C">
      <w:pPr>
        <w:tabs>
          <w:tab w:val="left" w:pos="8460"/>
          <w:tab w:val="left" w:pos="8640"/>
        </w:tabs>
        <w:spacing w:line="240" w:lineRule="auto"/>
      </w:pPr>
    </w:p>
    <w:p w14:paraId="5DA3EE7F" w14:textId="77777777" w:rsidR="00BB755C" w:rsidRDefault="00BB755C" w:rsidP="00BB755C">
      <w:pPr>
        <w:tabs>
          <w:tab w:val="left" w:pos="8460"/>
          <w:tab w:val="left" w:pos="8640"/>
        </w:tabs>
        <w:spacing w:line="240" w:lineRule="auto"/>
      </w:pPr>
    </w:p>
    <w:p w14:paraId="7501574C" w14:textId="77777777" w:rsidR="00BB755C" w:rsidRDefault="00BB755C" w:rsidP="00BB755C">
      <w:pPr>
        <w:tabs>
          <w:tab w:val="left" w:pos="8460"/>
          <w:tab w:val="left" w:pos="8640"/>
        </w:tabs>
        <w:spacing w:line="240" w:lineRule="auto"/>
      </w:pPr>
      <w:r>
        <w:t>Pablo Saavedra Alessandri</w:t>
      </w:r>
    </w:p>
    <w:p w14:paraId="4F7F04A8" w14:textId="77777777" w:rsidR="00BB755C" w:rsidRDefault="00BB755C" w:rsidP="00BB755C">
      <w:pPr>
        <w:tabs>
          <w:tab w:val="left" w:pos="8640"/>
        </w:tabs>
        <w:spacing w:line="240" w:lineRule="auto"/>
        <w:ind w:left="720"/>
      </w:pPr>
      <w:r>
        <w:t xml:space="preserve">  Secretario</w:t>
      </w:r>
    </w:p>
    <w:p w14:paraId="56E27939" w14:textId="77777777" w:rsidR="00BB755C" w:rsidRDefault="00BB755C" w:rsidP="00BB755C">
      <w:pPr>
        <w:spacing w:line="240" w:lineRule="auto"/>
        <w:rPr>
          <w:lang w:val="es-CO"/>
        </w:rPr>
      </w:pPr>
    </w:p>
    <w:p w14:paraId="67688D4A" w14:textId="3BB71919" w:rsidR="00DC6448" w:rsidRPr="00F559D9" w:rsidRDefault="00DC6448" w:rsidP="00BB755C">
      <w:pPr>
        <w:tabs>
          <w:tab w:val="left" w:pos="567"/>
          <w:tab w:val="left" w:pos="720"/>
        </w:tabs>
        <w:spacing w:line="20" w:lineRule="atLeast"/>
        <w:ind w:right="-93"/>
        <w:contextualSpacing/>
        <w:rPr>
          <w:rFonts w:eastAsia="Batang" w:cs="Times"/>
          <w:noProof/>
          <w:lang w:val="es-ES"/>
        </w:rPr>
      </w:pPr>
    </w:p>
    <w:sectPr w:rsidR="00DC6448" w:rsidRPr="00F559D9" w:rsidSect="00CA6B8B">
      <w:headerReference w:type="default" r:id="rId8"/>
      <w:footerReference w:type="default" r:id="rId9"/>
      <w:footerReference w:type="first" r:id="rId10"/>
      <w:pgSz w:w="12240" w:h="15840"/>
      <w:pgMar w:top="1440" w:right="1080" w:bottom="5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5576" w14:textId="77777777" w:rsidR="00256B85" w:rsidRDefault="00256B85" w:rsidP="00F94D74">
      <w:r>
        <w:separator/>
      </w:r>
    </w:p>
    <w:p w14:paraId="20815FF8" w14:textId="77777777" w:rsidR="00256B85" w:rsidRDefault="00256B85" w:rsidP="00F94D74"/>
  </w:endnote>
  <w:endnote w:type="continuationSeparator" w:id="0">
    <w:p w14:paraId="4DC46733" w14:textId="77777777" w:rsidR="00256B85" w:rsidRDefault="00256B85" w:rsidP="00F94D74">
      <w:r>
        <w:continuationSeparator/>
      </w:r>
    </w:p>
    <w:p w14:paraId="02B7F9C8" w14:textId="77777777" w:rsidR="00256B85" w:rsidRDefault="00256B85" w:rsidP="00F94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Oblique">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Italic">
    <w:altName w:val="Verdana"/>
    <w:panose1 w:val="00000000000000000000"/>
    <w:charset w:val="4D"/>
    <w:family w:val="swiss"/>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ArialMT">
    <w:panose1 w:val="00000000000000000000"/>
    <w:charset w:val="80"/>
    <w:family w:val="auto"/>
    <w:notTrueType/>
    <w:pitch w:val="default"/>
    <w:sig w:usb0="00000000" w:usb1="08070000" w:usb2="00000010" w:usb3="00000000" w:csb0="00020000" w:csb1="00000000"/>
  </w:font>
  <w:font w:name="Vrinda">
    <w:panose1 w:val="00000400000000000000"/>
    <w:charset w:val="01"/>
    <w:family w:val="roman"/>
    <w:pitch w:val="variable"/>
  </w:font>
  <w:font w:name="SegoeUI-Semiligh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badi Extra Light">
    <w:panose1 w:val="00000000000000000000"/>
    <w:charset w:val="00"/>
    <w:family w:val="swiss"/>
    <w:notTrueType/>
    <w:pitch w:val="default"/>
    <w:sig w:usb0="00000003" w:usb1="00000000" w:usb2="00000000" w:usb3="00000000" w:csb0="00000001" w:csb1="00000000"/>
  </w:font>
  <w:font w:name="Montserrat-Regular">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4788169"/>
      <w:docPartObj>
        <w:docPartGallery w:val="Page Numbers (Bottom of Page)"/>
        <w:docPartUnique/>
      </w:docPartObj>
    </w:sdtPr>
    <w:sdtEndPr>
      <w:rPr>
        <w:noProof/>
      </w:rPr>
    </w:sdtEndPr>
    <w:sdtContent>
      <w:p w14:paraId="622493DB" w14:textId="0E13DC42" w:rsidR="00AD6B70" w:rsidRPr="00520A12" w:rsidRDefault="00AD6B70" w:rsidP="00530549">
        <w:pPr>
          <w:pStyle w:val="Piedepgina"/>
          <w:spacing w:before="120"/>
          <w:jc w:val="center"/>
          <w:rPr>
            <w:sz w:val="18"/>
            <w:szCs w:val="18"/>
          </w:rPr>
        </w:pPr>
        <w:r w:rsidRPr="00520A12">
          <w:rPr>
            <w:sz w:val="18"/>
            <w:szCs w:val="18"/>
          </w:rPr>
          <w:fldChar w:fldCharType="begin"/>
        </w:r>
        <w:r w:rsidRPr="00520A12">
          <w:rPr>
            <w:sz w:val="18"/>
            <w:szCs w:val="18"/>
          </w:rPr>
          <w:instrText xml:space="preserve"> PAGE   \* MERGEFORMAT </w:instrText>
        </w:r>
        <w:r w:rsidRPr="00520A12">
          <w:rPr>
            <w:sz w:val="18"/>
            <w:szCs w:val="18"/>
          </w:rPr>
          <w:fldChar w:fldCharType="separate"/>
        </w:r>
        <w:r w:rsidR="00CA2338">
          <w:rPr>
            <w:noProof/>
            <w:sz w:val="18"/>
            <w:szCs w:val="18"/>
          </w:rPr>
          <w:t>62</w:t>
        </w:r>
        <w:r w:rsidRPr="00520A12">
          <w:rPr>
            <w:noProof/>
            <w:sz w:val="18"/>
            <w:szCs w:val="18"/>
          </w:rPr>
          <w:fldChar w:fldCharType="end"/>
        </w:r>
      </w:p>
    </w:sdtContent>
  </w:sdt>
  <w:p w14:paraId="3049177E" w14:textId="77777777" w:rsidR="00AD6B70" w:rsidRPr="00520A12" w:rsidRDefault="00AD6B70" w:rsidP="00530549">
    <w:pPr>
      <w:pStyle w:val="Piedepgina"/>
      <w:spacing w:before="12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94301466"/>
      <w:docPartObj>
        <w:docPartGallery w:val="Page Numbers (Bottom of Page)"/>
        <w:docPartUnique/>
      </w:docPartObj>
    </w:sdtPr>
    <w:sdtEndPr>
      <w:rPr>
        <w:noProof/>
        <w:color w:val="FFFFFF" w:themeColor="background1"/>
      </w:rPr>
    </w:sdtEndPr>
    <w:sdtContent>
      <w:p w14:paraId="7311F0F6" w14:textId="1DD0FB3A" w:rsidR="00AD6B70" w:rsidRPr="00454CF5" w:rsidRDefault="00AD6B70" w:rsidP="00562B60">
        <w:pPr>
          <w:pStyle w:val="Piedepgina"/>
          <w:spacing w:before="120"/>
          <w:jc w:val="center"/>
          <w:rPr>
            <w:color w:val="FFFFFF" w:themeColor="background1"/>
            <w:sz w:val="18"/>
            <w:szCs w:val="18"/>
          </w:rPr>
        </w:pPr>
        <w:r w:rsidRPr="00454CF5">
          <w:rPr>
            <w:color w:val="FFFFFF" w:themeColor="background1"/>
            <w:sz w:val="18"/>
            <w:szCs w:val="18"/>
          </w:rPr>
          <w:fldChar w:fldCharType="begin"/>
        </w:r>
        <w:r w:rsidRPr="00454CF5">
          <w:rPr>
            <w:color w:val="FFFFFF" w:themeColor="background1"/>
            <w:sz w:val="18"/>
            <w:szCs w:val="18"/>
          </w:rPr>
          <w:instrText xml:space="preserve"> PAGE   \* MERGEFORMAT </w:instrText>
        </w:r>
        <w:r w:rsidRPr="00454CF5">
          <w:rPr>
            <w:color w:val="FFFFFF" w:themeColor="background1"/>
            <w:sz w:val="18"/>
            <w:szCs w:val="18"/>
          </w:rPr>
          <w:fldChar w:fldCharType="separate"/>
        </w:r>
        <w:r w:rsidR="00CA2338">
          <w:rPr>
            <w:noProof/>
            <w:color w:val="FFFFFF" w:themeColor="background1"/>
            <w:sz w:val="18"/>
            <w:szCs w:val="18"/>
          </w:rPr>
          <w:t>1</w:t>
        </w:r>
        <w:r w:rsidRPr="00454CF5">
          <w:rPr>
            <w:noProof/>
            <w:color w:val="FFFFFF" w:themeColor="background1"/>
            <w:sz w:val="18"/>
            <w:szCs w:val="18"/>
          </w:rPr>
          <w:fldChar w:fldCharType="end"/>
        </w:r>
      </w:p>
    </w:sdtContent>
  </w:sdt>
  <w:p w14:paraId="1255FA17" w14:textId="77777777" w:rsidR="00AD6B70" w:rsidRPr="00562B60" w:rsidRDefault="00AD6B70" w:rsidP="00562B60">
    <w:pPr>
      <w:pStyle w:val="Piedepgina"/>
      <w:spacing w:before="12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5BA9" w14:textId="77777777" w:rsidR="00256B85" w:rsidRDefault="00256B85" w:rsidP="00F94D74">
      <w:r>
        <w:separator/>
      </w:r>
    </w:p>
    <w:p w14:paraId="49941845" w14:textId="77777777" w:rsidR="00256B85" w:rsidRDefault="00256B85" w:rsidP="00F94D74"/>
  </w:footnote>
  <w:footnote w:type="continuationSeparator" w:id="0">
    <w:p w14:paraId="646D9877" w14:textId="77777777" w:rsidR="00256B85" w:rsidRDefault="00256B85" w:rsidP="00F94D74">
      <w:r>
        <w:continuationSeparator/>
      </w:r>
    </w:p>
    <w:p w14:paraId="5B7EE771" w14:textId="77777777" w:rsidR="00256B85" w:rsidRDefault="00256B85" w:rsidP="00F94D74"/>
  </w:footnote>
  <w:footnote w:id="1">
    <w:p w14:paraId="5BF99FDD" w14:textId="13E47797" w:rsidR="00AD6B70" w:rsidRPr="00BB25AB" w:rsidRDefault="00AD6B70" w:rsidP="00BB25AB">
      <w:pPr>
        <w:pStyle w:val="Textonotapie"/>
        <w:spacing w:before="40" w:after="40"/>
        <w:rPr>
          <w:sz w:val="16"/>
          <w:szCs w:val="16"/>
        </w:rPr>
      </w:pPr>
      <w:r w:rsidRPr="00BB25AB">
        <w:rPr>
          <w:rStyle w:val="Refdenotaalpie"/>
          <w:sz w:val="16"/>
          <w:szCs w:val="16"/>
        </w:rPr>
        <w:t>*</w:t>
      </w:r>
      <w:r w:rsidRPr="00BB25AB">
        <w:rPr>
          <w:sz w:val="16"/>
          <w:szCs w:val="16"/>
        </w:rPr>
        <w:t xml:space="preserve"> El Juez Eduardo Ferrer Mac-</w:t>
      </w:r>
      <w:proofErr w:type="spellStart"/>
      <w:r w:rsidRPr="00BB25AB">
        <w:rPr>
          <w:sz w:val="16"/>
          <w:szCs w:val="16"/>
        </w:rPr>
        <w:t>Gregor</w:t>
      </w:r>
      <w:proofErr w:type="spellEnd"/>
      <w:r w:rsidRPr="00BB25AB">
        <w:rPr>
          <w:sz w:val="16"/>
          <w:szCs w:val="16"/>
        </w:rPr>
        <w:t xml:space="preserve"> </w:t>
      </w:r>
      <w:proofErr w:type="spellStart"/>
      <w:r w:rsidRPr="00BB25AB">
        <w:rPr>
          <w:sz w:val="16"/>
          <w:szCs w:val="16"/>
        </w:rPr>
        <w:t>Poisot</w:t>
      </w:r>
      <w:proofErr w:type="spellEnd"/>
      <w:r w:rsidRPr="00BB25AB">
        <w:rPr>
          <w:sz w:val="16"/>
          <w:szCs w:val="16"/>
        </w:rPr>
        <w:t>, de nacionalidad mexicana, no participó en la deliberación y firma de esta Sentencia, de conformidad con lo dispuesto en los artículos 19.1 y 19.2 del Reglamento de la Corte.</w:t>
      </w:r>
    </w:p>
  </w:footnote>
  <w:footnote w:id="2">
    <w:p w14:paraId="00D7A02C" w14:textId="7DC8BAC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Grupo de Acción por los Derechos Humanos y la Justicia Social AC (</w:t>
      </w:r>
      <w:proofErr w:type="spellStart"/>
      <w:r w:rsidRPr="00BB25AB">
        <w:rPr>
          <w:sz w:val="16"/>
          <w:szCs w:val="16"/>
        </w:rPr>
        <w:t>Acción_dh</w:t>
      </w:r>
      <w:proofErr w:type="spellEnd"/>
      <w:r w:rsidRPr="00BB25AB">
        <w:rPr>
          <w:sz w:val="16"/>
          <w:szCs w:val="16"/>
        </w:rPr>
        <w:t>) y el Centro por la Justicia y el Derecho Internacional (CEJIL).</w:t>
      </w:r>
    </w:p>
  </w:footnote>
  <w:footnote w:id="3">
    <w:p w14:paraId="446E99B6" w14:textId="57B2379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Asunto Digna Ochoa y Plácido y otros respecto de México. Medidas Provisionales.</w:t>
      </w:r>
      <w:r w:rsidRPr="00BB25AB">
        <w:rPr>
          <w:sz w:val="16"/>
          <w:szCs w:val="16"/>
        </w:rPr>
        <w:t xml:space="preserve"> Resolución de la Corte Interamericana de Derechos Humanos de 17 de noviembre de 1999. Disponible </w:t>
      </w:r>
      <w:r w:rsidR="00BB25AB" w:rsidRPr="00BB25AB">
        <w:rPr>
          <w:sz w:val="16"/>
          <w:szCs w:val="16"/>
        </w:rPr>
        <w:t>en</w:t>
      </w:r>
      <w:r w:rsidRPr="00BB25AB">
        <w:rPr>
          <w:sz w:val="16"/>
          <w:szCs w:val="16"/>
        </w:rPr>
        <w:t xml:space="preserve">: </w:t>
      </w:r>
      <w:hyperlink r:id="rId1" w:history="1">
        <w:r w:rsidRPr="00BB25AB">
          <w:rPr>
            <w:rStyle w:val="Hipervnculo"/>
            <w:sz w:val="16"/>
            <w:szCs w:val="16"/>
          </w:rPr>
          <w:t>https://www.corteidh.or.cr/docs/medidas/digochoa_se_01.pdf</w:t>
        </w:r>
      </w:hyperlink>
      <w:r w:rsidRPr="00BB25AB">
        <w:rPr>
          <w:sz w:val="16"/>
          <w:szCs w:val="16"/>
        </w:rPr>
        <w:t xml:space="preserve"> </w:t>
      </w:r>
    </w:p>
  </w:footnote>
  <w:footnote w:id="4">
    <w:p w14:paraId="1CBB5B67" w14:textId="0265908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Asunto Digna Ochoa y Plácido y otros respecto de México. Medidas Provisionales.</w:t>
      </w:r>
      <w:r w:rsidRPr="00BB25AB">
        <w:rPr>
          <w:sz w:val="16"/>
          <w:szCs w:val="16"/>
        </w:rPr>
        <w:t xml:space="preserve"> Resolución de la Corte Interamericana de Derechos Humanos de 28 de agosto de 2001. Disponible </w:t>
      </w:r>
      <w:r w:rsidR="00BB25AB" w:rsidRPr="00BB25AB">
        <w:rPr>
          <w:sz w:val="16"/>
          <w:szCs w:val="16"/>
        </w:rPr>
        <w:t>en</w:t>
      </w:r>
      <w:r w:rsidRPr="00BB25AB">
        <w:rPr>
          <w:sz w:val="16"/>
          <w:szCs w:val="16"/>
        </w:rPr>
        <w:t xml:space="preserve">: </w:t>
      </w:r>
      <w:hyperlink r:id="rId2" w:history="1">
        <w:r w:rsidRPr="00BB25AB">
          <w:rPr>
            <w:rStyle w:val="Hipervnculo"/>
            <w:sz w:val="16"/>
            <w:szCs w:val="16"/>
          </w:rPr>
          <w:t>https://www.corteidh.or.cr/docs/medidas/digochoa_se_02.pdf</w:t>
        </w:r>
      </w:hyperlink>
      <w:r w:rsidRPr="00BB25AB">
        <w:rPr>
          <w:sz w:val="16"/>
          <w:szCs w:val="16"/>
        </w:rPr>
        <w:t xml:space="preserve"> </w:t>
      </w:r>
    </w:p>
  </w:footnote>
  <w:footnote w:id="5">
    <w:p w14:paraId="53271CEC" w14:textId="49915244" w:rsidR="00AD6B70" w:rsidRPr="00BB25AB" w:rsidRDefault="00AD6B70" w:rsidP="00BB25AB">
      <w:pPr>
        <w:pStyle w:val="Textonotapie"/>
        <w:tabs>
          <w:tab w:val="left" w:pos="567"/>
          <w:tab w:val="left" w:pos="709"/>
        </w:tabs>
        <w:spacing w:before="40" w:after="40"/>
        <w:rPr>
          <w:color w:val="000000" w:themeColor="text1"/>
          <w:sz w:val="16"/>
          <w:szCs w:val="16"/>
        </w:rPr>
      </w:pPr>
      <w:r w:rsidRPr="00BB25AB">
        <w:rPr>
          <w:rStyle w:val="Refdenotaalpie"/>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t xml:space="preserve">La Comisión concluyó que el Estado era responsable por </w:t>
      </w:r>
      <w:r w:rsidRPr="00BB25AB">
        <w:rPr>
          <w:rFonts w:eastAsiaTheme="minorHAnsi"/>
          <w:color w:val="000000" w:themeColor="text1"/>
          <w:sz w:val="16"/>
          <w:szCs w:val="16"/>
          <w:lang w:eastAsia="en-US"/>
        </w:rPr>
        <w:t xml:space="preserve">la violación de los derechos a la protección judicial y a las garantías judiciales, establecidos en los artículos 8.1 y 25 de la Convención Americana en relación con las obligaciones establecidas en el artículo 1.1 del mismo instrumento, así como </w:t>
      </w:r>
      <w:r w:rsidR="0038750B">
        <w:rPr>
          <w:rFonts w:eastAsiaTheme="minorHAnsi"/>
          <w:color w:val="000000" w:themeColor="text1"/>
          <w:sz w:val="16"/>
          <w:szCs w:val="16"/>
          <w:lang w:eastAsia="en-US"/>
        </w:rPr>
        <w:t>del derecho a la integridad personal establecido en el</w:t>
      </w:r>
      <w:r w:rsidRPr="00BB25AB">
        <w:rPr>
          <w:rFonts w:eastAsiaTheme="minorHAnsi"/>
          <w:color w:val="000000" w:themeColor="text1"/>
          <w:sz w:val="16"/>
          <w:szCs w:val="16"/>
          <w:lang w:eastAsia="en-US"/>
        </w:rPr>
        <w:t xml:space="preserve"> artículo 5.1 </w:t>
      </w:r>
      <w:r w:rsidR="0038750B">
        <w:rPr>
          <w:rFonts w:eastAsiaTheme="minorHAnsi"/>
          <w:color w:val="000000" w:themeColor="text1"/>
          <w:sz w:val="16"/>
          <w:szCs w:val="16"/>
          <w:lang w:eastAsia="en-US"/>
        </w:rPr>
        <w:t xml:space="preserve">de la Convención Americana </w:t>
      </w:r>
      <w:r w:rsidRPr="00BB25AB">
        <w:rPr>
          <w:rFonts w:eastAsiaTheme="minorHAnsi"/>
          <w:color w:val="000000" w:themeColor="text1"/>
          <w:sz w:val="16"/>
          <w:szCs w:val="16"/>
          <w:lang w:eastAsia="en-US"/>
        </w:rPr>
        <w:t>en relación con el artículo 1.1 del mismo instr</w:t>
      </w:r>
      <w:r w:rsidR="0038750B">
        <w:rPr>
          <w:rFonts w:eastAsiaTheme="minorHAnsi"/>
          <w:color w:val="000000" w:themeColor="text1"/>
          <w:sz w:val="16"/>
          <w:szCs w:val="16"/>
          <w:lang w:eastAsia="en-US"/>
        </w:rPr>
        <w:t>u</w:t>
      </w:r>
      <w:r w:rsidRPr="00BB25AB">
        <w:rPr>
          <w:rFonts w:eastAsiaTheme="minorHAnsi"/>
          <w:color w:val="000000" w:themeColor="text1"/>
          <w:sz w:val="16"/>
          <w:szCs w:val="16"/>
          <w:lang w:eastAsia="en-US"/>
        </w:rPr>
        <w:t>mento, en perjuicio de los familiares de Digna Ochoa y Plácido</w:t>
      </w:r>
      <w:r w:rsidRPr="00BB25AB">
        <w:rPr>
          <w:color w:val="000000" w:themeColor="text1"/>
          <w:sz w:val="16"/>
          <w:szCs w:val="16"/>
        </w:rPr>
        <w:t xml:space="preserve">. </w:t>
      </w:r>
    </w:p>
  </w:footnote>
  <w:footnote w:id="6">
    <w:p w14:paraId="1E8D6C44" w14:textId="1D691CAC" w:rsidR="00AD6B70" w:rsidRPr="00BB25AB" w:rsidRDefault="00AD6B70" w:rsidP="00BB25AB">
      <w:pPr>
        <w:pStyle w:val="Textonotapie"/>
        <w:tabs>
          <w:tab w:val="left" w:pos="567"/>
          <w:tab w:val="left" w:pos="709"/>
        </w:tabs>
        <w:spacing w:before="40" w:after="40"/>
        <w:rPr>
          <w:color w:val="000000" w:themeColor="text1"/>
          <w:sz w:val="16"/>
          <w:szCs w:val="16"/>
          <w:lang w:val="es-CR"/>
        </w:rPr>
      </w:pPr>
      <w:r w:rsidRPr="00BB25AB">
        <w:rPr>
          <w:rStyle w:val="Refdenotaalpie"/>
          <w:color w:val="000000" w:themeColor="text1"/>
          <w:sz w:val="16"/>
          <w:szCs w:val="16"/>
        </w:rPr>
        <w:footnoteRef/>
      </w:r>
      <w:r w:rsidRPr="00BB25AB">
        <w:rPr>
          <w:color w:val="000000" w:themeColor="text1"/>
          <w:sz w:val="16"/>
          <w:szCs w:val="16"/>
          <w:lang w:val="es-CR"/>
        </w:rPr>
        <w:t xml:space="preserve"> </w:t>
      </w:r>
      <w:r w:rsidRPr="00BB25AB">
        <w:rPr>
          <w:color w:val="000000" w:themeColor="text1"/>
          <w:sz w:val="16"/>
          <w:szCs w:val="16"/>
          <w:lang w:val="es-CR"/>
        </w:rPr>
        <w:tab/>
        <w:t xml:space="preserve">La Comisión designó, como sus delegados ante la Corte, a la Comisionada Esmeralda Arosemena de </w:t>
      </w:r>
      <w:proofErr w:type="spellStart"/>
      <w:r w:rsidRPr="00BB25AB">
        <w:rPr>
          <w:color w:val="000000" w:themeColor="text1"/>
          <w:sz w:val="16"/>
          <w:szCs w:val="16"/>
          <w:lang w:val="es-CR"/>
        </w:rPr>
        <w:t>Troitiño</w:t>
      </w:r>
      <w:proofErr w:type="spellEnd"/>
      <w:r w:rsidRPr="00BB25AB">
        <w:rPr>
          <w:color w:val="000000" w:themeColor="text1"/>
          <w:sz w:val="16"/>
          <w:szCs w:val="16"/>
          <w:lang w:val="es-CR"/>
        </w:rPr>
        <w:t xml:space="preserve"> y al entonces Secretario Ejecutivo Paulo </w:t>
      </w:r>
      <w:proofErr w:type="spellStart"/>
      <w:r w:rsidRPr="00BB25AB">
        <w:rPr>
          <w:color w:val="000000" w:themeColor="text1"/>
          <w:sz w:val="16"/>
          <w:szCs w:val="16"/>
          <w:lang w:val="es-CR"/>
        </w:rPr>
        <w:t>Abrão</w:t>
      </w:r>
      <w:proofErr w:type="spellEnd"/>
      <w:r w:rsidRPr="00BB25AB">
        <w:rPr>
          <w:color w:val="000000" w:themeColor="text1"/>
          <w:sz w:val="16"/>
          <w:szCs w:val="16"/>
          <w:lang w:val="es-CR"/>
        </w:rPr>
        <w:t xml:space="preserve">. Asimismo, designó como asesores legales a la señora Marisol Blanchard Vera y a los señores Jorge Meza Flores y Piero Vázquez Agüero, abogada y abogados de la Secretaría Ejecutiva. </w:t>
      </w:r>
    </w:p>
  </w:footnote>
  <w:footnote w:id="7">
    <w:p w14:paraId="327F4113" w14:textId="484885C6" w:rsidR="00AD6B70" w:rsidRPr="00BB25AB" w:rsidRDefault="00AD6B70" w:rsidP="00BB25AB">
      <w:pPr>
        <w:pStyle w:val="Textonotapie"/>
        <w:tabs>
          <w:tab w:val="left" w:pos="567"/>
          <w:tab w:val="left" w:pos="709"/>
        </w:tabs>
        <w:spacing w:before="40" w:after="40"/>
        <w:rPr>
          <w:color w:val="000000" w:themeColor="text1"/>
          <w:sz w:val="16"/>
          <w:szCs w:val="16"/>
          <w:lang w:val="es-CR"/>
        </w:rPr>
      </w:pPr>
      <w:r w:rsidRPr="00BB25AB">
        <w:rPr>
          <w:rStyle w:val="Refdenotaalpie"/>
          <w:color w:val="000000" w:themeColor="text1"/>
          <w:sz w:val="16"/>
          <w:szCs w:val="16"/>
        </w:rPr>
        <w:footnoteRef/>
      </w:r>
      <w:r w:rsidRPr="00BB25AB">
        <w:rPr>
          <w:color w:val="000000" w:themeColor="text1"/>
          <w:sz w:val="16"/>
          <w:szCs w:val="16"/>
          <w:lang w:val="es-CR"/>
        </w:rPr>
        <w:t xml:space="preserve"> </w:t>
      </w:r>
      <w:r w:rsidRPr="00BB25AB">
        <w:rPr>
          <w:color w:val="000000" w:themeColor="text1"/>
          <w:sz w:val="16"/>
          <w:szCs w:val="16"/>
          <w:lang w:val="es-CR"/>
        </w:rPr>
        <w:tab/>
      </w:r>
      <w:r w:rsidRPr="00BB25AB">
        <w:rPr>
          <w:sz w:val="16"/>
          <w:szCs w:val="16"/>
          <w:lang w:val="es-CR"/>
        </w:rPr>
        <w:t>La representación ante la Corte de las presuntas víctimas de este caso fue ejercida por el Grupo de Acción por los Derechos Humanos y la Justicia Social AC (</w:t>
      </w:r>
      <w:proofErr w:type="spellStart"/>
      <w:r w:rsidRPr="00BB25AB">
        <w:rPr>
          <w:sz w:val="16"/>
          <w:szCs w:val="16"/>
          <w:lang w:val="es-CR"/>
        </w:rPr>
        <w:t>Acción_dh</w:t>
      </w:r>
      <w:proofErr w:type="spellEnd"/>
      <w:r w:rsidRPr="00BB25AB">
        <w:rPr>
          <w:sz w:val="16"/>
          <w:szCs w:val="16"/>
          <w:lang w:val="es-CR"/>
        </w:rPr>
        <w:t>) y el Centro por la Justicia y el Derecho Internacional (CEJIL).</w:t>
      </w:r>
    </w:p>
  </w:footnote>
  <w:footnote w:id="8">
    <w:p w14:paraId="204FB885" w14:textId="3951075F" w:rsidR="00AD6B70" w:rsidRPr="00BB25AB" w:rsidRDefault="00AD6B70" w:rsidP="00BB25AB">
      <w:pPr>
        <w:pStyle w:val="Textonotapie"/>
        <w:tabs>
          <w:tab w:val="left" w:pos="567"/>
          <w:tab w:val="left" w:pos="709"/>
        </w:tabs>
        <w:spacing w:before="40" w:after="40"/>
        <w:rPr>
          <w:color w:val="000000" w:themeColor="text1"/>
          <w:sz w:val="16"/>
          <w:szCs w:val="16"/>
          <w:lang w:val="es-CR"/>
        </w:rPr>
      </w:pPr>
      <w:r w:rsidRPr="00BB25AB">
        <w:rPr>
          <w:rStyle w:val="Refdenotaalpie"/>
          <w:sz w:val="16"/>
          <w:szCs w:val="16"/>
        </w:rPr>
        <w:footnoteRef/>
      </w:r>
      <w:r w:rsidRPr="00BB25AB">
        <w:rPr>
          <w:sz w:val="16"/>
          <w:szCs w:val="16"/>
        </w:rPr>
        <w:t xml:space="preserve"> </w:t>
      </w:r>
      <w:r w:rsidRPr="00BB25AB">
        <w:rPr>
          <w:sz w:val="16"/>
          <w:szCs w:val="16"/>
        </w:rPr>
        <w:tab/>
      </w:r>
      <w:r w:rsidRPr="00BB25AB">
        <w:rPr>
          <w:sz w:val="16"/>
          <w:szCs w:val="16"/>
          <w:lang w:val="es-ES"/>
        </w:rPr>
        <w:t xml:space="preserve">Mediante Resolución de 3 de marzo de 2021, la Presidencia convocó al Estado, a las representantes y a la Comisión Interamericana a una audiencia pública para recibir sus alegatos y observaciones finales orales sobre las excepciones preliminares y eventuales fondo, reparaciones y costas, así como para recibir las declaraciones de una presunta víctima propuesta por las representantes, un testigo propuesto por el Estado y dos peritas propuestas por las representantes. </w:t>
      </w:r>
      <w:r w:rsidRPr="00BB25AB">
        <w:rPr>
          <w:i/>
          <w:color w:val="000000" w:themeColor="text1"/>
          <w:sz w:val="16"/>
          <w:szCs w:val="16"/>
          <w:lang w:val="es-CR"/>
        </w:rPr>
        <w:t xml:space="preserve">Cfr. </w:t>
      </w:r>
      <w:r w:rsidRPr="00BB25AB">
        <w:rPr>
          <w:rStyle w:val="Textoennegrita"/>
          <w:b w:val="0"/>
          <w:i/>
          <w:color w:val="000000" w:themeColor="text1"/>
          <w:sz w:val="16"/>
          <w:szCs w:val="16"/>
          <w:shd w:val="clear" w:color="auto" w:fill="FFFFFF"/>
        </w:rPr>
        <w:t xml:space="preserve">Caso Familiares de Digna Ochoa y Plácido Vs. México. Convocatoria a audiencia. </w:t>
      </w:r>
      <w:r w:rsidRPr="00BB25AB">
        <w:rPr>
          <w:rStyle w:val="Textoennegrita"/>
          <w:b w:val="0"/>
          <w:color w:val="000000" w:themeColor="text1"/>
          <w:sz w:val="16"/>
          <w:szCs w:val="16"/>
          <w:shd w:val="clear" w:color="auto" w:fill="FFFFFF"/>
        </w:rPr>
        <w:t>Resolución de la Presidenta de la Corte Interamericana de Derechos Humanos de 3 de marzo de 2021.</w:t>
      </w:r>
      <w:r w:rsidRPr="00BB25AB">
        <w:rPr>
          <w:color w:val="000000" w:themeColor="text1"/>
          <w:sz w:val="16"/>
          <w:szCs w:val="16"/>
          <w:lang w:val="es-CR"/>
        </w:rPr>
        <w:t xml:space="preserve"> Disponible en:</w:t>
      </w:r>
    </w:p>
    <w:p w14:paraId="23D4EC7C" w14:textId="0C6FB521" w:rsidR="00AD6B70" w:rsidRPr="00BB25AB" w:rsidRDefault="00256B85" w:rsidP="00BB25AB">
      <w:pPr>
        <w:pStyle w:val="Textonotapie"/>
        <w:tabs>
          <w:tab w:val="left" w:pos="567"/>
          <w:tab w:val="left" w:pos="709"/>
        </w:tabs>
        <w:spacing w:before="40" w:after="40"/>
        <w:rPr>
          <w:sz w:val="16"/>
          <w:szCs w:val="16"/>
          <w:lang w:val="es-CR"/>
        </w:rPr>
      </w:pPr>
      <w:hyperlink r:id="rId3" w:history="1">
        <w:r w:rsidR="00AD6B70" w:rsidRPr="00BB25AB">
          <w:rPr>
            <w:rStyle w:val="Hipervnculo"/>
            <w:sz w:val="16"/>
            <w:szCs w:val="16"/>
            <w:lang w:val="es-CR"/>
          </w:rPr>
          <w:t>http://www.corteidh.or.cr/docs/asuntos/familiares_digna_ochoa_y_placido_03_03_21.pdf</w:t>
        </w:r>
      </w:hyperlink>
      <w:r w:rsidR="00AD6B70" w:rsidRPr="00BB25AB">
        <w:rPr>
          <w:color w:val="000000" w:themeColor="text1"/>
          <w:sz w:val="16"/>
          <w:szCs w:val="16"/>
          <w:lang w:val="es-CR"/>
        </w:rPr>
        <w:t xml:space="preserve"> El 9 de marzo de 2021 el Estado interpuso una solicitud de “reconsideración” de la referida Resolución y solicitó que fueran admitidos dos peritajes que habían sido declarados inadmisibles. El 26 de marzo de 2021 el Pleno de la Corte resolvió confirmar la Resolución adoptada por la Presidenta de la Corte el 3 de marzo de 2021 y, por ende, declarar improcedente la solicitud de reconsideración interpuesta por el Estado. </w:t>
      </w:r>
      <w:r w:rsidR="00AD6B70" w:rsidRPr="00BB25AB">
        <w:rPr>
          <w:i/>
          <w:color w:val="000000" w:themeColor="text1"/>
          <w:sz w:val="16"/>
          <w:szCs w:val="16"/>
          <w:lang w:val="es-CR"/>
        </w:rPr>
        <w:t>Cfr. Caso Familiares de Digna Ochoa y Plácido Vs. México</w:t>
      </w:r>
      <w:r w:rsidR="00AD6B70" w:rsidRPr="00BB25AB">
        <w:rPr>
          <w:color w:val="000000" w:themeColor="text1"/>
          <w:sz w:val="16"/>
          <w:szCs w:val="16"/>
          <w:lang w:val="es-CR"/>
        </w:rPr>
        <w:t>. Resolución de la Corte Interamericana de Derechos Humanos de 26 de marzo de 2021. Disponible en:</w:t>
      </w:r>
      <w:r w:rsidR="00AD6B70" w:rsidRPr="00BB25AB">
        <w:rPr>
          <w:sz w:val="16"/>
          <w:szCs w:val="16"/>
        </w:rPr>
        <w:t xml:space="preserve"> </w:t>
      </w:r>
      <w:hyperlink r:id="rId4" w:history="1">
        <w:r w:rsidR="00AD6B70" w:rsidRPr="00BB25AB">
          <w:rPr>
            <w:rStyle w:val="Hipervnculo"/>
            <w:sz w:val="16"/>
            <w:szCs w:val="16"/>
            <w:lang w:val="es-CR"/>
          </w:rPr>
          <w:t>http://www.corteidh.or.cr/docs/asuntos/dignaochoa_26_03_21.pdf</w:t>
        </w:r>
      </w:hyperlink>
    </w:p>
  </w:footnote>
  <w:footnote w:id="9">
    <w:p w14:paraId="59785CFE" w14:textId="77777777" w:rsidR="00AD6B70" w:rsidRPr="00BB25AB" w:rsidRDefault="00AD6B70" w:rsidP="00BB25AB">
      <w:pPr>
        <w:pStyle w:val="Textonotapie"/>
        <w:tabs>
          <w:tab w:val="left" w:pos="567"/>
          <w:tab w:val="left" w:pos="709"/>
        </w:tabs>
        <w:spacing w:before="40" w:after="40"/>
        <w:rPr>
          <w:color w:val="000000" w:themeColor="text1"/>
          <w:sz w:val="16"/>
          <w:szCs w:val="16"/>
          <w:lang w:val="es-CR"/>
        </w:rPr>
      </w:pPr>
      <w:r w:rsidRPr="00BB25AB">
        <w:rPr>
          <w:rStyle w:val="Refdenotaalpie"/>
          <w:color w:val="000000" w:themeColor="text1"/>
          <w:sz w:val="16"/>
          <w:szCs w:val="16"/>
        </w:rPr>
        <w:footnoteRef/>
      </w:r>
      <w:r w:rsidRPr="00BB25AB">
        <w:rPr>
          <w:color w:val="000000" w:themeColor="text1"/>
          <w:sz w:val="16"/>
          <w:szCs w:val="16"/>
          <w:lang w:val="es-CR"/>
        </w:rPr>
        <w:t xml:space="preserve"> </w:t>
      </w:r>
      <w:r w:rsidRPr="00BB25AB">
        <w:rPr>
          <w:color w:val="000000" w:themeColor="text1"/>
          <w:sz w:val="16"/>
          <w:szCs w:val="16"/>
          <w:lang w:val="es-CR"/>
        </w:rPr>
        <w:tab/>
        <w:t xml:space="preserve">A esta audiencia comparecieron: </w:t>
      </w:r>
    </w:p>
    <w:p w14:paraId="79945583" w14:textId="0CD14F5F" w:rsidR="00AD6B70" w:rsidRPr="00BB25AB" w:rsidRDefault="00AD6B70" w:rsidP="00BB25AB">
      <w:pPr>
        <w:pStyle w:val="Textonotapie"/>
        <w:tabs>
          <w:tab w:val="left" w:pos="810"/>
        </w:tabs>
        <w:spacing w:before="40" w:after="40"/>
        <w:ind w:left="900" w:right="90"/>
        <w:rPr>
          <w:color w:val="000000" w:themeColor="text1"/>
          <w:sz w:val="16"/>
          <w:szCs w:val="16"/>
          <w:lang w:val="es-CR"/>
        </w:rPr>
      </w:pPr>
      <w:r w:rsidRPr="00BB25AB">
        <w:rPr>
          <w:color w:val="000000" w:themeColor="text1"/>
          <w:sz w:val="16"/>
          <w:szCs w:val="16"/>
          <w:lang w:val="es-CR"/>
        </w:rPr>
        <w:t xml:space="preserve">a) por la Comisión Interamericana: la Comisionada Esmeralda Arosemena de </w:t>
      </w:r>
      <w:proofErr w:type="spellStart"/>
      <w:r w:rsidRPr="00BB25AB">
        <w:rPr>
          <w:color w:val="000000" w:themeColor="text1"/>
          <w:sz w:val="16"/>
          <w:szCs w:val="16"/>
          <w:lang w:val="es-CR"/>
        </w:rPr>
        <w:t>Troitiño</w:t>
      </w:r>
      <w:proofErr w:type="spellEnd"/>
      <w:r w:rsidRPr="00BB25AB">
        <w:rPr>
          <w:color w:val="000000" w:themeColor="text1"/>
          <w:sz w:val="16"/>
          <w:szCs w:val="16"/>
          <w:lang w:val="es-CR"/>
        </w:rPr>
        <w:t xml:space="preserve">, la Secretaria Ejecutiva Adjunta Marisol Blanchard, el asesor Jorge H. Meza Flores y el asesor Ignacio </w:t>
      </w:r>
      <w:proofErr w:type="spellStart"/>
      <w:r w:rsidRPr="00BB25AB">
        <w:rPr>
          <w:color w:val="000000" w:themeColor="text1"/>
          <w:sz w:val="16"/>
          <w:szCs w:val="16"/>
          <w:lang w:val="es-CR"/>
        </w:rPr>
        <w:t>Bollier</w:t>
      </w:r>
      <w:proofErr w:type="spellEnd"/>
      <w:r w:rsidRPr="00BB25AB">
        <w:rPr>
          <w:color w:val="000000" w:themeColor="text1"/>
          <w:sz w:val="16"/>
          <w:szCs w:val="16"/>
          <w:lang w:val="es-CR"/>
        </w:rPr>
        <w:t>;</w:t>
      </w:r>
    </w:p>
    <w:p w14:paraId="4AA1693E" w14:textId="7CEFC0CE" w:rsidR="00AD6B70" w:rsidRPr="00BB25AB" w:rsidRDefault="00AD6B70" w:rsidP="00BB25AB">
      <w:pPr>
        <w:pStyle w:val="Textonotapie"/>
        <w:tabs>
          <w:tab w:val="left" w:pos="810"/>
        </w:tabs>
        <w:spacing w:before="40" w:after="40"/>
        <w:ind w:left="900" w:right="90"/>
        <w:rPr>
          <w:color w:val="000000" w:themeColor="text1"/>
          <w:sz w:val="16"/>
          <w:szCs w:val="16"/>
          <w:lang w:val="es-CR"/>
        </w:rPr>
      </w:pPr>
      <w:r w:rsidRPr="00BB25AB">
        <w:rPr>
          <w:color w:val="000000" w:themeColor="text1"/>
          <w:sz w:val="16"/>
          <w:szCs w:val="16"/>
          <w:lang w:val="es-CR"/>
        </w:rPr>
        <w:t xml:space="preserve">b) por la representación de las presuntas víctimas: por parte de </w:t>
      </w:r>
      <w:proofErr w:type="spellStart"/>
      <w:r w:rsidRPr="00BB25AB">
        <w:rPr>
          <w:color w:val="000000" w:themeColor="text1"/>
          <w:sz w:val="16"/>
          <w:szCs w:val="16"/>
          <w:lang w:val="es-CR"/>
        </w:rPr>
        <w:t>Acción_dh</w:t>
      </w:r>
      <w:proofErr w:type="spellEnd"/>
      <w:r w:rsidRPr="00BB25AB">
        <w:rPr>
          <w:color w:val="000000" w:themeColor="text1"/>
          <w:sz w:val="16"/>
          <w:szCs w:val="16"/>
          <w:lang w:val="es-CR"/>
        </w:rPr>
        <w:t xml:space="preserve">, Karla </w:t>
      </w:r>
      <w:proofErr w:type="spellStart"/>
      <w:r w:rsidRPr="00BB25AB">
        <w:rPr>
          <w:color w:val="000000" w:themeColor="text1"/>
          <w:sz w:val="16"/>
          <w:szCs w:val="16"/>
          <w:lang w:val="es-CR"/>
        </w:rPr>
        <w:t>Micheel</w:t>
      </w:r>
      <w:proofErr w:type="spellEnd"/>
      <w:r w:rsidRPr="00BB25AB">
        <w:rPr>
          <w:color w:val="000000" w:themeColor="text1"/>
          <w:sz w:val="16"/>
          <w:szCs w:val="16"/>
          <w:lang w:val="es-CR"/>
        </w:rPr>
        <w:t xml:space="preserve"> Salas Ramírez, David Peña Rodríguez y Edwin Alan Piñón González; por parte de CEJIL, Viviana </w:t>
      </w:r>
      <w:proofErr w:type="spellStart"/>
      <w:r w:rsidRPr="00BB25AB">
        <w:rPr>
          <w:color w:val="000000" w:themeColor="text1"/>
          <w:sz w:val="16"/>
          <w:szCs w:val="16"/>
          <w:lang w:val="es-CR"/>
        </w:rPr>
        <w:t>Krsticevic</w:t>
      </w:r>
      <w:proofErr w:type="spellEnd"/>
      <w:r w:rsidRPr="00BB25AB">
        <w:rPr>
          <w:color w:val="000000" w:themeColor="text1"/>
          <w:sz w:val="16"/>
          <w:szCs w:val="16"/>
          <w:lang w:val="es-CR"/>
        </w:rPr>
        <w:t xml:space="preserve">, Gisela de León y Lady Carolina Guzmán Marenco. </w:t>
      </w:r>
    </w:p>
    <w:p w14:paraId="2D4F43AB" w14:textId="2EBCE173" w:rsidR="00AD6B70" w:rsidRPr="00BB25AB" w:rsidRDefault="00AD6B70" w:rsidP="00BB25AB">
      <w:pPr>
        <w:pStyle w:val="Textonotapie"/>
        <w:tabs>
          <w:tab w:val="left" w:pos="810"/>
        </w:tabs>
        <w:spacing w:before="40" w:after="40"/>
        <w:ind w:left="900" w:right="90"/>
        <w:rPr>
          <w:strike/>
          <w:color w:val="000000" w:themeColor="text1"/>
          <w:sz w:val="16"/>
          <w:szCs w:val="16"/>
          <w:lang w:val="es-CR"/>
        </w:rPr>
      </w:pPr>
      <w:r w:rsidRPr="00BB25AB">
        <w:rPr>
          <w:color w:val="000000" w:themeColor="text1"/>
          <w:sz w:val="16"/>
          <w:szCs w:val="16"/>
          <w:lang w:val="es-CR"/>
        </w:rPr>
        <w:t xml:space="preserve">c) por el Estado mexicano: Alejandro Celorio Alcántara, Jefe de Delegación y Consultor Jurídico de la Secretaría de Relaciones Exteriores de México; Roselia Margarita Barajas y Olea, Embajadora de México ante la República de Costa Rica; Cristopher Ballinas Valdés, Director General de Derechos Humanos y Democracia de la Secretaría de Relaciones Exteriores de México; Enrique </w:t>
      </w:r>
      <w:proofErr w:type="spellStart"/>
      <w:r w:rsidRPr="00BB25AB">
        <w:rPr>
          <w:color w:val="000000" w:themeColor="text1"/>
          <w:sz w:val="16"/>
          <w:szCs w:val="16"/>
          <w:lang w:val="es-CR"/>
        </w:rPr>
        <w:t>Irazoque</w:t>
      </w:r>
      <w:proofErr w:type="spellEnd"/>
      <w:r w:rsidRPr="00BB25AB">
        <w:rPr>
          <w:color w:val="000000" w:themeColor="text1"/>
          <w:sz w:val="16"/>
          <w:szCs w:val="16"/>
          <w:lang w:val="es-CR"/>
        </w:rPr>
        <w:t xml:space="preserve"> Palazuelos, Titular de la Unidad para la Defensa de los Derechos Humanos en la Secretaría de Gobernación de México; Marcos Moreno Báez, Coordinador de Asuntos Internacionales de Derechos Humanos en la Unidad para la Defensa de los Derechos Humanos de la Secretaría de Gobernación de México, y Carlos Alfredo Frausto Martínez, Director General de Derechos Humanos de la Fiscalía General de Justicia de la Ciudad de México. </w:t>
      </w:r>
    </w:p>
  </w:footnote>
  <w:footnote w:id="10">
    <w:p w14:paraId="294C1C82" w14:textId="1F8B2A77"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escrito fue firmado por María Daniela Díaz Villamil, Jessika Mariana Barragán, Jennifer Alejandra Blanco Ballesteros, Camilo Alfonso Vanegas Sánchez, Daniela Alejandra León González, Laura Catalina </w:t>
      </w:r>
      <w:proofErr w:type="spellStart"/>
      <w:r w:rsidRPr="00BB25AB">
        <w:rPr>
          <w:sz w:val="16"/>
          <w:szCs w:val="16"/>
        </w:rPr>
        <w:t>Senejoa</w:t>
      </w:r>
      <w:proofErr w:type="spellEnd"/>
      <w:r w:rsidRPr="00BB25AB">
        <w:rPr>
          <w:sz w:val="16"/>
          <w:szCs w:val="16"/>
        </w:rPr>
        <w:t xml:space="preserve"> Jurado y Valentina De Narváez López y se </w:t>
      </w:r>
      <w:r w:rsidRPr="00BB25AB">
        <w:rPr>
          <w:sz w:val="16"/>
          <w:szCs w:val="16"/>
          <w:lang w:val="es-CO"/>
        </w:rPr>
        <w:t xml:space="preserve">refiere a </w:t>
      </w:r>
      <w:r w:rsidRPr="00BB25AB">
        <w:rPr>
          <w:rFonts w:eastAsiaTheme="minorHAnsi" w:cs="Verdana"/>
          <w:sz w:val="16"/>
          <w:szCs w:val="16"/>
          <w:lang w:eastAsia="en-US"/>
        </w:rPr>
        <w:t>(i) el derecho de las mujeres a defender los derechos humanos en contexto y (ii) derecho a la verdad.</w:t>
      </w:r>
    </w:p>
  </w:footnote>
  <w:footnote w:id="11">
    <w:p w14:paraId="19CBEF73" w14:textId="365CE5E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escrito fue firmado por </w:t>
      </w:r>
      <w:proofErr w:type="spellStart"/>
      <w:r w:rsidRPr="00BB25AB">
        <w:rPr>
          <w:sz w:val="16"/>
          <w:szCs w:val="16"/>
        </w:rPr>
        <w:t>Irinea</w:t>
      </w:r>
      <w:proofErr w:type="spellEnd"/>
      <w:r w:rsidRPr="00BB25AB">
        <w:rPr>
          <w:sz w:val="16"/>
          <w:szCs w:val="16"/>
        </w:rPr>
        <w:t xml:space="preserve"> Buendía Cortés, Norma Esther Andrade, Mar</w:t>
      </w:r>
      <w:r w:rsidRPr="00BB25AB">
        <w:rPr>
          <w:rFonts w:cs="Verdana"/>
          <w:sz w:val="16"/>
          <w:szCs w:val="16"/>
        </w:rPr>
        <w:t>í</w:t>
      </w:r>
      <w:r w:rsidRPr="00BB25AB">
        <w:rPr>
          <w:sz w:val="16"/>
          <w:szCs w:val="16"/>
        </w:rPr>
        <w:t>a Antonia M</w:t>
      </w:r>
      <w:r w:rsidRPr="00BB25AB">
        <w:rPr>
          <w:rFonts w:cs="Verdana"/>
          <w:sz w:val="16"/>
          <w:szCs w:val="16"/>
        </w:rPr>
        <w:t>á</w:t>
      </w:r>
      <w:r w:rsidRPr="00BB25AB">
        <w:rPr>
          <w:sz w:val="16"/>
          <w:szCs w:val="16"/>
        </w:rPr>
        <w:t>rquez Hernandez, Araceli Osorio Mart</w:t>
      </w:r>
      <w:r w:rsidRPr="00BB25AB">
        <w:rPr>
          <w:rFonts w:cs="Verdana"/>
          <w:sz w:val="16"/>
          <w:szCs w:val="16"/>
        </w:rPr>
        <w:t>í</w:t>
      </w:r>
      <w:r w:rsidRPr="00BB25AB">
        <w:rPr>
          <w:sz w:val="16"/>
          <w:szCs w:val="16"/>
        </w:rPr>
        <w:t>nez, Luz Guadalupe Gochi Vera, Lorena Guti</w:t>
      </w:r>
      <w:r w:rsidRPr="00BB25AB">
        <w:rPr>
          <w:rFonts w:cs="Verdana"/>
          <w:sz w:val="16"/>
          <w:szCs w:val="16"/>
        </w:rPr>
        <w:t>é</w:t>
      </w:r>
      <w:r w:rsidRPr="00BB25AB">
        <w:rPr>
          <w:sz w:val="16"/>
          <w:szCs w:val="16"/>
        </w:rPr>
        <w:t>rrez Rangel, Carolina Ramirez Su</w:t>
      </w:r>
      <w:r w:rsidRPr="00BB25AB">
        <w:rPr>
          <w:rFonts w:cs="Verdana"/>
          <w:sz w:val="16"/>
          <w:szCs w:val="16"/>
        </w:rPr>
        <w:t>á</w:t>
      </w:r>
      <w:r w:rsidRPr="00BB25AB">
        <w:rPr>
          <w:sz w:val="16"/>
          <w:szCs w:val="16"/>
        </w:rPr>
        <w:t>rez, Paloma Ramirez Rubio, Aaron Eduardo S</w:t>
      </w:r>
      <w:r w:rsidRPr="00BB25AB">
        <w:rPr>
          <w:rFonts w:cs="Verdana"/>
          <w:sz w:val="16"/>
          <w:szCs w:val="16"/>
        </w:rPr>
        <w:t>á</w:t>
      </w:r>
      <w:r w:rsidRPr="00BB25AB">
        <w:rPr>
          <w:sz w:val="16"/>
          <w:szCs w:val="16"/>
        </w:rPr>
        <w:t>nchez Gochi, Ana Gabriela, Carlos Rafael L</w:t>
      </w:r>
      <w:r w:rsidRPr="00BB25AB">
        <w:rPr>
          <w:rFonts w:cs="Verdana"/>
          <w:sz w:val="16"/>
          <w:szCs w:val="16"/>
        </w:rPr>
        <w:t>ó</w:t>
      </w:r>
      <w:r w:rsidRPr="00BB25AB">
        <w:rPr>
          <w:sz w:val="16"/>
          <w:szCs w:val="16"/>
        </w:rPr>
        <w:t>pez Muci</w:t>
      </w:r>
      <w:r w:rsidRPr="00BB25AB">
        <w:rPr>
          <w:rFonts w:cs="Verdana"/>
          <w:sz w:val="16"/>
          <w:szCs w:val="16"/>
        </w:rPr>
        <w:t>ñ</w:t>
      </w:r>
      <w:r w:rsidRPr="00BB25AB">
        <w:rPr>
          <w:sz w:val="16"/>
          <w:szCs w:val="16"/>
        </w:rPr>
        <w:t xml:space="preserve">o, Diana Monserrat Tamayo Abad, Erika </w:t>
      </w:r>
      <w:proofErr w:type="spellStart"/>
      <w:r w:rsidRPr="00BB25AB">
        <w:rPr>
          <w:sz w:val="16"/>
          <w:szCs w:val="16"/>
        </w:rPr>
        <w:t>Izbeth</w:t>
      </w:r>
      <w:proofErr w:type="spellEnd"/>
      <w:r w:rsidRPr="00BB25AB">
        <w:rPr>
          <w:sz w:val="16"/>
          <w:szCs w:val="16"/>
        </w:rPr>
        <w:t xml:space="preserve"> Mart</w:t>
      </w:r>
      <w:r w:rsidRPr="00BB25AB">
        <w:rPr>
          <w:rFonts w:cs="Verdana"/>
          <w:sz w:val="16"/>
          <w:szCs w:val="16"/>
        </w:rPr>
        <w:t>í</w:t>
      </w:r>
      <w:r w:rsidRPr="00BB25AB">
        <w:rPr>
          <w:sz w:val="16"/>
          <w:szCs w:val="16"/>
        </w:rPr>
        <w:t>nez Romero, Fabiola Posadas Torres, Jaciel Antonio Muci</w:t>
      </w:r>
      <w:r w:rsidRPr="00BB25AB">
        <w:rPr>
          <w:rFonts w:cs="Verdana"/>
          <w:sz w:val="16"/>
          <w:szCs w:val="16"/>
        </w:rPr>
        <w:t>ñ</w:t>
      </w:r>
      <w:r w:rsidRPr="00BB25AB">
        <w:rPr>
          <w:sz w:val="16"/>
          <w:szCs w:val="16"/>
        </w:rPr>
        <w:t xml:space="preserve">o </w:t>
      </w:r>
      <w:proofErr w:type="spellStart"/>
      <w:r w:rsidRPr="00BB25AB">
        <w:rPr>
          <w:sz w:val="16"/>
          <w:szCs w:val="16"/>
        </w:rPr>
        <w:t>Marquez</w:t>
      </w:r>
      <w:proofErr w:type="spellEnd"/>
      <w:r w:rsidRPr="00BB25AB">
        <w:rPr>
          <w:sz w:val="16"/>
          <w:szCs w:val="16"/>
        </w:rPr>
        <w:t>, Jimena Guadalupe S</w:t>
      </w:r>
      <w:r w:rsidRPr="00BB25AB">
        <w:rPr>
          <w:rFonts w:cs="Verdana"/>
          <w:sz w:val="16"/>
          <w:szCs w:val="16"/>
        </w:rPr>
        <w:t>á</w:t>
      </w:r>
      <w:r w:rsidRPr="00BB25AB">
        <w:rPr>
          <w:sz w:val="16"/>
          <w:szCs w:val="16"/>
        </w:rPr>
        <w:t>nchez Gochi, Jimena Vio, Jose Uriel L</w:t>
      </w:r>
      <w:r w:rsidRPr="00BB25AB">
        <w:rPr>
          <w:rFonts w:cs="Verdana"/>
          <w:sz w:val="16"/>
          <w:szCs w:val="16"/>
        </w:rPr>
        <w:t>ó</w:t>
      </w:r>
      <w:r w:rsidRPr="00BB25AB">
        <w:rPr>
          <w:sz w:val="16"/>
          <w:szCs w:val="16"/>
        </w:rPr>
        <w:t>pez Muci</w:t>
      </w:r>
      <w:r w:rsidRPr="00BB25AB">
        <w:rPr>
          <w:rFonts w:cs="Verdana"/>
          <w:sz w:val="16"/>
          <w:szCs w:val="16"/>
        </w:rPr>
        <w:t>ñ</w:t>
      </w:r>
      <w:r w:rsidRPr="00BB25AB">
        <w:rPr>
          <w:sz w:val="16"/>
          <w:szCs w:val="16"/>
        </w:rPr>
        <w:t>o, Maribel Cruz Olgu</w:t>
      </w:r>
      <w:r w:rsidRPr="00BB25AB">
        <w:rPr>
          <w:rFonts w:cs="Verdana"/>
          <w:sz w:val="16"/>
          <w:szCs w:val="16"/>
        </w:rPr>
        <w:t>í</w:t>
      </w:r>
      <w:r w:rsidRPr="00BB25AB">
        <w:rPr>
          <w:sz w:val="16"/>
          <w:szCs w:val="16"/>
        </w:rPr>
        <w:t>n, Mauro Isaac Muci</w:t>
      </w:r>
      <w:r w:rsidRPr="00BB25AB">
        <w:rPr>
          <w:rFonts w:cs="Verdana"/>
          <w:sz w:val="16"/>
          <w:szCs w:val="16"/>
        </w:rPr>
        <w:t>ñ</w:t>
      </w:r>
      <w:r w:rsidRPr="00BB25AB">
        <w:rPr>
          <w:sz w:val="16"/>
          <w:szCs w:val="16"/>
        </w:rPr>
        <w:t xml:space="preserve">o </w:t>
      </w:r>
      <w:proofErr w:type="spellStart"/>
      <w:r w:rsidRPr="00BB25AB">
        <w:rPr>
          <w:sz w:val="16"/>
          <w:szCs w:val="16"/>
        </w:rPr>
        <w:t>Marquez</w:t>
      </w:r>
      <w:proofErr w:type="spellEnd"/>
      <w:r w:rsidRPr="00BB25AB">
        <w:rPr>
          <w:sz w:val="16"/>
          <w:szCs w:val="16"/>
        </w:rPr>
        <w:t>, M</w:t>
      </w:r>
      <w:r w:rsidRPr="00BB25AB">
        <w:rPr>
          <w:rFonts w:cs="Verdana"/>
          <w:sz w:val="16"/>
          <w:szCs w:val="16"/>
        </w:rPr>
        <w:t>ó</w:t>
      </w:r>
      <w:r w:rsidRPr="00BB25AB">
        <w:rPr>
          <w:sz w:val="16"/>
          <w:szCs w:val="16"/>
        </w:rPr>
        <w:t>nica Hern</w:t>
      </w:r>
      <w:r w:rsidRPr="00BB25AB">
        <w:rPr>
          <w:rFonts w:cs="Verdana"/>
          <w:sz w:val="16"/>
          <w:szCs w:val="16"/>
        </w:rPr>
        <w:t>á</w:t>
      </w:r>
      <w:r w:rsidRPr="00BB25AB">
        <w:rPr>
          <w:sz w:val="16"/>
          <w:szCs w:val="16"/>
        </w:rPr>
        <w:t>ndez, Nadia Daniela S</w:t>
      </w:r>
      <w:r w:rsidRPr="00BB25AB">
        <w:rPr>
          <w:rFonts w:cs="Verdana"/>
          <w:sz w:val="16"/>
          <w:szCs w:val="16"/>
        </w:rPr>
        <w:t>á</w:t>
      </w:r>
      <w:r w:rsidRPr="00BB25AB">
        <w:rPr>
          <w:sz w:val="16"/>
          <w:szCs w:val="16"/>
        </w:rPr>
        <w:t>nchez Martínez, Nadia Daniela S</w:t>
      </w:r>
      <w:r w:rsidRPr="00BB25AB">
        <w:rPr>
          <w:rFonts w:cs="Verdana"/>
          <w:sz w:val="16"/>
          <w:szCs w:val="16"/>
        </w:rPr>
        <w:t>á</w:t>
      </w:r>
      <w:r w:rsidRPr="00BB25AB">
        <w:rPr>
          <w:sz w:val="16"/>
          <w:szCs w:val="16"/>
        </w:rPr>
        <w:t>nchez Martínez, Rafael Muci</w:t>
      </w:r>
      <w:r w:rsidRPr="00BB25AB">
        <w:rPr>
          <w:rFonts w:cs="Verdana"/>
          <w:sz w:val="16"/>
          <w:szCs w:val="16"/>
        </w:rPr>
        <w:t>ñ</w:t>
      </w:r>
      <w:r w:rsidRPr="00BB25AB">
        <w:rPr>
          <w:sz w:val="16"/>
          <w:szCs w:val="16"/>
        </w:rPr>
        <w:t xml:space="preserve">o </w:t>
      </w:r>
      <w:proofErr w:type="spellStart"/>
      <w:r w:rsidRPr="00BB25AB">
        <w:rPr>
          <w:sz w:val="16"/>
          <w:szCs w:val="16"/>
        </w:rPr>
        <w:t>Marquez</w:t>
      </w:r>
      <w:proofErr w:type="spellEnd"/>
      <w:r w:rsidRPr="00BB25AB">
        <w:rPr>
          <w:sz w:val="16"/>
          <w:szCs w:val="16"/>
        </w:rPr>
        <w:t>, Viviana Guadalupe Muci</w:t>
      </w:r>
      <w:r w:rsidRPr="00BB25AB">
        <w:rPr>
          <w:rFonts w:cs="Verdana"/>
          <w:sz w:val="16"/>
          <w:szCs w:val="16"/>
        </w:rPr>
        <w:t>ñ</w:t>
      </w:r>
      <w:r w:rsidRPr="00BB25AB">
        <w:rPr>
          <w:sz w:val="16"/>
          <w:szCs w:val="16"/>
        </w:rPr>
        <w:t>o M</w:t>
      </w:r>
      <w:r w:rsidRPr="00BB25AB">
        <w:rPr>
          <w:rFonts w:cs="Verdana"/>
          <w:sz w:val="16"/>
          <w:szCs w:val="16"/>
        </w:rPr>
        <w:t>á</w:t>
      </w:r>
      <w:r w:rsidRPr="00BB25AB">
        <w:rPr>
          <w:sz w:val="16"/>
          <w:szCs w:val="16"/>
        </w:rPr>
        <w:t xml:space="preserve">rquez, Yuliana, y se </w:t>
      </w:r>
      <w:r w:rsidRPr="00BB25AB">
        <w:rPr>
          <w:sz w:val="16"/>
          <w:szCs w:val="16"/>
          <w:lang w:val="es-CO"/>
        </w:rPr>
        <w:t xml:space="preserve">refiere a (i) contexto de violencia contra las mujeres en México, y (ii) “20 años del asesinato de la defensora Digna Ochoa, en donde se siguen reproduciendo los mismos patrones de impunidad”. </w:t>
      </w:r>
    </w:p>
  </w:footnote>
  <w:footnote w:id="12">
    <w:p w14:paraId="346B4DA9" w14:textId="094E7AC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escrito fue firmado por Victoria Ortega Benito, Presidenta de la Fundación del Consejo General de la Abogacía Española y Francesco </w:t>
      </w:r>
      <w:proofErr w:type="spellStart"/>
      <w:r w:rsidRPr="00BB25AB">
        <w:rPr>
          <w:sz w:val="16"/>
          <w:szCs w:val="16"/>
        </w:rPr>
        <w:t>Caia</w:t>
      </w:r>
      <w:proofErr w:type="spellEnd"/>
      <w:r w:rsidRPr="00BB25AB">
        <w:rPr>
          <w:sz w:val="16"/>
          <w:szCs w:val="16"/>
        </w:rPr>
        <w:t xml:space="preserve">, Presidente del Observatorio Internacional para la Abogacía en Riesgo, y se relaciona con (i) la defensa de Derechos Humanos: una labor de riesgo; (ii) obligaciones del Estado frente al deber de garantizar la protección de Digna Ochoa y (iii) propuesta de protocolo para la </w:t>
      </w:r>
      <w:proofErr w:type="spellStart"/>
      <w:r w:rsidRPr="00BB25AB">
        <w:rPr>
          <w:sz w:val="16"/>
          <w:szCs w:val="16"/>
        </w:rPr>
        <w:t>investigacion</w:t>
      </w:r>
      <w:proofErr w:type="spellEnd"/>
      <w:r w:rsidRPr="00BB25AB">
        <w:rPr>
          <w:sz w:val="16"/>
          <w:szCs w:val="16"/>
        </w:rPr>
        <w:t xml:space="preserve"> de delitos cometidos contra de defensores y defensoras de derechos humanos en el Estado de Guerrero.</w:t>
      </w:r>
    </w:p>
  </w:footnote>
  <w:footnote w:id="13">
    <w:p w14:paraId="62716408" w14:textId="1BE5F12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El escrito fue firmado por Argentina Casanova Mendoza y María Martín Quintana y se relaciona con (i) la violencia en contra de las defensoras en México en el momento de los hechos y en el presente; (ii) protección integral feminista, una estrategia que no encuentra eco en las iniciativas estatales, y (iii) el caso de Digna: ejemplo de la estigmatización con base en estereotipos de género como generador de impunidad.</w:t>
      </w:r>
    </w:p>
  </w:footnote>
  <w:footnote w:id="14">
    <w:p w14:paraId="295D3015" w14:textId="19FD66C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El escrito fue firmado por Ivonne Daniela Roa Osorio y se relaciona con (i) estatuto jurídico de las y los defensores de derechos humanos; (ii) deberes de las autoridades estatales que conducen una investigación por la muerte de una persona defensora; (iii) deberes de las autoridades estatales que conducen una investigación por la muerte de una persona defensora-mujer; (iv) el derecho a defender derechos humanos;(v) contexto en Latinoamérica sobre las defensora y defensores de derechos humanos; (vi) derecho a defender los derechos humanos como un derecho autónomo, (vii) impunidad, complicidad y persecución en el aparato de justicia penal; (viii) estereotipos, estigmatización, violencia, desigualdad y discriminación que enfrentan las mujeres defensoras de derechos humanos por razón de género, y (ix) los estereotipos que enfrentan las defensoras de derechos humanos.</w:t>
      </w:r>
    </w:p>
  </w:footnote>
  <w:footnote w:id="15">
    <w:p w14:paraId="63499BD4" w14:textId="3DE2790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escrito fue firmado por Francisco J. Rivera Juaristi, Jessie Smith, Jasmine Gill, </w:t>
      </w:r>
      <w:proofErr w:type="spellStart"/>
      <w:r w:rsidRPr="00BB25AB">
        <w:rPr>
          <w:sz w:val="16"/>
          <w:szCs w:val="16"/>
        </w:rPr>
        <w:t>Nas</w:t>
      </w:r>
      <w:proofErr w:type="spellEnd"/>
      <w:r w:rsidRPr="00BB25AB">
        <w:rPr>
          <w:sz w:val="16"/>
          <w:szCs w:val="16"/>
        </w:rPr>
        <w:t xml:space="preserve"> </w:t>
      </w:r>
      <w:proofErr w:type="spellStart"/>
      <w:r w:rsidRPr="00BB25AB">
        <w:rPr>
          <w:sz w:val="16"/>
          <w:szCs w:val="16"/>
        </w:rPr>
        <w:t>Yasin</w:t>
      </w:r>
      <w:proofErr w:type="spellEnd"/>
      <w:r w:rsidRPr="00BB25AB">
        <w:rPr>
          <w:sz w:val="16"/>
          <w:szCs w:val="16"/>
        </w:rPr>
        <w:t xml:space="preserve"> y </w:t>
      </w:r>
      <w:proofErr w:type="spellStart"/>
      <w:r w:rsidRPr="00BB25AB">
        <w:rPr>
          <w:sz w:val="16"/>
          <w:szCs w:val="16"/>
        </w:rPr>
        <w:t>Marili</w:t>
      </w:r>
      <w:proofErr w:type="spellEnd"/>
      <w:r w:rsidRPr="00BB25AB">
        <w:rPr>
          <w:sz w:val="16"/>
          <w:szCs w:val="16"/>
        </w:rPr>
        <w:t xml:space="preserve"> Iturbe Guadarrama y se relaciona con (i) el derecho internacional reconoce el derecho autónomo a defender los derechos humanos; (ii) El Estado es responsable por la violación del derecho autónomo de defender derechos humanos, reconocido en los artículos 4, 5, 13, 16, 8 y 25 de la Convención, en perjuicio de Digna Ochoa y Plácido, y (iii) La Corte debe ordenar que el Estado adopte medidas integrales para respetar, proteger y garantizar el derecho a defender derechos humanos, particularmente respecto de mujeres</w:t>
      </w:r>
    </w:p>
    <w:p w14:paraId="34C34724" w14:textId="19EC0C21" w:rsidR="00AD6B70" w:rsidRPr="00BB25AB" w:rsidRDefault="00AD6B70" w:rsidP="00BB25AB">
      <w:pPr>
        <w:pStyle w:val="Textonotapie"/>
        <w:spacing w:before="40" w:after="40"/>
        <w:rPr>
          <w:sz w:val="16"/>
          <w:szCs w:val="16"/>
        </w:rPr>
      </w:pPr>
      <w:r w:rsidRPr="00BB25AB">
        <w:rPr>
          <w:sz w:val="16"/>
          <w:szCs w:val="16"/>
        </w:rPr>
        <w:t>defensoras que también sean víctimas de violencia de género.</w:t>
      </w:r>
    </w:p>
  </w:footnote>
  <w:footnote w:id="16">
    <w:p w14:paraId="48261E73" w14:textId="22F7CD7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escrito fue firmado por </w:t>
      </w:r>
      <w:proofErr w:type="spellStart"/>
      <w:r w:rsidRPr="00BB25AB">
        <w:rPr>
          <w:sz w:val="16"/>
          <w:szCs w:val="16"/>
        </w:rPr>
        <w:t>Nashieli</w:t>
      </w:r>
      <w:proofErr w:type="spellEnd"/>
      <w:r w:rsidRPr="00BB25AB">
        <w:rPr>
          <w:sz w:val="16"/>
          <w:szCs w:val="16"/>
        </w:rPr>
        <w:t xml:space="preserve"> Ramírez Hernández, Presidenta y representante legal de la Comisión de Derechos Humanos de la Ciudad de México, y se relaciona con (i) sobre el derecho a defender derechos humanos; (ii) sobre las personas defensoras de derechos humanos; (iii) el derecho a defender derechos humanos como parte de un Estado democrático; (iv) sobre el reconocimiento del derecho a defender derechos humanos en el caso Familiares Digna Ochoa y Plácido Vs. Estado Mexicano, y (v) sobre el reconocimiento de la calidad de víctima directa de la señora Digna Ochoa y Plácido, en el caso Familiares Digna Ochoa y Plácido Vs. Estado Mexicano.</w:t>
      </w:r>
    </w:p>
  </w:footnote>
  <w:footnote w:id="17">
    <w:p w14:paraId="2AC28235" w14:textId="2D739C3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escrito fue firmado por Andrea Arabella Montes de Oca, Erick Octavio Moreno Zúñiga, Samantha Rodríguez Santillán y Erika </w:t>
      </w:r>
      <w:proofErr w:type="spellStart"/>
      <w:r w:rsidRPr="00BB25AB">
        <w:rPr>
          <w:sz w:val="16"/>
          <w:szCs w:val="16"/>
        </w:rPr>
        <w:t>Kaire</w:t>
      </w:r>
      <w:proofErr w:type="spellEnd"/>
      <w:r w:rsidRPr="00BB25AB">
        <w:rPr>
          <w:sz w:val="16"/>
          <w:szCs w:val="16"/>
        </w:rPr>
        <w:t xml:space="preserve"> Pérez Arizmendi y se </w:t>
      </w:r>
      <w:r w:rsidRPr="00BB25AB">
        <w:rPr>
          <w:sz w:val="16"/>
          <w:szCs w:val="16"/>
          <w:lang w:val="es-CO"/>
        </w:rPr>
        <w:t>refiere a (i) contexto de violencia e impunidad en delitos contra personas defensoras de derechos humanos; (ii) obligaciones en investigaciones de delitos cometidos contra personas defensoras, y (iii) defensoras de derechos humanos como categoría sospechosa.</w:t>
      </w:r>
    </w:p>
  </w:footnote>
  <w:footnote w:id="18">
    <w:p w14:paraId="0DE22705" w14:textId="533003E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color w:val="000000" w:themeColor="text1"/>
          <w:sz w:val="16"/>
          <w:szCs w:val="16"/>
        </w:rPr>
        <w:t>E</w:t>
      </w:r>
      <w:r w:rsidRPr="00BB25AB">
        <w:rPr>
          <w:sz w:val="16"/>
          <w:szCs w:val="16"/>
        </w:rPr>
        <w:t xml:space="preserve">sta Sentencia fue deliberada y aprobada durante el </w:t>
      </w:r>
      <w:r w:rsidRPr="00BB25AB">
        <w:rPr>
          <w:rStyle w:val="Refdenotaalpie"/>
          <w:color w:val="000000" w:themeColor="text1"/>
          <w:sz w:val="16"/>
          <w:szCs w:val="16"/>
          <w:vertAlign w:val="baseline"/>
        </w:rPr>
        <w:t>1</w:t>
      </w:r>
      <w:r w:rsidRPr="00BB25AB">
        <w:rPr>
          <w:color w:val="000000" w:themeColor="text1"/>
          <w:sz w:val="16"/>
          <w:szCs w:val="16"/>
        </w:rPr>
        <w:t>45</w:t>
      </w:r>
      <w:r w:rsidRPr="00BB25AB">
        <w:rPr>
          <w:rStyle w:val="Refdenotaalpie"/>
          <w:color w:val="000000" w:themeColor="text1"/>
          <w:sz w:val="16"/>
          <w:szCs w:val="16"/>
          <w:vertAlign w:val="baseline"/>
        </w:rPr>
        <w:t xml:space="preserve"> Período Ordinario de Sesiones, el cual, </w:t>
      </w:r>
      <w:r w:rsidRPr="00BB25AB">
        <w:rPr>
          <w:color w:val="000000" w:themeColor="text1"/>
          <w:sz w:val="16"/>
          <w:szCs w:val="16"/>
        </w:rPr>
        <w:t>de</w:t>
      </w:r>
      <w:r w:rsidRPr="00BB25AB">
        <w:rPr>
          <w:rStyle w:val="Refdenotaalpie"/>
          <w:color w:val="000000" w:themeColor="text1"/>
          <w:sz w:val="16"/>
          <w:szCs w:val="16"/>
          <w:vertAlign w:val="baseline"/>
        </w:rPr>
        <w:t>bido a la</w:t>
      </w:r>
      <w:r w:rsidRPr="00BB25AB">
        <w:rPr>
          <w:color w:val="000000" w:themeColor="text1"/>
          <w:sz w:val="16"/>
          <w:szCs w:val="16"/>
        </w:rPr>
        <w:t>s circunstancias excepcionales ocasionadas por la</w:t>
      </w:r>
      <w:r w:rsidRPr="00BB25AB">
        <w:rPr>
          <w:rStyle w:val="Refdenotaalpie"/>
          <w:color w:val="000000" w:themeColor="text1"/>
          <w:sz w:val="16"/>
          <w:szCs w:val="16"/>
          <w:vertAlign w:val="baseline"/>
        </w:rPr>
        <w:t xml:space="preserve"> pandemia COVID-19</w:t>
      </w:r>
      <w:r w:rsidRPr="00BB25AB">
        <w:rPr>
          <w:color w:val="000000" w:themeColor="text1"/>
          <w:sz w:val="16"/>
          <w:szCs w:val="16"/>
        </w:rPr>
        <w:t xml:space="preserve">, </w:t>
      </w:r>
      <w:r w:rsidRPr="00BB25AB">
        <w:rPr>
          <w:rStyle w:val="Refdenotaalpie"/>
          <w:color w:val="000000" w:themeColor="text1"/>
          <w:sz w:val="16"/>
          <w:szCs w:val="16"/>
          <w:vertAlign w:val="baseline"/>
        </w:rPr>
        <w:t>se llev</w:t>
      </w:r>
      <w:r w:rsidRPr="00BB25AB">
        <w:rPr>
          <w:color w:val="000000" w:themeColor="text1"/>
          <w:sz w:val="16"/>
          <w:szCs w:val="16"/>
        </w:rPr>
        <w:t>ó a cabo de forma no presencial utilizando medios tecnológicos de conformidad con lo establecido en el Reglamento de la Corte.</w:t>
      </w:r>
    </w:p>
  </w:footnote>
  <w:footnote w:id="19">
    <w:p w14:paraId="20F29B93" w14:textId="43A27035"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t xml:space="preserve">A este respecto, se señala que las representantes también remitieron a esta Corte una “propuesta de convenio de reparación” que coincidía sustancialmente con los acuerdos indicados por el Estado. El Tribunal advierte que existen algunas diferencias sobre ciertas medidas, las cuales serán analizadas en el capítulo relativo a las reparaciones </w:t>
      </w:r>
      <w:r w:rsidRPr="00BB25AB">
        <w:rPr>
          <w:rFonts w:eastAsia="Batang"/>
          <w:sz w:val="16"/>
          <w:szCs w:val="16"/>
          <w:lang w:val="es-ES" w:eastAsia="en-US"/>
        </w:rPr>
        <w:t xml:space="preserve">(ver </w:t>
      </w:r>
      <w:r w:rsidRPr="00BB25AB">
        <w:rPr>
          <w:rFonts w:eastAsia="Batang"/>
          <w:i/>
          <w:sz w:val="16"/>
          <w:szCs w:val="16"/>
          <w:lang w:val="es-ES" w:eastAsia="en-US"/>
        </w:rPr>
        <w:t>infra</w:t>
      </w:r>
      <w:r w:rsidRPr="00BB25AB">
        <w:rPr>
          <w:rFonts w:eastAsia="Batang"/>
          <w:sz w:val="16"/>
          <w:szCs w:val="16"/>
          <w:lang w:val="es-ES" w:eastAsia="en-US"/>
        </w:rPr>
        <w:t xml:space="preserve"> capítulo IX).</w:t>
      </w:r>
    </w:p>
  </w:footnote>
  <w:footnote w:id="20">
    <w:p w14:paraId="693228D2" w14:textId="36BADD11"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lang w:val="pt-BR"/>
        </w:rPr>
        <w:t xml:space="preserve"> </w:t>
      </w:r>
      <w:r w:rsidRPr="00BB25AB">
        <w:rPr>
          <w:sz w:val="16"/>
          <w:szCs w:val="16"/>
          <w:lang w:val="pt-BR"/>
        </w:rPr>
        <w:tab/>
      </w:r>
      <w:r w:rsidRPr="00BB25AB">
        <w:rPr>
          <w:i/>
          <w:sz w:val="16"/>
          <w:szCs w:val="16"/>
          <w:lang w:val="pt-BR"/>
        </w:rPr>
        <w:t xml:space="preserve">Cfr. Caso Manuel </w:t>
      </w:r>
      <w:proofErr w:type="spellStart"/>
      <w:r w:rsidRPr="00BB25AB">
        <w:rPr>
          <w:i/>
          <w:sz w:val="16"/>
          <w:szCs w:val="16"/>
          <w:lang w:val="pt-BR"/>
        </w:rPr>
        <w:t>Cepeda</w:t>
      </w:r>
      <w:proofErr w:type="spellEnd"/>
      <w:r w:rsidRPr="00BB25AB">
        <w:rPr>
          <w:i/>
          <w:sz w:val="16"/>
          <w:szCs w:val="16"/>
          <w:lang w:val="pt-BR"/>
        </w:rPr>
        <w:t xml:space="preserve"> Vargas Vs. </w:t>
      </w:r>
      <w:r w:rsidRPr="00BB25AB">
        <w:rPr>
          <w:i/>
          <w:sz w:val="16"/>
          <w:szCs w:val="16"/>
        </w:rPr>
        <w:t>Colombia. Excepciones Preliminares, Fondo, Reparaciones y Costas</w:t>
      </w:r>
      <w:r w:rsidRPr="00BB25AB">
        <w:rPr>
          <w:sz w:val="16"/>
          <w:szCs w:val="16"/>
        </w:rPr>
        <w:t xml:space="preserve">. Sentencia de 26 de mayo de 2010. Serie C No. 213, párr. 17, y </w:t>
      </w:r>
      <w:r w:rsidRPr="00BB25AB">
        <w:rPr>
          <w:i/>
          <w:sz w:val="16"/>
          <w:szCs w:val="16"/>
        </w:rPr>
        <w:t xml:space="preserve">Caso Bedoya Lima y otra Vs. Colombia. Fondo, Reparaciones y Costas. </w:t>
      </w:r>
      <w:r w:rsidRPr="00BB25AB">
        <w:rPr>
          <w:sz w:val="16"/>
          <w:szCs w:val="16"/>
        </w:rPr>
        <w:t>Sentencia de 26 de agosto de 2021. Serie C No. 431, párr. 17.</w:t>
      </w:r>
    </w:p>
  </w:footnote>
  <w:footnote w:id="21">
    <w:p w14:paraId="0801617D" w14:textId="4E6C93E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i/>
          <w:sz w:val="16"/>
          <w:szCs w:val="16"/>
        </w:rPr>
        <w:t>Caso Rodríguez Vera y otros (Desaparecidos del Palacio de Justicia) Vs. Colombia. Excepciones Preliminares, Fondo, Reparaciones y Costas.</w:t>
      </w:r>
      <w:r w:rsidRPr="00BB25AB">
        <w:rPr>
          <w:sz w:val="16"/>
          <w:szCs w:val="16"/>
        </w:rPr>
        <w:t xml:space="preserve"> Sentencia de 14 de noviembre de 2014. Serie C No. 287, párr. 27, y </w:t>
      </w:r>
      <w:r w:rsidRPr="00BB25AB">
        <w:rPr>
          <w:i/>
          <w:sz w:val="16"/>
          <w:szCs w:val="16"/>
        </w:rPr>
        <w:t>Caso Bedoya Lima y otra Vs. Colombia, supra</w:t>
      </w:r>
      <w:r w:rsidRPr="00BB25AB">
        <w:rPr>
          <w:sz w:val="16"/>
          <w:szCs w:val="16"/>
        </w:rPr>
        <w:t>, párr</w:t>
      </w:r>
      <w:r w:rsidRPr="00BB25AB">
        <w:rPr>
          <w:i/>
          <w:sz w:val="16"/>
          <w:szCs w:val="16"/>
        </w:rPr>
        <w:t>. 30</w:t>
      </w:r>
      <w:r w:rsidRPr="00BB25AB">
        <w:rPr>
          <w:sz w:val="16"/>
          <w:szCs w:val="16"/>
        </w:rPr>
        <w:t>.</w:t>
      </w:r>
    </w:p>
  </w:footnote>
  <w:footnote w:id="22">
    <w:p w14:paraId="3BF5D464" w14:textId="4E68B5E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 xml:space="preserve">Cfr. Caso </w:t>
      </w:r>
      <w:proofErr w:type="spellStart"/>
      <w:r w:rsidRPr="00BB25AB">
        <w:rPr>
          <w:i/>
          <w:sz w:val="16"/>
          <w:szCs w:val="16"/>
        </w:rPr>
        <w:t>Tiu</w:t>
      </w:r>
      <w:proofErr w:type="spellEnd"/>
      <w:r w:rsidRPr="00BB25AB">
        <w:rPr>
          <w:i/>
          <w:sz w:val="16"/>
          <w:szCs w:val="16"/>
        </w:rPr>
        <w:t xml:space="preserve"> </w:t>
      </w:r>
      <w:proofErr w:type="spellStart"/>
      <w:r w:rsidRPr="00BB25AB">
        <w:rPr>
          <w:i/>
          <w:sz w:val="16"/>
          <w:szCs w:val="16"/>
        </w:rPr>
        <w:t>Tojín</w:t>
      </w:r>
      <w:proofErr w:type="spellEnd"/>
      <w:r w:rsidRPr="00BB25AB">
        <w:rPr>
          <w:i/>
          <w:sz w:val="16"/>
          <w:szCs w:val="16"/>
        </w:rPr>
        <w:t xml:space="preserve"> Vs. Guatemala. Fondo, Reparaciones y Costas</w:t>
      </w:r>
      <w:r w:rsidRPr="00BB25AB">
        <w:rPr>
          <w:sz w:val="16"/>
          <w:szCs w:val="16"/>
        </w:rPr>
        <w:t xml:space="preserve">. Sentencia de 26 de noviembre de 2008. Serie C No. 190, párr. 26, y </w:t>
      </w:r>
      <w:r w:rsidRPr="00BB25AB">
        <w:rPr>
          <w:i/>
          <w:sz w:val="16"/>
          <w:szCs w:val="16"/>
        </w:rPr>
        <w:t>Caso Masacres de El Mozote y lugares aledaños Vs. El Salvador. Fondo, Reparaciones y Costas</w:t>
      </w:r>
      <w:r w:rsidRPr="00BB25AB">
        <w:rPr>
          <w:sz w:val="16"/>
          <w:szCs w:val="16"/>
        </w:rPr>
        <w:t>. Sentencia de 25 de octubre de 2012. Serie C No. 252, párr. 27.</w:t>
      </w:r>
    </w:p>
  </w:footnote>
  <w:footnote w:id="23">
    <w:p w14:paraId="059E3F64" w14:textId="77777777"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Caso Mujeres Víctimas de Tortura Sexual en Atenco Vs. México. Excepción Preliminar, Fondo, Reparaciones y Costas</w:t>
      </w:r>
      <w:r w:rsidRPr="00BB25AB">
        <w:rPr>
          <w:sz w:val="16"/>
          <w:szCs w:val="16"/>
        </w:rPr>
        <w:t>. Sentencia de 28 de noviembre de 2018. Serie C No. 371, párr. 42.</w:t>
      </w:r>
    </w:p>
  </w:footnote>
  <w:footnote w:id="24">
    <w:p w14:paraId="7BC5DC90" w14:textId="5645AA53" w:rsidR="00AD6B70" w:rsidRPr="00BB25AB" w:rsidRDefault="00AD6B70" w:rsidP="00BB25AB">
      <w:pPr>
        <w:pStyle w:val="Textonotapie"/>
        <w:spacing w:before="40" w:after="40"/>
        <w:rPr>
          <w:rFonts w:cstheme="minorHAnsi"/>
          <w:sz w:val="16"/>
          <w:szCs w:val="16"/>
          <w:lang w:val="es-CO"/>
        </w:rPr>
      </w:pPr>
      <w:r w:rsidRPr="00BB25AB">
        <w:rPr>
          <w:rStyle w:val="Refdenotaalpie"/>
          <w:sz w:val="16"/>
          <w:szCs w:val="16"/>
          <w:lang w:val="es-CO"/>
        </w:rPr>
        <w:footnoteRef/>
      </w:r>
      <w:r w:rsidRPr="0038750B">
        <w:rPr>
          <w:rFonts w:cstheme="minorHAnsi"/>
          <w:sz w:val="16"/>
          <w:szCs w:val="16"/>
          <w:lang w:val="pt-BR"/>
        </w:rPr>
        <w:t xml:space="preserve"> </w:t>
      </w:r>
      <w:r w:rsidRPr="0038750B">
        <w:rPr>
          <w:rFonts w:cstheme="minorHAnsi"/>
          <w:sz w:val="16"/>
          <w:szCs w:val="16"/>
          <w:lang w:val="pt-BR"/>
        </w:rPr>
        <w:tab/>
      </w:r>
      <w:r w:rsidRPr="0038750B">
        <w:rPr>
          <w:rFonts w:cstheme="minorHAnsi"/>
          <w:i/>
          <w:sz w:val="16"/>
          <w:szCs w:val="16"/>
          <w:lang w:val="pt-BR"/>
        </w:rPr>
        <w:t>Cfr.</w:t>
      </w:r>
      <w:r w:rsidRPr="0038750B">
        <w:rPr>
          <w:rFonts w:cstheme="minorHAnsi"/>
          <w:sz w:val="16"/>
          <w:szCs w:val="16"/>
          <w:lang w:val="pt-BR"/>
        </w:rPr>
        <w:t xml:space="preserve"> </w:t>
      </w:r>
      <w:r w:rsidRPr="0038750B">
        <w:rPr>
          <w:rFonts w:eastAsiaTheme="minorHAnsi" w:cstheme="minorHAnsi"/>
          <w:i/>
          <w:iCs/>
          <w:sz w:val="16"/>
          <w:szCs w:val="16"/>
          <w:lang w:val="pt-BR"/>
        </w:rPr>
        <w:t xml:space="preserve">Caso </w:t>
      </w:r>
      <w:proofErr w:type="spellStart"/>
      <w:r w:rsidRPr="0038750B">
        <w:rPr>
          <w:rFonts w:eastAsiaTheme="minorHAnsi" w:cstheme="minorHAnsi"/>
          <w:i/>
          <w:iCs/>
          <w:sz w:val="16"/>
          <w:szCs w:val="16"/>
          <w:lang w:val="pt-BR"/>
        </w:rPr>
        <w:t>Familia</w:t>
      </w:r>
      <w:proofErr w:type="spellEnd"/>
      <w:r w:rsidRPr="0038750B">
        <w:rPr>
          <w:rFonts w:eastAsiaTheme="minorHAnsi" w:cstheme="minorHAnsi"/>
          <w:i/>
          <w:iCs/>
          <w:sz w:val="16"/>
          <w:szCs w:val="16"/>
          <w:lang w:val="pt-BR"/>
        </w:rPr>
        <w:t xml:space="preserve"> Pacheco </w:t>
      </w:r>
      <w:proofErr w:type="spellStart"/>
      <w:r w:rsidRPr="0038750B">
        <w:rPr>
          <w:rFonts w:eastAsiaTheme="minorHAnsi" w:cstheme="minorHAnsi"/>
          <w:i/>
          <w:iCs/>
          <w:sz w:val="16"/>
          <w:szCs w:val="16"/>
          <w:lang w:val="pt-BR"/>
        </w:rPr>
        <w:t>Tineo</w:t>
      </w:r>
      <w:proofErr w:type="spellEnd"/>
      <w:r w:rsidRPr="0038750B">
        <w:rPr>
          <w:rFonts w:eastAsiaTheme="minorHAnsi" w:cstheme="minorHAnsi"/>
          <w:i/>
          <w:iCs/>
          <w:sz w:val="16"/>
          <w:szCs w:val="16"/>
          <w:lang w:val="pt-BR"/>
        </w:rPr>
        <w:t xml:space="preserve"> Vs. </w:t>
      </w:r>
      <w:r w:rsidRPr="00BB25AB">
        <w:rPr>
          <w:rFonts w:eastAsiaTheme="minorHAnsi" w:cstheme="minorHAnsi"/>
          <w:i/>
          <w:iCs/>
          <w:sz w:val="16"/>
          <w:szCs w:val="16"/>
          <w:lang w:val="es-CO"/>
        </w:rPr>
        <w:t xml:space="preserve">Bolivia. Excepciones Preliminares, Fondo, Reparaciones y Costas. </w:t>
      </w:r>
      <w:r w:rsidRPr="00BB25AB">
        <w:rPr>
          <w:rFonts w:eastAsiaTheme="minorHAnsi" w:cstheme="minorHAnsi"/>
          <w:iCs/>
          <w:sz w:val="16"/>
          <w:szCs w:val="16"/>
          <w:lang w:val="es-CO"/>
        </w:rPr>
        <w:t>Sentencia de 25 de noviembre de 2013. Serie C No. 272, párr. 22, y</w:t>
      </w:r>
      <w:r w:rsidRPr="00BB25AB">
        <w:rPr>
          <w:rFonts w:cstheme="minorHAnsi"/>
          <w:i/>
          <w:sz w:val="16"/>
          <w:szCs w:val="16"/>
          <w:shd w:val="clear" w:color="auto" w:fill="FFFFFF"/>
          <w:lang w:val="es-CO"/>
        </w:rPr>
        <w:t xml:space="preserve"> Caso Moya Solís Vs. Perú. Excepciones Preliminares, Fondo, Reparaciones y Costas. </w:t>
      </w:r>
      <w:r w:rsidRPr="00BB25AB">
        <w:rPr>
          <w:rFonts w:cstheme="minorHAnsi"/>
          <w:sz w:val="16"/>
          <w:szCs w:val="16"/>
          <w:shd w:val="clear" w:color="auto" w:fill="FFFFFF"/>
          <w:lang w:val="es-CO"/>
        </w:rPr>
        <w:t>Sentencia de 3 de junio de 2021. Serie C No. 425, párr. 32.</w:t>
      </w:r>
    </w:p>
  </w:footnote>
  <w:footnote w:id="25">
    <w:p w14:paraId="1A2C97BA" w14:textId="653AF5D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cstheme="minorHAnsi"/>
          <w:i/>
          <w:sz w:val="16"/>
          <w:szCs w:val="16"/>
        </w:rPr>
        <w:t xml:space="preserve">Cfr. </w:t>
      </w:r>
      <w:r w:rsidRPr="00BB25AB">
        <w:rPr>
          <w:rFonts w:cs="Arial"/>
          <w:i/>
          <w:sz w:val="16"/>
          <w:szCs w:val="16"/>
          <w:shd w:val="clear" w:color="auto" w:fill="FFFFFF"/>
        </w:rPr>
        <w:t>Caso Escaleras Mejía y otros Vs. Honduras.</w:t>
      </w:r>
      <w:r w:rsidRPr="00BB25AB">
        <w:rPr>
          <w:rFonts w:cs="Arial"/>
          <w:sz w:val="16"/>
          <w:szCs w:val="16"/>
          <w:shd w:val="clear" w:color="auto" w:fill="FFFFFF"/>
        </w:rPr>
        <w:t xml:space="preserve"> Sentencia de 26 de septiembre de 2018. Serie C No. 361, párr. 60.</w:t>
      </w:r>
    </w:p>
  </w:footnote>
  <w:footnote w:id="26">
    <w:p w14:paraId="359F909C" w14:textId="77777777"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lang w:val="es-ES"/>
        </w:rPr>
        <w:tab/>
      </w:r>
      <w:r w:rsidRPr="00BB25AB">
        <w:rPr>
          <w:i/>
          <w:sz w:val="16"/>
          <w:szCs w:val="16"/>
        </w:rPr>
        <w:t>Cfr. Caso de los “Niños de la Calle” (Villagrán Morales y otros) Vs. Guatemala. Fondo</w:t>
      </w:r>
      <w:r w:rsidRPr="00BB25AB">
        <w:rPr>
          <w:sz w:val="16"/>
          <w:szCs w:val="16"/>
        </w:rPr>
        <w:t>. Sentencia de 19 de noviembre de 1999. Serie C No. 63, párr. 222, y</w:t>
      </w:r>
      <w:r w:rsidRPr="00BB25AB">
        <w:rPr>
          <w:i/>
          <w:sz w:val="16"/>
          <w:szCs w:val="16"/>
        </w:rPr>
        <w:t xml:space="preserve"> </w:t>
      </w:r>
      <w:r w:rsidRPr="00BB25AB">
        <w:rPr>
          <w:i/>
          <w:sz w:val="16"/>
          <w:szCs w:val="16"/>
          <w:lang w:val="es-CR"/>
        </w:rPr>
        <w:t xml:space="preserve">Caso Urrutia </w:t>
      </w:r>
      <w:proofErr w:type="spellStart"/>
      <w:r w:rsidRPr="00BB25AB">
        <w:rPr>
          <w:i/>
          <w:sz w:val="16"/>
          <w:szCs w:val="16"/>
          <w:lang w:val="es-CR"/>
        </w:rPr>
        <w:t>Laubreaux</w:t>
      </w:r>
      <w:proofErr w:type="spellEnd"/>
      <w:r w:rsidRPr="00BB25AB">
        <w:rPr>
          <w:i/>
          <w:sz w:val="16"/>
          <w:szCs w:val="16"/>
          <w:lang w:val="es-CR"/>
        </w:rPr>
        <w:t xml:space="preserve"> Vs. Chile. Excepciones Preliminares, Fondo, Reparaciones y Costas. </w:t>
      </w:r>
      <w:r w:rsidRPr="00BB25AB">
        <w:rPr>
          <w:sz w:val="16"/>
          <w:szCs w:val="16"/>
          <w:lang w:val="es-CR"/>
        </w:rPr>
        <w:t xml:space="preserve">Sentencia de 27 de agosto de 2020. Serie C No. 409, </w:t>
      </w:r>
      <w:r w:rsidRPr="00BB25AB">
        <w:rPr>
          <w:sz w:val="16"/>
          <w:szCs w:val="16"/>
        </w:rPr>
        <w:t xml:space="preserve">párr. 31. </w:t>
      </w:r>
    </w:p>
  </w:footnote>
  <w:footnote w:id="27">
    <w:p w14:paraId="54E3D049" w14:textId="473EB377" w:rsidR="00AD6B70" w:rsidRPr="00BB25AB" w:rsidRDefault="00AD6B70" w:rsidP="00BB25AB">
      <w:pPr>
        <w:pStyle w:val="Textonotapie"/>
        <w:spacing w:before="40" w:after="40"/>
        <w:rPr>
          <w:color w:val="000000" w:themeColor="text1"/>
          <w:sz w:val="16"/>
          <w:szCs w:val="16"/>
        </w:rPr>
      </w:pPr>
      <w:r w:rsidRPr="00BB25AB">
        <w:rPr>
          <w:rStyle w:val="Refdenotaalpie"/>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t xml:space="preserve">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 </w:t>
      </w:r>
      <w:r w:rsidRPr="00BB25AB">
        <w:rPr>
          <w:i/>
          <w:color w:val="000000" w:themeColor="text1"/>
          <w:sz w:val="16"/>
          <w:szCs w:val="16"/>
        </w:rPr>
        <w:t>Cfr.</w:t>
      </w:r>
      <w:r w:rsidRPr="00BB25AB">
        <w:rPr>
          <w:color w:val="000000" w:themeColor="text1"/>
          <w:sz w:val="16"/>
          <w:szCs w:val="16"/>
        </w:rPr>
        <w:t xml:space="preserve"> </w:t>
      </w:r>
      <w:r w:rsidRPr="00BB25AB">
        <w:rPr>
          <w:i/>
          <w:color w:val="000000" w:themeColor="text1"/>
          <w:sz w:val="16"/>
          <w:szCs w:val="16"/>
        </w:rPr>
        <w:t xml:space="preserve">Caso Familia Barrios Vs. Venezuela. Fondo, Reparaciones y Costas. </w:t>
      </w:r>
      <w:r w:rsidRPr="00BB25AB">
        <w:rPr>
          <w:color w:val="000000" w:themeColor="text1"/>
          <w:sz w:val="16"/>
          <w:szCs w:val="16"/>
        </w:rPr>
        <w:t xml:space="preserve">Sentencia de 24 de noviembre de 2011. Serie C No. 237, </w:t>
      </w:r>
      <w:proofErr w:type="spellStart"/>
      <w:r w:rsidRPr="00BB25AB">
        <w:rPr>
          <w:color w:val="000000" w:themeColor="text1"/>
          <w:sz w:val="16"/>
          <w:szCs w:val="16"/>
        </w:rPr>
        <w:t>párrs</w:t>
      </w:r>
      <w:proofErr w:type="spellEnd"/>
      <w:r w:rsidRPr="00BB25AB">
        <w:rPr>
          <w:color w:val="000000" w:themeColor="text1"/>
          <w:sz w:val="16"/>
          <w:szCs w:val="16"/>
        </w:rPr>
        <w:t xml:space="preserve">. 17 y 18, y </w:t>
      </w:r>
      <w:r w:rsidRPr="00BB25AB">
        <w:rPr>
          <w:rStyle w:val="Textoennegrita"/>
          <w:rFonts w:eastAsia="MS Mincho"/>
          <w:b w:val="0"/>
          <w:i/>
          <w:color w:val="000000"/>
          <w:sz w:val="16"/>
          <w:szCs w:val="16"/>
          <w:shd w:val="clear" w:color="auto" w:fill="FFFFFF"/>
        </w:rPr>
        <w:t>Caso Azul Rojas Marín y otra Vs. Perú. Excepciones Preliminares, Fondo, Reparaciones y Costas.</w:t>
      </w:r>
      <w:r w:rsidRPr="00BB25AB">
        <w:rPr>
          <w:rStyle w:val="Textoennegrita"/>
          <w:rFonts w:eastAsia="MS Mincho"/>
          <w:b w:val="0"/>
          <w:color w:val="000000"/>
          <w:sz w:val="16"/>
          <w:szCs w:val="16"/>
          <w:shd w:val="clear" w:color="auto" w:fill="FFFFFF"/>
        </w:rPr>
        <w:t xml:space="preserve"> Sentencia de 12 de marzo de 2020. Serie C No. 402</w:t>
      </w:r>
      <w:r w:rsidRPr="00BB25AB">
        <w:rPr>
          <w:rStyle w:val="Textoennegrita"/>
          <w:b w:val="0"/>
          <w:color w:val="000000" w:themeColor="text1"/>
          <w:sz w:val="16"/>
          <w:szCs w:val="16"/>
          <w:shd w:val="clear" w:color="auto" w:fill="FFFFFF"/>
        </w:rPr>
        <w:t>,</w:t>
      </w:r>
      <w:r w:rsidRPr="00BB25AB">
        <w:rPr>
          <w:rStyle w:val="Textoennegrita"/>
          <w:b w:val="0"/>
          <w:i/>
          <w:color w:val="000000" w:themeColor="text1"/>
          <w:sz w:val="16"/>
          <w:szCs w:val="16"/>
          <w:shd w:val="clear" w:color="auto" w:fill="FFFFFF"/>
        </w:rPr>
        <w:t xml:space="preserve"> </w:t>
      </w:r>
      <w:r w:rsidRPr="00BB25AB">
        <w:rPr>
          <w:rStyle w:val="Textoennegrita"/>
          <w:b w:val="0"/>
          <w:color w:val="000000" w:themeColor="text1"/>
          <w:sz w:val="16"/>
          <w:szCs w:val="16"/>
          <w:shd w:val="clear" w:color="auto" w:fill="FFFFFF"/>
        </w:rPr>
        <w:t>párr. 34</w:t>
      </w:r>
      <w:r w:rsidRPr="00BB25AB">
        <w:rPr>
          <w:rStyle w:val="Textoennegrita"/>
          <w:b w:val="0"/>
          <w:i/>
          <w:color w:val="000000" w:themeColor="text1"/>
          <w:sz w:val="16"/>
          <w:szCs w:val="16"/>
          <w:shd w:val="clear" w:color="auto" w:fill="FFFFFF"/>
        </w:rPr>
        <w:t>.</w:t>
      </w:r>
    </w:p>
  </w:footnote>
  <w:footnote w:id="28">
    <w:p w14:paraId="4EF0BC8D" w14:textId="46870FB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El Estado remitió un anexo titulado “Ruta crítica. Reapertura de la indagatoria FDCUAUHT/03/USD04/2576/01- 10. Caso de la Abogada y Defensora de Derechos Humanos Digna Ochoa y Plácido”. Las representantes remitieron tres anexos, a saber: (i) “Propuesta de convenio de reparación por parte del Estado mexicano para el Caso Ochoa y otros”; (ii) “Ruta crítica para reapertura de la indagatoria identificada bajo referencia FDCUAUHT/03/USD04/2576/01-1”, y (iii) “Relación de gastos incurridos por la familia Ochoa y Plácido, Acción DH y CEJIL con posterioridad a la presentación del ESAP derivados del presente litigio”.</w:t>
      </w:r>
    </w:p>
  </w:footnote>
  <w:footnote w:id="29">
    <w:p w14:paraId="42BA6034" w14:textId="4A8F3CCE" w:rsidR="00AD6B70" w:rsidRPr="00BB25AB" w:rsidRDefault="00AD6B70" w:rsidP="00BB25AB">
      <w:pPr>
        <w:pStyle w:val="Textonotapie"/>
        <w:spacing w:before="40" w:after="40"/>
        <w:rPr>
          <w:color w:val="000000" w:themeColor="text1"/>
          <w:sz w:val="16"/>
          <w:szCs w:val="16"/>
        </w:rPr>
      </w:pPr>
      <w:r w:rsidRPr="00BB25AB">
        <w:rPr>
          <w:rStyle w:val="Refdenotaalpie"/>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t>En audiencia pública la Corte recibió las declaraciones de la presunta víctima Jesús Ochoa y Plácido, propuesta por las representantes, del testigo José Antonio Pérez Bravo, propuesto por el Estado y de las peritas Erika Guevara Rosas y Ángela María Buitrago Ruiz, propuestas por las representantes.</w:t>
      </w:r>
    </w:p>
  </w:footnote>
  <w:footnote w:id="30">
    <w:p w14:paraId="03098303" w14:textId="7104339B" w:rsidR="00AD6B70" w:rsidRPr="00BB25AB" w:rsidRDefault="00AD6B70" w:rsidP="00BB25AB">
      <w:pPr>
        <w:pStyle w:val="Textonotapie"/>
        <w:spacing w:before="40" w:after="40"/>
        <w:rPr>
          <w:color w:val="000000" w:themeColor="text1"/>
          <w:sz w:val="16"/>
          <w:szCs w:val="16"/>
        </w:rPr>
      </w:pPr>
      <w:r w:rsidRPr="00BB25AB">
        <w:rPr>
          <w:rStyle w:val="Refdenotaalpie"/>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t>La Corte recibió las declaraciones rendidas ante fedatario público (</w:t>
      </w:r>
      <w:r w:rsidRPr="00BB25AB">
        <w:rPr>
          <w:i/>
          <w:iCs/>
          <w:color w:val="000000" w:themeColor="text1"/>
          <w:sz w:val="16"/>
          <w:szCs w:val="16"/>
        </w:rPr>
        <w:t>affidávit</w:t>
      </w:r>
      <w:r w:rsidRPr="00BB25AB">
        <w:rPr>
          <w:color w:val="000000" w:themeColor="text1"/>
          <w:sz w:val="16"/>
          <w:szCs w:val="16"/>
        </w:rPr>
        <w:t>) de las presuntas víctimas Estela Ochoa y Plácido e Ismael Ochoa y Plácido, propuestas por las representantes; los testigos Pilar Noriega García, José Antonio Becerril y Emilio Álvarez Icaza, propuestos por las representantes, así como la testigo Margarita Guerra y Tejada, propuesta por el Estado; y los peritos José Luis Prieto Carrero, Emanuel Santos y Mariana Castilla, Ana Constanza Rangel Núñez, Michel Forst, propuestos por las representantes, la perita Carolina Espinosa Luna, propuesta por el Estado, así como la perita Luz Adriana Camargo Garzón, propuesta por la Comisión.</w:t>
      </w:r>
    </w:p>
  </w:footnote>
  <w:footnote w:id="31">
    <w:p w14:paraId="3126D451" w14:textId="77777777" w:rsidR="00AD6B70" w:rsidRPr="00BB25AB" w:rsidRDefault="00AD6B70" w:rsidP="00BB25AB">
      <w:pPr>
        <w:pStyle w:val="Textonotapie"/>
        <w:spacing w:before="40" w:after="40"/>
        <w:rPr>
          <w:color w:val="000000" w:themeColor="text1"/>
          <w:sz w:val="16"/>
          <w:szCs w:val="16"/>
          <w:lang w:val="es-CR"/>
        </w:rPr>
      </w:pPr>
      <w:r w:rsidRPr="00BB25AB">
        <w:rPr>
          <w:rStyle w:val="Refdenotaalpie"/>
          <w:rFonts w:eastAsia="Calibri"/>
          <w:color w:val="000000" w:themeColor="text1"/>
          <w:sz w:val="16"/>
          <w:szCs w:val="16"/>
        </w:rPr>
        <w:footnoteRef/>
      </w:r>
      <w:r w:rsidRPr="00BB25AB">
        <w:rPr>
          <w:color w:val="000000" w:themeColor="text1"/>
          <w:sz w:val="16"/>
          <w:szCs w:val="16"/>
          <w:lang w:val="es-CR"/>
        </w:rPr>
        <w:t xml:space="preserve"> </w:t>
      </w:r>
      <w:r w:rsidRPr="00BB25AB">
        <w:rPr>
          <w:color w:val="000000" w:themeColor="text1"/>
          <w:sz w:val="16"/>
          <w:szCs w:val="16"/>
          <w:lang w:val="es-CR"/>
        </w:rPr>
        <w:tab/>
        <w:t>Los objetos de todas estas declaraciones se encuentran establecidos en la Resolución del Presidente de la Corte Interamericana emitida el</w:t>
      </w:r>
      <w:r w:rsidRPr="00BB25AB">
        <w:rPr>
          <w:i/>
          <w:color w:val="000000" w:themeColor="text1"/>
          <w:sz w:val="16"/>
          <w:szCs w:val="16"/>
          <w:lang w:val="es-CR"/>
        </w:rPr>
        <w:t xml:space="preserve"> </w:t>
      </w:r>
      <w:r w:rsidRPr="00BB25AB">
        <w:rPr>
          <w:color w:val="000000" w:themeColor="text1"/>
          <w:sz w:val="16"/>
          <w:szCs w:val="16"/>
          <w:lang w:val="es-CR"/>
        </w:rPr>
        <w:t xml:space="preserve">3 de marzo de 2021. Disponible en: </w:t>
      </w:r>
    </w:p>
    <w:p w14:paraId="1EF3AE95" w14:textId="5F17DA84" w:rsidR="00AD6B70" w:rsidRPr="00BB25AB" w:rsidRDefault="00256B85" w:rsidP="00BB25AB">
      <w:pPr>
        <w:pStyle w:val="Textonotapie"/>
        <w:spacing w:before="40" w:after="40"/>
        <w:rPr>
          <w:sz w:val="16"/>
          <w:szCs w:val="16"/>
        </w:rPr>
      </w:pPr>
      <w:hyperlink r:id="rId5" w:history="1">
        <w:r w:rsidR="00AD6B70" w:rsidRPr="00BB25AB">
          <w:rPr>
            <w:rStyle w:val="Hipervnculo"/>
            <w:sz w:val="16"/>
            <w:szCs w:val="16"/>
            <w:lang w:val="es-CR"/>
          </w:rPr>
          <w:t>http://www.corteidh.or.cr/docs/asuntos/familiares_digna_ochoa_y_placido_03_03_21.pdf</w:t>
        </w:r>
      </w:hyperlink>
      <w:r w:rsidR="00AD6B70" w:rsidRPr="00BB25AB">
        <w:rPr>
          <w:color w:val="000000" w:themeColor="text1"/>
          <w:sz w:val="16"/>
          <w:szCs w:val="16"/>
          <w:lang w:val="es-CR"/>
        </w:rPr>
        <w:t xml:space="preserve"> </w:t>
      </w:r>
    </w:p>
  </w:footnote>
  <w:footnote w:id="32">
    <w:p w14:paraId="452B81AF" w14:textId="2C7407A5"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CIDH, Informe sobre la situación de los derechos humanos en México, 24 de septiembre de 1998, Capítulo X, OEA/</w:t>
      </w:r>
      <w:proofErr w:type="spellStart"/>
      <w:r w:rsidRPr="00BB25AB">
        <w:rPr>
          <w:sz w:val="16"/>
          <w:szCs w:val="16"/>
        </w:rPr>
        <w:t>Ser.L</w:t>
      </w:r>
      <w:proofErr w:type="spellEnd"/>
      <w:r w:rsidRPr="00BB25AB">
        <w:rPr>
          <w:sz w:val="16"/>
          <w:szCs w:val="16"/>
        </w:rPr>
        <w:t xml:space="preserve">/V/II.100, </w:t>
      </w:r>
      <w:proofErr w:type="spellStart"/>
      <w:r w:rsidRPr="00BB25AB">
        <w:rPr>
          <w:sz w:val="16"/>
          <w:szCs w:val="16"/>
        </w:rPr>
        <w:t>párrs</w:t>
      </w:r>
      <w:proofErr w:type="spellEnd"/>
      <w:r w:rsidRPr="00BB25AB">
        <w:rPr>
          <w:sz w:val="16"/>
          <w:szCs w:val="16"/>
        </w:rPr>
        <w:t xml:space="preserve">. 662 y 666. Disponible aquí: </w:t>
      </w:r>
      <w:hyperlink r:id="rId6" w:history="1">
        <w:r w:rsidRPr="00BB25AB">
          <w:rPr>
            <w:rStyle w:val="Hipervnculo"/>
            <w:sz w:val="16"/>
            <w:szCs w:val="16"/>
          </w:rPr>
          <w:t>http://www.cidh.org/countryrep/Mexico98sp/indice.htm</w:t>
        </w:r>
      </w:hyperlink>
    </w:p>
  </w:footnote>
  <w:footnote w:id="33">
    <w:p w14:paraId="641C246C" w14:textId="7ED85A7C"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CIDH, Informe sobre la situación de los derechos humanos en México, 24 de septiembre de 1998, Capítulo X, OEA/</w:t>
      </w:r>
      <w:proofErr w:type="spellStart"/>
      <w:r w:rsidRPr="00BB25AB">
        <w:rPr>
          <w:sz w:val="16"/>
          <w:szCs w:val="16"/>
        </w:rPr>
        <w:t>Ser.L</w:t>
      </w:r>
      <w:proofErr w:type="spellEnd"/>
      <w:r w:rsidRPr="00BB25AB">
        <w:rPr>
          <w:sz w:val="16"/>
          <w:szCs w:val="16"/>
        </w:rPr>
        <w:t xml:space="preserve">/V/II.100, párr. 668. </w:t>
      </w:r>
    </w:p>
  </w:footnote>
  <w:footnote w:id="34">
    <w:p w14:paraId="2CC826A0" w14:textId="18971719"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CR"/>
        </w:rPr>
        <w:t>Cfr</w:t>
      </w:r>
      <w:r w:rsidRPr="00BB25AB">
        <w:rPr>
          <w:sz w:val="16"/>
          <w:szCs w:val="16"/>
          <w:lang w:val="es-CR"/>
        </w:rPr>
        <w:t xml:space="preserve">. OACDH. </w:t>
      </w:r>
      <w:r w:rsidRPr="00BB25AB">
        <w:rPr>
          <w:sz w:val="16"/>
          <w:szCs w:val="16"/>
          <w:lang w:val="es-ES"/>
        </w:rPr>
        <w:t xml:space="preserve">Diagnóstico sobre la situación de los derechos humanos en México. 2003, pág. 5. Disponible aquí: </w:t>
      </w:r>
      <w:hyperlink r:id="rId7" w:history="1">
        <w:r w:rsidRPr="00BB25AB">
          <w:rPr>
            <w:rStyle w:val="Hipervnculo"/>
            <w:sz w:val="16"/>
            <w:szCs w:val="16"/>
            <w:lang w:val="es-ES"/>
          </w:rPr>
          <w:t>https://hchr.org.mx/wp/wp-content/themes/hchr/images/doc_pub/8diagnosticocompleto.pdf</w:t>
        </w:r>
      </w:hyperlink>
      <w:r w:rsidRPr="00BB25AB">
        <w:rPr>
          <w:sz w:val="16"/>
          <w:szCs w:val="16"/>
          <w:lang w:val="es-ES"/>
        </w:rPr>
        <w:t xml:space="preserve"> </w:t>
      </w:r>
    </w:p>
  </w:footnote>
  <w:footnote w:id="35">
    <w:p w14:paraId="19EF2B18" w14:textId="726212E4"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lang w:val="es-ES"/>
        </w:rPr>
        <w:tab/>
      </w:r>
      <w:r w:rsidRPr="00BB25AB">
        <w:rPr>
          <w:i/>
          <w:sz w:val="16"/>
          <w:szCs w:val="16"/>
          <w:lang w:val="es-ES"/>
        </w:rPr>
        <w:t>Cfr</w:t>
      </w:r>
      <w:r w:rsidRPr="00BB25AB">
        <w:rPr>
          <w:sz w:val="16"/>
          <w:szCs w:val="16"/>
          <w:lang w:val="es-ES"/>
        </w:rPr>
        <w:t xml:space="preserve">. ECOSOC, Informe de la Relatora Especial, Asma </w:t>
      </w:r>
      <w:proofErr w:type="spellStart"/>
      <w:r w:rsidRPr="00BB25AB">
        <w:rPr>
          <w:sz w:val="16"/>
          <w:szCs w:val="16"/>
          <w:lang w:val="es-ES"/>
        </w:rPr>
        <w:t>Jahangir</w:t>
      </w:r>
      <w:proofErr w:type="spellEnd"/>
      <w:r w:rsidRPr="00BB25AB">
        <w:rPr>
          <w:sz w:val="16"/>
          <w:szCs w:val="16"/>
          <w:lang w:val="es-ES"/>
        </w:rPr>
        <w:t xml:space="preserve">, presentado en cumplimiento de la resolución 1999/35 de la Comisión de Derechos Humanos, de 25 de enero de 2000, E/CN.4/2000/3, </w:t>
      </w:r>
      <w:proofErr w:type="spellStart"/>
      <w:r w:rsidRPr="00BB25AB">
        <w:rPr>
          <w:sz w:val="16"/>
          <w:szCs w:val="16"/>
          <w:lang w:val="es-ES"/>
        </w:rPr>
        <w:t>párrs</w:t>
      </w:r>
      <w:proofErr w:type="spellEnd"/>
      <w:r w:rsidRPr="00BB25AB">
        <w:rPr>
          <w:sz w:val="16"/>
          <w:szCs w:val="16"/>
          <w:lang w:val="es-ES"/>
        </w:rPr>
        <w:t xml:space="preserve">. 85 a 91. Disponible aquí: </w:t>
      </w:r>
      <w:hyperlink r:id="rId8" w:history="1">
        <w:r w:rsidRPr="00BB25AB">
          <w:rPr>
            <w:rStyle w:val="Hipervnculo"/>
            <w:sz w:val="16"/>
            <w:szCs w:val="16"/>
            <w:lang w:val="es-ES"/>
          </w:rPr>
          <w:t>https://www.acnur.org/fileadmin/Documentos/BDL/2005/3411.pdf</w:t>
        </w:r>
      </w:hyperlink>
      <w:r w:rsidR="002B61D0" w:rsidRPr="00BB25AB">
        <w:rPr>
          <w:rStyle w:val="Hipervnculo"/>
          <w:sz w:val="16"/>
          <w:szCs w:val="16"/>
          <w:lang w:val="es-ES"/>
        </w:rPr>
        <w:t xml:space="preserve"> </w:t>
      </w:r>
    </w:p>
  </w:footnote>
  <w:footnote w:id="36">
    <w:p w14:paraId="248170ED" w14:textId="37AD048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Dicho informe comprende la información recibida y las comunicaciones enviadas desde el 2 de diciembre de 2001 hasta el 1 de diciembre de 2002.</w:t>
      </w:r>
      <w:r w:rsidRPr="00BB25AB">
        <w:rPr>
          <w:i/>
          <w:sz w:val="16"/>
          <w:szCs w:val="16"/>
          <w:lang w:val="es-ES"/>
        </w:rPr>
        <w:t xml:space="preserve"> Cfr</w:t>
      </w:r>
      <w:r w:rsidRPr="00BB25AB">
        <w:rPr>
          <w:sz w:val="16"/>
          <w:szCs w:val="16"/>
          <w:lang w:val="es-ES"/>
        </w:rPr>
        <w:t xml:space="preserve">. ECOSOC, Informe de la Relatora Especial, Asma </w:t>
      </w:r>
      <w:proofErr w:type="spellStart"/>
      <w:r w:rsidRPr="00BB25AB">
        <w:rPr>
          <w:sz w:val="16"/>
          <w:szCs w:val="16"/>
          <w:lang w:val="es-ES"/>
        </w:rPr>
        <w:t>Jahangir</w:t>
      </w:r>
      <w:proofErr w:type="spellEnd"/>
      <w:r w:rsidRPr="00BB25AB">
        <w:rPr>
          <w:sz w:val="16"/>
          <w:szCs w:val="16"/>
          <w:lang w:val="es-ES"/>
        </w:rPr>
        <w:t xml:space="preserve">, presentado en cumplimiento de la resolución 2002/36 de la Comisión de Derechos Humanos, de 13 de enero de 2003, E/CN.4/2000/3, párr. 2. Disponible aquí: </w:t>
      </w:r>
      <w:hyperlink r:id="rId9" w:history="1">
        <w:r w:rsidRPr="00BB25AB">
          <w:rPr>
            <w:rStyle w:val="Hipervnculo"/>
            <w:sz w:val="16"/>
            <w:szCs w:val="16"/>
            <w:lang w:val="es-ES"/>
          </w:rPr>
          <w:t>https://www.acnur.org/fileadmin/Documentos/BDL/2003/2381.pdf</w:t>
        </w:r>
      </w:hyperlink>
      <w:r w:rsidRPr="00BB25AB">
        <w:rPr>
          <w:sz w:val="16"/>
          <w:szCs w:val="16"/>
          <w:lang w:val="es-ES"/>
        </w:rPr>
        <w:t xml:space="preserve"> </w:t>
      </w:r>
    </w:p>
  </w:footnote>
  <w:footnote w:id="37">
    <w:p w14:paraId="7F417BB5" w14:textId="6498135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lang w:val="es-ES"/>
        </w:rPr>
        <w:t>Cfr</w:t>
      </w:r>
      <w:r w:rsidRPr="00BB25AB">
        <w:rPr>
          <w:sz w:val="16"/>
          <w:szCs w:val="16"/>
          <w:lang w:val="es-ES"/>
        </w:rPr>
        <w:t xml:space="preserve">. ECOSOC, Informe de la Relatora Especial, Asma </w:t>
      </w:r>
      <w:proofErr w:type="spellStart"/>
      <w:r w:rsidRPr="00BB25AB">
        <w:rPr>
          <w:sz w:val="16"/>
          <w:szCs w:val="16"/>
          <w:lang w:val="es-ES"/>
        </w:rPr>
        <w:t>Jahangir</w:t>
      </w:r>
      <w:proofErr w:type="spellEnd"/>
      <w:r w:rsidRPr="00BB25AB">
        <w:rPr>
          <w:sz w:val="16"/>
          <w:szCs w:val="16"/>
          <w:lang w:val="es-ES"/>
        </w:rPr>
        <w:t xml:space="preserve">, presentado en cumplimiento de la resolución 2002/36 de la Comisión de Derechos Humanos, de 13 de enero de 2003, E/CN.4/2000/3, </w:t>
      </w:r>
      <w:proofErr w:type="spellStart"/>
      <w:r w:rsidRPr="00BB25AB">
        <w:rPr>
          <w:sz w:val="16"/>
          <w:szCs w:val="16"/>
          <w:lang w:val="es-ES"/>
        </w:rPr>
        <w:t>párrs</w:t>
      </w:r>
      <w:proofErr w:type="spellEnd"/>
      <w:r w:rsidRPr="00BB25AB">
        <w:rPr>
          <w:sz w:val="16"/>
          <w:szCs w:val="16"/>
          <w:lang w:val="es-ES"/>
        </w:rPr>
        <w:t>. 2.</w:t>
      </w:r>
    </w:p>
  </w:footnote>
  <w:footnote w:id="38">
    <w:p w14:paraId="00C110F0" w14:textId="4C260CAF" w:rsidR="00AD6B70" w:rsidRPr="00BB25AB" w:rsidRDefault="00AD6B70" w:rsidP="00BB25AB">
      <w:pPr>
        <w:widowControl/>
        <w:autoSpaceDE w:val="0"/>
        <w:autoSpaceDN w:val="0"/>
        <w:spacing w:before="40" w:after="40" w:line="240" w:lineRule="auto"/>
        <w:textAlignment w:val="auto"/>
        <w:rPr>
          <w:sz w:val="16"/>
          <w:szCs w:val="16"/>
          <w:lang w:val="es-ES_tradnl"/>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ONU, Informe del Relator Especial sobre la situación de los defensores de los derechos humanos relativo a su misión a México, A/HRC/37/51/Add.2, 12 de febrero de 2018, párr. 15. Disponible en: </w:t>
      </w:r>
      <w:hyperlink r:id="rId10" w:history="1">
        <w:r w:rsidRPr="00BB25AB">
          <w:rPr>
            <w:rStyle w:val="Hipervnculo"/>
            <w:sz w:val="16"/>
            <w:szCs w:val="16"/>
          </w:rPr>
          <w:t>https://documents-dds-ny.un.org/doc/UNDOC/GEN/G18/037/97/PDF/G1803797.pdf?OpenElement</w:t>
        </w:r>
      </w:hyperlink>
      <w:r w:rsidRPr="00BB25AB">
        <w:rPr>
          <w:sz w:val="16"/>
          <w:szCs w:val="16"/>
        </w:rPr>
        <w:t xml:space="preserve"> </w:t>
      </w:r>
    </w:p>
  </w:footnote>
  <w:footnote w:id="39">
    <w:p w14:paraId="09B37E30" w14:textId="77777777"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ONU. Informe del Relator Especial sobre la situación de los defensores de los derechos humanos relativo a su misión a México, A/HRC/37/51/Add.2, 12 de febrero de 2018, párr. 42. Disponible en: </w:t>
      </w:r>
      <w:hyperlink r:id="rId11" w:history="1">
        <w:r w:rsidRPr="00BB25AB">
          <w:rPr>
            <w:rStyle w:val="Hipervnculo"/>
            <w:sz w:val="16"/>
            <w:szCs w:val="16"/>
          </w:rPr>
          <w:t>https://documents-dds-ny.un.org/doc/UNDOC/GEN/G18/037/97/PDF/G1803797.pdf?OpenElement</w:t>
        </w:r>
      </w:hyperlink>
    </w:p>
  </w:footnote>
  <w:footnote w:id="40">
    <w:p w14:paraId="3E29CC41" w14:textId="22F886FA" w:rsidR="00AD6B70" w:rsidRPr="00BB25AB" w:rsidRDefault="00AD6B70" w:rsidP="00BB25AB">
      <w:pPr>
        <w:widowControl/>
        <w:autoSpaceDE w:val="0"/>
        <w:autoSpaceDN w:val="0"/>
        <w:spacing w:before="40" w:after="40" w:line="240" w:lineRule="auto"/>
        <w:textAlignment w:val="auto"/>
        <w:rPr>
          <w:sz w:val="16"/>
          <w:szCs w:val="16"/>
          <w:lang w:val="es-ES_tradnl"/>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Informe del Relator Especial sobre la situación de los defensores de los derechos humanos relativo a su misión a México, A/HRC/37/51/Add.2, 12 de febrero de 2018, párr. 48. Disponible en: </w:t>
      </w:r>
      <w:hyperlink r:id="rId12" w:history="1">
        <w:r w:rsidRPr="00BB25AB">
          <w:rPr>
            <w:rStyle w:val="Hipervnculo"/>
            <w:sz w:val="16"/>
            <w:szCs w:val="16"/>
          </w:rPr>
          <w:t>https://documents-dds-ny.un.org/doc/UNDOC/GEN/G18/037/97/PDF/G1803797.pdf?OpenElement</w:t>
        </w:r>
      </w:hyperlink>
    </w:p>
  </w:footnote>
  <w:footnote w:id="41">
    <w:p w14:paraId="648DAC08" w14:textId="0F1BBB9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Informe del Relator Especial sobre la situación de los defensores de los derechos humanos relativo a su misión a México, A/HRC/37/51/Add.2, 12 de febrero de 2018, párr. 50. Disponible en: </w:t>
      </w:r>
      <w:hyperlink r:id="rId13" w:history="1">
        <w:r w:rsidRPr="00BB25AB">
          <w:rPr>
            <w:rStyle w:val="Hipervnculo"/>
            <w:sz w:val="16"/>
            <w:szCs w:val="16"/>
          </w:rPr>
          <w:t>https://documents-dds-ny.un.org/doc/UNDOC/GEN/G18/037/97/PDF/G1803797.pdf?OpenElement</w:t>
        </w:r>
      </w:hyperlink>
    </w:p>
  </w:footnote>
  <w:footnote w:id="42">
    <w:p w14:paraId="2A0DA79E"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ONU. Informe del Relator Especial sobre la situación de los defensores de los derechos humanos relativo a su misión a México, A/HRC/37/51/Add.2, 12 de febrero de 2018, párr. 54. Disponible en: </w:t>
      </w:r>
      <w:hyperlink r:id="rId14" w:history="1">
        <w:r w:rsidRPr="00BB25AB">
          <w:rPr>
            <w:rStyle w:val="Hipervnculo"/>
            <w:sz w:val="16"/>
            <w:szCs w:val="16"/>
          </w:rPr>
          <w:t>https://documents-dds-ny.un.org/doc/UNDOC/GEN/G18/037/97/PDF/G1803797.pdf?OpenElement</w:t>
        </w:r>
      </w:hyperlink>
    </w:p>
  </w:footnote>
  <w:footnote w:id="43">
    <w:p w14:paraId="1D3FD6A6" w14:textId="30E7F951" w:rsidR="00AD6B70" w:rsidRPr="00BB25AB" w:rsidRDefault="00AD6B70" w:rsidP="00BB25AB">
      <w:pPr>
        <w:widowControl/>
        <w:autoSpaceDE w:val="0"/>
        <w:autoSpaceDN w:val="0"/>
        <w:spacing w:before="40" w:after="40" w:line="240" w:lineRule="auto"/>
        <w:textAlignment w:val="auto"/>
        <w:rPr>
          <w:rFonts w:eastAsiaTheme="minorHAnsi" w:cs="Arial"/>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ACNUDH y CIDH, “Se disparan los actos de violencia contra defensores de derechos humanos en América</w:t>
      </w:r>
    </w:p>
    <w:p w14:paraId="351A6EB4" w14:textId="77777777" w:rsidR="00AD6B70" w:rsidRPr="00BB25AB" w:rsidRDefault="00AD6B70" w:rsidP="00BB25AB">
      <w:pPr>
        <w:widowControl/>
        <w:autoSpaceDE w:val="0"/>
        <w:autoSpaceDN w:val="0"/>
        <w:spacing w:before="40" w:after="40" w:line="240" w:lineRule="auto"/>
        <w:textAlignment w:val="auto"/>
        <w:rPr>
          <w:sz w:val="16"/>
          <w:szCs w:val="16"/>
          <w:lang w:val="es-ES_tradnl"/>
        </w:rPr>
      </w:pPr>
      <w:r w:rsidRPr="00BB25AB">
        <w:rPr>
          <w:rFonts w:eastAsiaTheme="minorHAnsi" w:cs="Arial"/>
          <w:sz w:val="16"/>
          <w:szCs w:val="16"/>
          <w:lang w:eastAsia="en-US"/>
        </w:rPr>
        <w:t xml:space="preserve">Latina, alertan ONU y CIDH”. 30 de mayo de 2019. Disponible en: </w:t>
      </w:r>
      <w:hyperlink r:id="rId15" w:history="1">
        <w:r w:rsidRPr="00BB25AB">
          <w:rPr>
            <w:rStyle w:val="Hipervnculo"/>
            <w:rFonts w:eastAsiaTheme="minorHAnsi" w:cs="Arial"/>
            <w:sz w:val="16"/>
            <w:szCs w:val="16"/>
            <w:lang w:eastAsia="en-US"/>
          </w:rPr>
          <w:t>https://www.onu.org.mx/se-disparan-los-actos-de-violencia-contra-defensores-de-derechos-humanos-en-america-latina-en-2019-alertan-onu-y-cidh/</w:t>
        </w:r>
      </w:hyperlink>
      <w:r w:rsidRPr="00BB25AB">
        <w:rPr>
          <w:rFonts w:eastAsiaTheme="minorHAnsi" w:cs="Arial"/>
          <w:sz w:val="16"/>
          <w:szCs w:val="16"/>
          <w:lang w:eastAsia="en-US"/>
        </w:rPr>
        <w:t xml:space="preserve"> </w:t>
      </w:r>
    </w:p>
  </w:footnote>
  <w:footnote w:id="44">
    <w:p w14:paraId="5A413C59" w14:textId="33BD8C6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Consejo de Derechos Humanos, Informe de la Relatora Especial sobre la situación de los defensores de los derechos humanos, Mary </w:t>
      </w:r>
      <w:proofErr w:type="spellStart"/>
      <w:r w:rsidRPr="00BB25AB">
        <w:rPr>
          <w:sz w:val="16"/>
          <w:szCs w:val="16"/>
        </w:rPr>
        <w:t>Lawlor</w:t>
      </w:r>
      <w:proofErr w:type="spellEnd"/>
      <w:r w:rsidRPr="00BB25AB">
        <w:rPr>
          <w:sz w:val="16"/>
          <w:szCs w:val="16"/>
        </w:rPr>
        <w:t xml:space="preserve">, de 24 de diciembre de 2020, A/HRC/46/35, </w:t>
      </w:r>
      <w:proofErr w:type="spellStart"/>
      <w:r w:rsidRPr="00BB25AB">
        <w:rPr>
          <w:sz w:val="16"/>
          <w:szCs w:val="16"/>
        </w:rPr>
        <w:t>párrs</w:t>
      </w:r>
      <w:proofErr w:type="spellEnd"/>
      <w:r w:rsidRPr="00BB25AB">
        <w:rPr>
          <w:sz w:val="16"/>
          <w:szCs w:val="16"/>
        </w:rPr>
        <w:t>. 4, 41, 44 y 45.</w:t>
      </w:r>
    </w:p>
  </w:footnote>
  <w:footnote w:id="45">
    <w:p w14:paraId="40EE7FB6" w14:textId="4647721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Consejo de Derechos Humanos, Informe de la Relatora Especial sobre la situación de los defensores de los derechos humanos, Mary </w:t>
      </w:r>
      <w:proofErr w:type="spellStart"/>
      <w:r w:rsidRPr="00BB25AB">
        <w:rPr>
          <w:sz w:val="16"/>
          <w:szCs w:val="16"/>
        </w:rPr>
        <w:t>Lawlor</w:t>
      </w:r>
      <w:proofErr w:type="spellEnd"/>
      <w:r w:rsidRPr="00BB25AB">
        <w:rPr>
          <w:sz w:val="16"/>
          <w:szCs w:val="16"/>
        </w:rPr>
        <w:t xml:space="preserve">, de 24 de diciembre de 2020, A/HRC/46/35, párr. 84, haciendo referencia a un Informe de Amnistía Internacional en 2007. </w:t>
      </w:r>
      <w:r w:rsidRPr="00BB25AB">
        <w:rPr>
          <w:i/>
          <w:sz w:val="16"/>
          <w:szCs w:val="16"/>
        </w:rPr>
        <w:t>Cfr</w:t>
      </w:r>
      <w:r w:rsidRPr="00BB25AB">
        <w:rPr>
          <w:sz w:val="16"/>
          <w:szCs w:val="16"/>
        </w:rPr>
        <w:t xml:space="preserve">. Amnistía Internacional, “América: situación de los mecanismos de protección para los defensores y defensoras de derechos humanos” (17 de mayo de 2017). </w:t>
      </w:r>
    </w:p>
  </w:footnote>
  <w:footnote w:id="46">
    <w:p w14:paraId="65F43F74" w14:textId="1B34603C"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Agencia EFE, “ONG denuncian persecución de defensor de derechos humanos en México”, noticia de 18 de noviembre de 2021. Disponible aquí: </w:t>
      </w:r>
      <w:hyperlink r:id="rId16" w:history="1">
        <w:r w:rsidRPr="00BB25AB">
          <w:rPr>
            <w:rStyle w:val="Hipervnculo"/>
            <w:sz w:val="16"/>
            <w:szCs w:val="16"/>
          </w:rPr>
          <w:t>https://www.efe.com/efe/usa/mexico/ong-denuncian-persecucion-de-defensor-derechos-humanos-en-mexico/50000100-4679312</w:t>
        </w:r>
      </w:hyperlink>
      <w:r w:rsidRPr="00BB25AB">
        <w:rPr>
          <w:sz w:val="16"/>
          <w:szCs w:val="16"/>
        </w:rPr>
        <w:t xml:space="preserve"> </w:t>
      </w:r>
    </w:p>
  </w:footnote>
  <w:footnote w:id="47">
    <w:p w14:paraId="11F86834" w14:textId="74C7EC3C"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CR"/>
        </w:rPr>
        <w:t>Cfr</w:t>
      </w:r>
      <w:r w:rsidRPr="00BB25AB">
        <w:rPr>
          <w:sz w:val="16"/>
          <w:szCs w:val="16"/>
          <w:lang w:val="es-CR"/>
        </w:rPr>
        <w:t xml:space="preserve">. Front Line </w:t>
      </w:r>
      <w:proofErr w:type="spellStart"/>
      <w:r w:rsidRPr="00BB25AB">
        <w:rPr>
          <w:sz w:val="16"/>
          <w:szCs w:val="16"/>
          <w:lang w:val="es-CR"/>
        </w:rPr>
        <w:t>Defenders</w:t>
      </w:r>
      <w:proofErr w:type="spellEnd"/>
      <w:r w:rsidRPr="00BB25AB">
        <w:rPr>
          <w:sz w:val="16"/>
          <w:szCs w:val="16"/>
          <w:lang w:val="es-CR"/>
        </w:rPr>
        <w:t>, Análisis Global 2020</w:t>
      </w:r>
      <w:r w:rsidRPr="00BB25AB">
        <w:rPr>
          <w:sz w:val="16"/>
          <w:szCs w:val="16"/>
        </w:rPr>
        <w:t xml:space="preserve"> sobre la situación de los defensores y defensoras de derechos humanos (DDH) en riesgo en todo el mundo, pág. 4. Disponible aquí: </w:t>
      </w:r>
      <w:hyperlink r:id="rId17" w:history="1">
        <w:r w:rsidRPr="00BB25AB">
          <w:rPr>
            <w:rStyle w:val="Hipervnculo"/>
            <w:sz w:val="16"/>
            <w:szCs w:val="16"/>
          </w:rPr>
          <w:t>https://www.frontlinedefenders.org/es/resource-publication/global-analysis-2020</w:t>
        </w:r>
      </w:hyperlink>
      <w:r w:rsidRPr="00BB25AB">
        <w:rPr>
          <w:sz w:val="16"/>
          <w:szCs w:val="16"/>
        </w:rPr>
        <w:t xml:space="preserve"> </w:t>
      </w:r>
    </w:p>
  </w:footnote>
  <w:footnote w:id="48">
    <w:p w14:paraId="062911FE" w14:textId="7EFC636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Consejo de Derechos Humanos, Informe de la Relatora Especial sobre la situación de los defensores de los derechos humanos, Mary </w:t>
      </w:r>
      <w:proofErr w:type="spellStart"/>
      <w:r w:rsidRPr="00BB25AB">
        <w:rPr>
          <w:sz w:val="16"/>
          <w:szCs w:val="16"/>
        </w:rPr>
        <w:t>Lawlor</w:t>
      </w:r>
      <w:proofErr w:type="spellEnd"/>
      <w:r w:rsidRPr="00BB25AB">
        <w:rPr>
          <w:sz w:val="16"/>
          <w:szCs w:val="16"/>
        </w:rPr>
        <w:t>, de 24 de diciembre de 2020, A/HRC/46/35, párr. 5.</w:t>
      </w:r>
    </w:p>
  </w:footnote>
  <w:footnote w:id="49">
    <w:p w14:paraId="689FEDF0" w14:textId="1123217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Informe del Relator Especial sobre la situación de los defensores de los derechos humanos, Michel Forst, de 15 de julio de 2019, A/74/159, párr. 74. Disponible aquí: </w:t>
      </w:r>
      <w:hyperlink r:id="rId18" w:history="1">
        <w:r w:rsidRPr="00BB25AB">
          <w:rPr>
            <w:rStyle w:val="Hipervnculo"/>
            <w:sz w:val="16"/>
            <w:szCs w:val="16"/>
          </w:rPr>
          <w:t>https://undocs.org/es/A/74/159</w:t>
        </w:r>
      </w:hyperlink>
      <w:r w:rsidRPr="00BB25AB">
        <w:rPr>
          <w:sz w:val="16"/>
          <w:szCs w:val="16"/>
        </w:rPr>
        <w:t xml:space="preserve"> </w:t>
      </w:r>
    </w:p>
  </w:footnote>
  <w:footnote w:id="50">
    <w:p w14:paraId="0531A759"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Consejo de Derechos Humanos, Informe del Relator Especial sobre la situación de los defensores de los derechos humanos, de 10 de enero de 2019, A/HRC/40/60, párr. 42.</w:t>
      </w:r>
    </w:p>
  </w:footnote>
  <w:footnote w:id="51">
    <w:p w14:paraId="0D2F20CB" w14:textId="28C4F8D8"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xml:space="preserve">. Resolución de la Corte Interamericana de Derechos Humanos de 17 de noviembre de 1999, Visto 2.a. Disponible aquí: </w:t>
      </w:r>
      <w:hyperlink r:id="rId19" w:history="1">
        <w:r w:rsidRPr="00BB25AB">
          <w:rPr>
            <w:rStyle w:val="Hipervnculo"/>
            <w:sz w:val="16"/>
            <w:szCs w:val="16"/>
          </w:rPr>
          <w:t>https://www.corteidh.or.cr/docs/medidas/digochoa_se_01.pdf</w:t>
        </w:r>
      </w:hyperlink>
      <w:r w:rsidRPr="00BB25AB">
        <w:rPr>
          <w:sz w:val="16"/>
          <w:szCs w:val="16"/>
        </w:rPr>
        <w:t xml:space="preserve"> </w:t>
      </w:r>
    </w:p>
  </w:footnote>
  <w:footnote w:id="52">
    <w:p w14:paraId="12AC83EB" w14:textId="2A76518F"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Resolución de la Corte Interamericana de Derechos Humanos de 17 de noviembre de 1999, Visto 2.d.</w:t>
      </w:r>
    </w:p>
  </w:footnote>
  <w:footnote w:id="53">
    <w:p w14:paraId="1F874199" w14:textId="2AA7DE6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Resolución de la Corte Interamericana de Derechos Humanos de 17 de noviembre de 1999, Visto 2.j y k.</w:t>
      </w:r>
    </w:p>
  </w:footnote>
  <w:footnote w:id="54">
    <w:p w14:paraId="77CDE1EF" w14:textId="294B0735"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Resolución de la Corte Interamericana de Derechos Humanos de 17 de noviembre de 1999, Visto 2.e.</w:t>
      </w:r>
    </w:p>
  </w:footnote>
  <w:footnote w:id="55">
    <w:p w14:paraId="54AC3D72" w14:textId="7F40EC6E" w:rsidR="00AD6B70" w:rsidRPr="00BB25AB" w:rsidRDefault="00AD6B70" w:rsidP="00BB25AB">
      <w:pPr>
        <w:autoSpaceDE w:val="0"/>
        <w:autoSpaceDN w:val="0"/>
        <w:spacing w:before="40" w:after="40" w:line="240" w:lineRule="auto"/>
        <w:rPr>
          <w:sz w:val="16"/>
          <w:szCs w:val="16"/>
          <w:lang w:val="es-ES"/>
        </w:rPr>
      </w:pPr>
      <w:r w:rsidRPr="00BB25AB">
        <w:rPr>
          <w:rStyle w:val="Refdenotaalpie"/>
          <w:rFonts w:eastAsiaTheme="majorEastAsia"/>
          <w:sz w:val="16"/>
          <w:szCs w:val="16"/>
        </w:rPr>
        <w:footnoteRef/>
      </w:r>
      <w:r w:rsidRPr="00BB25AB">
        <w:rPr>
          <w:sz w:val="16"/>
          <w:szCs w:val="16"/>
        </w:rPr>
        <w:t xml:space="preserve"> </w:t>
      </w:r>
      <w:r w:rsidRPr="00BB25AB">
        <w:rPr>
          <w:sz w:val="16"/>
          <w:szCs w:val="16"/>
        </w:rPr>
        <w:tab/>
      </w:r>
      <w:r w:rsidRPr="00BB25AB">
        <w:rPr>
          <w:i/>
          <w:sz w:val="16"/>
          <w:szCs w:val="16"/>
        </w:rPr>
        <w:t xml:space="preserve">Cfr. </w:t>
      </w:r>
      <w:r w:rsidRPr="00BB25AB">
        <w:rPr>
          <w:rFonts w:cs="Arial"/>
          <w:i/>
          <w:sz w:val="16"/>
          <w:szCs w:val="16"/>
          <w:shd w:val="clear" w:color="auto" w:fill="FFFFFF"/>
        </w:rPr>
        <w:t>Asunto Digna Ochoa y Plácido y otros respecto de México. Medidas Provisionale</w:t>
      </w:r>
      <w:r w:rsidRPr="00BB25AB">
        <w:rPr>
          <w:rFonts w:cs="Arial"/>
          <w:sz w:val="16"/>
          <w:szCs w:val="16"/>
          <w:shd w:val="clear" w:color="auto" w:fill="FFFFFF"/>
        </w:rPr>
        <w:t xml:space="preserve">s. Resolución de la Corte Interamericana de Derechos Humanos de 17 de noviembre de 1999, Considerando 6. </w:t>
      </w:r>
    </w:p>
  </w:footnote>
  <w:footnote w:id="56">
    <w:p w14:paraId="3C6E3C38" w14:textId="5E6FA8B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Resolución de la Corte Interamericana de Derechos Humanos de 17 de noviembre de 1999, Visto 2.e.</w:t>
      </w:r>
    </w:p>
  </w:footnote>
  <w:footnote w:id="57">
    <w:p w14:paraId="1E8FD096" w14:textId="0E4B89C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Fondo no. 61/19, Caso 12.229, OEA/</w:t>
      </w:r>
      <w:proofErr w:type="spellStart"/>
      <w:r w:rsidRPr="00BB25AB">
        <w:rPr>
          <w:sz w:val="16"/>
          <w:szCs w:val="16"/>
        </w:rPr>
        <w:t>Ser.L</w:t>
      </w:r>
      <w:proofErr w:type="spellEnd"/>
      <w:r w:rsidRPr="00BB25AB">
        <w:rPr>
          <w:sz w:val="16"/>
          <w:szCs w:val="16"/>
        </w:rPr>
        <w:t>/V/II.172, de 4 de mayo de 2019, párr. 151 (expediente de fondo, folio 43).</w:t>
      </w:r>
    </w:p>
  </w:footnote>
  <w:footnote w:id="58">
    <w:p w14:paraId="7FBBA583" w14:textId="6246264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 xml:space="preserve">Cfr.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xml:space="preserve"> Resolución de la Corte Interamericana de Derechos Humanos de 28 de agosto de 2001, Visto 4. Disponible aquí: </w:t>
      </w:r>
      <w:hyperlink r:id="rId20" w:history="1">
        <w:r w:rsidRPr="00BB25AB">
          <w:rPr>
            <w:rStyle w:val="Hipervnculo"/>
            <w:rFonts w:cs="Arial"/>
            <w:sz w:val="16"/>
            <w:szCs w:val="16"/>
            <w:shd w:val="clear" w:color="auto" w:fill="FFFFFF"/>
          </w:rPr>
          <w:t>https://www.corteidh.or.cr/docs/medidas/digochoa_se_02.pdf</w:t>
        </w:r>
      </w:hyperlink>
      <w:r w:rsidRPr="00BB25AB">
        <w:rPr>
          <w:rFonts w:cs="Arial"/>
          <w:sz w:val="16"/>
          <w:szCs w:val="16"/>
          <w:shd w:val="clear" w:color="auto" w:fill="FFFFFF"/>
        </w:rPr>
        <w:t xml:space="preserve"> </w:t>
      </w:r>
    </w:p>
  </w:footnote>
  <w:footnote w:id="59">
    <w:p w14:paraId="6EBE1FAB" w14:textId="1A737347" w:rsidR="00AD6B70" w:rsidRPr="00BB25AB" w:rsidRDefault="00AD6B70" w:rsidP="00BB25AB">
      <w:pPr>
        <w:pStyle w:val="Textonotapie"/>
        <w:spacing w:before="40" w:after="40"/>
        <w:rPr>
          <w:sz w:val="16"/>
          <w:szCs w:val="16"/>
          <w:lang w:val="es-ES"/>
        </w:rPr>
      </w:pPr>
      <w:r w:rsidRPr="00BB25AB">
        <w:rPr>
          <w:rStyle w:val="Refdenotaalpie"/>
          <w:rFonts w:eastAsiaTheme="majorEastAsia"/>
          <w:sz w:val="16"/>
          <w:szCs w:val="16"/>
        </w:rPr>
        <w:footnoteRef/>
      </w:r>
      <w:r w:rsidRPr="00BB25AB">
        <w:rPr>
          <w:sz w:val="16"/>
          <w:szCs w:val="16"/>
        </w:rPr>
        <w:t xml:space="preserve"> </w:t>
      </w:r>
      <w:r w:rsidRPr="00BB25AB">
        <w:rPr>
          <w:sz w:val="16"/>
          <w:szCs w:val="16"/>
        </w:rPr>
        <w:tab/>
      </w:r>
      <w:r w:rsidRPr="00BB25AB">
        <w:rPr>
          <w:i/>
          <w:sz w:val="16"/>
          <w:szCs w:val="16"/>
        </w:rPr>
        <w:t xml:space="preserve">Cfr. </w:t>
      </w:r>
      <w:r w:rsidRPr="00BB25AB">
        <w:rPr>
          <w:rFonts w:cs="Arial"/>
          <w:i/>
          <w:sz w:val="16"/>
          <w:szCs w:val="16"/>
          <w:shd w:val="clear" w:color="auto" w:fill="FFFFFF"/>
        </w:rPr>
        <w:t>Asunto Digna Ochoa y Plácido y otros respecto de México. Medidas Provisionales.</w:t>
      </w:r>
      <w:r w:rsidRPr="00BB25AB">
        <w:rPr>
          <w:rFonts w:cs="Arial"/>
          <w:sz w:val="16"/>
          <w:szCs w:val="16"/>
          <w:shd w:val="clear" w:color="auto" w:fill="FFFFFF"/>
        </w:rPr>
        <w:t xml:space="preserve"> Resolución de la Corte Interamericana de Derechos Humanos de 28 de agosto de 2001, Punto Resolutivo 1.</w:t>
      </w:r>
    </w:p>
  </w:footnote>
  <w:footnote w:id="60">
    <w:p w14:paraId="693E9C53"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Fondo no. 61/19, Caso 12.229, OEA/</w:t>
      </w:r>
      <w:proofErr w:type="spellStart"/>
      <w:r w:rsidRPr="00BB25AB">
        <w:rPr>
          <w:sz w:val="16"/>
          <w:szCs w:val="16"/>
        </w:rPr>
        <w:t>Ser.L</w:t>
      </w:r>
      <w:proofErr w:type="spellEnd"/>
      <w:r w:rsidRPr="00BB25AB">
        <w:rPr>
          <w:sz w:val="16"/>
          <w:szCs w:val="16"/>
        </w:rPr>
        <w:t>/V/II.172, de 4 de mayo de 2019, párr. 19 (expediente de fondo, folio 12); Escrito de solicitudes, argumentos y pruebas, pág. 28 (expediente de fondo, folio 146), y Escrito de Contestación del Estado, párr. 592 (expediente de fondo, folio 515).</w:t>
      </w:r>
    </w:p>
  </w:footnote>
  <w:footnote w:id="61">
    <w:p w14:paraId="22000D5F"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Ver, </w:t>
      </w:r>
      <w:r w:rsidRPr="00BB25AB">
        <w:rPr>
          <w:rFonts w:cs="Arial"/>
          <w:i/>
          <w:sz w:val="16"/>
          <w:szCs w:val="16"/>
          <w:shd w:val="clear" w:color="auto" w:fill="FFFFFF"/>
        </w:rPr>
        <w:t>Caso Cabrera García y Montiel Flores Vs. México. Excepción Preliminar, Fondo, Reparaciones y Costas</w:t>
      </w:r>
      <w:r w:rsidRPr="00BB25AB">
        <w:rPr>
          <w:rFonts w:cs="Arial"/>
          <w:sz w:val="16"/>
          <w:szCs w:val="16"/>
          <w:shd w:val="clear" w:color="auto" w:fill="FFFFFF"/>
        </w:rPr>
        <w:t xml:space="preserve">. Sentencia de 26 de noviembre de 2010. Serie C No. 220, y </w:t>
      </w:r>
      <w:r w:rsidRPr="00BB25AB">
        <w:rPr>
          <w:rFonts w:cs="Arial"/>
          <w:i/>
          <w:sz w:val="16"/>
          <w:szCs w:val="16"/>
          <w:shd w:val="clear" w:color="auto" w:fill="FFFFFF"/>
        </w:rPr>
        <w:t>Caso García Cruz y Sánchez Silvestre Vs. México. Fondo, Reparaciones y Costas</w:t>
      </w:r>
      <w:r w:rsidRPr="00BB25AB">
        <w:rPr>
          <w:rFonts w:cs="Arial"/>
          <w:sz w:val="16"/>
          <w:szCs w:val="16"/>
          <w:shd w:val="clear" w:color="auto" w:fill="FFFFFF"/>
        </w:rPr>
        <w:t>. Sentencia de 26 de noviembre de 2013. Serie C No. 273.</w:t>
      </w:r>
    </w:p>
  </w:footnote>
  <w:footnote w:id="62">
    <w:p w14:paraId="770DBA98"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 (expediente de prueba, folio 3811).</w:t>
      </w:r>
    </w:p>
  </w:footnote>
  <w:footnote w:id="63">
    <w:p w14:paraId="64BC4530"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Escrito de Contestación del Estado, párr. 592 (expediente de fondo, folio 498).</w:t>
      </w:r>
    </w:p>
  </w:footnote>
  <w:footnote w:id="64">
    <w:p w14:paraId="15F8B171" w14:textId="0D23166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Ministerio Público, Acuerdo de Resolución de Averiguación Previa, FDCUAUHT/03/USD04//2576/01-10, de 18 de julio de 2003 (expediente de prueba, folio 3509), y Procuraduría General de Justicia del Distrito Federal, Decisión de </w:t>
      </w:r>
      <w:r w:rsidRPr="00BB25AB">
        <w:rPr>
          <w:rFonts w:eastAsiaTheme="minorHAnsi" w:cs="Arial"/>
          <w:sz w:val="16"/>
          <w:szCs w:val="16"/>
          <w:lang w:eastAsia="en-US"/>
        </w:rPr>
        <w:t>26 de noviembre de 2010 (expediente de prueba, folios 4190 y 4191).</w:t>
      </w:r>
    </w:p>
  </w:footnote>
  <w:footnote w:id="65">
    <w:p w14:paraId="5CC15E31" w14:textId="735B559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Ministerio Público, Acuerdo de Resolución de Averiguación Previa, FDCUAUHT/03/USD04//2576/01-10, de 18 de julio de 2003 (expediente de prueba, folio 3511), y Procuraduría General de Justicia del Distrito Federal, Decisión de </w:t>
      </w:r>
      <w:r w:rsidRPr="00BB25AB">
        <w:rPr>
          <w:rFonts w:eastAsiaTheme="minorHAnsi" w:cs="Arial"/>
          <w:sz w:val="16"/>
          <w:szCs w:val="16"/>
          <w:lang w:eastAsia="en-US"/>
        </w:rPr>
        <w:t>26 de noviembre de 2010 (expediente de prueba, folio 4191).</w:t>
      </w:r>
    </w:p>
  </w:footnote>
  <w:footnote w:id="66">
    <w:p w14:paraId="2FEFF448" w14:textId="769FDAC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Ministerio Público, Acuerdo de Resolución de Averiguación Previa, FDCUAUHT/03/USD04//2576/01-10, de 18 de julio de 2003 (expediente de prueba, folio 3509), y Procuraduría General de Justicia del Distrito Federal, Decisión de </w:t>
      </w:r>
      <w:r w:rsidRPr="00BB25AB">
        <w:rPr>
          <w:rFonts w:eastAsiaTheme="minorHAnsi" w:cs="Arial"/>
          <w:sz w:val="16"/>
          <w:szCs w:val="16"/>
          <w:lang w:eastAsia="en-US"/>
        </w:rPr>
        <w:t>26 de noviembre de 2010 (expediente de prueba, folio 4193).</w:t>
      </w:r>
    </w:p>
  </w:footnote>
  <w:footnote w:id="67">
    <w:p w14:paraId="2BEDC0B0" w14:textId="521A9135"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Fiscalía Desconcentrada de Cuauhtémoc, Averiguación previa FDCUAUHT /03/USD04/02576/2001-10, Acta de 19 de octubre de 2001 (expediente de prueba, folio 7).</w:t>
      </w:r>
    </w:p>
  </w:footnote>
  <w:footnote w:id="68">
    <w:p w14:paraId="0CE1A38E" w14:textId="194DF48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Fiscalía Desconcentrada de Cuauhtémoc, Averiguación previa FDCUAUHT /03/USD04/02576/2001-10, Acta de 19 de octubre de 2001 (expediente de prueba, folio 6).</w:t>
      </w:r>
    </w:p>
  </w:footnote>
  <w:footnote w:id="69">
    <w:p w14:paraId="0332C9CD"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Fiscalía Desconcentrada de Cuauhtémoc, Averiguación previa FDCUAUHT /03/USD04/02576/2001-10, Acta de 19 de octubre de 2001 (expediente de prueba, folio 7).</w:t>
      </w:r>
    </w:p>
  </w:footnote>
  <w:footnote w:id="70">
    <w:p w14:paraId="7DD4C8FD" w14:textId="026D4861" w:rsidR="00AD6B70" w:rsidRPr="00BB25AB" w:rsidRDefault="00AD6B70" w:rsidP="00BB25AB">
      <w:pPr>
        <w:widowControl/>
        <w:autoSpaceDE w:val="0"/>
        <w:autoSpaceDN w:val="0"/>
        <w:spacing w:before="40" w:after="40" w:line="240" w:lineRule="auto"/>
        <w:textAlignment w:val="auto"/>
        <w:rPr>
          <w:rFonts w:eastAsiaTheme="minorHAnsi" w:cs="Arial"/>
          <w:i/>
          <w:iCs/>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26 de noviembre de 2010 (expediente de prueba, folio </w:t>
      </w:r>
      <w:r w:rsidRPr="00BB25AB">
        <w:rPr>
          <w:sz w:val="16"/>
          <w:szCs w:val="16"/>
        </w:rPr>
        <w:t xml:space="preserve">2628). </w:t>
      </w:r>
    </w:p>
  </w:footnote>
  <w:footnote w:id="71">
    <w:p w14:paraId="446724D8" w14:textId="574FB4F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Fiscalía Desconcentrada de Cuauhtémoc, Averiguación previa FDCUAUHT /03/USD04/02576/2001-10, Acta de 19 de octubre de 2001 (expediente de prueba, folio 6), Ministerio Público, Acuerdo de Resolución de Averiguación Previa, FDCUAUHT/03/USD04//2576/01-10, de 18 de julio de 2003 (expediente de prueba, folio 3512), y Procuraduría General de Justicia del Distrito Federal, Decisión de </w:t>
      </w:r>
      <w:r w:rsidRPr="00BB25AB">
        <w:rPr>
          <w:rFonts w:eastAsiaTheme="minorHAnsi" w:cs="Arial"/>
          <w:sz w:val="16"/>
          <w:szCs w:val="16"/>
          <w:lang w:eastAsia="en-US"/>
        </w:rPr>
        <w:t>18 de julio de 2003 (expediente de prueba, folio 2731).</w:t>
      </w:r>
    </w:p>
  </w:footnote>
  <w:footnote w:id="72">
    <w:p w14:paraId="626CC555" w14:textId="023E324A"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El País, “Fox abre los archivos militares secretos para aclarar el asesinato de Digna Ochoa”, noticia de 27 de octubre de 2001. Disponible en: </w:t>
      </w:r>
      <w:hyperlink r:id="rId21" w:history="1">
        <w:r w:rsidRPr="00BB25AB">
          <w:rPr>
            <w:rStyle w:val="Hipervnculo"/>
            <w:sz w:val="16"/>
            <w:szCs w:val="16"/>
          </w:rPr>
          <w:t>https://elpais.com/internacional/2001/10/28/actualidad/1004220005_850215.html</w:t>
        </w:r>
      </w:hyperlink>
      <w:r w:rsidRPr="00BB25AB">
        <w:rPr>
          <w:sz w:val="16"/>
          <w:szCs w:val="16"/>
        </w:rPr>
        <w:t xml:space="preserve"> </w:t>
      </w:r>
    </w:p>
  </w:footnote>
  <w:footnote w:id="73">
    <w:p w14:paraId="7C0AB055" w14:textId="452ADD98" w:rsidR="00AD6B70" w:rsidRPr="00BB25AB" w:rsidRDefault="00AD6B70" w:rsidP="00BB25AB">
      <w:pPr>
        <w:widowControl/>
        <w:autoSpaceDE w:val="0"/>
        <w:autoSpaceDN w:val="0"/>
        <w:spacing w:before="40" w:after="40" w:line="240" w:lineRule="auto"/>
        <w:textAlignment w:val="auto"/>
        <w:rPr>
          <w:sz w:val="16"/>
          <w:szCs w:val="16"/>
          <w:lang w:val="es-ES_tradnl"/>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La Jornada, “La muerte de la abogada daña la estabilidad política: López Obrador”, noticia de 22 de octubre de 2001</w:t>
      </w:r>
      <w:r w:rsidRPr="00BB25AB">
        <w:rPr>
          <w:rFonts w:eastAsiaTheme="minorHAnsi" w:cs="Arial"/>
          <w:i/>
          <w:iCs/>
          <w:sz w:val="16"/>
          <w:szCs w:val="16"/>
          <w:lang w:eastAsia="en-US"/>
        </w:rPr>
        <w:t xml:space="preserve">. </w:t>
      </w:r>
      <w:r w:rsidRPr="00BB25AB">
        <w:rPr>
          <w:rFonts w:eastAsiaTheme="minorHAnsi" w:cs="Arial"/>
          <w:sz w:val="16"/>
          <w:szCs w:val="16"/>
          <w:lang w:eastAsia="en-US"/>
        </w:rPr>
        <w:t xml:space="preserve">Disponible en: </w:t>
      </w:r>
      <w:hyperlink r:id="rId22" w:history="1">
        <w:r w:rsidRPr="00BB25AB">
          <w:rPr>
            <w:rStyle w:val="Hipervnculo"/>
            <w:rFonts w:eastAsiaTheme="minorHAnsi" w:cs="Arial"/>
            <w:sz w:val="16"/>
            <w:szCs w:val="16"/>
            <w:lang w:eastAsia="en-US"/>
          </w:rPr>
          <w:t>https://www.jornada.com.mx/2001/10/22/017n1pol.html</w:t>
        </w:r>
      </w:hyperlink>
      <w:r w:rsidRPr="00BB25AB">
        <w:rPr>
          <w:rFonts w:eastAsiaTheme="minorHAnsi" w:cs="Arial"/>
          <w:sz w:val="16"/>
          <w:szCs w:val="16"/>
          <w:lang w:eastAsia="en-US"/>
        </w:rPr>
        <w:t xml:space="preserve"> </w:t>
      </w:r>
    </w:p>
  </w:footnote>
  <w:footnote w:id="74">
    <w:p w14:paraId="3571BB72" w14:textId="61A68B01"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La Jornada, “La muerte de la abogada daña la estabilidad política: López Obrador”, noticia de 22 de octubre de 2001 </w:t>
      </w:r>
      <w:r w:rsidRPr="00BB25AB">
        <w:rPr>
          <w:rFonts w:eastAsiaTheme="minorHAnsi" w:cs="Arial"/>
          <w:i/>
          <w:iCs/>
          <w:sz w:val="16"/>
          <w:szCs w:val="16"/>
          <w:lang w:eastAsia="en-US"/>
        </w:rPr>
        <w:t>.</w:t>
      </w:r>
      <w:r w:rsidRPr="00BB25AB">
        <w:rPr>
          <w:rFonts w:eastAsiaTheme="minorHAnsi" w:cs="Arial"/>
          <w:sz w:val="16"/>
          <w:szCs w:val="16"/>
          <w:lang w:eastAsia="en-US"/>
        </w:rPr>
        <w:t xml:space="preserve">Disponible en: </w:t>
      </w:r>
      <w:hyperlink r:id="rId23" w:history="1">
        <w:r w:rsidRPr="00BB25AB">
          <w:rPr>
            <w:rStyle w:val="Hipervnculo"/>
            <w:rFonts w:eastAsiaTheme="minorHAnsi" w:cs="Arial"/>
            <w:sz w:val="16"/>
            <w:szCs w:val="16"/>
            <w:lang w:eastAsia="en-US"/>
          </w:rPr>
          <w:t>https://www.jornada.com.mx/2001/10/22/017n1pol.html</w:t>
        </w:r>
      </w:hyperlink>
      <w:r w:rsidRPr="00BB25AB">
        <w:rPr>
          <w:rFonts w:eastAsiaTheme="minorHAnsi" w:cs="Arial"/>
          <w:sz w:val="16"/>
          <w:szCs w:val="16"/>
          <w:lang w:eastAsia="en-US"/>
        </w:rPr>
        <w:t xml:space="preserve">; </w:t>
      </w:r>
      <w:r w:rsidRPr="00BB25AB">
        <w:rPr>
          <w:sz w:val="16"/>
          <w:szCs w:val="16"/>
        </w:rPr>
        <w:t xml:space="preserve">La Jornada, “Terror y confusión por el asesinato de Digna Ochoa”, noticia de 21 de octubre de 2001. Disponible en: </w:t>
      </w:r>
      <w:hyperlink r:id="rId24" w:history="1">
        <w:r w:rsidRPr="00BB25AB">
          <w:rPr>
            <w:rStyle w:val="Hipervnculo"/>
            <w:sz w:val="16"/>
            <w:szCs w:val="16"/>
          </w:rPr>
          <w:t>https://www.jornada.com.mx/2001/10/21/001n1por.html</w:t>
        </w:r>
      </w:hyperlink>
      <w:r w:rsidRPr="00BB25AB">
        <w:rPr>
          <w:sz w:val="16"/>
          <w:szCs w:val="16"/>
        </w:rPr>
        <w:t xml:space="preserve"> </w:t>
      </w:r>
    </w:p>
  </w:footnote>
  <w:footnote w:id="75">
    <w:p w14:paraId="138CF61A" w14:textId="6BB164AA" w:rsidR="00AD6B70" w:rsidRPr="00BB25AB" w:rsidRDefault="00AD6B70" w:rsidP="00BB25AB">
      <w:pPr>
        <w:widowControl/>
        <w:autoSpaceDE w:val="0"/>
        <w:autoSpaceDN w:val="0"/>
        <w:spacing w:before="40" w:after="40" w:line="240" w:lineRule="auto"/>
        <w:textAlignment w:val="auto"/>
        <w:rPr>
          <w:sz w:val="16"/>
          <w:szCs w:val="16"/>
          <w:lang w:val="es-ES_tradnl"/>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La Jornada, “La muerte de la abogada daña la estabilidad política: López Obrador”, noticia de 22 de octubre de 2001</w:t>
      </w:r>
      <w:r w:rsidRPr="00BB25AB">
        <w:rPr>
          <w:rFonts w:eastAsiaTheme="minorHAnsi" w:cs="Arial"/>
          <w:i/>
          <w:iCs/>
          <w:sz w:val="16"/>
          <w:szCs w:val="16"/>
          <w:lang w:eastAsia="en-US"/>
        </w:rPr>
        <w:t xml:space="preserve">. </w:t>
      </w:r>
      <w:r w:rsidRPr="00BB25AB">
        <w:rPr>
          <w:rFonts w:eastAsiaTheme="minorHAnsi" w:cs="Arial"/>
          <w:sz w:val="16"/>
          <w:szCs w:val="16"/>
          <w:lang w:eastAsia="en-US"/>
        </w:rPr>
        <w:t xml:space="preserve">Disponible en: </w:t>
      </w:r>
      <w:hyperlink r:id="rId25" w:history="1">
        <w:r w:rsidRPr="00BB25AB">
          <w:rPr>
            <w:rStyle w:val="Hipervnculo"/>
            <w:rFonts w:eastAsiaTheme="minorHAnsi" w:cs="Arial"/>
            <w:sz w:val="16"/>
            <w:szCs w:val="16"/>
            <w:lang w:eastAsia="en-US"/>
          </w:rPr>
          <w:t>https://www.jornada.com.mx/2001/10/22/017n1pol.html</w:t>
        </w:r>
      </w:hyperlink>
      <w:r w:rsidRPr="00BB25AB">
        <w:rPr>
          <w:rFonts w:eastAsiaTheme="minorHAnsi" w:cs="Arial"/>
          <w:sz w:val="16"/>
          <w:szCs w:val="16"/>
          <w:lang w:eastAsia="en-US"/>
        </w:rPr>
        <w:t xml:space="preserve"> </w:t>
      </w:r>
    </w:p>
  </w:footnote>
  <w:footnote w:id="76">
    <w:p w14:paraId="09195CF0" w14:textId="20DF1766"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CDHDF, Informe especial sobre las irregularidades en la averiguación previa iniciada por la muerte de la licenciada Digna Ochoa y Plácido, </w:t>
      </w:r>
      <w:proofErr w:type="spellStart"/>
      <w:r w:rsidRPr="00BB25AB">
        <w:rPr>
          <w:rFonts w:eastAsiaTheme="minorHAnsi" w:cs="Arial"/>
          <w:sz w:val="16"/>
          <w:szCs w:val="16"/>
          <w:lang w:eastAsia="en-US"/>
        </w:rPr>
        <w:t>párrs</w:t>
      </w:r>
      <w:proofErr w:type="spellEnd"/>
      <w:r w:rsidRPr="00BB25AB">
        <w:rPr>
          <w:rFonts w:eastAsiaTheme="minorHAnsi" w:cs="Arial"/>
          <w:sz w:val="16"/>
          <w:szCs w:val="16"/>
          <w:lang w:eastAsia="en-US"/>
        </w:rPr>
        <w:t>. 3 y 5 (expediente de prueba, folio 3811).</w:t>
      </w:r>
    </w:p>
  </w:footnote>
  <w:footnote w:id="77">
    <w:p w14:paraId="73126562" w14:textId="1ECFFA1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El Universal, “Exige ONU esclarecer caso Ochoa”, noticia de 25 de octubre de 2001. Disponible en: </w:t>
      </w:r>
      <w:hyperlink r:id="rId26" w:history="1">
        <w:r w:rsidRPr="00BB25AB">
          <w:rPr>
            <w:rStyle w:val="Hipervnculo"/>
            <w:sz w:val="16"/>
            <w:szCs w:val="16"/>
          </w:rPr>
          <w:t>https://archivo.eluniversal.com.mx/nacion/69617.html</w:t>
        </w:r>
      </w:hyperlink>
      <w:r w:rsidRPr="00BB25AB">
        <w:rPr>
          <w:sz w:val="16"/>
          <w:szCs w:val="16"/>
        </w:rPr>
        <w:t xml:space="preserve"> </w:t>
      </w:r>
    </w:p>
    <w:p w14:paraId="55450A7C" w14:textId="5EEB637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ab/>
      </w:r>
      <w:r w:rsidRPr="00BB25AB">
        <w:rPr>
          <w:i/>
          <w:sz w:val="16"/>
          <w:szCs w:val="16"/>
        </w:rPr>
        <w:t>Cfr</w:t>
      </w:r>
      <w:r w:rsidRPr="00BB25AB">
        <w:rPr>
          <w:sz w:val="16"/>
          <w:szCs w:val="16"/>
        </w:rPr>
        <w:t xml:space="preserve">. El Universal, “Exige ONU esclarecer caso Ochoa”, noticia de 25 de octubre de 2001. Disponible en: </w:t>
      </w:r>
      <w:hyperlink r:id="rId27" w:history="1">
        <w:r w:rsidRPr="00BB25AB">
          <w:rPr>
            <w:rStyle w:val="Hipervnculo"/>
            <w:sz w:val="16"/>
            <w:szCs w:val="16"/>
          </w:rPr>
          <w:t>https://archivo.eluniversal.com.mx/nacion/69617.html</w:t>
        </w:r>
      </w:hyperlink>
      <w:r w:rsidRPr="00BB25AB">
        <w:rPr>
          <w:sz w:val="16"/>
          <w:szCs w:val="16"/>
        </w:rPr>
        <w:t xml:space="preserve"> </w:t>
      </w:r>
    </w:p>
  </w:footnote>
  <w:footnote w:id="78">
    <w:p w14:paraId="77252D1E" w14:textId="1BCF0B1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El Universal, “Condena de Estados Unidos y Human </w:t>
      </w:r>
      <w:proofErr w:type="spellStart"/>
      <w:r w:rsidRPr="00BB25AB">
        <w:rPr>
          <w:sz w:val="16"/>
          <w:szCs w:val="16"/>
        </w:rPr>
        <w:t>Rights</w:t>
      </w:r>
      <w:proofErr w:type="spellEnd"/>
      <w:r w:rsidRPr="00BB25AB">
        <w:rPr>
          <w:sz w:val="16"/>
          <w:szCs w:val="16"/>
        </w:rPr>
        <w:t xml:space="preserve"> </w:t>
      </w:r>
      <w:proofErr w:type="spellStart"/>
      <w:r w:rsidRPr="00BB25AB">
        <w:rPr>
          <w:sz w:val="16"/>
          <w:szCs w:val="16"/>
        </w:rPr>
        <w:t>Watch</w:t>
      </w:r>
      <w:proofErr w:type="spellEnd"/>
      <w:r w:rsidRPr="00BB25AB">
        <w:rPr>
          <w:sz w:val="16"/>
          <w:szCs w:val="16"/>
        </w:rPr>
        <w:t xml:space="preserve">, noticia de 23 de octubre de 2001. Disponible en: </w:t>
      </w:r>
      <w:hyperlink r:id="rId28" w:history="1">
        <w:r w:rsidRPr="00BB25AB">
          <w:rPr>
            <w:rStyle w:val="Hipervnculo"/>
            <w:sz w:val="16"/>
            <w:szCs w:val="16"/>
          </w:rPr>
          <w:t>https://archivo.eluniversal.com.mx/nacion/69395.html</w:t>
        </w:r>
      </w:hyperlink>
      <w:r w:rsidRPr="00BB25AB">
        <w:rPr>
          <w:sz w:val="16"/>
          <w:szCs w:val="16"/>
        </w:rPr>
        <w:t xml:space="preserve"> </w:t>
      </w:r>
    </w:p>
  </w:footnote>
  <w:footnote w:id="79">
    <w:p w14:paraId="1CF9822C" w14:textId="3AED0EE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El Universal, “Exige ONU esclarecer caso Ochoa”, noticia de 25 de octubre de 2001. Disponible en: </w:t>
      </w:r>
      <w:hyperlink r:id="rId29" w:history="1">
        <w:r w:rsidRPr="00BB25AB">
          <w:rPr>
            <w:rStyle w:val="Hipervnculo"/>
            <w:sz w:val="16"/>
            <w:szCs w:val="16"/>
          </w:rPr>
          <w:t>https://archivo.eluniversal.com.mx/nacion/69617.html</w:t>
        </w:r>
      </w:hyperlink>
      <w:r w:rsidRPr="00BB25AB">
        <w:rPr>
          <w:sz w:val="16"/>
          <w:szCs w:val="16"/>
        </w:rPr>
        <w:t xml:space="preserve"> </w:t>
      </w:r>
    </w:p>
  </w:footnote>
  <w:footnote w:id="80">
    <w:p w14:paraId="4088125A" w14:textId="37F82B2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El Universal, “Condena de Estados Unidos y Human </w:t>
      </w:r>
      <w:proofErr w:type="spellStart"/>
      <w:r w:rsidRPr="00BB25AB">
        <w:rPr>
          <w:sz w:val="16"/>
          <w:szCs w:val="16"/>
        </w:rPr>
        <w:t>Rights</w:t>
      </w:r>
      <w:proofErr w:type="spellEnd"/>
      <w:r w:rsidRPr="00BB25AB">
        <w:rPr>
          <w:sz w:val="16"/>
          <w:szCs w:val="16"/>
        </w:rPr>
        <w:t xml:space="preserve"> </w:t>
      </w:r>
      <w:proofErr w:type="spellStart"/>
      <w:r w:rsidRPr="00BB25AB">
        <w:rPr>
          <w:sz w:val="16"/>
          <w:szCs w:val="16"/>
        </w:rPr>
        <w:t>Watch</w:t>
      </w:r>
      <w:proofErr w:type="spellEnd"/>
      <w:r w:rsidRPr="00BB25AB">
        <w:rPr>
          <w:sz w:val="16"/>
          <w:szCs w:val="16"/>
        </w:rPr>
        <w:t xml:space="preserve">”, noticia de 23 de octubre de 2001. Disponible en: </w:t>
      </w:r>
      <w:hyperlink r:id="rId30" w:history="1">
        <w:r w:rsidRPr="00BB25AB">
          <w:rPr>
            <w:rStyle w:val="Hipervnculo"/>
            <w:rFonts w:eastAsiaTheme="minorHAnsi" w:cs="Arial"/>
            <w:sz w:val="16"/>
            <w:szCs w:val="16"/>
            <w:lang w:eastAsia="en-US"/>
          </w:rPr>
          <w:t>https://archivo.eluniversal.com.mx/nacion/69395.html</w:t>
        </w:r>
      </w:hyperlink>
      <w:r w:rsidRPr="00BB25AB">
        <w:rPr>
          <w:rFonts w:eastAsiaTheme="minorHAnsi" w:cs="Arial"/>
          <w:sz w:val="16"/>
          <w:szCs w:val="16"/>
          <w:lang w:eastAsia="en-US"/>
        </w:rPr>
        <w:t xml:space="preserve"> Ver también, La Jornada, “Exigen más de 80 ONG investigación expedita del asesinato de Digna Ochoa”, noticia de 21 de octubre de 2001. Disponible en: </w:t>
      </w:r>
      <w:hyperlink r:id="rId31" w:history="1">
        <w:r w:rsidRPr="00BB25AB">
          <w:rPr>
            <w:rStyle w:val="Hipervnculo"/>
            <w:rFonts w:eastAsiaTheme="minorHAnsi" w:cs="Arial"/>
            <w:sz w:val="16"/>
            <w:szCs w:val="16"/>
            <w:lang w:eastAsia="en-US"/>
          </w:rPr>
          <w:t>https://www.jornada.com.mx/2001/10/21/001n1por.html</w:t>
        </w:r>
      </w:hyperlink>
      <w:r w:rsidRPr="00BB25AB">
        <w:rPr>
          <w:rFonts w:eastAsiaTheme="minorHAnsi" w:cs="Arial"/>
          <w:sz w:val="16"/>
          <w:szCs w:val="16"/>
          <w:lang w:eastAsia="en-US"/>
        </w:rPr>
        <w:t xml:space="preserve"> </w:t>
      </w:r>
    </w:p>
  </w:footnote>
  <w:footnote w:id="81">
    <w:p w14:paraId="7A692E5E" w14:textId="20B92393"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lang w:val="es-ES_tradnl"/>
        </w:rPr>
        <w:t xml:space="preserve"> </w:t>
      </w:r>
      <w:r w:rsidRPr="00BB25AB">
        <w:rPr>
          <w:sz w:val="16"/>
          <w:szCs w:val="16"/>
          <w:lang w:val="es-ES_tradnl"/>
        </w:rPr>
        <w:tab/>
      </w:r>
      <w:r w:rsidRPr="00BB25AB">
        <w:rPr>
          <w:rFonts w:eastAsiaTheme="minorHAnsi" w:cs="Arial"/>
          <w:i/>
          <w:sz w:val="16"/>
          <w:szCs w:val="16"/>
          <w:lang w:val="es-ES_tradnl" w:eastAsia="en-US"/>
        </w:rPr>
        <w:t>Cfr</w:t>
      </w:r>
      <w:r w:rsidRPr="00BB25AB">
        <w:rPr>
          <w:rFonts w:eastAsiaTheme="minorHAnsi" w:cs="Arial"/>
          <w:sz w:val="16"/>
          <w:szCs w:val="16"/>
          <w:lang w:val="es-ES_tradnl" w:eastAsia="en-US"/>
        </w:rPr>
        <w:t xml:space="preserve">. International Human </w:t>
      </w:r>
      <w:proofErr w:type="spellStart"/>
      <w:r w:rsidRPr="00BB25AB">
        <w:rPr>
          <w:rFonts w:eastAsiaTheme="minorHAnsi" w:cs="Arial"/>
          <w:sz w:val="16"/>
          <w:szCs w:val="16"/>
          <w:lang w:val="es-ES_tradnl" w:eastAsia="en-US"/>
        </w:rPr>
        <w:t>Rights</w:t>
      </w:r>
      <w:proofErr w:type="spellEnd"/>
      <w:r w:rsidRPr="00BB25AB">
        <w:rPr>
          <w:rFonts w:eastAsiaTheme="minorHAnsi" w:cs="Arial"/>
          <w:sz w:val="16"/>
          <w:szCs w:val="16"/>
          <w:lang w:val="es-ES_tradnl" w:eastAsia="en-US"/>
        </w:rPr>
        <w:t xml:space="preserve"> Price “Ludovic </w:t>
      </w:r>
      <w:proofErr w:type="spellStart"/>
      <w:r w:rsidRPr="00BB25AB">
        <w:rPr>
          <w:rFonts w:eastAsiaTheme="minorHAnsi" w:cs="Arial"/>
          <w:sz w:val="16"/>
          <w:szCs w:val="16"/>
          <w:lang w:val="es-ES_tradnl" w:eastAsia="en-US"/>
        </w:rPr>
        <w:t>Trarieux</w:t>
      </w:r>
      <w:proofErr w:type="spellEnd"/>
      <w:r w:rsidRPr="00BB25AB">
        <w:rPr>
          <w:rFonts w:eastAsiaTheme="minorHAnsi" w:cs="Arial"/>
          <w:sz w:val="16"/>
          <w:szCs w:val="16"/>
          <w:lang w:val="es-ES_tradnl" w:eastAsia="en-US"/>
        </w:rPr>
        <w:t xml:space="preserve">”, 20003. </w:t>
      </w:r>
      <w:r w:rsidRPr="00BB25AB">
        <w:rPr>
          <w:rFonts w:eastAsiaTheme="minorHAnsi" w:cs="Arial"/>
          <w:sz w:val="16"/>
          <w:szCs w:val="16"/>
          <w:lang w:eastAsia="en-US"/>
        </w:rPr>
        <w:t xml:space="preserve">Disponible en: </w:t>
      </w:r>
      <w:hyperlink r:id="rId32" w:history="1">
        <w:r w:rsidRPr="00BB25AB">
          <w:rPr>
            <w:rStyle w:val="Hipervnculo"/>
            <w:rFonts w:eastAsiaTheme="minorHAnsi" w:cs="Arial"/>
            <w:sz w:val="16"/>
            <w:szCs w:val="16"/>
            <w:lang w:eastAsia="en-US"/>
          </w:rPr>
          <w:t>http://www.ludovictrarieux.org/uk-page5.1.mex2.htm</w:t>
        </w:r>
      </w:hyperlink>
      <w:r w:rsidRPr="00BB25AB">
        <w:rPr>
          <w:rFonts w:eastAsiaTheme="minorHAnsi" w:cs="Arial"/>
          <w:sz w:val="16"/>
          <w:szCs w:val="16"/>
          <w:lang w:eastAsia="en-US"/>
        </w:rPr>
        <w:t xml:space="preserve"> </w:t>
      </w:r>
    </w:p>
  </w:footnote>
  <w:footnote w:id="82">
    <w:p w14:paraId="5F2492DD" w14:textId="4343ED19"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Fiscalía Desconcentrada de Cuauhtémoc, Averiguación previa FDCUAUHT /03/USD04/02576/2001-10, Acta de 19 de octubre de 2001 (expediente de prueba, folio 7).</w:t>
      </w:r>
    </w:p>
  </w:footnote>
  <w:footnote w:id="83">
    <w:p w14:paraId="1044E750" w14:textId="4E304A2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Ministerio Público, Acuerdo de Resolución de Averiguación Previa, FDCUAUHT/03/USD04//2576/01-10, de 18 de julio de 2003 (expediente de prueba, folio 3512).</w:t>
      </w:r>
    </w:p>
  </w:footnote>
  <w:footnote w:id="84">
    <w:p w14:paraId="38AD6D58" w14:textId="2DB294E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Ministerio Público, Acuerdo de Resolución de Averiguación Previa, FDCUAUHT/03/USD04//2576/01-10, de 18 de julio de 2003 (expediente de prueba, folio 3512).</w:t>
      </w:r>
    </w:p>
  </w:footnote>
  <w:footnote w:id="85">
    <w:p w14:paraId="565F09D4" w14:textId="4967EEF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6 (expediente de prueba, folio 3811).</w:t>
      </w:r>
    </w:p>
  </w:footnote>
  <w:footnote w:id="86">
    <w:p w14:paraId="4E53DDBD" w14:textId="00BD44A9"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folios 4199 a 4604).</w:t>
      </w:r>
    </w:p>
  </w:footnote>
  <w:footnote w:id="87">
    <w:p w14:paraId="1106E3BF" w14:textId="15A6641A"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686).</w:t>
      </w:r>
    </w:p>
  </w:footnote>
  <w:footnote w:id="88">
    <w:p w14:paraId="7B10C57E" w14:textId="3A144C6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18 de julio de 2003 (expediente de prueba, folio 691). </w:t>
      </w:r>
    </w:p>
  </w:footnote>
  <w:footnote w:id="89">
    <w:p w14:paraId="4B426414" w14:textId="4847AAF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folios 924, 993, 995 y 1001).</w:t>
      </w:r>
      <w:r w:rsidRPr="00BB25AB">
        <w:rPr>
          <w:i/>
          <w:sz w:val="16"/>
          <w:szCs w:val="16"/>
        </w:rPr>
        <w:t xml:space="preserve"> </w:t>
      </w:r>
      <w:r w:rsidRPr="00BB25AB">
        <w:rPr>
          <w:sz w:val="16"/>
          <w:szCs w:val="16"/>
        </w:rPr>
        <w:t>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folios 4944 a 5252).</w:t>
      </w:r>
    </w:p>
  </w:footnote>
  <w:footnote w:id="90">
    <w:p w14:paraId="31754A15" w14:textId="58FFEE9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18 de julio de 2003 (expediente de prueba, folios 1002 a 1342). </w:t>
      </w:r>
      <w:r w:rsidRPr="00BB25AB">
        <w:rPr>
          <w:sz w:val="16"/>
          <w:szCs w:val="16"/>
        </w:rPr>
        <w:t>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folios 5252 a 5641).</w:t>
      </w:r>
    </w:p>
  </w:footnote>
  <w:footnote w:id="91">
    <w:p w14:paraId="46FF90BE" w14:textId="07287F1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18 de julio de 2003 (expediente de prueba, folio 1647). </w:t>
      </w:r>
      <w:r w:rsidRPr="00BB25AB">
        <w:rPr>
          <w:sz w:val="16"/>
          <w:szCs w:val="16"/>
        </w:rPr>
        <w:t>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folios 5945 a 5980).</w:t>
      </w:r>
    </w:p>
  </w:footnote>
  <w:footnote w:id="92">
    <w:p w14:paraId="3F9F8F2F" w14:textId="089D7731"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Con respecto a la línea de investigación relacionada con la “vida sentimental”, ver:</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 xml:space="preserve">18 de julio de 2003 (expediente de prueba, folio 1677). </w:t>
      </w:r>
      <w:r w:rsidRPr="00BB25AB">
        <w:rPr>
          <w:sz w:val="16"/>
          <w:szCs w:val="16"/>
        </w:rPr>
        <w:t>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folios 5963 a 5945).</w:t>
      </w:r>
      <w:r w:rsidRPr="00BB25AB">
        <w:rPr>
          <w:sz w:val="16"/>
          <w:szCs w:val="16"/>
        </w:rPr>
        <w:t xml:space="preserve"> Con respecto a la línea de investigación relacionada con la “vida religiosa”, ver: Procuraduría General de Justicia del Distrito Federal, Decisión de </w:t>
      </w:r>
      <w:r w:rsidRPr="00BB25AB">
        <w:rPr>
          <w:rFonts w:eastAsiaTheme="minorHAnsi" w:cs="Arial"/>
          <w:sz w:val="16"/>
          <w:szCs w:val="16"/>
          <w:lang w:eastAsia="en-US"/>
        </w:rPr>
        <w:t xml:space="preserve">18 de julio de 2003 (expediente de prueba, folio 1681). </w:t>
      </w:r>
      <w:r w:rsidRPr="00BB25AB">
        <w:rPr>
          <w:sz w:val="16"/>
          <w:szCs w:val="16"/>
        </w:rPr>
        <w:t>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 xml:space="preserve">26 de noviembre de 2010 (expediente de prueba, folios 5945 a 5981). </w:t>
      </w:r>
      <w:r w:rsidRPr="00BB25AB">
        <w:rPr>
          <w:sz w:val="16"/>
          <w:szCs w:val="16"/>
        </w:rPr>
        <w:t xml:space="preserve">Con respecto a la línea de investigación relacionada con los “amigos cercanos”, ver: Procuraduría General de Justicia del Distrito Federal, Decisión de </w:t>
      </w:r>
      <w:r w:rsidRPr="00BB25AB">
        <w:rPr>
          <w:rFonts w:eastAsiaTheme="minorHAnsi" w:cs="Arial"/>
          <w:sz w:val="16"/>
          <w:szCs w:val="16"/>
          <w:lang w:eastAsia="en-US"/>
        </w:rPr>
        <w:t>18 de julio de 2003 (expediente de prueba, folio 1685).</w:t>
      </w:r>
    </w:p>
  </w:footnote>
  <w:footnote w:id="93">
    <w:p w14:paraId="07AC4EF3" w14:textId="4C6C756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18 de julio de 2003 (expediente de prueba, folio 1745). </w:t>
      </w:r>
      <w:r w:rsidRPr="00BB25AB">
        <w:rPr>
          <w:sz w:val="16"/>
          <w:szCs w:val="16"/>
        </w:rPr>
        <w:t>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folios 5988 a 6175).</w:t>
      </w:r>
    </w:p>
  </w:footnote>
  <w:footnote w:id="94">
    <w:p w14:paraId="4166704A" w14:textId="51825A69"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i/>
          <w:sz w:val="16"/>
          <w:szCs w:val="16"/>
        </w:rPr>
        <w:tab/>
        <w:t>Cfr</w:t>
      </w:r>
      <w:r w:rsidRPr="00BB25AB">
        <w:rPr>
          <w:sz w:val="16"/>
          <w:szCs w:val="16"/>
        </w:rPr>
        <w:t xml:space="preserve">. </w:t>
      </w:r>
      <w:r w:rsidRPr="00BB25AB">
        <w:rPr>
          <w:rFonts w:eastAsiaTheme="minorHAnsi" w:cs="Arial"/>
          <w:sz w:val="16"/>
          <w:szCs w:val="16"/>
          <w:lang w:eastAsia="en-US"/>
        </w:rPr>
        <w:t xml:space="preserve">CDHDF, Informe especial sobre las irregularidades en la averiguación previa iniciada por la muerte de la licenciada Digna Ochoa y Plácido, </w:t>
      </w:r>
      <w:proofErr w:type="spellStart"/>
      <w:r w:rsidRPr="00BB25AB">
        <w:rPr>
          <w:rFonts w:eastAsiaTheme="minorHAnsi" w:cs="Arial"/>
          <w:sz w:val="16"/>
          <w:szCs w:val="16"/>
          <w:lang w:eastAsia="en-US"/>
        </w:rPr>
        <w:t>párrs</w:t>
      </w:r>
      <w:proofErr w:type="spellEnd"/>
      <w:r w:rsidRPr="00BB25AB">
        <w:rPr>
          <w:rFonts w:eastAsiaTheme="minorHAnsi" w:cs="Arial"/>
          <w:sz w:val="16"/>
          <w:szCs w:val="16"/>
          <w:lang w:eastAsia="en-US"/>
        </w:rPr>
        <w:t>. 7 y 443 (expediente de prueba, folios 3811 y 3911).</w:t>
      </w:r>
    </w:p>
  </w:footnote>
  <w:footnote w:id="95">
    <w:p w14:paraId="4CA87D50" w14:textId="1E95CCC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18 de julio de 2003 (expediente de prueba, folios 2555 y 2588). </w:t>
      </w:r>
    </w:p>
  </w:footnote>
  <w:footnote w:id="96">
    <w:p w14:paraId="0394D9CD" w14:textId="6897FFB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2576).</w:t>
      </w:r>
    </w:p>
  </w:footnote>
  <w:footnote w:id="97">
    <w:p w14:paraId="0C98C19E" w14:textId="518B3C9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2576).</w:t>
      </w:r>
    </w:p>
  </w:footnote>
  <w:footnote w:id="98">
    <w:p w14:paraId="30769DB6" w14:textId="1872E79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2548).</w:t>
      </w:r>
    </w:p>
  </w:footnote>
  <w:footnote w:id="99">
    <w:p w14:paraId="13B551F3" w14:textId="35935AF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2586).</w:t>
      </w:r>
    </w:p>
  </w:footnote>
  <w:footnote w:id="100">
    <w:p w14:paraId="44857390" w14:textId="229D8E7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2586).</w:t>
      </w:r>
    </w:p>
  </w:footnote>
  <w:footnote w:id="101">
    <w:p w14:paraId="2AA10A1F" w14:textId="78F09C5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eastAsiaTheme="minorHAnsi" w:cs="Arial"/>
          <w:sz w:val="16"/>
          <w:szCs w:val="16"/>
          <w:lang w:eastAsia="en-US"/>
        </w:rPr>
        <w:t xml:space="preserve">CDHDF, Informe especial sobre las irregularidades en la averiguación previa iniciada por la muerte de la licenciada Digna Ochoa y Plácido, </w:t>
      </w:r>
      <w:proofErr w:type="spellStart"/>
      <w:r w:rsidRPr="00BB25AB">
        <w:rPr>
          <w:rFonts w:eastAsiaTheme="minorHAnsi" w:cs="Arial"/>
          <w:sz w:val="16"/>
          <w:szCs w:val="16"/>
          <w:lang w:eastAsia="en-US"/>
        </w:rPr>
        <w:t>párrs</w:t>
      </w:r>
      <w:proofErr w:type="spellEnd"/>
      <w:r w:rsidRPr="00BB25AB">
        <w:rPr>
          <w:rFonts w:eastAsiaTheme="minorHAnsi" w:cs="Arial"/>
          <w:sz w:val="16"/>
          <w:szCs w:val="16"/>
          <w:lang w:eastAsia="en-US"/>
        </w:rPr>
        <w:t>. 9 y 444 (expediente de prueba, folios 3812 y 3911).</w:t>
      </w:r>
    </w:p>
  </w:footnote>
  <w:footnote w:id="102">
    <w:p w14:paraId="671C4960" w14:textId="392B5C7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La figura jurídica de la coadyuvancia en los asuntos del orden penal consiste en la intervención que la víctima u ofendido de un delito tiene en la tramitación de las diligencias que involucran un procedimiento penal, desde la investigación y persecución hasta la ejecución que se derive mediante la sentencia pronunciada por los Órganos Jurisdiccionales. </w:t>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2626).</w:t>
      </w:r>
    </w:p>
  </w:footnote>
  <w:footnote w:id="103">
    <w:p w14:paraId="579E866C" w14:textId="0D99AB0F"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4184).</w:t>
      </w:r>
    </w:p>
  </w:footnote>
  <w:footnote w:id="104">
    <w:p w14:paraId="3425D993" w14:textId="0DCB954C"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folios 4185 y 4186).</w:t>
      </w:r>
    </w:p>
  </w:footnote>
  <w:footnote w:id="105">
    <w:p w14:paraId="0500D6BD" w14:textId="658DFBBE"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folios 4186 y 4187).</w:t>
      </w:r>
    </w:p>
  </w:footnote>
  <w:footnote w:id="106">
    <w:p w14:paraId="05988DE9" w14:textId="08FECE8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4696).</w:t>
      </w:r>
    </w:p>
  </w:footnote>
  <w:footnote w:id="107">
    <w:p w14:paraId="71ABD518" w14:textId="625F499A" w:rsidR="00AD6B70" w:rsidRPr="00BB25AB" w:rsidRDefault="00AD6B70" w:rsidP="00BB25AB">
      <w:pPr>
        <w:widowControl/>
        <w:autoSpaceDE w:val="0"/>
        <w:autoSpaceDN w:val="0"/>
        <w:spacing w:before="40" w:after="40" w:line="240" w:lineRule="auto"/>
        <w:textAlignment w:val="auto"/>
        <w:rPr>
          <w:sz w:val="16"/>
          <w:szCs w:val="16"/>
          <w:lang w:val="es-ES_tradnl"/>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4843).</w:t>
      </w:r>
    </w:p>
  </w:footnote>
  <w:footnote w:id="108">
    <w:p w14:paraId="41776A82" w14:textId="20E3DE69"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Fondo no. 61/19, Caso 12.229, OEA/</w:t>
      </w:r>
      <w:proofErr w:type="spellStart"/>
      <w:r w:rsidRPr="00BB25AB">
        <w:rPr>
          <w:sz w:val="16"/>
          <w:szCs w:val="16"/>
        </w:rPr>
        <w:t>Ser.L</w:t>
      </w:r>
      <w:proofErr w:type="spellEnd"/>
      <w:r w:rsidRPr="00BB25AB">
        <w:rPr>
          <w:sz w:val="16"/>
          <w:szCs w:val="16"/>
        </w:rPr>
        <w:t xml:space="preserve">/V/II.172, de 4 de mayo de 2019, párr. 151 (expediente de fondo, folio 43); Escrito de solicitudes, argumentos y pruebas, pág. 56 (expediente de fondo, folio 174), y Contestación del Estado, párr. 511 (expediente de fondo, folio 494). Ver también, Procuraduría General de Justicia del Distrito Federal, Decisión de </w:t>
      </w:r>
      <w:r w:rsidRPr="00BB25AB">
        <w:rPr>
          <w:rFonts w:eastAsiaTheme="minorHAnsi" w:cs="Arial"/>
          <w:sz w:val="16"/>
          <w:szCs w:val="16"/>
          <w:lang w:eastAsia="en-US"/>
        </w:rPr>
        <w:t>26 de noviembre de 2010 (expediente de prueba, folio 4853).</w:t>
      </w:r>
    </w:p>
  </w:footnote>
  <w:footnote w:id="109">
    <w:p w14:paraId="37B0BF9E" w14:textId="6807D91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Fondo no. 61/19, Caso 12.229, OEA/</w:t>
      </w:r>
      <w:proofErr w:type="spellStart"/>
      <w:r w:rsidRPr="00BB25AB">
        <w:rPr>
          <w:sz w:val="16"/>
          <w:szCs w:val="16"/>
        </w:rPr>
        <w:t>Ser.L</w:t>
      </w:r>
      <w:proofErr w:type="spellEnd"/>
      <w:r w:rsidRPr="00BB25AB">
        <w:rPr>
          <w:sz w:val="16"/>
          <w:szCs w:val="16"/>
        </w:rPr>
        <w:t>/V/II.172, de 4 de mayo de 2019, párr. 151 (expediente de fondo, folio 43); Escrito de solicitudes, argumentos y pruebas, pág. 56 (expediente de fondo, folio 174), y Contestación del Estado, párr. 512 (expediente de fondo, folio 494).</w:t>
      </w:r>
    </w:p>
  </w:footnote>
  <w:footnote w:id="110">
    <w:p w14:paraId="391B8927" w14:textId="77990FA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folios 4187 y 4856).</w:t>
      </w:r>
    </w:p>
  </w:footnote>
  <w:footnote w:id="111">
    <w:p w14:paraId="646AB27F" w14:textId="4EC869F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4188).</w:t>
      </w:r>
    </w:p>
  </w:footnote>
  <w:footnote w:id="112">
    <w:p w14:paraId="119F154B" w14:textId="3262861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folios 4182 a 7218).</w:t>
      </w:r>
    </w:p>
  </w:footnote>
  <w:footnote w:id="113">
    <w:p w14:paraId="0E71348D" w14:textId="1A0F063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Resolución de amparo del Juez Séptimo de Distrito de Amparo en Materia Penal en la Ciudad de México de 19 de agosto de 2011 (expediente de prueba, folio 7787).</w:t>
      </w:r>
    </w:p>
  </w:footnote>
  <w:footnote w:id="114">
    <w:p w14:paraId="1554F456" w14:textId="1BA4CDE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Contestación del Estado, párr. 523 (expediente de fondo, folio 497).</w:t>
      </w:r>
    </w:p>
  </w:footnote>
  <w:footnote w:id="115">
    <w:p w14:paraId="6BD83081" w14:textId="4EDF675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Informe de verificación de la prueba técnica en la investigación criminal de la muerte de Digna Ochoa y Plácido realizada por la fiscalía Especial de la Procuraduría General de Justicia del Distrito Federal de México, 27 de mayo de 2003 (expediente de prueba, folios 8997 a 9047). Ver también, </w:t>
      </w:r>
      <w:r w:rsidRPr="00BB25AB">
        <w:rPr>
          <w:rFonts w:eastAsiaTheme="minorHAnsi" w:cs="Arial"/>
          <w:sz w:val="16"/>
          <w:szCs w:val="16"/>
          <w:lang w:eastAsia="en-US"/>
        </w:rPr>
        <w:t>CDHDF, Informe especial sobre las irregularidades en la averiguación previa iniciada por la muerte de la licenciada Digna Ochoa y Plácido, párr. 454 (expediente de prueba, folio 3913).</w:t>
      </w:r>
    </w:p>
  </w:footnote>
  <w:footnote w:id="116">
    <w:p w14:paraId="28428D9F" w14:textId="191A0F1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 9045).</w:t>
      </w:r>
    </w:p>
  </w:footnote>
  <w:footnote w:id="117">
    <w:p w14:paraId="34FA3643" w14:textId="3F689E1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 9045).</w:t>
      </w:r>
    </w:p>
  </w:footnote>
  <w:footnote w:id="118">
    <w:p w14:paraId="57102E3E" w14:textId="635F4BA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 9045).</w:t>
      </w:r>
    </w:p>
  </w:footnote>
  <w:footnote w:id="119">
    <w:p w14:paraId="49EA5899" w14:textId="20CBA2D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 9047).</w:t>
      </w:r>
    </w:p>
  </w:footnote>
  <w:footnote w:id="120">
    <w:p w14:paraId="12A667DD"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 (expediente de prueba, folios 3808 a 3919).</w:t>
      </w:r>
    </w:p>
  </w:footnote>
  <w:footnote w:id="121">
    <w:p w14:paraId="14EB4049" w14:textId="53E2112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13 (expediente de prueba, folio 3813, folios 3830 a 3839, folios 3836 a 3919, folio 3837, folio 3849, folios 3849 y 3916, folio 3817, folio 3817 y folios 3817 a 3918).</w:t>
      </w:r>
    </w:p>
  </w:footnote>
  <w:footnote w:id="122">
    <w:p w14:paraId="673CBC93"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CDHDF, Informe especial sobre las irregularidades en la averiguación previa iniciada por la muerte de la licenciada Digna Ochoa y Plácido, </w:t>
      </w:r>
      <w:proofErr w:type="spellStart"/>
      <w:r w:rsidRPr="00BB25AB">
        <w:rPr>
          <w:rFonts w:eastAsiaTheme="minorHAnsi" w:cs="Arial"/>
          <w:sz w:val="16"/>
          <w:szCs w:val="16"/>
          <w:lang w:eastAsia="en-US"/>
        </w:rPr>
        <w:t>párrs</w:t>
      </w:r>
      <w:proofErr w:type="spellEnd"/>
      <w:r w:rsidRPr="00BB25AB">
        <w:rPr>
          <w:rFonts w:eastAsiaTheme="minorHAnsi" w:cs="Arial"/>
          <w:sz w:val="16"/>
          <w:szCs w:val="16"/>
          <w:lang w:eastAsia="en-US"/>
        </w:rPr>
        <w:t>. 75 a 127 (expediente de prueba, folios 3830 a 3839).</w:t>
      </w:r>
    </w:p>
  </w:footnote>
  <w:footnote w:id="123">
    <w:p w14:paraId="2D01214E" w14:textId="660811B9" w:rsidR="00AD6B70" w:rsidRPr="00BB25AB" w:rsidRDefault="00AD6B70" w:rsidP="00BB25AB">
      <w:pPr>
        <w:widowControl/>
        <w:autoSpaceDE w:val="0"/>
        <w:autoSpaceDN w:val="0"/>
        <w:spacing w:before="40" w:after="40" w:line="240" w:lineRule="auto"/>
        <w:textAlignment w:val="auto"/>
        <w:rPr>
          <w:rFonts w:eastAsiaTheme="minorHAnsi"/>
          <w:i/>
          <w:iCs/>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eastAsiaTheme="minorHAnsi" w:cs="Arial"/>
          <w:sz w:val="16"/>
          <w:szCs w:val="16"/>
          <w:lang w:eastAsia="en-US"/>
        </w:rPr>
        <w:t>El primero fue un perito criminalista que efectuó el “</w:t>
      </w:r>
      <w:r w:rsidRPr="00BB25AB">
        <w:rPr>
          <w:rFonts w:eastAsiaTheme="minorHAnsi"/>
          <w:iCs/>
          <w:sz w:val="16"/>
          <w:szCs w:val="16"/>
          <w:lang w:eastAsia="en-US"/>
        </w:rPr>
        <w:t>dictamen de muerte violenta por proyectil de arma de fuego”,</w:t>
      </w:r>
      <w:r w:rsidRPr="00BB25AB">
        <w:rPr>
          <w:rFonts w:eastAsiaTheme="minorHAnsi"/>
          <w:i/>
          <w:iCs/>
          <w:sz w:val="16"/>
          <w:szCs w:val="16"/>
          <w:lang w:eastAsia="en-US"/>
        </w:rPr>
        <w:t xml:space="preserve"> </w:t>
      </w:r>
      <w:r w:rsidRPr="00BB25AB">
        <w:rPr>
          <w:rFonts w:eastAsiaTheme="minorHAnsi"/>
          <w:iCs/>
          <w:sz w:val="16"/>
          <w:szCs w:val="16"/>
          <w:lang w:eastAsia="en-US"/>
        </w:rPr>
        <w:t>el</w:t>
      </w:r>
      <w:r w:rsidRPr="00BB25AB">
        <w:rPr>
          <w:rFonts w:eastAsiaTheme="minorHAnsi" w:cs="Arial"/>
          <w:sz w:val="16"/>
          <w:szCs w:val="16"/>
          <w:lang w:eastAsia="en-US"/>
        </w:rPr>
        <w:t xml:space="preserve"> segundo fue un perito médico legista, adscrito a los Servicios Periciales que realizó el </w:t>
      </w:r>
      <w:r w:rsidRPr="00BB25AB">
        <w:rPr>
          <w:rFonts w:eastAsiaTheme="minorHAnsi"/>
          <w:iCs/>
          <w:sz w:val="16"/>
          <w:szCs w:val="16"/>
          <w:lang w:eastAsia="en-US"/>
        </w:rPr>
        <w:t>acta</w:t>
      </w:r>
      <w:r w:rsidRPr="00BB25AB">
        <w:rPr>
          <w:rFonts w:eastAsiaTheme="minorHAnsi"/>
          <w:i/>
          <w:iCs/>
          <w:sz w:val="16"/>
          <w:szCs w:val="16"/>
          <w:lang w:eastAsia="en-US"/>
        </w:rPr>
        <w:t xml:space="preserve"> </w:t>
      </w:r>
      <w:r w:rsidRPr="00BB25AB">
        <w:rPr>
          <w:rFonts w:eastAsiaTheme="minorHAnsi" w:cs="Arial"/>
          <w:sz w:val="16"/>
          <w:szCs w:val="16"/>
          <w:lang w:eastAsia="en-US"/>
        </w:rPr>
        <w:t xml:space="preserve">médica y finalmente otro perito de médico efectuó el </w:t>
      </w:r>
      <w:r w:rsidRPr="00BB25AB">
        <w:rPr>
          <w:rFonts w:eastAsiaTheme="minorHAnsi"/>
          <w:iCs/>
          <w:sz w:val="16"/>
          <w:szCs w:val="16"/>
          <w:lang w:eastAsia="en-US"/>
        </w:rPr>
        <w:t>seguimiento</w:t>
      </w:r>
      <w:r w:rsidRPr="00BB25AB">
        <w:rPr>
          <w:rFonts w:eastAsiaTheme="minorHAnsi"/>
          <w:i/>
          <w:iCs/>
          <w:sz w:val="16"/>
          <w:szCs w:val="16"/>
          <w:lang w:eastAsia="en-US"/>
        </w:rPr>
        <w:t>.</w:t>
      </w:r>
      <w:r w:rsidRPr="00BB25AB">
        <w:rPr>
          <w:i/>
          <w:sz w:val="16"/>
          <w:szCs w:val="16"/>
        </w:rPr>
        <w:t xml:space="preserve"> 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336 (expediente de prueba, folio 3885).</w:t>
      </w:r>
    </w:p>
  </w:footnote>
  <w:footnote w:id="124">
    <w:p w14:paraId="7A312632" w14:textId="33DA6562" w:rsidR="00AD6B70" w:rsidRPr="00BB25AB" w:rsidRDefault="00AD6B70" w:rsidP="00BB25AB">
      <w:pPr>
        <w:pStyle w:val="Textonotapie"/>
        <w:tabs>
          <w:tab w:val="left" w:pos="567"/>
        </w:tabs>
        <w:spacing w:before="40" w:after="40"/>
        <w:rPr>
          <w:color w:val="000000" w:themeColor="text1"/>
          <w:sz w:val="16"/>
          <w:szCs w:val="16"/>
        </w:rPr>
      </w:pPr>
      <w:r w:rsidRPr="00BB25AB">
        <w:rPr>
          <w:rStyle w:val="Refdenotaalpie"/>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t xml:space="preserve">Artículos 4, 5, 8, 25 y 11 de la Convención Americana sobre Derechos Humanos. </w:t>
      </w:r>
    </w:p>
  </w:footnote>
  <w:footnote w:id="125">
    <w:p w14:paraId="3307EB13" w14:textId="77777777" w:rsidR="00AD6B70" w:rsidRPr="00BB25AB" w:rsidRDefault="00AD6B70" w:rsidP="00BB25AB">
      <w:pPr>
        <w:pStyle w:val="Textonotapie"/>
        <w:spacing w:before="40" w:after="40"/>
        <w:rPr>
          <w:bCs/>
          <w:i/>
          <w:sz w:val="16"/>
          <w:szCs w:val="16"/>
        </w:rPr>
      </w:pPr>
      <w:r w:rsidRPr="00BB25AB">
        <w:rPr>
          <w:rStyle w:val="Refdenotaalpie"/>
          <w:rFonts w:eastAsia="MS Mincho"/>
          <w:sz w:val="16"/>
          <w:szCs w:val="16"/>
        </w:rPr>
        <w:footnoteRef/>
      </w:r>
      <w:r w:rsidRPr="00BB25AB">
        <w:rPr>
          <w:sz w:val="16"/>
          <w:szCs w:val="16"/>
        </w:rPr>
        <w:t xml:space="preserve"> </w:t>
      </w:r>
      <w:r w:rsidRPr="00BB25AB">
        <w:rPr>
          <w:sz w:val="16"/>
          <w:szCs w:val="16"/>
        </w:rPr>
        <w:tab/>
      </w:r>
      <w:r w:rsidRPr="00BB25AB">
        <w:rPr>
          <w:i/>
          <w:sz w:val="16"/>
          <w:szCs w:val="16"/>
        </w:rPr>
        <w:t xml:space="preserve">Cfr. </w:t>
      </w:r>
      <w:r w:rsidRPr="00BB25AB">
        <w:rPr>
          <w:rFonts w:cs="Courier New"/>
          <w:i/>
          <w:sz w:val="16"/>
          <w:szCs w:val="16"/>
        </w:rPr>
        <w:t>Caso Velásquez Rodríguez Vs. Honduras. Excepciones Preliminares.</w:t>
      </w:r>
      <w:r w:rsidRPr="00BB25AB">
        <w:rPr>
          <w:rFonts w:cs="Courier New"/>
          <w:sz w:val="16"/>
          <w:szCs w:val="16"/>
        </w:rPr>
        <w:t xml:space="preserve"> Sentencia de 26 de junio de 1987. Serie C No. 1</w:t>
      </w:r>
      <w:r w:rsidRPr="00BB25AB">
        <w:rPr>
          <w:bCs/>
          <w:sz w:val="16"/>
          <w:szCs w:val="16"/>
        </w:rPr>
        <w:t xml:space="preserve">, párr. 91, </w:t>
      </w:r>
      <w:r w:rsidRPr="00BB25AB">
        <w:rPr>
          <w:sz w:val="16"/>
          <w:szCs w:val="16"/>
        </w:rPr>
        <w:t>y</w:t>
      </w:r>
      <w:r w:rsidRPr="00BB25AB">
        <w:rPr>
          <w:i/>
          <w:sz w:val="16"/>
          <w:szCs w:val="16"/>
        </w:rPr>
        <w:t xml:space="preserve"> </w:t>
      </w:r>
      <w:r w:rsidRPr="00BB25AB">
        <w:rPr>
          <w:rFonts w:cs="Arial"/>
          <w:i/>
          <w:sz w:val="16"/>
          <w:szCs w:val="16"/>
          <w:shd w:val="clear" w:color="auto" w:fill="FFFFFF"/>
        </w:rPr>
        <w:t>Caso Guerrero, Molina y otros Vs. Venezuela. Fondo, Reparaciones y Costas.</w:t>
      </w:r>
      <w:r w:rsidRPr="00BB25AB">
        <w:rPr>
          <w:rFonts w:cs="Arial"/>
          <w:sz w:val="16"/>
          <w:szCs w:val="16"/>
          <w:shd w:val="clear" w:color="auto" w:fill="FFFFFF"/>
        </w:rPr>
        <w:t xml:space="preserve"> Sentencia de 3 de junio de 2021. Serie C No. 424, párr. 136.</w:t>
      </w:r>
    </w:p>
  </w:footnote>
  <w:footnote w:id="126">
    <w:p w14:paraId="61687209" w14:textId="25800585" w:rsidR="00AD6B70" w:rsidRPr="00BB25AB" w:rsidRDefault="00AD6B70" w:rsidP="00BB25AB">
      <w:pPr>
        <w:pStyle w:val="Textonotapie"/>
        <w:spacing w:before="40" w:after="40"/>
        <w:rPr>
          <w:bCs/>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cs="Courier New"/>
          <w:i/>
          <w:sz w:val="16"/>
          <w:szCs w:val="16"/>
        </w:rPr>
        <w:t>Cfr. Caso Velásquez Rodríguez. Fondo, supra, párr. 177, y Caso Acosta y otros Vs. Nicaragua. Excepciones Preliminares, Fondo, Reparaciones y Costas.</w:t>
      </w:r>
      <w:r w:rsidRPr="00BB25AB">
        <w:rPr>
          <w:spacing w:val="-12"/>
          <w:sz w:val="16"/>
          <w:szCs w:val="16"/>
        </w:rPr>
        <w:t xml:space="preserve"> </w:t>
      </w:r>
      <w:r w:rsidRPr="00BB25AB">
        <w:rPr>
          <w:bCs/>
          <w:sz w:val="16"/>
          <w:szCs w:val="16"/>
        </w:rPr>
        <w:t>Sentencia de 25 de marzo de 2017. Serie C No. 334, párr. 132.</w:t>
      </w:r>
    </w:p>
  </w:footnote>
  <w:footnote w:id="127">
    <w:p w14:paraId="3502E0A0" w14:textId="635F3F1F" w:rsidR="00AD6B70" w:rsidRPr="00BB25AB" w:rsidRDefault="00AD6B70" w:rsidP="00BB25AB">
      <w:pPr>
        <w:spacing w:before="40" w:after="40" w:line="240" w:lineRule="auto"/>
        <w:rPr>
          <w:sz w:val="16"/>
          <w:szCs w:val="16"/>
        </w:rPr>
      </w:pPr>
      <w:r w:rsidRPr="00BB25AB">
        <w:rPr>
          <w:rStyle w:val="Refdenotaalpie"/>
          <w:sz w:val="16"/>
          <w:szCs w:val="16"/>
        </w:rPr>
        <w:footnoteRef/>
      </w:r>
      <w:r w:rsidRPr="00BB25AB">
        <w:rPr>
          <w:sz w:val="16"/>
          <w:szCs w:val="16"/>
          <w:lang w:val="es-ES_tradnl"/>
        </w:rPr>
        <w:tab/>
      </w:r>
      <w:r w:rsidRPr="00BB25AB">
        <w:rPr>
          <w:rFonts w:cs="Verdana-Italic"/>
          <w:i/>
          <w:iCs/>
          <w:sz w:val="16"/>
          <w:szCs w:val="16"/>
          <w:lang w:val="es-ES_tradnl"/>
        </w:rPr>
        <w:t xml:space="preserve">Cfr. </w:t>
      </w:r>
      <w:r w:rsidRPr="00BB25AB">
        <w:rPr>
          <w:i/>
          <w:sz w:val="16"/>
          <w:szCs w:val="16"/>
          <w:lang w:val="es-ES_tradnl"/>
        </w:rPr>
        <w:t xml:space="preserve">Caso Nogueira de Carvalho y otros Vs. </w:t>
      </w:r>
      <w:r w:rsidRPr="00BB25AB">
        <w:rPr>
          <w:i/>
          <w:sz w:val="16"/>
          <w:szCs w:val="16"/>
        </w:rPr>
        <w:t>Brasil. Excepciones Preliminares y Fondo</w:t>
      </w:r>
      <w:r w:rsidRPr="00BB25AB">
        <w:rPr>
          <w:sz w:val="16"/>
          <w:szCs w:val="16"/>
        </w:rPr>
        <w:t xml:space="preserve">. Sentencia de 28 de noviembre de 2006. Serie C No. 161, párr. 74, y </w:t>
      </w:r>
      <w:r w:rsidRPr="00BB25AB">
        <w:rPr>
          <w:i/>
          <w:sz w:val="16"/>
          <w:szCs w:val="16"/>
        </w:rPr>
        <w:t xml:space="preserve">Caso </w:t>
      </w:r>
      <w:proofErr w:type="spellStart"/>
      <w:r w:rsidRPr="00BB25AB">
        <w:rPr>
          <w:i/>
          <w:sz w:val="16"/>
          <w:szCs w:val="16"/>
        </w:rPr>
        <w:t>Fleury</w:t>
      </w:r>
      <w:proofErr w:type="spellEnd"/>
      <w:r w:rsidRPr="00BB25AB">
        <w:rPr>
          <w:i/>
          <w:sz w:val="16"/>
          <w:szCs w:val="16"/>
        </w:rPr>
        <w:t xml:space="preserve"> y otros Vs. Haití. Fondo y Reparaciones. </w:t>
      </w:r>
      <w:r w:rsidRPr="00BB25AB">
        <w:rPr>
          <w:sz w:val="16"/>
          <w:szCs w:val="16"/>
        </w:rPr>
        <w:t>Sentencia de 23 de noviembre de 2011. Serie C No. 236, párr. 80.</w:t>
      </w:r>
    </w:p>
  </w:footnote>
  <w:footnote w:id="128">
    <w:p w14:paraId="3E4D0CD9" w14:textId="56748162"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pacing w:val="-12"/>
          <w:sz w:val="16"/>
          <w:szCs w:val="16"/>
          <w:lang w:val="es-GT"/>
        </w:rPr>
        <w:t xml:space="preserve">Cfr. </w:t>
      </w:r>
      <w:r w:rsidRPr="00BB25AB">
        <w:rPr>
          <w:i/>
          <w:sz w:val="16"/>
          <w:szCs w:val="16"/>
        </w:rPr>
        <w:t>Caso Valle Jaramillo y otros Vs. Colombia. Fondo, Reparaciones y Costas.</w:t>
      </w:r>
      <w:r w:rsidRPr="00BB25AB">
        <w:rPr>
          <w:sz w:val="16"/>
          <w:szCs w:val="16"/>
        </w:rPr>
        <w:t xml:space="preserve"> Sentencia de 27 de noviembre de 2008. Serie C No. 192, párr. 88 y </w:t>
      </w:r>
      <w:r w:rsidRPr="00BB25AB">
        <w:rPr>
          <w:i/>
          <w:sz w:val="16"/>
          <w:szCs w:val="16"/>
        </w:rPr>
        <w:t xml:space="preserve">Caso </w:t>
      </w:r>
      <w:proofErr w:type="spellStart"/>
      <w:r w:rsidRPr="00BB25AB">
        <w:rPr>
          <w:i/>
          <w:sz w:val="16"/>
          <w:szCs w:val="16"/>
        </w:rPr>
        <w:t>Fleury</w:t>
      </w:r>
      <w:proofErr w:type="spellEnd"/>
      <w:r w:rsidRPr="00BB25AB">
        <w:rPr>
          <w:i/>
          <w:sz w:val="16"/>
          <w:szCs w:val="16"/>
        </w:rPr>
        <w:t xml:space="preserve"> y otros Vs. Haití, supra</w:t>
      </w:r>
      <w:r w:rsidRPr="00BB25AB">
        <w:rPr>
          <w:sz w:val="16"/>
          <w:szCs w:val="16"/>
        </w:rPr>
        <w:t>, párr. 80.</w:t>
      </w:r>
    </w:p>
  </w:footnote>
  <w:footnote w:id="129">
    <w:p w14:paraId="45F86225" w14:textId="334A697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ab/>
      </w:r>
      <w:r w:rsidRPr="00BB25AB">
        <w:rPr>
          <w:i/>
          <w:sz w:val="16"/>
          <w:szCs w:val="16"/>
        </w:rPr>
        <w:t xml:space="preserve">Cfr. Caso de las Personas Privadas de Libertad en la Penitenciaría </w:t>
      </w:r>
      <w:r w:rsidRPr="00BB25AB">
        <w:rPr>
          <w:i/>
          <w:sz w:val="16"/>
          <w:szCs w:val="16"/>
          <w:lang w:eastAsia="es-ES"/>
        </w:rPr>
        <w:t xml:space="preserve">“Dr. </w:t>
      </w:r>
      <w:proofErr w:type="spellStart"/>
      <w:r w:rsidRPr="00BB25AB">
        <w:rPr>
          <w:i/>
          <w:sz w:val="16"/>
          <w:szCs w:val="16"/>
          <w:lang w:eastAsia="es-ES"/>
        </w:rPr>
        <w:t>Sebastião</w:t>
      </w:r>
      <w:proofErr w:type="spellEnd"/>
      <w:r w:rsidRPr="00BB25AB">
        <w:rPr>
          <w:i/>
          <w:sz w:val="16"/>
          <w:szCs w:val="16"/>
          <w:lang w:eastAsia="es-ES"/>
        </w:rPr>
        <w:t xml:space="preserve"> </w:t>
      </w:r>
      <w:proofErr w:type="spellStart"/>
      <w:r w:rsidRPr="00BB25AB">
        <w:rPr>
          <w:i/>
          <w:sz w:val="16"/>
          <w:szCs w:val="16"/>
          <w:lang w:eastAsia="es-ES"/>
        </w:rPr>
        <w:t>Martins</w:t>
      </w:r>
      <w:proofErr w:type="spellEnd"/>
      <w:r w:rsidRPr="00BB25AB">
        <w:rPr>
          <w:i/>
          <w:sz w:val="16"/>
          <w:szCs w:val="16"/>
          <w:lang w:eastAsia="es-ES"/>
        </w:rPr>
        <w:t xml:space="preserve"> Silveira” </w:t>
      </w:r>
      <w:r w:rsidRPr="00BB25AB">
        <w:rPr>
          <w:i/>
          <w:sz w:val="16"/>
          <w:szCs w:val="16"/>
        </w:rPr>
        <w:t xml:space="preserve">en Araraquara. </w:t>
      </w:r>
      <w:r w:rsidRPr="00BB25AB">
        <w:rPr>
          <w:sz w:val="16"/>
          <w:szCs w:val="16"/>
        </w:rPr>
        <w:t>Medidas Provisionales,</w:t>
      </w:r>
      <w:r w:rsidRPr="00BB25AB">
        <w:rPr>
          <w:i/>
          <w:sz w:val="16"/>
          <w:szCs w:val="16"/>
        </w:rPr>
        <w:t xml:space="preserve"> C</w:t>
      </w:r>
      <w:r w:rsidRPr="00BB25AB">
        <w:rPr>
          <w:sz w:val="16"/>
          <w:szCs w:val="16"/>
        </w:rPr>
        <w:t xml:space="preserve">onsiderando vigésimo cuarto; </w:t>
      </w:r>
      <w:r w:rsidRPr="00BB25AB">
        <w:rPr>
          <w:i/>
          <w:sz w:val="16"/>
          <w:szCs w:val="16"/>
        </w:rPr>
        <w:t xml:space="preserve">Caso Del Internado Judicial De Monagas (“La Pica”). </w:t>
      </w:r>
      <w:r w:rsidRPr="00BB25AB">
        <w:rPr>
          <w:sz w:val="16"/>
          <w:szCs w:val="16"/>
        </w:rPr>
        <w:t>Medidas Provisionales. Resolución de la Corte Interamericana de Derechos Humanos de 9 de febrero de 2006, Considerando decimocuarto;</w:t>
      </w:r>
      <w:r w:rsidRPr="00BB25AB">
        <w:rPr>
          <w:i/>
          <w:sz w:val="16"/>
          <w:szCs w:val="16"/>
        </w:rPr>
        <w:t xml:space="preserve"> </w:t>
      </w:r>
      <w:r w:rsidRPr="00BB25AB">
        <w:rPr>
          <w:rFonts w:cs="Verdana-Bold"/>
          <w:bCs/>
          <w:i/>
          <w:sz w:val="16"/>
          <w:szCs w:val="16"/>
        </w:rPr>
        <w:t xml:space="preserve">Caso Mery Naranjo y otros. </w:t>
      </w:r>
      <w:r w:rsidRPr="00BB25AB">
        <w:rPr>
          <w:rFonts w:cs="Verdana-Bold"/>
          <w:bCs/>
          <w:sz w:val="16"/>
          <w:szCs w:val="16"/>
        </w:rPr>
        <w:t xml:space="preserve">Medidas Provisionales, Considerando octavo; y </w:t>
      </w:r>
      <w:r w:rsidRPr="00BB25AB">
        <w:rPr>
          <w:rFonts w:cs="Verdana-Bold"/>
          <w:bCs/>
          <w:i/>
          <w:sz w:val="16"/>
          <w:szCs w:val="16"/>
        </w:rPr>
        <w:t>Caso de la Fundación de Antropología Forense de Guatemala.</w:t>
      </w:r>
      <w:r w:rsidRPr="00BB25AB">
        <w:rPr>
          <w:rFonts w:cs="Verdana-Bold"/>
          <w:bCs/>
          <w:sz w:val="16"/>
          <w:szCs w:val="16"/>
        </w:rPr>
        <w:t xml:space="preserve"> Medidas Provisionales. </w:t>
      </w:r>
      <w:r w:rsidRPr="00BB25AB">
        <w:rPr>
          <w:sz w:val="16"/>
          <w:szCs w:val="16"/>
        </w:rPr>
        <w:t>Resolución de la Corte Interamericana de Derechos Humanos de 9 de febrero de 2006</w:t>
      </w:r>
      <w:r w:rsidRPr="00BB25AB">
        <w:rPr>
          <w:rFonts w:cs="Verdana-Bold"/>
          <w:bCs/>
          <w:sz w:val="16"/>
          <w:szCs w:val="16"/>
        </w:rPr>
        <w:t>, Considerando décimo segundo.</w:t>
      </w:r>
    </w:p>
  </w:footnote>
  <w:footnote w:id="130">
    <w:p w14:paraId="64D9FF6E" w14:textId="7093AFE5"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 xml:space="preserve">Cfr. Caso Nogueira de Carvalho y otro Vs. </w:t>
      </w:r>
      <w:r w:rsidRPr="00BB25AB">
        <w:rPr>
          <w:i/>
          <w:sz w:val="16"/>
          <w:szCs w:val="16"/>
          <w:lang w:val="es-CR"/>
        </w:rPr>
        <w:t>Brasil. Excepciones Preliminares y Fondo</w:t>
      </w:r>
      <w:r w:rsidRPr="00BB25AB">
        <w:rPr>
          <w:sz w:val="16"/>
          <w:szCs w:val="16"/>
          <w:lang w:val="es-CR"/>
        </w:rPr>
        <w:t>. Sentencia de 28 de noviembre de 2006. Serie C No. 161, párr. 77.</w:t>
      </w:r>
    </w:p>
  </w:footnote>
  <w:footnote w:id="131">
    <w:p w14:paraId="663341D8" w14:textId="0774DEDC"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lang w:val="es-ES"/>
        </w:rPr>
        <w:t xml:space="preserve"> </w:t>
      </w:r>
      <w:r w:rsidRPr="00BB25AB">
        <w:rPr>
          <w:sz w:val="16"/>
          <w:szCs w:val="16"/>
          <w:lang w:val="es-ES"/>
        </w:rPr>
        <w:tab/>
      </w:r>
      <w:r w:rsidRPr="00BB25AB">
        <w:rPr>
          <w:i/>
          <w:sz w:val="16"/>
          <w:szCs w:val="16"/>
          <w:lang w:val="es-ES"/>
        </w:rPr>
        <w:t xml:space="preserve">Cfr. </w:t>
      </w:r>
      <w:r w:rsidRPr="00BB25AB">
        <w:rPr>
          <w:bCs/>
          <w:i/>
          <w:sz w:val="16"/>
          <w:szCs w:val="16"/>
          <w:lang w:val="es-CR"/>
        </w:rPr>
        <w:t xml:space="preserve">Caso Acosta y otros Vs. Nicaragua. Excepciones Preliminares, Fondo, Reparaciones y Costas. </w:t>
      </w:r>
      <w:r w:rsidRPr="00BB25AB">
        <w:rPr>
          <w:bCs/>
          <w:sz w:val="16"/>
          <w:szCs w:val="16"/>
          <w:lang w:val="es-CR"/>
        </w:rPr>
        <w:t>Sentencia de 25 de marzo de 2017. Serie C No. 334</w:t>
      </w:r>
      <w:r w:rsidRPr="00BB25AB">
        <w:rPr>
          <w:bCs/>
          <w:i/>
          <w:sz w:val="16"/>
          <w:szCs w:val="16"/>
          <w:lang w:val="es-CR"/>
        </w:rPr>
        <w:t xml:space="preserve">, </w:t>
      </w:r>
      <w:r w:rsidRPr="00BB25AB">
        <w:rPr>
          <w:bCs/>
          <w:sz w:val="16"/>
          <w:szCs w:val="16"/>
          <w:lang w:val="es-CR"/>
        </w:rPr>
        <w:t>párr.</w:t>
      </w:r>
      <w:r w:rsidRPr="00BB25AB">
        <w:rPr>
          <w:sz w:val="16"/>
          <w:szCs w:val="16"/>
          <w:lang w:val="es-ES"/>
        </w:rPr>
        <w:t xml:space="preserve"> 143, y </w:t>
      </w:r>
      <w:r w:rsidRPr="00BB25AB">
        <w:rPr>
          <w:i/>
          <w:sz w:val="16"/>
          <w:szCs w:val="16"/>
          <w:lang w:val="es-ES"/>
        </w:rPr>
        <w:t>Caso Escaleras Mejía y otros Vs. Honduras</w:t>
      </w:r>
      <w:r w:rsidRPr="00BB25AB">
        <w:rPr>
          <w:sz w:val="16"/>
          <w:szCs w:val="16"/>
          <w:lang w:val="es-ES"/>
        </w:rPr>
        <w:t>. Sentencia de 26 de septiembre de 2018. Serie C No. 361, párr. 47.</w:t>
      </w:r>
    </w:p>
  </w:footnote>
  <w:footnote w:id="132">
    <w:p w14:paraId="2C48830E" w14:textId="66246D4E" w:rsidR="00AD6B70" w:rsidRPr="00BB25AB" w:rsidRDefault="00AD6B70" w:rsidP="00BB25AB">
      <w:pPr>
        <w:pStyle w:val="Textonotapie"/>
        <w:spacing w:before="40" w:after="40"/>
        <w:rPr>
          <w:spacing w:val="-12"/>
          <w:sz w:val="16"/>
          <w:szCs w:val="16"/>
          <w:lang w:val="es-CR"/>
        </w:rPr>
      </w:pPr>
      <w:r w:rsidRPr="00BB25AB">
        <w:rPr>
          <w:rStyle w:val="Refdenotaalpie"/>
          <w:rFonts w:eastAsiaTheme="majorEastAsia"/>
          <w:spacing w:val="-12"/>
          <w:sz w:val="16"/>
          <w:szCs w:val="16"/>
          <w:lang w:val="es-ES"/>
        </w:rPr>
        <w:footnoteRef/>
      </w:r>
      <w:r w:rsidRPr="00BB25AB">
        <w:rPr>
          <w:spacing w:val="-12"/>
          <w:sz w:val="16"/>
          <w:szCs w:val="16"/>
          <w:lang w:val="es-ES"/>
        </w:rPr>
        <w:t xml:space="preserve"> </w:t>
      </w:r>
      <w:r w:rsidRPr="00BB25AB">
        <w:rPr>
          <w:spacing w:val="-12"/>
          <w:sz w:val="16"/>
          <w:szCs w:val="16"/>
          <w:lang w:val="es-ES"/>
        </w:rPr>
        <w:tab/>
      </w:r>
      <w:r w:rsidRPr="00BB25AB">
        <w:rPr>
          <w:i/>
          <w:spacing w:val="-12"/>
          <w:sz w:val="16"/>
          <w:szCs w:val="16"/>
        </w:rPr>
        <w:t xml:space="preserve">Cfr. </w:t>
      </w:r>
      <w:r w:rsidRPr="00BB25AB">
        <w:rPr>
          <w:i/>
          <w:sz w:val="16"/>
          <w:szCs w:val="16"/>
          <w:lang w:val="es-CR"/>
        </w:rPr>
        <w:t>Caso Defensor de derechos humanos y otros Vs. Guatemala.</w:t>
      </w:r>
      <w:r w:rsidRPr="00BB25AB">
        <w:rPr>
          <w:sz w:val="16"/>
          <w:szCs w:val="16"/>
          <w:lang w:val="es-CR"/>
        </w:rPr>
        <w:t xml:space="preserve"> </w:t>
      </w:r>
      <w:r w:rsidRPr="00BB25AB">
        <w:rPr>
          <w:i/>
          <w:sz w:val="16"/>
          <w:szCs w:val="16"/>
          <w:lang w:val="es-CR"/>
        </w:rPr>
        <w:t>Excepciones Preliminares, Fondo, Reparaciones y Costas.</w:t>
      </w:r>
      <w:r w:rsidRPr="00BB25AB">
        <w:rPr>
          <w:sz w:val="16"/>
          <w:szCs w:val="16"/>
          <w:lang w:val="es-CR"/>
        </w:rPr>
        <w:t xml:space="preserve"> Sentencia de 28 de agosto de 2014. Serie C No. 283, </w:t>
      </w:r>
      <w:proofErr w:type="spellStart"/>
      <w:r w:rsidRPr="00BB25AB">
        <w:rPr>
          <w:spacing w:val="-12"/>
          <w:sz w:val="16"/>
          <w:szCs w:val="16"/>
        </w:rPr>
        <w:t>párrs</w:t>
      </w:r>
      <w:proofErr w:type="spellEnd"/>
      <w:r w:rsidRPr="00BB25AB">
        <w:rPr>
          <w:spacing w:val="-12"/>
          <w:sz w:val="16"/>
          <w:szCs w:val="16"/>
        </w:rPr>
        <w:t>. 131, 216, 219,</w:t>
      </w:r>
      <w:r w:rsidRPr="00BB25AB">
        <w:rPr>
          <w:sz w:val="16"/>
          <w:szCs w:val="16"/>
          <w:lang w:val="es-ES"/>
        </w:rPr>
        <w:t xml:space="preserve"> y </w:t>
      </w:r>
      <w:r w:rsidRPr="00BB25AB">
        <w:rPr>
          <w:i/>
          <w:sz w:val="16"/>
          <w:szCs w:val="16"/>
          <w:lang w:val="es-ES"/>
        </w:rPr>
        <w:t>Caso Escaleras Mejía y otros Vs. Honduras</w:t>
      </w:r>
      <w:r w:rsidRPr="00BB25AB">
        <w:rPr>
          <w:i/>
          <w:sz w:val="16"/>
          <w:szCs w:val="16"/>
        </w:rPr>
        <w:t>, supra</w:t>
      </w:r>
      <w:r w:rsidRPr="00BB25AB">
        <w:rPr>
          <w:sz w:val="16"/>
          <w:szCs w:val="16"/>
        </w:rPr>
        <w:t>,</w:t>
      </w:r>
      <w:r w:rsidRPr="00BB25AB">
        <w:rPr>
          <w:sz w:val="16"/>
          <w:szCs w:val="16"/>
          <w:lang w:val="es-ES"/>
        </w:rPr>
        <w:t xml:space="preserve"> párr. 47.</w:t>
      </w:r>
    </w:p>
  </w:footnote>
  <w:footnote w:id="133">
    <w:p w14:paraId="63064099" w14:textId="4CA3FCD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CR"/>
        </w:rPr>
        <w:t xml:space="preserve">Cfr. Mutatis mutandis, </w:t>
      </w:r>
      <w:r w:rsidRPr="00BB25AB">
        <w:rPr>
          <w:i/>
          <w:sz w:val="16"/>
          <w:szCs w:val="16"/>
        </w:rPr>
        <w:t>Caso Bedoya Lima y otra Vs. Colombia. Fondo, Reparaciones y Costas.</w:t>
      </w:r>
      <w:r w:rsidRPr="00BB25AB">
        <w:rPr>
          <w:sz w:val="16"/>
          <w:szCs w:val="16"/>
        </w:rPr>
        <w:t xml:space="preserve"> Sentencia de 26 de agosto de 2021. Serie C No. 431, párr. 95.</w:t>
      </w:r>
    </w:p>
  </w:footnote>
  <w:footnote w:id="134">
    <w:p w14:paraId="648E3D0B" w14:textId="291926C5"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Consejo de Derechos Humanos, Informe de la Sra. Margaret </w:t>
      </w:r>
      <w:proofErr w:type="spellStart"/>
      <w:r w:rsidRPr="00BB25AB">
        <w:rPr>
          <w:sz w:val="16"/>
          <w:szCs w:val="16"/>
        </w:rPr>
        <w:t>Sekaggya</w:t>
      </w:r>
      <w:proofErr w:type="spellEnd"/>
      <w:r w:rsidRPr="00BB25AB">
        <w:rPr>
          <w:sz w:val="16"/>
          <w:szCs w:val="16"/>
        </w:rPr>
        <w:t xml:space="preserve">, Relatora Especial sobre la situación de los defensores de los derechos humanos (A/HRC/16/44), de 20 de diciembre de 2010, párr. 103. </w:t>
      </w:r>
    </w:p>
  </w:footnote>
  <w:footnote w:id="135">
    <w:p w14:paraId="2D8CD6F0" w14:textId="01057567"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rPr>
        <w:t>Cfr</w:t>
      </w:r>
      <w:r w:rsidRPr="00BB25AB">
        <w:rPr>
          <w:sz w:val="16"/>
          <w:szCs w:val="16"/>
        </w:rPr>
        <w:t xml:space="preserve">. Consejo de Derechos Humanos, Informe de la Sra. Margaret </w:t>
      </w:r>
      <w:proofErr w:type="spellStart"/>
      <w:r w:rsidRPr="00BB25AB">
        <w:rPr>
          <w:sz w:val="16"/>
          <w:szCs w:val="16"/>
        </w:rPr>
        <w:t>Sekaggya</w:t>
      </w:r>
      <w:proofErr w:type="spellEnd"/>
      <w:r w:rsidRPr="00BB25AB">
        <w:rPr>
          <w:sz w:val="16"/>
          <w:szCs w:val="16"/>
        </w:rPr>
        <w:t>, Relatora Especial sobre la situación de los defensores de los derechos humanos, Asamblea General de las Naciones Unidas (A/HRC/16/44), de 20 de diciembre de 2010, párr. 109.</w:t>
      </w:r>
    </w:p>
  </w:footnote>
  <w:footnote w:id="136">
    <w:p w14:paraId="2E8B3081" w14:textId="6770349D"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ES"/>
        </w:rPr>
        <w:t>Cfr</w:t>
      </w:r>
      <w:r w:rsidRPr="00BB25AB">
        <w:rPr>
          <w:sz w:val="16"/>
          <w:szCs w:val="16"/>
          <w:lang w:val="es-ES"/>
        </w:rPr>
        <w:t>. CEDAW, Recomendación general núm.33 sobre el acceso de las mujeres a la justicia (</w:t>
      </w:r>
      <w:r w:rsidRPr="00BB25AB">
        <w:rPr>
          <w:sz w:val="16"/>
          <w:szCs w:val="16"/>
        </w:rPr>
        <w:t>CEDAW/C/GC/33)</w:t>
      </w:r>
      <w:r w:rsidRPr="00BB25AB">
        <w:rPr>
          <w:sz w:val="16"/>
          <w:szCs w:val="16"/>
          <w:lang w:val="es-ES"/>
        </w:rPr>
        <w:t xml:space="preserve">, de 3 de agosto de 2015, </w:t>
      </w:r>
      <w:r w:rsidRPr="00BB25AB">
        <w:rPr>
          <w:sz w:val="16"/>
          <w:szCs w:val="16"/>
          <w:lang w:val="es-CR"/>
        </w:rPr>
        <w:t xml:space="preserve">párr. 8. </w:t>
      </w:r>
      <w:r w:rsidRPr="00BB25AB">
        <w:rPr>
          <w:sz w:val="16"/>
          <w:szCs w:val="16"/>
          <w:lang w:val="es-ES"/>
        </w:rPr>
        <w:t xml:space="preserve">Ver también, </w:t>
      </w:r>
      <w:r w:rsidRPr="00BB25AB">
        <w:rPr>
          <w:sz w:val="16"/>
          <w:szCs w:val="16"/>
        </w:rPr>
        <w:t xml:space="preserve">Consejo de Derechos Humanos, Informe del Sr. Michel Forst, Relator </w:t>
      </w:r>
      <w:r w:rsidRPr="00BB25AB">
        <w:rPr>
          <w:sz w:val="16"/>
          <w:szCs w:val="16"/>
          <w:lang w:val="es-ES"/>
        </w:rPr>
        <w:t>Es</w:t>
      </w:r>
      <w:r w:rsidRPr="00BB25AB">
        <w:rPr>
          <w:sz w:val="16"/>
          <w:szCs w:val="16"/>
        </w:rPr>
        <w:t xml:space="preserve"> Especial sobre la situación de los defensores de los derechos humano</w:t>
      </w:r>
      <w:r w:rsidRPr="00BB25AB">
        <w:rPr>
          <w:sz w:val="16"/>
          <w:szCs w:val="16"/>
          <w:lang w:val="es-ES"/>
        </w:rPr>
        <w:t>s (A/HRC/40/60), de 10 de enero de 2019, párr. 34.</w:t>
      </w:r>
    </w:p>
  </w:footnote>
  <w:footnote w:id="137">
    <w:p w14:paraId="0A952048" w14:textId="30AAE7A5"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lang w:val="es-ES"/>
        </w:rPr>
        <w:tab/>
      </w:r>
      <w:r w:rsidRPr="00BB25AB">
        <w:rPr>
          <w:i/>
          <w:sz w:val="16"/>
          <w:szCs w:val="16"/>
          <w:lang w:val="es-ES"/>
        </w:rPr>
        <w:t>Cfr</w:t>
      </w:r>
      <w:r w:rsidRPr="00BB25AB">
        <w:rPr>
          <w:sz w:val="16"/>
          <w:szCs w:val="16"/>
          <w:lang w:val="es-ES"/>
        </w:rPr>
        <w:t>. CEDAW, Recomendación general núm.33 sobre el acceso de las mujeres a la justicia (</w:t>
      </w:r>
      <w:r w:rsidRPr="00BB25AB">
        <w:rPr>
          <w:sz w:val="16"/>
          <w:szCs w:val="16"/>
        </w:rPr>
        <w:t>CEDAW/C/GC/33)</w:t>
      </w:r>
      <w:r w:rsidRPr="00BB25AB">
        <w:rPr>
          <w:sz w:val="16"/>
          <w:szCs w:val="16"/>
          <w:lang w:val="es-ES"/>
        </w:rPr>
        <w:t xml:space="preserve">, de 3 de agosto de </w:t>
      </w:r>
      <w:r w:rsidRPr="00BB25AB">
        <w:rPr>
          <w:rStyle w:val="Refdenotaalpie"/>
          <w:sz w:val="16"/>
          <w:szCs w:val="16"/>
          <w:vertAlign w:val="baseline"/>
        </w:rPr>
        <w:t>2015</w:t>
      </w:r>
      <w:r w:rsidRPr="00BB25AB">
        <w:rPr>
          <w:sz w:val="16"/>
          <w:szCs w:val="16"/>
          <w:lang w:val="es-ES"/>
        </w:rPr>
        <w:t xml:space="preserve">, </w:t>
      </w:r>
      <w:proofErr w:type="spellStart"/>
      <w:r w:rsidRPr="00BB25AB">
        <w:rPr>
          <w:sz w:val="16"/>
          <w:szCs w:val="16"/>
          <w:lang w:val="es-ES"/>
        </w:rPr>
        <w:t>párrs</w:t>
      </w:r>
      <w:proofErr w:type="spellEnd"/>
      <w:r w:rsidRPr="00BB25AB">
        <w:rPr>
          <w:sz w:val="16"/>
          <w:szCs w:val="16"/>
          <w:lang w:val="es-ES"/>
        </w:rPr>
        <w:t xml:space="preserve">. 14, 15 y 18. Ver también, </w:t>
      </w:r>
      <w:r w:rsidRPr="00BB25AB">
        <w:rPr>
          <w:sz w:val="16"/>
          <w:szCs w:val="16"/>
        </w:rPr>
        <w:t>Consejo de Derechos Humanos, Informe del Sr. Michel Forst, Relator Especial sobre la situación de los defensores de los derechos humano</w:t>
      </w:r>
      <w:r w:rsidRPr="00BB25AB">
        <w:rPr>
          <w:sz w:val="16"/>
          <w:szCs w:val="16"/>
          <w:lang w:val="es-ES"/>
        </w:rPr>
        <w:t>s (A/HRC/40/60), de 10 de enero de 2019, párr. 98.</w:t>
      </w:r>
    </w:p>
  </w:footnote>
  <w:footnote w:id="138">
    <w:p w14:paraId="6305B3D8" w14:textId="77777777"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ES"/>
        </w:rPr>
        <w:t xml:space="preserve"> </w:t>
      </w:r>
      <w:r w:rsidRPr="00BB25AB">
        <w:rPr>
          <w:sz w:val="16"/>
          <w:szCs w:val="16"/>
          <w:lang w:val="es-ES"/>
        </w:rPr>
        <w:tab/>
      </w:r>
      <w:r w:rsidRPr="00BB25AB">
        <w:rPr>
          <w:i/>
          <w:sz w:val="16"/>
          <w:szCs w:val="16"/>
          <w:lang w:val="es-ES"/>
        </w:rPr>
        <w:t xml:space="preserve">Cfr. Caso Nogueira de Carvalho y otro Vs. </w:t>
      </w:r>
      <w:r w:rsidRPr="00BB25AB">
        <w:rPr>
          <w:i/>
          <w:sz w:val="16"/>
          <w:szCs w:val="16"/>
          <w:lang w:val="es-CR"/>
        </w:rPr>
        <w:t>Brasil. Excepciones Preliminares y Fondo</w:t>
      </w:r>
      <w:r w:rsidRPr="00BB25AB">
        <w:rPr>
          <w:sz w:val="16"/>
          <w:szCs w:val="16"/>
          <w:lang w:val="es-CR"/>
        </w:rPr>
        <w:t>. Sentencia de 28 de noviembre de 2006. Serie C No. 161, párr. 80.</w:t>
      </w:r>
    </w:p>
  </w:footnote>
  <w:footnote w:id="139">
    <w:p w14:paraId="6CD15496" w14:textId="0C30081C" w:rsidR="00AD6B70" w:rsidRPr="00BB25AB" w:rsidRDefault="00AD6B70" w:rsidP="00BB25AB">
      <w:pPr>
        <w:pStyle w:val="Textonotapie"/>
        <w:spacing w:before="40" w:after="40"/>
        <w:rPr>
          <w:sz w:val="16"/>
          <w:szCs w:val="16"/>
          <w:lang w:val="es-CR"/>
        </w:rPr>
      </w:pPr>
      <w:r w:rsidRPr="00BB25AB">
        <w:rPr>
          <w:rStyle w:val="Refdenotaalpie"/>
          <w:spacing w:val="-12"/>
          <w:sz w:val="16"/>
          <w:szCs w:val="16"/>
        </w:rPr>
        <w:footnoteRef/>
      </w:r>
      <w:r w:rsidRPr="00BB25AB">
        <w:rPr>
          <w:spacing w:val="-12"/>
          <w:sz w:val="16"/>
          <w:szCs w:val="16"/>
          <w:lang w:val="es-CR"/>
        </w:rPr>
        <w:t xml:space="preserve"> </w:t>
      </w:r>
      <w:r w:rsidRPr="00BB25AB">
        <w:rPr>
          <w:spacing w:val="-12"/>
          <w:sz w:val="16"/>
          <w:szCs w:val="16"/>
          <w:lang w:val="es-CR"/>
        </w:rPr>
        <w:tab/>
      </w:r>
      <w:r w:rsidRPr="00BB25AB">
        <w:rPr>
          <w:i/>
          <w:sz w:val="16"/>
          <w:szCs w:val="16"/>
          <w:lang w:val="es-ES"/>
        </w:rPr>
        <w:t>Cfr. Caso Servellón García y otros Vs. Honduras, supra,</w:t>
      </w:r>
      <w:r w:rsidRPr="00BB25AB">
        <w:rPr>
          <w:spacing w:val="-12"/>
          <w:sz w:val="16"/>
          <w:szCs w:val="16"/>
          <w:lang w:val="es-CR"/>
        </w:rPr>
        <w:t xml:space="preserve"> </w:t>
      </w:r>
      <w:r w:rsidRPr="00BB25AB">
        <w:rPr>
          <w:sz w:val="16"/>
          <w:szCs w:val="16"/>
          <w:lang w:val="es-CR"/>
        </w:rPr>
        <w:t xml:space="preserve">párr. 120, y </w:t>
      </w:r>
      <w:r w:rsidRPr="00BB25AB">
        <w:rPr>
          <w:i/>
          <w:sz w:val="16"/>
          <w:szCs w:val="16"/>
          <w:lang w:val="es-ES"/>
        </w:rPr>
        <w:t>Caso Acosta y otros Vs. Nicaragua. Excepciones Preliminares, Fondo, Reparaciones y Costas</w:t>
      </w:r>
      <w:r w:rsidRPr="00BB25AB">
        <w:rPr>
          <w:sz w:val="16"/>
          <w:szCs w:val="16"/>
          <w:lang w:val="es-CR"/>
        </w:rPr>
        <w:t>. Sentencia de 25 de marzo de 2017. Serie C No. 334, párr. 135.</w:t>
      </w:r>
    </w:p>
  </w:footnote>
  <w:footnote w:id="140">
    <w:p w14:paraId="4931DCC6" w14:textId="77777777"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Calibri"/>
          <w:sz w:val="16"/>
          <w:szCs w:val="16"/>
        </w:rPr>
        <w:t xml:space="preserve">Peritaje de </w:t>
      </w:r>
      <w:r w:rsidRPr="00BB25AB">
        <w:rPr>
          <w:rFonts w:eastAsiaTheme="minorHAnsi" w:cs="Arial"/>
          <w:sz w:val="16"/>
          <w:szCs w:val="16"/>
          <w:lang w:eastAsia="en-US"/>
        </w:rPr>
        <w:t>Ángela María Buitrago</w:t>
      </w:r>
      <w:r w:rsidRPr="00BB25AB">
        <w:rPr>
          <w:rFonts w:cs="Calibri"/>
          <w:sz w:val="16"/>
          <w:szCs w:val="16"/>
        </w:rPr>
        <w:t xml:space="preserve"> rendido en la audiencia pública celebrada los días 27 y 27 de abril de 2021 en el marco del 141 Período Ordinario de Sesiones, y </w:t>
      </w:r>
      <w:r w:rsidRPr="00BB25AB">
        <w:rPr>
          <w:rFonts w:eastAsiaTheme="minorHAnsi" w:cs="Arial"/>
          <w:sz w:val="16"/>
          <w:szCs w:val="16"/>
          <w:lang w:eastAsia="en-US"/>
        </w:rPr>
        <w:t xml:space="preserve">Peritaje rendido por </w:t>
      </w:r>
      <w:r w:rsidRPr="00BB25AB">
        <w:rPr>
          <w:rFonts w:eastAsiaTheme="minorHAnsi" w:cs="Arial"/>
          <w:i/>
          <w:sz w:val="16"/>
          <w:szCs w:val="16"/>
          <w:lang w:eastAsia="en-US"/>
        </w:rPr>
        <w:t>affidavit</w:t>
      </w:r>
      <w:r w:rsidRPr="00BB25AB">
        <w:rPr>
          <w:rFonts w:eastAsiaTheme="minorHAnsi" w:cs="Arial"/>
          <w:sz w:val="16"/>
          <w:szCs w:val="16"/>
          <w:lang w:eastAsia="en-US"/>
        </w:rPr>
        <w:t xml:space="preserve"> de Luz Adriana Camargo Garzón, de 19 de abril de 2021, párr. 39 (expediente de prueba, folio 1205).</w:t>
      </w:r>
    </w:p>
  </w:footnote>
  <w:footnote w:id="141">
    <w:p w14:paraId="18EF6A34" w14:textId="77777777" w:rsidR="00AD6B70" w:rsidRPr="00BB25AB" w:rsidRDefault="00AD6B70" w:rsidP="00BB25AB">
      <w:pPr>
        <w:widowControl/>
        <w:autoSpaceDE w:val="0"/>
        <w:autoSpaceDN w:val="0"/>
        <w:spacing w:before="40" w:after="40" w:line="240" w:lineRule="auto"/>
        <w:textAlignment w:val="auto"/>
        <w:rPr>
          <w:rFonts w:eastAsiaTheme="minorHAnsi" w:cs="Arial"/>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Peritaje rendido por </w:t>
      </w:r>
      <w:r w:rsidRPr="00BB25AB">
        <w:rPr>
          <w:rFonts w:eastAsiaTheme="minorHAnsi" w:cs="Arial"/>
          <w:i/>
          <w:sz w:val="16"/>
          <w:szCs w:val="16"/>
          <w:lang w:eastAsia="en-US"/>
        </w:rPr>
        <w:t>affidavit</w:t>
      </w:r>
      <w:r w:rsidRPr="00BB25AB">
        <w:rPr>
          <w:rFonts w:eastAsiaTheme="minorHAnsi" w:cs="Arial"/>
          <w:sz w:val="16"/>
          <w:szCs w:val="16"/>
          <w:lang w:eastAsia="en-US"/>
        </w:rPr>
        <w:t xml:space="preserve"> de Luz Adriana Camargo Garzón, de 19 de abril de 2021, </w:t>
      </w:r>
      <w:proofErr w:type="spellStart"/>
      <w:r w:rsidRPr="00BB25AB">
        <w:rPr>
          <w:rFonts w:eastAsiaTheme="minorHAnsi" w:cs="Arial"/>
          <w:sz w:val="16"/>
          <w:szCs w:val="16"/>
          <w:lang w:eastAsia="en-US"/>
        </w:rPr>
        <w:t>párrs</w:t>
      </w:r>
      <w:proofErr w:type="spellEnd"/>
      <w:r w:rsidRPr="00BB25AB">
        <w:rPr>
          <w:rFonts w:eastAsiaTheme="minorHAnsi" w:cs="Arial"/>
          <w:sz w:val="16"/>
          <w:szCs w:val="16"/>
          <w:lang w:eastAsia="en-US"/>
        </w:rPr>
        <w:t>. 36 a 39 (expediente de prueba, folios 1204 y 1205). Ver también, OACNUDH y ONU Mujeres, Modelo de protocolo latinoamericano de investigación de las muertes violentas de mujeres por razones de género (femicidio/feminicidio), 2014, párr. 21. Disponible aquí:</w:t>
      </w:r>
    </w:p>
    <w:p w14:paraId="33CA114D" w14:textId="77777777" w:rsidR="00AD6B70" w:rsidRPr="00BB25AB" w:rsidRDefault="00256B85" w:rsidP="00BB25AB">
      <w:pPr>
        <w:widowControl/>
        <w:autoSpaceDE w:val="0"/>
        <w:autoSpaceDN w:val="0"/>
        <w:spacing w:before="40" w:after="40" w:line="240" w:lineRule="auto"/>
        <w:textAlignment w:val="auto"/>
        <w:rPr>
          <w:sz w:val="16"/>
          <w:szCs w:val="16"/>
          <w:lang w:val="es-ES"/>
        </w:rPr>
      </w:pPr>
      <w:hyperlink r:id="rId33" w:history="1">
        <w:r w:rsidR="00AD6B70" w:rsidRPr="00BB25AB">
          <w:rPr>
            <w:rStyle w:val="Hipervnculo"/>
            <w:rFonts w:eastAsiaTheme="minorHAnsi" w:cs="Arial"/>
            <w:sz w:val="16"/>
            <w:szCs w:val="16"/>
            <w:lang w:eastAsia="en-US"/>
          </w:rPr>
          <w:t>https://www.ohchr.org/documents/issues/women/wrgs/protocololatinoamericanodeinvestigacion.pdf</w:t>
        </w:r>
      </w:hyperlink>
      <w:r w:rsidR="00AD6B70" w:rsidRPr="00BB25AB">
        <w:rPr>
          <w:rFonts w:eastAsiaTheme="minorHAnsi" w:cs="Arial"/>
          <w:sz w:val="16"/>
          <w:szCs w:val="16"/>
          <w:lang w:eastAsia="en-US"/>
        </w:rPr>
        <w:t xml:space="preserve"> </w:t>
      </w:r>
    </w:p>
  </w:footnote>
  <w:footnote w:id="142">
    <w:p w14:paraId="6A068A97"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OACNUDH y ONU Mujeres, Modelo de protocolo latinoamericano de investigación de las muertes violentas de mujeres por razones de género (femicidio/feminicidio), 2014, párr. 22.</w:t>
      </w:r>
    </w:p>
  </w:footnote>
  <w:footnote w:id="143">
    <w:p w14:paraId="63E01623" w14:textId="5E7C7CAB"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140 (expediente de prueba, folio 3841).</w:t>
      </w:r>
    </w:p>
  </w:footnote>
  <w:footnote w:id="144">
    <w:p w14:paraId="26BE1A27"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Peritaje rendido por </w:t>
      </w:r>
      <w:r w:rsidRPr="00BB25AB">
        <w:rPr>
          <w:i/>
          <w:sz w:val="16"/>
          <w:szCs w:val="16"/>
        </w:rPr>
        <w:t>affidavit</w:t>
      </w:r>
      <w:r w:rsidRPr="00BB25AB">
        <w:rPr>
          <w:sz w:val="16"/>
          <w:szCs w:val="16"/>
        </w:rPr>
        <w:t xml:space="preserve"> de </w:t>
      </w:r>
      <w:r w:rsidRPr="00BB25AB">
        <w:rPr>
          <w:rFonts w:eastAsiaTheme="minorHAnsi" w:cs="Arial"/>
          <w:sz w:val="16"/>
          <w:szCs w:val="16"/>
          <w:lang w:eastAsia="en-US"/>
        </w:rPr>
        <w:t>José Luis Prieto Carreto, de 8 de abril de 2021 (expediente de prueba, folios 81572 y 81573).</w:t>
      </w:r>
    </w:p>
  </w:footnote>
  <w:footnote w:id="145">
    <w:p w14:paraId="65FE110C" w14:textId="099DB7C3"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Peritaje rendido por </w:t>
      </w:r>
      <w:r w:rsidRPr="00BB25AB">
        <w:rPr>
          <w:i/>
          <w:sz w:val="16"/>
          <w:szCs w:val="16"/>
        </w:rPr>
        <w:t>affidavit</w:t>
      </w:r>
      <w:r w:rsidRPr="00BB25AB">
        <w:rPr>
          <w:sz w:val="16"/>
          <w:szCs w:val="16"/>
        </w:rPr>
        <w:t xml:space="preserve"> de </w:t>
      </w:r>
      <w:r w:rsidRPr="00BB25AB">
        <w:rPr>
          <w:rFonts w:eastAsiaTheme="minorHAnsi" w:cs="Arial"/>
          <w:sz w:val="16"/>
          <w:szCs w:val="16"/>
          <w:lang w:eastAsia="en-US"/>
        </w:rPr>
        <w:t>José Luis Prieto Carreto, de 8 de abril de 2021 (expediente de prueba, folio 81573).</w:t>
      </w:r>
    </w:p>
  </w:footnote>
  <w:footnote w:id="146">
    <w:p w14:paraId="5EE0F31E" w14:textId="7849644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Calibri"/>
          <w:sz w:val="16"/>
          <w:szCs w:val="16"/>
        </w:rPr>
        <w:t xml:space="preserve">Peritaje de </w:t>
      </w:r>
      <w:r w:rsidRPr="00BB25AB">
        <w:rPr>
          <w:rFonts w:eastAsiaTheme="minorHAnsi" w:cs="Arial"/>
          <w:sz w:val="16"/>
          <w:szCs w:val="16"/>
          <w:lang w:eastAsia="en-US"/>
        </w:rPr>
        <w:t>Ángela María Buitrago</w:t>
      </w:r>
      <w:r w:rsidRPr="00BB25AB">
        <w:rPr>
          <w:rFonts w:cs="Calibri"/>
          <w:sz w:val="16"/>
          <w:szCs w:val="16"/>
        </w:rPr>
        <w:t xml:space="preserve"> rendido en la audiencia pública celebrada los días 27 y 27 de abril de 2021 en el marco del 141 Período Ordinario de Sesiones</w:t>
      </w:r>
      <w:r w:rsidRPr="00BB25AB">
        <w:rPr>
          <w:rFonts w:eastAsiaTheme="minorHAnsi" w:cs="Arial"/>
          <w:sz w:val="16"/>
          <w:szCs w:val="16"/>
          <w:lang w:eastAsia="en-US"/>
        </w:rPr>
        <w:t>.</w:t>
      </w:r>
    </w:p>
  </w:footnote>
  <w:footnote w:id="147">
    <w:p w14:paraId="12F62CCF" w14:textId="1E4FD1D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eastAsiaTheme="minorHAnsi" w:cs="Arial"/>
          <w:sz w:val="16"/>
          <w:szCs w:val="16"/>
          <w:lang w:eastAsia="en-US"/>
        </w:rPr>
        <w:t>CDHDF, Informe especial sobre las irregularidades en la averiguación previa iniciada por la muerte de la licenciada Digna Ochoa y Plácido, párr. 140 (expediente de prueba, folio 3901).</w:t>
      </w:r>
    </w:p>
  </w:footnote>
  <w:footnote w:id="148">
    <w:p w14:paraId="1626CACF"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 9008).</w:t>
      </w:r>
    </w:p>
  </w:footnote>
  <w:footnote w:id="149">
    <w:p w14:paraId="6B26A90A" w14:textId="07142A04"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Calibri"/>
          <w:sz w:val="16"/>
          <w:szCs w:val="16"/>
        </w:rPr>
        <w:t xml:space="preserve">Peritaje de </w:t>
      </w:r>
      <w:r w:rsidRPr="00BB25AB">
        <w:rPr>
          <w:rFonts w:eastAsiaTheme="minorHAnsi" w:cs="Arial"/>
          <w:sz w:val="16"/>
          <w:szCs w:val="16"/>
          <w:lang w:eastAsia="en-US"/>
        </w:rPr>
        <w:t>Ángela María Buitrago</w:t>
      </w:r>
      <w:r w:rsidRPr="00BB25AB">
        <w:rPr>
          <w:rFonts w:cs="Calibri"/>
          <w:sz w:val="16"/>
          <w:szCs w:val="16"/>
        </w:rPr>
        <w:t xml:space="preserve"> rendido en la audiencia pública celebrada los días 27 y 27 de abril de 2021 en el marco del 141 Período Ordinario de Sesiones</w:t>
      </w:r>
      <w:r w:rsidRPr="00BB25AB">
        <w:rPr>
          <w:rFonts w:eastAsiaTheme="minorHAnsi" w:cs="Arial"/>
          <w:sz w:val="16"/>
          <w:szCs w:val="16"/>
          <w:lang w:eastAsia="en-US"/>
        </w:rPr>
        <w:t>.</w:t>
      </w:r>
    </w:p>
  </w:footnote>
  <w:footnote w:id="150">
    <w:p w14:paraId="51E52ACF" w14:textId="438778C6"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438 (expediente de prueba, folio 3910).</w:t>
      </w:r>
    </w:p>
  </w:footnote>
  <w:footnote w:id="151">
    <w:p w14:paraId="5441ED8E" w14:textId="6BDB0F91"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140 (expediente de prueba, folio 3841).</w:t>
      </w:r>
    </w:p>
  </w:footnote>
  <w:footnote w:id="152">
    <w:p w14:paraId="4263C01B" w14:textId="7CBBD04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8.2.2 (expediente de prueba, folio 39171).</w:t>
      </w:r>
    </w:p>
  </w:footnote>
  <w:footnote w:id="153">
    <w:p w14:paraId="28D5B126" w14:textId="41971BC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OACDHNU, </w:t>
      </w:r>
      <w:r w:rsidRPr="00BB25AB">
        <w:rPr>
          <w:rFonts w:eastAsiaTheme="minorHAnsi" w:cs="Arial"/>
          <w:sz w:val="16"/>
          <w:szCs w:val="16"/>
          <w:lang w:eastAsia="en-US"/>
        </w:rPr>
        <w:t xml:space="preserve">Protocolo Modelo para la Investigación Forense de Muertes sospechosas de haberse producido por Violación de los Derechos Humanos, Proyecto MEX/00/AH/10, mayo de 2001, disponible aquí: </w:t>
      </w:r>
      <w:hyperlink r:id="rId34" w:history="1">
        <w:r w:rsidRPr="00BB25AB">
          <w:rPr>
            <w:rStyle w:val="Hipervnculo"/>
            <w:rFonts w:eastAsiaTheme="minorHAnsi" w:cs="Arial"/>
            <w:sz w:val="16"/>
            <w:szCs w:val="16"/>
            <w:lang w:eastAsia="en-US"/>
          </w:rPr>
          <w:t>https://www.sedh.gob.hn/documentos-recientes/103-protocolo-modelo-para-la-investigaci%C3%B3n-forense-de-muertes-sospechosas-de-haberse-producido-por-violaci%C3%B3n-de-ddhh/file</w:t>
        </w:r>
      </w:hyperlink>
      <w:r w:rsidRPr="00BB25AB">
        <w:rPr>
          <w:rFonts w:eastAsiaTheme="minorHAnsi" w:cs="Arial"/>
          <w:sz w:val="16"/>
          <w:szCs w:val="16"/>
          <w:lang w:eastAsia="en-US"/>
        </w:rPr>
        <w:t xml:space="preserve"> </w:t>
      </w:r>
    </w:p>
  </w:footnote>
  <w:footnote w:id="154">
    <w:p w14:paraId="115FCE02" w14:textId="240F92B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8.2.2 (expediente de prueba, folio 39171).</w:t>
      </w:r>
    </w:p>
  </w:footnote>
  <w:footnote w:id="155">
    <w:p w14:paraId="33A48230" w14:textId="2DB447FF"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140 (expediente de prueba, folio 3908).</w:t>
      </w:r>
    </w:p>
  </w:footnote>
  <w:footnote w:id="156">
    <w:p w14:paraId="1D6DD3EC" w14:textId="507AA9F3"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140 (expediente de prueba, folio 3909).</w:t>
      </w:r>
    </w:p>
  </w:footnote>
  <w:footnote w:id="157">
    <w:p w14:paraId="6E5AEE07"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6.3.2.24 (expediente de prueba, folio 3891).</w:t>
      </w:r>
    </w:p>
  </w:footnote>
  <w:footnote w:id="158">
    <w:p w14:paraId="7F3733F4" w14:textId="77777777" w:rsidR="00AD6B70" w:rsidRPr="00BB25AB" w:rsidRDefault="00AD6B70" w:rsidP="00BB25AB">
      <w:pPr>
        <w:pStyle w:val="Textonotapie"/>
        <w:spacing w:before="40" w:after="40"/>
        <w:rPr>
          <w:rFonts w:eastAsiaTheme="minorHAnsi" w:cs="Arial"/>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Manual de Naciones Unidas sobre la prevención e investigación eficaces de las ejecuciones extralegales, arbitrarias o sumarias” 1991, párr. IV.B.2.c). Disponible en: </w:t>
      </w:r>
    </w:p>
    <w:p w14:paraId="316A787B" w14:textId="6759E871" w:rsidR="00AD6B70" w:rsidRPr="00BB25AB" w:rsidRDefault="00256B85" w:rsidP="00BB25AB">
      <w:pPr>
        <w:pStyle w:val="Textonotapie"/>
        <w:spacing w:before="40" w:after="40"/>
        <w:rPr>
          <w:sz w:val="16"/>
          <w:szCs w:val="16"/>
        </w:rPr>
      </w:pPr>
      <w:hyperlink r:id="rId35" w:history="1">
        <w:r w:rsidR="00AD6B70" w:rsidRPr="00BB25AB">
          <w:rPr>
            <w:rStyle w:val="Hipervnculo"/>
            <w:rFonts w:eastAsiaTheme="minorHAnsi" w:cs="Arial"/>
            <w:sz w:val="16"/>
            <w:szCs w:val="16"/>
            <w:lang w:eastAsia="en-US"/>
          </w:rPr>
          <w:t>https://biblioteca.iidh-jurisprudencia.ac.cr/index.php/documentos-en-espanol/prevencion-de-la-tortura/1334-manual-sobre-prevencion-e-investigacion-eficaces-de-ejecuciones-extralegales-arbitrarias-o-sumarias/file</w:t>
        </w:r>
      </w:hyperlink>
      <w:r w:rsidR="00AD6B70" w:rsidRPr="00BB25AB">
        <w:rPr>
          <w:rFonts w:eastAsiaTheme="minorHAnsi" w:cs="Arial"/>
          <w:sz w:val="16"/>
          <w:szCs w:val="16"/>
          <w:lang w:eastAsia="en-US"/>
        </w:rPr>
        <w:t xml:space="preserve"> Ver también, CDHDF, Informe especial sobre las irregularidades en la averiguación previa iniciada por la muerte de la licenciada Digna Ochoa y Plácido, 6.3.2.24 (expediente de prueba, folio 3891).</w:t>
      </w:r>
    </w:p>
  </w:footnote>
  <w:footnote w:id="159">
    <w:p w14:paraId="36AFE4A2" w14:textId="43966CDF"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CDHDF, Informe especial sobre las irregularidades en la averiguación previa iniciada por la muerte de la licenciada Digna Ochoa y Plácido, </w:t>
      </w:r>
      <w:proofErr w:type="spellStart"/>
      <w:r w:rsidRPr="00BB25AB">
        <w:rPr>
          <w:rFonts w:eastAsiaTheme="minorHAnsi" w:cs="Arial"/>
          <w:sz w:val="16"/>
          <w:szCs w:val="16"/>
          <w:lang w:eastAsia="en-US"/>
        </w:rPr>
        <w:t>párrs</w:t>
      </w:r>
      <w:proofErr w:type="spellEnd"/>
      <w:r w:rsidRPr="00BB25AB">
        <w:rPr>
          <w:rFonts w:eastAsiaTheme="minorHAnsi" w:cs="Arial"/>
          <w:sz w:val="16"/>
          <w:szCs w:val="16"/>
          <w:lang w:eastAsia="en-US"/>
        </w:rPr>
        <w:t>. 156 a 164 (expediente de prueba, folios 3844 a 3847).</w:t>
      </w:r>
    </w:p>
  </w:footnote>
  <w:footnote w:id="160">
    <w:p w14:paraId="44F8152C"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Calibri"/>
          <w:sz w:val="16"/>
          <w:szCs w:val="16"/>
        </w:rPr>
        <w:t xml:space="preserve">Peritaje de </w:t>
      </w:r>
      <w:r w:rsidRPr="00BB25AB">
        <w:rPr>
          <w:rFonts w:eastAsiaTheme="minorHAnsi" w:cs="Arial"/>
          <w:sz w:val="16"/>
          <w:szCs w:val="16"/>
          <w:lang w:eastAsia="en-US"/>
        </w:rPr>
        <w:t>Ángela María Buitrago</w:t>
      </w:r>
      <w:r w:rsidRPr="00BB25AB">
        <w:rPr>
          <w:rFonts w:cs="Calibri"/>
          <w:sz w:val="16"/>
          <w:szCs w:val="16"/>
        </w:rPr>
        <w:t xml:space="preserve"> rendido en la audiencia pública celebrada los días 27 y 27 de abril de 2021 en el marco del 141 Período Ordinario de Sesiones</w:t>
      </w:r>
      <w:r w:rsidRPr="00BB25AB">
        <w:rPr>
          <w:rFonts w:eastAsiaTheme="minorHAnsi" w:cs="Arial"/>
          <w:sz w:val="16"/>
          <w:szCs w:val="16"/>
          <w:lang w:eastAsia="en-US"/>
        </w:rPr>
        <w:t>.</w:t>
      </w:r>
    </w:p>
  </w:footnote>
  <w:footnote w:id="161">
    <w:p w14:paraId="7C510CAD"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Coordinación General de Servicios Periciales, Departamento de Balística Forense, Dictamen de criminalística de 20 de octubre de 2001 (expediente de prueba, folio 2842).</w:t>
      </w:r>
    </w:p>
  </w:footnote>
  <w:footnote w:id="162">
    <w:p w14:paraId="4C6044EE"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Coordinación General de Servicios Periciales, Criminalística de campo, Dictamen de 20 de octubre de 2001 (expediente de prueba, folio 4108).</w:t>
      </w:r>
    </w:p>
  </w:footnote>
  <w:footnote w:id="163">
    <w:p w14:paraId="066DD65A" w14:textId="32CB0F8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Peritaje rendido por </w:t>
      </w:r>
      <w:r w:rsidRPr="00BB25AB">
        <w:rPr>
          <w:i/>
          <w:sz w:val="16"/>
          <w:szCs w:val="16"/>
        </w:rPr>
        <w:t>affidavit</w:t>
      </w:r>
      <w:r w:rsidRPr="00BB25AB">
        <w:rPr>
          <w:sz w:val="16"/>
          <w:szCs w:val="16"/>
        </w:rPr>
        <w:t xml:space="preserve"> de </w:t>
      </w:r>
      <w:r w:rsidRPr="00BB25AB">
        <w:rPr>
          <w:rFonts w:eastAsiaTheme="minorHAnsi" w:cs="Arial"/>
          <w:sz w:val="16"/>
          <w:szCs w:val="16"/>
          <w:lang w:eastAsia="en-US"/>
        </w:rPr>
        <w:t>José Luis Prieto Carreto, de 8 de abril de 2021, pár. 23 (expediente de prueba, folio 81575).</w:t>
      </w:r>
    </w:p>
  </w:footnote>
  <w:footnote w:id="164">
    <w:p w14:paraId="267A3D98" w14:textId="77777777" w:rsidR="00AD6B70" w:rsidRPr="00BB25AB" w:rsidRDefault="00AD6B70" w:rsidP="00BB25AB">
      <w:pPr>
        <w:widowControl/>
        <w:autoSpaceDE w:val="0"/>
        <w:autoSpaceDN w:val="0"/>
        <w:spacing w:before="40" w:after="40" w:line="240" w:lineRule="auto"/>
        <w:textAlignment w:val="auto"/>
        <w:rPr>
          <w:rFonts w:eastAsiaTheme="minorHAnsi"/>
          <w:i/>
          <w:iCs/>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eastAsiaTheme="minorHAnsi" w:cs="Arial"/>
          <w:sz w:val="16"/>
          <w:szCs w:val="16"/>
          <w:lang w:eastAsia="en-US"/>
        </w:rPr>
        <w:t>El primero fue un perito criminalista que efectuó el “</w:t>
      </w:r>
      <w:r w:rsidRPr="00BB25AB">
        <w:rPr>
          <w:rFonts w:eastAsiaTheme="minorHAnsi"/>
          <w:iCs/>
          <w:sz w:val="16"/>
          <w:szCs w:val="16"/>
          <w:lang w:eastAsia="en-US"/>
        </w:rPr>
        <w:t>dictamen de muerte violenta por proyectil de arma de fuego”,</w:t>
      </w:r>
      <w:r w:rsidRPr="00BB25AB">
        <w:rPr>
          <w:rFonts w:eastAsiaTheme="minorHAnsi"/>
          <w:i/>
          <w:iCs/>
          <w:sz w:val="16"/>
          <w:szCs w:val="16"/>
          <w:lang w:eastAsia="en-US"/>
        </w:rPr>
        <w:t xml:space="preserve"> </w:t>
      </w:r>
      <w:r w:rsidRPr="00BB25AB">
        <w:rPr>
          <w:rFonts w:eastAsiaTheme="minorHAnsi"/>
          <w:iCs/>
          <w:sz w:val="16"/>
          <w:szCs w:val="16"/>
          <w:lang w:eastAsia="en-US"/>
        </w:rPr>
        <w:t>el</w:t>
      </w:r>
      <w:r w:rsidRPr="00BB25AB">
        <w:rPr>
          <w:rFonts w:eastAsiaTheme="minorHAnsi" w:cs="Arial"/>
          <w:sz w:val="16"/>
          <w:szCs w:val="16"/>
          <w:lang w:eastAsia="en-US"/>
        </w:rPr>
        <w:t xml:space="preserve"> segundo fue un perito médico legista, adscrito a los Servicios Periciales que realizó el </w:t>
      </w:r>
      <w:r w:rsidRPr="00BB25AB">
        <w:rPr>
          <w:rFonts w:eastAsiaTheme="minorHAnsi"/>
          <w:iCs/>
          <w:sz w:val="16"/>
          <w:szCs w:val="16"/>
          <w:lang w:eastAsia="en-US"/>
        </w:rPr>
        <w:t>acta</w:t>
      </w:r>
      <w:r w:rsidRPr="00BB25AB">
        <w:rPr>
          <w:rFonts w:eastAsiaTheme="minorHAnsi"/>
          <w:i/>
          <w:iCs/>
          <w:sz w:val="16"/>
          <w:szCs w:val="16"/>
          <w:lang w:eastAsia="en-US"/>
        </w:rPr>
        <w:t xml:space="preserve"> </w:t>
      </w:r>
      <w:r w:rsidRPr="00BB25AB">
        <w:rPr>
          <w:rFonts w:eastAsiaTheme="minorHAnsi" w:cs="Arial"/>
          <w:sz w:val="16"/>
          <w:szCs w:val="16"/>
          <w:lang w:eastAsia="en-US"/>
        </w:rPr>
        <w:t xml:space="preserve">médica y finalmente otro perito de médico efectuó el </w:t>
      </w:r>
      <w:r w:rsidRPr="00BB25AB">
        <w:rPr>
          <w:rFonts w:eastAsiaTheme="minorHAnsi"/>
          <w:iCs/>
          <w:sz w:val="16"/>
          <w:szCs w:val="16"/>
          <w:lang w:eastAsia="en-US"/>
        </w:rPr>
        <w:t>seguimiento</w:t>
      </w:r>
      <w:r w:rsidRPr="00BB25AB">
        <w:rPr>
          <w:rFonts w:eastAsiaTheme="minorHAnsi"/>
          <w:i/>
          <w:iCs/>
          <w:sz w:val="16"/>
          <w:szCs w:val="16"/>
          <w:lang w:eastAsia="en-US"/>
        </w:rPr>
        <w:t>.</w:t>
      </w:r>
      <w:r w:rsidRPr="00BB25AB">
        <w:rPr>
          <w:i/>
          <w:sz w:val="16"/>
          <w:szCs w:val="16"/>
        </w:rPr>
        <w:t xml:space="preserve"> 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336 (expediente de prueba, folio 3885).</w:t>
      </w:r>
    </w:p>
  </w:footnote>
  <w:footnote w:id="165">
    <w:p w14:paraId="3A99B48E" w14:textId="77777777"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párr. 338 (expediente de prueba, folios 3848 y 3885).</w:t>
      </w:r>
    </w:p>
  </w:footnote>
  <w:footnote w:id="166">
    <w:p w14:paraId="0BC5FCE4" w14:textId="361B9A62"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w:t>
      </w:r>
      <w:r w:rsidRPr="00BB25AB">
        <w:rPr>
          <w:rFonts w:eastAsiaTheme="minorHAnsi" w:cs="Arial"/>
          <w:sz w:val="16"/>
          <w:szCs w:val="16"/>
          <w:lang w:eastAsia="en-US"/>
        </w:rPr>
        <w:t xml:space="preserve"> </w:t>
      </w:r>
      <w:r w:rsidRPr="00BB25AB">
        <w:rPr>
          <w:rFonts w:eastAsiaTheme="minorHAnsi"/>
          <w:i/>
          <w:sz w:val="16"/>
          <w:szCs w:val="16"/>
          <w:lang w:eastAsia="en-US"/>
        </w:rPr>
        <w:t xml:space="preserve">Caso López Soto y otros Vs. Venezuela. Fondo, Reparaciones </w:t>
      </w:r>
      <w:r w:rsidRPr="00BB25AB">
        <w:rPr>
          <w:rFonts w:eastAsiaTheme="minorHAnsi" w:cs="Arial"/>
          <w:i/>
          <w:iCs/>
          <w:sz w:val="16"/>
          <w:szCs w:val="16"/>
          <w:lang w:eastAsia="en-US"/>
        </w:rPr>
        <w:t xml:space="preserve">y </w:t>
      </w:r>
      <w:r w:rsidRPr="00BB25AB">
        <w:rPr>
          <w:rFonts w:eastAsiaTheme="minorHAnsi"/>
          <w:i/>
          <w:sz w:val="16"/>
          <w:szCs w:val="16"/>
          <w:lang w:eastAsia="en-US"/>
        </w:rPr>
        <w:t>Costas.</w:t>
      </w:r>
      <w:r w:rsidRPr="00BB25AB">
        <w:rPr>
          <w:rFonts w:eastAsiaTheme="minorHAnsi"/>
          <w:sz w:val="16"/>
          <w:szCs w:val="16"/>
          <w:lang w:eastAsia="en-US"/>
        </w:rPr>
        <w:t xml:space="preserve"> Sentencia de 26 de septiembre de 2010. Serle C No.362, párr. 213.</w:t>
      </w:r>
    </w:p>
  </w:footnote>
  <w:footnote w:id="167">
    <w:p w14:paraId="45836F53" w14:textId="248C1104"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i/>
          <w:sz w:val="16"/>
          <w:szCs w:val="16"/>
          <w:lang w:eastAsia="en-US"/>
        </w:rPr>
        <w:t>Caso Véliz Franco y otros Vs. Guatemala. Excepciones Preliminares, Fondo, Reparaciones y Costas</w:t>
      </w:r>
      <w:r w:rsidRPr="00BB25AB">
        <w:rPr>
          <w:rFonts w:eastAsiaTheme="minorHAnsi"/>
          <w:sz w:val="16"/>
          <w:szCs w:val="16"/>
          <w:lang w:eastAsia="en-US"/>
        </w:rPr>
        <w:t xml:space="preserve">. Sentencia de 19 de mayo de 2014. Serie </w:t>
      </w:r>
      <w:r w:rsidRPr="00BB25AB">
        <w:rPr>
          <w:rFonts w:eastAsiaTheme="minorHAnsi" w:cs="Arial"/>
          <w:sz w:val="16"/>
          <w:szCs w:val="16"/>
          <w:lang w:eastAsia="en-US"/>
        </w:rPr>
        <w:t xml:space="preserve">C </w:t>
      </w:r>
      <w:r w:rsidRPr="00BB25AB">
        <w:rPr>
          <w:rFonts w:eastAsiaTheme="minorHAnsi"/>
          <w:sz w:val="16"/>
          <w:szCs w:val="16"/>
          <w:lang w:eastAsia="en-US"/>
        </w:rPr>
        <w:t>No. 277, párrs.193-198</w:t>
      </w:r>
    </w:p>
  </w:footnote>
  <w:footnote w:id="168">
    <w:p w14:paraId="5E529B57" w14:textId="384DB1CE"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i/>
          <w:sz w:val="16"/>
          <w:szCs w:val="16"/>
        </w:rPr>
        <w:t xml:space="preserve">Caso </w:t>
      </w:r>
      <w:r w:rsidRPr="00BB25AB">
        <w:rPr>
          <w:rFonts w:eastAsiaTheme="minorHAnsi"/>
          <w:i/>
          <w:sz w:val="16"/>
          <w:szCs w:val="16"/>
          <w:lang w:eastAsia="en-US"/>
        </w:rPr>
        <w:t xml:space="preserve">Fernández Ortega y otros Vs. México. Interpretación de la Sentencia de Excepción Preliminar, Fondo, Reparaciones y Costas. </w:t>
      </w:r>
      <w:r w:rsidRPr="00BB25AB">
        <w:rPr>
          <w:rFonts w:eastAsiaTheme="minorHAnsi"/>
          <w:sz w:val="16"/>
          <w:szCs w:val="16"/>
          <w:lang w:eastAsia="en-US"/>
        </w:rPr>
        <w:t>Sentencia de 15 de mayo de 2010. Serie C No, 2Z4, párr. 112.</w:t>
      </w:r>
    </w:p>
  </w:footnote>
  <w:footnote w:id="169">
    <w:p w14:paraId="56D9FF31"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Declaración Pericial de José Luis Prieto Carreto rendido ante fedatario público, pág. 23</w:t>
      </w:r>
    </w:p>
  </w:footnote>
  <w:footnote w:id="170">
    <w:p w14:paraId="2956C670" w14:textId="77777777"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CDHDF, Informe especial sobre las irregularidades en la averiguación previa iniciada por la muerte de la licenciada Digna Ochoa y Plácido, Julio 2004, párr. 431 (expediente de prueba, folio 3909).</w:t>
      </w:r>
    </w:p>
  </w:footnote>
  <w:footnote w:id="171">
    <w:p w14:paraId="35408962"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2548).</w:t>
      </w:r>
    </w:p>
  </w:footnote>
  <w:footnote w:id="172">
    <w:p w14:paraId="2968993A" w14:textId="6AD54DB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Tribunal advierte que el 27 de febrero de 2003 agentes de la PGJDF realizaron una diligencia de inventario en el lugar de los hechos, durante la cual hallaron una bolsa de plástico con la leyenda “polvo para manos”. </w:t>
      </w:r>
      <w:r w:rsidRPr="00BB25AB">
        <w:rPr>
          <w:i/>
          <w:sz w:val="16"/>
          <w:szCs w:val="16"/>
        </w:rPr>
        <w:t>Cfr</w:t>
      </w:r>
      <w:r w:rsidRPr="00BB25AB">
        <w:rPr>
          <w:sz w:val="16"/>
          <w:szCs w:val="16"/>
        </w:rPr>
        <w:t>. Diligencia de levantamiento de inventario, de 27 de febrero de 2008 (expediente de prueba, folio 23474).</w:t>
      </w:r>
    </w:p>
  </w:footnote>
  <w:footnote w:id="173">
    <w:p w14:paraId="2769D0F1" w14:textId="7420F981"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Informe de verificación de la prueba técnica en la investigación criminal de la muerte de Digna Ochoa y Plácido realizada </w:t>
      </w:r>
      <w:r w:rsidRPr="00BB25AB">
        <w:rPr>
          <w:rStyle w:val="Refdenotaalpie"/>
          <w:sz w:val="16"/>
          <w:szCs w:val="16"/>
          <w:vertAlign w:val="baseline"/>
        </w:rPr>
        <w:t>por</w:t>
      </w:r>
      <w:r w:rsidRPr="00BB25AB">
        <w:rPr>
          <w:sz w:val="16"/>
          <w:szCs w:val="16"/>
        </w:rPr>
        <w:t xml:space="preserve"> la fiscalía Especial de la Procuraduría General de Justicia del Distrito Federal de México, 27 de mayo de 2003, párr. 94 (expediente de prueba, folio 9021)</w:t>
      </w:r>
      <w:r w:rsidRPr="00BB25AB">
        <w:rPr>
          <w:rFonts w:eastAsiaTheme="minorHAnsi" w:cs="Arial"/>
          <w:sz w:val="16"/>
          <w:szCs w:val="16"/>
          <w:lang w:eastAsia="en-US"/>
        </w:rPr>
        <w:t>.</w:t>
      </w:r>
    </w:p>
  </w:footnote>
  <w:footnote w:id="174">
    <w:p w14:paraId="091216D3" w14:textId="77777777"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párr. 172 (expediente de prueba, folio 9042)</w:t>
      </w:r>
      <w:r w:rsidRPr="00BB25AB">
        <w:rPr>
          <w:rFonts w:eastAsiaTheme="minorHAnsi" w:cs="Arial"/>
          <w:sz w:val="16"/>
          <w:szCs w:val="16"/>
          <w:lang w:eastAsia="en-US"/>
        </w:rPr>
        <w:t>.</w:t>
      </w:r>
    </w:p>
  </w:footnote>
  <w:footnote w:id="175">
    <w:p w14:paraId="2419119D" w14:textId="727F801B"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i/>
          <w:iCs/>
          <w:sz w:val="16"/>
          <w:szCs w:val="16"/>
          <w:lang w:eastAsia="en-US"/>
        </w:rPr>
        <w:t xml:space="preserve">Caso </w:t>
      </w:r>
      <w:proofErr w:type="spellStart"/>
      <w:r w:rsidRPr="00BB25AB">
        <w:rPr>
          <w:rFonts w:eastAsiaTheme="minorHAnsi" w:cs="Arial"/>
          <w:i/>
          <w:iCs/>
          <w:sz w:val="16"/>
          <w:szCs w:val="16"/>
          <w:lang w:eastAsia="en-US"/>
        </w:rPr>
        <w:t>Myma</w:t>
      </w:r>
      <w:proofErr w:type="spellEnd"/>
      <w:r w:rsidRPr="00BB25AB">
        <w:rPr>
          <w:rFonts w:eastAsiaTheme="minorHAnsi" w:cs="Arial"/>
          <w:i/>
          <w:iCs/>
          <w:sz w:val="16"/>
          <w:szCs w:val="16"/>
          <w:lang w:eastAsia="en-US"/>
        </w:rPr>
        <w:t xml:space="preserve"> Mack Chang Vs. Guatemala. </w:t>
      </w:r>
      <w:r w:rsidRPr="00BB25AB">
        <w:rPr>
          <w:rFonts w:eastAsiaTheme="minorHAnsi" w:cs="Arial"/>
          <w:sz w:val="16"/>
          <w:szCs w:val="16"/>
          <w:lang w:eastAsia="en-US"/>
        </w:rPr>
        <w:t xml:space="preserve">Fondo, Reparaciones y Costas. Sentencia de 25 de noviembre de 2003. Serie C No. 101. Párr. 109, y </w:t>
      </w:r>
      <w:r w:rsidRPr="00BB25AB">
        <w:rPr>
          <w:rFonts w:eastAsiaTheme="minorHAnsi" w:cs="Arial"/>
          <w:i/>
          <w:sz w:val="16"/>
          <w:szCs w:val="16"/>
          <w:lang w:eastAsia="en-US"/>
        </w:rPr>
        <w:t>Ca</w:t>
      </w:r>
      <w:r w:rsidRPr="00BB25AB">
        <w:rPr>
          <w:rFonts w:eastAsiaTheme="minorHAnsi" w:cs="Arial"/>
          <w:i/>
          <w:iCs/>
          <w:sz w:val="16"/>
          <w:szCs w:val="16"/>
          <w:lang w:eastAsia="en-US"/>
        </w:rPr>
        <w:t xml:space="preserve">so de los "Niños de la Calle" (Villagrán Morales y otros) Vs. Guatemala. </w:t>
      </w:r>
      <w:r w:rsidRPr="00BB25AB">
        <w:rPr>
          <w:rFonts w:eastAsiaTheme="minorHAnsi" w:cs="Arial"/>
          <w:sz w:val="16"/>
          <w:szCs w:val="16"/>
          <w:lang w:eastAsia="en-US"/>
        </w:rPr>
        <w:t>Excepciones Preliminares. Sentencia de 11 de septiembre de 1997. Serie C No. 32. Párr. 231.</w:t>
      </w:r>
    </w:p>
  </w:footnote>
  <w:footnote w:id="176">
    <w:p w14:paraId="0493228F" w14:textId="342A5802"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párr. 147 (expediente de prueba, folio 9010)</w:t>
      </w:r>
      <w:r w:rsidRPr="00BB25AB">
        <w:rPr>
          <w:rFonts w:eastAsiaTheme="minorHAnsi" w:cs="Arial"/>
          <w:sz w:val="16"/>
          <w:szCs w:val="16"/>
          <w:lang w:eastAsia="en-US"/>
        </w:rPr>
        <w:t xml:space="preserve">. </w:t>
      </w:r>
    </w:p>
  </w:footnote>
  <w:footnote w:id="177">
    <w:p w14:paraId="0D204D4C" w14:textId="42B83A7B"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5518).</w:t>
      </w:r>
    </w:p>
  </w:footnote>
  <w:footnote w:id="178">
    <w:p w14:paraId="2E45E0F6" w14:textId="656DC5E9"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4857).</w:t>
      </w:r>
    </w:p>
  </w:footnote>
  <w:footnote w:id="179">
    <w:p w14:paraId="17013F8B" w14:textId="6DD3E6BB"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4895).</w:t>
      </w:r>
    </w:p>
  </w:footnote>
  <w:footnote w:id="180">
    <w:p w14:paraId="1175D63C" w14:textId="56250832"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Procuraduría General de Justicia del Distrito Federal, Decisión de </w:t>
      </w:r>
      <w:r w:rsidRPr="00BB25AB">
        <w:rPr>
          <w:rFonts w:eastAsiaTheme="minorHAnsi" w:cs="Arial"/>
          <w:sz w:val="16"/>
          <w:szCs w:val="16"/>
          <w:lang w:eastAsia="en-US"/>
        </w:rPr>
        <w:t>26 de noviembre de 2010 (expediente de prueba, folios 4876 y 4877).</w:t>
      </w:r>
      <w:r w:rsidRPr="00BB25AB">
        <w:rPr>
          <w:sz w:val="16"/>
          <w:szCs w:val="16"/>
        </w:rPr>
        <w:t xml:space="preserve"> Ver también, </w:t>
      </w:r>
      <w:proofErr w:type="spellStart"/>
      <w:r w:rsidRPr="00BB25AB">
        <w:rPr>
          <w:rFonts w:eastAsiaTheme="minorHAnsi" w:cs="Arial"/>
          <w:sz w:val="16"/>
          <w:szCs w:val="16"/>
          <w:lang w:eastAsia="en-US"/>
        </w:rPr>
        <w:t>Cimac</w:t>
      </w:r>
      <w:proofErr w:type="spellEnd"/>
      <w:r w:rsidRPr="00BB25AB">
        <w:rPr>
          <w:rFonts w:eastAsiaTheme="minorHAnsi" w:cs="Arial"/>
          <w:sz w:val="16"/>
          <w:szCs w:val="16"/>
          <w:lang w:eastAsia="en-US"/>
        </w:rPr>
        <w:t xml:space="preserve"> Noticias, “Aparece con huellas de tortura Javier Torres, vinculado al caso Digna Ochoa”, noticia de 19 de diciembre de 2008. Disponible en: </w:t>
      </w:r>
      <w:hyperlink r:id="rId36" w:history="1">
        <w:r w:rsidRPr="00BB25AB">
          <w:rPr>
            <w:rStyle w:val="Hipervnculo"/>
            <w:rFonts w:eastAsiaTheme="minorHAnsi" w:cs="Arial"/>
            <w:sz w:val="16"/>
            <w:szCs w:val="16"/>
            <w:lang w:eastAsia="en-US"/>
          </w:rPr>
          <w:t>https://cimacnoticias.com.mx/noticia/aparece-con-huellas-de-tortura-javier-torresvinculado-al-caso-digna-ochoa/</w:t>
        </w:r>
      </w:hyperlink>
      <w:r w:rsidRPr="00BB25AB">
        <w:rPr>
          <w:rFonts w:eastAsiaTheme="minorHAnsi" w:cs="Arial"/>
          <w:sz w:val="16"/>
          <w:szCs w:val="16"/>
          <w:lang w:eastAsia="en-US"/>
        </w:rPr>
        <w:t xml:space="preserve">, Proceso, “Persiguen a testigo en caso Digna Ochoa”, noticia de 30 de diciembre de 2008. Disponible en: </w:t>
      </w:r>
      <w:hyperlink r:id="rId37" w:history="1">
        <w:r w:rsidRPr="00BB25AB">
          <w:rPr>
            <w:rStyle w:val="Hipervnculo"/>
            <w:rFonts w:eastAsiaTheme="minorHAnsi" w:cs="Arial"/>
            <w:sz w:val="16"/>
            <w:szCs w:val="16"/>
            <w:lang w:eastAsia="en-US"/>
          </w:rPr>
          <w:t>https://www.proceso.com.mx/204507/persiguen-a-testigo-en-caso-digna-ochoa</w:t>
        </w:r>
      </w:hyperlink>
      <w:r w:rsidRPr="00BB25AB">
        <w:rPr>
          <w:rFonts w:eastAsiaTheme="minorHAnsi" w:cs="Arial"/>
          <w:sz w:val="16"/>
          <w:szCs w:val="16"/>
          <w:lang w:eastAsia="en-US"/>
        </w:rPr>
        <w:t xml:space="preserve"> </w:t>
      </w:r>
    </w:p>
  </w:footnote>
  <w:footnote w:id="181">
    <w:p w14:paraId="6EBE5FB2" w14:textId="48530B1B" w:rsidR="00AD6B70" w:rsidRPr="00BB25AB" w:rsidRDefault="00AD6B70" w:rsidP="00BB25AB">
      <w:pPr>
        <w:widowControl/>
        <w:autoSpaceDE w:val="0"/>
        <w:autoSpaceDN w:val="0"/>
        <w:spacing w:before="40" w:after="40" w:line="240" w:lineRule="auto"/>
        <w:textAlignment w:val="auto"/>
        <w:rPr>
          <w:rFonts w:eastAsiaTheme="minorHAnsi" w:cs="Arial"/>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Expansión. “La CIDH condena el asesinato del activista mexicano Javier Torres”, noticia de 25 de abril de 2011. Disponible en: </w:t>
      </w:r>
      <w:hyperlink r:id="rId38" w:history="1">
        <w:r w:rsidRPr="00BB25AB">
          <w:rPr>
            <w:rStyle w:val="Hipervnculo"/>
            <w:rFonts w:eastAsiaTheme="minorHAnsi" w:cs="Arial"/>
            <w:sz w:val="16"/>
            <w:szCs w:val="16"/>
            <w:lang w:eastAsia="en-US"/>
          </w:rPr>
          <w:t>https://expansion.mx/nacional/2011/04/25/la-cidh-condena-el-asesinato-del-activista-mexicano-javier-torres</w:t>
        </w:r>
      </w:hyperlink>
      <w:r w:rsidRPr="00BB25AB">
        <w:rPr>
          <w:rFonts w:eastAsiaTheme="minorHAnsi" w:cs="Arial"/>
          <w:sz w:val="16"/>
          <w:szCs w:val="16"/>
          <w:lang w:eastAsia="en-US"/>
        </w:rPr>
        <w:t xml:space="preserve">; Ver también, MVS Noticias. “CDHDH condena muerte de líder ecologista de Petatlán, Guerrero, Javier Torres Cruz”, noticia de 20 de abril de 2011. Disponible en: </w:t>
      </w:r>
      <w:hyperlink r:id="rId39" w:history="1">
        <w:r w:rsidRPr="00BB25AB">
          <w:rPr>
            <w:rStyle w:val="Hipervnculo"/>
            <w:rFonts w:eastAsiaTheme="minorHAnsi" w:cs="Arial"/>
            <w:sz w:val="16"/>
            <w:szCs w:val="16"/>
            <w:lang w:eastAsia="en-US"/>
          </w:rPr>
          <w:t>https://mvsnoticias.com/noticias/policiaca/cdhdf-condena-muerte-de-lider-ecologista-depetatlan-guerrero-javier-torres-cruz-28/</w:t>
        </w:r>
      </w:hyperlink>
      <w:r w:rsidRPr="00BB25AB">
        <w:rPr>
          <w:rFonts w:eastAsiaTheme="minorHAnsi" w:cs="Arial"/>
          <w:sz w:val="16"/>
          <w:szCs w:val="16"/>
          <w:lang w:eastAsia="en-US"/>
        </w:rPr>
        <w:t xml:space="preserve"> </w:t>
      </w:r>
    </w:p>
  </w:footnote>
  <w:footnote w:id="182">
    <w:p w14:paraId="115D506B"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folios 8999 y 9003).</w:t>
      </w:r>
    </w:p>
  </w:footnote>
  <w:footnote w:id="183">
    <w:p w14:paraId="43E2D14B"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Informe de verificación de la prueba técnica en la investigación criminal de la muerte de Digna Ochoa y Plácido realizada por la fiscalía Especial de la Procuraduría General de Justicia del Distrito Federal de México, 27 de mayo de 2003 (expediente de prueba, folio 9003).</w:t>
      </w:r>
    </w:p>
  </w:footnote>
  <w:footnote w:id="184">
    <w:p w14:paraId="50ABCF33" w14:textId="7FD15D1E"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Caso González y otras (“Campo Algodonero”) Vs. México</w:t>
      </w:r>
      <w:r w:rsidRPr="00BB25AB">
        <w:rPr>
          <w:sz w:val="16"/>
          <w:szCs w:val="16"/>
        </w:rPr>
        <w:t xml:space="preserve">, supra, párr. 401, y </w:t>
      </w:r>
      <w:r w:rsidRPr="00BB25AB">
        <w:rPr>
          <w:i/>
          <w:sz w:val="16"/>
          <w:szCs w:val="16"/>
        </w:rPr>
        <w:t xml:space="preserve">Caso López Soto y otros Vs. Venezuela. Fondo, Reparaciones y Costas. </w:t>
      </w:r>
      <w:r w:rsidRPr="00BB25AB">
        <w:rPr>
          <w:sz w:val="16"/>
          <w:szCs w:val="16"/>
        </w:rPr>
        <w:t>Sentencia de 26 de septiembre de 2018. Serie C No. 362, párr. 136</w:t>
      </w:r>
      <w:r w:rsidRPr="00BB25AB">
        <w:rPr>
          <w:i/>
          <w:sz w:val="16"/>
          <w:szCs w:val="16"/>
        </w:rPr>
        <w:t>.</w:t>
      </w:r>
    </w:p>
  </w:footnote>
  <w:footnote w:id="185">
    <w:p w14:paraId="0297C7E2" w14:textId="0DAD9C11" w:rsidR="00AD6B70" w:rsidRPr="00BB25AB" w:rsidRDefault="00AD6B70" w:rsidP="00BB25AB">
      <w:pPr>
        <w:pStyle w:val="Textonotapie"/>
        <w:spacing w:before="40" w:after="40"/>
        <w:rPr>
          <w:rFonts w:cs="Vrinda"/>
          <w:sz w:val="16"/>
          <w:szCs w:val="16"/>
          <w:lang w:val="es-CR"/>
        </w:rPr>
      </w:pPr>
      <w:r w:rsidRPr="00BB25AB">
        <w:rPr>
          <w:rStyle w:val="Refdenotaalpie"/>
          <w:rFonts w:cs="Vrinda"/>
          <w:sz w:val="16"/>
          <w:szCs w:val="16"/>
        </w:rPr>
        <w:footnoteRef/>
      </w:r>
      <w:r w:rsidRPr="00BB25AB">
        <w:rPr>
          <w:rFonts w:cs="Vrinda"/>
          <w:sz w:val="16"/>
          <w:szCs w:val="16"/>
          <w:lang w:val="es-CR"/>
        </w:rPr>
        <w:t xml:space="preserve"> </w:t>
      </w:r>
      <w:r w:rsidRPr="00BB25AB">
        <w:rPr>
          <w:rFonts w:cs="Vrinda"/>
          <w:sz w:val="16"/>
          <w:szCs w:val="16"/>
          <w:lang w:val="es-CR"/>
        </w:rPr>
        <w:tab/>
      </w:r>
      <w:r w:rsidRPr="00BB25AB">
        <w:rPr>
          <w:rFonts w:cs="Vrinda"/>
          <w:i/>
          <w:sz w:val="16"/>
          <w:szCs w:val="16"/>
          <w:lang w:val="es-CR"/>
        </w:rPr>
        <w:t>Cfr.</w:t>
      </w:r>
      <w:r w:rsidRPr="00BB25AB">
        <w:rPr>
          <w:rFonts w:cs="Vrinda"/>
          <w:sz w:val="16"/>
          <w:szCs w:val="16"/>
          <w:lang w:val="es-CR"/>
        </w:rPr>
        <w:t xml:space="preserve"> </w:t>
      </w:r>
      <w:r w:rsidRPr="00BB25AB">
        <w:rPr>
          <w:i/>
          <w:sz w:val="16"/>
          <w:szCs w:val="16"/>
          <w:lang w:val="es-CR"/>
        </w:rPr>
        <w:t>Caso González y otras (“Campo Algodonero”) Vs. México, supra,</w:t>
      </w:r>
      <w:r w:rsidRPr="00BB25AB">
        <w:rPr>
          <w:rFonts w:cs="Vrinda"/>
          <w:sz w:val="16"/>
          <w:szCs w:val="16"/>
          <w:lang w:val="es-CR"/>
        </w:rPr>
        <w:t xml:space="preserve"> párr. 401, y </w:t>
      </w:r>
      <w:r w:rsidRPr="00BB25AB">
        <w:rPr>
          <w:rFonts w:cs="Courier New"/>
          <w:i/>
          <w:sz w:val="16"/>
          <w:szCs w:val="16"/>
          <w:lang w:val="es-CR"/>
        </w:rPr>
        <w:t>Caso Velásquez Paiz y otros Vs. Guatemala</w:t>
      </w:r>
      <w:r w:rsidRPr="00BB25AB">
        <w:rPr>
          <w:i/>
          <w:sz w:val="16"/>
          <w:szCs w:val="16"/>
          <w:lang w:val="es-CR"/>
        </w:rPr>
        <w:t>, supra</w:t>
      </w:r>
      <w:r w:rsidRPr="00BB25AB">
        <w:rPr>
          <w:rFonts w:cs="Courier New"/>
          <w:sz w:val="16"/>
          <w:szCs w:val="16"/>
          <w:lang w:val="es-CR"/>
        </w:rPr>
        <w:t>,</w:t>
      </w:r>
      <w:r w:rsidRPr="00BB25AB">
        <w:rPr>
          <w:i/>
          <w:sz w:val="16"/>
          <w:szCs w:val="16"/>
          <w:lang w:val="es-CR"/>
        </w:rPr>
        <w:t xml:space="preserve"> </w:t>
      </w:r>
      <w:r w:rsidRPr="00BB25AB">
        <w:rPr>
          <w:sz w:val="16"/>
          <w:szCs w:val="16"/>
          <w:lang w:val="es-CR"/>
        </w:rPr>
        <w:t xml:space="preserve">párr. 180, y </w:t>
      </w:r>
      <w:r w:rsidRPr="00BB25AB">
        <w:rPr>
          <w:i/>
          <w:sz w:val="16"/>
          <w:szCs w:val="16"/>
          <w:lang w:val="es-CR"/>
        </w:rPr>
        <w:t>Caso López Soto y otros Vs. Venezuela, supra</w:t>
      </w:r>
      <w:r w:rsidRPr="00BB25AB">
        <w:rPr>
          <w:sz w:val="16"/>
          <w:szCs w:val="16"/>
          <w:lang w:val="es-CR"/>
        </w:rPr>
        <w:t>, párr. 235.</w:t>
      </w:r>
    </w:p>
  </w:footnote>
  <w:footnote w:id="186">
    <w:p w14:paraId="052FEABF" w14:textId="77777777" w:rsidR="00AD6B70" w:rsidRPr="00BB25AB" w:rsidRDefault="00AD6B70" w:rsidP="00BB25AB">
      <w:pPr>
        <w:pStyle w:val="Textonotapie"/>
        <w:spacing w:before="40" w:after="40"/>
        <w:rPr>
          <w:rFonts w:eastAsia="Calibri" w:cs="Cambria"/>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ONU, </w:t>
      </w:r>
      <w:r w:rsidRPr="00BB25AB">
        <w:rPr>
          <w:rFonts w:eastAsia="Calibri" w:cs="Cambria"/>
          <w:sz w:val="16"/>
          <w:szCs w:val="16"/>
          <w:lang w:eastAsia="en-US"/>
        </w:rPr>
        <w:t xml:space="preserve">Comité para la Eliminación de la Discriminación contra la Mujer, Recomendación General No. 33, </w:t>
      </w:r>
      <w:r w:rsidRPr="00BB25AB">
        <w:rPr>
          <w:rFonts w:eastAsia="Calibri" w:cs="Cambria"/>
          <w:i/>
          <w:sz w:val="16"/>
          <w:szCs w:val="16"/>
          <w:lang w:eastAsia="en-US"/>
        </w:rPr>
        <w:t>El acceso de las mujeres a la justicia</w:t>
      </w:r>
      <w:r w:rsidRPr="00BB25AB">
        <w:rPr>
          <w:rFonts w:eastAsia="Calibri" w:cs="Cambria"/>
          <w:sz w:val="16"/>
          <w:szCs w:val="16"/>
          <w:lang w:eastAsia="en-US"/>
        </w:rPr>
        <w:t xml:space="preserve">, </w:t>
      </w:r>
      <w:r w:rsidRPr="00BB25AB">
        <w:rPr>
          <w:sz w:val="16"/>
          <w:szCs w:val="16"/>
        </w:rPr>
        <w:t>CEDAW/C/GC/33, 3 de agosto de 2015,</w:t>
      </w:r>
      <w:r w:rsidRPr="00BB25AB">
        <w:rPr>
          <w:rFonts w:eastAsia="Calibri" w:cs="Cambria"/>
          <w:sz w:val="16"/>
          <w:szCs w:val="16"/>
          <w:lang w:eastAsia="en-US"/>
        </w:rPr>
        <w:t xml:space="preserve"> párr. 26</w:t>
      </w:r>
      <w:r w:rsidRPr="00BB25AB">
        <w:rPr>
          <w:sz w:val="16"/>
          <w:szCs w:val="16"/>
        </w:rPr>
        <w:t>.</w:t>
      </w:r>
    </w:p>
  </w:footnote>
  <w:footnote w:id="187">
    <w:p w14:paraId="1A4D66FF" w14:textId="5D92CCCE" w:rsidR="00AD6B70" w:rsidRPr="00BB25AB" w:rsidRDefault="00AD6B70" w:rsidP="00BB25AB">
      <w:pPr>
        <w:pStyle w:val="Textonotapie"/>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CR"/>
        </w:rPr>
        <w:t>Cfr.</w:t>
      </w:r>
      <w:r w:rsidRPr="00BB25AB">
        <w:rPr>
          <w:sz w:val="16"/>
          <w:szCs w:val="16"/>
          <w:lang w:val="es-CR"/>
        </w:rPr>
        <w:t xml:space="preserve"> </w:t>
      </w:r>
      <w:r w:rsidRPr="00BB25AB">
        <w:rPr>
          <w:i/>
          <w:sz w:val="16"/>
          <w:szCs w:val="16"/>
          <w:lang w:val="es-CR"/>
        </w:rPr>
        <w:t>Caso Gutiérrez Hernández y otros Vs. Guatemala, supra</w:t>
      </w:r>
      <w:r w:rsidRPr="00BB25AB">
        <w:rPr>
          <w:sz w:val="16"/>
          <w:szCs w:val="16"/>
          <w:lang w:val="es-CR"/>
        </w:rPr>
        <w:t xml:space="preserve">, párr. 173, y </w:t>
      </w:r>
      <w:r w:rsidRPr="00BB25AB">
        <w:rPr>
          <w:i/>
          <w:sz w:val="16"/>
          <w:szCs w:val="16"/>
          <w:lang w:val="es-CR"/>
        </w:rPr>
        <w:t>Caso López Soto y otros Vs. Venezuela, supra,</w:t>
      </w:r>
      <w:r w:rsidRPr="00BB25AB">
        <w:rPr>
          <w:sz w:val="16"/>
          <w:szCs w:val="16"/>
          <w:lang w:val="es-CR"/>
        </w:rPr>
        <w:t xml:space="preserve"> párr. 236.</w:t>
      </w:r>
    </w:p>
  </w:footnote>
  <w:footnote w:id="188">
    <w:p w14:paraId="05311C10"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Informe del Relator Especial sobre la situación de los defensores de los derechos humanos, Michel Forst, de 15 de julio de 2019, A/74/159, párr. 74. Disponible aquí: </w:t>
      </w:r>
      <w:hyperlink r:id="rId40" w:history="1">
        <w:r w:rsidRPr="00BB25AB">
          <w:rPr>
            <w:rStyle w:val="Hipervnculo"/>
            <w:sz w:val="16"/>
            <w:szCs w:val="16"/>
          </w:rPr>
          <w:t>https://undocs.org/es/A/74/159</w:t>
        </w:r>
      </w:hyperlink>
      <w:r w:rsidRPr="00BB25AB">
        <w:rPr>
          <w:sz w:val="16"/>
          <w:szCs w:val="16"/>
        </w:rPr>
        <w:t xml:space="preserve"> </w:t>
      </w:r>
    </w:p>
  </w:footnote>
  <w:footnote w:id="189">
    <w:p w14:paraId="480E4A29"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CEDAW, Recomendación general núm. 33 sobre el acceso de las mujeres a la justicia, de 3 de agosto de 2015, CEDAW/C/GC/33, párr. 9. Disponible aquí: </w:t>
      </w:r>
      <w:hyperlink r:id="rId41" w:history="1">
        <w:r w:rsidRPr="00BB25AB">
          <w:rPr>
            <w:rStyle w:val="Hipervnculo"/>
            <w:sz w:val="16"/>
            <w:szCs w:val="16"/>
          </w:rPr>
          <w:t>file:///C:/Users/Marta%20Cabrera/Downloads/N1524193.pdf</w:t>
        </w:r>
      </w:hyperlink>
      <w:r w:rsidRPr="00BB25AB">
        <w:rPr>
          <w:sz w:val="16"/>
          <w:szCs w:val="16"/>
        </w:rPr>
        <w:t xml:space="preserve"> </w:t>
      </w:r>
    </w:p>
  </w:footnote>
  <w:footnote w:id="190">
    <w:p w14:paraId="673FD125"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CEDAW, Recomendación general núm. 33 sobre el acceso de las mujeres a la justicia, de 3 de agosto de 2015, CEDAW/C/GC/33, párr. 10.</w:t>
      </w:r>
    </w:p>
  </w:footnote>
  <w:footnote w:id="191">
    <w:p w14:paraId="164778DF"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Recomendación General núm. 35 sobre la violencia por razón de género contra la mujer, por la que se actualiza la Recomendación General núm. 19, de 26 de julio de 2017, CEDAW/C/GC/35, párr. 1. Disponible aquí: </w:t>
      </w:r>
      <w:hyperlink r:id="rId42" w:history="1">
        <w:r w:rsidRPr="00BB25AB">
          <w:rPr>
            <w:rStyle w:val="Hipervnculo"/>
            <w:sz w:val="16"/>
            <w:szCs w:val="16"/>
          </w:rPr>
          <w:t>file:///C:/Users/Marta%20Cabrera/Downloads/N1723157.pdf</w:t>
        </w:r>
      </w:hyperlink>
      <w:r w:rsidRPr="00BB25AB">
        <w:rPr>
          <w:sz w:val="16"/>
          <w:szCs w:val="16"/>
        </w:rPr>
        <w:t xml:space="preserve"> </w:t>
      </w:r>
    </w:p>
  </w:footnote>
  <w:footnote w:id="192">
    <w:p w14:paraId="000FAE46" w14:textId="584E043E"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Peritaje rendido por </w:t>
      </w:r>
      <w:r w:rsidRPr="00BB25AB">
        <w:rPr>
          <w:rFonts w:eastAsiaTheme="minorHAnsi" w:cs="Arial"/>
          <w:i/>
          <w:sz w:val="16"/>
          <w:szCs w:val="16"/>
          <w:lang w:eastAsia="en-US"/>
        </w:rPr>
        <w:t>affidavit</w:t>
      </w:r>
      <w:r w:rsidRPr="00BB25AB">
        <w:rPr>
          <w:rFonts w:eastAsiaTheme="minorHAnsi" w:cs="Arial"/>
          <w:sz w:val="16"/>
          <w:szCs w:val="16"/>
          <w:lang w:eastAsia="en-US"/>
        </w:rPr>
        <w:t xml:space="preserve"> de Luz Adriana Camargo Garzón, de 19 de abril de 2021, párr. 40 (expediente de prueba, folio 1206).</w:t>
      </w:r>
    </w:p>
  </w:footnote>
  <w:footnote w:id="193">
    <w:p w14:paraId="48B7E004" w14:textId="77777777"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folios 356 y 357). Ver también,</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26 de noviembre de 2010 (expediente de prueba, folio 4411). Cabe destacar que en esta última decisión de no ejercicio de la acción penal se tuvo al dictamen pericial de 28 de junio de 2002 como “confiable al momento de la valoración de la prueba”. </w:t>
      </w:r>
      <w:r w:rsidRPr="00BB25AB">
        <w:rPr>
          <w:rFonts w:eastAsiaTheme="minorHAnsi" w:cs="Arial"/>
          <w:i/>
          <w:sz w:val="16"/>
          <w:szCs w:val="16"/>
          <w:lang w:eastAsia="en-US"/>
        </w:rPr>
        <w:t>Cfr</w:t>
      </w:r>
      <w:r w:rsidRPr="00BB25AB">
        <w:rPr>
          <w:rFonts w:eastAsiaTheme="minorHAnsi" w:cs="Arial"/>
          <w:sz w:val="16"/>
          <w:szCs w:val="16"/>
          <w:lang w:eastAsia="en-US"/>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 7057).</w:t>
      </w:r>
    </w:p>
  </w:footnote>
  <w:footnote w:id="194">
    <w:p w14:paraId="07C7EF9E" w14:textId="4643F5FC"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433)</w:t>
      </w:r>
      <w:r w:rsidRPr="00BB25AB">
        <w:rPr>
          <w:sz w:val="16"/>
          <w:szCs w:val="16"/>
        </w:rPr>
        <w:t xml:space="preserve">. </w:t>
      </w:r>
      <w:r w:rsidRPr="00BB25AB">
        <w:rPr>
          <w:rFonts w:eastAsiaTheme="minorHAnsi" w:cs="Arial"/>
          <w:sz w:val="16"/>
          <w:szCs w:val="16"/>
          <w:lang w:eastAsia="en-US"/>
        </w:rPr>
        <w:t xml:space="preserve">Cabe destacar que la última decisión de no ejercicio de la acción penal, de 26 de noviembre de 2010, se tuvo al dictamen pericial de 8 de mayo de 2003 como “fiable”. </w:t>
      </w:r>
      <w:r w:rsidRPr="00BB25AB">
        <w:rPr>
          <w:rFonts w:eastAsiaTheme="minorHAnsi" w:cs="Arial"/>
          <w:i/>
          <w:sz w:val="16"/>
          <w:szCs w:val="16"/>
          <w:lang w:eastAsia="en-US"/>
        </w:rPr>
        <w:t>Cfr</w:t>
      </w:r>
      <w:r w:rsidRPr="00BB25AB">
        <w:rPr>
          <w:rFonts w:eastAsiaTheme="minorHAnsi" w:cs="Arial"/>
          <w:sz w:val="16"/>
          <w:szCs w:val="16"/>
          <w:lang w:eastAsia="en-US"/>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 7057).</w:t>
      </w:r>
    </w:p>
  </w:footnote>
  <w:footnote w:id="195">
    <w:p w14:paraId="6F49438D"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folios 1805 a 1807, 1872)</w:t>
      </w:r>
      <w:r w:rsidRPr="00BB25AB">
        <w:rPr>
          <w:sz w:val="16"/>
          <w:szCs w:val="16"/>
        </w:rPr>
        <w:t xml:space="preserve">. </w:t>
      </w:r>
    </w:p>
  </w:footnote>
  <w:footnote w:id="196">
    <w:p w14:paraId="193A5088" w14:textId="24ADC2D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folios 1805 a 1807, 1872)</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folios 429, 430, 432 y 2308)</w:t>
      </w:r>
      <w:r w:rsidRPr="00BB25AB">
        <w:rPr>
          <w:sz w:val="16"/>
          <w:szCs w:val="16"/>
        </w:rPr>
        <w:t>;</w:t>
      </w:r>
      <w:r w:rsidRPr="00BB25AB">
        <w:rPr>
          <w:rFonts w:eastAsiaTheme="minorHAnsi" w:cs="Arial"/>
          <w:i/>
          <w:sz w:val="16"/>
          <w:szCs w:val="16"/>
          <w:lang w:eastAsia="en-US"/>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 xml:space="preserve">26 de noviembre de 2010 (expediente de prueba, folio 7068); </w:t>
      </w:r>
      <w:r w:rsidRPr="00BB25AB">
        <w:rPr>
          <w:sz w:val="16"/>
          <w:szCs w:val="16"/>
        </w:rPr>
        <w:t xml:space="preserve">Procuraduría General de Justicia del Distrito Federal, Decisión de </w:t>
      </w:r>
      <w:r w:rsidRPr="00BB25AB">
        <w:rPr>
          <w:rFonts w:eastAsiaTheme="minorHAnsi" w:cs="Arial"/>
          <w:sz w:val="16"/>
          <w:szCs w:val="16"/>
          <w:lang w:eastAsia="en-US"/>
        </w:rPr>
        <w:t xml:space="preserve">18 de julio de 2003 (expediente de prueba, folio 361). Ver también, referencia al dictamen de 28 de noviembre de 2010;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 431);</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2309)</w:t>
      </w:r>
      <w:r w:rsidRPr="00BB25AB">
        <w:rPr>
          <w:sz w:val="16"/>
          <w:szCs w:val="16"/>
        </w:rPr>
        <w:t xml:space="preserve">; Procuraduría General de Justicia del Distrito Federal, Decisión de </w:t>
      </w:r>
      <w:r w:rsidRPr="00BB25AB">
        <w:rPr>
          <w:rFonts w:eastAsiaTheme="minorHAnsi" w:cs="Arial"/>
          <w:sz w:val="16"/>
          <w:szCs w:val="16"/>
          <w:lang w:eastAsia="en-US"/>
        </w:rPr>
        <w:t xml:space="preserve">26 de noviembre de 2010 (expediente de prueba, folio 7070); </w:t>
      </w:r>
      <w:r w:rsidRPr="00BB25AB">
        <w:rPr>
          <w:sz w:val="16"/>
          <w:szCs w:val="16"/>
        </w:rPr>
        <w:t xml:space="preserve">Procuraduría General de Justicia del Distrito Federal, Decisión de </w:t>
      </w:r>
      <w:r w:rsidRPr="00BB25AB">
        <w:rPr>
          <w:rFonts w:eastAsiaTheme="minorHAnsi" w:cs="Arial"/>
          <w:sz w:val="16"/>
          <w:szCs w:val="16"/>
          <w:lang w:eastAsia="en-US"/>
        </w:rPr>
        <w:t xml:space="preserve">18 de julio de 2003 (expediente de prueba, folio 2309), y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 7070).</w:t>
      </w:r>
    </w:p>
  </w:footnote>
  <w:footnote w:id="197">
    <w:p w14:paraId="5D3B183F" w14:textId="2A8DBD7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362)</w:t>
      </w:r>
      <w:r w:rsidRPr="00BB25AB">
        <w:rPr>
          <w:sz w:val="16"/>
          <w:szCs w:val="16"/>
        </w:rPr>
        <w:t>. Ver también,</w:t>
      </w:r>
      <w:r w:rsidRPr="00BB25AB">
        <w:rPr>
          <w:i/>
          <w:sz w:val="16"/>
          <w:szCs w:val="16"/>
        </w:rPr>
        <w:t xml:space="preserve"> </w:t>
      </w:r>
      <w:r w:rsidRPr="00BB25AB">
        <w:rPr>
          <w:sz w:val="16"/>
          <w:szCs w:val="16"/>
        </w:rPr>
        <w:t xml:space="preserve">Procuraduría General de Justicia del Distrito Federal, Decisión de </w:t>
      </w:r>
      <w:r w:rsidRPr="00BB25AB">
        <w:rPr>
          <w:rFonts w:eastAsiaTheme="minorHAnsi" w:cs="Arial"/>
          <w:sz w:val="16"/>
          <w:szCs w:val="16"/>
          <w:lang w:eastAsia="en-US"/>
        </w:rPr>
        <w:t>26 de noviembre de 2010 (expediente de prueba, folio 7041).</w:t>
      </w:r>
    </w:p>
  </w:footnote>
  <w:footnote w:id="198">
    <w:p w14:paraId="572C463D" w14:textId="4B29E210"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2318)</w:t>
      </w:r>
      <w:r w:rsidRPr="00BB25AB">
        <w:rPr>
          <w:sz w:val="16"/>
          <w:szCs w:val="16"/>
        </w:rPr>
        <w:t xml:space="preserve">. Ver también, Estudio psicodinámico de la personalidad de Digna Ochoa y Plácido, 8 de mayo de 2003 (expediente de prueba, folio 3371), y Procuraduría General de Justicia del Distrito Federal, Decisión de </w:t>
      </w:r>
      <w:r w:rsidRPr="00BB25AB">
        <w:rPr>
          <w:rFonts w:eastAsiaTheme="minorHAnsi" w:cs="Arial"/>
          <w:sz w:val="16"/>
          <w:szCs w:val="16"/>
          <w:lang w:eastAsia="en-US"/>
        </w:rPr>
        <w:t>26 de noviembre de 2010 (expediente de prueba, folio 7079).</w:t>
      </w:r>
    </w:p>
  </w:footnote>
  <w:footnote w:id="199">
    <w:p w14:paraId="61A347FD" w14:textId="0487BC7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2413)</w:t>
      </w:r>
      <w:r w:rsidRPr="00BB25AB">
        <w:rPr>
          <w:sz w:val="16"/>
          <w:szCs w:val="16"/>
        </w:rPr>
        <w:t xml:space="preserve">. Ver también, Estudio psicodinámico de la personalidad de Digna Ochoa y Plácido, 8 de mayo de 2003 (expediente de prueba, folio 3380), y Procuraduría General de Justicia del Distrito Federal, Decisión de </w:t>
      </w:r>
      <w:r w:rsidRPr="00BB25AB">
        <w:rPr>
          <w:rFonts w:eastAsiaTheme="minorHAnsi" w:cs="Arial"/>
          <w:sz w:val="16"/>
          <w:szCs w:val="16"/>
          <w:lang w:eastAsia="en-US"/>
        </w:rPr>
        <w:t>26 de noviembre de 2010 (expediente de prueba, folio 7161).</w:t>
      </w:r>
    </w:p>
  </w:footnote>
  <w:footnote w:id="200">
    <w:p w14:paraId="4D35F3D6" w14:textId="34680E6E"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2417)</w:t>
      </w:r>
      <w:r w:rsidRPr="00BB25AB">
        <w:rPr>
          <w:sz w:val="16"/>
          <w:szCs w:val="16"/>
        </w:rPr>
        <w:t>.</w:t>
      </w:r>
    </w:p>
  </w:footnote>
  <w:footnote w:id="201">
    <w:p w14:paraId="3E0F6E20" w14:textId="582E1D9D"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18 de julio de 2003 (expediente de prueba, folio 434)</w:t>
      </w:r>
      <w:r w:rsidRPr="00BB25AB">
        <w:rPr>
          <w:sz w:val="16"/>
          <w:szCs w:val="16"/>
        </w:rPr>
        <w:t xml:space="preserve">. Ver también, Estudio psicodinámico de la personalidad de Digna Ochoa y Plácido, 8 de mayo de 2003 (expediente de prueba, folio 3391), y Procuraduría General de Justicia del Distrito Federal, Decisión de </w:t>
      </w:r>
      <w:r w:rsidRPr="00BB25AB">
        <w:rPr>
          <w:rFonts w:eastAsiaTheme="minorHAnsi" w:cs="Arial"/>
          <w:sz w:val="16"/>
          <w:szCs w:val="16"/>
          <w:lang w:eastAsia="en-US"/>
        </w:rPr>
        <w:t>26 de noviembre de 2010 (expediente de prueba, folios 7053 y 7054).</w:t>
      </w:r>
    </w:p>
  </w:footnote>
  <w:footnote w:id="202">
    <w:p w14:paraId="6792180C" w14:textId="777B20B4" w:rsidR="00AD6B70" w:rsidRPr="00BB25AB" w:rsidRDefault="00AD6B70" w:rsidP="00BB25AB">
      <w:pPr>
        <w:pStyle w:val="Textonotapie"/>
        <w:tabs>
          <w:tab w:val="left" w:pos="567"/>
        </w:tabs>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CR"/>
        </w:rPr>
        <w:t>Cfr.</w:t>
      </w:r>
      <w:r w:rsidRPr="00BB25AB">
        <w:rPr>
          <w:sz w:val="16"/>
          <w:szCs w:val="16"/>
          <w:lang w:val="es-CR"/>
        </w:rPr>
        <w:t xml:space="preserve"> </w:t>
      </w:r>
      <w:r w:rsidRPr="00BB25AB">
        <w:rPr>
          <w:i/>
          <w:sz w:val="16"/>
          <w:szCs w:val="16"/>
          <w:lang w:val="es-CR"/>
        </w:rPr>
        <w:t>Caso Gutiérrez Hernández y otros Vs. Guatemala, supra</w:t>
      </w:r>
      <w:r w:rsidRPr="00BB25AB">
        <w:rPr>
          <w:sz w:val="16"/>
          <w:szCs w:val="16"/>
          <w:lang w:val="es-CR"/>
        </w:rPr>
        <w:t xml:space="preserve">, </w:t>
      </w:r>
      <w:proofErr w:type="spellStart"/>
      <w:r w:rsidRPr="00BB25AB">
        <w:rPr>
          <w:sz w:val="16"/>
          <w:szCs w:val="16"/>
          <w:lang w:val="es-CR"/>
        </w:rPr>
        <w:t>párrs</w:t>
      </w:r>
      <w:proofErr w:type="spellEnd"/>
      <w:r w:rsidRPr="00BB25AB">
        <w:rPr>
          <w:sz w:val="16"/>
          <w:szCs w:val="16"/>
          <w:lang w:val="es-CR"/>
        </w:rPr>
        <w:t xml:space="preserve">. 171 y 172, </w:t>
      </w:r>
      <w:r w:rsidRPr="00BB25AB">
        <w:rPr>
          <w:i/>
          <w:sz w:val="16"/>
          <w:szCs w:val="16"/>
        </w:rPr>
        <w:t>Caso López Soto y otros Vs. Venezuela</w:t>
      </w:r>
      <w:r w:rsidRPr="00BB25AB">
        <w:rPr>
          <w:sz w:val="16"/>
          <w:szCs w:val="16"/>
        </w:rPr>
        <w:t>,</w:t>
      </w:r>
      <w:r w:rsidRPr="00BB25AB">
        <w:rPr>
          <w:i/>
          <w:sz w:val="16"/>
          <w:szCs w:val="16"/>
          <w:lang w:val="es-CR"/>
        </w:rPr>
        <w:t xml:space="preserve"> supra,</w:t>
      </w:r>
      <w:r w:rsidRPr="00BB25AB">
        <w:rPr>
          <w:sz w:val="16"/>
          <w:szCs w:val="16"/>
        </w:rPr>
        <w:t xml:space="preserve"> párr. 239.</w:t>
      </w:r>
    </w:p>
  </w:footnote>
  <w:footnote w:id="203">
    <w:p w14:paraId="3642AC51" w14:textId="20FD2341" w:rsidR="00AD6B70" w:rsidRPr="00BB25AB" w:rsidRDefault="00AD6B70" w:rsidP="00BB25AB">
      <w:pPr>
        <w:pStyle w:val="Textonotapie"/>
        <w:tabs>
          <w:tab w:val="left" w:pos="567"/>
        </w:tabs>
        <w:spacing w:before="40" w:after="40"/>
        <w:rPr>
          <w:sz w:val="16"/>
          <w:szCs w:val="16"/>
          <w:lang w:val="es-CR"/>
        </w:rPr>
      </w:pPr>
      <w:r w:rsidRPr="00BB25AB">
        <w:rPr>
          <w:rStyle w:val="Refdenotaalpie"/>
          <w:sz w:val="16"/>
          <w:szCs w:val="16"/>
        </w:rPr>
        <w:footnoteRef/>
      </w:r>
      <w:r w:rsidRPr="00BB25AB">
        <w:rPr>
          <w:sz w:val="16"/>
          <w:szCs w:val="16"/>
          <w:lang w:val="es-CR"/>
        </w:rPr>
        <w:t xml:space="preserve"> </w:t>
      </w:r>
      <w:r w:rsidRPr="00BB25AB">
        <w:rPr>
          <w:sz w:val="16"/>
          <w:szCs w:val="16"/>
          <w:lang w:val="es-CR"/>
        </w:rPr>
        <w:tab/>
      </w:r>
      <w:r w:rsidRPr="00BB25AB">
        <w:rPr>
          <w:i/>
          <w:sz w:val="16"/>
          <w:szCs w:val="16"/>
          <w:lang w:val="es-CR"/>
        </w:rPr>
        <w:t xml:space="preserve">Cfr. Caso Manuela y otros Vs. El Salvador. Excepciones preliminares, Fondo, Reparaciones y Costas. </w:t>
      </w:r>
      <w:r w:rsidRPr="00BB25AB">
        <w:rPr>
          <w:sz w:val="16"/>
          <w:szCs w:val="16"/>
          <w:lang w:val="es-CR"/>
        </w:rPr>
        <w:t>Sentencia de 2 de noviembre de 2021,</w:t>
      </w:r>
      <w:r w:rsidRPr="00BB25AB">
        <w:rPr>
          <w:i/>
          <w:sz w:val="16"/>
          <w:szCs w:val="16"/>
          <w:lang w:val="es-CR"/>
        </w:rPr>
        <w:t xml:space="preserve"> </w:t>
      </w:r>
      <w:r w:rsidRPr="00BB25AB">
        <w:rPr>
          <w:sz w:val="16"/>
          <w:szCs w:val="16"/>
          <w:lang w:val="es-CR"/>
        </w:rPr>
        <w:t>párr. 133.</w:t>
      </w:r>
      <w:r w:rsidRPr="00BB25AB">
        <w:rPr>
          <w:i/>
          <w:sz w:val="16"/>
          <w:szCs w:val="16"/>
          <w:lang w:val="es-CR"/>
        </w:rPr>
        <w:t xml:space="preserve"> </w:t>
      </w:r>
      <w:r w:rsidRPr="00BB25AB">
        <w:rPr>
          <w:sz w:val="16"/>
          <w:szCs w:val="16"/>
          <w:lang w:val="es-CR"/>
        </w:rPr>
        <w:t>Ver también,</w:t>
      </w:r>
      <w:r w:rsidRPr="00BB25AB">
        <w:rPr>
          <w:i/>
          <w:sz w:val="16"/>
          <w:szCs w:val="16"/>
          <w:lang w:val="es-CR"/>
        </w:rPr>
        <w:t xml:space="preserve"> </w:t>
      </w:r>
      <w:r w:rsidRPr="00BB25AB">
        <w:rPr>
          <w:sz w:val="16"/>
          <w:szCs w:val="16"/>
          <w:lang w:val="es-CR"/>
        </w:rPr>
        <w:t xml:space="preserve">CEDAW, Recomendación General No. 33 sobre el acceso de las mujeres a la justicia, CEDAW/C/GC/33, 3 de agosto de 2015, </w:t>
      </w:r>
      <w:proofErr w:type="spellStart"/>
      <w:r w:rsidRPr="00BB25AB">
        <w:rPr>
          <w:sz w:val="16"/>
          <w:szCs w:val="16"/>
          <w:lang w:val="es-CR"/>
        </w:rPr>
        <w:t>párrs</w:t>
      </w:r>
      <w:proofErr w:type="spellEnd"/>
      <w:r w:rsidRPr="00BB25AB">
        <w:rPr>
          <w:sz w:val="16"/>
          <w:szCs w:val="16"/>
          <w:lang w:val="es-CR"/>
        </w:rPr>
        <w:t xml:space="preserve">. 26 a 28, y Oficina del Alto Comisionado de las Naciones Unidas para los Derechos Humanos, Documento de antecedentes sobre el papel del Poder Judicial en el abordaje de los estereotipos nocivos de género en casos relativos a la salud y los derechos sexuales y reproductivos, pág. 5. Disponible en: </w:t>
      </w:r>
      <w:hyperlink r:id="rId43" w:history="1">
        <w:r w:rsidRPr="00BB25AB">
          <w:rPr>
            <w:rStyle w:val="Hipervnculo"/>
            <w:sz w:val="16"/>
            <w:szCs w:val="16"/>
            <w:lang w:val="es-CR"/>
          </w:rPr>
          <w:t>https://www.ohchr.org/Documents/Issues/Women/WRGS/JudiciaryRoleCounterStereotypes_SP.pdf</w:t>
        </w:r>
      </w:hyperlink>
      <w:r w:rsidRPr="00BB25AB">
        <w:rPr>
          <w:sz w:val="16"/>
          <w:szCs w:val="16"/>
          <w:lang w:val="es-CR"/>
        </w:rPr>
        <w:t xml:space="preserve"> </w:t>
      </w:r>
    </w:p>
  </w:footnote>
  <w:footnote w:id="204">
    <w:p w14:paraId="1E723DB6" w14:textId="2BA1A06A"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lang w:val="es-CR"/>
        </w:rPr>
        <w:t xml:space="preserve">Cfr. Caso Manuela y otros Vs. El Salvador. Excepciones preliminares, Fondo, Reparaciones y Costas. </w:t>
      </w:r>
      <w:r w:rsidRPr="00BB25AB">
        <w:rPr>
          <w:sz w:val="16"/>
          <w:szCs w:val="16"/>
          <w:lang w:val="es-CR"/>
        </w:rPr>
        <w:t>Sentencia de 2 de noviembre de 2021,</w:t>
      </w:r>
      <w:r w:rsidRPr="00BB25AB">
        <w:rPr>
          <w:i/>
          <w:sz w:val="16"/>
          <w:szCs w:val="16"/>
          <w:lang w:val="es-CR"/>
        </w:rPr>
        <w:t xml:space="preserve"> </w:t>
      </w:r>
      <w:r w:rsidRPr="00BB25AB">
        <w:rPr>
          <w:sz w:val="16"/>
          <w:szCs w:val="16"/>
          <w:lang w:val="es-CR"/>
        </w:rPr>
        <w:t>párr. 133.</w:t>
      </w:r>
    </w:p>
  </w:footnote>
  <w:footnote w:id="205">
    <w:p w14:paraId="5C32B489" w14:textId="77777777" w:rsidR="00AD6B70" w:rsidRPr="00BB25AB" w:rsidRDefault="00AD6B70" w:rsidP="00BB25AB">
      <w:pPr>
        <w:pStyle w:val="Textonotapie"/>
        <w:spacing w:before="40" w:after="40"/>
        <w:rPr>
          <w:sz w:val="16"/>
          <w:szCs w:val="16"/>
        </w:rPr>
      </w:pPr>
      <w:r w:rsidRPr="00BB25AB">
        <w:rPr>
          <w:rStyle w:val="Refdenotaalpie"/>
          <w:rFonts w:eastAsia="MS Mincho"/>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i/>
          <w:iCs/>
          <w:sz w:val="16"/>
          <w:szCs w:val="16"/>
        </w:rPr>
        <w:t xml:space="preserve">Caso Bulacio Vs. Argentina. Fondo, Reparaciones y Costas. </w:t>
      </w:r>
      <w:r w:rsidRPr="00BB25AB">
        <w:rPr>
          <w:iCs/>
          <w:sz w:val="16"/>
          <w:szCs w:val="16"/>
        </w:rPr>
        <w:t>Sentencia de 18 de septiembre de 2003. Serie C No. 100,</w:t>
      </w:r>
      <w:r w:rsidRPr="00BB25AB">
        <w:rPr>
          <w:i/>
          <w:iCs/>
          <w:sz w:val="16"/>
          <w:szCs w:val="16"/>
        </w:rPr>
        <w:t xml:space="preserve"> </w:t>
      </w:r>
      <w:r w:rsidRPr="00BB25AB">
        <w:rPr>
          <w:sz w:val="16"/>
          <w:szCs w:val="16"/>
        </w:rPr>
        <w:t>párr. 114, y</w:t>
      </w:r>
      <w:r w:rsidRPr="00BB25AB">
        <w:rPr>
          <w:i/>
          <w:sz w:val="16"/>
          <w:szCs w:val="16"/>
        </w:rPr>
        <w:t xml:space="preserve"> </w:t>
      </w:r>
      <w:r w:rsidRPr="00BB25AB">
        <w:rPr>
          <w:rFonts w:cs="Arial"/>
          <w:i/>
          <w:sz w:val="16"/>
          <w:szCs w:val="16"/>
          <w:shd w:val="clear" w:color="auto" w:fill="FFFFFF"/>
        </w:rPr>
        <w:t>Caso Guerrero, Molina y otros Vs. Venezuela</w:t>
      </w:r>
      <w:r w:rsidRPr="00BB25AB">
        <w:rPr>
          <w:rFonts w:cs="Arial"/>
          <w:sz w:val="16"/>
          <w:szCs w:val="16"/>
          <w:shd w:val="clear" w:color="auto" w:fill="FFFFFF"/>
        </w:rPr>
        <w:t>,</w:t>
      </w:r>
      <w:r w:rsidRPr="00BB25AB">
        <w:rPr>
          <w:i/>
          <w:sz w:val="16"/>
          <w:szCs w:val="16"/>
        </w:rPr>
        <w:t xml:space="preserve"> supra</w:t>
      </w:r>
      <w:r w:rsidRPr="00BB25AB">
        <w:rPr>
          <w:sz w:val="16"/>
          <w:szCs w:val="16"/>
        </w:rPr>
        <w:t>, párr. 136.</w:t>
      </w:r>
    </w:p>
  </w:footnote>
  <w:footnote w:id="206">
    <w:p w14:paraId="2044E5FB" w14:textId="500219CE" w:rsidR="00AD6B70" w:rsidRPr="00BB25AB" w:rsidRDefault="00AD6B70" w:rsidP="00BB25AB">
      <w:pPr>
        <w:pStyle w:val="Textonotapie"/>
        <w:spacing w:before="40" w:after="40"/>
        <w:rPr>
          <w:sz w:val="16"/>
          <w:szCs w:val="16"/>
          <w:lang w:val="es-MX"/>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i/>
          <w:sz w:val="16"/>
          <w:szCs w:val="16"/>
        </w:rPr>
        <w:t xml:space="preserve">Caso Hilaire, </w:t>
      </w:r>
      <w:proofErr w:type="spellStart"/>
      <w:r w:rsidRPr="00BB25AB">
        <w:rPr>
          <w:i/>
          <w:sz w:val="16"/>
          <w:szCs w:val="16"/>
        </w:rPr>
        <w:t>Constantine</w:t>
      </w:r>
      <w:proofErr w:type="spellEnd"/>
      <w:r w:rsidRPr="00BB25AB">
        <w:rPr>
          <w:i/>
          <w:sz w:val="16"/>
          <w:szCs w:val="16"/>
        </w:rPr>
        <w:t xml:space="preserve"> y </w:t>
      </w:r>
      <w:proofErr w:type="spellStart"/>
      <w:r w:rsidRPr="00BB25AB">
        <w:rPr>
          <w:i/>
          <w:sz w:val="16"/>
          <w:szCs w:val="16"/>
        </w:rPr>
        <w:t>Benjamin</w:t>
      </w:r>
      <w:proofErr w:type="spellEnd"/>
      <w:r w:rsidRPr="00BB25AB">
        <w:rPr>
          <w:i/>
          <w:sz w:val="16"/>
          <w:szCs w:val="16"/>
        </w:rPr>
        <w:t xml:space="preserve"> y otros Vs. Trinidad y Tobago</w:t>
      </w:r>
      <w:r w:rsidRPr="00BB25AB">
        <w:rPr>
          <w:i/>
          <w:sz w:val="16"/>
          <w:szCs w:val="16"/>
          <w:lang w:val="es-CR"/>
        </w:rPr>
        <w:t>, supra</w:t>
      </w:r>
      <w:r w:rsidRPr="00BB25AB">
        <w:rPr>
          <w:sz w:val="16"/>
          <w:szCs w:val="16"/>
        </w:rPr>
        <w:t xml:space="preserve">, párr. 145, y </w:t>
      </w:r>
      <w:r w:rsidRPr="00BB25AB">
        <w:rPr>
          <w:rFonts w:cs="Arial"/>
          <w:i/>
          <w:sz w:val="16"/>
          <w:szCs w:val="16"/>
          <w:shd w:val="clear" w:color="auto" w:fill="FFFFFF"/>
        </w:rPr>
        <w:t>Caso Olivares Muñoz y otros Vs. Venezuela. Fondo, Reparaciones y Costas.</w:t>
      </w:r>
      <w:r w:rsidRPr="00BB25AB">
        <w:rPr>
          <w:rFonts w:cs="Arial"/>
          <w:sz w:val="16"/>
          <w:szCs w:val="16"/>
          <w:shd w:val="clear" w:color="auto" w:fill="FFFFFF"/>
        </w:rPr>
        <w:t xml:space="preserve"> Sentencia de 10 de noviembre de 2020. Serie C No. 415</w:t>
      </w:r>
      <w:r w:rsidRPr="00BB25AB">
        <w:rPr>
          <w:sz w:val="16"/>
          <w:szCs w:val="16"/>
        </w:rPr>
        <w:t>, párr. 123.</w:t>
      </w:r>
    </w:p>
  </w:footnote>
  <w:footnote w:id="207">
    <w:p w14:paraId="0E378B7A" w14:textId="0F4CA607" w:rsidR="00AD6B70" w:rsidRPr="00BB25AB" w:rsidRDefault="00AD6B70" w:rsidP="00BB25AB">
      <w:pPr>
        <w:pStyle w:val="Textonotapie"/>
        <w:spacing w:before="40" w:after="40"/>
        <w:rPr>
          <w:bCs/>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rFonts w:cs="Verdana"/>
          <w:bCs/>
          <w:sz w:val="16"/>
          <w:szCs w:val="16"/>
        </w:rPr>
        <w:t xml:space="preserve">En cuanto al análisis de la complejidad del asunto, la Corte ha tenido en cuenta, entre otros criterios, la complejidad de la prueba, la pluralidad de sujetos procesales o la cantidad de víctimas, el tiempo transcurrido desde que se tuvo noticia del hecho que debe ser investigado, las características del recurso contenido en la legislación interna y el contexto en el que ocurrió la violación. </w:t>
      </w:r>
      <w:r w:rsidRPr="00BB25AB">
        <w:rPr>
          <w:i/>
          <w:sz w:val="16"/>
          <w:szCs w:val="16"/>
        </w:rPr>
        <w:t>Cfr.</w:t>
      </w:r>
      <w:r w:rsidRPr="00BB25AB">
        <w:rPr>
          <w:sz w:val="16"/>
          <w:szCs w:val="16"/>
        </w:rPr>
        <w:t xml:space="preserve"> </w:t>
      </w:r>
      <w:r w:rsidRPr="00BB25AB">
        <w:rPr>
          <w:i/>
          <w:sz w:val="16"/>
          <w:szCs w:val="16"/>
        </w:rPr>
        <w:t>Caso Genie Lacayo Vs. Nicaragua,</w:t>
      </w:r>
      <w:r w:rsidRPr="00BB25AB">
        <w:rPr>
          <w:i/>
          <w:sz w:val="16"/>
          <w:szCs w:val="16"/>
          <w:lang w:val="es-CR"/>
        </w:rPr>
        <w:t xml:space="preserve"> supra</w:t>
      </w:r>
      <w:r w:rsidRPr="00BB25AB">
        <w:rPr>
          <w:sz w:val="16"/>
          <w:szCs w:val="16"/>
        </w:rPr>
        <w:t xml:space="preserve">, párr. 78, y </w:t>
      </w:r>
      <w:r w:rsidRPr="00BB25AB">
        <w:rPr>
          <w:rFonts w:cs="Arial"/>
          <w:i/>
          <w:sz w:val="16"/>
          <w:szCs w:val="16"/>
          <w:shd w:val="clear" w:color="auto" w:fill="FFFFFF"/>
        </w:rPr>
        <w:t>Caso Olivares Muñoz y otros Vs. Venezuela</w:t>
      </w:r>
      <w:r w:rsidRPr="00BB25AB">
        <w:rPr>
          <w:rFonts w:cs="Arial"/>
          <w:sz w:val="16"/>
          <w:szCs w:val="16"/>
          <w:shd w:val="clear" w:color="auto" w:fill="FFFFFF"/>
        </w:rPr>
        <w:t xml:space="preserve">, </w:t>
      </w:r>
      <w:r w:rsidRPr="00BB25AB">
        <w:rPr>
          <w:rFonts w:cs="Arial"/>
          <w:i/>
          <w:sz w:val="16"/>
          <w:szCs w:val="16"/>
          <w:shd w:val="clear" w:color="auto" w:fill="FFFFFF"/>
        </w:rPr>
        <w:t>supra</w:t>
      </w:r>
      <w:r w:rsidRPr="00BB25AB">
        <w:rPr>
          <w:rFonts w:cs="Arial"/>
          <w:sz w:val="16"/>
          <w:szCs w:val="16"/>
          <w:shd w:val="clear" w:color="auto" w:fill="FFFFFF"/>
        </w:rPr>
        <w:t>, párr. 123</w:t>
      </w:r>
      <w:r w:rsidRPr="00BB25AB">
        <w:rPr>
          <w:sz w:val="16"/>
          <w:szCs w:val="16"/>
        </w:rPr>
        <w:t>.</w:t>
      </w:r>
    </w:p>
  </w:footnote>
  <w:footnote w:id="208">
    <w:p w14:paraId="03EE9121"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snapToGrid w:val="0"/>
          <w:sz w:val="16"/>
          <w:szCs w:val="16"/>
          <w:lang w:eastAsia="es-ES"/>
        </w:rPr>
        <w:t xml:space="preserve">Respecto de la actividad del interesado en obtener justicia, la Corte ha tomado en consideración si la conducta procesal de este ha contribuido en algún grado a prolongar </w:t>
      </w:r>
      <w:r w:rsidRPr="00BB25AB">
        <w:rPr>
          <w:rFonts w:cs="Verdana"/>
          <w:bCs/>
          <w:sz w:val="16"/>
          <w:szCs w:val="16"/>
        </w:rPr>
        <w:t>indebidamente</w:t>
      </w:r>
      <w:r w:rsidRPr="00BB25AB">
        <w:rPr>
          <w:snapToGrid w:val="0"/>
          <w:sz w:val="16"/>
          <w:szCs w:val="16"/>
          <w:lang w:eastAsia="es-ES"/>
        </w:rPr>
        <w:t xml:space="preserve"> la duración del proceso. </w:t>
      </w:r>
      <w:r w:rsidRPr="00BB25AB">
        <w:rPr>
          <w:i/>
          <w:sz w:val="16"/>
          <w:szCs w:val="16"/>
        </w:rPr>
        <w:t>Cfr</w:t>
      </w:r>
      <w:r w:rsidRPr="00BB25AB">
        <w:rPr>
          <w:sz w:val="16"/>
          <w:szCs w:val="16"/>
        </w:rPr>
        <w:t xml:space="preserve">. </w:t>
      </w:r>
      <w:r w:rsidRPr="00BB25AB">
        <w:rPr>
          <w:i/>
          <w:sz w:val="16"/>
          <w:szCs w:val="16"/>
        </w:rPr>
        <w:t>Caso Cantos Vs. Argentina. Fondo, Reparaciones y Costas</w:t>
      </w:r>
      <w:r w:rsidRPr="00BB25AB">
        <w:rPr>
          <w:sz w:val="16"/>
          <w:szCs w:val="16"/>
        </w:rPr>
        <w:t xml:space="preserve">. Sentencia de 28 de noviembre de 2002. Serie C No. 97, párr. 57, y </w:t>
      </w:r>
      <w:r w:rsidRPr="00BB25AB">
        <w:rPr>
          <w:rFonts w:cs="Arial"/>
          <w:i/>
          <w:sz w:val="16"/>
          <w:szCs w:val="16"/>
          <w:shd w:val="clear" w:color="auto" w:fill="FFFFFF"/>
        </w:rPr>
        <w:t>Caso Olivares Muñoz y otros Vs. Venezuela</w:t>
      </w:r>
      <w:r w:rsidRPr="00BB25AB">
        <w:rPr>
          <w:rFonts w:cs="Arial"/>
          <w:sz w:val="16"/>
          <w:szCs w:val="16"/>
          <w:shd w:val="clear" w:color="auto" w:fill="FFFFFF"/>
        </w:rPr>
        <w:t xml:space="preserve">, </w:t>
      </w:r>
      <w:r w:rsidRPr="00BB25AB">
        <w:rPr>
          <w:rFonts w:cs="Arial"/>
          <w:i/>
          <w:sz w:val="16"/>
          <w:szCs w:val="16"/>
          <w:shd w:val="clear" w:color="auto" w:fill="FFFFFF"/>
        </w:rPr>
        <w:t>supra</w:t>
      </w:r>
      <w:r w:rsidRPr="00BB25AB">
        <w:rPr>
          <w:rFonts w:cs="Arial"/>
          <w:sz w:val="16"/>
          <w:szCs w:val="16"/>
          <w:shd w:val="clear" w:color="auto" w:fill="FFFFFF"/>
        </w:rPr>
        <w:t>, párr. 123</w:t>
      </w:r>
      <w:r w:rsidRPr="00BB25AB">
        <w:rPr>
          <w:sz w:val="16"/>
          <w:szCs w:val="16"/>
        </w:rPr>
        <w:t>.</w:t>
      </w:r>
    </w:p>
  </w:footnote>
  <w:footnote w:id="209">
    <w:p w14:paraId="72424F3D"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snapToGrid w:val="0"/>
          <w:sz w:val="16"/>
          <w:szCs w:val="16"/>
          <w:lang w:eastAsia="es-ES"/>
        </w:rPr>
        <w:t xml:space="preserve">La Corte ha entendido que para lograr plenamente la efectividad de la sentencia las autoridades judiciales deben </w:t>
      </w:r>
      <w:r w:rsidRPr="00BB25AB">
        <w:rPr>
          <w:rFonts w:cs="Verdana"/>
          <w:bCs/>
          <w:sz w:val="16"/>
          <w:szCs w:val="16"/>
        </w:rPr>
        <w:t>actuar</w:t>
      </w:r>
      <w:r w:rsidRPr="00BB25AB">
        <w:rPr>
          <w:snapToGrid w:val="0"/>
          <w:sz w:val="16"/>
          <w:szCs w:val="16"/>
          <w:lang w:eastAsia="es-ES"/>
        </w:rPr>
        <w:t xml:space="preserve"> con celeridad y sin demora, debido a que el principio de tutela judicial efectiva requiere que los procedimientos de ejecución sean llevados a cabo sin obstáculos o demoras indebidas, a fin de que alcancen su objetivo de manera rápida, sencilla e integral.</w:t>
      </w:r>
      <w:r w:rsidRPr="00BB25AB">
        <w:rPr>
          <w:i/>
          <w:sz w:val="16"/>
          <w:szCs w:val="16"/>
        </w:rPr>
        <w:t xml:space="preserve"> Cfr.</w:t>
      </w:r>
      <w:r w:rsidRPr="00BB25AB">
        <w:rPr>
          <w:sz w:val="16"/>
          <w:szCs w:val="16"/>
        </w:rPr>
        <w:t xml:space="preserve"> </w:t>
      </w:r>
      <w:r w:rsidRPr="00BB25AB">
        <w:rPr>
          <w:i/>
          <w:sz w:val="16"/>
          <w:szCs w:val="16"/>
        </w:rPr>
        <w:t xml:space="preserve">Caso Mejía Idrovo Vs. Ecuador. Excepciones Preliminares, Fondo, Reparaciones y Costas. </w:t>
      </w:r>
      <w:r w:rsidRPr="00BB25AB">
        <w:rPr>
          <w:sz w:val="16"/>
          <w:szCs w:val="16"/>
        </w:rPr>
        <w:t>Sentencia de 5 de julio de 2011. Serie C No. 228</w:t>
      </w:r>
      <w:r w:rsidRPr="00BB25AB">
        <w:rPr>
          <w:i/>
          <w:sz w:val="16"/>
          <w:szCs w:val="16"/>
        </w:rPr>
        <w:t>,</w:t>
      </w:r>
      <w:r w:rsidRPr="00BB25AB">
        <w:rPr>
          <w:sz w:val="16"/>
          <w:szCs w:val="16"/>
        </w:rPr>
        <w:t xml:space="preserve"> párr. 106, y </w:t>
      </w:r>
      <w:r w:rsidRPr="00BB25AB">
        <w:rPr>
          <w:rFonts w:cs="Arial"/>
          <w:i/>
          <w:sz w:val="16"/>
          <w:szCs w:val="16"/>
          <w:shd w:val="clear" w:color="auto" w:fill="FFFFFF"/>
        </w:rPr>
        <w:t>Caso Olivares Muñoz y otros Vs. Venezuela, supra</w:t>
      </w:r>
      <w:r w:rsidRPr="00BB25AB">
        <w:rPr>
          <w:rFonts w:cs="Arial"/>
          <w:sz w:val="16"/>
          <w:szCs w:val="16"/>
          <w:shd w:val="clear" w:color="auto" w:fill="FFFFFF"/>
        </w:rPr>
        <w:t>, párr. 123</w:t>
      </w:r>
      <w:r w:rsidRPr="00BB25AB">
        <w:rPr>
          <w:sz w:val="16"/>
          <w:szCs w:val="16"/>
        </w:rPr>
        <w:t>.</w:t>
      </w:r>
    </w:p>
  </w:footnote>
  <w:footnote w:id="210">
    <w:p w14:paraId="74E6D676"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snapToGrid w:val="0"/>
          <w:sz w:val="16"/>
          <w:szCs w:val="16"/>
          <w:lang w:eastAsia="es-ES"/>
        </w:rPr>
        <w:t xml:space="preserve">En cuanto a la afectación generada en la situación jurídica de la presunta víctima, la Corte ha afirmado que para determinar la razonabilidad del plazo se debe tomar en cuenta la afectación generada por la duración del procedimiento en la situación jurídica de la persona involucrada, </w:t>
      </w:r>
      <w:r w:rsidRPr="00BB25AB">
        <w:rPr>
          <w:rFonts w:cs="Verdana"/>
          <w:bCs/>
          <w:sz w:val="16"/>
          <w:szCs w:val="16"/>
        </w:rPr>
        <w:t>considerando</w:t>
      </w:r>
      <w:r w:rsidRPr="00BB25AB">
        <w:rPr>
          <w:snapToGrid w:val="0"/>
          <w:sz w:val="16"/>
          <w:szCs w:val="16"/>
          <w:lang w:eastAsia="es-ES"/>
        </w:rPr>
        <w:t>, entre otros elementos, la materia de la controversia.</w:t>
      </w:r>
      <w:r w:rsidRPr="00BB25AB">
        <w:rPr>
          <w:i/>
          <w:sz w:val="16"/>
          <w:szCs w:val="16"/>
          <w:lang w:val="es-MX"/>
        </w:rPr>
        <w:t xml:space="preserve"> Cfr.</w:t>
      </w:r>
      <w:r w:rsidRPr="00BB25AB">
        <w:rPr>
          <w:sz w:val="16"/>
          <w:szCs w:val="16"/>
          <w:lang w:val="es-MX"/>
        </w:rPr>
        <w:t xml:space="preserve"> </w:t>
      </w:r>
      <w:r w:rsidRPr="00BB25AB">
        <w:rPr>
          <w:i/>
          <w:sz w:val="16"/>
          <w:szCs w:val="16"/>
        </w:rPr>
        <w:t xml:space="preserve">Caso </w:t>
      </w:r>
      <w:r w:rsidRPr="00BB25AB">
        <w:rPr>
          <w:bCs/>
          <w:i/>
          <w:sz w:val="16"/>
          <w:szCs w:val="16"/>
        </w:rPr>
        <w:t>Asociación Nacional de Cesantes y Jubilados de la Superintendencia Nacional de Administración Tributaria (ANCEJUB-SUNAT) Vs. Perú</w:t>
      </w:r>
      <w:r w:rsidRPr="00BB25AB">
        <w:rPr>
          <w:bCs/>
          <w:sz w:val="16"/>
          <w:szCs w:val="16"/>
        </w:rPr>
        <w:t xml:space="preserve">. </w:t>
      </w:r>
      <w:r w:rsidRPr="00BB25AB">
        <w:rPr>
          <w:bCs/>
          <w:i/>
          <w:sz w:val="16"/>
          <w:szCs w:val="16"/>
        </w:rPr>
        <w:t>Excepciones Preliminares, Fondo, Reparaciones y Costas.</w:t>
      </w:r>
      <w:r w:rsidRPr="00BB25AB">
        <w:rPr>
          <w:bCs/>
          <w:sz w:val="16"/>
          <w:szCs w:val="16"/>
        </w:rPr>
        <w:t xml:space="preserve"> Sentencia de 21 de noviembre de 2019. Serie C No. 394, párr. 148</w:t>
      </w:r>
      <w:r w:rsidRPr="00BB25AB">
        <w:rPr>
          <w:sz w:val="16"/>
          <w:szCs w:val="16"/>
        </w:rPr>
        <w:t xml:space="preserve">, y </w:t>
      </w:r>
      <w:r w:rsidRPr="00BB25AB">
        <w:rPr>
          <w:rFonts w:cs="Arial"/>
          <w:i/>
          <w:sz w:val="16"/>
          <w:szCs w:val="16"/>
          <w:shd w:val="clear" w:color="auto" w:fill="FFFFFF"/>
        </w:rPr>
        <w:t>Caso Olivares Muñoz y otros Vs. Venezuela, supra</w:t>
      </w:r>
      <w:r w:rsidRPr="00BB25AB">
        <w:rPr>
          <w:rFonts w:cs="Arial"/>
          <w:sz w:val="16"/>
          <w:szCs w:val="16"/>
          <w:shd w:val="clear" w:color="auto" w:fill="FFFFFF"/>
        </w:rPr>
        <w:t>, párr. 123</w:t>
      </w:r>
      <w:r w:rsidRPr="00BB25AB">
        <w:rPr>
          <w:sz w:val="16"/>
          <w:szCs w:val="16"/>
        </w:rPr>
        <w:t>.</w:t>
      </w:r>
    </w:p>
  </w:footnote>
  <w:footnote w:id="211">
    <w:p w14:paraId="56BE5E15" w14:textId="77777777" w:rsidR="00AD6B70" w:rsidRPr="00BB25AB" w:rsidRDefault="00AD6B70" w:rsidP="00BB25AB">
      <w:pPr>
        <w:pStyle w:val="Textonotapie"/>
        <w:spacing w:before="40" w:after="40"/>
        <w:rPr>
          <w:sz w:val="16"/>
          <w:szCs w:val="16"/>
          <w:lang w:val="es-MX"/>
        </w:rPr>
      </w:pPr>
      <w:r w:rsidRPr="00BB25AB">
        <w:rPr>
          <w:rStyle w:val="Refdenotaalpie"/>
          <w:sz w:val="16"/>
          <w:szCs w:val="16"/>
        </w:rPr>
        <w:footnoteRef/>
      </w:r>
      <w:r w:rsidRPr="00BB25AB">
        <w:rPr>
          <w:sz w:val="16"/>
          <w:szCs w:val="16"/>
        </w:rPr>
        <w:t xml:space="preserve"> </w:t>
      </w:r>
      <w:r w:rsidRPr="00BB25AB">
        <w:rPr>
          <w:sz w:val="16"/>
          <w:szCs w:val="16"/>
          <w:lang w:val="es-MX"/>
        </w:rPr>
        <w:tab/>
      </w:r>
      <w:r w:rsidRPr="00BB25AB">
        <w:rPr>
          <w:i/>
          <w:sz w:val="16"/>
          <w:szCs w:val="16"/>
        </w:rPr>
        <w:t>Cfr.</w:t>
      </w:r>
      <w:r w:rsidRPr="00BB25AB">
        <w:rPr>
          <w:sz w:val="16"/>
          <w:szCs w:val="16"/>
        </w:rPr>
        <w:t xml:space="preserve"> </w:t>
      </w:r>
      <w:r w:rsidRPr="00BB25AB">
        <w:rPr>
          <w:i/>
          <w:sz w:val="16"/>
          <w:szCs w:val="16"/>
        </w:rPr>
        <w:t xml:space="preserve">Caso </w:t>
      </w:r>
      <w:proofErr w:type="spellStart"/>
      <w:r w:rsidRPr="00BB25AB">
        <w:rPr>
          <w:i/>
          <w:sz w:val="16"/>
          <w:szCs w:val="16"/>
        </w:rPr>
        <w:t>Anzualdo</w:t>
      </w:r>
      <w:proofErr w:type="spellEnd"/>
      <w:r w:rsidRPr="00BB25AB">
        <w:rPr>
          <w:i/>
          <w:sz w:val="16"/>
          <w:szCs w:val="16"/>
        </w:rPr>
        <w:t xml:space="preserve"> Castro Vs. Perú. </w:t>
      </w:r>
      <w:r w:rsidRPr="00BB25AB">
        <w:rPr>
          <w:bCs/>
          <w:i/>
          <w:sz w:val="16"/>
          <w:szCs w:val="16"/>
        </w:rPr>
        <w:t>Excepción Preliminar, Fondo, Reparaciones y Costas</w:t>
      </w:r>
      <w:r w:rsidRPr="00BB25AB">
        <w:rPr>
          <w:bCs/>
          <w:sz w:val="16"/>
          <w:szCs w:val="16"/>
        </w:rPr>
        <w:t xml:space="preserve">. Sentencia de 22 de septiembre de 2009. Serie C No. 202, párr. 156, </w:t>
      </w:r>
      <w:r w:rsidRPr="00BB25AB">
        <w:rPr>
          <w:sz w:val="16"/>
          <w:szCs w:val="16"/>
        </w:rPr>
        <w:t xml:space="preserve">y </w:t>
      </w:r>
      <w:r w:rsidRPr="00BB25AB">
        <w:rPr>
          <w:rFonts w:cs="Arial"/>
          <w:i/>
          <w:sz w:val="16"/>
          <w:szCs w:val="16"/>
          <w:shd w:val="clear" w:color="auto" w:fill="FFFFFF"/>
        </w:rPr>
        <w:t>Caso Olivares Muñoz y otros Vs. Venezuela, supra</w:t>
      </w:r>
      <w:r w:rsidRPr="00BB25AB">
        <w:rPr>
          <w:rFonts w:cs="Arial"/>
          <w:sz w:val="16"/>
          <w:szCs w:val="16"/>
          <w:shd w:val="clear" w:color="auto" w:fill="FFFFFF"/>
        </w:rPr>
        <w:t>, párr. 123</w:t>
      </w:r>
      <w:r w:rsidRPr="00BB25AB">
        <w:rPr>
          <w:sz w:val="16"/>
          <w:szCs w:val="16"/>
        </w:rPr>
        <w:t>.</w:t>
      </w:r>
    </w:p>
  </w:footnote>
  <w:footnote w:id="212">
    <w:p w14:paraId="602C3726" w14:textId="77777777" w:rsidR="00AD6B70" w:rsidRPr="00BB25AB" w:rsidRDefault="00AD6B70" w:rsidP="00BB25AB">
      <w:pPr>
        <w:pStyle w:val="Textonotapie"/>
        <w:spacing w:before="40" w:after="40"/>
        <w:rPr>
          <w:sz w:val="16"/>
          <w:szCs w:val="16"/>
          <w:lang w:val="es-MX"/>
        </w:rPr>
      </w:pPr>
      <w:r w:rsidRPr="00BB25AB">
        <w:rPr>
          <w:rStyle w:val="Refdenotaalpie"/>
          <w:sz w:val="16"/>
          <w:szCs w:val="16"/>
        </w:rPr>
        <w:footnoteRef/>
      </w:r>
      <w:r w:rsidRPr="00BB25AB">
        <w:rPr>
          <w:sz w:val="16"/>
          <w:szCs w:val="16"/>
        </w:rPr>
        <w:t xml:space="preserve"> </w:t>
      </w:r>
      <w:r w:rsidRPr="00BB25AB">
        <w:rPr>
          <w:sz w:val="16"/>
          <w:szCs w:val="16"/>
          <w:lang w:val="es-MX"/>
        </w:rPr>
        <w:tab/>
      </w:r>
      <w:r w:rsidRPr="00BB25AB">
        <w:rPr>
          <w:i/>
          <w:sz w:val="16"/>
          <w:szCs w:val="16"/>
        </w:rPr>
        <w:t>Cfr.</w:t>
      </w:r>
      <w:r w:rsidRPr="00BB25AB">
        <w:rPr>
          <w:sz w:val="16"/>
          <w:szCs w:val="16"/>
        </w:rPr>
        <w:t xml:space="preserve"> </w:t>
      </w:r>
      <w:r w:rsidRPr="00BB25AB">
        <w:rPr>
          <w:i/>
          <w:sz w:val="16"/>
          <w:szCs w:val="16"/>
        </w:rPr>
        <w:t>Caso Suárez Rosero Vs. Ecuador. Reparaciones y Costas</w:t>
      </w:r>
      <w:r w:rsidRPr="00BB25AB">
        <w:rPr>
          <w:sz w:val="16"/>
          <w:szCs w:val="16"/>
        </w:rPr>
        <w:t xml:space="preserve">. Sentencia de 20 de enero de 1999. Serie C No. 44, párr. 71, y </w:t>
      </w:r>
      <w:r w:rsidRPr="00BB25AB">
        <w:rPr>
          <w:rFonts w:cs="Arial"/>
          <w:i/>
          <w:sz w:val="16"/>
          <w:szCs w:val="16"/>
          <w:shd w:val="clear" w:color="auto" w:fill="FFFFFF"/>
        </w:rPr>
        <w:t>Caso Olivares Muñoz y otros Vs. Venezuela, supra</w:t>
      </w:r>
      <w:r w:rsidRPr="00BB25AB">
        <w:rPr>
          <w:rFonts w:cs="Arial"/>
          <w:sz w:val="16"/>
          <w:szCs w:val="16"/>
          <w:shd w:val="clear" w:color="auto" w:fill="FFFFFF"/>
        </w:rPr>
        <w:t>, párr. 123</w:t>
      </w:r>
      <w:r w:rsidRPr="00BB25AB">
        <w:rPr>
          <w:sz w:val="16"/>
          <w:szCs w:val="16"/>
        </w:rPr>
        <w:t>.</w:t>
      </w:r>
    </w:p>
  </w:footnote>
  <w:footnote w:id="213">
    <w:p w14:paraId="65992E4A" w14:textId="4E1F9E1F"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4696).</w:t>
      </w:r>
    </w:p>
  </w:footnote>
  <w:footnote w:id="214">
    <w:p w14:paraId="1039F8B8" w14:textId="22B8C385"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Procuraduría General de Justicia del Distrito Federal, Decisión de </w:t>
      </w:r>
      <w:r w:rsidRPr="00BB25AB">
        <w:rPr>
          <w:rFonts w:eastAsiaTheme="minorHAnsi" w:cs="Arial"/>
          <w:sz w:val="16"/>
          <w:szCs w:val="16"/>
          <w:lang w:eastAsia="en-US"/>
        </w:rPr>
        <w:t>26 de noviembre de 2010 (expediente de prueba, folio 4187).</w:t>
      </w:r>
    </w:p>
  </w:footnote>
  <w:footnote w:id="215">
    <w:p w14:paraId="4091A6CC"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cs="Arial"/>
          <w:i/>
          <w:sz w:val="16"/>
          <w:szCs w:val="16"/>
          <w:shd w:val="clear" w:color="auto" w:fill="FFFFFF"/>
        </w:rPr>
        <w:t>Caso Valle Jaramillo y otros Vs. Colombia. Fondo, Reparaciones y Costas</w:t>
      </w:r>
      <w:r w:rsidRPr="00BB25AB">
        <w:rPr>
          <w:rFonts w:cs="Arial"/>
          <w:sz w:val="16"/>
          <w:szCs w:val="16"/>
          <w:shd w:val="clear" w:color="auto" w:fill="FFFFFF"/>
        </w:rPr>
        <w:t>. Sentencia de 27 de noviembre de 2008. Serie C No. 192</w:t>
      </w:r>
      <w:r w:rsidRPr="00BB25AB">
        <w:rPr>
          <w:sz w:val="16"/>
          <w:szCs w:val="16"/>
        </w:rPr>
        <w:t xml:space="preserve">, párr. 155, y </w:t>
      </w:r>
      <w:r w:rsidRPr="00BB25AB">
        <w:rPr>
          <w:rFonts w:cs="Arial"/>
          <w:i/>
          <w:sz w:val="16"/>
          <w:szCs w:val="16"/>
          <w:shd w:val="clear" w:color="auto" w:fill="FFFFFF"/>
        </w:rPr>
        <w:t xml:space="preserve">Caso de los Empleados de la Fábrica de Fuegos de Santo </w:t>
      </w:r>
      <w:proofErr w:type="spellStart"/>
      <w:r w:rsidRPr="00BB25AB">
        <w:rPr>
          <w:rFonts w:cs="Arial"/>
          <w:i/>
          <w:sz w:val="16"/>
          <w:szCs w:val="16"/>
          <w:shd w:val="clear" w:color="auto" w:fill="FFFFFF"/>
        </w:rPr>
        <w:t>Antônio</w:t>
      </w:r>
      <w:proofErr w:type="spellEnd"/>
      <w:r w:rsidRPr="00BB25AB">
        <w:rPr>
          <w:rFonts w:cs="Arial"/>
          <w:i/>
          <w:sz w:val="16"/>
          <w:szCs w:val="16"/>
          <w:shd w:val="clear" w:color="auto" w:fill="FFFFFF"/>
        </w:rPr>
        <w:t xml:space="preserve"> de </w:t>
      </w:r>
      <w:proofErr w:type="spellStart"/>
      <w:r w:rsidRPr="00BB25AB">
        <w:rPr>
          <w:rFonts w:cs="Arial"/>
          <w:i/>
          <w:sz w:val="16"/>
          <w:szCs w:val="16"/>
          <w:shd w:val="clear" w:color="auto" w:fill="FFFFFF"/>
        </w:rPr>
        <w:t>Jesus</w:t>
      </w:r>
      <w:proofErr w:type="spellEnd"/>
      <w:r w:rsidRPr="00BB25AB">
        <w:rPr>
          <w:rFonts w:cs="Arial"/>
          <w:i/>
          <w:sz w:val="16"/>
          <w:szCs w:val="16"/>
          <w:shd w:val="clear" w:color="auto" w:fill="FFFFFF"/>
        </w:rPr>
        <w:t xml:space="preserve"> y sus familiares Vs. Brasil. Excepciones Preliminares, Fondo, Reparaciones y Costas.</w:t>
      </w:r>
      <w:r w:rsidRPr="00BB25AB">
        <w:rPr>
          <w:rFonts w:cs="Arial"/>
          <w:sz w:val="16"/>
          <w:szCs w:val="16"/>
          <w:shd w:val="clear" w:color="auto" w:fill="FFFFFF"/>
        </w:rPr>
        <w:t xml:space="preserve"> Sentencia de 15 de julio de 2020. Serie C No. 407, párr. 224.</w:t>
      </w:r>
    </w:p>
  </w:footnote>
  <w:footnote w:id="216">
    <w:p w14:paraId="26A73A15" w14:textId="52002A2C"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Alegatos finales del Estado, párr. 12 (expediente de fondo, folio 1613).</w:t>
      </w:r>
    </w:p>
  </w:footnote>
  <w:footnote w:id="217">
    <w:p w14:paraId="776DBE5F" w14:textId="42012389"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La Jornada, “Critican defensores de los derechos humanos la actuación de la PGJDF en el caso Digna Ochoa”, noticia de 22 de noviembre de 2001 (expediente de prueba, folio 52850). Disponible en: </w:t>
      </w:r>
      <w:hyperlink r:id="rId44" w:history="1">
        <w:r w:rsidRPr="00BB25AB">
          <w:rPr>
            <w:rStyle w:val="Hipervnculo"/>
            <w:rFonts w:eastAsiaTheme="minorHAnsi" w:cs="Arial"/>
            <w:sz w:val="16"/>
            <w:szCs w:val="16"/>
            <w:lang w:eastAsia="en-US"/>
          </w:rPr>
          <w:t>https://www.jornada.com.mx/2001/11/22/020n1pol.html</w:t>
        </w:r>
      </w:hyperlink>
      <w:r w:rsidRPr="00BB25AB">
        <w:rPr>
          <w:rFonts w:eastAsiaTheme="minorHAnsi" w:cs="Arial"/>
          <w:sz w:val="16"/>
          <w:szCs w:val="16"/>
          <w:lang w:eastAsia="en-US"/>
        </w:rPr>
        <w:t xml:space="preserve"> </w:t>
      </w:r>
    </w:p>
  </w:footnote>
  <w:footnote w:id="218">
    <w:p w14:paraId="482D2C89" w14:textId="306319CA"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La Jornada, “Critican defensores de los derechos humanos la actuación de la PGJDF en el caso Digna Ochoa”, noticia de 22 de noviembre de 2001 (expediente de prueba, folio 52850).</w:t>
      </w:r>
    </w:p>
  </w:footnote>
  <w:footnote w:id="219">
    <w:p w14:paraId="2D9AA8B7" w14:textId="45A40F43" w:rsidR="00AD6B70" w:rsidRPr="00BB25AB" w:rsidRDefault="00AD6B70" w:rsidP="00BB25AB">
      <w:pPr>
        <w:widowControl/>
        <w:autoSpaceDE w:val="0"/>
        <w:autoSpaceDN w:val="0"/>
        <w:spacing w:before="40" w:after="40" w:line="240" w:lineRule="auto"/>
        <w:textAlignment w:val="auto"/>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badi Extra Light"/>
          <w:sz w:val="16"/>
          <w:szCs w:val="16"/>
          <w:lang w:eastAsia="en-US"/>
        </w:rPr>
        <w:t xml:space="preserve">Consejo de Derechos Humanos, Informe del Relator Especial sobre la situación de los defensores de derechos humanos, A/HRC/40/60, de 10 de enero de 2019, párr. 37. Disponible en: </w:t>
      </w:r>
      <w:r w:rsidRPr="00BB25AB">
        <w:rPr>
          <w:rFonts w:eastAsiaTheme="minorHAnsi" w:cs="Abadi Extra Light"/>
          <w:color w:val="1155CD"/>
          <w:sz w:val="16"/>
          <w:szCs w:val="16"/>
          <w:lang w:eastAsia="en-US"/>
        </w:rPr>
        <w:t>https://undocs.org/sp/A/HRC/40/60</w:t>
      </w:r>
    </w:p>
  </w:footnote>
  <w:footnote w:id="220">
    <w:p w14:paraId="2D68C5CD" w14:textId="6FE43BC5" w:rsidR="00AD6B70" w:rsidRPr="00BB25AB" w:rsidRDefault="00AD6B70" w:rsidP="00BB25AB">
      <w:pPr>
        <w:widowControl/>
        <w:autoSpaceDE w:val="0"/>
        <w:autoSpaceDN w:val="0"/>
        <w:spacing w:before="40" w:after="40" w:line="240" w:lineRule="auto"/>
        <w:textAlignment w:val="auto"/>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badi Extra Light"/>
          <w:sz w:val="16"/>
          <w:szCs w:val="16"/>
          <w:lang w:eastAsia="en-US"/>
        </w:rPr>
        <w:t>Consejo de Derechos Humanos, Informe del Relator Especial sobre la situación de los defensores de derechos humanos, A/HRC/40/60, de 10 de enero de 2019, párr. 37.</w:t>
      </w:r>
    </w:p>
  </w:footnote>
  <w:footnote w:id="221">
    <w:p w14:paraId="587BB00A" w14:textId="77777777"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Caso de los “Niños de la Calle” (Villagrán Morales y otros) Vs. Guatemala. Fondo, supra</w:t>
      </w:r>
      <w:r w:rsidRPr="00BB25AB">
        <w:rPr>
          <w:sz w:val="16"/>
          <w:szCs w:val="16"/>
        </w:rPr>
        <w:t>,</w:t>
      </w:r>
      <w:r w:rsidRPr="00BB25AB">
        <w:rPr>
          <w:i/>
          <w:sz w:val="16"/>
          <w:szCs w:val="16"/>
        </w:rPr>
        <w:t xml:space="preserve"> </w:t>
      </w:r>
      <w:r w:rsidRPr="00BB25AB">
        <w:rPr>
          <w:sz w:val="16"/>
          <w:szCs w:val="16"/>
        </w:rPr>
        <w:t xml:space="preserve">párr. 144, y </w:t>
      </w:r>
      <w:r w:rsidRPr="00BB25AB">
        <w:rPr>
          <w:i/>
          <w:sz w:val="16"/>
          <w:szCs w:val="16"/>
        </w:rPr>
        <w:t xml:space="preserve">Caso Carvajal </w:t>
      </w:r>
      <w:proofErr w:type="spellStart"/>
      <w:r w:rsidRPr="00BB25AB">
        <w:rPr>
          <w:i/>
          <w:sz w:val="16"/>
          <w:szCs w:val="16"/>
        </w:rPr>
        <w:t>Carvajal</w:t>
      </w:r>
      <w:proofErr w:type="spellEnd"/>
      <w:r w:rsidRPr="00BB25AB">
        <w:rPr>
          <w:i/>
          <w:sz w:val="16"/>
          <w:szCs w:val="16"/>
        </w:rPr>
        <w:t xml:space="preserve"> y otros Vs. Colombia. Fondo, Reparaciones y Costas. </w:t>
      </w:r>
      <w:r w:rsidRPr="00BB25AB">
        <w:rPr>
          <w:sz w:val="16"/>
          <w:szCs w:val="16"/>
        </w:rPr>
        <w:t>Sentencia de 13 de marzo de 2018. Serie C No. 352, párr. 162.</w:t>
      </w:r>
    </w:p>
  </w:footnote>
  <w:footnote w:id="222">
    <w:p w14:paraId="71C44040" w14:textId="524ACB8B" w:rsidR="00AD6B70" w:rsidRPr="00BB25AB" w:rsidRDefault="00AD6B70" w:rsidP="00BB25AB">
      <w:pPr>
        <w:pStyle w:val="Textonotapie"/>
        <w:spacing w:before="40" w:after="40"/>
        <w:rPr>
          <w:i/>
          <w:spacing w:val="-2"/>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Caso Velásquez Rodríguez Vs. Honduras. Fondo, supra</w:t>
      </w:r>
      <w:r w:rsidRPr="00BB25AB">
        <w:rPr>
          <w:sz w:val="16"/>
          <w:szCs w:val="16"/>
        </w:rPr>
        <w:t xml:space="preserve">, </w:t>
      </w:r>
      <w:r w:rsidRPr="00BB25AB">
        <w:rPr>
          <w:bCs/>
          <w:iCs/>
          <w:sz w:val="16"/>
          <w:szCs w:val="16"/>
          <w:lang w:val="es-GT" w:eastAsia="es-ES_tradnl"/>
        </w:rPr>
        <w:t>párr. 174</w:t>
      </w:r>
      <w:r w:rsidRPr="00BB25AB">
        <w:rPr>
          <w:sz w:val="16"/>
          <w:szCs w:val="16"/>
        </w:rPr>
        <w:t xml:space="preserve">, y </w:t>
      </w:r>
      <w:r w:rsidRPr="00BB25AB">
        <w:rPr>
          <w:i/>
          <w:sz w:val="16"/>
          <w:szCs w:val="16"/>
        </w:rPr>
        <w:t xml:space="preserve">Caso Carvajal </w:t>
      </w:r>
      <w:proofErr w:type="spellStart"/>
      <w:r w:rsidRPr="00BB25AB">
        <w:rPr>
          <w:i/>
          <w:sz w:val="16"/>
          <w:szCs w:val="16"/>
        </w:rPr>
        <w:t>Carvajal</w:t>
      </w:r>
      <w:proofErr w:type="spellEnd"/>
      <w:r w:rsidRPr="00BB25AB">
        <w:rPr>
          <w:i/>
          <w:sz w:val="16"/>
          <w:szCs w:val="16"/>
        </w:rPr>
        <w:t xml:space="preserve"> y otros Vs. Colombia, </w:t>
      </w:r>
      <w:r w:rsidRPr="00BB25AB">
        <w:rPr>
          <w:i/>
          <w:sz w:val="16"/>
          <w:szCs w:val="16"/>
          <w:lang w:val="es-CR"/>
        </w:rPr>
        <w:t>supra</w:t>
      </w:r>
      <w:r w:rsidRPr="00BB25AB">
        <w:rPr>
          <w:sz w:val="16"/>
          <w:szCs w:val="16"/>
        </w:rPr>
        <w:t>, párr. 163</w:t>
      </w:r>
      <w:r w:rsidRPr="00BB25AB">
        <w:rPr>
          <w:bCs/>
          <w:iCs/>
          <w:sz w:val="16"/>
          <w:szCs w:val="16"/>
          <w:lang w:eastAsia="es-ES_tradnl"/>
        </w:rPr>
        <w:t>.</w:t>
      </w:r>
    </w:p>
  </w:footnote>
  <w:footnote w:id="223">
    <w:p w14:paraId="3929797B" w14:textId="5F634429"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 xml:space="preserve">Caso de la Masacre de Pueblo Bello Vs. Colombia, </w:t>
      </w:r>
      <w:r w:rsidRPr="00BB25AB">
        <w:rPr>
          <w:sz w:val="16"/>
          <w:szCs w:val="16"/>
        </w:rPr>
        <w:t xml:space="preserve">párr. 120, y </w:t>
      </w:r>
      <w:r w:rsidRPr="00BB25AB">
        <w:rPr>
          <w:i/>
          <w:sz w:val="16"/>
          <w:szCs w:val="16"/>
        </w:rPr>
        <w:t xml:space="preserve">Caso Carvajal </w:t>
      </w:r>
      <w:proofErr w:type="spellStart"/>
      <w:r w:rsidRPr="00BB25AB">
        <w:rPr>
          <w:i/>
          <w:sz w:val="16"/>
          <w:szCs w:val="16"/>
        </w:rPr>
        <w:t>Carvajal</w:t>
      </w:r>
      <w:proofErr w:type="spellEnd"/>
      <w:r w:rsidRPr="00BB25AB">
        <w:rPr>
          <w:i/>
          <w:sz w:val="16"/>
          <w:szCs w:val="16"/>
        </w:rPr>
        <w:t xml:space="preserve"> y otros Vs. Colombia, </w:t>
      </w:r>
      <w:r w:rsidRPr="00BB25AB">
        <w:rPr>
          <w:i/>
          <w:sz w:val="16"/>
          <w:szCs w:val="16"/>
          <w:lang w:val="es-CR"/>
        </w:rPr>
        <w:t>supra</w:t>
      </w:r>
      <w:r w:rsidRPr="00BB25AB">
        <w:rPr>
          <w:sz w:val="16"/>
          <w:szCs w:val="16"/>
        </w:rPr>
        <w:t>, párr. 163</w:t>
      </w:r>
      <w:r w:rsidRPr="00BB25AB">
        <w:rPr>
          <w:bCs/>
          <w:iCs/>
          <w:sz w:val="16"/>
          <w:szCs w:val="16"/>
          <w:lang w:eastAsia="es-ES_tradnl"/>
        </w:rPr>
        <w:t>.</w:t>
      </w:r>
    </w:p>
  </w:footnote>
  <w:footnote w:id="224">
    <w:p w14:paraId="16809076" w14:textId="2389AD98"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lang w:val="es-CR"/>
        </w:rPr>
        <w:tab/>
      </w:r>
      <w:r w:rsidRPr="00BB25AB">
        <w:rPr>
          <w:i/>
          <w:sz w:val="16"/>
          <w:szCs w:val="16"/>
          <w:lang w:val="es-CR"/>
        </w:rPr>
        <w:t>Cfr.</w:t>
      </w:r>
      <w:r w:rsidRPr="00BB25AB">
        <w:rPr>
          <w:sz w:val="16"/>
          <w:szCs w:val="16"/>
          <w:lang w:val="es-CR"/>
        </w:rPr>
        <w:t xml:space="preserve"> </w:t>
      </w:r>
      <w:r w:rsidRPr="00BB25AB">
        <w:rPr>
          <w:i/>
          <w:sz w:val="16"/>
          <w:szCs w:val="16"/>
          <w:lang w:val="es-CR"/>
        </w:rPr>
        <w:t>Caso Baldeón García Vs. Perú</w:t>
      </w:r>
      <w:r w:rsidRPr="00BB25AB">
        <w:rPr>
          <w:sz w:val="16"/>
          <w:szCs w:val="16"/>
          <w:lang w:val="es-CR"/>
        </w:rPr>
        <w:t>. Fondo, Reparaciones y Costas. Sentencia de 6 de abril de 2006. Serie C No. 147, párr. 97</w:t>
      </w:r>
      <w:r w:rsidRPr="00BB25AB">
        <w:rPr>
          <w:sz w:val="16"/>
          <w:szCs w:val="16"/>
        </w:rPr>
        <w:t xml:space="preserve">, y </w:t>
      </w:r>
      <w:r w:rsidRPr="00BB25AB">
        <w:rPr>
          <w:i/>
          <w:sz w:val="16"/>
          <w:szCs w:val="16"/>
        </w:rPr>
        <w:t xml:space="preserve">Caso Carvajal </w:t>
      </w:r>
      <w:proofErr w:type="spellStart"/>
      <w:r w:rsidRPr="00BB25AB">
        <w:rPr>
          <w:i/>
          <w:sz w:val="16"/>
          <w:szCs w:val="16"/>
        </w:rPr>
        <w:t>Carvajal</w:t>
      </w:r>
      <w:proofErr w:type="spellEnd"/>
      <w:r w:rsidRPr="00BB25AB">
        <w:rPr>
          <w:i/>
          <w:sz w:val="16"/>
          <w:szCs w:val="16"/>
        </w:rPr>
        <w:t xml:space="preserve"> y otros Vs. Colombia, </w:t>
      </w:r>
      <w:r w:rsidRPr="00BB25AB">
        <w:rPr>
          <w:i/>
          <w:sz w:val="16"/>
          <w:szCs w:val="16"/>
          <w:lang w:val="es-CR"/>
        </w:rPr>
        <w:t>supra</w:t>
      </w:r>
      <w:r w:rsidRPr="00BB25AB">
        <w:rPr>
          <w:sz w:val="16"/>
          <w:szCs w:val="16"/>
        </w:rPr>
        <w:t>, párr. 164</w:t>
      </w:r>
      <w:r w:rsidRPr="00BB25AB">
        <w:rPr>
          <w:bCs/>
          <w:iCs/>
          <w:sz w:val="16"/>
          <w:szCs w:val="16"/>
          <w:lang w:eastAsia="es-ES_tradnl"/>
        </w:rPr>
        <w:t xml:space="preserve">. </w:t>
      </w:r>
      <w:r w:rsidRPr="00BB25AB">
        <w:rPr>
          <w:sz w:val="16"/>
          <w:szCs w:val="16"/>
        </w:rPr>
        <w:t xml:space="preserve">En sentido similar, el Tribunal Europeo de Derechos Humanos ha indicado que el derecho a la vida no solo obliga al </w:t>
      </w:r>
      <w:r w:rsidRPr="00BB25AB">
        <w:rPr>
          <w:sz w:val="16"/>
          <w:szCs w:val="16"/>
          <w:lang w:val="es-ES"/>
        </w:rPr>
        <w:t>Estado</w:t>
      </w:r>
      <w:r w:rsidRPr="00BB25AB">
        <w:rPr>
          <w:sz w:val="16"/>
          <w:szCs w:val="16"/>
        </w:rPr>
        <w:t xml:space="preserve"> a abstenerse de tomar la vida de una persona de manera intencional e ilícita –vertiente sustantiva–, sino también a adoptar las medidas necesarias para proteger las vidas de quienes se hallen bajo su jurisdicción–vertiente procesal–. Conforme a su jurisprudencia, la obligación de garantizar el derecho a la vida, así como explicar su pérdida, requiere implícitamente una investigación efectiva cuando existan motivos para creer que un individuo padeció lesiones que ponen su vida en peligro en circunstancias sospechosas.</w:t>
      </w:r>
      <w:r w:rsidRPr="00BB25AB">
        <w:rPr>
          <w:i/>
          <w:sz w:val="16"/>
          <w:szCs w:val="16"/>
        </w:rPr>
        <w:t xml:space="preserve"> Cfr.</w:t>
      </w:r>
      <w:r w:rsidRPr="00BB25AB">
        <w:rPr>
          <w:sz w:val="16"/>
          <w:szCs w:val="16"/>
        </w:rPr>
        <w:t xml:space="preserve"> TEDH, </w:t>
      </w:r>
      <w:r w:rsidRPr="00BB25AB">
        <w:rPr>
          <w:i/>
          <w:iCs/>
          <w:sz w:val="16"/>
          <w:szCs w:val="16"/>
        </w:rPr>
        <w:t>Caso L.C.B. Vs. Reino Unido</w:t>
      </w:r>
      <w:r w:rsidRPr="00BB25AB">
        <w:rPr>
          <w:sz w:val="16"/>
          <w:szCs w:val="16"/>
        </w:rPr>
        <w:t xml:space="preserve">, No. 23413/94. Sentencia de 9 de junio de 1998, párr. 36; </w:t>
      </w:r>
      <w:r w:rsidRPr="00BB25AB">
        <w:rPr>
          <w:i/>
          <w:iCs/>
          <w:sz w:val="16"/>
          <w:szCs w:val="16"/>
        </w:rPr>
        <w:t>Caso Osman Vs. Reino Unido</w:t>
      </w:r>
      <w:r w:rsidRPr="00BB25AB">
        <w:rPr>
          <w:sz w:val="16"/>
          <w:szCs w:val="16"/>
        </w:rPr>
        <w:t xml:space="preserve">, No. 23452/94, Sentencia de 28 de octubre de 1998, párr. 115, y </w:t>
      </w:r>
      <w:r w:rsidRPr="00BB25AB">
        <w:rPr>
          <w:i/>
          <w:iCs/>
          <w:sz w:val="16"/>
          <w:szCs w:val="16"/>
        </w:rPr>
        <w:t xml:space="preserve">Caso </w:t>
      </w:r>
      <w:proofErr w:type="spellStart"/>
      <w:r w:rsidRPr="00BB25AB">
        <w:rPr>
          <w:i/>
          <w:iCs/>
          <w:sz w:val="16"/>
          <w:szCs w:val="16"/>
        </w:rPr>
        <w:t>Muradyan</w:t>
      </w:r>
      <w:proofErr w:type="spellEnd"/>
      <w:r w:rsidRPr="00BB25AB">
        <w:rPr>
          <w:i/>
          <w:iCs/>
          <w:sz w:val="16"/>
          <w:szCs w:val="16"/>
        </w:rPr>
        <w:t xml:space="preserve"> Vs. Armenia</w:t>
      </w:r>
      <w:r w:rsidRPr="00BB25AB">
        <w:rPr>
          <w:sz w:val="16"/>
          <w:szCs w:val="16"/>
        </w:rPr>
        <w:t xml:space="preserve">, No.11275/07. Sentencia de 24 noviembre de 2016, párr. 132. Ver también: TEDH, </w:t>
      </w:r>
      <w:r w:rsidRPr="00BB25AB">
        <w:rPr>
          <w:i/>
          <w:sz w:val="16"/>
          <w:szCs w:val="16"/>
        </w:rPr>
        <w:t xml:space="preserve">Caso </w:t>
      </w:r>
      <w:proofErr w:type="spellStart"/>
      <w:r w:rsidRPr="00BB25AB">
        <w:rPr>
          <w:i/>
          <w:sz w:val="16"/>
          <w:szCs w:val="16"/>
        </w:rPr>
        <w:t>Mustafa</w:t>
      </w:r>
      <w:proofErr w:type="spellEnd"/>
      <w:r w:rsidRPr="00BB25AB">
        <w:rPr>
          <w:i/>
          <w:sz w:val="16"/>
          <w:szCs w:val="16"/>
        </w:rPr>
        <w:t xml:space="preserve"> </w:t>
      </w:r>
      <w:proofErr w:type="spellStart"/>
      <w:r w:rsidRPr="00BB25AB">
        <w:rPr>
          <w:i/>
          <w:sz w:val="16"/>
          <w:szCs w:val="16"/>
        </w:rPr>
        <w:t>Tunç</w:t>
      </w:r>
      <w:proofErr w:type="spellEnd"/>
      <w:r w:rsidRPr="00BB25AB">
        <w:rPr>
          <w:i/>
          <w:sz w:val="16"/>
          <w:szCs w:val="16"/>
        </w:rPr>
        <w:t xml:space="preserve"> y </w:t>
      </w:r>
      <w:proofErr w:type="spellStart"/>
      <w:r w:rsidRPr="00BB25AB">
        <w:rPr>
          <w:i/>
          <w:sz w:val="16"/>
          <w:szCs w:val="16"/>
        </w:rPr>
        <w:t>Fecire</w:t>
      </w:r>
      <w:proofErr w:type="spellEnd"/>
      <w:r w:rsidRPr="00BB25AB">
        <w:rPr>
          <w:i/>
          <w:sz w:val="16"/>
          <w:szCs w:val="16"/>
        </w:rPr>
        <w:t xml:space="preserve"> </w:t>
      </w:r>
      <w:proofErr w:type="spellStart"/>
      <w:r w:rsidRPr="00BB25AB">
        <w:rPr>
          <w:i/>
          <w:sz w:val="16"/>
          <w:szCs w:val="16"/>
        </w:rPr>
        <w:t>Tunç</w:t>
      </w:r>
      <w:proofErr w:type="spellEnd"/>
      <w:r w:rsidRPr="00BB25AB">
        <w:rPr>
          <w:i/>
          <w:sz w:val="16"/>
          <w:szCs w:val="16"/>
        </w:rPr>
        <w:t xml:space="preserve"> Vs. Turquía,</w:t>
      </w:r>
      <w:r w:rsidRPr="00BB25AB">
        <w:rPr>
          <w:sz w:val="16"/>
          <w:szCs w:val="16"/>
        </w:rPr>
        <w:t xml:space="preserve"> No. 24014/05. Sentencia de 14 de abril de 2015, párr. 171. El Tribunal Europeo ha indicado que el artículo 2 del Convenio Europeo de Derechos Humanos implica que “se debe proveer una investigación oficial, independiente e imparcial que cumpla con los estándares mínimos en lo concerniente a su efectividad, […] [y] que sea capaz de determinar las circunstancias de los sucesos, así como las deficiencias en el funcionamiento del sistema normativo, dado que en la práctica las verdaderas circunstancias de la muerte son, o pueden ser, de conocimiento exclusivo de los oficiales o autoridades estatales” (traducción realizada por la Secretaría de la Corte Interamericana). TEDH, </w:t>
      </w:r>
      <w:r w:rsidRPr="00BB25AB">
        <w:rPr>
          <w:i/>
          <w:sz w:val="16"/>
          <w:szCs w:val="16"/>
        </w:rPr>
        <w:t>Caso Kelly y otros Vs. Reino Unido</w:t>
      </w:r>
      <w:r w:rsidRPr="00BB25AB">
        <w:rPr>
          <w:sz w:val="16"/>
          <w:szCs w:val="16"/>
        </w:rPr>
        <w:t xml:space="preserve">, No. 30054/96. Sentencia de 4 de mayo de 2001, párr. 114; </w:t>
      </w:r>
      <w:r w:rsidRPr="00BB25AB">
        <w:rPr>
          <w:i/>
          <w:sz w:val="16"/>
          <w:szCs w:val="16"/>
        </w:rPr>
        <w:t>Caso Sergey Shevchenko Vs. Ucrania</w:t>
      </w:r>
      <w:r w:rsidRPr="00BB25AB">
        <w:rPr>
          <w:sz w:val="16"/>
          <w:szCs w:val="16"/>
        </w:rPr>
        <w:t xml:space="preserve">, No. 32478/02. Sentencia de 4 de abril de 2006, párr. 65; </w:t>
      </w:r>
      <w:r w:rsidRPr="00BB25AB">
        <w:rPr>
          <w:i/>
          <w:sz w:val="16"/>
          <w:szCs w:val="16"/>
        </w:rPr>
        <w:t xml:space="preserve">Caso </w:t>
      </w:r>
      <w:proofErr w:type="spellStart"/>
      <w:r w:rsidRPr="00BB25AB">
        <w:rPr>
          <w:i/>
          <w:sz w:val="16"/>
          <w:szCs w:val="16"/>
        </w:rPr>
        <w:t>Perevedentsevy</w:t>
      </w:r>
      <w:proofErr w:type="spellEnd"/>
      <w:r w:rsidRPr="00BB25AB">
        <w:rPr>
          <w:i/>
          <w:sz w:val="16"/>
          <w:szCs w:val="16"/>
        </w:rPr>
        <w:t xml:space="preserve"> Vs. Rusia</w:t>
      </w:r>
      <w:r w:rsidRPr="00BB25AB">
        <w:rPr>
          <w:sz w:val="16"/>
          <w:szCs w:val="16"/>
        </w:rPr>
        <w:t xml:space="preserve">, No. 39583/05. Sentencia de 24 de abril de 2014, párr. 104, y </w:t>
      </w:r>
      <w:r w:rsidRPr="00BB25AB">
        <w:rPr>
          <w:i/>
          <w:sz w:val="16"/>
          <w:szCs w:val="16"/>
        </w:rPr>
        <w:t xml:space="preserve">Caso </w:t>
      </w:r>
      <w:proofErr w:type="spellStart"/>
      <w:r w:rsidRPr="00BB25AB">
        <w:rPr>
          <w:i/>
          <w:sz w:val="16"/>
          <w:szCs w:val="16"/>
        </w:rPr>
        <w:t>Muradyan</w:t>
      </w:r>
      <w:proofErr w:type="spellEnd"/>
      <w:r w:rsidRPr="00BB25AB">
        <w:rPr>
          <w:i/>
          <w:sz w:val="16"/>
          <w:szCs w:val="16"/>
        </w:rPr>
        <w:t xml:space="preserve"> Vs. Armenia</w:t>
      </w:r>
      <w:r w:rsidRPr="00BB25AB">
        <w:rPr>
          <w:sz w:val="16"/>
          <w:szCs w:val="16"/>
        </w:rPr>
        <w:t xml:space="preserve">, No.11275/07. Sentencia de 24 noviembre de 2016, párr. 133. Como requisitos mínimos para un sistema judicial efectivo, ha indicado que se requiere que “las personas responsables de la investigación sean independientes de aquellas personas involucradas en los acontecimientos. Esto significa tanto independencia jerárquica e institucional, como independencia práctica” (traducción realizada por la Secretaría de la Corte Interamericana). TEDH, </w:t>
      </w:r>
      <w:r w:rsidRPr="00BB25AB">
        <w:rPr>
          <w:i/>
          <w:sz w:val="16"/>
          <w:szCs w:val="16"/>
        </w:rPr>
        <w:t>Caso Kelly y otros Vs. Reino Unido</w:t>
      </w:r>
      <w:r w:rsidRPr="00BB25AB">
        <w:rPr>
          <w:sz w:val="16"/>
          <w:szCs w:val="16"/>
        </w:rPr>
        <w:t xml:space="preserve">, No. 30054/96. Sentencia de 4 de mayo de 2001, párr. 95; </w:t>
      </w:r>
      <w:r w:rsidRPr="00BB25AB">
        <w:rPr>
          <w:i/>
          <w:sz w:val="16"/>
          <w:szCs w:val="16"/>
        </w:rPr>
        <w:t>Caso Paul y Audrey Edwards Vs. Reino Unido,</w:t>
      </w:r>
      <w:r w:rsidRPr="00BB25AB">
        <w:rPr>
          <w:sz w:val="16"/>
          <w:szCs w:val="16"/>
        </w:rPr>
        <w:t xml:space="preserve"> No. 46477/99. Sentencia de 14 de septiembre de 2002, párr. 70; </w:t>
      </w:r>
      <w:r w:rsidRPr="00BB25AB">
        <w:rPr>
          <w:i/>
          <w:sz w:val="16"/>
          <w:szCs w:val="16"/>
        </w:rPr>
        <w:t xml:space="preserve">Caso </w:t>
      </w:r>
      <w:proofErr w:type="spellStart"/>
      <w:r w:rsidRPr="00BB25AB">
        <w:rPr>
          <w:i/>
          <w:sz w:val="16"/>
          <w:szCs w:val="16"/>
        </w:rPr>
        <w:t>Mastromatteo</w:t>
      </w:r>
      <w:proofErr w:type="spellEnd"/>
      <w:r w:rsidRPr="00BB25AB">
        <w:rPr>
          <w:i/>
          <w:sz w:val="16"/>
          <w:szCs w:val="16"/>
        </w:rPr>
        <w:t xml:space="preserve"> Vs. Italia, </w:t>
      </w:r>
      <w:r w:rsidRPr="00BB25AB">
        <w:rPr>
          <w:sz w:val="16"/>
          <w:szCs w:val="16"/>
        </w:rPr>
        <w:t xml:space="preserve">No. 37703/97. Sentencia de 24 de octubre de 2002, párr. 91; </w:t>
      </w:r>
      <w:r w:rsidRPr="00BB25AB">
        <w:rPr>
          <w:i/>
          <w:sz w:val="16"/>
          <w:szCs w:val="16"/>
        </w:rPr>
        <w:t>Caso Sergey Shevchenko Vs. Ucrania</w:t>
      </w:r>
      <w:r w:rsidRPr="00BB25AB">
        <w:rPr>
          <w:sz w:val="16"/>
          <w:szCs w:val="16"/>
        </w:rPr>
        <w:t xml:space="preserve">, No. 32478/02. Sentencia de 4 de abril de 2006, párr. 64, y </w:t>
      </w:r>
      <w:r w:rsidRPr="00BB25AB">
        <w:rPr>
          <w:i/>
          <w:sz w:val="16"/>
          <w:szCs w:val="16"/>
        </w:rPr>
        <w:t xml:space="preserve">Caso </w:t>
      </w:r>
      <w:proofErr w:type="spellStart"/>
      <w:r w:rsidRPr="00BB25AB">
        <w:rPr>
          <w:i/>
          <w:sz w:val="16"/>
          <w:szCs w:val="16"/>
        </w:rPr>
        <w:t>Mikhalkova</w:t>
      </w:r>
      <w:proofErr w:type="spellEnd"/>
      <w:r w:rsidRPr="00BB25AB">
        <w:rPr>
          <w:i/>
          <w:sz w:val="16"/>
          <w:szCs w:val="16"/>
        </w:rPr>
        <w:t xml:space="preserve"> Vs. Ucrania</w:t>
      </w:r>
      <w:r w:rsidRPr="00BB25AB">
        <w:rPr>
          <w:sz w:val="16"/>
          <w:szCs w:val="16"/>
        </w:rPr>
        <w:t>, No 10919/05. Sentencia de 13 de enero de 2011, párr. 42.</w:t>
      </w:r>
    </w:p>
  </w:footnote>
  <w:footnote w:id="225">
    <w:p w14:paraId="5D32C7C5" w14:textId="72C072F0"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lang w:val="es-CR"/>
        </w:rPr>
        <w:t>Cfr.</w:t>
      </w:r>
      <w:r w:rsidRPr="00BB25AB">
        <w:rPr>
          <w:sz w:val="16"/>
          <w:szCs w:val="16"/>
          <w:lang w:val="es-CR"/>
        </w:rPr>
        <w:t xml:space="preserve"> </w:t>
      </w:r>
      <w:r w:rsidRPr="00BB25AB">
        <w:rPr>
          <w:i/>
          <w:sz w:val="16"/>
          <w:szCs w:val="16"/>
        </w:rPr>
        <w:t xml:space="preserve">Caso </w:t>
      </w:r>
      <w:proofErr w:type="spellStart"/>
      <w:r w:rsidRPr="00BB25AB">
        <w:rPr>
          <w:i/>
          <w:sz w:val="16"/>
          <w:szCs w:val="16"/>
        </w:rPr>
        <w:t>Anzualdo</w:t>
      </w:r>
      <w:proofErr w:type="spellEnd"/>
      <w:r w:rsidRPr="00BB25AB">
        <w:rPr>
          <w:i/>
          <w:sz w:val="16"/>
          <w:szCs w:val="16"/>
        </w:rPr>
        <w:t xml:space="preserve"> Castro Vs. Perú</w:t>
      </w:r>
      <w:r w:rsidRPr="00BB25AB">
        <w:rPr>
          <w:sz w:val="16"/>
          <w:szCs w:val="16"/>
        </w:rPr>
        <w:t xml:space="preserve">, párr. 179, y </w:t>
      </w:r>
      <w:r w:rsidRPr="00BB25AB">
        <w:rPr>
          <w:i/>
          <w:sz w:val="16"/>
          <w:szCs w:val="16"/>
        </w:rPr>
        <w:t xml:space="preserve">Caso Carvajal </w:t>
      </w:r>
      <w:proofErr w:type="spellStart"/>
      <w:r w:rsidRPr="00BB25AB">
        <w:rPr>
          <w:i/>
          <w:sz w:val="16"/>
          <w:szCs w:val="16"/>
        </w:rPr>
        <w:t>Carvajal</w:t>
      </w:r>
      <w:proofErr w:type="spellEnd"/>
      <w:r w:rsidRPr="00BB25AB">
        <w:rPr>
          <w:i/>
          <w:sz w:val="16"/>
          <w:szCs w:val="16"/>
        </w:rPr>
        <w:t xml:space="preserve"> y otros Vs. Colombia, </w:t>
      </w:r>
      <w:r w:rsidRPr="00BB25AB">
        <w:rPr>
          <w:i/>
          <w:sz w:val="16"/>
          <w:szCs w:val="16"/>
          <w:lang w:val="es-CR"/>
        </w:rPr>
        <w:t>supra</w:t>
      </w:r>
      <w:r w:rsidRPr="00BB25AB">
        <w:rPr>
          <w:sz w:val="16"/>
          <w:szCs w:val="16"/>
        </w:rPr>
        <w:t>, párr. 164</w:t>
      </w:r>
      <w:r w:rsidRPr="00BB25AB">
        <w:rPr>
          <w:bCs/>
          <w:iCs/>
          <w:sz w:val="16"/>
          <w:szCs w:val="16"/>
          <w:lang w:eastAsia="es-ES_tradnl"/>
        </w:rPr>
        <w:t>.</w:t>
      </w:r>
    </w:p>
  </w:footnote>
  <w:footnote w:id="226">
    <w:p w14:paraId="1907A632" w14:textId="7C68B600"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lang w:val="es-CR"/>
        </w:rPr>
        <w:t>Cfr.</w:t>
      </w:r>
      <w:r w:rsidRPr="00BB25AB">
        <w:rPr>
          <w:sz w:val="16"/>
          <w:szCs w:val="16"/>
          <w:lang w:val="es-CR"/>
        </w:rPr>
        <w:t xml:space="preserve"> </w:t>
      </w:r>
      <w:r w:rsidRPr="00BB25AB">
        <w:rPr>
          <w:i/>
          <w:sz w:val="16"/>
          <w:szCs w:val="16"/>
        </w:rPr>
        <w:t xml:space="preserve">Caso Carvajal </w:t>
      </w:r>
      <w:proofErr w:type="spellStart"/>
      <w:r w:rsidRPr="00BB25AB">
        <w:rPr>
          <w:i/>
          <w:sz w:val="16"/>
          <w:szCs w:val="16"/>
        </w:rPr>
        <w:t>Carvajal</w:t>
      </w:r>
      <w:proofErr w:type="spellEnd"/>
      <w:r w:rsidRPr="00BB25AB">
        <w:rPr>
          <w:i/>
          <w:sz w:val="16"/>
          <w:szCs w:val="16"/>
        </w:rPr>
        <w:t xml:space="preserve"> y otros Vs. Colombia, </w:t>
      </w:r>
      <w:r w:rsidRPr="00BB25AB">
        <w:rPr>
          <w:i/>
          <w:sz w:val="16"/>
          <w:szCs w:val="16"/>
          <w:lang w:val="es-CR"/>
        </w:rPr>
        <w:t>supra</w:t>
      </w:r>
      <w:r w:rsidRPr="00BB25AB">
        <w:rPr>
          <w:sz w:val="16"/>
          <w:szCs w:val="16"/>
        </w:rPr>
        <w:t>, párr. 165</w:t>
      </w:r>
      <w:r w:rsidRPr="00BB25AB">
        <w:rPr>
          <w:bCs/>
          <w:iCs/>
          <w:sz w:val="16"/>
          <w:szCs w:val="16"/>
          <w:lang w:eastAsia="es-ES_tradnl"/>
        </w:rPr>
        <w:t>.</w:t>
      </w:r>
    </w:p>
  </w:footnote>
  <w:footnote w:id="227">
    <w:p w14:paraId="3C10AC9E" w14:textId="0FC79E03"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lang w:val="es-CR"/>
        </w:rPr>
        <w:t>Cfr.</w:t>
      </w:r>
      <w:r w:rsidRPr="00BB25AB">
        <w:rPr>
          <w:sz w:val="16"/>
          <w:szCs w:val="16"/>
          <w:lang w:val="es-CR"/>
        </w:rPr>
        <w:t xml:space="preserve"> </w:t>
      </w:r>
      <w:r w:rsidRPr="00BB25AB">
        <w:rPr>
          <w:i/>
          <w:sz w:val="16"/>
          <w:szCs w:val="16"/>
        </w:rPr>
        <w:t>Caso Masacre de Pueblo Bello Vs. Colombia. Fondo, Reparaciones y Costas</w:t>
      </w:r>
      <w:r w:rsidRPr="00BB25AB">
        <w:rPr>
          <w:sz w:val="16"/>
          <w:szCs w:val="16"/>
        </w:rPr>
        <w:t>. Sentencia de 31 de enero de 2006. Serie C No. 140. Párr. 266.</w:t>
      </w:r>
    </w:p>
  </w:footnote>
  <w:footnote w:id="228">
    <w:p w14:paraId="79B62E7B" w14:textId="514CB675" w:rsidR="00AD6B70" w:rsidRPr="00BB25AB" w:rsidRDefault="00AD6B70" w:rsidP="00BB25AB">
      <w:pPr>
        <w:pStyle w:val="Textonotapie"/>
        <w:spacing w:before="40" w:after="40"/>
        <w:rPr>
          <w:color w:val="000000" w:themeColor="text1"/>
          <w:sz w:val="16"/>
          <w:szCs w:val="16"/>
          <w:lang w:eastAsia="es-PE"/>
        </w:rPr>
      </w:pPr>
      <w:r w:rsidRPr="00BB25AB">
        <w:rPr>
          <w:rStyle w:val="Refdenotaalpie"/>
          <w:rFonts w:eastAsia="Calibri"/>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r>
      <w:r w:rsidRPr="00BB25AB">
        <w:rPr>
          <w:i/>
          <w:color w:val="000000" w:themeColor="text1"/>
          <w:sz w:val="16"/>
          <w:szCs w:val="16"/>
          <w:lang w:eastAsia="es-PE"/>
        </w:rPr>
        <w:t>Cfr. Caso Velásquez Rodríguez Vs. Honduras. Reparaciones y Costas</w:t>
      </w:r>
      <w:r w:rsidRPr="00BB25AB">
        <w:rPr>
          <w:color w:val="000000" w:themeColor="text1"/>
          <w:sz w:val="16"/>
          <w:szCs w:val="16"/>
          <w:lang w:eastAsia="es-PE"/>
        </w:rPr>
        <w:t xml:space="preserve">. Sentencia de 21 de julio de 1989. Serie C No. 7, párr. 25, y </w:t>
      </w:r>
      <w:r w:rsidRPr="00BB25AB">
        <w:rPr>
          <w:rStyle w:val="Textoennegrita"/>
          <w:rFonts w:eastAsia="MS Mincho"/>
          <w:b w:val="0"/>
          <w:i/>
          <w:color w:val="000000"/>
          <w:sz w:val="16"/>
          <w:szCs w:val="16"/>
          <w:shd w:val="clear" w:color="auto" w:fill="FFFFFF"/>
        </w:rPr>
        <w:t>Caso Manuela y otros Vs. El Salvador, supra</w:t>
      </w:r>
      <w:r w:rsidRPr="00BB25AB">
        <w:rPr>
          <w:rStyle w:val="Textoennegrita"/>
          <w:rFonts w:eastAsia="MS Mincho"/>
          <w:b w:val="0"/>
          <w:color w:val="000000"/>
          <w:sz w:val="16"/>
          <w:szCs w:val="16"/>
          <w:shd w:val="clear" w:color="auto" w:fill="FFFFFF"/>
        </w:rPr>
        <w:t>, párr. 268.</w:t>
      </w:r>
    </w:p>
  </w:footnote>
  <w:footnote w:id="229">
    <w:p w14:paraId="5D221766" w14:textId="3A036A4E" w:rsidR="00AD6B70" w:rsidRPr="00BB25AB" w:rsidRDefault="00AD6B70" w:rsidP="00BB25AB">
      <w:pPr>
        <w:pStyle w:val="Textonotapie"/>
        <w:spacing w:before="40" w:after="40"/>
        <w:rPr>
          <w:color w:val="000000" w:themeColor="text1"/>
          <w:sz w:val="16"/>
          <w:szCs w:val="16"/>
          <w:lang w:eastAsia="es-PE"/>
        </w:rPr>
      </w:pPr>
      <w:r w:rsidRPr="00BB25AB">
        <w:rPr>
          <w:rStyle w:val="Refdenotaalpie"/>
          <w:rFonts w:eastAsia="MS Mincho"/>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r>
      <w:r w:rsidRPr="00BB25AB">
        <w:rPr>
          <w:i/>
          <w:color w:val="000000" w:themeColor="text1"/>
          <w:sz w:val="16"/>
          <w:szCs w:val="16"/>
          <w:lang w:eastAsia="es-PE"/>
        </w:rPr>
        <w:t>Cfr. Caso Velásquez Rodríguez Vs. Honduras</w:t>
      </w:r>
      <w:r w:rsidRPr="00BB25AB">
        <w:rPr>
          <w:color w:val="000000" w:themeColor="text1"/>
          <w:sz w:val="16"/>
          <w:szCs w:val="16"/>
          <w:lang w:eastAsia="es-PE"/>
        </w:rPr>
        <w:t xml:space="preserve">. Reparaciones y Costas, </w:t>
      </w:r>
      <w:r w:rsidRPr="00BB25AB">
        <w:rPr>
          <w:i/>
          <w:color w:val="000000" w:themeColor="text1"/>
          <w:sz w:val="16"/>
          <w:szCs w:val="16"/>
          <w:lang w:eastAsia="es-PE"/>
        </w:rPr>
        <w:t>supra</w:t>
      </w:r>
      <w:r w:rsidRPr="00BB25AB">
        <w:rPr>
          <w:color w:val="000000" w:themeColor="text1"/>
          <w:sz w:val="16"/>
          <w:szCs w:val="16"/>
          <w:lang w:eastAsia="es-PE"/>
        </w:rPr>
        <w:t xml:space="preserve">, </w:t>
      </w:r>
      <w:proofErr w:type="spellStart"/>
      <w:r w:rsidRPr="00BB25AB">
        <w:rPr>
          <w:color w:val="000000" w:themeColor="text1"/>
          <w:sz w:val="16"/>
          <w:szCs w:val="16"/>
          <w:lang w:eastAsia="es-PE"/>
        </w:rPr>
        <w:t>párrs</w:t>
      </w:r>
      <w:proofErr w:type="spellEnd"/>
      <w:r w:rsidRPr="00BB25AB">
        <w:rPr>
          <w:color w:val="000000" w:themeColor="text1"/>
          <w:sz w:val="16"/>
          <w:szCs w:val="16"/>
          <w:lang w:eastAsia="es-PE"/>
        </w:rPr>
        <w:t xml:space="preserve">. 25 y 2, y </w:t>
      </w:r>
      <w:r w:rsidRPr="00BB25AB">
        <w:rPr>
          <w:rStyle w:val="Textoennegrita"/>
          <w:rFonts w:eastAsia="MS Mincho"/>
          <w:b w:val="0"/>
          <w:i/>
          <w:color w:val="000000"/>
          <w:sz w:val="16"/>
          <w:szCs w:val="16"/>
          <w:shd w:val="clear" w:color="auto" w:fill="FFFFFF"/>
        </w:rPr>
        <w:t xml:space="preserve">Caso Cuya </w:t>
      </w:r>
      <w:proofErr w:type="spellStart"/>
      <w:r w:rsidRPr="00BB25AB">
        <w:rPr>
          <w:rStyle w:val="Textoennegrita"/>
          <w:rFonts w:eastAsia="MS Mincho"/>
          <w:b w:val="0"/>
          <w:i/>
          <w:color w:val="000000"/>
          <w:sz w:val="16"/>
          <w:szCs w:val="16"/>
          <w:shd w:val="clear" w:color="auto" w:fill="FFFFFF"/>
        </w:rPr>
        <w:t>Lavy</w:t>
      </w:r>
      <w:proofErr w:type="spellEnd"/>
      <w:r w:rsidRPr="00BB25AB">
        <w:rPr>
          <w:rStyle w:val="Textoennegrita"/>
          <w:rFonts w:eastAsia="MS Mincho"/>
          <w:b w:val="0"/>
          <w:i/>
          <w:color w:val="000000"/>
          <w:sz w:val="16"/>
          <w:szCs w:val="16"/>
          <w:shd w:val="clear" w:color="auto" w:fill="FFFFFF"/>
        </w:rPr>
        <w:t xml:space="preserve"> y otros Vs. Perú. Excepciones preliminares, Fondo, Reparaciones y Costas. </w:t>
      </w:r>
      <w:r w:rsidRPr="00BB25AB">
        <w:rPr>
          <w:rStyle w:val="Textoennegrita"/>
          <w:rFonts w:eastAsia="MS Mincho"/>
          <w:b w:val="0"/>
          <w:color w:val="000000"/>
          <w:sz w:val="16"/>
          <w:szCs w:val="16"/>
          <w:shd w:val="clear" w:color="auto" w:fill="FFFFFF"/>
        </w:rPr>
        <w:t>Sentencia de 28 de septiembre de 2021.</w:t>
      </w:r>
      <w:r w:rsidRPr="00BB25AB">
        <w:rPr>
          <w:rStyle w:val="Textoennegrita"/>
          <w:rFonts w:eastAsia="MS Mincho"/>
          <w:b w:val="0"/>
          <w:i/>
          <w:color w:val="000000"/>
          <w:sz w:val="16"/>
          <w:szCs w:val="16"/>
          <w:shd w:val="clear" w:color="auto" w:fill="FFFFFF"/>
        </w:rPr>
        <w:t xml:space="preserve"> </w:t>
      </w:r>
      <w:r w:rsidRPr="00BB25AB">
        <w:rPr>
          <w:rStyle w:val="Textoennegrita"/>
          <w:rFonts w:eastAsia="MS Mincho"/>
          <w:b w:val="0"/>
          <w:color w:val="000000"/>
          <w:sz w:val="16"/>
          <w:szCs w:val="16"/>
          <w:shd w:val="clear" w:color="auto" w:fill="FFFFFF"/>
        </w:rPr>
        <w:t>Serie C No. 438, párr. 186</w:t>
      </w:r>
      <w:r w:rsidRPr="00BB25AB">
        <w:rPr>
          <w:color w:val="000000" w:themeColor="text1"/>
          <w:sz w:val="16"/>
          <w:szCs w:val="16"/>
          <w:lang w:eastAsia="es-PE"/>
        </w:rPr>
        <w:t>.</w:t>
      </w:r>
    </w:p>
  </w:footnote>
  <w:footnote w:id="230">
    <w:p w14:paraId="7FE8817D" w14:textId="320AEB84" w:rsidR="00AD6B70" w:rsidRPr="00BB25AB" w:rsidRDefault="00AD6B70" w:rsidP="00BB25AB">
      <w:pPr>
        <w:pStyle w:val="Textonotapie"/>
        <w:spacing w:before="40" w:after="40"/>
        <w:rPr>
          <w:rFonts w:cs="Courier New"/>
          <w:bCs/>
          <w:color w:val="000000" w:themeColor="text1"/>
          <w:sz w:val="16"/>
          <w:szCs w:val="16"/>
          <w:lang w:eastAsia="en-US"/>
        </w:rPr>
      </w:pPr>
      <w:r w:rsidRPr="00BB25AB">
        <w:rPr>
          <w:rStyle w:val="Refdenotaalpie"/>
          <w:rFonts w:eastAsia="Calibri"/>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r>
      <w:r w:rsidRPr="00BB25AB">
        <w:rPr>
          <w:i/>
          <w:color w:val="000000" w:themeColor="text1"/>
          <w:sz w:val="16"/>
          <w:szCs w:val="16"/>
        </w:rPr>
        <w:t>Cfr.</w:t>
      </w:r>
      <w:r w:rsidRPr="00BB25AB">
        <w:rPr>
          <w:bCs/>
          <w:i/>
          <w:color w:val="000000" w:themeColor="text1"/>
          <w:sz w:val="16"/>
          <w:szCs w:val="16"/>
        </w:rPr>
        <w:t xml:space="preserve"> Caso de la Masacre de Las Dos Erres Vs. Guatemala. Excepción Preliminar, Fondo, Reparaciones y Costas. </w:t>
      </w:r>
      <w:r w:rsidRPr="00BB25AB">
        <w:rPr>
          <w:bCs/>
          <w:color w:val="000000" w:themeColor="text1"/>
          <w:sz w:val="16"/>
          <w:szCs w:val="16"/>
        </w:rPr>
        <w:t>Sentencia de 24 de noviembre de 2009. Serie C No. 211</w:t>
      </w:r>
      <w:r w:rsidRPr="00BB25AB">
        <w:rPr>
          <w:color w:val="000000" w:themeColor="text1"/>
          <w:sz w:val="16"/>
          <w:szCs w:val="16"/>
        </w:rPr>
        <w:t xml:space="preserve">, párr. 226, y </w:t>
      </w:r>
      <w:r w:rsidRPr="00BB25AB">
        <w:rPr>
          <w:i/>
          <w:color w:val="000000" w:themeColor="text1"/>
          <w:sz w:val="16"/>
          <w:szCs w:val="16"/>
          <w:lang w:eastAsia="es-PE"/>
        </w:rPr>
        <w:t>Caso Noguera y otra Vs. Paraguay, supra</w:t>
      </w:r>
      <w:r w:rsidRPr="00BB25AB">
        <w:rPr>
          <w:color w:val="000000" w:themeColor="text1"/>
          <w:sz w:val="16"/>
          <w:szCs w:val="16"/>
          <w:lang w:eastAsia="es-PE"/>
        </w:rPr>
        <w:t>,</w:t>
      </w:r>
      <w:r w:rsidRPr="00BB25AB">
        <w:rPr>
          <w:i/>
          <w:color w:val="000000" w:themeColor="text1"/>
          <w:sz w:val="16"/>
          <w:szCs w:val="16"/>
          <w:lang w:eastAsia="es-PE"/>
        </w:rPr>
        <w:t xml:space="preserve"> </w:t>
      </w:r>
      <w:r w:rsidRPr="00BB25AB">
        <w:rPr>
          <w:color w:val="000000" w:themeColor="text1"/>
          <w:sz w:val="16"/>
          <w:szCs w:val="16"/>
          <w:lang w:eastAsia="es-PE"/>
        </w:rPr>
        <w:t>párr. 88.</w:t>
      </w:r>
    </w:p>
  </w:footnote>
  <w:footnote w:id="231">
    <w:p w14:paraId="09179A20" w14:textId="0B746ED8"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lang w:val="es-CR"/>
        </w:rPr>
        <w:t>Cfr. Caso I.V. Vs Bolivia</w:t>
      </w:r>
      <w:r w:rsidRPr="00BB25AB">
        <w:rPr>
          <w:sz w:val="16"/>
          <w:szCs w:val="16"/>
          <w:lang w:val="es-CR"/>
        </w:rPr>
        <w:t xml:space="preserve">. </w:t>
      </w:r>
      <w:r w:rsidRPr="00BB25AB">
        <w:rPr>
          <w:i/>
          <w:sz w:val="16"/>
          <w:szCs w:val="16"/>
          <w:lang w:val="es-CR"/>
        </w:rPr>
        <w:t>Excepciones Preliminares, Fondo, Reparaciones y Costas</w:t>
      </w:r>
      <w:r w:rsidRPr="00BB25AB">
        <w:rPr>
          <w:sz w:val="16"/>
          <w:szCs w:val="16"/>
          <w:lang w:val="es-CR"/>
        </w:rPr>
        <w:t xml:space="preserve">. Sentencia de 30 de noviembre de 2016. Serie C No. 329, párr. 326, y </w:t>
      </w:r>
      <w:r w:rsidRPr="00BB25AB">
        <w:rPr>
          <w:i/>
          <w:sz w:val="16"/>
          <w:szCs w:val="16"/>
          <w:lang w:val="es-CR"/>
        </w:rPr>
        <w:t>Caso Guzmán Albarracín y otras Vs. Ecuador, supra</w:t>
      </w:r>
      <w:r w:rsidRPr="00BB25AB">
        <w:rPr>
          <w:sz w:val="16"/>
          <w:szCs w:val="16"/>
          <w:lang w:val="es-CR"/>
        </w:rPr>
        <w:t>, párr. 215.</w:t>
      </w:r>
    </w:p>
  </w:footnote>
  <w:footnote w:id="232">
    <w:p w14:paraId="15BC85A9" w14:textId="7EF1CEBE" w:rsidR="00AD6B70" w:rsidRPr="00BB25AB" w:rsidRDefault="00AD6B70" w:rsidP="00BB25AB">
      <w:pPr>
        <w:pStyle w:val="Textonotapie"/>
        <w:spacing w:before="40" w:after="40"/>
        <w:rPr>
          <w:rFonts w:cstheme="minorBidi"/>
          <w:bCs/>
          <w:color w:val="000000" w:themeColor="text1"/>
          <w:sz w:val="16"/>
          <w:szCs w:val="16"/>
        </w:rPr>
      </w:pPr>
      <w:r w:rsidRPr="00BB25AB">
        <w:rPr>
          <w:rStyle w:val="Refdenotaalpie"/>
          <w:rFonts w:eastAsia="Calibri"/>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r>
      <w:r w:rsidRPr="00BB25AB">
        <w:rPr>
          <w:i/>
          <w:color w:val="000000" w:themeColor="text1"/>
          <w:sz w:val="16"/>
          <w:szCs w:val="16"/>
        </w:rPr>
        <w:t>Cfr. Caso Ticona Estrada Vs. Bolivia. Fondo, Reparaciones y Costas</w:t>
      </w:r>
      <w:r w:rsidRPr="00BB25AB">
        <w:rPr>
          <w:color w:val="000000" w:themeColor="text1"/>
          <w:sz w:val="16"/>
          <w:szCs w:val="16"/>
        </w:rPr>
        <w:t xml:space="preserve">. Sentencia de 27 de noviembre de 2008. Serie C No. 191, párr. 110, y </w:t>
      </w:r>
      <w:r w:rsidRPr="00BB25AB">
        <w:rPr>
          <w:i/>
          <w:color w:val="000000" w:themeColor="text1"/>
          <w:sz w:val="16"/>
          <w:szCs w:val="16"/>
          <w:lang w:eastAsia="es-PE"/>
        </w:rPr>
        <w:t>Caso Azul Rojas Marín y otra Vs. Perú, supra</w:t>
      </w:r>
      <w:r w:rsidRPr="00BB25AB">
        <w:rPr>
          <w:color w:val="000000" w:themeColor="text1"/>
          <w:sz w:val="16"/>
          <w:szCs w:val="16"/>
          <w:lang w:eastAsia="es-PE"/>
        </w:rPr>
        <w:t>,</w:t>
      </w:r>
      <w:r w:rsidRPr="00BB25AB">
        <w:rPr>
          <w:i/>
          <w:color w:val="000000" w:themeColor="text1"/>
          <w:sz w:val="16"/>
          <w:szCs w:val="16"/>
          <w:lang w:eastAsia="es-PE"/>
        </w:rPr>
        <w:t xml:space="preserve"> </w:t>
      </w:r>
      <w:r w:rsidRPr="00BB25AB">
        <w:rPr>
          <w:color w:val="000000" w:themeColor="text1"/>
          <w:sz w:val="16"/>
          <w:szCs w:val="16"/>
          <w:lang w:eastAsia="es-PE"/>
        </w:rPr>
        <w:t>párr. 224.</w:t>
      </w:r>
    </w:p>
  </w:footnote>
  <w:footnote w:id="233">
    <w:p w14:paraId="7C605193" w14:textId="531C5543" w:rsidR="00AD6B70" w:rsidRPr="00BB25AB" w:rsidRDefault="00AD6B70" w:rsidP="00BB25AB">
      <w:pPr>
        <w:pStyle w:val="Textonotapie"/>
        <w:spacing w:before="40" w:after="40"/>
        <w:rPr>
          <w:color w:val="000000" w:themeColor="text1"/>
          <w:sz w:val="16"/>
          <w:szCs w:val="16"/>
          <w:lang w:eastAsia="es-PE"/>
        </w:rPr>
      </w:pPr>
      <w:r w:rsidRPr="00BB25AB">
        <w:rPr>
          <w:rStyle w:val="Refdenotaalpie"/>
          <w:rFonts w:eastAsia="Calibri"/>
          <w:color w:val="000000" w:themeColor="text1"/>
          <w:sz w:val="16"/>
          <w:szCs w:val="16"/>
        </w:rPr>
        <w:footnoteRef/>
      </w:r>
      <w:r w:rsidRPr="00BB25AB">
        <w:rPr>
          <w:rFonts w:cs="Verdana"/>
          <w:bCs/>
          <w:color w:val="000000" w:themeColor="text1"/>
          <w:sz w:val="16"/>
          <w:szCs w:val="16"/>
        </w:rPr>
        <w:tab/>
      </w:r>
      <w:r w:rsidRPr="00BB25AB">
        <w:rPr>
          <w:i/>
          <w:color w:val="000000" w:themeColor="text1"/>
          <w:sz w:val="16"/>
          <w:szCs w:val="16"/>
        </w:rPr>
        <w:t>Cfr.</w:t>
      </w:r>
      <w:r w:rsidRPr="00BB25AB">
        <w:rPr>
          <w:bCs/>
          <w:i/>
          <w:color w:val="000000" w:themeColor="text1"/>
          <w:sz w:val="16"/>
          <w:szCs w:val="16"/>
        </w:rPr>
        <w:t xml:space="preserve"> Caso Velásquez Rodríguez Vs. Honduras. </w:t>
      </w:r>
      <w:r w:rsidRPr="00BB25AB">
        <w:rPr>
          <w:i/>
          <w:color w:val="000000" w:themeColor="text1"/>
          <w:sz w:val="16"/>
          <w:szCs w:val="16"/>
        </w:rPr>
        <w:t>Reparaciones y Costas, supra</w:t>
      </w:r>
      <w:r w:rsidRPr="00BB25AB">
        <w:rPr>
          <w:color w:val="000000" w:themeColor="text1"/>
          <w:sz w:val="16"/>
          <w:szCs w:val="16"/>
        </w:rPr>
        <w:t xml:space="preserve">, </w:t>
      </w:r>
      <w:proofErr w:type="spellStart"/>
      <w:r w:rsidRPr="00BB25AB">
        <w:rPr>
          <w:color w:val="000000" w:themeColor="text1"/>
          <w:sz w:val="16"/>
          <w:szCs w:val="16"/>
        </w:rPr>
        <w:t>párrs</w:t>
      </w:r>
      <w:proofErr w:type="spellEnd"/>
      <w:r w:rsidRPr="00BB25AB">
        <w:rPr>
          <w:color w:val="000000" w:themeColor="text1"/>
          <w:sz w:val="16"/>
          <w:szCs w:val="16"/>
        </w:rPr>
        <w:t xml:space="preserve">. 25 a 27, y </w:t>
      </w:r>
      <w:r w:rsidRPr="00BB25AB">
        <w:rPr>
          <w:i/>
          <w:color w:val="000000" w:themeColor="text1"/>
          <w:sz w:val="16"/>
          <w:szCs w:val="16"/>
          <w:lang w:eastAsia="es-PE"/>
        </w:rPr>
        <w:t xml:space="preserve">Caso Azul Rojas Marín y otra Vs. Perú, supra, </w:t>
      </w:r>
      <w:r w:rsidRPr="00BB25AB">
        <w:rPr>
          <w:color w:val="000000" w:themeColor="text1"/>
          <w:sz w:val="16"/>
          <w:szCs w:val="16"/>
          <w:lang w:eastAsia="es-PE"/>
        </w:rPr>
        <w:t>párr. 225.</w:t>
      </w:r>
    </w:p>
  </w:footnote>
  <w:footnote w:id="234">
    <w:p w14:paraId="5B4F5FC8" w14:textId="14ABA4F1"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t xml:space="preserve">El Tribunal valora positivamente, además, </w:t>
      </w:r>
      <w:r w:rsidRPr="00BB25AB">
        <w:rPr>
          <w:rFonts w:cs="Arial"/>
          <w:sz w:val="16"/>
          <w:szCs w:val="16"/>
        </w:rPr>
        <w:t>el documento el acuerdo llegado por ambas partes respecto a la manera en que se desarrollará esta investigación y, en particular, el seguimiento de la una ruta denominada “Ruta crítica. Reapertura de la indagatoria FDCUAUHT/03/USD04/2576/01-10. Caso de la Abogada y Defensora de Derechos Humanos Digna Ochoa y Plácido”, la cual fue aportada por el Estado junto con su escrito de alegatos finales el 27 de mayo de 2021 y por los representantes en su escrito de 18 de junio de 2021.</w:t>
      </w:r>
    </w:p>
  </w:footnote>
  <w:footnote w:id="235">
    <w:p w14:paraId="69F342F3" w14:textId="1B818DE4" w:rsidR="00AD6B70" w:rsidRPr="00BB25AB" w:rsidRDefault="00AD6B70" w:rsidP="00BB25AB">
      <w:pPr>
        <w:pStyle w:val="Textonotapie"/>
        <w:spacing w:before="40" w:after="40"/>
        <w:rPr>
          <w:b/>
          <w:bCs/>
          <w:color w:val="000000" w:themeColor="text1"/>
          <w:sz w:val="16"/>
          <w:szCs w:val="16"/>
        </w:rPr>
      </w:pPr>
      <w:r w:rsidRPr="00BB25AB">
        <w:rPr>
          <w:rStyle w:val="Refdenotaalpie"/>
          <w:color w:val="000000" w:themeColor="text1"/>
          <w:sz w:val="16"/>
          <w:szCs w:val="16"/>
        </w:rPr>
        <w:footnoteRef/>
      </w:r>
      <w:r w:rsidRPr="00BB25AB">
        <w:rPr>
          <w:color w:val="000000" w:themeColor="text1"/>
          <w:sz w:val="16"/>
          <w:szCs w:val="16"/>
        </w:rPr>
        <w:t xml:space="preserve"> </w:t>
      </w:r>
      <w:r w:rsidRPr="00BB25AB">
        <w:rPr>
          <w:color w:val="000000" w:themeColor="text1"/>
          <w:sz w:val="16"/>
          <w:szCs w:val="16"/>
        </w:rPr>
        <w:tab/>
      </w:r>
      <w:r w:rsidRPr="00BB25AB">
        <w:rPr>
          <w:i/>
          <w:color w:val="000000" w:themeColor="text1"/>
          <w:sz w:val="16"/>
          <w:szCs w:val="16"/>
        </w:rPr>
        <w:t xml:space="preserve">Cfr. Caso Montesinos Mejía Vs. Ecuador. Excepciones Preliminares, Fondo, Reparaciones y Costas. </w:t>
      </w:r>
      <w:r w:rsidRPr="00BB25AB">
        <w:rPr>
          <w:iCs/>
          <w:color w:val="000000" w:themeColor="text1"/>
          <w:sz w:val="16"/>
          <w:szCs w:val="16"/>
        </w:rPr>
        <w:t>Sentencia de 27 de enero de 2020. Serie C No. 398, párr. 226,</w:t>
      </w:r>
      <w:r w:rsidRPr="00BB25AB">
        <w:rPr>
          <w:color w:val="000000" w:themeColor="text1"/>
          <w:sz w:val="16"/>
          <w:szCs w:val="16"/>
        </w:rPr>
        <w:t xml:space="preserve"> y </w:t>
      </w:r>
      <w:r w:rsidRPr="00BB25AB">
        <w:rPr>
          <w:rStyle w:val="Textoennegrita"/>
          <w:b w:val="0"/>
          <w:bCs w:val="0"/>
          <w:i/>
          <w:color w:val="000000" w:themeColor="text1"/>
          <w:sz w:val="16"/>
          <w:szCs w:val="16"/>
          <w:shd w:val="clear" w:color="auto" w:fill="FFFFFF"/>
        </w:rPr>
        <w:t xml:space="preserve">Caso Manuela y otros Vs. El Salvador, supra, </w:t>
      </w:r>
      <w:r w:rsidRPr="00BB25AB">
        <w:rPr>
          <w:rStyle w:val="Textoennegrita"/>
          <w:b w:val="0"/>
          <w:bCs w:val="0"/>
          <w:color w:val="000000" w:themeColor="text1"/>
          <w:sz w:val="16"/>
          <w:szCs w:val="16"/>
          <w:shd w:val="clear" w:color="auto" w:fill="FFFFFF"/>
        </w:rPr>
        <w:t>párr. 273</w:t>
      </w:r>
      <w:r w:rsidRPr="00BB25AB">
        <w:rPr>
          <w:rStyle w:val="Textoennegrita"/>
          <w:b w:val="0"/>
          <w:bCs w:val="0"/>
          <w:i/>
          <w:color w:val="000000" w:themeColor="text1"/>
          <w:sz w:val="16"/>
          <w:szCs w:val="16"/>
          <w:shd w:val="clear" w:color="auto" w:fill="FFFFFF"/>
        </w:rPr>
        <w:t>.</w:t>
      </w:r>
    </w:p>
  </w:footnote>
  <w:footnote w:id="236">
    <w:p w14:paraId="794D87B5" w14:textId="7286FCA4"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sz w:val="16"/>
          <w:szCs w:val="16"/>
          <w:lang w:val="es-ES"/>
        </w:rPr>
        <w:t xml:space="preserve">Oficina en México del Oficina en México del Alto Comisionado de las Naciones Unidas para los Derechos Humanos, Diagnóstico sobre el funcionamiento del Mecanismo de Protección para Personas Defensoras de Derechos Humanos y Periodistas, Julio de 2019, disponible aquí: </w:t>
      </w:r>
      <w:hyperlink r:id="rId45" w:history="1">
        <w:r w:rsidRPr="00BB25AB">
          <w:rPr>
            <w:rStyle w:val="Hipervnculo"/>
            <w:sz w:val="16"/>
            <w:szCs w:val="16"/>
            <w:lang w:val="es-ES"/>
          </w:rPr>
          <w:t>https://hchr.org.mx/wp/wp-content/themes/hchr/images/doc_pub/190725-Diagnostico-Mecanismo-FINAL.pdf</w:t>
        </w:r>
      </w:hyperlink>
      <w:r w:rsidRPr="00BB25AB">
        <w:rPr>
          <w:rStyle w:val="Hipervnculo"/>
          <w:sz w:val="16"/>
          <w:szCs w:val="16"/>
          <w:lang w:val="es-ES"/>
        </w:rPr>
        <w:t xml:space="preserve"> </w:t>
      </w:r>
    </w:p>
  </w:footnote>
  <w:footnote w:id="237">
    <w:p w14:paraId="0E28B40E" w14:textId="1625320A"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Caso Mujeres Víctimas de Tortura Sexual en Atenco Vs. México. Excepción Preliminar, Fondo, Reparaciones y Costas.</w:t>
      </w:r>
      <w:r w:rsidRPr="00BB25AB">
        <w:rPr>
          <w:sz w:val="16"/>
          <w:szCs w:val="16"/>
        </w:rPr>
        <w:t xml:space="preserve"> Sentencia de 28 de noviembre de 2018. Serie C No. 371, párr. 360.</w:t>
      </w:r>
    </w:p>
  </w:footnote>
  <w:footnote w:id="238">
    <w:p w14:paraId="16AFF8F3" w14:textId="2C2B944C"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lang w:val="es-ES"/>
        </w:rPr>
        <w:tab/>
      </w:r>
      <w:r w:rsidRPr="00BB25AB">
        <w:rPr>
          <w:i/>
          <w:sz w:val="16"/>
          <w:szCs w:val="16"/>
          <w:lang w:val="es-ES"/>
        </w:rPr>
        <w:t>Cfr</w:t>
      </w:r>
      <w:r w:rsidRPr="00BB25AB">
        <w:rPr>
          <w:sz w:val="16"/>
          <w:szCs w:val="16"/>
          <w:lang w:val="es-ES"/>
        </w:rPr>
        <w:t>. Oficina en México del Oficina en México del Alto Comisionado de las Naciones Unidas para los Derechos Humanos, Diagnóstico sobre el funcionamiento del Mecanismo de Protección para Personas Defensoras de Derechos Humanos y Periodistas, Julio de 2019, pág. 274. Ver también, Peritaje Michel Forst.</w:t>
      </w:r>
    </w:p>
  </w:footnote>
  <w:footnote w:id="239">
    <w:p w14:paraId="4A95DCEA" w14:textId="77777777" w:rsidR="00AD6B70" w:rsidRPr="00BB25AB" w:rsidRDefault="00AD6B70" w:rsidP="00BB25AB">
      <w:pPr>
        <w:widowControl/>
        <w:autoSpaceDE w:val="0"/>
        <w:autoSpaceDN w:val="0"/>
        <w:spacing w:before="40" w:after="40" w:line="240" w:lineRule="auto"/>
        <w:textAlignment w:val="auto"/>
        <w:rPr>
          <w:rFonts w:eastAsiaTheme="minorHAnsi" w:cs="Arial"/>
          <w:i/>
          <w:iCs/>
          <w:sz w:val="16"/>
          <w:szCs w:val="16"/>
          <w:lang w:eastAsia="en-US"/>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w:t>
      </w:r>
      <w:r w:rsidRPr="00BB25AB">
        <w:rPr>
          <w:sz w:val="16"/>
          <w:szCs w:val="16"/>
        </w:rPr>
        <w:t xml:space="preserve">. </w:t>
      </w:r>
      <w:r w:rsidRPr="00BB25AB">
        <w:rPr>
          <w:rFonts w:eastAsiaTheme="minorHAnsi" w:cs="Arial"/>
          <w:sz w:val="16"/>
          <w:szCs w:val="16"/>
          <w:lang w:eastAsia="en-US"/>
        </w:rPr>
        <w:t xml:space="preserve">Consejo de Derechos Humanos. </w:t>
      </w:r>
      <w:r w:rsidRPr="00BB25AB">
        <w:rPr>
          <w:rFonts w:eastAsiaTheme="minorHAnsi" w:cs="Arial"/>
          <w:i/>
          <w:iCs/>
          <w:sz w:val="16"/>
          <w:szCs w:val="16"/>
          <w:lang w:eastAsia="en-US"/>
        </w:rPr>
        <w:t>Informe del Relator Especial sobre las ejecuciones extrajudiciales, sumarias o</w:t>
      </w:r>
    </w:p>
    <w:p w14:paraId="7248C6F6" w14:textId="77777777" w:rsidR="00AD6B70" w:rsidRPr="00BB25AB" w:rsidRDefault="00AD6B70" w:rsidP="00BB25AB">
      <w:pPr>
        <w:pStyle w:val="Textonotapie"/>
        <w:spacing w:before="40" w:after="40"/>
        <w:rPr>
          <w:sz w:val="16"/>
          <w:szCs w:val="16"/>
          <w:lang w:val="es-ES"/>
        </w:rPr>
      </w:pPr>
      <w:r w:rsidRPr="00BB25AB">
        <w:rPr>
          <w:rFonts w:eastAsiaTheme="minorHAnsi" w:cs="Arial"/>
          <w:i/>
          <w:iCs/>
          <w:sz w:val="16"/>
          <w:szCs w:val="16"/>
          <w:lang w:eastAsia="en-US"/>
        </w:rPr>
        <w:t xml:space="preserve">arbitrarias, Christof </w:t>
      </w:r>
      <w:proofErr w:type="spellStart"/>
      <w:r w:rsidRPr="00BB25AB">
        <w:rPr>
          <w:rFonts w:eastAsiaTheme="minorHAnsi" w:cs="Arial"/>
          <w:i/>
          <w:iCs/>
          <w:sz w:val="16"/>
          <w:szCs w:val="16"/>
          <w:lang w:eastAsia="en-US"/>
        </w:rPr>
        <w:t>Heyns</w:t>
      </w:r>
      <w:proofErr w:type="spellEnd"/>
      <w:r w:rsidRPr="00BB25AB">
        <w:rPr>
          <w:rFonts w:eastAsiaTheme="minorHAnsi" w:cs="Arial"/>
          <w:i/>
          <w:iCs/>
          <w:sz w:val="16"/>
          <w:szCs w:val="16"/>
          <w:lang w:eastAsia="en-US"/>
        </w:rPr>
        <w:t>, en su vista a México</w:t>
      </w:r>
      <w:r w:rsidRPr="00BB25AB">
        <w:rPr>
          <w:rFonts w:eastAsiaTheme="minorHAnsi" w:cs="Arial"/>
          <w:sz w:val="16"/>
          <w:szCs w:val="16"/>
          <w:lang w:eastAsia="en-US"/>
        </w:rPr>
        <w:t>. A/HRC/26/36/Add.1. 28 de abril de 2014. Pág. 23, párr. 114.</w:t>
      </w:r>
    </w:p>
  </w:footnote>
  <w:footnote w:id="240">
    <w:p w14:paraId="77EE48C8" w14:textId="4539A466" w:rsidR="00AD6B70" w:rsidRPr="00BB25AB" w:rsidRDefault="00AD6B70" w:rsidP="00BB25AB">
      <w:pPr>
        <w:pStyle w:val="Textonotapie"/>
        <w:spacing w:before="40" w:after="40"/>
        <w:rPr>
          <w:sz w:val="16"/>
          <w:szCs w:val="16"/>
          <w:lang w:val="es-ES"/>
        </w:rPr>
      </w:pPr>
      <w:r w:rsidRPr="00BB25AB">
        <w:rPr>
          <w:rStyle w:val="Refdenotaalpie"/>
          <w:sz w:val="16"/>
          <w:szCs w:val="16"/>
        </w:rPr>
        <w:footnoteRef/>
      </w:r>
      <w:r w:rsidRPr="00BB25AB">
        <w:rPr>
          <w:sz w:val="16"/>
          <w:szCs w:val="16"/>
        </w:rPr>
        <w:t xml:space="preserve"> </w:t>
      </w:r>
      <w:r w:rsidRPr="00BB25AB">
        <w:rPr>
          <w:sz w:val="16"/>
          <w:szCs w:val="16"/>
          <w:lang w:val="es-ES"/>
        </w:rPr>
        <w:tab/>
      </w:r>
      <w:r w:rsidRPr="00BB25AB">
        <w:rPr>
          <w:i/>
          <w:sz w:val="16"/>
          <w:szCs w:val="16"/>
          <w:lang w:val="es-ES"/>
        </w:rPr>
        <w:t>Cfr</w:t>
      </w:r>
      <w:r w:rsidRPr="00BB25AB">
        <w:rPr>
          <w:sz w:val="16"/>
          <w:szCs w:val="16"/>
          <w:lang w:val="es-ES"/>
        </w:rPr>
        <w:t xml:space="preserve">. Oficina en México del Oficina en México del Alto Comisionado de las Naciones Unidas para los Derechos Humanos, Diagnóstico sobre el funcionamiento del Mecanismo de Protección para Personas Defensoras de Derechos Humanos y Periodistas, Julio de 2019, pág. 272. Ver también, Declaración pericial de </w:t>
      </w:r>
      <w:r w:rsidRPr="00BB25AB">
        <w:rPr>
          <w:rFonts w:eastAsiaTheme="minorHAnsi" w:cs="Arial"/>
          <w:sz w:val="16"/>
          <w:szCs w:val="16"/>
          <w:lang w:eastAsia="en-US"/>
        </w:rPr>
        <w:t>Erika Guevara.</w:t>
      </w:r>
    </w:p>
  </w:footnote>
  <w:footnote w:id="241">
    <w:p w14:paraId="6111B8ED" w14:textId="445A5F7A" w:rsidR="00AD6B70" w:rsidRPr="00BB25AB" w:rsidRDefault="00AD6B70" w:rsidP="00BB25AB">
      <w:pPr>
        <w:pStyle w:val="Textonotapie"/>
        <w:spacing w:before="40" w:after="40"/>
        <w:rPr>
          <w:b/>
          <w:bCs/>
          <w:color w:val="000000" w:themeColor="text1"/>
          <w:sz w:val="16"/>
          <w:szCs w:val="16"/>
          <w:lang w:eastAsia="es-ES"/>
        </w:rPr>
      </w:pPr>
      <w:r w:rsidRPr="00BB25AB">
        <w:rPr>
          <w:rStyle w:val="Refdenotaalpie"/>
          <w:rFonts w:eastAsia="MS ????"/>
          <w:color w:val="000000" w:themeColor="text1"/>
          <w:sz w:val="16"/>
          <w:szCs w:val="16"/>
        </w:rPr>
        <w:footnoteRef/>
      </w:r>
      <w:r w:rsidRPr="00BB25AB">
        <w:rPr>
          <w:color w:val="000000" w:themeColor="text1"/>
          <w:sz w:val="16"/>
          <w:szCs w:val="16"/>
        </w:rPr>
        <w:tab/>
      </w:r>
      <w:r w:rsidRPr="00BB25AB">
        <w:rPr>
          <w:i/>
          <w:color w:val="000000" w:themeColor="text1"/>
          <w:sz w:val="16"/>
          <w:szCs w:val="16"/>
        </w:rPr>
        <w:t xml:space="preserve">Cfr. </w:t>
      </w:r>
      <w:r w:rsidRPr="00BB25AB">
        <w:rPr>
          <w:bCs/>
          <w:i/>
          <w:color w:val="000000" w:themeColor="text1"/>
          <w:sz w:val="16"/>
          <w:szCs w:val="16"/>
        </w:rPr>
        <w:t xml:space="preserve">Caso Bámaca Velásquez Vs. Guatemala. </w:t>
      </w:r>
      <w:r w:rsidRPr="00BB25AB">
        <w:rPr>
          <w:i/>
          <w:color w:val="000000" w:themeColor="text1"/>
          <w:sz w:val="16"/>
          <w:szCs w:val="16"/>
        </w:rPr>
        <w:t>Reparaciones y Costas</w:t>
      </w:r>
      <w:r w:rsidRPr="00BB25AB">
        <w:rPr>
          <w:color w:val="000000" w:themeColor="text1"/>
          <w:sz w:val="16"/>
          <w:szCs w:val="16"/>
        </w:rPr>
        <w:t>. Sentencia de 22 de febrero de 2002. Serie C No. 91, párr. 43</w:t>
      </w:r>
      <w:r w:rsidRPr="00BB25AB">
        <w:rPr>
          <w:iCs/>
          <w:color w:val="000000" w:themeColor="text1"/>
          <w:sz w:val="16"/>
          <w:szCs w:val="16"/>
        </w:rPr>
        <w:t>,</w:t>
      </w:r>
      <w:r w:rsidRPr="00BB25AB">
        <w:rPr>
          <w:color w:val="000000" w:themeColor="text1"/>
          <w:sz w:val="16"/>
          <w:szCs w:val="16"/>
        </w:rPr>
        <w:t xml:space="preserve"> y </w:t>
      </w:r>
      <w:r w:rsidRPr="00BB25AB">
        <w:rPr>
          <w:rStyle w:val="Textoennegrita"/>
          <w:b w:val="0"/>
          <w:bCs w:val="0"/>
          <w:i/>
          <w:color w:val="000000" w:themeColor="text1"/>
          <w:sz w:val="16"/>
          <w:szCs w:val="16"/>
          <w:shd w:val="clear" w:color="auto" w:fill="FFFFFF"/>
        </w:rPr>
        <w:t xml:space="preserve">Caso Manuela y otros Vs. El Salvador, supra, </w:t>
      </w:r>
      <w:r w:rsidRPr="00BB25AB">
        <w:rPr>
          <w:rStyle w:val="Textoennegrita"/>
          <w:b w:val="0"/>
          <w:bCs w:val="0"/>
          <w:color w:val="000000" w:themeColor="text1"/>
          <w:sz w:val="16"/>
          <w:szCs w:val="16"/>
          <w:shd w:val="clear" w:color="auto" w:fill="FFFFFF"/>
        </w:rPr>
        <w:t>párr. 303</w:t>
      </w:r>
      <w:r w:rsidRPr="00BB25AB">
        <w:rPr>
          <w:rStyle w:val="Textoennegrita"/>
          <w:b w:val="0"/>
          <w:bCs w:val="0"/>
          <w:i/>
          <w:color w:val="000000" w:themeColor="text1"/>
          <w:sz w:val="16"/>
          <w:szCs w:val="16"/>
          <w:shd w:val="clear" w:color="auto" w:fill="FFFFFF"/>
        </w:rPr>
        <w:t>.</w:t>
      </w:r>
    </w:p>
  </w:footnote>
  <w:footnote w:id="242">
    <w:p w14:paraId="5E0B0932" w14:textId="49023DA3"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Caso de los “Niños de la Calle” (Villagrán Morales y otros) Vs. Guatemala, supra,</w:t>
      </w:r>
      <w:r w:rsidRPr="00BB25AB">
        <w:rPr>
          <w:sz w:val="16"/>
          <w:szCs w:val="16"/>
        </w:rPr>
        <w:t xml:space="preserve"> párr. 84, </w:t>
      </w:r>
      <w:r w:rsidRPr="00BB25AB">
        <w:rPr>
          <w:color w:val="000000" w:themeColor="text1"/>
          <w:sz w:val="16"/>
          <w:szCs w:val="16"/>
        </w:rPr>
        <w:t xml:space="preserve">y </w:t>
      </w:r>
      <w:r w:rsidRPr="00BB25AB">
        <w:rPr>
          <w:rStyle w:val="Textoennegrita"/>
          <w:b w:val="0"/>
          <w:bCs w:val="0"/>
          <w:i/>
          <w:color w:val="000000" w:themeColor="text1"/>
          <w:sz w:val="16"/>
          <w:szCs w:val="16"/>
          <w:shd w:val="clear" w:color="auto" w:fill="FFFFFF"/>
        </w:rPr>
        <w:t xml:space="preserve">Caso Manuela y otros Vs. El Salvador, supra, </w:t>
      </w:r>
      <w:r w:rsidRPr="00BB25AB">
        <w:rPr>
          <w:rStyle w:val="Textoennegrita"/>
          <w:b w:val="0"/>
          <w:bCs w:val="0"/>
          <w:color w:val="000000" w:themeColor="text1"/>
          <w:sz w:val="16"/>
          <w:szCs w:val="16"/>
          <w:shd w:val="clear" w:color="auto" w:fill="FFFFFF"/>
        </w:rPr>
        <w:t>párr. 273</w:t>
      </w:r>
      <w:r w:rsidRPr="00BB25AB">
        <w:rPr>
          <w:rStyle w:val="Textoennegrita"/>
          <w:b w:val="0"/>
          <w:bCs w:val="0"/>
          <w:i/>
          <w:color w:val="000000" w:themeColor="text1"/>
          <w:sz w:val="16"/>
          <w:szCs w:val="16"/>
          <w:shd w:val="clear" w:color="auto" w:fill="FFFFFF"/>
        </w:rPr>
        <w:t>.</w:t>
      </w:r>
      <w:r w:rsidRPr="00BB25AB">
        <w:rPr>
          <w:sz w:val="16"/>
          <w:szCs w:val="16"/>
        </w:rPr>
        <w:t>párr. 307.</w:t>
      </w:r>
    </w:p>
  </w:footnote>
  <w:footnote w:id="243">
    <w:p w14:paraId="6BF29C73" w14:textId="2425CB18" w:rsidR="00AD6B70" w:rsidRPr="00BB25AB" w:rsidRDefault="00AD6B70" w:rsidP="00BB25AB">
      <w:pPr>
        <w:pStyle w:val="Textonotapie"/>
        <w:spacing w:before="40" w:after="40"/>
        <w:rPr>
          <w:sz w:val="16"/>
          <w:szCs w:val="16"/>
          <w:lang w:val="es-ES"/>
        </w:rPr>
      </w:pPr>
      <w:r w:rsidRPr="00BB25AB">
        <w:rPr>
          <w:rStyle w:val="Refdenotaalpie"/>
          <w:sz w:val="16"/>
          <w:szCs w:val="16"/>
          <w:lang w:val="es-ES"/>
        </w:rPr>
        <w:footnoteRef/>
      </w:r>
      <w:r w:rsidRPr="00BB25AB">
        <w:rPr>
          <w:sz w:val="16"/>
          <w:szCs w:val="16"/>
          <w:lang w:val="es-ES"/>
        </w:rPr>
        <w:t xml:space="preserve"> </w:t>
      </w:r>
      <w:r w:rsidRPr="00BB25AB">
        <w:rPr>
          <w:sz w:val="16"/>
          <w:szCs w:val="16"/>
          <w:lang w:val="es-ES"/>
        </w:rPr>
        <w:tab/>
      </w:r>
      <w:r w:rsidRPr="00BB25AB">
        <w:rPr>
          <w:i/>
          <w:sz w:val="16"/>
          <w:szCs w:val="16"/>
          <w:lang w:val="es-ES"/>
        </w:rPr>
        <w:t xml:space="preserve">Cfr. Caso Garrido y Baigorria Vs. Argentina. Reparaciones y Costas. </w:t>
      </w:r>
      <w:r w:rsidRPr="00BB25AB">
        <w:rPr>
          <w:iCs/>
          <w:sz w:val="16"/>
          <w:szCs w:val="16"/>
          <w:lang w:val="es-ES"/>
        </w:rPr>
        <w:t>Sentencia de 27 de agosto de 1998. Serie C No. 39, párr. 82</w:t>
      </w:r>
      <w:r w:rsidRPr="00BB25AB">
        <w:rPr>
          <w:iCs/>
          <w:color w:val="000000" w:themeColor="text1"/>
          <w:sz w:val="16"/>
          <w:szCs w:val="16"/>
        </w:rPr>
        <w:t>,</w:t>
      </w:r>
      <w:r w:rsidRPr="00BB25AB">
        <w:rPr>
          <w:color w:val="000000" w:themeColor="text1"/>
          <w:sz w:val="16"/>
          <w:szCs w:val="16"/>
        </w:rPr>
        <w:t xml:space="preserve"> y </w:t>
      </w:r>
      <w:r w:rsidRPr="00BB25AB">
        <w:rPr>
          <w:rStyle w:val="Textoennegrita"/>
          <w:b w:val="0"/>
          <w:bCs w:val="0"/>
          <w:i/>
          <w:color w:val="000000" w:themeColor="text1"/>
          <w:sz w:val="16"/>
          <w:szCs w:val="16"/>
          <w:shd w:val="clear" w:color="auto" w:fill="FFFFFF"/>
        </w:rPr>
        <w:t xml:space="preserve">Caso Manuela y otros Vs. El Salvador, supra, </w:t>
      </w:r>
      <w:r w:rsidRPr="00BB25AB">
        <w:rPr>
          <w:rStyle w:val="Textoennegrita"/>
          <w:b w:val="0"/>
          <w:bCs w:val="0"/>
          <w:color w:val="000000" w:themeColor="text1"/>
          <w:sz w:val="16"/>
          <w:szCs w:val="16"/>
          <w:shd w:val="clear" w:color="auto" w:fill="FFFFFF"/>
        </w:rPr>
        <w:t>párr. 317</w:t>
      </w:r>
      <w:r w:rsidRPr="00BB25AB">
        <w:rPr>
          <w:rStyle w:val="Textoennegrita"/>
          <w:b w:val="0"/>
          <w:bCs w:val="0"/>
          <w:i/>
          <w:color w:val="000000" w:themeColor="text1"/>
          <w:sz w:val="16"/>
          <w:szCs w:val="16"/>
          <w:shd w:val="clear" w:color="auto" w:fill="FFFFFF"/>
        </w:rPr>
        <w:t>.</w:t>
      </w:r>
    </w:p>
  </w:footnote>
  <w:footnote w:id="244">
    <w:p w14:paraId="5568E595" w14:textId="738EDC5E" w:rsidR="00AD6B70" w:rsidRPr="00BB25AB" w:rsidRDefault="00AD6B70" w:rsidP="00BB25AB">
      <w:pPr>
        <w:pStyle w:val="Textonotapie"/>
        <w:spacing w:before="40" w:after="40"/>
        <w:rPr>
          <w:bCs/>
          <w:iCs/>
          <w:sz w:val="16"/>
          <w:szCs w:val="16"/>
        </w:rPr>
      </w:pPr>
      <w:r w:rsidRPr="00BB25AB">
        <w:rPr>
          <w:rStyle w:val="Refdenotaalpie"/>
          <w:sz w:val="16"/>
          <w:szCs w:val="16"/>
          <w:lang w:val="es-ES"/>
        </w:rPr>
        <w:footnoteRef/>
      </w:r>
      <w:r w:rsidRPr="00BB25AB">
        <w:rPr>
          <w:sz w:val="16"/>
          <w:szCs w:val="16"/>
          <w:lang w:val="es-ES"/>
        </w:rPr>
        <w:t xml:space="preserve"> </w:t>
      </w:r>
      <w:r w:rsidRPr="00BB25AB">
        <w:rPr>
          <w:sz w:val="16"/>
          <w:szCs w:val="16"/>
          <w:lang w:val="es-ES"/>
        </w:rPr>
        <w:tab/>
      </w:r>
      <w:r w:rsidRPr="00BB25AB">
        <w:rPr>
          <w:i/>
          <w:sz w:val="16"/>
          <w:szCs w:val="16"/>
          <w:lang w:val="es-ES"/>
        </w:rPr>
        <w:t xml:space="preserve">Cfr. Caso Garrido y Baigorria Vs. Argentina. Reparaciones y Costas, supra, </w:t>
      </w:r>
      <w:r w:rsidRPr="00BB25AB">
        <w:rPr>
          <w:iCs/>
          <w:sz w:val="16"/>
          <w:szCs w:val="16"/>
          <w:lang w:val="es-ES"/>
        </w:rPr>
        <w:t>párr. 82</w:t>
      </w:r>
      <w:r w:rsidRPr="00BB25AB">
        <w:rPr>
          <w:iCs/>
          <w:color w:val="000000" w:themeColor="text1"/>
          <w:sz w:val="16"/>
          <w:szCs w:val="16"/>
        </w:rPr>
        <w:t>,</w:t>
      </w:r>
      <w:r w:rsidRPr="00BB25AB">
        <w:rPr>
          <w:color w:val="000000" w:themeColor="text1"/>
          <w:sz w:val="16"/>
          <w:szCs w:val="16"/>
        </w:rPr>
        <w:t xml:space="preserve"> y </w:t>
      </w:r>
      <w:r w:rsidRPr="00BB25AB">
        <w:rPr>
          <w:rStyle w:val="Textoennegrita"/>
          <w:b w:val="0"/>
          <w:bCs w:val="0"/>
          <w:i/>
          <w:color w:val="000000" w:themeColor="text1"/>
          <w:sz w:val="16"/>
          <w:szCs w:val="16"/>
          <w:shd w:val="clear" w:color="auto" w:fill="FFFFFF"/>
        </w:rPr>
        <w:t xml:space="preserve">Caso Manuela y otros Vs. El Salvador, supra, </w:t>
      </w:r>
      <w:r w:rsidRPr="00BB25AB">
        <w:rPr>
          <w:rStyle w:val="Textoennegrita"/>
          <w:b w:val="0"/>
          <w:bCs w:val="0"/>
          <w:color w:val="000000" w:themeColor="text1"/>
          <w:sz w:val="16"/>
          <w:szCs w:val="16"/>
          <w:shd w:val="clear" w:color="auto" w:fill="FFFFFF"/>
        </w:rPr>
        <w:t>párr. 317</w:t>
      </w:r>
      <w:r w:rsidRPr="00BB25AB">
        <w:rPr>
          <w:rStyle w:val="Textoennegrita"/>
          <w:b w:val="0"/>
          <w:bCs w:val="0"/>
          <w:i/>
          <w:color w:val="000000" w:themeColor="text1"/>
          <w:sz w:val="16"/>
          <w:szCs w:val="16"/>
          <w:shd w:val="clear" w:color="auto" w:fill="FFFFFF"/>
        </w:rPr>
        <w:t>.</w:t>
      </w:r>
    </w:p>
  </w:footnote>
  <w:footnote w:id="245">
    <w:p w14:paraId="72FB6B5D" w14:textId="5CF69982" w:rsidR="00AD6B70" w:rsidRPr="00BB25AB" w:rsidRDefault="00AD6B70" w:rsidP="00BB25AB">
      <w:pPr>
        <w:pStyle w:val="Textonotapie"/>
        <w:spacing w:before="40" w:after="40"/>
        <w:rPr>
          <w:sz w:val="16"/>
          <w:szCs w:val="16"/>
        </w:rPr>
      </w:pPr>
      <w:r w:rsidRPr="00BB25AB">
        <w:rPr>
          <w:rStyle w:val="Refdenotaalpie"/>
          <w:sz w:val="16"/>
          <w:szCs w:val="16"/>
        </w:rPr>
        <w:footnoteRef/>
      </w:r>
      <w:r w:rsidRPr="00BB25AB">
        <w:rPr>
          <w:sz w:val="16"/>
          <w:szCs w:val="16"/>
        </w:rPr>
        <w:t xml:space="preserve"> </w:t>
      </w:r>
      <w:r w:rsidRPr="00BB25AB">
        <w:rPr>
          <w:sz w:val="16"/>
          <w:szCs w:val="16"/>
        </w:rPr>
        <w:tab/>
      </w:r>
      <w:r w:rsidRPr="00BB25AB">
        <w:rPr>
          <w:i/>
          <w:sz w:val="16"/>
          <w:szCs w:val="16"/>
        </w:rPr>
        <w:t>Cfr. Caso Ibsen Cárdenas e Ibsen Peña Vs. Bolivia, supra</w:t>
      </w:r>
      <w:r w:rsidRPr="00BB25AB">
        <w:rPr>
          <w:iCs/>
          <w:sz w:val="16"/>
          <w:szCs w:val="16"/>
        </w:rPr>
        <w:t>, párr. 29</w:t>
      </w:r>
      <w:r w:rsidRPr="00BB25AB">
        <w:rPr>
          <w:iCs/>
          <w:color w:val="000000" w:themeColor="text1"/>
          <w:sz w:val="16"/>
          <w:szCs w:val="16"/>
        </w:rPr>
        <w:t>,</w:t>
      </w:r>
      <w:r w:rsidRPr="00BB25AB">
        <w:rPr>
          <w:color w:val="000000" w:themeColor="text1"/>
          <w:sz w:val="16"/>
          <w:szCs w:val="16"/>
        </w:rPr>
        <w:t xml:space="preserve"> y </w:t>
      </w:r>
      <w:r w:rsidRPr="00BB25AB">
        <w:rPr>
          <w:rStyle w:val="Textoennegrita"/>
          <w:b w:val="0"/>
          <w:bCs w:val="0"/>
          <w:i/>
          <w:color w:val="000000" w:themeColor="text1"/>
          <w:sz w:val="16"/>
          <w:szCs w:val="16"/>
          <w:shd w:val="clear" w:color="auto" w:fill="FFFFFF"/>
        </w:rPr>
        <w:t xml:space="preserve">Caso Manuela y otros Vs. El Salvador, supra, </w:t>
      </w:r>
      <w:r w:rsidRPr="00BB25AB">
        <w:rPr>
          <w:rStyle w:val="Textoennegrita"/>
          <w:b w:val="0"/>
          <w:bCs w:val="0"/>
          <w:color w:val="000000" w:themeColor="text1"/>
          <w:sz w:val="16"/>
          <w:szCs w:val="16"/>
          <w:shd w:val="clear" w:color="auto" w:fill="FFFFFF"/>
        </w:rPr>
        <w:t>párr. 319</w:t>
      </w:r>
      <w:r w:rsidRPr="00BB25AB">
        <w:rPr>
          <w:rStyle w:val="Textoennegrita"/>
          <w:b w:val="0"/>
          <w:bCs w:val="0"/>
          <w:i/>
          <w:color w:val="000000" w:themeColor="text1"/>
          <w:sz w:val="16"/>
          <w:szCs w:val="16"/>
          <w:shd w:val="clear" w:color="auto" w:fill="FFFFFF"/>
        </w:rPr>
        <w:t>.</w:t>
      </w:r>
    </w:p>
  </w:footnote>
  <w:footnote w:id="246">
    <w:p w14:paraId="04B69C1C" w14:textId="77777777" w:rsidR="00AD6B70" w:rsidRPr="00BB25AB" w:rsidRDefault="00AD6B70" w:rsidP="00BB25AB">
      <w:pPr>
        <w:pStyle w:val="Textonotapie"/>
        <w:spacing w:before="40" w:after="40"/>
        <w:rPr>
          <w:color w:val="000000" w:themeColor="text1"/>
          <w:sz w:val="16"/>
          <w:szCs w:val="16"/>
          <w:u w:val="single"/>
          <w:lang w:val="es-CR"/>
        </w:rPr>
      </w:pPr>
      <w:r w:rsidRPr="00BB25AB">
        <w:rPr>
          <w:rStyle w:val="Refdenotaalpie"/>
          <w:rFonts w:eastAsia="Calibri"/>
          <w:color w:val="000000" w:themeColor="text1"/>
          <w:sz w:val="16"/>
          <w:szCs w:val="16"/>
        </w:rPr>
        <w:footnoteRef/>
      </w:r>
      <w:r w:rsidRPr="00BB25AB">
        <w:rPr>
          <w:color w:val="000000" w:themeColor="text1"/>
          <w:sz w:val="16"/>
          <w:szCs w:val="16"/>
          <w:lang w:val="es-CR"/>
        </w:rPr>
        <w:t xml:space="preserve"> </w:t>
      </w:r>
      <w:r w:rsidRPr="00BB25AB">
        <w:rPr>
          <w:color w:val="000000" w:themeColor="text1"/>
          <w:sz w:val="16"/>
          <w:szCs w:val="16"/>
          <w:lang w:val="es-CR"/>
        </w:rPr>
        <w:tab/>
      </w:r>
      <w:r w:rsidRPr="00BB25AB">
        <w:rPr>
          <w:bCs/>
          <w:color w:val="000000" w:themeColor="text1"/>
          <w:sz w:val="16"/>
          <w:szCs w:val="16"/>
          <w:lang w:val="es-CR"/>
        </w:rPr>
        <w:t>AG/RES. 2426 (XXXVIII-O/08),</w:t>
      </w:r>
      <w:r w:rsidRPr="00BB25AB">
        <w:rPr>
          <w:rFonts w:cs="Verdana"/>
          <w:color w:val="000000" w:themeColor="text1"/>
          <w:sz w:val="16"/>
          <w:szCs w:val="16"/>
          <w:lang w:val="es-CR"/>
        </w:rPr>
        <w:t xml:space="preserve"> </w:t>
      </w:r>
      <w:r w:rsidRPr="00BB25AB">
        <w:rPr>
          <w:color w:val="000000" w:themeColor="text1"/>
          <w:sz w:val="16"/>
          <w:szCs w:val="16"/>
          <w:lang w:val="es-CR"/>
        </w:rPr>
        <w:t xml:space="preserve">Resolución adoptada por la Asamblea General de la OEA </w:t>
      </w:r>
      <w:r w:rsidRPr="00BB25AB">
        <w:rPr>
          <w:rFonts w:cs="Verdana"/>
          <w:color w:val="000000" w:themeColor="text1"/>
          <w:sz w:val="16"/>
          <w:szCs w:val="16"/>
          <w:lang w:val="es-CR"/>
        </w:rPr>
        <w:t>durante la celebración del XXXVIII Período Ordinario de Sesiones de la OEA,</w:t>
      </w:r>
      <w:r w:rsidRPr="00BB25AB">
        <w:rPr>
          <w:bCs/>
          <w:color w:val="000000" w:themeColor="text1"/>
          <w:sz w:val="16"/>
          <w:szCs w:val="16"/>
          <w:lang w:val="es-CR"/>
        </w:rPr>
        <w:t xml:space="preserve"> </w:t>
      </w:r>
      <w:r w:rsidRPr="00BB25AB">
        <w:rPr>
          <w:color w:val="000000" w:themeColor="text1"/>
          <w:sz w:val="16"/>
          <w:szCs w:val="16"/>
          <w:lang w:val="es-CR"/>
        </w:rPr>
        <w:t>en la cuarta sesión plenaria,</w:t>
      </w:r>
      <w:r w:rsidRPr="00BB25AB">
        <w:rPr>
          <w:bCs/>
          <w:color w:val="000000" w:themeColor="text1"/>
          <w:sz w:val="16"/>
          <w:szCs w:val="16"/>
          <w:lang w:val="es-CR"/>
        </w:rPr>
        <w:t xml:space="preserve"> </w:t>
      </w:r>
      <w:r w:rsidRPr="00BB25AB">
        <w:rPr>
          <w:color w:val="000000" w:themeColor="text1"/>
          <w:sz w:val="16"/>
          <w:szCs w:val="16"/>
          <w:lang w:val="es-CR"/>
        </w:rPr>
        <w:t xml:space="preserve">celebrada el 3 de junio de 2008, </w:t>
      </w:r>
      <w:r w:rsidRPr="00BB25AB">
        <w:rPr>
          <w:i/>
          <w:color w:val="000000" w:themeColor="text1"/>
          <w:sz w:val="16"/>
          <w:szCs w:val="16"/>
          <w:lang w:val="es-CR"/>
        </w:rPr>
        <w:t>“Creación del Fondo de Asistencia Legal del Sistema Interamericano de Derechos Humanos</w:t>
      </w:r>
      <w:r w:rsidRPr="00BB25AB">
        <w:rPr>
          <w:color w:val="000000" w:themeColor="text1"/>
          <w:sz w:val="16"/>
          <w:szCs w:val="16"/>
          <w:lang w:val="es-CR"/>
        </w:rPr>
        <w:t>”, Punto Resolutivo 2.a</w:t>
      </w:r>
      <w:r w:rsidRPr="00BB25AB">
        <w:rPr>
          <w:rFonts w:cs="Verdana"/>
          <w:color w:val="000000" w:themeColor="text1"/>
          <w:sz w:val="16"/>
          <w:szCs w:val="16"/>
          <w:lang w:val="es-CR"/>
        </w:rPr>
        <w:t xml:space="preserve">), y </w:t>
      </w:r>
      <w:r w:rsidRPr="00BB25AB">
        <w:rPr>
          <w:color w:val="000000" w:themeColor="text1"/>
          <w:sz w:val="16"/>
          <w:szCs w:val="16"/>
          <w:lang w:val="es-CR"/>
        </w:rPr>
        <w:t>CP/RES. 963 (1728/09), Resolución adoptada el 11 de noviembre de 2009 por el Consejo Permanente de la OEA, “</w:t>
      </w:r>
      <w:r w:rsidRPr="00BB25AB">
        <w:rPr>
          <w:i/>
          <w:iCs/>
          <w:color w:val="000000" w:themeColor="text1"/>
          <w:sz w:val="16"/>
          <w:szCs w:val="16"/>
          <w:lang w:val="es-CR"/>
        </w:rPr>
        <w:t xml:space="preserve">Reglamento para el Funcionamiento del Fondo de Asistencia </w:t>
      </w:r>
      <w:r w:rsidRPr="00BB25AB">
        <w:rPr>
          <w:iCs/>
          <w:color w:val="000000" w:themeColor="text1"/>
          <w:sz w:val="16"/>
          <w:szCs w:val="16"/>
          <w:lang w:val="es-CR"/>
        </w:rPr>
        <w:t>Legal</w:t>
      </w:r>
      <w:r w:rsidRPr="00BB25AB">
        <w:rPr>
          <w:i/>
          <w:iCs/>
          <w:color w:val="000000" w:themeColor="text1"/>
          <w:sz w:val="16"/>
          <w:szCs w:val="16"/>
          <w:lang w:val="es-CR"/>
        </w:rPr>
        <w:t xml:space="preserve"> del Sistema Interamericano de Derechos Humanos</w:t>
      </w:r>
      <w:r w:rsidRPr="00BB25AB">
        <w:rPr>
          <w:color w:val="000000" w:themeColor="text1"/>
          <w:sz w:val="16"/>
          <w:szCs w:val="16"/>
          <w:lang w:val="es-CR"/>
        </w:rPr>
        <w:t>”, artículo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A41B" w14:textId="77777777" w:rsidR="00AD6B70" w:rsidRDefault="00AD6B70" w:rsidP="00F94D74">
    <w:pPr>
      <w:pStyle w:val="Encabezado"/>
    </w:pPr>
  </w:p>
  <w:p w14:paraId="6DEB6C3C" w14:textId="77777777" w:rsidR="00AD6B70" w:rsidRDefault="00AD6B70" w:rsidP="00F94D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6A6E934C"/>
    <w:lvl w:ilvl="0" w:tplc="6D5CE7FA">
      <w:start w:val="1"/>
      <w:numFmt w:val="decimal"/>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6C5F42"/>
    <w:multiLevelType w:val="hybridMultilevel"/>
    <w:tmpl w:val="0C2AEC5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77D6A45"/>
    <w:multiLevelType w:val="hybridMultilevel"/>
    <w:tmpl w:val="F59A96FC"/>
    <w:lvl w:ilvl="0" w:tplc="CFBE51E4">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194525"/>
    <w:multiLevelType w:val="hybridMultilevel"/>
    <w:tmpl w:val="B23AC8CC"/>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9F62731"/>
    <w:multiLevelType w:val="hybridMultilevel"/>
    <w:tmpl w:val="68D67392"/>
    <w:lvl w:ilvl="0" w:tplc="09FA2570">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2166749"/>
    <w:multiLevelType w:val="hybridMultilevel"/>
    <w:tmpl w:val="A334B28A"/>
    <w:lvl w:ilvl="0" w:tplc="524A75FC">
      <w:numFmt w:val="bullet"/>
      <w:lvlText w:val="-"/>
      <w:lvlJc w:val="left"/>
      <w:pPr>
        <w:ind w:left="1080" w:hanging="360"/>
      </w:pPr>
      <w:rPr>
        <w:rFonts w:ascii="Verdana" w:eastAsia="Calibri" w:hAnsi="Verdan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262D4054"/>
    <w:multiLevelType w:val="hybridMultilevel"/>
    <w:tmpl w:val="68D67392"/>
    <w:lvl w:ilvl="0" w:tplc="09FA2570">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C6144C9"/>
    <w:multiLevelType w:val="hybridMultilevel"/>
    <w:tmpl w:val="CFF0C922"/>
    <w:lvl w:ilvl="0" w:tplc="AAD2F022">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pStyle w:val="Estilo8"/>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BA44C05"/>
    <w:multiLevelType w:val="hybridMultilevel"/>
    <w:tmpl w:val="23FCDE72"/>
    <w:styleLink w:val="ImportedStyle1"/>
    <w:lvl w:ilvl="0" w:tplc="663461B6">
      <w:start w:val="1"/>
      <w:numFmt w:val="decimal"/>
      <w:lvlText w:val="%1."/>
      <w:lvlJc w:val="left"/>
      <w:pPr>
        <w:ind w:left="54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E480D8">
      <w:start w:val="1"/>
      <w:numFmt w:val="lowerLetter"/>
      <w:lvlText w:val="%2."/>
      <w:lvlJc w:val="left"/>
      <w:pPr>
        <w:ind w:left="72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AE274">
      <w:start w:val="1"/>
      <w:numFmt w:val="lowerRoman"/>
      <w:lvlText w:val="%3."/>
      <w:lvlJc w:val="left"/>
      <w:pPr>
        <w:tabs>
          <w:tab w:val="left" w:pos="540"/>
        </w:tabs>
        <w:ind w:left="1440" w:hanging="68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FA0C22">
      <w:start w:val="1"/>
      <w:numFmt w:val="decimal"/>
      <w:lvlText w:val="%4."/>
      <w:lvlJc w:val="left"/>
      <w:pPr>
        <w:tabs>
          <w:tab w:val="left" w:pos="540"/>
        </w:tabs>
        <w:ind w:left="216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A430CE">
      <w:start w:val="1"/>
      <w:numFmt w:val="lowerLetter"/>
      <w:lvlText w:val="%5."/>
      <w:lvlJc w:val="left"/>
      <w:pPr>
        <w:tabs>
          <w:tab w:val="left" w:pos="540"/>
        </w:tabs>
        <w:ind w:left="288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348524">
      <w:start w:val="1"/>
      <w:numFmt w:val="lowerRoman"/>
      <w:lvlText w:val="%6."/>
      <w:lvlJc w:val="left"/>
      <w:pPr>
        <w:tabs>
          <w:tab w:val="left" w:pos="540"/>
        </w:tabs>
        <w:ind w:left="3600" w:hanging="68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03F70">
      <w:start w:val="1"/>
      <w:numFmt w:val="decimal"/>
      <w:lvlText w:val="%7."/>
      <w:lvlJc w:val="left"/>
      <w:pPr>
        <w:tabs>
          <w:tab w:val="left" w:pos="540"/>
        </w:tabs>
        <w:ind w:left="432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8CE436">
      <w:start w:val="1"/>
      <w:numFmt w:val="lowerLetter"/>
      <w:lvlText w:val="%8."/>
      <w:lvlJc w:val="left"/>
      <w:pPr>
        <w:tabs>
          <w:tab w:val="left" w:pos="540"/>
        </w:tabs>
        <w:ind w:left="5040" w:hanging="72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BE8C4A">
      <w:start w:val="1"/>
      <w:numFmt w:val="lowerRoman"/>
      <w:lvlText w:val="%9."/>
      <w:lvlJc w:val="left"/>
      <w:pPr>
        <w:tabs>
          <w:tab w:val="left" w:pos="540"/>
        </w:tabs>
        <w:ind w:left="5760" w:hanging="68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816E49"/>
    <w:multiLevelType w:val="hybridMultilevel"/>
    <w:tmpl w:val="4A54E288"/>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DCA28F7"/>
    <w:multiLevelType w:val="hybridMultilevel"/>
    <w:tmpl w:val="BA1EC7CE"/>
    <w:lvl w:ilvl="0" w:tplc="33D82C52">
      <w:numFmt w:val="bullet"/>
      <w:lvlText w:val="-"/>
      <w:lvlJc w:val="left"/>
      <w:pPr>
        <w:ind w:left="720" w:hanging="360"/>
      </w:pPr>
      <w:rPr>
        <w:rFonts w:ascii="Verdana" w:eastAsia="Calibri"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EBC7757"/>
    <w:multiLevelType w:val="hybridMultilevel"/>
    <w:tmpl w:val="21B230D0"/>
    <w:lvl w:ilvl="0" w:tplc="0F9089BE">
      <w:start w:val="1"/>
      <w:numFmt w:val="decimal"/>
      <w:lvlText w:val="%1."/>
      <w:lvlJc w:val="left"/>
      <w:pPr>
        <w:ind w:left="825" w:hanging="825"/>
      </w:pPr>
      <w:rPr>
        <w:rFonts w:ascii="Verdana" w:eastAsia="Verdana" w:hAnsi="Verdana" w:cs="Verdana" w:hint="default"/>
        <w:b w:val="0"/>
        <w:bCs/>
        <w:i w:val="0"/>
        <w:color w:val="auto"/>
        <w:sz w:val="20"/>
        <w:szCs w:val="20"/>
        <w:vertAlign w:val="baseli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41342F26"/>
    <w:multiLevelType w:val="hybridMultilevel"/>
    <w:tmpl w:val="34C01CC8"/>
    <w:lvl w:ilvl="0" w:tplc="A6DE4350">
      <w:start w:val="1"/>
      <w:numFmt w:val="decimal"/>
      <w:lvlText w:val="%1."/>
      <w:lvlJc w:val="left"/>
      <w:pPr>
        <w:ind w:left="720" w:hanging="360"/>
      </w:pPr>
      <w:rPr>
        <w:rFonts w:hint="default"/>
        <w:b w:val="0"/>
        <w:i w:val="0"/>
        <w:color w:val="auto"/>
        <w:lang w:val="es-E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5D70CBF"/>
    <w:multiLevelType w:val="hybridMultilevel"/>
    <w:tmpl w:val="3BB4C1EC"/>
    <w:lvl w:ilvl="0" w:tplc="0E924352">
      <w:start w:val="1"/>
      <w:numFmt w:val="decimal"/>
      <w:pStyle w:val="Heading71"/>
      <w:lvlText w:val="D.%1."/>
      <w:lvlJc w:val="left"/>
      <w:pPr>
        <w:ind w:left="2138" w:hanging="360"/>
      </w:pPr>
      <w:rPr>
        <w:rFonts w:hint="default"/>
      </w:rPr>
    </w:lvl>
    <w:lvl w:ilvl="1" w:tplc="140A0019" w:tentative="1">
      <w:start w:val="1"/>
      <w:numFmt w:val="lowerLetter"/>
      <w:lvlText w:val="%2."/>
      <w:lvlJc w:val="left"/>
      <w:pPr>
        <w:ind w:left="2858" w:hanging="360"/>
      </w:pPr>
    </w:lvl>
    <w:lvl w:ilvl="2" w:tplc="140A001B" w:tentative="1">
      <w:start w:val="1"/>
      <w:numFmt w:val="lowerRoman"/>
      <w:lvlText w:val="%3."/>
      <w:lvlJc w:val="right"/>
      <w:pPr>
        <w:ind w:left="3578" w:hanging="180"/>
      </w:pPr>
    </w:lvl>
    <w:lvl w:ilvl="3" w:tplc="140A000F" w:tentative="1">
      <w:start w:val="1"/>
      <w:numFmt w:val="decimal"/>
      <w:lvlText w:val="%4."/>
      <w:lvlJc w:val="left"/>
      <w:pPr>
        <w:ind w:left="4298" w:hanging="360"/>
      </w:pPr>
    </w:lvl>
    <w:lvl w:ilvl="4" w:tplc="140A0019" w:tentative="1">
      <w:start w:val="1"/>
      <w:numFmt w:val="lowerLetter"/>
      <w:lvlText w:val="%5."/>
      <w:lvlJc w:val="left"/>
      <w:pPr>
        <w:ind w:left="5018" w:hanging="360"/>
      </w:pPr>
    </w:lvl>
    <w:lvl w:ilvl="5" w:tplc="140A001B" w:tentative="1">
      <w:start w:val="1"/>
      <w:numFmt w:val="lowerRoman"/>
      <w:lvlText w:val="%6."/>
      <w:lvlJc w:val="right"/>
      <w:pPr>
        <w:ind w:left="5738" w:hanging="180"/>
      </w:pPr>
    </w:lvl>
    <w:lvl w:ilvl="6" w:tplc="140A000F" w:tentative="1">
      <w:start w:val="1"/>
      <w:numFmt w:val="decimal"/>
      <w:lvlText w:val="%7."/>
      <w:lvlJc w:val="left"/>
      <w:pPr>
        <w:ind w:left="6458" w:hanging="360"/>
      </w:pPr>
    </w:lvl>
    <w:lvl w:ilvl="7" w:tplc="140A0019" w:tentative="1">
      <w:start w:val="1"/>
      <w:numFmt w:val="lowerLetter"/>
      <w:lvlText w:val="%8."/>
      <w:lvlJc w:val="left"/>
      <w:pPr>
        <w:ind w:left="7178" w:hanging="360"/>
      </w:pPr>
    </w:lvl>
    <w:lvl w:ilvl="8" w:tplc="140A001B" w:tentative="1">
      <w:start w:val="1"/>
      <w:numFmt w:val="lowerRoman"/>
      <w:lvlText w:val="%9."/>
      <w:lvlJc w:val="right"/>
      <w:pPr>
        <w:ind w:left="7898" w:hanging="180"/>
      </w:pPr>
    </w:lvl>
  </w:abstractNum>
  <w:abstractNum w:abstractNumId="14" w15:restartNumberingAfterBreak="0">
    <w:nsid w:val="4A5A34C0"/>
    <w:multiLevelType w:val="hybridMultilevel"/>
    <w:tmpl w:val="689EE850"/>
    <w:lvl w:ilvl="0" w:tplc="FA120EEA">
      <w:start w:val="1"/>
      <w:numFmt w:val="upperLetter"/>
      <w:lvlText w:val="%1."/>
      <w:lvlJc w:val="left"/>
      <w:pPr>
        <w:ind w:left="1147" w:hanging="585"/>
      </w:pPr>
      <w:rPr>
        <w:rFonts w:hint="default"/>
      </w:rPr>
    </w:lvl>
    <w:lvl w:ilvl="1" w:tplc="140A0019" w:tentative="1">
      <w:start w:val="1"/>
      <w:numFmt w:val="lowerLetter"/>
      <w:lvlText w:val="%2."/>
      <w:lvlJc w:val="left"/>
      <w:pPr>
        <w:ind w:left="1642" w:hanging="360"/>
      </w:pPr>
    </w:lvl>
    <w:lvl w:ilvl="2" w:tplc="140A001B" w:tentative="1">
      <w:start w:val="1"/>
      <w:numFmt w:val="lowerRoman"/>
      <w:lvlText w:val="%3."/>
      <w:lvlJc w:val="right"/>
      <w:pPr>
        <w:ind w:left="2362" w:hanging="180"/>
      </w:pPr>
    </w:lvl>
    <w:lvl w:ilvl="3" w:tplc="140A000F" w:tentative="1">
      <w:start w:val="1"/>
      <w:numFmt w:val="decimal"/>
      <w:lvlText w:val="%4."/>
      <w:lvlJc w:val="left"/>
      <w:pPr>
        <w:ind w:left="3082" w:hanging="360"/>
      </w:pPr>
    </w:lvl>
    <w:lvl w:ilvl="4" w:tplc="140A0019" w:tentative="1">
      <w:start w:val="1"/>
      <w:numFmt w:val="lowerLetter"/>
      <w:lvlText w:val="%5."/>
      <w:lvlJc w:val="left"/>
      <w:pPr>
        <w:ind w:left="3802" w:hanging="360"/>
      </w:pPr>
    </w:lvl>
    <w:lvl w:ilvl="5" w:tplc="140A001B" w:tentative="1">
      <w:start w:val="1"/>
      <w:numFmt w:val="lowerRoman"/>
      <w:lvlText w:val="%6."/>
      <w:lvlJc w:val="right"/>
      <w:pPr>
        <w:ind w:left="4522" w:hanging="180"/>
      </w:pPr>
    </w:lvl>
    <w:lvl w:ilvl="6" w:tplc="140A000F" w:tentative="1">
      <w:start w:val="1"/>
      <w:numFmt w:val="decimal"/>
      <w:lvlText w:val="%7."/>
      <w:lvlJc w:val="left"/>
      <w:pPr>
        <w:ind w:left="5242" w:hanging="360"/>
      </w:pPr>
    </w:lvl>
    <w:lvl w:ilvl="7" w:tplc="140A0019" w:tentative="1">
      <w:start w:val="1"/>
      <w:numFmt w:val="lowerLetter"/>
      <w:lvlText w:val="%8."/>
      <w:lvlJc w:val="left"/>
      <w:pPr>
        <w:ind w:left="5962" w:hanging="360"/>
      </w:pPr>
    </w:lvl>
    <w:lvl w:ilvl="8" w:tplc="140A001B" w:tentative="1">
      <w:start w:val="1"/>
      <w:numFmt w:val="lowerRoman"/>
      <w:lvlText w:val="%9."/>
      <w:lvlJc w:val="right"/>
      <w:pPr>
        <w:ind w:left="6682" w:hanging="180"/>
      </w:pPr>
    </w:lvl>
  </w:abstractNum>
  <w:abstractNum w:abstractNumId="15" w15:restartNumberingAfterBreak="0">
    <w:nsid w:val="4C5469CD"/>
    <w:multiLevelType w:val="hybridMultilevel"/>
    <w:tmpl w:val="C3AE941C"/>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7D409D0A">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D1B5F"/>
    <w:multiLevelType w:val="hybridMultilevel"/>
    <w:tmpl w:val="DC904284"/>
    <w:lvl w:ilvl="0" w:tplc="AA7E235C">
      <w:start w:val="1"/>
      <w:numFmt w:val="decimal"/>
      <w:lvlText w:val="%1."/>
      <w:lvlJc w:val="left"/>
      <w:pPr>
        <w:ind w:left="360" w:hanging="360"/>
      </w:pPr>
      <w:rPr>
        <w:rFonts w:ascii="Verdana" w:eastAsia="Batang" w:hAnsi="Verdana" w:cs="Times"/>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F565EF6"/>
    <w:multiLevelType w:val="hybridMultilevel"/>
    <w:tmpl w:val="68D67392"/>
    <w:lvl w:ilvl="0" w:tplc="09FA2570">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9" w15:restartNumberingAfterBreak="0">
    <w:nsid w:val="5A245C34"/>
    <w:multiLevelType w:val="multilevel"/>
    <w:tmpl w:val="34D66164"/>
    <w:lvl w:ilvl="0">
      <w:start w:val="15"/>
      <w:numFmt w:val="decimal"/>
      <w:lvlText w:val="%1."/>
      <w:lvlJc w:val="left"/>
      <w:pPr>
        <w:ind w:left="120" w:hanging="567"/>
      </w:pPr>
      <w:rPr>
        <w:rFonts w:ascii="Verdana" w:eastAsia="Verdana" w:hAnsi="Verdana" w:cs="Verdana" w:hint="default"/>
        <w:b w:val="0"/>
        <w:w w:val="100"/>
        <w:sz w:val="20"/>
        <w:szCs w:val="20"/>
      </w:rPr>
    </w:lvl>
    <w:lvl w:ilvl="1">
      <w:start w:val="1"/>
      <w:numFmt w:val="upperLetter"/>
      <w:lvlText w:val="%2."/>
      <w:lvlJc w:val="left"/>
      <w:pPr>
        <w:ind w:left="839" w:hanging="361"/>
      </w:pPr>
      <w:rPr>
        <w:rFonts w:ascii="Verdana" w:eastAsia="Verdana" w:hAnsi="Verdana" w:cs="Verdana" w:hint="default"/>
        <w:b/>
        <w:bCs/>
        <w:spacing w:val="-2"/>
        <w:w w:val="100"/>
        <w:sz w:val="20"/>
        <w:szCs w:val="20"/>
      </w:rPr>
    </w:lvl>
    <w:lvl w:ilvl="2">
      <w:start w:val="1"/>
      <w:numFmt w:val="decimal"/>
      <w:lvlText w:val="%2.%3."/>
      <w:lvlJc w:val="left"/>
      <w:pPr>
        <w:ind w:left="839" w:hanging="662"/>
      </w:pPr>
      <w:rPr>
        <w:rFonts w:ascii="Verdana" w:eastAsia="Verdana" w:hAnsi="Verdana" w:cs="Verdana" w:hint="default"/>
        <w:b/>
        <w:bCs/>
        <w:i/>
        <w:spacing w:val="-2"/>
        <w:w w:val="99"/>
        <w:sz w:val="20"/>
        <w:szCs w:val="20"/>
      </w:rPr>
    </w:lvl>
    <w:lvl w:ilvl="3">
      <w:numFmt w:val="bullet"/>
      <w:lvlText w:val="•"/>
      <w:lvlJc w:val="left"/>
      <w:pPr>
        <w:ind w:left="2786" w:hanging="662"/>
      </w:pPr>
      <w:rPr>
        <w:rFonts w:hint="default"/>
      </w:rPr>
    </w:lvl>
    <w:lvl w:ilvl="4">
      <w:numFmt w:val="bullet"/>
      <w:lvlText w:val="•"/>
      <w:lvlJc w:val="left"/>
      <w:pPr>
        <w:ind w:left="3760" w:hanging="662"/>
      </w:pPr>
      <w:rPr>
        <w:rFonts w:hint="default"/>
      </w:rPr>
    </w:lvl>
    <w:lvl w:ilvl="5">
      <w:numFmt w:val="bullet"/>
      <w:lvlText w:val="•"/>
      <w:lvlJc w:val="left"/>
      <w:pPr>
        <w:ind w:left="4733" w:hanging="662"/>
      </w:pPr>
      <w:rPr>
        <w:rFonts w:hint="default"/>
      </w:rPr>
    </w:lvl>
    <w:lvl w:ilvl="6">
      <w:numFmt w:val="bullet"/>
      <w:lvlText w:val="•"/>
      <w:lvlJc w:val="left"/>
      <w:pPr>
        <w:ind w:left="5706" w:hanging="662"/>
      </w:pPr>
      <w:rPr>
        <w:rFonts w:hint="default"/>
      </w:rPr>
    </w:lvl>
    <w:lvl w:ilvl="7">
      <w:numFmt w:val="bullet"/>
      <w:lvlText w:val="•"/>
      <w:lvlJc w:val="left"/>
      <w:pPr>
        <w:ind w:left="6680" w:hanging="662"/>
      </w:pPr>
      <w:rPr>
        <w:rFonts w:hint="default"/>
      </w:rPr>
    </w:lvl>
    <w:lvl w:ilvl="8">
      <w:numFmt w:val="bullet"/>
      <w:lvlText w:val="•"/>
      <w:lvlJc w:val="left"/>
      <w:pPr>
        <w:ind w:left="7653" w:hanging="662"/>
      </w:pPr>
      <w:rPr>
        <w:rFonts w:hint="default"/>
      </w:rPr>
    </w:lvl>
  </w:abstractNum>
  <w:abstractNum w:abstractNumId="20" w15:restartNumberingAfterBreak="0">
    <w:nsid w:val="67847803"/>
    <w:multiLevelType w:val="hybridMultilevel"/>
    <w:tmpl w:val="4042965A"/>
    <w:lvl w:ilvl="0" w:tplc="BAF82D72">
      <w:start w:val="1"/>
      <w:numFmt w:val="decimal"/>
      <w:lvlText w:val="%1."/>
      <w:lvlJc w:val="left"/>
      <w:pPr>
        <w:ind w:left="930" w:hanging="570"/>
      </w:pPr>
      <w:rPr>
        <w:rFonts w:hint="default"/>
        <w:b w:val="0"/>
        <w:i w:val="0"/>
        <w:color w:val="auto"/>
        <w:lang w:val="es-CR"/>
      </w:rPr>
    </w:lvl>
    <w:lvl w:ilvl="1" w:tplc="35D2116E">
      <w:start w:val="1"/>
      <w:numFmt w:val="lowerLetter"/>
      <w:lvlText w:val="%2)"/>
      <w:lvlJc w:val="left"/>
      <w:pPr>
        <w:ind w:left="1530" w:hanging="360"/>
      </w:pPr>
      <w:rPr>
        <w:rFonts w:hint="default"/>
        <w:b w:val="0"/>
        <w:color w:val="000000" w:themeColor="text1"/>
      </w:rPr>
    </w:lvl>
    <w:lvl w:ilvl="2" w:tplc="70DAD76A">
      <w:start w:val="1"/>
      <w:numFmt w:val="upperLetter"/>
      <w:lvlText w:val="%3."/>
      <w:lvlJc w:val="left"/>
      <w:pPr>
        <w:ind w:left="2340" w:hanging="360"/>
      </w:pPr>
      <w:rPr>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3" w:tplc="4F28326A">
      <w:start w:val="1"/>
      <w:numFmt w:val="lowerRoman"/>
      <w:lvlText w:val="%4."/>
      <w:lvlJc w:val="left"/>
      <w:pPr>
        <w:ind w:left="3240" w:hanging="720"/>
      </w:pPr>
      <w:rPr>
        <w:rFonts w:hint="default"/>
        <w:i/>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FF61270"/>
    <w:multiLevelType w:val="hybridMultilevel"/>
    <w:tmpl w:val="E962FC3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05A6F5C"/>
    <w:multiLevelType w:val="hybridMultilevel"/>
    <w:tmpl w:val="BA421BE0"/>
    <w:lvl w:ilvl="0" w:tplc="E84A0358">
      <w:start w:val="1"/>
      <w:numFmt w:val="decimal"/>
      <w:lvlText w:val="%1."/>
      <w:lvlJc w:val="left"/>
      <w:pPr>
        <w:tabs>
          <w:tab w:val="num" w:pos="720"/>
        </w:tabs>
        <w:ind w:left="0" w:firstLine="0"/>
      </w:pPr>
      <w:rPr>
        <w:rFonts w:ascii="Verdana" w:hAnsi="Verdana" w:hint="default"/>
        <w:b w:val="0"/>
        <w:i w:val="0"/>
        <w:strike w:val="0"/>
        <w:dstrike w:val="0"/>
        <w:color w:val="auto"/>
        <w:sz w:val="20"/>
        <w:szCs w:val="20"/>
        <w:u w:val="none"/>
        <w:effect w:val="none"/>
        <w:lang w:val="es-ES_tradnl"/>
      </w:rPr>
    </w:lvl>
    <w:lvl w:ilvl="1" w:tplc="5C6C0158">
      <w:start w:val="7"/>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9354707"/>
    <w:multiLevelType w:val="hybridMultilevel"/>
    <w:tmpl w:val="0BECDDBA"/>
    <w:lvl w:ilvl="0" w:tplc="DCB0C614">
      <w:start w:val="1"/>
      <w:numFmt w:val="decimal"/>
      <w:pStyle w:val="Ttulo5"/>
      <w:lvlText w:val="%1."/>
      <w:lvlJc w:val="left"/>
      <w:pPr>
        <w:ind w:left="825" w:hanging="825"/>
      </w:pPr>
      <w:rPr>
        <w:rFonts w:ascii="Verdana" w:eastAsia="Verdana" w:hAnsi="Verdana" w:cs="Verdana" w:hint="default"/>
        <w:b w:val="0"/>
        <w:bCs/>
        <w:i w:val="0"/>
        <w:color w:val="auto"/>
        <w:sz w:val="20"/>
        <w:szCs w:val="20"/>
        <w:vertAlign w:val="baseline"/>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7DAD23C9"/>
    <w:multiLevelType w:val="hybridMultilevel"/>
    <w:tmpl w:val="68D67392"/>
    <w:lvl w:ilvl="0" w:tplc="09FA2570">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23"/>
  </w:num>
  <w:num w:numId="5">
    <w:abstractNumId w:val="1"/>
  </w:num>
  <w:num w:numId="6">
    <w:abstractNumId w:val="13"/>
  </w:num>
  <w:num w:numId="7">
    <w:abstractNumId w:val="14"/>
  </w:num>
  <w:num w:numId="8">
    <w:abstractNumId w:val="5"/>
  </w:num>
  <w:num w:numId="9">
    <w:abstractNumId w:val="3"/>
  </w:num>
  <w:num w:numId="10">
    <w:abstractNumId w:val="9"/>
  </w:num>
  <w:num w:numId="11">
    <w:abstractNumId w:val="2"/>
    <w:lvlOverride w:ilvl="0">
      <w:startOverride w:val="1"/>
    </w:lvlOverride>
  </w:num>
  <w:num w:numId="12">
    <w:abstractNumId w:val="21"/>
  </w:num>
  <w:num w:numId="13">
    <w:abstractNumId w:val="11"/>
  </w:num>
  <w:num w:numId="14">
    <w:abstractNumId w:val="6"/>
  </w:num>
  <w:num w:numId="15">
    <w:abstractNumId w:val="24"/>
  </w:num>
  <w:num w:numId="16">
    <w:abstractNumId w:val="17"/>
  </w:num>
  <w:num w:numId="17">
    <w:abstractNumId w:val="4"/>
  </w:num>
  <w:num w:numId="18">
    <w:abstractNumId w:val="23"/>
  </w:num>
  <w:num w:numId="19">
    <w:abstractNumId w:val="23"/>
  </w:num>
  <w:num w:numId="20">
    <w:abstractNumId w:val="15"/>
  </w:num>
  <w:num w:numId="21">
    <w:abstractNumId w:val="15"/>
  </w:num>
  <w:num w:numId="22">
    <w:abstractNumId w:val="15"/>
  </w:num>
  <w:num w:numId="23">
    <w:abstractNumId w:val="0"/>
  </w:num>
  <w:num w:numId="24">
    <w:abstractNumId w:val="20"/>
  </w:num>
  <w:num w:numId="25">
    <w:abstractNumId w:val="12"/>
  </w:num>
  <w:num w:numId="26">
    <w:abstractNumId w:val="16"/>
  </w:num>
  <w:num w:numId="27">
    <w:abstractNumId w:val="10"/>
  </w:num>
  <w:num w:numId="28">
    <w:abstractNumId w:val="18"/>
  </w:num>
  <w:num w:numId="29">
    <w:abstractNumId w:val="19"/>
  </w:num>
  <w:num w:numId="3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16"/>
    <w:rsid w:val="000012D0"/>
    <w:rsid w:val="00001439"/>
    <w:rsid w:val="000017DB"/>
    <w:rsid w:val="00002253"/>
    <w:rsid w:val="00002749"/>
    <w:rsid w:val="00002C92"/>
    <w:rsid w:val="00003335"/>
    <w:rsid w:val="00005461"/>
    <w:rsid w:val="00005BCE"/>
    <w:rsid w:val="00007921"/>
    <w:rsid w:val="00010A58"/>
    <w:rsid w:val="00010FA2"/>
    <w:rsid w:val="000110DC"/>
    <w:rsid w:val="00011267"/>
    <w:rsid w:val="00012CE2"/>
    <w:rsid w:val="0001347B"/>
    <w:rsid w:val="00013511"/>
    <w:rsid w:val="000136C2"/>
    <w:rsid w:val="000176BB"/>
    <w:rsid w:val="0002012D"/>
    <w:rsid w:val="00020218"/>
    <w:rsid w:val="0002154A"/>
    <w:rsid w:val="00021AA7"/>
    <w:rsid w:val="00023CB0"/>
    <w:rsid w:val="000242AB"/>
    <w:rsid w:val="000251A8"/>
    <w:rsid w:val="00026899"/>
    <w:rsid w:val="00027197"/>
    <w:rsid w:val="00027CE8"/>
    <w:rsid w:val="00027FB2"/>
    <w:rsid w:val="000306D2"/>
    <w:rsid w:val="000337A7"/>
    <w:rsid w:val="00033876"/>
    <w:rsid w:val="00034CBC"/>
    <w:rsid w:val="00035031"/>
    <w:rsid w:val="00037526"/>
    <w:rsid w:val="000379D1"/>
    <w:rsid w:val="00040BF4"/>
    <w:rsid w:val="0004174D"/>
    <w:rsid w:val="00041953"/>
    <w:rsid w:val="00042842"/>
    <w:rsid w:val="00042E1B"/>
    <w:rsid w:val="0004401E"/>
    <w:rsid w:val="00045215"/>
    <w:rsid w:val="00046153"/>
    <w:rsid w:val="0004660B"/>
    <w:rsid w:val="0004752E"/>
    <w:rsid w:val="00047F52"/>
    <w:rsid w:val="000508B6"/>
    <w:rsid w:val="00052757"/>
    <w:rsid w:val="00053A31"/>
    <w:rsid w:val="00054D66"/>
    <w:rsid w:val="00055DA5"/>
    <w:rsid w:val="00056E57"/>
    <w:rsid w:val="00056EB2"/>
    <w:rsid w:val="00057635"/>
    <w:rsid w:val="00057A16"/>
    <w:rsid w:val="00060775"/>
    <w:rsid w:val="00060A66"/>
    <w:rsid w:val="00061A1C"/>
    <w:rsid w:val="00061E05"/>
    <w:rsid w:val="000636CC"/>
    <w:rsid w:val="000636DE"/>
    <w:rsid w:val="00063927"/>
    <w:rsid w:val="00064B26"/>
    <w:rsid w:val="000650DB"/>
    <w:rsid w:val="000653C2"/>
    <w:rsid w:val="000667D5"/>
    <w:rsid w:val="00067167"/>
    <w:rsid w:val="00067CFB"/>
    <w:rsid w:val="000719F5"/>
    <w:rsid w:val="00071D89"/>
    <w:rsid w:val="00072341"/>
    <w:rsid w:val="00072432"/>
    <w:rsid w:val="00072468"/>
    <w:rsid w:val="000725E4"/>
    <w:rsid w:val="000726E9"/>
    <w:rsid w:val="00073397"/>
    <w:rsid w:val="00073D64"/>
    <w:rsid w:val="000746A8"/>
    <w:rsid w:val="000753C7"/>
    <w:rsid w:val="00075550"/>
    <w:rsid w:val="00075A44"/>
    <w:rsid w:val="00077D6A"/>
    <w:rsid w:val="00080FD2"/>
    <w:rsid w:val="000810A3"/>
    <w:rsid w:val="0008199A"/>
    <w:rsid w:val="00084B2B"/>
    <w:rsid w:val="000850C3"/>
    <w:rsid w:val="0008596B"/>
    <w:rsid w:val="00086A18"/>
    <w:rsid w:val="00091131"/>
    <w:rsid w:val="00092447"/>
    <w:rsid w:val="00092F46"/>
    <w:rsid w:val="00093E34"/>
    <w:rsid w:val="00094448"/>
    <w:rsid w:val="00094861"/>
    <w:rsid w:val="00094EE8"/>
    <w:rsid w:val="00095B07"/>
    <w:rsid w:val="00096823"/>
    <w:rsid w:val="00096AF5"/>
    <w:rsid w:val="00096E41"/>
    <w:rsid w:val="0009720C"/>
    <w:rsid w:val="0009794F"/>
    <w:rsid w:val="000A0776"/>
    <w:rsid w:val="000A0AA6"/>
    <w:rsid w:val="000A0DA8"/>
    <w:rsid w:val="000A1352"/>
    <w:rsid w:val="000A1AB9"/>
    <w:rsid w:val="000A1ABB"/>
    <w:rsid w:val="000A2268"/>
    <w:rsid w:val="000A23E0"/>
    <w:rsid w:val="000A2A50"/>
    <w:rsid w:val="000A53EA"/>
    <w:rsid w:val="000A6B13"/>
    <w:rsid w:val="000A6BFD"/>
    <w:rsid w:val="000A7836"/>
    <w:rsid w:val="000B014F"/>
    <w:rsid w:val="000B0211"/>
    <w:rsid w:val="000B15FD"/>
    <w:rsid w:val="000B1A9D"/>
    <w:rsid w:val="000B35A3"/>
    <w:rsid w:val="000B41EE"/>
    <w:rsid w:val="000B4648"/>
    <w:rsid w:val="000B6453"/>
    <w:rsid w:val="000B64C0"/>
    <w:rsid w:val="000C00DA"/>
    <w:rsid w:val="000C1B84"/>
    <w:rsid w:val="000C1C1C"/>
    <w:rsid w:val="000C243B"/>
    <w:rsid w:val="000C2689"/>
    <w:rsid w:val="000C4077"/>
    <w:rsid w:val="000C63D6"/>
    <w:rsid w:val="000C77D7"/>
    <w:rsid w:val="000D2EAA"/>
    <w:rsid w:val="000D351B"/>
    <w:rsid w:val="000D38AF"/>
    <w:rsid w:val="000D6337"/>
    <w:rsid w:val="000D74D8"/>
    <w:rsid w:val="000E0D67"/>
    <w:rsid w:val="000E25B8"/>
    <w:rsid w:val="000E2B8A"/>
    <w:rsid w:val="000E33BA"/>
    <w:rsid w:val="000E4848"/>
    <w:rsid w:val="000E4DE3"/>
    <w:rsid w:val="000E7FAE"/>
    <w:rsid w:val="000F0120"/>
    <w:rsid w:val="000F05F3"/>
    <w:rsid w:val="000F17C6"/>
    <w:rsid w:val="000F1E21"/>
    <w:rsid w:val="000F1E5B"/>
    <w:rsid w:val="000F20CA"/>
    <w:rsid w:val="000F25F8"/>
    <w:rsid w:val="000F5DC5"/>
    <w:rsid w:val="000F6C48"/>
    <w:rsid w:val="000F6C6F"/>
    <w:rsid w:val="00100421"/>
    <w:rsid w:val="001021D5"/>
    <w:rsid w:val="00103AE3"/>
    <w:rsid w:val="00104116"/>
    <w:rsid w:val="00105001"/>
    <w:rsid w:val="0010568E"/>
    <w:rsid w:val="0010572E"/>
    <w:rsid w:val="00105AA6"/>
    <w:rsid w:val="00105AB8"/>
    <w:rsid w:val="00105F50"/>
    <w:rsid w:val="001062D5"/>
    <w:rsid w:val="001064F4"/>
    <w:rsid w:val="001069CB"/>
    <w:rsid w:val="001076EB"/>
    <w:rsid w:val="00107F96"/>
    <w:rsid w:val="00110556"/>
    <w:rsid w:val="00110D58"/>
    <w:rsid w:val="00111089"/>
    <w:rsid w:val="00111AB7"/>
    <w:rsid w:val="001120FA"/>
    <w:rsid w:val="0011211B"/>
    <w:rsid w:val="0011225D"/>
    <w:rsid w:val="001140AA"/>
    <w:rsid w:val="00114200"/>
    <w:rsid w:val="00114E22"/>
    <w:rsid w:val="001157D2"/>
    <w:rsid w:val="0011634B"/>
    <w:rsid w:val="00120C97"/>
    <w:rsid w:val="00121688"/>
    <w:rsid w:val="00124227"/>
    <w:rsid w:val="00124AEA"/>
    <w:rsid w:val="00126E06"/>
    <w:rsid w:val="001274C7"/>
    <w:rsid w:val="00127CF0"/>
    <w:rsid w:val="00132100"/>
    <w:rsid w:val="0013227C"/>
    <w:rsid w:val="0013422C"/>
    <w:rsid w:val="00134A87"/>
    <w:rsid w:val="00140196"/>
    <w:rsid w:val="00140BA6"/>
    <w:rsid w:val="0014109D"/>
    <w:rsid w:val="00141A07"/>
    <w:rsid w:val="00142347"/>
    <w:rsid w:val="00142F86"/>
    <w:rsid w:val="001430FB"/>
    <w:rsid w:val="001437F2"/>
    <w:rsid w:val="0014670E"/>
    <w:rsid w:val="00146B66"/>
    <w:rsid w:val="00146BB8"/>
    <w:rsid w:val="0014742A"/>
    <w:rsid w:val="0014755F"/>
    <w:rsid w:val="001510C0"/>
    <w:rsid w:val="001519D0"/>
    <w:rsid w:val="00151C1E"/>
    <w:rsid w:val="001522BD"/>
    <w:rsid w:val="001523C1"/>
    <w:rsid w:val="0015449C"/>
    <w:rsid w:val="001569EE"/>
    <w:rsid w:val="00157403"/>
    <w:rsid w:val="001601B1"/>
    <w:rsid w:val="00160AE8"/>
    <w:rsid w:val="00160B0C"/>
    <w:rsid w:val="00160FC4"/>
    <w:rsid w:val="001610BC"/>
    <w:rsid w:val="00162C13"/>
    <w:rsid w:val="00163510"/>
    <w:rsid w:val="0016390B"/>
    <w:rsid w:val="00165B47"/>
    <w:rsid w:val="00165BF5"/>
    <w:rsid w:val="00170936"/>
    <w:rsid w:val="00172F87"/>
    <w:rsid w:val="0017432D"/>
    <w:rsid w:val="001749B2"/>
    <w:rsid w:val="00176452"/>
    <w:rsid w:val="001772DF"/>
    <w:rsid w:val="00177BB1"/>
    <w:rsid w:val="001813DE"/>
    <w:rsid w:val="00181AD0"/>
    <w:rsid w:val="001825D4"/>
    <w:rsid w:val="00183A69"/>
    <w:rsid w:val="00183EC9"/>
    <w:rsid w:val="001854B4"/>
    <w:rsid w:val="00185528"/>
    <w:rsid w:val="00185F42"/>
    <w:rsid w:val="001879D7"/>
    <w:rsid w:val="00187A7D"/>
    <w:rsid w:val="00190F6E"/>
    <w:rsid w:val="00191080"/>
    <w:rsid w:val="001913B5"/>
    <w:rsid w:val="00191634"/>
    <w:rsid w:val="0019200D"/>
    <w:rsid w:val="00193548"/>
    <w:rsid w:val="00194A70"/>
    <w:rsid w:val="001952F2"/>
    <w:rsid w:val="00195FE6"/>
    <w:rsid w:val="00196A44"/>
    <w:rsid w:val="00196A79"/>
    <w:rsid w:val="00197A72"/>
    <w:rsid w:val="001A081B"/>
    <w:rsid w:val="001A1689"/>
    <w:rsid w:val="001A1A8F"/>
    <w:rsid w:val="001A2943"/>
    <w:rsid w:val="001A2A6E"/>
    <w:rsid w:val="001A31E1"/>
    <w:rsid w:val="001A3CDD"/>
    <w:rsid w:val="001A3D54"/>
    <w:rsid w:val="001A3D75"/>
    <w:rsid w:val="001A46AF"/>
    <w:rsid w:val="001A4A5C"/>
    <w:rsid w:val="001A6002"/>
    <w:rsid w:val="001A6BC7"/>
    <w:rsid w:val="001A6D8C"/>
    <w:rsid w:val="001B07E3"/>
    <w:rsid w:val="001B12CA"/>
    <w:rsid w:val="001B29CB"/>
    <w:rsid w:val="001B51E0"/>
    <w:rsid w:val="001B599B"/>
    <w:rsid w:val="001B62C9"/>
    <w:rsid w:val="001B680E"/>
    <w:rsid w:val="001B6BB6"/>
    <w:rsid w:val="001B6D54"/>
    <w:rsid w:val="001B78D5"/>
    <w:rsid w:val="001C0A41"/>
    <w:rsid w:val="001C0F12"/>
    <w:rsid w:val="001C27BA"/>
    <w:rsid w:val="001C29E4"/>
    <w:rsid w:val="001C4732"/>
    <w:rsid w:val="001C51C3"/>
    <w:rsid w:val="001C5DCD"/>
    <w:rsid w:val="001C75B2"/>
    <w:rsid w:val="001D1954"/>
    <w:rsid w:val="001D1A7A"/>
    <w:rsid w:val="001D1F17"/>
    <w:rsid w:val="001D2E63"/>
    <w:rsid w:val="001D4408"/>
    <w:rsid w:val="001D557D"/>
    <w:rsid w:val="001D5BF4"/>
    <w:rsid w:val="001D68B4"/>
    <w:rsid w:val="001D6AEB"/>
    <w:rsid w:val="001D6E61"/>
    <w:rsid w:val="001D7534"/>
    <w:rsid w:val="001E0470"/>
    <w:rsid w:val="001E05E9"/>
    <w:rsid w:val="001E0A04"/>
    <w:rsid w:val="001E1AAD"/>
    <w:rsid w:val="001E1F44"/>
    <w:rsid w:val="001E54DD"/>
    <w:rsid w:val="001E6240"/>
    <w:rsid w:val="001F06AB"/>
    <w:rsid w:val="001F0A51"/>
    <w:rsid w:val="001F1323"/>
    <w:rsid w:val="001F241D"/>
    <w:rsid w:val="001F2DA4"/>
    <w:rsid w:val="001F344D"/>
    <w:rsid w:val="001F4BF8"/>
    <w:rsid w:val="001F53FB"/>
    <w:rsid w:val="001F6987"/>
    <w:rsid w:val="001F7381"/>
    <w:rsid w:val="001F7AB2"/>
    <w:rsid w:val="0020109A"/>
    <w:rsid w:val="0020144A"/>
    <w:rsid w:val="002025CD"/>
    <w:rsid w:val="00202ECB"/>
    <w:rsid w:val="00203ECB"/>
    <w:rsid w:val="0020525E"/>
    <w:rsid w:val="00206B67"/>
    <w:rsid w:val="00207FAA"/>
    <w:rsid w:val="002102BF"/>
    <w:rsid w:val="00210C11"/>
    <w:rsid w:val="00213D54"/>
    <w:rsid w:val="00214BE5"/>
    <w:rsid w:val="00214D3E"/>
    <w:rsid w:val="00216556"/>
    <w:rsid w:val="00216890"/>
    <w:rsid w:val="002172DB"/>
    <w:rsid w:val="00217BCC"/>
    <w:rsid w:val="002204CC"/>
    <w:rsid w:val="00220E54"/>
    <w:rsid w:val="00222187"/>
    <w:rsid w:val="0022279F"/>
    <w:rsid w:val="002228FA"/>
    <w:rsid w:val="0022484A"/>
    <w:rsid w:val="002250E1"/>
    <w:rsid w:val="0022582A"/>
    <w:rsid w:val="00225AF2"/>
    <w:rsid w:val="002277CC"/>
    <w:rsid w:val="002307A9"/>
    <w:rsid w:val="002316FA"/>
    <w:rsid w:val="002320BA"/>
    <w:rsid w:val="002321AE"/>
    <w:rsid w:val="00234096"/>
    <w:rsid w:val="002343C9"/>
    <w:rsid w:val="002346F4"/>
    <w:rsid w:val="00235346"/>
    <w:rsid w:val="0023694D"/>
    <w:rsid w:val="002370A7"/>
    <w:rsid w:val="00240576"/>
    <w:rsid w:val="00241823"/>
    <w:rsid w:val="00241F90"/>
    <w:rsid w:val="00242E9D"/>
    <w:rsid w:val="0024329A"/>
    <w:rsid w:val="00245E4A"/>
    <w:rsid w:val="002462EA"/>
    <w:rsid w:val="002466D7"/>
    <w:rsid w:val="00246B13"/>
    <w:rsid w:val="002478D0"/>
    <w:rsid w:val="00247A27"/>
    <w:rsid w:val="00247C91"/>
    <w:rsid w:val="00247CE0"/>
    <w:rsid w:val="00247FD6"/>
    <w:rsid w:val="00250186"/>
    <w:rsid w:val="002503BD"/>
    <w:rsid w:val="00250831"/>
    <w:rsid w:val="002508B6"/>
    <w:rsid w:val="00250E15"/>
    <w:rsid w:val="00252833"/>
    <w:rsid w:val="00252B93"/>
    <w:rsid w:val="00252C61"/>
    <w:rsid w:val="00252F97"/>
    <w:rsid w:val="00253084"/>
    <w:rsid w:val="00254389"/>
    <w:rsid w:val="00254B8E"/>
    <w:rsid w:val="0025571F"/>
    <w:rsid w:val="00255D70"/>
    <w:rsid w:val="002565C0"/>
    <w:rsid w:val="00256B85"/>
    <w:rsid w:val="00256D0F"/>
    <w:rsid w:val="00257F16"/>
    <w:rsid w:val="00260958"/>
    <w:rsid w:val="00261470"/>
    <w:rsid w:val="002628A9"/>
    <w:rsid w:val="00262BEA"/>
    <w:rsid w:val="00266211"/>
    <w:rsid w:val="002667D1"/>
    <w:rsid w:val="00266C16"/>
    <w:rsid w:val="00267665"/>
    <w:rsid w:val="00271557"/>
    <w:rsid w:val="0027205C"/>
    <w:rsid w:val="00273051"/>
    <w:rsid w:val="002731A9"/>
    <w:rsid w:val="00274BD9"/>
    <w:rsid w:val="00274FBC"/>
    <w:rsid w:val="002750E0"/>
    <w:rsid w:val="002758CE"/>
    <w:rsid w:val="002766C3"/>
    <w:rsid w:val="0028171B"/>
    <w:rsid w:val="00282F09"/>
    <w:rsid w:val="002839D7"/>
    <w:rsid w:val="00283C75"/>
    <w:rsid w:val="00285602"/>
    <w:rsid w:val="00286C6C"/>
    <w:rsid w:val="00286D43"/>
    <w:rsid w:val="00287F90"/>
    <w:rsid w:val="00291A3C"/>
    <w:rsid w:val="00291F31"/>
    <w:rsid w:val="00292098"/>
    <w:rsid w:val="00293AEF"/>
    <w:rsid w:val="002942EC"/>
    <w:rsid w:val="00294477"/>
    <w:rsid w:val="0029594D"/>
    <w:rsid w:val="00297A68"/>
    <w:rsid w:val="00297C0D"/>
    <w:rsid w:val="002A018D"/>
    <w:rsid w:val="002A1E37"/>
    <w:rsid w:val="002A2505"/>
    <w:rsid w:val="002A3A73"/>
    <w:rsid w:val="002A5E94"/>
    <w:rsid w:val="002B1967"/>
    <w:rsid w:val="002B19E7"/>
    <w:rsid w:val="002B1CDB"/>
    <w:rsid w:val="002B277A"/>
    <w:rsid w:val="002B2E7D"/>
    <w:rsid w:val="002B3FA1"/>
    <w:rsid w:val="002B45C8"/>
    <w:rsid w:val="002B61D0"/>
    <w:rsid w:val="002B7D4D"/>
    <w:rsid w:val="002C12E0"/>
    <w:rsid w:val="002C1D57"/>
    <w:rsid w:val="002C35E6"/>
    <w:rsid w:val="002C3E33"/>
    <w:rsid w:val="002C5240"/>
    <w:rsid w:val="002C55E5"/>
    <w:rsid w:val="002C56E0"/>
    <w:rsid w:val="002C684D"/>
    <w:rsid w:val="002C6FEE"/>
    <w:rsid w:val="002C71D1"/>
    <w:rsid w:val="002C7313"/>
    <w:rsid w:val="002C7845"/>
    <w:rsid w:val="002D09F5"/>
    <w:rsid w:val="002D14B0"/>
    <w:rsid w:val="002D1B13"/>
    <w:rsid w:val="002D37A3"/>
    <w:rsid w:val="002D37DA"/>
    <w:rsid w:val="002D3B1C"/>
    <w:rsid w:val="002D4674"/>
    <w:rsid w:val="002D572B"/>
    <w:rsid w:val="002D5C40"/>
    <w:rsid w:val="002D6028"/>
    <w:rsid w:val="002D65AB"/>
    <w:rsid w:val="002D77E4"/>
    <w:rsid w:val="002D7F5D"/>
    <w:rsid w:val="002E0ABF"/>
    <w:rsid w:val="002E167B"/>
    <w:rsid w:val="002E1882"/>
    <w:rsid w:val="002E36BB"/>
    <w:rsid w:val="002E3766"/>
    <w:rsid w:val="002E43D8"/>
    <w:rsid w:val="002E49EB"/>
    <w:rsid w:val="002E5FF5"/>
    <w:rsid w:val="002E6A77"/>
    <w:rsid w:val="002E747E"/>
    <w:rsid w:val="002F080E"/>
    <w:rsid w:val="002F2C0A"/>
    <w:rsid w:val="002F2DDE"/>
    <w:rsid w:val="002F4BA3"/>
    <w:rsid w:val="002F57B7"/>
    <w:rsid w:val="002F5A56"/>
    <w:rsid w:val="002F7F7C"/>
    <w:rsid w:val="0030008B"/>
    <w:rsid w:val="00301F9E"/>
    <w:rsid w:val="0030265F"/>
    <w:rsid w:val="00303553"/>
    <w:rsid w:val="00303C06"/>
    <w:rsid w:val="00304FC0"/>
    <w:rsid w:val="0030508E"/>
    <w:rsid w:val="00307080"/>
    <w:rsid w:val="00307BC8"/>
    <w:rsid w:val="0031039E"/>
    <w:rsid w:val="00310982"/>
    <w:rsid w:val="00311E79"/>
    <w:rsid w:val="00312953"/>
    <w:rsid w:val="00312DD4"/>
    <w:rsid w:val="00313774"/>
    <w:rsid w:val="00314425"/>
    <w:rsid w:val="00316493"/>
    <w:rsid w:val="00316587"/>
    <w:rsid w:val="00316A81"/>
    <w:rsid w:val="00316E86"/>
    <w:rsid w:val="00321C98"/>
    <w:rsid w:val="0032208D"/>
    <w:rsid w:val="003222C7"/>
    <w:rsid w:val="003248AE"/>
    <w:rsid w:val="00324FD8"/>
    <w:rsid w:val="00325859"/>
    <w:rsid w:val="0032668A"/>
    <w:rsid w:val="003266B7"/>
    <w:rsid w:val="003276BD"/>
    <w:rsid w:val="00327DC6"/>
    <w:rsid w:val="003303ED"/>
    <w:rsid w:val="003307A3"/>
    <w:rsid w:val="00332B1B"/>
    <w:rsid w:val="00332EDD"/>
    <w:rsid w:val="0033310B"/>
    <w:rsid w:val="003331A6"/>
    <w:rsid w:val="003339B3"/>
    <w:rsid w:val="00333BAA"/>
    <w:rsid w:val="00334A13"/>
    <w:rsid w:val="00334B9C"/>
    <w:rsid w:val="0034039C"/>
    <w:rsid w:val="00342BA3"/>
    <w:rsid w:val="00343ABB"/>
    <w:rsid w:val="003448AE"/>
    <w:rsid w:val="003461E8"/>
    <w:rsid w:val="00347225"/>
    <w:rsid w:val="00352233"/>
    <w:rsid w:val="00354A24"/>
    <w:rsid w:val="00354DF3"/>
    <w:rsid w:val="00355CCB"/>
    <w:rsid w:val="003571BF"/>
    <w:rsid w:val="00360221"/>
    <w:rsid w:val="00360F57"/>
    <w:rsid w:val="00361ECD"/>
    <w:rsid w:val="003623A6"/>
    <w:rsid w:val="00362A75"/>
    <w:rsid w:val="00364CE4"/>
    <w:rsid w:val="0036509D"/>
    <w:rsid w:val="00365BE1"/>
    <w:rsid w:val="0036616E"/>
    <w:rsid w:val="00367639"/>
    <w:rsid w:val="00367B7A"/>
    <w:rsid w:val="00370213"/>
    <w:rsid w:val="00371FFC"/>
    <w:rsid w:val="00372207"/>
    <w:rsid w:val="00372220"/>
    <w:rsid w:val="0037417D"/>
    <w:rsid w:val="003744EC"/>
    <w:rsid w:val="00374A65"/>
    <w:rsid w:val="00374C7F"/>
    <w:rsid w:val="003754B6"/>
    <w:rsid w:val="003759DE"/>
    <w:rsid w:val="00377850"/>
    <w:rsid w:val="003779AB"/>
    <w:rsid w:val="003800CF"/>
    <w:rsid w:val="00381387"/>
    <w:rsid w:val="00381A2C"/>
    <w:rsid w:val="00381B34"/>
    <w:rsid w:val="00381FD7"/>
    <w:rsid w:val="0038208E"/>
    <w:rsid w:val="00382B67"/>
    <w:rsid w:val="003836DE"/>
    <w:rsid w:val="0038507E"/>
    <w:rsid w:val="00385A28"/>
    <w:rsid w:val="003862A3"/>
    <w:rsid w:val="00386C7B"/>
    <w:rsid w:val="0038750B"/>
    <w:rsid w:val="0039044A"/>
    <w:rsid w:val="00390DC3"/>
    <w:rsid w:val="00390E2D"/>
    <w:rsid w:val="00392178"/>
    <w:rsid w:val="00392D8F"/>
    <w:rsid w:val="0039690D"/>
    <w:rsid w:val="003969B1"/>
    <w:rsid w:val="00396A91"/>
    <w:rsid w:val="003977EE"/>
    <w:rsid w:val="003A071B"/>
    <w:rsid w:val="003A38D0"/>
    <w:rsid w:val="003A46F1"/>
    <w:rsid w:val="003A55B9"/>
    <w:rsid w:val="003A666E"/>
    <w:rsid w:val="003B046B"/>
    <w:rsid w:val="003B136F"/>
    <w:rsid w:val="003B178A"/>
    <w:rsid w:val="003B256C"/>
    <w:rsid w:val="003B4746"/>
    <w:rsid w:val="003B4B80"/>
    <w:rsid w:val="003B5A0B"/>
    <w:rsid w:val="003B72D2"/>
    <w:rsid w:val="003B7F2A"/>
    <w:rsid w:val="003B7FF9"/>
    <w:rsid w:val="003C1B9F"/>
    <w:rsid w:val="003C2455"/>
    <w:rsid w:val="003C3752"/>
    <w:rsid w:val="003C4E1B"/>
    <w:rsid w:val="003C61B2"/>
    <w:rsid w:val="003C63AC"/>
    <w:rsid w:val="003C695C"/>
    <w:rsid w:val="003C6A7C"/>
    <w:rsid w:val="003C6C8B"/>
    <w:rsid w:val="003C71BF"/>
    <w:rsid w:val="003D10D0"/>
    <w:rsid w:val="003D1D2A"/>
    <w:rsid w:val="003D21E5"/>
    <w:rsid w:val="003D467C"/>
    <w:rsid w:val="003D5F2A"/>
    <w:rsid w:val="003D739E"/>
    <w:rsid w:val="003E086C"/>
    <w:rsid w:val="003E34C2"/>
    <w:rsid w:val="003E4B8D"/>
    <w:rsid w:val="003E56CE"/>
    <w:rsid w:val="003E5988"/>
    <w:rsid w:val="003E5D77"/>
    <w:rsid w:val="003E6911"/>
    <w:rsid w:val="003E6D30"/>
    <w:rsid w:val="003E6E7F"/>
    <w:rsid w:val="003E701D"/>
    <w:rsid w:val="003F0125"/>
    <w:rsid w:val="003F1249"/>
    <w:rsid w:val="003F194D"/>
    <w:rsid w:val="003F348C"/>
    <w:rsid w:val="003F37A6"/>
    <w:rsid w:val="003F65B9"/>
    <w:rsid w:val="003F6C76"/>
    <w:rsid w:val="003F6C8D"/>
    <w:rsid w:val="003F766B"/>
    <w:rsid w:val="00400D96"/>
    <w:rsid w:val="0040128A"/>
    <w:rsid w:val="00401DF1"/>
    <w:rsid w:val="0040223B"/>
    <w:rsid w:val="00402449"/>
    <w:rsid w:val="00402951"/>
    <w:rsid w:val="00402F22"/>
    <w:rsid w:val="00403535"/>
    <w:rsid w:val="00403952"/>
    <w:rsid w:val="00403C50"/>
    <w:rsid w:val="004040AC"/>
    <w:rsid w:val="00404443"/>
    <w:rsid w:val="00404687"/>
    <w:rsid w:val="00404F63"/>
    <w:rsid w:val="0040673B"/>
    <w:rsid w:val="00407033"/>
    <w:rsid w:val="00407D53"/>
    <w:rsid w:val="00410A67"/>
    <w:rsid w:val="0041123B"/>
    <w:rsid w:val="00412F06"/>
    <w:rsid w:val="00413AA6"/>
    <w:rsid w:val="00413CC7"/>
    <w:rsid w:val="00414048"/>
    <w:rsid w:val="004168BF"/>
    <w:rsid w:val="00416AAE"/>
    <w:rsid w:val="00416C9C"/>
    <w:rsid w:val="00417BF9"/>
    <w:rsid w:val="0042064C"/>
    <w:rsid w:val="00420844"/>
    <w:rsid w:val="004209F1"/>
    <w:rsid w:val="00421C60"/>
    <w:rsid w:val="0042401D"/>
    <w:rsid w:val="0042448B"/>
    <w:rsid w:val="004247B5"/>
    <w:rsid w:val="0042502D"/>
    <w:rsid w:val="00426078"/>
    <w:rsid w:val="004277D4"/>
    <w:rsid w:val="00431DC9"/>
    <w:rsid w:val="004331A0"/>
    <w:rsid w:val="00433412"/>
    <w:rsid w:val="00436F04"/>
    <w:rsid w:val="00443AB4"/>
    <w:rsid w:val="00444519"/>
    <w:rsid w:val="00445A6D"/>
    <w:rsid w:val="00445C29"/>
    <w:rsid w:val="004462FB"/>
    <w:rsid w:val="00446328"/>
    <w:rsid w:val="00446516"/>
    <w:rsid w:val="00447C0D"/>
    <w:rsid w:val="004504E3"/>
    <w:rsid w:val="004518AB"/>
    <w:rsid w:val="00452B20"/>
    <w:rsid w:val="00453FF6"/>
    <w:rsid w:val="00454AB3"/>
    <w:rsid w:val="00454CF5"/>
    <w:rsid w:val="004570E5"/>
    <w:rsid w:val="004571EB"/>
    <w:rsid w:val="00457796"/>
    <w:rsid w:val="00460C66"/>
    <w:rsid w:val="00461E94"/>
    <w:rsid w:val="004626E1"/>
    <w:rsid w:val="00462AF9"/>
    <w:rsid w:val="00462B60"/>
    <w:rsid w:val="00463492"/>
    <w:rsid w:val="004638D0"/>
    <w:rsid w:val="00463903"/>
    <w:rsid w:val="00465DDB"/>
    <w:rsid w:val="00466A26"/>
    <w:rsid w:val="00466C23"/>
    <w:rsid w:val="004670CC"/>
    <w:rsid w:val="00467516"/>
    <w:rsid w:val="00467C27"/>
    <w:rsid w:val="00470956"/>
    <w:rsid w:val="00470E54"/>
    <w:rsid w:val="00471602"/>
    <w:rsid w:val="00471D83"/>
    <w:rsid w:val="00472DBD"/>
    <w:rsid w:val="0047554A"/>
    <w:rsid w:val="00477B00"/>
    <w:rsid w:val="00480785"/>
    <w:rsid w:val="00482508"/>
    <w:rsid w:val="00482A60"/>
    <w:rsid w:val="0048482C"/>
    <w:rsid w:val="0048509B"/>
    <w:rsid w:val="00485C0B"/>
    <w:rsid w:val="00486D47"/>
    <w:rsid w:val="004873BC"/>
    <w:rsid w:val="004878CA"/>
    <w:rsid w:val="00487B95"/>
    <w:rsid w:val="00491045"/>
    <w:rsid w:val="0049149C"/>
    <w:rsid w:val="004917B4"/>
    <w:rsid w:val="00491C6B"/>
    <w:rsid w:val="00493100"/>
    <w:rsid w:val="0049332B"/>
    <w:rsid w:val="004933AC"/>
    <w:rsid w:val="00494851"/>
    <w:rsid w:val="0049502C"/>
    <w:rsid w:val="004966F0"/>
    <w:rsid w:val="004968EC"/>
    <w:rsid w:val="00497330"/>
    <w:rsid w:val="004A0B30"/>
    <w:rsid w:val="004A3528"/>
    <w:rsid w:val="004A4400"/>
    <w:rsid w:val="004A5E96"/>
    <w:rsid w:val="004A61E5"/>
    <w:rsid w:val="004A7EB1"/>
    <w:rsid w:val="004B1895"/>
    <w:rsid w:val="004B1E6C"/>
    <w:rsid w:val="004B554B"/>
    <w:rsid w:val="004B6422"/>
    <w:rsid w:val="004B78CB"/>
    <w:rsid w:val="004C0BDE"/>
    <w:rsid w:val="004C1B4A"/>
    <w:rsid w:val="004C25A6"/>
    <w:rsid w:val="004C2ED2"/>
    <w:rsid w:val="004C3044"/>
    <w:rsid w:val="004C4DC4"/>
    <w:rsid w:val="004C50FC"/>
    <w:rsid w:val="004C6365"/>
    <w:rsid w:val="004C6B7B"/>
    <w:rsid w:val="004C7410"/>
    <w:rsid w:val="004C7DD9"/>
    <w:rsid w:val="004D0802"/>
    <w:rsid w:val="004D0F8C"/>
    <w:rsid w:val="004D141B"/>
    <w:rsid w:val="004D18B0"/>
    <w:rsid w:val="004D19BA"/>
    <w:rsid w:val="004D2789"/>
    <w:rsid w:val="004D2910"/>
    <w:rsid w:val="004D2A8A"/>
    <w:rsid w:val="004D3128"/>
    <w:rsid w:val="004D3611"/>
    <w:rsid w:val="004D5B83"/>
    <w:rsid w:val="004D5DA8"/>
    <w:rsid w:val="004D63D3"/>
    <w:rsid w:val="004D7794"/>
    <w:rsid w:val="004D792A"/>
    <w:rsid w:val="004D7A0D"/>
    <w:rsid w:val="004D7A9A"/>
    <w:rsid w:val="004E1EBF"/>
    <w:rsid w:val="004E42FE"/>
    <w:rsid w:val="004E5695"/>
    <w:rsid w:val="004E5CC2"/>
    <w:rsid w:val="004E6974"/>
    <w:rsid w:val="004E6F31"/>
    <w:rsid w:val="004E7CA0"/>
    <w:rsid w:val="004E7D7E"/>
    <w:rsid w:val="004E7EAA"/>
    <w:rsid w:val="004F0364"/>
    <w:rsid w:val="004F05D3"/>
    <w:rsid w:val="004F159E"/>
    <w:rsid w:val="004F183C"/>
    <w:rsid w:val="004F1C76"/>
    <w:rsid w:val="004F1DB3"/>
    <w:rsid w:val="004F2666"/>
    <w:rsid w:val="004F3A17"/>
    <w:rsid w:val="004F4AD4"/>
    <w:rsid w:val="005001EF"/>
    <w:rsid w:val="005011A0"/>
    <w:rsid w:val="0050134A"/>
    <w:rsid w:val="0050159A"/>
    <w:rsid w:val="00501812"/>
    <w:rsid w:val="00501F55"/>
    <w:rsid w:val="0050241E"/>
    <w:rsid w:val="005039F3"/>
    <w:rsid w:val="00503CA9"/>
    <w:rsid w:val="005047A8"/>
    <w:rsid w:val="00505B56"/>
    <w:rsid w:val="00506999"/>
    <w:rsid w:val="00510C02"/>
    <w:rsid w:val="005114A6"/>
    <w:rsid w:val="00511715"/>
    <w:rsid w:val="00512CDD"/>
    <w:rsid w:val="00512FE3"/>
    <w:rsid w:val="005133CD"/>
    <w:rsid w:val="00513FB5"/>
    <w:rsid w:val="00515056"/>
    <w:rsid w:val="005151BB"/>
    <w:rsid w:val="005162B6"/>
    <w:rsid w:val="0051663A"/>
    <w:rsid w:val="005168A3"/>
    <w:rsid w:val="00517A6D"/>
    <w:rsid w:val="005205C2"/>
    <w:rsid w:val="00520A12"/>
    <w:rsid w:val="005243E0"/>
    <w:rsid w:val="00525863"/>
    <w:rsid w:val="005263C5"/>
    <w:rsid w:val="00530549"/>
    <w:rsid w:val="00530E18"/>
    <w:rsid w:val="00530EBB"/>
    <w:rsid w:val="00531FA1"/>
    <w:rsid w:val="0053261B"/>
    <w:rsid w:val="0053392D"/>
    <w:rsid w:val="00533D83"/>
    <w:rsid w:val="00534177"/>
    <w:rsid w:val="0053429B"/>
    <w:rsid w:val="00534341"/>
    <w:rsid w:val="005346DB"/>
    <w:rsid w:val="005364BC"/>
    <w:rsid w:val="00536F83"/>
    <w:rsid w:val="00537440"/>
    <w:rsid w:val="00537FDD"/>
    <w:rsid w:val="005402A7"/>
    <w:rsid w:val="005414B4"/>
    <w:rsid w:val="00541F3F"/>
    <w:rsid w:val="00543113"/>
    <w:rsid w:val="0054395E"/>
    <w:rsid w:val="00543CF0"/>
    <w:rsid w:val="005441F5"/>
    <w:rsid w:val="00544BC8"/>
    <w:rsid w:val="00546198"/>
    <w:rsid w:val="00547525"/>
    <w:rsid w:val="00547A4F"/>
    <w:rsid w:val="005505BC"/>
    <w:rsid w:val="00550E21"/>
    <w:rsid w:val="00551BF9"/>
    <w:rsid w:val="0055280E"/>
    <w:rsid w:val="0055319D"/>
    <w:rsid w:val="005537A1"/>
    <w:rsid w:val="00554EE6"/>
    <w:rsid w:val="00556B41"/>
    <w:rsid w:val="00560A36"/>
    <w:rsid w:val="00560ED8"/>
    <w:rsid w:val="00562B60"/>
    <w:rsid w:val="00563189"/>
    <w:rsid w:val="00563BBE"/>
    <w:rsid w:val="00563CA7"/>
    <w:rsid w:val="00564285"/>
    <w:rsid w:val="00564B68"/>
    <w:rsid w:val="00565C70"/>
    <w:rsid w:val="005665EA"/>
    <w:rsid w:val="005668E4"/>
    <w:rsid w:val="00567159"/>
    <w:rsid w:val="00571ABA"/>
    <w:rsid w:val="00571AE4"/>
    <w:rsid w:val="0057203A"/>
    <w:rsid w:val="00572626"/>
    <w:rsid w:val="0057384A"/>
    <w:rsid w:val="0057478C"/>
    <w:rsid w:val="005755CB"/>
    <w:rsid w:val="005759A0"/>
    <w:rsid w:val="00576A60"/>
    <w:rsid w:val="00580C3B"/>
    <w:rsid w:val="00581DF4"/>
    <w:rsid w:val="00582383"/>
    <w:rsid w:val="00582407"/>
    <w:rsid w:val="0058253F"/>
    <w:rsid w:val="00584313"/>
    <w:rsid w:val="00584F0C"/>
    <w:rsid w:val="00585256"/>
    <w:rsid w:val="00585CE8"/>
    <w:rsid w:val="00586682"/>
    <w:rsid w:val="00586D7E"/>
    <w:rsid w:val="005879F4"/>
    <w:rsid w:val="00587C37"/>
    <w:rsid w:val="00592898"/>
    <w:rsid w:val="00595BCC"/>
    <w:rsid w:val="00595ECD"/>
    <w:rsid w:val="00596B5C"/>
    <w:rsid w:val="005974D8"/>
    <w:rsid w:val="005978D1"/>
    <w:rsid w:val="00597EDE"/>
    <w:rsid w:val="005A02AE"/>
    <w:rsid w:val="005A4E95"/>
    <w:rsid w:val="005A647B"/>
    <w:rsid w:val="005A7B1B"/>
    <w:rsid w:val="005B0260"/>
    <w:rsid w:val="005B0504"/>
    <w:rsid w:val="005B06A0"/>
    <w:rsid w:val="005B0DB1"/>
    <w:rsid w:val="005B1846"/>
    <w:rsid w:val="005B186F"/>
    <w:rsid w:val="005B3582"/>
    <w:rsid w:val="005B3A39"/>
    <w:rsid w:val="005B4CA5"/>
    <w:rsid w:val="005B50E4"/>
    <w:rsid w:val="005B5921"/>
    <w:rsid w:val="005B6232"/>
    <w:rsid w:val="005B6B55"/>
    <w:rsid w:val="005B79A5"/>
    <w:rsid w:val="005C0445"/>
    <w:rsid w:val="005C15DA"/>
    <w:rsid w:val="005C1900"/>
    <w:rsid w:val="005C1BC6"/>
    <w:rsid w:val="005C3457"/>
    <w:rsid w:val="005C44DA"/>
    <w:rsid w:val="005C560A"/>
    <w:rsid w:val="005C7800"/>
    <w:rsid w:val="005D0EA4"/>
    <w:rsid w:val="005D45A0"/>
    <w:rsid w:val="005D4B02"/>
    <w:rsid w:val="005D68EF"/>
    <w:rsid w:val="005D6D9C"/>
    <w:rsid w:val="005D7380"/>
    <w:rsid w:val="005E005D"/>
    <w:rsid w:val="005E031D"/>
    <w:rsid w:val="005E0544"/>
    <w:rsid w:val="005E11DE"/>
    <w:rsid w:val="005E146E"/>
    <w:rsid w:val="005E2B7F"/>
    <w:rsid w:val="005E2FAC"/>
    <w:rsid w:val="005E3430"/>
    <w:rsid w:val="005E3680"/>
    <w:rsid w:val="005E38ED"/>
    <w:rsid w:val="005E4781"/>
    <w:rsid w:val="005E4981"/>
    <w:rsid w:val="005E560C"/>
    <w:rsid w:val="005E5782"/>
    <w:rsid w:val="005E6993"/>
    <w:rsid w:val="005E759C"/>
    <w:rsid w:val="005E7B6C"/>
    <w:rsid w:val="005F0F24"/>
    <w:rsid w:val="005F2C1A"/>
    <w:rsid w:val="005F3046"/>
    <w:rsid w:val="005F4241"/>
    <w:rsid w:val="005F47B7"/>
    <w:rsid w:val="005F6746"/>
    <w:rsid w:val="005F7A89"/>
    <w:rsid w:val="00600791"/>
    <w:rsid w:val="006023CA"/>
    <w:rsid w:val="00602920"/>
    <w:rsid w:val="0060376E"/>
    <w:rsid w:val="00603E34"/>
    <w:rsid w:val="00603E71"/>
    <w:rsid w:val="00603FE8"/>
    <w:rsid w:val="00604CE4"/>
    <w:rsid w:val="006056B1"/>
    <w:rsid w:val="00605A7E"/>
    <w:rsid w:val="00611E9C"/>
    <w:rsid w:val="0061213A"/>
    <w:rsid w:val="0061234F"/>
    <w:rsid w:val="00612CA7"/>
    <w:rsid w:val="006132E1"/>
    <w:rsid w:val="00613D97"/>
    <w:rsid w:val="00614177"/>
    <w:rsid w:val="00614949"/>
    <w:rsid w:val="00616505"/>
    <w:rsid w:val="00616768"/>
    <w:rsid w:val="00616A72"/>
    <w:rsid w:val="00621DF1"/>
    <w:rsid w:val="00622FF3"/>
    <w:rsid w:val="00626325"/>
    <w:rsid w:val="0062641B"/>
    <w:rsid w:val="00626DA8"/>
    <w:rsid w:val="00630836"/>
    <w:rsid w:val="006312FE"/>
    <w:rsid w:val="00631B89"/>
    <w:rsid w:val="00632020"/>
    <w:rsid w:val="006324CB"/>
    <w:rsid w:val="0063424E"/>
    <w:rsid w:val="00634801"/>
    <w:rsid w:val="00635466"/>
    <w:rsid w:val="006357B6"/>
    <w:rsid w:val="006362F2"/>
    <w:rsid w:val="006374DA"/>
    <w:rsid w:val="00637A8E"/>
    <w:rsid w:val="006400DB"/>
    <w:rsid w:val="006402B4"/>
    <w:rsid w:val="006403E2"/>
    <w:rsid w:val="00640511"/>
    <w:rsid w:val="006418F0"/>
    <w:rsid w:val="00642A2A"/>
    <w:rsid w:val="00643129"/>
    <w:rsid w:val="00645147"/>
    <w:rsid w:val="0064527F"/>
    <w:rsid w:val="006454F0"/>
    <w:rsid w:val="0064643D"/>
    <w:rsid w:val="006477EA"/>
    <w:rsid w:val="00650126"/>
    <w:rsid w:val="00650BF4"/>
    <w:rsid w:val="0065157B"/>
    <w:rsid w:val="006525FC"/>
    <w:rsid w:val="006529B6"/>
    <w:rsid w:val="00654028"/>
    <w:rsid w:val="00654122"/>
    <w:rsid w:val="006549F9"/>
    <w:rsid w:val="0065543C"/>
    <w:rsid w:val="00655BB0"/>
    <w:rsid w:val="00655DF6"/>
    <w:rsid w:val="00656565"/>
    <w:rsid w:val="006568C0"/>
    <w:rsid w:val="00660524"/>
    <w:rsid w:val="0066140D"/>
    <w:rsid w:val="006614C4"/>
    <w:rsid w:val="00661BF7"/>
    <w:rsid w:val="00662E96"/>
    <w:rsid w:val="00663E10"/>
    <w:rsid w:val="006648A6"/>
    <w:rsid w:val="00665A0A"/>
    <w:rsid w:val="00666ABC"/>
    <w:rsid w:val="00667039"/>
    <w:rsid w:val="00667F73"/>
    <w:rsid w:val="00670882"/>
    <w:rsid w:val="00671BF2"/>
    <w:rsid w:val="00671DE3"/>
    <w:rsid w:val="0067293F"/>
    <w:rsid w:val="006739F3"/>
    <w:rsid w:val="00674E84"/>
    <w:rsid w:val="00675C8E"/>
    <w:rsid w:val="00675E76"/>
    <w:rsid w:val="006769C5"/>
    <w:rsid w:val="0068354A"/>
    <w:rsid w:val="0068488F"/>
    <w:rsid w:val="00687D89"/>
    <w:rsid w:val="006901C2"/>
    <w:rsid w:val="0069169A"/>
    <w:rsid w:val="00691720"/>
    <w:rsid w:val="006946DD"/>
    <w:rsid w:val="00694C6E"/>
    <w:rsid w:val="0069630E"/>
    <w:rsid w:val="006968ED"/>
    <w:rsid w:val="006971D4"/>
    <w:rsid w:val="0069720D"/>
    <w:rsid w:val="006A039C"/>
    <w:rsid w:val="006A06FC"/>
    <w:rsid w:val="006A14B8"/>
    <w:rsid w:val="006A3375"/>
    <w:rsid w:val="006A5863"/>
    <w:rsid w:val="006A6914"/>
    <w:rsid w:val="006B0525"/>
    <w:rsid w:val="006B0711"/>
    <w:rsid w:val="006B0CB7"/>
    <w:rsid w:val="006B1241"/>
    <w:rsid w:val="006B14AB"/>
    <w:rsid w:val="006B14CC"/>
    <w:rsid w:val="006B1EC7"/>
    <w:rsid w:val="006B3477"/>
    <w:rsid w:val="006B7041"/>
    <w:rsid w:val="006B77EF"/>
    <w:rsid w:val="006C107B"/>
    <w:rsid w:val="006C13B7"/>
    <w:rsid w:val="006C13F5"/>
    <w:rsid w:val="006C1554"/>
    <w:rsid w:val="006C2EAA"/>
    <w:rsid w:val="006C4373"/>
    <w:rsid w:val="006C464E"/>
    <w:rsid w:val="006C4CB7"/>
    <w:rsid w:val="006C5A11"/>
    <w:rsid w:val="006C6A67"/>
    <w:rsid w:val="006C7DDC"/>
    <w:rsid w:val="006D0F6C"/>
    <w:rsid w:val="006D15E2"/>
    <w:rsid w:val="006D1B4D"/>
    <w:rsid w:val="006D21AB"/>
    <w:rsid w:val="006D26D6"/>
    <w:rsid w:val="006D3505"/>
    <w:rsid w:val="006D394A"/>
    <w:rsid w:val="006D56C0"/>
    <w:rsid w:val="006D5BF3"/>
    <w:rsid w:val="006D63BC"/>
    <w:rsid w:val="006D6D83"/>
    <w:rsid w:val="006D7EFF"/>
    <w:rsid w:val="006E0A18"/>
    <w:rsid w:val="006E2362"/>
    <w:rsid w:val="006E26E8"/>
    <w:rsid w:val="006E2A44"/>
    <w:rsid w:val="006E539D"/>
    <w:rsid w:val="006E55AE"/>
    <w:rsid w:val="006E5B17"/>
    <w:rsid w:val="006E63EF"/>
    <w:rsid w:val="006E6A77"/>
    <w:rsid w:val="006E6C6B"/>
    <w:rsid w:val="006E74E2"/>
    <w:rsid w:val="006F1209"/>
    <w:rsid w:val="006F1490"/>
    <w:rsid w:val="006F1D46"/>
    <w:rsid w:val="006F2319"/>
    <w:rsid w:val="006F36EF"/>
    <w:rsid w:val="006F3C03"/>
    <w:rsid w:val="006F4055"/>
    <w:rsid w:val="006F4671"/>
    <w:rsid w:val="006F4876"/>
    <w:rsid w:val="006F4EC6"/>
    <w:rsid w:val="006F787C"/>
    <w:rsid w:val="006F79F9"/>
    <w:rsid w:val="006F7C07"/>
    <w:rsid w:val="00700CB1"/>
    <w:rsid w:val="00701004"/>
    <w:rsid w:val="00701DE2"/>
    <w:rsid w:val="00704878"/>
    <w:rsid w:val="00710DC9"/>
    <w:rsid w:val="00710ED2"/>
    <w:rsid w:val="00711D7F"/>
    <w:rsid w:val="007151A1"/>
    <w:rsid w:val="007177BC"/>
    <w:rsid w:val="00717973"/>
    <w:rsid w:val="00717E3D"/>
    <w:rsid w:val="00717EDD"/>
    <w:rsid w:val="00721359"/>
    <w:rsid w:val="00721FF4"/>
    <w:rsid w:val="007222E8"/>
    <w:rsid w:val="00722BFE"/>
    <w:rsid w:val="00723E0F"/>
    <w:rsid w:val="00727C92"/>
    <w:rsid w:val="007300AE"/>
    <w:rsid w:val="007305A8"/>
    <w:rsid w:val="0073088D"/>
    <w:rsid w:val="00733117"/>
    <w:rsid w:val="00734219"/>
    <w:rsid w:val="00734C1A"/>
    <w:rsid w:val="00734F12"/>
    <w:rsid w:val="007351F2"/>
    <w:rsid w:val="0073655F"/>
    <w:rsid w:val="00736DAC"/>
    <w:rsid w:val="00740264"/>
    <w:rsid w:val="007403E0"/>
    <w:rsid w:val="007403F5"/>
    <w:rsid w:val="00740AA6"/>
    <w:rsid w:val="00741CF1"/>
    <w:rsid w:val="00741FE0"/>
    <w:rsid w:val="00743606"/>
    <w:rsid w:val="007439A7"/>
    <w:rsid w:val="007439AA"/>
    <w:rsid w:val="007446EE"/>
    <w:rsid w:val="00744DFC"/>
    <w:rsid w:val="00744FA0"/>
    <w:rsid w:val="007454BA"/>
    <w:rsid w:val="00746744"/>
    <w:rsid w:val="007468E7"/>
    <w:rsid w:val="007469BE"/>
    <w:rsid w:val="007470A9"/>
    <w:rsid w:val="00750FE9"/>
    <w:rsid w:val="00752167"/>
    <w:rsid w:val="007523D7"/>
    <w:rsid w:val="007537A3"/>
    <w:rsid w:val="00754CC3"/>
    <w:rsid w:val="00755067"/>
    <w:rsid w:val="007569ED"/>
    <w:rsid w:val="007575BB"/>
    <w:rsid w:val="007578CE"/>
    <w:rsid w:val="0076216E"/>
    <w:rsid w:val="007626D4"/>
    <w:rsid w:val="0076371A"/>
    <w:rsid w:val="00764CCE"/>
    <w:rsid w:val="00766A70"/>
    <w:rsid w:val="00766D95"/>
    <w:rsid w:val="00766E96"/>
    <w:rsid w:val="00770DE0"/>
    <w:rsid w:val="00771716"/>
    <w:rsid w:val="007717F7"/>
    <w:rsid w:val="00772021"/>
    <w:rsid w:val="00772536"/>
    <w:rsid w:val="00772CF7"/>
    <w:rsid w:val="00772F6F"/>
    <w:rsid w:val="0077379A"/>
    <w:rsid w:val="00773B5E"/>
    <w:rsid w:val="00773E86"/>
    <w:rsid w:val="00774978"/>
    <w:rsid w:val="00776123"/>
    <w:rsid w:val="007778B8"/>
    <w:rsid w:val="00777E67"/>
    <w:rsid w:val="00777EDC"/>
    <w:rsid w:val="0078052E"/>
    <w:rsid w:val="00781395"/>
    <w:rsid w:val="00781A2C"/>
    <w:rsid w:val="00782926"/>
    <w:rsid w:val="007843EC"/>
    <w:rsid w:val="00785EE9"/>
    <w:rsid w:val="00790084"/>
    <w:rsid w:val="007901B2"/>
    <w:rsid w:val="007920AE"/>
    <w:rsid w:val="00792E9A"/>
    <w:rsid w:val="0079394F"/>
    <w:rsid w:val="00793E88"/>
    <w:rsid w:val="007942A2"/>
    <w:rsid w:val="007946D2"/>
    <w:rsid w:val="00794B92"/>
    <w:rsid w:val="0079556F"/>
    <w:rsid w:val="007970C6"/>
    <w:rsid w:val="00797CF7"/>
    <w:rsid w:val="007A0C3C"/>
    <w:rsid w:val="007A1769"/>
    <w:rsid w:val="007A314F"/>
    <w:rsid w:val="007A3BFF"/>
    <w:rsid w:val="007A4064"/>
    <w:rsid w:val="007A4EF8"/>
    <w:rsid w:val="007A57CF"/>
    <w:rsid w:val="007A6242"/>
    <w:rsid w:val="007A6DBB"/>
    <w:rsid w:val="007B0815"/>
    <w:rsid w:val="007B2D56"/>
    <w:rsid w:val="007B36FB"/>
    <w:rsid w:val="007B4579"/>
    <w:rsid w:val="007B5557"/>
    <w:rsid w:val="007B5A16"/>
    <w:rsid w:val="007B5BB3"/>
    <w:rsid w:val="007B7CA0"/>
    <w:rsid w:val="007B7DC9"/>
    <w:rsid w:val="007B7DE0"/>
    <w:rsid w:val="007C357D"/>
    <w:rsid w:val="007C3BB6"/>
    <w:rsid w:val="007C3CB6"/>
    <w:rsid w:val="007C4270"/>
    <w:rsid w:val="007C478F"/>
    <w:rsid w:val="007C494A"/>
    <w:rsid w:val="007C5F06"/>
    <w:rsid w:val="007C68CF"/>
    <w:rsid w:val="007D011F"/>
    <w:rsid w:val="007D4012"/>
    <w:rsid w:val="007D6AC8"/>
    <w:rsid w:val="007D6EAF"/>
    <w:rsid w:val="007D7BAF"/>
    <w:rsid w:val="007D7CAA"/>
    <w:rsid w:val="007D7D03"/>
    <w:rsid w:val="007E1E6B"/>
    <w:rsid w:val="007E2F6D"/>
    <w:rsid w:val="007E2F88"/>
    <w:rsid w:val="007E620D"/>
    <w:rsid w:val="007E64AF"/>
    <w:rsid w:val="007E7831"/>
    <w:rsid w:val="007E78F2"/>
    <w:rsid w:val="007F0392"/>
    <w:rsid w:val="007F1120"/>
    <w:rsid w:val="007F1555"/>
    <w:rsid w:val="007F2187"/>
    <w:rsid w:val="007F32BE"/>
    <w:rsid w:val="007F342F"/>
    <w:rsid w:val="007F3D1B"/>
    <w:rsid w:val="007F4E74"/>
    <w:rsid w:val="007F5FC6"/>
    <w:rsid w:val="007F727E"/>
    <w:rsid w:val="007F72C3"/>
    <w:rsid w:val="00800F85"/>
    <w:rsid w:val="0080157D"/>
    <w:rsid w:val="00801FC6"/>
    <w:rsid w:val="008061F5"/>
    <w:rsid w:val="00806F39"/>
    <w:rsid w:val="0080704A"/>
    <w:rsid w:val="00810841"/>
    <w:rsid w:val="00810A02"/>
    <w:rsid w:val="00810CA1"/>
    <w:rsid w:val="00810FFD"/>
    <w:rsid w:val="00811EE8"/>
    <w:rsid w:val="0081227B"/>
    <w:rsid w:val="008127CE"/>
    <w:rsid w:val="008130AB"/>
    <w:rsid w:val="008135CD"/>
    <w:rsid w:val="00814350"/>
    <w:rsid w:val="00814399"/>
    <w:rsid w:val="0081524B"/>
    <w:rsid w:val="008173EA"/>
    <w:rsid w:val="00817528"/>
    <w:rsid w:val="0081772A"/>
    <w:rsid w:val="00820269"/>
    <w:rsid w:val="008209D4"/>
    <w:rsid w:val="008213B9"/>
    <w:rsid w:val="00821B9C"/>
    <w:rsid w:val="00821FA5"/>
    <w:rsid w:val="00822E10"/>
    <w:rsid w:val="00823832"/>
    <w:rsid w:val="0082431A"/>
    <w:rsid w:val="008244E9"/>
    <w:rsid w:val="008252BC"/>
    <w:rsid w:val="008254BE"/>
    <w:rsid w:val="00825AF6"/>
    <w:rsid w:val="00826DE3"/>
    <w:rsid w:val="0083159E"/>
    <w:rsid w:val="00831AD6"/>
    <w:rsid w:val="00831B76"/>
    <w:rsid w:val="008320D5"/>
    <w:rsid w:val="00833C12"/>
    <w:rsid w:val="008364D8"/>
    <w:rsid w:val="00836779"/>
    <w:rsid w:val="00836AE8"/>
    <w:rsid w:val="00837235"/>
    <w:rsid w:val="008372D9"/>
    <w:rsid w:val="0084072C"/>
    <w:rsid w:val="00841899"/>
    <w:rsid w:val="00842E01"/>
    <w:rsid w:val="0084377A"/>
    <w:rsid w:val="00843C47"/>
    <w:rsid w:val="008440D0"/>
    <w:rsid w:val="00844F82"/>
    <w:rsid w:val="00847615"/>
    <w:rsid w:val="00847C1C"/>
    <w:rsid w:val="00847FC6"/>
    <w:rsid w:val="008514EA"/>
    <w:rsid w:val="008518BE"/>
    <w:rsid w:val="00851B50"/>
    <w:rsid w:val="00851CF5"/>
    <w:rsid w:val="00851F82"/>
    <w:rsid w:val="00852922"/>
    <w:rsid w:val="0085357D"/>
    <w:rsid w:val="008535F7"/>
    <w:rsid w:val="00854C30"/>
    <w:rsid w:val="00855C5E"/>
    <w:rsid w:val="00855DBB"/>
    <w:rsid w:val="0085666A"/>
    <w:rsid w:val="00856A23"/>
    <w:rsid w:val="00860FA1"/>
    <w:rsid w:val="00861BA5"/>
    <w:rsid w:val="00862CC8"/>
    <w:rsid w:val="00863E84"/>
    <w:rsid w:val="008640A9"/>
    <w:rsid w:val="008640F3"/>
    <w:rsid w:val="00865240"/>
    <w:rsid w:val="0086625C"/>
    <w:rsid w:val="00866CDB"/>
    <w:rsid w:val="008673A1"/>
    <w:rsid w:val="00867442"/>
    <w:rsid w:val="0086767C"/>
    <w:rsid w:val="008710DD"/>
    <w:rsid w:val="0087173E"/>
    <w:rsid w:val="008721E0"/>
    <w:rsid w:val="0087580C"/>
    <w:rsid w:val="008759A8"/>
    <w:rsid w:val="00875E1D"/>
    <w:rsid w:val="00876021"/>
    <w:rsid w:val="008761A1"/>
    <w:rsid w:val="0088006C"/>
    <w:rsid w:val="00880A2A"/>
    <w:rsid w:val="00882D47"/>
    <w:rsid w:val="00883164"/>
    <w:rsid w:val="0088325F"/>
    <w:rsid w:val="00883401"/>
    <w:rsid w:val="008854AF"/>
    <w:rsid w:val="00885CD2"/>
    <w:rsid w:val="00885ED8"/>
    <w:rsid w:val="00886394"/>
    <w:rsid w:val="00887241"/>
    <w:rsid w:val="00887797"/>
    <w:rsid w:val="008913D5"/>
    <w:rsid w:val="00891A4D"/>
    <w:rsid w:val="00892669"/>
    <w:rsid w:val="00892BB6"/>
    <w:rsid w:val="008934EB"/>
    <w:rsid w:val="00894FF4"/>
    <w:rsid w:val="0089537C"/>
    <w:rsid w:val="00897F14"/>
    <w:rsid w:val="008A1ECC"/>
    <w:rsid w:val="008A21A9"/>
    <w:rsid w:val="008A431D"/>
    <w:rsid w:val="008A6B84"/>
    <w:rsid w:val="008A6BDD"/>
    <w:rsid w:val="008A6C69"/>
    <w:rsid w:val="008A6E07"/>
    <w:rsid w:val="008B2D5F"/>
    <w:rsid w:val="008B3192"/>
    <w:rsid w:val="008B35D9"/>
    <w:rsid w:val="008B38E4"/>
    <w:rsid w:val="008B3A3F"/>
    <w:rsid w:val="008B3A58"/>
    <w:rsid w:val="008B3F75"/>
    <w:rsid w:val="008B62CC"/>
    <w:rsid w:val="008B66C1"/>
    <w:rsid w:val="008C0531"/>
    <w:rsid w:val="008C0EBD"/>
    <w:rsid w:val="008C12AE"/>
    <w:rsid w:val="008C15E2"/>
    <w:rsid w:val="008C16CE"/>
    <w:rsid w:val="008C1A47"/>
    <w:rsid w:val="008C2FE4"/>
    <w:rsid w:val="008C31F3"/>
    <w:rsid w:val="008C484A"/>
    <w:rsid w:val="008C5DD1"/>
    <w:rsid w:val="008C5E2A"/>
    <w:rsid w:val="008C6C3F"/>
    <w:rsid w:val="008C7786"/>
    <w:rsid w:val="008D1DB7"/>
    <w:rsid w:val="008D2412"/>
    <w:rsid w:val="008D35E1"/>
    <w:rsid w:val="008D46B3"/>
    <w:rsid w:val="008D5F5A"/>
    <w:rsid w:val="008D5F62"/>
    <w:rsid w:val="008D67A8"/>
    <w:rsid w:val="008D7320"/>
    <w:rsid w:val="008E0797"/>
    <w:rsid w:val="008E0A0C"/>
    <w:rsid w:val="008E1202"/>
    <w:rsid w:val="008E2712"/>
    <w:rsid w:val="008E330C"/>
    <w:rsid w:val="008E360D"/>
    <w:rsid w:val="008F022B"/>
    <w:rsid w:val="008F0C4B"/>
    <w:rsid w:val="008F165B"/>
    <w:rsid w:val="008F17BC"/>
    <w:rsid w:val="008F2941"/>
    <w:rsid w:val="008F2DE6"/>
    <w:rsid w:val="008F31D6"/>
    <w:rsid w:val="008F36D6"/>
    <w:rsid w:val="008F3748"/>
    <w:rsid w:val="008F3AC2"/>
    <w:rsid w:val="008F434A"/>
    <w:rsid w:val="008F5A1F"/>
    <w:rsid w:val="008F60BE"/>
    <w:rsid w:val="008F70C3"/>
    <w:rsid w:val="008F75C2"/>
    <w:rsid w:val="008F7A31"/>
    <w:rsid w:val="00900468"/>
    <w:rsid w:val="0090048D"/>
    <w:rsid w:val="00901564"/>
    <w:rsid w:val="00902A4F"/>
    <w:rsid w:val="00902EB8"/>
    <w:rsid w:val="0090344F"/>
    <w:rsid w:val="009037B7"/>
    <w:rsid w:val="009039D3"/>
    <w:rsid w:val="00903B4C"/>
    <w:rsid w:val="009059FF"/>
    <w:rsid w:val="0090622E"/>
    <w:rsid w:val="0090688B"/>
    <w:rsid w:val="00906D44"/>
    <w:rsid w:val="009113B3"/>
    <w:rsid w:val="00911CDD"/>
    <w:rsid w:val="009123F0"/>
    <w:rsid w:val="00912CAF"/>
    <w:rsid w:val="00912D27"/>
    <w:rsid w:val="00912D40"/>
    <w:rsid w:val="00912D70"/>
    <w:rsid w:val="0091348A"/>
    <w:rsid w:val="00913C29"/>
    <w:rsid w:val="00914CEC"/>
    <w:rsid w:val="00915933"/>
    <w:rsid w:val="00917132"/>
    <w:rsid w:val="00917604"/>
    <w:rsid w:val="00920B4A"/>
    <w:rsid w:val="00920C33"/>
    <w:rsid w:val="009217CE"/>
    <w:rsid w:val="00921D54"/>
    <w:rsid w:val="0092241B"/>
    <w:rsid w:val="0092386E"/>
    <w:rsid w:val="00924B92"/>
    <w:rsid w:val="009252D2"/>
    <w:rsid w:val="009253DF"/>
    <w:rsid w:val="00926595"/>
    <w:rsid w:val="00927458"/>
    <w:rsid w:val="00930580"/>
    <w:rsid w:val="009318E8"/>
    <w:rsid w:val="00931BCF"/>
    <w:rsid w:val="00932532"/>
    <w:rsid w:val="009328C4"/>
    <w:rsid w:val="00932D7E"/>
    <w:rsid w:val="009349C1"/>
    <w:rsid w:val="0093500F"/>
    <w:rsid w:val="0093515F"/>
    <w:rsid w:val="009352D9"/>
    <w:rsid w:val="00935AEC"/>
    <w:rsid w:val="0093605E"/>
    <w:rsid w:val="00936544"/>
    <w:rsid w:val="009369E2"/>
    <w:rsid w:val="009374CA"/>
    <w:rsid w:val="0094111B"/>
    <w:rsid w:val="0094128E"/>
    <w:rsid w:val="00943613"/>
    <w:rsid w:val="00943F47"/>
    <w:rsid w:val="00944E9A"/>
    <w:rsid w:val="009463F5"/>
    <w:rsid w:val="00946E3D"/>
    <w:rsid w:val="00950698"/>
    <w:rsid w:val="00950CD1"/>
    <w:rsid w:val="009511E3"/>
    <w:rsid w:val="0095129F"/>
    <w:rsid w:val="00951F92"/>
    <w:rsid w:val="00952421"/>
    <w:rsid w:val="00952853"/>
    <w:rsid w:val="009531A1"/>
    <w:rsid w:val="0095534A"/>
    <w:rsid w:val="0095554C"/>
    <w:rsid w:val="00955D29"/>
    <w:rsid w:val="00955FEA"/>
    <w:rsid w:val="00960C38"/>
    <w:rsid w:val="00961172"/>
    <w:rsid w:val="00961F85"/>
    <w:rsid w:val="00962B54"/>
    <w:rsid w:val="00964384"/>
    <w:rsid w:val="00964694"/>
    <w:rsid w:val="00964B12"/>
    <w:rsid w:val="00964E7B"/>
    <w:rsid w:val="0096619A"/>
    <w:rsid w:val="0096657B"/>
    <w:rsid w:val="00966891"/>
    <w:rsid w:val="009674A5"/>
    <w:rsid w:val="00967D0B"/>
    <w:rsid w:val="00967D40"/>
    <w:rsid w:val="00971B83"/>
    <w:rsid w:val="00971E38"/>
    <w:rsid w:val="00971F4A"/>
    <w:rsid w:val="00972832"/>
    <w:rsid w:val="00975621"/>
    <w:rsid w:val="009831D6"/>
    <w:rsid w:val="00983ADB"/>
    <w:rsid w:val="00983CA4"/>
    <w:rsid w:val="009847FF"/>
    <w:rsid w:val="00984A32"/>
    <w:rsid w:val="00984AEE"/>
    <w:rsid w:val="00984BE2"/>
    <w:rsid w:val="00984CC5"/>
    <w:rsid w:val="00986049"/>
    <w:rsid w:val="00986F53"/>
    <w:rsid w:val="00990B94"/>
    <w:rsid w:val="009926FC"/>
    <w:rsid w:val="00993FCC"/>
    <w:rsid w:val="00994215"/>
    <w:rsid w:val="00994A3F"/>
    <w:rsid w:val="00994F5C"/>
    <w:rsid w:val="009951E1"/>
    <w:rsid w:val="009966C7"/>
    <w:rsid w:val="009969DD"/>
    <w:rsid w:val="009970C0"/>
    <w:rsid w:val="00997C56"/>
    <w:rsid w:val="009A00F5"/>
    <w:rsid w:val="009A026E"/>
    <w:rsid w:val="009A078E"/>
    <w:rsid w:val="009A0AB1"/>
    <w:rsid w:val="009A0F02"/>
    <w:rsid w:val="009A2AD6"/>
    <w:rsid w:val="009A2DC8"/>
    <w:rsid w:val="009A4756"/>
    <w:rsid w:val="009A48BC"/>
    <w:rsid w:val="009A5256"/>
    <w:rsid w:val="009A645E"/>
    <w:rsid w:val="009A6496"/>
    <w:rsid w:val="009A6E4D"/>
    <w:rsid w:val="009A773E"/>
    <w:rsid w:val="009A7CC9"/>
    <w:rsid w:val="009B0D08"/>
    <w:rsid w:val="009B1A98"/>
    <w:rsid w:val="009B1E4D"/>
    <w:rsid w:val="009B2FF0"/>
    <w:rsid w:val="009B327A"/>
    <w:rsid w:val="009B4428"/>
    <w:rsid w:val="009B4B2A"/>
    <w:rsid w:val="009B56CB"/>
    <w:rsid w:val="009B6C29"/>
    <w:rsid w:val="009B6FF9"/>
    <w:rsid w:val="009B752E"/>
    <w:rsid w:val="009B7C23"/>
    <w:rsid w:val="009C0376"/>
    <w:rsid w:val="009C08AC"/>
    <w:rsid w:val="009C0ABF"/>
    <w:rsid w:val="009C1102"/>
    <w:rsid w:val="009C1174"/>
    <w:rsid w:val="009C24A5"/>
    <w:rsid w:val="009C2F37"/>
    <w:rsid w:val="009C4BE9"/>
    <w:rsid w:val="009C5F2C"/>
    <w:rsid w:val="009C6298"/>
    <w:rsid w:val="009C6605"/>
    <w:rsid w:val="009C746C"/>
    <w:rsid w:val="009D02FB"/>
    <w:rsid w:val="009D0BEC"/>
    <w:rsid w:val="009D10D3"/>
    <w:rsid w:val="009D154A"/>
    <w:rsid w:val="009D18AE"/>
    <w:rsid w:val="009D1D48"/>
    <w:rsid w:val="009D3953"/>
    <w:rsid w:val="009D3A77"/>
    <w:rsid w:val="009E03F1"/>
    <w:rsid w:val="009E108A"/>
    <w:rsid w:val="009E1259"/>
    <w:rsid w:val="009E187A"/>
    <w:rsid w:val="009E2E8C"/>
    <w:rsid w:val="009E36B4"/>
    <w:rsid w:val="009E3B5A"/>
    <w:rsid w:val="009E43A5"/>
    <w:rsid w:val="009E4769"/>
    <w:rsid w:val="009E5A18"/>
    <w:rsid w:val="009E5B7E"/>
    <w:rsid w:val="009E5FC2"/>
    <w:rsid w:val="009E686C"/>
    <w:rsid w:val="009F0B17"/>
    <w:rsid w:val="009F0BA4"/>
    <w:rsid w:val="009F156B"/>
    <w:rsid w:val="009F1B6E"/>
    <w:rsid w:val="009F2679"/>
    <w:rsid w:val="009F332C"/>
    <w:rsid w:val="009F484E"/>
    <w:rsid w:val="009F56C2"/>
    <w:rsid w:val="009F6981"/>
    <w:rsid w:val="009F6AEA"/>
    <w:rsid w:val="00A04B9C"/>
    <w:rsid w:val="00A05D96"/>
    <w:rsid w:val="00A05F4B"/>
    <w:rsid w:val="00A06078"/>
    <w:rsid w:val="00A061CF"/>
    <w:rsid w:val="00A06914"/>
    <w:rsid w:val="00A104BF"/>
    <w:rsid w:val="00A11D6C"/>
    <w:rsid w:val="00A12D72"/>
    <w:rsid w:val="00A15233"/>
    <w:rsid w:val="00A1565E"/>
    <w:rsid w:val="00A15694"/>
    <w:rsid w:val="00A15BB3"/>
    <w:rsid w:val="00A15E04"/>
    <w:rsid w:val="00A17C8B"/>
    <w:rsid w:val="00A17E90"/>
    <w:rsid w:val="00A20AA4"/>
    <w:rsid w:val="00A20D22"/>
    <w:rsid w:val="00A20EEE"/>
    <w:rsid w:val="00A20F6E"/>
    <w:rsid w:val="00A21FED"/>
    <w:rsid w:val="00A22E91"/>
    <w:rsid w:val="00A2376A"/>
    <w:rsid w:val="00A24404"/>
    <w:rsid w:val="00A247E7"/>
    <w:rsid w:val="00A249CA"/>
    <w:rsid w:val="00A251F9"/>
    <w:rsid w:val="00A2584B"/>
    <w:rsid w:val="00A26087"/>
    <w:rsid w:val="00A261A8"/>
    <w:rsid w:val="00A264CD"/>
    <w:rsid w:val="00A2681F"/>
    <w:rsid w:val="00A27791"/>
    <w:rsid w:val="00A2791D"/>
    <w:rsid w:val="00A30AD4"/>
    <w:rsid w:val="00A316A6"/>
    <w:rsid w:val="00A316CD"/>
    <w:rsid w:val="00A32392"/>
    <w:rsid w:val="00A326C1"/>
    <w:rsid w:val="00A33014"/>
    <w:rsid w:val="00A33C3F"/>
    <w:rsid w:val="00A3534B"/>
    <w:rsid w:val="00A35EEB"/>
    <w:rsid w:val="00A36E06"/>
    <w:rsid w:val="00A37105"/>
    <w:rsid w:val="00A3743D"/>
    <w:rsid w:val="00A41AF7"/>
    <w:rsid w:val="00A43896"/>
    <w:rsid w:val="00A44805"/>
    <w:rsid w:val="00A478E5"/>
    <w:rsid w:val="00A51269"/>
    <w:rsid w:val="00A5185F"/>
    <w:rsid w:val="00A527D6"/>
    <w:rsid w:val="00A528A4"/>
    <w:rsid w:val="00A52E73"/>
    <w:rsid w:val="00A54383"/>
    <w:rsid w:val="00A566C3"/>
    <w:rsid w:val="00A568BF"/>
    <w:rsid w:val="00A5776C"/>
    <w:rsid w:val="00A57DC7"/>
    <w:rsid w:val="00A6184B"/>
    <w:rsid w:val="00A628BC"/>
    <w:rsid w:val="00A663EA"/>
    <w:rsid w:val="00A67BE6"/>
    <w:rsid w:val="00A700EE"/>
    <w:rsid w:val="00A705E3"/>
    <w:rsid w:val="00A70B65"/>
    <w:rsid w:val="00A720DF"/>
    <w:rsid w:val="00A72716"/>
    <w:rsid w:val="00A73132"/>
    <w:rsid w:val="00A736B6"/>
    <w:rsid w:val="00A73936"/>
    <w:rsid w:val="00A74556"/>
    <w:rsid w:val="00A80BC9"/>
    <w:rsid w:val="00A81982"/>
    <w:rsid w:val="00A822E3"/>
    <w:rsid w:val="00A82FD3"/>
    <w:rsid w:val="00A83C64"/>
    <w:rsid w:val="00A844A4"/>
    <w:rsid w:val="00A86861"/>
    <w:rsid w:val="00A87243"/>
    <w:rsid w:val="00A9013C"/>
    <w:rsid w:val="00A905F0"/>
    <w:rsid w:val="00A908BC"/>
    <w:rsid w:val="00A913E9"/>
    <w:rsid w:val="00A9291A"/>
    <w:rsid w:val="00A92F62"/>
    <w:rsid w:val="00A935A9"/>
    <w:rsid w:val="00A94869"/>
    <w:rsid w:val="00A96071"/>
    <w:rsid w:val="00A97723"/>
    <w:rsid w:val="00A9791E"/>
    <w:rsid w:val="00A97DD9"/>
    <w:rsid w:val="00AA3857"/>
    <w:rsid w:val="00AA38FA"/>
    <w:rsid w:val="00AA3AF9"/>
    <w:rsid w:val="00AA3F76"/>
    <w:rsid w:val="00AA4335"/>
    <w:rsid w:val="00AA4B23"/>
    <w:rsid w:val="00AB077C"/>
    <w:rsid w:val="00AB0DFE"/>
    <w:rsid w:val="00AB14E1"/>
    <w:rsid w:val="00AB1A22"/>
    <w:rsid w:val="00AB2AD5"/>
    <w:rsid w:val="00AB2B17"/>
    <w:rsid w:val="00AB31AC"/>
    <w:rsid w:val="00AB3AB0"/>
    <w:rsid w:val="00AB3B82"/>
    <w:rsid w:val="00AB5ED0"/>
    <w:rsid w:val="00AB69BF"/>
    <w:rsid w:val="00AC00A6"/>
    <w:rsid w:val="00AC3AF9"/>
    <w:rsid w:val="00AC3D07"/>
    <w:rsid w:val="00AC4467"/>
    <w:rsid w:val="00AC4E0D"/>
    <w:rsid w:val="00AC585B"/>
    <w:rsid w:val="00AC651C"/>
    <w:rsid w:val="00AC70AC"/>
    <w:rsid w:val="00AC74DE"/>
    <w:rsid w:val="00AC766E"/>
    <w:rsid w:val="00AD01C8"/>
    <w:rsid w:val="00AD29EF"/>
    <w:rsid w:val="00AD2CF5"/>
    <w:rsid w:val="00AD3BDF"/>
    <w:rsid w:val="00AD5805"/>
    <w:rsid w:val="00AD59D3"/>
    <w:rsid w:val="00AD6B70"/>
    <w:rsid w:val="00AD7197"/>
    <w:rsid w:val="00AD766B"/>
    <w:rsid w:val="00AE080A"/>
    <w:rsid w:val="00AE1D35"/>
    <w:rsid w:val="00AE3488"/>
    <w:rsid w:val="00AE561D"/>
    <w:rsid w:val="00AE6505"/>
    <w:rsid w:val="00AE6516"/>
    <w:rsid w:val="00AF0882"/>
    <w:rsid w:val="00AF3B15"/>
    <w:rsid w:val="00AF3D34"/>
    <w:rsid w:val="00B00C54"/>
    <w:rsid w:val="00B01B86"/>
    <w:rsid w:val="00B02558"/>
    <w:rsid w:val="00B030A1"/>
    <w:rsid w:val="00B05143"/>
    <w:rsid w:val="00B1216A"/>
    <w:rsid w:val="00B12390"/>
    <w:rsid w:val="00B14906"/>
    <w:rsid w:val="00B14B34"/>
    <w:rsid w:val="00B14CAC"/>
    <w:rsid w:val="00B15D55"/>
    <w:rsid w:val="00B172AD"/>
    <w:rsid w:val="00B20167"/>
    <w:rsid w:val="00B207EC"/>
    <w:rsid w:val="00B2132C"/>
    <w:rsid w:val="00B21AF4"/>
    <w:rsid w:val="00B23B67"/>
    <w:rsid w:val="00B240C4"/>
    <w:rsid w:val="00B24754"/>
    <w:rsid w:val="00B249FC"/>
    <w:rsid w:val="00B24A14"/>
    <w:rsid w:val="00B25C91"/>
    <w:rsid w:val="00B26A3C"/>
    <w:rsid w:val="00B26B61"/>
    <w:rsid w:val="00B270D5"/>
    <w:rsid w:val="00B33FC4"/>
    <w:rsid w:val="00B36049"/>
    <w:rsid w:val="00B36299"/>
    <w:rsid w:val="00B36B88"/>
    <w:rsid w:val="00B4069A"/>
    <w:rsid w:val="00B40804"/>
    <w:rsid w:val="00B41676"/>
    <w:rsid w:val="00B42B23"/>
    <w:rsid w:val="00B430F4"/>
    <w:rsid w:val="00B479A1"/>
    <w:rsid w:val="00B5003F"/>
    <w:rsid w:val="00B50BC2"/>
    <w:rsid w:val="00B50E24"/>
    <w:rsid w:val="00B52732"/>
    <w:rsid w:val="00B52909"/>
    <w:rsid w:val="00B55B53"/>
    <w:rsid w:val="00B57410"/>
    <w:rsid w:val="00B57788"/>
    <w:rsid w:val="00B6245B"/>
    <w:rsid w:val="00B64E26"/>
    <w:rsid w:val="00B6577C"/>
    <w:rsid w:val="00B65BBF"/>
    <w:rsid w:val="00B6797C"/>
    <w:rsid w:val="00B67D69"/>
    <w:rsid w:val="00B709B2"/>
    <w:rsid w:val="00B70CAE"/>
    <w:rsid w:val="00B72088"/>
    <w:rsid w:val="00B720C6"/>
    <w:rsid w:val="00B729A7"/>
    <w:rsid w:val="00B73B1B"/>
    <w:rsid w:val="00B74B50"/>
    <w:rsid w:val="00B74B94"/>
    <w:rsid w:val="00B77101"/>
    <w:rsid w:val="00B804A0"/>
    <w:rsid w:val="00B80AB9"/>
    <w:rsid w:val="00B810B4"/>
    <w:rsid w:val="00B82619"/>
    <w:rsid w:val="00B83C14"/>
    <w:rsid w:val="00B83D7A"/>
    <w:rsid w:val="00B83DAE"/>
    <w:rsid w:val="00B8528B"/>
    <w:rsid w:val="00B852B9"/>
    <w:rsid w:val="00B85477"/>
    <w:rsid w:val="00B8732C"/>
    <w:rsid w:val="00B875B9"/>
    <w:rsid w:val="00B87BDA"/>
    <w:rsid w:val="00B9001C"/>
    <w:rsid w:val="00B9044B"/>
    <w:rsid w:val="00B91B89"/>
    <w:rsid w:val="00B92C19"/>
    <w:rsid w:val="00B93BE0"/>
    <w:rsid w:val="00B94206"/>
    <w:rsid w:val="00B94FDB"/>
    <w:rsid w:val="00B95745"/>
    <w:rsid w:val="00B9765F"/>
    <w:rsid w:val="00B9771F"/>
    <w:rsid w:val="00BA16B6"/>
    <w:rsid w:val="00BA1E98"/>
    <w:rsid w:val="00BA25AC"/>
    <w:rsid w:val="00BA419E"/>
    <w:rsid w:val="00BA4F57"/>
    <w:rsid w:val="00BA68CC"/>
    <w:rsid w:val="00BA6B98"/>
    <w:rsid w:val="00BA6D27"/>
    <w:rsid w:val="00BB1042"/>
    <w:rsid w:val="00BB11D4"/>
    <w:rsid w:val="00BB129E"/>
    <w:rsid w:val="00BB1C84"/>
    <w:rsid w:val="00BB25AB"/>
    <w:rsid w:val="00BB300C"/>
    <w:rsid w:val="00BB5435"/>
    <w:rsid w:val="00BB57BF"/>
    <w:rsid w:val="00BB6503"/>
    <w:rsid w:val="00BB65C1"/>
    <w:rsid w:val="00BB668C"/>
    <w:rsid w:val="00BB755C"/>
    <w:rsid w:val="00BB76D5"/>
    <w:rsid w:val="00BC2B71"/>
    <w:rsid w:val="00BC2C0B"/>
    <w:rsid w:val="00BC336E"/>
    <w:rsid w:val="00BC3948"/>
    <w:rsid w:val="00BC3965"/>
    <w:rsid w:val="00BC6540"/>
    <w:rsid w:val="00BD0879"/>
    <w:rsid w:val="00BD22B3"/>
    <w:rsid w:val="00BD3A78"/>
    <w:rsid w:val="00BD3B9C"/>
    <w:rsid w:val="00BD5372"/>
    <w:rsid w:val="00BD6542"/>
    <w:rsid w:val="00BD6719"/>
    <w:rsid w:val="00BD6A1E"/>
    <w:rsid w:val="00BD7004"/>
    <w:rsid w:val="00BD708C"/>
    <w:rsid w:val="00BD745B"/>
    <w:rsid w:val="00BD7BBF"/>
    <w:rsid w:val="00BE00AA"/>
    <w:rsid w:val="00BE28AC"/>
    <w:rsid w:val="00BE32BB"/>
    <w:rsid w:val="00BE4C1F"/>
    <w:rsid w:val="00BE4DF7"/>
    <w:rsid w:val="00BE4F5B"/>
    <w:rsid w:val="00BE552F"/>
    <w:rsid w:val="00BE5906"/>
    <w:rsid w:val="00BE66EA"/>
    <w:rsid w:val="00BE70D2"/>
    <w:rsid w:val="00BE7124"/>
    <w:rsid w:val="00BF011F"/>
    <w:rsid w:val="00BF0C76"/>
    <w:rsid w:val="00BF10FE"/>
    <w:rsid w:val="00BF1D25"/>
    <w:rsid w:val="00BF1D9F"/>
    <w:rsid w:val="00BF2FE7"/>
    <w:rsid w:val="00BF44D1"/>
    <w:rsid w:val="00BF4A2F"/>
    <w:rsid w:val="00BF590B"/>
    <w:rsid w:val="00BF70BC"/>
    <w:rsid w:val="00BF7184"/>
    <w:rsid w:val="00C00B1C"/>
    <w:rsid w:val="00C01360"/>
    <w:rsid w:val="00C01B2E"/>
    <w:rsid w:val="00C01EE4"/>
    <w:rsid w:val="00C0366B"/>
    <w:rsid w:val="00C03F01"/>
    <w:rsid w:val="00C0476D"/>
    <w:rsid w:val="00C04E63"/>
    <w:rsid w:val="00C052AD"/>
    <w:rsid w:val="00C05753"/>
    <w:rsid w:val="00C05D4F"/>
    <w:rsid w:val="00C07CCE"/>
    <w:rsid w:val="00C10093"/>
    <w:rsid w:val="00C100E3"/>
    <w:rsid w:val="00C106E7"/>
    <w:rsid w:val="00C11540"/>
    <w:rsid w:val="00C11991"/>
    <w:rsid w:val="00C1205E"/>
    <w:rsid w:val="00C12182"/>
    <w:rsid w:val="00C12839"/>
    <w:rsid w:val="00C1313A"/>
    <w:rsid w:val="00C13D05"/>
    <w:rsid w:val="00C141D6"/>
    <w:rsid w:val="00C1468F"/>
    <w:rsid w:val="00C15A1C"/>
    <w:rsid w:val="00C16C7B"/>
    <w:rsid w:val="00C16F77"/>
    <w:rsid w:val="00C2134F"/>
    <w:rsid w:val="00C21372"/>
    <w:rsid w:val="00C23C0F"/>
    <w:rsid w:val="00C23C1D"/>
    <w:rsid w:val="00C246B1"/>
    <w:rsid w:val="00C24E96"/>
    <w:rsid w:val="00C2503C"/>
    <w:rsid w:val="00C2670C"/>
    <w:rsid w:val="00C275D1"/>
    <w:rsid w:val="00C30A70"/>
    <w:rsid w:val="00C32837"/>
    <w:rsid w:val="00C32DC3"/>
    <w:rsid w:val="00C33B74"/>
    <w:rsid w:val="00C34242"/>
    <w:rsid w:val="00C3487A"/>
    <w:rsid w:val="00C34A63"/>
    <w:rsid w:val="00C35400"/>
    <w:rsid w:val="00C358DA"/>
    <w:rsid w:val="00C35DA6"/>
    <w:rsid w:val="00C36D2B"/>
    <w:rsid w:val="00C36D60"/>
    <w:rsid w:val="00C36EAF"/>
    <w:rsid w:val="00C403D1"/>
    <w:rsid w:val="00C41AF0"/>
    <w:rsid w:val="00C438F8"/>
    <w:rsid w:val="00C45B86"/>
    <w:rsid w:val="00C50193"/>
    <w:rsid w:val="00C505A0"/>
    <w:rsid w:val="00C50D84"/>
    <w:rsid w:val="00C50F1E"/>
    <w:rsid w:val="00C51769"/>
    <w:rsid w:val="00C517F0"/>
    <w:rsid w:val="00C5260F"/>
    <w:rsid w:val="00C529DF"/>
    <w:rsid w:val="00C52CD4"/>
    <w:rsid w:val="00C52E25"/>
    <w:rsid w:val="00C54CB7"/>
    <w:rsid w:val="00C6010A"/>
    <w:rsid w:val="00C60FE7"/>
    <w:rsid w:val="00C61C28"/>
    <w:rsid w:val="00C62EA5"/>
    <w:rsid w:val="00C63382"/>
    <w:rsid w:val="00C63650"/>
    <w:rsid w:val="00C64353"/>
    <w:rsid w:val="00C64ED2"/>
    <w:rsid w:val="00C659C3"/>
    <w:rsid w:val="00C65CDE"/>
    <w:rsid w:val="00C67BC5"/>
    <w:rsid w:val="00C7029E"/>
    <w:rsid w:val="00C703FF"/>
    <w:rsid w:val="00C70E1C"/>
    <w:rsid w:val="00C725C8"/>
    <w:rsid w:val="00C725FC"/>
    <w:rsid w:val="00C73DAD"/>
    <w:rsid w:val="00C746BC"/>
    <w:rsid w:val="00C75582"/>
    <w:rsid w:val="00C76486"/>
    <w:rsid w:val="00C764CD"/>
    <w:rsid w:val="00C76DC9"/>
    <w:rsid w:val="00C81095"/>
    <w:rsid w:val="00C81ACD"/>
    <w:rsid w:val="00C8301F"/>
    <w:rsid w:val="00C84030"/>
    <w:rsid w:val="00C86BDF"/>
    <w:rsid w:val="00C86F77"/>
    <w:rsid w:val="00C92442"/>
    <w:rsid w:val="00C929A5"/>
    <w:rsid w:val="00C93AB1"/>
    <w:rsid w:val="00C954D4"/>
    <w:rsid w:val="00C96DBB"/>
    <w:rsid w:val="00CA00E1"/>
    <w:rsid w:val="00CA0621"/>
    <w:rsid w:val="00CA09EB"/>
    <w:rsid w:val="00CA145D"/>
    <w:rsid w:val="00CA172F"/>
    <w:rsid w:val="00CA2338"/>
    <w:rsid w:val="00CA2747"/>
    <w:rsid w:val="00CA349D"/>
    <w:rsid w:val="00CA4786"/>
    <w:rsid w:val="00CA4B6B"/>
    <w:rsid w:val="00CA4E81"/>
    <w:rsid w:val="00CA678F"/>
    <w:rsid w:val="00CA6B8B"/>
    <w:rsid w:val="00CA78C6"/>
    <w:rsid w:val="00CB14BB"/>
    <w:rsid w:val="00CB1FA9"/>
    <w:rsid w:val="00CB2343"/>
    <w:rsid w:val="00CB2F47"/>
    <w:rsid w:val="00CB3B7F"/>
    <w:rsid w:val="00CB6B73"/>
    <w:rsid w:val="00CB6E2C"/>
    <w:rsid w:val="00CB7236"/>
    <w:rsid w:val="00CB728B"/>
    <w:rsid w:val="00CB72B2"/>
    <w:rsid w:val="00CB748D"/>
    <w:rsid w:val="00CB789D"/>
    <w:rsid w:val="00CC1AFA"/>
    <w:rsid w:val="00CC2603"/>
    <w:rsid w:val="00CC3147"/>
    <w:rsid w:val="00CC334E"/>
    <w:rsid w:val="00CC3752"/>
    <w:rsid w:val="00CC45A4"/>
    <w:rsid w:val="00CC4C96"/>
    <w:rsid w:val="00CC6041"/>
    <w:rsid w:val="00CC63BE"/>
    <w:rsid w:val="00CC6F08"/>
    <w:rsid w:val="00CC7E0B"/>
    <w:rsid w:val="00CD0D65"/>
    <w:rsid w:val="00CD14F3"/>
    <w:rsid w:val="00CD152D"/>
    <w:rsid w:val="00CD317A"/>
    <w:rsid w:val="00CD3BB9"/>
    <w:rsid w:val="00CD3BD1"/>
    <w:rsid w:val="00CD6E85"/>
    <w:rsid w:val="00CD729B"/>
    <w:rsid w:val="00CD7CD6"/>
    <w:rsid w:val="00CE14F0"/>
    <w:rsid w:val="00CE1D67"/>
    <w:rsid w:val="00CE37C5"/>
    <w:rsid w:val="00CE465A"/>
    <w:rsid w:val="00CE4855"/>
    <w:rsid w:val="00CE4B8C"/>
    <w:rsid w:val="00CE5E8B"/>
    <w:rsid w:val="00CE652E"/>
    <w:rsid w:val="00CE7152"/>
    <w:rsid w:val="00CE77D0"/>
    <w:rsid w:val="00CE7D34"/>
    <w:rsid w:val="00CE7F5F"/>
    <w:rsid w:val="00CF08EB"/>
    <w:rsid w:val="00CF2E39"/>
    <w:rsid w:val="00CF3696"/>
    <w:rsid w:val="00CF46EB"/>
    <w:rsid w:val="00CF4C50"/>
    <w:rsid w:val="00CF51D7"/>
    <w:rsid w:val="00CF5CF0"/>
    <w:rsid w:val="00CF6344"/>
    <w:rsid w:val="00D022EF"/>
    <w:rsid w:val="00D03981"/>
    <w:rsid w:val="00D066EB"/>
    <w:rsid w:val="00D07F6D"/>
    <w:rsid w:val="00D12723"/>
    <w:rsid w:val="00D12A53"/>
    <w:rsid w:val="00D12B9C"/>
    <w:rsid w:val="00D13152"/>
    <w:rsid w:val="00D13184"/>
    <w:rsid w:val="00D14554"/>
    <w:rsid w:val="00D14FFA"/>
    <w:rsid w:val="00D16011"/>
    <w:rsid w:val="00D16045"/>
    <w:rsid w:val="00D1606D"/>
    <w:rsid w:val="00D163E5"/>
    <w:rsid w:val="00D16F9D"/>
    <w:rsid w:val="00D175BC"/>
    <w:rsid w:val="00D17A76"/>
    <w:rsid w:val="00D213E1"/>
    <w:rsid w:val="00D22A93"/>
    <w:rsid w:val="00D231A4"/>
    <w:rsid w:val="00D233A1"/>
    <w:rsid w:val="00D24D77"/>
    <w:rsid w:val="00D256E9"/>
    <w:rsid w:val="00D26DC1"/>
    <w:rsid w:val="00D27AD3"/>
    <w:rsid w:val="00D30E67"/>
    <w:rsid w:val="00D30F20"/>
    <w:rsid w:val="00D30FDB"/>
    <w:rsid w:val="00D31090"/>
    <w:rsid w:val="00D33060"/>
    <w:rsid w:val="00D34542"/>
    <w:rsid w:val="00D35194"/>
    <w:rsid w:val="00D353E4"/>
    <w:rsid w:val="00D35836"/>
    <w:rsid w:val="00D370C9"/>
    <w:rsid w:val="00D406E3"/>
    <w:rsid w:val="00D40C5B"/>
    <w:rsid w:val="00D413AD"/>
    <w:rsid w:val="00D4269E"/>
    <w:rsid w:val="00D42AC7"/>
    <w:rsid w:val="00D42AE6"/>
    <w:rsid w:val="00D42B8A"/>
    <w:rsid w:val="00D43DF0"/>
    <w:rsid w:val="00D43F52"/>
    <w:rsid w:val="00D4412B"/>
    <w:rsid w:val="00D4442A"/>
    <w:rsid w:val="00D45579"/>
    <w:rsid w:val="00D46450"/>
    <w:rsid w:val="00D47A00"/>
    <w:rsid w:val="00D50BA8"/>
    <w:rsid w:val="00D51095"/>
    <w:rsid w:val="00D5115F"/>
    <w:rsid w:val="00D52C86"/>
    <w:rsid w:val="00D53B4B"/>
    <w:rsid w:val="00D5467B"/>
    <w:rsid w:val="00D54C6F"/>
    <w:rsid w:val="00D56F88"/>
    <w:rsid w:val="00D57776"/>
    <w:rsid w:val="00D60CA8"/>
    <w:rsid w:val="00D60EB1"/>
    <w:rsid w:val="00D623B8"/>
    <w:rsid w:val="00D6244C"/>
    <w:rsid w:val="00D624F2"/>
    <w:rsid w:val="00D64010"/>
    <w:rsid w:val="00D642B6"/>
    <w:rsid w:val="00D6447D"/>
    <w:rsid w:val="00D64D79"/>
    <w:rsid w:val="00D6530B"/>
    <w:rsid w:val="00D6551D"/>
    <w:rsid w:val="00D65DFF"/>
    <w:rsid w:val="00D664CD"/>
    <w:rsid w:val="00D67418"/>
    <w:rsid w:val="00D67EAB"/>
    <w:rsid w:val="00D707AE"/>
    <w:rsid w:val="00D71AB9"/>
    <w:rsid w:val="00D7233C"/>
    <w:rsid w:val="00D73FC6"/>
    <w:rsid w:val="00D74188"/>
    <w:rsid w:val="00D7421B"/>
    <w:rsid w:val="00D7443B"/>
    <w:rsid w:val="00D758E5"/>
    <w:rsid w:val="00D75BFE"/>
    <w:rsid w:val="00D767D4"/>
    <w:rsid w:val="00D773FE"/>
    <w:rsid w:val="00D81826"/>
    <w:rsid w:val="00D81920"/>
    <w:rsid w:val="00D819D8"/>
    <w:rsid w:val="00D81D4E"/>
    <w:rsid w:val="00D826BD"/>
    <w:rsid w:val="00D845E3"/>
    <w:rsid w:val="00D8493A"/>
    <w:rsid w:val="00D86497"/>
    <w:rsid w:val="00D875C2"/>
    <w:rsid w:val="00D878CA"/>
    <w:rsid w:val="00D8798C"/>
    <w:rsid w:val="00D907B0"/>
    <w:rsid w:val="00D90D44"/>
    <w:rsid w:val="00D922E6"/>
    <w:rsid w:val="00D92FB3"/>
    <w:rsid w:val="00D945B5"/>
    <w:rsid w:val="00D947D4"/>
    <w:rsid w:val="00D95ACE"/>
    <w:rsid w:val="00D9667F"/>
    <w:rsid w:val="00D96F43"/>
    <w:rsid w:val="00DA0812"/>
    <w:rsid w:val="00DA10DD"/>
    <w:rsid w:val="00DA1539"/>
    <w:rsid w:val="00DA1B65"/>
    <w:rsid w:val="00DA1BBF"/>
    <w:rsid w:val="00DA24C0"/>
    <w:rsid w:val="00DA3167"/>
    <w:rsid w:val="00DA34CE"/>
    <w:rsid w:val="00DA3549"/>
    <w:rsid w:val="00DA4BDA"/>
    <w:rsid w:val="00DA5334"/>
    <w:rsid w:val="00DA744A"/>
    <w:rsid w:val="00DA7B8E"/>
    <w:rsid w:val="00DB07DF"/>
    <w:rsid w:val="00DB0E38"/>
    <w:rsid w:val="00DB688F"/>
    <w:rsid w:val="00DB699C"/>
    <w:rsid w:val="00DC1D55"/>
    <w:rsid w:val="00DC3E99"/>
    <w:rsid w:val="00DC40C7"/>
    <w:rsid w:val="00DC4234"/>
    <w:rsid w:val="00DC4A4F"/>
    <w:rsid w:val="00DC6448"/>
    <w:rsid w:val="00DC6DBE"/>
    <w:rsid w:val="00DC6DD4"/>
    <w:rsid w:val="00DC7D77"/>
    <w:rsid w:val="00DD04D8"/>
    <w:rsid w:val="00DD05DA"/>
    <w:rsid w:val="00DD1E20"/>
    <w:rsid w:val="00DD2703"/>
    <w:rsid w:val="00DD2CC6"/>
    <w:rsid w:val="00DD40EA"/>
    <w:rsid w:val="00DD46B5"/>
    <w:rsid w:val="00DD4AE9"/>
    <w:rsid w:val="00DD535E"/>
    <w:rsid w:val="00DD54EA"/>
    <w:rsid w:val="00DD58CA"/>
    <w:rsid w:val="00DD76C4"/>
    <w:rsid w:val="00DE085C"/>
    <w:rsid w:val="00DE08FD"/>
    <w:rsid w:val="00DE301C"/>
    <w:rsid w:val="00DE3257"/>
    <w:rsid w:val="00DE37A1"/>
    <w:rsid w:val="00DE425A"/>
    <w:rsid w:val="00DE43BB"/>
    <w:rsid w:val="00DE4931"/>
    <w:rsid w:val="00DE4D26"/>
    <w:rsid w:val="00DE6243"/>
    <w:rsid w:val="00DF1629"/>
    <w:rsid w:val="00DF328D"/>
    <w:rsid w:val="00DF6312"/>
    <w:rsid w:val="00DF6D00"/>
    <w:rsid w:val="00E008B5"/>
    <w:rsid w:val="00E03025"/>
    <w:rsid w:val="00E04DEA"/>
    <w:rsid w:val="00E0653F"/>
    <w:rsid w:val="00E06F63"/>
    <w:rsid w:val="00E10846"/>
    <w:rsid w:val="00E10C54"/>
    <w:rsid w:val="00E113BA"/>
    <w:rsid w:val="00E11D58"/>
    <w:rsid w:val="00E134D0"/>
    <w:rsid w:val="00E13872"/>
    <w:rsid w:val="00E158F1"/>
    <w:rsid w:val="00E161E0"/>
    <w:rsid w:val="00E17069"/>
    <w:rsid w:val="00E176CF"/>
    <w:rsid w:val="00E218B2"/>
    <w:rsid w:val="00E223E7"/>
    <w:rsid w:val="00E2331E"/>
    <w:rsid w:val="00E234CC"/>
    <w:rsid w:val="00E237FF"/>
    <w:rsid w:val="00E254D2"/>
    <w:rsid w:val="00E256F2"/>
    <w:rsid w:val="00E258C4"/>
    <w:rsid w:val="00E27090"/>
    <w:rsid w:val="00E31795"/>
    <w:rsid w:val="00E31DCD"/>
    <w:rsid w:val="00E3261C"/>
    <w:rsid w:val="00E35217"/>
    <w:rsid w:val="00E3583E"/>
    <w:rsid w:val="00E407C3"/>
    <w:rsid w:val="00E409BD"/>
    <w:rsid w:val="00E4108C"/>
    <w:rsid w:val="00E416D1"/>
    <w:rsid w:val="00E41855"/>
    <w:rsid w:val="00E41EEA"/>
    <w:rsid w:val="00E42AE1"/>
    <w:rsid w:val="00E43BE5"/>
    <w:rsid w:val="00E45960"/>
    <w:rsid w:val="00E46621"/>
    <w:rsid w:val="00E47053"/>
    <w:rsid w:val="00E503AC"/>
    <w:rsid w:val="00E50FC3"/>
    <w:rsid w:val="00E514C4"/>
    <w:rsid w:val="00E51A88"/>
    <w:rsid w:val="00E51F81"/>
    <w:rsid w:val="00E52193"/>
    <w:rsid w:val="00E52671"/>
    <w:rsid w:val="00E52B37"/>
    <w:rsid w:val="00E52E88"/>
    <w:rsid w:val="00E538C0"/>
    <w:rsid w:val="00E548F5"/>
    <w:rsid w:val="00E54909"/>
    <w:rsid w:val="00E54FD0"/>
    <w:rsid w:val="00E56348"/>
    <w:rsid w:val="00E56B37"/>
    <w:rsid w:val="00E57169"/>
    <w:rsid w:val="00E57DAF"/>
    <w:rsid w:val="00E57F25"/>
    <w:rsid w:val="00E60B2C"/>
    <w:rsid w:val="00E619CD"/>
    <w:rsid w:val="00E61E6F"/>
    <w:rsid w:val="00E61F1A"/>
    <w:rsid w:val="00E64BB9"/>
    <w:rsid w:val="00E6559F"/>
    <w:rsid w:val="00E65720"/>
    <w:rsid w:val="00E72142"/>
    <w:rsid w:val="00E721D8"/>
    <w:rsid w:val="00E7237C"/>
    <w:rsid w:val="00E739A4"/>
    <w:rsid w:val="00E74919"/>
    <w:rsid w:val="00E76AED"/>
    <w:rsid w:val="00E7773A"/>
    <w:rsid w:val="00E77D06"/>
    <w:rsid w:val="00E803C1"/>
    <w:rsid w:val="00E80DB7"/>
    <w:rsid w:val="00E824AA"/>
    <w:rsid w:val="00E82F3C"/>
    <w:rsid w:val="00E83DF2"/>
    <w:rsid w:val="00E8522F"/>
    <w:rsid w:val="00E856E5"/>
    <w:rsid w:val="00E864F2"/>
    <w:rsid w:val="00E87467"/>
    <w:rsid w:val="00E906E9"/>
    <w:rsid w:val="00E909A8"/>
    <w:rsid w:val="00E92830"/>
    <w:rsid w:val="00E9332E"/>
    <w:rsid w:val="00E933A2"/>
    <w:rsid w:val="00E9385B"/>
    <w:rsid w:val="00E93869"/>
    <w:rsid w:val="00E939AF"/>
    <w:rsid w:val="00E95786"/>
    <w:rsid w:val="00E9699C"/>
    <w:rsid w:val="00E97B27"/>
    <w:rsid w:val="00E97C3D"/>
    <w:rsid w:val="00EA102E"/>
    <w:rsid w:val="00EA156D"/>
    <w:rsid w:val="00EA15FB"/>
    <w:rsid w:val="00EA1E2D"/>
    <w:rsid w:val="00EA2460"/>
    <w:rsid w:val="00EA2C91"/>
    <w:rsid w:val="00EA5211"/>
    <w:rsid w:val="00EA5B8F"/>
    <w:rsid w:val="00EA5E46"/>
    <w:rsid w:val="00EA750C"/>
    <w:rsid w:val="00EA7B63"/>
    <w:rsid w:val="00EA7D28"/>
    <w:rsid w:val="00EB0EAF"/>
    <w:rsid w:val="00EB6091"/>
    <w:rsid w:val="00EB7264"/>
    <w:rsid w:val="00EC184F"/>
    <w:rsid w:val="00EC4B9A"/>
    <w:rsid w:val="00EC6E4D"/>
    <w:rsid w:val="00ED188E"/>
    <w:rsid w:val="00ED1C6D"/>
    <w:rsid w:val="00ED2613"/>
    <w:rsid w:val="00ED42E5"/>
    <w:rsid w:val="00ED5ADD"/>
    <w:rsid w:val="00ED719D"/>
    <w:rsid w:val="00ED7FD4"/>
    <w:rsid w:val="00EE016D"/>
    <w:rsid w:val="00EE0CD0"/>
    <w:rsid w:val="00EE168B"/>
    <w:rsid w:val="00EE16ED"/>
    <w:rsid w:val="00EE1EB0"/>
    <w:rsid w:val="00EE3139"/>
    <w:rsid w:val="00EE31FD"/>
    <w:rsid w:val="00EE45F8"/>
    <w:rsid w:val="00EE4635"/>
    <w:rsid w:val="00EE4D0E"/>
    <w:rsid w:val="00EE554C"/>
    <w:rsid w:val="00EE62DD"/>
    <w:rsid w:val="00EE76AA"/>
    <w:rsid w:val="00EE77EB"/>
    <w:rsid w:val="00EE7D2C"/>
    <w:rsid w:val="00EF0040"/>
    <w:rsid w:val="00EF1474"/>
    <w:rsid w:val="00EF19BD"/>
    <w:rsid w:val="00EF42CB"/>
    <w:rsid w:val="00EF5117"/>
    <w:rsid w:val="00EF5228"/>
    <w:rsid w:val="00EF5EBB"/>
    <w:rsid w:val="00F0000B"/>
    <w:rsid w:val="00F0074A"/>
    <w:rsid w:val="00F0074B"/>
    <w:rsid w:val="00F01706"/>
    <w:rsid w:val="00F022B2"/>
    <w:rsid w:val="00F0234C"/>
    <w:rsid w:val="00F02594"/>
    <w:rsid w:val="00F0375C"/>
    <w:rsid w:val="00F03A2B"/>
    <w:rsid w:val="00F04CA0"/>
    <w:rsid w:val="00F061A9"/>
    <w:rsid w:val="00F078AF"/>
    <w:rsid w:val="00F10120"/>
    <w:rsid w:val="00F11296"/>
    <w:rsid w:val="00F124E8"/>
    <w:rsid w:val="00F13E49"/>
    <w:rsid w:val="00F14108"/>
    <w:rsid w:val="00F147BD"/>
    <w:rsid w:val="00F16C0B"/>
    <w:rsid w:val="00F1710C"/>
    <w:rsid w:val="00F205CB"/>
    <w:rsid w:val="00F225CF"/>
    <w:rsid w:val="00F225E7"/>
    <w:rsid w:val="00F22898"/>
    <w:rsid w:val="00F238D9"/>
    <w:rsid w:val="00F24EB4"/>
    <w:rsid w:val="00F25967"/>
    <w:rsid w:val="00F26391"/>
    <w:rsid w:val="00F33142"/>
    <w:rsid w:val="00F33FCA"/>
    <w:rsid w:val="00F34BA8"/>
    <w:rsid w:val="00F3506E"/>
    <w:rsid w:val="00F35659"/>
    <w:rsid w:val="00F3601D"/>
    <w:rsid w:val="00F3775B"/>
    <w:rsid w:val="00F37DBC"/>
    <w:rsid w:val="00F406FA"/>
    <w:rsid w:val="00F40750"/>
    <w:rsid w:val="00F42939"/>
    <w:rsid w:val="00F44E4C"/>
    <w:rsid w:val="00F4726C"/>
    <w:rsid w:val="00F47443"/>
    <w:rsid w:val="00F510BC"/>
    <w:rsid w:val="00F51721"/>
    <w:rsid w:val="00F519EF"/>
    <w:rsid w:val="00F5216A"/>
    <w:rsid w:val="00F5276B"/>
    <w:rsid w:val="00F531EE"/>
    <w:rsid w:val="00F53377"/>
    <w:rsid w:val="00F5500D"/>
    <w:rsid w:val="00F5534E"/>
    <w:rsid w:val="00F5593F"/>
    <w:rsid w:val="00F559D9"/>
    <w:rsid w:val="00F55FDB"/>
    <w:rsid w:val="00F569B6"/>
    <w:rsid w:val="00F60894"/>
    <w:rsid w:val="00F61512"/>
    <w:rsid w:val="00F622C8"/>
    <w:rsid w:val="00F62610"/>
    <w:rsid w:val="00F63340"/>
    <w:rsid w:val="00F63460"/>
    <w:rsid w:val="00F653ED"/>
    <w:rsid w:val="00F662B3"/>
    <w:rsid w:val="00F7202D"/>
    <w:rsid w:val="00F721AD"/>
    <w:rsid w:val="00F722E4"/>
    <w:rsid w:val="00F74FA4"/>
    <w:rsid w:val="00F76DD1"/>
    <w:rsid w:val="00F828E7"/>
    <w:rsid w:val="00F829FE"/>
    <w:rsid w:val="00F83939"/>
    <w:rsid w:val="00F83A85"/>
    <w:rsid w:val="00F83D34"/>
    <w:rsid w:val="00F83E23"/>
    <w:rsid w:val="00F83FB5"/>
    <w:rsid w:val="00F84E90"/>
    <w:rsid w:val="00F857C0"/>
    <w:rsid w:val="00F85E66"/>
    <w:rsid w:val="00F877B7"/>
    <w:rsid w:val="00F87E0F"/>
    <w:rsid w:val="00F92D28"/>
    <w:rsid w:val="00F9364E"/>
    <w:rsid w:val="00F947B5"/>
    <w:rsid w:val="00F948D9"/>
    <w:rsid w:val="00F94D74"/>
    <w:rsid w:val="00F951E7"/>
    <w:rsid w:val="00F955EE"/>
    <w:rsid w:val="00F95FF2"/>
    <w:rsid w:val="00F96B08"/>
    <w:rsid w:val="00F97B23"/>
    <w:rsid w:val="00FA0B0E"/>
    <w:rsid w:val="00FA2BA7"/>
    <w:rsid w:val="00FA2EAC"/>
    <w:rsid w:val="00FA3056"/>
    <w:rsid w:val="00FA326D"/>
    <w:rsid w:val="00FA3501"/>
    <w:rsid w:val="00FA5E07"/>
    <w:rsid w:val="00FB16EA"/>
    <w:rsid w:val="00FB2F3C"/>
    <w:rsid w:val="00FB2FB3"/>
    <w:rsid w:val="00FB4CF0"/>
    <w:rsid w:val="00FB4D05"/>
    <w:rsid w:val="00FB5CB3"/>
    <w:rsid w:val="00FB6A67"/>
    <w:rsid w:val="00FB6A68"/>
    <w:rsid w:val="00FB7E54"/>
    <w:rsid w:val="00FB7FEF"/>
    <w:rsid w:val="00FC1037"/>
    <w:rsid w:val="00FC142E"/>
    <w:rsid w:val="00FC2AB5"/>
    <w:rsid w:val="00FC346D"/>
    <w:rsid w:val="00FC3C25"/>
    <w:rsid w:val="00FC487D"/>
    <w:rsid w:val="00FC5157"/>
    <w:rsid w:val="00FC64E5"/>
    <w:rsid w:val="00FC69AE"/>
    <w:rsid w:val="00FC69B4"/>
    <w:rsid w:val="00FC7614"/>
    <w:rsid w:val="00FC7D0E"/>
    <w:rsid w:val="00FD01AF"/>
    <w:rsid w:val="00FD0840"/>
    <w:rsid w:val="00FD0A31"/>
    <w:rsid w:val="00FD0B53"/>
    <w:rsid w:val="00FD2A3C"/>
    <w:rsid w:val="00FD4F2C"/>
    <w:rsid w:val="00FD5713"/>
    <w:rsid w:val="00FD6916"/>
    <w:rsid w:val="00FD7C03"/>
    <w:rsid w:val="00FE0425"/>
    <w:rsid w:val="00FE2E00"/>
    <w:rsid w:val="00FE2F0F"/>
    <w:rsid w:val="00FE3131"/>
    <w:rsid w:val="00FE4D0B"/>
    <w:rsid w:val="00FE71B7"/>
    <w:rsid w:val="00FE7CAD"/>
    <w:rsid w:val="00FF057C"/>
    <w:rsid w:val="00FF1989"/>
    <w:rsid w:val="00FF2138"/>
    <w:rsid w:val="00FF276C"/>
    <w:rsid w:val="00FF352E"/>
    <w:rsid w:val="00FF3A01"/>
    <w:rsid w:val="00FF4308"/>
    <w:rsid w:val="00FF4688"/>
    <w:rsid w:val="00FF6CC0"/>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E6FB0"/>
  <w15:docId w15:val="{48DACA9B-7DA9-427D-967D-D8A800D7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74"/>
    <w:pPr>
      <w:widowControl w:val="0"/>
      <w:adjustRightInd w:val="0"/>
      <w:spacing w:after="0" w:line="360" w:lineRule="atLeast"/>
      <w:jc w:val="both"/>
      <w:textAlignment w:val="baseline"/>
    </w:pPr>
    <w:rPr>
      <w:rFonts w:ascii="Verdana" w:eastAsia="Times New Roman" w:hAnsi="Verdana" w:cs="Times New Roman"/>
      <w:sz w:val="20"/>
      <w:szCs w:val="20"/>
      <w:lang w:val="es-CR" w:eastAsia="es-CR"/>
    </w:rPr>
  </w:style>
  <w:style w:type="paragraph" w:styleId="Ttulo1">
    <w:name w:val="heading 1"/>
    <w:basedOn w:val="Normal"/>
    <w:next w:val="Normal"/>
    <w:link w:val="Ttulo1Car"/>
    <w:uiPriority w:val="9"/>
    <w:qFormat/>
    <w:rsid w:val="0010568E"/>
    <w:pPr>
      <w:keepNext/>
      <w:keepLines/>
      <w:tabs>
        <w:tab w:val="left" w:pos="851"/>
      </w:tabs>
      <w:spacing w:before="240" w:after="240" w:line="240" w:lineRule="auto"/>
      <w:jc w:val="center"/>
      <w:outlineLvl w:val="0"/>
    </w:pPr>
    <w:rPr>
      <w:rFonts w:cs="Verdana"/>
      <w:b/>
      <w:bCs/>
      <w:caps/>
      <w:snapToGrid w:val="0"/>
    </w:rPr>
  </w:style>
  <w:style w:type="paragraph" w:styleId="Ttulo2">
    <w:name w:val="heading 2"/>
    <w:basedOn w:val="Normal"/>
    <w:next w:val="Normal"/>
    <w:link w:val="Ttulo2Car"/>
    <w:uiPriority w:val="1"/>
    <w:unhideWhenUsed/>
    <w:qFormat/>
    <w:rsid w:val="00467516"/>
    <w:pPr>
      <w:keepNext/>
      <w:keepLines/>
      <w:tabs>
        <w:tab w:val="left" w:pos="1134"/>
      </w:tabs>
      <w:spacing w:before="240" w:after="240" w:line="240" w:lineRule="auto"/>
      <w:ind w:left="562"/>
      <w:outlineLvl w:val="1"/>
    </w:pPr>
    <w:rPr>
      <w:rFonts w:eastAsia="MS Mincho"/>
      <w:b/>
      <w:bCs/>
      <w:i/>
    </w:rPr>
  </w:style>
  <w:style w:type="paragraph" w:styleId="Ttulo3">
    <w:name w:val="heading 3"/>
    <w:basedOn w:val="Ttulo2"/>
    <w:next w:val="Normal"/>
    <w:link w:val="Ttulo3Car"/>
    <w:uiPriority w:val="9"/>
    <w:unhideWhenUsed/>
    <w:qFormat/>
    <w:rsid w:val="00F94D74"/>
    <w:pPr>
      <w:ind w:left="1170"/>
      <w:outlineLvl w:val="2"/>
    </w:pPr>
    <w:rPr>
      <w:rFonts w:eastAsia="Verdana" w:cs="Verdana"/>
      <w:b w:val="0"/>
    </w:rPr>
  </w:style>
  <w:style w:type="paragraph" w:styleId="Ttulo4">
    <w:name w:val="heading 4"/>
    <w:basedOn w:val="Estilo4"/>
    <w:next w:val="Normal"/>
    <w:link w:val="Ttulo4Car"/>
    <w:uiPriority w:val="9"/>
    <w:unhideWhenUsed/>
    <w:qFormat/>
    <w:rsid w:val="001854B4"/>
    <w:pPr>
      <w:outlineLvl w:val="3"/>
    </w:pPr>
  </w:style>
  <w:style w:type="paragraph" w:styleId="Ttulo5">
    <w:name w:val="heading 5"/>
    <w:basedOn w:val="Normal"/>
    <w:next w:val="Normal"/>
    <w:link w:val="Ttulo5Car"/>
    <w:uiPriority w:val="9"/>
    <w:unhideWhenUsed/>
    <w:qFormat/>
    <w:rsid w:val="000A6B13"/>
    <w:pPr>
      <w:numPr>
        <w:numId w:val="4"/>
      </w:numPr>
      <w:tabs>
        <w:tab w:val="left" w:pos="567"/>
      </w:tabs>
      <w:spacing w:line="240" w:lineRule="auto"/>
      <w:outlineLvl w:val="4"/>
    </w:pPr>
    <w:rPr>
      <w:rFonts w:eastAsia="Calibri"/>
      <w:kern w:val="2"/>
      <w:lang w:eastAsia="en-US"/>
    </w:rPr>
  </w:style>
  <w:style w:type="paragraph" w:styleId="Ttulo6">
    <w:name w:val="heading 6"/>
    <w:basedOn w:val="Ttulo5"/>
    <w:next w:val="Normal"/>
    <w:link w:val="Ttulo6Car"/>
    <w:uiPriority w:val="9"/>
    <w:unhideWhenUsed/>
    <w:qFormat/>
    <w:rsid w:val="00467516"/>
    <w:pPr>
      <w:widowControl/>
      <w:tabs>
        <w:tab w:val="num" w:pos="3600"/>
      </w:tabs>
      <w:adjustRightInd/>
      <w:ind w:left="3600" w:hanging="360"/>
      <w:textAlignment w:val="auto"/>
      <w:outlineLvl w:val="5"/>
    </w:pPr>
    <w:rPr>
      <w:rFonts w:eastAsia="Times New Roman"/>
      <w:spacing w:val="-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68E"/>
    <w:rPr>
      <w:rFonts w:ascii="Verdana" w:eastAsia="Times New Roman" w:hAnsi="Verdana" w:cs="Verdana"/>
      <w:b/>
      <w:bCs/>
      <w:caps/>
      <w:snapToGrid w:val="0"/>
      <w:sz w:val="20"/>
      <w:szCs w:val="20"/>
      <w:lang w:val="es-CR" w:eastAsia="es-CR"/>
    </w:rPr>
  </w:style>
  <w:style w:type="character" w:customStyle="1" w:styleId="Ttulo2Car">
    <w:name w:val="Título 2 Car"/>
    <w:basedOn w:val="Fuentedeprrafopredeter"/>
    <w:link w:val="Ttulo2"/>
    <w:uiPriority w:val="9"/>
    <w:rsid w:val="00467516"/>
    <w:rPr>
      <w:rFonts w:ascii="Verdana" w:eastAsia="MS Mincho" w:hAnsi="Verdana" w:cs="Times New Roman"/>
      <w:b/>
      <w:bCs/>
      <w:i/>
      <w:sz w:val="20"/>
      <w:szCs w:val="20"/>
      <w:lang w:val="es-CR" w:eastAsia="es-CR"/>
    </w:rPr>
  </w:style>
  <w:style w:type="character" w:customStyle="1" w:styleId="Ttulo3Car">
    <w:name w:val="Título 3 Car"/>
    <w:basedOn w:val="Fuentedeprrafopredeter"/>
    <w:link w:val="Ttulo3"/>
    <w:uiPriority w:val="9"/>
    <w:rsid w:val="00F94D74"/>
    <w:rPr>
      <w:rFonts w:ascii="Verdana" w:eastAsia="Verdana" w:hAnsi="Verdana" w:cs="Verdana"/>
      <w:bCs/>
      <w:i/>
      <w:sz w:val="20"/>
      <w:szCs w:val="20"/>
      <w:lang w:val="es-CR" w:eastAsia="es-CR"/>
    </w:rPr>
  </w:style>
  <w:style w:type="character" w:customStyle="1" w:styleId="Ttulo4Car">
    <w:name w:val="Título 4 Car"/>
    <w:basedOn w:val="Fuentedeprrafopredeter"/>
    <w:link w:val="Ttulo4"/>
    <w:uiPriority w:val="9"/>
    <w:rsid w:val="001854B4"/>
    <w:rPr>
      <w:rFonts w:ascii="Verdana" w:eastAsia="Times New Roman" w:hAnsi="Verdana" w:cs="Times New Roman"/>
      <w:i/>
      <w:spacing w:val="-2"/>
      <w:sz w:val="20"/>
      <w:szCs w:val="20"/>
      <w:lang w:val="es-CR"/>
    </w:rPr>
  </w:style>
  <w:style w:type="character" w:customStyle="1" w:styleId="Ttulo5Car">
    <w:name w:val="Título 5 Car"/>
    <w:basedOn w:val="Fuentedeprrafopredeter"/>
    <w:link w:val="Ttulo5"/>
    <w:uiPriority w:val="9"/>
    <w:rsid w:val="000A6B13"/>
    <w:rPr>
      <w:rFonts w:ascii="Verdana" w:eastAsia="Calibri" w:hAnsi="Verdana" w:cs="Times New Roman"/>
      <w:kern w:val="2"/>
      <w:sz w:val="20"/>
      <w:szCs w:val="20"/>
      <w:lang w:val="es-CR"/>
    </w:rPr>
  </w:style>
  <w:style w:type="character" w:customStyle="1" w:styleId="Ttulo6Car">
    <w:name w:val="Título 6 Car"/>
    <w:basedOn w:val="Fuentedeprrafopredeter"/>
    <w:link w:val="Ttulo6"/>
    <w:uiPriority w:val="9"/>
    <w:rsid w:val="00467516"/>
    <w:rPr>
      <w:rFonts w:ascii="Verdana" w:eastAsia="Times New Roman" w:hAnsi="Verdana" w:cs="Times New Roman"/>
      <w:spacing w:val="-2"/>
      <w:kern w:val="2"/>
      <w:sz w:val="20"/>
      <w:szCs w:val="20"/>
      <w:lang w:val="es-ES_tradnl"/>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link w:val="4GChar"/>
    <w:uiPriority w:val="99"/>
    <w:qFormat/>
    <w:rsid w:val="00467516"/>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uiPriority w:val="99"/>
    <w:qFormat/>
    <w:rsid w:val="00467516"/>
    <w:pPr>
      <w:spacing w:line="240" w:lineRule="auto"/>
    </w:pPr>
    <w:rPr>
      <w:lang w:val="es-ES_tradnl"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qFormat/>
    <w:rsid w:val="00467516"/>
    <w:rPr>
      <w:rFonts w:ascii="Verdana" w:eastAsia="Times New Roman" w:hAnsi="Verdana" w:cs="Times New Roman"/>
      <w:sz w:val="20"/>
      <w:szCs w:val="20"/>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67516"/>
    <w:pPr>
      <w:widowControl/>
      <w:adjustRightInd/>
      <w:spacing w:line="240" w:lineRule="auto"/>
      <w:textAlignment w:val="auto"/>
    </w:pPr>
    <w:rPr>
      <w:rFonts w:asciiTheme="minorHAnsi" w:eastAsiaTheme="minorHAnsi" w:hAnsiTheme="minorHAnsi" w:cstheme="minorBidi"/>
      <w:sz w:val="22"/>
      <w:szCs w:val="22"/>
      <w:vertAlign w:val="superscript"/>
      <w:lang w:val="en-US" w:eastAsia="en-US"/>
    </w:rPr>
  </w:style>
  <w:style w:type="character" w:styleId="Nmerodelnea">
    <w:name w:val="line number"/>
    <w:basedOn w:val="Fuentedeprrafopredeter"/>
    <w:uiPriority w:val="99"/>
    <w:semiHidden/>
    <w:unhideWhenUsed/>
    <w:rsid w:val="00467516"/>
  </w:style>
  <w:style w:type="paragraph" w:styleId="Encabezado">
    <w:name w:val="header"/>
    <w:aliases w:val="encabezado"/>
    <w:basedOn w:val="Normal"/>
    <w:link w:val="EncabezadoCar"/>
    <w:uiPriority w:val="99"/>
    <w:unhideWhenUsed/>
    <w:rsid w:val="00467516"/>
    <w:pPr>
      <w:tabs>
        <w:tab w:val="center" w:pos="4419"/>
        <w:tab w:val="right" w:pos="8838"/>
      </w:tabs>
      <w:spacing w:line="240" w:lineRule="auto"/>
    </w:pPr>
  </w:style>
  <w:style w:type="character" w:customStyle="1" w:styleId="EncabezadoCar">
    <w:name w:val="Encabezado Car"/>
    <w:aliases w:val="encabezado Car"/>
    <w:basedOn w:val="Fuentedeprrafopredeter"/>
    <w:link w:val="Encabezado"/>
    <w:uiPriority w:val="99"/>
    <w:rsid w:val="00467516"/>
    <w:rPr>
      <w:rFonts w:ascii="Verdana" w:eastAsia="Times New Roman" w:hAnsi="Verdana" w:cs="Times New Roman"/>
      <w:sz w:val="24"/>
      <w:szCs w:val="24"/>
      <w:lang w:val="es-CR" w:eastAsia="es-CR"/>
    </w:rPr>
  </w:style>
  <w:style w:type="paragraph" w:styleId="Piedepgina">
    <w:name w:val="footer"/>
    <w:basedOn w:val="Normal"/>
    <w:link w:val="PiedepginaCar"/>
    <w:uiPriority w:val="99"/>
    <w:unhideWhenUsed/>
    <w:rsid w:val="004675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67516"/>
    <w:rPr>
      <w:rFonts w:ascii="Verdana" w:eastAsia="Times New Roman" w:hAnsi="Verdana" w:cs="Times New Roman"/>
      <w:sz w:val="24"/>
      <w:szCs w:val="24"/>
      <w:lang w:val="es-CR" w:eastAsia="es-CR"/>
    </w:rPr>
  </w:style>
  <w:style w:type="paragraph" w:styleId="Prrafodelista">
    <w:name w:val="List Paragraph"/>
    <w:aliases w:val="List Paragraph2,Lista vistosa - Énfasis 11,Párrafo de lista1,Footnote,List Paragraph1,Colorful List - Accent 11,Parrafos,Subtle Emphasis1,Footnote1,List Paragraph11"/>
    <w:basedOn w:val="Normal"/>
    <w:link w:val="PrrafodelistaCar"/>
    <w:uiPriority w:val="1"/>
    <w:qFormat/>
    <w:rsid w:val="00467516"/>
    <w:pPr>
      <w:ind w:left="708"/>
    </w:pPr>
  </w:style>
  <w:style w:type="character" w:customStyle="1" w:styleId="PrrafodelistaCar">
    <w:name w:val="Párrafo de lista Car"/>
    <w:aliases w:val="List Paragraph2 Car,Lista vistosa - Énfasis 11 Car,Párrafo de lista1 Car,Footnote Car,List Paragraph1 Car,Colorful List - Accent 11 Car,Parrafos Car,Subtle Emphasis1 Car,Footnote1 Car,List Paragraph11 Car"/>
    <w:basedOn w:val="Fuentedeprrafopredeter"/>
    <w:link w:val="Prrafodelista"/>
    <w:uiPriority w:val="34"/>
    <w:rsid w:val="00467516"/>
    <w:rPr>
      <w:rFonts w:ascii="Verdana" w:eastAsia="Times New Roman" w:hAnsi="Verdana" w:cs="Times New Roman"/>
      <w:sz w:val="24"/>
      <w:szCs w:val="24"/>
      <w:lang w:val="es-CR" w:eastAsia="es-CR"/>
    </w:rPr>
  </w:style>
  <w:style w:type="character" w:styleId="Textoennegrita">
    <w:name w:val="Strong"/>
    <w:aliases w:val="Heading 2.1"/>
    <w:basedOn w:val="Fuentedeprrafopredeter"/>
    <w:uiPriority w:val="22"/>
    <w:qFormat/>
    <w:rsid w:val="00467516"/>
    <w:rPr>
      <w:b/>
      <w:bCs/>
    </w:rPr>
  </w:style>
  <w:style w:type="paragraph" w:styleId="NormalWeb">
    <w:name w:val="Normal (Web)"/>
    <w:aliases w:val="Normal (Web) Char1,Normal (Web) Char Char,Normal (Web) Char1 Char,Normal (Web) Char Char Char"/>
    <w:basedOn w:val="Normal"/>
    <w:uiPriority w:val="99"/>
    <w:unhideWhenUsed/>
    <w:rsid w:val="00467516"/>
    <w:rPr>
      <w:rFonts w:ascii="Times New Roman" w:hAnsi="Times New Roman"/>
    </w:rPr>
  </w:style>
  <w:style w:type="character" w:customStyle="1" w:styleId="apple-converted-space">
    <w:name w:val="apple-converted-space"/>
    <w:basedOn w:val="Fuentedeprrafopredeter"/>
    <w:rsid w:val="00467516"/>
  </w:style>
  <w:style w:type="character" w:styleId="Hipervnculo">
    <w:name w:val="Hyperlink"/>
    <w:basedOn w:val="Fuentedeprrafopredeter"/>
    <w:uiPriority w:val="99"/>
    <w:unhideWhenUsed/>
    <w:rsid w:val="00467516"/>
    <w:rPr>
      <w:color w:val="0563C1" w:themeColor="hyperlink"/>
      <w:u w:val="single"/>
    </w:rPr>
  </w:style>
  <w:style w:type="paragraph" w:styleId="TtuloTDC">
    <w:name w:val="TOC Heading"/>
    <w:basedOn w:val="Ttulo1"/>
    <w:next w:val="Normal"/>
    <w:uiPriority w:val="39"/>
    <w:unhideWhenUsed/>
    <w:qFormat/>
    <w:rsid w:val="00467516"/>
    <w:pPr>
      <w:widowControl/>
      <w:adjustRightInd/>
      <w:spacing w:line="276" w:lineRule="auto"/>
      <w:jc w:val="left"/>
      <w:textAlignment w:val="auto"/>
      <w:outlineLvl w:val="9"/>
    </w:pPr>
    <w:rPr>
      <w:lang w:val="en-US" w:eastAsia="ja-JP"/>
    </w:rPr>
  </w:style>
  <w:style w:type="paragraph" w:styleId="TDC1">
    <w:name w:val="toc 1"/>
    <w:basedOn w:val="Normal"/>
    <w:next w:val="Normal"/>
    <w:autoRedefine/>
    <w:uiPriority w:val="39"/>
    <w:unhideWhenUsed/>
    <w:rsid w:val="00D213E1"/>
    <w:pPr>
      <w:tabs>
        <w:tab w:val="right" w:leader="dot" w:pos="10070"/>
      </w:tabs>
      <w:spacing w:before="120" w:after="120" w:line="240" w:lineRule="auto"/>
    </w:pPr>
    <w:rPr>
      <w:rFonts w:eastAsia="MS Mincho"/>
      <w:b/>
      <w:noProof/>
    </w:rPr>
  </w:style>
  <w:style w:type="paragraph" w:styleId="TDC2">
    <w:name w:val="toc 2"/>
    <w:basedOn w:val="Normal"/>
    <w:next w:val="Normal"/>
    <w:autoRedefine/>
    <w:uiPriority w:val="39"/>
    <w:unhideWhenUsed/>
    <w:rsid w:val="00467516"/>
    <w:pPr>
      <w:tabs>
        <w:tab w:val="left" w:pos="450"/>
        <w:tab w:val="left" w:pos="630"/>
        <w:tab w:val="right" w:leader="dot" w:pos="10070"/>
      </w:tabs>
      <w:spacing w:line="240" w:lineRule="auto"/>
      <w:ind w:left="240"/>
    </w:pPr>
  </w:style>
  <w:style w:type="paragraph" w:styleId="Textodeglobo">
    <w:name w:val="Balloon Text"/>
    <w:basedOn w:val="Normal"/>
    <w:link w:val="TextodegloboCar"/>
    <w:uiPriority w:val="99"/>
    <w:semiHidden/>
    <w:unhideWhenUsed/>
    <w:rsid w:val="0046751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516"/>
    <w:rPr>
      <w:rFonts w:ascii="Tahoma" w:eastAsia="Times New Roman" w:hAnsi="Tahoma" w:cs="Tahoma"/>
      <w:sz w:val="16"/>
      <w:szCs w:val="16"/>
      <w:lang w:val="es-CR" w:eastAsia="es-CR"/>
    </w:rPr>
  </w:style>
  <w:style w:type="table" w:styleId="Tablaconcuadrcula">
    <w:name w:val="Table Grid"/>
    <w:basedOn w:val="Tablanormal"/>
    <w:uiPriority w:val="59"/>
    <w:rsid w:val="0046751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inlista"/>
    <w:uiPriority w:val="99"/>
    <w:semiHidden/>
    <w:unhideWhenUsed/>
    <w:rsid w:val="00467516"/>
  </w:style>
  <w:style w:type="character" w:styleId="Refdecomentario">
    <w:name w:val="annotation reference"/>
    <w:basedOn w:val="Fuentedeprrafopredeter"/>
    <w:uiPriority w:val="99"/>
    <w:semiHidden/>
    <w:unhideWhenUsed/>
    <w:rsid w:val="00467516"/>
    <w:rPr>
      <w:sz w:val="16"/>
      <w:szCs w:val="16"/>
    </w:rPr>
  </w:style>
  <w:style w:type="paragraph" w:styleId="Textocomentario">
    <w:name w:val="annotation text"/>
    <w:basedOn w:val="Normal"/>
    <w:link w:val="TextocomentarioCar"/>
    <w:uiPriority w:val="99"/>
    <w:unhideWhenUsed/>
    <w:rsid w:val="00467516"/>
    <w:pPr>
      <w:widowControl/>
      <w:adjustRightInd/>
      <w:spacing w:after="200" w:line="240" w:lineRule="auto"/>
      <w:jc w:val="left"/>
      <w:textAlignment w:val="auto"/>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467516"/>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467516"/>
    <w:rPr>
      <w:b/>
      <w:bCs/>
    </w:rPr>
  </w:style>
  <w:style w:type="character" w:customStyle="1" w:styleId="AsuntodelcomentarioCar">
    <w:name w:val="Asunto del comentario Car"/>
    <w:basedOn w:val="TextocomentarioCar"/>
    <w:link w:val="Asuntodelcomentario"/>
    <w:uiPriority w:val="99"/>
    <w:semiHidden/>
    <w:rsid w:val="00467516"/>
    <w:rPr>
      <w:b/>
      <w:bCs/>
      <w:sz w:val="20"/>
      <w:szCs w:val="20"/>
      <w:lang w:val="es-CR"/>
    </w:rPr>
  </w:style>
  <w:style w:type="character" w:customStyle="1" w:styleId="ListParagraphChar1">
    <w:name w:val="List Paragraph Char1"/>
    <w:aliases w:val="List Paragraph2 Char1,Lista vistosa - Énfasis 11 Char1,Párrafo de lista1 Char1,Footnote Char1,List Paragraph1 Char1"/>
    <w:basedOn w:val="Fuentedeprrafopredeter"/>
    <w:uiPriority w:val="34"/>
    <w:rsid w:val="00467516"/>
    <w:rPr>
      <w:rFonts w:ascii="Verdana" w:eastAsia="Times New Roman" w:hAnsi="Verdana" w:cs="Times New Roman"/>
      <w:sz w:val="24"/>
      <w:szCs w:val="24"/>
      <w:lang w:eastAsia="es-CR"/>
    </w:rPr>
  </w:style>
  <w:style w:type="paragraph" w:customStyle="1" w:styleId="Default">
    <w:name w:val="Default"/>
    <w:uiPriority w:val="99"/>
    <w:rsid w:val="00467516"/>
    <w:pPr>
      <w:autoSpaceDE w:val="0"/>
      <w:autoSpaceDN w:val="0"/>
      <w:adjustRightInd w:val="0"/>
      <w:spacing w:after="0" w:line="240" w:lineRule="auto"/>
    </w:pPr>
    <w:rPr>
      <w:rFonts w:ascii="Verdana" w:hAnsi="Verdana" w:cs="Verdana"/>
      <w:color w:val="000000"/>
      <w:sz w:val="24"/>
      <w:szCs w:val="24"/>
      <w:lang w:val="es-CR"/>
    </w:rPr>
  </w:style>
  <w:style w:type="paragraph" w:customStyle="1" w:styleId="PrrafodeSentencia">
    <w:name w:val="*. Párrafo de Sentencia"/>
    <w:basedOn w:val="Normal"/>
    <w:link w:val="PrrafodeSentenciaChar"/>
    <w:qFormat/>
    <w:rsid w:val="00467516"/>
    <w:pPr>
      <w:widowControl/>
      <w:numPr>
        <w:numId w:val="1"/>
      </w:numPr>
      <w:tabs>
        <w:tab w:val="left" w:pos="567"/>
      </w:tabs>
      <w:adjustRightInd/>
      <w:spacing w:line="240" w:lineRule="auto"/>
      <w:textAlignment w:val="auto"/>
    </w:pPr>
    <w:rPr>
      <w:rFonts w:eastAsia="Batang"/>
      <w:lang w:val="es-ES_tradnl" w:eastAsia="es-MX"/>
    </w:rPr>
  </w:style>
  <w:style w:type="character" w:customStyle="1" w:styleId="PrrafodeSentenciaChar">
    <w:name w:val="*. Párrafo de Sentencia Char"/>
    <w:link w:val="PrrafodeSentencia"/>
    <w:rsid w:val="00467516"/>
    <w:rPr>
      <w:rFonts w:ascii="Verdana" w:eastAsia="Batang" w:hAnsi="Verdana" w:cs="Times New Roman"/>
      <w:sz w:val="20"/>
      <w:szCs w:val="20"/>
      <w:lang w:val="es-ES_tradnl" w:eastAsia="es-MX"/>
    </w:rPr>
  </w:style>
  <w:style w:type="character" w:customStyle="1" w:styleId="shorttext">
    <w:name w:val="shorttext"/>
    <w:basedOn w:val="Fuentedeprrafopredeter"/>
    <w:rsid w:val="00467516"/>
  </w:style>
  <w:style w:type="paragraph" w:customStyle="1" w:styleId="Estilo4">
    <w:name w:val="Estilo4"/>
    <w:basedOn w:val="Prrafodelista"/>
    <w:qFormat/>
    <w:rsid w:val="001854B4"/>
    <w:pPr>
      <w:widowControl/>
      <w:numPr>
        <w:ilvl w:val="1"/>
        <w:numId w:val="2"/>
      </w:numPr>
      <w:adjustRightInd/>
      <w:spacing w:before="240" w:after="240" w:line="240" w:lineRule="auto"/>
      <w:textAlignment w:val="auto"/>
    </w:pPr>
    <w:rPr>
      <w:i/>
      <w:spacing w:val="-2"/>
      <w:lang w:eastAsia="en-US"/>
    </w:rPr>
  </w:style>
  <w:style w:type="paragraph" w:customStyle="1" w:styleId="Numberedparagraphs">
    <w:name w:val="Numbered paragraphs"/>
    <w:basedOn w:val="Normal"/>
    <w:link w:val="NumberedparagraphsCar"/>
    <w:qFormat/>
    <w:rsid w:val="00467516"/>
    <w:pPr>
      <w:widowControl/>
      <w:adjustRightInd/>
      <w:spacing w:after="200" w:line="240" w:lineRule="auto"/>
      <w:textAlignment w:val="auto"/>
    </w:pPr>
    <w:rPr>
      <w:rFonts w:eastAsia="MS Mincho"/>
      <w:color w:val="000000"/>
      <w:lang w:val="es-ES_tradnl" w:eastAsia="en-U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uiPriority w:val="99"/>
    <w:qFormat/>
    <w:rsid w:val="00467516"/>
    <w:rPr>
      <w:sz w:val="20"/>
      <w:szCs w:val="20"/>
    </w:rPr>
  </w:style>
  <w:style w:type="character" w:customStyle="1" w:styleId="column">
    <w:name w:val="column"/>
    <w:basedOn w:val="Fuentedeprrafopredeter"/>
    <w:rsid w:val="00467516"/>
  </w:style>
  <w:style w:type="character" w:customStyle="1" w:styleId="summarytext">
    <w:name w:val="summarytext"/>
    <w:basedOn w:val="Fuentedeprrafopredeter"/>
    <w:rsid w:val="00467516"/>
  </w:style>
  <w:style w:type="character" w:customStyle="1" w:styleId="textcolumn">
    <w:name w:val="textcolumn"/>
    <w:basedOn w:val="Fuentedeprrafopredeter"/>
    <w:rsid w:val="00467516"/>
  </w:style>
  <w:style w:type="character" w:customStyle="1" w:styleId="more">
    <w:name w:val="more"/>
    <w:basedOn w:val="Fuentedeprrafopredeter"/>
    <w:rsid w:val="00467516"/>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467516"/>
    <w:pPr>
      <w:widowControl/>
      <w:adjustRightInd/>
      <w:spacing w:after="160" w:line="240" w:lineRule="exact"/>
      <w:jc w:val="left"/>
      <w:textAlignment w:val="auto"/>
    </w:pPr>
    <w:rPr>
      <w:rFonts w:eastAsiaTheme="minorHAnsi" w:cstheme="minorBidi"/>
      <w:vertAlign w:val="superscript"/>
      <w:lang w:eastAsia="en-US"/>
    </w:rPr>
  </w:style>
  <w:style w:type="paragraph" w:styleId="Sinespaciado">
    <w:name w:val="No Spacing"/>
    <w:link w:val="SinespaciadoCar"/>
    <w:uiPriority w:val="1"/>
    <w:qFormat/>
    <w:rsid w:val="00467516"/>
    <w:pPr>
      <w:spacing w:after="0" w:line="240" w:lineRule="auto"/>
    </w:pPr>
    <w:rPr>
      <w:lang w:val="es-CR"/>
    </w:rPr>
  </w:style>
  <w:style w:type="character" w:customStyle="1" w:styleId="SinespaciadoCar">
    <w:name w:val="Sin espaciado Car"/>
    <w:basedOn w:val="Fuentedeprrafopredeter"/>
    <w:link w:val="Sinespaciado"/>
    <w:uiPriority w:val="1"/>
    <w:rsid w:val="00467516"/>
    <w:rPr>
      <w:lang w:val="es-CR"/>
    </w:rPr>
  </w:style>
  <w:style w:type="paragraph" w:styleId="Textoindependiente3">
    <w:name w:val="Body Text 3"/>
    <w:basedOn w:val="Normal"/>
    <w:link w:val="Textoindependiente3Car"/>
    <w:rsid w:val="00467516"/>
    <w:pPr>
      <w:widowControl/>
      <w:adjustRightInd/>
      <w:spacing w:after="120" w:line="240" w:lineRule="auto"/>
      <w:jc w:val="left"/>
      <w:textAlignment w:val="auto"/>
    </w:pPr>
    <w:rPr>
      <w:rFonts w:ascii="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rsid w:val="00467516"/>
    <w:rPr>
      <w:rFonts w:ascii="Times New Roman" w:eastAsia="Times New Roman" w:hAnsi="Times New Roman" w:cs="Times New Roman"/>
      <w:sz w:val="16"/>
      <w:szCs w:val="16"/>
      <w:lang w:val="es-ES_tradnl" w:eastAsia="es-ES"/>
    </w:rPr>
  </w:style>
  <w:style w:type="paragraph" w:styleId="Sangra2detindependiente">
    <w:name w:val="Body Text Indent 2"/>
    <w:basedOn w:val="Normal"/>
    <w:link w:val="Sangra2detindependienteCar"/>
    <w:uiPriority w:val="99"/>
    <w:semiHidden/>
    <w:unhideWhenUsed/>
    <w:rsid w:val="00467516"/>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467516"/>
    <w:rPr>
      <w:rFonts w:ascii="Verdana" w:eastAsia="Times New Roman" w:hAnsi="Verdana" w:cs="Times New Roman"/>
      <w:sz w:val="24"/>
      <w:szCs w:val="24"/>
      <w:lang w:val="es-CR" w:eastAsia="es-CR"/>
    </w:rPr>
  </w:style>
  <w:style w:type="paragraph" w:customStyle="1" w:styleId="Normal1">
    <w:name w:val="Normal1"/>
    <w:rsid w:val="00467516"/>
    <w:pPr>
      <w:widowControl w:val="0"/>
      <w:spacing w:after="0" w:line="240" w:lineRule="auto"/>
    </w:pPr>
    <w:rPr>
      <w:rFonts w:ascii="Times New Roman" w:eastAsia="Times New Roman" w:hAnsi="Times New Roman" w:cs="Times New Roman"/>
      <w:sz w:val="24"/>
      <w:szCs w:val="24"/>
      <w:lang w:val="es-CR"/>
    </w:rPr>
  </w:style>
  <w:style w:type="paragraph" w:styleId="Textodebloque">
    <w:name w:val="Block Text"/>
    <w:basedOn w:val="Normal"/>
    <w:rsid w:val="00467516"/>
    <w:pPr>
      <w:widowControl/>
      <w:tabs>
        <w:tab w:val="left" w:pos="720"/>
      </w:tabs>
      <w:adjustRightInd/>
      <w:spacing w:line="240" w:lineRule="auto"/>
      <w:ind w:left="720" w:right="720"/>
      <w:textAlignment w:val="auto"/>
    </w:pPr>
    <w:rPr>
      <w:rFonts w:ascii="Garamond" w:hAnsi="Garamond"/>
      <w:sz w:val="22"/>
      <w:lang w:val="en-GB" w:eastAsia="en-US"/>
    </w:rPr>
  </w:style>
  <w:style w:type="table" w:customStyle="1" w:styleId="GridTable5Dark-Accent11">
    <w:name w:val="Grid Table 5 Dark - Accent 11"/>
    <w:basedOn w:val="Tablanormal"/>
    <w:uiPriority w:val="50"/>
    <w:rsid w:val="004675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encinsinresolver1">
    <w:name w:val="Mención sin resolver1"/>
    <w:basedOn w:val="Fuentedeprrafopredeter"/>
    <w:uiPriority w:val="99"/>
    <w:semiHidden/>
    <w:unhideWhenUsed/>
    <w:rsid w:val="00467516"/>
    <w:rPr>
      <w:color w:val="605E5C"/>
      <w:shd w:val="clear" w:color="auto" w:fill="E1DFDD"/>
    </w:rPr>
  </w:style>
  <w:style w:type="character" w:customStyle="1" w:styleId="highlight">
    <w:name w:val="highlight"/>
    <w:basedOn w:val="Fuentedeprrafopredeter"/>
    <w:rsid w:val="00467516"/>
  </w:style>
  <w:style w:type="paragraph" w:customStyle="1" w:styleId="Prrafodelista2">
    <w:name w:val="Párrafo de lista2"/>
    <w:basedOn w:val="Normal"/>
    <w:uiPriority w:val="99"/>
    <w:rsid w:val="00467516"/>
    <w:pPr>
      <w:widowControl/>
      <w:adjustRightInd/>
      <w:spacing w:line="240" w:lineRule="auto"/>
      <w:ind w:left="720"/>
      <w:jc w:val="left"/>
      <w:textAlignment w:val="auto"/>
    </w:pPr>
    <w:rPr>
      <w:rFonts w:eastAsia="MS Mincho"/>
      <w:lang w:val="es-ES_tradnl" w:eastAsia="en-US"/>
    </w:rPr>
  </w:style>
  <w:style w:type="paragraph" w:styleId="TDC3">
    <w:name w:val="toc 3"/>
    <w:basedOn w:val="Normal"/>
    <w:next w:val="Normal"/>
    <w:autoRedefine/>
    <w:uiPriority w:val="39"/>
    <w:unhideWhenUsed/>
    <w:rsid w:val="00467516"/>
    <w:pPr>
      <w:tabs>
        <w:tab w:val="left" w:pos="1080"/>
        <w:tab w:val="left" w:pos="1260"/>
        <w:tab w:val="left" w:pos="1440"/>
        <w:tab w:val="left" w:pos="1530"/>
        <w:tab w:val="right" w:leader="dot" w:pos="10070"/>
      </w:tabs>
      <w:spacing w:line="240" w:lineRule="auto"/>
      <w:ind w:left="1080" w:hanging="270"/>
    </w:pPr>
  </w:style>
  <w:style w:type="paragraph" w:customStyle="1" w:styleId="Estilo1">
    <w:name w:val="Estilo1"/>
    <w:basedOn w:val="Normal"/>
    <w:link w:val="Estilo1Car"/>
    <w:qFormat/>
    <w:rsid w:val="00467516"/>
    <w:pPr>
      <w:widowControl/>
      <w:adjustRightInd/>
      <w:spacing w:after="120" w:line="240" w:lineRule="auto"/>
      <w:ind w:left="2018" w:right="6" w:hanging="180"/>
      <w:textAlignment w:val="auto"/>
    </w:pPr>
    <w:rPr>
      <w:rFonts w:eastAsia="Batang" w:cs="Times"/>
      <w:i/>
      <w:lang w:val="es-ES_tradnl" w:eastAsia="en-US"/>
    </w:rPr>
  </w:style>
  <w:style w:type="character" w:customStyle="1" w:styleId="Estilo1Car">
    <w:name w:val="Estilo1 Car"/>
    <w:basedOn w:val="Fuentedeprrafopredeter"/>
    <w:link w:val="Estilo1"/>
    <w:rsid w:val="00467516"/>
    <w:rPr>
      <w:rFonts w:ascii="Verdana" w:eastAsia="Batang" w:hAnsi="Verdana" w:cs="Times"/>
      <w:i/>
      <w:sz w:val="20"/>
      <w:szCs w:val="24"/>
      <w:lang w:val="es-ES_tradnl"/>
    </w:rPr>
  </w:style>
  <w:style w:type="numbering" w:customStyle="1" w:styleId="ImportedStyle1">
    <w:name w:val="Imported Style 1"/>
    <w:rsid w:val="00467516"/>
    <w:pPr>
      <w:numPr>
        <w:numId w:val="3"/>
      </w:numPr>
    </w:pPr>
  </w:style>
  <w:style w:type="character" w:customStyle="1" w:styleId="fontstyle01">
    <w:name w:val="fontstyle01"/>
    <w:basedOn w:val="Fuentedeprrafopredeter"/>
    <w:rsid w:val="00467516"/>
    <w:rPr>
      <w:rFonts w:ascii="Arial" w:hAnsi="Arial" w:cs="Arial" w:hint="default"/>
      <w:b w:val="0"/>
      <w:bCs w:val="0"/>
      <w:i w:val="0"/>
      <w:iCs w:val="0"/>
      <w:color w:val="000000"/>
      <w:sz w:val="24"/>
      <w:szCs w:val="24"/>
    </w:rPr>
  </w:style>
  <w:style w:type="paragraph" w:styleId="Textoindependiente2">
    <w:name w:val="Body Text 2"/>
    <w:basedOn w:val="Normal"/>
    <w:link w:val="Textoindependiente2Car"/>
    <w:uiPriority w:val="99"/>
    <w:unhideWhenUsed/>
    <w:rsid w:val="00F83A85"/>
    <w:pPr>
      <w:spacing w:after="120" w:line="480" w:lineRule="auto"/>
    </w:pPr>
  </w:style>
  <w:style w:type="character" w:customStyle="1" w:styleId="Textoindependiente2Car">
    <w:name w:val="Texto independiente 2 Car"/>
    <w:basedOn w:val="Fuentedeprrafopredeter"/>
    <w:link w:val="Textoindependiente2"/>
    <w:uiPriority w:val="99"/>
    <w:rsid w:val="00F83A85"/>
    <w:rPr>
      <w:rFonts w:ascii="Verdana" w:eastAsia="Times New Roman" w:hAnsi="Verdana" w:cs="Times New Roman"/>
      <w:sz w:val="24"/>
      <w:szCs w:val="24"/>
      <w:lang w:val="es-CR" w:eastAsia="es-CR"/>
    </w:rPr>
  </w:style>
  <w:style w:type="paragraph" w:customStyle="1" w:styleId="Textoindependiente20">
    <w:name w:val="Texto independiente2"/>
    <w:basedOn w:val="Normal"/>
    <w:rsid w:val="00F519EF"/>
    <w:pPr>
      <w:adjustRightInd/>
      <w:spacing w:line="240" w:lineRule="auto"/>
      <w:textAlignment w:val="auto"/>
    </w:pPr>
    <w:rPr>
      <w:rFonts w:ascii="Times" w:hAnsi="Times"/>
      <w:lang w:val="es-ES"/>
    </w:rPr>
  </w:style>
  <w:style w:type="paragraph" w:styleId="Textoindependiente">
    <w:name w:val="Body Text"/>
    <w:basedOn w:val="Normal"/>
    <w:link w:val="TextoindependienteCar"/>
    <w:uiPriority w:val="99"/>
    <w:semiHidden/>
    <w:unhideWhenUsed/>
    <w:rsid w:val="00EE16ED"/>
    <w:pPr>
      <w:spacing w:after="120"/>
    </w:pPr>
  </w:style>
  <w:style w:type="character" w:customStyle="1" w:styleId="TextoindependienteCar">
    <w:name w:val="Texto independiente Car"/>
    <w:basedOn w:val="Fuentedeprrafopredeter"/>
    <w:link w:val="Textoindependiente"/>
    <w:uiPriority w:val="99"/>
    <w:semiHidden/>
    <w:rsid w:val="00EE16ED"/>
    <w:rPr>
      <w:rFonts w:ascii="Verdana" w:eastAsia="Times New Roman" w:hAnsi="Verdana" w:cs="Times New Roman"/>
      <w:sz w:val="24"/>
      <w:szCs w:val="24"/>
      <w:lang w:val="es-CR" w:eastAsia="es-CR"/>
    </w:rPr>
  </w:style>
  <w:style w:type="character" w:customStyle="1" w:styleId="fontstyle21">
    <w:name w:val="fontstyle21"/>
    <w:basedOn w:val="Fuentedeprrafopredeter"/>
    <w:rsid w:val="005B0504"/>
    <w:rPr>
      <w:rFonts w:ascii="Helvetica-Oblique" w:hAnsi="Helvetica-Oblique" w:hint="default"/>
      <w:b w:val="0"/>
      <w:bCs w:val="0"/>
      <w:i/>
      <w:iCs/>
      <w:color w:val="2B2B2B"/>
      <w:sz w:val="16"/>
      <w:szCs w:val="16"/>
    </w:rPr>
  </w:style>
  <w:style w:type="paragraph" w:customStyle="1" w:styleId="1">
    <w:name w:val="1"/>
    <w:basedOn w:val="Normal"/>
    <w:rsid w:val="003248AE"/>
    <w:pPr>
      <w:widowControl/>
      <w:adjustRightInd/>
      <w:spacing w:after="160" w:line="240" w:lineRule="exact"/>
      <w:jc w:val="left"/>
      <w:textAlignment w:val="auto"/>
    </w:pPr>
    <w:rPr>
      <w:sz w:val="16"/>
      <w:szCs w:val="22"/>
      <w:vertAlign w:val="superscript"/>
      <w:lang w:eastAsia="en-US"/>
    </w:rPr>
  </w:style>
  <w:style w:type="paragraph" w:customStyle="1" w:styleId="Heading71">
    <w:name w:val="Heading 71"/>
    <w:basedOn w:val="Normal"/>
    <w:rsid w:val="00075A44"/>
    <w:pPr>
      <w:numPr>
        <w:numId w:val="6"/>
      </w:numPr>
    </w:pPr>
    <w:rPr>
      <w:sz w:val="24"/>
      <w:szCs w:val="24"/>
    </w:rPr>
  </w:style>
  <w:style w:type="character" w:customStyle="1" w:styleId="apple-style-span">
    <w:name w:val="apple-style-span"/>
    <w:basedOn w:val="Fuentedeprrafopredeter"/>
    <w:rsid w:val="00E45960"/>
  </w:style>
  <w:style w:type="character" w:styleId="Hipervnculovisitado">
    <w:name w:val="FollowedHyperlink"/>
    <w:basedOn w:val="Fuentedeprrafopredeter"/>
    <w:uiPriority w:val="99"/>
    <w:semiHidden/>
    <w:unhideWhenUsed/>
    <w:rsid w:val="008372D9"/>
    <w:rPr>
      <w:color w:val="954F72" w:themeColor="followedHyperlink"/>
      <w:u w:val="single"/>
    </w:rPr>
  </w:style>
  <w:style w:type="paragraph" w:customStyle="1" w:styleId="Footnotes">
    <w:name w:val="**. Footnotes"/>
    <w:basedOn w:val="Textonotapie"/>
    <w:link w:val="FootnotesChar"/>
    <w:autoRedefine/>
    <w:qFormat/>
    <w:rsid w:val="000136C2"/>
    <w:pPr>
      <w:widowControl/>
      <w:adjustRightInd/>
      <w:spacing w:before="120" w:after="120"/>
      <w:jc w:val="center"/>
      <w:textAlignment w:val="auto"/>
    </w:pPr>
    <w:rPr>
      <w:iCs/>
      <w:sz w:val="16"/>
      <w:szCs w:val="18"/>
      <w:lang w:val="es-ES"/>
    </w:rPr>
  </w:style>
  <w:style w:type="character" w:customStyle="1" w:styleId="FootnotesChar">
    <w:name w:val="**. Footnotes Char"/>
    <w:link w:val="Footnotes"/>
    <w:rsid w:val="000136C2"/>
    <w:rPr>
      <w:rFonts w:ascii="Verdana" w:eastAsia="Times New Roman" w:hAnsi="Verdana" w:cs="Times New Roman"/>
      <w:iCs/>
      <w:sz w:val="16"/>
      <w:szCs w:val="18"/>
      <w:lang w:val="es-ES" w:eastAsia="x-none"/>
    </w:rPr>
  </w:style>
  <w:style w:type="paragraph" w:customStyle="1" w:styleId="Estilo2">
    <w:name w:val="Estilo2"/>
    <w:basedOn w:val="Normal"/>
    <w:qFormat/>
    <w:rsid w:val="000136C2"/>
    <w:pPr>
      <w:widowControl/>
      <w:tabs>
        <w:tab w:val="left" w:pos="567"/>
        <w:tab w:val="left" w:pos="1134"/>
        <w:tab w:val="num" w:pos="4767"/>
      </w:tabs>
      <w:adjustRightInd/>
      <w:spacing w:after="120" w:line="240" w:lineRule="auto"/>
      <w:ind w:firstLine="357"/>
      <w:textAlignment w:val="auto"/>
    </w:pPr>
    <w:rPr>
      <w:rFonts w:eastAsia="Calibri"/>
      <w:lang w:val="x-none" w:eastAsia="x-none"/>
    </w:rPr>
  </w:style>
  <w:style w:type="paragraph" w:customStyle="1" w:styleId="Estilo8">
    <w:name w:val="Estilo8"/>
    <w:basedOn w:val="PrrafodeSentencia"/>
    <w:link w:val="Estilo8Car"/>
    <w:qFormat/>
    <w:rsid w:val="000136C2"/>
    <w:pPr>
      <w:numPr>
        <w:ilvl w:val="2"/>
      </w:numPr>
      <w:tabs>
        <w:tab w:val="left" w:pos="851"/>
      </w:tabs>
      <w:spacing w:before="120" w:after="120"/>
    </w:pPr>
  </w:style>
  <w:style w:type="character" w:customStyle="1" w:styleId="Estilo8Car">
    <w:name w:val="Estilo8 Car"/>
    <w:basedOn w:val="PrrafodeSentenciaChar"/>
    <w:link w:val="Estilo8"/>
    <w:rsid w:val="000136C2"/>
    <w:rPr>
      <w:rFonts w:ascii="Verdana" w:eastAsia="Batang" w:hAnsi="Verdana" w:cs="Times New Roman"/>
      <w:sz w:val="20"/>
      <w:szCs w:val="20"/>
      <w:lang w:val="es-ES_tradnl" w:eastAsia="es-MX"/>
    </w:rPr>
  </w:style>
  <w:style w:type="character" w:customStyle="1" w:styleId="Mencinsinresolver2">
    <w:name w:val="Mención sin resolver2"/>
    <w:basedOn w:val="Fuentedeprrafopredeter"/>
    <w:uiPriority w:val="99"/>
    <w:semiHidden/>
    <w:unhideWhenUsed/>
    <w:rsid w:val="003B7F2A"/>
    <w:rPr>
      <w:color w:val="605E5C"/>
      <w:shd w:val="clear" w:color="auto" w:fill="E1DFDD"/>
    </w:rPr>
  </w:style>
  <w:style w:type="table" w:styleId="Tablaconcuadrcula1clara-nfasis4">
    <w:name w:val="Grid Table 1 Light Accent 4"/>
    <w:basedOn w:val="Tablanormal"/>
    <w:uiPriority w:val="46"/>
    <w:rsid w:val="000F17C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F17C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0653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n">
    <w:name w:val="Revision"/>
    <w:hidden/>
    <w:uiPriority w:val="99"/>
    <w:semiHidden/>
    <w:rsid w:val="00D81D4E"/>
    <w:pPr>
      <w:spacing w:after="0" w:line="240" w:lineRule="auto"/>
    </w:pPr>
    <w:rPr>
      <w:rFonts w:ascii="Verdana" w:eastAsia="Times New Roman" w:hAnsi="Verdana" w:cs="Times New Roman"/>
      <w:sz w:val="20"/>
      <w:szCs w:val="20"/>
      <w:lang w:val="es-CR" w:eastAsia="es-CR"/>
    </w:rPr>
  </w:style>
  <w:style w:type="character" w:customStyle="1" w:styleId="FootnoteRef">
    <w:name w:val="Footnote Ref"/>
    <w:basedOn w:val="Fuentedeprrafopredeter"/>
    <w:rsid w:val="008673A1"/>
    <w:rPr>
      <w:vertAlign w:val="superscript"/>
    </w:rPr>
  </w:style>
  <w:style w:type="character" w:customStyle="1" w:styleId="Refdenotaalpie1">
    <w:name w:val="Ref. de nota al pie1"/>
    <w:basedOn w:val="Fuentedeprrafopredeter"/>
    <w:rsid w:val="008673A1"/>
    <w:rPr>
      <w:sz w:val="20"/>
      <w:vertAlign w:val="superscript"/>
    </w:rPr>
  </w:style>
  <w:style w:type="character" w:customStyle="1" w:styleId="markedcontent">
    <w:name w:val="markedcontent"/>
    <w:basedOn w:val="Fuentedeprrafopredeter"/>
    <w:rsid w:val="00A80BC9"/>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uiPriority w:val="99"/>
    <w:qFormat/>
    <w:rsid w:val="005D45A0"/>
    <w:rPr>
      <w:rFonts w:ascii="Verdana" w:eastAsia="Batang" w:hAnsi="Verdana" w:cs="Times"/>
      <w:noProof/>
      <w:sz w:val="16"/>
      <w:szCs w:val="20"/>
      <w:lang w:val="es-ES_tradnl"/>
    </w:rPr>
  </w:style>
  <w:style w:type="character" w:customStyle="1" w:styleId="Funotenzeichen">
    <w:name w:val="Fußnotenzeichen"/>
    <w:rsid w:val="0036616E"/>
  </w:style>
  <w:style w:type="character" w:customStyle="1" w:styleId="NumberedparagraphsCar">
    <w:name w:val="Numbered paragraphs Car"/>
    <w:basedOn w:val="Fuentedeprrafopredeter"/>
    <w:link w:val="Numberedparagraphs"/>
    <w:locked/>
    <w:rsid w:val="00F51721"/>
    <w:rPr>
      <w:rFonts w:ascii="Verdana" w:eastAsia="MS Mincho" w:hAnsi="Verdana" w:cs="Times New Roman"/>
      <w:color w:val="000000"/>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2891">
      <w:bodyDiv w:val="1"/>
      <w:marLeft w:val="0"/>
      <w:marRight w:val="0"/>
      <w:marTop w:val="0"/>
      <w:marBottom w:val="0"/>
      <w:divBdr>
        <w:top w:val="none" w:sz="0" w:space="0" w:color="auto"/>
        <w:left w:val="none" w:sz="0" w:space="0" w:color="auto"/>
        <w:bottom w:val="none" w:sz="0" w:space="0" w:color="auto"/>
        <w:right w:val="none" w:sz="0" w:space="0" w:color="auto"/>
      </w:divBdr>
    </w:div>
    <w:div w:id="42020072">
      <w:bodyDiv w:val="1"/>
      <w:marLeft w:val="0"/>
      <w:marRight w:val="0"/>
      <w:marTop w:val="0"/>
      <w:marBottom w:val="0"/>
      <w:divBdr>
        <w:top w:val="none" w:sz="0" w:space="0" w:color="auto"/>
        <w:left w:val="none" w:sz="0" w:space="0" w:color="auto"/>
        <w:bottom w:val="none" w:sz="0" w:space="0" w:color="auto"/>
        <w:right w:val="none" w:sz="0" w:space="0" w:color="auto"/>
      </w:divBdr>
      <w:divsChild>
        <w:div w:id="908926297">
          <w:marLeft w:val="0"/>
          <w:marRight w:val="0"/>
          <w:marTop w:val="0"/>
          <w:marBottom w:val="0"/>
          <w:divBdr>
            <w:top w:val="none" w:sz="0" w:space="0" w:color="auto"/>
            <w:left w:val="none" w:sz="0" w:space="0" w:color="auto"/>
            <w:bottom w:val="none" w:sz="0" w:space="0" w:color="auto"/>
            <w:right w:val="none" w:sz="0" w:space="0" w:color="auto"/>
          </w:divBdr>
          <w:divsChild>
            <w:div w:id="698313203">
              <w:marLeft w:val="0"/>
              <w:marRight w:val="0"/>
              <w:marTop w:val="0"/>
              <w:marBottom w:val="0"/>
              <w:divBdr>
                <w:top w:val="none" w:sz="0" w:space="0" w:color="auto"/>
                <w:left w:val="none" w:sz="0" w:space="0" w:color="auto"/>
                <w:bottom w:val="none" w:sz="0" w:space="0" w:color="auto"/>
                <w:right w:val="none" w:sz="0" w:space="0" w:color="auto"/>
              </w:divBdr>
              <w:divsChild>
                <w:div w:id="2007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395">
      <w:bodyDiv w:val="1"/>
      <w:marLeft w:val="0"/>
      <w:marRight w:val="0"/>
      <w:marTop w:val="0"/>
      <w:marBottom w:val="0"/>
      <w:divBdr>
        <w:top w:val="none" w:sz="0" w:space="0" w:color="auto"/>
        <w:left w:val="none" w:sz="0" w:space="0" w:color="auto"/>
        <w:bottom w:val="none" w:sz="0" w:space="0" w:color="auto"/>
        <w:right w:val="none" w:sz="0" w:space="0" w:color="auto"/>
      </w:divBdr>
    </w:div>
    <w:div w:id="78720392">
      <w:bodyDiv w:val="1"/>
      <w:marLeft w:val="0"/>
      <w:marRight w:val="0"/>
      <w:marTop w:val="0"/>
      <w:marBottom w:val="0"/>
      <w:divBdr>
        <w:top w:val="none" w:sz="0" w:space="0" w:color="auto"/>
        <w:left w:val="none" w:sz="0" w:space="0" w:color="auto"/>
        <w:bottom w:val="none" w:sz="0" w:space="0" w:color="auto"/>
        <w:right w:val="none" w:sz="0" w:space="0" w:color="auto"/>
      </w:divBdr>
    </w:div>
    <w:div w:id="104543486">
      <w:bodyDiv w:val="1"/>
      <w:marLeft w:val="0"/>
      <w:marRight w:val="0"/>
      <w:marTop w:val="0"/>
      <w:marBottom w:val="0"/>
      <w:divBdr>
        <w:top w:val="none" w:sz="0" w:space="0" w:color="auto"/>
        <w:left w:val="none" w:sz="0" w:space="0" w:color="auto"/>
        <w:bottom w:val="none" w:sz="0" w:space="0" w:color="auto"/>
        <w:right w:val="none" w:sz="0" w:space="0" w:color="auto"/>
      </w:divBdr>
      <w:divsChild>
        <w:div w:id="1550653065">
          <w:marLeft w:val="0"/>
          <w:marRight w:val="0"/>
          <w:marTop w:val="0"/>
          <w:marBottom w:val="0"/>
          <w:divBdr>
            <w:top w:val="none" w:sz="0" w:space="0" w:color="auto"/>
            <w:left w:val="none" w:sz="0" w:space="0" w:color="auto"/>
            <w:bottom w:val="none" w:sz="0" w:space="0" w:color="auto"/>
            <w:right w:val="none" w:sz="0" w:space="0" w:color="auto"/>
          </w:divBdr>
          <w:divsChild>
            <w:div w:id="1032265849">
              <w:marLeft w:val="0"/>
              <w:marRight w:val="0"/>
              <w:marTop w:val="0"/>
              <w:marBottom w:val="0"/>
              <w:divBdr>
                <w:top w:val="none" w:sz="0" w:space="0" w:color="auto"/>
                <w:left w:val="none" w:sz="0" w:space="0" w:color="auto"/>
                <w:bottom w:val="none" w:sz="0" w:space="0" w:color="auto"/>
                <w:right w:val="none" w:sz="0" w:space="0" w:color="auto"/>
              </w:divBdr>
              <w:divsChild>
                <w:div w:id="724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3935">
      <w:bodyDiv w:val="1"/>
      <w:marLeft w:val="0"/>
      <w:marRight w:val="0"/>
      <w:marTop w:val="0"/>
      <w:marBottom w:val="0"/>
      <w:divBdr>
        <w:top w:val="none" w:sz="0" w:space="0" w:color="auto"/>
        <w:left w:val="none" w:sz="0" w:space="0" w:color="auto"/>
        <w:bottom w:val="none" w:sz="0" w:space="0" w:color="auto"/>
        <w:right w:val="none" w:sz="0" w:space="0" w:color="auto"/>
      </w:divBdr>
      <w:divsChild>
        <w:div w:id="1922644479">
          <w:marLeft w:val="0"/>
          <w:marRight w:val="0"/>
          <w:marTop w:val="0"/>
          <w:marBottom w:val="0"/>
          <w:divBdr>
            <w:top w:val="none" w:sz="0" w:space="0" w:color="auto"/>
            <w:left w:val="none" w:sz="0" w:space="0" w:color="auto"/>
            <w:bottom w:val="none" w:sz="0" w:space="0" w:color="auto"/>
            <w:right w:val="none" w:sz="0" w:space="0" w:color="auto"/>
          </w:divBdr>
          <w:divsChild>
            <w:div w:id="1299917673">
              <w:marLeft w:val="0"/>
              <w:marRight w:val="0"/>
              <w:marTop w:val="0"/>
              <w:marBottom w:val="0"/>
              <w:divBdr>
                <w:top w:val="none" w:sz="0" w:space="0" w:color="auto"/>
                <w:left w:val="none" w:sz="0" w:space="0" w:color="auto"/>
                <w:bottom w:val="none" w:sz="0" w:space="0" w:color="auto"/>
                <w:right w:val="none" w:sz="0" w:space="0" w:color="auto"/>
              </w:divBdr>
              <w:divsChild>
                <w:div w:id="20504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5315">
      <w:bodyDiv w:val="1"/>
      <w:marLeft w:val="0"/>
      <w:marRight w:val="0"/>
      <w:marTop w:val="0"/>
      <w:marBottom w:val="0"/>
      <w:divBdr>
        <w:top w:val="none" w:sz="0" w:space="0" w:color="auto"/>
        <w:left w:val="none" w:sz="0" w:space="0" w:color="auto"/>
        <w:bottom w:val="none" w:sz="0" w:space="0" w:color="auto"/>
        <w:right w:val="none" w:sz="0" w:space="0" w:color="auto"/>
      </w:divBdr>
    </w:div>
    <w:div w:id="162280706">
      <w:bodyDiv w:val="1"/>
      <w:marLeft w:val="0"/>
      <w:marRight w:val="0"/>
      <w:marTop w:val="0"/>
      <w:marBottom w:val="0"/>
      <w:divBdr>
        <w:top w:val="none" w:sz="0" w:space="0" w:color="auto"/>
        <w:left w:val="none" w:sz="0" w:space="0" w:color="auto"/>
        <w:bottom w:val="none" w:sz="0" w:space="0" w:color="auto"/>
        <w:right w:val="none" w:sz="0" w:space="0" w:color="auto"/>
      </w:divBdr>
    </w:div>
    <w:div w:id="163011443">
      <w:bodyDiv w:val="1"/>
      <w:marLeft w:val="0"/>
      <w:marRight w:val="0"/>
      <w:marTop w:val="0"/>
      <w:marBottom w:val="0"/>
      <w:divBdr>
        <w:top w:val="none" w:sz="0" w:space="0" w:color="auto"/>
        <w:left w:val="none" w:sz="0" w:space="0" w:color="auto"/>
        <w:bottom w:val="none" w:sz="0" w:space="0" w:color="auto"/>
        <w:right w:val="none" w:sz="0" w:space="0" w:color="auto"/>
      </w:divBdr>
    </w:div>
    <w:div w:id="175652858">
      <w:bodyDiv w:val="1"/>
      <w:marLeft w:val="0"/>
      <w:marRight w:val="0"/>
      <w:marTop w:val="0"/>
      <w:marBottom w:val="0"/>
      <w:divBdr>
        <w:top w:val="none" w:sz="0" w:space="0" w:color="auto"/>
        <w:left w:val="none" w:sz="0" w:space="0" w:color="auto"/>
        <w:bottom w:val="none" w:sz="0" w:space="0" w:color="auto"/>
        <w:right w:val="none" w:sz="0" w:space="0" w:color="auto"/>
      </w:divBdr>
      <w:divsChild>
        <w:div w:id="1466195904">
          <w:marLeft w:val="0"/>
          <w:marRight w:val="0"/>
          <w:marTop w:val="0"/>
          <w:marBottom w:val="0"/>
          <w:divBdr>
            <w:top w:val="none" w:sz="0" w:space="0" w:color="auto"/>
            <w:left w:val="none" w:sz="0" w:space="0" w:color="auto"/>
            <w:bottom w:val="none" w:sz="0" w:space="0" w:color="auto"/>
            <w:right w:val="none" w:sz="0" w:space="0" w:color="auto"/>
          </w:divBdr>
          <w:divsChild>
            <w:div w:id="1972444404">
              <w:marLeft w:val="0"/>
              <w:marRight w:val="0"/>
              <w:marTop w:val="0"/>
              <w:marBottom w:val="0"/>
              <w:divBdr>
                <w:top w:val="none" w:sz="0" w:space="0" w:color="auto"/>
                <w:left w:val="none" w:sz="0" w:space="0" w:color="auto"/>
                <w:bottom w:val="none" w:sz="0" w:space="0" w:color="auto"/>
                <w:right w:val="none" w:sz="0" w:space="0" w:color="auto"/>
              </w:divBdr>
              <w:divsChild>
                <w:div w:id="510140791">
                  <w:marLeft w:val="0"/>
                  <w:marRight w:val="0"/>
                  <w:marTop w:val="0"/>
                  <w:marBottom w:val="0"/>
                  <w:divBdr>
                    <w:top w:val="none" w:sz="0" w:space="0" w:color="auto"/>
                    <w:left w:val="none" w:sz="0" w:space="0" w:color="auto"/>
                    <w:bottom w:val="none" w:sz="0" w:space="0" w:color="auto"/>
                    <w:right w:val="none" w:sz="0" w:space="0" w:color="auto"/>
                  </w:divBdr>
                  <w:divsChild>
                    <w:div w:id="1341935475">
                      <w:marLeft w:val="0"/>
                      <w:marRight w:val="0"/>
                      <w:marTop w:val="0"/>
                      <w:marBottom w:val="0"/>
                      <w:divBdr>
                        <w:top w:val="none" w:sz="0" w:space="0" w:color="auto"/>
                        <w:left w:val="none" w:sz="0" w:space="0" w:color="auto"/>
                        <w:bottom w:val="none" w:sz="0" w:space="0" w:color="auto"/>
                        <w:right w:val="none" w:sz="0" w:space="0" w:color="auto"/>
                      </w:divBdr>
                      <w:divsChild>
                        <w:div w:id="427820114">
                          <w:marLeft w:val="0"/>
                          <w:marRight w:val="0"/>
                          <w:marTop w:val="0"/>
                          <w:marBottom w:val="0"/>
                          <w:divBdr>
                            <w:top w:val="none" w:sz="0" w:space="0" w:color="auto"/>
                            <w:left w:val="none" w:sz="0" w:space="0" w:color="auto"/>
                            <w:bottom w:val="none" w:sz="0" w:space="0" w:color="auto"/>
                            <w:right w:val="none" w:sz="0" w:space="0" w:color="auto"/>
                          </w:divBdr>
                          <w:divsChild>
                            <w:div w:id="1321155135">
                              <w:marLeft w:val="0"/>
                              <w:marRight w:val="0"/>
                              <w:marTop w:val="0"/>
                              <w:marBottom w:val="0"/>
                              <w:divBdr>
                                <w:top w:val="none" w:sz="0" w:space="0" w:color="auto"/>
                                <w:left w:val="none" w:sz="0" w:space="0" w:color="auto"/>
                                <w:bottom w:val="none" w:sz="0" w:space="0" w:color="auto"/>
                                <w:right w:val="none" w:sz="0" w:space="0" w:color="auto"/>
                              </w:divBdr>
                              <w:divsChild>
                                <w:div w:id="711729923">
                                  <w:marLeft w:val="0"/>
                                  <w:marRight w:val="0"/>
                                  <w:marTop w:val="0"/>
                                  <w:marBottom w:val="0"/>
                                  <w:divBdr>
                                    <w:top w:val="none" w:sz="0" w:space="0" w:color="auto"/>
                                    <w:left w:val="none" w:sz="0" w:space="0" w:color="auto"/>
                                    <w:bottom w:val="none" w:sz="0" w:space="0" w:color="auto"/>
                                    <w:right w:val="none" w:sz="0" w:space="0" w:color="auto"/>
                                  </w:divBdr>
                                  <w:divsChild>
                                    <w:div w:id="1402485285">
                                      <w:marLeft w:val="0"/>
                                      <w:marRight w:val="0"/>
                                      <w:marTop w:val="0"/>
                                      <w:marBottom w:val="0"/>
                                      <w:divBdr>
                                        <w:top w:val="none" w:sz="0" w:space="0" w:color="auto"/>
                                        <w:left w:val="none" w:sz="0" w:space="0" w:color="auto"/>
                                        <w:bottom w:val="none" w:sz="0" w:space="0" w:color="auto"/>
                                        <w:right w:val="none" w:sz="0" w:space="0" w:color="auto"/>
                                      </w:divBdr>
                                      <w:divsChild>
                                        <w:div w:id="99954643">
                                          <w:marLeft w:val="0"/>
                                          <w:marRight w:val="0"/>
                                          <w:marTop w:val="0"/>
                                          <w:marBottom w:val="0"/>
                                          <w:divBdr>
                                            <w:top w:val="none" w:sz="0" w:space="0" w:color="auto"/>
                                            <w:left w:val="none" w:sz="0" w:space="0" w:color="auto"/>
                                            <w:bottom w:val="none" w:sz="0" w:space="0" w:color="auto"/>
                                            <w:right w:val="none" w:sz="0" w:space="0" w:color="auto"/>
                                          </w:divBdr>
                                          <w:divsChild>
                                            <w:div w:id="1516573070">
                                              <w:marLeft w:val="0"/>
                                              <w:marRight w:val="0"/>
                                              <w:marTop w:val="0"/>
                                              <w:marBottom w:val="0"/>
                                              <w:divBdr>
                                                <w:top w:val="none" w:sz="0" w:space="0" w:color="auto"/>
                                                <w:left w:val="none" w:sz="0" w:space="0" w:color="auto"/>
                                                <w:bottom w:val="none" w:sz="0" w:space="0" w:color="auto"/>
                                                <w:right w:val="none" w:sz="0" w:space="0" w:color="auto"/>
                                              </w:divBdr>
                                              <w:divsChild>
                                                <w:div w:id="995065307">
                                                  <w:marLeft w:val="0"/>
                                                  <w:marRight w:val="0"/>
                                                  <w:marTop w:val="0"/>
                                                  <w:marBottom w:val="0"/>
                                                  <w:divBdr>
                                                    <w:top w:val="none" w:sz="0" w:space="0" w:color="auto"/>
                                                    <w:left w:val="none" w:sz="0" w:space="0" w:color="auto"/>
                                                    <w:bottom w:val="none" w:sz="0" w:space="0" w:color="auto"/>
                                                    <w:right w:val="none" w:sz="0" w:space="0" w:color="auto"/>
                                                  </w:divBdr>
                                                  <w:divsChild>
                                                    <w:div w:id="3727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32813">
      <w:bodyDiv w:val="1"/>
      <w:marLeft w:val="0"/>
      <w:marRight w:val="0"/>
      <w:marTop w:val="0"/>
      <w:marBottom w:val="0"/>
      <w:divBdr>
        <w:top w:val="none" w:sz="0" w:space="0" w:color="auto"/>
        <w:left w:val="none" w:sz="0" w:space="0" w:color="auto"/>
        <w:bottom w:val="none" w:sz="0" w:space="0" w:color="auto"/>
        <w:right w:val="none" w:sz="0" w:space="0" w:color="auto"/>
      </w:divBdr>
    </w:div>
    <w:div w:id="205071998">
      <w:bodyDiv w:val="1"/>
      <w:marLeft w:val="0"/>
      <w:marRight w:val="0"/>
      <w:marTop w:val="0"/>
      <w:marBottom w:val="0"/>
      <w:divBdr>
        <w:top w:val="none" w:sz="0" w:space="0" w:color="auto"/>
        <w:left w:val="none" w:sz="0" w:space="0" w:color="auto"/>
        <w:bottom w:val="none" w:sz="0" w:space="0" w:color="auto"/>
        <w:right w:val="none" w:sz="0" w:space="0" w:color="auto"/>
      </w:divBdr>
    </w:div>
    <w:div w:id="223369804">
      <w:bodyDiv w:val="1"/>
      <w:marLeft w:val="0"/>
      <w:marRight w:val="0"/>
      <w:marTop w:val="0"/>
      <w:marBottom w:val="0"/>
      <w:divBdr>
        <w:top w:val="none" w:sz="0" w:space="0" w:color="auto"/>
        <w:left w:val="none" w:sz="0" w:space="0" w:color="auto"/>
        <w:bottom w:val="none" w:sz="0" w:space="0" w:color="auto"/>
        <w:right w:val="none" w:sz="0" w:space="0" w:color="auto"/>
      </w:divBdr>
    </w:div>
    <w:div w:id="248736484">
      <w:bodyDiv w:val="1"/>
      <w:marLeft w:val="0"/>
      <w:marRight w:val="0"/>
      <w:marTop w:val="0"/>
      <w:marBottom w:val="0"/>
      <w:divBdr>
        <w:top w:val="none" w:sz="0" w:space="0" w:color="auto"/>
        <w:left w:val="none" w:sz="0" w:space="0" w:color="auto"/>
        <w:bottom w:val="none" w:sz="0" w:space="0" w:color="auto"/>
        <w:right w:val="none" w:sz="0" w:space="0" w:color="auto"/>
      </w:divBdr>
      <w:divsChild>
        <w:div w:id="1595093720">
          <w:marLeft w:val="0"/>
          <w:marRight w:val="0"/>
          <w:marTop w:val="0"/>
          <w:marBottom w:val="0"/>
          <w:divBdr>
            <w:top w:val="none" w:sz="0" w:space="0" w:color="auto"/>
            <w:left w:val="none" w:sz="0" w:space="0" w:color="auto"/>
            <w:bottom w:val="none" w:sz="0" w:space="0" w:color="auto"/>
            <w:right w:val="none" w:sz="0" w:space="0" w:color="auto"/>
          </w:divBdr>
          <w:divsChild>
            <w:div w:id="2121099360">
              <w:marLeft w:val="0"/>
              <w:marRight w:val="0"/>
              <w:marTop w:val="0"/>
              <w:marBottom w:val="0"/>
              <w:divBdr>
                <w:top w:val="none" w:sz="0" w:space="0" w:color="auto"/>
                <w:left w:val="none" w:sz="0" w:space="0" w:color="auto"/>
                <w:bottom w:val="none" w:sz="0" w:space="0" w:color="auto"/>
                <w:right w:val="none" w:sz="0" w:space="0" w:color="auto"/>
              </w:divBdr>
              <w:divsChild>
                <w:div w:id="1768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0112">
      <w:bodyDiv w:val="1"/>
      <w:marLeft w:val="0"/>
      <w:marRight w:val="0"/>
      <w:marTop w:val="0"/>
      <w:marBottom w:val="0"/>
      <w:divBdr>
        <w:top w:val="none" w:sz="0" w:space="0" w:color="auto"/>
        <w:left w:val="none" w:sz="0" w:space="0" w:color="auto"/>
        <w:bottom w:val="none" w:sz="0" w:space="0" w:color="auto"/>
        <w:right w:val="none" w:sz="0" w:space="0" w:color="auto"/>
      </w:divBdr>
      <w:divsChild>
        <w:div w:id="610209830">
          <w:marLeft w:val="0"/>
          <w:marRight w:val="0"/>
          <w:marTop w:val="0"/>
          <w:marBottom w:val="0"/>
          <w:divBdr>
            <w:top w:val="none" w:sz="0" w:space="0" w:color="auto"/>
            <w:left w:val="none" w:sz="0" w:space="0" w:color="auto"/>
            <w:bottom w:val="none" w:sz="0" w:space="0" w:color="auto"/>
            <w:right w:val="none" w:sz="0" w:space="0" w:color="auto"/>
          </w:divBdr>
          <w:divsChild>
            <w:div w:id="2010447966">
              <w:marLeft w:val="0"/>
              <w:marRight w:val="0"/>
              <w:marTop w:val="0"/>
              <w:marBottom w:val="0"/>
              <w:divBdr>
                <w:top w:val="none" w:sz="0" w:space="0" w:color="auto"/>
                <w:left w:val="none" w:sz="0" w:space="0" w:color="auto"/>
                <w:bottom w:val="none" w:sz="0" w:space="0" w:color="auto"/>
                <w:right w:val="none" w:sz="0" w:space="0" w:color="auto"/>
              </w:divBdr>
              <w:divsChild>
                <w:div w:id="1281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730">
      <w:bodyDiv w:val="1"/>
      <w:marLeft w:val="0"/>
      <w:marRight w:val="0"/>
      <w:marTop w:val="0"/>
      <w:marBottom w:val="0"/>
      <w:divBdr>
        <w:top w:val="none" w:sz="0" w:space="0" w:color="auto"/>
        <w:left w:val="none" w:sz="0" w:space="0" w:color="auto"/>
        <w:bottom w:val="none" w:sz="0" w:space="0" w:color="auto"/>
        <w:right w:val="none" w:sz="0" w:space="0" w:color="auto"/>
      </w:divBdr>
      <w:divsChild>
        <w:div w:id="798180517">
          <w:marLeft w:val="0"/>
          <w:marRight w:val="0"/>
          <w:marTop w:val="0"/>
          <w:marBottom w:val="0"/>
          <w:divBdr>
            <w:top w:val="none" w:sz="0" w:space="0" w:color="auto"/>
            <w:left w:val="none" w:sz="0" w:space="0" w:color="auto"/>
            <w:bottom w:val="none" w:sz="0" w:space="0" w:color="auto"/>
            <w:right w:val="none" w:sz="0" w:space="0" w:color="auto"/>
          </w:divBdr>
          <w:divsChild>
            <w:div w:id="370961517">
              <w:marLeft w:val="0"/>
              <w:marRight w:val="0"/>
              <w:marTop w:val="0"/>
              <w:marBottom w:val="0"/>
              <w:divBdr>
                <w:top w:val="none" w:sz="0" w:space="0" w:color="auto"/>
                <w:left w:val="none" w:sz="0" w:space="0" w:color="auto"/>
                <w:bottom w:val="none" w:sz="0" w:space="0" w:color="auto"/>
                <w:right w:val="none" w:sz="0" w:space="0" w:color="auto"/>
              </w:divBdr>
              <w:divsChild>
                <w:div w:id="12448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3559">
      <w:bodyDiv w:val="1"/>
      <w:marLeft w:val="0"/>
      <w:marRight w:val="0"/>
      <w:marTop w:val="0"/>
      <w:marBottom w:val="0"/>
      <w:divBdr>
        <w:top w:val="none" w:sz="0" w:space="0" w:color="auto"/>
        <w:left w:val="none" w:sz="0" w:space="0" w:color="auto"/>
        <w:bottom w:val="none" w:sz="0" w:space="0" w:color="auto"/>
        <w:right w:val="none" w:sz="0" w:space="0" w:color="auto"/>
      </w:divBdr>
    </w:div>
    <w:div w:id="261230192">
      <w:bodyDiv w:val="1"/>
      <w:marLeft w:val="0"/>
      <w:marRight w:val="0"/>
      <w:marTop w:val="0"/>
      <w:marBottom w:val="0"/>
      <w:divBdr>
        <w:top w:val="none" w:sz="0" w:space="0" w:color="auto"/>
        <w:left w:val="none" w:sz="0" w:space="0" w:color="auto"/>
        <w:bottom w:val="none" w:sz="0" w:space="0" w:color="auto"/>
        <w:right w:val="none" w:sz="0" w:space="0" w:color="auto"/>
      </w:divBdr>
    </w:div>
    <w:div w:id="306280608">
      <w:bodyDiv w:val="1"/>
      <w:marLeft w:val="0"/>
      <w:marRight w:val="0"/>
      <w:marTop w:val="0"/>
      <w:marBottom w:val="0"/>
      <w:divBdr>
        <w:top w:val="none" w:sz="0" w:space="0" w:color="auto"/>
        <w:left w:val="none" w:sz="0" w:space="0" w:color="auto"/>
        <w:bottom w:val="none" w:sz="0" w:space="0" w:color="auto"/>
        <w:right w:val="none" w:sz="0" w:space="0" w:color="auto"/>
      </w:divBdr>
    </w:div>
    <w:div w:id="309019369">
      <w:bodyDiv w:val="1"/>
      <w:marLeft w:val="0"/>
      <w:marRight w:val="0"/>
      <w:marTop w:val="0"/>
      <w:marBottom w:val="0"/>
      <w:divBdr>
        <w:top w:val="none" w:sz="0" w:space="0" w:color="auto"/>
        <w:left w:val="none" w:sz="0" w:space="0" w:color="auto"/>
        <w:bottom w:val="none" w:sz="0" w:space="0" w:color="auto"/>
        <w:right w:val="none" w:sz="0" w:space="0" w:color="auto"/>
      </w:divBdr>
      <w:divsChild>
        <w:div w:id="1401560420">
          <w:marLeft w:val="2400"/>
          <w:marRight w:val="0"/>
          <w:marTop w:val="0"/>
          <w:marBottom w:val="0"/>
          <w:divBdr>
            <w:top w:val="single" w:sz="6" w:space="12" w:color="A7D7F9"/>
            <w:left w:val="single" w:sz="6" w:space="12" w:color="A7D7F9"/>
            <w:bottom w:val="single" w:sz="6" w:space="12" w:color="A7D7F9"/>
            <w:right w:val="single" w:sz="2" w:space="12" w:color="A7D7F9"/>
          </w:divBdr>
          <w:divsChild>
            <w:div w:id="63525445">
              <w:marLeft w:val="0"/>
              <w:marRight w:val="0"/>
              <w:marTop w:val="0"/>
              <w:marBottom w:val="0"/>
              <w:divBdr>
                <w:top w:val="none" w:sz="0" w:space="0" w:color="auto"/>
                <w:left w:val="none" w:sz="0" w:space="0" w:color="auto"/>
                <w:bottom w:val="none" w:sz="0" w:space="0" w:color="auto"/>
                <w:right w:val="none" w:sz="0" w:space="0" w:color="auto"/>
              </w:divBdr>
              <w:divsChild>
                <w:div w:id="227348371">
                  <w:marLeft w:val="0"/>
                  <w:marRight w:val="0"/>
                  <w:marTop w:val="0"/>
                  <w:marBottom w:val="0"/>
                  <w:divBdr>
                    <w:top w:val="none" w:sz="0" w:space="0" w:color="auto"/>
                    <w:left w:val="none" w:sz="0" w:space="0" w:color="auto"/>
                    <w:bottom w:val="none" w:sz="0" w:space="0" w:color="auto"/>
                    <w:right w:val="none" w:sz="0" w:space="0" w:color="auto"/>
                  </w:divBdr>
                  <w:divsChild>
                    <w:div w:id="10989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69768">
      <w:bodyDiv w:val="1"/>
      <w:marLeft w:val="0"/>
      <w:marRight w:val="0"/>
      <w:marTop w:val="0"/>
      <w:marBottom w:val="0"/>
      <w:divBdr>
        <w:top w:val="none" w:sz="0" w:space="0" w:color="auto"/>
        <w:left w:val="none" w:sz="0" w:space="0" w:color="auto"/>
        <w:bottom w:val="none" w:sz="0" w:space="0" w:color="auto"/>
        <w:right w:val="none" w:sz="0" w:space="0" w:color="auto"/>
      </w:divBdr>
      <w:divsChild>
        <w:div w:id="1429697678">
          <w:marLeft w:val="0"/>
          <w:marRight w:val="0"/>
          <w:marTop w:val="0"/>
          <w:marBottom w:val="0"/>
          <w:divBdr>
            <w:top w:val="none" w:sz="0" w:space="0" w:color="auto"/>
            <w:left w:val="none" w:sz="0" w:space="0" w:color="auto"/>
            <w:bottom w:val="none" w:sz="0" w:space="0" w:color="auto"/>
            <w:right w:val="none" w:sz="0" w:space="0" w:color="auto"/>
          </w:divBdr>
          <w:divsChild>
            <w:div w:id="1696076133">
              <w:marLeft w:val="0"/>
              <w:marRight w:val="0"/>
              <w:marTop w:val="0"/>
              <w:marBottom w:val="0"/>
              <w:divBdr>
                <w:top w:val="none" w:sz="0" w:space="0" w:color="auto"/>
                <w:left w:val="none" w:sz="0" w:space="0" w:color="auto"/>
                <w:bottom w:val="none" w:sz="0" w:space="0" w:color="auto"/>
                <w:right w:val="none" w:sz="0" w:space="0" w:color="auto"/>
              </w:divBdr>
              <w:divsChild>
                <w:div w:id="4508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0025">
      <w:bodyDiv w:val="1"/>
      <w:marLeft w:val="0"/>
      <w:marRight w:val="0"/>
      <w:marTop w:val="0"/>
      <w:marBottom w:val="0"/>
      <w:divBdr>
        <w:top w:val="none" w:sz="0" w:space="0" w:color="auto"/>
        <w:left w:val="none" w:sz="0" w:space="0" w:color="auto"/>
        <w:bottom w:val="none" w:sz="0" w:space="0" w:color="auto"/>
        <w:right w:val="none" w:sz="0" w:space="0" w:color="auto"/>
      </w:divBdr>
    </w:div>
    <w:div w:id="365910853">
      <w:bodyDiv w:val="1"/>
      <w:marLeft w:val="0"/>
      <w:marRight w:val="0"/>
      <w:marTop w:val="0"/>
      <w:marBottom w:val="0"/>
      <w:divBdr>
        <w:top w:val="none" w:sz="0" w:space="0" w:color="auto"/>
        <w:left w:val="none" w:sz="0" w:space="0" w:color="auto"/>
        <w:bottom w:val="none" w:sz="0" w:space="0" w:color="auto"/>
        <w:right w:val="none" w:sz="0" w:space="0" w:color="auto"/>
      </w:divBdr>
    </w:div>
    <w:div w:id="373777894">
      <w:bodyDiv w:val="1"/>
      <w:marLeft w:val="0"/>
      <w:marRight w:val="0"/>
      <w:marTop w:val="0"/>
      <w:marBottom w:val="0"/>
      <w:divBdr>
        <w:top w:val="none" w:sz="0" w:space="0" w:color="auto"/>
        <w:left w:val="none" w:sz="0" w:space="0" w:color="auto"/>
        <w:bottom w:val="none" w:sz="0" w:space="0" w:color="auto"/>
        <w:right w:val="none" w:sz="0" w:space="0" w:color="auto"/>
      </w:divBdr>
    </w:div>
    <w:div w:id="375280770">
      <w:bodyDiv w:val="1"/>
      <w:marLeft w:val="0"/>
      <w:marRight w:val="0"/>
      <w:marTop w:val="0"/>
      <w:marBottom w:val="0"/>
      <w:divBdr>
        <w:top w:val="none" w:sz="0" w:space="0" w:color="auto"/>
        <w:left w:val="none" w:sz="0" w:space="0" w:color="auto"/>
        <w:bottom w:val="none" w:sz="0" w:space="0" w:color="auto"/>
        <w:right w:val="none" w:sz="0" w:space="0" w:color="auto"/>
      </w:divBdr>
      <w:divsChild>
        <w:div w:id="1618173922">
          <w:marLeft w:val="0"/>
          <w:marRight w:val="0"/>
          <w:marTop w:val="0"/>
          <w:marBottom w:val="0"/>
          <w:divBdr>
            <w:top w:val="none" w:sz="0" w:space="0" w:color="auto"/>
            <w:left w:val="none" w:sz="0" w:space="0" w:color="auto"/>
            <w:bottom w:val="none" w:sz="0" w:space="0" w:color="auto"/>
            <w:right w:val="none" w:sz="0" w:space="0" w:color="auto"/>
          </w:divBdr>
          <w:divsChild>
            <w:div w:id="1122308523">
              <w:marLeft w:val="0"/>
              <w:marRight w:val="0"/>
              <w:marTop w:val="0"/>
              <w:marBottom w:val="0"/>
              <w:divBdr>
                <w:top w:val="none" w:sz="0" w:space="0" w:color="auto"/>
                <w:left w:val="none" w:sz="0" w:space="0" w:color="auto"/>
                <w:bottom w:val="none" w:sz="0" w:space="0" w:color="auto"/>
                <w:right w:val="none" w:sz="0" w:space="0" w:color="auto"/>
              </w:divBdr>
              <w:divsChild>
                <w:div w:id="3771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7958">
      <w:bodyDiv w:val="1"/>
      <w:marLeft w:val="0"/>
      <w:marRight w:val="0"/>
      <w:marTop w:val="0"/>
      <w:marBottom w:val="0"/>
      <w:divBdr>
        <w:top w:val="none" w:sz="0" w:space="0" w:color="auto"/>
        <w:left w:val="none" w:sz="0" w:space="0" w:color="auto"/>
        <w:bottom w:val="none" w:sz="0" w:space="0" w:color="auto"/>
        <w:right w:val="none" w:sz="0" w:space="0" w:color="auto"/>
      </w:divBdr>
      <w:divsChild>
        <w:div w:id="1589775078">
          <w:marLeft w:val="0"/>
          <w:marRight w:val="0"/>
          <w:marTop w:val="0"/>
          <w:marBottom w:val="0"/>
          <w:divBdr>
            <w:top w:val="none" w:sz="0" w:space="0" w:color="auto"/>
            <w:left w:val="none" w:sz="0" w:space="0" w:color="auto"/>
            <w:bottom w:val="none" w:sz="0" w:space="0" w:color="auto"/>
            <w:right w:val="none" w:sz="0" w:space="0" w:color="auto"/>
          </w:divBdr>
          <w:divsChild>
            <w:div w:id="1696535682">
              <w:marLeft w:val="0"/>
              <w:marRight w:val="0"/>
              <w:marTop w:val="0"/>
              <w:marBottom w:val="0"/>
              <w:divBdr>
                <w:top w:val="none" w:sz="0" w:space="0" w:color="auto"/>
                <w:left w:val="none" w:sz="0" w:space="0" w:color="auto"/>
                <w:bottom w:val="none" w:sz="0" w:space="0" w:color="auto"/>
                <w:right w:val="none" w:sz="0" w:space="0" w:color="auto"/>
              </w:divBdr>
              <w:divsChild>
                <w:div w:id="9750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4700">
      <w:bodyDiv w:val="1"/>
      <w:marLeft w:val="0"/>
      <w:marRight w:val="0"/>
      <w:marTop w:val="0"/>
      <w:marBottom w:val="0"/>
      <w:divBdr>
        <w:top w:val="none" w:sz="0" w:space="0" w:color="auto"/>
        <w:left w:val="none" w:sz="0" w:space="0" w:color="auto"/>
        <w:bottom w:val="none" w:sz="0" w:space="0" w:color="auto"/>
        <w:right w:val="none" w:sz="0" w:space="0" w:color="auto"/>
      </w:divBdr>
    </w:div>
    <w:div w:id="419983722">
      <w:bodyDiv w:val="1"/>
      <w:marLeft w:val="0"/>
      <w:marRight w:val="0"/>
      <w:marTop w:val="0"/>
      <w:marBottom w:val="0"/>
      <w:divBdr>
        <w:top w:val="none" w:sz="0" w:space="0" w:color="auto"/>
        <w:left w:val="none" w:sz="0" w:space="0" w:color="auto"/>
        <w:bottom w:val="none" w:sz="0" w:space="0" w:color="auto"/>
        <w:right w:val="none" w:sz="0" w:space="0" w:color="auto"/>
      </w:divBdr>
    </w:div>
    <w:div w:id="426922863">
      <w:bodyDiv w:val="1"/>
      <w:marLeft w:val="0"/>
      <w:marRight w:val="0"/>
      <w:marTop w:val="0"/>
      <w:marBottom w:val="0"/>
      <w:divBdr>
        <w:top w:val="none" w:sz="0" w:space="0" w:color="auto"/>
        <w:left w:val="none" w:sz="0" w:space="0" w:color="auto"/>
        <w:bottom w:val="none" w:sz="0" w:space="0" w:color="auto"/>
        <w:right w:val="none" w:sz="0" w:space="0" w:color="auto"/>
      </w:divBdr>
    </w:div>
    <w:div w:id="446579586">
      <w:bodyDiv w:val="1"/>
      <w:marLeft w:val="0"/>
      <w:marRight w:val="0"/>
      <w:marTop w:val="0"/>
      <w:marBottom w:val="0"/>
      <w:divBdr>
        <w:top w:val="none" w:sz="0" w:space="0" w:color="auto"/>
        <w:left w:val="none" w:sz="0" w:space="0" w:color="auto"/>
        <w:bottom w:val="none" w:sz="0" w:space="0" w:color="auto"/>
        <w:right w:val="none" w:sz="0" w:space="0" w:color="auto"/>
      </w:divBdr>
    </w:div>
    <w:div w:id="477456785">
      <w:bodyDiv w:val="1"/>
      <w:marLeft w:val="0"/>
      <w:marRight w:val="0"/>
      <w:marTop w:val="0"/>
      <w:marBottom w:val="0"/>
      <w:divBdr>
        <w:top w:val="none" w:sz="0" w:space="0" w:color="auto"/>
        <w:left w:val="none" w:sz="0" w:space="0" w:color="auto"/>
        <w:bottom w:val="none" w:sz="0" w:space="0" w:color="auto"/>
        <w:right w:val="none" w:sz="0" w:space="0" w:color="auto"/>
      </w:divBdr>
      <w:divsChild>
        <w:div w:id="149104160">
          <w:marLeft w:val="0"/>
          <w:marRight w:val="0"/>
          <w:marTop w:val="0"/>
          <w:marBottom w:val="0"/>
          <w:divBdr>
            <w:top w:val="none" w:sz="0" w:space="0" w:color="auto"/>
            <w:left w:val="none" w:sz="0" w:space="0" w:color="auto"/>
            <w:bottom w:val="none" w:sz="0" w:space="0" w:color="auto"/>
            <w:right w:val="none" w:sz="0" w:space="0" w:color="auto"/>
          </w:divBdr>
          <w:divsChild>
            <w:div w:id="711077134">
              <w:marLeft w:val="0"/>
              <w:marRight w:val="0"/>
              <w:marTop w:val="0"/>
              <w:marBottom w:val="0"/>
              <w:divBdr>
                <w:top w:val="none" w:sz="0" w:space="0" w:color="auto"/>
                <w:left w:val="none" w:sz="0" w:space="0" w:color="auto"/>
                <w:bottom w:val="none" w:sz="0" w:space="0" w:color="auto"/>
                <w:right w:val="none" w:sz="0" w:space="0" w:color="auto"/>
              </w:divBdr>
              <w:divsChild>
                <w:div w:id="12746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8554">
      <w:bodyDiv w:val="1"/>
      <w:marLeft w:val="0"/>
      <w:marRight w:val="0"/>
      <w:marTop w:val="0"/>
      <w:marBottom w:val="0"/>
      <w:divBdr>
        <w:top w:val="none" w:sz="0" w:space="0" w:color="auto"/>
        <w:left w:val="none" w:sz="0" w:space="0" w:color="auto"/>
        <w:bottom w:val="none" w:sz="0" w:space="0" w:color="auto"/>
        <w:right w:val="none" w:sz="0" w:space="0" w:color="auto"/>
      </w:divBdr>
      <w:divsChild>
        <w:div w:id="2078430942">
          <w:marLeft w:val="0"/>
          <w:marRight w:val="0"/>
          <w:marTop w:val="0"/>
          <w:marBottom w:val="0"/>
          <w:divBdr>
            <w:top w:val="none" w:sz="0" w:space="0" w:color="auto"/>
            <w:left w:val="none" w:sz="0" w:space="0" w:color="auto"/>
            <w:bottom w:val="none" w:sz="0" w:space="0" w:color="auto"/>
            <w:right w:val="none" w:sz="0" w:space="0" w:color="auto"/>
          </w:divBdr>
          <w:divsChild>
            <w:div w:id="824974004">
              <w:marLeft w:val="0"/>
              <w:marRight w:val="0"/>
              <w:marTop w:val="0"/>
              <w:marBottom w:val="0"/>
              <w:divBdr>
                <w:top w:val="none" w:sz="0" w:space="0" w:color="auto"/>
                <w:left w:val="none" w:sz="0" w:space="0" w:color="auto"/>
                <w:bottom w:val="none" w:sz="0" w:space="0" w:color="auto"/>
                <w:right w:val="none" w:sz="0" w:space="0" w:color="auto"/>
              </w:divBdr>
              <w:divsChild>
                <w:div w:id="7723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8569">
      <w:bodyDiv w:val="1"/>
      <w:marLeft w:val="0"/>
      <w:marRight w:val="0"/>
      <w:marTop w:val="0"/>
      <w:marBottom w:val="0"/>
      <w:divBdr>
        <w:top w:val="none" w:sz="0" w:space="0" w:color="auto"/>
        <w:left w:val="none" w:sz="0" w:space="0" w:color="auto"/>
        <w:bottom w:val="none" w:sz="0" w:space="0" w:color="auto"/>
        <w:right w:val="none" w:sz="0" w:space="0" w:color="auto"/>
      </w:divBdr>
    </w:div>
    <w:div w:id="515117607">
      <w:bodyDiv w:val="1"/>
      <w:marLeft w:val="0"/>
      <w:marRight w:val="0"/>
      <w:marTop w:val="0"/>
      <w:marBottom w:val="0"/>
      <w:divBdr>
        <w:top w:val="none" w:sz="0" w:space="0" w:color="auto"/>
        <w:left w:val="none" w:sz="0" w:space="0" w:color="auto"/>
        <w:bottom w:val="none" w:sz="0" w:space="0" w:color="auto"/>
        <w:right w:val="none" w:sz="0" w:space="0" w:color="auto"/>
      </w:divBdr>
    </w:div>
    <w:div w:id="530263174">
      <w:bodyDiv w:val="1"/>
      <w:marLeft w:val="0"/>
      <w:marRight w:val="0"/>
      <w:marTop w:val="0"/>
      <w:marBottom w:val="0"/>
      <w:divBdr>
        <w:top w:val="none" w:sz="0" w:space="0" w:color="auto"/>
        <w:left w:val="none" w:sz="0" w:space="0" w:color="auto"/>
        <w:bottom w:val="none" w:sz="0" w:space="0" w:color="auto"/>
        <w:right w:val="none" w:sz="0" w:space="0" w:color="auto"/>
      </w:divBdr>
    </w:div>
    <w:div w:id="531915852">
      <w:bodyDiv w:val="1"/>
      <w:marLeft w:val="0"/>
      <w:marRight w:val="0"/>
      <w:marTop w:val="0"/>
      <w:marBottom w:val="0"/>
      <w:divBdr>
        <w:top w:val="none" w:sz="0" w:space="0" w:color="auto"/>
        <w:left w:val="none" w:sz="0" w:space="0" w:color="auto"/>
        <w:bottom w:val="none" w:sz="0" w:space="0" w:color="auto"/>
        <w:right w:val="none" w:sz="0" w:space="0" w:color="auto"/>
      </w:divBdr>
    </w:div>
    <w:div w:id="542522962">
      <w:bodyDiv w:val="1"/>
      <w:marLeft w:val="0"/>
      <w:marRight w:val="0"/>
      <w:marTop w:val="0"/>
      <w:marBottom w:val="0"/>
      <w:divBdr>
        <w:top w:val="none" w:sz="0" w:space="0" w:color="auto"/>
        <w:left w:val="none" w:sz="0" w:space="0" w:color="auto"/>
        <w:bottom w:val="none" w:sz="0" w:space="0" w:color="auto"/>
        <w:right w:val="none" w:sz="0" w:space="0" w:color="auto"/>
      </w:divBdr>
    </w:div>
    <w:div w:id="545987242">
      <w:bodyDiv w:val="1"/>
      <w:marLeft w:val="0"/>
      <w:marRight w:val="0"/>
      <w:marTop w:val="0"/>
      <w:marBottom w:val="0"/>
      <w:divBdr>
        <w:top w:val="none" w:sz="0" w:space="0" w:color="auto"/>
        <w:left w:val="none" w:sz="0" w:space="0" w:color="auto"/>
        <w:bottom w:val="none" w:sz="0" w:space="0" w:color="auto"/>
        <w:right w:val="none" w:sz="0" w:space="0" w:color="auto"/>
      </w:divBdr>
    </w:div>
    <w:div w:id="557209584">
      <w:bodyDiv w:val="1"/>
      <w:marLeft w:val="0"/>
      <w:marRight w:val="0"/>
      <w:marTop w:val="0"/>
      <w:marBottom w:val="0"/>
      <w:divBdr>
        <w:top w:val="none" w:sz="0" w:space="0" w:color="auto"/>
        <w:left w:val="none" w:sz="0" w:space="0" w:color="auto"/>
        <w:bottom w:val="none" w:sz="0" w:space="0" w:color="auto"/>
        <w:right w:val="none" w:sz="0" w:space="0" w:color="auto"/>
      </w:divBdr>
    </w:div>
    <w:div w:id="559824792">
      <w:bodyDiv w:val="1"/>
      <w:marLeft w:val="0"/>
      <w:marRight w:val="0"/>
      <w:marTop w:val="0"/>
      <w:marBottom w:val="0"/>
      <w:divBdr>
        <w:top w:val="none" w:sz="0" w:space="0" w:color="auto"/>
        <w:left w:val="none" w:sz="0" w:space="0" w:color="auto"/>
        <w:bottom w:val="none" w:sz="0" w:space="0" w:color="auto"/>
        <w:right w:val="none" w:sz="0" w:space="0" w:color="auto"/>
      </w:divBdr>
    </w:div>
    <w:div w:id="595752774">
      <w:bodyDiv w:val="1"/>
      <w:marLeft w:val="0"/>
      <w:marRight w:val="0"/>
      <w:marTop w:val="0"/>
      <w:marBottom w:val="0"/>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sChild>
            <w:div w:id="685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7450">
      <w:bodyDiv w:val="1"/>
      <w:marLeft w:val="0"/>
      <w:marRight w:val="0"/>
      <w:marTop w:val="0"/>
      <w:marBottom w:val="0"/>
      <w:divBdr>
        <w:top w:val="none" w:sz="0" w:space="0" w:color="auto"/>
        <w:left w:val="none" w:sz="0" w:space="0" w:color="auto"/>
        <w:bottom w:val="none" w:sz="0" w:space="0" w:color="auto"/>
        <w:right w:val="none" w:sz="0" w:space="0" w:color="auto"/>
      </w:divBdr>
    </w:div>
    <w:div w:id="608706673">
      <w:bodyDiv w:val="1"/>
      <w:marLeft w:val="0"/>
      <w:marRight w:val="0"/>
      <w:marTop w:val="0"/>
      <w:marBottom w:val="0"/>
      <w:divBdr>
        <w:top w:val="none" w:sz="0" w:space="0" w:color="auto"/>
        <w:left w:val="none" w:sz="0" w:space="0" w:color="auto"/>
        <w:bottom w:val="none" w:sz="0" w:space="0" w:color="auto"/>
        <w:right w:val="none" w:sz="0" w:space="0" w:color="auto"/>
      </w:divBdr>
    </w:div>
    <w:div w:id="609092149">
      <w:bodyDiv w:val="1"/>
      <w:marLeft w:val="0"/>
      <w:marRight w:val="0"/>
      <w:marTop w:val="0"/>
      <w:marBottom w:val="0"/>
      <w:divBdr>
        <w:top w:val="none" w:sz="0" w:space="0" w:color="auto"/>
        <w:left w:val="none" w:sz="0" w:space="0" w:color="auto"/>
        <w:bottom w:val="none" w:sz="0" w:space="0" w:color="auto"/>
        <w:right w:val="none" w:sz="0" w:space="0" w:color="auto"/>
      </w:divBdr>
      <w:divsChild>
        <w:div w:id="487282848">
          <w:marLeft w:val="0"/>
          <w:marRight w:val="0"/>
          <w:marTop w:val="0"/>
          <w:marBottom w:val="0"/>
          <w:divBdr>
            <w:top w:val="none" w:sz="0" w:space="0" w:color="auto"/>
            <w:left w:val="none" w:sz="0" w:space="0" w:color="auto"/>
            <w:bottom w:val="none" w:sz="0" w:space="0" w:color="auto"/>
            <w:right w:val="none" w:sz="0" w:space="0" w:color="auto"/>
          </w:divBdr>
          <w:divsChild>
            <w:div w:id="363142403">
              <w:marLeft w:val="0"/>
              <w:marRight w:val="0"/>
              <w:marTop w:val="0"/>
              <w:marBottom w:val="0"/>
              <w:divBdr>
                <w:top w:val="none" w:sz="0" w:space="0" w:color="auto"/>
                <w:left w:val="none" w:sz="0" w:space="0" w:color="auto"/>
                <w:bottom w:val="none" w:sz="0" w:space="0" w:color="auto"/>
                <w:right w:val="none" w:sz="0" w:space="0" w:color="auto"/>
              </w:divBdr>
              <w:divsChild>
                <w:div w:id="3259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261">
      <w:bodyDiv w:val="1"/>
      <w:marLeft w:val="0"/>
      <w:marRight w:val="0"/>
      <w:marTop w:val="0"/>
      <w:marBottom w:val="0"/>
      <w:divBdr>
        <w:top w:val="none" w:sz="0" w:space="0" w:color="auto"/>
        <w:left w:val="none" w:sz="0" w:space="0" w:color="auto"/>
        <w:bottom w:val="none" w:sz="0" w:space="0" w:color="auto"/>
        <w:right w:val="none" w:sz="0" w:space="0" w:color="auto"/>
      </w:divBdr>
      <w:divsChild>
        <w:div w:id="2053187371">
          <w:marLeft w:val="0"/>
          <w:marRight w:val="0"/>
          <w:marTop w:val="0"/>
          <w:marBottom w:val="0"/>
          <w:divBdr>
            <w:top w:val="none" w:sz="0" w:space="0" w:color="auto"/>
            <w:left w:val="none" w:sz="0" w:space="0" w:color="auto"/>
            <w:bottom w:val="none" w:sz="0" w:space="0" w:color="auto"/>
            <w:right w:val="none" w:sz="0" w:space="0" w:color="auto"/>
          </w:divBdr>
          <w:divsChild>
            <w:div w:id="1995254326">
              <w:marLeft w:val="0"/>
              <w:marRight w:val="0"/>
              <w:marTop w:val="0"/>
              <w:marBottom w:val="0"/>
              <w:divBdr>
                <w:top w:val="none" w:sz="0" w:space="0" w:color="auto"/>
                <w:left w:val="none" w:sz="0" w:space="0" w:color="auto"/>
                <w:bottom w:val="none" w:sz="0" w:space="0" w:color="auto"/>
                <w:right w:val="none" w:sz="0" w:space="0" w:color="auto"/>
              </w:divBdr>
              <w:divsChild>
                <w:div w:id="3247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95">
      <w:bodyDiv w:val="1"/>
      <w:marLeft w:val="0"/>
      <w:marRight w:val="0"/>
      <w:marTop w:val="0"/>
      <w:marBottom w:val="0"/>
      <w:divBdr>
        <w:top w:val="none" w:sz="0" w:space="0" w:color="auto"/>
        <w:left w:val="none" w:sz="0" w:space="0" w:color="auto"/>
        <w:bottom w:val="none" w:sz="0" w:space="0" w:color="auto"/>
        <w:right w:val="none" w:sz="0" w:space="0" w:color="auto"/>
      </w:divBdr>
    </w:div>
    <w:div w:id="648368899">
      <w:bodyDiv w:val="1"/>
      <w:marLeft w:val="0"/>
      <w:marRight w:val="0"/>
      <w:marTop w:val="0"/>
      <w:marBottom w:val="0"/>
      <w:divBdr>
        <w:top w:val="none" w:sz="0" w:space="0" w:color="auto"/>
        <w:left w:val="none" w:sz="0" w:space="0" w:color="auto"/>
        <w:bottom w:val="none" w:sz="0" w:space="0" w:color="auto"/>
        <w:right w:val="none" w:sz="0" w:space="0" w:color="auto"/>
      </w:divBdr>
    </w:div>
    <w:div w:id="652491432">
      <w:bodyDiv w:val="1"/>
      <w:marLeft w:val="0"/>
      <w:marRight w:val="0"/>
      <w:marTop w:val="0"/>
      <w:marBottom w:val="0"/>
      <w:divBdr>
        <w:top w:val="none" w:sz="0" w:space="0" w:color="auto"/>
        <w:left w:val="none" w:sz="0" w:space="0" w:color="auto"/>
        <w:bottom w:val="none" w:sz="0" w:space="0" w:color="auto"/>
        <w:right w:val="none" w:sz="0" w:space="0" w:color="auto"/>
      </w:divBdr>
    </w:div>
    <w:div w:id="662657830">
      <w:bodyDiv w:val="1"/>
      <w:marLeft w:val="0"/>
      <w:marRight w:val="0"/>
      <w:marTop w:val="0"/>
      <w:marBottom w:val="0"/>
      <w:divBdr>
        <w:top w:val="none" w:sz="0" w:space="0" w:color="auto"/>
        <w:left w:val="none" w:sz="0" w:space="0" w:color="auto"/>
        <w:bottom w:val="none" w:sz="0" w:space="0" w:color="auto"/>
        <w:right w:val="none" w:sz="0" w:space="0" w:color="auto"/>
      </w:divBdr>
    </w:div>
    <w:div w:id="698314601">
      <w:bodyDiv w:val="1"/>
      <w:marLeft w:val="0"/>
      <w:marRight w:val="0"/>
      <w:marTop w:val="0"/>
      <w:marBottom w:val="0"/>
      <w:divBdr>
        <w:top w:val="none" w:sz="0" w:space="0" w:color="auto"/>
        <w:left w:val="none" w:sz="0" w:space="0" w:color="auto"/>
        <w:bottom w:val="none" w:sz="0" w:space="0" w:color="auto"/>
        <w:right w:val="none" w:sz="0" w:space="0" w:color="auto"/>
      </w:divBdr>
      <w:divsChild>
        <w:div w:id="1073510212">
          <w:marLeft w:val="0"/>
          <w:marRight w:val="0"/>
          <w:marTop w:val="0"/>
          <w:marBottom w:val="0"/>
          <w:divBdr>
            <w:top w:val="none" w:sz="0" w:space="0" w:color="auto"/>
            <w:left w:val="none" w:sz="0" w:space="0" w:color="auto"/>
            <w:bottom w:val="none" w:sz="0" w:space="0" w:color="auto"/>
            <w:right w:val="none" w:sz="0" w:space="0" w:color="auto"/>
          </w:divBdr>
          <w:divsChild>
            <w:div w:id="390157433">
              <w:marLeft w:val="0"/>
              <w:marRight w:val="0"/>
              <w:marTop w:val="0"/>
              <w:marBottom w:val="0"/>
              <w:divBdr>
                <w:top w:val="none" w:sz="0" w:space="0" w:color="auto"/>
                <w:left w:val="none" w:sz="0" w:space="0" w:color="auto"/>
                <w:bottom w:val="none" w:sz="0" w:space="0" w:color="auto"/>
                <w:right w:val="none" w:sz="0" w:space="0" w:color="auto"/>
              </w:divBdr>
              <w:divsChild>
                <w:div w:id="14693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89428">
      <w:bodyDiv w:val="1"/>
      <w:marLeft w:val="0"/>
      <w:marRight w:val="0"/>
      <w:marTop w:val="0"/>
      <w:marBottom w:val="0"/>
      <w:divBdr>
        <w:top w:val="none" w:sz="0" w:space="0" w:color="auto"/>
        <w:left w:val="none" w:sz="0" w:space="0" w:color="auto"/>
        <w:bottom w:val="none" w:sz="0" w:space="0" w:color="auto"/>
        <w:right w:val="none" w:sz="0" w:space="0" w:color="auto"/>
      </w:divBdr>
    </w:div>
    <w:div w:id="723530433">
      <w:bodyDiv w:val="1"/>
      <w:marLeft w:val="0"/>
      <w:marRight w:val="0"/>
      <w:marTop w:val="0"/>
      <w:marBottom w:val="0"/>
      <w:divBdr>
        <w:top w:val="none" w:sz="0" w:space="0" w:color="auto"/>
        <w:left w:val="none" w:sz="0" w:space="0" w:color="auto"/>
        <w:bottom w:val="none" w:sz="0" w:space="0" w:color="auto"/>
        <w:right w:val="none" w:sz="0" w:space="0" w:color="auto"/>
      </w:divBdr>
    </w:div>
    <w:div w:id="736056861">
      <w:bodyDiv w:val="1"/>
      <w:marLeft w:val="0"/>
      <w:marRight w:val="0"/>
      <w:marTop w:val="0"/>
      <w:marBottom w:val="0"/>
      <w:divBdr>
        <w:top w:val="none" w:sz="0" w:space="0" w:color="auto"/>
        <w:left w:val="none" w:sz="0" w:space="0" w:color="auto"/>
        <w:bottom w:val="none" w:sz="0" w:space="0" w:color="auto"/>
        <w:right w:val="none" w:sz="0" w:space="0" w:color="auto"/>
      </w:divBdr>
    </w:div>
    <w:div w:id="753893103">
      <w:bodyDiv w:val="1"/>
      <w:marLeft w:val="0"/>
      <w:marRight w:val="0"/>
      <w:marTop w:val="0"/>
      <w:marBottom w:val="0"/>
      <w:divBdr>
        <w:top w:val="none" w:sz="0" w:space="0" w:color="auto"/>
        <w:left w:val="none" w:sz="0" w:space="0" w:color="auto"/>
        <w:bottom w:val="none" w:sz="0" w:space="0" w:color="auto"/>
        <w:right w:val="none" w:sz="0" w:space="0" w:color="auto"/>
      </w:divBdr>
      <w:divsChild>
        <w:div w:id="1244416877">
          <w:marLeft w:val="0"/>
          <w:marRight w:val="0"/>
          <w:marTop w:val="0"/>
          <w:marBottom w:val="0"/>
          <w:divBdr>
            <w:top w:val="none" w:sz="0" w:space="0" w:color="auto"/>
            <w:left w:val="none" w:sz="0" w:space="0" w:color="auto"/>
            <w:bottom w:val="none" w:sz="0" w:space="0" w:color="auto"/>
            <w:right w:val="none" w:sz="0" w:space="0" w:color="auto"/>
          </w:divBdr>
          <w:divsChild>
            <w:div w:id="1967275494">
              <w:marLeft w:val="0"/>
              <w:marRight w:val="0"/>
              <w:marTop w:val="0"/>
              <w:marBottom w:val="0"/>
              <w:divBdr>
                <w:top w:val="none" w:sz="0" w:space="0" w:color="auto"/>
                <w:left w:val="none" w:sz="0" w:space="0" w:color="auto"/>
                <w:bottom w:val="none" w:sz="0" w:space="0" w:color="auto"/>
                <w:right w:val="none" w:sz="0" w:space="0" w:color="auto"/>
              </w:divBdr>
              <w:divsChild>
                <w:div w:id="11194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6269">
      <w:bodyDiv w:val="1"/>
      <w:marLeft w:val="0"/>
      <w:marRight w:val="0"/>
      <w:marTop w:val="0"/>
      <w:marBottom w:val="0"/>
      <w:divBdr>
        <w:top w:val="none" w:sz="0" w:space="0" w:color="auto"/>
        <w:left w:val="none" w:sz="0" w:space="0" w:color="auto"/>
        <w:bottom w:val="none" w:sz="0" w:space="0" w:color="auto"/>
        <w:right w:val="none" w:sz="0" w:space="0" w:color="auto"/>
      </w:divBdr>
      <w:divsChild>
        <w:div w:id="79640664">
          <w:marLeft w:val="0"/>
          <w:marRight w:val="0"/>
          <w:marTop w:val="0"/>
          <w:marBottom w:val="0"/>
          <w:divBdr>
            <w:top w:val="none" w:sz="0" w:space="0" w:color="auto"/>
            <w:left w:val="none" w:sz="0" w:space="0" w:color="auto"/>
            <w:bottom w:val="none" w:sz="0" w:space="0" w:color="auto"/>
            <w:right w:val="none" w:sz="0" w:space="0" w:color="auto"/>
          </w:divBdr>
          <w:divsChild>
            <w:div w:id="978268420">
              <w:marLeft w:val="0"/>
              <w:marRight w:val="0"/>
              <w:marTop w:val="0"/>
              <w:marBottom w:val="0"/>
              <w:divBdr>
                <w:top w:val="none" w:sz="0" w:space="0" w:color="auto"/>
                <w:left w:val="none" w:sz="0" w:space="0" w:color="auto"/>
                <w:bottom w:val="none" w:sz="0" w:space="0" w:color="auto"/>
                <w:right w:val="none" w:sz="0" w:space="0" w:color="auto"/>
              </w:divBdr>
              <w:divsChild>
                <w:div w:id="19639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27690">
      <w:bodyDiv w:val="1"/>
      <w:marLeft w:val="0"/>
      <w:marRight w:val="0"/>
      <w:marTop w:val="0"/>
      <w:marBottom w:val="0"/>
      <w:divBdr>
        <w:top w:val="none" w:sz="0" w:space="0" w:color="auto"/>
        <w:left w:val="none" w:sz="0" w:space="0" w:color="auto"/>
        <w:bottom w:val="none" w:sz="0" w:space="0" w:color="auto"/>
        <w:right w:val="none" w:sz="0" w:space="0" w:color="auto"/>
      </w:divBdr>
    </w:div>
    <w:div w:id="822625724">
      <w:bodyDiv w:val="1"/>
      <w:marLeft w:val="0"/>
      <w:marRight w:val="0"/>
      <w:marTop w:val="0"/>
      <w:marBottom w:val="0"/>
      <w:divBdr>
        <w:top w:val="none" w:sz="0" w:space="0" w:color="auto"/>
        <w:left w:val="none" w:sz="0" w:space="0" w:color="auto"/>
        <w:bottom w:val="none" w:sz="0" w:space="0" w:color="auto"/>
        <w:right w:val="none" w:sz="0" w:space="0" w:color="auto"/>
      </w:divBdr>
    </w:div>
    <w:div w:id="844170440">
      <w:bodyDiv w:val="1"/>
      <w:marLeft w:val="0"/>
      <w:marRight w:val="0"/>
      <w:marTop w:val="0"/>
      <w:marBottom w:val="0"/>
      <w:divBdr>
        <w:top w:val="none" w:sz="0" w:space="0" w:color="auto"/>
        <w:left w:val="none" w:sz="0" w:space="0" w:color="auto"/>
        <w:bottom w:val="none" w:sz="0" w:space="0" w:color="auto"/>
        <w:right w:val="none" w:sz="0" w:space="0" w:color="auto"/>
      </w:divBdr>
      <w:divsChild>
        <w:div w:id="965424850">
          <w:marLeft w:val="0"/>
          <w:marRight w:val="0"/>
          <w:marTop w:val="0"/>
          <w:marBottom w:val="0"/>
          <w:divBdr>
            <w:top w:val="none" w:sz="0" w:space="0" w:color="auto"/>
            <w:left w:val="none" w:sz="0" w:space="0" w:color="auto"/>
            <w:bottom w:val="none" w:sz="0" w:space="0" w:color="auto"/>
            <w:right w:val="none" w:sz="0" w:space="0" w:color="auto"/>
          </w:divBdr>
          <w:divsChild>
            <w:div w:id="1871646025">
              <w:marLeft w:val="0"/>
              <w:marRight w:val="0"/>
              <w:marTop w:val="0"/>
              <w:marBottom w:val="0"/>
              <w:divBdr>
                <w:top w:val="none" w:sz="0" w:space="0" w:color="auto"/>
                <w:left w:val="none" w:sz="0" w:space="0" w:color="auto"/>
                <w:bottom w:val="none" w:sz="0" w:space="0" w:color="auto"/>
                <w:right w:val="none" w:sz="0" w:space="0" w:color="auto"/>
              </w:divBdr>
              <w:divsChild>
                <w:div w:id="15785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4494">
      <w:bodyDiv w:val="1"/>
      <w:marLeft w:val="0"/>
      <w:marRight w:val="0"/>
      <w:marTop w:val="0"/>
      <w:marBottom w:val="0"/>
      <w:divBdr>
        <w:top w:val="none" w:sz="0" w:space="0" w:color="auto"/>
        <w:left w:val="none" w:sz="0" w:space="0" w:color="auto"/>
        <w:bottom w:val="none" w:sz="0" w:space="0" w:color="auto"/>
        <w:right w:val="none" w:sz="0" w:space="0" w:color="auto"/>
      </w:divBdr>
      <w:divsChild>
        <w:div w:id="1184782156">
          <w:marLeft w:val="0"/>
          <w:marRight w:val="0"/>
          <w:marTop w:val="0"/>
          <w:marBottom w:val="0"/>
          <w:divBdr>
            <w:top w:val="none" w:sz="0" w:space="0" w:color="auto"/>
            <w:left w:val="none" w:sz="0" w:space="0" w:color="auto"/>
            <w:bottom w:val="none" w:sz="0" w:space="0" w:color="auto"/>
            <w:right w:val="none" w:sz="0" w:space="0" w:color="auto"/>
          </w:divBdr>
          <w:divsChild>
            <w:div w:id="1728140616">
              <w:marLeft w:val="0"/>
              <w:marRight w:val="0"/>
              <w:marTop w:val="0"/>
              <w:marBottom w:val="0"/>
              <w:divBdr>
                <w:top w:val="none" w:sz="0" w:space="0" w:color="auto"/>
                <w:left w:val="none" w:sz="0" w:space="0" w:color="auto"/>
                <w:bottom w:val="none" w:sz="0" w:space="0" w:color="auto"/>
                <w:right w:val="none" w:sz="0" w:space="0" w:color="auto"/>
              </w:divBdr>
              <w:divsChild>
                <w:div w:id="21418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2546">
      <w:bodyDiv w:val="1"/>
      <w:marLeft w:val="0"/>
      <w:marRight w:val="0"/>
      <w:marTop w:val="0"/>
      <w:marBottom w:val="0"/>
      <w:divBdr>
        <w:top w:val="none" w:sz="0" w:space="0" w:color="auto"/>
        <w:left w:val="none" w:sz="0" w:space="0" w:color="auto"/>
        <w:bottom w:val="none" w:sz="0" w:space="0" w:color="auto"/>
        <w:right w:val="none" w:sz="0" w:space="0" w:color="auto"/>
      </w:divBdr>
      <w:divsChild>
        <w:div w:id="35588812">
          <w:marLeft w:val="0"/>
          <w:marRight w:val="0"/>
          <w:marTop w:val="0"/>
          <w:marBottom w:val="0"/>
          <w:divBdr>
            <w:top w:val="none" w:sz="0" w:space="0" w:color="auto"/>
            <w:left w:val="none" w:sz="0" w:space="0" w:color="auto"/>
            <w:bottom w:val="none" w:sz="0" w:space="0" w:color="auto"/>
            <w:right w:val="none" w:sz="0" w:space="0" w:color="auto"/>
          </w:divBdr>
          <w:divsChild>
            <w:div w:id="364018443">
              <w:marLeft w:val="0"/>
              <w:marRight w:val="0"/>
              <w:marTop w:val="0"/>
              <w:marBottom w:val="0"/>
              <w:divBdr>
                <w:top w:val="none" w:sz="0" w:space="0" w:color="auto"/>
                <w:left w:val="none" w:sz="0" w:space="0" w:color="auto"/>
                <w:bottom w:val="none" w:sz="0" w:space="0" w:color="auto"/>
                <w:right w:val="none" w:sz="0" w:space="0" w:color="auto"/>
              </w:divBdr>
              <w:divsChild>
                <w:div w:id="17015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7791">
      <w:bodyDiv w:val="1"/>
      <w:marLeft w:val="0"/>
      <w:marRight w:val="0"/>
      <w:marTop w:val="0"/>
      <w:marBottom w:val="0"/>
      <w:divBdr>
        <w:top w:val="none" w:sz="0" w:space="0" w:color="auto"/>
        <w:left w:val="none" w:sz="0" w:space="0" w:color="auto"/>
        <w:bottom w:val="none" w:sz="0" w:space="0" w:color="auto"/>
        <w:right w:val="none" w:sz="0" w:space="0" w:color="auto"/>
      </w:divBdr>
    </w:div>
    <w:div w:id="908735616">
      <w:bodyDiv w:val="1"/>
      <w:marLeft w:val="0"/>
      <w:marRight w:val="0"/>
      <w:marTop w:val="0"/>
      <w:marBottom w:val="0"/>
      <w:divBdr>
        <w:top w:val="none" w:sz="0" w:space="0" w:color="auto"/>
        <w:left w:val="none" w:sz="0" w:space="0" w:color="auto"/>
        <w:bottom w:val="none" w:sz="0" w:space="0" w:color="auto"/>
        <w:right w:val="none" w:sz="0" w:space="0" w:color="auto"/>
      </w:divBdr>
    </w:div>
    <w:div w:id="916477754">
      <w:bodyDiv w:val="1"/>
      <w:marLeft w:val="0"/>
      <w:marRight w:val="0"/>
      <w:marTop w:val="0"/>
      <w:marBottom w:val="0"/>
      <w:divBdr>
        <w:top w:val="none" w:sz="0" w:space="0" w:color="auto"/>
        <w:left w:val="none" w:sz="0" w:space="0" w:color="auto"/>
        <w:bottom w:val="none" w:sz="0" w:space="0" w:color="auto"/>
        <w:right w:val="none" w:sz="0" w:space="0" w:color="auto"/>
      </w:divBdr>
    </w:div>
    <w:div w:id="952832118">
      <w:bodyDiv w:val="1"/>
      <w:marLeft w:val="0"/>
      <w:marRight w:val="0"/>
      <w:marTop w:val="0"/>
      <w:marBottom w:val="0"/>
      <w:divBdr>
        <w:top w:val="none" w:sz="0" w:space="0" w:color="auto"/>
        <w:left w:val="none" w:sz="0" w:space="0" w:color="auto"/>
        <w:bottom w:val="none" w:sz="0" w:space="0" w:color="auto"/>
        <w:right w:val="none" w:sz="0" w:space="0" w:color="auto"/>
      </w:divBdr>
      <w:divsChild>
        <w:div w:id="873538227">
          <w:marLeft w:val="0"/>
          <w:marRight w:val="0"/>
          <w:marTop w:val="0"/>
          <w:marBottom w:val="0"/>
          <w:divBdr>
            <w:top w:val="none" w:sz="0" w:space="0" w:color="auto"/>
            <w:left w:val="none" w:sz="0" w:space="0" w:color="auto"/>
            <w:bottom w:val="none" w:sz="0" w:space="0" w:color="auto"/>
            <w:right w:val="none" w:sz="0" w:space="0" w:color="auto"/>
          </w:divBdr>
          <w:divsChild>
            <w:div w:id="80420041">
              <w:marLeft w:val="0"/>
              <w:marRight w:val="0"/>
              <w:marTop w:val="0"/>
              <w:marBottom w:val="0"/>
              <w:divBdr>
                <w:top w:val="none" w:sz="0" w:space="0" w:color="auto"/>
                <w:left w:val="none" w:sz="0" w:space="0" w:color="auto"/>
                <w:bottom w:val="none" w:sz="0" w:space="0" w:color="auto"/>
                <w:right w:val="none" w:sz="0" w:space="0" w:color="auto"/>
              </w:divBdr>
              <w:divsChild>
                <w:div w:id="1701978284">
                  <w:marLeft w:val="0"/>
                  <w:marRight w:val="0"/>
                  <w:marTop w:val="0"/>
                  <w:marBottom w:val="0"/>
                  <w:divBdr>
                    <w:top w:val="none" w:sz="0" w:space="0" w:color="auto"/>
                    <w:left w:val="none" w:sz="0" w:space="0" w:color="auto"/>
                    <w:bottom w:val="none" w:sz="0" w:space="0" w:color="auto"/>
                    <w:right w:val="none" w:sz="0" w:space="0" w:color="auto"/>
                  </w:divBdr>
                </w:div>
              </w:divsChild>
            </w:div>
            <w:div w:id="931089484">
              <w:marLeft w:val="0"/>
              <w:marRight w:val="0"/>
              <w:marTop w:val="0"/>
              <w:marBottom w:val="0"/>
              <w:divBdr>
                <w:top w:val="none" w:sz="0" w:space="0" w:color="auto"/>
                <w:left w:val="none" w:sz="0" w:space="0" w:color="auto"/>
                <w:bottom w:val="none" w:sz="0" w:space="0" w:color="auto"/>
                <w:right w:val="none" w:sz="0" w:space="0" w:color="auto"/>
              </w:divBdr>
              <w:divsChild>
                <w:div w:id="286670237">
                  <w:marLeft w:val="0"/>
                  <w:marRight w:val="0"/>
                  <w:marTop w:val="0"/>
                  <w:marBottom w:val="0"/>
                  <w:divBdr>
                    <w:top w:val="none" w:sz="0" w:space="0" w:color="auto"/>
                    <w:left w:val="none" w:sz="0" w:space="0" w:color="auto"/>
                    <w:bottom w:val="none" w:sz="0" w:space="0" w:color="auto"/>
                    <w:right w:val="none" w:sz="0" w:space="0" w:color="auto"/>
                  </w:divBdr>
                </w:div>
              </w:divsChild>
            </w:div>
            <w:div w:id="1708988268">
              <w:marLeft w:val="0"/>
              <w:marRight w:val="0"/>
              <w:marTop w:val="0"/>
              <w:marBottom w:val="0"/>
              <w:divBdr>
                <w:top w:val="none" w:sz="0" w:space="0" w:color="auto"/>
                <w:left w:val="none" w:sz="0" w:space="0" w:color="auto"/>
                <w:bottom w:val="none" w:sz="0" w:space="0" w:color="auto"/>
                <w:right w:val="none" w:sz="0" w:space="0" w:color="auto"/>
              </w:divBdr>
              <w:divsChild>
                <w:div w:id="1698655602">
                  <w:marLeft w:val="0"/>
                  <w:marRight w:val="0"/>
                  <w:marTop w:val="0"/>
                  <w:marBottom w:val="0"/>
                  <w:divBdr>
                    <w:top w:val="none" w:sz="0" w:space="0" w:color="auto"/>
                    <w:left w:val="none" w:sz="0" w:space="0" w:color="auto"/>
                    <w:bottom w:val="none" w:sz="0" w:space="0" w:color="auto"/>
                    <w:right w:val="none" w:sz="0" w:space="0" w:color="auto"/>
                  </w:divBdr>
                </w:div>
              </w:divsChild>
            </w:div>
            <w:div w:id="1773431530">
              <w:marLeft w:val="0"/>
              <w:marRight w:val="0"/>
              <w:marTop w:val="0"/>
              <w:marBottom w:val="0"/>
              <w:divBdr>
                <w:top w:val="none" w:sz="0" w:space="0" w:color="auto"/>
                <w:left w:val="none" w:sz="0" w:space="0" w:color="auto"/>
                <w:bottom w:val="none" w:sz="0" w:space="0" w:color="auto"/>
                <w:right w:val="none" w:sz="0" w:space="0" w:color="auto"/>
              </w:divBdr>
              <w:divsChild>
                <w:div w:id="305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545">
      <w:bodyDiv w:val="1"/>
      <w:marLeft w:val="0"/>
      <w:marRight w:val="0"/>
      <w:marTop w:val="0"/>
      <w:marBottom w:val="0"/>
      <w:divBdr>
        <w:top w:val="none" w:sz="0" w:space="0" w:color="auto"/>
        <w:left w:val="none" w:sz="0" w:space="0" w:color="auto"/>
        <w:bottom w:val="none" w:sz="0" w:space="0" w:color="auto"/>
        <w:right w:val="none" w:sz="0" w:space="0" w:color="auto"/>
      </w:divBdr>
      <w:divsChild>
        <w:div w:id="1696881655">
          <w:marLeft w:val="0"/>
          <w:marRight w:val="0"/>
          <w:marTop w:val="0"/>
          <w:marBottom w:val="0"/>
          <w:divBdr>
            <w:top w:val="none" w:sz="0" w:space="0" w:color="auto"/>
            <w:left w:val="none" w:sz="0" w:space="0" w:color="auto"/>
            <w:bottom w:val="none" w:sz="0" w:space="0" w:color="auto"/>
            <w:right w:val="none" w:sz="0" w:space="0" w:color="auto"/>
          </w:divBdr>
          <w:divsChild>
            <w:div w:id="1572306895">
              <w:marLeft w:val="0"/>
              <w:marRight w:val="0"/>
              <w:marTop w:val="0"/>
              <w:marBottom w:val="0"/>
              <w:divBdr>
                <w:top w:val="none" w:sz="0" w:space="0" w:color="auto"/>
                <w:left w:val="none" w:sz="0" w:space="0" w:color="auto"/>
                <w:bottom w:val="none" w:sz="0" w:space="0" w:color="auto"/>
                <w:right w:val="none" w:sz="0" w:space="0" w:color="auto"/>
              </w:divBdr>
              <w:divsChild>
                <w:div w:id="15209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2208">
      <w:bodyDiv w:val="1"/>
      <w:marLeft w:val="0"/>
      <w:marRight w:val="0"/>
      <w:marTop w:val="0"/>
      <w:marBottom w:val="0"/>
      <w:divBdr>
        <w:top w:val="none" w:sz="0" w:space="0" w:color="auto"/>
        <w:left w:val="none" w:sz="0" w:space="0" w:color="auto"/>
        <w:bottom w:val="none" w:sz="0" w:space="0" w:color="auto"/>
        <w:right w:val="none" w:sz="0" w:space="0" w:color="auto"/>
      </w:divBdr>
      <w:divsChild>
        <w:div w:id="415135730">
          <w:marLeft w:val="0"/>
          <w:marRight w:val="0"/>
          <w:marTop w:val="0"/>
          <w:marBottom w:val="0"/>
          <w:divBdr>
            <w:top w:val="none" w:sz="0" w:space="0" w:color="auto"/>
            <w:left w:val="none" w:sz="0" w:space="0" w:color="auto"/>
            <w:bottom w:val="none" w:sz="0" w:space="0" w:color="auto"/>
            <w:right w:val="none" w:sz="0" w:space="0" w:color="auto"/>
          </w:divBdr>
          <w:divsChild>
            <w:div w:id="608318205">
              <w:marLeft w:val="0"/>
              <w:marRight w:val="0"/>
              <w:marTop w:val="0"/>
              <w:marBottom w:val="0"/>
              <w:divBdr>
                <w:top w:val="none" w:sz="0" w:space="0" w:color="auto"/>
                <w:left w:val="none" w:sz="0" w:space="0" w:color="auto"/>
                <w:bottom w:val="none" w:sz="0" w:space="0" w:color="auto"/>
                <w:right w:val="none" w:sz="0" w:space="0" w:color="auto"/>
              </w:divBdr>
              <w:divsChild>
                <w:div w:id="16182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5608">
      <w:bodyDiv w:val="1"/>
      <w:marLeft w:val="0"/>
      <w:marRight w:val="0"/>
      <w:marTop w:val="0"/>
      <w:marBottom w:val="0"/>
      <w:divBdr>
        <w:top w:val="none" w:sz="0" w:space="0" w:color="auto"/>
        <w:left w:val="none" w:sz="0" w:space="0" w:color="auto"/>
        <w:bottom w:val="none" w:sz="0" w:space="0" w:color="auto"/>
        <w:right w:val="none" w:sz="0" w:space="0" w:color="auto"/>
      </w:divBdr>
    </w:div>
    <w:div w:id="991913596">
      <w:bodyDiv w:val="1"/>
      <w:marLeft w:val="0"/>
      <w:marRight w:val="0"/>
      <w:marTop w:val="0"/>
      <w:marBottom w:val="0"/>
      <w:divBdr>
        <w:top w:val="none" w:sz="0" w:space="0" w:color="auto"/>
        <w:left w:val="none" w:sz="0" w:space="0" w:color="auto"/>
        <w:bottom w:val="none" w:sz="0" w:space="0" w:color="auto"/>
        <w:right w:val="none" w:sz="0" w:space="0" w:color="auto"/>
      </w:divBdr>
    </w:div>
    <w:div w:id="1028608172">
      <w:bodyDiv w:val="1"/>
      <w:marLeft w:val="0"/>
      <w:marRight w:val="0"/>
      <w:marTop w:val="0"/>
      <w:marBottom w:val="0"/>
      <w:divBdr>
        <w:top w:val="none" w:sz="0" w:space="0" w:color="auto"/>
        <w:left w:val="none" w:sz="0" w:space="0" w:color="auto"/>
        <w:bottom w:val="none" w:sz="0" w:space="0" w:color="auto"/>
        <w:right w:val="none" w:sz="0" w:space="0" w:color="auto"/>
      </w:divBdr>
      <w:divsChild>
        <w:div w:id="1808737858">
          <w:marLeft w:val="0"/>
          <w:marRight w:val="0"/>
          <w:marTop w:val="0"/>
          <w:marBottom w:val="0"/>
          <w:divBdr>
            <w:top w:val="none" w:sz="0" w:space="0" w:color="auto"/>
            <w:left w:val="none" w:sz="0" w:space="0" w:color="auto"/>
            <w:bottom w:val="none" w:sz="0" w:space="0" w:color="auto"/>
            <w:right w:val="none" w:sz="0" w:space="0" w:color="auto"/>
          </w:divBdr>
          <w:divsChild>
            <w:div w:id="515000478">
              <w:marLeft w:val="0"/>
              <w:marRight w:val="0"/>
              <w:marTop w:val="0"/>
              <w:marBottom w:val="0"/>
              <w:divBdr>
                <w:top w:val="none" w:sz="0" w:space="0" w:color="auto"/>
                <w:left w:val="none" w:sz="0" w:space="0" w:color="auto"/>
                <w:bottom w:val="none" w:sz="0" w:space="0" w:color="auto"/>
                <w:right w:val="none" w:sz="0" w:space="0" w:color="auto"/>
              </w:divBdr>
              <w:divsChild>
                <w:div w:id="19729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8954">
      <w:bodyDiv w:val="1"/>
      <w:marLeft w:val="0"/>
      <w:marRight w:val="0"/>
      <w:marTop w:val="0"/>
      <w:marBottom w:val="0"/>
      <w:divBdr>
        <w:top w:val="none" w:sz="0" w:space="0" w:color="auto"/>
        <w:left w:val="none" w:sz="0" w:space="0" w:color="auto"/>
        <w:bottom w:val="none" w:sz="0" w:space="0" w:color="auto"/>
        <w:right w:val="none" w:sz="0" w:space="0" w:color="auto"/>
      </w:divBdr>
      <w:divsChild>
        <w:div w:id="184827213">
          <w:marLeft w:val="0"/>
          <w:marRight w:val="0"/>
          <w:marTop w:val="0"/>
          <w:marBottom w:val="0"/>
          <w:divBdr>
            <w:top w:val="none" w:sz="0" w:space="0" w:color="auto"/>
            <w:left w:val="none" w:sz="0" w:space="0" w:color="auto"/>
            <w:bottom w:val="none" w:sz="0" w:space="0" w:color="auto"/>
            <w:right w:val="none" w:sz="0" w:space="0" w:color="auto"/>
          </w:divBdr>
          <w:divsChild>
            <w:div w:id="1006785639">
              <w:marLeft w:val="0"/>
              <w:marRight w:val="0"/>
              <w:marTop w:val="0"/>
              <w:marBottom w:val="0"/>
              <w:divBdr>
                <w:top w:val="none" w:sz="0" w:space="0" w:color="auto"/>
                <w:left w:val="none" w:sz="0" w:space="0" w:color="auto"/>
                <w:bottom w:val="none" w:sz="0" w:space="0" w:color="auto"/>
                <w:right w:val="none" w:sz="0" w:space="0" w:color="auto"/>
              </w:divBdr>
              <w:divsChild>
                <w:div w:id="2704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226">
      <w:bodyDiv w:val="1"/>
      <w:marLeft w:val="0"/>
      <w:marRight w:val="0"/>
      <w:marTop w:val="0"/>
      <w:marBottom w:val="0"/>
      <w:divBdr>
        <w:top w:val="none" w:sz="0" w:space="0" w:color="auto"/>
        <w:left w:val="none" w:sz="0" w:space="0" w:color="auto"/>
        <w:bottom w:val="none" w:sz="0" w:space="0" w:color="auto"/>
        <w:right w:val="none" w:sz="0" w:space="0" w:color="auto"/>
      </w:divBdr>
      <w:divsChild>
        <w:div w:id="628122052">
          <w:marLeft w:val="0"/>
          <w:marRight w:val="0"/>
          <w:marTop w:val="0"/>
          <w:marBottom w:val="0"/>
          <w:divBdr>
            <w:top w:val="none" w:sz="0" w:space="0" w:color="auto"/>
            <w:left w:val="none" w:sz="0" w:space="0" w:color="auto"/>
            <w:bottom w:val="none" w:sz="0" w:space="0" w:color="auto"/>
            <w:right w:val="none" w:sz="0" w:space="0" w:color="auto"/>
          </w:divBdr>
          <w:divsChild>
            <w:div w:id="953946137">
              <w:marLeft w:val="0"/>
              <w:marRight w:val="0"/>
              <w:marTop w:val="0"/>
              <w:marBottom w:val="0"/>
              <w:divBdr>
                <w:top w:val="none" w:sz="0" w:space="0" w:color="auto"/>
                <w:left w:val="none" w:sz="0" w:space="0" w:color="auto"/>
                <w:bottom w:val="none" w:sz="0" w:space="0" w:color="auto"/>
                <w:right w:val="none" w:sz="0" w:space="0" w:color="auto"/>
              </w:divBdr>
              <w:divsChild>
                <w:div w:id="13391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7275">
      <w:bodyDiv w:val="1"/>
      <w:marLeft w:val="0"/>
      <w:marRight w:val="0"/>
      <w:marTop w:val="0"/>
      <w:marBottom w:val="0"/>
      <w:divBdr>
        <w:top w:val="none" w:sz="0" w:space="0" w:color="auto"/>
        <w:left w:val="none" w:sz="0" w:space="0" w:color="auto"/>
        <w:bottom w:val="none" w:sz="0" w:space="0" w:color="auto"/>
        <w:right w:val="none" w:sz="0" w:space="0" w:color="auto"/>
      </w:divBdr>
    </w:div>
    <w:div w:id="1051927298">
      <w:bodyDiv w:val="1"/>
      <w:marLeft w:val="0"/>
      <w:marRight w:val="0"/>
      <w:marTop w:val="0"/>
      <w:marBottom w:val="0"/>
      <w:divBdr>
        <w:top w:val="none" w:sz="0" w:space="0" w:color="auto"/>
        <w:left w:val="none" w:sz="0" w:space="0" w:color="auto"/>
        <w:bottom w:val="none" w:sz="0" w:space="0" w:color="auto"/>
        <w:right w:val="none" w:sz="0" w:space="0" w:color="auto"/>
      </w:divBdr>
    </w:div>
    <w:div w:id="1075202642">
      <w:bodyDiv w:val="1"/>
      <w:marLeft w:val="0"/>
      <w:marRight w:val="0"/>
      <w:marTop w:val="0"/>
      <w:marBottom w:val="0"/>
      <w:divBdr>
        <w:top w:val="none" w:sz="0" w:space="0" w:color="auto"/>
        <w:left w:val="none" w:sz="0" w:space="0" w:color="auto"/>
        <w:bottom w:val="none" w:sz="0" w:space="0" w:color="auto"/>
        <w:right w:val="none" w:sz="0" w:space="0" w:color="auto"/>
      </w:divBdr>
      <w:divsChild>
        <w:div w:id="1558011325">
          <w:marLeft w:val="0"/>
          <w:marRight w:val="0"/>
          <w:marTop w:val="0"/>
          <w:marBottom w:val="0"/>
          <w:divBdr>
            <w:top w:val="none" w:sz="0" w:space="0" w:color="auto"/>
            <w:left w:val="none" w:sz="0" w:space="0" w:color="auto"/>
            <w:bottom w:val="none" w:sz="0" w:space="0" w:color="auto"/>
            <w:right w:val="none" w:sz="0" w:space="0" w:color="auto"/>
          </w:divBdr>
          <w:divsChild>
            <w:div w:id="1166820412">
              <w:marLeft w:val="0"/>
              <w:marRight w:val="0"/>
              <w:marTop w:val="0"/>
              <w:marBottom w:val="0"/>
              <w:divBdr>
                <w:top w:val="none" w:sz="0" w:space="0" w:color="auto"/>
                <w:left w:val="none" w:sz="0" w:space="0" w:color="auto"/>
                <w:bottom w:val="none" w:sz="0" w:space="0" w:color="auto"/>
                <w:right w:val="none" w:sz="0" w:space="0" w:color="auto"/>
              </w:divBdr>
              <w:divsChild>
                <w:div w:id="11042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29138">
      <w:bodyDiv w:val="1"/>
      <w:marLeft w:val="0"/>
      <w:marRight w:val="0"/>
      <w:marTop w:val="0"/>
      <w:marBottom w:val="0"/>
      <w:divBdr>
        <w:top w:val="none" w:sz="0" w:space="0" w:color="auto"/>
        <w:left w:val="none" w:sz="0" w:space="0" w:color="auto"/>
        <w:bottom w:val="none" w:sz="0" w:space="0" w:color="auto"/>
        <w:right w:val="none" w:sz="0" w:space="0" w:color="auto"/>
      </w:divBdr>
    </w:div>
    <w:div w:id="1105228710">
      <w:bodyDiv w:val="1"/>
      <w:marLeft w:val="0"/>
      <w:marRight w:val="0"/>
      <w:marTop w:val="0"/>
      <w:marBottom w:val="0"/>
      <w:divBdr>
        <w:top w:val="none" w:sz="0" w:space="0" w:color="auto"/>
        <w:left w:val="none" w:sz="0" w:space="0" w:color="auto"/>
        <w:bottom w:val="none" w:sz="0" w:space="0" w:color="auto"/>
        <w:right w:val="none" w:sz="0" w:space="0" w:color="auto"/>
      </w:divBdr>
      <w:divsChild>
        <w:div w:id="1502551701">
          <w:marLeft w:val="0"/>
          <w:marRight w:val="0"/>
          <w:marTop w:val="0"/>
          <w:marBottom w:val="0"/>
          <w:divBdr>
            <w:top w:val="none" w:sz="0" w:space="0" w:color="auto"/>
            <w:left w:val="none" w:sz="0" w:space="0" w:color="auto"/>
            <w:bottom w:val="none" w:sz="0" w:space="0" w:color="auto"/>
            <w:right w:val="none" w:sz="0" w:space="0" w:color="auto"/>
          </w:divBdr>
          <w:divsChild>
            <w:div w:id="754668736">
              <w:marLeft w:val="0"/>
              <w:marRight w:val="0"/>
              <w:marTop w:val="0"/>
              <w:marBottom w:val="0"/>
              <w:divBdr>
                <w:top w:val="none" w:sz="0" w:space="0" w:color="auto"/>
                <w:left w:val="none" w:sz="0" w:space="0" w:color="auto"/>
                <w:bottom w:val="none" w:sz="0" w:space="0" w:color="auto"/>
                <w:right w:val="none" w:sz="0" w:space="0" w:color="auto"/>
              </w:divBdr>
              <w:divsChild>
                <w:div w:id="18657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2044">
      <w:bodyDiv w:val="1"/>
      <w:marLeft w:val="0"/>
      <w:marRight w:val="0"/>
      <w:marTop w:val="0"/>
      <w:marBottom w:val="0"/>
      <w:divBdr>
        <w:top w:val="none" w:sz="0" w:space="0" w:color="auto"/>
        <w:left w:val="none" w:sz="0" w:space="0" w:color="auto"/>
        <w:bottom w:val="none" w:sz="0" w:space="0" w:color="auto"/>
        <w:right w:val="none" w:sz="0" w:space="0" w:color="auto"/>
      </w:divBdr>
    </w:div>
    <w:div w:id="1119296178">
      <w:bodyDiv w:val="1"/>
      <w:marLeft w:val="0"/>
      <w:marRight w:val="0"/>
      <w:marTop w:val="0"/>
      <w:marBottom w:val="0"/>
      <w:divBdr>
        <w:top w:val="none" w:sz="0" w:space="0" w:color="auto"/>
        <w:left w:val="none" w:sz="0" w:space="0" w:color="auto"/>
        <w:bottom w:val="none" w:sz="0" w:space="0" w:color="auto"/>
        <w:right w:val="none" w:sz="0" w:space="0" w:color="auto"/>
      </w:divBdr>
      <w:divsChild>
        <w:div w:id="2096978341">
          <w:marLeft w:val="0"/>
          <w:marRight w:val="0"/>
          <w:marTop w:val="0"/>
          <w:marBottom w:val="0"/>
          <w:divBdr>
            <w:top w:val="none" w:sz="0" w:space="0" w:color="auto"/>
            <w:left w:val="none" w:sz="0" w:space="0" w:color="auto"/>
            <w:bottom w:val="none" w:sz="0" w:space="0" w:color="auto"/>
            <w:right w:val="none" w:sz="0" w:space="0" w:color="auto"/>
          </w:divBdr>
          <w:divsChild>
            <w:div w:id="612248062">
              <w:marLeft w:val="0"/>
              <w:marRight w:val="0"/>
              <w:marTop w:val="0"/>
              <w:marBottom w:val="0"/>
              <w:divBdr>
                <w:top w:val="none" w:sz="0" w:space="0" w:color="auto"/>
                <w:left w:val="none" w:sz="0" w:space="0" w:color="auto"/>
                <w:bottom w:val="none" w:sz="0" w:space="0" w:color="auto"/>
                <w:right w:val="none" w:sz="0" w:space="0" w:color="auto"/>
              </w:divBdr>
              <w:divsChild>
                <w:div w:id="11207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0217">
      <w:bodyDiv w:val="1"/>
      <w:marLeft w:val="0"/>
      <w:marRight w:val="0"/>
      <w:marTop w:val="0"/>
      <w:marBottom w:val="0"/>
      <w:divBdr>
        <w:top w:val="none" w:sz="0" w:space="0" w:color="auto"/>
        <w:left w:val="none" w:sz="0" w:space="0" w:color="auto"/>
        <w:bottom w:val="none" w:sz="0" w:space="0" w:color="auto"/>
        <w:right w:val="none" w:sz="0" w:space="0" w:color="auto"/>
      </w:divBdr>
      <w:divsChild>
        <w:div w:id="2042198253">
          <w:marLeft w:val="0"/>
          <w:marRight w:val="0"/>
          <w:marTop w:val="0"/>
          <w:marBottom w:val="0"/>
          <w:divBdr>
            <w:top w:val="none" w:sz="0" w:space="0" w:color="auto"/>
            <w:left w:val="none" w:sz="0" w:space="0" w:color="auto"/>
            <w:bottom w:val="none" w:sz="0" w:space="0" w:color="auto"/>
            <w:right w:val="none" w:sz="0" w:space="0" w:color="auto"/>
          </w:divBdr>
          <w:divsChild>
            <w:div w:id="710224795">
              <w:marLeft w:val="0"/>
              <w:marRight w:val="0"/>
              <w:marTop w:val="0"/>
              <w:marBottom w:val="0"/>
              <w:divBdr>
                <w:top w:val="none" w:sz="0" w:space="0" w:color="auto"/>
                <w:left w:val="none" w:sz="0" w:space="0" w:color="auto"/>
                <w:bottom w:val="none" w:sz="0" w:space="0" w:color="auto"/>
                <w:right w:val="none" w:sz="0" w:space="0" w:color="auto"/>
              </w:divBdr>
              <w:divsChild>
                <w:div w:id="1753821135">
                  <w:marLeft w:val="0"/>
                  <w:marRight w:val="0"/>
                  <w:marTop w:val="0"/>
                  <w:marBottom w:val="0"/>
                  <w:divBdr>
                    <w:top w:val="none" w:sz="0" w:space="0" w:color="auto"/>
                    <w:left w:val="none" w:sz="0" w:space="0" w:color="auto"/>
                    <w:bottom w:val="none" w:sz="0" w:space="0" w:color="auto"/>
                    <w:right w:val="none" w:sz="0" w:space="0" w:color="auto"/>
                  </w:divBdr>
                  <w:divsChild>
                    <w:div w:id="5495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2230">
      <w:bodyDiv w:val="1"/>
      <w:marLeft w:val="0"/>
      <w:marRight w:val="0"/>
      <w:marTop w:val="0"/>
      <w:marBottom w:val="0"/>
      <w:divBdr>
        <w:top w:val="none" w:sz="0" w:space="0" w:color="auto"/>
        <w:left w:val="none" w:sz="0" w:space="0" w:color="auto"/>
        <w:bottom w:val="none" w:sz="0" w:space="0" w:color="auto"/>
        <w:right w:val="none" w:sz="0" w:space="0" w:color="auto"/>
      </w:divBdr>
      <w:divsChild>
        <w:div w:id="1003628635">
          <w:marLeft w:val="0"/>
          <w:marRight w:val="0"/>
          <w:marTop w:val="0"/>
          <w:marBottom w:val="0"/>
          <w:divBdr>
            <w:top w:val="none" w:sz="0" w:space="0" w:color="auto"/>
            <w:left w:val="none" w:sz="0" w:space="0" w:color="auto"/>
            <w:bottom w:val="none" w:sz="0" w:space="0" w:color="auto"/>
            <w:right w:val="none" w:sz="0" w:space="0" w:color="auto"/>
          </w:divBdr>
          <w:divsChild>
            <w:div w:id="2143771903">
              <w:marLeft w:val="0"/>
              <w:marRight w:val="0"/>
              <w:marTop w:val="0"/>
              <w:marBottom w:val="0"/>
              <w:divBdr>
                <w:top w:val="none" w:sz="0" w:space="0" w:color="auto"/>
                <w:left w:val="none" w:sz="0" w:space="0" w:color="auto"/>
                <w:bottom w:val="none" w:sz="0" w:space="0" w:color="auto"/>
                <w:right w:val="none" w:sz="0" w:space="0" w:color="auto"/>
              </w:divBdr>
              <w:divsChild>
                <w:div w:id="13020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3339">
      <w:bodyDiv w:val="1"/>
      <w:marLeft w:val="0"/>
      <w:marRight w:val="0"/>
      <w:marTop w:val="0"/>
      <w:marBottom w:val="0"/>
      <w:divBdr>
        <w:top w:val="none" w:sz="0" w:space="0" w:color="auto"/>
        <w:left w:val="none" w:sz="0" w:space="0" w:color="auto"/>
        <w:bottom w:val="none" w:sz="0" w:space="0" w:color="auto"/>
        <w:right w:val="none" w:sz="0" w:space="0" w:color="auto"/>
      </w:divBdr>
    </w:div>
    <w:div w:id="1131896702">
      <w:bodyDiv w:val="1"/>
      <w:marLeft w:val="0"/>
      <w:marRight w:val="0"/>
      <w:marTop w:val="0"/>
      <w:marBottom w:val="0"/>
      <w:divBdr>
        <w:top w:val="none" w:sz="0" w:space="0" w:color="auto"/>
        <w:left w:val="none" w:sz="0" w:space="0" w:color="auto"/>
        <w:bottom w:val="none" w:sz="0" w:space="0" w:color="auto"/>
        <w:right w:val="none" w:sz="0" w:space="0" w:color="auto"/>
      </w:divBdr>
    </w:div>
    <w:div w:id="1137989319">
      <w:bodyDiv w:val="1"/>
      <w:marLeft w:val="0"/>
      <w:marRight w:val="0"/>
      <w:marTop w:val="0"/>
      <w:marBottom w:val="0"/>
      <w:divBdr>
        <w:top w:val="none" w:sz="0" w:space="0" w:color="auto"/>
        <w:left w:val="none" w:sz="0" w:space="0" w:color="auto"/>
        <w:bottom w:val="none" w:sz="0" w:space="0" w:color="auto"/>
        <w:right w:val="none" w:sz="0" w:space="0" w:color="auto"/>
      </w:divBdr>
    </w:div>
    <w:div w:id="1142114471">
      <w:bodyDiv w:val="1"/>
      <w:marLeft w:val="0"/>
      <w:marRight w:val="0"/>
      <w:marTop w:val="0"/>
      <w:marBottom w:val="0"/>
      <w:divBdr>
        <w:top w:val="none" w:sz="0" w:space="0" w:color="auto"/>
        <w:left w:val="none" w:sz="0" w:space="0" w:color="auto"/>
        <w:bottom w:val="none" w:sz="0" w:space="0" w:color="auto"/>
        <w:right w:val="none" w:sz="0" w:space="0" w:color="auto"/>
      </w:divBdr>
    </w:div>
    <w:div w:id="1153519612">
      <w:bodyDiv w:val="1"/>
      <w:marLeft w:val="0"/>
      <w:marRight w:val="0"/>
      <w:marTop w:val="0"/>
      <w:marBottom w:val="0"/>
      <w:divBdr>
        <w:top w:val="none" w:sz="0" w:space="0" w:color="auto"/>
        <w:left w:val="none" w:sz="0" w:space="0" w:color="auto"/>
        <w:bottom w:val="none" w:sz="0" w:space="0" w:color="auto"/>
        <w:right w:val="none" w:sz="0" w:space="0" w:color="auto"/>
      </w:divBdr>
    </w:div>
    <w:div w:id="1163937275">
      <w:bodyDiv w:val="1"/>
      <w:marLeft w:val="0"/>
      <w:marRight w:val="0"/>
      <w:marTop w:val="0"/>
      <w:marBottom w:val="0"/>
      <w:divBdr>
        <w:top w:val="none" w:sz="0" w:space="0" w:color="auto"/>
        <w:left w:val="none" w:sz="0" w:space="0" w:color="auto"/>
        <w:bottom w:val="none" w:sz="0" w:space="0" w:color="auto"/>
        <w:right w:val="none" w:sz="0" w:space="0" w:color="auto"/>
      </w:divBdr>
    </w:div>
    <w:div w:id="1174300904">
      <w:bodyDiv w:val="1"/>
      <w:marLeft w:val="0"/>
      <w:marRight w:val="0"/>
      <w:marTop w:val="0"/>
      <w:marBottom w:val="0"/>
      <w:divBdr>
        <w:top w:val="none" w:sz="0" w:space="0" w:color="auto"/>
        <w:left w:val="none" w:sz="0" w:space="0" w:color="auto"/>
        <w:bottom w:val="none" w:sz="0" w:space="0" w:color="auto"/>
        <w:right w:val="none" w:sz="0" w:space="0" w:color="auto"/>
      </w:divBdr>
    </w:div>
    <w:div w:id="1178931447">
      <w:bodyDiv w:val="1"/>
      <w:marLeft w:val="0"/>
      <w:marRight w:val="0"/>
      <w:marTop w:val="0"/>
      <w:marBottom w:val="0"/>
      <w:divBdr>
        <w:top w:val="none" w:sz="0" w:space="0" w:color="auto"/>
        <w:left w:val="none" w:sz="0" w:space="0" w:color="auto"/>
        <w:bottom w:val="none" w:sz="0" w:space="0" w:color="auto"/>
        <w:right w:val="none" w:sz="0" w:space="0" w:color="auto"/>
      </w:divBdr>
    </w:div>
    <w:div w:id="1182354663">
      <w:bodyDiv w:val="1"/>
      <w:marLeft w:val="0"/>
      <w:marRight w:val="0"/>
      <w:marTop w:val="0"/>
      <w:marBottom w:val="0"/>
      <w:divBdr>
        <w:top w:val="none" w:sz="0" w:space="0" w:color="auto"/>
        <w:left w:val="none" w:sz="0" w:space="0" w:color="auto"/>
        <w:bottom w:val="none" w:sz="0" w:space="0" w:color="auto"/>
        <w:right w:val="none" w:sz="0" w:space="0" w:color="auto"/>
      </w:divBdr>
    </w:div>
    <w:div w:id="1207062312">
      <w:bodyDiv w:val="1"/>
      <w:marLeft w:val="0"/>
      <w:marRight w:val="0"/>
      <w:marTop w:val="0"/>
      <w:marBottom w:val="0"/>
      <w:divBdr>
        <w:top w:val="none" w:sz="0" w:space="0" w:color="auto"/>
        <w:left w:val="none" w:sz="0" w:space="0" w:color="auto"/>
        <w:bottom w:val="none" w:sz="0" w:space="0" w:color="auto"/>
        <w:right w:val="none" w:sz="0" w:space="0" w:color="auto"/>
      </w:divBdr>
    </w:div>
    <w:div w:id="1231618891">
      <w:bodyDiv w:val="1"/>
      <w:marLeft w:val="0"/>
      <w:marRight w:val="0"/>
      <w:marTop w:val="0"/>
      <w:marBottom w:val="0"/>
      <w:divBdr>
        <w:top w:val="none" w:sz="0" w:space="0" w:color="auto"/>
        <w:left w:val="none" w:sz="0" w:space="0" w:color="auto"/>
        <w:bottom w:val="none" w:sz="0" w:space="0" w:color="auto"/>
        <w:right w:val="none" w:sz="0" w:space="0" w:color="auto"/>
      </w:divBdr>
    </w:div>
    <w:div w:id="123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9474480">
          <w:marLeft w:val="0"/>
          <w:marRight w:val="0"/>
          <w:marTop w:val="0"/>
          <w:marBottom w:val="0"/>
          <w:divBdr>
            <w:top w:val="none" w:sz="0" w:space="0" w:color="auto"/>
            <w:left w:val="none" w:sz="0" w:space="0" w:color="auto"/>
            <w:bottom w:val="none" w:sz="0" w:space="0" w:color="auto"/>
            <w:right w:val="none" w:sz="0" w:space="0" w:color="auto"/>
          </w:divBdr>
          <w:divsChild>
            <w:div w:id="1817649737">
              <w:marLeft w:val="0"/>
              <w:marRight w:val="0"/>
              <w:marTop w:val="0"/>
              <w:marBottom w:val="0"/>
              <w:divBdr>
                <w:top w:val="none" w:sz="0" w:space="0" w:color="auto"/>
                <w:left w:val="none" w:sz="0" w:space="0" w:color="auto"/>
                <w:bottom w:val="none" w:sz="0" w:space="0" w:color="auto"/>
                <w:right w:val="none" w:sz="0" w:space="0" w:color="auto"/>
              </w:divBdr>
              <w:divsChild>
                <w:div w:id="835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20322">
      <w:bodyDiv w:val="1"/>
      <w:marLeft w:val="0"/>
      <w:marRight w:val="0"/>
      <w:marTop w:val="0"/>
      <w:marBottom w:val="0"/>
      <w:divBdr>
        <w:top w:val="none" w:sz="0" w:space="0" w:color="auto"/>
        <w:left w:val="none" w:sz="0" w:space="0" w:color="auto"/>
        <w:bottom w:val="none" w:sz="0" w:space="0" w:color="auto"/>
        <w:right w:val="none" w:sz="0" w:space="0" w:color="auto"/>
      </w:divBdr>
      <w:divsChild>
        <w:div w:id="698434130">
          <w:marLeft w:val="0"/>
          <w:marRight w:val="0"/>
          <w:marTop w:val="0"/>
          <w:marBottom w:val="0"/>
          <w:divBdr>
            <w:top w:val="none" w:sz="0" w:space="0" w:color="auto"/>
            <w:left w:val="none" w:sz="0" w:space="0" w:color="auto"/>
            <w:bottom w:val="none" w:sz="0" w:space="0" w:color="auto"/>
            <w:right w:val="none" w:sz="0" w:space="0" w:color="auto"/>
          </w:divBdr>
          <w:divsChild>
            <w:div w:id="2085832086">
              <w:marLeft w:val="0"/>
              <w:marRight w:val="0"/>
              <w:marTop w:val="0"/>
              <w:marBottom w:val="0"/>
              <w:divBdr>
                <w:top w:val="none" w:sz="0" w:space="0" w:color="auto"/>
                <w:left w:val="none" w:sz="0" w:space="0" w:color="auto"/>
                <w:bottom w:val="none" w:sz="0" w:space="0" w:color="auto"/>
                <w:right w:val="none" w:sz="0" w:space="0" w:color="auto"/>
              </w:divBdr>
              <w:divsChild>
                <w:div w:id="4921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5630">
      <w:bodyDiv w:val="1"/>
      <w:marLeft w:val="0"/>
      <w:marRight w:val="0"/>
      <w:marTop w:val="0"/>
      <w:marBottom w:val="0"/>
      <w:divBdr>
        <w:top w:val="none" w:sz="0" w:space="0" w:color="auto"/>
        <w:left w:val="none" w:sz="0" w:space="0" w:color="auto"/>
        <w:bottom w:val="none" w:sz="0" w:space="0" w:color="auto"/>
        <w:right w:val="none" w:sz="0" w:space="0" w:color="auto"/>
      </w:divBdr>
    </w:div>
    <w:div w:id="1352759970">
      <w:bodyDiv w:val="1"/>
      <w:marLeft w:val="0"/>
      <w:marRight w:val="0"/>
      <w:marTop w:val="0"/>
      <w:marBottom w:val="0"/>
      <w:divBdr>
        <w:top w:val="none" w:sz="0" w:space="0" w:color="auto"/>
        <w:left w:val="none" w:sz="0" w:space="0" w:color="auto"/>
        <w:bottom w:val="none" w:sz="0" w:space="0" w:color="auto"/>
        <w:right w:val="none" w:sz="0" w:space="0" w:color="auto"/>
      </w:divBdr>
    </w:div>
    <w:div w:id="1383401394">
      <w:bodyDiv w:val="1"/>
      <w:marLeft w:val="0"/>
      <w:marRight w:val="0"/>
      <w:marTop w:val="0"/>
      <w:marBottom w:val="0"/>
      <w:divBdr>
        <w:top w:val="none" w:sz="0" w:space="0" w:color="auto"/>
        <w:left w:val="none" w:sz="0" w:space="0" w:color="auto"/>
        <w:bottom w:val="none" w:sz="0" w:space="0" w:color="auto"/>
        <w:right w:val="none" w:sz="0" w:space="0" w:color="auto"/>
      </w:divBdr>
      <w:divsChild>
        <w:div w:id="1550527463">
          <w:marLeft w:val="0"/>
          <w:marRight w:val="0"/>
          <w:marTop w:val="0"/>
          <w:marBottom w:val="0"/>
          <w:divBdr>
            <w:top w:val="none" w:sz="0" w:space="0" w:color="auto"/>
            <w:left w:val="none" w:sz="0" w:space="0" w:color="auto"/>
            <w:bottom w:val="none" w:sz="0" w:space="0" w:color="auto"/>
            <w:right w:val="none" w:sz="0" w:space="0" w:color="auto"/>
          </w:divBdr>
          <w:divsChild>
            <w:div w:id="2041123086">
              <w:marLeft w:val="0"/>
              <w:marRight w:val="0"/>
              <w:marTop w:val="0"/>
              <w:marBottom w:val="0"/>
              <w:divBdr>
                <w:top w:val="none" w:sz="0" w:space="0" w:color="auto"/>
                <w:left w:val="none" w:sz="0" w:space="0" w:color="auto"/>
                <w:bottom w:val="none" w:sz="0" w:space="0" w:color="auto"/>
                <w:right w:val="none" w:sz="0" w:space="0" w:color="auto"/>
              </w:divBdr>
              <w:divsChild>
                <w:div w:id="6423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2355">
      <w:bodyDiv w:val="1"/>
      <w:marLeft w:val="0"/>
      <w:marRight w:val="0"/>
      <w:marTop w:val="0"/>
      <w:marBottom w:val="0"/>
      <w:divBdr>
        <w:top w:val="none" w:sz="0" w:space="0" w:color="auto"/>
        <w:left w:val="none" w:sz="0" w:space="0" w:color="auto"/>
        <w:bottom w:val="none" w:sz="0" w:space="0" w:color="auto"/>
        <w:right w:val="none" w:sz="0" w:space="0" w:color="auto"/>
      </w:divBdr>
    </w:div>
    <w:div w:id="1404796917">
      <w:bodyDiv w:val="1"/>
      <w:marLeft w:val="0"/>
      <w:marRight w:val="0"/>
      <w:marTop w:val="0"/>
      <w:marBottom w:val="0"/>
      <w:divBdr>
        <w:top w:val="none" w:sz="0" w:space="0" w:color="auto"/>
        <w:left w:val="none" w:sz="0" w:space="0" w:color="auto"/>
        <w:bottom w:val="none" w:sz="0" w:space="0" w:color="auto"/>
        <w:right w:val="none" w:sz="0" w:space="0" w:color="auto"/>
      </w:divBdr>
    </w:div>
    <w:div w:id="1452820208">
      <w:bodyDiv w:val="1"/>
      <w:marLeft w:val="0"/>
      <w:marRight w:val="0"/>
      <w:marTop w:val="0"/>
      <w:marBottom w:val="0"/>
      <w:divBdr>
        <w:top w:val="none" w:sz="0" w:space="0" w:color="auto"/>
        <w:left w:val="none" w:sz="0" w:space="0" w:color="auto"/>
        <w:bottom w:val="none" w:sz="0" w:space="0" w:color="auto"/>
        <w:right w:val="none" w:sz="0" w:space="0" w:color="auto"/>
      </w:divBdr>
    </w:div>
    <w:div w:id="1478299523">
      <w:bodyDiv w:val="1"/>
      <w:marLeft w:val="0"/>
      <w:marRight w:val="0"/>
      <w:marTop w:val="0"/>
      <w:marBottom w:val="0"/>
      <w:divBdr>
        <w:top w:val="none" w:sz="0" w:space="0" w:color="auto"/>
        <w:left w:val="none" w:sz="0" w:space="0" w:color="auto"/>
        <w:bottom w:val="none" w:sz="0" w:space="0" w:color="auto"/>
        <w:right w:val="none" w:sz="0" w:space="0" w:color="auto"/>
      </w:divBdr>
    </w:div>
    <w:div w:id="1478302348">
      <w:bodyDiv w:val="1"/>
      <w:marLeft w:val="0"/>
      <w:marRight w:val="0"/>
      <w:marTop w:val="0"/>
      <w:marBottom w:val="0"/>
      <w:divBdr>
        <w:top w:val="none" w:sz="0" w:space="0" w:color="auto"/>
        <w:left w:val="none" w:sz="0" w:space="0" w:color="auto"/>
        <w:bottom w:val="none" w:sz="0" w:space="0" w:color="auto"/>
        <w:right w:val="none" w:sz="0" w:space="0" w:color="auto"/>
      </w:divBdr>
    </w:div>
    <w:div w:id="1489176243">
      <w:bodyDiv w:val="1"/>
      <w:marLeft w:val="0"/>
      <w:marRight w:val="0"/>
      <w:marTop w:val="0"/>
      <w:marBottom w:val="0"/>
      <w:divBdr>
        <w:top w:val="none" w:sz="0" w:space="0" w:color="auto"/>
        <w:left w:val="none" w:sz="0" w:space="0" w:color="auto"/>
        <w:bottom w:val="none" w:sz="0" w:space="0" w:color="auto"/>
        <w:right w:val="none" w:sz="0" w:space="0" w:color="auto"/>
      </w:divBdr>
      <w:divsChild>
        <w:div w:id="1663118505">
          <w:marLeft w:val="0"/>
          <w:marRight w:val="0"/>
          <w:marTop w:val="0"/>
          <w:marBottom w:val="0"/>
          <w:divBdr>
            <w:top w:val="none" w:sz="0" w:space="0" w:color="auto"/>
            <w:left w:val="none" w:sz="0" w:space="0" w:color="auto"/>
            <w:bottom w:val="none" w:sz="0" w:space="0" w:color="auto"/>
            <w:right w:val="none" w:sz="0" w:space="0" w:color="auto"/>
          </w:divBdr>
          <w:divsChild>
            <w:div w:id="1745294183">
              <w:marLeft w:val="0"/>
              <w:marRight w:val="0"/>
              <w:marTop w:val="0"/>
              <w:marBottom w:val="0"/>
              <w:divBdr>
                <w:top w:val="none" w:sz="0" w:space="0" w:color="auto"/>
                <w:left w:val="none" w:sz="0" w:space="0" w:color="auto"/>
                <w:bottom w:val="none" w:sz="0" w:space="0" w:color="auto"/>
                <w:right w:val="none" w:sz="0" w:space="0" w:color="auto"/>
              </w:divBdr>
              <w:divsChild>
                <w:div w:id="8410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3301">
      <w:bodyDiv w:val="1"/>
      <w:marLeft w:val="0"/>
      <w:marRight w:val="0"/>
      <w:marTop w:val="0"/>
      <w:marBottom w:val="0"/>
      <w:divBdr>
        <w:top w:val="none" w:sz="0" w:space="0" w:color="auto"/>
        <w:left w:val="none" w:sz="0" w:space="0" w:color="auto"/>
        <w:bottom w:val="none" w:sz="0" w:space="0" w:color="auto"/>
        <w:right w:val="none" w:sz="0" w:space="0" w:color="auto"/>
      </w:divBdr>
    </w:div>
    <w:div w:id="1543009553">
      <w:bodyDiv w:val="1"/>
      <w:marLeft w:val="0"/>
      <w:marRight w:val="0"/>
      <w:marTop w:val="0"/>
      <w:marBottom w:val="0"/>
      <w:divBdr>
        <w:top w:val="none" w:sz="0" w:space="0" w:color="auto"/>
        <w:left w:val="none" w:sz="0" w:space="0" w:color="auto"/>
        <w:bottom w:val="none" w:sz="0" w:space="0" w:color="auto"/>
        <w:right w:val="none" w:sz="0" w:space="0" w:color="auto"/>
      </w:divBdr>
      <w:divsChild>
        <w:div w:id="6908411">
          <w:marLeft w:val="0"/>
          <w:marRight w:val="0"/>
          <w:marTop w:val="0"/>
          <w:marBottom w:val="0"/>
          <w:divBdr>
            <w:top w:val="none" w:sz="0" w:space="0" w:color="auto"/>
            <w:left w:val="none" w:sz="0" w:space="0" w:color="auto"/>
            <w:bottom w:val="none" w:sz="0" w:space="0" w:color="auto"/>
            <w:right w:val="none" w:sz="0" w:space="0" w:color="auto"/>
          </w:divBdr>
          <w:divsChild>
            <w:div w:id="933323099">
              <w:marLeft w:val="0"/>
              <w:marRight w:val="0"/>
              <w:marTop w:val="0"/>
              <w:marBottom w:val="0"/>
              <w:divBdr>
                <w:top w:val="none" w:sz="0" w:space="0" w:color="auto"/>
                <w:left w:val="none" w:sz="0" w:space="0" w:color="auto"/>
                <w:bottom w:val="none" w:sz="0" w:space="0" w:color="auto"/>
                <w:right w:val="none" w:sz="0" w:space="0" w:color="auto"/>
              </w:divBdr>
              <w:divsChild>
                <w:div w:id="9917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4685">
      <w:bodyDiv w:val="1"/>
      <w:marLeft w:val="0"/>
      <w:marRight w:val="0"/>
      <w:marTop w:val="0"/>
      <w:marBottom w:val="0"/>
      <w:divBdr>
        <w:top w:val="none" w:sz="0" w:space="0" w:color="auto"/>
        <w:left w:val="none" w:sz="0" w:space="0" w:color="auto"/>
        <w:bottom w:val="none" w:sz="0" w:space="0" w:color="auto"/>
        <w:right w:val="none" w:sz="0" w:space="0" w:color="auto"/>
      </w:divBdr>
      <w:divsChild>
        <w:div w:id="834149490">
          <w:marLeft w:val="0"/>
          <w:marRight w:val="0"/>
          <w:marTop w:val="0"/>
          <w:marBottom w:val="0"/>
          <w:divBdr>
            <w:top w:val="none" w:sz="0" w:space="0" w:color="auto"/>
            <w:left w:val="none" w:sz="0" w:space="0" w:color="auto"/>
            <w:bottom w:val="none" w:sz="0" w:space="0" w:color="auto"/>
            <w:right w:val="none" w:sz="0" w:space="0" w:color="auto"/>
          </w:divBdr>
          <w:divsChild>
            <w:div w:id="650908548">
              <w:marLeft w:val="0"/>
              <w:marRight w:val="0"/>
              <w:marTop w:val="0"/>
              <w:marBottom w:val="0"/>
              <w:divBdr>
                <w:top w:val="none" w:sz="0" w:space="0" w:color="auto"/>
                <w:left w:val="none" w:sz="0" w:space="0" w:color="auto"/>
                <w:bottom w:val="none" w:sz="0" w:space="0" w:color="auto"/>
                <w:right w:val="none" w:sz="0" w:space="0" w:color="auto"/>
              </w:divBdr>
              <w:divsChild>
                <w:div w:id="17611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5603">
      <w:bodyDiv w:val="1"/>
      <w:marLeft w:val="0"/>
      <w:marRight w:val="0"/>
      <w:marTop w:val="0"/>
      <w:marBottom w:val="0"/>
      <w:divBdr>
        <w:top w:val="none" w:sz="0" w:space="0" w:color="auto"/>
        <w:left w:val="none" w:sz="0" w:space="0" w:color="auto"/>
        <w:bottom w:val="none" w:sz="0" w:space="0" w:color="auto"/>
        <w:right w:val="none" w:sz="0" w:space="0" w:color="auto"/>
      </w:divBdr>
    </w:div>
    <w:div w:id="1564564670">
      <w:bodyDiv w:val="1"/>
      <w:marLeft w:val="0"/>
      <w:marRight w:val="0"/>
      <w:marTop w:val="0"/>
      <w:marBottom w:val="0"/>
      <w:divBdr>
        <w:top w:val="none" w:sz="0" w:space="0" w:color="auto"/>
        <w:left w:val="none" w:sz="0" w:space="0" w:color="auto"/>
        <w:bottom w:val="none" w:sz="0" w:space="0" w:color="auto"/>
        <w:right w:val="none" w:sz="0" w:space="0" w:color="auto"/>
      </w:divBdr>
      <w:divsChild>
        <w:div w:id="295375138">
          <w:marLeft w:val="0"/>
          <w:marRight w:val="0"/>
          <w:marTop w:val="0"/>
          <w:marBottom w:val="0"/>
          <w:divBdr>
            <w:top w:val="none" w:sz="0" w:space="0" w:color="auto"/>
            <w:left w:val="none" w:sz="0" w:space="0" w:color="auto"/>
            <w:bottom w:val="none" w:sz="0" w:space="0" w:color="auto"/>
            <w:right w:val="none" w:sz="0" w:space="0" w:color="auto"/>
          </w:divBdr>
          <w:divsChild>
            <w:div w:id="1336151291">
              <w:marLeft w:val="0"/>
              <w:marRight w:val="0"/>
              <w:marTop w:val="0"/>
              <w:marBottom w:val="0"/>
              <w:divBdr>
                <w:top w:val="none" w:sz="0" w:space="0" w:color="auto"/>
                <w:left w:val="none" w:sz="0" w:space="0" w:color="auto"/>
                <w:bottom w:val="none" w:sz="0" w:space="0" w:color="auto"/>
                <w:right w:val="none" w:sz="0" w:space="0" w:color="auto"/>
              </w:divBdr>
              <w:divsChild>
                <w:div w:id="2236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3209">
      <w:bodyDiv w:val="1"/>
      <w:marLeft w:val="0"/>
      <w:marRight w:val="0"/>
      <w:marTop w:val="0"/>
      <w:marBottom w:val="0"/>
      <w:divBdr>
        <w:top w:val="none" w:sz="0" w:space="0" w:color="auto"/>
        <w:left w:val="none" w:sz="0" w:space="0" w:color="auto"/>
        <w:bottom w:val="none" w:sz="0" w:space="0" w:color="auto"/>
        <w:right w:val="none" w:sz="0" w:space="0" w:color="auto"/>
      </w:divBdr>
    </w:div>
    <w:div w:id="1626883888">
      <w:bodyDiv w:val="1"/>
      <w:marLeft w:val="0"/>
      <w:marRight w:val="0"/>
      <w:marTop w:val="0"/>
      <w:marBottom w:val="0"/>
      <w:divBdr>
        <w:top w:val="none" w:sz="0" w:space="0" w:color="auto"/>
        <w:left w:val="none" w:sz="0" w:space="0" w:color="auto"/>
        <w:bottom w:val="none" w:sz="0" w:space="0" w:color="auto"/>
        <w:right w:val="none" w:sz="0" w:space="0" w:color="auto"/>
      </w:divBdr>
    </w:div>
    <w:div w:id="1650553859">
      <w:bodyDiv w:val="1"/>
      <w:marLeft w:val="0"/>
      <w:marRight w:val="0"/>
      <w:marTop w:val="0"/>
      <w:marBottom w:val="0"/>
      <w:divBdr>
        <w:top w:val="none" w:sz="0" w:space="0" w:color="auto"/>
        <w:left w:val="none" w:sz="0" w:space="0" w:color="auto"/>
        <w:bottom w:val="none" w:sz="0" w:space="0" w:color="auto"/>
        <w:right w:val="none" w:sz="0" w:space="0" w:color="auto"/>
      </w:divBdr>
      <w:divsChild>
        <w:div w:id="504243302">
          <w:marLeft w:val="0"/>
          <w:marRight w:val="0"/>
          <w:marTop w:val="0"/>
          <w:marBottom w:val="0"/>
          <w:divBdr>
            <w:top w:val="none" w:sz="0" w:space="0" w:color="auto"/>
            <w:left w:val="none" w:sz="0" w:space="0" w:color="auto"/>
            <w:bottom w:val="none" w:sz="0" w:space="0" w:color="auto"/>
            <w:right w:val="none" w:sz="0" w:space="0" w:color="auto"/>
          </w:divBdr>
          <w:divsChild>
            <w:div w:id="1633362714">
              <w:marLeft w:val="0"/>
              <w:marRight w:val="0"/>
              <w:marTop w:val="0"/>
              <w:marBottom w:val="0"/>
              <w:divBdr>
                <w:top w:val="none" w:sz="0" w:space="0" w:color="auto"/>
                <w:left w:val="none" w:sz="0" w:space="0" w:color="auto"/>
                <w:bottom w:val="none" w:sz="0" w:space="0" w:color="auto"/>
                <w:right w:val="none" w:sz="0" w:space="0" w:color="auto"/>
              </w:divBdr>
              <w:divsChild>
                <w:div w:id="11716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7374">
      <w:bodyDiv w:val="1"/>
      <w:marLeft w:val="0"/>
      <w:marRight w:val="0"/>
      <w:marTop w:val="0"/>
      <w:marBottom w:val="0"/>
      <w:divBdr>
        <w:top w:val="none" w:sz="0" w:space="0" w:color="auto"/>
        <w:left w:val="none" w:sz="0" w:space="0" w:color="auto"/>
        <w:bottom w:val="none" w:sz="0" w:space="0" w:color="auto"/>
        <w:right w:val="none" w:sz="0" w:space="0" w:color="auto"/>
      </w:divBdr>
    </w:div>
    <w:div w:id="1658924248">
      <w:bodyDiv w:val="1"/>
      <w:marLeft w:val="0"/>
      <w:marRight w:val="0"/>
      <w:marTop w:val="0"/>
      <w:marBottom w:val="0"/>
      <w:divBdr>
        <w:top w:val="none" w:sz="0" w:space="0" w:color="auto"/>
        <w:left w:val="none" w:sz="0" w:space="0" w:color="auto"/>
        <w:bottom w:val="none" w:sz="0" w:space="0" w:color="auto"/>
        <w:right w:val="none" w:sz="0" w:space="0" w:color="auto"/>
      </w:divBdr>
    </w:div>
    <w:div w:id="1689140294">
      <w:bodyDiv w:val="1"/>
      <w:marLeft w:val="0"/>
      <w:marRight w:val="0"/>
      <w:marTop w:val="0"/>
      <w:marBottom w:val="0"/>
      <w:divBdr>
        <w:top w:val="none" w:sz="0" w:space="0" w:color="auto"/>
        <w:left w:val="none" w:sz="0" w:space="0" w:color="auto"/>
        <w:bottom w:val="none" w:sz="0" w:space="0" w:color="auto"/>
        <w:right w:val="none" w:sz="0" w:space="0" w:color="auto"/>
      </w:divBdr>
    </w:div>
    <w:div w:id="1697804382">
      <w:bodyDiv w:val="1"/>
      <w:marLeft w:val="0"/>
      <w:marRight w:val="0"/>
      <w:marTop w:val="0"/>
      <w:marBottom w:val="0"/>
      <w:divBdr>
        <w:top w:val="none" w:sz="0" w:space="0" w:color="auto"/>
        <w:left w:val="none" w:sz="0" w:space="0" w:color="auto"/>
        <w:bottom w:val="none" w:sz="0" w:space="0" w:color="auto"/>
        <w:right w:val="none" w:sz="0" w:space="0" w:color="auto"/>
      </w:divBdr>
    </w:div>
    <w:div w:id="1712412613">
      <w:bodyDiv w:val="1"/>
      <w:marLeft w:val="0"/>
      <w:marRight w:val="0"/>
      <w:marTop w:val="0"/>
      <w:marBottom w:val="0"/>
      <w:divBdr>
        <w:top w:val="none" w:sz="0" w:space="0" w:color="auto"/>
        <w:left w:val="none" w:sz="0" w:space="0" w:color="auto"/>
        <w:bottom w:val="none" w:sz="0" w:space="0" w:color="auto"/>
        <w:right w:val="none" w:sz="0" w:space="0" w:color="auto"/>
      </w:divBdr>
    </w:div>
    <w:div w:id="1716155388">
      <w:bodyDiv w:val="1"/>
      <w:marLeft w:val="0"/>
      <w:marRight w:val="0"/>
      <w:marTop w:val="0"/>
      <w:marBottom w:val="0"/>
      <w:divBdr>
        <w:top w:val="none" w:sz="0" w:space="0" w:color="auto"/>
        <w:left w:val="none" w:sz="0" w:space="0" w:color="auto"/>
        <w:bottom w:val="none" w:sz="0" w:space="0" w:color="auto"/>
        <w:right w:val="none" w:sz="0" w:space="0" w:color="auto"/>
      </w:divBdr>
    </w:div>
    <w:div w:id="1727605061">
      <w:bodyDiv w:val="1"/>
      <w:marLeft w:val="0"/>
      <w:marRight w:val="0"/>
      <w:marTop w:val="0"/>
      <w:marBottom w:val="0"/>
      <w:divBdr>
        <w:top w:val="none" w:sz="0" w:space="0" w:color="auto"/>
        <w:left w:val="none" w:sz="0" w:space="0" w:color="auto"/>
        <w:bottom w:val="none" w:sz="0" w:space="0" w:color="auto"/>
        <w:right w:val="none" w:sz="0" w:space="0" w:color="auto"/>
      </w:divBdr>
    </w:div>
    <w:div w:id="1738363172">
      <w:bodyDiv w:val="1"/>
      <w:marLeft w:val="0"/>
      <w:marRight w:val="0"/>
      <w:marTop w:val="0"/>
      <w:marBottom w:val="0"/>
      <w:divBdr>
        <w:top w:val="none" w:sz="0" w:space="0" w:color="auto"/>
        <w:left w:val="none" w:sz="0" w:space="0" w:color="auto"/>
        <w:bottom w:val="none" w:sz="0" w:space="0" w:color="auto"/>
        <w:right w:val="none" w:sz="0" w:space="0" w:color="auto"/>
      </w:divBdr>
    </w:div>
    <w:div w:id="1754932910">
      <w:bodyDiv w:val="1"/>
      <w:marLeft w:val="0"/>
      <w:marRight w:val="0"/>
      <w:marTop w:val="0"/>
      <w:marBottom w:val="0"/>
      <w:divBdr>
        <w:top w:val="none" w:sz="0" w:space="0" w:color="auto"/>
        <w:left w:val="none" w:sz="0" w:space="0" w:color="auto"/>
        <w:bottom w:val="none" w:sz="0" w:space="0" w:color="auto"/>
        <w:right w:val="none" w:sz="0" w:space="0" w:color="auto"/>
      </w:divBdr>
    </w:div>
    <w:div w:id="1757704819">
      <w:bodyDiv w:val="1"/>
      <w:marLeft w:val="0"/>
      <w:marRight w:val="0"/>
      <w:marTop w:val="0"/>
      <w:marBottom w:val="0"/>
      <w:divBdr>
        <w:top w:val="none" w:sz="0" w:space="0" w:color="auto"/>
        <w:left w:val="none" w:sz="0" w:space="0" w:color="auto"/>
        <w:bottom w:val="none" w:sz="0" w:space="0" w:color="auto"/>
        <w:right w:val="none" w:sz="0" w:space="0" w:color="auto"/>
      </w:divBdr>
    </w:div>
    <w:div w:id="1758938803">
      <w:bodyDiv w:val="1"/>
      <w:marLeft w:val="0"/>
      <w:marRight w:val="0"/>
      <w:marTop w:val="0"/>
      <w:marBottom w:val="0"/>
      <w:divBdr>
        <w:top w:val="none" w:sz="0" w:space="0" w:color="auto"/>
        <w:left w:val="none" w:sz="0" w:space="0" w:color="auto"/>
        <w:bottom w:val="none" w:sz="0" w:space="0" w:color="auto"/>
        <w:right w:val="none" w:sz="0" w:space="0" w:color="auto"/>
      </w:divBdr>
      <w:divsChild>
        <w:div w:id="1319726978">
          <w:marLeft w:val="0"/>
          <w:marRight w:val="0"/>
          <w:marTop w:val="0"/>
          <w:marBottom w:val="0"/>
          <w:divBdr>
            <w:top w:val="none" w:sz="0" w:space="0" w:color="auto"/>
            <w:left w:val="none" w:sz="0" w:space="0" w:color="auto"/>
            <w:bottom w:val="none" w:sz="0" w:space="0" w:color="auto"/>
            <w:right w:val="none" w:sz="0" w:space="0" w:color="auto"/>
          </w:divBdr>
          <w:divsChild>
            <w:div w:id="1951088960">
              <w:marLeft w:val="0"/>
              <w:marRight w:val="0"/>
              <w:marTop w:val="0"/>
              <w:marBottom w:val="0"/>
              <w:divBdr>
                <w:top w:val="none" w:sz="0" w:space="0" w:color="auto"/>
                <w:left w:val="none" w:sz="0" w:space="0" w:color="auto"/>
                <w:bottom w:val="none" w:sz="0" w:space="0" w:color="auto"/>
                <w:right w:val="none" w:sz="0" w:space="0" w:color="auto"/>
              </w:divBdr>
              <w:divsChild>
                <w:div w:id="9407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7873">
      <w:bodyDiv w:val="1"/>
      <w:marLeft w:val="0"/>
      <w:marRight w:val="0"/>
      <w:marTop w:val="0"/>
      <w:marBottom w:val="0"/>
      <w:divBdr>
        <w:top w:val="none" w:sz="0" w:space="0" w:color="auto"/>
        <w:left w:val="none" w:sz="0" w:space="0" w:color="auto"/>
        <w:bottom w:val="none" w:sz="0" w:space="0" w:color="auto"/>
        <w:right w:val="none" w:sz="0" w:space="0" w:color="auto"/>
      </w:divBdr>
    </w:div>
    <w:div w:id="1807896388">
      <w:bodyDiv w:val="1"/>
      <w:marLeft w:val="0"/>
      <w:marRight w:val="0"/>
      <w:marTop w:val="0"/>
      <w:marBottom w:val="0"/>
      <w:divBdr>
        <w:top w:val="none" w:sz="0" w:space="0" w:color="auto"/>
        <w:left w:val="none" w:sz="0" w:space="0" w:color="auto"/>
        <w:bottom w:val="none" w:sz="0" w:space="0" w:color="auto"/>
        <w:right w:val="none" w:sz="0" w:space="0" w:color="auto"/>
      </w:divBdr>
      <w:divsChild>
        <w:div w:id="620042027">
          <w:marLeft w:val="0"/>
          <w:marRight w:val="0"/>
          <w:marTop w:val="0"/>
          <w:marBottom w:val="0"/>
          <w:divBdr>
            <w:top w:val="none" w:sz="0" w:space="0" w:color="auto"/>
            <w:left w:val="none" w:sz="0" w:space="0" w:color="auto"/>
            <w:bottom w:val="none" w:sz="0" w:space="0" w:color="auto"/>
            <w:right w:val="none" w:sz="0" w:space="0" w:color="auto"/>
          </w:divBdr>
          <w:divsChild>
            <w:div w:id="315574935">
              <w:marLeft w:val="0"/>
              <w:marRight w:val="0"/>
              <w:marTop w:val="0"/>
              <w:marBottom w:val="0"/>
              <w:divBdr>
                <w:top w:val="none" w:sz="0" w:space="0" w:color="auto"/>
                <w:left w:val="none" w:sz="0" w:space="0" w:color="auto"/>
                <w:bottom w:val="none" w:sz="0" w:space="0" w:color="auto"/>
                <w:right w:val="none" w:sz="0" w:space="0" w:color="auto"/>
              </w:divBdr>
              <w:divsChild>
                <w:div w:id="4148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5071">
      <w:bodyDiv w:val="1"/>
      <w:marLeft w:val="0"/>
      <w:marRight w:val="0"/>
      <w:marTop w:val="0"/>
      <w:marBottom w:val="0"/>
      <w:divBdr>
        <w:top w:val="none" w:sz="0" w:space="0" w:color="auto"/>
        <w:left w:val="none" w:sz="0" w:space="0" w:color="auto"/>
        <w:bottom w:val="none" w:sz="0" w:space="0" w:color="auto"/>
        <w:right w:val="none" w:sz="0" w:space="0" w:color="auto"/>
      </w:divBdr>
      <w:divsChild>
        <w:div w:id="487480349">
          <w:marLeft w:val="2400"/>
          <w:marRight w:val="0"/>
          <w:marTop w:val="0"/>
          <w:marBottom w:val="0"/>
          <w:divBdr>
            <w:top w:val="single" w:sz="6" w:space="12" w:color="A7D7F9"/>
            <w:left w:val="single" w:sz="6" w:space="12" w:color="A7D7F9"/>
            <w:bottom w:val="single" w:sz="6" w:space="12" w:color="A7D7F9"/>
            <w:right w:val="single" w:sz="2" w:space="12" w:color="A7D7F9"/>
          </w:divBdr>
          <w:divsChild>
            <w:div w:id="325284552">
              <w:marLeft w:val="0"/>
              <w:marRight w:val="0"/>
              <w:marTop w:val="0"/>
              <w:marBottom w:val="0"/>
              <w:divBdr>
                <w:top w:val="none" w:sz="0" w:space="0" w:color="auto"/>
                <w:left w:val="none" w:sz="0" w:space="0" w:color="auto"/>
                <w:bottom w:val="none" w:sz="0" w:space="0" w:color="auto"/>
                <w:right w:val="none" w:sz="0" w:space="0" w:color="auto"/>
              </w:divBdr>
              <w:divsChild>
                <w:div w:id="31735936">
                  <w:marLeft w:val="0"/>
                  <w:marRight w:val="0"/>
                  <w:marTop w:val="0"/>
                  <w:marBottom w:val="0"/>
                  <w:divBdr>
                    <w:top w:val="none" w:sz="0" w:space="0" w:color="auto"/>
                    <w:left w:val="none" w:sz="0" w:space="0" w:color="auto"/>
                    <w:bottom w:val="none" w:sz="0" w:space="0" w:color="auto"/>
                    <w:right w:val="none" w:sz="0" w:space="0" w:color="auto"/>
                  </w:divBdr>
                  <w:divsChild>
                    <w:div w:id="2920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92028">
      <w:bodyDiv w:val="1"/>
      <w:marLeft w:val="0"/>
      <w:marRight w:val="0"/>
      <w:marTop w:val="0"/>
      <w:marBottom w:val="0"/>
      <w:divBdr>
        <w:top w:val="none" w:sz="0" w:space="0" w:color="auto"/>
        <w:left w:val="none" w:sz="0" w:space="0" w:color="auto"/>
        <w:bottom w:val="none" w:sz="0" w:space="0" w:color="auto"/>
        <w:right w:val="none" w:sz="0" w:space="0" w:color="auto"/>
      </w:divBdr>
      <w:divsChild>
        <w:div w:id="862716491">
          <w:marLeft w:val="0"/>
          <w:marRight w:val="0"/>
          <w:marTop w:val="0"/>
          <w:marBottom w:val="0"/>
          <w:divBdr>
            <w:top w:val="none" w:sz="0" w:space="0" w:color="auto"/>
            <w:left w:val="none" w:sz="0" w:space="0" w:color="auto"/>
            <w:bottom w:val="none" w:sz="0" w:space="0" w:color="auto"/>
            <w:right w:val="none" w:sz="0" w:space="0" w:color="auto"/>
          </w:divBdr>
          <w:divsChild>
            <w:div w:id="1554658943">
              <w:marLeft w:val="0"/>
              <w:marRight w:val="0"/>
              <w:marTop w:val="0"/>
              <w:marBottom w:val="0"/>
              <w:divBdr>
                <w:top w:val="none" w:sz="0" w:space="0" w:color="auto"/>
                <w:left w:val="none" w:sz="0" w:space="0" w:color="auto"/>
                <w:bottom w:val="none" w:sz="0" w:space="0" w:color="auto"/>
                <w:right w:val="none" w:sz="0" w:space="0" w:color="auto"/>
              </w:divBdr>
              <w:divsChild>
                <w:div w:id="18196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300">
      <w:bodyDiv w:val="1"/>
      <w:marLeft w:val="0"/>
      <w:marRight w:val="0"/>
      <w:marTop w:val="0"/>
      <w:marBottom w:val="0"/>
      <w:divBdr>
        <w:top w:val="none" w:sz="0" w:space="0" w:color="auto"/>
        <w:left w:val="none" w:sz="0" w:space="0" w:color="auto"/>
        <w:bottom w:val="none" w:sz="0" w:space="0" w:color="auto"/>
        <w:right w:val="none" w:sz="0" w:space="0" w:color="auto"/>
      </w:divBdr>
      <w:divsChild>
        <w:div w:id="518860492">
          <w:marLeft w:val="0"/>
          <w:marRight w:val="0"/>
          <w:marTop w:val="0"/>
          <w:marBottom w:val="0"/>
          <w:divBdr>
            <w:top w:val="none" w:sz="0" w:space="0" w:color="auto"/>
            <w:left w:val="none" w:sz="0" w:space="0" w:color="auto"/>
            <w:bottom w:val="none" w:sz="0" w:space="0" w:color="auto"/>
            <w:right w:val="none" w:sz="0" w:space="0" w:color="auto"/>
          </w:divBdr>
          <w:divsChild>
            <w:div w:id="147209982">
              <w:marLeft w:val="0"/>
              <w:marRight w:val="0"/>
              <w:marTop w:val="0"/>
              <w:marBottom w:val="0"/>
              <w:divBdr>
                <w:top w:val="none" w:sz="0" w:space="0" w:color="auto"/>
                <w:left w:val="none" w:sz="0" w:space="0" w:color="auto"/>
                <w:bottom w:val="none" w:sz="0" w:space="0" w:color="auto"/>
                <w:right w:val="none" w:sz="0" w:space="0" w:color="auto"/>
              </w:divBdr>
              <w:divsChild>
                <w:div w:id="8234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15861">
      <w:bodyDiv w:val="1"/>
      <w:marLeft w:val="0"/>
      <w:marRight w:val="0"/>
      <w:marTop w:val="0"/>
      <w:marBottom w:val="0"/>
      <w:divBdr>
        <w:top w:val="none" w:sz="0" w:space="0" w:color="auto"/>
        <w:left w:val="none" w:sz="0" w:space="0" w:color="auto"/>
        <w:bottom w:val="none" w:sz="0" w:space="0" w:color="auto"/>
        <w:right w:val="none" w:sz="0" w:space="0" w:color="auto"/>
      </w:divBdr>
    </w:div>
    <w:div w:id="1882399817">
      <w:bodyDiv w:val="1"/>
      <w:marLeft w:val="0"/>
      <w:marRight w:val="0"/>
      <w:marTop w:val="0"/>
      <w:marBottom w:val="0"/>
      <w:divBdr>
        <w:top w:val="none" w:sz="0" w:space="0" w:color="auto"/>
        <w:left w:val="none" w:sz="0" w:space="0" w:color="auto"/>
        <w:bottom w:val="none" w:sz="0" w:space="0" w:color="auto"/>
        <w:right w:val="none" w:sz="0" w:space="0" w:color="auto"/>
      </w:divBdr>
      <w:divsChild>
        <w:div w:id="1594625341">
          <w:marLeft w:val="0"/>
          <w:marRight w:val="0"/>
          <w:marTop w:val="0"/>
          <w:marBottom w:val="0"/>
          <w:divBdr>
            <w:top w:val="none" w:sz="0" w:space="0" w:color="auto"/>
            <w:left w:val="none" w:sz="0" w:space="0" w:color="auto"/>
            <w:bottom w:val="none" w:sz="0" w:space="0" w:color="auto"/>
            <w:right w:val="none" w:sz="0" w:space="0" w:color="auto"/>
          </w:divBdr>
          <w:divsChild>
            <w:div w:id="847063649">
              <w:marLeft w:val="0"/>
              <w:marRight w:val="0"/>
              <w:marTop w:val="0"/>
              <w:marBottom w:val="0"/>
              <w:divBdr>
                <w:top w:val="none" w:sz="0" w:space="0" w:color="auto"/>
                <w:left w:val="none" w:sz="0" w:space="0" w:color="auto"/>
                <w:bottom w:val="none" w:sz="0" w:space="0" w:color="auto"/>
                <w:right w:val="none" w:sz="0" w:space="0" w:color="auto"/>
              </w:divBdr>
              <w:divsChild>
                <w:div w:id="2676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7102">
      <w:bodyDiv w:val="1"/>
      <w:marLeft w:val="0"/>
      <w:marRight w:val="0"/>
      <w:marTop w:val="0"/>
      <w:marBottom w:val="0"/>
      <w:divBdr>
        <w:top w:val="none" w:sz="0" w:space="0" w:color="auto"/>
        <w:left w:val="none" w:sz="0" w:space="0" w:color="auto"/>
        <w:bottom w:val="none" w:sz="0" w:space="0" w:color="auto"/>
        <w:right w:val="none" w:sz="0" w:space="0" w:color="auto"/>
      </w:divBdr>
    </w:div>
    <w:div w:id="1901669674">
      <w:bodyDiv w:val="1"/>
      <w:marLeft w:val="0"/>
      <w:marRight w:val="0"/>
      <w:marTop w:val="0"/>
      <w:marBottom w:val="0"/>
      <w:divBdr>
        <w:top w:val="none" w:sz="0" w:space="0" w:color="auto"/>
        <w:left w:val="none" w:sz="0" w:space="0" w:color="auto"/>
        <w:bottom w:val="none" w:sz="0" w:space="0" w:color="auto"/>
        <w:right w:val="none" w:sz="0" w:space="0" w:color="auto"/>
      </w:divBdr>
    </w:div>
    <w:div w:id="1925649209">
      <w:bodyDiv w:val="1"/>
      <w:marLeft w:val="0"/>
      <w:marRight w:val="0"/>
      <w:marTop w:val="0"/>
      <w:marBottom w:val="0"/>
      <w:divBdr>
        <w:top w:val="none" w:sz="0" w:space="0" w:color="auto"/>
        <w:left w:val="none" w:sz="0" w:space="0" w:color="auto"/>
        <w:bottom w:val="none" w:sz="0" w:space="0" w:color="auto"/>
        <w:right w:val="none" w:sz="0" w:space="0" w:color="auto"/>
      </w:divBdr>
      <w:divsChild>
        <w:div w:id="1501888528">
          <w:marLeft w:val="0"/>
          <w:marRight w:val="0"/>
          <w:marTop w:val="0"/>
          <w:marBottom w:val="0"/>
          <w:divBdr>
            <w:top w:val="none" w:sz="0" w:space="0" w:color="auto"/>
            <w:left w:val="none" w:sz="0" w:space="0" w:color="auto"/>
            <w:bottom w:val="none" w:sz="0" w:space="0" w:color="auto"/>
            <w:right w:val="none" w:sz="0" w:space="0" w:color="auto"/>
          </w:divBdr>
          <w:divsChild>
            <w:div w:id="366637246">
              <w:marLeft w:val="0"/>
              <w:marRight w:val="0"/>
              <w:marTop w:val="0"/>
              <w:marBottom w:val="0"/>
              <w:divBdr>
                <w:top w:val="none" w:sz="0" w:space="0" w:color="auto"/>
                <w:left w:val="none" w:sz="0" w:space="0" w:color="auto"/>
                <w:bottom w:val="none" w:sz="0" w:space="0" w:color="auto"/>
                <w:right w:val="none" w:sz="0" w:space="0" w:color="auto"/>
              </w:divBdr>
              <w:divsChild>
                <w:div w:id="18725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2889">
      <w:bodyDiv w:val="1"/>
      <w:marLeft w:val="0"/>
      <w:marRight w:val="0"/>
      <w:marTop w:val="0"/>
      <w:marBottom w:val="0"/>
      <w:divBdr>
        <w:top w:val="none" w:sz="0" w:space="0" w:color="auto"/>
        <w:left w:val="none" w:sz="0" w:space="0" w:color="auto"/>
        <w:bottom w:val="none" w:sz="0" w:space="0" w:color="auto"/>
        <w:right w:val="none" w:sz="0" w:space="0" w:color="auto"/>
      </w:divBdr>
      <w:divsChild>
        <w:div w:id="1007295886">
          <w:marLeft w:val="0"/>
          <w:marRight w:val="0"/>
          <w:marTop w:val="0"/>
          <w:marBottom w:val="0"/>
          <w:divBdr>
            <w:top w:val="none" w:sz="0" w:space="0" w:color="auto"/>
            <w:left w:val="none" w:sz="0" w:space="0" w:color="auto"/>
            <w:bottom w:val="none" w:sz="0" w:space="0" w:color="auto"/>
            <w:right w:val="none" w:sz="0" w:space="0" w:color="auto"/>
          </w:divBdr>
          <w:divsChild>
            <w:div w:id="172844047">
              <w:marLeft w:val="0"/>
              <w:marRight w:val="0"/>
              <w:marTop w:val="0"/>
              <w:marBottom w:val="0"/>
              <w:divBdr>
                <w:top w:val="none" w:sz="0" w:space="0" w:color="auto"/>
                <w:left w:val="none" w:sz="0" w:space="0" w:color="auto"/>
                <w:bottom w:val="none" w:sz="0" w:space="0" w:color="auto"/>
                <w:right w:val="none" w:sz="0" w:space="0" w:color="auto"/>
              </w:divBdr>
              <w:divsChild>
                <w:div w:id="14703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8494">
      <w:bodyDiv w:val="1"/>
      <w:marLeft w:val="0"/>
      <w:marRight w:val="0"/>
      <w:marTop w:val="0"/>
      <w:marBottom w:val="0"/>
      <w:divBdr>
        <w:top w:val="none" w:sz="0" w:space="0" w:color="auto"/>
        <w:left w:val="none" w:sz="0" w:space="0" w:color="auto"/>
        <w:bottom w:val="none" w:sz="0" w:space="0" w:color="auto"/>
        <w:right w:val="none" w:sz="0" w:space="0" w:color="auto"/>
      </w:divBdr>
    </w:div>
    <w:div w:id="1957441819">
      <w:bodyDiv w:val="1"/>
      <w:marLeft w:val="0"/>
      <w:marRight w:val="0"/>
      <w:marTop w:val="0"/>
      <w:marBottom w:val="0"/>
      <w:divBdr>
        <w:top w:val="none" w:sz="0" w:space="0" w:color="auto"/>
        <w:left w:val="none" w:sz="0" w:space="0" w:color="auto"/>
        <w:bottom w:val="none" w:sz="0" w:space="0" w:color="auto"/>
        <w:right w:val="none" w:sz="0" w:space="0" w:color="auto"/>
      </w:divBdr>
    </w:div>
    <w:div w:id="1982731401">
      <w:bodyDiv w:val="1"/>
      <w:marLeft w:val="0"/>
      <w:marRight w:val="0"/>
      <w:marTop w:val="0"/>
      <w:marBottom w:val="0"/>
      <w:divBdr>
        <w:top w:val="none" w:sz="0" w:space="0" w:color="auto"/>
        <w:left w:val="none" w:sz="0" w:space="0" w:color="auto"/>
        <w:bottom w:val="none" w:sz="0" w:space="0" w:color="auto"/>
        <w:right w:val="none" w:sz="0" w:space="0" w:color="auto"/>
      </w:divBdr>
    </w:div>
    <w:div w:id="2030060130">
      <w:bodyDiv w:val="1"/>
      <w:marLeft w:val="0"/>
      <w:marRight w:val="0"/>
      <w:marTop w:val="0"/>
      <w:marBottom w:val="0"/>
      <w:divBdr>
        <w:top w:val="none" w:sz="0" w:space="0" w:color="auto"/>
        <w:left w:val="none" w:sz="0" w:space="0" w:color="auto"/>
        <w:bottom w:val="none" w:sz="0" w:space="0" w:color="auto"/>
        <w:right w:val="none" w:sz="0" w:space="0" w:color="auto"/>
      </w:divBdr>
      <w:divsChild>
        <w:div w:id="1904869963">
          <w:marLeft w:val="0"/>
          <w:marRight w:val="0"/>
          <w:marTop w:val="0"/>
          <w:marBottom w:val="0"/>
          <w:divBdr>
            <w:top w:val="none" w:sz="0" w:space="0" w:color="auto"/>
            <w:left w:val="none" w:sz="0" w:space="0" w:color="auto"/>
            <w:bottom w:val="none" w:sz="0" w:space="0" w:color="auto"/>
            <w:right w:val="none" w:sz="0" w:space="0" w:color="auto"/>
          </w:divBdr>
          <w:divsChild>
            <w:div w:id="367993604">
              <w:marLeft w:val="0"/>
              <w:marRight w:val="0"/>
              <w:marTop w:val="0"/>
              <w:marBottom w:val="0"/>
              <w:divBdr>
                <w:top w:val="none" w:sz="0" w:space="0" w:color="auto"/>
                <w:left w:val="none" w:sz="0" w:space="0" w:color="auto"/>
                <w:bottom w:val="none" w:sz="0" w:space="0" w:color="auto"/>
                <w:right w:val="none" w:sz="0" w:space="0" w:color="auto"/>
              </w:divBdr>
              <w:divsChild>
                <w:div w:id="3480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3187">
      <w:bodyDiv w:val="1"/>
      <w:marLeft w:val="0"/>
      <w:marRight w:val="0"/>
      <w:marTop w:val="0"/>
      <w:marBottom w:val="0"/>
      <w:divBdr>
        <w:top w:val="none" w:sz="0" w:space="0" w:color="auto"/>
        <w:left w:val="none" w:sz="0" w:space="0" w:color="auto"/>
        <w:bottom w:val="none" w:sz="0" w:space="0" w:color="auto"/>
        <w:right w:val="none" w:sz="0" w:space="0" w:color="auto"/>
      </w:divBdr>
    </w:div>
    <w:div w:id="2069449003">
      <w:bodyDiv w:val="1"/>
      <w:marLeft w:val="0"/>
      <w:marRight w:val="0"/>
      <w:marTop w:val="0"/>
      <w:marBottom w:val="0"/>
      <w:divBdr>
        <w:top w:val="none" w:sz="0" w:space="0" w:color="auto"/>
        <w:left w:val="none" w:sz="0" w:space="0" w:color="auto"/>
        <w:bottom w:val="none" w:sz="0" w:space="0" w:color="auto"/>
        <w:right w:val="none" w:sz="0" w:space="0" w:color="auto"/>
      </w:divBdr>
    </w:div>
    <w:div w:id="2072069494">
      <w:bodyDiv w:val="1"/>
      <w:marLeft w:val="0"/>
      <w:marRight w:val="0"/>
      <w:marTop w:val="0"/>
      <w:marBottom w:val="0"/>
      <w:divBdr>
        <w:top w:val="none" w:sz="0" w:space="0" w:color="auto"/>
        <w:left w:val="none" w:sz="0" w:space="0" w:color="auto"/>
        <w:bottom w:val="none" w:sz="0" w:space="0" w:color="auto"/>
        <w:right w:val="none" w:sz="0" w:space="0" w:color="auto"/>
      </w:divBdr>
    </w:div>
    <w:div w:id="2072724894">
      <w:bodyDiv w:val="1"/>
      <w:marLeft w:val="0"/>
      <w:marRight w:val="0"/>
      <w:marTop w:val="0"/>
      <w:marBottom w:val="0"/>
      <w:divBdr>
        <w:top w:val="none" w:sz="0" w:space="0" w:color="auto"/>
        <w:left w:val="none" w:sz="0" w:space="0" w:color="auto"/>
        <w:bottom w:val="none" w:sz="0" w:space="0" w:color="auto"/>
        <w:right w:val="none" w:sz="0" w:space="0" w:color="auto"/>
      </w:divBdr>
    </w:div>
    <w:div w:id="2084642846">
      <w:bodyDiv w:val="1"/>
      <w:marLeft w:val="0"/>
      <w:marRight w:val="0"/>
      <w:marTop w:val="0"/>
      <w:marBottom w:val="0"/>
      <w:divBdr>
        <w:top w:val="none" w:sz="0" w:space="0" w:color="auto"/>
        <w:left w:val="none" w:sz="0" w:space="0" w:color="auto"/>
        <w:bottom w:val="none" w:sz="0" w:space="0" w:color="auto"/>
        <w:right w:val="none" w:sz="0" w:space="0" w:color="auto"/>
      </w:divBdr>
    </w:div>
    <w:div w:id="2086301255">
      <w:bodyDiv w:val="1"/>
      <w:marLeft w:val="0"/>
      <w:marRight w:val="0"/>
      <w:marTop w:val="0"/>
      <w:marBottom w:val="0"/>
      <w:divBdr>
        <w:top w:val="none" w:sz="0" w:space="0" w:color="auto"/>
        <w:left w:val="none" w:sz="0" w:space="0" w:color="auto"/>
        <w:bottom w:val="none" w:sz="0" w:space="0" w:color="auto"/>
        <w:right w:val="none" w:sz="0" w:space="0" w:color="auto"/>
      </w:divBdr>
    </w:div>
    <w:div w:id="2093507493">
      <w:bodyDiv w:val="1"/>
      <w:marLeft w:val="0"/>
      <w:marRight w:val="0"/>
      <w:marTop w:val="0"/>
      <w:marBottom w:val="0"/>
      <w:divBdr>
        <w:top w:val="none" w:sz="0" w:space="0" w:color="auto"/>
        <w:left w:val="none" w:sz="0" w:space="0" w:color="auto"/>
        <w:bottom w:val="none" w:sz="0" w:space="0" w:color="auto"/>
        <w:right w:val="none" w:sz="0" w:space="0" w:color="auto"/>
      </w:divBdr>
    </w:div>
    <w:div w:id="2094466551">
      <w:bodyDiv w:val="1"/>
      <w:marLeft w:val="0"/>
      <w:marRight w:val="0"/>
      <w:marTop w:val="0"/>
      <w:marBottom w:val="0"/>
      <w:divBdr>
        <w:top w:val="none" w:sz="0" w:space="0" w:color="auto"/>
        <w:left w:val="none" w:sz="0" w:space="0" w:color="auto"/>
        <w:bottom w:val="none" w:sz="0" w:space="0" w:color="auto"/>
        <w:right w:val="none" w:sz="0" w:space="0" w:color="auto"/>
      </w:divBdr>
    </w:div>
    <w:div w:id="2095131219">
      <w:bodyDiv w:val="1"/>
      <w:marLeft w:val="0"/>
      <w:marRight w:val="0"/>
      <w:marTop w:val="0"/>
      <w:marBottom w:val="0"/>
      <w:divBdr>
        <w:top w:val="none" w:sz="0" w:space="0" w:color="auto"/>
        <w:left w:val="none" w:sz="0" w:space="0" w:color="auto"/>
        <w:bottom w:val="none" w:sz="0" w:space="0" w:color="auto"/>
        <w:right w:val="none" w:sz="0" w:space="0" w:color="auto"/>
      </w:divBdr>
    </w:div>
    <w:div w:id="2102606481">
      <w:bodyDiv w:val="1"/>
      <w:marLeft w:val="0"/>
      <w:marRight w:val="0"/>
      <w:marTop w:val="0"/>
      <w:marBottom w:val="0"/>
      <w:divBdr>
        <w:top w:val="none" w:sz="0" w:space="0" w:color="auto"/>
        <w:left w:val="none" w:sz="0" w:space="0" w:color="auto"/>
        <w:bottom w:val="none" w:sz="0" w:space="0" w:color="auto"/>
        <w:right w:val="none" w:sz="0" w:space="0" w:color="auto"/>
      </w:divBdr>
    </w:div>
    <w:div w:id="2136021600">
      <w:bodyDiv w:val="1"/>
      <w:marLeft w:val="0"/>
      <w:marRight w:val="0"/>
      <w:marTop w:val="0"/>
      <w:marBottom w:val="0"/>
      <w:divBdr>
        <w:top w:val="none" w:sz="0" w:space="0" w:color="auto"/>
        <w:left w:val="none" w:sz="0" w:space="0" w:color="auto"/>
        <w:bottom w:val="none" w:sz="0" w:space="0" w:color="auto"/>
        <w:right w:val="none" w:sz="0" w:space="0" w:color="auto"/>
      </w:divBdr>
      <w:divsChild>
        <w:div w:id="160198517">
          <w:marLeft w:val="0"/>
          <w:marRight w:val="0"/>
          <w:marTop w:val="0"/>
          <w:marBottom w:val="0"/>
          <w:divBdr>
            <w:top w:val="none" w:sz="0" w:space="0" w:color="auto"/>
            <w:left w:val="none" w:sz="0" w:space="0" w:color="auto"/>
            <w:bottom w:val="none" w:sz="0" w:space="0" w:color="auto"/>
            <w:right w:val="none" w:sz="0" w:space="0" w:color="auto"/>
          </w:divBdr>
          <w:divsChild>
            <w:div w:id="127893083">
              <w:marLeft w:val="0"/>
              <w:marRight w:val="0"/>
              <w:marTop w:val="0"/>
              <w:marBottom w:val="0"/>
              <w:divBdr>
                <w:top w:val="none" w:sz="0" w:space="0" w:color="auto"/>
                <w:left w:val="none" w:sz="0" w:space="0" w:color="auto"/>
                <w:bottom w:val="none" w:sz="0" w:space="0" w:color="auto"/>
                <w:right w:val="none" w:sz="0" w:space="0" w:color="auto"/>
              </w:divBdr>
              <w:divsChild>
                <w:div w:id="14269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documents-dds-ny.un.org/doc/UNDOC/GEN/G18/037/97/PDF/G1803797.pdf?OpenElement" TargetMode="External"/><Relationship Id="rId18" Type="http://schemas.openxmlformats.org/officeDocument/2006/relationships/hyperlink" Target="https://undocs.org/es/A/74/159" TargetMode="External"/><Relationship Id="rId26" Type="http://schemas.openxmlformats.org/officeDocument/2006/relationships/hyperlink" Target="https://archivo.eluniversal.com.mx/nacion/69617.html" TargetMode="External"/><Relationship Id="rId39" Type="http://schemas.openxmlformats.org/officeDocument/2006/relationships/hyperlink" Target="https://mvsnoticias.com/noticias/policiaca/cdhdf-condena-muerte-de-lider-ecologista-depetatlan-guerrero-javier-torres-cruz-28/" TargetMode="External"/><Relationship Id="rId21" Type="http://schemas.openxmlformats.org/officeDocument/2006/relationships/hyperlink" Target="https://elpais.com/internacional/2001/10/28/actualidad/1004220005_850215.html" TargetMode="External"/><Relationship Id="rId34" Type="http://schemas.openxmlformats.org/officeDocument/2006/relationships/hyperlink" Target="https://www.sedh.gob.hn/documentos-recientes/103-protocolo-modelo-para-la-investigaci%C3%B3n-forense-de-muertes-sospechosas-de-haberse-producido-por-violaci%C3%B3n-de-ddhh/file" TargetMode="External"/><Relationship Id="rId42" Type="http://schemas.openxmlformats.org/officeDocument/2006/relationships/hyperlink" Target="file:///C:/Users/Marta%20Cabrera/Downloads/N1723157.pdf" TargetMode="External"/><Relationship Id="rId7" Type="http://schemas.openxmlformats.org/officeDocument/2006/relationships/hyperlink" Target="https://hchr.org.mx/wp/wp-content/themes/hchr/images/doc_pub/8diagnosticocompleto.pdf" TargetMode="External"/><Relationship Id="rId2" Type="http://schemas.openxmlformats.org/officeDocument/2006/relationships/hyperlink" Target="https://www.corteidh.or.cr/docs/medidas/digochoa_se_02.pdf" TargetMode="External"/><Relationship Id="rId16" Type="http://schemas.openxmlformats.org/officeDocument/2006/relationships/hyperlink" Target="https://www.efe.com/efe/usa/mexico/ong-denuncian-persecucion-de-defensor-derechos-humanos-en-mexico/50000100-4679312" TargetMode="External"/><Relationship Id="rId29" Type="http://schemas.openxmlformats.org/officeDocument/2006/relationships/hyperlink" Target="https://archivo.eluniversal.com.mx/nacion/69617.html" TargetMode="External"/><Relationship Id="rId1" Type="http://schemas.openxmlformats.org/officeDocument/2006/relationships/hyperlink" Target="https://www.corteidh.or.cr/docs/medidas/digochoa_se_01.pdf" TargetMode="External"/><Relationship Id="rId6" Type="http://schemas.openxmlformats.org/officeDocument/2006/relationships/hyperlink" Target="http://www.cidh.org/countryrep/Mexico98sp/indice.htm" TargetMode="External"/><Relationship Id="rId11" Type="http://schemas.openxmlformats.org/officeDocument/2006/relationships/hyperlink" Target="https://documents-dds-ny.un.org/doc/UNDOC/GEN/G18/037/97/PDF/G1803797.pdf?OpenElement" TargetMode="External"/><Relationship Id="rId24" Type="http://schemas.openxmlformats.org/officeDocument/2006/relationships/hyperlink" Target="https://www.jornada.com.mx/2001/10/21/001n1por.html" TargetMode="External"/><Relationship Id="rId32" Type="http://schemas.openxmlformats.org/officeDocument/2006/relationships/hyperlink" Target="http://www.ludovictrarieux.org/uk-page5.1.mex2.htm" TargetMode="External"/><Relationship Id="rId37" Type="http://schemas.openxmlformats.org/officeDocument/2006/relationships/hyperlink" Target="https://www.proceso.com.mx/204507/persiguen-a-testigo-en-caso-digna-ochoa" TargetMode="External"/><Relationship Id="rId40" Type="http://schemas.openxmlformats.org/officeDocument/2006/relationships/hyperlink" Target="https://undocs.org/es/A/74/159" TargetMode="External"/><Relationship Id="rId45" Type="http://schemas.openxmlformats.org/officeDocument/2006/relationships/hyperlink" Target="https://hchr.org.mx/wp/wp-content/themes/hchr/images/doc_pub/190725-Diagnostico-Mecanismo-FINAL.pdf" TargetMode="External"/><Relationship Id="rId5" Type="http://schemas.openxmlformats.org/officeDocument/2006/relationships/hyperlink" Target="http://www.corteidh.or.cr/docs/asuntos/familiares_digna_ochoa_y_placido_03_03_21.pdf" TargetMode="External"/><Relationship Id="rId15" Type="http://schemas.openxmlformats.org/officeDocument/2006/relationships/hyperlink" Target="https://www.onu.org.mx/se-disparan-los-actos-de-violencia-contra-defensores-de-derechos-humanos-en-america-latina-en-2019-alertan-onu-y-cidh/" TargetMode="External"/><Relationship Id="rId23" Type="http://schemas.openxmlformats.org/officeDocument/2006/relationships/hyperlink" Target="https://www.jornada.com.mx/2001/10/22/017n1pol.html" TargetMode="External"/><Relationship Id="rId28" Type="http://schemas.openxmlformats.org/officeDocument/2006/relationships/hyperlink" Target="https://archivo.eluniversal.com.mx/nacion/69395.html" TargetMode="External"/><Relationship Id="rId36" Type="http://schemas.openxmlformats.org/officeDocument/2006/relationships/hyperlink" Target="https://cimacnoticias.com.mx/noticia/aparece-con-huellas-de-tortura-javier-torresvinculado-al-caso-digna-ochoa/" TargetMode="External"/><Relationship Id="rId10" Type="http://schemas.openxmlformats.org/officeDocument/2006/relationships/hyperlink" Target="https://documents-dds-ny.un.org/doc/UNDOC/GEN/G18/037/97/PDF/G1803797.pdf?OpenElement" TargetMode="External"/><Relationship Id="rId19" Type="http://schemas.openxmlformats.org/officeDocument/2006/relationships/hyperlink" Target="https://www.corteidh.or.cr/docs/medidas/digochoa_se_01.pdf" TargetMode="External"/><Relationship Id="rId31" Type="http://schemas.openxmlformats.org/officeDocument/2006/relationships/hyperlink" Target="https://www.jornada.com.mx/2001/10/21/001n1por.html" TargetMode="External"/><Relationship Id="rId44" Type="http://schemas.openxmlformats.org/officeDocument/2006/relationships/hyperlink" Target="https://www.jornada.com.mx/2001/11/22/020n1pol.html" TargetMode="External"/><Relationship Id="rId4" Type="http://schemas.openxmlformats.org/officeDocument/2006/relationships/hyperlink" Target="http://www.corteidh.or.cr/docs/asuntos/dignaochoa_26_03_21.pdf" TargetMode="External"/><Relationship Id="rId9" Type="http://schemas.openxmlformats.org/officeDocument/2006/relationships/hyperlink" Target="https://www.acnur.org/fileadmin/Documentos/BDL/2003/2381.pdf" TargetMode="External"/><Relationship Id="rId14" Type="http://schemas.openxmlformats.org/officeDocument/2006/relationships/hyperlink" Target="https://documents-dds-ny.un.org/doc/UNDOC/GEN/G18/037/97/PDF/G1803797.pdf?OpenElement" TargetMode="External"/><Relationship Id="rId22" Type="http://schemas.openxmlformats.org/officeDocument/2006/relationships/hyperlink" Target="https://www.jornada.com.mx/2001/10/22/017n1pol.html" TargetMode="External"/><Relationship Id="rId27" Type="http://schemas.openxmlformats.org/officeDocument/2006/relationships/hyperlink" Target="https://archivo.eluniversal.com.mx/nacion/69617.html" TargetMode="External"/><Relationship Id="rId30" Type="http://schemas.openxmlformats.org/officeDocument/2006/relationships/hyperlink" Target="https://archivo.eluniversal.com.mx/nacion/69395.html" TargetMode="External"/><Relationship Id="rId35" Type="http://schemas.openxmlformats.org/officeDocument/2006/relationships/hyperlink" Target="https://biblioteca.iidh-jurisprudencia.ac.cr/index.php/documentos-en-espanol/prevencion-de-la-tortura/1334-manual-sobre-prevencion-e-investigacion-eficaces-de-ejecuciones-extralegales-arbitrarias-o-sumarias/file" TargetMode="External"/><Relationship Id="rId43" Type="http://schemas.openxmlformats.org/officeDocument/2006/relationships/hyperlink" Target="https://www.ohchr.org/Documents/Issues/Women/WRGS/JudiciaryRoleCounterStereotypes_SP.pdf" TargetMode="External"/><Relationship Id="rId8" Type="http://schemas.openxmlformats.org/officeDocument/2006/relationships/hyperlink" Target="https://www.acnur.org/fileadmin/Documentos/BDL/2005/3411.pdf" TargetMode="External"/><Relationship Id="rId3" Type="http://schemas.openxmlformats.org/officeDocument/2006/relationships/hyperlink" Target="http://www.corteidh.or.cr/docs/asuntos/familiares_digna_ochoa_y_placido_03_03_21.pdf" TargetMode="External"/><Relationship Id="rId12" Type="http://schemas.openxmlformats.org/officeDocument/2006/relationships/hyperlink" Target="https://documents-dds-ny.un.org/doc/UNDOC/GEN/G18/037/97/PDF/G1803797.pdf?OpenElement" TargetMode="External"/><Relationship Id="rId17" Type="http://schemas.openxmlformats.org/officeDocument/2006/relationships/hyperlink" Target="https://www.frontlinedefenders.org/es/resource-publication/global-analysis-2020" TargetMode="External"/><Relationship Id="rId25" Type="http://schemas.openxmlformats.org/officeDocument/2006/relationships/hyperlink" Target="https://www.jornada.com.mx/2001/10/22/017n1pol.html" TargetMode="External"/><Relationship Id="rId33" Type="http://schemas.openxmlformats.org/officeDocument/2006/relationships/hyperlink" Target="https://www.ohchr.org/documents/issues/women/wrgs/protocololatinoamericanodeinvestigacion.pdf" TargetMode="External"/><Relationship Id="rId38" Type="http://schemas.openxmlformats.org/officeDocument/2006/relationships/hyperlink" Target="https://expansion.mx/nacional/2011/04/25/la-cidh-condena-el-asesinato-del-activista-mexicano-javier-torres" TargetMode="External"/><Relationship Id="rId20" Type="http://schemas.openxmlformats.org/officeDocument/2006/relationships/hyperlink" Target="https://www.corteidh.or.cr/docs/medidas/digochoa_se_02.pdf" TargetMode="External"/><Relationship Id="rId41" Type="http://schemas.openxmlformats.org/officeDocument/2006/relationships/hyperlink" Target="file:///C:/Users/Marta%20Cabrera/Downloads/N15241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864D-C984-49E1-B7F7-3C401E3A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27559</Words>
  <Characters>151578</Characters>
  <Application>Microsoft Office Word</Application>
  <DocSecurity>0</DocSecurity>
  <Lines>1263</Lines>
  <Paragraphs>357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Cristhian Molina</cp:lastModifiedBy>
  <cp:revision>9</cp:revision>
  <cp:lastPrinted>2022-01-19T22:14:00Z</cp:lastPrinted>
  <dcterms:created xsi:type="dcterms:W3CDTF">2022-01-19T22:14:00Z</dcterms:created>
  <dcterms:modified xsi:type="dcterms:W3CDTF">2022-03-24T22:01:00Z</dcterms:modified>
</cp:coreProperties>
</file>