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CFBE" w14:textId="77777777" w:rsidR="00BA726C" w:rsidRPr="004A30A8" w:rsidRDefault="00BA726C" w:rsidP="00E0705E">
      <w:pPr>
        <w:spacing w:line="240" w:lineRule="auto"/>
        <w:jc w:val="center"/>
        <w:rPr>
          <w:rFonts w:eastAsia="Calibri" w:cs="Calibri"/>
          <w:b/>
          <w:lang w:val="es-ES"/>
        </w:rPr>
      </w:pPr>
      <w:bookmarkStart w:id="0" w:name="_Toc495658661"/>
      <w:bookmarkStart w:id="1" w:name="_Toc498013630"/>
      <w:bookmarkStart w:id="2" w:name="_Toc514172615"/>
      <w:bookmarkStart w:id="3" w:name="_Toc24447077"/>
      <w:r w:rsidRPr="004A30A8">
        <w:rPr>
          <w:rFonts w:eastAsia="Calibri" w:cs="Calibri"/>
          <w:b/>
          <w:lang w:val="es-ES"/>
        </w:rPr>
        <w:t>CORTE INTERAMERICANA DE DERECHOS HUMANOS</w:t>
      </w:r>
    </w:p>
    <w:p w14:paraId="20A00A9D" w14:textId="77777777" w:rsidR="00BA726C" w:rsidRPr="004A30A8" w:rsidRDefault="00BA726C" w:rsidP="00E0705E">
      <w:pPr>
        <w:spacing w:line="240" w:lineRule="auto"/>
        <w:jc w:val="center"/>
        <w:rPr>
          <w:rFonts w:eastAsia="Calibri" w:cs="Calibri"/>
          <w:b/>
          <w:lang w:val="es-ES"/>
        </w:rPr>
      </w:pPr>
    </w:p>
    <w:p w14:paraId="522116F7" w14:textId="39417E88" w:rsidR="00E0705E" w:rsidRPr="004A30A8" w:rsidRDefault="00E0705E" w:rsidP="00E0705E">
      <w:pPr>
        <w:spacing w:line="240" w:lineRule="auto"/>
        <w:jc w:val="center"/>
        <w:rPr>
          <w:rFonts w:eastAsia="Calibri" w:cs="Verdana"/>
          <w:b/>
          <w:bCs/>
          <w:caps/>
          <w:snapToGrid w:val="0"/>
          <w:lang w:val="es-ES" w:eastAsia="es-ES"/>
        </w:rPr>
      </w:pPr>
      <w:r w:rsidRPr="004A30A8">
        <w:rPr>
          <w:rFonts w:eastAsia="Calibri" w:cs="Calibri"/>
          <w:b/>
          <w:lang w:val="es-ES"/>
        </w:rPr>
        <w:t>CASO OLIVERA FUENTES VS. PERÚ</w:t>
      </w:r>
      <w:r w:rsidRPr="004A30A8">
        <w:rPr>
          <w:rFonts w:eastAsia="Calibri" w:cs="Calibri"/>
          <w:b/>
          <w:lang w:val="es-ES"/>
        </w:rPr>
        <w:br/>
      </w:r>
    </w:p>
    <w:p w14:paraId="5A7AD367" w14:textId="2FA67DB4" w:rsidR="00E0705E" w:rsidRPr="004A30A8" w:rsidRDefault="00E0705E" w:rsidP="00E0705E">
      <w:pPr>
        <w:tabs>
          <w:tab w:val="left" w:pos="720"/>
        </w:tabs>
        <w:spacing w:line="240" w:lineRule="auto"/>
        <w:jc w:val="center"/>
        <w:rPr>
          <w:rFonts w:eastAsia="Calibri" w:cs="Verdana"/>
          <w:b/>
          <w:bCs/>
          <w:snapToGrid w:val="0"/>
          <w:lang w:val="es-ES" w:eastAsia="es-ES"/>
        </w:rPr>
      </w:pPr>
      <w:r w:rsidRPr="004A30A8">
        <w:rPr>
          <w:rFonts w:eastAsia="Calibri" w:cs="Verdana"/>
          <w:b/>
          <w:bCs/>
          <w:snapToGrid w:val="0"/>
          <w:lang w:val="es-ES" w:eastAsia="es-ES"/>
        </w:rPr>
        <w:t>SENTENCIA DE</w:t>
      </w:r>
      <w:r w:rsidR="00E372E3" w:rsidRPr="004A30A8">
        <w:rPr>
          <w:rFonts w:eastAsia="Calibri" w:cs="Verdana"/>
          <w:b/>
          <w:bCs/>
          <w:snapToGrid w:val="0"/>
          <w:lang w:val="es-ES" w:eastAsia="es-ES"/>
        </w:rPr>
        <w:t xml:space="preserve"> </w:t>
      </w:r>
      <w:r w:rsidR="00914995" w:rsidRPr="004A30A8">
        <w:rPr>
          <w:rFonts w:eastAsia="Calibri" w:cs="Verdana"/>
          <w:b/>
          <w:bCs/>
          <w:snapToGrid w:val="0"/>
          <w:lang w:val="es-ES" w:eastAsia="es-ES"/>
        </w:rPr>
        <w:t>4</w:t>
      </w:r>
      <w:r w:rsidRPr="004A30A8">
        <w:rPr>
          <w:rFonts w:eastAsia="Calibri" w:cs="Verdana"/>
          <w:b/>
          <w:bCs/>
          <w:snapToGrid w:val="0"/>
          <w:lang w:val="es-ES" w:eastAsia="es-ES"/>
        </w:rPr>
        <w:t xml:space="preserve"> DE </w:t>
      </w:r>
      <w:r w:rsidR="008114A4" w:rsidRPr="004A30A8">
        <w:rPr>
          <w:rFonts w:eastAsia="Calibri" w:cs="Verdana"/>
          <w:b/>
          <w:bCs/>
          <w:snapToGrid w:val="0"/>
          <w:lang w:val="es-ES" w:eastAsia="es-ES"/>
        </w:rPr>
        <w:t>FEBRERO</w:t>
      </w:r>
      <w:r w:rsidR="00745254" w:rsidRPr="004A30A8">
        <w:rPr>
          <w:rFonts w:eastAsia="Calibri" w:cs="Verdana"/>
          <w:b/>
          <w:bCs/>
          <w:snapToGrid w:val="0"/>
          <w:lang w:val="es-ES" w:eastAsia="es-ES"/>
        </w:rPr>
        <w:t xml:space="preserve"> </w:t>
      </w:r>
      <w:r w:rsidRPr="004A30A8">
        <w:rPr>
          <w:rFonts w:eastAsia="Calibri" w:cs="Verdana"/>
          <w:b/>
          <w:bCs/>
          <w:snapToGrid w:val="0"/>
          <w:lang w:val="es-ES" w:eastAsia="es-ES"/>
        </w:rPr>
        <w:t>DE 202</w:t>
      </w:r>
      <w:r w:rsidR="0016552B" w:rsidRPr="004A30A8">
        <w:rPr>
          <w:rFonts w:eastAsia="Calibri" w:cs="Verdana"/>
          <w:b/>
          <w:bCs/>
          <w:snapToGrid w:val="0"/>
          <w:lang w:val="es-ES" w:eastAsia="es-ES"/>
        </w:rPr>
        <w:t>3</w:t>
      </w:r>
    </w:p>
    <w:p w14:paraId="350CEFCF" w14:textId="77777777" w:rsidR="00E0705E" w:rsidRPr="004A30A8" w:rsidRDefault="00E0705E" w:rsidP="00E0705E">
      <w:pPr>
        <w:tabs>
          <w:tab w:val="left" w:pos="720"/>
        </w:tabs>
        <w:spacing w:line="240" w:lineRule="auto"/>
        <w:jc w:val="center"/>
        <w:rPr>
          <w:rFonts w:eastAsia="Calibri" w:cs="Verdana"/>
          <w:b/>
          <w:bCs/>
          <w:caps/>
          <w:snapToGrid w:val="0"/>
          <w:lang w:val="es-ES" w:eastAsia="es-ES"/>
        </w:rPr>
      </w:pPr>
    </w:p>
    <w:p w14:paraId="4C58A66D" w14:textId="278E00B3" w:rsidR="00E0705E" w:rsidRPr="004A30A8" w:rsidRDefault="00E0705E" w:rsidP="005B282F">
      <w:pPr>
        <w:tabs>
          <w:tab w:val="left" w:pos="720"/>
        </w:tabs>
        <w:spacing w:after="480" w:line="240" w:lineRule="auto"/>
        <w:jc w:val="center"/>
        <w:rPr>
          <w:rFonts w:eastAsia="Calibri" w:cs="Verdana"/>
          <w:b/>
          <w:bCs/>
          <w:i/>
          <w:iCs/>
          <w:snapToGrid w:val="0"/>
          <w:lang w:val="es-ES" w:eastAsia="es-ES"/>
        </w:rPr>
      </w:pPr>
      <w:r w:rsidRPr="004A30A8">
        <w:rPr>
          <w:rFonts w:eastAsia="Calibri" w:cs="Verdana"/>
          <w:b/>
          <w:bCs/>
          <w:i/>
          <w:iCs/>
          <w:snapToGrid w:val="0"/>
          <w:lang w:val="es-ES" w:eastAsia="es-ES"/>
        </w:rPr>
        <w:t>(</w:t>
      </w:r>
      <w:r w:rsidR="00B7698F" w:rsidRPr="004A30A8">
        <w:rPr>
          <w:rFonts w:eastAsia="Calibri" w:cs="Verdana"/>
          <w:b/>
          <w:bCs/>
          <w:i/>
          <w:iCs/>
          <w:snapToGrid w:val="0"/>
          <w:lang w:val="es-ES" w:eastAsia="es-ES"/>
        </w:rPr>
        <w:t xml:space="preserve">Excepciones Preliminares, </w:t>
      </w:r>
      <w:r w:rsidRPr="004A30A8">
        <w:rPr>
          <w:rFonts w:eastAsia="Calibri" w:cs="Verdana"/>
          <w:b/>
          <w:bCs/>
          <w:i/>
          <w:iCs/>
          <w:snapToGrid w:val="0"/>
          <w:lang w:val="es-ES" w:eastAsia="es-ES"/>
        </w:rPr>
        <w:t>Fondo</w:t>
      </w:r>
      <w:r w:rsidR="00B7698F" w:rsidRPr="004A30A8">
        <w:rPr>
          <w:rFonts w:eastAsia="Calibri" w:cs="Verdana"/>
          <w:b/>
          <w:bCs/>
          <w:i/>
          <w:iCs/>
          <w:snapToGrid w:val="0"/>
          <w:lang w:val="es-ES" w:eastAsia="es-ES"/>
        </w:rPr>
        <w:t>,</w:t>
      </w:r>
      <w:r w:rsidRPr="004A30A8">
        <w:rPr>
          <w:rFonts w:eastAsia="Calibri" w:cs="Verdana"/>
          <w:b/>
          <w:bCs/>
          <w:i/>
          <w:iCs/>
          <w:snapToGrid w:val="0"/>
          <w:lang w:val="es-ES" w:eastAsia="es-ES"/>
        </w:rPr>
        <w:t xml:space="preserve"> Reparaciones</w:t>
      </w:r>
      <w:r w:rsidR="00B7698F" w:rsidRPr="004A30A8">
        <w:rPr>
          <w:rFonts w:eastAsia="Calibri" w:cs="Verdana"/>
          <w:b/>
          <w:bCs/>
          <w:i/>
          <w:iCs/>
          <w:snapToGrid w:val="0"/>
          <w:lang w:val="es-ES" w:eastAsia="es-ES"/>
        </w:rPr>
        <w:t xml:space="preserve"> y C</w:t>
      </w:r>
      <w:r w:rsidR="00FE341C" w:rsidRPr="004A30A8">
        <w:rPr>
          <w:rFonts w:eastAsia="Calibri" w:cs="Verdana"/>
          <w:b/>
          <w:bCs/>
          <w:i/>
          <w:iCs/>
          <w:snapToGrid w:val="0"/>
          <w:lang w:val="es-ES" w:eastAsia="es-ES"/>
        </w:rPr>
        <w:t>ostas</w:t>
      </w:r>
      <w:r w:rsidRPr="004A30A8">
        <w:rPr>
          <w:rFonts w:eastAsia="Calibri" w:cs="Verdana"/>
          <w:b/>
          <w:bCs/>
          <w:i/>
          <w:iCs/>
          <w:snapToGrid w:val="0"/>
          <w:lang w:val="es-ES" w:eastAsia="es-ES"/>
        </w:rPr>
        <w:t>)</w:t>
      </w:r>
    </w:p>
    <w:p w14:paraId="5609F684" w14:textId="0359FFBD" w:rsidR="00E0705E" w:rsidRPr="004A30A8" w:rsidRDefault="00E0705E" w:rsidP="00E0705E">
      <w:pPr>
        <w:tabs>
          <w:tab w:val="left" w:pos="720"/>
        </w:tabs>
        <w:spacing w:line="240" w:lineRule="auto"/>
        <w:rPr>
          <w:rFonts w:eastAsia="Verdana" w:cs="Verdana"/>
          <w:i/>
          <w:lang w:val="es-ES"/>
        </w:rPr>
      </w:pPr>
      <w:r w:rsidRPr="004A30A8">
        <w:rPr>
          <w:rFonts w:eastAsia="Verdana" w:cs="Verdana"/>
          <w:lang w:val="es-ES"/>
        </w:rPr>
        <w:t xml:space="preserve">En el caso </w:t>
      </w:r>
      <w:r w:rsidRPr="004A30A8">
        <w:rPr>
          <w:rFonts w:eastAsia="Verdana" w:cs="Verdana"/>
          <w:i/>
          <w:lang w:val="es-ES"/>
        </w:rPr>
        <w:t>Olivera Fuentes Vs. Perú</w:t>
      </w:r>
      <w:r w:rsidRPr="004A30A8">
        <w:rPr>
          <w:rFonts w:eastAsia="Verdana" w:cs="Verdana"/>
          <w:lang w:val="es-ES"/>
        </w:rPr>
        <w:t>,</w:t>
      </w:r>
    </w:p>
    <w:p w14:paraId="57430868" w14:textId="1335991C" w:rsidR="00E0705E" w:rsidRPr="004A30A8" w:rsidRDefault="00E0705E" w:rsidP="00E0705E">
      <w:pPr>
        <w:spacing w:before="4" w:line="240" w:lineRule="exact"/>
        <w:rPr>
          <w:rFonts w:eastAsia="Calibri"/>
          <w:lang w:val="es-ES"/>
        </w:rPr>
      </w:pPr>
    </w:p>
    <w:p w14:paraId="41A6718C"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la Corte Interamericana de Derechos Humanos (en adelante “la Corte Interamericana”, “la Corte” o “este Tribunal”), integrada por los siguientes jueces:</w:t>
      </w:r>
      <w:r w:rsidRPr="004A30A8">
        <w:rPr>
          <w:rFonts w:eastAsia="Calibri" w:cs="Verdana"/>
          <w:lang w:val="es-ES"/>
        </w:rPr>
        <w:tab/>
      </w:r>
    </w:p>
    <w:p w14:paraId="295ED3B0" w14:textId="77777777" w:rsidR="00E0705E" w:rsidRPr="004A30A8" w:rsidRDefault="00E0705E" w:rsidP="00E0705E">
      <w:pPr>
        <w:tabs>
          <w:tab w:val="left" w:pos="720"/>
        </w:tabs>
        <w:spacing w:line="240" w:lineRule="auto"/>
        <w:rPr>
          <w:rFonts w:eastAsia="Calibri" w:cs="Verdana"/>
          <w:lang w:val="es-ES"/>
        </w:rPr>
      </w:pPr>
    </w:p>
    <w:p w14:paraId="35EBD9E2" w14:textId="77777777" w:rsidR="00E0705E" w:rsidRPr="004A30A8" w:rsidRDefault="00E0705E" w:rsidP="00E0705E">
      <w:pPr>
        <w:tabs>
          <w:tab w:val="left" w:pos="720"/>
        </w:tabs>
        <w:spacing w:line="240" w:lineRule="auto"/>
        <w:rPr>
          <w:rFonts w:eastAsia="Calibri" w:cs="Verdana"/>
          <w:lang w:val="pt-BR"/>
        </w:rPr>
      </w:pPr>
      <w:r w:rsidRPr="004A30A8">
        <w:rPr>
          <w:rFonts w:eastAsia="Calibri" w:cs="Verdana"/>
          <w:lang w:val="pt-BR"/>
        </w:rPr>
        <w:t>Ricardo C. Pérez Manrique, Presidente;</w:t>
      </w:r>
    </w:p>
    <w:p w14:paraId="34128FDD" w14:textId="7E4D4DF7" w:rsidR="00E0705E" w:rsidRPr="004A30A8" w:rsidRDefault="007D123A" w:rsidP="00E0705E">
      <w:pPr>
        <w:tabs>
          <w:tab w:val="left" w:pos="720"/>
        </w:tabs>
        <w:spacing w:line="240" w:lineRule="auto"/>
        <w:rPr>
          <w:rFonts w:eastAsia="Calibri" w:cs="Verdana"/>
          <w:lang w:val="pt-BR"/>
        </w:rPr>
      </w:pPr>
      <w:r w:rsidRPr="004A30A8">
        <w:rPr>
          <w:rFonts w:eastAsia="Calibri" w:cs="Verdana"/>
          <w:lang w:val="pt-BR"/>
        </w:rPr>
        <w:t>Eduardo Ferrer Mac-Gregor Poisot</w:t>
      </w:r>
      <w:r w:rsidR="00E0705E" w:rsidRPr="004A30A8">
        <w:rPr>
          <w:rFonts w:eastAsia="Calibri" w:cs="Verdana"/>
          <w:lang w:val="pt-BR"/>
        </w:rPr>
        <w:t>, Vicepresidente;</w:t>
      </w:r>
    </w:p>
    <w:p w14:paraId="4725E62E" w14:textId="76B4F12B" w:rsidR="00E0705E" w:rsidRPr="004A30A8" w:rsidRDefault="007D123A" w:rsidP="00E0705E">
      <w:pPr>
        <w:tabs>
          <w:tab w:val="left" w:pos="720"/>
        </w:tabs>
        <w:spacing w:line="240" w:lineRule="auto"/>
        <w:rPr>
          <w:rFonts w:eastAsia="Calibri" w:cs="Verdana"/>
          <w:lang w:val="es-ES"/>
        </w:rPr>
      </w:pPr>
      <w:r w:rsidRPr="004A30A8">
        <w:rPr>
          <w:rFonts w:eastAsia="Calibri" w:cs="Verdana"/>
          <w:lang w:val="es-ES"/>
        </w:rPr>
        <w:t>Humberto Antonio Sierra Porto</w:t>
      </w:r>
      <w:r w:rsidR="00E0705E" w:rsidRPr="004A30A8">
        <w:rPr>
          <w:rFonts w:eastAsia="Calibri" w:cs="Verdana"/>
          <w:lang w:val="es-ES"/>
        </w:rPr>
        <w:t>, Juez;</w:t>
      </w:r>
    </w:p>
    <w:p w14:paraId="13FC44D6"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Nancy Hernández López, Jueza;</w:t>
      </w:r>
    </w:p>
    <w:p w14:paraId="4FE97C37"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Verónica Gómez, Jueza;</w:t>
      </w:r>
    </w:p>
    <w:p w14:paraId="4B4F25D8"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Patricia Pérez Goldberg, Jueza y</w:t>
      </w:r>
    </w:p>
    <w:p w14:paraId="366B9D78" w14:textId="3A544DEF"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 xml:space="preserve">Rodrigo Mudrovitsch, Juez; </w:t>
      </w:r>
    </w:p>
    <w:p w14:paraId="5984E1CE" w14:textId="77777777" w:rsidR="00E0705E" w:rsidRPr="004A30A8" w:rsidRDefault="00E0705E" w:rsidP="00E0705E">
      <w:pPr>
        <w:tabs>
          <w:tab w:val="left" w:pos="720"/>
        </w:tabs>
        <w:spacing w:line="240" w:lineRule="auto"/>
        <w:rPr>
          <w:rFonts w:eastAsia="Calibri" w:cs="Verdana"/>
          <w:lang w:val="es-ES"/>
        </w:rPr>
      </w:pPr>
    </w:p>
    <w:p w14:paraId="59D7742D" w14:textId="77777777" w:rsidR="00E0705E" w:rsidRPr="004A30A8" w:rsidRDefault="00E0705E" w:rsidP="00E0705E">
      <w:pPr>
        <w:tabs>
          <w:tab w:val="left" w:pos="720"/>
        </w:tabs>
        <w:spacing w:line="240" w:lineRule="auto"/>
        <w:rPr>
          <w:rFonts w:eastAsia="Calibri" w:cs="Verdana"/>
          <w:lang w:val="es-ES"/>
        </w:rPr>
      </w:pPr>
    </w:p>
    <w:p w14:paraId="3990C21B"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presentes, además,</w:t>
      </w:r>
    </w:p>
    <w:p w14:paraId="017364E6" w14:textId="77777777" w:rsidR="00E0705E" w:rsidRPr="004A30A8" w:rsidRDefault="00E0705E" w:rsidP="00E0705E">
      <w:pPr>
        <w:tabs>
          <w:tab w:val="left" w:pos="720"/>
        </w:tabs>
        <w:spacing w:line="240" w:lineRule="auto"/>
        <w:rPr>
          <w:rFonts w:eastAsia="Calibri" w:cs="Verdana"/>
          <w:lang w:val="es-ES"/>
        </w:rPr>
      </w:pPr>
    </w:p>
    <w:p w14:paraId="42F26BED"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 xml:space="preserve">Pablo Saavedra Alessandri, Secretario, y </w:t>
      </w:r>
    </w:p>
    <w:p w14:paraId="6923288E"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 xml:space="preserve">Romina I. Sijniensky, Secretaria Adjunta, </w:t>
      </w:r>
    </w:p>
    <w:p w14:paraId="04D7C381" w14:textId="77777777" w:rsidR="00E0705E" w:rsidRPr="004A30A8" w:rsidRDefault="00E0705E" w:rsidP="00E0705E">
      <w:pPr>
        <w:tabs>
          <w:tab w:val="left" w:pos="720"/>
        </w:tabs>
        <w:spacing w:line="240" w:lineRule="auto"/>
        <w:rPr>
          <w:rFonts w:eastAsia="Calibri" w:cs="Verdana"/>
          <w:lang w:val="es-ES"/>
        </w:rPr>
      </w:pPr>
    </w:p>
    <w:p w14:paraId="6473DF43" w14:textId="77777777" w:rsidR="00E0705E" w:rsidRPr="004A30A8" w:rsidRDefault="00E0705E" w:rsidP="00E0705E">
      <w:pPr>
        <w:tabs>
          <w:tab w:val="left" w:pos="720"/>
        </w:tabs>
        <w:spacing w:line="240" w:lineRule="auto"/>
        <w:rPr>
          <w:rFonts w:eastAsia="Calibri" w:cs="Verdana"/>
          <w:lang w:val="es-ES"/>
        </w:rPr>
      </w:pPr>
      <w:r w:rsidRPr="004A30A8">
        <w:rPr>
          <w:rFonts w:eastAsia="Calibri" w:cs="Verdana"/>
          <w:lang w:val="es-ES"/>
        </w:rPr>
        <w:t>de conformidad con los artículos 62.3 y 63.1 de la Convención Americana sobre Derechos Humanos (en adelante “la Convención Americana” o “la Convención”) y con los artículos 31, 32, 62, 65 y 67 del Reglamento de la Corte (en adelante “el Reglamento” o “el Reglamento de la Corte”), dicta la presente Sentencia, que se estructura en el siguiente orden:</w:t>
      </w:r>
    </w:p>
    <w:p w14:paraId="4C48FE68" w14:textId="77777777" w:rsidR="00E0705E" w:rsidRPr="004A30A8" w:rsidRDefault="00E0705E" w:rsidP="00E0705E">
      <w:pPr>
        <w:tabs>
          <w:tab w:val="left" w:pos="720"/>
        </w:tabs>
        <w:spacing w:line="240" w:lineRule="auto"/>
        <w:rPr>
          <w:rFonts w:eastAsia="Calibri" w:cs="Verdana"/>
          <w:lang w:val="es-ES"/>
        </w:rPr>
      </w:pPr>
    </w:p>
    <w:p w14:paraId="2754B94B" w14:textId="5286FA03" w:rsidR="008C36BB" w:rsidRPr="004A30A8" w:rsidRDefault="008C36BB">
      <w:pPr>
        <w:widowControl/>
        <w:adjustRightInd/>
        <w:spacing w:after="200" w:line="276" w:lineRule="auto"/>
        <w:jc w:val="left"/>
        <w:rPr>
          <w:rFonts w:eastAsia="Calibri"/>
          <w:lang w:val="es-ES"/>
        </w:rPr>
      </w:pPr>
      <w:r w:rsidRPr="004A30A8">
        <w:rPr>
          <w:rFonts w:eastAsia="Calibri"/>
          <w:lang w:val="es-ES"/>
        </w:rPr>
        <w:br w:type="page"/>
      </w:r>
    </w:p>
    <w:sdt>
      <w:sdtPr>
        <w:rPr>
          <w:b w:val="0"/>
          <w:lang w:val="es-CR" w:eastAsia="es-CR"/>
        </w:rPr>
        <w:id w:val="-850710881"/>
        <w:docPartObj>
          <w:docPartGallery w:val="Table of Contents"/>
          <w:docPartUnique/>
        </w:docPartObj>
      </w:sdtPr>
      <w:sdtEndPr>
        <w:rPr>
          <w:bCs/>
          <w:lang w:val="es-ES"/>
        </w:rPr>
      </w:sdtEndPr>
      <w:sdtContent>
        <w:p w14:paraId="1AA3CC79" w14:textId="461699E5" w:rsidR="0067534D" w:rsidRPr="004A30A8" w:rsidRDefault="00A64D32" w:rsidP="00B52047">
          <w:pPr>
            <w:pStyle w:val="TtuloTDC"/>
          </w:pPr>
          <w:r w:rsidRPr="004A30A8">
            <w:t>ÍNDICE</w:t>
          </w:r>
        </w:p>
        <w:p w14:paraId="6C92A4D2" w14:textId="14924F60" w:rsidR="00346233" w:rsidRPr="004A30A8" w:rsidRDefault="0067534D">
          <w:pPr>
            <w:pStyle w:val="TDC1"/>
            <w:rPr>
              <w:rFonts w:asciiTheme="minorHAnsi" w:eastAsiaTheme="minorEastAsia" w:hAnsiTheme="minorHAnsi" w:cstheme="minorBidi"/>
              <w:b w:val="0"/>
              <w:bCs w:val="0"/>
              <w:caps w:val="0"/>
              <w:noProof/>
              <w:sz w:val="22"/>
              <w:szCs w:val="22"/>
            </w:rPr>
          </w:pPr>
          <w:r w:rsidRPr="004A30A8">
            <w:fldChar w:fldCharType="begin"/>
          </w:r>
          <w:r w:rsidRPr="004A30A8">
            <w:instrText xml:space="preserve"> TOC \o "1-3" \h \z \u </w:instrText>
          </w:r>
          <w:r w:rsidRPr="004A30A8">
            <w:fldChar w:fldCharType="separate"/>
          </w:r>
          <w:hyperlink w:anchor="_Toc129887083" w:history="1">
            <w:r w:rsidR="00346233" w:rsidRPr="004A30A8">
              <w:rPr>
                <w:rStyle w:val="Hipervnculo"/>
                <w:noProof/>
              </w:rPr>
              <w:t>I INTRODUCCIÓN DE LA CAUSA Y OBJETO DE LA CONTROVERSIA</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_Toc129887083 \h </w:instrText>
            </w:r>
            <w:r w:rsidR="00346233" w:rsidRPr="004A30A8">
              <w:rPr>
                <w:noProof/>
                <w:webHidden/>
              </w:rPr>
            </w:r>
            <w:r w:rsidR="00346233" w:rsidRPr="004A30A8">
              <w:rPr>
                <w:noProof/>
                <w:webHidden/>
              </w:rPr>
              <w:fldChar w:fldCharType="separate"/>
            </w:r>
            <w:r w:rsidR="001F1C9A">
              <w:rPr>
                <w:noProof/>
                <w:webHidden/>
              </w:rPr>
              <w:t>4</w:t>
            </w:r>
            <w:r w:rsidR="00346233" w:rsidRPr="004A30A8">
              <w:rPr>
                <w:noProof/>
                <w:webHidden/>
              </w:rPr>
              <w:fldChar w:fldCharType="end"/>
            </w:r>
          </w:hyperlink>
        </w:p>
        <w:p w14:paraId="50CA0AFE" w14:textId="58107C04"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084" w:history="1">
            <w:r w:rsidR="00346233" w:rsidRPr="004A30A8">
              <w:rPr>
                <w:rStyle w:val="Hipervnculo"/>
                <w:noProof/>
              </w:rPr>
              <w:t>II PROCEDIMIENTO ANTE LA CORTE</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_Toc129887084 \h </w:instrText>
            </w:r>
            <w:r w:rsidR="00346233" w:rsidRPr="004A30A8">
              <w:rPr>
                <w:noProof/>
                <w:webHidden/>
              </w:rPr>
            </w:r>
            <w:r w:rsidR="00346233" w:rsidRPr="004A30A8">
              <w:rPr>
                <w:noProof/>
                <w:webHidden/>
              </w:rPr>
              <w:fldChar w:fldCharType="separate"/>
            </w:r>
            <w:r w:rsidR="001F1C9A">
              <w:rPr>
                <w:noProof/>
                <w:webHidden/>
              </w:rPr>
              <w:t>5</w:t>
            </w:r>
            <w:r w:rsidR="00346233" w:rsidRPr="004A30A8">
              <w:rPr>
                <w:noProof/>
                <w:webHidden/>
              </w:rPr>
              <w:fldChar w:fldCharType="end"/>
            </w:r>
          </w:hyperlink>
        </w:p>
        <w:p w14:paraId="7214921B" w14:textId="44CED7CB"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085" w:history="1">
            <w:r w:rsidR="00346233" w:rsidRPr="004A30A8">
              <w:rPr>
                <w:rStyle w:val="Hipervnculo"/>
                <w:noProof/>
              </w:rPr>
              <w:t>III COMPETENCIA</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_Toc129887085 \h </w:instrText>
            </w:r>
            <w:r w:rsidR="00346233" w:rsidRPr="004A30A8">
              <w:rPr>
                <w:noProof/>
                <w:webHidden/>
              </w:rPr>
            </w:r>
            <w:r w:rsidR="00346233" w:rsidRPr="004A30A8">
              <w:rPr>
                <w:noProof/>
                <w:webHidden/>
              </w:rPr>
              <w:fldChar w:fldCharType="separate"/>
            </w:r>
            <w:r w:rsidR="001F1C9A">
              <w:rPr>
                <w:noProof/>
                <w:webHidden/>
              </w:rPr>
              <w:t>8</w:t>
            </w:r>
            <w:r w:rsidR="00346233" w:rsidRPr="004A30A8">
              <w:rPr>
                <w:noProof/>
                <w:webHidden/>
              </w:rPr>
              <w:fldChar w:fldCharType="end"/>
            </w:r>
          </w:hyperlink>
        </w:p>
        <w:p w14:paraId="1A35FBDD" w14:textId="0BE49907"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086" w:history="1">
            <w:r w:rsidR="00346233" w:rsidRPr="004A30A8">
              <w:rPr>
                <w:rStyle w:val="Hipervnculo"/>
                <w:noProof/>
              </w:rPr>
              <w:t>IV EXCEPCIONES PRELIMINARES</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_Toc129887086 \h </w:instrText>
            </w:r>
            <w:r w:rsidR="00346233" w:rsidRPr="004A30A8">
              <w:rPr>
                <w:noProof/>
                <w:webHidden/>
              </w:rPr>
            </w:r>
            <w:r w:rsidR="00346233" w:rsidRPr="004A30A8">
              <w:rPr>
                <w:noProof/>
                <w:webHidden/>
              </w:rPr>
              <w:fldChar w:fldCharType="separate"/>
            </w:r>
            <w:r w:rsidR="001F1C9A">
              <w:rPr>
                <w:noProof/>
                <w:webHidden/>
              </w:rPr>
              <w:t>8</w:t>
            </w:r>
            <w:r w:rsidR="00346233" w:rsidRPr="004A30A8">
              <w:rPr>
                <w:noProof/>
                <w:webHidden/>
              </w:rPr>
              <w:fldChar w:fldCharType="end"/>
            </w:r>
          </w:hyperlink>
        </w:p>
        <w:p w14:paraId="240C100C" w14:textId="3C81AC8A" w:rsidR="00346233" w:rsidRPr="004A30A8" w:rsidRDefault="00000000">
          <w:pPr>
            <w:pStyle w:val="TDC2"/>
            <w:rPr>
              <w:rFonts w:asciiTheme="minorHAnsi" w:eastAsiaTheme="minorEastAsia" w:hAnsiTheme="minorHAnsi" w:cstheme="minorBidi"/>
              <w:bCs w:val="0"/>
              <w:i w:val="0"/>
              <w:sz w:val="22"/>
              <w:szCs w:val="22"/>
              <w:lang w:val="es-CR"/>
            </w:rPr>
          </w:pPr>
          <w:hyperlink w:anchor="_Toc129887087" w:history="1">
            <w:r w:rsidR="00346233" w:rsidRPr="004A30A8">
              <w:rPr>
                <w:rStyle w:val="Hipervnculo"/>
                <w:i w:val="0"/>
              </w:rPr>
              <w:t>A. Control de legalidad del procedimiento seguido por la Comisión y excepción de cuarta instancia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_Toc129887087 \h </w:instrText>
            </w:r>
            <w:r w:rsidR="00346233" w:rsidRPr="004A30A8">
              <w:rPr>
                <w:i w:val="0"/>
                <w:webHidden/>
              </w:rPr>
            </w:r>
            <w:r w:rsidR="00346233" w:rsidRPr="004A30A8">
              <w:rPr>
                <w:i w:val="0"/>
                <w:webHidden/>
              </w:rPr>
              <w:fldChar w:fldCharType="separate"/>
            </w:r>
            <w:r w:rsidR="001F1C9A">
              <w:rPr>
                <w:i w:val="0"/>
                <w:webHidden/>
              </w:rPr>
              <w:t>8</w:t>
            </w:r>
            <w:r w:rsidR="00346233" w:rsidRPr="004A30A8">
              <w:rPr>
                <w:i w:val="0"/>
                <w:webHidden/>
              </w:rPr>
              <w:fldChar w:fldCharType="end"/>
            </w:r>
          </w:hyperlink>
        </w:p>
        <w:p w14:paraId="7DD07020" w14:textId="027B3607" w:rsidR="00346233" w:rsidRPr="004A30A8" w:rsidRDefault="00000000">
          <w:pPr>
            <w:pStyle w:val="TDC3"/>
            <w:rPr>
              <w:rFonts w:asciiTheme="minorHAnsi" w:eastAsiaTheme="minorEastAsia" w:hAnsiTheme="minorHAnsi" w:cstheme="minorBidi"/>
              <w:i w:val="0"/>
              <w:iCs w:val="0"/>
              <w:noProof/>
              <w:sz w:val="22"/>
              <w:szCs w:val="22"/>
            </w:rPr>
          </w:pPr>
          <w:hyperlink w:anchor="_Toc129887088" w:history="1">
            <w:r w:rsidR="00346233" w:rsidRPr="004A30A8">
              <w:rPr>
                <w:rStyle w:val="Hipervnculo"/>
                <w:bCs/>
                <w:i w:val="0"/>
                <w:iCs w:val="0"/>
                <w:noProof/>
              </w:rPr>
              <w:t>A</w:t>
            </w:r>
            <w:r w:rsidR="00346233" w:rsidRPr="004A30A8">
              <w:rPr>
                <w:rStyle w:val="Hipervnculo"/>
                <w:bCs/>
                <w:i w:val="0"/>
                <w:iCs w:val="0"/>
                <w:noProof/>
                <w:lang w:val="es-ES"/>
              </w:rPr>
              <w:t>.1 Alegatos del Estado y observaciones de la Comisión y de los representantes</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_Toc129887088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8</w:t>
            </w:r>
            <w:r w:rsidR="00346233" w:rsidRPr="004A30A8">
              <w:rPr>
                <w:i w:val="0"/>
                <w:iCs w:val="0"/>
                <w:noProof/>
                <w:webHidden/>
              </w:rPr>
              <w:fldChar w:fldCharType="end"/>
            </w:r>
          </w:hyperlink>
        </w:p>
        <w:p w14:paraId="406A7EAD" w14:textId="2F835C55" w:rsidR="00346233" w:rsidRPr="004A30A8" w:rsidRDefault="00000000">
          <w:pPr>
            <w:pStyle w:val="TDC3"/>
            <w:rPr>
              <w:rFonts w:asciiTheme="minorHAnsi" w:eastAsiaTheme="minorEastAsia" w:hAnsiTheme="minorHAnsi" w:cstheme="minorBidi"/>
              <w:i w:val="0"/>
              <w:iCs w:val="0"/>
              <w:noProof/>
              <w:sz w:val="22"/>
              <w:szCs w:val="22"/>
            </w:rPr>
          </w:pPr>
          <w:hyperlink w:anchor="_Toc129887089" w:history="1">
            <w:r w:rsidR="00346233" w:rsidRPr="004A30A8">
              <w:rPr>
                <w:rStyle w:val="Hipervnculo"/>
                <w:bCs/>
                <w:i w:val="0"/>
                <w:iCs w:val="0"/>
                <w:noProof/>
                <w:lang w:val="es-ES"/>
              </w:rPr>
              <w:t>A.2 Consideraciones de la Corte</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_Toc129887089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9</w:t>
            </w:r>
            <w:r w:rsidR="00346233" w:rsidRPr="004A30A8">
              <w:rPr>
                <w:i w:val="0"/>
                <w:iCs w:val="0"/>
                <w:noProof/>
                <w:webHidden/>
              </w:rPr>
              <w:fldChar w:fldCharType="end"/>
            </w:r>
          </w:hyperlink>
        </w:p>
        <w:p w14:paraId="508A80D9" w14:textId="2CF23C94" w:rsidR="00346233" w:rsidRPr="004A30A8" w:rsidRDefault="00000000">
          <w:pPr>
            <w:pStyle w:val="TDC2"/>
            <w:rPr>
              <w:rFonts w:asciiTheme="minorHAnsi" w:eastAsiaTheme="minorEastAsia" w:hAnsiTheme="minorHAnsi" w:cstheme="minorBidi"/>
              <w:bCs w:val="0"/>
              <w:i w:val="0"/>
              <w:sz w:val="22"/>
              <w:szCs w:val="22"/>
              <w:lang w:val="es-CR"/>
            </w:rPr>
          </w:pPr>
          <w:hyperlink w:anchor="_Toc129887090" w:history="1">
            <w:r w:rsidR="00346233" w:rsidRPr="004A30A8">
              <w:rPr>
                <w:rStyle w:val="Hipervnculo"/>
                <w:i w:val="0"/>
                <w:lang w:val="es-ES"/>
              </w:rPr>
              <w:t>B. Falta de agotamiento de recursos internos</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_Toc129887090 \h </w:instrText>
            </w:r>
            <w:r w:rsidR="00346233" w:rsidRPr="004A30A8">
              <w:rPr>
                <w:i w:val="0"/>
                <w:webHidden/>
              </w:rPr>
            </w:r>
            <w:r w:rsidR="00346233" w:rsidRPr="004A30A8">
              <w:rPr>
                <w:i w:val="0"/>
                <w:webHidden/>
              </w:rPr>
              <w:fldChar w:fldCharType="separate"/>
            </w:r>
            <w:r w:rsidR="001F1C9A">
              <w:rPr>
                <w:i w:val="0"/>
                <w:webHidden/>
              </w:rPr>
              <w:t>10</w:t>
            </w:r>
            <w:r w:rsidR="00346233" w:rsidRPr="004A30A8">
              <w:rPr>
                <w:i w:val="0"/>
                <w:webHidden/>
              </w:rPr>
              <w:fldChar w:fldCharType="end"/>
            </w:r>
          </w:hyperlink>
        </w:p>
        <w:p w14:paraId="6C7DE20A" w14:textId="0ACFBC3D" w:rsidR="00346233" w:rsidRPr="004A30A8" w:rsidRDefault="00000000">
          <w:pPr>
            <w:pStyle w:val="TDC3"/>
            <w:rPr>
              <w:rFonts w:asciiTheme="minorHAnsi" w:eastAsiaTheme="minorEastAsia" w:hAnsiTheme="minorHAnsi" w:cstheme="minorBidi"/>
              <w:i w:val="0"/>
              <w:iCs w:val="0"/>
              <w:noProof/>
              <w:sz w:val="22"/>
              <w:szCs w:val="22"/>
            </w:rPr>
          </w:pPr>
          <w:hyperlink w:anchor="_Toc129887091" w:history="1">
            <w:r w:rsidR="00346233" w:rsidRPr="004A30A8">
              <w:rPr>
                <w:rStyle w:val="Hipervnculo"/>
                <w:bCs/>
                <w:i w:val="0"/>
                <w:iCs w:val="0"/>
                <w:noProof/>
                <w:lang w:val="es-ES"/>
              </w:rPr>
              <w:t xml:space="preserve">B.1 Alegatos del </w:t>
            </w:r>
            <w:r w:rsidR="00346233" w:rsidRPr="004A30A8">
              <w:rPr>
                <w:rStyle w:val="Hipervnculo"/>
                <w:rFonts w:eastAsia="Verdana" w:cs="Verdana"/>
                <w:bCs/>
                <w:i w:val="0"/>
                <w:iCs w:val="0"/>
                <w:noProof/>
                <w:lang w:val="es-ES"/>
              </w:rPr>
              <w:t>Estado</w:t>
            </w:r>
            <w:r w:rsidR="00346233" w:rsidRPr="004A30A8">
              <w:rPr>
                <w:rStyle w:val="Hipervnculo"/>
                <w:bCs/>
                <w:i w:val="0"/>
                <w:iCs w:val="0"/>
                <w:noProof/>
                <w:lang w:val="es-ES"/>
              </w:rPr>
              <w:t xml:space="preserve"> y observaciones de la Comisión y de los representantes</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_Toc129887091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10</w:t>
            </w:r>
            <w:r w:rsidR="00346233" w:rsidRPr="004A30A8">
              <w:rPr>
                <w:i w:val="0"/>
                <w:iCs w:val="0"/>
                <w:noProof/>
                <w:webHidden/>
              </w:rPr>
              <w:fldChar w:fldCharType="end"/>
            </w:r>
          </w:hyperlink>
        </w:p>
        <w:p w14:paraId="34559856" w14:textId="505D84F2" w:rsidR="00346233" w:rsidRPr="004A30A8" w:rsidRDefault="00000000">
          <w:pPr>
            <w:pStyle w:val="TDC3"/>
            <w:rPr>
              <w:rFonts w:asciiTheme="minorHAnsi" w:eastAsiaTheme="minorEastAsia" w:hAnsiTheme="minorHAnsi" w:cstheme="minorBidi"/>
              <w:i w:val="0"/>
              <w:iCs w:val="0"/>
              <w:noProof/>
              <w:sz w:val="22"/>
              <w:szCs w:val="22"/>
            </w:rPr>
          </w:pPr>
          <w:hyperlink w:anchor="_Toc129887092" w:history="1">
            <w:r w:rsidR="00346233" w:rsidRPr="004A30A8">
              <w:rPr>
                <w:rStyle w:val="Hipervnculo"/>
                <w:bCs/>
                <w:i w:val="0"/>
                <w:iCs w:val="0"/>
                <w:noProof/>
                <w:lang w:val="es-ES"/>
              </w:rPr>
              <w:t>B.2 Consideraciones de la Corte</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_Toc129887092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10</w:t>
            </w:r>
            <w:r w:rsidR="00346233" w:rsidRPr="004A30A8">
              <w:rPr>
                <w:i w:val="0"/>
                <w:iCs w:val="0"/>
                <w:noProof/>
                <w:webHidden/>
              </w:rPr>
              <w:fldChar w:fldCharType="end"/>
            </w:r>
          </w:hyperlink>
        </w:p>
        <w:p w14:paraId="52C1FB13" w14:textId="65B45058"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093" w:history="1">
            <w:r w:rsidR="00346233" w:rsidRPr="004A30A8">
              <w:rPr>
                <w:rStyle w:val="Hipervnculo"/>
                <w:noProof/>
              </w:rPr>
              <w:t>V CONSIDERACIONES PREVIAS</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_Toc129887093 \h </w:instrText>
            </w:r>
            <w:r w:rsidR="00346233" w:rsidRPr="004A30A8">
              <w:rPr>
                <w:noProof/>
                <w:webHidden/>
              </w:rPr>
            </w:r>
            <w:r w:rsidR="00346233" w:rsidRPr="004A30A8">
              <w:rPr>
                <w:noProof/>
                <w:webHidden/>
              </w:rPr>
              <w:fldChar w:fldCharType="separate"/>
            </w:r>
            <w:r w:rsidR="001F1C9A">
              <w:rPr>
                <w:noProof/>
                <w:webHidden/>
              </w:rPr>
              <w:t>12</w:t>
            </w:r>
            <w:r w:rsidR="00346233" w:rsidRPr="004A30A8">
              <w:rPr>
                <w:noProof/>
                <w:webHidden/>
              </w:rPr>
              <w:fldChar w:fldCharType="end"/>
            </w:r>
          </w:hyperlink>
        </w:p>
        <w:p w14:paraId="76C9EDF4" w14:textId="7E17E3A6" w:rsidR="00346233" w:rsidRPr="004A30A8" w:rsidRDefault="00000000">
          <w:pPr>
            <w:pStyle w:val="TDC2"/>
            <w:rPr>
              <w:rFonts w:asciiTheme="minorHAnsi" w:eastAsiaTheme="minorEastAsia" w:hAnsiTheme="minorHAnsi" w:cstheme="minorBidi"/>
              <w:bCs w:val="0"/>
              <w:i w:val="0"/>
              <w:sz w:val="22"/>
              <w:szCs w:val="22"/>
              <w:lang w:val="es-CR"/>
            </w:rPr>
          </w:pPr>
          <w:hyperlink w:anchor="_Toc129887094" w:history="1">
            <w:r w:rsidR="00346233" w:rsidRPr="004A30A8">
              <w:rPr>
                <w:rStyle w:val="Hipervnculo"/>
                <w:i w:val="0"/>
                <w:lang w:val="es-ES"/>
              </w:rPr>
              <w:t>A. La indebida inclusión de hechos que no forman parte del marco fáctico del caso</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_Toc129887094 \h </w:instrText>
            </w:r>
            <w:r w:rsidR="00346233" w:rsidRPr="004A30A8">
              <w:rPr>
                <w:i w:val="0"/>
                <w:webHidden/>
              </w:rPr>
            </w:r>
            <w:r w:rsidR="00346233" w:rsidRPr="004A30A8">
              <w:rPr>
                <w:i w:val="0"/>
                <w:webHidden/>
              </w:rPr>
              <w:fldChar w:fldCharType="separate"/>
            </w:r>
            <w:r w:rsidR="001F1C9A">
              <w:rPr>
                <w:i w:val="0"/>
                <w:webHidden/>
              </w:rPr>
              <w:t>12</w:t>
            </w:r>
            <w:r w:rsidR="00346233" w:rsidRPr="004A30A8">
              <w:rPr>
                <w:i w:val="0"/>
                <w:webHidden/>
              </w:rPr>
              <w:fldChar w:fldCharType="end"/>
            </w:r>
          </w:hyperlink>
        </w:p>
        <w:p w14:paraId="3BBA929E" w14:textId="1510E3B5" w:rsidR="00346233" w:rsidRPr="004A30A8" w:rsidRDefault="00000000">
          <w:pPr>
            <w:pStyle w:val="TDC3"/>
            <w:rPr>
              <w:rFonts w:asciiTheme="minorHAnsi" w:eastAsiaTheme="minorEastAsia" w:hAnsiTheme="minorHAnsi" w:cstheme="minorBidi"/>
              <w:i w:val="0"/>
              <w:iCs w:val="0"/>
              <w:noProof/>
              <w:sz w:val="22"/>
              <w:szCs w:val="22"/>
            </w:rPr>
          </w:pPr>
          <w:hyperlink w:anchor="_Toc129887095" w:history="1">
            <w:r w:rsidR="00346233" w:rsidRPr="004A30A8">
              <w:rPr>
                <w:rStyle w:val="Hipervnculo"/>
                <w:bCs/>
                <w:i w:val="0"/>
                <w:iCs w:val="0"/>
                <w:noProof/>
                <w:lang w:val="es-ES"/>
              </w:rPr>
              <w:t>A.1 Alegatos del Estado y observaciones de la Comisión y de los representantes</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_Toc129887095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12</w:t>
            </w:r>
            <w:r w:rsidR="00346233" w:rsidRPr="004A30A8">
              <w:rPr>
                <w:i w:val="0"/>
                <w:iCs w:val="0"/>
                <w:noProof/>
                <w:webHidden/>
              </w:rPr>
              <w:fldChar w:fldCharType="end"/>
            </w:r>
          </w:hyperlink>
        </w:p>
        <w:p w14:paraId="7F977D4E" w14:textId="4137056A" w:rsidR="00346233" w:rsidRPr="004A30A8" w:rsidRDefault="00000000">
          <w:pPr>
            <w:pStyle w:val="TDC3"/>
            <w:rPr>
              <w:rFonts w:asciiTheme="minorHAnsi" w:eastAsiaTheme="minorEastAsia" w:hAnsiTheme="minorHAnsi" w:cstheme="minorBidi"/>
              <w:i w:val="0"/>
              <w:iCs w:val="0"/>
              <w:noProof/>
              <w:sz w:val="22"/>
              <w:szCs w:val="22"/>
            </w:rPr>
          </w:pPr>
          <w:hyperlink w:anchor="_Toc129887096" w:history="1">
            <w:r w:rsidR="00346233" w:rsidRPr="004A30A8">
              <w:rPr>
                <w:rStyle w:val="Hipervnculo"/>
                <w:bCs/>
                <w:i w:val="0"/>
                <w:iCs w:val="0"/>
                <w:noProof/>
                <w:lang w:val="es-ES"/>
              </w:rPr>
              <w:t>A.2 Consideraciones de la Corte</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_Toc129887096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12</w:t>
            </w:r>
            <w:r w:rsidR="00346233" w:rsidRPr="004A30A8">
              <w:rPr>
                <w:i w:val="0"/>
                <w:iCs w:val="0"/>
                <w:noProof/>
                <w:webHidden/>
              </w:rPr>
              <w:fldChar w:fldCharType="end"/>
            </w:r>
          </w:hyperlink>
        </w:p>
        <w:p w14:paraId="71AF053B" w14:textId="47D78FAD" w:rsidR="00346233" w:rsidRPr="004A30A8" w:rsidRDefault="00000000">
          <w:pPr>
            <w:pStyle w:val="TDC2"/>
            <w:rPr>
              <w:rFonts w:asciiTheme="minorHAnsi" w:eastAsiaTheme="minorEastAsia" w:hAnsiTheme="minorHAnsi" w:cstheme="minorBidi"/>
              <w:bCs w:val="0"/>
              <w:i w:val="0"/>
              <w:sz w:val="22"/>
              <w:szCs w:val="22"/>
              <w:lang w:val="es-CR"/>
            </w:rPr>
          </w:pPr>
          <w:hyperlink w:anchor="_Toc129887097" w:history="1">
            <w:r w:rsidR="00346233" w:rsidRPr="004A30A8">
              <w:rPr>
                <w:rStyle w:val="Hipervnculo"/>
                <w:i w:val="0"/>
                <w:lang w:val="es-ES"/>
              </w:rPr>
              <w:t>B. La alegada inclusión indebida en el escrito de solicitudes, argumentos y pruebas de derechos presuntamente vulnerados</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_Toc129887097 \h </w:instrText>
            </w:r>
            <w:r w:rsidR="00346233" w:rsidRPr="004A30A8">
              <w:rPr>
                <w:i w:val="0"/>
                <w:webHidden/>
              </w:rPr>
            </w:r>
            <w:r w:rsidR="00346233" w:rsidRPr="004A30A8">
              <w:rPr>
                <w:i w:val="0"/>
                <w:webHidden/>
              </w:rPr>
              <w:fldChar w:fldCharType="separate"/>
            </w:r>
            <w:r w:rsidR="001F1C9A">
              <w:rPr>
                <w:i w:val="0"/>
                <w:webHidden/>
              </w:rPr>
              <w:t>13</w:t>
            </w:r>
            <w:r w:rsidR="00346233" w:rsidRPr="004A30A8">
              <w:rPr>
                <w:i w:val="0"/>
                <w:webHidden/>
              </w:rPr>
              <w:fldChar w:fldCharType="end"/>
            </w:r>
          </w:hyperlink>
        </w:p>
        <w:p w14:paraId="626897DA" w14:textId="751D8182" w:rsidR="00346233" w:rsidRPr="004A30A8" w:rsidRDefault="00000000">
          <w:pPr>
            <w:pStyle w:val="TDC3"/>
            <w:rPr>
              <w:rFonts w:asciiTheme="minorHAnsi" w:eastAsiaTheme="minorEastAsia" w:hAnsiTheme="minorHAnsi" w:cstheme="minorBidi"/>
              <w:i w:val="0"/>
              <w:iCs w:val="0"/>
              <w:noProof/>
              <w:sz w:val="22"/>
              <w:szCs w:val="22"/>
            </w:rPr>
          </w:pPr>
          <w:hyperlink w:anchor="_Toc129887098" w:history="1">
            <w:r w:rsidR="00346233" w:rsidRPr="004A30A8">
              <w:rPr>
                <w:rStyle w:val="Hipervnculo"/>
                <w:bCs/>
                <w:i w:val="0"/>
                <w:iCs w:val="0"/>
                <w:noProof/>
                <w:lang w:val="es-ES"/>
              </w:rPr>
              <w:t>B.1 Alegatos del Estado y observaciones de la Comisión y de los representantes</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_Toc129887098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13</w:t>
            </w:r>
            <w:r w:rsidR="00346233" w:rsidRPr="004A30A8">
              <w:rPr>
                <w:i w:val="0"/>
                <w:iCs w:val="0"/>
                <w:noProof/>
                <w:webHidden/>
              </w:rPr>
              <w:fldChar w:fldCharType="end"/>
            </w:r>
          </w:hyperlink>
        </w:p>
        <w:p w14:paraId="619663EE" w14:textId="3FBC31F0" w:rsidR="00346233" w:rsidRPr="004A30A8" w:rsidRDefault="00000000">
          <w:pPr>
            <w:pStyle w:val="TDC3"/>
            <w:rPr>
              <w:rFonts w:asciiTheme="minorHAnsi" w:eastAsiaTheme="minorEastAsia" w:hAnsiTheme="minorHAnsi" w:cstheme="minorBidi"/>
              <w:i w:val="0"/>
              <w:iCs w:val="0"/>
              <w:noProof/>
              <w:sz w:val="22"/>
              <w:szCs w:val="22"/>
            </w:rPr>
          </w:pPr>
          <w:hyperlink w:anchor="_Toc129887099" w:history="1">
            <w:r w:rsidR="00346233" w:rsidRPr="004A30A8">
              <w:rPr>
                <w:rStyle w:val="Hipervnculo"/>
                <w:bCs/>
                <w:i w:val="0"/>
                <w:iCs w:val="0"/>
                <w:noProof/>
                <w:lang w:val="es-ES"/>
              </w:rPr>
              <w:t>B.2 Consideraciones de la Corte</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_Toc129887099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14</w:t>
            </w:r>
            <w:r w:rsidR="00346233" w:rsidRPr="004A30A8">
              <w:rPr>
                <w:i w:val="0"/>
                <w:iCs w:val="0"/>
                <w:noProof/>
                <w:webHidden/>
              </w:rPr>
              <w:fldChar w:fldCharType="end"/>
            </w:r>
          </w:hyperlink>
        </w:p>
        <w:p w14:paraId="61848437" w14:textId="44382A4B"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00" w:history="1">
            <w:r w:rsidR="00346233" w:rsidRPr="004A30A8">
              <w:rPr>
                <w:rStyle w:val="Hipervnculo"/>
                <w:noProof/>
              </w:rPr>
              <w:t>VI PRUEBA</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_Toc129887100 \h </w:instrText>
            </w:r>
            <w:r w:rsidR="00346233" w:rsidRPr="004A30A8">
              <w:rPr>
                <w:noProof/>
                <w:webHidden/>
              </w:rPr>
            </w:r>
            <w:r w:rsidR="00346233" w:rsidRPr="004A30A8">
              <w:rPr>
                <w:noProof/>
                <w:webHidden/>
              </w:rPr>
              <w:fldChar w:fldCharType="separate"/>
            </w:r>
            <w:r w:rsidR="001F1C9A">
              <w:rPr>
                <w:noProof/>
                <w:webHidden/>
              </w:rPr>
              <w:t>14</w:t>
            </w:r>
            <w:r w:rsidR="00346233" w:rsidRPr="004A30A8">
              <w:rPr>
                <w:noProof/>
                <w:webHidden/>
              </w:rPr>
              <w:fldChar w:fldCharType="end"/>
            </w:r>
          </w:hyperlink>
        </w:p>
        <w:p w14:paraId="33D11B41" w14:textId="638C1034" w:rsidR="00346233" w:rsidRPr="004A30A8" w:rsidRDefault="00000000">
          <w:pPr>
            <w:pStyle w:val="TDC2"/>
            <w:rPr>
              <w:rFonts w:asciiTheme="minorHAnsi" w:eastAsiaTheme="minorEastAsia" w:hAnsiTheme="minorHAnsi" w:cstheme="minorBidi"/>
              <w:bCs w:val="0"/>
              <w:i w:val="0"/>
              <w:sz w:val="22"/>
              <w:szCs w:val="22"/>
              <w:lang w:val="es-CR"/>
            </w:rPr>
          </w:pPr>
          <w:hyperlink w:anchor="_Toc129887101" w:history="1">
            <w:r w:rsidR="00346233" w:rsidRPr="004A30A8">
              <w:rPr>
                <w:rStyle w:val="Hipervnculo"/>
                <w:i w:val="0"/>
                <w:lang w:val="es-ES"/>
              </w:rPr>
              <w:t>A. Admisibilidad de la prueba documental</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_Toc129887101 \h </w:instrText>
            </w:r>
            <w:r w:rsidR="00346233" w:rsidRPr="004A30A8">
              <w:rPr>
                <w:i w:val="0"/>
                <w:webHidden/>
              </w:rPr>
            </w:r>
            <w:r w:rsidR="00346233" w:rsidRPr="004A30A8">
              <w:rPr>
                <w:i w:val="0"/>
                <w:webHidden/>
              </w:rPr>
              <w:fldChar w:fldCharType="separate"/>
            </w:r>
            <w:r w:rsidR="001F1C9A">
              <w:rPr>
                <w:i w:val="0"/>
                <w:webHidden/>
              </w:rPr>
              <w:t>14</w:t>
            </w:r>
            <w:r w:rsidR="00346233" w:rsidRPr="004A30A8">
              <w:rPr>
                <w:i w:val="0"/>
                <w:webHidden/>
              </w:rPr>
              <w:fldChar w:fldCharType="end"/>
            </w:r>
          </w:hyperlink>
        </w:p>
        <w:p w14:paraId="780F6E51" w14:textId="083B1CE3" w:rsidR="00346233" w:rsidRPr="004A30A8" w:rsidRDefault="00000000">
          <w:pPr>
            <w:pStyle w:val="TDC2"/>
            <w:rPr>
              <w:rFonts w:asciiTheme="minorHAnsi" w:eastAsiaTheme="minorEastAsia" w:hAnsiTheme="minorHAnsi" w:cstheme="minorBidi"/>
              <w:bCs w:val="0"/>
              <w:i w:val="0"/>
              <w:sz w:val="22"/>
              <w:szCs w:val="22"/>
              <w:lang w:val="es-CR"/>
            </w:rPr>
          </w:pPr>
          <w:hyperlink w:anchor="_Toc129887102" w:history="1">
            <w:r w:rsidR="00346233" w:rsidRPr="004A30A8">
              <w:rPr>
                <w:rStyle w:val="Hipervnculo"/>
                <w:i w:val="0"/>
                <w:lang w:val="es-ES"/>
              </w:rPr>
              <w:t>B. Admisibilidad de la prueba testimonial y pericial</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_Toc129887102 \h </w:instrText>
            </w:r>
            <w:r w:rsidR="00346233" w:rsidRPr="004A30A8">
              <w:rPr>
                <w:i w:val="0"/>
                <w:webHidden/>
              </w:rPr>
            </w:r>
            <w:r w:rsidR="00346233" w:rsidRPr="004A30A8">
              <w:rPr>
                <w:i w:val="0"/>
                <w:webHidden/>
              </w:rPr>
              <w:fldChar w:fldCharType="separate"/>
            </w:r>
            <w:r w:rsidR="001F1C9A">
              <w:rPr>
                <w:i w:val="0"/>
                <w:webHidden/>
              </w:rPr>
              <w:t>16</w:t>
            </w:r>
            <w:r w:rsidR="00346233" w:rsidRPr="004A30A8">
              <w:rPr>
                <w:i w:val="0"/>
                <w:webHidden/>
              </w:rPr>
              <w:fldChar w:fldCharType="end"/>
            </w:r>
          </w:hyperlink>
        </w:p>
        <w:p w14:paraId="0308143D" w14:textId="67C48D98"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03" w:history="1">
            <w:r w:rsidR="00346233" w:rsidRPr="004A30A8">
              <w:rPr>
                <w:rStyle w:val="Hipervnculo"/>
                <w:noProof/>
              </w:rPr>
              <w:t>VII HECHOS</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_Toc129887103 \h </w:instrText>
            </w:r>
            <w:r w:rsidR="00346233" w:rsidRPr="004A30A8">
              <w:rPr>
                <w:noProof/>
                <w:webHidden/>
              </w:rPr>
            </w:r>
            <w:r w:rsidR="00346233" w:rsidRPr="004A30A8">
              <w:rPr>
                <w:noProof/>
                <w:webHidden/>
              </w:rPr>
              <w:fldChar w:fldCharType="separate"/>
            </w:r>
            <w:r w:rsidR="001F1C9A">
              <w:rPr>
                <w:noProof/>
                <w:webHidden/>
              </w:rPr>
              <w:t>16</w:t>
            </w:r>
            <w:r w:rsidR="00346233" w:rsidRPr="004A30A8">
              <w:rPr>
                <w:noProof/>
                <w:webHidden/>
              </w:rPr>
              <w:fldChar w:fldCharType="end"/>
            </w:r>
          </w:hyperlink>
        </w:p>
        <w:p w14:paraId="67FD108B" w14:textId="09F61BC1" w:rsidR="00346233" w:rsidRPr="004A30A8" w:rsidRDefault="00000000">
          <w:pPr>
            <w:pStyle w:val="TDC2"/>
            <w:rPr>
              <w:rFonts w:asciiTheme="minorHAnsi" w:eastAsiaTheme="minorEastAsia" w:hAnsiTheme="minorHAnsi" w:cstheme="minorBidi"/>
              <w:bCs w:val="0"/>
              <w:i w:val="0"/>
              <w:sz w:val="22"/>
              <w:szCs w:val="22"/>
              <w:lang w:val="es-CR"/>
            </w:rPr>
          </w:pPr>
          <w:hyperlink w:anchor="_Toc129887104" w:history="1">
            <w:r w:rsidR="00346233" w:rsidRPr="004A30A8">
              <w:rPr>
                <w:rStyle w:val="Hipervnculo"/>
                <w:i w:val="0"/>
              </w:rPr>
              <w:t>A. Hechos ocurridos el 11 de agosto de 2004</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_Toc129887104 \h </w:instrText>
            </w:r>
            <w:r w:rsidR="00346233" w:rsidRPr="004A30A8">
              <w:rPr>
                <w:i w:val="0"/>
                <w:webHidden/>
              </w:rPr>
            </w:r>
            <w:r w:rsidR="00346233" w:rsidRPr="004A30A8">
              <w:rPr>
                <w:i w:val="0"/>
                <w:webHidden/>
              </w:rPr>
              <w:fldChar w:fldCharType="separate"/>
            </w:r>
            <w:r w:rsidR="001F1C9A">
              <w:rPr>
                <w:i w:val="0"/>
                <w:webHidden/>
              </w:rPr>
              <w:t>17</w:t>
            </w:r>
            <w:r w:rsidR="00346233" w:rsidRPr="004A30A8">
              <w:rPr>
                <w:i w:val="0"/>
                <w:webHidden/>
              </w:rPr>
              <w:fldChar w:fldCharType="end"/>
            </w:r>
          </w:hyperlink>
        </w:p>
        <w:p w14:paraId="7270A107" w14:textId="4F42F152" w:rsidR="00346233" w:rsidRPr="004A30A8" w:rsidRDefault="00000000">
          <w:pPr>
            <w:pStyle w:val="TDC2"/>
            <w:rPr>
              <w:rFonts w:asciiTheme="minorHAnsi" w:eastAsiaTheme="minorEastAsia" w:hAnsiTheme="minorHAnsi" w:cstheme="minorBidi"/>
              <w:bCs w:val="0"/>
              <w:i w:val="0"/>
              <w:sz w:val="22"/>
              <w:szCs w:val="22"/>
              <w:lang w:val="es-CR"/>
            </w:rPr>
          </w:pPr>
          <w:hyperlink w:anchor="_Toc129887105" w:history="1">
            <w:r w:rsidR="00346233" w:rsidRPr="004A30A8">
              <w:rPr>
                <w:rStyle w:val="Hipervnculo"/>
                <w:i w:val="0"/>
                <w:lang w:val="es-ES"/>
              </w:rPr>
              <w:t>B. Denuncia</w:t>
            </w:r>
            <w:r w:rsidR="00346233" w:rsidRPr="004A30A8">
              <w:rPr>
                <w:rStyle w:val="Hipervnculo"/>
                <w:i w:val="0"/>
              </w:rPr>
              <w:t xml:space="preserve"> </w:t>
            </w:r>
            <w:r w:rsidR="00346233" w:rsidRPr="004A30A8">
              <w:rPr>
                <w:rStyle w:val="Hipervnculo"/>
                <w:i w:val="0"/>
                <w:lang w:val="es-ES"/>
              </w:rPr>
              <w:t>ante</w:t>
            </w:r>
            <w:r w:rsidR="00346233" w:rsidRPr="004A30A8">
              <w:rPr>
                <w:rStyle w:val="Hipervnculo"/>
                <w:i w:val="0"/>
              </w:rPr>
              <w:t xml:space="preserve"> la Comisión de Protección al Consumidor (CPC) del Instituto Nacional de Defensa de la Competencia y de la Propiedad Intelectual (Indecopi)</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_Toc129887105 \h </w:instrText>
            </w:r>
            <w:r w:rsidR="00346233" w:rsidRPr="004A30A8">
              <w:rPr>
                <w:i w:val="0"/>
                <w:webHidden/>
              </w:rPr>
            </w:r>
            <w:r w:rsidR="00346233" w:rsidRPr="004A30A8">
              <w:rPr>
                <w:i w:val="0"/>
                <w:webHidden/>
              </w:rPr>
              <w:fldChar w:fldCharType="separate"/>
            </w:r>
            <w:r w:rsidR="001F1C9A">
              <w:rPr>
                <w:i w:val="0"/>
                <w:webHidden/>
              </w:rPr>
              <w:t>19</w:t>
            </w:r>
            <w:r w:rsidR="00346233" w:rsidRPr="004A30A8">
              <w:rPr>
                <w:i w:val="0"/>
                <w:webHidden/>
              </w:rPr>
              <w:fldChar w:fldCharType="end"/>
            </w:r>
          </w:hyperlink>
        </w:p>
        <w:p w14:paraId="65DE760A" w14:textId="26A40EC3" w:rsidR="00346233" w:rsidRPr="004A30A8" w:rsidRDefault="00000000">
          <w:pPr>
            <w:pStyle w:val="TDC2"/>
            <w:rPr>
              <w:rFonts w:asciiTheme="minorHAnsi" w:eastAsiaTheme="minorEastAsia" w:hAnsiTheme="minorHAnsi" w:cstheme="minorBidi"/>
              <w:bCs w:val="0"/>
              <w:i w:val="0"/>
              <w:sz w:val="22"/>
              <w:szCs w:val="22"/>
              <w:lang w:val="es-CR"/>
            </w:rPr>
          </w:pPr>
          <w:hyperlink w:anchor="_Toc129887106" w:history="1">
            <w:r w:rsidR="00346233" w:rsidRPr="004A30A8">
              <w:rPr>
                <w:rStyle w:val="Hipervnculo"/>
                <w:i w:val="0"/>
                <w:lang w:val="es-ES"/>
              </w:rPr>
              <w:t>C. Recurso de apelación ante el Tribunal de Defensa de la Competencia y de la Propiedad Intelectual</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_Toc129887106 \h </w:instrText>
            </w:r>
            <w:r w:rsidR="00346233" w:rsidRPr="004A30A8">
              <w:rPr>
                <w:i w:val="0"/>
                <w:webHidden/>
              </w:rPr>
            </w:r>
            <w:r w:rsidR="00346233" w:rsidRPr="004A30A8">
              <w:rPr>
                <w:i w:val="0"/>
                <w:webHidden/>
              </w:rPr>
              <w:fldChar w:fldCharType="separate"/>
            </w:r>
            <w:r w:rsidR="001F1C9A">
              <w:rPr>
                <w:i w:val="0"/>
                <w:webHidden/>
              </w:rPr>
              <w:t>22</w:t>
            </w:r>
            <w:r w:rsidR="00346233" w:rsidRPr="004A30A8">
              <w:rPr>
                <w:i w:val="0"/>
                <w:webHidden/>
              </w:rPr>
              <w:fldChar w:fldCharType="end"/>
            </w:r>
          </w:hyperlink>
        </w:p>
        <w:p w14:paraId="22633813" w14:textId="1E887529" w:rsidR="00346233" w:rsidRPr="004A30A8" w:rsidRDefault="00000000">
          <w:pPr>
            <w:pStyle w:val="TDC2"/>
            <w:rPr>
              <w:rFonts w:asciiTheme="minorHAnsi" w:eastAsiaTheme="minorEastAsia" w:hAnsiTheme="minorHAnsi" w:cstheme="minorBidi"/>
              <w:bCs w:val="0"/>
              <w:i w:val="0"/>
              <w:sz w:val="22"/>
              <w:szCs w:val="22"/>
              <w:lang w:val="es-CR"/>
            </w:rPr>
          </w:pPr>
          <w:hyperlink w:anchor="_Toc129887107" w:history="1">
            <w:r w:rsidR="00346233" w:rsidRPr="004A30A8">
              <w:rPr>
                <w:rStyle w:val="Hipervnculo"/>
                <w:i w:val="0"/>
                <w:lang w:val="es-ES"/>
              </w:rPr>
              <w:t>D. Recurso</w:t>
            </w:r>
            <w:r w:rsidR="00346233" w:rsidRPr="004A30A8">
              <w:rPr>
                <w:rStyle w:val="Hipervnculo"/>
                <w:i w:val="0"/>
              </w:rPr>
              <w:t xml:space="preserve"> de nulidad ante la Sala Segunda en lo Contencioso </w:t>
            </w:r>
            <w:r w:rsidR="00346233" w:rsidRPr="004A30A8">
              <w:rPr>
                <w:rStyle w:val="Hipervnculo"/>
                <w:i w:val="0"/>
                <w:lang w:val="es-ES"/>
              </w:rPr>
              <w:t>Administrativo</w:t>
            </w:r>
            <w:r w:rsidR="00346233" w:rsidRPr="004A30A8">
              <w:rPr>
                <w:rStyle w:val="Hipervnculo"/>
                <w:i w:val="0"/>
              </w:rPr>
              <w:t xml:space="preserve"> de la Corte Superior de Justicia de Lima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_Toc129887107 \h </w:instrText>
            </w:r>
            <w:r w:rsidR="00346233" w:rsidRPr="004A30A8">
              <w:rPr>
                <w:i w:val="0"/>
                <w:webHidden/>
              </w:rPr>
            </w:r>
            <w:r w:rsidR="00346233" w:rsidRPr="004A30A8">
              <w:rPr>
                <w:i w:val="0"/>
                <w:webHidden/>
              </w:rPr>
              <w:fldChar w:fldCharType="separate"/>
            </w:r>
            <w:r w:rsidR="001F1C9A">
              <w:rPr>
                <w:i w:val="0"/>
                <w:webHidden/>
              </w:rPr>
              <w:t>23</w:t>
            </w:r>
            <w:r w:rsidR="00346233" w:rsidRPr="004A30A8">
              <w:rPr>
                <w:i w:val="0"/>
                <w:webHidden/>
              </w:rPr>
              <w:fldChar w:fldCharType="end"/>
            </w:r>
          </w:hyperlink>
        </w:p>
        <w:p w14:paraId="536AED98" w14:textId="4484A9C3" w:rsidR="00346233" w:rsidRPr="004A30A8" w:rsidRDefault="00000000">
          <w:pPr>
            <w:pStyle w:val="TDC2"/>
            <w:rPr>
              <w:rFonts w:asciiTheme="minorHAnsi" w:eastAsiaTheme="minorEastAsia" w:hAnsiTheme="minorHAnsi" w:cstheme="minorBidi"/>
              <w:bCs w:val="0"/>
              <w:i w:val="0"/>
              <w:sz w:val="22"/>
              <w:szCs w:val="22"/>
              <w:lang w:val="es-CR"/>
            </w:rPr>
          </w:pPr>
          <w:hyperlink w:anchor="_Toc129887108" w:history="1">
            <w:r w:rsidR="00346233" w:rsidRPr="004A30A8">
              <w:rPr>
                <w:rStyle w:val="Hipervnculo"/>
                <w:i w:val="0"/>
                <w:lang w:val="es-ES"/>
              </w:rPr>
              <w:t>E. Recurso de apelación ante la Sala Civil Permanente de la Corte Suprema de Justicia de la República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_Toc129887108 \h </w:instrText>
            </w:r>
            <w:r w:rsidR="00346233" w:rsidRPr="004A30A8">
              <w:rPr>
                <w:i w:val="0"/>
                <w:webHidden/>
              </w:rPr>
            </w:r>
            <w:r w:rsidR="00346233" w:rsidRPr="004A30A8">
              <w:rPr>
                <w:i w:val="0"/>
                <w:webHidden/>
              </w:rPr>
              <w:fldChar w:fldCharType="separate"/>
            </w:r>
            <w:r w:rsidR="001F1C9A">
              <w:rPr>
                <w:i w:val="0"/>
                <w:webHidden/>
              </w:rPr>
              <w:t>24</w:t>
            </w:r>
            <w:r w:rsidR="00346233" w:rsidRPr="004A30A8">
              <w:rPr>
                <w:i w:val="0"/>
                <w:webHidden/>
              </w:rPr>
              <w:fldChar w:fldCharType="end"/>
            </w:r>
          </w:hyperlink>
        </w:p>
        <w:p w14:paraId="4829BF01" w14:textId="0DBE0C3B" w:rsidR="00346233" w:rsidRPr="004A30A8" w:rsidRDefault="00000000">
          <w:pPr>
            <w:pStyle w:val="TDC2"/>
            <w:rPr>
              <w:rFonts w:asciiTheme="minorHAnsi" w:eastAsiaTheme="minorEastAsia" w:hAnsiTheme="minorHAnsi" w:cstheme="minorBidi"/>
              <w:bCs w:val="0"/>
              <w:i w:val="0"/>
              <w:sz w:val="22"/>
              <w:szCs w:val="22"/>
              <w:lang w:val="es-CR"/>
            </w:rPr>
          </w:pPr>
          <w:hyperlink w:anchor="_Toc129887109" w:history="1">
            <w:r w:rsidR="00346233" w:rsidRPr="004A30A8">
              <w:rPr>
                <w:rStyle w:val="Hipervnculo"/>
                <w:i w:val="0"/>
                <w:lang w:val="es-ES"/>
              </w:rPr>
              <w:t>F. Recurso de casación ante la Sala de Derecho Constitucional y Social Permanente de la Corte Suprema de Justicia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_Toc129887109 \h </w:instrText>
            </w:r>
            <w:r w:rsidR="00346233" w:rsidRPr="004A30A8">
              <w:rPr>
                <w:i w:val="0"/>
                <w:webHidden/>
              </w:rPr>
            </w:r>
            <w:r w:rsidR="00346233" w:rsidRPr="004A30A8">
              <w:rPr>
                <w:i w:val="0"/>
                <w:webHidden/>
              </w:rPr>
              <w:fldChar w:fldCharType="separate"/>
            </w:r>
            <w:r w:rsidR="001F1C9A">
              <w:rPr>
                <w:i w:val="0"/>
                <w:webHidden/>
              </w:rPr>
              <w:t>24</w:t>
            </w:r>
            <w:r w:rsidR="00346233" w:rsidRPr="004A30A8">
              <w:rPr>
                <w:i w:val="0"/>
                <w:webHidden/>
              </w:rPr>
              <w:fldChar w:fldCharType="end"/>
            </w:r>
          </w:hyperlink>
        </w:p>
        <w:p w14:paraId="04915A97" w14:textId="2F9E20D2"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10" w:history="1">
            <w:r w:rsidR="00346233" w:rsidRPr="004A30A8">
              <w:rPr>
                <w:rStyle w:val="Hipervnculo"/>
                <w:noProof/>
              </w:rPr>
              <w:t>VIII FONDO</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_Toc129887110 \h </w:instrText>
            </w:r>
            <w:r w:rsidR="00346233" w:rsidRPr="004A30A8">
              <w:rPr>
                <w:noProof/>
                <w:webHidden/>
              </w:rPr>
            </w:r>
            <w:r w:rsidR="00346233" w:rsidRPr="004A30A8">
              <w:rPr>
                <w:noProof/>
                <w:webHidden/>
              </w:rPr>
              <w:fldChar w:fldCharType="separate"/>
            </w:r>
            <w:r w:rsidR="001F1C9A">
              <w:rPr>
                <w:noProof/>
                <w:webHidden/>
              </w:rPr>
              <w:t>25</w:t>
            </w:r>
            <w:r w:rsidR="00346233" w:rsidRPr="004A30A8">
              <w:rPr>
                <w:noProof/>
                <w:webHidden/>
              </w:rPr>
              <w:fldChar w:fldCharType="end"/>
            </w:r>
          </w:hyperlink>
        </w:p>
        <w:p w14:paraId="574D026F" w14:textId="0D4742DF"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11" w:history="1">
            <w:r w:rsidR="00346233" w:rsidRPr="004A30A8">
              <w:rPr>
                <w:rStyle w:val="Hipervnculo"/>
                <w:noProof/>
              </w:rPr>
              <w:t>DERECHOS A LA LIBERTAD PERSONAL, A LA VIDA PRIVADA, A LA LIBERTAD DE EXPRESIÓN, A LA IGUALDAD ANTE LA LEY, A LAS GARANTÍAS JUDICIALES Y A LA PROTECCIÓN JUDICIAL</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_Toc129887111 \h </w:instrText>
            </w:r>
            <w:r w:rsidR="00346233" w:rsidRPr="004A30A8">
              <w:rPr>
                <w:noProof/>
                <w:webHidden/>
              </w:rPr>
            </w:r>
            <w:r w:rsidR="00346233" w:rsidRPr="004A30A8">
              <w:rPr>
                <w:noProof/>
                <w:webHidden/>
              </w:rPr>
              <w:fldChar w:fldCharType="separate"/>
            </w:r>
            <w:r w:rsidR="001F1C9A">
              <w:rPr>
                <w:noProof/>
                <w:webHidden/>
              </w:rPr>
              <w:t>25</w:t>
            </w:r>
            <w:r w:rsidR="00346233" w:rsidRPr="004A30A8">
              <w:rPr>
                <w:noProof/>
                <w:webHidden/>
              </w:rPr>
              <w:fldChar w:fldCharType="end"/>
            </w:r>
          </w:hyperlink>
        </w:p>
        <w:p w14:paraId="40634347" w14:textId="1D7C5CFE" w:rsidR="00346233" w:rsidRPr="004A30A8" w:rsidRDefault="00000000">
          <w:pPr>
            <w:pStyle w:val="TDC2"/>
            <w:rPr>
              <w:rFonts w:asciiTheme="minorHAnsi" w:eastAsiaTheme="minorEastAsia" w:hAnsiTheme="minorHAnsi" w:cstheme="minorBidi"/>
              <w:bCs w:val="0"/>
              <w:i w:val="0"/>
              <w:sz w:val="22"/>
              <w:szCs w:val="22"/>
              <w:lang w:val="es-CR"/>
            </w:rPr>
          </w:pPr>
          <w:hyperlink w:anchor="_Toc129887112" w:history="1">
            <w:r w:rsidR="00346233" w:rsidRPr="004A30A8">
              <w:rPr>
                <w:rStyle w:val="Hipervnculo"/>
                <w:i w:val="0"/>
              </w:rPr>
              <w:t>A.</w:t>
            </w:r>
            <w:r w:rsidR="00346233" w:rsidRPr="004A30A8">
              <w:rPr>
                <w:rFonts w:asciiTheme="minorHAnsi" w:eastAsiaTheme="minorEastAsia" w:hAnsiTheme="minorHAnsi" w:cstheme="minorBidi"/>
                <w:bCs w:val="0"/>
                <w:i w:val="0"/>
                <w:sz w:val="22"/>
                <w:szCs w:val="22"/>
                <w:lang w:val="es-CR"/>
              </w:rPr>
              <w:tab/>
            </w:r>
            <w:r w:rsidR="00346233" w:rsidRPr="004A30A8">
              <w:rPr>
                <w:rStyle w:val="Hipervnculo"/>
                <w:i w:val="0"/>
              </w:rPr>
              <w:t>Argumentos de las partes y de la Comisión</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_Toc129887112 \h </w:instrText>
            </w:r>
            <w:r w:rsidR="00346233" w:rsidRPr="004A30A8">
              <w:rPr>
                <w:i w:val="0"/>
                <w:webHidden/>
              </w:rPr>
            </w:r>
            <w:r w:rsidR="00346233" w:rsidRPr="004A30A8">
              <w:rPr>
                <w:i w:val="0"/>
                <w:webHidden/>
              </w:rPr>
              <w:fldChar w:fldCharType="separate"/>
            </w:r>
            <w:r w:rsidR="001F1C9A">
              <w:rPr>
                <w:i w:val="0"/>
                <w:webHidden/>
              </w:rPr>
              <w:t>26</w:t>
            </w:r>
            <w:r w:rsidR="00346233" w:rsidRPr="004A30A8">
              <w:rPr>
                <w:i w:val="0"/>
                <w:webHidden/>
              </w:rPr>
              <w:fldChar w:fldCharType="end"/>
            </w:r>
          </w:hyperlink>
        </w:p>
        <w:p w14:paraId="3B18C44C" w14:textId="241093E7" w:rsidR="00346233" w:rsidRPr="004A30A8" w:rsidRDefault="00000000">
          <w:pPr>
            <w:pStyle w:val="TDC2"/>
            <w:rPr>
              <w:rFonts w:asciiTheme="minorHAnsi" w:eastAsiaTheme="minorEastAsia" w:hAnsiTheme="minorHAnsi" w:cstheme="minorBidi"/>
              <w:bCs w:val="0"/>
              <w:i w:val="0"/>
              <w:sz w:val="22"/>
              <w:szCs w:val="22"/>
              <w:lang w:val="es-CR"/>
            </w:rPr>
          </w:pPr>
          <w:hyperlink w:anchor="_Toc129887113" w:history="1">
            <w:r w:rsidR="00346233" w:rsidRPr="004A30A8">
              <w:rPr>
                <w:rStyle w:val="Hipervnculo"/>
                <w:i w:val="0"/>
              </w:rPr>
              <w:t>B. Consideraciones de la Corte</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_Toc129887113 \h </w:instrText>
            </w:r>
            <w:r w:rsidR="00346233" w:rsidRPr="004A30A8">
              <w:rPr>
                <w:i w:val="0"/>
                <w:webHidden/>
              </w:rPr>
            </w:r>
            <w:r w:rsidR="00346233" w:rsidRPr="004A30A8">
              <w:rPr>
                <w:i w:val="0"/>
                <w:webHidden/>
              </w:rPr>
              <w:fldChar w:fldCharType="separate"/>
            </w:r>
            <w:r w:rsidR="001F1C9A">
              <w:rPr>
                <w:i w:val="0"/>
                <w:webHidden/>
              </w:rPr>
              <w:t>28</w:t>
            </w:r>
            <w:r w:rsidR="00346233" w:rsidRPr="004A30A8">
              <w:rPr>
                <w:i w:val="0"/>
                <w:webHidden/>
              </w:rPr>
              <w:fldChar w:fldCharType="end"/>
            </w:r>
          </w:hyperlink>
        </w:p>
        <w:p w14:paraId="402F78B7" w14:textId="41436E28" w:rsidR="00346233" w:rsidRPr="004A30A8" w:rsidRDefault="00000000">
          <w:pPr>
            <w:pStyle w:val="TDC3"/>
            <w:rPr>
              <w:rFonts w:asciiTheme="minorHAnsi" w:eastAsiaTheme="minorEastAsia" w:hAnsiTheme="minorHAnsi" w:cstheme="minorBidi"/>
              <w:i w:val="0"/>
              <w:iCs w:val="0"/>
              <w:noProof/>
              <w:sz w:val="22"/>
              <w:szCs w:val="22"/>
            </w:rPr>
          </w:pPr>
          <w:hyperlink w:anchor="_Toc129887114" w:history="1">
            <w:r w:rsidR="00346233" w:rsidRPr="004A30A8">
              <w:rPr>
                <w:rStyle w:val="Hipervnculo"/>
                <w:bCs/>
                <w:i w:val="0"/>
                <w:iCs w:val="0"/>
                <w:noProof/>
                <w:lang w:val="es-ES"/>
              </w:rPr>
              <w:t>B.1 Consideraciones generales sobre el derecho a la igualdad y no discriminación</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_Toc129887114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28</w:t>
            </w:r>
            <w:r w:rsidR="00346233" w:rsidRPr="004A30A8">
              <w:rPr>
                <w:i w:val="0"/>
                <w:iCs w:val="0"/>
                <w:noProof/>
                <w:webHidden/>
              </w:rPr>
              <w:fldChar w:fldCharType="end"/>
            </w:r>
          </w:hyperlink>
        </w:p>
        <w:p w14:paraId="7836EDE7" w14:textId="56FF6F1A" w:rsidR="00346233" w:rsidRPr="004A30A8" w:rsidRDefault="00000000">
          <w:pPr>
            <w:pStyle w:val="TDC3"/>
            <w:rPr>
              <w:rFonts w:asciiTheme="minorHAnsi" w:eastAsiaTheme="minorEastAsia" w:hAnsiTheme="minorHAnsi" w:cstheme="minorBidi"/>
              <w:i w:val="0"/>
              <w:iCs w:val="0"/>
              <w:noProof/>
              <w:sz w:val="22"/>
              <w:szCs w:val="22"/>
            </w:rPr>
          </w:pPr>
          <w:hyperlink w:anchor="_Toc129887115" w:history="1">
            <w:r w:rsidR="00346233" w:rsidRPr="004A30A8">
              <w:rPr>
                <w:rStyle w:val="Hipervnculo"/>
                <w:bCs/>
                <w:i w:val="0"/>
                <w:iCs w:val="0"/>
                <w:noProof/>
                <w:lang w:val="es-ES"/>
              </w:rPr>
              <w:t>B.2 La orientación sexual al amparo de la Convención Americana sobre Derechos Humanos</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_Toc129887115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29</w:t>
            </w:r>
            <w:r w:rsidR="00346233" w:rsidRPr="004A30A8">
              <w:rPr>
                <w:i w:val="0"/>
                <w:iCs w:val="0"/>
                <w:noProof/>
                <w:webHidden/>
              </w:rPr>
              <w:fldChar w:fldCharType="end"/>
            </w:r>
          </w:hyperlink>
        </w:p>
        <w:p w14:paraId="6E51A68F" w14:textId="23C88C82" w:rsidR="00346233" w:rsidRPr="004A30A8" w:rsidRDefault="00000000">
          <w:pPr>
            <w:pStyle w:val="TDC3"/>
            <w:rPr>
              <w:rFonts w:asciiTheme="minorHAnsi" w:eastAsiaTheme="minorEastAsia" w:hAnsiTheme="minorHAnsi" w:cstheme="minorBidi"/>
              <w:i w:val="0"/>
              <w:iCs w:val="0"/>
              <w:noProof/>
              <w:sz w:val="22"/>
              <w:szCs w:val="22"/>
            </w:rPr>
          </w:pPr>
          <w:hyperlink w:anchor="_Toc129887116" w:history="1">
            <w:r w:rsidR="00346233" w:rsidRPr="004A30A8">
              <w:rPr>
                <w:rStyle w:val="Hipervnculo"/>
                <w:bCs/>
                <w:i w:val="0"/>
                <w:iCs w:val="0"/>
                <w:noProof/>
                <w:lang w:val="es-ES"/>
              </w:rPr>
              <w:t>B.3 Derechos humanos y empresas: estándares en materia de igualdad y no discriminación por orientación sexual, identidad de género y expresión de género</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_Toc129887116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32</w:t>
            </w:r>
            <w:r w:rsidR="00346233" w:rsidRPr="004A30A8">
              <w:rPr>
                <w:i w:val="0"/>
                <w:iCs w:val="0"/>
                <w:noProof/>
                <w:webHidden/>
              </w:rPr>
              <w:fldChar w:fldCharType="end"/>
            </w:r>
          </w:hyperlink>
        </w:p>
        <w:p w14:paraId="4D6FAEAA" w14:textId="5C5860B4" w:rsidR="00346233" w:rsidRPr="004A30A8" w:rsidRDefault="00000000">
          <w:pPr>
            <w:pStyle w:val="TDC3"/>
            <w:rPr>
              <w:rFonts w:asciiTheme="minorHAnsi" w:eastAsiaTheme="minorEastAsia" w:hAnsiTheme="minorHAnsi" w:cstheme="minorBidi"/>
              <w:i w:val="0"/>
              <w:iCs w:val="0"/>
              <w:noProof/>
              <w:sz w:val="22"/>
              <w:szCs w:val="22"/>
            </w:rPr>
          </w:pPr>
          <w:hyperlink w:anchor="_Toc129887117" w:history="1">
            <w:r w:rsidR="00346233" w:rsidRPr="004A30A8">
              <w:rPr>
                <w:rStyle w:val="Hipervnculo"/>
                <w:bCs/>
                <w:i w:val="0"/>
                <w:iCs w:val="0"/>
                <w:noProof/>
                <w:lang w:val="es-ES"/>
              </w:rPr>
              <w:t>B.4 Aplicación de los estándares al caso concreto</w:t>
            </w:r>
            <w:r w:rsidR="00346233" w:rsidRPr="004A30A8">
              <w:rPr>
                <w:i w:val="0"/>
                <w:iCs w:val="0"/>
                <w:noProof/>
                <w:webHidden/>
              </w:rPr>
              <w:tab/>
            </w:r>
            <w:r w:rsidR="00346233" w:rsidRPr="004A30A8">
              <w:rPr>
                <w:i w:val="0"/>
                <w:iCs w:val="0"/>
                <w:noProof/>
                <w:webHidden/>
              </w:rPr>
              <w:fldChar w:fldCharType="begin"/>
            </w:r>
            <w:r w:rsidR="00346233" w:rsidRPr="004A30A8">
              <w:rPr>
                <w:i w:val="0"/>
                <w:iCs w:val="0"/>
                <w:noProof/>
                <w:webHidden/>
              </w:rPr>
              <w:instrText xml:space="preserve"> PAGEREF _Toc129887117 \h </w:instrText>
            </w:r>
            <w:r w:rsidR="00346233" w:rsidRPr="004A30A8">
              <w:rPr>
                <w:i w:val="0"/>
                <w:iCs w:val="0"/>
                <w:noProof/>
                <w:webHidden/>
              </w:rPr>
            </w:r>
            <w:r w:rsidR="00346233" w:rsidRPr="004A30A8">
              <w:rPr>
                <w:i w:val="0"/>
                <w:iCs w:val="0"/>
                <w:noProof/>
                <w:webHidden/>
              </w:rPr>
              <w:fldChar w:fldCharType="separate"/>
            </w:r>
            <w:r w:rsidR="001F1C9A">
              <w:rPr>
                <w:i w:val="0"/>
                <w:iCs w:val="0"/>
                <w:noProof/>
                <w:webHidden/>
              </w:rPr>
              <w:t>36</w:t>
            </w:r>
            <w:r w:rsidR="00346233" w:rsidRPr="004A30A8">
              <w:rPr>
                <w:i w:val="0"/>
                <w:iCs w:val="0"/>
                <w:noProof/>
                <w:webHidden/>
              </w:rPr>
              <w:fldChar w:fldCharType="end"/>
            </w:r>
          </w:hyperlink>
        </w:p>
        <w:p w14:paraId="508C8D31" w14:textId="42F486AA"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18" w:history="1">
            <w:r w:rsidR="00346233" w:rsidRPr="004A30A8">
              <w:rPr>
                <w:rStyle w:val="Hipervnculo"/>
                <w:noProof/>
              </w:rPr>
              <w:t>IX REPARACIONES</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_Toc129887118 \h </w:instrText>
            </w:r>
            <w:r w:rsidR="00346233" w:rsidRPr="004A30A8">
              <w:rPr>
                <w:noProof/>
                <w:webHidden/>
              </w:rPr>
            </w:r>
            <w:r w:rsidR="00346233" w:rsidRPr="004A30A8">
              <w:rPr>
                <w:noProof/>
                <w:webHidden/>
              </w:rPr>
              <w:fldChar w:fldCharType="separate"/>
            </w:r>
            <w:r w:rsidR="001F1C9A">
              <w:rPr>
                <w:noProof/>
                <w:webHidden/>
              </w:rPr>
              <w:t>49</w:t>
            </w:r>
            <w:r w:rsidR="00346233" w:rsidRPr="004A30A8">
              <w:rPr>
                <w:noProof/>
                <w:webHidden/>
              </w:rPr>
              <w:fldChar w:fldCharType="end"/>
            </w:r>
          </w:hyperlink>
        </w:p>
        <w:p w14:paraId="3B117E0C" w14:textId="3C24B28E" w:rsidR="00346233" w:rsidRPr="004A30A8" w:rsidRDefault="00000000">
          <w:pPr>
            <w:pStyle w:val="TDC2"/>
            <w:rPr>
              <w:rFonts w:asciiTheme="minorHAnsi" w:eastAsiaTheme="minorEastAsia" w:hAnsiTheme="minorHAnsi" w:cstheme="minorBidi"/>
              <w:bCs w:val="0"/>
              <w:i w:val="0"/>
              <w:sz w:val="22"/>
              <w:szCs w:val="22"/>
              <w:lang w:val="es-CR"/>
            </w:rPr>
          </w:pPr>
          <w:hyperlink w:anchor="_Toc129887119" w:history="1">
            <w:r w:rsidR="00346233" w:rsidRPr="004A30A8">
              <w:rPr>
                <w:rStyle w:val="Hipervnculo"/>
                <w:i w:val="0"/>
              </w:rPr>
              <w:t>A. Parte lesionada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_Toc129887119 \h </w:instrText>
            </w:r>
            <w:r w:rsidR="00346233" w:rsidRPr="004A30A8">
              <w:rPr>
                <w:i w:val="0"/>
                <w:webHidden/>
              </w:rPr>
            </w:r>
            <w:r w:rsidR="00346233" w:rsidRPr="004A30A8">
              <w:rPr>
                <w:i w:val="0"/>
                <w:webHidden/>
              </w:rPr>
              <w:fldChar w:fldCharType="separate"/>
            </w:r>
            <w:r w:rsidR="001F1C9A">
              <w:rPr>
                <w:i w:val="0"/>
                <w:webHidden/>
              </w:rPr>
              <w:t>50</w:t>
            </w:r>
            <w:r w:rsidR="00346233" w:rsidRPr="004A30A8">
              <w:rPr>
                <w:i w:val="0"/>
                <w:webHidden/>
              </w:rPr>
              <w:fldChar w:fldCharType="end"/>
            </w:r>
          </w:hyperlink>
        </w:p>
        <w:p w14:paraId="291D65C2" w14:textId="253E4ACC" w:rsidR="00346233" w:rsidRPr="004A30A8" w:rsidRDefault="00000000">
          <w:pPr>
            <w:pStyle w:val="TDC2"/>
            <w:rPr>
              <w:rFonts w:asciiTheme="minorHAnsi" w:eastAsiaTheme="minorEastAsia" w:hAnsiTheme="minorHAnsi" w:cstheme="minorBidi"/>
              <w:bCs w:val="0"/>
              <w:i w:val="0"/>
              <w:sz w:val="22"/>
              <w:szCs w:val="22"/>
              <w:lang w:val="es-CR"/>
            </w:rPr>
          </w:pPr>
          <w:hyperlink w:anchor="_Toc129887120" w:history="1">
            <w:r w:rsidR="00346233" w:rsidRPr="004A30A8">
              <w:rPr>
                <w:rStyle w:val="Hipervnculo"/>
                <w:i w:val="0"/>
              </w:rPr>
              <w:t>B. Medidas de rehabilitación</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_Toc129887120 \h </w:instrText>
            </w:r>
            <w:r w:rsidR="00346233" w:rsidRPr="004A30A8">
              <w:rPr>
                <w:i w:val="0"/>
                <w:webHidden/>
              </w:rPr>
            </w:r>
            <w:r w:rsidR="00346233" w:rsidRPr="004A30A8">
              <w:rPr>
                <w:i w:val="0"/>
                <w:webHidden/>
              </w:rPr>
              <w:fldChar w:fldCharType="separate"/>
            </w:r>
            <w:r w:rsidR="001F1C9A">
              <w:rPr>
                <w:i w:val="0"/>
                <w:webHidden/>
              </w:rPr>
              <w:t>50</w:t>
            </w:r>
            <w:r w:rsidR="00346233" w:rsidRPr="004A30A8">
              <w:rPr>
                <w:i w:val="0"/>
                <w:webHidden/>
              </w:rPr>
              <w:fldChar w:fldCharType="end"/>
            </w:r>
          </w:hyperlink>
        </w:p>
        <w:p w14:paraId="67D57D52" w14:textId="5AF065A2" w:rsidR="00346233" w:rsidRPr="004A30A8" w:rsidRDefault="00000000">
          <w:pPr>
            <w:pStyle w:val="TDC2"/>
            <w:rPr>
              <w:rFonts w:asciiTheme="minorHAnsi" w:eastAsiaTheme="minorEastAsia" w:hAnsiTheme="minorHAnsi" w:cstheme="minorBidi"/>
              <w:bCs w:val="0"/>
              <w:i w:val="0"/>
              <w:sz w:val="22"/>
              <w:szCs w:val="22"/>
              <w:lang w:val="es-CR"/>
            </w:rPr>
          </w:pPr>
          <w:hyperlink w:anchor="_Toc129887121" w:history="1">
            <w:r w:rsidR="00346233" w:rsidRPr="004A30A8">
              <w:rPr>
                <w:rStyle w:val="Hipervnculo"/>
                <w:i w:val="0"/>
              </w:rPr>
              <w:t>C. Medidas de satisfacción</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_Toc129887121 \h </w:instrText>
            </w:r>
            <w:r w:rsidR="00346233" w:rsidRPr="004A30A8">
              <w:rPr>
                <w:i w:val="0"/>
                <w:webHidden/>
              </w:rPr>
            </w:r>
            <w:r w:rsidR="00346233" w:rsidRPr="004A30A8">
              <w:rPr>
                <w:i w:val="0"/>
                <w:webHidden/>
              </w:rPr>
              <w:fldChar w:fldCharType="separate"/>
            </w:r>
            <w:r w:rsidR="001F1C9A">
              <w:rPr>
                <w:i w:val="0"/>
                <w:webHidden/>
              </w:rPr>
              <w:t>51</w:t>
            </w:r>
            <w:r w:rsidR="00346233" w:rsidRPr="004A30A8">
              <w:rPr>
                <w:i w:val="0"/>
                <w:webHidden/>
              </w:rPr>
              <w:fldChar w:fldCharType="end"/>
            </w:r>
          </w:hyperlink>
        </w:p>
        <w:p w14:paraId="04359553" w14:textId="35D12F31" w:rsidR="00346233" w:rsidRPr="004A30A8" w:rsidRDefault="00000000">
          <w:pPr>
            <w:pStyle w:val="TDC2"/>
            <w:rPr>
              <w:rFonts w:asciiTheme="minorHAnsi" w:eastAsiaTheme="minorEastAsia" w:hAnsiTheme="minorHAnsi" w:cstheme="minorBidi"/>
              <w:bCs w:val="0"/>
              <w:i w:val="0"/>
              <w:sz w:val="22"/>
              <w:szCs w:val="22"/>
              <w:lang w:val="es-CR"/>
            </w:rPr>
          </w:pPr>
          <w:hyperlink w:anchor="_Toc129887122" w:history="1">
            <w:r w:rsidR="00346233" w:rsidRPr="004A30A8">
              <w:rPr>
                <w:rStyle w:val="Hipervnculo"/>
                <w:i w:val="0"/>
              </w:rPr>
              <w:t>D. Garantías de no repetición</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_Toc129887122 \h </w:instrText>
            </w:r>
            <w:r w:rsidR="00346233" w:rsidRPr="004A30A8">
              <w:rPr>
                <w:i w:val="0"/>
                <w:webHidden/>
              </w:rPr>
            </w:r>
            <w:r w:rsidR="00346233" w:rsidRPr="004A30A8">
              <w:rPr>
                <w:i w:val="0"/>
                <w:webHidden/>
              </w:rPr>
              <w:fldChar w:fldCharType="separate"/>
            </w:r>
            <w:r w:rsidR="001F1C9A">
              <w:rPr>
                <w:i w:val="0"/>
                <w:webHidden/>
              </w:rPr>
              <w:t>52</w:t>
            </w:r>
            <w:r w:rsidR="00346233" w:rsidRPr="004A30A8">
              <w:rPr>
                <w:i w:val="0"/>
                <w:webHidden/>
              </w:rPr>
              <w:fldChar w:fldCharType="end"/>
            </w:r>
          </w:hyperlink>
        </w:p>
        <w:p w14:paraId="16AE3F29" w14:textId="2FACDC0A" w:rsidR="00346233" w:rsidRPr="004A30A8" w:rsidRDefault="00000000">
          <w:pPr>
            <w:pStyle w:val="TDC2"/>
            <w:rPr>
              <w:rFonts w:asciiTheme="minorHAnsi" w:eastAsiaTheme="minorEastAsia" w:hAnsiTheme="minorHAnsi" w:cstheme="minorBidi"/>
              <w:bCs w:val="0"/>
              <w:i w:val="0"/>
              <w:sz w:val="22"/>
              <w:szCs w:val="22"/>
              <w:lang w:val="es-CR"/>
            </w:rPr>
          </w:pPr>
          <w:hyperlink w:anchor="_Toc129887123" w:history="1">
            <w:r w:rsidR="00346233" w:rsidRPr="004A30A8">
              <w:rPr>
                <w:rStyle w:val="Hipervnculo"/>
                <w:i w:val="0"/>
              </w:rPr>
              <w:t>E. Indemnizaciones compensatorias</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_Toc129887123 \h </w:instrText>
            </w:r>
            <w:r w:rsidR="00346233" w:rsidRPr="004A30A8">
              <w:rPr>
                <w:i w:val="0"/>
                <w:webHidden/>
              </w:rPr>
            </w:r>
            <w:r w:rsidR="00346233" w:rsidRPr="004A30A8">
              <w:rPr>
                <w:i w:val="0"/>
                <w:webHidden/>
              </w:rPr>
              <w:fldChar w:fldCharType="separate"/>
            </w:r>
            <w:r w:rsidR="001F1C9A">
              <w:rPr>
                <w:i w:val="0"/>
                <w:webHidden/>
              </w:rPr>
              <w:t>59</w:t>
            </w:r>
            <w:r w:rsidR="00346233" w:rsidRPr="004A30A8">
              <w:rPr>
                <w:i w:val="0"/>
                <w:webHidden/>
              </w:rPr>
              <w:fldChar w:fldCharType="end"/>
            </w:r>
          </w:hyperlink>
        </w:p>
        <w:p w14:paraId="35B9CF9A" w14:textId="41066C42" w:rsidR="00346233" w:rsidRPr="004A30A8" w:rsidRDefault="00000000">
          <w:pPr>
            <w:pStyle w:val="TDC2"/>
            <w:rPr>
              <w:rFonts w:asciiTheme="minorHAnsi" w:eastAsiaTheme="minorEastAsia" w:hAnsiTheme="minorHAnsi" w:cstheme="minorBidi"/>
              <w:bCs w:val="0"/>
              <w:i w:val="0"/>
              <w:sz w:val="22"/>
              <w:szCs w:val="22"/>
              <w:lang w:val="es-CR"/>
            </w:rPr>
          </w:pPr>
          <w:hyperlink w:anchor="_Toc129887124" w:history="1">
            <w:r w:rsidR="00346233" w:rsidRPr="004A30A8">
              <w:rPr>
                <w:rStyle w:val="Hipervnculo"/>
                <w:i w:val="0"/>
              </w:rPr>
              <w:t>F. Costas y gastos</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_Toc129887124 \h </w:instrText>
            </w:r>
            <w:r w:rsidR="00346233" w:rsidRPr="004A30A8">
              <w:rPr>
                <w:i w:val="0"/>
                <w:webHidden/>
              </w:rPr>
            </w:r>
            <w:r w:rsidR="00346233" w:rsidRPr="004A30A8">
              <w:rPr>
                <w:i w:val="0"/>
                <w:webHidden/>
              </w:rPr>
              <w:fldChar w:fldCharType="separate"/>
            </w:r>
            <w:r w:rsidR="001F1C9A">
              <w:rPr>
                <w:i w:val="0"/>
                <w:webHidden/>
              </w:rPr>
              <w:t>60</w:t>
            </w:r>
            <w:r w:rsidR="00346233" w:rsidRPr="004A30A8">
              <w:rPr>
                <w:i w:val="0"/>
                <w:webHidden/>
              </w:rPr>
              <w:fldChar w:fldCharType="end"/>
            </w:r>
          </w:hyperlink>
        </w:p>
        <w:p w14:paraId="345E1A44" w14:textId="3423A300" w:rsidR="00346233" w:rsidRPr="004A30A8" w:rsidRDefault="00000000">
          <w:pPr>
            <w:pStyle w:val="TDC2"/>
            <w:rPr>
              <w:rFonts w:asciiTheme="minorHAnsi" w:eastAsiaTheme="minorEastAsia" w:hAnsiTheme="minorHAnsi" w:cstheme="minorBidi"/>
              <w:bCs w:val="0"/>
              <w:i w:val="0"/>
              <w:sz w:val="22"/>
              <w:szCs w:val="22"/>
              <w:lang w:val="es-CR"/>
            </w:rPr>
          </w:pPr>
          <w:hyperlink w:anchor="_Toc129887125" w:history="1">
            <w:r w:rsidR="00346233" w:rsidRPr="004A30A8">
              <w:rPr>
                <w:rStyle w:val="Hipervnculo"/>
                <w:i w:val="0"/>
                <w:lang w:val="es-ES"/>
              </w:rPr>
              <w:t>G.</w:t>
            </w:r>
            <w:r w:rsidR="00346233" w:rsidRPr="004A30A8">
              <w:rPr>
                <w:rStyle w:val="Hipervnculo"/>
                <w:i w:val="0"/>
              </w:rPr>
              <w:t xml:space="preserve"> Reintegro</w:t>
            </w:r>
            <w:r w:rsidR="00346233" w:rsidRPr="004A30A8">
              <w:rPr>
                <w:rStyle w:val="Hipervnculo"/>
                <w:i w:val="0"/>
                <w:lang w:val="es-ES"/>
              </w:rPr>
              <w:t xml:space="preserve"> de los gastos al Fondo de Asistencia Legal de Víctimas de la Corte </w:t>
            </w:r>
            <w:r w:rsidR="00346233" w:rsidRPr="004A30A8">
              <w:rPr>
                <w:rStyle w:val="Hipervnculo"/>
                <w:i w:val="0"/>
              </w:rPr>
              <w:t>Interamericana</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_Toc129887125 \h </w:instrText>
            </w:r>
            <w:r w:rsidR="00346233" w:rsidRPr="004A30A8">
              <w:rPr>
                <w:i w:val="0"/>
                <w:webHidden/>
              </w:rPr>
            </w:r>
            <w:r w:rsidR="00346233" w:rsidRPr="004A30A8">
              <w:rPr>
                <w:i w:val="0"/>
                <w:webHidden/>
              </w:rPr>
              <w:fldChar w:fldCharType="separate"/>
            </w:r>
            <w:r w:rsidR="001F1C9A">
              <w:rPr>
                <w:i w:val="0"/>
                <w:webHidden/>
              </w:rPr>
              <w:t>61</w:t>
            </w:r>
            <w:r w:rsidR="00346233" w:rsidRPr="004A30A8">
              <w:rPr>
                <w:i w:val="0"/>
                <w:webHidden/>
              </w:rPr>
              <w:fldChar w:fldCharType="end"/>
            </w:r>
          </w:hyperlink>
        </w:p>
        <w:p w14:paraId="19227BF2" w14:textId="33A7B68C" w:rsidR="00346233" w:rsidRPr="004A30A8" w:rsidRDefault="00000000">
          <w:pPr>
            <w:pStyle w:val="TDC2"/>
            <w:rPr>
              <w:rFonts w:asciiTheme="minorHAnsi" w:eastAsiaTheme="minorEastAsia" w:hAnsiTheme="minorHAnsi" w:cstheme="minorBidi"/>
              <w:bCs w:val="0"/>
              <w:i w:val="0"/>
              <w:sz w:val="22"/>
              <w:szCs w:val="22"/>
              <w:lang w:val="es-CR"/>
            </w:rPr>
          </w:pPr>
          <w:hyperlink w:anchor="_Toc129887126" w:history="1">
            <w:r w:rsidR="00346233" w:rsidRPr="004A30A8">
              <w:rPr>
                <w:rStyle w:val="Hipervnculo"/>
                <w:i w:val="0"/>
              </w:rPr>
              <w:t>H. Modalidad de cumplimiento de los pagos ordenados</w:t>
            </w:r>
            <w:r w:rsidR="00346233" w:rsidRPr="004A30A8">
              <w:rPr>
                <w:i w:val="0"/>
                <w:webHidden/>
              </w:rPr>
              <w:tab/>
            </w:r>
            <w:r w:rsidR="00346233" w:rsidRPr="004A30A8">
              <w:rPr>
                <w:i w:val="0"/>
                <w:webHidden/>
              </w:rPr>
              <w:fldChar w:fldCharType="begin"/>
            </w:r>
            <w:r w:rsidR="00346233" w:rsidRPr="004A30A8">
              <w:rPr>
                <w:i w:val="0"/>
                <w:webHidden/>
              </w:rPr>
              <w:instrText xml:space="preserve"> PAGEREF _Toc129887126 \h </w:instrText>
            </w:r>
            <w:r w:rsidR="00346233" w:rsidRPr="004A30A8">
              <w:rPr>
                <w:i w:val="0"/>
                <w:webHidden/>
              </w:rPr>
            </w:r>
            <w:r w:rsidR="00346233" w:rsidRPr="004A30A8">
              <w:rPr>
                <w:i w:val="0"/>
                <w:webHidden/>
              </w:rPr>
              <w:fldChar w:fldCharType="separate"/>
            </w:r>
            <w:r w:rsidR="001F1C9A">
              <w:rPr>
                <w:i w:val="0"/>
                <w:webHidden/>
              </w:rPr>
              <w:t>62</w:t>
            </w:r>
            <w:r w:rsidR="00346233" w:rsidRPr="004A30A8">
              <w:rPr>
                <w:i w:val="0"/>
                <w:webHidden/>
              </w:rPr>
              <w:fldChar w:fldCharType="end"/>
            </w:r>
          </w:hyperlink>
        </w:p>
        <w:p w14:paraId="5AF9B334" w14:textId="21F35CDF" w:rsidR="00346233" w:rsidRPr="004A30A8" w:rsidRDefault="00000000">
          <w:pPr>
            <w:pStyle w:val="TDC1"/>
            <w:rPr>
              <w:rFonts w:asciiTheme="minorHAnsi" w:eastAsiaTheme="minorEastAsia" w:hAnsiTheme="minorHAnsi" w:cstheme="minorBidi"/>
              <w:b w:val="0"/>
              <w:bCs w:val="0"/>
              <w:caps w:val="0"/>
              <w:noProof/>
              <w:sz w:val="22"/>
              <w:szCs w:val="22"/>
            </w:rPr>
          </w:pPr>
          <w:hyperlink w:anchor="_Toc129887127" w:history="1">
            <w:r w:rsidR="00346233" w:rsidRPr="004A30A8">
              <w:rPr>
                <w:rStyle w:val="Hipervnculo"/>
                <w:noProof/>
              </w:rPr>
              <w:t>X PUNTOS RESOLUTIVOS</w:t>
            </w:r>
            <w:r w:rsidR="00346233" w:rsidRPr="004A30A8">
              <w:rPr>
                <w:noProof/>
                <w:webHidden/>
              </w:rPr>
              <w:tab/>
            </w:r>
            <w:r w:rsidR="00346233" w:rsidRPr="004A30A8">
              <w:rPr>
                <w:noProof/>
                <w:webHidden/>
              </w:rPr>
              <w:fldChar w:fldCharType="begin"/>
            </w:r>
            <w:r w:rsidR="00346233" w:rsidRPr="004A30A8">
              <w:rPr>
                <w:noProof/>
                <w:webHidden/>
              </w:rPr>
              <w:instrText xml:space="preserve"> PAGEREF _Toc129887127 \h </w:instrText>
            </w:r>
            <w:r w:rsidR="00346233" w:rsidRPr="004A30A8">
              <w:rPr>
                <w:noProof/>
                <w:webHidden/>
              </w:rPr>
            </w:r>
            <w:r w:rsidR="00346233" w:rsidRPr="004A30A8">
              <w:rPr>
                <w:noProof/>
                <w:webHidden/>
              </w:rPr>
              <w:fldChar w:fldCharType="separate"/>
            </w:r>
            <w:r w:rsidR="001F1C9A">
              <w:rPr>
                <w:noProof/>
                <w:webHidden/>
              </w:rPr>
              <w:t>63</w:t>
            </w:r>
            <w:r w:rsidR="00346233" w:rsidRPr="004A30A8">
              <w:rPr>
                <w:noProof/>
                <w:webHidden/>
              </w:rPr>
              <w:fldChar w:fldCharType="end"/>
            </w:r>
          </w:hyperlink>
        </w:p>
        <w:p w14:paraId="18E8084A" w14:textId="385CA5E3" w:rsidR="0067534D" w:rsidRPr="004A30A8" w:rsidRDefault="0067534D" w:rsidP="00FC3A2E">
          <w:pPr>
            <w:spacing w:before="20" w:after="20" w:line="240" w:lineRule="auto"/>
          </w:pPr>
          <w:r w:rsidRPr="004A30A8">
            <w:rPr>
              <w:b/>
              <w:bCs/>
              <w:lang w:val="es-ES"/>
            </w:rPr>
            <w:fldChar w:fldCharType="end"/>
          </w:r>
        </w:p>
      </w:sdtContent>
    </w:sdt>
    <w:p w14:paraId="77AB7458" w14:textId="77777777" w:rsidR="00E0705E" w:rsidRPr="004A30A8" w:rsidRDefault="00E0705E" w:rsidP="00E0705E">
      <w:pPr>
        <w:widowControl/>
        <w:adjustRightInd/>
        <w:spacing w:after="160" w:line="256" w:lineRule="auto"/>
        <w:jc w:val="left"/>
        <w:rPr>
          <w:rFonts w:cs="Verdana"/>
          <w:b/>
          <w:bCs/>
          <w:caps/>
          <w:snapToGrid w:val="0"/>
          <w:lang w:val="es-ES"/>
        </w:rPr>
      </w:pPr>
      <w:r w:rsidRPr="004A30A8">
        <w:rPr>
          <w:lang w:val="es-ES"/>
        </w:rPr>
        <w:br w:type="page"/>
      </w:r>
    </w:p>
    <w:p w14:paraId="079B4CE8" w14:textId="7CE6805E" w:rsidR="00E0705E" w:rsidRPr="004A30A8" w:rsidRDefault="00E0705E" w:rsidP="00D03F10">
      <w:pPr>
        <w:pStyle w:val="Ttulo1"/>
        <w:spacing w:before="360" w:after="360"/>
      </w:pPr>
      <w:bookmarkStart w:id="4" w:name="_Toc129887083"/>
      <w:r w:rsidRPr="004A30A8">
        <w:lastRenderedPageBreak/>
        <w:t>I</w:t>
      </w:r>
      <w:r w:rsidRPr="004A30A8">
        <w:br/>
        <w:t>INTRODUCCIÓN DE LA CAUSA Y OBJETO DE LA CONTROVERSIA</w:t>
      </w:r>
      <w:bookmarkEnd w:id="4"/>
    </w:p>
    <w:p w14:paraId="07C5F1E5" w14:textId="35BE851C" w:rsidR="00CD69FC" w:rsidRPr="004A30A8" w:rsidRDefault="00CD69FC">
      <w:pPr>
        <w:numPr>
          <w:ilvl w:val="0"/>
          <w:numId w:val="7"/>
        </w:numPr>
        <w:tabs>
          <w:tab w:val="left" w:pos="567"/>
          <w:tab w:val="num" w:pos="1569"/>
          <w:tab w:val="num" w:pos="12305"/>
        </w:tabs>
        <w:spacing w:line="240" w:lineRule="auto"/>
        <w:ind w:left="0" w:firstLine="0"/>
      </w:pPr>
      <w:r w:rsidRPr="004A30A8">
        <w:rPr>
          <w:i/>
          <w:lang w:val="es-ES"/>
        </w:rPr>
        <w:t xml:space="preserve"> </w:t>
      </w:r>
      <w:r w:rsidR="00E0705E" w:rsidRPr="004A30A8">
        <w:rPr>
          <w:i/>
          <w:lang w:val="es-ES"/>
        </w:rPr>
        <w:t xml:space="preserve">El caso sometido a la Corte. </w:t>
      </w:r>
      <w:r w:rsidR="00E0705E" w:rsidRPr="004A30A8">
        <w:rPr>
          <w:lang w:val="es-ES"/>
        </w:rPr>
        <w:t xml:space="preserve">– </w:t>
      </w:r>
      <w:r w:rsidR="00703AE7" w:rsidRPr="004A30A8">
        <w:t>El 4 de junio de 2021 la Comisión Interamericana de Derechos Humanos</w:t>
      </w:r>
      <w:r w:rsidR="00703AE7" w:rsidRPr="004A30A8">
        <w:rPr>
          <w:b/>
          <w:bCs/>
          <w:i/>
          <w:iCs/>
        </w:rPr>
        <w:t xml:space="preserve"> </w:t>
      </w:r>
      <w:r w:rsidR="00703AE7" w:rsidRPr="004A30A8">
        <w:t>(en adelante “la Comisión Interamericana</w:t>
      </w:r>
      <w:r w:rsidR="00F045E1" w:rsidRPr="004A30A8">
        <w:t xml:space="preserve"> o</w:t>
      </w:r>
      <w:r w:rsidR="00703AE7" w:rsidRPr="004A30A8">
        <w:t xml:space="preserve"> “la Comisión”) sometió a la jurisdicción de la Corte el caso “</w:t>
      </w:r>
      <w:r w:rsidR="00703AE7" w:rsidRPr="004A30A8">
        <w:rPr>
          <w:i/>
          <w:iCs/>
        </w:rPr>
        <w:t>Cri</w:t>
      </w:r>
      <w:r w:rsidR="003656CC" w:rsidRPr="004A30A8">
        <w:rPr>
          <w:i/>
          <w:iCs/>
        </w:rPr>
        <w:t>s</w:t>
      </w:r>
      <w:r w:rsidR="00703AE7" w:rsidRPr="004A30A8">
        <w:rPr>
          <w:i/>
          <w:iCs/>
        </w:rPr>
        <w:t>sthian Manuel Olivera Fuentes Vs. Perú</w:t>
      </w:r>
      <w:r w:rsidR="00703AE7" w:rsidRPr="004A30A8">
        <w:t xml:space="preserve">” (en adelante “el Estado” o “Perú”). De acuerdo con lo indicado por la Comisión, el caso se relaciona con </w:t>
      </w:r>
      <w:r w:rsidR="001C03A2" w:rsidRPr="004A30A8">
        <w:t xml:space="preserve">la </w:t>
      </w:r>
      <w:r w:rsidR="006A2057" w:rsidRPr="004A30A8">
        <w:t xml:space="preserve">alegada </w:t>
      </w:r>
      <w:r w:rsidR="001C03A2" w:rsidRPr="004A30A8">
        <w:t xml:space="preserve">responsabilidad internacional del Estado por la violación de los derechos de Crissthian Manuel Olivera Fuentes a la igualdad y no discriminación, vida privada, garantías judiciales y protección judicial, como consecuencia de </w:t>
      </w:r>
      <w:r w:rsidR="00CD1F7F" w:rsidRPr="004A30A8">
        <w:t xml:space="preserve">alegados </w:t>
      </w:r>
      <w:r w:rsidR="001C03A2" w:rsidRPr="004A30A8">
        <w:t xml:space="preserve">actos de discriminación basados en la expresión de su orientación </w:t>
      </w:r>
      <w:r w:rsidR="00ED7CFA" w:rsidRPr="004A30A8">
        <w:t>sexual</w:t>
      </w:r>
      <w:r w:rsidR="00ED7CFA" w:rsidRPr="004A30A8">
        <w:rPr>
          <w:rStyle w:val="Refdecomentario"/>
        </w:rPr>
        <w:t>.</w:t>
      </w:r>
      <w:bookmarkStart w:id="5" w:name="_Ref15466599"/>
    </w:p>
    <w:p w14:paraId="574189D9" w14:textId="00BA7EBE" w:rsidR="00CD69FC" w:rsidRPr="004A30A8" w:rsidRDefault="00CD69FC" w:rsidP="00CD69FC">
      <w:pPr>
        <w:tabs>
          <w:tab w:val="left" w:pos="567"/>
        </w:tabs>
        <w:spacing w:line="240" w:lineRule="auto"/>
      </w:pPr>
    </w:p>
    <w:p w14:paraId="446B7ED4" w14:textId="77777777" w:rsidR="00CD69FC" w:rsidRPr="004A30A8" w:rsidRDefault="00CD69FC">
      <w:pPr>
        <w:numPr>
          <w:ilvl w:val="0"/>
          <w:numId w:val="7"/>
        </w:numPr>
        <w:tabs>
          <w:tab w:val="left" w:pos="567"/>
          <w:tab w:val="num" w:pos="1569"/>
          <w:tab w:val="num" w:pos="12305"/>
        </w:tabs>
        <w:spacing w:line="240" w:lineRule="auto"/>
        <w:ind w:left="0" w:firstLine="0"/>
        <w:rPr>
          <w:lang w:val="es-ES"/>
        </w:rPr>
      </w:pPr>
      <w:r w:rsidRPr="004A30A8">
        <w:rPr>
          <w:i/>
          <w:lang w:val="es-ES"/>
        </w:rPr>
        <w:t>Trámite ante la Comisión.</w:t>
      </w:r>
      <w:r w:rsidRPr="004A30A8">
        <w:rPr>
          <w:lang w:val="es-ES"/>
        </w:rPr>
        <w:t xml:space="preserve"> – El </w:t>
      </w:r>
      <w:r w:rsidRPr="004A30A8">
        <w:rPr>
          <w:iCs/>
          <w:lang w:val="es-ES"/>
        </w:rPr>
        <w:t>trámite</w:t>
      </w:r>
      <w:r w:rsidRPr="004A30A8">
        <w:rPr>
          <w:lang w:val="es-ES"/>
        </w:rPr>
        <w:t xml:space="preserve"> ante la Comisión fue el siguiente:</w:t>
      </w:r>
    </w:p>
    <w:p w14:paraId="38E50131" w14:textId="77777777" w:rsidR="00CD69FC" w:rsidRPr="004A30A8" w:rsidRDefault="00CD69FC" w:rsidP="00CD69FC">
      <w:pPr>
        <w:tabs>
          <w:tab w:val="left" w:pos="567"/>
        </w:tabs>
        <w:spacing w:line="240" w:lineRule="auto"/>
        <w:rPr>
          <w:lang w:val="es-ES"/>
        </w:rPr>
      </w:pPr>
    </w:p>
    <w:bookmarkEnd w:id="5"/>
    <w:p w14:paraId="56F05A55" w14:textId="1E605E65" w:rsidR="00E0705E" w:rsidRPr="004A30A8" w:rsidRDefault="00E0705E">
      <w:pPr>
        <w:pStyle w:val="Prrafodelista"/>
        <w:widowControl/>
        <w:numPr>
          <w:ilvl w:val="0"/>
          <w:numId w:val="6"/>
        </w:numPr>
        <w:adjustRightInd/>
        <w:spacing w:line="240" w:lineRule="auto"/>
        <w:contextualSpacing w:val="0"/>
        <w:rPr>
          <w:lang w:val="es-ES"/>
        </w:rPr>
      </w:pPr>
      <w:r w:rsidRPr="004A30A8">
        <w:rPr>
          <w:i/>
          <w:lang w:val="es-ES"/>
        </w:rPr>
        <w:t xml:space="preserve">Petición. </w:t>
      </w:r>
      <w:r w:rsidRPr="004A30A8">
        <w:rPr>
          <w:lang w:val="es-ES"/>
        </w:rPr>
        <w:t xml:space="preserve">– </w:t>
      </w:r>
      <w:r w:rsidR="00937FD8" w:rsidRPr="004A30A8">
        <w:rPr>
          <w:lang w:val="es-ES"/>
        </w:rPr>
        <w:t xml:space="preserve">El 29 de noviembre de 2011 </w:t>
      </w:r>
      <w:r w:rsidR="00AF0AD3" w:rsidRPr="004A30A8">
        <w:rPr>
          <w:lang w:val="es-ES"/>
        </w:rPr>
        <w:t xml:space="preserve">la </w:t>
      </w:r>
      <w:r w:rsidR="003D68E1" w:rsidRPr="004A30A8">
        <w:rPr>
          <w:lang w:val="es-ES"/>
        </w:rPr>
        <w:t>organización Estudio para la Defensa de los Derechos de la Mujer (DEMUS)</w:t>
      </w:r>
      <w:r w:rsidRPr="004A30A8">
        <w:rPr>
          <w:lang w:val="es-ES"/>
        </w:rPr>
        <w:t xml:space="preserve"> presentó la petición inicial ante la Comisión.</w:t>
      </w:r>
      <w:r w:rsidRPr="004A30A8">
        <w:rPr>
          <w:b/>
          <w:lang w:val="es-ES"/>
        </w:rPr>
        <w:t xml:space="preserve"> </w:t>
      </w:r>
    </w:p>
    <w:p w14:paraId="48C4A15E" w14:textId="77777777" w:rsidR="00E0705E" w:rsidRPr="004A30A8" w:rsidRDefault="00E0705E" w:rsidP="00E0705E">
      <w:pPr>
        <w:widowControl/>
        <w:tabs>
          <w:tab w:val="left" w:pos="567"/>
        </w:tabs>
        <w:adjustRightInd/>
        <w:spacing w:line="240" w:lineRule="auto"/>
        <w:rPr>
          <w:lang w:val="es-ES"/>
        </w:rPr>
      </w:pPr>
    </w:p>
    <w:p w14:paraId="3A6F5FF3" w14:textId="72120AC7" w:rsidR="00E0705E" w:rsidRPr="004A30A8" w:rsidRDefault="00E0705E">
      <w:pPr>
        <w:pStyle w:val="Prrafodelista"/>
        <w:widowControl/>
        <w:numPr>
          <w:ilvl w:val="0"/>
          <w:numId w:val="6"/>
        </w:numPr>
        <w:adjustRightInd/>
        <w:spacing w:line="240" w:lineRule="auto"/>
        <w:contextualSpacing w:val="0"/>
        <w:rPr>
          <w:lang w:val="es-ES"/>
        </w:rPr>
      </w:pPr>
      <w:r w:rsidRPr="004A30A8">
        <w:rPr>
          <w:i/>
          <w:lang w:val="es-ES"/>
        </w:rPr>
        <w:t>Informe de admisibilidad.</w:t>
      </w:r>
      <w:r w:rsidRPr="004A30A8">
        <w:rPr>
          <w:lang w:val="es-ES"/>
        </w:rPr>
        <w:t xml:space="preserve"> – El </w:t>
      </w:r>
      <w:r w:rsidR="00EC0649" w:rsidRPr="004A30A8">
        <w:rPr>
          <w:lang w:val="es-ES"/>
        </w:rPr>
        <w:t>28</w:t>
      </w:r>
      <w:r w:rsidRPr="004A30A8">
        <w:rPr>
          <w:lang w:val="es-ES"/>
        </w:rPr>
        <w:t xml:space="preserve"> de </w:t>
      </w:r>
      <w:r w:rsidR="00EC0649" w:rsidRPr="004A30A8">
        <w:rPr>
          <w:lang w:val="es-ES"/>
        </w:rPr>
        <w:t>diciembre</w:t>
      </w:r>
      <w:r w:rsidRPr="004A30A8">
        <w:rPr>
          <w:lang w:val="es-ES"/>
        </w:rPr>
        <w:t xml:space="preserve"> de 20</w:t>
      </w:r>
      <w:r w:rsidR="00EC0649" w:rsidRPr="004A30A8">
        <w:rPr>
          <w:lang w:val="es-ES"/>
        </w:rPr>
        <w:t>17</w:t>
      </w:r>
      <w:r w:rsidRPr="004A30A8">
        <w:rPr>
          <w:lang w:val="es-ES"/>
        </w:rPr>
        <w:t xml:space="preserve"> la Comisión aprobó el Informe de Admisibilidad No. 17</w:t>
      </w:r>
      <w:r w:rsidR="00336F78" w:rsidRPr="004A30A8">
        <w:rPr>
          <w:lang w:val="es-ES"/>
        </w:rPr>
        <w:t>2</w:t>
      </w:r>
      <w:r w:rsidRPr="004A30A8">
        <w:rPr>
          <w:lang w:val="es-ES"/>
        </w:rPr>
        <w:t>/</w:t>
      </w:r>
      <w:r w:rsidR="00336F78" w:rsidRPr="004A30A8">
        <w:rPr>
          <w:lang w:val="es-ES"/>
        </w:rPr>
        <w:t>17</w:t>
      </w:r>
      <w:r w:rsidRPr="004A30A8">
        <w:rPr>
          <w:lang w:val="es-ES"/>
        </w:rPr>
        <w:t>, en el que concluyó que la petición era admisible</w:t>
      </w:r>
      <w:r w:rsidRPr="004A30A8">
        <w:rPr>
          <w:rStyle w:val="Refdenotaalpie"/>
          <w:rFonts w:eastAsia="Batang"/>
          <w:lang w:val="es-ES"/>
        </w:rPr>
        <w:footnoteReference w:id="1"/>
      </w:r>
      <w:r w:rsidRPr="004A30A8">
        <w:rPr>
          <w:lang w:val="es-ES"/>
        </w:rPr>
        <w:t xml:space="preserve">. </w:t>
      </w:r>
    </w:p>
    <w:p w14:paraId="5DC0CE15" w14:textId="77777777" w:rsidR="00E0705E" w:rsidRPr="004A30A8" w:rsidRDefault="00E0705E" w:rsidP="00E0705E">
      <w:pPr>
        <w:spacing w:line="240" w:lineRule="auto"/>
        <w:rPr>
          <w:lang w:val="es-ES"/>
        </w:rPr>
      </w:pPr>
    </w:p>
    <w:p w14:paraId="48AEEF8B" w14:textId="4BC3314A" w:rsidR="00E0705E" w:rsidRPr="004A30A8" w:rsidRDefault="00E0705E">
      <w:pPr>
        <w:pStyle w:val="Prrafodelista"/>
        <w:widowControl/>
        <w:numPr>
          <w:ilvl w:val="0"/>
          <w:numId w:val="6"/>
        </w:numPr>
        <w:adjustRightInd/>
        <w:spacing w:line="240" w:lineRule="auto"/>
        <w:contextualSpacing w:val="0"/>
        <w:rPr>
          <w:lang w:val="es-ES"/>
        </w:rPr>
      </w:pPr>
      <w:r w:rsidRPr="004A30A8">
        <w:rPr>
          <w:i/>
          <w:lang w:val="es-ES"/>
        </w:rPr>
        <w:t>Informe de Fondo.</w:t>
      </w:r>
      <w:r w:rsidRPr="004A30A8">
        <w:rPr>
          <w:lang w:val="es-ES"/>
        </w:rPr>
        <w:t xml:space="preserve"> – El </w:t>
      </w:r>
      <w:r w:rsidR="00BE4F73" w:rsidRPr="004A30A8">
        <w:rPr>
          <w:lang w:val="es-ES"/>
        </w:rPr>
        <w:t>29</w:t>
      </w:r>
      <w:r w:rsidRPr="004A30A8">
        <w:rPr>
          <w:lang w:val="es-ES"/>
        </w:rPr>
        <w:t xml:space="preserve"> de </w:t>
      </w:r>
      <w:r w:rsidR="00BE4F73" w:rsidRPr="004A30A8">
        <w:rPr>
          <w:lang w:val="es-ES"/>
        </w:rPr>
        <w:t>octubre</w:t>
      </w:r>
      <w:r w:rsidRPr="004A30A8">
        <w:rPr>
          <w:lang w:val="es-ES"/>
        </w:rPr>
        <w:t xml:space="preserve"> de 2020 la Comisión aprobó el Informe de Fondo No. </w:t>
      </w:r>
      <w:r w:rsidR="00BE4F73" w:rsidRPr="004A30A8">
        <w:rPr>
          <w:lang w:val="es-ES"/>
        </w:rPr>
        <w:t>304</w:t>
      </w:r>
      <w:r w:rsidRPr="004A30A8">
        <w:rPr>
          <w:lang w:val="es-ES"/>
        </w:rPr>
        <w:t>/20, de conformidad con el artículo 50 de la Convención (en adelante también “el Informe de Fondo” o “el Informe No. 3</w:t>
      </w:r>
      <w:r w:rsidR="00BE4F73" w:rsidRPr="004A30A8">
        <w:rPr>
          <w:lang w:val="es-ES"/>
        </w:rPr>
        <w:t>40</w:t>
      </w:r>
      <w:r w:rsidRPr="004A30A8">
        <w:rPr>
          <w:lang w:val="es-ES"/>
        </w:rPr>
        <w:t>/20”), en el cual llegó a una serie de conclusiones</w:t>
      </w:r>
      <w:r w:rsidR="00254D6C" w:rsidRPr="004A30A8">
        <w:rPr>
          <w:rStyle w:val="Refdenotaalpie"/>
        </w:rPr>
        <w:footnoteReference w:id="2"/>
      </w:r>
      <w:r w:rsidRPr="004A30A8">
        <w:rPr>
          <w:lang w:val="es-ES"/>
        </w:rPr>
        <w:t xml:space="preserve">, y formuló varias recomendaciones al Estado. </w:t>
      </w:r>
    </w:p>
    <w:p w14:paraId="7A288142" w14:textId="77777777" w:rsidR="00E0705E" w:rsidRPr="004A30A8" w:rsidRDefault="00E0705E" w:rsidP="00E0705E">
      <w:pPr>
        <w:pStyle w:val="Prrafodelista"/>
        <w:widowControl/>
        <w:adjustRightInd/>
        <w:spacing w:line="240" w:lineRule="auto"/>
        <w:rPr>
          <w:lang w:val="es-ES"/>
        </w:rPr>
      </w:pPr>
    </w:p>
    <w:p w14:paraId="7EF3B20A" w14:textId="7C1DB7D9" w:rsidR="00E0705E" w:rsidRPr="004A30A8" w:rsidRDefault="00E0705E">
      <w:pPr>
        <w:widowControl/>
        <w:numPr>
          <w:ilvl w:val="0"/>
          <w:numId w:val="6"/>
        </w:numPr>
        <w:tabs>
          <w:tab w:val="left" w:pos="567"/>
        </w:tabs>
        <w:adjustRightInd/>
        <w:spacing w:line="240" w:lineRule="auto"/>
        <w:rPr>
          <w:lang w:val="es-ES"/>
        </w:rPr>
      </w:pPr>
      <w:r w:rsidRPr="004A30A8">
        <w:rPr>
          <w:i/>
          <w:lang w:val="es-ES"/>
        </w:rPr>
        <w:t>Notificación al Estado.</w:t>
      </w:r>
      <w:r w:rsidRPr="004A30A8">
        <w:rPr>
          <w:lang w:val="es-ES"/>
        </w:rPr>
        <w:t xml:space="preserve"> – El Informe de Fondo fue notificado al Estado el </w:t>
      </w:r>
      <w:r w:rsidR="00F9257A" w:rsidRPr="004A30A8">
        <w:rPr>
          <w:lang w:val="es-ES"/>
        </w:rPr>
        <w:t>4</w:t>
      </w:r>
      <w:r w:rsidRPr="004A30A8">
        <w:rPr>
          <w:lang w:val="es-ES"/>
        </w:rPr>
        <w:t xml:space="preserve"> de </w:t>
      </w:r>
      <w:r w:rsidR="00F9257A" w:rsidRPr="004A30A8">
        <w:rPr>
          <w:lang w:val="es-ES"/>
        </w:rPr>
        <w:t>diciembre</w:t>
      </w:r>
      <w:r w:rsidRPr="004A30A8">
        <w:rPr>
          <w:lang w:val="es-ES"/>
        </w:rPr>
        <w:t xml:space="preserve"> de 202</w:t>
      </w:r>
      <w:r w:rsidR="005F4016" w:rsidRPr="004A30A8">
        <w:rPr>
          <w:lang w:val="es-ES"/>
        </w:rPr>
        <w:t>0</w:t>
      </w:r>
      <w:r w:rsidRPr="004A30A8">
        <w:rPr>
          <w:lang w:val="es-ES"/>
        </w:rPr>
        <w:t xml:space="preserve"> y se le otorgó un plazo de dos meses para informar sobre el cumplimiento de las recomendaciones.</w:t>
      </w:r>
      <w:r w:rsidR="00A74F42" w:rsidRPr="004A30A8">
        <w:rPr>
          <w:lang w:val="es-ES"/>
        </w:rPr>
        <w:t xml:space="preserve"> </w:t>
      </w:r>
      <w:r w:rsidR="00B77ED7" w:rsidRPr="004A30A8">
        <w:rPr>
          <w:lang w:val="es-ES"/>
        </w:rPr>
        <w:t>Tras el otorgamiento por parte de la Comisión de una prórroga, el 23 de mayo de 2021 el Estado solicitó una segunda prórroga. Al momento de evaluar dicha solicitud, la Comisión observó que, a seis meses de notificado el Informe de Fondo, no había habido ningún avance concreto en el cumplimiento de las recomendaciones, el Estado no había manifestado su posición sobre las conclusiones y recomendaciones del informe ni había contactado a la víctima o a sus representantes</w:t>
      </w:r>
      <w:r w:rsidR="00BE4116" w:rsidRPr="004A30A8">
        <w:rPr>
          <w:lang w:val="es-ES"/>
        </w:rPr>
        <w:t>.</w:t>
      </w:r>
    </w:p>
    <w:p w14:paraId="6F4E6DB6" w14:textId="77777777" w:rsidR="005B282F" w:rsidRPr="004A30A8" w:rsidRDefault="005B282F" w:rsidP="005B282F">
      <w:pPr>
        <w:tabs>
          <w:tab w:val="left" w:pos="567"/>
        </w:tabs>
        <w:spacing w:line="240" w:lineRule="auto"/>
        <w:rPr>
          <w:lang w:val="es-ES"/>
        </w:rPr>
      </w:pPr>
    </w:p>
    <w:p w14:paraId="74D7F24C" w14:textId="58EBF622" w:rsidR="00E0705E" w:rsidRPr="004A30A8" w:rsidRDefault="00E0705E" w:rsidP="00D85A0E">
      <w:pPr>
        <w:numPr>
          <w:ilvl w:val="0"/>
          <w:numId w:val="7"/>
        </w:numPr>
        <w:tabs>
          <w:tab w:val="left" w:pos="567"/>
          <w:tab w:val="num" w:pos="1569"/>
          <w:tab w:val="num" w:pos="12305"/>
        </w:tabs>
        <w:spacing w:line="240" w:lineRule="auto"/>
        <w:ind w:left="0" w:firstLine="0"/>
        <w:rPr>
          <w:lang w:val="es-ES"/>
        </w:rPr>
      </w:pPr>
      <w:r w:rsidRPr="004A30A8">
        <w:rPr>
          <w:i/>
          <w:lang w:val="es-ES"/>
        </w:rPr>
        <w:t>Sometimiento a la Corte.</w:t>
      </w:r>
      <w:r w:rsidRPr="004A30A8">
        <w:rPr>
          <w:lang w:val="es-ES"/>
        </w:rPr>
        <w:t xml:space="preserve"> – El </w:t>
      </w:r>
      <w:r w:rsidR="00C955CA" w:rsidRPr="004A30A8">
        <w:rPr>
          <w:lang w:val="es-ES"/>
        </w:rPr>
        <w:t>4</w:t>
      </w:r>
      <w:r w:rsidRPr="004A30A8">
        <w:rPr>
          <w:lang w:val="es-ES"/>
        </w:rPr>
        <w:t xml:space="preserve"> de junio de 2021 la Comisión sometió a la jurisdicción de la Corte Interamericana los hechos y violaciones de derechos humanos descritos en el Informe de Fondo</w:t>
      </w:r>
      <w:r w:rsidR="002A777D" w:rsidRPr="004A30A8">
        <w:rPr>
          <w:lang w:val="es-ES"/>
        </w:rPr>
        <w:t xml:space="preserve"> debido a</w:t>
      </w:r>
      <w:r w:rsidRPr="004A30A8">
        <w:rPr>
          <w:lang w:val="es-ES"/>
        </w:rPr>
        <w:t xml:space="preserve"> “la necesidad de obtención de justicia y reparación”</w:t>
      </w:r>
      <w:r w:rsidRPr="004A30A8">
        <w:rPr>
          <w:rStyle w:val="Refdenotaalpie"/>
          <w:rFonts w:eastAsia="Batang"/>
          <w:lang w:val="es-ES"/>
        </w:rPr>
        <w:footnoteReference w:id="3"/>
      </w:r>
      <w:r w:rsidRPr="004A30A8">
        <w:rPr>
          <w:lang w:val="es-ES"/>
        </w:rPr>
        <w:t xml:space="preserve">. </w:t>
      </w:r>
    </w:p>
    <w:p w14:paraId="3B3CFED5" w14:textId="77777777" w:rsidR="00BE4116" w:rsidRPr="004A30A8" w:rsidRDefault="00BE4116" w:rsidP="00BE4116">
      <w:pPr>
        <w:tabs>
          <w:tab w:val="left" w:pos="567"/>
          <w:tab w:val="num" w:pos="12305"/>
        </w:tabs>
        <w:spacing w:line="240" w:lineRule="auto"/>
        <w:rPr>
          <w:lang w:val="es-ES"/>
        </w:rPr>
      </w:pPr>
    </w:p>
    <w:p w14:paraId="1B7750D0" w14:textId="3C1B392B" w:rsidR="00E0705E" w:rsidRPr="004A30A8" w:rsidRDefault="00E0705E">
      <w:pPr>
        <w:numPr>
          <w:ilvl w:val="0"/>
          <w:numId w:val="7"/>
        </w:numPr>
        <w:tabs>
          <w:tab w:val="left" w:pos="567"/>
          <w:tab w:val="num" w:pos="1569"/>
          <w:tab w:val="num" w:pos="12305"/>
        </w:tabs>
        <w:spacing w:line="240" w:lineRule="auto"/>
        <w:ind w:left="0" w:firstLine="0"/>
        <w:rPr>
          <w:lang w:val="es-ES"/>
        </w:rPr>
      </w:pPr>
      <w:r w:rsidRPr="004A30A8">
        <w:rPr>
          <w:i/>
          <w:lang w:val="es-ES"/>
        </w:rPr>
        <w:t xml:space="preserve">Solicitudes de la Comisión Interamericana. </w:t>
      </w:r>
      <w:r w:rsidRPr="004A30A8">
        <w:rPr>
          <w:lang w:val="es-ES"/>
        </w:rPr>
        <w:t xml:space="preserve">– Con base en lo anterior, la Comisión solicitó a la Corte que declarara la responsabilidad internacional del Estado por </w:t>
      </w:r>
      <w:r w:rsidR="00EA3CBB" w:rsidRPr="004A30A8">
        <w:rPr>
          <w:lang w:val="es-ES"/>
        </w:rPr>
        <w:t>la violación</w:t>
      </w:r>
      <w:r w:rsidR="00473FD3" w:rsidRPr="004A30A8">
        <w:rPr>
          <w:lang w:val="es-ES"/>
        </w:rPr>
        <w:t xml:space="preserve"> </w:t>
      </w:r>
      <w:r w:rsidR="00473FD3" w:rsidRPr="004A30A8">
        <w:t>de los derechos establecidos en los artículos 8.1 (garantías judiciales), 11 (vida privada), 24 (igualdad ante la ley) y 25.1 (protección judicial) de la Convención Americana, en relación con las obligaciones establecidas en el artículo 1.1 del mismo instrumento</w:t>
      </w:r>
      <w:r w:rsidRPr="004A30A8">
        <w:rPr>
          <w:lang w:val="es-ES"/>
        </w:rPr>
        <w:t xml:space="preserve">. Asimismo, la Comisión solicitó a la Corte que ordenara al Estado medidas de reparación, las cuales se detallan y analizan en el Capítulo </w:t>
      </w:r>
      <w:r w:rsidR="008E4B36" w:rsidRPr="004A30A8">
        <w:rPr>
          <w:lang w:val="es-ES"/>
        </w:rPr>
        <w:t>IX</w:t>
      </w:r>
      <w:r w:rsidRPr="004A30A8">
        <w:rPr>
          <w:lang w:val="es-ES"/>
        </w:rPr>
        <w:t xml:space="preserve"> de la presente Sentencia. </w:t>
      </w:r>
    </w:p>
    <w:p w14:paraId="4B63F123" w14:textId="7E4B6219" w:rsidR="00E0705E" w:rsidRPr="004A30A8" w:rsidRDefault="00E0705E" w:rsidP="00D03F10">
      <w:pPr>
        <w:pStyle w:val="Ttulo1"/>
        <w:spacing w:before="360" w:after="360"/>
      </w:pPr>
      <w:bookmarkStart w:id="6" w:name="_Toc129887084"/>
      <w:r w:rsidRPr="004A30A8">
        <w:t>II</w:t>
      </w:r>
      <w:r w:rsidRPr="004A30A8">
        <w:br/>
        <w:t>PROCEDIMIENTO ANTE LA CORTE</w:t>
      </w:r>
      <w:bookmarkEnd w:id="6"/>
    </w:p>
    <w:p w14:paraId="5426A0AF" w14:textId="2273204F" w:rsidR="00E0705E" w:rsidRPr="004A30A8" w:rsidRDefault="00E0705E">
      <w:pPr>
        <w:numPr>
          <w:ilvl w:val="0"/>
          <w:numId w:val="7"/>
        </w:numPr>
        <w:tabs>
          <w:tab w:val="left" w:pos="567"/>
          <w:tab w:val="num" w:pos="1569"/>
          <w:tab w:val="num" w:pos="12305"/>
        </w:tabs>
        <w:spacing w:line="240" w:lineRule="auto"/>
        <w:ind w:left="0" w:firstLine="0"/>
        <w:rPr>
          <w:lang w:val="es-ES"/>
        </w:rPr>
      </w:pPr>
      <w:r w:rsidRPr="004A30A8">
        <w:rPr>
          <w:i/>
          <w:lang w:val="es-ES"/>
        </w:rPr>
        <w:t xml:space="preserve">Notificación a los representantes y al Estado. </w:t>
      </w:r>
      <w:r w:rsidRPr="004A30A8">
        <w:rPr>
          <w:lang w:val="es-ES"/>
        </w:rPr>
        <w:t>– El sometimiento del caso por parte de la Comisión fue notificado por la Corte a los representantes de la presunta víctima (en adelante “los representantes”)</w:t>
      </w:r>
      <w:r w:rsidR="00442F84" w:rsidRPr="004A30A8">
        <w:rPr>
          <w:rStyle w:val="Refdenotaalpie"/>
          <w:rFonts w:eastAsia="Batang"/>
          <w:lang w:val="es-ES"/>
        </w:rPr>
        <w:footnoteReference w:id="4"/>
      </w:r>
      <w:r w:rsidR="00442F84" w:rsidRPr="004A30A8">
        <w:rPr>
          <w:lang w:val="es-ES"/>
        </w:rPr>
        <w:t xml:space="preserve"> </w:t>
      </w:r>
      <w:r w:rsidRPr="004A30A8">
        <w:rPr>
          <w:lang w:val="es-ES"/>
        </w:rPr>
        <w:t xml:space="preserve">y al Estado el </w:t>
      </w:r>
      <w:r w:rsidR="00107899" w:rsidRPr="004A30A8">
        <w:rPr>
          <w:lang w:val="es-ES"/>
        </w:rPr>
        <w:t>16</w:t>
      </w:r>
      <w:r w:rsidRPr="004A30A8">
        <w:rPr>
          <w:lang w:val="es-ES"/>
        </w:rPr>
        <w:t xml:space="preserve"> de </w:t>
      </w:r>
      <w:r w:rsidR="00107899" w:rsidRPr="004A30A8">
        <w:rPr>
          <w:lang w:val="es-ES"/>
        </w:rPr>
        <w:t>julio</w:t>
      </w:r>
      <w:r w:rsidRPr="004A30A8">
        <w:rPr>
          <w:lang w:val="es-ES"/>
        </w:rPr>
        <w:t xml:space="preserve"> de 2021.</w:t>
      </w:r>
      <w:r w:rsidRPr="004A30A8">
        <w:rPr>
          <w:b/>
          <w:lang w:val="es-ES"/>
        </w:rPr>
        <w:t xml:space="preserve"> </w:t>
      </w:r>
      <w:bookmarkStart w:id="7" w:name="para7"/>
    </w:p>
    <w:p w14:paraId="68EF32A9" w14:textId="77777777" w:rsidR="00E0705E" w:rsidRPr="004A30A8" w:rsidRDefault="00E0705E" w:rsidP="00E0705E">
      <w:pPr>
        <w:tabs>
          <w:tab w:val="left" w:pos="567"/>
        </w:tabs>
        <w:spacing w:line="240" w:lineRule="auto"/>
        <w:rPr>
          <w:lang w:val="es-ES"/>
        </w:rPr>
      </w:pPr>
    </w:p>
    <w:p w14:paraId="3B777C79" w14:textId="54A331A3" w:rsidR="00E0705E" w:rsidRPr="004A30A8" w:rsidRDefault="00E0705E">
      <w:pPr>
        <w:numPr>
          <w:ilvl w:val="0"/>
          <w:numId w:val="7"/>
        </w:numPr>
        <w:tabs>
          <w:tab w:val="left" w:pos="567"/>
          <w:tab w:val="num" w:pos="1569"/>
          <w:tab w:val="num" w:pos="12305"/>
        </w:tabs>
        <w:spacing w:line="240" w:lineRule="auto"/>
        <w:ind w:left="0" w:firstLine="0"/>
        <w:rPr>
          <w:lang w:val="es-ES"/>
        </w:rPr>
      </w:pPr>
      <w:r w:rsidRPr="004A30A8">
        <w:rPr>
          <w:i/>
          <w:lang w:val="es-ES"/>
        </w:rPr>
        <w:t>Escrito de solicitudes, argumentos y pruebas.</w:t>
      </w:r>
      <w:r w:rsidRPr="004A30A8">
        <w:rPr>
          <w:lang w:val="es-ES"/>
        </w:rPr>
        <w:t xml:space="preserve"> – El </w:t>
      </w:r>
      <w:r w:rsidR="009A3EC0" w:rsidRPr="004A30A8">
        <w:rPr>
          <w:lang w:val="es-ES"/>
        </w:rPr>
        <w:t>1</w:t>
      </w:r>
      <w:r w:rsidR="00EC748B" w:rsidRPr="004A30A8">
        <w:rPr>
          <w:lang w:val="es-ES"/>
        </w:rPr>
        <w:t>6</w:t>
      </w:r>
      <w:r w:rsidRPr="004A30A8">
        <w:rPr>
          <w:lang w:val="es-ES"/>
        </w:rPr>
        <w:t xml:space="preserve"> de </w:t>
      </w:r>
      <w:r w:rsidR="00EC748B" w:rsidRPr="004A30A8">
        <w:rPr>
          <w:lang w:val="es-ES"/>
        </w:rPr>
        <w:t>septiembre</w:t>
      </w:r>
      <w:r w:rsidRPr="004A30A8">
        <w:rPr>
          <w:lang w:val="es-ES"/>
        </w:rPr>
        <w:t xml:space="preserve"> de 2021 los representantes de la presunta víctima presentaron ante la Corte su escrito de solicitudes, argumentos y pruebas (en adelante “escrito de solicitudes y argumentos”). Los representantes coincidieron sustancialmente con los alegatos de la Comisión y solicitaron a la Corte que declarara la responsabilidad internacional del Estado por la violación de los mismos artículos indicados por la Comisión y, adicionalmente, la violación de los artículos </w:t>
      </w:r>
      <w:r w:rsidR="000965CA" w:rsidRPr="004A30A8">
        <w:rPr>
          <w:lang w:val="es-ES"/>
        </w:rPr>
        <w:t xml:space="preserve">7 </w:t>
      </w:r>
      <w:r w:rsidRPr="004A30A8">
        <w:rPr>
          <w:lang w:val="es-ES"/>
        </w:rPr>
        <w:t>(derecho a</w:t>
      </w:r>
      <w:r w:rsidR="000965CA" w:rsidRPr="004A30A8">
        <w:rPr>
          <w:lang w:val="es-ES"/>
        </w:rPr>
        <w:t>l libre desarrollo de la personalidad</w:t>
      </w:r>
      <w:r w:rsidRPr="004A30A8">
        <w:rPr>
          <w:lang w:val="es-ES"/>
        </w:rPr>
        <w:t xml:space="preserve">) y </w:t>
      </w:r>
      <w:r w:rsidR="000965CA" w:rsidRPr="004A30A8">
        <w:rPr>
          <w:lang w:val="es-ES"/>
        </w:rPr>
        <w:t>13</w:t>
      </w:r>
      <w:r w:rsidRPr="004A30A8">
        <w:rPr>
          <w:lang w:val="es-ES"/>
        </w:rPr>
        <w:t xml:space="preserve">.1 (derecho a la </w:t>
      </w:r>
      <w:r w:rsidR="00577E8A" w:rsidRPr="004A30A8">
        <w:rPr>
          <w:lang w:val="es-ES"/>
        </w:rPr>
        <w:t>libertad de expresión</w:t>
      </w:r>
      <w:r w:rsidRPr="004A30A8">
        <w:rPr>
          <w:lang w:val="es-ES"/>
        </w:rPr>
        <w:t xml:space="preserve">) de la Convención Americana, en relación con </w:t>
      </w:r>
      <w:r w:rsidR="001A1796" w:rsidRPr="004A30A8">
        <w:rPr>
          <w:lang w:val="es-ES"/>
        </w:rPr>
        <w:t>el</w:t>
      </w:r>
      <w:r w:rsidRPr="004A30A8">
        <w:rPr>
          <w:lang w:val="es-ES"/>
        </w:rPr>
        <w:t xml:space="preserve"> artículo 1.1 del mismo instrumento. </w:t>
      </w:r>
      <w:bookmarkEnd w:id="7"/>
    </w:p>
    <w:p w14:paraId="0D73A945" w14:textId="77777777" w:rsidR="005B282F" w:rsidRPr="004A30A8" w:rsidRDefault="005B282F" w:rsidP="005B282F">
      <w:pPr>
        <w:tabs>
          <w:tab w:val="left" w:pos="567"/>
        </w:tabs>
        <w:spacing w:line="240" w:lineRule="auto"/>
        <w:rPr>
          <w:lang w:val="es-ES"/>
        </w:rPr>
      </w:pPr>
    </w:p>
    <w:p w14:paraId="594484B2" w14:textId="2ED3C685" w:rsidR="00E0705E" w:rsidRPr="004A30A8" w:rsidRDefault="00076226">
      <w:pPr>
        <w:numPr>
          <w:ilvl w:val="0"/>
          <w:numId w:val="7"/>
        </w:numPr>
        <w:tabs>
          <w:tab w:val="left" w:pos="567"/>
          <w:tab w:val="num" w:pos="1569"/>
          <w:tab w:val="num" w:pos="12305"/>
        </w:tabs>
        <w:spacing w:line="240" w:lineRule="auto"/>
        <w:ind w:left="0" w:firstLine="0"/>
        <w:rPr>
          <w:lang w:val="es-ES"/>
        </w:rPr>
      </w:pPr>
      <w:r w:rsidRPr="004A30A8">
        <w:rPr>
          <w:i/>
          <w:lang w:val="es-ES"/>
        </w:rPr>
        <w:t>Escrito de contestación.</w:t>
      </w:r>
      <w:r w:rsidRPr="004A30A8">
        <w:rPr>
          <w:lang w:val="es-ES"/>
        </w:rPr>
        <w:t xml:space="preserve"> </w:t>
      </w:r>
      <w:r w:rsidRPr="004A30A8">
        <w:rPr>
          <w:i/>
          <w:lang w:val="es-ES"/>
        </w:rPr>
        <w:t xml:space="preserve">– </w:t>
      </w:r>
      <w:r w:rsidR="0047143B" w:rsidRPr="004A30A8">
        <w:rPr>
          <w:iCs/>
          <w:lang w:val="es-ES"/>
        </w:rPr>
        <w:t>El 14 de diciembre de 2021 el Estado presentó ante la Corte su escrito de excepciones preli</w:t>
      </w:r>
      <w:r w:rsidR="004F6F45" w:rsidRPr="004A30A8">
        <w:rPr>
          <w:iCs/>
          <w:lang w:val="es-ES"/>
        </w:rPr>
        <w:t xml:space="preserve">minares y contestación al sometimiento del caso por parte de la Comisión, así como sus observaciones al escrito de solicitudes </w:t>
      </w:r>
      <w:r w:rsidR="00FB6D60" w:rsidRPr="004A30A8">
        <w:rPr>
          <w:iCs/>
          <w:lang w:val="es-ES"/>
        </w:rPr>
        <w:t xml:space="preserve">y argumentos (en adelante “escrito de contestación”). En dicho escrito, el Estado interpuso </w:t>
      </w:r>
      <w:r w:rsidR="009C6A79" w:rsidRPr="004A30A8">
        <w:rPr>
          <w:iCs/>
          <w:lang w:val="es-ES"/>
        </w:rPr>
        <w:t>cinco</w:t>
      </w:r>
      <w:r w:rsidR="0064388D" w:rsidRPr="004A30A8">
        <w:rPr>
          <w:iCs/>
          <w:lang w:val="es-ES"/>
        </w:rPr>
        <w:t xml:space="preserve"> </w:t>
      </w:r>
      <w:r w:rsidR="00FB6D60" w:rsidRPr="004A30A8">
        <w:rPr>
          <w:iCs/>
          <w:lang w:val="es-ES"/>
        </w:rPr>
        <w:t>excepciones preliminares y se opuso a las violaciones alegadas y a las solicitudes de medidas de reparación de la Comisión y los representantes.</w:t>
      </w:r>
    </w:p>
    <w:p w14:paraId="4F0569E3" w14:textId="77777777" w:rsidR="005B282F" w:rsidRPr="004A30A8" w:rsidRDefault="005B282F" w:rsidP="005B282F">
      <w:pPr>
        <w:tabs>
          <w:tab w:val="left" w:pos="567"/>
        </w:tabs>
        <w:spacing w:line="240" w:lineRule="auto"/>
        <w:rPr>
          <w:lang w:val="es-ES"/>
        </w:rPr>
      </w:pPr>
    </w:p>
    <w:p w14:paraId="6B4A2FFF" w14:textId="4B712781" w:rsidR="00923EE5" w:rsidRPr="004A30A8" w:rsidRDefault="00923EE5">
      <w:pPr>
        <w:numPr>
          <w:ilvl w:val="0"/>
          <w:numId w:val="7"/>
        </w:numPr>
        <w:tabs>
          <w:tab w:val="left" w:pos="567"/>
          <w:tab w:val="num" w:pos="1569"/>
          <w:tab w:val="num" w:pos="12305"/>
        </w:tabs>
        <w:spacing w:line="240" w:lineRule="auto"/>
        <w:ind w:left="0" w:firstLine="0"/>
        <w:rPr>
          <w:lang w:val="es-ES"/>
        </w:rPr>
      </w:pPr>
      <w:r w:rsidRPr="004A30A8">
        <w:rPr>
          <w:i/>
          <w:lang w:val="es-ES"/>
        </w:rPr>
        <w:t>Observaciones</w:t>
      </w:r>
      <w:r w:rsidRPr="004A30A8">
        <w:rPr>
          <w:i/>
          <w:iCs/>
          <w:lang w:val="es-ES"/>
        </w:rPr>
        <w:t xml:space="preserve"> a las excepciones preliminares. - </w:t>
      </w:r>
      <w:r w:rsidR="00E6662A" w:rsidRPr="004A30A8">
        <w:rPr>
          <w:lang w:val="es-ES"/>
        </w:rPr>
        <w:t xml:space="preserve">El </w:t>
      </w:r>
      <w:r w:rsidR="004D6C74" w:rsidRPr="004A30A8">
        <w:rPr>
          <w:lang w:val="es-ES"/>
        </w:rPr>
        <w:t>9</w:t>
      </w:r>
      <w:r w:rsidR="00E6662A" w:rsidRPr="004A30A8">
        <w:rPr>
          <w:lang w:val="es-ES"/>
        </w:rPr>
        <w:t xml:space="preserve"> de </w:t>
      </w:r>
      <w:r w:rsidR="004D6C74" w:rsidRPr="004A30A8">
        <w:rPr>
          <w:lang w:val="es-ES"/>
        </w:rPr>
        <w:t>febrero</w:t>
      </w:r>
      <w:r w:rsidR="00E6662A" w:rsidRPr="004A30A8">
        <w:rPr>
          <w:lang w:val="es-ES"/>
        </w:rPr>
        <w:t xml:space="preserve"> de </w:t>
      </w:r>
      <w:r w:rsidR="003A4FBB" w:rsidRPr="004A30A8">
        <w:rPr>
          <w:lang w:val="es-ES"/>
        </w:rPr>
        <w:t>2022</w:t>
      </w:r>
      <w:r w:rsidR="00E6662A" w:rsidRPr="004A30A8">
        <w:rPr>
          <w:lang w:val="es-ES"/>
        </w:rPr>
        <w:t xml:space="preserve"> l</w:t>
      </w:r>
      <w:r w:rsidR="0044050B" w:rsidRPr="004A30A8">
        <w:rPr>
          <w:lang w:val="es-ES"/>
        </w:rPr>
        <w:t>os</w:t>
      </w:r>
      <w:r w:rsidR="00E6662A" w:rsidRPr="004A30A8">
        <w:rPr>
          <w:lang w:val="es-ES"/>
        </w:rPr>
        <w:t xml:space="preserve"> representantes y la Comisión presentaron sus observaciones a las excepciones preliminares.</w:t>
      </w:r>
    </w:p>
    <w:p w14:paraId="50F73796" w14:textId="77777777" w:rsidR="005B282F" w:rsidRPr="004A30A8" w:rsidRDefault="005B282F" w:rsidP="005B282F">
      <w:pPr>
        <w:tabs>
          <w:tab w:val="left" w:pos="567"/>
        </w:tabs>
        <w:spacing w:line="240" w:lineRule="auto"/>
        <w:rPr>
          <w:lang w:val="es-ES"/>
        </w:rPr>
      </w:pPr>
    </w:p>
    <w:p w14:paraId="3CE26BD4" w14:textId="44570193" w:rsidR="006B179E" w:rsidRPr="004A30A8" w:rsidRDefault="00D07523">
      <w:pPr>
        <w:numPr>
          <w:ilvl w:val="0"/>
          <w:numId w:val="7"/>
        </w:numPr>
        <w:tabs>
          <w:tab w:val="left" w:pos="567"/>
          <w:tab w:val="num" w:pos="1569"/>
          <w:tab w:val="num" w:pos="12305"/>
        </w:tabs>
        <w:spacing w:line="240" w:lineRule="auto"/>
        <w:ind w:left="0" w:firstLine="0"/>
        <w:rPr>
          <w:lang w:val="es-ES"/>
        </w:rPr>
      </w:pPr>
      <w:r w:rsidRPr="004A30A8">
        <w:rPr>
          <w:i/>
          <w:lang w:val="es-ES"/>
        </w:rPr>
        <w:t>Audiencia</w:t>
      </w:r>
      <w:r w:rsidRPr="004A30A8">
        <w:rPr>
          <w:i/>
          <w:iCs/>
          <w:lang w:val="es-ES"/>
        </w:rPr>
        <w:t xml:space="preserve"> Pública</w:t>
      </w:r>
      <w:r w:rsidRPr="004A30A8">
        <w:rPr>
          <w:lang w:val="es-ES"/>
        </w:rPr>
        <w:t xml:space="preserve">. – </w:t>
      </w:r>
      <w:r w:rsidR="006B179E" w:rsidRPr="004A30A8">
        <w:rPr>
          <w:lang w:val="es-ES"/>
        </w:rPr>
        <w:t xml:space="preserve">Mediante Resolución de </w:t>
      </w:r>
      <w:r w:rsidRPr="004A30A8">
        <w:rPr>
          <w:lang w:val="es-ES"/>
        </w:rPr>
        <w:t>30 de junio de 2022</w:t>
      </w:r>
      <w:r w:rsidR="006B179E" w:rsidRPr="004A30A8">
        <w:rPr>
          <w:rStyle w:val="Refdenotaalpie"/>
        </w:rPr>
        <w:footnoteReference w:id="5"/>
      </w:r>
      <w:r w:rsidRPr="004A30A8">
        <w:rPr>
          <w:lang w:val="es-ES"/>
        </w:rPr>
        <w:t xml:space="preserve"> </w:t>
      </w:r>
      <w:r w:rsidR="006B179E" w:rsidRPr="004A30A8">
        <w:rPr>
          <w:lang w:val="es-ES"/>
        </w:rPr>
        <w:t>la Presidencia convocó al Estado, a los representantes y a la Comisión a una audiencia pública para recibir sus alegatos y observaciones finales orales sobre</w:t>
      </w:r>
      <w:r w:rsidRPr="004A30A8">
        <w:rPr>
          <w:lang w:val="es-ES"/>
        </w:rPr>
        <w:t xml:space="preserve"> las excepciones preliminares y eventuales fondo, reparaciones y costas</w:t>
      </w:r>
      <w:r w:rsidR="006B179E" w:rsidRPr="004A30A8">
        <w:rPr>
          <w:lang w:val="es-ES"/>
        </w:rPr>
        <w:t xml:space="preserve">, así como para recibir las declaraciones de la </w:t>
      </w:r>
      <w:r w:rsidRPr="004A30A8">
        <w:rPr>
          <w:lang w:val="es-ES"/>
        </w:rPr>
        <w:t xml:space="preserve">presunta víctima, </w:t>
      </w:r>
      <w:r w:rsidR="006B179E" w:rsidRPr="004A30A8">
        <w:rPr>
          <w:lang w:val="es-ES"/>
        </w:rPr>
        <w:t>de</w:t>
      </w:r>
      <w:r w:rsidR="00697025" w:rsidRPr="004A30A8">
        <w:rPr>
          <w:lang w:val="es-ES"/>
        </w:rPr>
        <w:t xml:space="preserve"> una perita propuesta por los representantes, </w:t>
      </w:r>
      <w:r w:rsidR="006B179E" w:rsidRPr="004A30A8">
        <w:rPr>
          <w:lang w:val="es-ES"/>
        </w:rPr>
        <w:t>de</w:t>
      </w:r>
      <w:r w:rsidRPr="004A30A8">
        <w:rPr>
          <w:lang w:val="es-ES"/>
        </w:rPr>
        <w:t xml:space="preserve"> un perito</w:t>
      </w:r>
      <w:r w:rsidR="0002303A" w:rsidRPr="004A30A8">
        <w:rPr>
          <w:lang w:val="es-ES"/>
        </w:rPr>
        <w:t xml:space="preserve"> </w:t>
      </w:r>
      <w:r w:rsidR="00F045E1" w:rsidRPr="004A30A8">
        <w:rPr>
          <w:lang w:val="es-ES"/>
        </w:rPr>
        <w:t>propuesto</w:t>
      </w:r>
      <w:r w:rsidR="00E372E3" w:rsidRPr="004A30A8">
        <w:rPr>
          <w:lang w:val="es-ES"/>
        </w:rPr>
        <w:t xml:space="preserve"> </w:t>
      </w:r>
      <w:r w:rsidR="00697025" w:rsidRPr="004A30A8">
        <w:rPr>
          <w:lang w:val="es-ES"/>
        </w:rPr>
        <w:lastRenderedPageBreak/>
        <w:t>por el</w:t>
      </w:r>
      <w:r w:rsidRPr="004A30A8">
        <w:rPr>
          <w:lang w:val="es-ES"/>
        </w:rPr>
        <w:t xml:space="preserve"> Estado</w:t>
      </w:r>
      <w:r w:rsidR="00697025" w:rsidRPr="004A30A8">
        <w:rPr>
          <w:rStyle w:val="Refdenotaalpie"/>
        </w:rPr>
        <w:footnoteReference w:id="6"/>
      </w:r>
      <w:r w:rsidR="00697025" w:rsidRPr="004A30A8">
        <w:rPr>
          <w:lang w:val="es-ES"/>
        </w:rPr>
        <w:t xml:space="preserve"> </w:t>
      </w:r>
      <w:r w:rsidRPr="004A30A8">
        <w:rPr>
          <w:lang w:val="es-ES"/>
        </w:rPr>
        <w:t xml:space="preserve">y </w:t>
      </w:r>
      <w:r w:rsidR="006B179E" w:rsidRPr="004A30A8">
        <w:rPr>
          <w:lang w:val="es-ES"/>
        </w:rPr>
        <w:t>de</w:t>
      </w:r>
      <w:r w:rsidRPr="004A30A8">
        <w:rPr>
          <w:lang w:val="es-ES"/>
        </w:rPr>
        <w:t xml:space="preserve"> una perita propuesta por la Comisión</w:t>
      </w:r>
      <w:r w:rsidR="006B179E" w:rsidRPr="004A30A8">
        <w:rPr>
          <w:lang w:val="es-ES"/>
        </w:rPr>
        <w:t xml:space="preserve">. La audiencia pública se celebró el 24 de agosto de 2022, durante el 150 Período </w:t>
      </w:r>
      <w:r w:rsidR="00473FD3" w:rsidRPr="004A30A8">
        <w:rPr>
          <w:lang w:val="es-ES"/>
        </w:rPr>
        <w:t>O</w:t>
      </w:r>
      <w:r w:rsidR="006B179E" w:rsidRPr="004A30A8">
        <w:rPr>
          <w:lang w:val="es-ES"/>
        </w:rPr>
        <w:t>rdinario de Sesiones que se llevó a cabo en Brasilia, Brasil</w:t>
      </w:r>
      <w:r w:rsidR="006B179E" w:rsidRPr="004A30A8">
        <w:rPr>
          <w:rStyle w:val="Refdenotaalpie"/>
        </w:rPr>
        <w:footnoteReference w:id="7"/>
      </w:r>
      <w:r w:rsidR="006B179E" w:rsidRPr="004A30A8">
        <w:rPr>
          <w:lang w:val="es-ES"/>
        </w:rPr>
        <w:t xml:space="preserve">. </w:t>
      </w:r>
    </w:p>
    <w:p w14:paraId="2CA01A9B" w14:textId="77777777" w:rsidR="00CD2F7F" w:rsidRPr="004A30A8" w:rsidRDefault="00CD2F7F" w:rsidP="00CD2F7F">
      <w:pPr>
        <w:tabs>
          <w:tab w:val="left" w:pos="567"/>
        </w:tabs>
        <w:spacing w:line="240" w:lineRule="auto"/>
        <w:rPr>
          <w:lang w:val="es-ES"/>
        </w:rPr>
      </w:pPr>
    </w:p>
    <w:p w14:paraId="650D0350" w14:textId="2EC5704C" w:rsidR="00A91FDD" w:rsidRPr="004A30A8" w:rsidRDefault="0064388D">
      <w:pPr>
        <w:numPr>
          <w:ilvl w:val="0"/>
          <w:numId w:val="7"/>
        </w:numPr>
        <w:tabs>
          <w:tab w:val="left" w:pos="567"/>
          <w:tab w:val="num" w:pos="1569"/>
          <w:tab w:val="num" w:pos="12305"/>
        </w:tabs>
        <w:spacing w:line="240" w:lineRule="auto"/>
        <w:ind w:left="0" w:firstLine="0"/>
        <w:rPr>
          <w:lang w:val="es-ES"/>
        </w:rPr>
      </w:pPr>
      <w:r w:rsidRPr="004A30A8">
        <w:rPr>
          <w:i/>
          <w:lang w:val="es-ES"/>
        </w:rPr>
        <w:t>Amici</w:t>
      </w:r>
      <w:r w:rsidRPr="004A30A8">
        <w:rPr>
          <w:i/>
          <w:iCs/>
          <w:lang w:val="es-ES"/>
        </w:rPr>
        <w:t xml:space="preserve"> </w:t>
      </w:r>
      <w:r w:rsidR="00BE4192" w:rsidRPr="004A30A8">
        <w:rPr>
          <w:i/>
          <w:iCs/>
          <w:lang w:val="es-ES"/>
        </w:rPr>
        <w:t>Curiae. -</w:t>
      </w:r>
      <w:r w:rsidR="00172C60" w:rsidRPr="004A30A8">
        <w:rPr>
          <w:i/>
          <w:iCs/>
          <w:lang w:val="es-ES"/>
        </w:rPr>
        <w:t xml:space="preserve"> </w:t>
      </w:r>
      <w:r w:rsidR="00B520C5" w:rsidRPr="004A30A8">
        <w:rPr>
          <w:lang w:val="es-ES"/>
        </w:rPr>
        <w:t xml:space="preserve">El Tribunal recibió </w:t>
      </w:r>
      <w:r w:rsidR="00CC199B" w:rsidRPr="004A30A8">
        <w:rPr>
          <w:lang w:val="es-ES"/>
        </w:rPr>
        <w:t>doce</w:t>
      </w:r>
      <w:r w:rsidR="00B520C5" w:rsidRPr="004A30A8">
        <w:rPr>
          <w:lang w:val="es-ES"/>
        </w:rPr>
        <w:t xml:space="preserve"> escritos de </w:t>
      </w:r>
      <w:r w:rsidR="00674038" w:rsidRPr="004A30A8">
        <w:rPr>
          <w:i/>
          <w:iCs/>
          <w:lang w:val="es-ES"/>
        </w:rPr>
        <w:t xml:space="preserve">amici </w:t>
      </w:r>
      <w:r w:rsidR="00B520C5" w:rsidRPr="004A30A8">
        <w:rPr>
          <w:i/>
          <w:iCs/>
          <w:lang w:val="es-ES"/>
        </w:rPr>
        <w:t>curiae</w:t>
      </w:r>
      <w:r w:rsidR="00B520C5" w:rsidRPr="004A30A8">
        <w:rPr>
          <w:lang w:val="es-ES"/>
        </w:rPr>
        <w:t xml:space="preserve"> presentados por: 1) el </w:t>
      </w:r>
      <w:r w:rsidR="002B13EE" w:rsidRPr="004A30A8">
        <w:rPr>
          <w:lang w:val="es-ES"/>
        </w:rPr>
        <w:t>señor</w:t>
      </w:r>
      <w:r w:rsidR="007F4AA4" w:rsidRPr="004A30A8">
        <w:rPr>
          <w:lang w:val="es-ES"/>
        </w:rPr>
        <w:t xml:space="preserve"> José Benjamín </w:t>
      </w:r>
      <w:r w:rsidR="002B13EE" w:rsidRPr="004A30A8">
        <w:rPr>
          <w:lang w:val="es-ES"/>
        </w:rPr>
        <w:t>González Mauricio</w:t>
      </w:r>
      <w:r w:rsidR="002B13EE" w:rsidRPr="004A30A8">
        <w:rPr>
          <w:rStyle w:val="Refdenotaalpie"/>
        </w:rPr>
        <w:footnoteReference w:id="8"/>
      </w:r>
      <w:r w:rsidR="00B520C5" w:rsidRPr="004A30A8">
        <w:rPr>
          <w:lang w:val="es-ES"/>
        </w:rPr>
        <w:t>; 2)</w:t>
      </w:r>
      <w:r w:rsidR="00B21FDD" w:rsidRPr="004A30A8">
        <w:rPr>
          <w:lang w:val="es-ES"/>
        </w:rPr>
        <w:t xml:space="preserve"> </w:t>
      </w:r>
      <w:r w:rsidR="00663868" w:rsidRPr="004A30A8">
        <w:rPr>
          <w:lang w:val="es-ES"/>
        </w:rPr>
        <w:t xml:space="preserve">estudiantes y profesores de </w:t>
      </w:r>
      <w:r w:rsidR="000010E8" w:rsidRPr="004A30A8">
        <w:rPr>
          <w:lang w:val="es-ES"/>
        </w:rPr>
        <w:t xml:space="preserve">la cátedra de </w:t>
      </w:r>
      <w:r w:rsidR="00FD51C1" w:rsidRPr="004A30A8">
        <w:rPr>
          <w:lang w:val="es-ES"/>
        </w:rPr>
        <w:t>Derechos Humanos de la Facultad de Derecho y Ciencias Sociales de la Universidad Nacional</w:t>
      </w:r>
      <w:r w:rsidR="00C05896" w:rsidRPr="004A30A8">
        <w:rPr>
          <w:lang w:val="es-ES"/>
        </w:rPr>
        <w:t xml:space="preserve"> del Comahue</w:t>
      </w:r>
      <w:r w:rsidR="00C05896" w:rsidRPr="004A30A8">
        <w:rPr>
          <w:rStyle w:val="Refdenotaalpie"/>
        </w:rPr>
        <w:footnoteReference w:id="9"/>
      </w:r>
      <w:r w:rsidR="00B520C5" w:rsidRPr="004A30A8">
        <w:rPr>
          <w:lang w:val="es-ES"/>
        </w:rPr>
        <w:t>; 3)</w:t>
      </w:r>
      <w:r w:rsidR="003003C2" w:rsidRPr="004A30A8">
        <w:rPr>
          <w:lang w:val="es-ES"/>
        </w:rPr>
        <w:t xml:space="preserve"> </w:t>
      </w:r>
      <w:r w:rsidR="00A72FC5" w:rsidRPr="004A30A8">
        <w:rPr>
          <w:lang w:val="es-ES"/>
        </w:rPr>
        <w:t xml:space="preserve">la </w:t>
      </w:r>
      <w:r w:rsidR="0011641D" w:rsidRPr="004A30A8">
        <w:rPr>
          <w:lang w:val="es-ES"/>
        </w:rPr>
        <w:t>Organización Presente</w:t>
      </w:r>
      <w:r w:rsidR="000D265C" w:rsidRPr="004A30A8">
        <w:rPr>
          <w:rStyle w:val="Refdenotaalpie"/>
        </w:rPr>
        <w:footnoteReference w:id="10"/>
      </w:r>
      <w:r w:rsidR="003025E9" w:rsidRPr="004A30A8">
        <w:rPr>
          <w:lang w:val="es-ES"/>
        </w:rPr>
        <w:t>;</w:t>
      </w:r>
      <w:r w:rsidR="00B520C5" w:rsidRPr="004A30A8">
        <w:rPr>
          <w:lang w:val="es-ES"/>
        </w:rPr>
        <w:t xml:space="preserve"> 4) </w:t>
      </w:r>
      <w:r w:rsidR="007D4AD9" w:rsidRPr="004A30A8">
        <w:rPr>
          <w:lang w:val="es-ES"/>
        </w:rPr>
        <w:t>la Organización</w:t>
      </w:r>
      <w:r w:rsidR="00A22307" w:rsidRPr="004A30A8">
        <w:rPr>
          <w:lang w:val="es-ES"/>
        </w:rPr>
        <w:t xml:space="preserve"> </w:t>
      </w:r>
      <w:r w:rsidR="007D4AD9" w:rsidRPr="004A30A8">
        <w:rPr>
          <w:lang w:val="es-ES"/>
        </w:rPr>
        <w:t xml:space="preserve">OutRight </w:t>
      </w:r>
      <w:r w:rsidR="001458BC" w:rsidRPr="004A30A8">
        <w:rPr>
          <w:lang w:val="es-ES"/>
        </w:rPr>
        <w:t xml:space="preserve">Action </w:t>
      </w:r>
      <w:r w:rsidR="001458BC" w:rsidRPr="004A30A8">
        <w:rPr>
          <w:iCs/>
          <w:lang w:val="es-ES"/>
        </w:rPr>
        <w:t>International</w:t>
      </w:r>
      <w:r w:rsidR="00E44DA2" w:rsidRPr="004A30A8">
        <w:rPr>
          <w:rStyle w:val="Refdenotaalpie"/>
        </w:rPr>
        <w:footnoteReference w:id="11"/>
      </w:r>
      <w:r w:rsidR="007B5A58" w:rsidRPr="004A30A8">
        <w:rPr>
          <w:lang w:val="es-ES"/>
        </w:rPr>
        <w:t>;</w:t>
      </w:r>
      <w:r w:rsidR="005626EE" w:rsidRPr="004A30A8">
        <w:rPr>
          <w:lang w:val="es-ES"/>
        </w:rPr>
        <w:t xml:space="preserve"> 5) </w:t>
      </w:r>
      <w:r w:rsidR="004F5C43" w:rsidRPr="004A30A8">
        <w:rPr>
          <w:lang w:val="es-ES"/>
        </w:rPr>
        <w:t>la Clínica Jurídica de Libertades Informativas y Transparencia de la Facultad de Derecho de la Universidad del Pacífico</w:t>
      </w:r>
      <w:r w:rsidR="004F5C43" w:rsidRPr="004A30A8">
        <w:rPr>
          <w:rStyle w:val="Refdenotaalpie"/>
        </w:rPr>
        <w:footnoteReference w:id="12"/>
      </w:r>
      <w:r w:rsidR="007B5A58" w:rsidRPr="004A30A8">
        <w:rPr>
          <w:lang w:val="es-ES"/>
        </w:rPr>
        <w:t>;</w:t>
      </w:r>
      <w:r w:rsidR="004F5C43" w:rsidRPr="004A30A8">
        <w:rPr>
          <w:lang w:val="es-ES"/>
        </w:rPr>
        <w:t xml:space="preserve"> </w:t>
      </w:r>
      <w:r w:rsidR="00EF73B8" w:rsidRPr="004A30A8">
        <w:rPr>
          <w:lang w:val="es-ES"/>
        </w:rPr>
        <w:t>6)</w:t>
      </w:r>
      <w:r w:rsidR="00295F92" w:rsidRPr="004A30A8">
        <w:rPr>
          <w:lang w:val="es-ES"/>
        </w:rPr>
        <w:t xml:space="preserve"> la Coalición LGBTTTI y de Trabajadoras Sexuales con trabajo ante la OEA</w:t>
      </w:r>
      <w:r w:rsidR="009616FC" w:rsidRPr="004A30A8">
        <w:rPr>
          <w:rStyle w:val="Refdenotaalpie"/>
        </w:rPr>
        <w:footnoteReference w:id="13"/>
      </w:r>
      <w:r w:rsidR="007B5A58" w:rsidRPr="004A30A8">
        <w:rPr>
          <w:lang w:val="es-ES"/>
        </w:rPr>
        <w:t>;</w:t>
      </w:r>
      <w:r w:rsidR="00B4668D" w:rsidRPr="004A30A8">
        <w:rPr>
          <w:lang w:val="es-ES"/>
        </w:rPr>
        <w:t xml:space="preserve"> </w:t>
      </w:r>
      <w:r w:rsidR="003C103B" w:rsidRPr="004A30A8">
        <w:rPr>
          <w:lang w:val="es-ES"/>
        </w:rPr>
        <w:t xml:space="preserve">7) </w:t>
      </w:r>
      <w:r w:rsidR="008D5A5A" w:rsidRPr="004A30A8">
        <w:rPr>
          <w:lang w:val="es-ES"/>
        </w:rPr>
        <w:t xml:space="preserve">el Observatorio Internacional de </w:t>
      </w:r>
      <w:r w:rsidR="008D5A5A" w:rsidRPr="004A30A8">
        <w:rPr>
          <w:lang w:val="es-ES"/>
        </w:rPr>
        <w:lastRenderedPageBreak/>
        <w:t>Derechos Humanos</w:t>
      </w:r>
      <w:r w:rsidR="00A835E7" w:rsidRPr="004A30A8">
        <w:rPr>
          <w:lang w:val="es-ES"/>
        </w:rPr>
        <w:t xml:space="preserve"> del</w:t>
      </w:r>
      <w:r w:rsidR="008D5A5A" w:rsidRPr="004A30A8">
        <w:rPr>
          <w:lang w:val="es-ES"/>
        </w:rPr>
        <w:t xml:space="preserve"> Ilustre y Nacional Colegio de Abogados de México</w:t>
      </w:r>
      <w:r w:rsidR="00A835E7" w:rsidRPr="004A30A8">
        <w:rPr>
          <w:rStyle w:val="Refdenotaalpie"/>
        </w:rPr>
        <w:footnoteReference w:id="14"/>
      </w:r>
      <w:r w:rsidR="007B5A58" w:rsidRPr="004A30A8">
        <w:rPr>
          <w:lang w:val="es-ES"/>
        </w:rPr>
        <w:t>;</w:t>
      </w:r>
      <w:r w:rsidR="00642BCA" w:rsidRPr="004A30A8">
        <w:rPr>
          <w:lang w:val="es-ES"/>
        </w:rPr>
        <w:t xml:space="preserve"> 8) el Grupo de Trabajo de Naciones Unidas sobre la cuestión de los derechos humanos y las empresas transnacionales y otras empresas</w:t>
      </w:r>
      <w:r w:rsidR="00642BCA" w:rsidRPr="004A30A8">
        <w:rPr>
          <w:rStyle w:val="Refdenotaalpie"/>
        </w:rPr>
        <w:footnoteReference w:id="15"/>
      </w:r>
      <w:r w:rsidR="007B5A58" w:rsidRPr="004A30A8">
        <w:rPr>
          <w:lang w:val="es-ES"/>
        </w:rPr>
        <w:t>;</w:t>
      </w:r>
      <w:r w:rsidR="00642BCA" w:rsidRPr="004A30A8">
        <w:rPr>
          <w:lang w:val="es-ES"/>
        </w:rPr>
        <w:t xml:space="preserve"> 9)</w:t>
      </w:r>
      <w:r w:rsidR="00F90F6B" w:rsidRPr="004A30A8">
        <w:rPr>
          <w:lang w:val="es-ES"/>
        </w:rPr>
        <w:t xml:space="preserve"> </w:t>
      </w:r>
      <w:r w:rsidR="008A43D6" w:rsidRPr="004A30A8">
        <w:rPr>
          <w:lang w:val="es-ES"/>
        </w:rPr>
        <w:t>el Consultorio Jurídico Unicxs de la Facultad de Derecho de la Pontificia Universidad Católica del Perú</w:t>
      </w:r>
      <w:r w:rsidR="008A43D6" w:rsidRPr="004A30A8">
        <w:rPr>
          <w:rStyle w:val="Refdenotaalpie"/>
        </w:rPr>
        <w:footnoteReference w:id="16"/>
      </w:r>
      <w:r w:rsidR="007B5A58" w:rsidRPr="004A30A8">
        <w:rPr>
          <w:lang w:val="es-ES"/>
        </w:rPr>
        <w:t>;</w:t>
      </w:r>
      <w:r w:rsidR="00AA1958" w:rsidRPr="004A30A8">
        <w:rPr>
          <w:lang w:val="es-ES"/>
        </w:rPr>
        <w:t xml:space="preserve"> 10) </w:t>
      </w:r>
      <w:r w:rsidR="00695904" w:rsidRPr="004A30A8">
        <w:rPr>
          <w:lang w:val="es-ES"/>
        </w:rPr>
        <w:t>la Coordinadora Nacional de Derechos Humanos de Perú</w:t>
      </w:r>
      <w:r w:rsidR="00695904" w:rsidRPr="004A30A8">
        <w:rPr>
          <w:rStyle w:val="Refdenotaalpie"/>
        </w:rPr>
        <w:footnoteReference w:id="17"/>
      </w:r>
      <w:r w:rsidR="007B5A58" w:rsidRPr="004A30A8">
        <w:rPr>
          <w:lang w:val="es-ES"/>
        </w:rPr>
        <w:t>;</w:t>
      </w:r>
      <w:r w:rsidR="00695904" w:rsidRPr="004A30A8">
        <w:rPr>
          <w:lang w:val="es-ES"/>
        </w:rPr>
        <w:t xml:space="preserve"> </w:t>
      </w:r>
      <w:r w:rsidR="00385AB7" w:rsidRPr="004A30A8">
        <w:rPr>
          <w:lang w:val="es-ES"/>
        </w:rPr>
        <w:t xml:space="preserve">11) </w:t>
      </w:r>
      <w:r w:rsidR="00750199" w:rsidRPr="004A30A8">
        <w:rPr>
          <w:lang w:val="es-ES"/>
        </w:rPr>
        <w:t>la ONG Colombia Diversa en representación de la Red de Litigantes LBTI+</w:t>
      </w:r>
      <w:r w:rsidR="00520E4F" w:rsidRPr="004A30A8">
        <w:rPr>
          <w:lang w:val="es-ES"/>
        </w:rPr>
        <w:t xml:space="preserve"> de las Américas y la Red Regional Sin Violencia LGBTI</w:t>
      </w:r>
      <w:r w:rsidR="00520E4F" w:rsidRPr="004A30A8">
        <w:rPr>
          <w:rStyle w:val="Refdenotaalpie"/>
        </w:rPr>
        <w:footnoteReference w:id="18"/>
      </w:r>
      <w:r w:rsidR="007B5A58" w:rsidRPr="004A30A8">
        <w:rPr>
          <w:lang w:val="es-ES"/>
        </w:rPr>
        <w:t>;</w:t>
      </w:r>
      <w:r w:rsidR="001E1FD0" w:rsidRPr="004A30A8">
        <w:rPr>
          <w:lang w:val="es-ES"/>
        </w:rPr>
        <w:t xml:space="preserve"> y 12)</w:t>
      </w:r>
      <w:r w:rsidR="007C56D2" w:rsidRPr="004A30A8">
        <w:rPr>
          <w:lang w:val="es-ES"/>
        </w:rPr>
        <w:t xml:space="preserve"> las señoras </w:t>
      </w:r>
      <w:r w:rsidR="00941B16" w:rsidRPr="004A30A8">
        <w:rPr>
          <w:lang w:val="es-ES"/>
        </w:rPr>
        <w:t>Tatiana Cardoso Squeff,</w:t>
      </w:r>
      <w:r w:rsidR="002B0C05" w:rsidRPr="004A30A8">
        <w:rPr>
          <w:lang w:val="es-ES"/>
        </w:rPr>
        <w:t xml:space="preserve"> Fernanda de Almeida Rangel y</w:t>
      </w:r>
      <w:r w:rsidR="00941B16" w:rsidRPr="004A30A8">
        <w:rPr>
          <w:lang w:val="es-ES"/>
        </w:rPr>
        <w:t xml:space="preserve"> Lúcia S</w:t>
      </w:r>
      <w:r w:rsidR="007E2A56" w:rsidRPr="004A30A8">
        <w:rPr>
          <w:lang w:val="es-ES"/>
        </w:rPr>
        <w:t>o</w:t>
      </w:r>
      <w:r w:rsidR="00941B16" w:rsidRPr="004A30A8">
        <w:rPr>
          <w:lang w:val="es-ES"/>
        </w:rPr>
        <w:t>uza d</w:t>
      </w:r>
      <w:r w:rsidR="00BB7BE5" w:rsidRPr="004A30A8">
        <w:rPr>
          <w:lang w:val="es-ES"/>
        </w:rPr>
        <w:t>’</w:t>
      </w:r>
      <w:r w:rsidR="002B0C05" w:rsidRPr="004A30A8">
        <w:rPr>
          <w:lang w:val="es-ES"/>
        </w:rPr>
        <w:t>Aquino</w:t>
      </w:r>
      <w:r w:rsidR="002B0C05" w:rsidRPr="004A30A8">
        <w:rPr>
          <w:rStyle w:val="Refdenotaalpie"/>
        </w:rPr>
        <w:footnoteReference w:id="19"/>
      </w:r>
      <w:r w:rsidR="002B0C05" w:rsidRPr="004A30A8">
        <w:rPr>
          <w:lang w:val="es-ES"/>
        </w:rPr>
        <w:t>.</w:t>
      </w:r>
      <w:r w:rsidR="00D43F2E" w:rsidRPr="004A30A8">
        <w:rPr>
          <w:lang w:val="es-ES"/>
        </w:rPr>
        <w:t xml:space="preserve"> </w:t>
      </w:r>
    </w:p>
    <w:p w14:paraId="7C5583F2" w14:textId="77777777" w:rsidR="001D29F9" w:rsidRPr="004A30A8" w:rsidRDefault="001D29F9" w:rsidP="001D29F9">
      <w:pPr>
        <w:tabs>
          <w:tab w:val="left" w:pos="567"/>
          <w:tab w:val="num" w:pos="12305"/>
        </w:tabs>
        <w:spacing w:line="240" w:lineRule="auto"/>
        <w:rPr>
          <w:lang w:val="es-ES"/>
        </w:rPr>
      </w:pPr>
    </w:p>
    <w:p w14:paraId="5CAEC810" w14:textId="5D3348A7" w:rsidR="00D65FD5" w:rsidRPr="004A30A8" w:rsidRDefault="00E0705E">
      <w:pPr>
        <w:numPr>
          <w:ilvl w:val="0"/>
          <w:numId w:val="7"/>
        </w:numPr>
        <w:tabs>
          <w:tab w:val="left" w:pos="567"/>
          <w:tab w:val="num" w:pos="1569"/>
          <w:tab w:val="num" w:pos="12305"/>
        </w:tabs>
        <w:spacing w:line="240" w:lineRule="auto"/>
        <w:ind w:left="0" w:firstLine="0"/>
        <w:rPr>
          <w:lang w:val="es-ES"/>
        </w:rPr>
      </w:pPr>
      <w:r w:rsidRPr="004A30A8">
        <w:rPr>
          <w:i/>
          <w:lang w:val="es-ES"/>
        </w:rPr>
        <w:t xml:space="preserve">Alegatos y observaciones finales escritos. </w:t>
      </w:r>
      <w:r w:rsidRPr="004A30A8">
        <w:rPr>
          <w:lang w:val="es-ES"/>
        </w:rPr>
        <w:t xml:space="preserve">– El </w:t>
      </w:r>
      <w:r w:rsidR="003938E6" w:rsidRPr="004A30A8">
        <w:rPr>
          <w:lang w:val="es-ES"/>
        </w:rPr>
        <w:t>2</w:t>
      </w:r>
      <w:r w:rsidR="003115A5" w:rsidRPr="004A30A8">
        <w:rPr>
          <w:lang w:val="es-ES"/>
        </w:rPr>
        <w:t>6</w:t>
      </w:r>
      <w:r w:rsidRPr="004A30A8">
        <w:rPr>
          <w:lang w:val="es-ES"/>
        </w:rPr>
        <w:t xml:space="preserve"> de </w:t>
      </w:r>
      <w:r w:rsidR="003938E6" w:rsidRPr="004A30A8">
        <w:rPr>
          <w:lang w:val="es-ES"/>
        </w:rPr>
        <w:t>septiembr</w:t>
      </w:r>
      <w:r w:rsidR="003115A5" w:rsidRPr="004A30A8">
        <w:rPr>
          <w:lang w:val="es-ES"/>
        </w:rPr>
        <w:t>e</w:t>
      </w:r>
      <w:r w:rsidRPr="004A30A8">
        <w:rPr>
          <w:lang w:val="es-ES"/>
        </w:rPr>
        <w:t xml:space="preserve"> de </w:t>
      </w:r>
      <w:r w:rsidR="003115A5" w:rsidRPr="004A30A8">
        <w:rPr>
          <w:lang w:val="es-ES"/>
        </w:rPr>
        <w:t>2022</w:t>
      </w:r>
      <w:r w:rsidRPr="004A30A8">
        <w:rPr>
          <w:lang w:val="es-ES"/>
        </w:rPr>
        <w:t xml:space="preserve"> los representantes</w:t>
      </w:r>
      <w:r w:rsidR="003115A5" w:rsidRPr="004A30A8">
        <w:rPr>
          <w:lang w:val="es-ES"/>
        </w:rPr>
        <w:t xml:space="preserve"> y el Estado</w:t>
      </w:r>
      <w:r w:rsidRPr="004A30A8">
        <w:rPr>
          <w:lang w:val="es-ES"/>
        </w:rPr>
        <w:t xml:space="preserve"> remitieron sus alegatos finales escritos</w:t>
      </w:r>
      <w:r w:rsidR="00153F87" w:rsidRPr="004A30A8">
        <w:rPr>
          <w:lang w:val="es-ES"/>
        </w:rPr>
        <w:t>, junto</w:t>
      </w:r>
      <w:r w:rsidRPr="004A30A8">
        <w:rPr>
          <w:lang w:val="es-ES"/>
        </w:rPr>
        <w:t xml:space="preserve"> </w:t>
      </w:r>
      <w:r w:rsidR="00742EE8" w:rsidRPr="004A30A8">
        <w:rPr>
          <w:lang w:val="es-ES"/>
        </w:rPr>
        <w:t xml:space="preserve">con </w:t>
      </w:r>
      <w:r w:rsidR="00153F87" w:rsidRPr="004A30A8">
        <w:rPr>
          <w:lang w:val="es-ES"/>
        </w:rPr>
        <w:t>determinados</w:t>
      </w:r>
      <w:r w:rsidR="00742EE8" w:rsidRPr="004A30A8">
        <w:rPr>
          <w:lang w:val="es-ES"/>
        </w:rPr>
        <w:t xml:space="preserve"> </w:t>
      </w:r>
      <w:r w:rsidR="00D1519F" w:rsidRPr="004A30A8">
        <w:rPr>
          <w:lang w:val="es-ES"/>
        </w:rPr>
        <w:t>anexos</w:t>
      </w:r>
      <w:r w:rsidR="00153F87" w:rsidRPr="004A30A8">
        <w:rPr>
          <w:lang w:val="es-ES"/>
        </w:rPr>
        <w:t>,</w:t>
      </w:r>
      <w:r w:rsidR="00742EE8" w:rsidRPr="004A30A8">
        <w:rPr>
          <w:lang w:val="es-ES"/>
        </w:rPr>
        <w:t xml:space="preserve"> </w:t>
      </w:r>
      <w:r w:rsidRPr="004A30A8">
        <w:rPr>
          <w:lang w:val="es-ES"/>
        </w:rPr>
        <w:t xml:space="preserve">y la Comisión presentó sus observaciones finales escritas. </w:t>
      </w:r>
      <w:r w:rsidR="00153455" w:rsidRPr="004A30A8">
        <w:rPr>
          <w:lang w:val="es-ES"/>
        </w:rPr>
        <w:t>Mediante nota de la Secretaría de 28 de septiembre de 2022</w:t>
      </w:r>
      <w:r w:rsidR="0021625A" w:rsidRPr="004A30A8">
        <w:rPr>
          <w:lang w:val="es-ES"/>
        </w:rPr>
        <w:t>,</w:t>
      </w:r>
      <w:r w:rsidR="00654792" w:rsidRPr="004A30A8">
        <w:rPr>
          <w:lang w:val="es-ES"/>
        </w:rPr>
        <w:t xml:space="preserve"> se otorgó plazo a las partes </w:t>
      </w:r>
      <w:r w:rsidR="0088737D" w:rsidRPr="004A30A8">
        <w:rPr>
          <w:lang w:val="es-ES"/>
        </w:rPr>
        <w:t xml:space="preserve">y a la Comisión </w:t>
      </w:r>
      <w:r w:rsidR="00654792" w:rsidRPr="004A30A8">
        <w:rPr>
          <w:lang w:val="es-ES"/>
        </w:rPr>
        <w:t xml:space="preserve">para que hicieran observaciones a los </w:t>
      </w:r>
      <w:r w:rsidR="0021625A" w:rsidRPr="004A30A8">
        <w:rPr>
          <w:lang w:val="es-ES"/>
        </w:rPr>
        <w:t xml:space="preserve">referidos </w:t>
      </w:r>
      <w:r w:rsidR="00654792" w:rsidRPr="004A30A8">
        <w:rPr>
          <w:lang w:val="es-ES"/>
        </w:rPr>
        <w:t xml:space="preserve">anexos. </w:t>
      </w:r>
      <w:r w:rsidR="00D65FD5" w:rsidRPr="004A30A8">
        <w:rPr>
          <w:lang w:val="es-ES"/>
        </w:rPr>
        <w:t xml:space="preserve">El 6 de octubre </w:t>
      </w:r>
      <w:r w:rsidR="00D43F2E" w:rsidRPr="004A30A8">
        <w:rPr>
          <w:lang w:val="es-ES"/>
        </w:rPr>
        <w:lastRenderedPageBreak/>
        <w:t xml:space="preserve">de 2022 </w:t>
      </w:r>
      <w:r w:rsidR="00D65FD5" w:rsidRPr="004A30A8">
        <w:rPr>
          <w:lang w:val="es-ES"/>
        </w:rPr>
        <w:t xml:space="preserve">la Comisión indicó no tener observaciones. El 7 de octubre </w:t>
      </w:r>
      <w:r w:rsidR="00D43F2E" w:rsidRPr="004A30A8">
        <w:rPr>
          <w:lang w:val="es-ES"/>
        </w:rPr>
        <w:t xml:space="preserve">de 2022 </w:t>
      </w:r>
      <w:r w:rsidR="00D65FD5" w:rsidRPr="004A30A8">
        <w:rPr>
          <w:lang w:val="es-ES"/>
        </w:rPr>
        <w:t xml:space="preserve">el Estado y los representantes presentaron sus </w:t>
      </w:r>
      <w:r w:rsidR="00D43F2E" w:rsidRPr="004A30A8">
        <w:rPr>
          <w:lang w:val="es-ES"/>
        </w:rPr>
        <w:t xml:space="preserve">respectivas </w:t>
      </w:r>
      <w:r w:rsidR="00D65FD5" w:rsidRPr="004A30A8">
        <w:rPr>
          <w:lang w:val="es-ES"/>
        </w:rPr>
        <w:t xml:space="preserve">observaciones. </w:t>
      </w:r>
    </w:p>
    <w:p w14:paraId="0156CB68" w14:textId="77777777" w:rsidR="00E0705E" w:rsidRPr="004A30A8" w:rsidRDefault="00E0705E" w:rsidP="00CA11D5">
      <w:pPr>
        <w:tabs>
          <w:tab w:val="left" w:pos="567"/>
        </w:tabs>
        <w:spacing w:line="240" w:lineRule="auto"/>
        <w:rPr>
          <w:b/>
          <w:lang w:val="es-ES"/>
        </w:rPr>
      </w:pPr>
    </w:p>
    <w:p w14:paraId="79C5F48C" w14:textId="05B32413" w:rsidR="00E0705E" w:rsidRPr="004A30A8" w:rsidRDefault="00E0705E">
      <w:pPr>
        <w:numPr>
          <w:ilvl w:val="0"/>
          <w:numId w:val="7"/>
        </w:numPr>
        <w:tabs>
          <w:tab w:val="left" w:pos="567"/>
          <w:tab w:val="num" w:pos="1569"/>
          <w:tab w:val="num" w:pos="12305"/>
        </w:tabs>
        <w:spacing w:line="240" w:lineRule="auto"/>
        <w:ind w:left="0" w:firstLine="0"/>
        <w:rPr>
          <w:lang w:val="es-ES"/>
        </w:rPr>
      </w:pPr>
      <w:bookmarkStart w:id="8" w:name="_Hlk96955709"/>
      <w:r w:rsidRPr="004A30A8">
        <w:rPr>
          <w:i/>
          <w:lang w:val="es-ES"/>
        </w:rPr>
        <w:t xml:space="preserve">Deliberación del presente caso. </w:t>
      </w:r>
      <w:r w:rsidRPr="004A30A8">
        <w:rPr>
          <w:lang w:val="es-ES"/>
        </w:rPr>
        <w:t xml:space="preserve">– La Corte deliberó la presente Sentencia el </w:t>
      </w:r>
      <w:r w:rsidR="003337B8" w:rsidRPr="004A30A8">
        <w:rPr>
          <w:lang w:val="es-ES"/>
        </w:rPr>
        <w:t>4</w:t>
      </w:r>
      <w:r w:rsidRPr="004A30A8">
        <w:rPr>
          <w:lang w:val="es-ES"/>
        </w:rPr>
        <w:t xml:space="preserve"> de </w:t>
      </w:r>
      <w:r w:rsidR="008114A4" w:rsidRPr="004A30A8">
        <w:rPr>
          <w:lang w:val="es-ES"/>
        </w:rPr>
        <w:t>febrero</w:t>
      </w:r>
      <w:r w:rsidR="0006652F" w:rsidRPr="004A30A8">
        <w:rPr>
          <w:lang w:val="es-ES"/>
        </w:rPr>
        <w:t xml:space="preserve"> </w:t>
      </w:r>
      <w:r w:rsidRPr="004A30A8">
        <w:rPr>
          <w:lang w:val="es-ES"/>
        </w:rPr>
        <w:t xml:space="preserve">de </w:t>
      </w:r>
      <w:r w:rsidR="008114A4" w:rsidRPr="004A30A8">
        <w:rPr>
          <w:lang w:val="es-ES"/>
        </w:rPr>
        <w:t>2023</w:t>
      </w:r>
      <w:r w:rsidRPr="004A30A8">
        <w:rPr>
          <w:lang w:val="es-ES"/>
        </w:rPr>
        <w:t xml:space="preserve"> en el marco del </w:t>
      </w:r>
      <w:r w:rsidR="008114A4" w:rsidRPr="004A30A8">
        <w:rPr>
          <w:lang w:val="es-ES"/>
        </w:rPr>
        <w:t>1</w:t>
      </w:r>
      <w:r w:rsidR="00503E4C" w:rsidRPr="004A30A8">
        <w:rPr>
          <w:lang w:val="es-ES"/>
        </w:rPr>
        <w:t>55</w:t>
      </w:r>
      <w:r w:rsidR="00503E4C" w:rsidRPr="004A30A8">
        <w:rPr>
          <w:vertAlign w:val="superscript"/>
          <w:lang w:val="es-ES"/>
        </w:rPr>
        <w:t>o</w:t>
      </w:r>
      <w:r w:rsidR="00503E4C" w:rsidRPr="004A30A8">
        <w:rPr>
          <w:lang w:val="es-ES"/>
        </w:rPr>
        <w:t xml:space="preserve"> </w:t>
      </w:r>
      <w:r w:rsidRPr="004A30A8">
        <w:rPr>
          <w:lang w:val="es-ES"/>
        </w:rPr>
        <w:t>Período Ordinario de Sesiones.</w:t>
      </w:r>
    </w:p>
    <w:p w14:paraId="02EC79BF" w14:textId="43D079FB" w:rsidR="00FC354F" w:rsidRPr="004A30A8" w:rsidRDefault="00E0705E" w:rsidP="00D03F10">
      <w:pPr>
        <w:pStyle w:val="Ttulo1"/>
        <w:spacing w:before="360" w:after="360"/>
      </w:pPr>
      <w:bookmarkStart w:id="9" w:name="_Toc129887085"/>
      <w:bookmarkEnd w:id="8"/>
      <w:r w:rsidRPr="004A30A8">
        <w:t>III</w:t>
      </w:r>
      <w:r w:rsidRPr="004A30A8">
        <w:br/>
        <w:t>COMPETENCIA</w:t>
      </w:r>
      <w:bookmarkEnd w:id="9"/>
    </w:p>
    <w:p w14:paraId="085A6949" w14:textId="6772D8FC" w:rsidR="00B52047" w:rsidRPr="004A30A8" w:rsidRDefault="00FC354F" w:rsidP="00B52047">
      <w:pPr>
        <w:numPr>
          <w:ilvl w:val="0"/>
          <w:numId w:val="7"/>
        </w:numPr>
        <w:tabs>
          <w:tab w:val="left" w:pos="567"/>
          <w:tab w:val="num" w:pos="1569"/>
          <w:tab w:val="num" w:pos="12305"/>
        </w:tabs>
        <w:spacing w:line="240" w:lineRule="auto"/>
        <w:ind w:left="0" w:firstLine="0"/>
        <w:rPr>
          <w:lang w:val="es-ES"/>
        </w:rPr>
      </w:pPr>
      <w:r w:rsidRPr="004A30A8">
        <w:rPr>
          <w:lang w:val="es-ES_tradnl"/>
        </w:rPr>
        <w:t xml:space="preserve">La Corte es competente para conocer el presente caso, en los términos del artículo 62.3 de </w:t>
      </w:r>
      <w:r w:rsidRPr="004A30A8">
        <w:rPr>
          <w:iCs/>
          <w:lang w:val="es-ES"/>
        </w:rPr>
        <w:t>la</w:t>
      </w:r>
      <w:r w:rsidRPr="004A30A8">
        <w:rPr>
          <w:lang w:val="es-ES_tradnl"/>
        </w:rPr>
        <w:t xml:space="preserve"> Convención</w:t>
      </w:r>
      <w:r w:rsidR="00D43F2E" w:rsidRPr="004A30A8">
        <w:rPr>
          <w:lang w:val="es-ES_tradnl"/>
        </w:rPr>
        <w:t xml:space="preserve"> Americana</w:t>
      </w:r>
      <w:r w:rsidRPr="004A30A8">
        <w:rPr>
          <w:lang w:val="es-ES_tradnl"/>
        </w:rPr>
        <w:t xml:space="preserve">, </w:t>
      </w:r>
      <w:r w:rsidR="00D43F2E" w:rsidRPr="004A30A8">
        <w:t>en razón de que Perú es Estado Parte de dicho instrumento desde el 28 de julio de 1978 y reconoció la competencia contenciosa de la Corte el 21 de enero de 1981.</w:t>
      </w:r>
    </w:p>
    <w:p w14:paraId="16B77174" w14:textId="04DF86AE" w:rsidR="00BB3578" w:rsidRPr="004A30A8" w:rsidRDefault="001B0BA5" w:rsidP="00D03F10">
      <w:pPr>
        <w:pStyle w:val="Ttulo1"/>
        <w:spacing w:before="360" w:after="360"/>
      </w:pPr>
      <w:bookmarkStart w:id="10" w:name="_Toc129887086"/>
      <w:r w:rsidRPr="004A30A8">
        <w:t>I</w:t>
      </w:r>
      <w:r w:rsidR="00BB3578" w:rsidRPr="004A30A8">
        <w:t>V</w:t>
      </w:r>
      <w:r w:rsidR="00BB3578" w:rsidRPr="004A30A8">
        <w:br/>
        <w:t>EXCEPCIONES PRELIMINARES</w:t>
      </w:r>
      <w:bookmarkEnd w:id="10"/>
    </w:p>
    <w:p w14:paraId="228CEB9F" w14:textId="00F9B573" w:rsidR="00503E4C" w:rsidRPr="004A30A8" w:rsidRDefault="00503E4C" w:rsidP="00503E4C">
      <w:pPr>
        <w:numPr>
          <w:ilvl w:val="0"/>
          <w:numId w:val="7"/>
        </w:numPr>
        <w:tabs>
          <w:tab w:val="left" w:pos="567"/>
          <w:tab w:val="num" w:pos="1569"/>
          <w:tab w:val="num" w:pos="12305"/>
        </w:tabs>
        <w:spacing w:line="240" w:lineRule="auto"/>
        <w:ind w:left="0" w:firstLine="0"/>
        <w:rPr>
          <w:lang w:val="es-ES"/>
        </w:rPr>
      </w:pPr>
      <w:r w:rsidRPr="004A30A8">
        <w:rPr>
          <w:lang w:val="es-ES"/>
        </w:rPr>
        <w:t xml:space="preserve">El Estado interpuso cinco excepciones preliminares relacionadas con: a) el control de legalidad </w:t>
      </w:r>
      <w:r w:rsidRPr="004A30A8">
        <w:rPr>
          <w:lang w:val="es-ES_tradnl"/>
        </w:rPr>
        <w:t>del</w:t>
      </w:r>
      <w:r w:rsidRPr="004A30A8">
        <w:rPr>
          <w:lang w:val="es-ES"/>
        </w:rPr>
        <w:t xml:space="preserve"> procedimiento seguido por la Comisión; b) la imposibilidad de que la Comisión asuma un rol de cuarta instancia; c) el incumplimiento del requisito relativo a la interposición y al agotamiento de recursos internos; d) la indebida inclusión de hechos que no forman parte del marco fáctico del caso y e) la indebida inclusión en el</w:t>
      </w:r>
      <w:r w:rsidR="00D3411D" w:rsidRPr="004A30A8">
        <w:rPr>
          <w:lang w:val="es-ES"/>
        </w:rPr>
        <w:t xml:space="preserve"> escrito de solicitudes y argumentos</w:t>
      </w:r>
      <w:r w:rsidRPr="004A30A8">
        <w:rPr>
          <w:lang w:val="es-ES"/>
        </w:rPr>
        <w:t xml:space="preserve"> de derechos presuntamente vulnerados. Debido a la similitud de argumentos, </w:t>
      </w:r>
      <w:r w:rsidR="00FD4C73" w:rsidRPr="004A30A8">
        <w:rPr>
          <w:lang w:val="es-ES"/>
        </w:rPr>
        <w:t>la Corte</w:t>
      </w:r>
      <w:r w:rsidRPr="004A30A8">
        <w:rPr>
          <w:lang w:val="es-ES"/>
        </w:rPr>
        <w:t xml:space="preserve"> analizará las dos primeras excepciones de manera conjunta. Asimismo, en relación con las consideraciones d</w:t>
      </w:r>
      <w:r w:rsidR="00FD4C73" w:rsidRPr="004A30A8">
        <w:rPr>
          <w:lang w:val="es-ES"/>
        </w:rPr>
        <w:t>)</w:t>
      </w:r>
      <w:r w:rsidRPr="004A30A8">
        <w:rPr>
          <w:lang w:val="es-ES"/>
        </w:rPr>
        <w:t xml:space="preserve"> y e</w:t>
      </w:r>
      <w:r w:rsidR="00FD4C73" w:rsidRPr="004A30A8">
        <w:rPr>
          <w:lang w:val="es-ES"/>
        </w:rPr>
        <w:t>)</w:t>
      </w:r>
      <w:r w:rsidRPr="004A30A8">
        <w:rPr>
          <w:lang w:val="es-ES"/>
        </w:rPr>
        <w:t xml:space="preserve">, el Tribunal advierte que las mismas, debido a su naturaleza, no constituyen excepciones preliminares, razón por la cual serán analizadas en el capítulo siguiente, titulado “Consideraciones Previas”. </w:t>
      </w:r>
    </w:p>
    <w:p w14:paraId="6668D38F" w14:textId="37DC1724" w:rsidR="0016552B" w:rsidRPr="004A30A8" w:rsidRDefault="00FD74B7" w:rsidP="003153DF">
      <w:pPr>
        <w:pStyle w:val="Ttulo2"/>
        <w:spacing w:before="360" w:after="360"/>
        <w:ind w:left="1145"/>
      </w:pPr>
      <w:bookmarkStart w:id="11" w:name="_Toc129887087"/>
      <w:r w:rsidRPr="004A30A8">
        <w:t xml:space="preserve">A. </w:t>
      </w:r>
      <w:r w:rsidR="00750FC5" w:rsidRPr="004A30A8">
        <w:t>Control de legalidad de</w:t>
      </w:r>
      <w:r w:rsidR="00D3411D" w:rsidRPr="004A30A8">
        <w:t>l procedimiento seguido por</w:t>
      </w:r>
      <w:r w:rsidR="00750FC5" w:rsidRPr="004A30A8">
        <w:t xml:space="preserve"> la Comisión y e</w:t>
      </w:r>
      <w:r w:rsidR="0016552B" w:rsidRPr="004A30A8">
        <w:t>xcepción de cuarta instancia</w:t>
      </w:r>
      <w:bookmarkEnd w:id="11"/>
    </w:p>
    <w:p w14:paraId="692E7CBE" w14:textId="0038E84B" w:rsidR="003F1469" w:rsidRPr="004A30A8" w:rsidRDefault="009117FF" w:rsidP="003153DF">
      <w:pPr>
        <w:pStyle w:val="Ttulo3"/>
        <w:spacing w:before="360" w:after="360"/>
        <w:ind w:left="992"/>
        <w:contextualSpacing w:val="0"/>
        <w:rPr>
          <w:b w:val="0"/>
          <w:bCs/>
          <w:lang w:val="es-ES"/>
        </w:rPr>
      </w:pPr>
      <w:bookmarkStart w:id="12" w:name="_Toc129887088"/>
      <w:r w:rsidRPr="004A30A8">
        <w:rPr>
          <w:b w:val="0"/>
          <w:bCs/>
        </w:rPr>
        <w:t>A</w:t>
      </w:r>
      <w:r w:rsidR="00EC7D5E" w:rsidRPr="004A30A8">
        <w:rPr>
          <w:b w:val="0"/>
          <w:bCs/>
          <w:lang w:val="es-ES"/>
        </w:rPr>
        <w:t>.1 Alegatos del Estado y observaciones de la Comisión y de los representantes</w:t>
      </w:r>
      <w:bookmarkEnd w:id="12"/>
    </w:p>
    <w:p w14:paraId="0AE6D033" w14:textId="1AF09FCD" w:rsidR="00825986" w:rsidRPr="004A30A8" w:rsidRDefault="00D1519F">
      <w:pPr>
        <w:numPr>
          <w:ilvl w:val="0"/>
          <w:numId w:val="7"/>
        </w:numPr>
        <w:tabs>
          <w:tab w:val="left" w:pos="567"/>
          <w:tab w:val="num" w:pos="1569"/>
          <w:tab w:val="num" w:pos="12305"/>
        </w:tabs>
        <w:spacing w:line="240" w:lineRule="auto"/>
        <w:ind w:left="0" w:firstLine="0"/>
      </w:pPr>
      <w:r w:rsidRPr="004A30A8">
        <w:rPr>
          <w:lang w:val="es-ES"/>
        </w:rPr>
        <w:t xml:space="preserve">El </w:t>
      </w:r>
      <w:r w:rsidR="003F1469" w:rsidRPr="004A30A8">
        <w:rPr>
          <w:b/>
          <w:bCs/>
          <w:i/>
          <w:iCs/>
          <w:lang w:val="es-ES"/>
        </w:rPr>
        <w:t xml:space="preserve">Estado </w:t>
      </w:r>
      <w:r w:rsidR="003F1469" w:rsidRPr="004A30A8">
        <w:t>solicitó que la Corte realizara un control de legalidad sobre las actuaciones de la Comisión por considerar que este órgano se “extralimitó en sus funciones” asumiendo competencias que corresponderían de manera exclusiva a los tribunales internos</w:t>
      </w:r>
      <w:r w:rsidR="00750FC5" w:rsidRPr="004A30A8">
        <w:t xml:space="preserve">, toda vez que </w:t>
      </w:r>
      <w:r w:rsidR="00B25898" w:rsidRPr="004A30A8">
        <w:t xml:space="preserve">habría </w:t>
      </w:r>
      <w:r w:rsidR="00750FC5" w:rsidRPr="004A30A8">
        <w:t>realiz</w:t>
      </w:r>
      <w:r w:rsidR="00B25898" w:rsidRPr="004A30A8">
        <w:t>ado</w:t>
      </w:r>
      <w:r w:rsidR="00750FC5" w:rsidRPr="004A30A8">
        <w:t xml:space="preserve"> “un examen y valoración de medios probatorios, que no corresponde a sus funciones”, actuando, de esta manera “como un tribunal de alzada”</w:t>
      </w:r>
      <w:r w:rsidR="003F1469" w:rsidRPr="004A30A8">
        <w:t xml:space="preserve">. Precisó que la Comisión habría realizado un reexamen de los medios probatorios desplegados en el procedimiento administrativo y en el proceso judicial llevado a cabo por las autoridades internas, </w:t>
      </w:r>
      <w:r w:rsidR="00750FC5" w:rsidRPr="004A30A8">
        <w:t>“tal como lo haría un tribunal superior, que reevalúa las actuaciones del inferior jerárquico”</w:t>
      </w:r>
      <w:r w:rsidR="003F1469" w:rsidRPr="004A30A8">
        <w:t xml:space="preserve">. </w:t>
      </w:r>
    </w:p>
    <w:p w14:paraId="29574107" w14:textId="77777777" w:rsidR="004579C7" w:rsidRPr="004A30A8" w:rsidRDefault="004579C7" w:rsidP="004579C7">
      <w:pPr>
        <w:tabs>
          <w:tab w:val="left" w:pos="567"/>
        </w:tabs>
        <w:spacing w:line="240" w:lineRule="auto"/>
      </w:pPr>
    </w:p>
    <w:p w14:paraId="62EF86DF" w14:textId="0756E87E" w:rsidR="00CA24E4" w:rsidRPr="004A30A8" w:rsidRDefault="00C8509D">
      <w:pPr>
        <w:numPr>
          <w:ilvl w:val="0"/>
          <w:numId w:val="7"/>
        </w:numPr>
        <w:tabs>
          <w:tab w:val="left" w:pos="567"/>
          <w:tab w:val="num" w:pos="1569"/>
          <w:tab w:val="num" w:pos="12305"/>
        </w:tabs>
        <w:spacing w:line="240" w:lineRule="auto"/>
        <w:ind w:left="0" w:firstLine="0"/>
      </w:pPr>
      <w:r w:rsidRPr="004A30A8">
        <w:t xml:space="preserve">La </w:t>
      </w:r>
      <w:r w:rsidRPr="004A30A8">
        <w:rPr>
          <w:b/>
          <w:bCs/>
          <w:i/>
          <w:iCs/>
        </w:rPr>
        <w:t>Comisión</w:t>
      </w:r>
      <w:r w:rsidR="00750FC5" w:rsidRPr="004A30A8">
        <w:t>, por su parte,</w:t>
      </w:r>
      <w:r w:rsidRPr="004A30A8">
        <w:rPr>
          <w:b/>
          <w:bCs/>
          <w:i/>
          <w:iCs/>
        </w:rPr>
        <w:t xml:space="preserve"> </w:t>
      </w:r>
      <w:r w:rsidRPr="004A30A8">
        <w:t>indicó</w:t>
      </w:r>
      <w:r w:rsidR="00750FC5" w:rsidRPr="004A30A8">
        <w:t xml:space="preserve">, en primer lugar, que el Estado no demostró que la Comisión hubiese cometido errores y menos de carácter grave que ameriten el control de legalidad </w:t>
      </w:r>
      <w:r w:rsidR="00A7288A" w:rsidRPr="004A30A8">
        <w:t xml:space="preserve">por parte </w:t>
      </w:r>
      <w:r w:rsidR="00750FC5" w:rsidRPr="004A30A8">
        <w:t>de la Corte.</w:t>
      </w:r>
      <w:r w:rsidRPr="004A30A8">
        <w:t xml:space="preserve"> </w:t>
      </w:r>
      <w:r w:rsidR="00750FC5" w:rsidRPr="004A30A8">
        <w:t>A continuación</w:t>
      </w:r>
      <w:r w:rsidR="00473FD3" w:rsidRPr="004A30A8">
        <w:t>,</w:t>
      </w:r>
      <w:r w:rsidR="00750FC5" w:rsidRPr="004A30A8">
        <w:t xml:space="preserve"> indicó que no se encontraba actuando </w:t>
      </w:r>
      <w:r w:rsidR="00750FC5" w:rsidRPr="004A30A8">
        <w:lastRenderedPageBreak/>
        <w:t xml:space="preserve">como una cuarta instancia, sino revisando si las actuaciones de las </w:t>
      </w:r>
      <w:r w:rsidR="00750FC5" w:rsidRPr="004A30A8">
        <w:rPr>
          <w:lang w:val="es-ES"/>
        </w:rPr>
        <w:t>autoridades</w:t>
      </w:r>
      <w:r w:rsidR="00750FC5" w:rsidRPr="004A30A8">
        <w:t xml:space="preserve"> a nivel interno respetaron los derechos protegidos por la Convención Americana</w:t>
      </w:r>
      <w:r w:rsidR="00E25BF5" w:rsidRPr="004A30A8">
        <w:t xml:space="preserve"> y que, para tal efecto, </w:t>
      </w:r>
      <w:r w:rsidR="00A46477" w:rsidRPr="004A30A8">
        <w:t xml:space="preserve">aplicó </w:t>
      </w:r>
      <w:r w:rsidR="00E25BF5" w:rsidRPr="004A30A8">
        <w:t xml:space="preserve">el estándar probatorio requerido en el Sistema Interamericano de Derechos Humanos y desarrollado desde el </w:t>
      </w:r>
      <w:r w:rsidR="00E25BF5" w:rsidRPr="004A30A8">
        <w:rPr>
          <w:i/>
          <w:iCs/>
        </w:rPr>
        <w:t>caso Velásquez Rodríguez Vs. Honduras</w:t>
      </w:r>
      <w:r w:rsidR="00E25BF5" w:rsidRPr="004A30A8">
        <w:t>. Añadió que, en el examen de compatibilidad de las actuaciones a nivel interno, la Comisión podía evaluar si la carga probatoria impuesta en el marco de un proceso resultaba compatible con la Convención Americana</w:t>
      </w:r>
      <w:r w:rsidRPr="004A30A8">
        <w:t>. Por lo tanto, consideró que su actuar fue consecuente con la</w:t>
      </w:r>
      <w:r w:rsidR="00CA24E4" w:rsidRPr="004A30A8">
        <w:t xml:space="preserve"> jurisprudencia de la Corte Interamericana y solicitó que se </w:t>
      </w:r>
      <w:r w:rsidR="00874D23" w:rsidRPr="004A30A8">
        <w:t xml:space="preserve">rechazara </w:t>
      </w:r>
      <w:r w:rsidR="00CA24E4" w:rsidRPr="004A30A8">
        <w:t xml:space="preserve">esta excepción preliminar. </w:t>
      </w:r>
    </w:p>
    <w:p w14:paraId="2D63B2DF" w14:textId="77777777" w:rsidR="00CA24E4" w:rsidRPr="004A30A8" w:rsidRDefault="00CA24E4" w:rsidP="00CA24E4">
      <w:pPr>
        <w:tabs>
          <w:tab w:val="left" w:pos="567"/>
          <w:tab w:val="num" w:pos="12305"/>
        </w:tabs>
        <w:spacing w:line="240" w:lineRule="auto"/>
      </w:pPr>
    </w:p>
    <w:p w14:paraId="760C5A87" w14:textId="193226F9" w:rsidR="00F119F9" w:rsidRPr="004A30A8" w:rsidRDefault="00CA24E4">
      <w:pPr>
        <w:numPr>
          <w:ilvl w:val="0"/>
          <w:numId w:val="7"/>
        </w:numPr>
        <w:tabs>
          <w:tab w:val="left" w:pos="567"/>
          <w:tab w:val="num" w:pos="1569"/>
          <w:tab w:val="num" w:pos="12305"/>
        </w:tabs>
        <w:spacing w:line="240" w:lineRule="auto"/>
        <w:ind w:left="0" w:firstLine="0"/>
      </w:pPr>
      <w:r w:rsidRPr="004A30A8">
        <w:t xml:space="preserve">Los </w:t>
      </w:r>
      <w:r w:rsidRPr="004A30A8">
        <w:rPr>
          <w:b/>
          <w:bCs/>
          <w:i/>
          <w:iCs/>
        </w:rPr>
        <w:t xml:space="preserve">representantes </w:t>
      </w:r>
      <w:r w:rsidR="00F119F9" w:rsidRPr="004A30A8">
        <w:t xml:space="preserve">recordaron que la Corte ya ha establecido “claramente” en su jurisprudencia constante que sí está autorizada a examinar lo realizado por los tribunales internos si lo que se busca es determinar la compatibilidad de las actuaciones jurisdiccionales domésticas con la Convención Americana. Por tal razón, la conformidad de los procedimientos internos con el marco interamericano es materia propia del fondo de la controversia. </w:t>
      </w:r>
    </w:p>
    <w:p w14:paraId="09F91A76" w14:textId="70D143C6" w:rsidR="00ED0246" w:rsidRPr="004A30A8" w:rsidRDefault="009117FF" w:rsidP="003153DF">
      <w:pPr>
        <w:pStyle w:val="Ttulo3"/>
        <w:spacing w:before="360" w:after="360"/>
        <w:ind w:left="992"/>
        <w:contextualSpacing w:val="0"/>
        <w:rPr>
          <w:b w:val="0"/>
          <w:bCs/>
          <w:lang w:val="es-ES"/>
        </w:rPr>
      </w:pPr>
      <w:bookmarkStart w:id="13" w:name="_Toc129887089"/>
      <w:r w:rsidRPr="004A30A8">
        <w:rPr>
          <w:b w:val="0"/>
          <w:bCs/>
          <w:lang w:val="es-ES"/>
        </w:rPr>
        <w:t>A</w:t>
      </w:r>
      <w:r w:rsidR="00ED0246" w:rsidRPr="004A30A8">
        <w:rPr>
          <w:b w:val="0"/>
          <w:bCs/>
          <w:lang w:val="es-ES"/>
        </w:rPr>
        <w:t>.2 Consideraciones de la Corte</w:t>
      </w:r>
      <w:bookmarkEnd w:id="13"/>
    </w:p>
    <w:p w14:paraId="04F10947" w14:textId="459E8CAF" w:rsidR="002136C9" w:rsidRPr="004A30A8" w:rsidRDefault="00265DEF">
      <w:pPr>
        <w:numPr>
          <w:ilvl w:val="0"/>
          <w:numId w:val="7"/>
        </w:numPr>
        <w:tabs>
          <w:tab w:val="left" w:pos="567"/>
          <w:tab w:val="num" w:pos="1569"/>
          <w:tab w:val="num" w:pos="12305"/>
        </w:tabs>
        <w:spacing w:line="240" w:lineRule="auto"/>
        <w:ind w:left="0" w:firstLine="0"/>
      </w:pPr>
      <w:r w:rsidRPr="004A30A8">
        <w:t>E</w:t>
      </w:r>
      <w:r w:rsidR="007D56CB" w:rsidRPr="004A30A8">
        <w:t>n</w:t>
      </w:r>
      <w:r w:rsidR="00A75AC9" w:rsidRPr="004A30A8">
        <w:t xml:space="preserve"> primer lugar, la </w:t>
      </w:r>
      <w:r w:rsidR="00A75AC9" w:rsidRPr="004A30A8">
        <w:rPr>
          <w:b/>
          <w:bCs/>
          <w:i/>
          <w:iCs/>
        </w:rPr>
        <w:t>Corte</w:t>
      </w:r>
      <w:r w:rsidR="00A75AC9" w:rsidRPr="004A30A8">
        <w:t xml:space="preserve"> </w:t>
      </w:r>
      <w:r w:rsidR="000151AE" w:rsidRPr="004A30A8">
        <w:t xml:space="preserve">recuerda que la Comisión Interamericana posee independencia y autonomía </w:t>
      </w:r>
      <w:r w:rsidR="00426DFC" w:rsidRPr="004A30A8">
        <w:t>en el ejercicio de sus funciones conforme</w:t>
      </w:r>
      <w:r w:rsidR="00481AC2" w:rsidRPr="004A30A8">
        <w:t xml:space="preserve"> a</w:t>
      </w:r>
      <w:r w:rsidR="00426DFC" w:rsidRPr="004A30A8">
        <w:t xml:space="preserve"> lo estipulado en la Convención Americana, en especial, en lo relativo al procedimiento de análisis de </w:t>
      </w:r>
      <w:r w:rsidR="00321C68" w:rsidRPr="004A30A8">
        <w:t>peticiones</w:t>
      </w:r>
      <w:r w:rsidR="00426DFC" w:rsidRPr="004A30A8">
        <w:t xml:space="preserve"> individuales dispuesto en los numerales 44 a 51 de la Convención. </w:t>
      </w:r>
      <w:r w:rsidR="00B95662" w:rsidRPr="004A30A8">
        <w:t xml:space="preserve">A pesar de esto, </w:t>
      </w:r>
      <w:r w:rsidR="000B06FE" w:rsidRPr="004A30A8">
        <w:t>este Tribunal, en su jurisprudencia, ha establecido que puede efectuar un control de legalidad de las actuaciones de la Comisión</w:t>
      </w:r>
      <w:r w:rsidR="00321C68" w:rsidRPr="004A30A8">
        <w:t xml:space="preserve"> en tanto alguna de las partes alegue la existencia de un grave</w:t>
      </w:r>
      <w:r w:rsidR="00150AB5" w:rsidRPr="004A30A8">
        <w:t xml:space="preserve"> error</w:t>
      </w:r>
      <w:r w:rsidR="00321C68" w:rsidRPr="004A30A8">
        <w:t xml:space="preserve"> que genere indefensión</w:t>
      </w:r>
      <w:r w:rsidR="00A14A3E" w:rsidRPr="004A30A8">
        <w:rPr>
          <w:rStyle w:val="Refdenotaalpie"/>
        </w:rPr>
        <w:footnoteReference w:id="20"/>
      </w:r>
      <w:r w:rsidR="00A14A3E" w:rsidRPr="004A30A8">
        <w:t xml:space="preserve">. </w:t>
      </w:r>
      <w:r w:rsidR="007B24B3" w:rsidRPr="004A30A8">
        <w:t>En el presente caso</w:t>
      </w:r>
      <w:r w:rsidR="00B25898" w:rsidRPr="004A30A8">
        <w:t>,</w:t>
      </w:r>
      <w:r w:rsidR="007B24B3" w:rsidRPr="004A30A8">
        <w:t xml:space="preserve"> </w:t>
      </w:r>
      <w:r w:rsidR="00B25898" w:rsidRPr="004A30A8">
        <w:t>la Corte</w:t>
      </w:r>
      <w:r w:rsidR="007B24B3" w:rsidRPr="004A30A8">
        <w:t xml:space="preserve"> advierte que el Estado no desplegó ningún argumento o actividad probatoria que acreditara este extremo.</w:t>
      </w:r>
    </w:p>
    <w:p w14:paraId="5BAE9CC0" w14:textId="77777777" w:rsidR="00A14A3E" w:rsidRPr="004A30A8" w:rsidRDefault="00A14A3E" w:rsidP="00A14A3E">
      <w:pPr>
        <w:tabs>
          <w:tab w:val="left" w:pos="567"/>
        </w:tabs>
        <w:spacing w:line="240" w:lineRule="auto"/>
      </w:pPr>
    </w:p>
    <w:p w14:paraId="3885AB5D" w14:textId="1D8C5917" w:rsidR="00F119F9" w:rsidRPr="004A30A8" w:rsidRDefault="00513552">
      <w:pPr>
        <w:numPr>
          <w:ilvl w:val="0"/>
          <w:numId w:val="7"/>
        </w:numPr>
        <w:tabs>
          <w:tab w:val="left" w:pos="567"/>
          <w:tab w:val="num" w:pos="1569"/>
          <w:tab w:val="num" w:pos="12305"/>
        </w:tabs>
        <w:spacing w:line="240" w:lineRule="auto"/>
        <w:ind w:left="0" w:firstLine="0"/>
      </w:pPr>
      <w:r w:rsidRPr="004A30A8">
        <w:t>En segundo lugar</w:t>
      </w:r>
      <w:r w:rsidR="00027360" w:rsidRPr="004A30A8">
        <w:t xml:space="preserve">, la Corte </w:t>
      </w:r>
      <w:r w:rsidR="000223D2" w:rsidRPr="004A30A8">
        <w:t>ha sostenido que</w:t>
      </w:r>
      <w:r w:rsidR="007E4705" w:rsidRPr="004A30A8">
        <w:t xml:space="preserve"> los órganos del Sistema Interamericano de Derechos Humanos</w:t>
      </w:r>
      <w:r w:rsidR="00503E4C" w:rsidRPr="004A30A8">
        <w:t xml:space="preserve"> </w:t>
      </w:r>
      <w:r w:rsidR="007E4705" w:rsidRPr="004A30A8">
        <w:t xml:space="preserve">no fungen el rol de </w:t>
      </w:r>
      <w:r w:rsidR="00CE2FD6" w:rsidRPr="004A30A8">
        <w:t xml:space="preserve">una </w:t>
      </w:r>
      <w:r w:rsidR="007E4705" w:rsidRPr="004A30A8">
        <w:t>cuarta instancia</w:t>
      </w:r>
      <w:r w:rsidR="008B2DFA" w:rsidRPr="004A30A8">
        <w:t xml:space="preserve"> de revisión </w:t>
      </w:r>
      <w:r w:rsidR="008B2DFA" w:rsidRPr="004A30A8">
        <w:rPr>
          <w:iCs/>
          <w:lang w:val="es-ES"/>
        </w:rPr>
        <w:t>judicial</w:t>
      </w:r>
      <w:r w:rsidR="007E4705" w:rsidRPr="004A30A8">
        <w:t xml:space="preserve">, y que, por lo tanto, no pueden </w:t>
      </w:r>
      <w:r w:rsidR="00F41172" w:rsidRPr="004A30A8">
        <w:t>examinar la valoración</w:t>
      </w:r>
      <w:r w:rsidR="00931A4D" w:rsidRPr="004A30A8">
        <w:t xml:space="preserve"> de la prueba realizada por los jueces nacionales para determinar si dichas valoraciones fueron compatibles con </w:t>
      </w:r>
      <w:r w:rsidR="00384652" w:rsidRPr="004A30A8">
        <w:t>la normativa interna</w:t>
      </w:r>
      <w:r w:rsidR="00931A4D" w:rsidRPr="004A30A8">
        <w:t>.</w:t>
      </w:r>
      <w:r w:rsidR="00B437D9" w:rsidRPr="004A30A8">
        <w:t xml:space="preserve"> </w:t>
      </w:r>
      <w:r w:rsidR="007E4705" w:rsidRPr="004A30A8">
        <w:t xml:space="preserve">No obstante, </w:t>
      </w:r>
      <w:r w:rsidR="0007361A" w:rsidRPr="004A30A8">
        <w:t xml:space="preserve">cuando las </w:t>
      </w:r>
      <w:r w:rsidR="00FC530B" w:rsidRPr="004A30A8">
        <w:t>alegadas violaciones a las obligaciones internacionales del Estado</w:t>
      </w:r>
      <w:r w:rsidR="0007361A" w:rsidRPr="004A30A8">
        <w:t xml:space="preserve"> se vinculen a las actuaciones </w:t>
      </w:r>
      <w:r w:rsidR="00FC530B" w:rsidRPr="004A30A8">
        <w:t xml:space="preserve">de órganos jurisdiccionales, esto puede conducir a </w:t>
      </w:r>
      <w:r w:rsidR="00AA5C7B" w:rsidRPr="004A30A8">
        <w:t>examin</w:t>
      </w:r>
      <w:r w:rsidR="00785D8E" w:rsidRPr="004A30A8">
        <w:t>ar</w:t>
      </w:r>
      <w:r w:rsidR="00AA5C7B" w:rsidRPr="004A30A8">
        <w:t xml:space="preserve"> los respectivos procesos internos, en aras de establecer si estos son compatibles con la Convención Americana</w:t>
      </w:r>
      <w:r w:rsidR="00AA5C7B" w:rsidRPr="004A30A8">
        <w:rPr>
          <w:rStyle w:val="Refdenotaalpie"/>
        </w:rPr>
        <w:footnoteReference w:id="21"/>
      </w:r>
      <w:r w:rsidR="00527B62" w:rsidRPr="004A30A8">
        <w:t>.</w:t>
      </w:r>
      <w:r w:rsidR="00785D8E" w:rsidRPr="004A30A8">
        <w:t xml:space="preserve"> </w:t>
      </w:r>
      <w:r w:rsidR="00D44EEC" w:rsidRPr="004A30A8">
        <w:t>A este respecto, e</w:t>
      </w:r>
      <w:r w:rsidR="007B24B3" w:rsidRPr="004A30A8">
        <w:t xml:space="preserve">l Estado </w:t>
      </w:r>
      <w:r w:rsidR="00124DED" w:rsidRPr="004A30A8">
        <w:t>afirma</w:t>
      </w:r>
      <w:r w:rsidR="007B24B3" w:rsidRPr="004A30A8">
        <w:t xml:space="preserve"> que la Comisión Interamericana ejerció funciones de cuarta instancia.</w:t>
      </w:r>
      <w:r w:rsidR="00DF7FF5" w:rsidRPr="004A30A8">
        <w:t xml:space="preserve"> </w:t>
      </w:r>
      <w:r w:rsidR="007B24B3" w:rsidRPr="004A30A8">
        <w:t>Est</w:t>
      </w:r>
      <w:r w:rsidR="00B25898" w:rsidRPr="004A30A8">
        <w:t>a Corte</w:t>
      </w:r>
      <w:r w:rsidR="007B24B3" w:rsidRPr="004A30A8">
        <w:t xml:space="preserve"> advierte que</w:t>
      </w:r>
      <w:r w:rsidR="00124DED" w:rsidRPr="004A30A8">
        <w:t xml:space="preserve"> el objeto d</w:t>
      </w:r>
      <w:r w:rsidR="007B24B3" w:rsidRPr="004A30A8">
        <w:t>el presente caso</w:t>
      </w:r>
      <w:r w:rsidR="00124DED" w:rsidRPr="004A30A8">
        <w:t xml:space="preserve"> no es realizar un examen </w:t>
      </w:r>
      <w:r w:rsidR="00124DED" w:rsidRPr="004A30A8">
        <w:lastRenderedPageBreak/>
        <w:t>y valoración de la prueba producida a nivel interno, sino determinar si se produjo</w:t>
      </w:r>
      <w:r w:rsidR="007B24B3" w:rsidRPr="004A30A8">
        <w:t xml:space="preserve"> </w:t>
      </w:r>
      <w:r w:rsidR="00F119F9" w:rsidRPr="004A30A8">
        <w:t>la vulneración a distintos derechos consagrados en la</w:t>
      </w:r>
      <w:r w:rsidR="00556587" w:rsidRPr="004A30A8">
        <w:t xml:space="preserve"> </w:t>
      </w:r>
      <w:r w:rsidR="00F119F9" w:rsidRPr="004A30A8">
        <w:t xml:space="preserve">Convención Americana en el marco de las decisiones </w:t>
      </w:r>
      <w:r w:rsidRPr="004A30A8">
        <w:t>adoptadas</w:t>
      </w:r>
      <w:r w:rsidR="00F119F9" w:rsidRPr="004A30A8">
        <w:t xml:space="preserve"> por las autoridades</w:t>
      </w:r>
      <w:r w:rsidR="00556587" w:rsidRPr="004A30A8">
        <w:t xml:space="preserve"> </w:t>
      </w:r>
      <w:r w:rsidR="00F119F9" w:rsidRPr="004A30A8">
        <w:t>nacionales, tanto en sede administrativa como judicial</w:t>
      </w:r>
      <w:r w:rsidR="00124DED" w:rsidRPr="004A30A8">
        <w:t xml:space="preserve">, tal y como lo hizo la Comisión </w:t>
      </w:r>
      <w:r w:rsidR="00B25898" w:rsidRPr="004A30A8">
        <w:t>Intera</w:t>
      </w:r>
      <w:r w:rsidR="00124DED" w:rsidRPr="004A30A8">
        <w:t>mericana</w:t>
      </w:r>
      <w:r w:rsidR="00F119F9" w:rsidRPr="004A30A8">
        <w:t>. En consecuencia, con el fin de</w:t>
      </w:r>
      <w:r w:rsidR="00556587" w:rsidRPr="004A30A8">
        <w:t xml:space="preserve"> </w:t>
      </w:r>
      <w:r w:rsidR="00F119F9" w:rsidRPr="004A30A8">
        <w:t>determinar si dichas violaciones efectivamente acaecieron, se hace imprescindible analizar las</w:t>
      </w:r>
      <w:r w:rsidR="00556587" w:rsidRPr="004A30A8">
        <w:t xml:space="preserve"> </w:t>
      </w:r>
      <w:r w:rsidR="00F119F9" w:rsidRPr="004A30A8">
        <w:t>resoluciones dictadas por las distintas autoridades administrativas y jurisdiccionales, a fin de</w:t>
      </w:r>
      <w:r w:rsidR="00556587" w:rsidRPr="004A30A8">
        <w:t xml:space="preserve"> </w:t>
      </w:r>
      <w:r w:rsidR="00F119F9" w:rsidRPr="004A30A8">
        <w:t>determinar su compatibilidad con las obligaciones internacionales del Estado</w:t>
      </w:r>
      <w:r w:rsidR="00F119F9" w:rsidRPr="004A30A8">
        <w:rPr>
          <w:rFonts w:eastAsiaTheme="minorHAnsi" w:cs="Garamond"/>
          <w:lang w:eastAsia="en-US"/>
        </w:rPr>
        <w:t>.</w:t>
      </w:r>
      <w:r w:rsidR="00EA3CBB" w:rsidRPr="004A30A8">
        <w:t xml:space="preserve"> En consecuencia</w:t>
      </w:r>
      <w:r w:rsidR="00BE4116" w:rsidRPr="004A30A8">
        <w:t xml:space="preserve">, </w:t>
      </w:r>
      <w:r w:rsidR="00EA3CBB" w:rsidRPr="004A30A8">
        <w:t xml:space="preserve">se desestima la presente excepción preliminar. </w:t>
      </w:r>
    </w:p>
    <w:p w14:paraId="1CDEF58D" w14:textId="7465CA98" w:rsidR="00CA24E4" w:rsidRPr="004A30A8" w:rsidRDefault="00FD74B7" w:rsidP="003153DF">
      <w:pPr>
        <w:pStyle w:val="Ttulo2"/>
        <w:tabs>
          <w:tab w:val="num" w:pos="12305"/>
        </w:tabs>
        <w:spacing w:before="360" w:after="360"/>
        <w:ind w:left="1066"/>
        <w:rPr>
          <w:lang w:val="es-ES"/>
        </w:rPr>
      </w:pPr>
      <w:bookmarkStart w:id="14" w:name="_Toc129887090"/>
      <w:r w:rsidRPr="004A30A8">
        <w:rPr>
          <w:lang w:val="es-ES"/>
        </w:rPr>
        <w:t xml:space="preserve">B. </w:t>
      </w:r>
      <w:r w:rsidR="005D3B22" w:rsidRPr="004A30A8">
        <w:rPr>
          <w:lang w:val="es-ES"/>
        </w:rPr>
        <w:t>Falta de agotamiento de recursos internos</w:t>
      </w:r>
      <w:bookmarkEnd w:id="14"/>
      <w:r w:rsidR="005D3B22" w:rsidRPr="004A30A8">
        <w:rPr>
          <w:lang w:val="es-ES"/>
        </w:rPr>
        <w:t xml:space="preserve"> </w:t>
      </w:r>
    </w:p>
    <w:p w14:paraId="52618A3F" w14:textId="16DC2E72" w:rsidR="00ED0246" w:rsidRPr="004A30A8" w:rsidRDefault="009117FF" w:rsidP="003153DF">
      <w:pPr>
        <w:pStyle w:val="Ttulo3"/>
        <w:keepNext/>
        <w:keepLines/>
        <w:tabs>
          <w:tab w:val="clear" w:pos="1276"/>
          <w:tab w:val="left" w:pos="1134"/>
        </w:tabs>
        <w:spacing w:before="360" w:after="360"/>
        <w:ind w:left="1168"/>
        <w:contextualSpacing w:val="0"/>
        <w:textAlignment w:val="baseline"/>
        <w:rPr>
          <w:b w:val="0"/>
          <w:bCs/>
          <w:lang w:val="es-ES"/>
        </w:rPr>
      </w:pPr>
      <w:bookmarkStart w:id="15" w:name="_Toc129887091"/>
      <w:r w:rsidRPr="004A30A8">
        <w:rPr>
          <w:b w:val="0"/>
          <w:bCs/>
          <w:lang w:val="es-ES"/>
        </w:rPr>
        <w:t>B</w:t>
      </w:r>
      <w:r w:rsidR="00ED0246" w:rsidRPr="004A30A8">
        <w:rPr>
          <w:b w:val="0"/>
          <w:bCs/>
          <w:lang w:val="es-ES"/>
        </w:rPr>
        <w:t xml:space="preserve">.1 Alegatos del </w:t>
      </w:r>
      <w:r w:rsidR="00ED0246" w:rsidRPr="004A30A8">
        <w:rPr>
          <w:rFonts w:eastAsia="Verdana" w:cs="Verdana"/>
          <w:b w:val="0"/>
          <w:bCs/>
          <w:iCs/>
          <w:lang w:val="es-ES"/>
        </w:rPr>
        <w:t>Estado</w:t>
      </w:r>
      <w:r w:rsidR="00ED0246" w:rsidRPr="004A30A8">
        <w:rPr>
          <w:b w:val="0"/>
          <w:bCs/>
          <w:lang w:val="es-ES"/>
        </w:rPr>
        <w:t xml:space="preserve"> y observaciones de la Comisión y de los representantes</w:t>
      </w:r>
      <w:bookmarkEnd w:id="15"/>
    </w:p>
    <w:p w14:paraId="350C6C6F" w14:textId="69E43BFA" w:rsidR="009648E1" w:rsidRPr="004A30A8" w:rsidRDefault="00175F68">
      <w:pPr>
        <w:numPr>
          <w:ilvl w:val="0"/>
          <w:numId w:val="7"/>
        </w:numPr>
        <w:tabs>
          <w:tab w:val="left" w:pos="567"/>
          <w:tab w:val="num" w:pos="1569"/>
          <w:tab w:val="num" w:pos="12305"/>
        </w:tabs>
        <w:spacing w:line="240" w:lineRule="auto"/>
        <w:ind w:left="0" w:firstLine="0"/>
      </w:pPr>
      <w:r w:rsidRPr="004A30A8">
        <w:t xml:space="preserve">El </w:t>
      </w:r>
      <w:r w:rsidR="006C7A24" w:rsidRPr="004A30A8">
        <w:rPr>
          <w:rFonts w:eastAsiaTheme="minorHAnsi" w:cs="Verdana"/>
          <w:b/>
          <w:bCs/>
          <w:i/>
          <w:iCs/>
          <w:lang w:eastAsia="en-US"/>
        </w:rPr>
        <w:t xml:space="preserve">Estado </w:t>
      </w:r>
      <w:r w:rsidR="006C7A24" w:rsidRPr="004A30A8">
        <w:rPr>
          <w:rFonts w:eastAsiaTheme="minorHAnsi" w:cs="Verdana"/>
          <w:lang w:eastAsia="en-US"/>
        </w:rPr>
        <w:t>señaló que el señor Olivera optó por acudir a un procedimiento administrativo</w:t>
      </w:r>
      <w:r w:rsidRPr="004A30A8">
        <w:rPr>
          <w:rFonts w:eastAsiaTheme="minorHAnsi" w:cs="Verdana"/>
          <w:lang w:eastAsia="en-US"/>
        </w:rPr>
        <w:t xml:space="preserve"> </w:t>
      </w:r>
      <w:r w:rsidR="006C7A24" w:rsidRPr="004A30A8">
        <w:rPr>
          <w:rFonts w:eastAsiaTheme="minorHAnsi" w:cs="Verdana"/>
          <w:lang w:eastAsia="en-US"/>
        </w:rPr>
        <w:t>sancionador</w:t>
      </w:r>
      <w:r w:rsidR="009648E1" w:rsidRPr="004A30A8">
        <w:t xml:space="preserve"> </w:t>
      </w:r>
      <w:r w:rsidR="00A617A0" w:rsidRPr="004A30A8">
        <w:rPr>
          <w:rFonts w:eastAsiaTheme="minorHAnsi" w:cs="Verdana"/>
          <w:lang w:eastAsia="en-US"/>
        </w:rPr>
        <w:t>agotando</w:t>
      </w:r>
      <w:r w:rsidR="009648E1" w:rsidRPr="004A30A8">
        <w:rPr>
          <w:rFonts w:eastAsiaTheme="minorHAnsi" w:cs="Verdana"/>
          <w:lang w:eastAsia="en-US"/>
        </w:rPr>
        <w:t xml:space="preserve"> una vía que “no resultaba la más idónea para que el Estado pueda solucionar la controversia en sede interna</w:t>
      </w:r>
      <w:r w:rsidR="000C2AF9" w:rsidRPr="004A30A8">
        <w:rPr>
          <w:rFonts w:eastAsiaTheme="minorHAnsi" w:cs="Verdana"/>
          <w:lang w:eastAsia="en-US"/>
        </w:rPr>
        <w:t>”</w:t>
      </w:r>
      <w:r w:rsidR="00D20D7A" w:rsidRPr="004A30A8">
        <w:rPr>
          <w:rFonts w:eastAsiaTheme="minorHAnsi" w:cs="Verdana"/>
          <w:lang w:eastAsia="en-US"/>
        </w:rPr>
        <w:t>. Agregó</w:t>
      </w:r>
      <w:r w:rsidR="009648E1" w:rsidRPr="004A30A8">
        <w:rPr>
          <w:rFonts w:eastAsiaTheme="minorHAnsi" w:cs="Verdana"/>
          <w:lang w:eastAsia="en-US"/>
        </w:rPr>
        <w:t xml:space="preserve"> que existían otros recursos idóneos</w:t>
      </w:r>
      <w:r w:rsidR="00B7418D" w:rsidRPr="004A30A8">
        <w:rPr>
          <w:rFonts w:eastAsiaTheme="minorHAnsi" w:cs="Verdana"/>
          <w:lang w:eastAsia="en-US"/>
        </w:rPr>
        <w:t xml:space="preserve"> </w:t>
      </w:r>
      <w:r w:rsidR="009648E1" w:rsidRPr="004A30A8">
        <w:rPr>
          <w:rFonts w:eastAsiaTheme="minorHAnsi" w:cs="Verdana"/>
          <w:lang w:eastAsia="en-US"/>
        </w:rPr>
        <w:t>para tutelar el derecho a la igualdad y no discriminación, la honra y dignidad, la libertad personal y la libertad de expresión invocados, tales como (i) el proceso de amparo constitucional</w:t>
      </w:r>
      <w:r w:rsidR="00503E4C" w:rsidRPr="004A30A8">
        <w:rPr>
          <w:rFonts w:eastAsiaTheme="minorHAnsi" w:cs="Verdana"/>
          <w:lang w:eastAsia="en-US"/>
        </w:rPr>
        <w:t>,</w:t>
      </w:r>
      <w:r w:rsidR="009648E1" w:rsidRPr="004A30A8">
        <w:rPr>
          <w:rFonts w:eastAsiaTheme="minorHAnsi" w:cs="Verdana"/>
          <w:lang w:eastAsia="en-US"/>
        </w:rPr>
        <w:t xml:space="preserve"> (ii) la presentación de una denuncia penal paralela por discriminación</w:t>
      </w:r>
      <w:r w:rsidR="00503E4C" w:rsidRPr="004A30A8">
        <w:rPr>
          <w:rFonts w:eastAsiaTheme="minorHAnsi" w:cs="Verdana"/>
          <w:lang w:eastAsia="en-US"/>
        </w:rPr>
        <w:t>,</w:t>
      </w:r>
      <w:r w:rsidR="009648E1" w:rsidRPr="004A30A8">
        <w:rPr>
          <w:rFonts w:eastAsiaTheme="minorHAnsi" w:cs="Verdana"/>
          <w:lang w:eastAsia="en-US"/>
        </w:rPr>
        <w:t xml:space="preserve"> y (iii) la interposición de una acción civil para exigir la indemnización de daños y perjuicios.</w:t>
      </w:r>
      <w:r w:rsidR="009648E1" w:rsidRPr="004A30A8">
        <w:rPr>
          <w:rFonts w:eastAsiaTheme="minorHAnsi" w:cs="Verdana"/>
          <w:b/>
          <w:bCs/>
          <w:lang w:eastAsia="en-US"/>
        </w:rPr>
        <w:t xml:space="preserve"> </w:t>
      </w:r>
    </w:p>
    <w:p w14:paraId="3B29BAE1" w14:textId="77777777" w:rsidR="009648E1" w:rsidRPr="004A30A8" w:rsidRDefault="009648E1" w:rsidP="009648E1">
      <w:pPr>
        <w:tabs>
          <w:tab w:val="left" w:pos="567"/>
        </w:tabs>
        <w:spacing w:line="240" w:lineRule="auto"/>
      </w:pPr>
    </w:p>
    <w:p w14:paraId="4AF1EB3C" w14:textId="059A089F" w:rsidR="006C7A24" w:rsidRPr="004A30A8" w:rsidRDefault="006C7A24">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 xml:space="preserve">La </w:t>
      </w:r>
      <w:r w:rsidRPr="004A30A8">
        <w:rPr>
          <w:rFonts w:eastAsiaTheme="minorHAnsi" w:cs="Verdana"/>
          <w:b/>
          <w:bCs/>
          <w:i/>
          <w:iCs/>
          <w:lang w:eastAsia="en-US"/>
        </w:rPr>
        <w:t xml:space="preserve">Comisión </w:t>
      </w:r>
      <w:r w:rsidR="006C2EF5" w:rsidRPr="004A30A8">
        <w:rPr>
          <w:rFonts w:eastAsiaTheme="minorHAnsi" w:cs="Verdana"/>
          <w:lang w:eastAsia="en-US"/>
        </w:rPr>
        <w:t>argumentó</w:t>
      </w:r>
      <w:r w:rsidRPr="004A30A8">
        <w:rPr>
          <w:rFonts w:eastAsiaTheme="minorHAnsi" w:cs="Verdana"/>
          <w:lang w:eastAsia="en-US"/>
        </w:rPr>
        <w:t xml:space="preserve"> que la presunta víctima hizo uso de las vías administrativas y judiciales</w:t>
      </w:r>
      <w:r w:rsidR="00703CE6" w:rsidRPr="004A30A8">
        <w:t xml:space="preserve"> </w:t>
      </w:r>
      <w:r w:rsidRPr="004A30A8">
        <w:rPr>
          <w:rFonts w:eastAsiaTheme="minorHAnsi" w:cs="Verdana"/>
          <w:lang w:eastAsia="en-US"/>
        </w:rPr>
        <w:t xml:space="preserve">disponibles para atender su reclamo relacionado con violaciones a </w:t>
      </w:r>
      <w:r w:rsidRPr="004A30A8">
        <w:t>derechos</w:t>
      </w:r>
      <w:r w:rsidRPr="004A30A8">
        <w:rPr>
          <w:rFonts w:eastAsiaTheme="minorHAnsi" w:cs="Verdana"/>
          <w:lang w:eastAsia="en-US"/>
        </w:rPr>
        <w:t xml:space="preserve"> del consumidor por</w:t>
      </w:r>
      <w:r w:rsidR="00703CE6" w:rsidRPr="004A30A8">
        <w:t xml:space="preserve"> </w:t>
      </w:r>
      <w:r w:rsidRPr="004A30A8">
        <w:rPr>
          <w:rFonts w:eastAsiaTheme="minorHAnsi" w:cs="Verdana"/>
          <w:lang w:eastAsia="en-US"/>
        </w:rPr>
        <w:t xml:space="preserve">un trato desigual vinculado a la expresión de su </w:t>
      </w:r>
      <w:r w:rsidRPr="004A30A8">
        <w:rPr>
          <w:iCs/>
          <w:lang w:val="es-ES"/>
        </w:rPr>
        <w:t>orientación</w:t>
      </w:r>
      <w:r w:rsidRPr="004A30A8">
        <w:rPr>
          <w:rFonts w:eastAsiaTheme="minorHAnsi" w:cs="Verdana"/>
          <w:lang w:eastAsia="en-US"/>
        </w:rPr>
        <w:t xml:space="preserve"> sexual. </w:t>
      </w:r>
      <w:r w:rsidR="009648E1" w:rsidRPr="004A30A8">
        <w:rPr>
          <w:rFonts w:eastAsiaTheme="minorHAnsi" w:cs="Verdana"/>
          <w:lang w:eastAsia="en-US"/>
        </w:rPr>
        <w:t xml:space="preserve">Recordó </w:t>
      </w:r>
      <w:r w:rsidR="00A617A0" w:rsidRPr="004A30A8">
        <w:rPr>
          <w:rFonts w:eastAsiaTheme="minorHAnsi" w:cs="Verdana"/>
          <w:lang w:eastAsia="en-US"/>
        </w:rPr>
        <w:t xml:space="preserve">que </w:t>
      </w:r>
      <w:r w:rsidR="009648E1" w:rsidRPr="004A30A8">
        <w:rPr>
          <w:rFonts w:eastAsiaTheme="minorHAnsi" w:cs="Verdana"/>
          <w:lang w:eastAsia="en-US"/>
        </w:rPr>
        <w:t xml:space="preserve">no es la práctica de los órganos del </w:t>
      </w:r>
      <w:r w:rsidR="00503E4C" w:rsidRPr="004A30A8">
        <w:rPr>
          <w:rFonts w:eastAsiaTheme="minorHAnsi" w:cs="Verdana"/>
          <w:lang w:eastAsia="en-US"/>
        </w:rPr>
        <w:t>S</w:t>
      </w:r>
      <w:r w:rsidR="009648E1" w:rsidRPr="004A30A8">
        <w:rPr>
          <w:rFonts w:eastAsiaTheme="minorHAnsi" w:cs="Verdana"/>
          <w:lang w:eastAsia="en-US"/>
        </w:rPr>
        <w:t xml:space="preserve">istema </w:t>
      </w:r>
      <w:r w:rsidR="00503E4C" w:rsidRPr="004A30A8">
        <w:rPr>
          <w:rFonts w:eastAsiaTheme="minorHAnsi" w:cs="Verdana"/>
          <w:lang w:eastAsia="en-US"/>
        </w:rPr>
        <w:t>I</w:t>
      </w:r>
      <w:r w:rsidR="009648E1" w:rsidRPr="004A30A8">
        <w:rPr>
          <w:rFonts w:eastAsiaTheme="minorHAnsi" w:cs="Verdana"/>
          <w:lang w:eastAsia="en-US"/>
        </w:rPr>
        <w:t>nteramericano, por no atender a parámetros de razonabilidad, exigir el agotamiento de los recursos internos de manera separada y autónoma frente a cada uno de los efectos derivados de una violación principal.</w:t>
      </w:r>
      <w:r w:rsidR="00172C60" w:rsidRPr="004A30A8">
        <w:rPr>
          <w:rFonts w:eastAsiaTheme="minorHAnsi" w:cs="Verdana"/>
          <w:lang w:eastAsia="en-US"/>
        </w:rPr>
        <w:t xml:space="preserve"> </w:t>
      </w:r>
    </w:p>
    <w:p w14:paraId="42966A27" w14:textId="77777777" w:rsidR="0056398E" w:rsidRPr="004A30A8" w:rsidRDefault="0056398E" w:rsidP="0056398E">
      <w:pPr>
        <w:tabs>
          <w:tab w:val="left" w:pos="567"/>
        </w:tabs>
        <w:spacing w:line="240" w:lineRule="auto"/>
      </w:pPr>
    </w:p>
    <w:p w14:paraId="27C0861A" w14:textId="7D6DAF91" w:rsidR="006C7A24" w:rsidRPr="004A30A8" w:rsidRDefault="006C7A24">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 xml:space="preserve">Los </w:t>
      </w:r>
      <w:r w:rsidRPr="004A30A8">
        <w:rPr>
          <w:rFonts w:eastAsiaTheme="minorHAnsi" w:cs="Verdana"/>
          <w:b/>
          <w:bCs/>
          <w:i/>
          <w:iCs/>
          <w:lang w:eastAsia="en-US"/>
        </w:rPr>
        <w:t xml:space="preserve">representantes </w:t>
      </w:r>
      <w:r w:rsidRPr="004A30A8">
        <w:rPr>
          <w:rFonts w:eastAsiaTheme="minorHAnsi" w:cs="Verdana"/>
          <w:lang w:eastAsia="en-US"/>
        </w:rPr>
        <w:t xml:space="preserve">indicaron que (i) la excepción preliminar </w:t>
      </w:r>
      <w:r w:rsidR="000F0874" w:rsidRPr="004A30A8">
        <w:rPr>
          <w:rFonts w:eastAsiaTheme="minorHAnsi" w:cs="Verdana"/>
          <w:lang w:eastAsia="en-US"/>
        </w:rPr>
        <w:t xml:space="preserve">era </w:t>
      </w:r>
      <w:r w:rsidRPr="004A30A8">
        <w:rPr>
          <w:rFonts w:eastAsiaTheme="minorHAnsi" w:cs="Verdana"/>
          <w:lang w:eastAsia="en-US"/>
        </w:rPr>
        <w:t xml:space="preserve">extemporánea porque el Estado </w:t>
      </w:r>
      <w:r w:rsidR="005E7550" w:rsidRPr="004A30A8">
        <w:rPr>
          <w:rFonts w:eastAsiaTheme="minorHAnsi" w:cs="Verdana"/>
          <w:lang w:eastAsia="en-US"/>
        </w:rPr>
        <w:t>utilizó</w:t>
      </w:r>
      <w:r w:rsidR="003355BB" w:rsidRPr="004A30A8">
        <w:rPr>
          <w:rFonts w:eastAsiaTheme="minorHAnsi" w:cs="Verdana"/>
          <w:lang w:eastAsia="en-US"/>
        </w:rPr>
        <w:t xml:space="preserve"> </w:t>
      </w:r>
      <w:r w:rsidRPr="004A30A8">
        <w:rPr>
          <w:rFonts w:eastAsiaTheme="minorHAnsi" w:cs="Verdana"/>
          <w:lang w:eastAsia="en-US"/>
        </w:rPr>
        <w:t>fundamentos</w:t>
      </w:r>
      <w:r w:rsidR="006B74C3" w:rsidRPr="004A30A8">
        <w:t xml:space="preserve"> </w:t>
      </w:r>
      <w:r w:rsidRPr="004A30A8">
        <w:rPr>
          <w:rFonts w:eastAsiaTheme="minorHAnsi" w:cs="Verdana"/>
          <w:lang w:eastAsia="en-US"/>
        </w:rPr>
        <w:t>distintos a los presentados en su oportunidad ante la Comisión</w:t>
      </w:r>
      <w:r w:rsidR="00D57C94" w:rsidRPr="004A30A8">
        <w:rPr>
          <w:rFonts w:eastAsiaTheme="minorHAnsi" w:cs="Verdana"/>
          <w:lang w:eastAsia="en-US"/>
        </w:rPr>
        <w:t>;</w:t>
      </w:r>
      <w:r w:rsidRPr="004A30A8">
        <w:rPr>
          <w:rFonts w:eastAsiaTheme="minorHAnsi" w:cs="Verdana"/>
          <w:lang w:eastAsia="en-US"/>
        </w:rPr>
        <w:t xml:space="preserve"> (ii) el Estado no </w:t>
      </w:r>
      <w:r w:rsidR="000F0874" w:rsidRPr="004A30A8">
        <w:rPr>
          <w:rFonts w:eastAsiaTheme="minorHAnsi" w:cs="Verdana"/>
          <w:lang w:eastAsia="en-US"/>
        </w:rPr>
        <w:t>indicó</w:t>
      </w:r>
      <w:r w:rsidRPr="004A30A8">
        <w:rPr>
          <w:rFonts w:eastAsiaTheme="minorHAnsi" w:cs="Verdana"/>
          <w:lang w:eastAsia="en-US"/>
        </w:rPr>
        <w:t xml:space="preserve"> con</w:t>
      </w:r>
      <w:r w:rsidR="006B74C3" w:rsidRPr="004A30A8">
        <w:t xml:space="preserve"> </w:t>
      </w:r>
      <w:r w:rsidRPr="004A30A8">
        <w:rPr>
          <w:rFonts w:eastAsiaTheme="minorHAnsi" w:cs="Verdana"/>
          <w:lang w:eastAsia="en-US"/>
        </w:rPr>
        <w:t>claridad cuál de estos mecanismos que faltó agotar sería el propicio</w:t>
      </w:r>
      <w:r w:rsidR="00D57C94" w:rsidRPr="004A30A8">
        <w:rPr>
          <w:rFonts w:eastAsiaTheme="minorHAnsi" w:cs="Verdana"/>
          <w:lang w:eastAsia="en-US"/>
        </w:rPr>
        <w:t>;</w:t>
      </w:r>
      <w:r w:rsidRPr="004A30A8">
        <w:rPr>
          <w:rFonts w:eastAsiaTheme="minorHAnsi" w:cs="Verdana"/>
          <w:lang w:eastAsia="en-US"/>
        </w:rPr>
        <w:t xml:space="preserve"> (iii) la presunta víctima</w:t>
      </w:r>
      <w:r w:rsidR="006B74C3" w:rsidRPr="004A30A8">
        <w:t xml:space="preserve"> </w:t>
      </w:r>
      <w:r w:rsidRPr="004A30A8">
        <w:rPr>
          <w:rFonts w:eastAsiaTheme="minorHAnsi" w:cs="Verdana"/>
          <w:lang w:eastAsia="en-US"/>
        </w:rPr>
        <w:t>agotó la vía administrativa y judicial adecuada para sancionar los actos de discriminación hacia</w:t>
      </w:r>
      <w:r w:rsidR="006B74C3" w:rsidRPr="004A30A8">
        <w:t xml:space="preserve"> </w:t>
      </w:r>
      <w:r w:rsidRPr="004A30A8">
        <w:rPr>
          <w:rFonts w:eastAsiaTheme="minorHAnsi" w:cs="Verdana"/>
          <w:lang w:eastAsia="en-US"/>
        </w:rPr>
        <w:t>un consumidor, y (iv) el Estado tuvo amplias oportunidades, en diversas instancias, para</w:t>
      </w:r>
      <w:r w:rsidR="006B74C3" w:rsidRPr="004A30A8">
        <w:t xml:space="preserve"> </w:t>
      </w:r>
      <w:r w:rsidRPr="004A30A8">
        <w:rPr>
          <w:rFonts w:eastAsiaTheme="minorHAnsi" w:cs="Verdana"/>
          <w:lang w:eastAsia="en-US"/>
        </w:rPr>
        <w:t xml:space="preserve">referirse </w:t>
      </w:r>
      <w:r w:rsidR="00BF0A3C" w:rsidRPr="004A30A8">
        <w:rPr>
          <w:rFonts w:eastAsiaTheme="minorHAnsi" w:cs="Verdana"/>
          <w:lang w:eastAsia="en-US"/>
        </w:rPr>
        <w:t xml:space="preserve">y remediar </w:t>
      </w:r>
      <w:r w:rsidRPr="004A30A8">
        <w:rPr>
          <w:rFonts w:eastAsiaTheme="minorHAnsi" w:cs="Verdana"/>
          <w:lang w:eastAsia="en-US"/>
        </w:rPr>
        <w:t>las</w:t>
      </w:r>
      <w:r w:rsidR="00BF0A3C" w:rsidRPr="004A30A8">
        <w:rPr>
          <w:rFonts w:eastAsiaTheme="minorHAnsi" w:cs="Verdana"/>
          <w:lang w:eastAsia="en-US"/>
        </w:rPr>
        <w:t xml:space="preserve"> alegadas</w:t>
      </w:r>
      <w:r w:rsidRPr="004A30A8">
        <w:rPr>
          <w:rFonts w:eastAsiaTheme="minorHAnsi" w:cs="Verdana"/>
          <w:lang w:eastAsia="en-US"/>
        </w:rPr>
        <w:t xml:space="preserve"> violaciones a los derechos humanos </w:t>
      </w:r>
      <w:r w:rsidR="00503E4C" w:rsidRPr="004A30A8">
        <w:rPr>
          <w:rFonts w:eastAsiaTheme="minorHAnsi" w:cs="Verdana"/>
          <w:lang w:eastAsia="en-US"/>
        </w:rPr>
        <w:t>del señor</w:t>
      </w:r>
      <w:r w:rsidRPr="004A30A8">
        <w:rPr>
          <w:rFonts w:eastAsiaTheme="minorHAnsi" w:cs="Verdana"/>
          <w:lang w:eastAsia="en-US"/>
        </w:rPr>
        <w:t xml:space="preserve"> Olivera. </w:t>
      </w:r>
    </w:p>
    <w:p w14:paraId="64A13D63" w14:textId="01B6012C" w:rsidR="005A4566" w:rsidRPr="004A30A8" w:rsidRDefault="009117FF" w:rsidP="003153DF">
      <w:pPr>
        <w:pStyle w:val="Ttulo3"/>
        <w:keepNext/>
        <w:keepLines/>
        <w:tabs>
          <w:tab w:val="clear" w:pos="1276"/>
          <w:tab w:val="left" w:pos="1134"/>
        </w:tabs>
        <w:spacing w:before="360" w:after="360"/>
        <w:ind w:left="1168"/>
        <w:contextualSpacing w:val="0"/>
        <w:textAlignment w:val="baseline"/>
        <w:rPr>
          <w:b w:val="0"/>
          <w:bCs/>
          <w:lang w:val="es-ES"/>
        </w:rPr>
      </w:pPr>
      <w:bookmarkStart w:id="16" w:name="_Toc129887092"/>
      <w:r w:rsidRPr="004A30A8">
        <w:rPr>
          <w:b w:val="0"/>
          <w:bCs/>
          <w:lang w:val="es-ES"/>
        </w:rPr>
        <w:t>B</w:t>
      </w:r>
      <w:r w:rsidR="00ED0246" w:rsidRPr="004A30A8">
        <w:rPr>
          <w:b w:val="0"/>
          <w:bCs/>
          <w:lang w:val="es-ES"/>
        </w:rPr>
        <w:t>.2 Consideraciones de la Corte</w:t>
      </w:r>
      <w:bookmarkEnd w:id="16"/>
    </w:p>
    <w:p w14:paraId="64B0B299" w14:textId="58886CC3" w:rsidR="00172C60" w:rsidRPr="004A30A8" w:rsidRDefault="00172C60">
      <w:pPr>
        <w:numPr>
          <w:ilvl w:val="0"/>
          <w:numId w:val="7"/>
        </w:numPr>
        <w:tabs>
          <w:tab w:val="left" w:pos="567"/>
          <w:tab w:val="num" w:pos="1569"/>
          <w:tab w:val="num" w:pos="12305"/>
        </w:tabs>
        <w:spacing w:line="240" w:lineRule="auto"/>
        <w:ind w:left="0" w:firstLine="0"/>
      </w:pPr>
      <w:r w:rsidRPr="004A30A8">
        <w:t xml:space="preserve">El </w:t>
      </w:r>
      <w:r w:rsidRPr="004A30A8">
        <w:rPr>
          <w:b/>
          <w:i/>
          <w:spacing w:val="-3"/>
        </w:rPr>
        <w:t xml:space="preserve">Tribunal </w:t>
      </w:r>
      <w:r w:rsidRPr="004A30A8">
        <w:rPr>
          <w:spacing w:val="-3"/>
        </w:rPr>
        <w:t xml:space="preserve">recuerda </w:t>
      </w:r>
      <w:r w:rsidRPr="004A30A8">
        <w:t xml:space="preserve">que el </w:t>
      </w:r>
      <w:r w:rsidRPr="004A30A8">
        <w:rPr>
          <w:spacing w:val="-3"/>
        </w:rPr>
        <w:t xml:space="preserve">artículo 46.1.a) </w:t>
      </w:r>
      <w:r w:rsidRPr="004A30A8">
        <w:t xml:space="preserve">de la </w:t>
      </w:r>
      <w:r w:rsidRPr="004A30A8">
        <w:rPr>
          <w:spacing w:val="-3"/>
        </w:rPr>
        <w:t xml:space="preserve">Convención Americana </w:t>
      </w:r>
      <w:r w:rsidRPr="004A30A8">
        <w:t xml:space="preserve">dispone que, </w:t>
      </w:r>
      <w:r w:rsidRPr="004A30A8">
        <w:rPr>
          <w:spacing w:val="-3"/>
        </w:rPr>
        <w:t xml:space="preserve">para determinar </w:t>
      </w:r>
      <w:r w:rsidRPr="004A30A8">
        <w:t xml:space="preserve">la </w:t>
      </w:r>
      <w:r w:rsidRPr="004A30A8">
        <w:rPr>
          <w:spacing w:val="-3"/>
        </w:rPr>
        <w:t xml:space="preserve">admisibilidad </w:t>
      </w:r>
      <w:r w:rsidRPr="004A30A8">
        <w:t xml:space="preserve">de una </w:t>
      </w:r>
      <w:r w:rsidRPr="004A30A8">
        <w:rPr>
          <w:spacing w:val="-3"/>
        </w:rPr>
        <w:t xml:space="preserve">petición </w:t>
      </w:r>
      <w:r w:rsidRPr="004A30A8">
        <w:t xml:space="preserve">o </w:t>
      </w:r>
      <w:r w:rsidRPr="004A30A8">
        <w:rPr>
          <w:spacing w:val="-3"/>
        </w:rPr>
        <w:t xml:space="preserve">comunicación presentada </w:t>
      </w:r>
      <w:r w:rsidRPr="004A30A8">
        <w:t xml:space="preserve">ante la </w:t>
      </w:r>
      <w:r w:rsidRPr="004A30A8">
        <w:rPr>
          <w:spacing w:val="-3"/>
        </w:rPr>
        <w:t>Comisión Interamericana</w:t>
      </w:r>
      <w:r w:rsidRPr="004A30A8">
        <w:rPr>
          <w:spacing w:val="-6"/>
        </w:rPr>
        <w:t xml:space="preserve"> </w:t>
      </w:r>
      <w:r w:rsidRPr="004A30A8">
        <w:t>de</w:t>
      </w:r>
      <w:r w:rsidRPr="004A30A8">
        <w:rPr>
          <w:spacing w:val="-5"/>
        </w:rPr>
        <w:t xml:space="preserve"> </w:t>
      </w:r>
      <w:r w:rsidRPr="004A30A8">
        <w:rPr>
          <w:spacing w:val="-3"/>
        </w:rPr>
        <w:t>conformidad</w:t>
      </w:r>
      <w:r w:rsidRPr="004A30A8">
        <w:rPr>
          <w:spacing w:val="-6"/>
        </w:rPr>
        <w:t xml:space="preserve"> </w:t>
      </w:r>
      <w:r w:rsidRPr="004A30A8">
        <w:t>con</w:t>
      </w:r>
      <w:r w:rsidRPr="004A30A8">
        <w:rPr>
          <w:spacing w:val="-4"/>
        </w:rPr>
        <w:t xml:space="preserve"> </w:t>
      </w:r>
      <w:r w:rsidRPr="004A30A8">
        <w:t>los</w:t>
      </w:r>
      <w:r w:rsidRPr="004A30A8">
        <w:rPr>
          <w:spacing w:val="-6"/>
        </w:rPr>
        <w:t xml:space="preserve"> </w:t>
      </w:r>
      <w:r w:rsidRPr="004A30A8">
        <w:rPr>
          <w:spacing w:val="-3"/>
        </w:rPr>
        <w:t>artículos</w:t>
      </w:r>
      <w:r w:rsidRPr="004A30A8">
        <w:rPr>
          <w:spacing w:val="-6"/>
        </w:rPr>
        <w:t xml:space="preserve"> </w:t>
      </w:r>
      <w:r w:rsidRPr="004A30A8">
        <w:t>44</w:t>
      </w:r>
      <w:r w:rsidRPr="004A30A8">
        <w:rPr>
          <w:spacing w:val="-6"/>
        </w:rPr>
        <w:t xml:space="preserve"> </w:t>
      </w:r>
      <w:r w:rsidR="00503E4C" w:rsidRPr="004A30A8">
        <w:t>y</w:t>
      </w:r>
      <w:r w:rsidRPr="004A30A8">
        <w:rPr>
          <w:spacing w:val="-6"/>
        </w:rPr>
        <w:t xml:space="preserve"> </w:t>
      </w:r>
      <w:r w:rsidRPr="004A30A8">
        <w:t>45</w:t>
      </w:r>
      <w:r w:rsidRPr="004A30A8">
        <w:rPr>
          <w:spacing w:val="-6"/>
        </w:rPr>
        <w:t xml:space="preserve"> </w:t>
      </w:r>
      <w:r w:rsidRPr="004A30A8">
        <w:t>de</w:t>
      </w:r>
      <w:r w:rsidRPr="004A30A8">
        <w:rPr>
          <w:spacing w:val="-5"/>
        </w:rPr>
        <w:t xml:space="preserve"> </w:t>
      </w:r>
      <w:r w:rsidRPr="004A30A8">
        <w:t>la</w:t>
      </w:r>
      <w:r w:rsidRPr="004A30A8">
        <w:rPr>
          <w:spacing w:val="-6"/>
        </w:rPr>
        <w:t xml:space="preserve"> </w:t>
      </w:r>
      <w:r w:rsidRPr="004A30A8">
        <w:rPr>
          <w:spacing w:val="-3"/>
        </w:rPr>
        <w:t>Convención,</w:t>
      </w:r>
      <w:r w:rsidRPr="004A30A8">
        <w:rPr>
          <w:spacing w:val="-6"/>
        </w:rPr>
        <w:t xml:space="preserve"> </w:t>
      </w:r>
      <w:r w:rsidRPr="004A30A8">
        <w:t>es</w:t>
      </w:r>
      <w:r w:rsidRPr="004A30A8">
        <w:rPr>
          <w:spacing w:val="-6"/>
        </w:rPr>
        <w:t xml:space="preserve"> </w:t>
      </w:r>
      <w:r w:rsidRPr="004A30A8">
        <w:rPr>
          <w:spacing w:val="-3"/>
        </w:rPr>
        <w:t>necesario</w:t>
      </w:r>
      <w:r w:rsidRPr="004A30A8">
        <w:rPr>
          <w:spacing w:val="-6"/>
        </w:rPr>
        <w:t xml:space="preserve"> </w:t>
      </w:r>
      <w:r w:rsidRPr="004A30A8">
        <w:t>que</w:t>
      </w:r>
      <w:r w:rsidRPr="004A30A8">
        <w:rPr>
          <w:spacing w:val="-5"/>
        </w:rPr>
        <w:t xml:space="preserve"> </w:t>
      </w:r>
      <w:r w:rsidRPr="004A30A8">
        <w:t>se</w:t>
      </w:r>
      <w:r w:rsidRPr="004A30A8">
        <w:rPr>
          <w:spacing w:val="-5"/>
        </w:rPr>
        <w:t xml:space="preserve"> </w:t>
      </w:r>
      <w:r w:rsidRPr="004A30A8">
        <w:rPr>
          <w:spacing w:val="-3"/>
        </w:rPr>
        <w:t xml:space="preserve">hayan interpuesto </w:t>
      </w:r>
      <w:r w:rsidRPr="004A30A8">
        <w:t xml:space="preserve">y </w:t>
      </w:r>
      <w:r w:rsidRPr="004A30A8">
        <w:rPr>
          <w:spacing w:val="-3"/>
        </w:rPr>
        <w:t xml:space="preserve">agotado </w:t>
      </w:r>
      <w:r w:rsidRPr="004A30A8">
        <w:t xml:space="preserve">los </w:t>
      </w:r>
      <w:r w:rsidRPr="004A30A8">
        <w:rPr>
          <w:spacing w:val="-3"/>
        </w:rPr>
        <w:t xml:space="preserve">recursos </w:t>
      </w:r>
      <w:r w:rsidRPr="004A30A8">
        <w:t xml:space="preserve">de la </w:t>
      </w:r>
      <w:r w:rsidRPr="004A30A8">
        <w:rPr>
          <w:spacing w:val="-3"/>
        </w:rPr>
        <w:t xml:space="preserve">jurisdicción interna, según </w:t>
      </w:r>
      <w:r w:rsidRPr="004A30A8">
        <w:lastRenderedPageBreak/>
        <w:t xml:space="preserve">los </w:t>
      </w:r>
      <w:r w:rsidRPr="004A30A8">
        <w:rPr>
          <w:spacing w:val="-3"/>
        </w:rPr>
        <w:t xml:space="preserve">principios </w:t>
      </w:r>
      <w:r w:rsidRPr="004A30A8">
        <w:t xml:space="preserve">del </w:t>
      </w:r>
      <w:r w:rsidRPr="004A30A8">
        <w:rPr>
          <w:spacing w:val="-3"/>
        </w:rPr>
        <w:t>Derecho Internacional</w:t>
      </w:r>
      <w:r w:rsidRPr="004A30A8">
        <w:rPr>
          <w:spacing w:val="-8"/>
        </w:rPr>
        <w:t xml:space="preserve"> </w:t>
      </w:r>
      <w:r w:rsidRPr="004A30A8">
        <w:rPr>
          <w:spacing w:val="-3"/>
        </w:rPr>
        <w:t>generalmente</w:t>
      </w:r>
      <w:r w:rsidRPr="004A30A8">
        <w:rPr>
          <w:spacing w:val="-8"/>
        </w:rPr>
        <w:t xml:space="preserve"> </w:t>
      </w:r>
      <w:r w:rsidRPr="004A30A8">
        <w:t>reconocidos</w:t>
      </w:r>
      <w:r w:rsidRPr="004A30A8">
        <w:rPr>
          <w:rStyle w:val="Refdenotaalpie"/>
        </w:rPr>
        <w:footnoteReference w:id="22"/>
      </w:r>
      <w:r w:rsidRPr="004A30A8">
        <w:t>.</w:t>
      </w:r>
      <w:r w:rsidRPr="004A30A8">
        <w:rPr>
          <w:spacing w:val="-8"/>
        </w:rPr>
        <w:t xml:space="preserve"> </w:t>
      </w:r>
      <w:r w:rsidRPr="004A30A8">
        <w:t>Lo</w:t>
      </w:r>
      <w:r w:rsidRPr="004A30A8">
        <w:rPr>
          <w:spacing w:val="-9"/>
        </w:rPr>
        <w:t xml:space="preserve"> </w:t>
      </w:r>
      <w:r w:rsidRPr="004A30A8">
        <w:rPr>
          <w:spacing w:val="-3"/>
        </w:rPr>
        <w:t>anterior,</w:t>
      </w:r>
      <w:r w:rsidRPr="004A30A8">
        <w:rPr>
          <w:spacing w:val="-8"/>
        </w:rPr>
        <w:t xml:space="preserve"> </w:t>
      </w:r>
      <w:r w:rsidRPr="004A30A8">
        <w:t>sin</w:t>
      </w:r>
      <w:r w:rsidRPr="004A30A8">
        <w:rPr>
          <w:spacing w:val="-8"/>
        </w:rPr>
        <w:t xml:space="preserve"> </w:t>
      </w:r>
      <w:r w:rsidRPr="004A30A8">
        <w:rPr>
          <w:spacing w:val="-3"/>
        </w:rPr>
        <w:t>embargo,</w:t>
      </w:r>
      <w:r w:rsidRPr="004A30A8">
        <w:rPr>
          <w:spacing w:val="-8"/>
        </w:rPr>
        <w:t xml:space="preserve"> </w:t>
      </w:r>
      <w:r w:rsidRPr="004A30A8">
        <w:t>supone</w:t>
      </w:r>
      <w:r w:rsidRPr="004A30A8">
        <w:rPr>
          <w:spacing w:val="-5"/>
        </w:rPr>
        <w:t xml:space="preserve"> </w:t>
      </w:r>
      <w:r w:rsidRPr="004A30A8">
        <w:rPr>
          <w:spacing w:val="-3"/>
        </w:rPr>
        <w:t>que</w:t>
      </w:r>
      <w:r w:rsidRPr="004A30A8">
        <w:rPr>
          <w:spacing w:val="-8"/>
        </w:rPr>
        <w:t xml:space="preserve"> </w:t>
      </w:r>
      <w:r w:rsidRPr="004A30A8">
        <w:t>no</w:t>
      </w:r>
      <w:r w:rsidRPr="004A30A8">
        <w:rPr>
          <w:spacing w:val="-9"/>
        </w:rPr>
        <w:t xml:space="preserve"> </w:t>
      </w:r>
      <w:r w:rsidRPr="004A30A8">
        <w:t>sólo</w:t>
      </w:r>
      <w:r w:rsidRPr="004A30A8">
        <w:rPr>
          <w:spacing w:val="-9"/>
        </w:rPr>
        <w:t xml:space="preserve"> </w:t>
      </w:r>
      <w:r w:rsidRPr="004A30A8">
        <w:t>deben</w:t>
      </w:r>
      <w:r w:rsidRPr="004A30A8">
        <w:rPr>
          <w:spacing w:val="-8"/>
        </w:rPr>
        <w:t xml:space="preserve"> </w:t>
      </w:r>
      <w:r w:rsidRPr="004A30A8">
        <w:rPr>
          <w:spacing w:val="-3"/>
        </w:rPr>
        <w:t xml:space="preserve">existir formalmente </w:t>
      </w:r>
      <w:r w:rsidRPr="004A30A8">
        <w:t xml:space="preserve">esos </w:t>
      </w:r>
      <w:r w:rsidRPr="004A30A8">
        <w:rPr>
          <w:spacing w:val="-3"/>
        </w:rPr>
        <w:t xml:space="preserve">recursos, </w:t>
      </w:r>
      <w:r w:rsidRPr="004A30A8">
        <w:t xml:space="preserve">sino </w:t>
      </w:r>
      <w:r w:rsidRPr="004A30A8">
        <w:rPr>
          <w:spacing w:val="-3"/>
        </w:rPr>
        <w:t xml:space="preserve">también </w:t>
      </w:r>
      <w:r w:rsidRPr="004A30A8">
        <w:t xml:space="preserve">deben ser </w:t>
      </w:r>
      <w:r w:rsidRPr="004A30A8">
        <w:rPr>
          <w:spacing w:val="-3"/>
        </w:rPr>
        <w:t xml:space="preserve">adecuados </w:t>
      </w:r>
      <w:r w:rsidRPr="004A30A8">
        <w:t xml:space="preserve">y </w:t>
      </w:r>
      <w:r w:rsidRPr="004A30A8">
        <w:rPr>
          <w:spacing w:val="-3"/>
        </w:rPr>
        <w:t xml:space="preserve">efectivos, </w:t>
      </w:r>
      <w:r w:rsidRPr="004A30A8">
        <w:t xml:space="preserve">como </w:t>
      </w:r>
      <w:r w:rsidRPr="004A30A8">
        <w:rPr>
          <w:spacing w:val="-3"/>
        </w:rPr>
        <w:t xml:space="preserve">resulta </w:t>
      </w:r>
      <w:r w:rsidRPr="004A30A8">
        <w:t xml:space="preserve">de </w:t>
      </w:r>
      <w:r w:rsidRPr="004A30A8">
        <w:rPr>
          <w:spacing w:val="-3"/>
        </w:rPr>
        <w:t xml:space="preserve">las excepciones contempladas </w:t>
      </w:r>
      <w:r w:rsidRPr="004A30A8">
        <w:t xml:space="preserve">en el </w:t>
      </w:r>
      <w:r w:rsidRPr="004A30A8">
        <w:rPr>
          <w:spacing w:val="-3"/>
        </w:rPr>
        <w:t xml:space="preserve">artículo </w:t>
      </w:r>
      <w:r w:rsidRPr="004A30A8">
        <w:t>46.2 de la Convención</w:t>
      </w:r>
      <w:r w:rsidRPr="004A30A8">
        <w:rPr>
          <w:rStyle w:val="Refdenotaalpie"/>
        </w:rPr>
        <w:footnoteReference w:id="23"/>
      </w:r>
      <w:r w:rsidRPr="004A30A8">
        <w:t xml:space="preserve">. </w:t>
      </w:r>
    </w:p>
    <w:p w14:paraId="1A8942D8" w14:textId="0073E740" w:rsidR="00172C60" w:rsidRPr="004A30A8" w:rsidRDefault="00172C60" w:rsidP="00172C60">
      <w:pPr>
        <w:tabs>
          <w:tab w:val="left" w:pos="567"/>
        </w:tabs>
        <w:spacing w:line="240" w:lineRule="auto"/>
      </w:pPr>
    </w:p>
    <w:p w14:paraId="217B8E77" w14:textId="72440668" w:rsidR="003045BB" w:rsidRPr="004A30A8" w:rsidRDefault="00172C60">
      <w:pPr>
        <w:numPr>
          <w:ilvl w:val="0"/>
          <w:numId w:val="7"/>
        </w:numPr>
        <w:tabs>
          <w:tab w:val="left" w:pos="567"/>
          <w:tab w:val="num" w:pos="1569"/>
          <w:tab w:val="num" w:pos="12305"/>
        </w:tabs>
        <w:spacing w:line="240" w:lineRule="auto"/>
        <w:ind w:left="0" w:firstLine="0"/>
      </w:pPr>
      <w:r w:rsidRPr="004A30A8">
        <w:t xml:space="preserve">En línea con lo anterior, </w:t>
      </w:r>
      <w:r w:rsidR="00D30425" w:rsidRPr="004A30A8">
        <w:t>la Corte</w:t>
      </w:r>
      <w:r w:rsidR="005A4566" w:rsidRPr="004A30A8">
        <w:rPr>
          <w:b/>
          <w:bCs/>
          <w:i/>
          <w:iCs/>
        </w:rPr>
        <w:t xml:space="preserve"> </w:t>
      </w:r>
      <w:r w:rsidR="00A46ECF" w:rsidRPr="004A30A8">
        <w:t>advierte que el</w:t>
      </w:r>
      <w:r w:rsidR="00575F54" w:rsidRPr="004A30A8">
        <w:t xml:space="preserve"> Estado</w:t>
      </w:r>
      <w:r w:rsidRPr="004A30A8">
        <w:t xml:space="preserve"> interpuso la excepción de falta de agotamiento de recursos internos</w:t>
      </w:r>
      <w:r w:rsidR="00A46ECF" w:rsidRPr="004A30A8">
        <w:t xml:space="preserve"> </w:t>
      </w:r>
      <w:r w:rsidR="00A61EC3" w:rsidRPr="004A30A8">
        <w:t>en la</w:t>
      </w:r>
      <w:r w:rsidR="00575F54" w:rsidRPr="004A30A8">
        <w:t xml:space="preserve"> fase de admisibilidad</w:t>
      </w:r>
      <w:r w:rsidR="003D4A21" w:rsidRPr="004A30A8">
        <w:t xml:space="preserve"> de la petición</w:t>
      </w:r>
      <w:r w:rsidR="00A46ECF" w:rsidRPr="004A30A8">
        <w:t xml:space="preserve"> </w:t>
      </w:r>
      <w:r w:rsidR="00F2642B" w:rsidRPr="004A30A8">
        <w:t xml:space="preserve">a través </w:t>
      </w:r>
      <w:r w:rsidR="002E36E2" w:rsidRPr="004A30A8">
        <w:t>del I</w:t>
      </w:r>
      <w:r w:rsidR="00F2642B" w:rsidRPr="004A30A8">
        <w:t>nforme N.° 113-2013-JUS/PPES de 15 de julio de 2013</w:t>
      </w:r>
      <w:r w:rsidR="002E36E2" w:rsidRPr="004A30A8">
        <w:t>, donde indicó que la vía idónea era el proceso constitucional de amparo</w:t>
      </w:r>
      <w:r w:rsidR="00DE38A2" w:rsidRPr="004A30A8">
        <w:rPr>
          <w:rStyle w:val="Refdenotaalpie"/>
        </w:rPr>
        <w:footnoteReference w:id="24"/>
      </w:r>
      <w:r w:rsidR="00C16FB2" w:rsidRPr="004A30A8">
        <w:t>.</w:t>
      </w:r>
      <w:r w:rsidR="00094027" w:rsidRPr="004A30A8">
        <w:t xml:space="preserve"> </w:t>
      </w:r>
      <w:r w:rsidR="00D459B4" w:rsidRPr="004A30A8">
        <w:t>Por tanto, dicha excepción preliminar fue interpuesta en el momento procesal oportuno</w:t>
      </w:r>
      <w:r w:rsidR="002E36E2" w:rsidRPr="004A30A8">
        <w:t>, si bien en ese momento el Estado únicamente hizo referencia a la vía de amparo como vía idónea que debía haber sido agotada</w:t>
      </w:r>
      <w:r w:rsidRPr="004A30A8">
        <w:t>.</w:t>
      </w:r>
      <w:r w:rsidR="00DE38A2" w:rsidRPr="004A30A8">
        <w:t xml:space="preserve"> </w:t>
      </w:r>
    </w:p>
    <w:p w14:paraId="51FAC4A7" w14:textId="77777777" w:rsidR="00D459B4" w:rsidRPr="004A30A8" w:rsidRDefault="00D459B4" w:rsidP="00D459B4">
      <w:pPr>
        <w:tabs>
          <w:tab w:val="left" w:pos="567"/>
        </w:tabs>
        <w:spacing w:line="240" w:lineRule="auto"/>
      </w:pPr>
    </w:p>
    <w:p w14:paraId="0F93E367" w14:textId="2F56DD30" w:rsidR="006A0778" w:rsidRPr="004A30A8" w:rsidRDefault="00713416">
      <w:pPr>
        <w:numPr>
          <w:ilvl w:val="0"/>
          <w:numId w:val="7"/>
        </w:numPr>
        <w:tabs>
          <w:tab w:val="left" w:pos="567"/>
          <w:tab w:val="num" w:pos="1569"/>
          <w:tab w:val="num" w:pos="12305"/>
        </w:tabs>
        <w:spacing w:line="240" w:lineRule="auto"/>
        <w:ind w:left="0" w:firstLine="0"/>
      </w:pPr>
      <w:r w:rsidRPr="004A30A8">
        <w:t xml:space="preserve">Sentado lo anterior, la Corte </w:t>
      </w:r>
      <w:r w:rsidR="002E36E2" w:rsidRPr="004A30A8">
        <w:t>advierte que</w:t>
      </w:r>
      <w:r w:rsidR="004C4DC6" w:rsidRPr="004A30A8">
        <w:t>, sin perjuicio de que la vía constitucional podría haber sido</w:t>
      </w:r>
      <w:r w:rsidR="00F842A6" w:rsidRPr="004A30A8">
        <w:t>, también,</w:t>
      </w:r>
      <w:r w:rsidR="004C4DC6" w:rsidRPr="004A30A8">
        <w:t xml:space="preserve"> una vía idónea para remediar las alegadas violaciones sufridas</w:t>
      </w:r>
      <w:r w:rsidR="00F842A6" w:rsidRPr="004A30A8">
        <w:t xml:space="preserve"> por el señor Olivera</w:t>
      </w:r>
      <w:r w:rsidR="004C4DC6" w:rsidRPr="004A30A8">
        <w:t xml:space="preserve">, </w:t>
      </w:r>
      <w:r w:rsidR="00F81A92" w:rsidRPr="004A30A8">
        <w:t xml:space="preserve">la presunta víctima hizo uso de las vías administrativas y judiciales para atender su reclamo relacionado con </w:t>
      </w:r>
      <w:r w:rsidR="004C4DC6" w:rsidRPr="004A30A8">
        <w:t xml:space="preserve">el </w:t>
      </w:r>
      <w:r w:rsidR="00F81A92" w:rsidRPr="004A30A8">
        <w:t xml:space="preserve">trato desigual </w:t>
      </w:r>
      <w:r w:rsidR="004C4DC6" w:rsidRPr="004A30A8">
        <w:t xml:space="preserve">que habría recibido </w:t>
      </w:r>
      <w:r w:rsidR="00F842A6" w:rsidRPr="004A30A8">
        <w:t xml:space="preserve">por parte de una empresa </w:t>
      </w:r>
      <w:r w:rsidR="004C4DC6" w:rsidRPr="004A30A8">
        <w:t xml:space="preserve">debido a </w:t>
      </w:r>
      <w:r w:rsidR="00F81A92" w:rsidRPr="004A30A8">
        <w:t>su orientación sexual</w:t>
      </w:r>
      <w:r w:rsidR="00172C60" w:rsidRPr="004A30A8">
        <w:t>,</w:t>
      </w:r>
      <w:r w:rsidR="00F81A92" w:rsidRPr="004A30A8">
        <w:t xml:space="preserve"> hasta finalizar con la </w:t>
      </w:r>
      <w:r w:rsidR="00A1501D" w:rsidRPr="004A30A8">
        <w:t xml:space="preserve">declaración de </w:t>
      </w:r>
      <w:r w:rsidR="00BF0A3C" w:rsidRPr="004A30A8">
        <w:rPr>
          <w:iCs/>
          <w:lang w:val="es-ES"/>
        </w:rPr>
        <w:t>improcedencia</w:t>
      </w:r>
      <w:r w:rsidR="00F81A92" w:rsidRPr="004A30A8">
        <w:t xml:space="preserve"> del recurso de casación </w:t>
      </w:r>
      <w:r w:rsidR="00BF0A3C" w:rsidRPr="004A30A8">
        <w:t>presentado ante</w:t>
      </w:r>
      <w:r w:rsidR="00F81A92" w:rsidRPr="004A30A8">
        <w:t xml:space="preserve"> la Sala de Derecho Constitucional y Social Permanente de la Corte Suprema de Justicia.</w:t>
      </w:r>
      <w:r w:rsidR="008F2D66" w:rsidRPr="004A30A8">
        <w:t xml:space="preserve"> </w:t>
      </w:r>
      <w:r w:rsidR="00231DBE" w:rsidRPr="004A30A8">
        <w:t xml:space="preserve">El Tribunal recuerda que no es necesario el agotamiento de la vía interna respecto de todos o cualquiera de los recursos disponibles sino que, de acuerdo </w:t>
      </w:r>
      <w:r w:rsidR="00503E4C" w:rsidRPr="004A30A8">
        <w:t>con la</w:t>
      </w:r>
      <w:r w:rsidR="00231DBE" w:rsidRPr="004A30A8">
        <w:t xml:space="preserve"> jurisprudencia de este Tribunal, “los recursos que deben ser agotados son aquellos que resultan adecuados en la situación particular de la violación de derechos humanos alegada”</w:t>
      </w:r>
      <w:r w:rsidR="00231DBE" w:rsidRPr="004A30A8">
        <w:rPr>
          <w:rStyle w:val="Refdenotaalpie"/>
        </w:rPr>
        <w:footnoteReference w:id="25"/>
      </w:r>
      <w:r w:rsidR="00231DBE" w:rsidRPr="004A30A8">
        <w:t xml:space="preserve">, tal y como sucedió en el presente caso. </w:t>
      </w:r>
    </w:p>
    <w:p w14:paraId="681935B7" w14:textId="77777777" w:rsidR="006A0778" w:rsidRPr="004A30A8" w:rsidRDefault="006A0778" w:rsidP="006A0778">
      <w:pPr>
        <w:tabs>
          <w:tab w:val="left" w:pos="567"/>
        </w:tabs>
        <w:spacing w:line="240" w:lineRule="auto"/>
      </w:pPr>
    </w:p>
    <w:p w14:paraId="3BE6B275" w14:textId="2CD711FA" w:rsidR="00DF7FF5" w:rsidRPr="004A30A8" w:rsidRDefault="004C4DC6">
      <w:pPr>
        <w:numPr>
          <w:ilvl w:val="0"/>
          <w:numId w:val="7"/>
        </w:numPr>
        <w:tabs>
          <w:tab w:val="left" w:pos="567"/>
          <w:tab w:val="num" w:pos="1569"/>
          <w:tab w:val="num" w:pos="12305"/>
        </w:tabs>
        <w:spacing w:line="240" w:lineRule="auto"/>
        <w:ind w:left="0" w:firstLine="0"/>
      </w:pPr>
      <w:r w:rsidRPr="004A30A8">
        <w:t xml:space="preserve">La Corte constata, además, que la violación al derecho a no ser discriminado está en estrecha </w:t>
      </w:r>
      <w:r w:rsidR="00A1501D" w:rsidRPr="004A30A8">
        <w:t xml:space="preserve">conexión </w:t>
      </w:r>
      <w:r w:rsidRPr="004A30A8">
        <w:t xml:space="preserve">con los demás derechos invocados </w:t>
      </w:r>
      <w:r w:rsidR="00F842A6" w:rsidRPr="004A30A8">
        <w:t>(</w:t>
      </w:r>
      <w:r w:rsidR="00F842A6" w:rsidRPr="004A30A8">
        <w:rPr>
          <w:rFonts w:eastAsiaTheme="minorHAnsi" w:cs="Verdana"/>
          <w:lang w:eastAsia="en-US"/>
        </w:rPr>
        <w:t xml:space="preserve">la honra y dignidad, la libertad personal y la libertad de expresión), no siendo razonable exigir un agotamiento de recursos internos de manera separada </w:t>
      </w:r>
      <w:r w:rsidR="00F842A6" w:rsidRPr="004A30A8">
        <w:t>y autónoma frente a cada uno de los efectos derivados de una violación principal</w:t>
      </w:r>
      <w:r w:rsidR="00F842A6" w:rsidRPr="004A30A8">
        <w:rPr>
          <w:rFonts w:eastAsiaTheme="minorHAnsi" w:cs="Verdana"/>
          <w:lang w:eastAsia="en-US"/>
        </w:rPr>
        <w:t>.</w:t>
      </w:r>
      <w:r w:rsidRPr="004A30A8">
        <w:t xml:space="preserve"> </w:t>
      </w:r>
      <w:r w:rsidR="002E36E2" w:rsidRPr="004A30A8">
        <w:t xml:space="preserve">La vía utilizada por el señor Olivera </w:t>
      </w:r>
      <w:r w:rsidRPr="004A30A8">
        <w:t>fue, por tanto,</w:t>
      </w:r>
      <w:r w:rsidR="002E36E2" w:rsidRPr="004A30A8">
        <w:t xml:space="preserve"> idónea para </w:t>
      </w:r>
      <w:r w:rsidRPr="004A30A8">
        <w:t xml:space="preserve">proteger la alegada situación jurídica infringida. </w:t>
      </w:r>
      <w:r w:rsidR="00503E4C" w:rsidRPr="004A30A8">
        <w:t>En virtud de lo anterior</w:t>
      </w:r>
      <w:r w:rsidR="00F8550A" w:rsidRPr="004A30A8">
        <w:t xml:space="preserve">, se desestima la </w:t>
      </w:r>
      <w:r w:rsidR="00172C60" w:rsidRPr="004A30A8">
        <w:t xml:space="preserve">presente </w:t>
      </w:r>
      <w:r w:rsidR="00F8550A" w:rsidRPr="004A30A8">
        <w:t>excepción preliminar</w:t>
      </w:r>
      <w:r w:rsidR="00716E29" w:rsidRPr="004A30A8">
        <w:t>.</w:t>
      </w:r>
    </w:p>
    <w:p w14:paraId="217C79CB" w14:textId="77777777" w:rsidR="00DF7FF5" w:rsidRPr="004A30A8" w:rsidRDefault="00DF7FF5">
      <w:pPr>
        <w:widowControl/>
        <w:adjustRightInd/>
        <w:spacing w:after="200" w:line="276" w:lineRule="auto"/>
        <w:jc w:val="left"/>
      </w:pPr>
      <w:r w:rsidRPr="004A30A8">
        <w:br w:type="page"/>
      </w:r>
    </w:p>
    <w:p w14:paraId="7B6DEAB0" w14:textId="56DBCA3C" w:rsidR="008E4B36" w:rsidRPr="004A30A8" w:rsidRDefault="008E4B36" w:rsidP="003153DF">
      <w:pPr>
        <w:pStyle w:val="Ttulo1"/>
        <w:spacing w:before="360" w:after="360"/>
      </w:pPr>
      <w:bookmarkStart w:id="17" w:name="_Toc129887093"/>
      <w:r w:rsidRPr="004A30A8">
        <w:lastRenderedPageBreak/>
        <w:t>V</w:t>
      </w:r>
      <w:r w:rsidRPr="004A30A8">
        <w:br/>
        <w:t>CONSIDERACIONES PREVIAS</w:t>
      </w:r>
      <w:bookmarkEnd w:id="17"/>
    </w:p>
    <w:p w14:paraId="72CDC842" w14:textId="257F6062" w:rsidR="008E4B36" w:rsidRPr="004A30A8" w:rsidRDefault="008E4B36" w:rsidP="003153DF">
      <w:pPr>
        <w:pStyle w:val="Ttulo2"/>
        <w:tabs>
          <w:tab w:val="num" w:pos="12305"/>
        </w:tabs>
        <w:spacing w:before="360" w:after="360"/>
        <w:ind w:firstLine="709"/>
      </w:pPr>
      <w:bookmarkStart w:id="18" w:name="_Toc129887094"/>
      <w:r w:rsidRPr="004A30A8">
        <w:rPr>
          <w:lang w:val="es-ES"/>
        </w:rPr>
        <w:t>A. La indebida inclusión de hechos que no forman parte del marco fáctico del caso</w:t>
      </w:r>
      <w:bookmarkEnd w:id="18"/>
    </w:p>
    <w:p w14:paraId="1F5CDF22" w14:textId="2445E43D" w:rsidR="008E4B36" w:rsidRPr="004A30A8" w:rsidRDefault="009117FF" w:rsidP="003153DF">
      <w:pPr>
        <w:pStyle w:val="Ttulo3"/>
        <w:spacing w:before="360" w:after="360"/>
        <w:ind w:left="992"/>
        <w:contextualSpacing w:val="0"/>
        <w:rPr>
          <w:b w:val="0"/>
          <w:bCs/>
          <w:lang w:val="es-ES"/>
        </w:rPr>
      </w:pPr>
      <w:bookmarkStart w:id="19" w:name="_Toc129887095"/>
      <w:r w:rsidRPr="004A30A8">
        <w:rPr>
          <w:b w:val="0"/>
          <w:bCs/>
          <w:lang w:val="es-ES"/>
        </w:rPr>
        <w:t>A</w:t>
      </w:r>
      <w:r w:rsidR="008E4B36" w:rsidRPr="004A30A8">
        <w:rPr>
          <w:b w:val="0"/>
          <w:bCs/>
          <w:lang w:val="es-ES"/>
        </w:rPr>
        <w:t>.1 Alegatos del Estado y observaciones de la Comisión y de los representantes</w:t>
      </w:r>
      <w:bookmarkEnd w:id="19"/>
    </w:p>
    <w:p w14:paraId="31AF204B" w14:textId="578ACCD3" w:rsidR="008E4B36" w:rsidRPr="004A30A8" w:rsidRDefault="008E4B36" w:rsidP="00AC3364">
      <w:pPr>
        <w:numPr>
          <w:ilvl w:val="0"/>
          <w:numId w:val="7"/>
        </w:numPr>
        <w:tabs>
          <w:tab w:val="left" w:pos="567"/>
          <w:tab w:val="num" w:pos="1569"/>
          <w:tab w:val="num" w:pos="12305"/>
        </w:tabs>
        <w:spacing w:line="240" w:lineRule="auto"/>
        <w:ind w:left="0" w:firstLine="0"/>
      </w:pPr>
      <w:r w:rsidRPr="004A30A8">
        <w:t xml:space="preserve">El </w:t>
      </w:r>
      <w:r w:rsidRPr="004A30A8">
        <w:rPr>
          <w:rFonts w:eastAsiaTheme="minorHAnsi" w:cs="Verdana"/>
          <w:b/>
          <w:bCs/>
          <w:i/>
          <w:iCs/>
          <w:lang w:eastAsia="en-US"/>
        </w:rPr>
        <w:t xml:space="preserve">Estado </w:t>
      </w:r>
      <w:r w:rsidRPr="004A30A8">
        <w:rPr>
          <w:rFonts w:eastAsiaTheme="minorHAnsi" w:cs="Verdana"/>
          <w:lang w:eastAsia="en-US"/>
        </w:rPr>
        <w:t xml:space="preserve">señaló que los representantes hicieron referencia en su escrito de argumentos y pruebas a hechos ajenos al marco fáctico establecido por la Comisión Interamericana en el Informe de Fondo, a saber: (i) los hechos relativos a la expulsión del señor Olivera de un gimnasio, lo cual dio motivo a la emisión de una nota de prensa del Movimiento Homosexual de </w:t>
      </w:r>
      <w:r w:rsidRPr="004A30A8">
        <w:rPr>
          <w:iCs/>
          <w:lang w:val="es-ES"/>
        </w:rPr>
        <w:t>Lima</w:t>
      </w:r>
      <w:r w:rsidRPr="004A30A8">
        <w:rPr>
          <w:rFonts w:eastAsiaTheme="minorHAnsi" w:cs="Verdana"/>
          <w:lang w:eastAsia="en-US"/>
        </w:rPr>
        <w:t xml:space="preserve"> del 11 de febrero de 2004, y (ii) el </w:t>
      </w:r>
      <w:r w:rsidRPr="004A30A8">
        <w:rPr>
          <w:lang w:val="es-ES"/>
        </w:rPr>
        <w:t>reportaje de televisión del programa de televisión “Reporte Semanal”</w:t>
      </w:r>
      <w:r w:rsidRPr="004A30A8">
        <w:rPr>
          <w:i/>
          <w:iCs/>
          <w:lang w:val="es-ES"/>
        </w:rPr>
        <w:t xml:space="preserve"> </w:t>
      </w:r>
      <w:r w:rsidRPr="004A30A8">
        <w:rPr>
          <w:lang w:val="es-ES"/>
        </w:rPr>
        <w:t xml:space="preserve">de 17 de agosto de 2004 por medio del cual un periodista y la pareja de este, de diferente sexo, realizaron deliberadamente conductas afectivas en aras de evidenciar un trato diferenciado hacia las personas con orientación sexual diversa en Perú. </w:t>
      </w:r>
    </w:p>
    <w:p w14:paraId="02E0AEDF" w14:textId="77777777" w:rsidR="00BE4116" w:rsidRPr="004A30A8" w:rsidRDefault="00BE4116" w:rsidP="00BE4116">
      <w:pPr>
        <w:tabs>
          <w:tab w:val="left" w:pos="567"/>
          <w:tab w:val="num" w:pos="12305"/>
        </w:tabs>
        <w:spacing w:line="240" w:lineRule="auto"/>
      </w:pPr>
    </w:p>
    <w:p w14:paraId="2676BE21" w14:textId="6EFC13A6" w:rsidR="008E4B36" w:rsidRPr="004A30A8" w:rsidRDefault="008E4B36">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 xml:space="preserve">La </w:t>
      </w:r>
      <w:r w:rsidRPr="004A30A8">
        <w:rPr>
          <w:rFonts w:eastAsiaTheme="minorHAnsi" w:cs="Verdana"/>
          <w:b/>
          <w:bCs/>
          <w:i/>
          <w:iCs/>
          <w:lang w:eastAsia="en-US"/>
        </w:rPr>
        <w:t xml:space="preserve">Comisión </w:t>
      </w:r>
      <w:r w:rsidRPr="004A30A8">
        <w:rPr>
          <w:rFonts w:eastAsiaTheme="minorHAnsi" w:cs="Verdana"/>
          <w:lang w:eastAsia="en-US"/>
        </w:rPr>
        <w:t>indicó que la jurisprudencia de la Corte Interamericana ha</w:t>
      </w:r>
      <w:r w:rsidRPr="004A30A8">
        <w:t xml:space="preserve"> </w:t>
      </w:r>
      <w:r w:rsidRPr="004A30A8">
        <w:rPr>
          <w:rFonts w:eastAsiaTheme="minorHAnsi" w:cs="Verdana"/>
          <w:lang w:eastAsia="en-US"/>
        </w:rPr>
        <w:t xml:space="preserve">sido clara en establecer </w:t>
      </w:r>
      <w:r w:rsidRPr="004A30A8">
        <w:rPr>
          <w:iCs/>
          <w:lang w:val="es-ES"/>
        </w:rPr>
        <w:t>que</w:t>
      </w:r>
      <w:r w:rsidRPr="004A30A8">
        <w:rPr>
          <w:rFonts w:eastAsiaTheme="minorHAnsi" w:cs="Verdana"/>
          <w:lang w:eastAsia="en-US"/>
        </w:rPr>
        <w:t xml:space="preserve"> los hechos del Informe de Fondo constituyen el marco fáctico del</w:t>
      </w:r>
      <w:r w:rsidRPr="004A30A8">
        <w:t xml:space="preserve"> </w:t>
      </w:r>
      <w:r w:rsidRPr="004A30A8">
        <w:rPr>
          <w:rFonts w:eastAsiaTheme="minorHAnsi" w:cs="Verdana"/>
          <w:lang w:eastAsia="en-US"/>
        </w:rPr>
        <w:t>proceso. En ese sentido, arguyó que no era admisible que las partes alegaran nuevos hechos distintos a los</w:t>
      </w:r>
      <w:r w:rsidRPr="004A30A8">
        <w:t xml:space="preserve"> </w:t>
      </w:r>
      <w:r w:rsidRPr="004A30A8">
        <w:rPr>
          <w:rFonts w:eastAsiaTheme="minorHAnsi" w:cs="Verdana"/>
          <w:lang w:eastAsia="en-US"/>
        </w:rPr>
        <w:t>contenidos en el Informe de Fondo, sin perjuicio de exponer aquellos que permitan aclarar o</w:t>
      </w:r>
      <w:r w:rsidRPr="004A30A8">
        <w:t xml:space="preserve"> </w:t>
      </w:r>
      <w:r w:rsidRPr="004A30A8">
        <w:rPr>
          <w:rFonts w:eastAsiaTheme="minorHAnsi" w:cs="Verdana"/>
          <w:lang w:eastAsia="en-US"/>
        </w:rPr>
        <w:t xml:space="preserve">desestimar los que hayan sido mencionados en el mismo. </w:t>
      </w:r>
    </w:p>
    <w:p w14:paraId="3468CC82" w14:textId="77777777" w:rsidR="008E4B36" w:rsidRPr="004A30A8" w:rsidRDefault="008E4B36" w:rsidP="008E4B36">
      <w:pPr>
        <w:tabs>
          <w:tab w:val="left" w:pos="567"/>
          <w:tab w:val="num" w:pos="12305"/>
        </w:tabs>
        <w:spacing w:line="240" w:lineRule="auto"/>
      </w:pPr>
    </w:p>
    <w:p w14:paraId="337A6CDF" w14:textId="00A149ED" w:rsidR="008E4B36" w:rsidRPr="004A30A8" w:rsidRDefault="008E4B36">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En</w:t>
      </w:r>
      <w:r w:rsidRPr="004A30A8">
        <w:rPr>
          <w:rFonts w:eastAsiaTheme="minorHAnsi" w:cs="Verdana"/>
          <w:b/>
          <w:bCs/>
          <w:i/>
          <w:iCs/>
          <w:lang w:eastAsia="en-US"/>
        </w:rPr>
        <w:t xml:space="preserve"> </w:t>
      </w:r>
      <w:r w:rsidRPr="004A30A8">
        <w:rPr>
          <w:rFonts w:eastAsiaTheme="minorHAnsi" w:cs="Verdana"/>
          <w:lang w:eastAsia="en-US"/>
        </w:rPr>
        <w:t>relación con la nota de prensa sobre un presunto acto de discriminación que habría sufrido el señor</w:t>
      </w:r>
      <w:r w:rsidRPr="004A30A8">
        <w:t xml:space="preserve"> </w:t>
      </w:r>
      <w:r w:rsidRPr="004A30A8">
        <w:rPr>
          <w:iCs/>
          <w:lang w:val="es-ES"/>
        </w:rPr>
        <w:t>Olivera</w:t>
      </w:r>
      <w:r w:rsidRPr="004A30A8">
        <w:rPr>
          <w:rFonts w:eastAsiaTheme="minorHAnsi" w:cs="Verdana"/>
          <w:lang w:eastAsia="en-US"/>
        </w:rPr>
        <w:t xml:space="preserve"> en el local de un gimnasio, si bien los </w:t>
      </w:r>
      <w:r w:rsidRPr="004A30A8">
        <w:rPr>
          <w:rFonts w:eastAsiaTheme="minorHAnsi" w:cs="Verdana"/>
          <w:b/>
          <w:bCs/>
          <w:i/>
          <w:iCs/>
          <w:lang w:eastAsia="en-US"/>
        </w:rPr>
        <w:t>representantes</w:t>
      </w:r>
      <w:r w:rsidRPr="004A30A8">
        <w:rPr>
          <w:rFonts w:eastAsiaTheme="minorHAnsi" w:cs="Verdana"/>
          <w:lang w:eastAsia="en-US"/>
        </w:rPr>
        <w:t xml:space="preserve"> reconocieron que el Informe de Fondo no hacía referencia explícita a este documento, sostuvieron que esta pieza</w:t>
      </w:r>
      <w:r w:rsidRPr="004A30A8">
        <w:t xml:space="preserve"> </w:t>
      </w:r>
      <w:r w:rsidRPr="004A30A8">
        <w:rPr>
          <w:rFonts w:eastAsiaTheme="minorHAnsi" w:cs="Verdana"/>
          <w:lang w:eastAsia="en-US"/>
        </w:rPr>
        <w:t>probatoria formó parte del procedimiento internacional desde la presentación de la petición</w:t>
      </w:r>
      <w:r w:rsidRPr="004A30A8">
        <w:t xml:space="preserve"> </w:t>
      </w:r>
      <w:r w:rsidRPr="004A30A8">
        <w:rPr>
          <w:rFonts w:eastAsiaTheme="minorHAnsi" w:cs="Verdana"/>
          <w:lang w:eastAsia="en-US"/>
        </w:rPr>
        <w:t xml:space="preserve">ante la Comisión. Asimismo, en relación con el </w:t>
      </w:r>
      <w:r w:rsidRPr="004A30A8">
        <w:rPr>
          <w:lang w:val="es-ES"/>
        </w:rPr>
        <w:t>reportaje de televisión del programa de televisión “Reporte Semanal”</w:t>
      </w:r>
      <w:r w:rsidRPr="004A30A8">
        <w:rPr>
          <w:i/>
          <w:iCs/>
          <w:lang w:val="es-ES"/>
        </w:rPr>
        <w:t xml:space="preserve"> </w:t>
      </w:r>
      <w:r w:rsidRPr="004A30A8">
        <w:rPr>
          <w:lang w:val="es-ES"/>
        </w:rPr>
        <w:t xml:space="preserve">de 17 de agosto de 2004, indicaron que la Comisión se refiere al mismo </w:t>
      </w:r>
      <w:r w:rsidRPr="004A30A8">
        <w:rPr>
          <w:rFonts w:eastAsiaTheme="minorHAnsi" w:cs="Verdana"/>
          <w:lang w:eastAsia="en-US"/>
        </w:rPr>
        <w:t>en los párrafos 17, 20 y 22 del Informe de Fondo. Aunado a lo anterior, los</w:t>
      </w:r>
      <w:r w:rsidRPr="004A30A8">
        <w:t xml:space="preserve"> </w:t>
      </w:r>
      <w:r w:rsidRPr="004A30A8">
        <w:rPr>
          <w:iCs/>
          <w:lang w:val="es-ES"/>
        </w:rPr>
        <w:t>representantes</w:t>
      </w:r>
      <w:r w:rsidRPr="004A30A8">
        <w:rPr>
          <w:rFonts w:eastAsiaTheme="minorHAnsi" w:cs="Verdana"/>
          <w:lang w:eastAsia="en-US"/>
        </w:rPr>
        <w:t xml:space="preserve"> indicaron que no se argumentó en ningún momento que los hechos del 17 de</w:t>
      </w:r>
      <w:r w:rsidRPr="004A30A8">
        <w:t xml:space="preserve"> </w:t>
      </w:r>
      <w:r w:rsidRPr="004A30A8">
        <w:rPr>
          <w:rFonts w:eastAsiaTheme="minorHAnsi" w:cs="Verdana"/>
          <w:lang w:eastAsia="en-US"/>
        </w:rPr>
        <w:t>agosto de 2004</w:t>
      </w:r>
      <w:r w:rsidR="00A1501D" w:rsidRPr="004A30A8">
        <w:rPr>
          <w:rFonts w:eastAsiaTheme="minorHAnsi" w:cs="Verdana"/>
          <w:lang w:eastAsia="en-US"/>
        </w:rPr>
        <w:t xml:space="preserve"> constituyeran </w:t>
      </w:r>
      <w:r w:rsidRPr="004A30A8">
        <w:rPr>
          <w:rFonts w:eastAsiaTheme="minorHAnsi" w:cs="Verdana"/>
          <w:lang w:eastAsia="en-US"/>
        </w:rPr>
        <w:t xml:space="preserve">actos ilícitos adicionales imputables al Estado. Por el </w:t>
      </w:r>
      <w:r w:rsidRPr="004A30A8">
        <w:rPr>
          <w:iCs/>
          <w:lang w:val="es-ES"/>
        </w:rPr>
        <w:t>contrario</w:t>
      </w:r>
      <w:r w:rsidRPr="004A30A8">
        <w:rPr>
          <w:rFonts w:eastAsiaTheme="minorHAnsi" w:cs="Verdana"/>
          <w:lang w:eastAsia="en-US"/>
        </w:rPr>
        <w:t>,</w:t>
      </w:r>
      <w:r w:rsidRPr="004A30A8">
        <w:t xml:space="preserve"> </w:t>
      </w:r>
      <w:r w:rsidRPr="004A30A8">
        <w:rPr>
          <w:rFonts w:eastAsiaTheme="minorHAnsi" w:cs="Verdana"/>
          <w:lang w:eastAsia="en-US"/>
        </w:rPr>
        <w:t>consideraron que el reportaje en cuestión era “un indicio que arrojaba claras pistas sobre las</w:t>
      </w:r>
      <w:r w:rsidRPr="004A30A8">
        <w:t xml:space="preserve"> </w:t>
      </w:r>
      <w:r w:rsidRPr="004A30A8">
        <w:rPr>
          <w:rFonts w:eastAsiaTheme="minorHAnsi" w:cs="Verdana"/>
          <w:lang w:eastAsia="en-US"/>
        </w:rPr>
        <w:t>prácticas discriminatorias frecuentes hacia parejas homosexuales en los locales de la empresa</w:t>
      </w:r>
      <w:r w:rsidRPr="004A30A8">
        <w:t xml:space="preserve"> </w:t>
      </w:r>
      <w:r w:rsidRPr="004A30A8">
        <w:rPr>
          <w:rFonts w:eastAsiaTheme="minorHAnsi" w:cs="Verdana"/>
          <w:lang w:eastAsia="en-US"/>
        </w:rPr>
        <w:t xml:space="preserve">denunciada”. </w:t>
      </w:r>
    </w:p>
    <w:p w14:paraId="37B8B658" w14:textId="74897B6E" w:rsidR="008E4B36" w:rsidRPr="004A30A8" w:rsidRDefault="009117FF" w:rsidP="003153DF">
      <w:pPr>
        <w:pStyle w:val="Ttulo3"/>
        <w:spacing w:before="360" w:after="360"/>
        <w:ind w:left="992"/>
        <w:contextualSpacing w:val="0"/>
        <w:rPr>
          <w:b w:val="0"/>
          <w:bCs/>
          <w:lang w:val="es-ES"/>
        </w:rPr>
      </w:pPr>
      <w:bookmarkStart w:id="20" w:name="_Toc129887096"/>
      <w:r w:rsidRPr="004A30A8">
        <w:rPr>
          <w:b w:val="0"/>
          <w:bCs/>
          <w:lang w:val="es-ES"/>
        </w:rPr>
        <w:t>A</w:t>
      </w:r>
      <w:r w:rsidR="008E4B36" w:rsidRPr="004A30A8">
        <w:rPr>
          <w:b w:val="0"/>
          <w:bCs/>
          <w:lang w:val="es-ES"/>
        </w:rPr>
        <w:t>.2 Consideraciones de la Corte</w:t>
      </w:r>
      <w:bookmarkEnd w:id="20"/>
    </w:p>
    <w:p w14:paraId="3A3C37C9" w14:textId="1D38F820" w:rsidR="008E4B36" w:rsidRPr="004A30A8" w:rsidRDefault="00503E4C">
      <w:pPr>
        <w:numPr>
          <w:ilvl w:val="0"/>
          <w:numId w:val="7"/>
        </w:numPr>
        <w:tabs>
          <w:tab w:val="left" w:pos="567"/>
          <w:tab w:val="num" w:pos="1569"/>
          <w:tab w:val="num" w:pos="12305"/>
        </w:tabs>
        <w:spacing w:line="240" w:lineRule="auto"/>
        <w:ind w:left="0" w:firstLine="0"/>
      </w:pPr>
      <w:r w:rsidRPr="004A30A8">
        <w:t>L</w:t>
      </w:r>
      <w:r w:rsidR="008E4B36" w:rsidRPr="004A30A8">
        <w:t xml:space="preserve">a </w:t>
      </w:r>
      <w:r w:rsidR="008E4B36" w:rsidRPr="004A30A8">
        <w:rPr>
          <w:b/>
          <w:bCs/>
          <w:i/>
          <w:iCs/>
        </w:rPr>
        <w:t xml:space="preserve">Corte </w:t>
      </w:r>
      <w:r w:rsidR="008E4B36" w:rsidRPr="004A30A8">
        <w:t xml:space="preserve">recuerda que la jurisprudencia de este Tribunal ha sido clara en establecer que el marco fáctico del proceso se circunscribe a los hechos descritos en el </w:t>
      </w:r>
      <w:r w:rsidR="008E4B36" w:rsidRPr="004A30A8">
        <w:rPr>
          <w:iCs/>
          <w:lang w:val="es-ES"/>
        </w:rPr>
        <w:t>Informe</w:t>
      </w:r>
      <w:r w:rsidR="008E4B36" w:rsidRPr="004A30A8">
        <w:t xml:space="preserve"> de Fondo, sin perjuicio de que los representantes puedan exponer los hechos que permitan explicar, aclarar o desestimar los que hayan sido mencionados en dicho informe por la Comisión</w:t>
      </w:r>
      <w:r w:rsidR="008E4B36" w:rsidRPr="004A30A8">
        <w:rPr>
          <w:rStyle w:val="Refdenotaalpie"/>
        </w:rPr>
        <w:footnoteReference w:id="26"/>
      </w:r>
      <w:r w:rsidR="008E4B36" w:rsidRPr="004A30A8">
        <w:t xml:space="preserve">. </w:t>
      </w:r>
    </w:p>
    <w:p w14:paraId="3334E4E0" w14:textId="77777777" w:rsidR="008E4B36" w:rsidRPr="004A30A8" w:rsidRDefault="008E4B36" w:rsidP="008E4B36">
      <w:pPr>
        <w:tabs>
          <w:tab w:val="left" w:pos="567"/>
        </w:tabs>
        <w:spacing w:line="240" w:lineRule="auto"/>
      </w:pPr>
    </w:p>
    <w:p w14:paraId="0F3D2A76" w14:textId="6A081ABB" w:rsidR="008E4B36" w:rsidRPr="004A30A8" w:rsidRDefault="008E4B36">
      <w:pPr>
        <w:numPr>
          <w:ilvl w:val="0"/>
          <w:numId w:val="7"/>
        </w:numPr>
        <w:tabs>
          <w:tab w:val="left" w:pos="567"/>
          <w:tab w:val="num" w:pos="1569"/>
          <w:tab w:val="num" w:pos="12305"/>
        </w:tabs>
        <w:spacing w:line="240" w:lineRule="auto"/>
        <w:ind w:left="0" w:firstLine="0"/>
      </w:pPr>
      <w:r w:rsidRPr="004A30A8">
        <w:t xml:space="preserve">Por un lado, en relación con la nota de prensa del Movimiento Homosexual de Lima de 11 de febrero de 2004 sobre la expulsión del señor Olivera Fuentes </w:t>
      </w:r>
      <w:r w:rsidR="00B528DE" w:rsidRPr="004A30A8">
        <w:t xml:space="preserve">de un gimnasio </w:t>
      </w:r>
      <w:r w:rsidRPr="004A30A8">
        <w:t>por la expresión de su orientación sexual, la Corte advierte que estos hechos no fueron mencionados por la Comisión en su Informe de Fondo. Por lo tanto, dicha nota de prensa y los hechos a los que hace referencia no tienen vinculación directa con el marco fáctico definido por la Comisión y deben ser excluidos del análisis de las violaciones a la Convención alegadas por los representantes.</w:t>
      </w:r>
    </w:p>
    <w:p w14:paraId="3892B67A" w14:textId="77777777" w:rsidR="008E4B36" w:rsidRPr="004A30A8" w:rsidRDefault="008E4B36" w:rsidP="008E4B36">
      <w:pPr>
        <w:tabs>
          <w:tab w:val="left" w:pos="567"/>
          <w:tab w:val="num" w:pos="12305"/>
        </w:tabs>
        <w:spacing w:line="240" w:lineRule="auto"/>
      </w:pPr>
    </w:p>
    <w:p w14:paraId="1884A783" w14:textId="68C6C417" w:rsidR="008E4B36" w:rsidRPr="004A30A8" w:rsidRDefault="008E4B36" w:rsidP="008E4B36">
      <w:pPr>
        <w:numPr>
          <w:ilvl w:val="0"/>
          <w:numId w:val="7"/>
        </w:numPr>
        <w:tabs>
          <w:tab w:val="left" w:pos="567"/>
          <w:tab w:val="num" w:pos="1569"/>
          <w:tab w:val="num" w:pos="12305"/>
        </w:tabs>
        <w:spacing w:line="240" w:lineRule="auto"/>
        <w:ind w:left="0" w:firstLine="0"/>
      </w:pPr>
      <w:r w:rsidRPr="004A30A8">
        <w:t>Por otro lado, en relación con el programa de televisión “Reporte Semanal”</w:t>
      </w:r>
      <w:r w:rsidRPr="004A30A8">
        <w:rPr>
          <w:i/>
          <w:iCs/>
        </w:rPr>
        <w:t xml:space="preserve"> </w:t>
      </w:r>
      <w:r w:rsidRPr="004A30A8">
        <w:t xml:space="preserve">de 17 de agosto de 2004, </w:t>
      </w:r>
      <w:r w:rsidR="00B61D94" w:rsidRPr="004A30A8">
        <w:t>la Corte</w:t>
      </w:r>
      <w:r w:rsidRPr="004A30A8">
        <w:t xml:space="preserve"> advierte que este </w:t>
      </w:r>
      <w:r w:rsidRPr="004A30A8">
        <w:rPr>
          <w:iCs/>
          <w:lang w:val="es-ES"/>
        </w:rPr>
        <w:t>sí</w:t>
      </w:r>
      <w:r w:rsidRPr="004A30A8">
        <w:t xml:space="preserve"> forma parte del marco fáctico delimitado por la Comisión, en tanto estos hechos son nombrados explícitamente en los párrafos </w:t>
      </w:r>
      <w:r w:rsidR="00D733B5" w:rsidRPr="004A30A8">
        <w:t>16</w:t>
      </w:r>
      <w:r w:rsidRPr="004A30A8">
        <w:t>, 20 y 22 del Informe de Fondo</w:t>
      </w:r>
      <w:r w:rsidR="000C2AF9" w:rsidRPr="004A30A8">
        <w:rPr>
          <w:rStyle w:val="Refdenotaalpie"/>
        </w:rPr>
        <w:footnoteReference w:id="27"/>
      </w:r>
      <w:r w:rsidRPr="004A30A8">
        <w:t>. Así, en la sección de fundamentos de derecho, la Comisión Interamericana alude de forma expresa a dicho programa de televisión como un elemento de juicio para valorar las violaciones alegadas por el señor Olivera Fuentes:</w:t>
      </w:r>
    </w:p>
    <w:p w14:paraId="0B3A59B6" w14:textId="19101B70" w:rsidR="008E4B36" w:rsidRPr="004A30A8" w:rsidRDefault="008E4B36" w:rsidP="003153DF">
      <w:pPr>
        <w:pStyle w:val="Prrafodelista"/>
        <w:spacing w:before="240" w:after="240" w:line="240" w:lineRule="auto"/>
        <w:ind w:left="992" w:right="726"/>
        <w:contextualSpacing w:val="0"/>
        <w:rPr>
          <w:sz w:val="18"/>
          <w:szCs w:val="18"/>
        </w:rPr>
      </w:pPr>
      <w:r w:rsidRPr="004A30A8">
        <w:rPr>
          <w:rFonts w:eastAsiaTheme="minorHAnsi"/>
          <w:color w:val="000000"/>
          <w:sz w:val="18"/>
          <w:szCs w:val="18"/>
          <w:lang w:eastAsia="en-US"/>
        </w:rPr>
        <w:t>Finalmente</w:t>
      </w:r>
      <w:r w:rsidRPr="004A30A8">
        <w:rPr>
          <w:sz w:val="18"/>
          <w:szCs w:val="18"/>
        </w:rPr>
        <w:t xml:space="preserve">, la Comisión hace notar que el 17 de agosto de 2004 la presunta víctima acudió a otro centro comercial de la misma empresa, en compañía de una pareja </w:t>
      </w:r>
      <w:r w:rsidRPr="004A30A8">
        <w:rPr>
          <w:rFonts w:eastAsiaTheme="minorHAnsi"/>
          <w:color w:val="000000"/>
          <w:sz w:val="18"/>
          <w:szCs w:val="18"/>
          <w:lang w:eastAsia="en-US"/>
        </w:rPr>
        <w:t>heterosexual</w:t>
      </w:r>
      <w:r w:rsidRPr="004A30A8">
        <w:rPr>
          <w:sz w:val="18"/>
          <w:szCs w:val="18"/>
        </w:rPr>
        <w:t xml:space="preserve"> y desplegaron nuevamente conductas afectivas, sin embargo, solamente la presunta víctima y su pareja fueron amonestadas por expresar dichas conductas</w:t>
      </w:r>
      <w:r w:rsidRPr="004A30A8">
        <w:rPr>
          <w:rStyle w:val="Refdenotaalpie"/>
          <w:sz w:val="18"/>
          <w:szCs w:val="18"/>
        </w:rPr>
        <w:footnoteReference w:id="28"/>
      </w:r>
      <w:r w:rsidRPr="004A30A8">
        <w:rPr>
          <w:sz w:val="18"/>
          <w:szCs w:val="18"/>
        </w:rPr>
        <w:t>.</w:t>
      </w:r>
    </w:p>
    <w:p w14:paraId="589063B9" w14:textId="7D5F2461" w:rsidR="008E4B36" w:rsidRPr="004A30A8" w:rsidRDefault="008E4B36">
      <w:pPr>
        <w:numPr>
          <w:ilvl w:val="0"/>
          <w:numId w:val="7"/>
        </w:numPr>
        <w:tabs>
          <w:tab w:val="left" w:pos="567"/>
          <w:tab w:val="num" w:pos="1569"/>
          <w:tab w:val="num" w:pos="12305"/>
        </w:tabs>
        <w:spacing w:line="240" w:lineRule="auto"/>
        <w:ind w:left="0" w:firstLine="0"/>
      </w:pPr>
      <w:r w:rsidRPr="004A30A8">
        <w:t>En virtud de lo expresado anteriormente</w:t>
      </w:r>
      <w:r w:rsidR="00BE4116" w:rsidRPr="004A30A8">
        <w:t xml:space="preserve">, </w:t>
      </w:r>
      <w:r w:rsidRPr="004A30A8">
        <w:t xml:space="preserve">la Corte excluirá los hechos y elementos probatorios que hagan referencia </w:t>
      </w:r>
      <w:r w:rsidRPr="004A30A8">
        <w:rPr>
          <w:rFonts w:eastAsiaTheme="minorHAnsi" w:cs="Verdana"/>
          <w:lang w:eastAsia="en-US"/>
        </w:rPr>
        <w:t xml:space="preserve">los hechos relativos a la expulsión del señor Olivera de un gimnasio, lo cual dio motivo a la emisión de una nota de prensa del Movimiento Homosexual de </w:t>
      </w:r>
      <w:r w:rsidRPr="004A30A8">
        <w:rPr>
          <w:iCs/>
          <w:lang w:val="es-ES"/>
        </w:rPr>
        <w:t>Lima</w:t>
      </w:r>
      <w:r w:rsidRPr="004A30A8">
        <w:rPr>
          <w:rFonts w:eastAsiaTheme="minorHAnsi" w:cs="Verdana"/>
          <w:lang w:eastAsia="en-US"/>
        </w:rPr>
        <w:t xml:space="preserve"> del 11 de febrero de 2004.</w:t>
      </w:r>
      <w:r w:rsidR="007C280A" w:rsidRPr="004A30A8">
        <w:rPr>
          <w:rFonts w:eastAsiaTheme="minorHAnsi" w:cs="Verdana"/>
          <w:lang w:eastAsia="en-US"/>
        </w:rPr>
        <w:t xml:space="preserve"> Asimismo, el Tribunal sí podrá analizar los hechos relativos al </w:t>
      </w:r>
      <w:r w:rsidR="007C280A" w:rsidRPr="004A30A8">
        <w:rPr>
          <w:lang w:val="es-ES"/>
        </w:rPr>
        <w:t>reportaje de televisión del programa de televisión “Reporte Semanal”</w:t>
      </w:r>
      <w:r w:rsidR="007C280A" w:rsidRPr="004A30A8">
        <w:rPr>
          <w:i/>
          <w:iCs/>
          <w:lang w:val="es-ES"/>
        </w:rPr>
        <w:t xml:space="preserve"> </w:t>
      </w:r>
      <w:r w:rsidR="007C280A" w:rsidRPr="004A30A8">
        <w:rPr>
          <w:lang w:val="es-ES"/>
        </w:rPr>
        <w:t>de 17 de agosto de 2004</w:t>
      </w:r>
    </w:p>
    <w:p w14:paraId="7E211F62" w14:textId="21650C48" w:rsidR="008E4B36" w:rsidRPr="004A30A8" w:rsidRDefault="008E4B36" w:rsidP="003153DF">
      <w:pPr>
        <w:pStyle w:val="Ttulo2"/>
        <w:tabs>
          <w:tab w:val="num" w:pos="12305"/>
        </w:tabs>
        <w:spacing w:before="360" w:after="360"/>
        <w:ind w:firstLine="709"/>
      </w:pPr>
      <w:bookmarkStart w:id="21" w:name="_Toc129887097"/>
      <w:r w:rsidRPr="004A30A8">
        <w:rPr>
          <w:lang w:val="es-ES"/>
        </w:rPr>
        <w:t>B. La alegada inclusión indebida en el escrito de solicitudes, argumentos y pruebas de derechos presuntamente vulnerados</w:t>
      </w:r>
      <w:bookmarkEnd w:id="21"/>
    </w:p>
    <w:p w14:paraId="29F0DF00" w14:textId="7F9F0A92" w:rsidR="008E4B36" w:rsidRPr="004A30A8" w:rsidRDefault="009117FF" w:rsidP="003153DF">
      <w:pPr>
        <w:pStyle w:val="Ttulo3"/>
        <w:spacing w:before="360" w:after="360"/>
        <w:ind w:left="992"/>
        <w:contextualSpacing w:val="0"/>
        <w:rPr>
          <w:b w:val="0"/>
          <w:bCs/>
          <w:lang w:val="es-ES"/>
        </w:rPr>
      </w:pPr>
      <w:bookmarkStart w:id="22" w:name="_Toc129887098"/>
      <w:r w:rsidRPr="004A30A8">
        <w:rPr>
          <w:b w:val="0"/>
          <w:bCs/>
          <w:lang w:val="es-ES"/>
        </w:rPr>
        <w:t>B</w:t>
      </w:r>
      <w:r w:rsidR="008E4B36" w:rsidRPr="004A30A8">
        <w:rPr>
          <w:b w:val="0"/>
          <w:bCs/>
          <w:lang w:val="es-ES"/>
        </w:rPr>
        <w:t>.1 Alegatos del Estado y observaciones de la Comisión y de los representantes</w:t>
      </w:r>
      <w:bookmarkEnd w:id="22"/>
    </w:p>
    <w:p w14:paraId="7826B46D" w14:textId="45F30B08" w:rsidR="008E4B36" w:rsidRPr="004A30A8" w:rsidRDefault="008E4B36">
      <w:pPr>
        <w:numPr>
          <w:ilvl w:val="0"/>
          <w:numId w:val="7"/>
        </w:numPr>
        <w:tabs>
          <w:tab w:val="left" w:pos="567"/>
          <w:tab w:val="num" w:pos="1569"/>
          <w:tab w:val="num" w:pos="12305"/>
        </w:tabs>
        <w:spacing w:line="240" w:lineRule="auto"/>
        <w:ind w:left="0" w:firstLine="0"/>
      </w:pPr>
      <w:r w:rsidRPr="004A30A8">
        <w:t xml:space="preserve">El </w:t>
      </w:r>
      <w:r w:rsidRPr="004A30A8">
        <w:rPr>
          <w:rFonts w:eastAsiaTheme="minorHAnsi" w:cs="Verdana"/>
          <w:b/>
          <w:bCs/>
          <w:i/>
          <w:iCs/>
          <w:lang w:eastAsia="en-US"/>
        </w:rPr>
        <w:t xml:space="preserve">Estado </w:t>
      </w:r>
      <w:r w:rsidRPr="004A30A8">
        <w:rPr>
          <w:rFonts w:eastAsiaTheme="minorHAnsi" w:cs="Verdana"/>
          <w:lang w:eastAsia="en-US"/>
        </w:rPr>
        <w:t>alegó que los representantes incluyeron en su escrito de solicitudes, argumentos y pruebas reclamos por presuntas</w:t>
      </w:r>
      <w:r w:rsidRPr="004A30A8">
        <w:t xml:space="preserve"> </w:t>
      </w:r>
      <w:r w:rsidRPr="004A30A8">
        <w:rPr>
          <w:rFonts w:eastAsiaTheme="minorHAnsi" w:cs="Verdana"/>
          <w:lang w:eastAsia="en-US"/>
        </w:rPr>
        <w:t>violaciones a los artículos 7 (Derecho a la libertad) y 13 (Derecho a la libertad de expresión) de</w:t>
      </w:r>
      <w:r w:rsidRPr="004A30A8">
        <w:t xml:space="preserve"> </w:t>
      </w:r>
      <w:r w:rsidRPr="004A30A8">
        <w:rPr>
          <w:rFonts w:eastAsiaTheme="minorHAnsi" w:cs="Verdana"/>
          <w:lang w:eastAsia="en-US"/>
        </w:rPr>
        <w:t xml:space="preserve">la Convención Americana, a pesar de que estas alegadas </w:t>
      </w:r>
      <w:r w:rsidRPr="004A30A8">
        <w:rPr>
          <w:iCs/>
          <w:lang w:val="es-ES"/>
        </w:rPr>
        <w:t>violaciones</w:t>
      </w:r>
      <w:r w:rsidRPr="004A30A8">
        <w:rPr>
          <w:rFonts w:eastAsiaTheme="minorHAnsi" w:cs="Verdana"/>
          <w:lang w:eastAsia="en-US"/>
        </w:rPr>
        <w:t xml:space="preserve"> no </w:t>
      </w:r>
      <w:r w:rsidRPr="004A30A8">
        <w:t>fueron</w:t>
      </w:r>
      <w:r w:rsidRPr="004A30A8">
        <w:rPr>
          <w:rFonts w:eastAsiaTheme="minorHAnsi" w:cs="Verdana"/>
          <w:lang w:eastAsia="en-US"/>
        </w:rPr>
        <w:t xml:space="preserve"> consideradas</w:t>
      </w:r>
      <w:r w:rsidRPr="004A30A8">
        <w:t xml:space="preserve"> </w:t>
      </w:r>
      <w:r w:rsidRPr="004A30A8">
        <w:rPr>
          <w:rFonts w:eastAsiaTheme="minorHAnsi" w:cs="Verdana"/>
          <w:lang w:eastAsia="en-US"/>
        </w:rPr>
        <w:t xml:space="preserve">por la </w:t>
      </w:r>
      <w:r w:rsidRPr="004A30A8">
        <w:t>Comisión</w:t>
      </w:r>
      <w:r w:rsidRPr="004A30A8">
        <w:rPr>
          <w:rFonts w:eastAsiaTheme="minorHAnsi" w:cs="Verdana"/>
          <w:lang w:eastAsia="en-US"/>
        </w:rPr>
        <w:t xml:space="preserve"> en su Informe de Fondo. Añadió que, si bien los representantes pueden</w:t>
      </w:r>
      <w:r w:rsidRPr="004A30A8">
        <w:t xml:space="preserve"> </w:t>
      </w:r>
      <w:r w:rsidRPr="004A30A8">
        <w:rPr>
          <w:rFonts w:eastAsiaTheme="minorHAnsi" w:cs="Verdana"/>
          <w:lang w:eastAsia="en-US"/>
        </w:rPr>
        <w:t>invocar en su escrito de argumentos y pruebas las violaciones de derechos humanos</w:t>
      </w:r>
      <w:r w:rsidRPr="004A30A8">
        <w:t xml:space="preserve"> </w:t>
      </w:r>
      <w:r w:rsidRPr="004A30A8">
        <w:rPr>
          <w:rFonts w:eastAsiaTheme="minorHAnsi" w:cs="Verdana"/>
          <w:lang w:eastAsia="en-US"/>
        </w:rPr>
        <w:t>distintos a los comprendidos en el Informe de Fondo, “esta prerrogativa tiene una limitación</w:t>
      </w:r>
      <w:r w:rsidRPr="004A30A8">
        <w:t xml:space="preserve"> </w:t>
      </w:r>
      <w:r w:rsidRPr="004A30A8">
        <w:rPr>
          <w:rFonts w:eastAsiaTheme="minorHAnsi" w:cs="Verdana"/>
          <w:lang w:eastAsia="en-US"/>
        </w:rPr>
        <w:lastRenderedPageBreak/>
        <w:t xml:space="preserve">consistente en no invocar nuevos hechos” y que en el presente caso se pretendía “imputar al Estado peruano la existencia de actos generalizados de ‘represión’, destinados a invisibilizar la expresión de género de la población LGBTI”. </w:t>
      </w:r>
    </w:p>
    <w:p w14:paraId="7FE4A497" w14:textId="77777777" w:rsidR="008E4B36" w:rsidRPr="004A30A8" w:rsidRDefault="008E4B36" w:rsidP="008E4B36">
      <w:pPr>
        <w:tabs>
          <w:tab w:val="left" w:pos="567"/>
        </w:tabs>
        <w:spacing w:line="240" w:lineRule="auto"/>
      </w:pPr>
    </w:p>
    <w:p w14:paraId="018B43BF" w14:textId="17FAFD70" w:rsidR="008E4B36" w:rsidRPr="004A30A8" w:rsidRDefault="008E4B36">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 xml:space="preserve">La </w:t>
      </w:r>
      <w:r w:rsidRPr="004A30A8">
        <w:rPr>
          <w:rFonts w:eastAsiaTheme="minorHAnsi" w:cs="Verdana"/>
          <w:b/>
          <w:bCs/>
          <w:i/>
          <w:iCs/>
          <w:lang w:eastAsia="en-US"/>
        </w:rPr>
        <w:t xml:space="preserve">Comisión </w:t>
      </w:r>
      <w:r w:rsidRPr="004A30A8">
        <w:rPr>
          <w:rFonts w:eastAsiaTheme="minorHAnsi" w:cs="Verdana"/>
          <w:lang w:eastAsia="en-US"/>
        </w:rPr>
        <w:t>señaló que la jurisprudencia de la Corte ha</w:t>
      </w:r>
      <w:r w:rsidRPr="004A30A8">
        <w:t xml:space="preserve"> </w:t>
      </w:r>
      <w:r w:rsidRPr="004A30A8">
        <w:rPr>
          <w:rFonts w:eastAsiaTheme="minorHAnsi" w:cs="Verdana"/>
          <w:lang w:eastAsia="en-US"/>
        </w:rPr>
        <w:t xml:space="preserve">sido clara en establecer que los representantes </w:t>
      </w:r>
      <w:r w:rsidRPr="004A30A8">
        <w:t>pueden</w:t>
      </w:r>
      <w:r w:rsidRPr="004A30A8">
        <w:rPr>
          <w:rFonts w:eastAsiaTheme="minorHAnsi" w:cs="Verdana"/>
          <w:lang w:eastAsia="en-US"/>
        </w:rPr>
        <w:t xml:space="preserve"> invocar la violación de derechos</w:t>
      </w:r>
      <w:r w:rsidRPr="004A30A8">
        <w:t xml:space="preserve"> </w:t>
      </w:r>
      <w:r w:rsidRPr="004A30A8">
        <w:rPr>
          <w:rFonts w:eastAsiaTheme="minorHAnsi" w:cs="Verdana"/>
          <w:lang w:eastAsia="en-US"/>
        </w:rPr>
        <w:t xml:space="preserve">diferentes a los comprendidos en el </w:t>
      </w:r>
      <w:r w:rsidRPr="004A30A8">
        <w:rPr>
          <w:iCs/>
          <w:lang w:val="es-ES"/>
        </w:rPr>
        <w:t>Informe</w:t>
      </w:r>
      <w:r w:rsidRPr="004A30A8">
        <w:rPr>
          <w:rFonts w:eastAsiaTheme="minorHAnsi" w:cs="Verdana"/>
          <w:lang w:eastAsia="en-US"/>
        </w:rPr>
        <w:t xml:space="preserve"> de Fondo, siempre que guarden relación con marco</w:t>
      </w:r>
      <w:r w:rsidRPr="004A30A8">
        <w:t xml:space="preserve"> </w:t>
      </w:r>
      <w:r w:rsidRPr="004A30A8">
        <w:rPr>
          <w:rFonts w:eastAsiaTheme="minorHAnsi" w:cs="Verdana"/>
          <w:lang w:eastAsia="en-US"/>
        </w:rPr>
        <w:t xml:space="preserve">fáctico definido por la Comisión. </w:t>
      </w:r>
    </w:p>
    <w:p w14:paraId="361F6D61" w14:textId="77777777" w:rsidR="003153DF" w:rsidRPr="004A30A8" w:rsidRDefault="003153DF" w:rsidP="003153DF">
      <w:pPr>
        <w:tabs>
          <w:tab w:val="left" w:pos="567"/>
        </w:tabs>
        <w:spacing w:line="240" w:lineRule="auto"/>
      </w:pPr>
    </w:p>
    <w:p w14:paraId="216A3B18" w14:textId="1A2C7208" w:rsidR="008E4B36" w:rsidRPr="004A30A8" w:rsidRDefault="008E4B36">
      <w:pPr>
        <w:numPr>
          <w:ilvl w:val="0"/>
          <w:numId w:val="7"/>
        </w:numPr>
        <w:tabs>
          <w:tab w:val="left" w:pos="567"/>
          <w:tab w:val="num" w:pos="1569"/>
          <w:tab w:val="num" w:pos="12305"/>
        </w:tabs>
        <w:spacing w:line="240" w:lineRule="auto"/>
        <w:ind w:left="0" w:firstLine="0"/>
      </w:pPr>
      <w:r w:rsidRPr="004A30A8">
        <w:rPr>
          <w:rFonts w:eastAsiaTheme="minorHAnsi" w:cs="Verdana"/>
          <w:lang w:eastAsia="en-US"/>
        </w:rPr>
        <w:t xml:space="preserve">En el mismo sentido, los </w:t>
      </w:r>
      <w:r w:rsidRPr="004A30A8">
        <w:rPr>
          <w:rFonts w:eastAsiaTheme="minorHAnsi" w:cs="Verdana"/>
          <w:b/>
          <w:bCs/>
          <w:i/>
          <w:iCs/>
          <w:lang w:eastAsia="en-US"/>
        </w:rPr>
        <w:t xml:space="preserve">representantes </w:t>
      </w:r>
      <w:r w:rsidRPr="004A30A8">
        <w:rPr>
          <w:rFonts w:eastAsiaTheme="minorHAnsi" w:cs="Verdana"/>
          <w:lang w:eastAsia="en-US"/>
        </w:rPr>
        <w:t>indicaron que sus reclamos se sustentaban en las actuaciones de las autoridades administrativas y judiciales descritas en el</w:t>
      </w:r>
      <w:r w:rsidRPr="004A30A8">
        <w:t xml:space="preserve"> </w:t>
      </w:r>
      <w:r w:rsidRPr="004A30A8">
        <w:rPr>
          <w:rFonts w:eastAsiaTheme="minorHAnsi" w:cs="Verdana"/>
          <w:lang w:eastAsia="en-US"/>
        </w:rPr>
        <w:t xml:space="preserve">marco fáctico contenido del Informe de Fondo. </w:t>
      </w:r>
      <w:r w:rsidRPr="004A30A8">
        <w:rPr>
          <w:iCs/>
          <w:lang w:val="es-ES"/>
        </w:rPr>
        <w:t>Sostuvieron</w:t>
      </w:r>
      <w:r w:rsidRPr="004A30A8">
        <w:rPr>
          <w:rFonts w:eastAsiaTheme="minorHAnsi" w:cs="Verdana"/>
          <w:lang w:eastAsia="en-US"/>
        </w:rPr>
        <w:t xml:space="preserve"> que la alegada violación de los artículos 7 y 13 de la Convención Americana derivaba de la actuación de las autoridades administrativas y judiciales, las cuales son descritas en el Informe de Fondo. </w:t>
      </w:r>
    </w:p>
    <w:p w14:paraId="0EDCA9B0" w14:textId="4740E16B" w:rsidR="008E4B36" w:rsidRPr="004A30A8" w:rsidRDefault="009117FF" w:rsidP="003153DF">
      <w:pPr>
        <w:pStyle w:val="Ttulo3"/>
        <w:spacing w:before="360" w:after="360"/>
        <w:ind w:left="992"/>
        <w:contextualSpacing w:val="0"/>
        <w:rPr>
          <w:b w:val="0"/>
          <w:bCs/>
          <w:lang w:val="es-ES"/>
        </w:rPr>
      </w:pPr>
      <w:bookmarkStart w:id="23" w:name="_Toc129887099"/>
      <w:r w:rsidRPr="004A30A8">
        <w:rPr>
          <w:b w:val="0"/>
          <w:bCs/>
          <w:lang w:val="es-ES"/>
        </w:rPr>
        <w:t>B</w:t>
      </w:r>
      <w:r w:rsidR="008E4B36" w:rsidRPr="004A30A8">
        <w:rPr>
          <w:b w:val="0"/>
          <w:bCs/>
          <w:lang w:val="es-ES"/>
        </w:rPr>
        <w:t>.2 Consideraciones de la Corte</w:t>
      </w:r>
      <w:bookmarkEnd w:id="23"/>
    </w:p>
    <w:p w14:paraId="6F37B6E9" w14:textId="77777777" w:rsidR="008E4B36" w:rsidRPr="004A30A8" w:rsidRDefault="008E4B36">
      <w:pPr>
        <w:numPr>
          <w:ilvl w:val="0"/>
          <w:numId w:val="7"/>
        </w:numPr>
        <w:tabs>
          <w:tab w:val="left" w:pos="567"/>
          <w:tab w:val="num" w:pos="1569"/>
          <w:tab w:val="num" w:pos="12305"/>
        </w:tabs>
        <w:spacing w:line="240" w:lineRule="auto"/>
        <w:ind w:left="0" w:firstLine="0"/>
      </w:pPr>
      <w:r w:rsidRPr="004A30A8">
        <w:t xml:space="preserve">La </w:t>
      </w:r>
      <w:r w:rsidRPr="004A30A8">
        <w:rPr>
          <w:b/>
          <w:bCs/>
          <w:i/>
          <w:iCs/>
        </w:rPr>
        <w:t>Corte</w:t>
      </w:r>
      <w:r w:rsidRPr="004A30A8">
        <w:t xml:space="preserve"> reitera que los representantes de las presuntas víctimas pueden invocar la violación de derechos distintos a los comprendidos en el Informe de Fondo, siempre que se mantengan dentro del marco fáctico definido por la Comisión. En virtud de lo anterior, </w:t>
      </w:r>
      <w:r w:rsidRPr="004A30A8">
        <w:rPr>
          <w:iCs/>
          <w:lang w:val="es-ES"/>
        </w:rPr>
        <w:t>corresponde</w:t>
      </w:r>
      <w:r w:rsidRPr="004A30A8">
        <w:t xml:space="preserve"> a la Corte decidir sobre la procedencia de alegatos relativos al marco fáctico, en resguardo del equilibrio procesal de las partes</w:t>
      </w:r>
      <w:r w:rsidRPr="004A30A8">
        <w:rPr>
          <w:rStyle w:val="Refdenotaalpie"/>
        </w:rPr>
        <w:footnoteReference w:id="29"/>
      </w:r>
      <w:r w:rsidRPr="004A30A8">
        <w:t xml:space="preserve">. </w:t>
      </w:r>
    </w:p>
    <w:p w14:paraId="4771052D" w14:textId="77777777" w:rsidR="008E4B36" w:rsidRPr="004A30A8" w:rsidRDefault="008E4B36" w:rsidP="008E4B36">
      <w:pPr>
        <w:tabs>
          <w:tab w:val="left" w:pos="567"/>
        </w:tabs>
        <w:spacing w:line="240" w:lineRule="auto"/>
      </w:pPr>
    </w:p>
    <w:p w14:paraId="5679DE15" w14:textId="4D7052EA" w:rsidR="008E4B36" w:rsidRPr="004A30A8" w:rsidRDefault="008E4B36" w:rsidP="00172C60">
      <w:pPr>
        <w:numPr>
          <w:ilvl w:val="0"/>
          <w:numId w:val="7"/>
        </w:numPr>
        <w:tabs>
          <w:tab w:val="left" w:pos="567"/>
          <w:tab w:val="num" w:pos="1569"/>
          <w:tab w:val="num" w:pos="12305"/>
        </w:tabs>
        <w:spacing w:line="240" w:lineRule="auto"/>
        <w:ind w:left="0" w:firstLine="0"/>
      </w:pPr>
      <w:r w:rsidRPr="004A30A8">
        <w:t xml:space="preserve">En el caso concreto, la Corte advierte que los representantes sustentaron la alegada violación </w:t>
      </w:r>
      <w:r w:rsidR="00B62884" w:rsidRPr="004A30A8">
        <w:t xml:space="preserve">a los </w:t>
      </w:r>
      <w:r w:rsidR="00B62884" w:rsidRPr="004A30A8">
        <w:rPr>
          <w:rFonts w:eastAsiaTheme="minorHAnsi" w:cs="Verdana"/>
          <w:lang w:eastAsia="en-US"/>
        </w:rPr>
        <w:t xml:space="preserve">artículos 7 y 13 de la Convención Americana </w:t>
      </w:r>
      <w:r w:rsidRPr="004A30A8">
        <w:t>en la presunta falta de investigación, enjuiciamiento y sanción de los actos de discriminación reclamados por el señor Olivera Fuentes</w:t>
      </w:r>
      <w:r w:rsidRPr="004A30A8">
        <w:rPr>
          <w:rFonts w:eastAsiaTheme="minorHAnsi" w:cs="Verdana"/>
          <w:lang w:eastAsia="en-US"/>
        </w:rPr>
        <w:t xml:space="preserve">. Siendo que </w:t>
      </w:r>
      <w:r w:rsidRPr="004A30A8">
        <w:t xml:space="preserve">la Comisión ha delimitado los </w:t>
      </w:r>
      <w:r w:rsidRPr="004A30A8">
        <w:rPr>
          <w:iCs/>
          <w:lang w:val="es-ES"/>
        </w:rPr>
        <w:t>hechos</w:t>
      </w:r>
      <w:r w:rsidRPr="004A30A8">
        <w:t xml:space="preserve"> del caso al análisis del procedimiento administrativo y jurisdiccional interno, la Corte concluye que la incorporación en el escrito de solicitudes y argumentos de </w:t>
      </w:r>
      <w:r w:rsidR="00A7288A" w:rsidRPr="004A30A8">
        <w:t>otros</w:t>
      </w:r>
      <w:r w:rsidRPr="004A30A8">
        <w:t xml:space="preserve"> derechos presuntamente vulnerados </w:t>
      </w:r>
      <w:r w:rsidR="00A7288A" w:rsidRPr="004A30A8">
        <w:t>con ocasión</w:t>
      </w:r>
      <w:r w:rsidRPr="004A30A8">
        <w:t xml:space="preserve"> de dichos procedimientos entra dentro del marco fáctico comprendido en el Informe de Fondo. </w:t>
      </w:r>
    </w:p>
    <w:p w14:paraId="078393A9" w14:textId="2C3AD4D0" w:rsidR="000F5FBB" w:rsidRPr="004A30A8" w:rsidRDefault="001B0BA5" w:rsidP="00D03F10">
      <w:pPr>
        <w:pStyle w:val="Ttulo1"/>
        <w:spacing w:before="360" w:after="360"/>
      </w:pPr>
      <w:bookmarkStart w:id="24" w:name="_Toc375517114"/>
      <w:bookmarkStart w:id="25" w:name="_Toc459158102"/>
      <w:bookmarkStart w:id="26" w:name="_Toc470180046"/>
      <w:bookmarkStart w:id="27" w:name="_Toc514172609"/>
      <w:bookmarkStart w:id="28" w:name="_Toc129887100"/>
      <w:r w:rsidRPr="004A30A8">
        <w:t>V</w:t>
      </w:r>
      <w:r w:rsidR="008E4B36" w:rsidRPr="004A30A8">
        <w:t>I</w:t>
      </w:r>
      <w:r w:rsidRPr="004A30A8">
        <w:br/>
        <w:t>PRUEBA</w:t>
      </w:r>
      <w:bookmarkEnd w:id="24"/>
      <w:bookmarkEnd w:id="25"/>
      <w:bookmarkEnd w:id="26"/>
      <w:bookmarkEnd w:id="27"/>
      <w:bookmarkEnd w:id="28"/>
    </w:p>
    <w:p w14:paraId="0474B449" w14:textId="4E7C5399" w:rsidR="00BD47E1" w:rsidRPr="004A30A8" w:rsidRDefault="00984BD1" w:rsidP="003153DF">
      <w:pPr>
        <w:pStyle w:val="Ttulo2"/>
        <w:spacing w:before="360" w:after="360"/>
        <w:ind w:firstLine="709"/>
        <w:rPr>
          <w:lang w:val="es-ES"/>
        </w:rPr>
      </w:pPr>
      <w:bookmarkStart w:id="29" w:name="_Toc375517116"/>
      <w:bookmarkStart w:id="30" w:name="_Toc459158104"/>
      <w:bookmarkStart w:id="31" w:name="_Toc470180048"/>
      <w:bookmarkStart w:id="32" w:name="_Toc514172611"/>
      <w:bookmarkStart w:id="33" w:name="_Toc129887101"/>
      <w:r w:rsidRPr="004A30A8">
        <w:rPr>
          <w:lang w:val="es-ES"/>
        </w:rPr>
        <w:t xml:space="preserve">A. </w:t>
      </w:r>
      <w:r w:rsidR="001B0BA5" w:rsidRPr="004A30A8">
        <w:rPr>
          <w:lang w:val="es-ES"/>
        </w:rPr>
        <w:t>Admisibilidad de la prueba</w:t>
      </w:r>
      <w:bookmarkEnd w:id="29"/>
      <w:bookmarkEnd w:id="30"/>
      <w:bookmarkEnd w:id="31"/>
      <w:bookmarkEnd w:id="32"/>
      <w:r w:rsidR="001B0BA5" w:rsidRPr="004A30A8">
        <w:rPr>
          <w:lang w:val="es-ES"/>
        </w:rPr>
        <w:t xml:space="preserve"> documental</w:t>
      </w:r>
      <w:bookmarkEnd w:id="33"/>
    </w:p>
    <w:p w14:paraId="42BFDA83" w14:textId="79A51B3B" w:rsidR="00073F49" w:rsidRPr="004A30A8" w:rsidRDefault="00BD47E1">
      <w:pPr>
        <w:numPr>
          <w:ilvl w:val="0"/>
          <w:numId w:val="7"/>
        </w:numPr>
        <w:tabs>
          <w:tab w:val="left" w:pos="567"/>
          <w:tab w:val="num" w:pos="1569"/>
          <w:tab w:val="num" w:pos="12305"/>
        </w:tabs>
        <w:spacing w:line="240" w:lineRule="auto"/>
        <w:ind w:left="0" w:firstLine="0"/>
      </w:pPr>
      <w:r w:rsidRPr="004A30A8">
        <w:t xml:space="preserve">El Tribunal </w:t>
      </w:r>
      <w:r w:rsidR="001B0BA5" w:rsidRPr="004A30A8">
        <w:rPr>
          <w:iCs/>
          <w:lang w:val="es-ES"/>
        </w:rPr>
        <w:t>recibió</w:t>
      </w:r>
      <w:r w:rsidR="001B0BA5" w:rsidRPr="004A30A8">
        <w:rPr>
          <w:rFonts w:eastAsia="Calibri"/>
          <w:lang w:val="es-ES"/>
        </w:rPr>
        <w:t xml:space="preserve"> diversos documentos presentados como prueba por la Comisión y por los </w:t>
      </w:r>
      <w:r w:rsidR="001B0BA5" w:rsidRPr="004A30A8">
        <w:t>representantes</w:t>
      </w:r>
      <w:r w:rsidR="001B0BA5" w:rsidRPr="004A30A8">
        <w:rPr>
          <w:rFonts w:eastAsia="Calibri"/>
          <w:lang w:val="es-ES"/>
        </w:rPr>
        <w:t xml:space="preserve">, los cuales, como en otros casos, se admiten en el entendido de que fueron presentados en la </w:t>
      </w:r>
      <w:r w:rsidR="001B0BA5" w:rsidRPr="004A30A8">
        <w:rPr>
          <w:lang w:val="es-MX"/>
        </w:rPr>
        <w:t>debida</w:t>
      </w:r>
      <w:r w:rsidR="001B0BA5" w:rsidRPr="004A30A8">
        <w:rPr>
          <w:rFonts w:eastAsia="Calibri"/>
          <w:lang w:val="es-ES"/>
        </w:rPr>
        <w:t xml:space="preserve"> oportunidad procesal (artículo 57 del Reglamento)</w:t>
      </w:r>
      <w:r w:rsidR="001B0BA5" w:rsidRPr="004A30A8">
        <w:rPr>
          <w:vertAlign w:val="superscript"/>
        </w:rPr>
        <w:footnoteReference w:id="30"/>
      </w:r>
      <w:r w:rsidR="001B0BA5" w:rsidRPr="004A30A8">
        <w:rPr>
          <w:rFonts w:eastAsia="Calibri"/>
          <w:lang w:val="es-ES"/>
        </w:rPr>
        <w:t>.</w:t>
      </w:r>
    </w:p>
    <w:p w14:paraId="48F44603" w14:textId="77777777" w:rsidR="00CD58D3" w:rsidRPr="004A30A8" w:rsidRDefault="00CD58D3" w:rsidP="00CD58D3">
      <w:pPr>
        <w:pStyle w:val="Prrafodelista"/>
        <w:tabs>
          <w:tab w:val="left" w:pos="567"/>
        </w:tabs>
        <w:spacing w:line="240" w:lineRule="auto"/>
        <w:ind w:left="825"/>
      </w:pPr>
    </w:p>
    <w:p w14:paraId="48D0705F" w14:textId="648B987F" w:rsidR="004D0B91" w:rsidRPr="004A30A8" w:rsidRDefault="004D0B91">
      <w:pPr>
        <w:numPr>
          <w:ilvl w:val="0"/>
          <w:numId w:val="7"/>
        </w:numPr>
        <w:tabs>
          <w:tab w:val="left" w:pos="567"/>
          <w:tab w:val="num" w:pos="1569"/>
          <w:tab w:val="num" w:pos="12305"/>
        </w:tabs>
        <w:spacing w:line="240" w:lineRule="auto"/>
        <w:ind w:left="0" w:firstLine="0"/>
      </w:pPr>
      <w:r w:rsidRPr="004A30A8">
        <w:rPr>
          <w:lang w:val="es-ES"/>
        </w:rPr>
        <w:t xml:space="preserve">La Corte advierte que los representantes remitieron </w:t>
      </w:r>
      <w:r w:rsidR="00DD3A65" w:rsidRPr="004A30A8">
        <w:rPr>
          <w:lang w:val="es-ES"/>
        </w:rPr>
        <w:t>junto con su</w:t>
      </w:r>
      <w:r w:rsidR="0088737D" w:rsidRPr="004A30A8">
        <w:rPr>
          <w:lang w:val="es-ES"/>
        </w:rPr>
        <w:t xml:space="preserve"> escrito de</w:t>
      </w:r>
      <w:r w:rsidR="00DD3A65" w:rsidRPr="004A30A8">
        <w:rPr>
          <w:lang w:val="es-ES"/>
        </w:rPr>
        <w:t xml:space="preserve"> observaciones a las excepciones preliminares interpuestas por el Estado dos anexos</w:t>
      </w:r>
      <w:r w:rsidR="0088737D" w:rsidRPr="004A30A8">
        <w:rPr>
          <w:lang w:val="es-ES"/>
        </w:rPr>
        <w:t>, consistentes en dos resoluciones judiciales de fecha 24 de julio de 2017 y de 3 de noviembre de 2020</w:t>
      </w:r>
      <w:r w:rsidR="00DD3A65" w:rsidRPr="004A30A8">
        <w:rPr>
          <w:rStyle w:val="Refdenotaalpie"/>
        </w:rPr>
        <w:footnoteReference w:id="31"/>
      </w:r>
      <w:r w:rsidRPr="004A30A8">
        <w:rPr>
          <w:lang w:val="es-ES"/>
        </w:rPr>
        <w:t>.</w:t>
      </w:r>
      <w:r w:rsidR="0088737D" w:rsidRPr="004A30A8">
        <w:rPr>
          <w:lang w:val="es-ES"/>
        </w:rPr>
        <w:t xml:space="preserve"> E</w:t>
      </w:r>
      <w:r w:rsidR="0088737D" w:rsidRPr="004A30A8">
        <w:t>l Tribunal constata que dichos documentos son de fecha anterior al escrito de solicitudes, argumentos y pruebas y que los representantes no han justificado la razón por la cual, en los términos del referido artículo 57.2 del Reglamento de la Corte, deberían ser excepcionalmente admitidos. En consecuencia, dichos documentos resultan inadmisibles por extemporáneos.</w:t>
      </w:r>
    </w:p>
    <w:p w14:paraId="7E2509F4" w14:textId="77777777" w:rsidR="004D0B91" w:rsidRPr="004A30A8" w:rsidRDefault="004D0B91" w:rsidP="004D0B91">
      <w:pPr>
        <w:tabs>
          <w:tab w:val="left" w:pos="567"/>
        </w:tabs>
        <w:spacing w:line="240" w:lineRule="auto"/>
        <w:rPr>
          <w:lang w:val="es-ES"/>
        </w:rPr>
      </w:pPr>
    </w:p>
    <w:p w14:paraId="457663E5" w14:textId="2E867B19" w:rsidR="00B37538" w:rsidRPr="004A30A8" w:rsidRDefault="007C0FCB">
      <w:pPr>
        <w:numPr>
          <w:ilvl w:val="0"/>
          <w:numId w:val="7"/>
        </w:numPr>
        <w:tabs>
          <w:tab w:val="left" w:pos="567"/>
          <w:tab w:val="num" w:pos="1569"/>
          <w:tab w:val="num" w:pos="12305"/>
        </w:tabs>
        <w:spacing w:line="240" w:lineRule="auto"/>
        <w:ind w:left="0" w:firstLine="0"/>
        <w:rPr>
          <w:lang w:val="es-ES"/>
        </w:rPr>
      </w:pPr>
      <w:r w:rsidRPr="004A30A8">
        <w:t xml:space="preserve">La Corte también recibió documentos adjuntos a los alegatos finales escritos </w:t>
      </w:r>
      <w:r w:rsidR="0088737D" w:rsidRPr="004A30A8">
        <w:t>de</w:t>
      </w:r>
      <w:r w:rsidRPr="004A30A8">
        <w:t xml:space="preserve"> </w:t>
      </w:r>
      <w:r w:rsidR="00586E01" w:rsidRPr="004A30A8">
        <w:t>los representantes de la presunta víctima</w:t>
      </w:r>
      <w:r w:rsidR="00586E01" w:rsidRPr="004A30A8">
        <w:rPr>
          <w:rStyle w:val="Refdenotaalpie"/>
        </w:rPr>
        <w:footnoteReference w:id="32"/>
      </w:r>
      <w:r w:rsidR="00586E01" w:rsidRPr="004A30A8">
        <w:t xml:space="preserve"> y </w:t>
      </w:r>
      <w:r w:rsidR="0088737D" w:rsidRPr="004A30A8">
        <w:t>del</w:t>
      </w:r>
      <w:r w:rsidRPr="004A30A8">
        <w:t xml:space="preserve"> Estado</w:t>
      </w:r>
      <w:r w:rsidR="009F78AD" w:rsidRPr="004A30A8">
        <w:rPr>
          <w:rStyle w:val="Refdenotaalpie"/>
        </w:rPr>
        <w:footnoteReference w:id="33"/>
      </w:r>
      <w:r w:rsidR="00CA6347" w:rsidRPr="004A30A8">
        <w:t xml:space="preserve">. </w:t>
      </w:r>
      <w:r w:rsidR="00B37538" w:rsidRPr="004A30A8">
        <w:rPr>
          <w:lang w:val="es-ES"/>
        </w:rPr>
        <w:t xml:space="preserve">Mediante nota de la Secretaría de 28 de septiembre de 2022 se otorgó plazo a las partes </w:t>
      </w:r>
      <w:r w:rsidR="0088737D" w:rsidRPr="004A30A8">
        <w:rPr>
          <w:lang w:val="es-ES"/>
        </w:rPr>
        <w:t xml:space="preserve">y a la Comisión </w:t>
      </w:r>
      <w:r w:rsidR="00B37538" w:rsidRPr="004A30A8">
        <w:rPr>
          <w:lang w:val="es-ES"/>
        </w:rPr>
        <w:t xml:space="preserve">para que hicieran observaciones a los anexos presentados por los representantes y el Estado en sus alegatos finales escritos. El 6 de octubre de 2022 la Comisión indicó no tener observaciones. El 7 de octubre de 2022 el Estado y los representantes presentaron sus respectivas observaciones. </w:t>
      </w:r>
    </w:p>
    <w:p w14:paraId="53E23CFA" w14:textId="69E31F1B" w:rsidR="00B37538" w:rsidRPr="004A30A8" w:rsidRDefault="00B37538" w:rsidP="00B37538">
      <w:pPr>
        <w:tabs>
          <w:tab w:val="left" w:pos="567"/>
        </w:tabs>
        <w:spacing w:line="240" w:lineRule="auto"/>
      </w:pPr>
    </w:p>
    <w:p w14:paraId="71DE6D43" w14:textId="3255C671" w:rsidR="00586E01" w:rsidRPr="004A30A8" w:rsidRDefault="00B37538">
      <w:pPr>
        <w:numPr>
          <w:ilvl w:val="0"/>
          <w:numId w:val="7"/>
        </w:numPr>
        <w:tabs>
          <w:tab w:val="left" w:pos="567"/>
          <w:tab w:val="num" w:pos="1569"/>
          <w:tab w:val="num" w:pos="12305"/>
        </w:tabs>
        <w:spacing w:line="240" w:lineRule="auto"/>
        <w:ind w:left="0" w:firstLine="0"/>
      </w:pPr>
      <w:r w:rsidRPr="004A30A8">
        <w:t xml:space="preserve">Por un lado, en relación con los </w:t>
      </w:r>
      <w:r w:rsidR="004D0B91" w:rsidRPr="004A30A8">
        <w:t xml:space="preserve">Anexos 1 y 2 </w:t>
      </w:r>
      <w:r w:rsidRPr="004A30A8">
        <w:t>adjuntados por los representantes</w:t>
      </w:r>
      <w:r w:rsidR="00586E01" w:rsidRPr="004A30A8">
        <w:t xml:space="preserve">, el Estado </w:t>
      </w:r>
      <w:r w:rsidR="004D0B91" w:rsidRPr="004A30A8">
        <w:t>señaló que no se había justificado la “razón, fundamento o pertinencia de los mismos”. Añadió que dichos documentos no guardaban relación con los hechos materia de controversia internacional. Con respecto a la Anexo 3, el Estado señaló que el mismo era de fecha anterior a la presentación del escrito de solicitudes, argumentos y pruebas, por lo que se había presentado de manera extemporánea. Indicó, además, que el mismo no guarda relación con los hechos del caso. Finalmente, en lo que respecta a los Anexos 4 y 5, el Estado hizo valoraciones sobre el peso probatorio de los mismos.</w:t>
      </w:r>
    </w:p>
    <w:p w14:paraId="4CCB97D4" w14:textId="713490A5" w:rsidR="00586E01" w:rsidRPr="004A30A8" w:rsidRDefault="00586E01" w:rsidP="00CD58D3">
      <w:pPr>
        <w:tabs>
          <w:tab w:val="left" w:pos="567"/>
        </w:tabs>
        <w:spacing w:line="240" w:lineRule="auto"/>
      </w:pPr>
    </w:p>
    <w:p w14:paraId="5F537F66" w14:textId="42266572" w:rsidR="00586E01" w:rsidRPr="004A30A8" w:rsidRDefault="004D0B91">
      <w:pPr>
        <w:numPr>
          <w:ilvl w:val="0"/>
          <w:numId w:val="7"/>
        </w:numPr>
        <w:tabs>
          <w:tab w:val="left" w:pos="567"/>
          <w:tab w:val="num" w:pos="1569"/>
          <w:tab w:val="num" w:pos="12305"/>
        </w:tabs>
        <w:spacing w:line="240" w:lineRule="auto"/>
        <w:ind w:left="0" w:firstLine="0"/>
      </w:pPr>
      <w:r w:rsidRPr="004A30A8">
        <w:t xml:space="preserve">El Tribunal advierte que </w:t>
      </w:r>
      <w:r w:rsidR="00CB7056" w:rsidRPr="004A30A8">
        <w:t>los Anexos 1, 2, 4 y 5</w:t>
      </w:r>
      <w:r w:rsidR="00D733B5" w:rsidRPr="004A30A8">
        <w:t xml:space="preserve"> adjuntados por los representantes</w:t>
      </w:r>
      <w:r w:rsidR="00CB7056" w:rsidRPr="004A30A8">
        <w:t xml:space="preserve"> son documentos emitidos con posterioridad a la presentación de los escritos principales correspondientes y, por tanto, constituyen prueba de hechos supervinientes relacionada con el presente caso, todo ello independientemente del valor probatorio que les otorgue este Tribunal. Es por ello que, de conformidad con lo preceptuado en el artículo 57.2 del </w:t>
      </w:r>
      <w:r w:rsidR="00CB7056" w:rsidRPr="004A30A8">
        <w:lastRenderedPageBreak/>
        <w:t>Reglamento, son admitidos. En lo que respecta al Anexo 3, el Tribunal constata</w:t>
      </w:r>
      <w:r w:rsidR="006765FB" w:rsidRPr="004A30A8">
        <w:t xml:space="preserve"> que, efectivamente, dicho documento es de fecha anterior al escrito de solicitudes, argumentos y pruebas y que los representantes no han justificado la razón por la cual, en los términos del referido artículo 57.2 del Reglamento de la Corte, debería ser excepcionalmente admitido. En consecuencia, dicho documento resulta inadmisible por extemporáneo.</w:t>
      </w:r>
    </w:p>
    <w:p w14:paraId="6310E4F5" w14:textId="77777777" w:rsidR="003153DF" w:rsidRPr="004A30A8" w:rsidRDefault="003153DF" w:rsidP="003153DF">
      <w:pPr>
        <w:tabs>
          <w:tab w:val="left" w:pos="567"/>
        </w:tabs>
        <w:spacing w:line="240" w:lineRule="auto"/>
      </w:pPr>
    </w:p>
    <w:p w14:paraId="0C9FDCC9" w14:textId="6B5CD2D3" w:rsidR="004032C5" w:rsidRPr="004A30A8" w:rsidRDefault="00B37538">
      <w:pPr>
        <w:numPr>
          <w:ilvl w:val="0"/>
          <w:numId w:val="7"/>
        </w:numPr>
        <w:tabs>
          <w:tab w:val="left" w:pos="567"/>
          <w:tab w:val="num" w:pos="1569"/>
          <w:tab w:val="num" w:pos="12305"/>
        </w:tabs>
        <w:spacing w:line="240" w:lineRule="auto"/>
        <w:ind w:left="0" w:firstLine="0"/>
      </w:pPr>
      <w:r w:rsidRPr="004A30A8">
        <w:t>Por otro lado, e</w:t>
      </w:r>
      <w:r w:rsidR="00CA6347" w:rsidRPr="004A30A8">
        <w:t xml:space="preserve">n relación </w:t>
      </w:r>
      <w:r w:rsidR="00FD7727" w:rsidRPr="004A30A8">
        <w:t>con</w:t>
      </w:r>
      <w:r w:rsidR="00010266" w:rsidRPr="004A30A8">
        <w:t xml:space="preserve"> </w:t>
      </w:r>
      <w:r w:rsidR="004D0B91" w:rsidRPr="004A30A8">
        <w:t xml:space="preserve">el documento adjuntado por el Estado, los </w:t>
      </w:r>
      <w:r w:rsidR="006765FB" w:rsidRPr="004A30A8">
        <w:t>representantes</w:t>
      </w:r>
      <w:r w:rsidR="004D0B91" w:rsidRPr="004A30A8">
        <w:t xml:space="preserve"> </w:t>
      </w:r>
      <w:r w:rsidR="006765FB" w:rsidRPr="004A30A8">
        <w:t>realizaron valoraciones sobre el mismo y solicitaron que fuera tomado en cuenta por la Corte en su análisis del presente caso. El Tribunal advierte que el documento aportado por el Estado, si bien data de 22 de agosto de 2022 (esto es, es de fecha posterior a la presentación del escrito de contestación) hace referencia a la implementación del Plan Nacional de Derechos Humanos durante los años 2018 a 2021 (esto es, hace referencia a hechos anteriores a la presentación del escrito de contestación). No obstante lo anterior, el Tribunal incorpora dicho documento por considerarlo útil para la resolución del presente caso, todo ello de conformidad con el artículo 58</w:t>
      </w:r>
      <w:r w:rsidR="00CB4963" w:rsidRPr="004A30A8">
        <w:t>.a</w:t>
      </w:r>
      <w:r w:rsidR="006765FB" w:rsidRPr="004A30A8">
        <w:t xml:space="preserve"> del Reglamento.</w:t>
      </w:r>
    </w:p>
    <w:p w14:paraId="717CF16F" w14:textId="7891CE2F" w:rsidR="00EF1DD0" w:rsidRPr="004A30A8" w:rsidRDefault="00984BD1" w:rsidP="005B282F">
      <w:pPr>
        <w:pStyle w:val="Ttulo2"/>
        <w:spacing w:before="360" w:after="360"/>
        <w:ind w:left="924" w:hanging="357"/>
        <w:rPr>
          <w:lang w:val="es-ES"/>
        </w:rPr>
      </w:pPr>
      <w:bookmarkStart w:id="34" w:name="_Toc129887102"/>
      <w:r w:rsidRPr="004A30A8">
        <w:rPr>
          <w:lang w:val="es-ES"/>
        </w:rPr>
        <w:t>B.</w:t>
      </w:r>
      <w:r w:rsidR="00325E0D" w:rsidRPr="004A30A8">
        <w:rPr>
          <w:lang w:val="es-ES"/>
        </w:rPr>
        <w:t xml:space="preserve"> </w:t>
      </w:r>
      <w:r w:rsidR="001B0BA5" w:rsidRPr="004A30A8">
        <w:rPr>
          <w:lang w:val="es-ES"/>
        </w:rPr>
        <w:t>Admisibilidad de la prueba testimonial y pericial</w:t>
      </w:r>
      <w:bookmarkEnd w:id="34"/>
    </w:p>
    <w:p w14:paraId="5C5F5ADF" w14:textId="7E27EB9D" w:rsidR="00F75917" w:rsidRPr="004A30A8" w:rsidRDefault="001B0BA5">
      <w:pPr>
        <w:numPr>
          <w:ilvl w:val="0"/>
          <w:numId w:val="7"/>
        </w:numPr>
        <w:tabs>
          <w:tab w:val="left" w:pos="567"/>
          <w:tab w:val="num" w:pos="1569"/>
          <w:tab w:val="num" w:pos="12305"/>
        </w:tabs>
        <w:spacing w:line="240" w:lineRule="auto"/>
        <w:ind w:left="0" w:firstLine="0"/>
        <w:rPr>
          <w:lang w:val="es-ES"/>
        </w:rPr>
      </w:pPr>
      <w:r w:rsidRPr="004A30A8">
        <w:rPr>
          <w:lang w:val="es-ES"/>
        </w:rPr>
        <w:t xml:space="preserve"> La Corte estima pertinente admitir las </w:t>
      </w:r>
      <w:r w:rsidRPr="004A30A8">
        <w:rPr>
          <w:rFonts w:cs="Verdana"/>
          <w:lang w:val="es-ES" w:eastAsia="es-MX"/>
        </w:rPr>
        <w:t xml:space="preserve">declaraciones </w:t>
      </w:r>
      <w:r w:rsidRPr="004A30A8">
        <w:rPr>
          <w:lang w:val="es-MX"/>
        </w:rPr>
        <w:t>rendidas</w:t>
      </w:r>
      <w:r w:rsidRPr="004A30A8">
        <w:rPr>
          <w:lang w:val="es-ES"/>
        </w:rPr>
        <w:t xml:space="preserve"> ante fedatario público</w:t>
      </w:r>
      <w:r w:rsidRPr="004A30A8">
        <w:rPr>
          <w:rStyle w:val="Refdenotaalpie"/>
          <w:rFonts w:eastAsia="Batang"/>
          <w:lang w:val="es-ES"/>
        </w:rPr>
        <w:footnoteReference w:id="34"/>
      </w:r>
      <w:r w:rsidRPr="004A30A8">
        <w:rPr>
          <w:lang w:val="es-ES"/>
        </w:rPr>
        <w:t xml:space="preserve"> </w:t>
      </w:r>
      <w:r w:rsidR="00386874" w:rsidRPr="004A30A8">
        <w:rPr>
          <w:lang w:val="es-ES"/>
        </w:rPr>
        <w:t>y en audiencia públic</w:t>
      </w:r>
      <w:r w:rsidR="00C679C3" w:rsidRPr="004A30A8">
        <w:rPr>
          <w:lang w:val="es-ES"/>
        </w:rPr>
        <w:t>a</w:t>
      </w:r>
      <w:r w:rsidR="00C679C3" w:rsidRPr="004A30A8">
        <w:rPr>
          <w:rStyle w:val="Refdenotaalpie"/>
        </w:rPr>
        <w:footnoteReference w:id="35"/>
      </w:r>
      <w:r w:rsidR="00386874" w:rsidRPr="004A30A8">
        <w:rPr>
          <w:lang w:val="es-ES"/>
        </w:rPr>
        <w:t xml:space="preserve"> </w:t>
      </w:r>
      <w:r w:rsidRPr="004A30A8">
        <w:rPr>
          <w:lang w:val="es-ES"/>
        </w:rPr>
        <w:t>en cuanto se ajustan al objeto definido por la Presidencia en la Resolución que ordenó recibirlos</w:t>
      </w:r>
      <w:r w:rsidRPr="004A30A8">
        <w:rPr>
          <w:vertAlign w:val="superscript"/>
        </w:rPr>
        <w:footnoteReference w:id="36"/>
      </w:r>
      <w:r w:rsidRPr="004A30A8">
        <w:rPr>
          <w:lang w:val="es-ES"/>
        </w:rPr>
        <w:t>.</w:t>
      </w:r>
    </w:p>
    <w:p w14:paraId="6CFE1DE8" w14:textId="1F4D504F" w:rsidR="00B06E6D" w:rsidRPr="004A30A8" w:rsidRDefault="00E0705E" w:rsidP="00D03F10">
      <w:pPr>
        <w:pStyle w:val="Ttulo1"/>
        <w:spacing w:before="360" w:after="360"/>
      </w:pPr>
      <w:bookmarkStart w:id="35" w:name="_Toc129887103"/>
      <w:r w:rsidRPr="004A30A8">
        <w:t>V</w:t>
      </w:r>
      <w:r w:rsidR="00BB3578" w:rsidRPr="004A30A8">
        <w:t>I</w:t>
      </w:r>
      <w:r w:rsidR="008E4B36" w:rsidRPr="004A30A8">
        <w:t>I</w:t>
      </w:r>
      <w:r w:rsidRPr="004A30A8">
        <w:br/>
        <w:t>HECHOS</w:t>
      </w:r>
      <w:bookmarkEnd w:id="0"/>
      <w:bookmarkEnd w:id="1"/>
      <w:bookmarkEnd w:id="2"/>
      <w:bookmarkEnd w:id="3"/>
      <w:bookmarkEnd w:id="35"/>
      <w:r w:rsidRPr="004A30A8">
        <w:t xml:space="preserve"> </w:t>
      </w:r>
    </w:p>
    <w:p w14:paraId="10F3BF0E" w14:textId="3472110C" w:rsidR="00E0705E" w:rsidRPr="004A30A8" w:rsidRDefault="00C62A6C" w:rsidP="00E0705E">
      <w:pPr>
        <w:numPr>
          <w:ilvl w:val="0"/>
          <w:numId w:val="7"/>
        </w:numPr>
        <w:tabs>
          <w:tab w:val="left" w:pos="567"/>
          <w:tab w:val="num" w:pos="1569"/>
          <w:tab w:val="num" w:pos="12305"/>
        </w:tabs>
        <w:spacing w:line="240" w:lineRule="auto"/>
        <w:ind w:left="0" w:firstLine="0"/>
        <w:rPr>
          <w:lang w:val="es-ES"/>
        </w:rPr>
      </w:pPr>
      <w:bookmarkStart w:id="36" w:name="_Hlk129881881"/>
      <w:r w:rsidRPr="004A30A8">
        <w:rPr>
          <w:lang w:val="es-ES"/>
        </w:rPr>
        <w:t xml:space="preserve">En este capítulo, la Corte establecerá los hechos del caso con base en el marco fáctico </w:t>
      </w:r>
      <w:r w:rsidRPr="004A30A8">
        <w:rPr>
          <w:rFonts w:cs="Calibri"/>
          <w:lang w:val="es-ES"/>
        </w:rPr>
        <w:t>sometido</w:t>
      </w:r>
      <w:r w:rsidRPr="004A30A8">
        <w:rPr>
          <w:lang w:val="es-ES"/>
        </w:rPr>
        <w:t xml:space="preserve"> a su conocimiento por la Comisión Interamericana</w:t>
      </w:r>
      <w:r w:rsidR="004B3EE9" w:rsidRPr="004A30A8">
        <w:rPr>
          <w:lang w:val="es-ES"/>
        </w:rPr>
        <w:t xml:space="preserve"> y el acervo probatorio</w:t>
      </w:r>
      <w:bookmarkEnd w:id="36"/>
      <w:r w:rsidRPr="004A30A8">
        <w:rPr>
          <w:lang w:val="es-ES"/>
        </w:rPr>
        <w:t xml:space="preserve">, en relación con los siguientes aspectos: (a) </w:t>
      </w:r>
      <w:r w:rsidR="00AA17F1" w:rsidRPr="004A30A8">
        <w:rPr>
          <w:lang w:val="es-ES"/>
        </w:rPr>
        <w:t xml:space="preserve">hechos ocurridos el </w:t>
      </w:r>
      <w:r w:rsidR="00DE3D50" w:rsidRPr="004A30A8">
        <w:rPr>
          <w:lang w:val="es-ES"/>
        </w:rPr>
        <w:t>11 de agosto de 2004</w:t>
      </w:r>
      <w:r w:rsidRPr="004A30A8">
        <w:rPr>
          <w:lang w:val="es-ES"/>
        </w:rPr>
        <w:t xml:space="preserve">, (b) </w:t>
      </w:r>
      <w:r w:rsidR="00D34309" w:rsidRPr="004A30A8">
        <w:rPr>
          <w:lang w:val="es-ES"/>
        </w:rPr>
        <w:t>denuncia ante la Comisión de Protección</w:t>
      </w:r>
      <w:r w:rsidR="007B494B" w:rsidRPr="004A30A8">
        <w:rPr>
          <w:lang w:val="es-ES"/>
        </w:rPr>
        <w:t xml:space="preserve"> al Consumidor (CPC) del Instituto Nacional de Defensa de la Competencia </w:t>
      </w:r>
      <w:r w:rsidR="00EC0440" w:rsidRPr="004A30A8">
        <w:rPr>
          <w:lang w:val="es-ES"/>
        </w:rPr>
        <w:t xml:space="preserve">y de </w:t>
      </w:r>
      <w:r w:rsidR="00EC0440" w:rsidRPr="004A30A8">
        <w:t>la</w:t>
      </w:r>
      <w:r w:rsidR="00EC0440" w:rsidRPr="004A30A8">
        <w:rPr>
          <w:lang w:val="es-ES"/>
        </w:rPr>
        <w:t xml:space="preserve"> Propiedad Intelectual (Indecopi)</w:t>
      </w:r>
      <w:r w:rsidRPr="004A30A8">
        <w:rPr>
          <w:lang w:val="es-ES"/>
        </w:rPr>
        <w:t xml:space="preserve">, (c) </w:t>
      </w:r>
      <w:r w:rsidR="00EC0440" w:rsidRPr="004A30A8">
        <w:rPr>
          <w:lang w:val="es-ES"/>
        </w:rPr>
        <w:t xml:space="preserve">recurso </w:t>
      </w:r>
      <w:r w:rsidR="00E325C2" w:rsidRPr="004A30A8">
        <w:rPr>
          <w:lang w:val="es-ES"/>
        </w:rPr>
        <w:t>de apelación ante el Tribunal de Defensa de la Competencia y de la Propiedad Intelectual</w:t>
      </w:r>
      <w:r w:rsidRPr="004A30A8">
        <w:rPr>
          <w:lang w:val="es-ES"/>
        </w:rPr>
        <w:t xml:space="preserve">, (d) </w:t>
      </w:r>
      <w:r w:rsidR="00E325C2" w:rsidRPr="004A30A8">
        <w:rPr>
          <w:lang w:val="es-ES"/>
        </w:rPr>
        <w:t>recurso</w:t>
      </w:r>
      <w:r w:rsidR="00A1501D" w:rsidRPr="004A30A8">
        <w:rPr>
          <w:lang w:val="es-ES"/>
        </w:rPr>
        <w:t xml:space="preserve"> de</w:t>
      </w:r>
      <w:r w:rsidR="00E325C2" w:rsidRPr="004A30A8">
        <w:rPr>
          <w:lang w:val="es-ES"/>
        </w:rPr>
        <w:t xml:space="preserve"> </w:t>
      </w:r>
      <w:r w:rsidR="001C054A" w:rsidRPr="004A30A8">
        <w:rPr>
          <w:lang w:val="es-ES"/>
        </w:rPr>
        <w:t>nulidad ante la Sala Segunda en lo Contencioso Administrativo de la Corte Superior de Justicia de Lima</w:t>
      </w:r>
      <w:r w:rsidRPr="004A30A8">
        <w:rPr>
          <w:lang w:val="es-ES"/>
        </w:rPr>
        <w:t>,</w:t>
      </w:r>
      <w:r w:rsidR="004278B5" w:rsidRPr="004A30A8">
        <w:rPr>
          <w:lang w:val="es-ES"/>
        </w:rPr>
        <w:t xml:space="preserve"> (e)</w:t>
      </w:r>
      <w:r w:rsidRPr="004A30A8">
        <w:rPr>
          <w:lang w:val="es-ES"/>
        </w:rPr>
        <w:t xml:space="preserve"> </w:t>
      </w:r>
      <w:r w:rsidR="004278B5" w:rsidRPr="004A30A8">
        <w:rPr>
          <w:lang w:val="es-ES"/>
        </w:rPr>
        <w:t xml:space="preserve">recurso de apelación ante la Sala Civil Permanente de la Corte Suprema de Justicia, </w:t>
      </w:r>
      <w:r w:rsidRPr="004A30A8">
        <w:rPr>
          <w:lang w:val="es-ES"/>
        </w:rPr>
        <w:t xml:space="preserve">así como </w:t>
      </w:r>
      <w:r w:rsidR="004278B5" w:rsidRPr="004A30A8">
        <w:rPr>
          <w:lang w:val="es-ES"/>
        </w:rPr>
        <w:t>(f</w:t>
      </w:r>
      <w:r w:rsidRPr="004A30A8">
        <w:rPr>
          <w:lang w:val="es-ES"/>
        </w:rPr>
        <w:t xml:space="preserve">) </w:t>
      </w:r>
      <w:r w:rsidR="002C684F" w:rsidRPr="004A30A8">
        <w:rPr>
          <w:lang w:val="es-ES"/>
        </w:rPr>
        <w:t xml:space="preserve">recurso de casación ante la Sala de Derecho Constitucional y Social Permanente de la Corte Suprema de Justicia. </w:t>
      </w:r>
    </w:p>
    <w:p w14:paraId="66C6D221" w14:textId="085CAB61" w:rsidR="00E0705E" w:rsidRPr="004A30A8" w:rsidRDefault="009558C1" w:rsidP="003153DF">
      <w:pPr>
        <w:pStyle w:val="Ttulo2"/>
        <w:spacing w:before="360" w:after="360"/>
        <w:ind w:firstLine="709"/>
      </w:pPr>
      <w:bookmarkStart w:id="37" w:name="_Toc129887104"/>
      <w:r w:rsidRPr="004A30A8">
        <w:lastRenderedPageBreak/>
        <w:t xml:space="preserve">A. </w:t>
      </w:r>
      <w:r w:rsidR="00CC4F81" w:rsidRPr="004A30A8">
        <w:t>Hechos ocurridos el 11 de agosto de 2004</w:t>
      </w:r>
      <w:bookmarkEnd w:id="37"/>
    </w:p>
    <w:p w14:paraId="639FD8E9" w14:textId="245DADE6" w:rsidR="007C3733" w:rsidRPr="004A30A8" w:rsidRDefault="00F75917">
      <w:pPr>
        <w:numPr>
          <w:ilvl w:val="0"/>
          <w:numId w:val="7"/>
        </w:numPr>
        <w:tabs>
          <w:tab w:val="left" w:pos="567"/>
          <w:tab w:val="num" w:pos="1569"/>
          <w:tab w:val="num" w:pos="12305"/>
        </w:tabs>
        <w:spacing w:line="240" w:lineRule="auto"/>
        <w:ind w:left="0" w:firstLine="0"/>
        <w:rPr>
          <w:lang w:val="es-ES"/>
        </w:rPr>
      </w:pPr>
      <w:r w:rsidRPr="004A30A8">
        <w:rPr>
          <w:lang w:val="es-ES"/>
        </w:rPr>
        <w:t xml:space="preserve">El </w:t>
      </w:r>
      <w:r w:rsidR="00FA00DA" w:rsidRPr="004A30A8">
        <w:rPr>
          <w:lang w:val="es-ES"/>
        </w:rPr>
        <w:t>11 de agosto de 2004,</w:t>
      </w:r>
      <w:r w:rsidR="00193767" w:rsidRPr="004A30A8">
        <w:rPr>
          <w:lang w:val="es-ES"/>
        </w:rPr>
        <w:t xml:space="preserve"> </w:t>
      </w:r>
      <w:r w:rsidR="00FA00DA" w:rsidRPr="004A30A8">
        <w:rPr>
          <w:lang w:val="es-ES"/>
        </w:rPr>
        <w:t>Crissthian Manuel Olivera Fuentes</w:t>
      </w:r>
      <w:r w:rsidR="007D6C9F" w:rsidRPr="004A30A8">
        <w:rPr>
          <w:lang w:val="es-ES"/>
        </w:rPr>
        <w:t>, defensor de derechos humanos con una larga trayectoria en el activismo por los derechos de las personas LGBTI</w:t>
      </w:r>
      <w:r w:rsidR="00F417CE" w:rsidRPr="004A30A8">
        <w:rPr>
          <w:lang w:val="es-ES"/>
        </w:rPr>
        <w:t>Q+</w:t>
      </w:r>
      <w:r w:rsidR="00F417CE" w:rsidRPr="004A30A8">
        <w:rPr>
          <w:rStyle w:val="Refdenotaalpie"/>
        </w:rPr>
        <w:footnoteReference w:id="37"/>
      </w:r>
      <w:r w:rsidR="007D6C9F" w:rsidRPr="004A30A8">
        <w:rPr>
          <w:lang w:val="es-ES"/>
        </w:rPr>
        <w:t xml:space="preserve">, </w:t>
      </w:r>
      <w:r w:rsidR="00FA00DA" w:rsidRPr="004A30A8">
        <w:rPr>
          <w:lang w:val="es-ES"/>
        </w:rPr>
        <w:t>y su pareja afectiva</w:t>
      </w:r>
      <w:r w:rsidR="00681659" w:rsidRPr="004A30A8">
        <w:rPr>
          <w:lang w:val="es-ES"/>
        </w:rPr>
        <w:t xml:space="preserve"> del mismo sexo</w:t>
      </w:r>
      <w:r w:rsidR="007D6C9F" w:rsidRPr="004A30A8">
        <w:rPr>
          <w:lang w:val="es-ES"/>
        </w:rPr>
        <w:t>,</w:t>
      </w:r>
      <w:r w:rsidR="00FA00DA" w:rsidRPr="004A30A8">
        <w:rPr>
          <w:lang w:val="es-ES"/>
        </w:rPr>
        <w:t xml:space="preserve"> se encontraban en una cafetería </w:t>
      </w:r>
      <w:r w:rsidR="00E23913" w:rsidRPr="004A30A8">
        <w:rPr>
          <w:lang w:val="es-ES"/>
        </w:rPr>
        <w:t>ubicada en el Supermercado Santa Isabel</w:t>
      </w:r>
      <w:r w:rsidR="00EB556E" w:rsidRPr="004A30A8">
        <w:rPr>
          <w:lang w:val="es-ES"/>
        </w:rPr>
        <w:t xml:space="preserve"> de San Miguel,</w:t>
      </w:r>
      <w:r w:rsidR="00E23913" w:rsidRPr="004A30A8">
        <w:rPr>
          <w:lang w:val="es-ES"/>
        </w:rPr>
        <w:t xml:space="preserve"> en Lima. Durante su estancia en el </w:t>
      </w:r>
      <w:r w:rsidR="00E23913" w:rsidRPr="004A30A8">
        <w:t>establecimiento</w:t>
      </w:r>
      <w:r w:rsidR="00E23913" w:rsidRPr="004A30A8">
        <w:rPr>
          <w:lang w:val="es-ES"/>
        </w:rPr>
        <w:t xml:space="preserve"> comercial, el señor Olivera </w:t>
      </w:r>
      <w:r w:rsidR="00CD0B2A" w:rsidRPr="004A30A8">
        <w:rPr>
          <w:lang w:val="es-ES"/>
        </w:rPr>
        <w:t xml:space="preserve">y su pareja </w:t>
      </w:r>
      <w:r w:rsidR="00900E01" w:rsidRPr="004A30A8">
        <w:rPr>
          <w:lang w:val="es-ES"/>
        </w:rPr>
        <w:t>estuvieron realizando demostraciones de afecto</w:t>
      </w:r>
      <w:r w:rsidR="00EB556E" w:rsidRPr="004A30A8">
        <w:rPr>
          <w:lang w:val="es-ES"/>
        </w:rPr>
        <w:t>. Según lo indicado por el señor Olivera, tales muestras de cariño consistieron en “proximidad física y miradas románticas”, así como la lectura de unos poemas</w:t>
      </w:r>
      <w:r w:rsidR="00EB556E" w:rsidRPr="004A30A8">
        <w:rPr>
          <w:rStyle w:val="Refdenotaalpie"/>
        </w:rPr>
        <w:footnoteReference w:id="38"/>
      </w:r>
      <w:r w:rsidR="00EB556E" w:rsidRPr="004A30A8">
        <w:rPr>
          <w:lang w:val="es-ES"/>
        </w:rPr>
        <w:t xml:space="preserve">. Según </w:t>
      </w:r>
      <w:r w:rsidR="00D07BE7" w:rsidRPr="004A30A8">
        <w:rPr>
          <w:lang w:val="es-ES"/>
        </w:rPr>
        <w:t>lo indicado por</w:t>
      </w:r>
      <w:r w:rsidR="00EB556E" w:rsidRPr="004A30A8">
        <w:rPr>
          <w:lang w:val="es-ES"/>
        </w:rPr>
        <w:t xml:space="preserve"> </w:t>
      </w:r>
      <w:r w:rsidR="00D22197" w:rsidRPr="004A30A8">
        <w:rPr>
          <w:lang w:val="es-ES"/>
        </w:rPr>
        <w:t xml:space="preserve">el </w:t>
      </w:r>
      <w:r w:rsidR="00EB556E" w:rsidRPr="004A30A8">
        <w:rPr>
          <w:lang w:val="es-ES"/>
        </w:rPr>
        <w:t>referido Supermercado</w:t>
      </w:r>
      <w:r w:rsidR="00D07BE7" w:rsidRPr="004A30A8">
        <w:rPr>
          <w:lang w:val="es-ES"/>
        </w:rPr>
        <w:t xml:space="preserve"> en el marco de los procedimiento</w:t>
      </w:r>
      <w:r w:rsidR="00A45847" w:rsidRPr="004A30A8">
        <w:rPr>
          <w:lang w:val="es-ES"/>
        </w:rPr>
        <w:t>s</w:t>
      </w:r>
      <w:r w:rsidR="00D07BE7" w:rsidRPr="004A30A8">
        <w:rPr>
          <w:lang w:val="es-ES"/>
        </w:rPr>
        <w:t xml:space="preserve"> internos</w:t>
      </w:r>
      <w:r w:rsidR="00EB556E" w:rsidRPr="004A30A8">
        <w:rPr>
          <w:lang w:val="es-ES"/>
        </w:rPr>
        <w:t>, el señor Olivera y su pareja habrían intercambiado “caricias, abrazos y besos”</w:t>
      </w:r>
      <w:r w:rsidR="00EB556E" w:rsidRPr="004A30A8">
        <w:rPr>
          <w:rStyle w:val="Refdenotaalpie"/>
        </w:rPr>
        <w:footnoteReference w:id="39"/>
      </w:r>
      <w:r w:rsidR="00EB556E" w:rsidRPr="004A30A8">
        <w:rPr>
          <w:lang w:val="es-ES"/>
        </w:rPr>
        <w:t xml:space="preserve">. </w:t>
      </w:r>
    </w:p>
    <w:p w14:paraId="75467EC2" w14:textId="77777777" w:rsidR="007C3733" w:rsidRPr="004A30A8" w:rsidRDefault="007C3733" w:rsidP="00EB556E">
      <w:pPr>
        <w:tabs>
          <w:tab w:val="left" w:pos="567"/>
        </w:tabs>
        <w:spacing w:line="240" w:lineRule="auto"/>
        <w:rPr>
          <w:lang w:val="es-ES"/>
        </w:rPr>
      </w:pPr>
    </w:p>
    <w:p w14:paraId="77A869BA" w14:textId="5A880AB5" w:rsidR="001618BE" w:rsidRPr="004A30A8" w:rsidRDefault="00A504FE">
      <w:pPr>
        <w:numPr>
          <w:ilvl w:val="0"/>
          <w:numId w:val="7"/>
        </w:numPr>
        <w:tabs>
          <w:tab w:val="left" w:pos="567"/>
          <w:tab w:val="num" w:pos="1569"/>
          <w:tab w:val="num" w:pos="12305"/>
        </w:tabs>
        <w:spacing w:line="240" w:lineRule="auto"/>
        <w:ind w:left="0" w:firstLine="0"/>
        <w:textAlignment w:val="baseline"/>
        <w:rPr>
          <w:lang w:val="es-ES"/>
        </w:rPr>
      </w:pPr>
      <w:r w:rsidRPr="004A30A8">
        <w:rPr>
          <w:lang w:val="es-ES"/>
        </w:rPr>
        <w:t xml:space="preserve">La señora G.M.P, </w:t>
      </w:r>
      <w:r w:rsidR="007C17A0">
        <w:rPr>
          <w:lang w:val="es-ES"/>
        </w:rPr>
        <w:t>supervisora</w:t>
      </w:r>
      <w:r w:rsidRPr="004A30A8">
        <w:rPr>
          <w:lang w:val="es-ES"/>
        </w:rPr>
        <w:t xml:space="preserve"> </w:t>
      </w:r>
      <w:r w:rsidR="00D81190" w:rsidRPr="004A30A8">
        <w:rPr>
          <w:lang w:val="es-ES"/>
        </w:rPr>
        <w:t>del supermercado</w:t>
      </w:r>
      <w:r w:rsidRPr="004A30A8">
        <w:rPr>
          <w:lang w:val="es-ES"/>
        </w:rPr>
        <w:t>, recibió</w:t>
      </w:r>
      <w:r w:rsidR="007C3733" w:rsidRPr="004A30A8">
        <w:rPr>
          <w:lang w:val="es-ES"/>
        </w:rPr>
        <w:t xml:space="preserve"> una </w:t>
      </w:r>
      <w:r w:rsidR="005508DD" w:rsidRPr="004A30A8">
        <w:rPr>
          <w:lang w:val="es-ES"/>
        </w:rPr>
        <w:t xml:space="preserve">queja </w:t>
      </w:r>
      <w:r w:rsidR="005343DB" w:rsidRPr="004A30A8">
        <w:rPr>
          <w:lang w:val="es-ES"/>
        </w:rPr>
        <w:t xml:space="preserve">de un </w:t>
      </w:r>
      <w:r w:rsidR="005343DB" w:rsidRPr="004A30A8">
        <w:rPr>
          <w:iCs/>
          <w:lang w:val="es-ES"/>
        </w:rPr>
        <w:t>cliente</w:t>
      </w:r>
      <w:r w:rsidR="005343DB" w:rsidRPr="004A30A8">
        <w:rPr>
          <w:lang w:val="es-ES"/>
        </w:rPr>
        <w:t xml:space="preserve"> </w:t>
      </w:r>
      <w:r w:rsidRPr="004A30A8">
        <w:rPr>
          <w:lang w:val="es-ES"/>
        </w:rPr>
        <w:t>que manifestó estar “incómodo y fastidiado” por la “actitud” del señor Olivera y su pareja, quienes “se encontraban en la mesa próxima a la ocupa</w:t>
      </w:r>
      <w:r w:rsidR="00A46477" w:rsidRPr="004A30A8">
        <w:rPr>
          <w:lang w:val="es-ES"/>
        </w:rPr>
        <w:t>[da]</w:t>
      </w:r>
      <w:r w:rsidRPr="004A30A8">
        <w:rPr>
          <w:lang w:val="es-ES"/>
        </w:rPr>
        <w:t xml:space="preserve"> por él y su hija, la cual venía de jugar en </w:t>
      </w:r>
      <w:r w:rsidR="00774B5A" w:rsidRPr="004A30A8">
        <w:rPr>
          <w:lang w:val="es-ES"/>
        </w:rPr>
        <w:t>la</w:t>
      </w:r>
      <w:r w:rsidRPr="004A30A8">
        <w:rPr>
          <w:lang w:val="es-ES"/>
        </w:rPr>
        <w:t xml:space="preserve"> </w:t>
      </w:r>
      <w:r w:rsidR="00694F52" w:rsidRPr="004A30A8">
        <w:rPr>
          <w:lang w:val="es-ES"/>
        </w:rPr>
        <w:t>[zona de juegos]</w:t>
      </w:r>
      <w:r w:rsidRPr="004A30A8">
        <w:rPr>
          <w:lang w:val="es-ES"/>
        </w:rPr>
        <w:t>”</w:t>
      </w:r>
      <w:r w:rsidRPr="004A30A8">
        <w:rPr>
          <w:rStyle w:val="Refdenotaalpie"/>
        </w:rPr>
        <w:footnoteReference w:id="40"/>
      </w:r>
      <w:r w:rsidRPr="004A30A8">
        <w:rPr>
          <w:lang w:val="es-ES"/>
        </w:rPr>
        <w:t xml:space="preserve">. </w:t>
      </w:r>
      <w:bookmarkStart w:id="38" w:name="_Hlk127885809"/>
      <w:r w:rsidR="00D14D7C" w:rsidRPr="004A30A8">
        <w:rPr>
          <w:lang w:val="es-ES"/>
        </w:rPr>
        <w:t>A raíz de dicha queja</w:t>
      </w:r>
      <w:r w:rsidR="00535235" w:rsidRPr="004A30A8">
        <w:rPr>
          <w:lang w:val="es-ES"/>
        </w:rPr>
        <w:t xml:space="preserve">, </w:t>
      </w:r>
      <w:r w:rsidRPr="004A30A8">
        <w:rPr>
          <w:lang w:val="es-ES"/>
        </w:rPr>
        <w:t xml:space="preserve">la encargada de la tienda, junto con </w:t>
      </w:r>
      <w:r w:rsidR="007C3733" w:rsidRPr="004A30A8">
        <w:rPr>
          <w:lang w:val="es-ES"/>
        </w:rPr>
        <w:t>miembro</w:t>
      </w:r>
      <w:r w:rsidR="00ED0BA9" w:rsidRPr="004A30A8">
        <w:rPr>
          <w:lang w:val="es-ES"/>
        </w:rPr>
        <w:t>s</w:t>
      </w:r>
      <w:r w:rsidR="007C3733" w:rsidRPr="004A30A8">
        <w:rPr>
          <w:lang w:val="es-ES"/>
        </w:rPr>
        <w:t xml:space="preserve"> del personal de seguridad</w:t>
      </w:r>
      <w:r w:rsidRPr="004A30A8">
        <w:rPr>
          <w:lang w:val="es-ES"/>
        </w:rPr>
        <w:t xml:space="preserve">, se acercaron </w:t>
      </w:r>
      <w:bookmarkEnd w:id="38"/>
      <w:r w:rsidRPr="004A30A8">
        <w:rPr>
          <w:lang w:val="es-ES"/>
        </w:rPr>
        <w:t xml:space="preserve">a la pareja y le indicaron que </w:t>
      </w:r>
      <w:r w:rsidR="007C3733" w:rsidRPr="004A30A8">
        <w:rPr>
          <w:lang w:val="es-ES"/>
        </w:rPr>
        <w:t>“</w:t>
      </w:r>
      <w:r w:rsidR="00AF7A5D" w:rsidRPr="004A30A8">
        <w:rPr>
          <w:lang w:val="es-ES"/>
        </w:rPr>
        <w:t>cesar</w:t>
      </w:r>
      <w:r w:rsidRPr="004A30A8">
        <w:rPr>
          <w:lang w:val="es-ES"/>
        </w:rPr>
        <w:t>[an]</w:t>
      </w:r>
      <w:r w:rsidR="00AF7A5D" w:rsidRPr="004A30A8">
        <w:rPr>
          <w:lang w:val="es-ES"/>
        </w:rPr>
        <w:t xml:space="preserve"> sus escenas amorosas por respeto</w:t>
      </w:r>
      <w:r w:rsidR="00DB4E0F" w:rsidRPr="004A30A8">
        <w:rPr>
          <w:lang w:val="es-ES"/>
        </w:rPr>
        <w:t xml:space="preserve"> </w:t>
      </w:r>
      <w:r w:rsidR="007C3733" w:rsidRPr="004A30A8">
        <w:rPr>
          <w:lang w:val="es-ES"/>
        </w:rPr>
        <w:t>a los demás clientes”</w:t>
      </w:r>
      <w:r w:rsidR="00D22197" w:rsidRPr="004A30A8">
        <w:rPr>
          <w:lang w:val="es-ES"/>
        </w:rPr>
        <w:t>,</w:t>
      </w:r>
      <w:r w:rsidR="007C3733" w:rsidRPr="004A30A8">
        <w:rPr>
          <w:lang w:val="es-ES"/>
        </w:rPr>
        <w:t xml:space="preserve"> </w:t>
      </w:r>
      <w:r w:rsidR="00A22A7C" w:rsidRPr="004A30A8">
        <w:rPr>
          <w:lang w:val="es-ES"/>
        </w:rPr>
        <w:t xml:space="preserve">ya que uno de ellos se quejaba porque </w:t>
      </w:r>
      <w:r w:rsidR="00B83B57" w:rsidRPr="004A30A8">
        <w:rPr>
          <w:lang w:val="es-ES"/>
        </w:rPr>
        <w:t>“</w:t>
      </w:r>
      <w:r w:rsidR="00C55691" w:rsidRPr="004A30A8">
        <w:rPr>
          <w:lang w:val="es-ES"/>
        </w:rPr>
        <w:t>había</w:t>
      </w:r>
      <w:r w:rsidR="00B83B57" w:rsidRPr="004A30A8">
        <w:rPr>
          <w:lang w:val="es-ES"/>
        </w:rPr>
        <w:t xml:space="preserve"> niños que estaban circulando para los juegos</w:t>
      </w:r>
      <w:r w:rsidR="00A7288A" w:rsidRPr="004A30A8">
        <w:rPr>
          <w:lang w:val="es-ES"/>
        </w:rPr>
        <w:t>”</w:t>
      </w:r>
      <w:r w:rsidR="00ED0BA9" w:rsidRPr="004A30A8">
        <w:rPr>
          <w:rStyle w:val="Refdenotaalpie"/>
        </w:rPr>
        <w:footnoteReference w:id="41"/>
      </w:r>
      <w:r w:rsidR="002F4353" w:rsidRPr="004A30A8">
        <w:rPr>
          <w:lang w:val="es-ES"/>
        </w:rPr>
        <w:t>.</w:t>
      </w:r>
      <w:r w:rsidR="001618BE" w:rsidRPr="004A30A8">
        <w:rPr>
          <w:lang w:val="es-ES"/>
        </w:rPr>
        <w:t xml:space="preserve"> </w:t>
      </w:r>
      <w:r w:rsidR="00C55691" w:rsidRPr="004A30A8">
        <w:rPr>
          <w:lang w:val="es-ES"/>
        </w:rPr>
        <w:t xml:space="preserve">Finalmente, la </w:t>
      </w:r>
      <w:r w:rsidR="00ED0BA9" w:rsidRPr="004A30A8">
        <w:rPr>
          <w:lang w:val="es-ES"/>
        </w:rPr>
        <w:t>encargada de la tienda</w:t>
      </w:r>
      <w:r w:rsidR="00C55691" w:rsidRPr="004A30A8">
        <w:rPr>
          <w:lang w:val="es-ES"/>
        </w:rPr>
        <w:t xml:space="preserve"> les señaló </w:t>
      </w:r>
      <w:r w:rsidR="001618BE" w:rsidRPr="004A30A8">
        <w:rPr>
          <w:lang w:val="es-ES"/>
        </w:rPr>
        <w:t xml:space="preserve">que </w:t>
      </w:r>
      <w:r w:rsidR="00904FD6" w:rsidRPr="004A30A8">
        <w:rPr>
          <w:lang w:val="es-ES"/>
        </w:rPr>
        <w:t>tenían que</w:t>
      </w:r>
      <w:r w:rsidR="001618BE" w:rsidRPr="004A30A8">
        <w:rPr>
          <w:lang w:val="es-ES"/>
        </w:rPr>
        <w:t xml:space="preserve"> comprar mercadería de la cafetería y abstenerse de su conducta afectiva a fin de no incomodar a la clientela, o bien, se tenían que retirar de</w:t>
      </w:r>
      <w:r w:rsidR="007C17A0">
        <w:rPr>
          <w:lang w:val="es-ES"/>
        </w:rPr>
        <w:t>l</w:t>
      </w:r>
      <w:r w:rsidR="001618BE" w:rsidRPr="004A30A8">
        <w:rPr>
          <w:lang w:val="es-ES"/>
        </w:rPr>
        <w:t xml:space="preserve"> establecimiento</w:t>
      </w:r>
      <w:r w:rsidR="001618BE" w:rsidRPr="004A30A8">
        <w:rPr>
          <w:rStyle w:val="Refdenotaalpie"/>
        </w:rPr>
        <w:footnoteReference w:id="42"/>
      </w:r>
      <w:r w:rsidR="002811D6" w:rsidRPr="004A30A8">
        <w:rPr>
          <w:lang w:val="es-ES"/>
        </w:rPr>
        <w:t>.</w:t>
      </w:r>
      <w:r w:rsidR="001618BE" w:rsidRPr="004A30A8">
        <w:rPr>
          <w:lang w:val="es-ES"/>
        </w:rPr>
        <w:t xml:space="preserve"> </w:t>
      </w:r>
      <w:r w:rsidR="00AF5351" w:rsidRPr="004A30A8">
        <w:rPr>
          <w:lang w:val="es-ES"/>
        </w:rPr>
        <w:t>En un determinado momento de este incidente estuvo presente un agente de la Policía Nacional</w:t>
      </w:r>
      <w:r w:rsidR="00AF5351" w:rsidRPr="004A30A8">
        <w:rPr>
          <w:rStyle w:val="Refdenotaalpie"/>
        </w:rPr>
        <w:footnoteReference w:id="43"/>
      </w:r>
      <w:r w:rsidR="00AF5351" w:rsidRPr="004A30A8">
        <w:rPr>
          <w:lang w:val="es-ES"/>
        </w:rPr>
        <w:t>.</w:t>
      </w:r>
    </w:p>
    <w:p w14:paraId="0E191C1D" w14:textId="77777777" w:rsidR="004579C7" w:rsidRPr="004A30A8" w:rsidRDefault="004579C7" w:rsidP="004579C7">
      <w:pPr>
        <w:tabs>
          <w:tab w:val="left" w:pos="567"/>
        </w:tabs>
        <w:spacing w:line="240" w:lineRule="auto"/>
        <w:rPr>
          <w:lang w:val="es-ES"/>
        </w:rPr>
      </w:pPr>
    </w:p>
    <w:p w14:paraId="3E32D576" w14:textId="25485BFE" w:rsidR="007675EE" w:rsidRPr="004A30A8" w:rsidRDefault="00B83125">
      <w:pPr>
        <w:numPr>
          <w:ilvl w:val="0"/>
          <w:numId w:val="7"/>
        </w:numPr>
        <w:tabs>
          <w:tab w:val="left" w:pos="567"/>
          <w:tab w:val="num" w:pos="1569"/>
          <w:tab w:val="num" w:pos="12305"/>
        </w:tabs>
        <w:spacing w:line="240" w:lineRule="auto"/>
        <w:ind w:left="0" w:firstLine="0"/>
        <w:rPr>
          <w:lang w:val="es-ES"/>
        </w:rPr>
      </w:pPr>
      <w:r w:rsidRPr="004A30A8">
        <w:rPr>
          <w:lang w:val="es-ES"/>
        </w:rPr>
        <w:t xml:space="preserve"> </w:t>
      </w:r>
      <w:r w:rsidR="00F92236" w:rsidRPr="004A30A8">
        <w:rPr>
          <w:lang w:val="es-ES"/>
        </w:rPr>
        <w:t>E</w:t>
      </w:r>
      <w:r w:rsidR="004944AB" w:rsidRPr="004A30A8">
        <w:rPr>
          <w:lang w:val="es-ES"/>
        </w:rPr>
        <w:t>n respuesta a lo indicado por la supervisora del local, el</w:t>
      </w:r>
      <w:r w:rsidR="00F92236" w:rsidRPr="004A30A8">
        <w:rPr>
          <w:lang w:val="es-ES"/>
        </w:rPr>
        <w:t xml:space="preserve"> señor Olivera </w:t>
      </w:r>
      <w:r w:rsidR="00E2562F" w:rsidRPr="004A30A8">
        <w:rPr>
          <w:lang w:val="es-ES"/>
        </w:rPr>
        <w:t>mostró</w:t>
      </w:r>
      <w:r w:rsidR="00CD2FA0" w:rsidRPr="004A30A8">
        <w:rPr>
          <w:lang w:val="es-ES"/>
        </w:rPr>
        <w:t xml:space="preserve"> su disconformidad con lo que consideró “un trato discriminatorio”, señalando</w:t>
      </w:r>
      <w:r w:rsidR="00A258D3" w:rsidRPr="004A30A8">
        <w:rPr>
          <w:lang w:val="es-ES"/>
        </w:rPr>
        <w:t xml:space="preserve"> que</w:t>
      </w:r>
      <w:r w:rsidR="00A35DDC" w:rsidRPr="004A30A8">
        <w:rPr>
          <w:lang w:val="es-ES"/>
        </w:rPr>
        <w:t xml:space="preserve"> las </w:t>
      </w:r>
      <w:r w:rsidR="00A35DDC" w:rsidRPr="004A30A8">
        <w:rPr>
          <w:lang w:val="es-ES"/>
        </w:rPr>
        <w:lastRenderedPageBreak/>
        <w:t xml:space="preserve">parejas homosexuales no </w:t>
      </w:r>
      <w:r w:rsidR="00B73901" w:rsidRPr="004A30A8">
        <w:rPr>
          <w:lang w:val="es-ES"/>
        </w:rPr>
        <w:t>podían</w:t>
      </w:r>
      <w:r w:rsidR="00A35DDC" w:rsidRPr="004A30A8">
        <w:rPr>
          <w:lang w:val="es-ES"/>
        </w:rPr>
        <w:t xml:space="preserve"> mostrar afecto en el establecimiento</w:t>
      </w:r>
      <w:r w:rsidR="00D22197" w:rsidRPr="004A30A8">
        <w:rPr>
          <w:lang w:val="es-ES"/>
        </w:rPr>
        <w:t>,</w:t>
      </w:r>
      <w:r w:rsidR="00A35DDC" w:rsidRPr="004A30A8">
        <w:rPr>
          <w:lang w:val="es-ES"/>
        </w:rPr>
        <w:t xml:space="preserve"> pero que</w:t>
      </w:r>
      <w:r w:rsidR="00A258D3" w:rsidRPr="004A30A8">
        <w:rPr>
          <w:lang w:val="es-ES"/>
        </w:rPr>
        <w:t xml:space="preserve"> “las parejas heterosexuales sí p</w:t>
      </w:r>
      <w:r w:rsidR="00E26DB1" w:rsidRPr="004A30A8">
        <w:rPr>
          <w:lang w:val="es-ES"/>
        </w:rPr>
        <w:t>[</w:t>
      </w:r>
      <w:r w:rsidR="00577F99" w:rsidRPr="004A30A8">
        <w:rPr>
          <w:lang w:val="es-ES"/>
        </w:rPr>
        <w:t>odían</w:t>
      </w:r>
      <w:r w:rsidR="00E26DB1" w:rsidRPr="004A30A8">
        <w:rPr>
          <w:lang w:val="es-ES"/>
        </w:rPr>
        <w:t>]</w:t>
      </w:r>
      <w:r w:rsidR="00A258D3" w:rsidRPr="004A30A8">
        <w:rPr>
          <w:lang w:val="es-ES"/>
        </w:rPr>
        <w:t xml:space="preserve"> mostrarse públicamente en dicha cafetería”</w:t>
      </w:r>
      <w:r w:rsidR="007C573A" w:rsidRPr="004A30A8">
        <w:rPr>
          <w:rStyle w:val="Refdenotaalpie"/>
        </w:rPr>
        <w:footnoteReference w:id="44"/>
      </w:r>
      <w:r w:rsidR="00EF4A50" w:rsidRPr="004A30A8">
        <w:rPr>
          <w:lang w:val="es-ES"/>
        </w:rPr>
        <w:t xml:space="preserve">. </w:t>
      </w:r>
      <w:r w:rsidR="001D6192" w:rsidRPr="004A30A8">
        <w:rPr>
          <w:lang w:val="es-ES"/>
        </w:rPr>
        <w:t xml:space="preserve">Ante el reclamo del </w:t>
      </w:r>
      <w:r w:rsidR="001D6192" w:rsidRPr="004A30A8">
        <w:t>señor</w:t>
      </w:r>
      <w:r w:rsidR="001D6192" w:rsidRPr="004A30A8">
        <w:rPr>
          <w:lang w:val="es-ES"/>
        </w:rPr>
        <w:t xml:space="preserve"> Olivera </w:t>
      </w:r>
      <w:r w:rsidR="00CE6DA9" w:rsidRPr="004A30A8">
        <w:rPr>
          <w:lang w:val="es-ES"/>
        </w:rPr>
        <w:t xml:space="preserve">y su pareja, </w:t>
      </w:r>
      <w:r w:rsidR="00A46477" w:rsidRPr="004A30A8">
        <w:rPr>
          <w:lang w:val="es-ES"/>
        </w:rPr>
        <w:t xml:space="preserve">el </w:t>
      </w:r>
      <w:r w:rsidR="00CE6DA9" w:rsidRPr="004A30A8">
        <w:rPr>
          <w:lang w:val="es-ES"/>
        </w:rPr>
        <w:t xml:space="preserve">personal de seguridad del supermercado </w:t>
      </w:r>
      <w:r w:rsidR="00BF440F" w:rsidRPr="004A30A8">
        <w:rPr>
          <w:lang w:val="es-ES"/>
        </w:rPr>
        <w:t xml:space="preserve">se aproximó y </w:t>
      </w:r>
      <w:r w:rsidR="007853E6" w:rsidRPr="004A30A8">
        <w:rPr>
          <w:lang w:val="es-ES"/>
        </w:rPr>
        <w:t>les invitó a</w:t>
      </w:r>
      <w:r w:rsidR="007029AC" w:rsidRPr="004A30A8">
        <w:rPr>
          <w:lang w:val="es-ES"/>
        </w:rPr>
        <w:t xml:space="preserve"> acatar lo señalado por la supervisora del local o</w:t>
      </w:r>
      <w:r w:rsidR="007853E6" w:rsidRPr="004A30A8">
        <w:rPr>
          <w:lang w:val="es-ES"/>
        </w:rPr>
        <w:t xml:space="preserve"> retirarse </w:t>
      </w:r>
      <w:r w:rsidR="00CE6DA9" w:rsidRPr="004A30A8">
        <w:rPr>
          <w:lang w:val="es-ES"/>
        </w:rPr>
        <w:t xml:space="preserve">del </w:t>
      </w:r>
      <w:r w:rsidR="007029AC" w:rsidRPr="004A30A8">
        <w:rPr>
          <w:lang w:val="es-ES"/>
        </w:rPr>
        <w:t>mismo</w:t>
      </w:r>
      <w:r w:rsidR="00FD4FD6" w:rsidRPr="004A30A8">
        <w:rPr>
          <w:rStyle w:val="Refdenotaalpie"/>
        </w:rPr>
        <w:footnoteReference w:id="45"/>
      </w:r>
      <w:r w:rsidR="007029AC" w:rsidRPr="004A30A8">
        <w:rPr>
          <w:lang w:val="es-ES"/>
        </w:rPr>
        <w:t>.</w:t>
      </w:r>
      <w:r w:rsidR="000855E3" w:rsidRPr="004A30A8">
        <w:rPr>
          <w:lang w:val="es-ES"/>
        </w:rPr>
        <w:t xml:space="preserve"> </w:t>
      </w:r>
      <w:r w:rsidR="00201E93" w:rsidRPr="004A30A8">
        <w:rPr>
          <w:lang w:val="es-ES"/>
        </w:rPr>
        <w:t xml:space="preserve">Según lo indicado por el señor Olivera, </w:t>
      </w:r>
      <w:r w:rsidR="001D0F20" w:rsidRPr="004A30A8">
        <w:rPr>
          <w:lang w:val="es-ES"/>
        </w:rPr>
        <w:t>l</w:t>
      </w:r>
      <w:r w:rsidR="003C7C2E" w:rsidRPr="004A30A8">
        <w:rPr>
          <w:lang w:val="es-ES"/>
        </w:rPr>
        <w:t xml:space="preserve">a actitud del personal del supermercado </w:t>
      </w:r>
      <w:r w:rsidR="00876CA2" w:rsidRPr="004A30A8">
        <w:rPr>
          <w:lang w:val="es-ES"/>
        </w:rPr>
        <w:t xml:space="preserve">lo posicionó </w:t>
      </w:r>
      <w:r w:rsidR="002A3F5D" w:rsidRPr="004A30A8">
        <w:rPr>
          <w:lang w:val="es-ES"/>
        </w:rPr>
        <w:t>en una situación</w:t>
      </w:r>
      <w:r w:rsidR="004A6EA1" w:rsidRPr="004A30A8">
        <w:rPr>
          <w:lang w:val="es-ES"/>
        </w:rPr>
        <w:t xml:space="preserve"> </w:t>
      </w:r>
      <w:r w:rsidR="00763D35" w:rsidRPr="004A30A8">
        <w:rPr>
          <w:lang w:val="es-ES"/>
        </w:rPr>
        <w:t xml:space="preserve">de </w:t>
      </w:r>
      <w:r w:rsidR="004A6EA1" w:rsidRPr="004A30A8">
        <w:rPr>
          <w:lang w:val="es-ES"/>
        </w:rPr>
        <w:t>discriminación</w:t>
      </w:r>
      <w:r w:rsidR="002A3F5D" w:rsidRPr="004A30A8">
        <w:rPr>
          <w:lang w:val="es-ES"/>
        </w:rPr>
        <w:t xml:space="preserve"> </w:t>
      </w:r>
      <w:r w:rsidR="004A6EA1" w:rsidRPr="004A30A8">
        <w:rPr>
          <w:lang w:val="es-ES"/>
        </w:rPr>
        <w:t>“</w:t>
      </w:r>
      <w:r w:rsidR="00852749" w:rsidRPr="004A30A8">
        <w:rPr>
          <w:lang w:val="es-ES"/>
        </w:rPr>
        <w:t>bochornosa” y “humillante”</w:t>
      </w:r>
      <w:r w:rsidR="003862F1" w:rsidRPr="004A30A8">
        <w:rPr>
          <w:rStyle w:val="Refdenotaalpie"/>
        </w:rPr>
        <w:footnoteReference w:id="46"/>
      </w:r>
      <w:r w:rsidR="00B45CFF" w:rsidRPr="004A30A8">
        <w:rPr>
          <w:lang w:val="es-ES"/>
        </w:rPr>
        <w:t xml:space="preserve">. </w:t>
      </w:r>
    </w:p>
    <w:p w14:paraId="081DCDBF" w14:textId="77777777" w:rsidR="00DC0C67" w:rsidRPr="004A30A8" w:rsidRDefault="00DC0C67" w:rsidP="00DC0C67">
      <w:pPr>
        <w:tabs>
          <w:tab w:val="left" w:pos="567"/>
        </w:tabs>
        <w:spacing w:line="240" w:lineRule="auto"/>
        <w:textAlignment w:val="baseline"/>
        <w:rPr>
          <w:lang w:val="es-ES"/>
        </w:rPr>
      </w:pPr>
    </w:p>
    <w:p w14:paraId="346E19A0" w14:textId="23E0B814" w:rsidR="00340258" w:rsidRPr="004A30A8" w:rsidRDefault="000B6579">
      <w:pPr>
        <w:numPr>
          <w:ilvl w:val="0"/>
          <w:numId w:val="7"/>
        </w:numPr>
        <w:tabs>
          <w:tab w:val="left" w:pos="567"/>
          <w:tab w:val="num" w:pos="1569"/>
          <w:tab w:val="num" w:pos="12305"/>
        </w:tabs>
        <w:spacing w:line="240" w:lineRule="auto"/>
        <w:ind w:left="0" w:firstLine="0"/>
        <w:rPr>
          <w:lang w:val="es-ES"/>
        </w:rPr>
      </w:pPr>
      <w:r w:rsidRPr="004A30A8">
        <w:rPr>
          <w:lang w:val="es-ES"/>
        </w:rPr>
        <w:t xml:space="preserve">Posteriormente, </w:t>
      </w:r>
      <w:r w:rsidR="00FF51AC" w:rsidRPr="004A30A8">
        <w:rPr>
          <w:lang w:val="es-ES"/>
        </w:rPr>
        <w:t xml:space="preserve">el señor Olivera </w:t>
      </w:r>
      <w:r w:rsidR="002331DD" w:rsidRPr="004A30A8">
        <w:rPr>
          <w:lang w:val="es-ES"/>
        </w:rPr>
        <w:t xml:space="preserve">se acercó a la </w:t>
      </w:r>
      <w:r w:rsidR="002D11FE" w:rsidRPr="004A30A8">
        <w:rPr>
          <w:lang w:val="es-ES"/>
        </w:rPr>
        <w:t xml:space="preserve">caja registradora y pidió hablar con </w:t>
      </w:r>
      <w:r w:rsidR="00B46F55" w:rsidRPr="004A30A8">
        <w:rPr>
          <w:lang w:val="es-ES"/>
        </w:rPr>
        <w:t xml:space="preserve">el gerente de la tienda. </w:t>
      </w:r>
      <w:r w:rsidR="00BF2A37" w:rsidRPr="004A30A8">
        <w:rPr>
          <w:lang w:val="es-ES"/>
        </w:rPr>
        <w:t xml:space="preserve">Ante la solicitud del señor Olivera, </w:t>
      </w:r>
      <w:r w:rsidR="009B5E31" w:rsidRPr="004A30A8">
        <w:rPr>
          <w:lang w:val="es-ES"/>
        </w:rPr>
        <w:t xml:space="preserve">la </w:t>
      </w:r>
      <w:r w:rsidR="00852749" w:rsidRPr="004A30A8">
        <w:rPr>
          <w:lang w:val="es-ES"/>
        </w:rPr>
        <w:t>encargada de la tienda</w:t>
      </w:r>
      <w:r w:rsidR="002331DD" w:rsidRPr="004A30A8">
        <w:rPr>
          <w:lang w:val="es-ES"/>
        </w:rPr>
        <w:t xml:space="preserve"> </w:t>
      </w:r>
      <w:r w:rsidR="00BF2A37" w:rsidRPr="004A30A8">
        <w:rPr>
          <w:lang w:val="es-ES"/>
        </w:rPr>
        <w:t xml:space="preserve">fue llamada a la caja registradora. </w:t>
      </w:r>
      <w:r w:rsidR="009B5E31" w:rsidRPr="004A30A8">
        <w:rPr>
          <w:lang w:val="es-ES"/>
        </w:rPr>
        <w:t>E</w:t>
      </w:r>
      <w:r w:rsidR="001A603F" w:rsidRPr="004A30A8">
        <w:rPr>
          <w:lang w:val="es-ES"/>
        </w:rPr>
        <w:t>l</w:t>
      </w:r>
      <w:r w:rsidR="00540021" w:rsidRPr="004A30A8">
        <w:rPr>
          <w:lang w:val="es-ES"/>
        </w:rPr>
        <w:t xml:space="preserve"> </w:t>
      </w:r>
      <w:r w:rsidR="00BF2A37" w:rsidRPr="004A30A8">
        <w:rPr>
          <w:lang w:val="es-ES"/>
        </w:rPr>
        <w:t xml:space="preserve">señor Olivera </w:t>
      </w:r>
      <w:r w:rsidR="001A603F" w:rsidRPr="004A30A8">
        <w:rPr>
          <w:lang w:val="es-ES"/>
        </w:rPr>
        <w:t xml:space="preserve">le </w:t>
      </w:r>
      <w:r w:rsidR="002331DD" w:rsidRPr="004A30A8">
        <w:rPr>
          <w:lang w:val="es-ES"/>
        </w:rPr>
        <w:t>entregó</w:t>
      </w:r>
      <w:r w:rsidR="00D10FF3" w:rsidRPr="004A30A8">
        <w:rPr>
          <w:lang w:val="es-ES"/>
        </w:rPr>
        <w:t xml:space="preserve"> </w:t>
      </w:r>
      <w:r w:rsidR="002331DD" w:rsidRPr="004A30A8">
        <w:rPr>
          <w:lang w:val="es-ES"/>
        </w:rPr>
        <w:t>una tarjeta del Movimiento Homosexual de Lima</w:t>
      </w:r>
      <w:r w:rsidR="001A603F" w:rsidRPr="004A30A8">
        <w:rPr>
          <w:lang w:val="es-ES"/>
        </w:rPr>
        <w:t xml:space="preserve"> a la supervisora del local,</w:t>
      </w:r>
      <w:r w:rsidR="002331DD" w:rsidRPr="004A30A8">
        <w:rPr>
          <w:lang w:val="es-ES"/>
        </w:rPr>
        <w:t xml:space="preserve"> </w:t>
      </w:r>
      <w:r w:rsidR="00820705" w:rsidRPr="004A30A8">
        <w:rPr>
          <w:lang w:val="es-ES"/>
        </w:rPr>
        <w:t xml:space="preserve">indicándole </w:t>
      </w:r>
      <w:r w:rsidR="001D0D31" w:rsidRPr="004A30A8">
        <w:rPr>
          <w:lang w:val="es-ES"/>
        </w:rPr>
        <w:t xml:space="preserve">que </w:t>
      </w:r>
      <w:r w:rsidR="00D6643E" w:rsidRPr="004A30A8">
        <w:rPr>
          <w:lang w:val="es-ES"/>
        </w:rPr>
        <w:t>tendrían noticias de él</w:t>
      </w:r>
      <w:r w:rsidR="000B24AE" w:rsidRPr="004A30A8">
        <w:rPr>
          <w:rStyle w:val="Refdenotaalpie"/>
        </w:rPr>
        <w:footnoteReference w:id="47"/>
      </w:r>
      <w:r w:rsidR="00D6643E" w:rsidRPr="004A30A8">
        <w:rPr>
          <w:lang w:val="es-ES"/>
        </w:rPr>
        <w:t>.</w:t>
      </w:r>
    </w:p>
    <w:p w14:paraId="2E2CFB4F" w14:textId="77777777" w:rsidR="00307725" w:rsidRPr="004A30A8" w:rsidRDefault="00307725" w:rsidP="00307725">
      <w:pPr>
        <w:tabs>
          <w:tab w:val="left" w:pos="567"/>
          <w:tab w:val="num" w:pos="12305"/>
        </w:tabs>
        <w:spacing w:line="240" w:lineRule="auto"/>
        <w:textAlignment w:val="baseline"/>
        <w:rPr>
          <w:lang w:val="es-ES"/>
        </w:rPr>
      </w:pPr>
    </w:p>
    <w:p w14:paraId="382C752F" w14:textId="44138B33" w:rsidR="005308AF" w:rsidRPr="004A30A8" w:rsidRDefault="00BF7A14">
      <w:pPr>
        <w:numPr>
          <w:ilvl w:val="0"/>
          <w:numId w:val="7"/>
        </w:numPr>
        <w:tabs>
          <w:tab w:val="left" w:pos="567"/>
          <w:tab w:val="num" w:pos="1569"/>
          <w:tab w:val="num" w:pos="12305"/>
        </w:tabs>
        <w:spacing w:line="240" w:lineRule="auto"/>
        <w:ind w:left="0" w:firstLine="0"/>
        <w:rPr>
          <w:lang w:val="es-ES"/>
        </w:rPr>
      </w:pPr>
      <w:r w:rsidRPr="004A30A8">
        <w:rPr>
          <w:lang w:val="es-ES"/>
        </w:rPr>
        <w:t xml:space="preserve">Varios días después, </w:t>
      </w:r>
      <w:r w:rsidR="00E9709D" w:rsidRPr="004A30A8">
        <w:rPr>
          <w:lang w:val="es-ES"/>
        </w:rPr>
        <w:t>e</w:t>
      </w:r>
      <w:r w:rsidR="009D6B40" w:rsidRPr="004A30A8">
        <w:rPr>
          <w:lang w:val="es-ES"/>
        </w:rPr>
        <w:t xml:space="preserve">l 17 de agosto de 2004, el señor Olivera </w:t>
      </w:r>
      <w:r w:rsidR="00211C10" w:rsidRPr="004A30A8">
        <w:rPr>
          <w:lang w:val="es-ES"/>
        </w:rPr>
        <w:t>acudió, como parte de un reportaje de televisión del programa</w:t>
      </w:r>
      <w:r w:rsidR="00966CB2" w:rsidRPr="004A30A8">
        <w:rPr>
          <w:lang w:val="es-ES"/>
        </w:rPr>
        <w:t xml:space="preserve"> de televisión </w:t>
      </w:r>
      <w:r w:rsidR="00F4534E" w:rsidRPr="004A30A8">
        <w:rPr>
          <w:lang w:val="es-ES"/>
        </w:rPr>
        <w:t>“</w:t>
      </w:r>
      <w:r w:rsidR="00C967EC" w:rsidRPr="004A30A8">
        <w:rPr>
          <w:lang w:val="es-ES"/>
        </w:rPr>
        <w:t>Reporte Semanal</w:t>
      </w:r>
      <w:r w:rsidR="00F4534E" w:rsidRPr="004A30A8">
        <w:rPr>
          <w:lang w:val="es-ES"/>
        </w:rPr>
        <w:t>”</w:t>
      </w:r>
      <w:r w:rsidR="00966CB2" w:rsidRPr="004A30A8">
        <w:rPr>
          <w:i/>
          <w:iCs/>
          <w:lang w:val="es-ES"/>
        </w:rPr>
        <w:t xml:space="preserve">, </w:t>
      </w:r>
      <w:r w:rsidR="00966CB2" w:rsidRPr="004A30A8">
        <w:rPr>
          <w:lang w:val="es-ES"/>
        </w:rPr>
        <w:t xml:space="preserve">a otro local del mismo Supermercado Santa Isabel </w:t>
      </w:r>
      <w:r w:rsidR="00D674A5" w:rsidRPr="004A30A8">
        <w:rPr>
          <w:lang w:val="es-ES"/>
        </w:rPr>
        <w:t>en compañía de</w:t>
      </w:r>
      <w:r w:rsidR="00164A5E" w:rsidRPr="004A30A8">
        <w:rPr>
          <w:lang w:val="es-ES"/>
        </w:rPr>
        <w:t xml:space="preserve"> su pareja, así como con</w:t>
      </w:r>
      <w:r w:rsidR="00D674A5" w:rsidRPr="004A30A8">
        <w:rPr>
          <w:lang w:val="es-ES"/>
        </w:rPr>
        <w:t xml:space="preserve"> un periodista y </w:t>
      </w:r>
      <w:r w:rsidR="00E9709D" w:rsidRPr="004A30A8">
        <w:rPr>
          <w:lang w:val="es-ES"/>
        </w:rPr>
        <w:t>la pareja de este,</w:t>
      </w:r>
      <w:r w:rsidR="00D674A5" w:rsidRPr="004A30A8">
        <w:rPr>
          <w:lang w:val="es-ES"/>
        </w:rPr>
        <w:t xml:space="preserve"> de diferente sexo</w:t>
      </w:r>
      <w:r w:rsidR="00164A5E" w:rsidRPr="004A30A8">
        <w:rPr>
          <w:lang w:val="es-ES"/>
        </w:rPr>
        <w:t>. Ambas parejas</w:t>
      </w:r>
      <w:r w:rsidR="00D674A5" w:rsidRPr="004A30A8">
        <w:rPr>
          <w:lang w:val="es-ES"/>
        </w:rPr>
        <w:t xml:space="preserve"> realizaron deliberadamente </w:t>
      </w:r>
      <w:r w:rsidR="00164A5E" w:rsidRPr="004A30A8">
        <w:rPr>
          <w:lang w:val="es-ES"/>
        </w:rPr>
        <w:t xml:space="preserve">las mismas </w:t>
      </w:r>
      <w:r w:rsidR="00D674A5" w:rsidRPr="004A30A8">
        <w:rPr>
          <w:lang w:val="es-ES"/>
        </w:rPr>
        <w:t>demostraciones afectivas</w:t>
      </w:r>
      <w:r w:rsidR="00164A5E" w:rsidRPr="004A30A8">
        <w:rPr>
          <w:lang w:val="es-ES"/>
        </w:rPr>
        <w:t xml:space="preserve">. El señor Olivera y su pareja recibieron una amonestación por </w:t>
      </w:r>
      <w:r w:rsidR="00D07BE7" w:rsidRPr="004A30A8">
        <w:rPr>
          <w:lang w:val="es-ES"/>
        </w:rPr>
        <w:t>parte</w:t>
      </w:r>
      <w:r w:rsidR="00164A5E" w:rsidRPr="004A30A8">
        <w:rPr>
          <w:lang w:val="es-ES"/>
        </w:rPr>
        <w:t xml:space="preserve"> del personal de dicho establecimiento, quienes le</w:t>
      </w:r>
      <w:r w:rsidR="00A7288A" w:rsidRPr="004A30A8">
        <w:rPr>
          <w:lang w:val="es-ES"/>
        </w:rPr>
        <w:t>s</w:t>
      </w:r>
      <w:r w:rsidR="00164A5E" w:rsidRPr="004A30A8">
        <w:rPr>
          <w:lang w:val="es-ES"/>
        </w:rPr>
        <w:t xml:space="preserve"> indicaron que por política de la empresa </w:t>
      </w:r>
      <w:r w:rsidR="00164A5E" w:rsidRPr="004A30A8">
        <w:rPr>
          <w:iCs/>
          <w:lang w:val="es-ES"/>
        </w:rPr>
        <w:t>debían</w:t>
      </w:r>
      <w:r w:rsidR="00164A5E" w:rsidRPr="004A30A8">
        <w:rPr>
          <w:lang w:val="es-ES"/>
        </w:rPr>
        <w:t xml:space="preserve"> retirarse y que “afuera en la calle [podían] hacer todo lo que qu[isieran], pero a[llí] no”</w:t>
      </w:r>
      <w:r w:rsidR="00164A5E" w:rsidRPr="004A30A8">
        <w:rPr>
          <w:rStyle w:val="Refdenotaalpie"/>
        </w:rPr>
        <w:footnoteReference w:id="48"/>
      </w:r>
      <w:r w:rsidR="00164A5E" w:rsidRPr="004A30A8">
        <w:rPr>
          <w:lang w:val="es-ES"/>
        </w:rPr>
        <w:t xml:space="preserve">. </w:t>
      </w:r>
      <w:r w:rsidR="00157BDB" w:rsidRPr="004A30A8">
        <w:rPr>
          <w:lang w:val="es-ES"/>
        </w:rPr>
        <w:t>Por su parte, el periodista y la pareja de este no recibieron ningún tipo de advertencia o amonestación</w:t>
      </w:r>
      <w:r w:rsidR="00157BDB" w:rsidRPr="004A30A8">
        <w:rPr>
          <w:rStyle w:val="Refdenotaalpie"/>
        </w:rPr>
        <w:footnoteReference w:id="49"/>
      </w:r>
      <w:r w:rsidR="00157BDB" w:rsidRPr="004A30A8">
        <w:rPr>
          <w:lang w:val="es-ES"/>
        </w:rPr>
        <w:t>.</w:t>
      </w:r>
    </w:p>
    <w:p w14:paraId="31FB2BB8" w14:textId="77777777" w:rsidR="00180AB7" w:rsidRPr="004A30A8" w:rsidRDefault="00180AB7" w:rsidP="00CA2023">
      <w:pPr>
        <w:tabs>
          <w:tab w:val="left" w:pos="567"/>
        </w:tabs>
        <w:spacing w:line="240" w:lineRule="auto"/>
        <w:rPr>
          <w:lang w:val="es-ES"/>
        </w:rPr>
      </w:pPr>
    </w:p>
    <w:p w14:paraId="4FD63A4E" w14:textId="6D4B8F63" w:rsidR="00180AB7" w:rsidRPr="004A30A8" w:rsidRDefault="00271AC8" w:rsidP="003153DF">
      <w:pPr>
        <w:pStyle w:val="Ttulo2"/>
        <w:tabs>
          <w:tab w:val="num" w:pos="12305"/>
        </w:tabs>
        <w:spacing w:before="360" w:after="360"/>
        <w:ind w:firstLine="709"/>
      </w:pPr>
      <w:bookmarkStart w:id="39" w:name="_Toc129887105"/>
      <w:r w:rsidRPr="004A30A8">
        <w:rPr>
          <w:lang w:val="es-ES"/>
        </w:rPr>
        <w:lastRenderedPageBreak/>
        <w:t xml:space="preserve">B. </w:t>
      </w:r>
      <w:r w:rsidR="00F658F2" w:rsidRPr="004A30A8">
        <w:rPr>
          <w:lang w:val="es-ES"/>
        </w:rPr>
        <w:t>Denuncia</w:t>
      </w:r>
      <w:r w:rsidR="00F658F2" w:rsidRPr="004A30A8">
        <w:t xml:space="preserve"> </w:t>
      </w:r>
      <w:r w:rsidR="00F658F2" w:rsidRPr="004A30A8">
        <w:rPr>
          <w:lang w:val="es-ES"/>
        </w:rPr>
        <w:t>ante</w:t>
      </w:r>
      <w:r w:rsidR="00F658F2" w:rsidRPr="004A30A8">
        <w:t xml:space="preserve"> la Comisión de Protección al Consumidor (CPC) del Instituto Nacional de Defensa de la Competencia y de la Propiedad Intelectual (Indecopi)</w:t>
      </w:r>
      <w:bookmarkEnd w:id="39"/>
    </w:p>
    <w:p w14:paraId="6781B2C3" w14:textId="40DB0ED7" w:rsidR="00340258" w:rsidRPr="004A30A8" w:rsidRDefault="00340258">
      <w:pPr>
        <w:numPr>
          <w:ilvl w:val="0"/>
          <w:numId w:val="7"/>
        </w:numPr>
        <w:tabs>
          <w:tab w:val="left" w:pos="567"/>
          <w:tab w:val="num" w:pos="1569"/>
          <w:tab w:val="num" w:pos="12305"/>
        </w:tabs>
        <w:spacing w:line="240" w:lineRule="auto"/>
        <w:ind w:left="0" w:firstLine="0"/>
        <w:rPr>
          <w:lang w:val="es-ES"/>
        </w:rPr>
      </w:pPr>
      <w:r w:rsidRPr="004A30A8">
        <w:rPr>
          <w:lang w:val="es-ES"/>
        </w:rPr>
        <w:t xml:space="preserve">El </w:t>
      </w:r>
      <w:r w:rsidR="004D0B81" w:rsidRPr="004A30A8">
        <w:rPr>
          <w:lang w:val="es-ES"/>
        </w:rPr>
        <w:t xml:space="preserve">1 de octubre </w:t>
      </w:r>
      <w:r w:rsidR="00474262" w:rsidRPr="004A30A8">
        <w:rPr>
          <w:lang w:val="es-ES"/>
        </w:rPr>
        <w:t xml:space="preserve">de 2004 </w:t>
      </w:r>
      <w:r w:rsidR="00CB7450" w:rsidRPr="004A30A8">
        <w:rPr>
          <w:lang w:val="es-ES"/>
        </w:rPr>
        <w:t>el señor Olivera presentó una denuncia</w:t>
      </w:r>
      <w:r w:rsidR="0018263D" w:rsidRPr="004A30A8">
        <w:rPr>
          <w:lang w:val="es-ES"/>
        </w:rPr>
        <w:t xml:space="preserve"> ante la Comisión de Protección al Consumidor (CPC) del Instituto Nacional de Defensa de la Competencia y de la Propiedad Intelectual (Indecopi)</w:t>
      </w:r>
      <w:r w:rsidR="00CB7450" w:rsidRPr="004A30A8">
        <w:rPr>
          <w:lang w:val="es-ES"/>
        </w:rPr>
        <w:t xml:space="preserve"> contra Supermercados Peruanos S.A.</w:t>
      </w:r>
      <w:r w:rsidR="00840A99" w:rsidRPr="004A30A8">
        <w:rPr>
          <w:lang w:val="es-ES"/>
        </w:rPr>
        <w:t>,</w:t>
      </w:r>
      <w:r w:rsidR="00CB7450" w:rsidRPr="004A30A8">
        <w:rPr>
          <w:lang w:val="es-ES"/>
        </w:rPr>
        <w:t xml:space="preserve"> </w:t>
      </w:r>
      <w:r w:rsidR="003E334B" w:rsidRPr="004A30A8">
        <w:rPr>
          <w:lang w:val="es-ES"/>
        </w:rPr>
        <w:t>alegando haber recibido un trato discriminatorio</w:t>
      </w:r>
      <w:r w:rsidR="00BC7680" w:rsidRPr="004A30A8">
        <w:rPr>
          <w:lang w:val="es-ES"/>
        </w:rPr>
        <w:t xml:space="preserve"> a causa de su orientación sexual por el trato injustificado que recibió </w:t>
      </w:r>
      <w:r w:rsidR="007A465B" w:rsidRPr="004A30A8">
        <w:rPr>
          <w:lang w:val="es-ES"/>
        </w:rPr>
        <w:t>el 11 de agosto de 2004</w:t>
      </w:r>
      <w:r w:rsidR="00BC7680" w:rsidRPr="004A30A8">
        <w:rPr>
          <w:lang w:val="es-ES"/>
        </w:rPr>
        <w:t>, todo ello</w:t>
      </w:r>
      <w:r w:rsidR="003E334B" w:rsidRPr="004A30A8">
        <w:rPr>
          <w:lang w:val="es-ES"/>
        </w:rPr>
        <w:t xml:space="preserve"> con base</w:t>
      </w:r>
      <w:r w:rsidR="007A465B" w:rsidRPr="004A30A8">
        <w:rPr>
          <w:lang w:val="es-ES"/>
        </w:rPr>
        <w:t xml:space="preserve">, </w:t>
      </w:r>
      <w:r w:rsidR="007A465B" w:rsidRPr="004A30A8">
        <w:rPr>
          <w:i/>
          <w:iCs/>
          <w:lang w:val="es-ES"/>
        </w:rPr>
        <w:t>i</w:t>
      </w:r>
      <w:r w:rsidR="00774B5A" w:rsidRPr="004A30A8">
        <w:rPr>
          <w:i/>
          <w:iCs/>
          <w:lang w:val="es-ES"/>
        </w:rPr>
        <w:t xml:space="preserve">nter </w:t>
      </w:r>
      <w:r w:rsidR="007A465B" w:rsidRPr="004A30A8">
        <w:rPr>
          <w:i/>
          <w:iCs/>
          <w:lang w:val="es-ES"/>
        </w:rPr>
        <w:t>a</w:t>
      </w:r>
      <w:r w:rsidR="00774B5A" w:rsidRPr="004A30A8">
        <w:rPr>
          <w:i/>
          <w:iCs/>
          <w:lang w:val="es-ES"/>
        </w:rPr>
        <w:t>lia</w:t>
      </w:r>
      <w:r w:rsidR="007A465B" w:rsidRPr="004A30A8">
        <w:rPr>
          <w:i/>
          <w:iCs/>
          <w:lang w:val="es-ES"/>
        </w:rPr>
        <w:t>,</w:t>
      </w:r>
      <w:r w:rsidR="003E334B" w:rsidRPr="004A30A8">
        <w:rPr>
          <w:lang w:val="es-ES"/>
        </w:rPr>
        <w:t xml:space="preserve"> en </w:t>
      </w:r>
      <w:r w:rsidR="007A465B" w:rsidRPr="004A30A8">
        <w:rPr>
          <w:lang w:val="es-ES"/>
        </w:rPr>
        <w:t>el artículo 2.2 de la Constitución</w:t>
      </w:r>
      <w:r w:rsidR="007A465B" w:rsidRPr="004A30A8">
        <w:rPr>
          <w:rStyle w:val="Refdenotaalpie"/>
        </w:rPr>
        <w:footnoteReference w:id="50"/>
      </w:r>
      <w:r w:rsidR="007A465B" w:rsidRPr="004A30A8">
        <w:rPr>
          <w:lang w:val="es-ES"/>
        </w:rPr>
        <w:t xml:space="preserve">, así como </w:t>
      </w:r>
      <w:r w:rsidR="003E334B" w:rsidRPr="004A30A8">
        <w:rPr>
          <w:lang w:val="es-ES"/>
        </w:rPr>
        <w:t xml:space="preserve">los artículos </w:t>
      </w:r>
      <w:r w:rsidR="007A2093" w:rsidRPr="004A30A8">
        <w:rPr>
          <w:lang w:val="es-ES"/>
        </w:rPr>
        <w:t>5(d)</w:t>
      </w:r>
      <w:r w:rsidR="00164A5E" w:rsidRPr="004A30A8">
        <w:rPr>
          <w:rStyle w:val="Refdenotaalpie"/>
        </w:rPr>
        <w:footnoteReference w:id="51"/>
      </w:r>
      <w:r w:rsidR="007A2093" w:rsidRPr="004A30A8">
        <w:rPr>
          <w:lang w:val="es-ES"/>
        </w:rPr>
        <w:t xml:space="preserve"> y 7(b)</w:t>
      </w:r>
      <w:r w:rsidR="007A465B" w:rsidRPr="004A30A8">
        <w:rPr>
          <w:rStyle w:val="Refdenotaalpie"/>
        </w:rPr>
        <w:footnoteReference w:id="52"/>
      </w:r>
      <w:r w:rsidR="007A2093" w:rsidRPr="004A30A8">
        <w:rPr>
          <w:lang w:val="es-ES"/>
        </w:rPr>
        <w:t xml:space="preserve"> de la Ley de Protección del Consumidor</w:t>
      </w:r>
      <w:r w:rsidR="00974771" w:rsidRPr="004A30A8">
        <w:rPr>
          <w:lang w:val="es-ES"/>
        </w:rPr>
        <w:t>.</w:t>
      </w:r>
      <w:r w:rsidR="007A2093" w:rsidRPr="004A30A8">
        <w:rPr>
          <w:lang w:val="es-ES"/>
        </w:rPr>
        <w:t xml:space="preserve"> El denunciante incluyó como </w:t>
      </w:r>
      <w:r w:rsidR="007A2093" w:rsidRPr="004A30A8">
        <w:t>pr</w:t>
      </w:r>
      <w:r w:rsidR="00176C92" w:rsidRPr="004A30A8">
        <w:t>incipales</w:t>
      </w:r>
      <w:r w:rsidR="00176C92" w:rsidRPr="004A30A8">
        <w:rPr>
          <w:lang w:val="es-ES"/>
        </w:rPr>
        <w:t xml:space="preserve"> medios probatorios: </w:t>
      </w:r>
      <w:r w:rsidR="00030C03" w:rsidRPr="004A30A8">
        <w:t xml:space="preserve">(i) su propio testimonio, (ii) el reportaje de televisión del </w:t>
      </w:r>
      <w:r w:rsidR="00030C03" w:rsidRPr="004A30A8">
        <w:rPr>
          <w:lang w:val="es-ES"/>
        </w:rPr>
        <w:t>17</w:t>
      </w:r>
      <w:r w:rsidR="00030C03" w:rsidRPr="004A30A8">
        <w:t xml:space="preserve"> de agosto de 2004 del programa </w:t>
      </w:r>
      <w:r w:rsidR="00205562" w:rsidRPr="004A30A8">
        <w:t>“</w:t>
      </w:r>
      <w:r w:rsidR="00030C03" w:rsidRPr="004A30A8">
        <w:t>Reporte Semanal</w:t>
      </w:r>
      <w:r w:rsidR="00205562" w:rsidRPr="004A30A8">
        <w:rPr>
          <w:i/>
          <w:iCs/>
        </w:rPr>
        <w:t>”</w:t>
      </w:r>
      <w:r w:rsidR="00030C03" w:rsidRPr="004A30A8">
        <w:t xml:space="preserve">; y, (iii) otro video de un reportaje del programa </w:t>
      </w:r>
      <w:r w:rsidR="00307725" w:rsidRPr="004A30A8">
        <w:t>“</w:t>
      </w:r>
      <w:r w:rsidR="00030C03" w:rsidRPr="004A30A8">
        <w:t>Panorama</w:t>
      </w:r>
      <w:r w:rsidR="00307725" w:rsidRPr="004A30A8">
        <w:t>”</w:t>
      </w:r>
      <w:r w:rsidR="00030C03" w:rsidRPr="004A30A8">
        <w:t xml:space="preserve"> sobre un incidente discriminatorio cometido en </w:t>
      </w:r>
      <w:r w:rsidR="00E9709D" w:rsidRPr="004A30A8">
        <w:t xml:space="preserve">el Supermercado </w:t>
      </w:r>
      <w:r w:rsidR="00030C03" w:rsidRPr="004A30A8">
        <w:t>Santa Isabe</w:t>
      </w:r>
      <w:r w:rsidR="00990F3C" w:rsidRPr="004A30A8">
        <w:t>l</w:t>
      </w:r>
      <w:r w:rsidR="00030C03" w:rsidRPr="004A30A8">
        <w:t xml:space="preserve"> contra miembros del colectivo </w:t>
      </w:r>
      <w:r w:rsidR="00307725" w:rsidRPr="004A30A8">
        <w:t>“</w:t>
      </w:r>
      <w:r w:rsidR="00030C03" w:rsidRPr="004A30A8">
        <w:t>Raíz Diversidad Sexual</w:t>
      </w:r>
      <w:r w:rsidR="00307725" w:rsidRPr="004A30A8">
        <w:t>”</w:t>
      </w:r>
      <w:r w:rsidR="00030C03" w:rsidRPr="004A30A8">
        <w:t xml:space="preserve"> dos días antes de lo ocurrido con el señor Olivera Fuentes</w:t>
      </w:r>
      <w:r w:rsidR="00030C03" w:rsidRPr="004A30A8">
        <w:rPr>
          <w:rStyle w:val="Refdenotaalpie"/>
        </w:rPr>
        <w:footnoteReference w:id="53"/>
      </w:r>
      <w:r w:rsidR="00307725" w:rsidRPr="004A30A8">
        <w:t>.</w:t>
      </w:r>
    </w:p>
    <w:p w14:paraId="329ACD23" w14:textId="77777777" w:rsidR="00307725" w:rsidRPr="004A30A8" w:rsidRDefault="00307725" w:rsidP="00307725">
      <w:pPr>
        <w:tabs>
          <w:tab w:val="left" w:pos="567"/>
        </w:tabs>
        <w:spacing w:line="240" w:lineRule="auto"/>
        <w:textAlignment w:val="baseline"/>
        <w:rPr>
          <w:lang w:val="es-ES"/>
        </w:rPr>
      </w:pPr>
    </w:p>
    <w:p w14:paraId="351DF97F" w14:textId="5CA44853" w:rsidR="00213169" w:rsidRPr="004A30A8" w:rsidRDefault="00307725">
      <w:pPr>
        <w:numPr>
          <w:ilvl w:val="0"/>
          <w:numId w:val="7"/>
        </w:numPr>
        <w:tabs>
          <w:tab w:val="left" w:pos="567"/>
          <w:tab w:val="num" w:pos="1569"/>
          <w:tab w:val="num" w:pos="12305"/>
        </w:tabs>
        <w:spacing w:line="240" w:lineRule="auto"/>
        <w:ind w:left="0" w:firstLine="0"/>
        <w:rPr>
          <w:lang w:val="es-ES"/>
        </w:rPr>
      </w:pPr>
      <w:r w:rsidRPr="004A30A8">
        <w:rPr>
          <w:lang w:val="es-ES"/>
        </w:rPr>
        <w:t xml:space="preserve">El 20 </w:t>
      </w:r>
      <w:r w:rsidR="00410F67" w:rsidRPr="004A30A8">
        <w:t xml:space="preserve">de octubre de </w:t>
      </w:r>
      <w:r w:rsidR="00844D85" w:rsidRPr="004A30A8">
        <w:t xml:space="preserve">2004 Supermercados Peruanos S.A. dio respuesta a la denuncia alegando que </w:t>
      </w:r>
      <w:r w:rsidR="00BC7680" w:rsidRPr="004A30A8">
        <w:t xml:space="preserve">el señor Olivera no logró probar la existencia de un acto de </w:t>
      </w:r>
      <w:r w:rsidR="00BC7680" w:rsidRPr="004A30A8">
        <w:rPr>
          <w:lang w:val="es-ES"/>
        </w:rPr>
        <w:t>discriminación</w:t>
      </w:r>
      <w:r w:rsidR="00BC7680" w:rsidRPr="004A30A8">
        <w:t xml:space="preserve"> en su contra. La empresa señaló que </w:t>
      </w:r>
      <w:r w:rsidR="00A46477" w:rsidRPr="004A30A8">
        <w:t xml:space="preserve">el </w:t>
      </w:r>
      <w:r w:rsidR="00BC7680" w:rsidRPr="004A30A8">
        <w:t xml:space="preserve">personal de su establecimiento </w:t>
      </w:r>
      <w:r w:rsidR="00844D85" w:rsidRPr="004A30A8">
        <w:t xml:space="preserve">le pidió al señor Olivera </w:t>
      </w:r>
      <w:r w:rsidR="00BC7680" w:rsidRPr="004A30A8">
        <w:t xml:space="preserve">y a su pareja </w:t>
      </w:r>
      <w:r w:rsidR="00E2130A" w:rsidRPr="004A30A8">
        <w:t xml:space="preserve">que </w:t>
      </w:r>
      <w:r w:rsidR="00B451E1" w:rsidRPr="004A30A8">
        <w:t>“</w:t>
      </w:r>
      <w:r w:rsidR="00E2130A" w:rsidRPr="004A30A8">
        <w:t xml:space="preserve">respetara el derecho de los </w:t>
      </w:r>
      <w:r w:rsidR="00E2130A" w:rsidRPr="004A30A8">
        <w:rPr>
          <w:lang w:val="es-ES"/>
        </w:rPr>
        <w:t>demás</w:t>
      </w:r>
      <w:r w:rsidR="00E2130A" w:rsidRPr="004A30A8">
        <w:t xml:space="preserve"> clientes al uso tranquilo, apacible y adecuado de las instalaciones</w:t>
      </w:r>
      <w:r w:rsidR="008A497C" w:rsidRPr="004A30A8">
        <w:t>”</w:t>
      </w:r>
      <w:r w:rsidR="00972B50" w:rsidRPr="004A30A8">
        <w:t>,</w:t>
      </w:r>
      <w:r w:rsidR="00BC7680" w:rsidRPr="004A30A8">
        <w:t xml:space="preserve"> ante la </w:t>
      </w:r>
      <w:r w:rsidR="00BC7680" w:rsidRPr="004A30A8">
        <w:rPr>
          <w:lang w:val="es-ES"/>
        </w:rPr>
        <w:t>incomodidad</w:t>
      </w:r>
      <w:r w:rsidR="00BC7680" w:rsidRPr="004A30A8">
        <w:t xml:space="preserve"> de otros clientes por su comportamiento</w:t>
      </w:r>
      <w:r w:rsidR="00990F3C" w:rsidRPr="004A30A8">
        <w:t xml:space="preserve"> en presencia de sus hijos</w:t>
      </w:r>
      <w:r w:rsidR="00BC7680" w:rsidRPr="004A30A8">
        <w:t xml:space="preserve">. De acuerdo con la empresa, el fin de la intervención </w:t>
      </w:r>
      <w:r w:rsidR="00990F3C" w:rsidRPr="004A30A8">
        <w:t>era el “respeto a la moral y buenas costumbres”</w:t>
      </w:r>
      <w:r w:rsidR="00BB7BE5" w:rsidRPr="004A30A8">
        <w:rPr>
          <w:rStyle w:val="Refdenotaalpie"/>
        </w:rPr>
        <w:footnoteReference w:id="54"/>
      </w:r>
      <w:r w:rsidR="00990F3C" w:rsidRPr="004A30A8">
        <w:t xml:space="preserve"> </w:t>
      </w:r>
      <w:r w:rsidR="00A46477" w:rsidRPr="004A30A8">
        <w:t>y</w:t>
      </w:r>
      <w:r w:rsidR="00BC7680" w:rsidRPr="004A30A8">
        <w:t xml:space="preserve"> el interés superior de los niños que se encontraban jugando en la zona contigua a las mesas de la cafetería del supermercado</w:t>
      </w:r>
      <w:r w:rsidR="00BC7680" w:rsidRPr="004A30A8">
        <w:rPr>
          <w:rStyle w:val="Refdenotaalpie"/>
        </w:rPr>
        <w:footnoteReference w:id="55"/>
      </w:r>
      <w:r w:rsidR="00F9157E" w:rsidRPr="004A30A8">
        <w:t xml:space="preserve">, </w:t>
      </w:r>
      <w:r w:rsidR="00E2130A" w:rsidRPr="004A30A8">
        <w:t xml:space="preserve">concluyendo que la conducta de la pareja, dado el contexto en que </w:t>
      </w:r>
      <w:r w:rsidR="00E2130A" w:rsidRPr="004A30A8">
        <w:lastRenderedPageBreak/>
        <w:t xml:space="preserve">se encontraban, </w:t>
      </w:r>
      <w:r w:rsidR="00FE6D1B" w:rsidRPr="004A30A8">
        <w:t>fue contraria a “la moral y buenas costumbres impuestas por el colectivo”</w:t>
      </w:r>
      <w:r w:rsidR="00FE6D1B" w:rsidRPr="004A30A8">
        <w:rPr>
          <w:rStyle w:val="Refdenotaalpie"/>
        </w:rPr>
        <w:footnoteReference w:id="56"/>
      </w:r>
      <w:r w:rsidR="00D92F05" w:rsidRPr="004A30A8">
        <w:t>.</w:t>
      </w:r>
      <w:r w:rsidR="00A779BE" w:rsidRPr="004A30A8">
        <w:t xml:space="preserve"> </w:t>
      </w:r>
      <w:r w:rsidR="00E9709D" w:rsidRPr="004A30A8">
        <w:t xml:space="preserve">Además, </w:t>
      </w:r>
      <w:r w:rsidR="009D2139" w:rsidRPr="004A30A8">
        <w:t>e</w:t>
      </w:r>
      <w:r w:rsidR="00A779BE" w:rsidRPr="004A30A8">
        <w:t xml:space="preserve">n sus escritos de descargo, </w:t>
      </w:r>
      <w:r w:rsidR="000A0F56" w:rsidRPr="004A30A8">
        <w:t>Supermercados Peruanos S.A. adjunt</w:t>
      </w:r>
      <w:r w:rsidR="008321C6" w:rsidRPr="004A30A8">
        <w:t>ó</w:t>
      </w:r>
      <w:r w:rsidR="000A0F56" w:rsidRPr="004A30A8">
        <w:t xml:space="preserve"> </w:t>
      </w:r>
      <w:r w:rsidR="00FF16D7" w:rsidRPr="004A30A8">
        <w:t xml:space="preserve">cartas </w:t>
      </w:r>
      <w:r w:rsidR="00707E9B" w:rsidRPr="004A30A8">
        <w:t xml:space="preserve">de </w:t>
      </w:r>
      <w:r w:rsidR="00FF16D7" w:rsidRPr="004A30A8">
        <w:t xml:space="preserve">respaldo </w:t>
      </w:r>
      <w:r w:rsidR="008D2DED" w:rsidRPr="004A30A8">
        <w:t xml:space="preserve">donde </w:t>
      </w:r>
      <w:r w:rsidR="00840A99" w:rsidRPr="004A30A8">
        <w:t xml:space="preserve">clientes </w:t>
      </w:r>
      <w:r w:rsidR="00A45847" w:rsidRPr="004A30A8">
        <w:t>mostraban su rechazo a las muestras de afecto desplegadas por el señor Olivera y su pareja</w:t>
      </w:r>
      <w:r w:rsidR="00A45847" w:rsidRPr="004A30A8">
        <w:rPr>
          <w:rStyle w:val="Refdenotaalpie"/>
        </w:rPr>
        <w:footnoteReference w:id="57"/>
      </w:r>
      <w:r w:rsidR="00A45847" w:rsidRPr="004A30A8">
        <w:t>.</w:t>
      </w:r>
    </w:p>
    <w:p w14:paraId="57D9308D" w14:textId="77777777" w:rsidR="00213169" w:rsidRPr="004A30A8" w:rsidRDefault="00213169" w:rsidP="00213169">
      <w:pPr>
        <w:tabs>
          <w:tab w:val="left" w:pos="567"/>
        </w:tabs>
        <w:spacing w:line="240" w:lineRule="auto"/>
        <w:textAlignment w:val="baseline"/>
        <w:rPr>
          <w:lang w:val="es-ES"/>
        </w:rPr>
      </w:pPr>
    </w:p>
    <w:p w14:paraId="2CEFC337" w14:textId="28BA0302" w:rsidR="000D0B20" w:rsidRPr="004A30A8" w:rsidRDefault="00F46CB8">
      <w:pPr>
        <w:numPr>
          <w:ilvl w:val="0"/>
          <w:numId w:val="7"/>
        </w:numPr>
        <w:tabs>
          <w:tab w:val="left" w:pos="567"/>
          <w:tab w:val="num" w:pos="1569"/>
          <w:tab w:val="num" w:pos="12305"/>
        </w:tabs>
        <w:spacing w:line="240" w:lineRule="auto"/>
        <w:ind w:left="0" w:firstLine="0"/>
        <w:rPr>
          <w:lang w:val="es-ES"/>
        </w:rPr>
      </w:pPr>
      <w:r w:rsidRPr="004A30A8">
        <w:t xml:space="preserve">De igual manera, se incluyó como anexo probatorio un </w:t>
      </w:r>
      <w:r w:rsidR="00F81D24" w:rsidRPr="004A30A8">
        <w:t xml:space="preserve">informe pericial </w:t>
      </w:r>
      <w:r w:rsidR="00E32A2C" w:rsidRPr="004A30A8">
        <w:t xml:space="preserve">del psiquiatra </w:t>
      </w:r>
      <w:r w:rsidR="004605FE" w:rsidRPr="004A30A8">
        <w:t xml:space="preserve">R.F. </w:t>
      </w:r>
      <w:r w:rsidR="008E2C5D" w:rsidRPr="004A30A8">
        <w:t xml:space="preserve">titulado “Informe médico-psicológico que trata del significado de limitar la exhibición pública de manifestaciones eróticas entre parejas del mismo sexo y su efecto sobre la niñez al asistir circunstancialmente a dicha situación”. Dicho informe destacó lo “importante” que era para el </w:t>
      </w:r>
      <w:r w:rsidR="006C1CDB" w:rsidRPr="004A30A8">
        <w:t>“</w:t>
      </w:r>
      <w:r w:rsidR="008E2C5D" w:rsidRPr="004A30A8">
        <w:t>desarrollo psicosexual normal de los niños</w:t>
      </w:r>
      <w:r w:rsidR="006C1CDB" w:rsidRPr="004A30A8">
        <w:t>”</w:t>
      </w:r>
      <w:r w:rsidR="008E2C5D" w:rsidRPr="004A30A8">
        <w:t xml:space="preserve"> la presencia de un ambiente familiar compuesto por “un padre y una madre como referencia para su identificación sexual y el entendimiento de las relaciones de pareja complementarias entre el hombre y la mujer”</w:t>
      </w:r>
      <w:r w:rsidR="008E2C5D" w:rsidRPr="004A30A8">
        <w:rPr>
          <w:rStyle w:val="Refdenotaalpie"/>
        </w:rPr>
        <w:footnoteReference w:id="58"/>
      </w:r>
      <w:r w:rsidR="008E2C5D" w:rsidRPr="004A30A8">
        <w:t xml:space="preserve">. Según dicho informe, el efecto de </w:t>
      </w:r>
      <w:r w:rsidR="00EF31FF" w:rsidRPr="004A30A8">
        <w:t>“</w:t>
      </w:r>
      <w:r w:rsidR="008E2C5D" w:rsidRPr="004A30A8">
        <w:t>asistir a escenas eróticas</w:t>
      </w:r>
      <w:r w:rsidR="00EF31FF" w:rsidRPr="004A30A8">
        <w:t>”, consistentes en “</w:t>
      </w:r>
      <w:r w:rsidR="008E2C5D" w:rsidRPr="004A30A8">
        <w:t>besos, abrazos, caricias</w:t>
      </w:r>
      <w:r w:rsidR="00EF31FF" w:rsidRPr="004A30A8">
        <w:t>”</w:t>
      </w:r>
      <w:r w:rsidR="008E2C5D" w:rsidRPr="004A30A8">
        <w:t xml:space="preserve"> </w:t>
      </w:r>
      <w:r w:rsidR="008E2C5D" w:rsidRPr="004A30A8">
        <w:rPr>
          <w:lang w:val="es-ES"/>
        </w:rPr>
        <w:t>protagonizadas</w:t>
      </w:r>
      <w:r w:rsidR="008E2C5D" w:rsidRPr="004A30A8">
        <w:t xml:space="preserve"> por una pareja homosexual para un niño </w:t>
      </w:r>
      <w:r w:rsidR="00EF31FF" w:rsidRPr="004A30A8">
        <w:t>“</w:t>
      </w:r>
      <w:r w:rsidR="008E2C5D" w:rsidRPr="004A30A8">
        <w:t>varía según la edad y el grado de comprensión que el menor pueda tener ante la situación dada, pero nunca será neutro”</w:t>
      </w:r>
      <w:r w:rsidR="001C5225" w:rsidRPr="004A30A8">
        <w:t>.</w:t>
      </w:r>
      <w:r w:rsidR="00EF31FF" w:rsidRPr="004A30A8">
        <w:t xml:space="preserve"> </w:t>
      </w:r>
      <w:r w:rsidR="001C5225" w:rsidRPr="004A30A8">
        <w:t>S</w:t>
      </w:r>
      <w:r w:rsidR="00EF31FF" w:rsidRPr="004A30A8">
        <w:t>eñal</w:t>
      </w:r>
      <w:r w:rsidR="001C5225" w:rsidRPr="004A30A8">
        <w:t>ó</w:t>
      </w:r>
      <w:r w:rsidR="00EF31FF" w:rsidRPr="004A30A8">
        <w:t xml:space="preserve">, además, que </w:t>
      </w:r>
      <w:r w:rsidR="001C5225" w:rsidRPr="004A30A8">
        <w:t>“</w:t>
      </w:r>
      <w:r w:rsidR="00EF31FF" w:rsidRPr="004A30A8">
        <w:t>las relaciones eróticas homosexuales” podían quebrar la comprensión de “las relaciones afectivas entre un hombre y una mujer, a partir de lo que ve en su propia familia”, provocándole “inseguridad y angustia”</w:t>
      </w:r>
      <w:r w:rsidR="00EF31FF" w:rsidRPr="004A30A8">
        <w:rPr>
          <w:rStyle w:val="Refdenotaalpie"/>
        </w:rPr>
        <w:footnoteReference w:id="59"/>
      </w:r>
      <w:r w:rsidR="00EF31FF" w:rsidRPr="004A30A8">
        <w:t>.</w:t>
      </w:r>
      <w:r w:rsidR="008E2C5D" w:rsidRPr="004A30A8">
        <w:t xml:space="preserve"> El informe </w:t>
      </w:r>
      <w:r w:rsidR="00127A6B" w:rsidRPr="004A30A8">
        <w:t>recomendó</w:t>
      </w:r>
      <w:r w:rsidR="004605FE" w:rsidRPr="004A30A8">
        <w:t xml:space="preserve"> a la CPC</w:t>
      </w:r>
      <w:r w:rsidR="008E2C5D" w:rsidRPr="004A30A8">
        <w:t xml:space="preserve">, </w:t>
      </w:r>
      <w:r w:rsidR="008E2C5D" w:rsidRPr="004A30A8">
        <w:rPr>
          <w:i/>
          <w:iCs/>
        </w:rPr>
        <w:t>i</w:t>
      </w:r>
      <w:r w:rsidR="00774B5A" w:rsidRPr="004A30A8">
        <w:rPr>
          <w:i/>
          <w:iCs/>
        </w:rPr>
        <w:t>nter alia</w:t>
      </w:r>
      <w:r w:rsidR="008E2C5D" w:rsidRPr="004A30A8">
        <w:t>,</w:t>
      </w:r>
      <w:r w:rsidR="00C24A4D" w:rsidRPr="004A30A8">
        <w:t xml:space="preserve"> </w:t>
      </w:r>
      <w:r w:rsidR="008E2C5D" w:rsidRPr="004A30A8">
        <w:t>“</w:t>
      </w:r>
      <w:r w:rsidR="00C24A4D" w:rsidRPr="004A30A8">
        <w:t>tener presente los efectos negativos que sobre la infancia</w:t>
      </w:r>
      <w:r w:rsidR="00ED645A" w:rsidRPr="004A30A8">
        <w:t xml:space="preserve"> tendría </w:t>
      </w:r>
      <w:r w:rsidR="00C37ACE" w:rsidRPr="004A30A8">
        <w:t>la exposición de los menores a los estilos de vida gay</w:t>
      </w:r>
      <w:r w:rsidR="00C24A4D" w:rsidRPr="004A30A8">
        <w:t>”</w:t>
      </w:r>
      <w:r w:rsidR="00C37ACE" w:rsidRPr="004A30A8">
        <w:rPr>
          <w:rStyle w:val="Refdenotaalpie"/>
        </w:rPr>
        <w:footnoteReference w:id="60"/>
      </w:r>
      <w:r w:rsidR="00DF61A9" w:rsidRPr="004A30A8">
        <w:t>.</w:t>
      </w:r>
      <w:r w:rsidR="00F20348" w:rsidRPr="004A30A8">
        <w:t xml:space="preserve"> </w:t>
      </w:r>
    </w:p>
    <w:p w14:paraId="57FBA80D" w14:textId="77777777" w:rsidR="000D0B20" w:rsidRPr="004A30A8" w:rsidRDefault="000D0B20" w:rsidP="000D0B20">
      <w:pPr>
        <w:tabs>
          <w:tab w:val="left" w:pos="567"/>
        </w:tabs>
        <w:spacing w:line="240" w:lineRule="auto"/>
        <w:rPr>
          <w:lang w:val="es-ES"/>
        </w:rPr>
      </w:pPr>
    </w:p>
    <w:p w14:paraId="77C688C9" w14:textId="5921293F" w:rsidR="00324E8B" w:rsidRPr="004A30A8" w:rsidRDefault="00F20348">
      <w:pPr>
        <w:numPr>
          <w:ilvl w:val="0"/>
          <w:numId w:val="7"/>
        </w:numPr>
        <w:tabs>
          <w:tab w:val="left" w:pos="567"/>
          <w:tab w:val="num" w:pos="1569"/>
          <w:tab w:val="num" w:pos="12305"/>
        </w:tabs>
        <w:spacing w:line="240" w:lineRule="auto"/>
        <w:ind w:left="0" w:firstLine="0"/>
        <w:rPr>
          <w:lang w:val="es-ES"/>
        </w:rPr>
      </w:pPr>
      <w:r w:rsidRPr="004A30A8">
        <w:t>El 3 de enero de 2005 Supermercados Peruanos S</w:t>
      </w:r>
      <w:r w:rsidR="008821E6" w:rsidRPr="004A30A8">
        <w:t>.</w:t>
      </w:r>
      <w:r w:rsidRPr="004A30A8">
        <w:t>A</w:t>
      </w:r>
      <w:r w:rsidR="008821E6" w:rsidRPr="004A30A8">
        <w:t>.</w:t>
      </w:r>
      <w:r w:rsidRPr="004A30A8">
        <w:t xml:space="preserve"> presentó un escrito reiterando el contenido de su escrito de contestación de 20 de octubre de 2004, </w:t>
      </w:r>
      <w:r w:rsidR="004513CC" w:rsidRPr="004A30A8">
        <w:t xml:space="preserve">en el cual </w:t>
      </w:r>
      <w:r w:rsidRPr="004A30A8">
        <w:t>enfatiz</w:t>
      </w:r>
      <w:r w:rsidR="004513CC" w:rsidRPr="004A30A8">
        <w:t>ó</w:t>
      </w:r>
      <w:r w:rsidRPr="004A30A8">
        <w:t xml:space="preserve"> que el denunciante no logró acreditar los hechos denunciados</w:t>
      </w:r>
      <w:r w:rsidRPr="004A30A8">
        <w:rPr>
          <w:rStyle w:val="Refdenotaalpie"/>
        </w:rPr>
        <w:footnoteReference w:id="61"/>
      </w:r>
      <w:r w:rsidRPr="004A30A8">
        <w:t>. Asimismo, el 1 de junio de 2005, la empresa presentó un nuevo escrito de ampliación de su escrito de descargo y present</w:t>
      </w:r>
      <w:r w:rsidR="001F432F" w:rsidRPr="004A30A8">
        <w:t>ó</w:t>
      </w:r>
      <w:r w:rsidRPr="004A30A8">
        <w:t xml:space="preserve"> nuevas pruebas y argumentos</w:t>
      </w:r>
      <w:r w:rsidR="006B02B7" w:rsidRPr="004A30A8">
        <w:t>.</w:t>
      </w:r>
      <w:r w:rsidR="00ED6699" w:rsidRPr="004A30A8">
        <w:t xml:space="preserve"> </w:t>
      </w:r>
      <w:r w:rsidR="006B02B7" w:rsidRPr="004A30A8">
        <w:t>A</w:t>
      </w:r>
      <w:r w:rsidR="00ED6699" w:rsidRPr="004A30A8">
        <w:t>legó que el señor Olivera no había podido probar la veracidad de los hechos materia de su denuncia y que, por el contrario, la intervención de su personal había sido requerida por un padre de familia en compañía de sus hijos, por lo que, el interés superior del niño obligaba a las autoridades a tomar acción para asegurar su adecuado bienestar y desarrollo</w:t>
      </w:r>
      <w:r w:rsidRPr="004A30A8">
        <w:rPr>
          <w:rStyle w:val="Refdenotaalpie"/>
        </w:rPr>
        <w:footnoteReference w:id="62"/>
      </w:r>
      <w:r w:rsidRPr="004A30A8">
        <w:t xml:space="preserve">. </w:t>
      </w:r>
      <w:r w:rsidR="00ED6699" w:rsidRPr="004A30A8">
        <w:t xml:space="preserve">A la hora de destacar </w:t>
      </w:r>
      <w:r w:rsidRPr="004A30A8">
        <w:t xml:space="preserve">la necesidad de la protección del interés superior del niño, el informe pericial elaborado, según la empresa, por el “prestigioso </w:t>
      </w:r>
      <w:r w:rsidR="00ED6699" w:rsidRPr="004A30A8">
        <w:t>psiquiatra</w:t>
      </w:r>
      <w:r w:rsidRPr="004A30A8">
        <w:t xml:space="preserve">” R.F.A., </w:t>
      </w:r>
      <w:r w:rsidR="00CA3743" w:rsidRPr="004A30A8">
        <w:t xml:space="preserve">resaltó </w:t>
      </w:r>
      <w:r w:rsidRPr="004A30A8">
        <w:t xml:space="preserve">las “repercusiones negativas que puede generar en el niño manifestaciones como las que son materia de </w:t>
      </w:r>
      <w:r w:rsidRPr="004A30A8">
        <w:lastRenderedPageBreak/>
        <w:t>discusión a través del presente procedimiento”</w:t>
      </w:r>
      <w:r w:rsidRPr="004A30A8">
        <w:rPr>
          <w:rStyle w:val="Refdenotaalpie"/>
        </w:rPr>
        <w:footnoteReference w:id="63"/>
      </w:r>
      <w:r w:rsidRPr="004A30A8">
        <w:t>.</w:t>
      </w:r>
    </w:p>
    <w:p w14:paraId="644976CB" w14:textId="77777777" w:rsidR="00B92A57" w:rsidRPr="004A30A8" w:rsidRDefault="00B92A57" w:rsidP="00B92A57">
      <w:pPr>
        <w:tabs>
          <w:tab w:val="left" w:pos="567"/>
          <w:tab w:val="num" w:pos="12305"/>
        </w:tabs>
        <w:spacing w:line="240" w:lineRule="auto"/>
        <w:textAlignment w:val="baseline"/>
        <w:rPr>
          <w:lang w:val="es-ES"/>
        </w:rPr>
      </w:pPr>
    </w:p>
    <w:p w14:paraId="74C61080" w14:textId="3154D50B" w:rsidR="00D72063" w:rsidRPr="004A30A8" w:rsidRDefault="000B3BF5">
      <w:pPr>
        <w:numPr>
          <w:ilvl w:val="0"/>
          <w:numId w:val="7"/>
        </w:numPr>
        <w:tabs>
          <w:tab w:val="left" w:pos="567"/>
          <w:tab w:val="num" w:pos="1569"/>
          <w:tab w:val="num" w:pos="12305"/>
        </w:tabs>
        <w:spacing w:line="240" w:lineRule="auto"/>
        <w:ind w:left="0" w:firstLine="0"/>
        <w:rPr>
          <w:rFonts w:eastAsiaTheme="minorHAnsi" w:cs="Garamond"/>
          <w:sz w:val="22"/>
          <w:szCs w:val="22"/>
          <w:lang w:eastAsia="en-US"/>
        </w:rPr>
      </w:pPr>
      <w:r w:rsidRPr="004A30A8">
        <w:rPr>
          <w:lang w:val="es-ES"/>
        </w:rPr>
        <w:t xml:space="preserve">El </w:t>
      </w:r>
      <w:r w:rsidR="002F3AED" w:rsidRPr="004A30A8">
        <w:t xml:space="preserve">31 de agosto de 2005 la </w:t>
      </w:r>
      <w:r w:rsidR="004605FE" w:rsidRPr="004A30A8">
        <w:t>CPC</w:t>
      </w:r>
      <w:r w:rsidR="002F3AED" w:rsidRPr="004A30A8">
        <w:t xml:space="preserve"> declaró infundada la denuncia por considerar</w:t>
      </w:r>
      <w:r w:rsidR="00A1501D" w:rsidRPr="004A30A8">
        <w:t xml:space="preserve"> que</w:t>
      </w:r>
      <w:r w:rsidR="002F3AED" w:rsidRPr="004A30A8">
        <w:t xml:space="preserve"> </w:t>
      </w:r>
      <w:r w:rsidR="00F9157E" w:rsidRPr="004A30A8">
        <w:t>no se había acreditado el trato discriminatorio</w:t>
      </w:r>
      <w:r w:rsidR="00474F83" w:rsidRPr="004A30A8">
        <w:t>,</w:t>
      </w:r>
      <w:r w:rsidR="00F9157E" w:rsidRPr="004A30A8">
        <w:t xml:space="preserve"> </w:t>
      </w:r>
      <w:r w:rsidR="00D81190" w:rsidRPr="004A30A8">
        <w:t>al</w:t>
      </w:r>
      <w:r w:rsidR="005509A5" w:rsidRPr="004A30A8">
        <w:t xml:space="preserve"> existir </w:t>
      </w:r>
      <w:r w:rsidR="008E2C5D" w:rsidRPr="004A30A8">
        <w:t xml:space="preserve">un problema probatorio ante las versiones de ambas partes, por lo que la Comisión </w:t>
      </w:r>
      <w:r w:rsidR="00D33777" w:rsidRPr="004A30A8">
        <w:t>consideró que debía</w:t>
      </w:r>
      <w:r w:rsidR="008E2C5D" w:rsidRPr="004A30A8">
        <w:t xml:space="preserve"> asumir una </w:t>
      </w:r>
      <w:r w:rsidR="00D33777" w:rsidRPr="004A30A8">
        <w:t>“</w:t>
      </w:r>
      <w:r w:rsidR="008E2C5D" w:rsidRPr="004A30A8">
        <w:t>actitud prudente ante hechos tan contradictorios</w:t>
      </w:r>
      <w:r w:rsidR="00E942F9" w:rsidRPr="004A30A8">
        <w:rPr>
          <w:lang w:val="es-ES"/>
        </w:rPr>
        <w:t>”</w:t>
      </w:r>
      <w:r w:rsidR="00026CF0" w:rsidRPr="004A30A8">
        <w:rPr>
          <w:rStyle w:val="Refdenotaalpie"/>
        </w:rPr>
        <w:footnoteReference w:id="64"/>
      </w:r>
      <w:r w:rsidR="00BA2D74" w:rsidRPr="004A30A8">
        <w:rPr>
          <w:lang w:val="es-ES"/>
        </w:rPr>
        <w:t>.</w:t>
      </w:r>
      <w:r w:rsidR="00382508" w:rsidRPr="004A30A8">
        <w:rPr>
          <w:lang w:val="es-ES"/>
        </w:rPr>
        <w:t xml:space="preserve"> </w:t>
      </w:r>
      <w:r w:rsidR="00D72063" w:rsidRPr="004A30A8">
        <w:rPr>
          <w:lang w:val="es-ES"/>
        </w:rPr>
        <w:t xml:space="preserve">Asimismo, </w:t>
      </w:r>
      <w:r w:rsidR="00D33777" w:rsidRPr="004A30A8">
        <w:rPr>
          <w:lang w:val="es-ES"/>
        </w:rPr>
        <w:t>la CPC consideró que no era posible valorar</w:t>
      </w:r>
      <w:r w:rsidR="00D72063" w:rsidRPr="004A30A8">
        <w:rPr>
          <w:lang w:val="es-ES"/>
        </w:rPr>
        <w:t xml:space="preserve"> como medio de prueba </w:t>
      </w:r>
      <w:r w:rsidR="00D33777" w:rsidRPr="004A30A8">
        <w:rPr>
          <w:lang w:val="es-ES"/>
        </w:rPr>
        <w:t>el vídeo</w:t>
      </w:r>
      <w:r w:rsidR="00D72063" w:rsidRPr="004A30A8">
        <w:rPr>
          <w:lang w:val="es-ES"/>
        </w:rPr>
        <w:t xml:space="preserve"> de 17 de agosto de 2004</w:t>
      </w:r>
      <w:r w:rsidR="00D33777" w:rsidRPr="004A30A8">
        <w:rPr>
          <w:lang w:val="es-ES"/>
        </w:rPr>
        <w:t xml:space="preserve"> relativo al reportaje de televisión del programa de televisión “Reporte Semanal” toda vez que </w:t>
      </w:r>
      <w:r w:rsidR="00774B5A" w:rsidRPr="004A30A8">
        <w:rPr>
          <w:lang w:val="es-ES"/>
        </w:rPr>
        <w:t>“provenía de una cámara oculta” y evidenciaba hechos que “habían sido provocados por el denunciante”</w:t>
      </w:r>
      <w:r w:rsidR="00D72063" w:rsidRPr="004A30A8">
        <w:rPr>
          <w:rStyle w:val="Refdenotaalpie"/>
          <w:rFonts w:eastAsiaTheme="minorHAnsi" w:cs="Garamond"/>
          <w:sz w:val="22"/>
          <w:szCs w:val="22"/>
          <w:lang w:eastAsia="en-US"/>
        </w:rPr>
        <w:footnoteReference w:id="65"/>
      </w:r>
      <w:r w:rsidR="00D72063" w:rsidRPr="004A30A8">
        <w:rPr>
          <w:rFonts w:eastAsiaTheme="minorHAnsi" w:cs="Garamond"/>
          <w:sz w:val="22"/>
          <w:szCs w:val="22"/>
          <w:lang w:eastAsia="en-US"/>
        </w:rPr>
        <w:t xml:space="preserve">. </w:t>
      </w:r>
    </w:p>
    <w:p w14:paraId="168BEABA" w14:textId="77777777" w:rsidR="00D72063" w:rsidRPr="004A30A8" w:rsidRDefault="00D72063" w:rsidP="00D72063">
      <w:pPr>
        <w:widowControl/>
        <w:autoSpaceDE w:val="0"/>
        <w:autoSpaceDN w:val="0"/>
        <w:spacing w:line="240" w:lineRule="auto"/>
        <w:jc w:val="left"/>
        <w:rPr>
          <w:rFonts w:eastAsiaTheme="minorHAnsi" w:cs="Garamond"/>
          <w:sz w:val="22"/>
          <w:szCs w:val="22"/>
          <w:lang w:eastAsia="en-US"/>
        </w:rPr>
      </w:pPr>
    </w:p>
    <w:p w14:paraId="6B040615" w14:textId="5D7055AB" w:rsidR="00400D97" w:rsidRPr="004A30A8" w:rsidRDefault="00D72063">
      <w:pPr>
        <w:numPr>
          <w:ilvl w:val="0"/>
          <w:numId w:val="7"/>
        </w:numPr>
        <w:tabs>
          <w:tab w:val="left" w:pos="567"/>
          <w:tab w:val="num" w:pos="1569"/>
          <w:tab w:val="num" w:pos="12305"/>
        </w:tabs>
        <w:spacing w:line="240" w:lineRule="auto"/>
        <w:ind w:left="0" w:firstLine="0"/>
        <w:rPr>
          <w:lang w:val="es-ES"/>
        </w:rPr>
      </w:pPr>
      <w:r w:rsidRPr="004A30A8">
        <w:rPr>
          <w:lang w:val="es-ES"/>
        </w:rPr>
        <w:t xml:space="preserve">En relación </w:t>
      </w:r>
      <w:r w:rsidR="00774B5A" w:rsidRPr="004A30A8">
        <w:rPr>
          <w:lang w:val="es-ES"/>
        </w:rPr>
        <w:t>con</w:t>
      </w:r>
      <w:r w:rsidRPr="004A30A8">
        <w:rPr>
          <w:lang w:val="es-ES"/>
        </w:rPr>
        <w:t xml:space="preserve"> </w:t>
      </w:r>
      <w:r w:rsidR="003B63C2" w:rsidRPr="004A30A8">
        <w:rPr>
          <w:lang w:val="es-ES"/>
        </w:rPr>
        <w:t>la alegada tutela del</w:t>
      </w:r>
      <w:r w:rsidR="000A1B98" w:rsidRPr="004A30A8">
        <w:rPr>
          <w:lang w:val="es-ES"/>
        </w:rPr>
        <w:t xml:space="preserve"> interés superior</w:t>
      </w:r>
      <w:r w:rsidR="00474F83" w:rsidRPr="004A30A8">
        <w:rPr>
          <w:lang w:val="es-ES"/>
        </w:rPr>
        <w:t>,</w:t>
      </w:r>
      <w:r w:rsidR="000A1B98" w:rsidRPr="004A30A8">
        <w:rPr>
          <w:lang w:val="es-ES"/>
        </w:rPr>
        <w:t xml:space="preserve"> </w:t>
      </w:r>
      <w:r w:rsidRPr="004A30A8">
        <w:rPr>
          <w:lang w:val="es-ES"/>
        </w:rPr>
        <w:t>la CPC</w:t>
      </w:r>
      <w:r w:rsidR="00D33777" w:rsidRPr="004A30A8">
        <w:rPr>
          <w:lang w:val="es-ES"/>
        </w:rPr>
        <w:t xml:space="preserve"> se planteó si existía un “consenso científico sobre las consecuencias de la exposición de los niños a conductas homosexuales”, considerando</w:t>
      </w:r>
      <w:r w:rsidRPr="004A30A8">
        <w:rPr>
          <w:lang w:val="es-ES"/>
        </w:rPr>
        <w:t xml:space="preserve"> que los niños y niñas podían verse afectados negativamente al presenciar conductas homosexuales. En este sentido</w:t>
      </w:r>
      <w:r w:rsidR="00F028CA" w:rsidRPr="004A30A8">
        <w:rPr>
          <w:lang w:val="es-ES"/>
        </w:rPr>
        <w:t>,</w:t>
      </w:r>
      <w:r w:rsidRPr="004A30A8">
        <w:rPr>
          <w:lang w:val="es-ES"/>
        </w:rPr>
        <w:t xml:space="preserve"> </w:t>
      </w:r>
      <w:r w:rsidR="003F671E" w:rsidRPr="004A30A8">
        <w:rPr>
          <w:lang w:val="es-ES"/>
        </w:rPr>
        <w:t>señaló que</w:t>
      </w:r>
      <w:r w:rsidR="006C7194" w:rsidRPr="004A30A8">
        <w:rPr>
          <w:lang w:val="es-ES"/>
        </w:rPr>
        <w:t>:</w:t>
      </w:r>
      <w:r w:rsidR="000A506C" w:rsidRPr="004A30A8">
        <w:rPr>
          <w:lang w:val="es-ES"/>
        </w:rPr>
        <w:t xml:space="preserve"> </w:t>
      </w:r>
    </w:p>
    <w:p w14:paraId="1B08B4AD" w14:textId="259AF51E" w:rsidR="008C502B" w:rsidRPr="004A30A8" w:rsidRDefault="00DC0677" w:rsidP="003153DF">
      <w:pPr>
        <w:pStyle w:val="Prrafodelista"/>
        <w:spacing w:before="240" w:after="240" w:line="240" w:lineRule="auto"/>
        <w:ind w:left="992" w:right="726"/>
        <w:contextualSpacing w:val="0"/>
        <w:rPr>
          <w:sz w:val="18"/>
          <w:szCs w:val="18"/>
          <w:lang w:val="es-ES"/>
        </w:rPr>
      </w:pPr>
      <w:bookmarkStart w:id="40" w:name="_Hlk115445271"/>
      <w:r w:rsidRPr="004A30A8">
        <w:rPr>
          <w:sz w:val="18"/>
          <w:szCs w:val="18"/>
          <w:lang w:val="es-ES"/>
        </w:rPr>
        <w:t>[</w:t>
      </w:r>
      <w:r w:rsidR="000A506C" w:rsidRPr="004A30A8">
        <w:rPr>
          <w:sz w:val="18"/>
          <w:szCs w:val="18"/>
          <w:lang w:val="es-ES"/>
        </w:rPr>
        <w:t>…</w:t>
      </w:r>
      <w:r w:rsidRPr="004A30A8">
        <w:rPr>
          <w:sz w:val="18"/>
          <w:szCs w:val="18"/>
          <w:lang w:val="es-ES"/>
        </w:rPr>
        <w:t>]</w:t>
      </w:r>
      <w:r w:rsidR="00455154" w:rsidRPr="004A30A8">
        <w:rPr>
          <w:sz w:val="18"/>
          <w:szCs w:val="18"/>
          <w:lang w:val="es-ES"/>
        </w:rPr>
        <w:t xml:space="preserve"> </w:t>
      </w:r>
      <w:r w:rsidR="00173D74" w:rsidRPr="004A30A8">
        <w:rPr>
          <w:sz w:val="18"/>
          <w:szCs w:val="18"/>
          <w:lang w:val="es-ES"/>
        </w:rPr>
        <w:t>las causas de</w:t>
      </w:r>
      <w:r w:rsidR="003858E9" w:rsidRPr="004A30A8">
        <w:rPr>
          <w:sz w:val="18"/>
          <w:szCs w:val="18"/>
          <w:lang w:val="es-ES"/>
        </w:rPr>
        <w:t xml:space="preserve"> </w:t>
      </w:r>
      <w:r w:rsidR="00173D74" w:rsidRPr="004A30A8">
        <w:rPr>
          <w:sz w:val="18"/>
          <w:szCs w:val="18"/>
          <w:lang w:val="es-ES"/>
        </w:rPr>
        <w:t xml:space="preserve">la homosexualidad (biológicas o sociales, o incluso </w:t>
      </w:r>
      <w:r w:rsidR="009D0994" w:rsidRPr="004A30A8">
        <w:rPr>
          <w:sz w:val="18"/>
          <w:szCs w:val="18"/>
          <w:lang w:val="es-ES"/>
        </w:rPr>
        <w:t>una conjunción de ambas</w:t>
      </w:r>
      <w:r w:rsidR="00173D74" w:rsidRPr="004A30A8">
        <w:rPr>
          <w:sz w:val="18"/>
          <w:szCs w:val="18"/>
          <w:lang w:val="es-ES"/>
        </w:rPr>
        <w:t>)</w:t>
      </w:r>
      <w:r w:rsidR="009D0994" w:rsidRPr="004A30A8">
        <w:rPr>
          <w:sz w:val="18"/>
          <w:szCs w:val="18"/>
          <w:lang w:val="es-ES"/>
        </w:rPr>
        <w:t xml:space="preserve"> no hallan una posición pacífica y uniforme en la comunidad </w:t>
      </w:r>
      <w:r w:rsidR="009D0994" w:rsidRPr="004A30A8">
        <w:rPr>
          <w:rFonts w:eastAsiaTheme="minorHAnsi"/>
          <w:color w:val="000000"/>
          <w:sz w:val="18"/>
          <w:szCs w:val="18"/>
          <w:lang w:eastAsia="en-US"/>
        </w:rPr>
        <w:t>científica</w:t>
      </w:r>
      <w:r w:rsidR="00CF4B1C" w:rsidRPr="004A30A8">
        <w:rPr>
          <w:sz w:val="18"/>
          <w:szCs w:val="18"/>
          <w:lang w:val="es-ES"/>
        </w:rPr>
        <w:t>, pero lo que sí puede presumirse es que el entorno no es neutro</w:t>
      </w:r>
      <w:r w:rsidR="003858E9" w:rsidRPr="004A30A8">
        <w:rPr>
          <w:sz w:val="18"/>
          <w:szCs w:val="18"/>
          <w:lang w:val="es-ES"/>
        </w:rPr>
        <w:t>,</w:t>
      </w:r>
      <w:r w:rsidR="003A0A20" w:rsidRPr="004A30A8">
        <w:rPr>
          <w:sz w:val="18"/>
          <w:szCs w:val="18"/>
          <w:lang w:val="es-ES"/>
        </w:rPr>
        <w:t xml:space="preserve"> </w:t>
      </w:r>
      <w:r w:rsidR="001651D3" w:rsidRPr="004A30A8">
        <w:rPr>
          <w:sz w:val="18"/>
          <w:szCs w:val="18"/>
          <w:lang w:val="es-ES"/>
        </w:rPr>
        <w:t>que,</w:t>
      </w:r>
      <w:r w:rsidR="003A0A20" w:rsidRPr="004A30A8">
        <w:rPr>
          <w:sz w:val="18"/>
          <w:szCs w:val="18"/>
          <w:lang w:val="es-ES"/>
        </w:rPr>
        <w:t xml:space="preserve"> s</w:t>
      </w:r>
      <w:r w:rsidR="003858E9" w:rsidRPr="004A30A8">
        <w:rPr>
          <w:sz w:val="18"/>
          <w:szCs w:val="18"/>
          <w:lang w:val="es-ES"/>
        </w:rPr>
        <w:t>i</w:t>
      </w:r>
      <w:r w:rsidR="003A0A20" w:rsidRPr="004A30A8">
        <w:rPr>
          <w:sz w:val="18"/>
          <w:szCs w:val="18"/>
          <w:lang w:val="es-ES"/>
        </w:rPr>
        <w:t xml:space="preserve"> no determina, al menos condiciona las conductas psicosexuales de las personas, pudiendo darse una mayor influencia en los niños expuestos a las conductas homosexuales</w:t>
      </w:r>
      <w:bookmarkEnd w:id="40"/>
      <w:r w:rsidR="003B63C2" w:rsidRPr="004A30A8">
        <w:rPr>
          <w:rStyle w:val="Refdenotaalpie"/>
          <w:sz w:val="18"/>
          <w:szCs w:val="18"/>
        </w:rPr>
        <w:footnoteReference w:id="66"/>
      </w:r>
      <w:r w:rsidR="00944120" w:rsidRPr="004A30A8">
        <w:rPr>
          <w:sz w:val="18"/>
          <w:szCs w:val="18"/>
          <w:lang w:val="es-ES"/>
        </w:rPr>
        <w:t>.</w:t>
      </w:r>
    </w:p>
    <w:p w14:paraId="1D6F0255" w14:textId="4EC62E92" w:rsidR="009A1B12" w:rsidRPr="004A30A8" w:rsidRDefault="00D33777">
      <w:pPr>
        <w:numPr>
          <w:ilvl w:val="0"/>
          <w:numId w:val="7"/>
        </w:numPr>
        <w:tabs>
          <w:tab w:val="left" w:pos="567"/>
          <w:tab w:val="num" w:pos="1569"/>
          <w:tab w:val="num" w:pos="12305"/>
        </w:tabs>
        <w:spacing w:line="240" w:lineRule="auto"/>
        <w:ind w:left="0" w:firstLine="0"/>
        <w:rPr>
          <w:lang w:val="es-ES"/>
        </w:rPr>
      </w:pPr>
      <w:r w:rsidRPr="004A30A8">
        <w:rPr>
          <w:lang w:val="es-ES"/>
        </w:rPr>
        <w:t>Lo anterior fue respaldado</w:t>
      </w:r>
      <w:r w:rsidR="00531B51" w:rsidRPr="004A30A8">
        <w:rPr>
          <w:lang w:val="es-ES"/>
        </w:rPr>
        <w:t xml:space="preserve">, </w:t>
      </w:r>
      <w:r w:rsidR="00EC75FC" w:rsidRPr="004A30A8">
        <w:rPr>
          <w:lang w:val="es-ES"/>
        </w:rPr>
        <w:t xml:space="preserve">entre </w:t>
      </w:r>
      <w:r w:rsidR="00531B51" w:rsidRPr="004A30A8">
        <w:rPr>
          <w:lang w:val="es-ES"/>
        </w:rPr>
        <w:t xml:space="preserve">otros informes, por el </w:t>
      </w:r>
      <w:r w:rsidR="00774B5A" w:rsidRPr="004A30A8">
        <w:rPr>
          <w:lang w:val="es-ES"/>
        </w:rPr>
        <w:t>documento</w:t>
      </w:r>
      <w:r w:rsidR="00531B51" w:rsidRPr="004A30A8">
        <w:rPr>
          <w:lang w:val="es-ES"/>
        </w:rPr>
        <w:t xml:space="preserve"> aportado </w:t>
      </w:r>
      <w:r w:rsidRPr="004A30A8">
        <w:rPr>
          <w:lang w:val="es-ES"/>
        </w:rPr>
        <w:t xml:space="preserve">por </w:t>
      </w:r>
      <w:r w:rsidR="00531B51" w:rsidRPr="004A30A8">
        <w:rPr>
          <w:lang w:val="es-ES"/>
        </w:rPr>
        <w:t>la empresa denunciada</w:t>
      </w:r>
      <w:r w:rsidRPr="004A30A8">
        <w:rPr>
          <w:lang w:val="es-ES"/>
        </w:rPr>
        <w:t xml:space="preserve"> y elaborado </w:t>
      </w:r>
      <w:r w:rsidRPr="004A30A8">
        <w:t>por el psiquiatra R.F.</w:t>
      </w:r>
      <w:r w:rsidR="00ED6699" w:rsidRPr="004A30A8">
        <w:t>A.</w:t>
      </w:r>
      <w:r w:rsidRPr="004A30A8">
        <w:t xml:space="preserve"> (</w:t>
      </w:r>
      <w:r w:rsidRPr="004A30A8">
        <w:rPr>
          <w:i/>
          <w:iCs/>
        </w:rPr>
        <w:t>supra</w:t>
      </w:r>
      <w:r w:rsidRPr="004A30A8">
        <w:t xml:space="preserve"> párr.</w:t>
      </w:r>
      <w:r w:rsidR="00F9191A" w:rsidRPr="004A30A8">
        <w:t xml:space="preserve"> 55</w:t>
      </w:r>
      <w:r w:rsidRPr="004A30A8">
        <w:t>)</w:t>
      </w:r>
      <w:r w:rsidR="00531B51" w:rsidRPr="004A30A8">
        <w:t xml:space="preserve">, destacando </w:t>
      </w:r>
      <w:r w:rsidRPr="004A30A8">
        <w:t>que era necesario “tener presente los efectos negativos que sobre la infancia tendría la exposición de los menores de edad a los estilos de vida gay o a la visión inopinada de intercambios eróticos entre personas del mismo</w:t>
      </w:r>
      <w:r w:rsidR="00EC75FC" w:rsidRPr="004A30A8">
        <w:t xml:space="preserve"> sexo</w:t>
      </w:r>
      <w:r w:rsidRPr="004A30A8">
        <w:t>”</w:t>
      </w:r>
      <w:r w:rsidRPr="004A30A8">
        <w:rPr>
          <w:rStyle w:val="Refdenotaalpie"/>
        </w:rPr>
        <w:footnoteReference w:id="67"/>
      </w:r>
      <w:r w:rsidRPr="004A30A8">
        <w:t>.</w:t>
      </w:r>
      <w:r w:rsidR="00172C60" w:rsidRPr="004A30A8">
        <w:t xml:space="preserve"> </w:t>
      </w:r>
      <w:r w:rsidR="00C735CD" w:rsidRPr="004A30A8">
        <w:rPr>
          <w:lang w:val="es-ES"/>
        </w:rPr>
        <w:t>La CPC consideró que, ante el hecho de que “la ciencia no tiene una posición definida o uniforme y pacífica sobre lo que esto puede significar en la salud de los niños, una actitud correcta y prudente de quien debe juzgar cualquier caso que pueda significar un posible daño a terceros, exigiría la abstención de la conducta que genera la probabilidad o riesgo de dicho daño, más aún cuando se trata de un grupo sensible que reclama una especial tutela del Estado”</w:t>
      </w:r>
      <w:r w:rsidR="00C735CD" w:rsidRPr="004A30A8">
        <w:rPr>
          <w:rStyle w:val="Refdenotaalpie"/>
        </w:rPr>
        <w:footnoteReference w:id="68"/>
      </w:r>
      <w:r w:rsidR="00C735CD" w:rsidRPr="004A30A8">
        <w:rPr>
          <w:lang w:val="es-ES"/>
        </w:rPr>
        <w:t xml:space="preserve">.En vista de lo anterior, la CPC concluyó que, “en aras de la protección del menor, resulta </w:t>
      </w:r>
      <w:r w:rsidR="00C735CD" w:rsidRPr="004A30A8">
        <w:rPr>
          <w:lang w:val="es-ES"/>
        </w:rPr>
        <w:lastRenderedPageBreak/>
        <w:t>comprensible la actitud de un padre de familia al reclamar al proveedor que exija a una pareja de homosexuales prudencia en las manifestaciones de afecto que se profesan en lugares donde concurran sus menores hijos</w:t>
      </w:r>
      <w:r w:rsidR="00EC75FC" w:rsidRPr="004A30A8">
        <w:rPr>
          <w:lang w:val="es-ES"/>
        </w:rPr>
        <w:t>, toda vez que lo que se invoca legítimamente es la tutela superior que merece todo menor</w:t>
      </w:r>
      <w:r w:rsidR="00C735CD" w:rsidRPr="004A30A8">
        <w:rPr>
          <w:lang w:val="es-ES"/>
        </w:rPr>
        <w:t>”</w:t>
      </w:r>
      <w:r w:rsidR="00C735CD" w:rsidRPr="004A30A8">
        <w:rPr>
          <w:rStyle w:val="Refdenotaalpie"/>
        </w:rPr>
        <w:footnoteReference w:id="69"/>
      </w:r>
      <w:r w:rsidR="00C735CD" w:rsidRPr="004A30A8">
        <w:rPr>
          <w:lang w:val="es-ES"/>
        </w:rPr>
        <w:t xml:space="preserve">. </w:t>
      </w:r>
    </w:p>
    <w:p w14:paraId="6BF04F2C" w14:textId="77777777" w:rsidR="00C735CD" w:rsidRPr="004A30A8" w:rsidRDefault="00C735CD" w:rsidP="00C735CD">
      <w:pPr>
        <w:tabs>
          <w:tab w:val="left" w:pos="567"/>
          <w:tab w:val="num" w:pos="12305"/>
        </w:tabs>
        <w:spacing w:line="240" w:lineRule="auto"/>
        <w:rPr>
          <w:lang w:val="es-ES"/>
        </w:rPr>
      </w:pPr>
    </w:p>
    <w:p w14:paraId="5DBE1DE3" w14:textId="183AD67E" w:rsidR="00426A68" w:rsidRPr="004A30A8" w:rsidRDefault="009A1B12">
      <w:pPr>
        <w:numPr>
          <w:ilvl w:val="0"/>
          <w:numId w:val="7"/>
        </w:numPr>
        <w:tabs>
          <w:tab w:val="left" w:pos="567"/>
          <w:tab w:val="num" w:pos="1569"/>
          <w:tab w:val="num" w:pos="12305"/>
        </w:tabs>
        <w:spacing w:line="240" w:lineRule="auto"/>
        <w:ind w:left="0" w:firstLine="0"/>
        <w:rPr>
          <w:lang w:val="es-ES"/>
        </w:rPr>
      </w:pPr>
      <w:r w:rsidRPr="004A30A8">
        <w:rPr>
          <w:lang w:val="es-ES"/>
        </w:rPr>
        <w:t xml:space="preserve">Dos </w:t>
      </w:r>
      <w:r w:rsidR="005D1D64" w:rsidRPr="004A30A8">
        <w:rPr>
          <w:lang w:val="es-ES"/>
        </w:rPr>
        <w:t xml:space="preserve">miembros de la CPC </w:t>
      </w:r>
      <w:r w:rsidR="00A476E9" w:rsidRPr="004A30A8">
        <w:rPr>
          <w:lang w:val="es-ES"/>
        </w:rPr>
        <w:t xml:space="preserve">presentaron votos </w:t>
      </w:r>
      <w:r w:rsidR="009A5DBC" w:rsidRPr="004A30A8">
        <w:rPr>
          <w:lang w:val="es-ES"/>
        </w:rPr>
        <w:t>“</w:t>
      </w:r>
      <w:r w:rsidR="00A476E9" w:rsidRPr="004A30A8">
        <w:rPr>
          <w:lang w:val="es-ES"/>
        </w:rPr>
        <w:t>en discordia</w:t>
      </w:r>
      <w:r w:rsidR="009A5DBC" w:rsidRPr="004A30A8">
        <w:rPr>
          <w:lang w:val="es-ES"/>
        </w:rPr>
        <w:t>”</w:t>
      </w:r>
      <w:r w:rsidR="00A476E9" w:rsidRPr="004A30A8">
        <w:rPr>
          <w:lang w:val="es-ES"/>
        </w:rPr>
        <w:t xml:space="preserve"> donde sostuvieron </w:t>
      </w:r>
      <w:r w:rsidR="00A21AEA" w:rsidRPr="004A30A8">
        <w:rPr>
          <w:lang w:val="es-ES"/>
        </w:rPr>
        <w:t>que</w:t>
      </w:r>
      <w:r w:rsidR="000B7590" w:rsidRPr="004A30A8">
        <w:rPr>
          <w:lang w:val="es-ES"/>
        </w:rPr>
        <w:t>,</w:t>
      </w:r>
      <w:r w:rsidR="00A21AEA" w:rsidRPr="004A30A8">
        <w:rPr>
          <w:lang w:val="es-ES"/>
        </w:rPr>
        <w:t xml:space="preserve"> </w:t>
      </w:r>
      <w:r w:rsidR="00531B51" w:rsidRPr="004A30A8">
        <w:rPr>
          <w:lang w:val="es-ES"/>
        </w:rPr>
        <w:t>de la prueba presentada por la empresa</w:t>
      </w:r>
      <w:r w:rsidR="000B7590" w:rsidRPr="004A30A8">
        <w:rPr>
          <w:lang w:val="es-ES"/>
        </w:rPr>
        <w:t>,</w:t>
      </w:r>
      <w:r w:rsidR="00531B51" w:rsidRPr="004A30A8">
        <w:rPr>
          <w:lang w:val="es-ES"/>
        </w:rPr>
        <w:t xml:space="preserve"> se desprendía que la intervención realizada por el personal tuvo como objetivo “evitar manifestaciones de afecto por tratarse de una pareja homosexual” y que de dichas pruebas no se podía desprender que “las expresiones de cariño que motivaron la solicitud hayan sido exageradas o inadecuadas”</w:t>
      </w:r>
      <w:r w:rsidR="00531B51" w:rsidRPr="004A30A8">
        <w:rPr>
          <w:rStyle w:val="Refdenotaalpie"/>
        </w:rPr>
        <w:footnoteReference w:id="70"/>
      </w:r>
      <w:r w:rsidR="00531B51" w:rsidRPr="004A30A8">
        <w:rPr>
          <w:lang w:val="es-ES"/>
        </w:rPr>
        <w:t xml:space="preserve">. Además, señalaron que </w:t>
      </w:r>
      <w:r w:rsidR="00A21AEA" w:rsidRPr="004A30A8">
        <w:rPr>
          <w:lang w:val="es-ES"/>
        </w:rPr>
        <w:t>“no e</w:t>
      </w:r>
      <w:r w:rsidR="00531B51" w:rsidRPr="004A30A8">
        <w:rPr>
          <w:lang w:val="es-ES"/>
        </w:rPr>
        <w:t>[ra]</w:t>
      </w:r>
      <w:r w:rsidR="00A21AEA" w:rsidRPr="004A30A8">
        <w:rPr>
          <w:lang w:val="es-ES"/>
        </w:rPr>
        <w:t xml:space="preserve"> consecuente con el reconocimiento del derecho a no ser discriminado por la </w:t>
      </w:r>
      <w:r w:rsidR="00A21AEA" w:rsidRPr="004A30A8">
        <w:t>orientación</w:t>
      </w:r>
      <w:r w:rsidR="00A21AEA" w:rsidRPr="004A30A8">
        <w:rPr>
          <w:lang w:val="es-ES"/>
        </w:rPr>
        <w:t xml:space="preserve"> sexual</w:t>
      </w:r>
      <w:r w:rsidR="002979AB" w:rsidRPr="004A30A8">
        <w:rPr>
          <w:lang w:val="es-ES"/>
        </w:rPr>
        <w:t xml:space="preserve">, exigir que las expresiones de cariño entre parejas </w:t>
      </w:r>
      <w:r w:rsidR="005E6705" w:rsidRPr="004A30A8">
        <w:rPr>
          <w:lang w:val="es-ES"/>
        </w:rPr>
        <w:t>homosexuales se realicen en estricto privado o fuera de la posibilidad de ser percibidas por niños</w:t>
      </w:r>
      <w:r w:rsidR="00A21AEA" w:rsidRPr="004A30A8">
        <w:rPr>
          <w:lang w:val="es-ES"/>
        </w:rPr>
        <w:t>”</w:t>
      </w:r>
      <w:r w:rsidR="005E6705" w:rsidRPr="004A30A8">
        <w:rPr>
          <w:lang w:val="es-ES"/>
        </w:rPr>
        <w:t xml:space="preserve"> por lo que consideraron que, en el contexto del caso, sí se produjo una discriminación al consumidor</w:t>
      </w:r>
      <w:r w:rsidR="00D72063" w:rsidRPr="004A30A8">
        <w:rPr>
          <w:rStyle w:val="Refdenotaalpie"/>
        </w:rPr>
        <w:footnoteReference w:id="71"/>
      </w:r>
      <w:r w:rsidR="005E6705" w:rsidRPr="004A30A8">
        <w:rPr>
          <w:lang w:val="es-ES"/>
        </w:rPr>
        <w:t>.</w:t>
      </w:r>
    </w:p>
    <w:p w14:paraId="5BAD6FAC" w14:textId="33AA7F67" w:rsidR="00180AB7" w:rsidRPr="004A30A8" w:rsidRDefault="00271AC8" w:rsidP="003153DF">
      <w:pPr>
        <w:pStyle w:val="Ttulo2"/>
        <w:tabs>
          <w:tab w:val="num" w:pos="12305"/>
        </w:tabs>
        <w:spacing w:before="360" w:after="360"/>
        <w:ind w:firstLine="709"/>
        <w:rPr>
          <w:lang w:val="es-ES"/>
        </w:rPr>
      </w:pPr>
      <w:bookmarkStart w:id="41" w:name="_Toc129887106"/>
      <w:r w:rsidRPr="004A30A8">
        <w:rPr>
          <w:lang w:val="es-ES"/>
        </w:rPr>
        <w:t xml:space="preserve">C. </w:t>
      </w:r>
      <w:r w:rsidR="00426A68" w:rsidRPr="004A30A8">
        <w:rPr>
          <w:lang w:val="es-ES"/>
        </w:rPr>
        <w:t>Recurso de apelación ante el Tribunal de Defensa de la Competencia y de la Propiedad Intelectual</w:t>
      </w:r>
      <w:bookmarkEnd w:id="41"/>
    </w:p>
    <w:p w14:paraId="791F3290" w14:textId="3EEAB5AD" w:rsidR="0000765E" w:rsidRPr="004A30A8" w:rsidRDefault="009A1B12">
      <w:pPr>
        <w:numPr>
          <w:ilvl w:val="0"/>
          <w:numId w:val="7"/>
        </w:numPr>
        <w:tabs>
          <w:tab w:val="left" w:pos="567"/>
          <w:tab w:val="num" w:pos="1569"/>
          <w:tab w:val="num" w:pos="12305"/>
        </w:tabs>
        <w:spacing w:line="240" w:lineRule="auto"/>
        <w:ind w:left="0" w:firstLine="0"/>
        <w:textAlignment w:val="baseline"/>
        <w:rPr>
          <w:lang w:val="es-ES"/>
        </w:rPr>
      </w:pPr>
      <w:r w:rsidRPr="004A30A8">
        <w:rPr>
          <w:lang w:val="es-ES"/>
        </w:rPr>
        <w:t xml:space="preserve">El </w:t>
      </w:r>
      <w:r w:rsidR="00426A68" w:rsidRPr="004A30A8">
        <w:rPr>
          <w:lang w:val="es-ES"/>
        </w:rPr>
        <w:t xml:space="preserve">22 de septiembre de 2005 </w:t>
      </w:r>
      <w:r w:rsidR="00464C8D" w:rsidRPr="004A30A8">
        <w:rPr>
          <w:lang w:val="es-ES"/>
        </w:rPr>
        <w:t xml:space="preserve">el señor Olivera </w:t>
      </w:r>
      <w:r w:rsidR="00426A68" w:rsidRPr="004A30A8">
        <w:rPr>
          <w:lang w:val="es-ES"/>
        </w:rPr>
        <w:t xml:space="preserve">apeló la decisión de la </w:t>
      </w:r>
      <w:r w:rsidR="0000765E" w:rsidRPr="004A30A8">
        <w:rPr>
          <w:lang w:val="es-ES"/>
        </w:rPr>
        <w:t xml:space="preserve">CPC </w:t>
      </w:r>
      <w:r w:rsidR="009848D7" w:rsidRPr="004A30A8">
        <w:rPr>
          <w:lang w:val="es-ES"/>
        </w:rPr>
        <w:t>ante la Sala de Defensa de la Competencia del Tribunal de Defensa de la Competencia y de la Propiedad Intelectual de Indecopi (en adelante el “Tribunal de Defensa de la Competencia”)</w:t>
      </w:r>
      <w:r w:rsidR="00ED6699" w:rsidRPr="004A30A8">
        <w:rPr>
          <w:rStyle w:val="Refdenotaalpie"/>
        </w:rPr>
        <w:footnoteReference w:id="72"/>
      </w:r>
      <w:r w:rsidR="0000765E" w:rsidRPr="004A30A8">
        <w:rPr>
          <w:lang w:val="es-ES"/>
        </w:rPr>
        <w:t>.</w:t>
      </w:r>
    </w:p>
    <w:p w14:paraId="3E76CDBA" w14:textId="77777777" w:rsidR="0000765E" w:rsidRPr="004A30A8" w:rsidRDefault="0000765E" w:rsidP="0000765E">
      <w:pPr>
        <w:tabs>
          <w:tab w:val="left" w:pos="567"/>
          <w:tab w:val="num" w:pos="12305"/>
        </w:tabs>
        <w:spacing w:line="240" w:lineRule="auto"/>
        <w:textAlignment w:val="baseline"/>
        <w:rPr>
          <w:lang w:val="es-ES"/>
        </w:rPr>
      </w:pPr>
    </w:p>
    <w:p w14:paraId="6CCC7AF1" w14:textId="1E434F2B" w:rsidR="009A1B12" w:rsidRPr="004A30A8" w:rsidRDefault="00A1382F">
      <w:pPr>
        <w:numPr>
          <w:ilvl w:val="0"/>
          <w:numId w:val="7"/>
        </w:numPr>
        <w:tabs>
          <w:tab w:val="left" w:pos="567"/>
          <w:tab w:val="num" w:pos="1569"/>
          <w:tab w:val="num" w:pos="12305"/>
        </w:tabs>
        <w:spacing w:line="240" w:lineRule="auto"/>
        <w:ind w:left="0" w:firstLine="0"/>
        <w:rPr>
          <w:lang w:val="es-ES"/>
        </w:rPr>
      </w:pPr>
      <w:r w:rsidRPr="004A30A8">
        <w:rPr>
          <w:lang w:val="es-ES"/>
        </w:rPr>
        <w:t xml:space="preserve">El 17 de mayo de 2006, el Tribunal de Defensa de la Competencia </w:t>
      </w:r>
      <w:r w:rsidR="00817F50" w:rsidRPr="004A30A8">
        <w:rPr>
          <w:lang w:val="es-ES"/>
        </w:rPr>
        <w:t xml:space="preserve">resolvió declarar sin lugar el recurso de apelación y </w:t>
      </w:r>
      <w:r w:rsidR="00ED6699" w:rsidRPr="004A30A8">
        <w:rPr>
          <w:lang w:val="es-ES"/>
        </w:rPr>
        <w:t>confirmó</w:t>
      </w:r>
      <w:r w:rsidR="00817F50" w:rsidRPr="004A30A8">
        <w:rPr>
          <w:lang w:val="es-ES"/>
        </w:rPr>
        <w:t xml:space="preserve"> la </w:t>
      </w:r>
      <w:r w:rsidR="00ED6699" w:rsidRPr="004A30A8">
        <w:rPr>
          <w:lang w:val="es-ES"/>
        </w:rPr>
        <w:t>resolución</w:t>
      </w:r>
      <w:r w:rsidR="00817F50" w:rsidRPr="004A30A8">
        <w:rPr>
          <w:lang w:val="es-ES"/>
        </w:rPr>
        <w:t xml:space="preserve"> impugnada</w:t>
      </w:r>
      <w:r w:rsidR="0000765E" w:rsidRPr="004A30A8">
        <w:rPr>
          <w:lang w:val="es-ES"/>
        </w:rPr>
        <w:t xml:space="preserve">. Dicho </w:t>
      </w:r>
      <w:r w:rsidR="00ED6699" w:rsidRPr="004A30A8">
        <w:rPr>
          <w:lang w:val="es-ES"/>
        </w:rPr>
        <w:t>t</w:t>
      </w:r>
      <w:r w:rsidR="0000765E" w:rsidRPr="004A30A8">
        <w:rPr>
          <w:lang w:val="es-ES"/>
        </w:rPr>
        <w:t xml:space="preserve">ribunal consideró </w:t>
      </w:r>
      <w:r w:rsidR="00C1753A" w:rsidRPr="004A30A8">
        <w:rPr>
          <w:lang w:val="es-ES"/>
        </w:rPr>
        <w:t xml:space="preserve">que </w:t>
      </w:r>
      <w:r w:rsidR="00ED6699" w:rsidRPr="004A30A8">
        <w:rPr>
          <w:lang w:val="es-ES"/>
        </w:rPr>
        <w:t>los hechos materia de controversia se sustentaban “únicamente en las alegaciones de ambas partes</w:t>
      </w:r>
      <w:r w:rsidR="0000765E" w:rsidRPr="004A30A8">
        <w:rPr>
          <w:lang w:val="es-ES"/>
        </w:rPr>
        <w:t>”</w:t>
      </w:r>
      <w:r w:rsidR="00ED6699" w:rsidRPr="004A30A8">
        <w:rPr>
          <w:lang w:val="es-ES"/>
        </w:rPr>
        <w:t>, y que Supermercados Peruanos</w:t>
      </w:r>
      <w:r w:rsidR="008821E6" w:rsidRPr="004A30A8">
        <w:rPr>
          <w:lang w:val="es-ES"/>
        </w:rPr>
        <w:t xml:space="preserve"> S.A.</w:t>
      </w:r>
      <w:r w:rsidR="00ED6699" w:rsidRPr="004A30A8">
        <w:rPr>
          <w:lang w:val="es-ES"/>
        </w:rPr>
        <w:t xml:space="preserve"> no podía ser sancionada solo con imputaciones de parte</w:t>
      </w:r>
      <w:r w:rsidR="00B1314B" w:rsidRPr="004A30A8">
        <w:rPr>
          <w:lang w:val="es-ES"/>
        </w:rPr>
        <w:t xml:space="preserve">, </w:t>
      </w:r>
      <w:r w:rsidR="0000765E" w:rsidRPr="004A30A8">
        <w:rPr>
          <w:lang w:val="es-ES"/>
        </w:rPr>
        <w:t xml:space="preserve">toda vez que </w:t>
      </w:r>
      <w:r w:rsidR="00605F8C" w:rsidRPr="004A30A8">
        <w:rPr>
          <w:lang w:val="es-ES"/>
        </w:rPr>
        <w:t xml:space="preserve">para ello </w:t>
      </w:r>
      <w:r w:rsidR="0000765E" w:rsidRPr="004A30A8">
        <w:rPr>
          <w:lang w:val="es-ES"/>
        </w:rPr>
        <w:t>era</w:t>
      </w:r>
      <w:r w:rsidR="00605F8C" w:rsidRPr="004A30A8">
        <w:rPr>
          <w:lang w:val="es-ES"/>
        </w:rPr>
        <w:t xml:space="preserve"> necesario que </w:t>
      </w:r>
      <w:r w:rsidR="0000765E" w:rsidRPr="004A30A8">
        <w:rPr>
          <w:lang w:val="es-ES"/>
        </w:rPr>
        <w:t>existiera</w:t>
      </w:r>
      <w:r w:rsidR="00605F8C" w:rsidRPr="004A30A8">
        <w:rPr>
          <w:lang w:val="es-ES"/>
        </w:rPr>
        <w:t xml:space="preserve"> </w:t>
      </w:r>
      <w:r w:rsidR="0000765E" w:rsidRPr="004A30A8">
        <w:rPr>
          <w:lang w:val="es-ES"/>
        </w:rPr>
        <w:t>“</w:t>
      </w:r>
      <w:r w:rsidR="00605F8C" w:rsidRPr="004A30A8">
        <w:rPr>
          <w:lang w:val="es-ES"/>
        </w:rPr>
        <w:t xml:space="preserve">certeza de la infracción cometida, ya sea </w:t>
      </w:r>
      <w:r w:rsidR="005A1039" w:rsidRPr="004A30A8">
        <w:rPr>
          <w:lang w:val="es-ES"/>
        </w:rPr>
        <w:t>a través de medios probatorios o de indicios</w:t>
      </w:r>
      <w:r w:rsidR="00EC75FC" w:rsidRPr="004A30A8">
        <w:rPr>
          <w:lang w:val="es-ES"/>
        </w:rPr>
        <w:t xml:space="preserve"> </w:t>
      </w:r>
      <w:r w:rsidR="00EC75FC" w:rsidRPr="004A30A8">
        <w:rPr>
          <w:rFonts w:cstheme="minorHAnsi"/>
          <w:lang w:val="es-EC"/>
        </w:rPr>
        <w:t>que generen un grado razonable de convicción respecto a la veracidad de los hechos denunciados</w:t>
      </w:r>
      <w:r w:rsidR="00D7176D" w:rsidRPr="004A30A8">
        <w:rPr>
          <w:lang w:val="es-ES"/>
        </w:rPr>
        <w:t>”</w:t>
      </w:r>
      <w:r w:rsidR="00B1314B" w:rsidRPr="004A30A8">
        <w:rPr>
          <w:rStyle w:val="Refdenotaalpie"/>
        </w:rPr>
        <w:footnoteReference w:id="73"/>
      </w:r>
      <w:r w:rsidR="00C22AE4" w:rsidRPr="004A30A8">
        <w:rPr>
          <w:lang w:val="es-ES"/>
        </w:rPr>
        <w:t>.</w:t>
      </w:r>
      <w:r w:rsidR="005A1039" w:rsidRPr="004A30A8">
        <w:rPr>
          <w:lang w:val="es-ES"/>
        </w:rPr>
        <w:t xml:space="preserve"> </w:t>
      </w:r>
      <w:r w:rsidR="0000765E" w:rsidRPr="004A30A8">
        <w:rPr>
          <w:lang w:val="es-ES"/>
        </w:rPr>
        <w:t xml:space="preserve">Además, el Tribunal de Defensa de la Competencia excluyó de su examen el video del programa </w:t>
      </w:r>
      <w:r w:rsidR="00205562" w:rsidRPr="004A30A8">
        <w:rPr>
          <w:lang w:val="es-ES"/>
        </w:rPr>
        <w:t>“</w:t>
      </w:r>
      <w:r w:rsidR="0000765E" w:rsidRPr="004A30A8">
        <w:rPr>
          <w:lang w:val="es-ES"/>
        </w:rPr>
        <w:t>Reporte Semanal</w:t>
      </w:r>
      <w:r w:rsidR="00205562" w:rsidRPr="004A30A8">
        <w:rPr>
          <w:i/>
          <w:iCs/>
          <w:lang w:val="es-ES"/>
        </w:rPr>
        <w:t>”</w:t>
      </w:r>
      <w:r w:rsidR="0000765E" w:rsidRPr="004A30A8">
        <w:rPr>
          <w:lang w:val="es-ES"/>
        </w:rPr>
        <w:t xml:space="preserve"> suministrado por la presunta víctima sobre los hechos del 17 de agosto de 2004</w:t>
      </w:r>
      <w:r w:rsidR="00B64588" w:rsidRPr="004A30A8">
        <w:rPr>
          <w:lang w:val="es-ES"/>
        </w:rPr>
        <w:t xml:space="preserve">, por </w:t>
      </w:r>
      <w:r w:rsidR="00B1314B" w:rsidRPr="004A30A8">
        <w:rPr>
          <w:lang w:val="es-ES"/>
        </w:rPr>
        <w:t>cuanto</w:t>
      </w:r>
      <w:r w:rsidR="00B64588" w:rsidRPr="004A30A8">
        <w:rPr>
          <w:lang w:val="es-ES"/>
        </w:rPr>
        <w:t xml:space="preserve"> </w:t>
      </w:r>
      <w:r w:rsidR="00B1314B" w:rsidRPr="004A30A8">
        <w:rPr>
          <w:lang w:val="es-ES"/>
        </w:rPr>
        <w:t xml:space="preserve">se encontraban “referidos </w:t>
      </w:r>
      <w:r w:rsidR="00B1314B" w:rsidRPr="004A30A8">
        <w:rPr>
          <w:lang w:val="es-ES"/>
        </w:rPr>
        <w:lastRenderedPageBreak/>
        <w:t>a conductas que se habrían</w:t>
      </w:r>
      <w:r w:rsidR="0096103E" w:rsidRPr="004A30A8">
        <w:rPr>
          <w:lang w:val="es-ES"/>
        </w:rPr>
        <w:t xml:space="preserve"> </w:t>
      </w:r>
      <w:r w:rsidR="00B1314B" w:rsidRPr="004A30A8">
        <w:rPr>
          <w:lang w:val="es-ES"/>
        </w:rPr>
        <w:t>desarrollado en fecha posterior” y no se referían “directamente a los hechos materia de[l] procedimiento”</w:t>
      </w:r>
      <w:r w:rsidR="00B1314B" w:rsidRPr="004A30A8">
        <w:rPr>
          <w:rStyle w:val="Refdenotaalpie"/>
        </w:rPr>
        <w:footnoteReference w:id="74"/>
      </w:r>
      <w:r w:rsidR="0000765E" w:rsidRPr="004A30A8">
        <w:rPr>
          <w:lang w:val="es-ES"/>
        </w:rPr>
        <w:t>.</w:t>
      </w:r>
      <w:r w:rsidR="00172C60" w:rsidRPr="004A30A8">
        <w:rPr>
          <w:lang w:val="es-ES"/>
        </w:rPr>
        <w:t xml:space="preserve"> </w:t>
      </w:r>
      <w:r w:rsidR="00AF5351" w:rsidRPr="004A30A8">
        <w:rPr>
          <w:lang w:val="es-ES"/>
        </w:rPr>
        <w:t>Por otro lado, el tribunal consideró que los argumentos de Supermercados Peruanos S</w:t>
      </w:r>
      <w:r w:rsidR="008821E6" w:rsidRPr="004A30A8">
        <w:rPr>
          <w:lang w:val="es-ES"/>
        </w:rPr>
        <w:t>.</w:t>
      </w:r>
      <w:r w:rsidR="00AF5351" w:rsidRPr="004A30A8">
        <w:rPr>
          <w:lang w:val="es-ES"/>
        </w:rPr>
        <w:t>A</w:t>
      </w:r>
      <w:r w:rsidR="008821E6" w:rsidRPr="004A30A8">
        <w:rPr>
          <w:lang w:val="es-ES"/>
        </w:rPr>
        <w:t>.</w:t>
      </w:r>
      <w:r w:rsidR="00AD2CB1" w:rsidRPr="004A30A8">
        <w:rPr>
          <w:lang w:val="es-ES"/>
        </w:rPr>
        <w:t>,</w:t>
      </w:r>
      <w:r w:rsidR="00AF5351" w:rsidRPr="004A30A8">
        <w:rPr>
          <w:lang w:val="es-ES"/>
        </w:rPr>
        <w:t xml:space="preserve"> en el sentido de que la conducta del denunciante y su pareja afectaban la presencia de niños en la cafetería</w:t>
      </w:r>
      <w:r w:rsidR="00AD2CB1" w:rsidRPr="004A30A8">
        <w:rPr>
          <w:lang w:val="es-ES"/>
        </w:rPr>
        <w:t>,</w:t>
      </w:r>
      <w:r w:rsidR="00AF5351" w:rsidRPr="004A30A8">
        <w:rPr>
          <w:lang w:val="es-ES"/>
        </w:rPr>
        <w:t xml:space="preserve"> “care[cía] de pertinencia”, toda vez que si la conducta hubiera sido excesiva “la afectación se habría producido para todos los demás clientes, sean adultos o niños”</w:t>
      </w:r>
      <w:r w:rsidR="00AF5351" w:rsidRPr="004A30A8">
        <w:rPr>
          <w:rStyle w:val="Refdenotaalpie"/>
        </w:rPr>
        <w:footnoteReference w:id="75"/>
      </w:r>
      <w:r w:rsidR="00AF5351" w:rsidRPr="004A30A8">
        <w:rPr>
          <w:lang w:val="es-ES"/>
        </w:rPr>
        <w:t xml:space="preserve">. </w:t>
      </w:r>
    </w:p>
    <w:p w14:paraId="1B49F1EB" w14:textId="77777777" w:rsidR="00E31D9C" w:rsidRPr="004A30A8" w:rsidRDefault="00E31D9C" w:rsidP="0000765E">
      <w:pPr>
        <w:tabs>
          <w:tab w:val="left" w:pos="567"/>
          <w:tab w:val="num" w:pos="12305"/>
        </w:tabs>
        <w:spacing w:line="240" w:lineRule="auto"/>
        <w:textAlignment w:val="baseline"/>
        <w:rPr>
          <w:lang w:val="es-ES"/>
        </w:rPr>
      </w:pPr>
    </w:p>
    <w:p w14:paraId="3D4100C1" w14:textId="5CF070FB" w:rsidR="00E0705E" w:rsidRPr="004A30A8" w:rsidRDefault="009C61E6" w:rsidP="00E0705E">
      <w:pPr>
        <w:numPr>
          <w:ilvl w:val="0"/>
          <w:numId w:val="7"/>
        </w:numPr>
        <w:tabs>
          <w:tab w:val="left" w:pos="567"/>
          <w:tab w:val="num" w:pos="1569"/>
          <w:tab w:val="num" w:pos="12305"/>
        </w:tabs>
        <w:spacing w:line="240" w:lineRule="auto"/>
        <w:ind w:left="0" w:firstLine="0"/>
        <w:rPr>
          <w:lang w:val="es-ES"/>
        </w:rPr>
      </w:pPr>
      <w:r w:rsidRPr="004A30A8">
        <w:rPr>
          <w:lang w:val="es-ES"/>
        </w:rPr>
        <w:t xml:space="preserve">Dos miembros del Tribunal presentaron un </w:t>
      </w:r>
      <w:r w:rsidR="009A5DBC" w:rsidRPr="004A30A8">
        <w:rPr>
          <w:lang w:val="es-ES"/>
        </w:rPr>
        <w:t>“</w:t>
      </w:r>
      <w:r w:rsidRPr="004A30A8">
        <w:rPr>
          <w:lang w:val="es-ES"/>
        </w:rPr>
        <w:t>voto en discordia</w:t>
      </w:r>
      <w:r w:rsidR="009A5DBC" w:rsidRPr="004A30A8">
        <w:rPr>
          <w:lang w:val="es-ES"/>
        </w:rPr>
        <w:t xml:space="preserve">”, en virtud del cual </w:t>
      </w:r>
      <w:r w:rsidRPr="004A30A8">
        <w:rPr>
          <w:lang w:val="es-ES"/>
        </w:rPr>
        <w:t xml:space="preserve">afirmaron que “en el </w:t>
      </w:r>
      <w:r w:rsidRPr="004A30A8">
        <w:t>expediente</w:t>
      </w:r>
      <w:r w:rsidRPr="004A30A8">
        <w:rPr>
          <w:lang w:val="es-ES"/>
        </w:rPr>
        <w:t xml:space="preserve"> est</w:t>
      </w:r>
      <w:r w:rsidR="00531B51" w:rsidRPr="004A30A8">
        <w:rPr>
          <w:lang w:val="es-ES"/>
        </w:rPr>
        <w:t>[aba]</w:t>
      </w:r>
      <w:r w:rsidRPr="004A30A8">
        <w:rPr>
          <w:lang w:val="es-ES"/>
        </w:rPr>
        <w:t xml:space="preserve"> probado que el señor Olivera se le recriminó el procurarse caricias </w:t>
      </w:r>
      <w:r w:rsidR="007751AB" w:rsidRPr="004A30A8">
        <w:rPr>
          <w:lang w:val="es-ES"/>
        </w:rPr>
        <w:t>con su pareja y que se le perturbó mientras permanecía en el restaurante</w:t>
      </w:r>
      <w:r w:rsidRPr="004A30A8">
        <w:rPr>
          <w:lang w:val="es-ES"/>
        </w:rPr>
        <w:t>”</w:t>
      </w:r>
      <w:r w:rsidR="007751AB" w:rsidRPr="004A30A8">
        <w:rPr>
          <w:rStyle w:val="Refdenotaalpie"/>
        </w:rPr>
        <w:footnoteReference w:id="76"/>
      </w:r>
      <w:r w:rsidR="00AF5351" w:rsidRPr="004A30A8">
        <w:rPr>
          <w:lang w:val="es-ES"/>
        </w:rPr>
        <w:t>.</w:t>
      </w:r>
      <w:r w:rsidR="007751AB" w:rsidRPr="004A30A8">
        <w:rPr>
          <w:lang w:val="es-ES"/>
        </w:rPr>
        <w:t xml:space="preserve"> Además, ambos miembros del </w:t>
      </w:r>
      <w:r w:rsidR="00C47E87" w:rsidRPr="004A30A8">
        <w:rPr>
          <w:lang w:val="es-ES"/>
        </w:rPr>
        <w:t>t</w:t>
      </w:r>
      <w:r w:rsidR="007751AB" w:rsidRPr="004A30A8">
        <w:rPr>
          <w:lang w:val="es-ES"/>
        </w:rPr>
        <w:t xml:space="preserve">ribunal estimaron que </w:t>
      </w:r>
      <w:r w:rsidR="008A4F46" w:rsidRPr="004A30A8">
        <w:rPr>
          <w:lang w:val="es-ES"/>
        </w:rPr>
        <w:t>la presencia</w:t>
      </w:r>
      <w:r w:rsidR="006D3407" w:rsidRPr="004A30A8">
        <w:rPr>
          <w:lang w:val="es-ES"/>
        </w:rPr>
        <w:t xml:space="preserve"> </w:t>
      </w:r>
      <w:r w:rsidR="008A4F46" w:rsidRPr="004A30A8">
        <w:rPr>
          <w:lang w:val="es-ES"/>
        </w:rPr>
        <w:t>de cuerpos de seguridad para pedir la salida de</w:t>
      </w:r>
      <w:r w:rsidR="00531B51" w:rsidRPr="004A30A8">
        <w:rPr>
          <w:lang w:val="es-ES"/>
        </w:rPr>
        <w:t>l señor</w:t>
      </w:r>
      <w:r w:rsidR="008A4F46" w:rsidRPr="004A30A8">
        <w:rPr>
          <w:lang w:val="es-ES"/>
        </w:rPr>
        <w:t xml:space="preserve"> Olivera y su pareja fue “un exceso, y en esencia denota </w:t>
      </w:r>
      <w:r w:rsidR="00FC19DE" w:rsidRPr="004A30A8">
        <w:rPr>
          <w:lang w:val="es-ES"/>
        </w:rPr>
        <w:t>ya un trato diferenciado, injusto, inequitativo y, sobre todo, discriminatorio, que incluso atenta contra el trato digno</w:t>
      </w:r>
      <w:r w:rsidR="00260F22" w:rsidRPr="004A30A8">
        <w:rPr>
          <w:lang w:val="es-ES"/>
        </w:rPr>
        <w:t xml:space="preserve"> que todo consumidor merece</w:t>
      </w:r>
      <w:r w:rsidR="008A4F46" w:rsidRPr="004A30A8">
        <w:rPr>
          <w:lang w:val="es-ES"/>
        </w:rPr>
        <w:t>”</w:t>
      </w:r>
      <w:r w:rsidR="00260F22" w:rsidRPr="004A30A8">
        <w:rPr>
          <w:rStyle w:val="Refdenotaalpie"/>
        </w:rPr>
        <w:footnoteReference w:id="77"/>
      </w:r>
      <w:r w:rsidR="00C22AE4" w:rsidRPr="004A30A8">
        <w:rPr>
          <w:lang w:val="es-ES"/>
        </w:rPr>
        <w:t>.</w:t>
      </w:r>
    </w:p>
    <w:p w14:paraId="6771174D" w14:textId="3743C97B" w:rsidR="005B222F" w:rsidRPr="004A30A8" w:rsidRDefault="00271AC8" w:rsidP="003153DF">
      <w:pPr>
        <w:pStyle w:val="Ttulo2"/>
        <w:tabs>
          <w:tab w:val="num" w:pos="12305"/>
        </w:tabs>
        <w:spacing w:before="360" w:after="360"/>
        <w:ind w:firstLine="709"/>
        <w:rPr>
          <w:lang w:val="es-ES"/>
        </w:rPr>
      </w:pPr>
      <w:bookmarkStart w:id="42" w:name="_Toc129887107"/>
      <w:r w:rsidRPr="004A30A8">
        <w:rPr>
          <w:lang w:val="es-ES"/>
        </w:rPr>
        <w:t xml:space="preserve">D. </w:t>
      </w:r>
      <w:r w:rsidR="00E35E24" w:rsidRPr="004A30A8">
        <w:rPr>
          <w:lang w:val="es-ES"/>
        </w:rPr>
        <w:t>Recurso</w:t>
      </w:r>
      <w:r w:rsidR="00E35E24" w:rsidRPr="004A30A8">
        <w:t xml:space="preserve"> de nulidad ante la Sala Segunda en lo Contencioso </w:t>
      </w:r>
      <w:r w:rsidR="00E35E24" w:rsidRPr="004A30A8">
        <w:rPr>
          <w:lang w:val="es-ES"/>
        </w:rPr>
        <w:t>Administrativo</w:t>
      </w:r>
      <w:r w:rsidR="00E35E24" w:rsidRPr="004A30A8">
        <w:t xml:space="preserve"> de la Corte Superior de Justicia de Lima</w:t>
      </w:r>
      <w:bookmarkEnd w:id="42"/>
      <w:r w:rsidR="00E0705E" w:rsidRPr="004A30A8">
        <w:rPr>
          <w:lang w:val="es-ES"/>
        </w:rPr>
        <w:t xml:space="preserve"> </w:t>
      </w:r>
    </w:p>
    <w:p w14:paraId="4A4DA2F4" w14:textId="5C9E4770" w:rsidR="00BA3550" w:rsidRPr="004A30A8" w:rsidRDefault="00B64588">
      <w:pPr>
        <w:numPr>
          <w:ilvl w:val="0"/>
          <w:numId w:val="7"/>
        </w:numPr>
        <w:tabs>
          <w:tab w:val="left" w:pos="567"/>
          <w:tab w:val="num" w:pos="1569"/>
          <w:tab w:val="num" w:pos="12305"/>
        </w:tabs>
        <w:spacing w:line="240" w:lineRule="auto"/>
        <w:ind w:left="0" w:firstLine="0"/>
        <w:rPr>
          <w:lang w:val="es-ES"/>
        </w:rPr>
      </w:pPr>
      <w:r w:rsidRPr="004A30A8">
        <w:rPr>
          <w:lang w:val="es-ES"/>
        </w:rPr>
        <w:t>Una vez agotada la vía administrativa, e</w:t>
      </w:r>
      <w:r w:rsidR="00B864C1" w:rsidRPr="004A30A8">
        <w:rPr>
          <w:lang w:val="es-ES"/>
        </w:rPr>
        <w:t xml:space="preserve">l </w:t>
      </w:r>
      <w:r w:rsidR="00BA3550" w:rsidRPr="004A30A8">
        <w:rPr>
          <w:lang w:val="es-ES"/>
        </w:rPr>
        <w:t>13</w:t>
      </w:r>
      <w:r w:rsidR="00166BD9" w:rsidRPr="004A30A8">
        <w:rPr>
          <w:lang w:val="es-ES"/>
        </w:rPr>
        <w:t xml:space="preserve"> de septiembre de 2006 </w:t>
      </w:r>
      <w:r w:rsidR="003D5381" w:rsidRPr="004A30A8">
        <w:rPr>
          <w:lang w:val="es-ES"/>
        </w:rPr>
        <w:t>el señor Olivera presentó una demanda con</w:t>
      </w:r>
      <w:r w:rsidR="00B367DD" w:rsidRPr="004A30A8">
        <w:rPr>
          <w:lang w:val="es-ES"/>
        </w:rPr>
        <w:t xml:space="preserve">tenciosa-administrativa ante la Sala Segunda Especializada en lo Contencioso Administrativo de la Corte Superior de Justicia de Lima </w:t>
      </w:r>
      <w:r w:rsidRPr="004A30A8">
        <w:rPr>
          <w:lang w:val="es-ES"/>
        </w:rPr>
        <w:t xml:space="preserve">(en adelante “Corte Superior de Justicia de Lima”) </w:t>
      </w:r>
      <w:r w:rsidR="00B367DD" w:rsidRPr="004A30A8">
        <w:rPr>
          <w:lang w:val="es-ES"/>
        </w:rPr>
        <w:t xml:space="preserve">para solicitar la nulidad de la </w:t>
      </w:r>
      <w:r w:rsidR="001563D9" w:rsidRPr="004A30A8">
        <w:rPr>
          <w:lang w:val="es-ES"/>
        </w:rPr>
        <w:t>Resolución de 17 de mayo de 2006</w:t>
      </w:r>
      <w:r w:rsidRPr="004A30A8">
        <w:rPr>
          <w:lang w:val="es-ES"/>
        </w:rPr>
        <w:t xml:space="preserve"> emitida por el Tribunal de Defensa de la Competencia.</w:t>
      </w:r>
      <w:r w:rsidR="00172C60" w:rsidRPr="004A30A8">
        <w:rPr>
          <w:lang w:val="es-ES"/>
        </w:rPr>
        <w:t xml:space="preserve"> </w:t>
      </w:r>
    </w:p>
    <w:p w14:paraId="730E6332" w14:textId="77777777" w:rsidR="00B864C1" w:rsidRPr="004A30A8" w:rsidRDefault="00B864C1" w:rsidP="00B864C1">
      <w:pPr>
        <w:tabs>
          <w:tab w:val="left" w:pos="567"/>
        </w:tabs>
        <w:spacing w:line="240" w:lineRule="auto"/>
        <w:textAlignment w:val="baseline"/>
        <w:rPr>
          <w:lang w:val="es-ES"/>
        </w:rPr>
      </w:pPr>
    </w:p>
    <w:p w14:paraId="763D30C1" w14:textId="12C1D056" w:rsidR="00B64588" w:rsidRPr="004A30A8" w:rsidRDefault="00BF01A9">
      <w:pPr>
        <w:numPr>
          <w:ilvl w:val="0"/>
          <w:numId w:val="7"/>
        </w:numPr>
        <w:tabs>
          <w:tab w:val="left" w:pos="567"/>
          <w:tab w:val="num" w:pos="1569"/>
          <w:tab w:val="num" w:pos="12305"/>
        </w:tabs>
        <w:spacing w:line="240" w:lineRule="auto"/>
        <w:ind w:left="0" w:firstLine="0"/>
        <w:rPr>
          <w:lang w:val="es-ES"/>
        </w:rPr>
      </w:pPr>
      <w:r w:rsidRPr="004A30A8">
        <w:rPr>
          <w:lang w:val="es-ES"/>
        </w:rPr>
        <w:t xml:space="preserve">El 10 de junio de 2008 la Corte Superior de Justicia de Lima </w:t>
      </w:r>
      <w:r w:rsidR="00B64588" w:rsidRPr="004A30A8">
        <w:rPr>
          <w:lang w:val="es-ES"/>
        </w:rPr>
        <w:t xml:space="preserve">emitió una sentencia en virtud de la cual </w:t>
      </w:r>
      <w:r w:rsidRPr="004A30A8">
        <w:rPr>
          <w:lang w:val="es-ES"/>
        </w:rPr>
        <w:t xml:space="preserve">declaró </w:t>
      </w:r>
      <w:r w:rsidR="00D25DA3" w:rsidRPr="004A30A8">
        <w:rPr>
          <w:lang w:val="es-ES"/>
        </w:rPr>
        <w:t>infundada la demanda in</w:t>
      </w:r>
      <w:r w:rsidR="00B64588" w:rsidRPr="004A30A8">
        <w:rPr>
          <w:lang w:val="es-ES"/>
        </w:rPr>
        <w:t>terpuest</w:t>
      </w:r>
      <w:r w:rsidR="00D25DA3" w:rsidRPr="004A30A8">
        <w:rPr>
          <w:lang w:val="es-ES"/>
        </w:rPr>
        <w:t>a</w:t>
      </w:r>
      <w:r w:rsidR="0080429D" w:rsidRPr="004A30A8">
        <w:rPr>
          <w:rStyle w:val="Refdenotaalpie"/>
        </w:rPr>
        <w:footnoteReference w:id="78"/>
      </w:r>
      <w:r w:rsidRPr="004A30A8">
        <w:rPr>
          <w:lang w:val="es-ES"/>
        </w:rPr>
        <w:t>, arguyendo</w:t>
      </w:r>
      <w:r w:rsidR="00E83D03" w:rsidRPr="004A30A8">
        <w:rPr>
          <w:lang w:val="es-ES"/>
        </w:rPr>
        <w:t xml:space="preserve"> que </w:t>
      </w:r>
      <w:r w:rsidR="00B64588" w:rsidRPr="004A30A8">
        <w:rPr>
          <w:lang w:val="es-ES"/>
        </w:rPr>
        <w:t>“las pruebas aportadas por el recurrente no [era]n suficientes por constituir prueba realizada por el propio recurrente”</w:t>
      </w:r>
      <w:r w:rsidR="0080429D" w:rsidRPr="004A30A8">
        <w:rPr>
          <w:rStyle w:val="Refdenotaalpie"/>
        </w:rPr>
        <w:footnoteReference w:id="79"/>
      </w:r>
      <w:r w:rsidR="00E83D03" w:rsidRPr="004A30A8">
        <w:rPr>
          <w:lang w:val="es-ES"/>
        </w:rPr>
        <w:t xml:space="preserve">. </w:t>
      </w:r>
    </w:p>
    <w:p w14:paraId="1DC2B425" w14:textId="77777777" w:rsidR="009B66FE" w:rsidRPr="004A30A8" w:rsidRDefault="009B66FE" w:rsidP="009B66FE">
      <w:pPr>
        <w:tabs>
          <w:tab w:val="left" w:pos="567"/>
        </w:tabs>
        <w:spacing w:line="240" w:lineRule="auto"/>
        <w:rPr>
          <w:lang w:val="es-ES"/>
        </w:rPr>
      </w:pPr>
    </w:p>
    <w:p w14:paraId="24844697" w14:textId="3FC39E57" w:rsidR="00B64588" w:rsidRPr="004A30A8" w:rsidRDefault="00B64588">
      <w:pPr>
        <w:numPr>
          <w:ilvl w:val="0"/>
          <w:numId w:val="7"/>
        </w:numPr>
        <w:tabs>
          <w:tab w:val="left" w:pos="567"/>
          <w:tab w:val="num" w:pos="1569"/>
          <w:tab w:val="num" w:pos="12305"/>
        </w:tabs>
        <w:spacing w:line="240" w:lineRule="auto"/>
        <w:ind w:left="0" w:firstLine="0"/>
        <w:rPr>
          <w:lang w:val="es-ES"/>
        </w:rPr>
      </w:pPr>
      <w:r w:rsidRPr="004A30A8">
        <w:rPr>
          <w:lang w:val="es-ES"/>
        </w:rPr>
        <w:t xml:space="preserve">Además, el tribunal señaló que el artículo 7B de la Ley de Protección del Consumidor exigía que la carga de la prueba la </w:t>
      </w:r>
      <w:r w:rsidR="00D25DA3" w:rsidRPr="004A30A8">
        <w:rPr>
          <w:lang w:val="es-ES"/>
        </w:rPr>
        <w:t>tuviera</w:t>
      </w:r>
      <w:r w:rsidRPr="004A30A8">
        <w:rPr>
          <w:lang w:val="es-ES"/>
        </w:rPr>
        <w:t xml:space="preserve"> quien alegaba la discriminación</w:t>
      </w:r>
      <w:r w:rsidR="00767924" w:rsidRPr="004A30A8">
        <w:rPr>
          <w:lang w:val="es-ES"/>
        </w:rPr>
        <w:t>,</w:t>
      </w:r>
      <w:r w:rsidRPr="004A30A8">
        <w:rPr>
          <w:lang w:val="es-ES"/>
        </w:rPr>
        <w:t xml:space="preserve"> por lo que “si se configurase dicho acto, la responsabilidad de probarlo caer</w:t>
      </w:r>
      <w:r w:rsidR="00D25DA3" w:rsidRPr="004A30A8">
        <w:rPr>
          <w:lang w:val="es-ES"/>
        </w:rPr>
        <w:t>[ía]</w:t>
      </w:r>
      <w:r w:rsidR="00767924" w:rsidRPr="004A30A8">
        <w:rPr>
          <w:lang w:val="es-ES"/>
        </w:rPr>
        <w:t xml:space="preserve"> </w:t>
      </w:r>
      <w:r w:rsidRPr="004A30A8">
        <w:rPr>
          <w:lang w:val="es-ES"/>
        </w:rPr>
        <w:t>en el recurrente y</w:t>
      </w:r>
      <w:r w:rsidR="00D25DA3" w:rsidRPr="004A30A8">
        <w:rPr>
          <w:lang w:val="es-ES"/>
        </w:rPr>
        <w:t>,</w:t>
      </w:r>
      <w:r w:rsidRPr="004A30A8">
        <w:rPr>
          <w:lang w:val="es-ES"/>
        </w:rPr>
        <w:t xml:space="preserve"> conforme se verifica de las pruebas aportadas</w:t>
      </w:r>
      <w:r w:rsidR="00D25DA3" w:rsidRPr="004A30A8">
        <w:rPr>
          <w:lang w:val="es-ES"/>
        </w:rPr>
        <w:t>,</w:t>
      </w:r>
      <w:r w:rsidRPr="004A30A8">
        <w:rPr>
          <w:lang w:val="es-ES"/>
        </w:rPr>
        <w:t xml:space="preserve"> no han causado certeza en </w:t>
      </w:r>
      <w:r w:rsidRPr="004A30A8">
        <w:rPr>
          <w:lang w:val="es-ES"/>
        </w:rPr>
        <w:lastRenderedPageBreak/>
        <w:t>el juzgador</w:t>
      </w:r>
      <w:r w:rsidR="00D25DA3" w:rsidRPr="004A30A8">
        <w:rPr>
          <w:lang w:val="es-ES"/>
        </w:rPr>
        <w:t>”</w:t>
      </w:r>
      <w:r w:rsidR="00767924" w:rsidRPr="004A30A8">
        <w:rPr>
          <w:lang w:val="es-ES"/>
        </w:rPr>
        <w:t xml:space="preserve">, </w:t>
      </w:r>
      <w:bookmarkStart w:id="43" w:name="_Hlk127886490"/>
      <w:r w:rsidR="00767924" w:rsidRPr="004A30A8">
        <w:rPr>
          <w:lang w:val="es-ES"/>
        </w:rPr>
        <w:t>no advirtiéndose</w:t>
      </w:r>
      <w:r w:rsidRPr="004A30A8">
        <w:rPr>
          <w:lang w:val="es-ES"/>
        </w:rPr>
        <w:t xml:space="preserve"> </w:t>
      </w:r>
      <w:bookmarkEnd w:id="43"/>
      <w:r w:rsidRPr="004A30A8">
        <w:rPr>
          <w:lang w:val="es-ES"/>
        </w:rPr>
        <w:t>que</w:t>
      </w:r>
      <w:r w:rsidR="00D25DA3" w:rsidRPr="004A30A8">
        <w:rPr>
          <w:lang w:val="es-ES"/>
        </w:rPr>
        <w:t xml:space="preserve"> la actuación de los empleados y empleadas del </w:t>
      </w:r>
      <w:r w:rsidR="000D0B20" w:rsidRPr="004A30A8">
        <w:rPr>
          <w:lang w:val="es-ES"/>
        </w:rPr>
        <w:t>supermercado</w:t>
      </w:r>
      <w:r w:rsidR="00D25DA3" w:rsidRPr="004A30A8">
        <w:rPr>
          <w:lang w:val="es-ES"/>
        </w:rPr>
        <w:t xml:space="preserve"> </w:t>
      </w:r>
      <w:r w:rsidR="00FE5A3C" w:rsidRPr="004A30A8">
        <w:rPr>
          <w:lang w:val="es-ES"/>
        </w:rPr>
        <w:t>hubiera sido</w:t>
      </w:r>
      <w:r w:rsidRPr="004A30A8">
        <w:rPr>
          <w:lang w:val="es-ES"/>
        </w:rPr>
        <w:t xml:space="preserve"> arbitraria</w:t>
      </w:r>
      <w:r w:rsidRPr="004A30A8">
        <w:rPr>
          <w:rStyle w:val="Refdenotaalpie"/>
        </w:rPr>
        <w:footnoteReference w:id="80"/>
      </w:r>
      <w:r w:rsidRPr="004A30A8">
        <w:rPr>
          <w:lang w:val="es-ES"/>
        </w:rPr>
        <w:t>.</w:t>
      </w:r>
    </w:p>
    <w:p w14:paraId="3309FF51" w14:textId="77777777" w:rsidR="00B64588" w:rsidRPr="004A30A8" w:rsidRDefault="00B64588" w:rsidP="00B64588">
      <w:pPr>
        <w:tabs>
          <w:tab w:val="left" w:pos="567"/>
          <w:tab w:val="num" w:pos="1569"/>
          <w:tab w:val="num" w:pos="12305"/>
        </w:tabs>
        <w:spacing w:line="240" w:lineRule="auto"/>
        <w:rPr>
          <w:lang w:val="es-ES"/>
        </w:rPr>
      </w:pPr>
    </w:p>
    <w:p w14:paraId="67290A33" w14:textId="448926EF" w:rsidR="00B864C1" w:rsidRPr="004A30A8" w:rsidRDefault="00F00DB4">
      <w:pPr>
        <w:numPr>
          <w:ilvl w:val="0"/>
          <w:numId w:val="7"/>
        </w:numPr>
        <w:tabs>
          <w:tab w:val="left" w:pos="567"/>
          <w:tab w:val="num" w:pos="1569"/>
          <w:tab w:val="num" w:pos="12305"/>
        </w:tabs>
        <w:spacing w:line="240" w:lineRule="auto"/>
        <w:ind w:left="0" w:firstLine="0"/>
        <w:rPr>
          <w:lang w:val="es-ES"/>
        </w:rPr>
      </w:pPr>
      <w:r w:rsidRPr="004A30A8">
        <w:rPr>
          <w:lang w:val="es-ES"/>
        </w:rPr>
        <w:t xml:space="preserve">Aunado a lo anterior, </w:t>
      </w:r>
      <w:r w:rsidR="00EB7DCC" w:rsidRPr="004A30A8">
        <w:rPr>
          <w:lang w:val="es-ES"/>
        </w:rPr>
        <w:t xml:space="preserve">indicó que </w:t>
      </w:r>
      <w:r w:rsidR="00D25DA3" w:rsidRPr="004A30A8">
        <w:rPr>
          <w:lang w:val="es-ES"/>
        </w:rPr>
        <w:t>los actos realizados por el señor Olivera y su pareja tuvieron lugar en el área de juegos infantiles, y que, en “aras d</w:t>
      </w:r>
      <w:r w:rsidR="000D0B20" w:rsidRPr="004A30A8">
        <w:rPr>
          <w:lang w:val="es-ES"/>
        </w:rPr>
        <w:t>e</w:t>
      </w:r>
      <w:r w:rsidR="00D25DA3" w:rsidRPr="004A30A8">
        <w:rPr>
          <w:lang w:val="es-ES"/>
        </w:rPr>
        <w:t>l interés superior de la protección del menor” y toda vez que dicho comportamiento “atenta[ba] contra la cultura social” al ser “demostraciones de exacerbado afecto en público</w:t>
      </w:r>
      <w:r w:rsidR="00644A18" w:rsidRPr="004A30A8">
        <w:rPr>
          <w:lang w:val="es-ES"/>
        </w:rPr>
        <w:t xml:space="preserve"> hecha</w:t>
      </w:r>
      <w:r w:rsidR="00A25EC8" w:rsidRPr="004A30A8">
        <w:rPr>
          <w:lang w:val="es-ES"/>
        </w:rPr>
        <w:t>s</w:t>
      </w:r>
      <w:r w:rsidR="00644A18" w:rsidRPr="004A30A8">
        <w:rPr>
          <w:lang w:val="es-ES"/>
        </w:rPr>
        <w:t xml:space="preserve"> entre personas tanto heterosexuales como homosexuales</w:t>
      </w:r>
      <w:r w:rsidR="00D25DA3" w:rsidRPr="004A30A8">
        <w:rPr>
          <w:lang w:val="es-ES"/>
        </w:rPr>
        <w:t xml:space="preserve">”, se </w:t>
      </w:r>
      <w:r w:rsidR="00221A43" w:rsidRPr="004A30A8">
        <w:rPr>
          <w:lang w:val="es-ES"/>
        </w:rPr>
        <w:t>debía anteponer</w:t>
      </w:r>
      <w:r w:rsidR="00D25DA3" w:rsidRPr="004A30A8">
        <w:rPr>
          <w:lang w:val="es-ES"/>
        </w:rPr>
        <w:t xml:space="preserve"> el interés superior de la protección del niño con el objetivo de “no perturbar su </w:t>
      </w:r>
      <w:r w:rsidR="002B100A" w:rsidRPr="004A30A8">
        <w:rPr>
          <w:lang w:val="es-ES"/>
        </w:rPr>
        <w:t>buen desarrollo psíquico-mental”</w:t>
      </w:r>
      <w:r w:rsidR="005368F1" w:rsidRPr="004A30A8">
        <w:rPr>
          <w:rStyle w:val="Refdenotaalpie"/>
        </w:rPr>
        <w:footnoteReference w:id="81"/>
      </w:r>
      <w:r w:rsidR="00DE3E91" w:rsidRPr="004A30A8">
        <w:rPr>
          <w:lang w:val="es-ES"/>
        </w:rPr>
        <w:t>.</w:t>
      </w:r>
      <w:r w:rsidR="009607E1" w:rsidRPr="004A30A8">
        <w:rPr>
          <w:lang w:val="es-ES"/>
        </w:rPr>
        <w:t xml:space="preserve"> </w:t>
      </w:r>
    </w:p>
    <w:p w14:paraId="07F689D1" w14:textId="3A0B3CBC" w:rsidR="00B864C1" w:rsidRPr="004A30A8" w:rsidRDefault="00271AC8" w:rsidP="003153DF">
      <w:pPr>
        <w:pStyle w:val="Ttulo2"/>
        <w:tabs>
          <w:tab w:val="num" w:pos="12305"/>
        </w:tabs>
        <w:spacing w:before="360" w:after="360"/>
        <w:ind w:firstLine="709"/>
        <w:rPr>
          <w:bCs/>
          <w:iCs/>
          <w:lang w:val="es-ES"/>
        </w:rPr>
      </w:pPr>
      <w:bookmarkStart w:id="44" w:name="_Toc129887108"/>
      <w:r w:rsidRPr="004A30A8">
        <w:rPr>
          <w:lang w:val="es-ES"/>
        </w:rPr>
        <w:t xml:space="preserve">E. </w:t>
      </w:r>
      <w:r w:rsidR="00220C19" w:rsidRPr="004A30A8">
        <w:rPr>
          <w:lang w:val="es-ES"/>
        </w:rPr>
        <w:t>Recurso de apelación ante la Sala Civil Permanente de la Corte Suprema</w:t>
      </w:r>
      <w:r w:rsidR="00220C19" w:rsidRPr="004A30A8">
        <w:rPr>
          <w:bCs/>
          <w:iCs/>
          <w:lang w:val="es-ES"/>
        </w:rPr>
        <w:t xml:space="preserve"> de Justicia</w:t>
      </w:r>
      <w:r w:rsidR="009B66FE" w:rsidRPr="004A30A8">
        <w:rPr>
          <w:bCs/>
          <w:iCs/>
          <w:lang w:val="es-ES"/>
        </w:rPr>
        <w:t xml:space="preserve"> de la República</w:t>
      </w:r>
      <w:bookmarkEnd w:id="44"/>
    </w:p>
    <w:p w14:paraId="15969D57" w14:textId="26214905" w:rsidR="004E751C" w:rsidRPr="004A30A8" w:rsidRDefault="00D76571">
      <w:pPr>
        <w:numPr>
          <w:ilvl w:val="0"/>
          <w:numId w:val="7"/>
        </w:numPr>
        <w:tabs>
          <w:tab w:val="left" w:pos="567"/>
          <w:tab w:val="num" w:pos="1569"/>
          <w:tab w:val="num" w:pos="12305"/>
        </w:tabs>
        <w:spacing w:line="240" w:lineRule="auto"/>
        <w:ind w:left="0" w:firstLine="0"/>
        <w:rPr>
          <w:lang w:val="es-ES"/>
        </w:rPr>
      </w:pPr>
      <w:r w:rsidRPr="004A30A8">
        <w:rPr>
          <w:lang w:val="es-ES"/>
        </w:rPr>
        <w:t xml:space="preserve">El 1 de octubre de 2008 el señor Olivera interpuso un recurso de apelación </w:t>
      </w:r>
      <w:r w:rsidR="009B66FE" w:rsidRPr="004A30A8">
        <w:rPr>
          <w:lang w:val="es-ES"/>
        </w:rPr>
        <w:t>ante la Sala Civil Permanente de la Corte Suprema de Justicia de la República (en adelante “</w:t>
      </w:r>
      <w:r w:rsidR="00680AF6" w:rsidRPr="004A30A8">
        <w:rPr>
          <w:lang w:val="es-ES"/>
        </w:rPr>
        <w:t>Sala Civil Permanente</w:t>
      </w:r>
      <w:r w:rsidR="009B66FE" w:rsidRPr="004A30A8">
        <w:rPr>
          <w:lang w:val="es-ES"/>
        </w:rPr>
        <w:t xml:space="preserve">”) </w:t>
      </w:r>
      <w:r w:rsidR="004A046A" w:rsidRPr="004A30A8">
        <w:rPr>
          <w:lang w:val="es-ES"/>
        </w:rPr>
        <w:t>contra la sentencia de la Corte Superior de Justicia de Lima</w:t>
      </w:r>
      <w:r w:rsidR="00142FEF" w:rsidRPr="004A30A8">
        <w:rPr>
          <w:lang w:val="es-ES"/>
        </w:rPr>
        <w:t xml:space="preserve">. </w:t>
      </w:r>
    </w:p>
    <w:p w14:paraId="7A757EDF" w14:textId="77777777" w:rsidR="004A046A" w:rsidRPr="004A30A8" w:rsidRDefault="004A046A" w:rsidP="004A046A">
      <w:pPr>
        <w:tabs>
          <w:tab w:val="left" w:pos="567"/>
          <w:tab w:val="num" w:pos="12305"/>
        </w:tabs>
        <w:spacing w:line="240" w:lineRule="auto"/>
        <w:textAlignment w:val="baseline"/>
        <w:rPr>
          <w:lang w:val="es-ES"/>
        </w:rPr>
      </w:pPr>
    </w:p>
    <w:p w14:paraId="0BC1C7BC" w14:textId="3DC957AD" w:rsidR="00680AF6" w:rsidRPr="004A30A8" w:rsidRDefault="00B864C1">
      <w:pPr>
        <w:numPr>
          <w:ilvl w:val="0"/>
          <w:numId w:val="7"/>
        </w:numPr>
        <w:tabs>
          <w:tab w:val="left" w:pos="567"/>
          <w:tab w:val="num" w:pos="1569"/>
          <w:tab w:val="num" w:pos="12305"/>
        </w:tabs>
        <w:spacing w:line="240" w:lineRule="auto"/>
        <w:ind w:left="0" w:firstLine="0"/>
        <w:rPr>
          <w:lang w:val="es-ES"/>
        </w:rPr>
      </w:pPr>
      <w:r w:rsidRPr="004A30A8">
        <w:rPr>
          <w:lang w:val="es-ES"/>
        </w:rPr>
        <w:t xml:space="preserve">El </w:t>
      </w:r>
      <w:r w:rsidR="00255AA0" w:rsidRPr="004A30A8">
        <w:rPr>
          <w:lang w:val="es-ES"/>
        </w:rPr>
        <w:t xml:space="preserve">14 de junio </w:t>
      </w:r>
      <w:r w:rsidR="00F40CD2" w:rsidRPr="004A30A8">
        <w:rPr>
          <w:lang w:val="es-ES"/>
        </w:rPr>
        <w:t xml:space="preserve">de 2010 la </w:t>
      </w:r>
      <w:r w:rsidR="00680AF6" w:rsidRPr="004A30A8">
        <w:rPr>
          <w:lang w:val="es-ES"/>
        </w:rPr>
        <w:t xml:space="preserve">Sala Civil Permanente </w:t>
      </w:r>
      <w:bookmarkStart w:id="45" w:name="_Hlk127893542"/>
      <w:r w:rsidR="00F40CD2" w:rsidRPr="004A30A8">
        <w:rPr>
          <w:lang w:val="es-ES"/>
        </w:rPr>
        <w:t xml:space="preserve">declaró sin lugar el recurso de apelación interpuesto </w:t>
      </w:r>
      <w:r w:rsidR="007A2422" w:rsidRPr="004A30A8">
        <w:rPr>
          <w:lang w:val="es-ES"/>
        </w:rPr>
        <w:t>e</w:t>
      </w:r>
      <w:r w:rsidR="0042618B" w:rsidRPr="004A30A8">
        <w:rPr>
          <w:lang w:val="es-ES"/>
        </w:rPr>
        <w:t xml:space="preserve"> indicó</w:t>
      </w:r>
      <w:r w:rsidR="00930822" w:rsidRPr="004A30A8">
        <w:rPr>
          <w:lang w:val="es-ES"/>
        </w:rPr>
        <w:t>,</w:t>
      </w:r>
      <w:r w:rsidR="0042618B" w:rsidRPr="004A30A8">
        <w:rPr>
          <w:lang w:val="es-ES"/>
        </w:rPr>
        <w:t xml:space="preserve"> como parte de su razonamiento</w:t>
      </w:r>
      <w:r w:rsidR="00930822" w:rsidRPr="004A30A8">
        <w:rPr>
          <w:lang w:val="es-ES"/>
        </w:rPr>
        <w:t>,</w:t>
      </w:r>
      <w:r w:rsidR="0042618B" w:rsidRPr="004A30A8">
        <w:rPr>
          <w:lang w:val="es-ES"/>
        </w:rPr>
        <w:t xml:space="preserve"> que</w:t>
      </w:r>
      <w:r w:rsidR="00553160" w:rsidRPr="004A30A8">
        <w:rPr>
          <w:lang w:val="es-ES"/>
        </w:rPr>
        <w:t xml:space="preserve"> “la carga </w:t>
      </w:r>
      <w:r w:rsidR="000354DE" w:rsidRPr="004A30A8">
        <w:rPr>
          <w:lang w:val="es-ES"/>
        </w:rPr>
        <w:t>de la prueba sobre la existencia de un</w:t>
      </w:r>
      <w:r w:rsidR="00705CBF" w:rsidRPr="004A30A8">
        <w:rPr>
          <w:lang w:val="es-ES"/>
        </w:rPr>
        <w:t xml:space="preserve"> trato desigual correspond</w:t>
      </w:r>
      <w:r w:rsidR="00C47AB3" w:rsidRPr="004A30A8">
        <w:rPr>
          <w:lang w:val="es-ES"/>
        </w:rPr>
        <w:t>[ía]</w:t>
      </w:r>
      <w:r w:rsidR="00705CBF" w:rsidRPr="004A30A8">
        <w:rPr>
          <w:lang w:val="es-ES"/>
        </w:rPr>
        <w:t xml:space="preserve"> al consumidor afectado</w:t>
      </w:r>
      <w:r w:rsidR="00553160" w:rsidRPr="004A30A8">
        <w:rPr>
          <w:lang w:val="es-ES"/>
        </w:rPr>
        <w:t>”</w:t>
      </w:r>
      <w:r w:rsidR="00142FEF" w:rsidRPr="004A30A8">
        <w:rPr>
          <w:rStyle w:val="Refdenotaalpie"/>
        </w:rPr>
        <w:footnoteReference w:id="82"/>
      </w:r>
      <w:r w:rsidR="00142FEF" w:rsidRPr="004A30A8">
        <w:rPr>
          <w:lang w:val="es-ES"/>
        </w:rPr>
        <w:t>.</w:t>
      </w:r>
      <w:r w:rsidR="003C6185" w:rsidRPr="004A30A8">
        <w:rPr>
          <w:lang w:val="es-ES"/>
        </w:rPr>
        <w:t xml:space="preserve"> </w:t>
      </w:r>
      <w:r w:rsidR="00142FEF" w:rsidRPr="004A30A8">
        <w:rPr>
          <w:lang w:val="es-ES"/>
        </w:rPr>
        <w:t>T</w:t>
      </w:r>
      <w:r w:rsidR="009B66FE" w:rsidRPr="004A30A8">
        <w:rPr>
          <w:lang w:val="es-ES"/>
        </w:rPr>
        <w:t>ambién</w:t>
      </w:r>
      <w:r w:rsidR="00705CBF" w:rsidRPr="004A30A8">
        <w:rPr>
          <w:lang w:val="es-ES"/>
        </w:rPr>
        <w:t xml:space="preserve"> </w:t>
      </w:r>
      <w:r w:rsidR="003A2B47" w:rsidRPr="004A30A8">
        <w:rPr>
          <w:lang w:val="es-ES"/>
        </w:rPr>
        <w:t xml:space="preserve">consideró </w:t>
      </w:r>
      <w:r w:rsidR="00705CBF" w:rsidRPr="004A30A8">
        <w:rPr>
          <w:lang w:val="es-ES"/>
        </w:rPr>
        <w:t xml:space="preserve">que </w:t>
      </w:r>
      <w:bookmarkEnd w:id="45"/>
      <w:r w:rsidR="00705CBF" w:rsidRPr="004A30A8">
        <w:rPr>
          <w:lang w:val="es-ES"/>
        </w:rPr>
        <w:t>“</w:t>
      </w:r>
      <w:r w:rsidR="00744280" w:rsidRPr="004A30A8">
        <w:rPr>
          <w:lang w:val="es-ES"/>
        </w:rPr>
        <w:t>no se enc</w:t>
      </w:r>
      <w:r w:rsidR="00B554C2" w:rsidRPr="004A30A8">
        <w:rPr>
          <w:lang w:val="es-ES"/>
        </w:rPr>
        <w:t>o</w:t>
      </w:r>
      <w:r w:rsidR="00744280" w:rsidRPr="004A30A8">
        <w:rPr>
          <w:lang w:val="es-ES"/>
        </w:rPr>
        <w:t>ntra</w:t>
      </w:r>
      <w:r w:rsidR="003A2B47" w:rsidRPr="004A30A8">
        <w:rPr>
          <w:lang w:val="es-ES"/>
        </w:rPr>
        <w:t>[ba]</w:t>
      </w:r>
      <w:r w:rsidR="00744280" w:rsidRPr="004A30A8">
        <w:rPr>
          <w:lang w:val="es-ES"/>
        </w:rPr>
        <w:t xml:space="preserve"> acreditado</w:t>
      </w:r>
      <w:r w:rsidR="00142FEF" w:rsidRPr="004A30A8">
        <w:rPr>
          <w:lang w:val="es-ES"/>
        </w:rPr>
        <w:t>”</w:t>
      </w:r>
      <w:r w:rsidR="00744280" w:rsidRPr="004A30A8">
        <w:rPr>
          <w:lang w:val="es-ES"/>
        </w:rPr>
        <w:t xml:space="preserve"> que el recurrente </w:t>
      </w:r>
      <w:r w:rsidR="00142FEF" w:rsidRPr="004A30A8">
        <w:rPr>
          <w:lang w:val="es-ES"/>
        </w:rPr>
        <w:t>fuera</w:t>
      </w:r>
      <w:r w:rsidR="00744280" w:rsidRPr="004A30A8">
        <w:rPr>
          <w:lang w:val="es-ES"/>
        </w:rPr>
        <w:t xml:space="preserve"> víctima de un acto discriminatorio</w:t>
      </w:r>
      <w:r w:rsidR="00DF7B11" w:rsidRPr="004A30A8">
        <w:rPr>
          <w:lang w:val="es-ES"/>
        </w:rPr>
        <w:t xml:space="preserve"> y </w:t>
      </w:r>
      <w:r w:rsidR="00744280" w:rsidRPr="004A30A8">
        <w:rPr>
          <w:lang w:val="es-ES"/>
        </w:rPr>
        <w:t>que</w:t>
      </w:r>
      <w:r w:rsidR="00142FEF" w:rsidRPr="004A30A8">
        <w:rPr>
          <w:lang w:val="es-ES"/>
        </w:rPr>
        <w:t xml:space="preserve"> no se podía exigir a Supermercados Peruanos S</w:t>
      </w:r>
      <w:r w:rsidR="008821E6" w:rsidRPr="004A30A8">
        <w:rPr>
          <w:lang w:val="es-ES"/>
        </w:rPr>
        <w:t>.</w:t>
      </w:r>
      <w:r w:rsidR="00142FEF" w:rsidRPr="004A30A8">
        <w:rPr>
          <w:lang w:val="es-ES"/>
        </w:rPr>
        <w:t>A</w:t>
      </w:r>
      <w:r w:rsidR="008821E6" w:rsidRPr="004A30A8">
        <w:rPr>
          <w:lang w:val="es-ES"/>
        </w:rPr>
        <w:t>.</w:t>
      </w:r>
      <w:r w:rsidR="00142FEF" w:rsidRPr="004A30A8">
        <w:rPr>
          <w:lang w:val="es-ES"/>
        </w:rPr>
        <w:t xml:space="preserve"> acreditar la existencia de causa objetiva y justificada para el alegado trato discriminatorio que se le imputaba, toda vez que no existía certeza sobre los hechos acaecidos, debiendo</w:t>
      </w:r>
      <w:r w:rsidR="003C6185" w:rsidRPr="004A30A8">
        <w:rPr>
          <w:lang w:val="es-ES"/>
        </w:rPr>
        <w:t xml:space="preserve"> “prevalecer el derecho constitucional a la presunción de inocencia del establecimiento denunciado”</w:t>
      </w:r>
      <w:r w:rsidR="0027362B" w:rsidRPr="004A30A8">
        <w:rPr>
          <w:rStyle w:val="Refdenotaalpie"/>
        </w:rPr>
        <w:footnoteReference w:id="83"/>
      </w:r>
      <w:r w:rsidR="00AD611D" w:rsidRPr="004A30A8">
        <w:rPr>
          <w:lang w:val="es-ES"/>
        </w:rPr>
        <w:t>.</w:t>
      </w:r>
    </w:p>
    <w:p w14:paraId="67A89F18" w14:textId="62104CF3" w:rsidR="00427318" w:rsidRPr="004A30A8" w:rsidRDefault="00271AC8" w:rsidP="003153DF">
      <w:pPr>
        <w:pStyle w:val="Ttulo2"/>
        <w:tabs>
          <w:tab w:val="num" w:pos="12305"/>
        </w:tabs>
        <w:spacing w:before="360" w:after="360"/>
        <w:ind w:firstLine="709"/>
        <w:rPr>
          <w:lang w:val="es-ES"/>
        </w:rPr>
      </w:pPr>
      <w:bookmarkStart w:id="46" w:name="_Toc129887109"/>
      <w:r w:rsidRPr="004A30A8">
        <w:rPr>
          <w:bCs/>
          <w:iCs/>
          <w:lang w:val="es-ES"/>
        </w:rPr>
        <w:t xml:space="preserve">F. </w:t>
      </w:r>
      <w:r w:rsidR="005A22F4" w:rsidRPr="004A30A8">
        <w:rPr>
          <w:bCs/>
          <w:iCs/>
          <w:lang w:val="es-ES"/>
        </w:rPr>
        <w:t xml:space="preserve">Recurso de </w:t>
      </w:r>
      <w:r w:rsidR="00427318" w:rsidRPr="004A30A8">
        <w:rPr>
          <w:bCs/>
          <w:iCs/>
          <w:lang w:val="es-ES"/>
        </w:rPr>
        <w:t xml:space="preserve">casación ante la Sala de Derecho Constitucional y Social Permanente de la </w:t>
      </w:r>
      <w:r w:rsidR="00427318" w:rsidRPr="004A30A8">
        <w:rPr>
          <w:lang w:val="es-ES"/>
        </w:rPr>
        <w:t>Corte</w:t>
      </w:r>
      <w:r w:rsidR="00427318" w:rsidRPr="004A30A8">
        <w:rPr>
          <w:bCs/>
          <w:iCs/>
          <w:lang w:val="es-ES"/>
        </w:rPr>
        <w:t xml:space="preserve"> Suprema de Justicia</w:t>
      </w:r>
      <w:bookmarkEnd w:id="46"/>
    </w:p>
    <w:p w14:paraId="39F91068" w14:textId="19BDD6C3" w:rsidR="00216EF3" w:rsidRPr="004A30A8" w:rsidRDefault="00935048">
      <w:pPr>
        <w:numPr>
          <w:ilvl w:val="0"/>
          <w:numId w:val="7"/>
        </w:numPr>
        <w:tabs>
          <w:tab w:val="left" w:pos="567"/>
          <w:tab w:val="num" w:pos="1569"/>
          <w:tab w:val="num" w:pos="12305"/>
        </w:tabs>
        <w:spacing w:line="240" w:lineRule="auto"/>
        <w:ind w:left="0" w:firstLine="0"/>
        <w:rPr>
          <w:lang w:val="es-ES"/>
        </w:rPr>
      </w:pPr>
      <w:r w:rsidRPr="004A30A8">
        <w:rPr>
          <w:lang w:val="es-ES"/>
        </w:rPr>
        <w:t>El</w:t>
      </w:r>
      <w:r w:rsidR="00427318" w:rsidRPr="004A30A8">
        <w:rPr>
          <w:lang w:val="es-ES"/>
        </w:rPr>
        <w:t xml:space="preserve"> </w:t>
      </w:r>
      <w:r w:rsidR="00883755" w:rsidRPr="004A30A8">
        <w:rPr>
          <w:lang w:val="es-ES"/>
        </w:rPr>
        <w:t xml:space="preserve">7 de febrero de 2011 </w:t>
      </w:r>
      <w:r w:rsidR="00BA30D7" w:rsidRPr="004A30A8">
        <w:rPr>
          <w:lang w:val="es-ES"/>
        </w:rPr>
        <w:t>el señor Olivera presentó un recurso de casación ante la Sala de Derecho Constitucional y Social Permanente de la Corte Suprema de Justicia</w:t>
      </w:r>
      <w:r w:rsidR="009B66FE" w:rsidRPr="004A30A8">
        <w:rPr>
          <w:lang w:val="es-ES"/>
        </w:rPr>
        <w:t xml:space="preserve"> </w:t>
      </w:r>
      <w:r w:rsidR="00680AF6" w:rsidRPr="004A30A8">
        <w:rPr>
          <w:lang w:val="es-ES"/>
        </w:rPr>
        <w:t xml:space="preserve">(en adelante “Sala de Derecho Constitucional y Social Permanente”) </w:t>
      </w:r>
      <w:r w:rsidR="009B66FE" w:rsidRPr="004A30A8">
        <w:rPr>
          <w:lang w:val="es-ES"/>
        </w:rPr>
        <w:t xml:space="preserve">contra la resolución de 14 de junio de </w:t>
      </w:r>
      <w:r w:rsidR="00274654" w:rsidRPr="004A30A8">
        <w:rPr>
          <w:lang w:val="es-ES"/>
        </w:rPr>
        <w:t>2010</w:t>
      </w:r>
      <w:r w:rsidR="009B66FE" w:rsidRPr="004A30A8">
        <w:rPr>
          <w:lang w:val="es-ES"/>
        </w:rPr>
        <w:t xml:space="preserve"> de la </w:t>
      </w:r>
      <w:r w:rsidR="00E93288" w:rsidRPr="004A30A8">
        <w:rPr>
          <w:lang w:val="es-ES"/>
        </w:rPr>
        <w:t>Sala Civil Permanente</w:t>
      </w:r>
      <w:r w:rsidR="00B535F3" w:rsidRPr="004A30A8">
        <w:rPr>
          <w:rStyle w:val="Refdenotaalpie"/>
        </w:rPr>
        <w:footnoteReference w:id="84"/>
      </w:r>
      <w:r w:rsidR="00B535F3" w:rsidRPr="004A30A8">
        <w:rPr>
          <w:lang w:val="es-ES"/>
        </w:rPr>
        <w:t xml:space="preserve">. </w:t>
      </w:r>
    </w:p>
    <w:p w14:paraId="632F72E8" w14:textId="77777777" w:rsidR="00AD611D" w:rsidRPr="004A30A8" w:rsidRDefault="00AD611D" w:rsidP="00AD611D">
      <w:pPr>
        <w:tabs>
          <w:tab w:val="left" w:pos="567"/>
        </w:tabs>
        <w:spacing w:line="240" w:lineRule="auto"/>
        <w:textAlignment w:val="baseline"/>
        <w:rPr>
          <w:lang w:val="es-ES"/>
        </w:rPr>
      </w:pPr>
    </w:p>
    <w:p w14:paraId="63AC3D83" w14:textId="5CA78626" w:rsidR="00AB6FF9" w:rsidRPr="004A30A8" w:rsidRDefault="003968B1" w:rsidP="00F55DED">
      <w:pPr>
        <w:numPr>
          <w:ilvl w:val="0"/>
          <w:numId w:val="7"/>
        </w:numPr>
        <w:tabs>
          <w:tab w:val="left" w:pos="567"/>
          <w:tab w:val="num" w:pos="1569"/>
          <w:tab w:val="num" w:pos="12305"/>
        </w:tabs>
        <w:spacing w:line="240" w:lineRule="auto"/>
        <w:ind w:left="0" w:firstLine="0"/>
        <w:textAlignment w:val="baseline"/>
        <w:rPr>
          <w:lang w:val="es-ES"/>
        </w:rPr>
      </w:pPr>
      <w:r w:rsidRPr="004A30A8">
        <w:rPr>
          <w:lang w:val="es-ES"/>
        </w:rPr>
        <w:t xml:space="preserve">El </w:t>
      </w:r>
      <w:r w:rsidR="00427318" w:rsidRPr="004A30A8">
        <w:rPr>
          <w:lang w:val="es-ES"/>
        </w:rPr>
        <w:t>11 de abril de 2011</w:t>
      </w:r>
      <w:r w:rsidR="000C30BE" w:rsidRPr="004A30A8">
        <w:rPr>
          <w:lang w:val="es-ES"/>
        </w:rPr>
        <w:t xml:space="preserve"> la </w:t>
      </w:r>
      <w:r w:rsidR="009A5DBC" w:rsidRPr="004A30A8">
        <w:rPr>
          <w:lang w:val="es-ES"/>
        </w:rPr>
        <w:t xml:space="preserve">Sala de Derecho Constitucional y Social Permanente </w:t>
      </w:r>
      <w:r w:rsidR="009B66FE" w:rsidRPr="004A30A8">
        <w:rPr>
          <w:lang w:val="es-ES"/>
        </w:rPr>
        <w:lastRenderedPageBreak/>
        <w:t>declaró el recurso</w:t>
      </w:r>
      <w:r w:rsidR="00146B28" w:rsidRPr="004A30A8">
        <w:rPr>
          <w:lang w:val="es-ES"/>
        </w:rPr>
        <w:t xml:space="preserve"> </w:t>
      </w:r>
      <w:r w:rsidR="00111A08" w:rsidRPr="004A30A8">
        <w:rPr>
          <w:lang w:val="es-ES"/>
        </w:rPr>
        <w:t xml:space="preserve">improcedente, toda vez que </w:t>
      </w:r>
      <w:r w:rsidR="00A7288A" w:rsidRPr="004A30A8">
        <w:rPr>
          <w:lang w:val="es-ES"/>
        </w:rPr>
        <w:t>examinarlo</w:t>
      </w:r>
      <w:r w:rsidR="00111A08" w:rsidRPr="004A30A8">
        <w:rPr>
          <w:lang w:val="es-ES"/>
        </w:rPr>
        <w:t xml:space="preserve"> supondría “una</w:t>
      </w:r>
      <w:r w:rsidR="002D6234" w:rsidRPr="004A30A8">
        <w:rPr>
          <w:lang w:val="es-ES"/>
        </w:rPr>
        <w:t xml:space="preserve"> nueva</w:t>
      </w:r>
      <w:r w:rsidR="00111A08" w:rsidRPr="004A30A8">
        <w:rPr>
          <w:lang w:val="es-ES"/>
        </w:rPr>
        <w:t xml:space="preserve"> valoración de la prueba actuada, aspecto que resulta incompatible con los fines del recurso de casación</w:t>
      </w:r>
      <w:r w:rsidR="00BA68A0" w:rsidRPr="004A30A8">
        <w:rPr>
          <w:lang w:val="es-ES"/>
        </w:rPr>
        <w:t>”</w:t>
      </w:r>
      <w:r w:rsidR="003D27A8" w:rsidRPr="004A30A8">
        <w:rPr>
          <w:rStyle w:val="Refdenotaalpie"/>
        </w:rPr>
        <w:footnoteReference w:id="85"/>
      </w:r>
      <w:r w:rsidR="00BA68A0" w:rsidRPr="004A30A8">
        <w:rPr>
          <w:lang w:val="es-ES"/>
        </w:rPr>
        <w:t>.</w:t>
      </w:r>
      <w:r w:rsidR="00AB407E" w:rsidRPr="004A30A8">
        <w:rPr>
          <w:lang w:val="es-ES"/>
        </w:rPr>
        <w:t xml:space="preserve"> </w:t>
      </w:r>
    </w:p>
    <w:p w14:paraId="606A8DC1" w14:textId="011026C6" w:rsidR="00110622" w:rsidRPr="004A30A8" w:rsidRDefault="00110622" w:rsidP="00D03F10">
      <w:pPr>
        <w:pStyle w:val="Ttulo1"/>
        <w:spacing w:before="360" w:after="360"/>
      </w:pPr>
      <w:bookmarkStart w:id="47" w:name="_Toc129887110"/>
      <w:r w:rsidRPr="004A30A8">
        <w:t>VII</w:t>
      </w:r>
      <w:r w:rsidR="008E4B36" w:rsidRPr="004A30A8">
        <w:t>I</w:t>
      </w:r>
      <w:r w:rsidRPr="004A30A8">
        <w:br/>
        <w:t>FONDO</w:t>
      </w:r>
      <w:bookmarkEnd w:id="47"/>
      <w:r w:rsidRPr="004A30A8">
        <w:t xml:space="preserve"> </w:t>
      </w:r>
    </w:p>
    <w:p w14:paraId="08BD4A0B" w14:textId="47B72C7B" w:rsidR="00387ED5" w:rsidRPr="004A30A8" w:rsidRDefault="0012430C" w:rsidP="003153DF">
      <w:pPr>
        <w:pStyle w:val="Ttulo1"/>
        <w:spacing w:before="360" w:after="360"/>
      </w:pPr>
      <w:bookmarkStart w:id="48" w:name="_Toc129887111"/>
      <w:r w:rsidRPr="004A30A8">
        <w:t xml:space="preserve">DERECHOS </w:t>
      </w:r>
      <w:r w:rsidR="00157BDB" w:rsidRPr="004A30A8">
        <w:t>A LA LIBERTAD</w:t>
      </w:r>
      <w:r w:rsidR="008B2EFE" w:rsidRPr="004A30A8">
        <w:t xml:space="preserve"> PERSONAL</w:t>
      </w:r>
      <w:r w:rsidR="00854BEC" w:rsidRPr="004A30A8">
        <w:t xml:space="preserve">, </w:t>
      </w:r>
      <w:r w:rsidRPr="004A30A8">
        <w:t xml:space="preserve">A LA VIDA PRIVADA, A LA LIBERTAD DE EXPRESIÓN, A LA IGUALDAD ANTE LA LEY, A LAS GARANTÍAS JUDICIALES </w:t>
      </w:r>
      <w:r w:rsidR="00854BEC" w:rsidRPr="004A30A8">
        <w:t>Y A</w:t>
      </w:r>
      <w:r w:rsidRPr="004A30A8">
        <w:t xml:space="preserve"> LA PROTECCIÓN JUDICIA</w:t>
      </w:r>
      <w:r w:rsidR="00AD4890" w:rsidRPr="004A30A8">
        <w:t>L</w:t>
      </w:r>
      <w:r w:rsidRPr="004A30A8">
        <w:rPr>
          <w:rStyle w:val="Refdenotaalpie"/>
        </w:rPr>
        <w:footnoteReference w:id="86"/>
      </w:r>
      <w:bookmarkEnd w:id="48"/>
    </w:p>
    <w:p w14:paraId="77ABD8F3" w14:textId="725EE46C" w:rsidR="00D32864" w:rsidRPr="004A30A8" w:rsidRDefault="00D32864">
      <w:pPr>
        <w:numPr>
          <w:ilvl w:val="0"/>
          <w:numId w:val="7"/>
        </w:numPr>
        <w:tabs>
          <w:tab w:val="left" w:pos="567"/>
          <w:tab w:val="num" w:pos="1569"/>
          <w:tab w:val="num" w:pos="12305"/>
        </w:tabs>
        <w:spacing w:line="240" w:lineRule="auto"/>
        <w:ind w:left="0" w:firstLine="0"/>
        <w:rPr>
          <w:lang w:val="es-ES"/>
        </w:rPr>
      </w:pPr>
      <w:r w:rsidRPr="004A30A8">
        <w:rPr>
          <w:lang w:val="es-ES"/>
        </w:rPr>
        <w:t xml:space="preserve">En el presente caso, el Tribunal advierte </w:t>
      </w:r>
      <w:r w:rsidR="00C66EA7" w:rsidRPr="004A30A8">
        <w:rPr>
          <w:lang w:val="es-ES"/>
        </w:rPr>
        <w:t xml:space="preserve">que </w:t>
      </w:r>
      <w:r w:rsidRPr="004A30A8">
        <w:rPr>
          <w:lang w:val="es-ES"/>
        </w:rPr>
        <w:t>el alegado acto inicial discriminatorio fue perpetrado por una empresa</w:t>
      </w:r>
      <w:r w:rsidR="00C66EA7" w:rsidRPr="004A30A8">
        <w:rPr>
          <w:lang w:val="es-ES"/>
        </w:rPr>
        <w:t xml:space="preserve"> (esto es, un agente no estatal)</w:t>
      </w:r>
      <w:r w:rsidRPr="004A30A8">
        <w:rPr>
          <w:lang w:val="es-ES"/>
        </w:rPr>
        <w:t>, por lo que la Corte está llamada a examinar y, eventualmente, determinar, si existió responsabilidad internacional del Estado respecto de la</w:t>
      </w:r>
      <w:r w:rsidR="00D43896" w:rsidRPr="004A30A8">
        <w:rPr>
          <w:lang w:val="es-ES"/>
        </w:rPr>
        <w:t>s</w:t>
      </w:r>
      <w:r w:rsidRPr="004A30A8">
        <w:rPr>
          <w:lang w:val="es-ES"/>
        </w:rPr>
        <w:t xml:space="preserve"> respuesta</w:t>
      </w:r>
      <w:r w:rsidR="00D43896" w:rsidRPr="004A30A8">
        <w:rPr>
          <w:lang w:val="es-ES"/>
        </w:rPr>
        <w:t>s</w:t>
      </w:r>
      <w:r w:rsidRPr="004A30A8">
        <w:rPr>
          <w:lang w:val="es-ES"/>
        </w:rPr>
        <w:t xml:space="preserve"> administrativa</w:t>
      </w:r>
      <w:r w:rsidR="00D43896" w:rsidRPr="004A30A8">
        <w:rPr>
          <w:lang w:val="es-ES"/>
        </w:rPr>
        <w:t>s</w:t>
      </w:r>
      <w:r w:rsidRPr="004A30A8">
        <w:rPr>
          <w:lang w:val="es-ES"/>
        </w:rPr>
        <w:t xml:space="preserve"> y judicial</w:t>
      </w:r>
      <w:r w:rsidR="00D43896" w:rsidRPr="004A30A8">
        <w:rPr>
          <w:lang w:val="es-ES"/>
        </w:rPr>
        <w:t>es</w:t>
      </w:r>
      <w:r w:rsidRPr="004A30A8">
        <w:rPr>
          <w:lang w:val="es-ES"/>
        </w:rPr>
        <w:t xml:space="preserve"> otorgada</w:t>
      </w:r>
      <w:r w:rsidR="00D43896" w:rsidRPr="004A30A8">
        <w:rPr>
          <w:lang w:val="es-ES"/>
        </w:rPr>
        <w:t>s</w:t>
      </w:r>
      <w:r w:rsidRPr="004A30A8">
        <w:rPr>
          <w:lang w:val="es-ES"/>
        </w:rPr>
        <w:t xml:space="preserve"> por las autoridades nacionales al señor Olivera frente a la denuncia interpuesta por este, </w:t>
      </w:r>
      <w:r w:rsidR="00961CD5" w:rsidRPr="004A30A8">
        <w:rPr>
          <w:lang w:val="es-ES"/>
        </w:rPr>
        <w:t xml:space="preserve">en la cual </w:t>
      </w:r>
      <w:r w:rsidRPr="004A30A8">
        <w:rPr>
          <w:lang w:val="es-ES"/>
        </w:rPr>
        <w:t>aleg</w:t>
      </w:r>
      <w:r w:rsidR="00961CD5" w:rsidRPr="004A30A8">
        <w:rPr>
          <w:lang w:val="es-ES"/>
        </w:rPr>
        <w:t>ó</w:t>
      </w:r>
      <w:r w:rsidRPr="004A30A8">
        <w:rPr>
          <w:lang w:val="es-ES"/>
        </w:rPr>
        <w:t xml:space="preserve"> </w:t>
      </w:r>
      <w:r w:rsidR="00D43896" w:rsidRPr="004A30A8">
        <w:rPr>
          <w:lang w:val="es-ES"/>
        </w:rPr>
        <w:t>que el 11 de agosto de 2004 fue</w:t>
      </w:r>
      <w:r w:rsidRPr="004A30A8">
        <w:rPr>
          <w:lang w:val="es-ES"/>
        </w:rPr>
        <w:t xml:space="preserve"> discriminado por una empresa debido a su orientación sexual y expresión de género. </w:t>
      </w:r>
    </w:p>
    <w:p w14:paraId="37E7F1AF" w14:textId="55D4D87F" w:rsidR="009E6114" w:rsidRPr="004A30A8" w:rsidRDefault="009E6114" w:rsidP="009E6114">
      <w:pPr>
        <w:tabs>
          <w:tab w:val="left" w:pos="567"/>
        </w:tabs>
        <w:spacing w:line="240" w:lineRule="auto"/>
        <w:rPr>
          <w:lang w:val="es-ES"/>
        </w:rPr>
      </w:pPr>
    </w:p>
    <w:p w14:paraId="38EB94BE" w14:textId="62700ACC" w:rsidR="00D43896" w:rsidRPr="004A30A8" w:rsidRDefault="00961CD5">
      <w:pPr>
        <w:numPr>
          <w:ilvl w:val="0"/>
          <w:numId w:val="7"/>
        </w:numPr>
        <w:tabs>
          <w:tab w:val="left" w:pos="567"/>
          <w:tab w:val="num" w:pos="1569"/>
          <w:tab w:val="num" w:pos="12305"/>
        </w:tabs>
        <w:spacing w:line="240" w:lineRule="auto"/>
        <w:ind w:left="0" w:firstLine="0"/>
        <w:rPr>
          <w:lang w:val="es-ES"/>
        </w:rPr>
      </w:pPr>
      <w:r w:rsidRPr="004A30A8">
        <w:rPr>
          <w:lang w:val="es-ES"/>
        </w:rPr>
        <w:t>La Corte</w:t>
      </w:r>
      <w:r w:rsidR="009E6114" w:rsidRPr="004A30A8">
        <w:rPr>
          <w:lang w:val="es-ES"/>
        </w:rPr>
        <w:t xml:space="preserve"> también observa que el señor Olivera acudió en primer lugar a</w:t>
      </w:r>
      <w:r w:rsidR="00D43896" w:rsidRPr="004A30A8">
        <w:rPr>
          <w:lang w:val="es-ES"/>
        </w:rPr>
        <w:t>nte</w:t>
      </w:r>
      <w:r w:rsidR="009E6114" w:rsidRPr="004A30A8">
        <w:rPr>
          <w:lang w:val="es-ES"/>
        </w:rPr>
        <w:t xml:space="preserve"> las instancias administrativas, para posteriormente acudir a la vía judicial. A la vista de </w:t>
      </w:r>
      <w:r w:rsidR="00D43896" w:rsidRPr="004A30A8">
        <w:rPr>
          <w:lang w:val="es-ES"/>
        </w:rPr>
        <w:t>lo anterior, el Tribunal analizará, en primer lugar, la fundamentación brindada por ambas instancias, analizando así el procedimiento en su conjunto.</w:t>
      </w:r>
      <w:r w:rsidR="00DF7FF5" w:rsidRPr="004A30A8">
        <w:rPr>
          <w:lang w:val="es-ES"/>
        </w:rPr>
        <w:t xml:space="preserve"> </w:t>
      </w:r>
      <w:r w:rsidR="00D43896" w:rsidRPr="004A30A8">
        <w:rPr>
          <w:lang w:val="es-ES"/>
        </w:rPr>
        <w:t xml:space="preserve">Adicionalmente, </w:t>
      </w:r>
      <w:r w:rsidR="00027426" w:rsidRPr="004A30A8">
        <w:rPr>
          <w:lang w:val="es-ES"/>
        </w:rPr>
        <w:t>la Corte</w:t>
      </w:r>
      <w:r w:rsidR="009E6114" w:rsidRPr="004A30A8">
        <w:rPr>
          <w:lang w:val="es-ES"/>
        </w:rPr>
        <w:t xml:space="preserve"> considera que ciertos aspectos de la motivación brindada por las autoridades administrativas ameritan un análisis diferenciado</w:t>
      </w:r>
      <w:r w:rsidR="00D43896" w:rsidRPr="004A30A8">
        <w:rPr>
          <w:lang w:val="es-ES"/>
        </w:rPr>
        <w:t xml:space="preserve"> y adicional</w:t>
      </w:r>
      <w:r w:rsidR="009E6114" w:rsidRPr="004A30A8">
        <w:rPr>
          <w:lang w:val="es-ES"/>
        </w:rPr>
        <w:t xml:space="preserve">, </w:t>
      </w:r>
      <w:r w:rsidR="00D43896" w:rsidRPr="004A30A8">
        <w:rPr>
          <w:lang w:val="es-ES"/>
        </w:rPr>
        <w:t xml:space="preserve">relacionado </w:t>
      </w:r>
      <w:r w:rsidR="009E6114" w:rsidRPr="004A30A8">
        <w:rPr>
          <w:lang w:val="es-ES"/>
        </w:rPr>
        <w:t>con el alegado uso discriminatorio de estereotipos sobre orientación sexual y expresión de género</w:t>
      </w:r>
      <w:r w:rsidR="00D43896" w:rsidRPr="004A30A8">
        <w:rPr>
          <w:lang w:val="es-ES"/>
        </w:rPr>
        <w:t xml:space="preserve"> en las referidas decisiones</w:t>
      </w:r>
      <w:r w:rsidR="00D43896" w:rsidRPr="004A30A8">
        <w:rPr>
          <w:rStyle w:val="Refdenotaalpie"/>
        </w:rPr>
        <w:footnoteReference w:id="87"/>
      </w:r>
      <w:r w:rsidR="00D43896" w:rsidRPr="004A30A8">
        <w:rPr>
          <w:lang w:val="es-ES"/>
        </w:rPr>
        <w:t xml:space="preserve">. </w:t>
      </w:r>
    </w:p>
    <w:p w14:paraId="1A368DF2" w14:textId="77777777" w:rsidR="003153DF" w:rsidRPr="004A30A8" w:rsidRDefault="003153DF" w:rsidP="003153DF">
      <w:pPr>
        <w:tabs>
          <w:tab w:val="left" w:pos="567"/>
        </w:tabs>
        <w:spacing w:line="240" w:lineRule="auto"/>
        <w:rPr>
          <w:lang w:val="es-ES"/>
        </w:rPr>
      </w:pPr>
    </w:p>
    <w:p w14:paraId="17B71172" w14:textId="60A71879" w:rsidR="00110622" w:rsidRPr="004A30A8" w:rsidRDefault="002F432B" w:rsidP="00B7418D">
      <w:pPr>
        <w:numPr>
          <w:ilvl w:val="0"/>
          <w:numId w:val="7"/>
        </w:numPr>
        <w:tabs>
          <w:tab w:val="left" w:pos="567"/>
          <w:tab w:val="num" w:pos="1569"/>
          <w:tab w:val="num" w:pos="12305"/>
        </w:tabs>
        <w:spacing w:line="240" w:lineRule="auto"/>
        <w:ind w:left="0" w:firstLine="0"/>
        <w:rPr>
          <w:lang w:val="es-ES"/>
        </w:rPr>
      </w:pPr>
      <w:r w:rsidRPr="004A30A8">
        <w:rPr>
          <w:lang w:val="es-ES"/>
        </w:rPr>
        <w:t>Teniendo en cuenta los alegatos de las partes y la Comisión,</w:t>
      </w:r>
      <w:r w:rsidR="00C66EA7" w:rsidRPr="004A30A8">
        <w:rPr>
          <w:lang w:val="es-ES"/>
        </w:rPr>
        <w:t xml:space="preserve"> la Corte procederá a realizar una serie de consideraciones respecto del</w:t>
      </w:r>
      <w:r w:rsidR="00221A43" w:rsidRPr="004A30A8">
        <w:rPr>
          <w:lang w:val="es-ES"/>
        </w:rPr>
        <w:t>:</w:t>
      </w:r>
      <w:r w:rsidR="00C66EA7" w:rsidRPr="004A30A8">
        <w:rPr>
          <w:lang w:val="es-ES"/>
        </w:rPr>
        <w:t xml:space="preserve"> (i) derecho a la igualdad y no discriminación, (ii) la orientación sexual al amparo de la Convención Americana, (iii)</w:t>
      </w:r>
      <w:r w:rsidR="00DA0B2C" w:rsidRPr="004A30A8">
        <w:rPr>
          <w:lang w:val="es-ES"/>
        </w:rPr>
        <w:t xml:space="preserve"> </w:t>
      </w:r>
      <w:r w:rsidR="00C66EA7" w:rsidRPr="004A30A8">
        <w:rPr>
          <w:bCs/>
          <w:lang w:val="es-ES"/>
        </w:rPr>
        <w:t>estándares en materia de igualdad y no discriminación por orientación sexual, identidad de género y expresión de género</w:t>
      </w:r>
      <w:r w:rsidR="00C66EA7" w:rsidRPr="004A30A8">
        <w:rPr>
          <w:lang w:val="es-ES"/>
        </w:rPr>
        <w:t xml:space="preserve"> aplicados a las empresas para, finalmente, (iv) aplicar los estándares mencionados al caso en concreto, donde </w:t>
      </w:r>
      <w:r w:rsidRPr="004A30A8">
        <w:rPr>
          <w:lang w:val="es-ES"/>
        </w:rPr>
        <w:t>examinará</w:t>
      </w:r>
      <w:r w:rsidR="00CF41F9" w:rsidRPr="004A30A8">
        <w:rPr>
          <w:lang w:val="es-ES"/>
        </w:rPr>
        <w:t xml:space="preserve"> </w:t>
      </w:r>
      <w:r w:rsidR="00E46293" w:rsidRPr="004A30A8">
        <w:rPr>
          <w:lang w:val="es-ES"/>
        </w:rPr>
        <w:t xml:space="preserve">(a) </w:t>
      </w:r>
      <w:r w:rsidR="00CF41F9" w:rsidRPr="004A30A8">
        <w:rPr>
          <w:lang w:val="es-ES"/>
        </w:rPr>
        <w:t xml:space="preserve">la motivación de las resoluciones dictadas a nivel interno en sede administrativa y judicial y, en particular, el </w:t>
      </w:r>
      <w:r w:rsidR="00D43896" w:rsidRPr="004A30A8">
        <w:rPr>
          <w:lang w:val="es-ES"/>
        </w:rPr>
        <w:t xml:space="preserve">estándar de prueba aplicado </w:t>
      </w:r>
      <w:r w:rsidR="00C43649" w:rsidRPr="004A30A8">
        <w:rPr>
          <w:lang w:val="es-ES"/>
        </w:rPr>
        <w:t xml:space="preserve">al </w:t>
      </w:r>
      <w:r w:rsidR="00D43896" w:rsidRPr="004A30A8">
        <w:rPr>
          <w:lang w:val="es-ES"/>
        </w:rPr>
        <w:t>caso</w:t>
      </w:r>
      <w:r w:rsidR="00CF41F9" w:rsidRPr="004A30A8">
        <w:rPr>
          <w:lang w:val="es-ES"/>
        </w:rPr>
        <w:t xml:space="preserve">, </w:t>
      </w:r>
      <w:r w:rsidR="00B7418D" w:rsidRPr="004A30A8">
        <w:rPr>
          <w:lang w:val="es-ES"/>
        </w:rPr>
        <w:t>(</w:t>
      </w:r>
      <w:r w:rsidR="00E46293" w:rsidRPr="004A30A8">
        <w:rPr>
          <w:lang w:val="es-ES"/>
        </w:rPr>
        <w:t>b</w:t>
      </w:r>
      <w:r w:rsidR="00B7418D" w:rsidRPr="004A30A8">
        <w:rPr>
          <w:lang w:val="es-ES"/>
        </w:rPr>
        <w:t xml:space="preserve">) </w:t>
      </w:r>
      <w:r w:rsidR="00D43896" w:rsidRPr="004A30A8">
        <w:rPr>
          <w:lang w:val="es-ES"/>
        </w:rPr>
        <w:t>el alegado uso discriminatorio de estereotipos sobre orientación sexual y expresión de género en sede administrativa</w:t>
      </w:r>
      <w:r w:rsidR="00CF41F9" w:rsidRPr="004A30A8">
        <w:rPr>
          <w:lang w:val="es-ES"/>
        </w:rPr>
        <w:t xml:space="preserve">, </w:t>
      </w:r>
      <w:r w:rsidR="00B7418D" w:rsidRPr="004A30A8">
        <w:rPr>
          <w:lang w:val="es-ES"/>
        </w:rPr>
        <w:t>(</w:t>
      </w:r>
      <w:r w:rsidR="00E46293" w:rsidRPr="004A30A8">
        <w:rPr>
          <w:lang w:val="es-ES"/>
        </w:rPr>
        <w:t>c</w:t>
      </w:r>
      <w:r w:rsidR="00B7418D" w:rsidRPr="004A30A8">
        <w:rPr>
          <w:lang w:val="es-ES"/>
        </w:rPr>
        <w:t xml:space="preserve">) el alegado incumplimiento con el plazo razonable de los </w:t>
      </w:r>
      <w:r w:rsidR="00C66EA7" w:rsidRPr="004A30A8">
        <w:rPr>
          <w:lang w:val="es-ES"/>
        </w:rPr>
        <w:t>procedimientos internos</w:t>
      </w:r>
      <w:r w:rsidR="009E6114" w:rsidRPr="004A30A8">
        <w:rPr>
          <w:lang w:val="es-ES"/>
        </w:rPr>
        <w:t xml:space="preserve">, </w:t>
      </w:r>
      <w:r w:rsidR="00E46293" w:rsidRPr="004A30A8">
        <w:rPr>
          <w:lang w:val="es-ES"/>
        </w:rPr>
        <w:t>y</w:t>
      </w:r>
      <w:r w:rsidR="009E6114" w:rsidRPr="004A30A8">
        <w:rPr>
          <w:lang w:val="es-ES"/>
        </w:rPr>
        <w:t xml:space="preserve">, finalmente, </w:t>
      </w:r>
      <w:r w:rsidR="009E6114" w:rsidRPr="004A30A8">
        <w:rPr>
          <w:lang w:val="es-ES"/>
        </w:rPr>
        <w:lastRenderedPageBreak/>
        <w:t>formular</w:t>
      </w:r>
      <w:r w:rsidR="00E46293" w:rsidRPr="004A30A8">
        <w:rPr>
          <w:lang w:val="es-ES"/>
        </w:rPr>
        <w:t>á</w:t>
      </w:r>
      <w:r w:rsidR="009E6114" w:rsidRPr="004A30A8">
        <w:rPr>
          <w:lang w:val="es-ES"/>
        </w:rPr>
        <w:t xml:space="preserve"> las correspondientes (</w:t>
      </w:r>
      <w:r w:rsidR="00E46293" w:rsidRPr="004A30A8">
        <w:rPr>
          <w:lang w:val="es-ES"/>
        </w:rPr>
        <w:t>d</w:t>
      </w:r>
      <w:r w:rsidR="009E6114" w:rsidRPr="004A30A8">
        <w:rPr>
          <w:lang w:val="es-ES"/>
        </w:rPr>
        <w:t>) conclusiones</w:t>
      </w:r>
      <w:r w:rsidR="00B7418D" w:rsidRPr="004A30A8">
        <w:rPr>
          <w:lang w:val="es-ES"/>
        </w:rPr>
        <w:t>.</w:t>
      </w:r>
      <w:r w:rsidR="007B249B" w:rsidRPr="004A30A8">
        <w:rPr>
          <w:b/>
          <w:bCs/>
          <w:lang w:val="es-ES"/>
        </w:rPr>
        <w:t xml:space="preserve"> </w:t>
      </w:r>
    </w:p>
    <w:p w14:paraId="16DB7410" w14:textId="6DED9F8E" w:rsidR="00D145C8" w:rsidRPr="004A30A8" w:rsidRDefault="008E4A60" w:rsidP="003153DF">
      <w:pPr>
        <w:pStyle w:val="Ttulo2"/>
        <w:numPr>
          <w:ilvl w:val="0"/>
          <w:numId w:val="13"/>
        </w:numPr>
        <w:spacing w:before="360" w:after="360"/>
        <w:ind w:left="924" w:hanging="357"/>
      </w:pPr>
      <w:bookmarkStart w:id="49" w:name="_Toc129887112"/>
      <w:r w:rsidRPr="004A30A8">
        <w:t>Argumentos de las partes y de la Comisión</w:t>
      </w:r>
      <w:bookmarkEnd w:id="49"/>
    </w:p>
    <w:p w14:paraId="763455C6" w14:textId="21DA7F3F" w:rsidR="00221A43" w:rsidRPr="004A30A8" w:rsidRDefault="00221A43" w:rsidP="00221A43">
      <w:pPr>
        <w:numPr>
          <w:ilvl w:val="0"/>
          <w:numId w:val="7"/>
        </w:numPr>
        <w:tabs>
          <w:tab w:val="left" w:pos="567"/>
          <w:tab w:val="num" w:pos="1569"/>
          <w:tab w:val="num" w:pos="12305"/>
        </w:tabs>
        <w:spacing w:line="240" w:lineRule="auto"/>
        <w:ind w:left="0" w:firstLine="0"/>
      </w:pPr>
      <w:r w:rsidRPr="004A30A8">
        <w:rPr>
          <w:lang w:val="es-ES"/>
        </w:rPr>
        <w:t xml:space="preserve">La </w:t>
      </w:r>
      <w:r w:rsidRPr="004A30A8">
        <w:rPr>
          <w:b/>
          <w:bCs/>
          <w:i/>
          <w:iCs/>
          <w:lang w:val="es-ES"/>
        </w:rPr>
        <w:t>Comisión</w:t>
      </w:r>
      <w:r w:rsidRPr="004A30A8">
        <w:rPr>
          <w:lang w:val="es-ES"/>
        </w:rPr>
        <w:t xml:space="preserve"> recordó que, según la jurisprudencia de la Corte, </w:t>
      </w:r>
      <w:r w:rsidRPr="004A30A8">
        <w:rPr>
          <w:shd w:val="clear" w:color="auto" w:fill="FFFFFF"/>
        </w:rPr>
        <w:t>el</w:t>
      </w:r>
      <w:r w:rsidR="0023155C" w:rsidRPr="004A30A8">
        <w:rPr>
          <w:shd w:val="clear" w:color="auto" w:fill="FFFFFF"/>
        </w:rPr>
        <w:t xml:space="preserve"> </w:t>
      </w:r>
      <w:r w:rsidRPr="004A30A8">
        <w:rPr>
          <w:shd w:val="clear" w:color="auto" w:fill="FFFFFF"/>
        </w:rPr>
        <w:t xml:space="preserve">principio </w:t>
      </w:r>
      <w:r w:rsidRPr="004A30A8">
        <w:rPr>
          <w:lang w:val="es-ES"/>
        </w:rPr>
        <w:t>fundamental</w:t>
      </w:r>
      <w:r w:rsidRPr="004A30A8">
        <w:rPr>
          <w:shd w:val="clear" w:color="auto" w:fill="FFFFFF"/>
        </w:rPr>
        <w:t xml:space="preserve"> de igualdad y no discriminación ha ingresado en el dominio del </w:t>
      </w:r>
      <w:r w:rsidRPr="004A30A8">
        <w:rPr>
          <w:i/>
          <w:iCs/>
          <w:shd w:val="clear" w:color="auto" w:fill="FFFFFF"/>
        </w:rPr>
        <w:t>ius cogens</w:t>
      </w:r>
      <w:r w:rsidRPr="004A30A8">
        <w:rPr>
          <w:shd w:val="clear" w:color="auto" w:fill="FFFFFF"/>
        </w:rPr>
        <w:t xml:space="preserve">. Indicó que la orientación sexual es una categoría protegida al </w:t>
      </w:r>
      <w:r w:rsidRPr="004A30A8">
        <w:t>amparo</w:t>
      </w:r>
      <w:r w:rsidRPr="004A30A8">
        <w:rPr>
          <w:shd w:val="clear" w:color="auto" w:fill="FFFFFF"/>
        </w:rPr>
        <w:t xml:space="preserve"> del artículo 1.1 de la Convención, por lo que los Estados deben proteger el derecho de todas las personas a expresar su orientación sexual e identidad de género, y establecer estrategias para permitir el desarrollo integral de la personalidad y las capacidades personales con miras a brindar herramientas para enfrentar el estigma, los estereotipos y la discriminación que suelen enfrentar al momento de expresar su personalidad e identidad. En tal sentido, los Estados tienen la obligación de tomar medidas, incluyendo disposiciones de derecho interno, para la protección de los derechos humanos en el marco de las actividades empresariales, lo que incluye tanto garantías sustantivas como procesales que busquen asegurar el respeto de los derechos humanos en juego con relación al comportamiento empresarial involucrado.</w:t>
      </w:r>
    </w:p>
    <w:p w14:paraId="3722A077" w14:textId="77777777" w:rsidR="0012430C" w:rsidRPr="004A30A8" w:rsidRDefault="0012430C" w:rsidP="0012430C">
      <w:pPr>
        <w:tabs>
          <w:tab w:val="left" w:pos="567"/>
        </w:tabs>
        <w:spacing w:line="240" w:lineRule="auto"/>
      </w:pPr>
    </w:p>
    <w:p w14:paraId="4672D7E9" w14:textId="01E41AF0" w:rsidR="0012430C" w:rsidRPr="004A30A8" w:rsidRDefault="0012430C">
      <w:pPr>
        <w:numPr>
          <w:ilvl w:val="0"/>
          <w:numId w:val="7"/>
        </w:numPr>
        <w:tabs>
          <w:tab w:val="left" w:pos="567"/>
          <w:tab w:val="num" w:pos="1569"/>
          <w:tab w:val="num" w:pos="12305"/>
        </w:tabs>
        <w:spacing w:line="240" w:lineRule="auto"/>
        <w:ind w:left="0" w:firstLine="0"/>
      </w:pPr>
      <w:r w:rsidRPr="004A30A8">
        <w:rPr>
          <w:lang w:val="es-ES"/>
        </w:rPr>
        <w:t>Asimismo, la Comisión añadió que</w:t>
      </w:r>
      <w:r w:rsidR="00D2047E" w:rsidRPr="004A30A8">
        <w:rPr>
          <w:lang w:val="es-ES"/>
        </w:rPr>
        <w:t>,</w:t>
      </w:r>
      <w:r w:rsidRPr="004A30A8">
        <w:rPr>
          <w:lang w:val="es-ES"/>
        </w:rPr>
        <w:t xml:space="preserve"> </w:t>
      </w:r>
      <w:r w:rsidRPr="004A30A8">
        <w:rPr>
          <w:shd w:val="clear" w:color="auto" w:fill="FFFFFF"/>
        </w:rPr>
        <w:t>conforme a las disposiciones establecidas en los artículos 8 y 25 la Convención Americana</w:t>
      </w:r>
      <w:r w:rsidR="00D2047E" w:rsidRPr="004A30A8">
        <w:rPr>
          <w:shd w:val="clear" w:color="auto" w:fill="FFFFFF"/>
        </w:rPr>
        <w:t>,</w:t>
      </w:r>
      <w:r w:rsidRPr="004A30A8">
        <w:rPr>
          <w:shd w:val="clear" w:color="auto" w:fill="FFFFFF"/>
        </w:rPr>
        <w:t xml:space="preserve"> los Estados están obligados a suministrar recursos judiciales efectivos a las víctimas de violaciones de los derechos humanos, los cuales deben ser sustanciados de conformidad con las reglas del debido proceso. </w:t>
      </w:r>
    </w:p>
    <w:p w14:paraId="3ED1E7F3" w14:textId="77777777" w:rsidR="0012430C" w:rsidRPr="004A30A8" w:rsidRDefault="0012430C" w:rsidP="0012430C">
      <w:pPr>
        <w:tabs>
          <w:tab w:val="left" w:pos="567"/>
        </w:tabs>
        <w:spacing w:line="240" w:lineRule="auto"/>
      </w:pPr>
    </w:p>
    <w:p w14:paraId="7D35532C" w14:textId="5F132770" w:rsidR="0012430C" w:rsidRPr="004A30A8" w:rsidRDefault="0012430C">
      <w:pPr>
        <w:numPr>
          <w:ilvl w:val="0"/>
          <w:numId w:val="7"/>
        </w:numPr>
        <w:tabs>
          <w:tab w:val="left" w:pos="567"/>
          <w:tab w:val="num" w:pos="1569"/>
          <w:tab w:val="num" w:pos="12305"/>
        </w:tabs>
        <w:spacing w:line="240" w:lineRule="auto"/>
        <w:ind w:left="0" w:firstLine="0"/>
        <w:rPr>
          <w:lang w:val="es-ES"/>
        </w:rPr>
      </w:pPr>
      <w:r w:rsidRPr="004A30A8">
        <w:rPr>
          <w:rFonts w:eastAsia="Verdana" w:cs="Verdana"/>
        </w:rPr>
        <w:t>Por último, la Comisión consideró vulnerado el artículo 8.1 de la Convención que consagra el derecho a un plazo razonable</w:t>
      </w:r>
      <w:r w:rsidR="00D2047E" w:rsidRPr="004A30A8">
        <w:rPr>
          <w:rFonts w:eastAsia="Verdana" w:cs="Verdana"/>
        </w:rPr>
        <w:t>,</w:t>
      </w:r>
      <w:r w:rsidRPr="004A30A8">
        <w:rPr>
          <w:rFonts w:eastAsia="Verdana" w:cs="Verdana"/>
        </w:rPr>
        <w:t xml:space="preserve"> dado que la denuncia fue i</w:t>
      </w:r>
      <w:r w:rsidR="00D2047E" w:rsidRPr="004A30A8">
        <w:rPr>
          <w:rFonts w:eastAsia="Verdana" w:cs="Verdana"/>
        </w:rPr>
        <w:t>nter</w:t>
      </w:r>
      <w:r w:rsidRPr="004A30A8">
        <w:rPr>
          <w:rFonts w:eastAsia="Verdana" w:cs="Verdana"/>
        </w:rPr>
        <w:t xml:space="preserve">puesta el 1 de octubre de 2004 y la </w:t>
      </w:r>
      <w:r w:rsidRPr="004A30A8">
        <w:t>decisión</w:t>
      </w:r>
      <w:r w:rsidRPr="004A30A8">
        <w:rPr>
          <w:rFonts w:eastAsia="Verdana" w:cs="Verdana"/>
        </w:rPr>
        <w:t xml:space="preserve"> definitiva del recurso de casación fue notificada el 11 de abril de 2011, transcurriendo más de seis años. A este respecto, precisó que el plazo fue desproporcionado considerando (i) la complejidad del caso, (ii) la actividad procesal del interesado, y (iii) las conductas de las autoridades judiciales. </w:t>
      </w:r>
    </w:p>
    <w:p w14:paraId="01C4B693" w14:textId="77777777" w:rsidR="0012430C" w:rsidRPr="004A30A8" w:rsidRDefault="0012430C" w:rsidP="0012430C">
      <w:pPr>
        <w:tabs>
          <w:tab w:val="left" w:pos="567"/>
        </w:tabs>
        <w:spacing w:line="240" w:lineRule="auto"/>
        <w:textAlignment w:val="baseline"/>
        <w:rPr>
          <w:lang w:val="es-ES"/>
        </w:rPr>
      </w:pPr>
    </w:p>
    <w:p w14:paraId="729CD4FB" w14:textId="464F8C87" w:rsidR="0012430C" w:rsidRPr="004A30A8" w:rsidRDefault="0012430C">
      <w:pPr>
        <w:numPr>
          <w:ilvl w:val="0"/>
          <w:numId w:val="7"/>
        </w:numPr>
        <w:tabs>
          <w:tab w:val="left" w:pos="567"/>
          <w:tab w:val="num" w:pos="1569"/>
          <w:tab w:val="num" w:pos="12305"/>
        </w:tabs>
        <w:spacing w:line="240" w:lineRule="auto"/>
        <w:ind w:left="0" w:firstLine="0"/>
        <w:rPr>
          <w:lang w:val="es-ES"/>
        </w:rPr>
      </w:pPr>
      <w:r w:rsidRPr="004A30A8">
        <w:rPr>
          <w:lang w:val="es-ES"/>
        </w:rPr>
        <w:t xml:space="preserve">En consecuencia, la Comisión concluyó que el Estado es responsable por la violación a los artículos 8.1, 11, 24 y 25 de la Convención en relación con el artículo 1.1 del mismo instrumento, en perjuicio del señor Olivera Fuentes. </w:t>
      </w:r>
    </w:p>
    <w:p w14:paraId="376A9BA9" w14:textId="0FE27A24" w:rsidR="0012430C" w:rsidRPr="004A30A8" w:rsidRDefault="0012430C" w:rsidP="0055376B">
      <w:pPr>
        <w:tabs>
          <w:tab w:val="left" w:pos="567"/>
        </w:tabs>
        <w:spacing w:line="240" w:lineRule="auto"/>
        <w:textAlignment w:val="baseline"/>
        <w:rPr>
          <w:lang w:val="es-ES"/>
        </w:rPr>
      </w:pPr>
    </w:p>
    <w:p w14:paraId="20F7A0D7" w14:textId="32353314" w:rsidR="002056A6" w:rsidRPr="004A30A8" w:rsidRDefault="00EF021A">
      <w:pPr>
        <w:numPr>
          <w:ilvl w:val="0"/>
          <w:numId w:val="7"/>
        </w:numPr>
        <w:tabs>
          <w:tab w:val="left" w:pos="567"/>
          <w:tab w:val="num" w:pos="1569"/>
          <w:tab w:val="num" w:pos="12305"/>
        </w:tabs>
        <w:spacing w:line="240" w:lineRule="auto"/>
        <w:ind w:left="0" w:firstLine="0"/>
        <w:rPr>
          <w:lang w:val="es-ES"/>
        </w:rPr>
      </w:pPr>
      <w:r w:rsidRPr="004A30A8">
        <w:t>L</w:t>
      </w:r>
      <w:r w:rsidR="00A1501D" w:rsidRPr="004A30A8">
        <w:t>os</w:t>
      </w:r>
      <w:r w:rsidRPr="004A30A8">
        <w:t xml:space="preserve"> </w:t>
      </w:r>
      <w:r w:rsidRPr="004A30A8">
        <w:rPr>
          <w:b/>
          <w:i/>
        </w:rPr>
        <w:t>representantes</w:t>
      </w:r>
      <w:r w:rsidRPr="004A30A8">
        <w:t xml:space="preserve"> indicaron que las autoridades jurisdiccionales faltaron a su deber de procesar, investigar y sancionar los actos de discriminación efectuados en </w:t>
      </w:r>
      <w:r w:rsidRPr="004A30A8">
        <w:rPr>
          <w:lang w:val="es-ES"/>
        </w:rPr>
        <w:t>perjuicio</w:t>
      </w:r>
      <w:r w:rsidRPr="004A30A8">
        <w:t xml:space="preserve"> d</w:t>
      </w:r>
      <w:r w:rsidR="00CB5F2C" w:rsidRPr="004A30A8">
        <w:t xml:space="preserve">el señor </w:t>
      </w:r>
      <w:r w:rsidR="00CB5F2C" w:rsidRPr="004A30A8">
        <w:rPr>
          <w:lang w:val="es-ES"/>
        </w:rPr>
        <w:t>Olivera</w:t>
      </w:r>
      <w:r w:rsidR="00CB5F2C" w:rsidRPr="004A30A8">
        <w:t xml:space="preserve"> Fuentes. </w:t>
      </w:r>
      <w:r w:rsidR="00736946" w:rsidRPr="004A30A8">
        <w:t>Al respecto,</w:t>
      </w:r>
      <w:r w:rsidR="008F3D2A" w:rsidRPr="004A30A8">
        <w:t xml:space="preserve"> alegaron que</w:t>
      </w:r>
      <w:r w:rsidR="00736946" w:rsidRPr="004A30A8">
        <w:t xml:space="preserve"> </w:t>
      </w:r>
      <w:r w:rsidR="00A1501D" w:rsidRPr="004A30A8">
        <w:t>dichas autoridades violaron la</w:t>
      </w:r>
      <w:r w:rsidR="00112374" w:rsidRPr="004A30A8">
        <w:t xml:space="preserve"> Convención Americana</w:t>
      </w:r>
      <w:r w:rsidRPr="004A30A8">
        <w:t xml:space="preserve">: (i) </w:t>
      </w:r>
      <w:r w:rsidR="00A1501D" w:rsidRPr="004A30A8">
        <w:t xml:space="preserve">al imponer </w:t>
      </w:r>
      <w:r w:rsidRPr="004A30A8">
        <w:t xml:space="preserve">un estándar de prueba </w:t>
      </w:r>
      <w:r w:rsidRPr="004A30A8">
        <w:rPr>
          <w:lang w:val="es-ES"/>
        </w:rPr>
        <w:t>incompatible</w:t>
      </w:r>
      <w:r w:rsidRPr="004A30A8">
        <w:t xml:space="preserve"> con </w:t>
      </w:r>
      <w:r w:rsidR="00112374" w:rsidRPr="004A30A8">
        <w:t>la legislación nacional y los estándares interamericanos</w:t>
      </w:r>
      <w:r w:rsidRPr="004A30A8">
        <w:t xml:space="preserve">, y (ii) </w:t>
      </w:r>
      <w:r w:rsidR="00A1501D" w:rsidRPr="004A30A8">
        <w:t xml:space="preserve">al utilizar </w:t>
      </w:r>
      <w:r w:rsidR="00112374" w:rsidRPr="004A30A8">
        <w:t>estereotipos sobre la orientación sexual y expresión de género de</w:t>
      </w:r>
      <w:r w:rsidR="00BD2786" w:rsidRPr="004A30A8">
        <w:t xml:space="preserve">l señor Olivera </w:t>
      </w:r>
      <w:r w:rsidR="00112374" w:rsidRPr="004A30A8">
        <w:t>para justificar el trato discriminatorio</w:t>
      </w:r>
      <w:r w:rsidR="001A30DA" w:rsidRPr="004A30A8">
        <w:t>.</w:t>
      </w:r>
      <w:r w:rsidR="00BD2786" w:rsidRPr="004A30A8">
        <w:t xml:space="preserve"> Lo anterior supuso una violación de los artículos 8.1, 24 y 25</w:t>
      </w:r>
      <w:r w:rsidR="001F0B7F" w:rsidRPr="004A30A8">
        <w:t>,</w:t>
      </w:r>
      <w:r w:rsidR="00BD2786" w:rsidRPr="004A30A8">
        <w:t xml:space="preserve"> en relación con el artículo 1.1 de la </w:t>
      </w:r>
      <w:r w:rsidR="00BD2786" w:rsidRPr="004A30A8">
        <w:rPr>
          <w:lang w:val="es-ES"/>
        </w:rPr>
        <w:t>Convención</w:t>
      </w:r>
      <w:r w:rsidR="00BD2786" w:rsidRPr="004A30A8">
        <w:t xml:space="preserve"> Americana. Añadier</w:t>
      </w:r>
      <w:r w:rsidR="001744E7" w:rsidRPr="004A30A8">
        <w:t xml:space="preserve">on que </w:t>
      </w:r>
      <w:r w:rsidR="00C43649" w:rsidRPr="004A30A8">
        <w:t>l</w:t>
      </w:r>
      <w:r w:rsidR="001744E7" w:rsidRPr="004A30A8">
        <w:t xml:space="preserve">a falta de investigación, juzgamiento y sanción adecuados de los actos de discriminación contra </w:t>
      </w:r>
      <w:r w:rsidR="002056A6" w:rsidRPr="004A30A8">
        <w:t>el señor Olivera, sumado al uso de argumentos estereotipados relacionados con la moral pública y el interés superior del niño para justificar el trato discriminatorio sufrido</w:t>
      </w:r>
      <w:r w:rsidR="00A1501D" w:rsidRPr="004A30A8">
        <w:t xml:space="preserve">, </w:t>
      </w:r>
      <w:r w:rsidR="002056A6" w:rsidRPr="004A30A8">
        <w:t xml:space="preserve">también vulneró sus derechos a la vida privada (artículo 11.2), al libre desarrollo de su personalidad (artículo 7) y </w:t>
      </w:r>
      <w:r w:rsidR="00A1501D" w:rsidRPr="004A30A8">
        <w:t xml:space="preserve">a </w:t>
      </w:r>
      <w:r w:rsidR="002056A6" w:rsidRPr="004A30A8">
        <w:t>la libre expresión de un discurso especialmente protegido por la Convención Americana (artículo 13.1).</w:t>
      </w:r>
    </w:p>
    <w:p w14:paraId="08A038E4" w14:textId="77777777" w:rsidR="00134A1E" w:rsidRPr="004A30A8" w:rsidRDefault="00134A1E" w:rsidP="00134A1E">
      <w:pPr>
        <w:tabs>
          <w:tab w:val="left" w:pos="567"/>
        </w:tabs>
        <w:spacing w:line="240" w:lineRule="auto"/>
        <w:rPr>
          <w:lang w:val="es-ES"/>
        </w:rPr>
      </w:pPr>
    </w:p>
    <w:p w14:paraId="366F1301" w14:textId="67B646B3" w:rsidR="00134A1E" w:rsidRPr="004A30A8" w:rsidRDefault="00134A1E">
      <w:pPr>
        <w:numPr>
          <w:ilvl w:val="0"/>
          <w:numId w:val="7"/>
        </w:numPr>
        <w:tabs>
          <w:tab w:val="left" w:pos="567"/>
          <w:tab w:val="num" w:pos="1569"/>
          <w:tab w:val="num" w:pos="12305"/>
        </w:tabs>
        <w:spacing w:line="240" w:lineRule="auto"/>
        <w:ind w:left="0" w:firstLine="0"/>
        <w:rPr>
          <w:lang w:val="es-ES"/>
        </w:rPr>
      </w:pPr>
      <w:r w:rsidRPr="004A30A8">
        <w:rPr>
          <w:lang w:val="es-ES"/>
        </w:rPr>
        <w:t>Finalmente, los representantes añadieron</w:t>
      </w:r>
      <w:r w:rsidR="00F64CD7" w:rsidRPr="004A30A8">
        <w:rPr>
          <w:lang w:val="es-ES"/>
        </w:rPr>
        <w:t>, en el mismo sentido que la Comisión,</w:t>
      </w:r>
      <w:r w:rsidRPr="004A30A8">
        <w:rPr>
          <w:lang w:val="es-ES"/>
        </w:rPr>
        <w:t xml:space="preserve"> que el Estado peruano violó también los derechos consagrados en </w:t>
      </w:r>
      <w:r w:rsidRPr="004A30A8">
        <w:t>los</w:t>
      </w:r>
      <w:r w:rsidRPr="004A30A8">
        <w:rPr>
          <w:lang w:val="es-ES"/>
        </w:rPr>
        <w:t xml:space="preserve"> artículos 8.1 (garantías judiciales) y 25 (protección judicial) de la Convención Americana al no respetar la garantía del plazo razonable.</w:t>
      </w:r>
      <w:r w:rsidR="00573E2F" w:rsidRPr="004A30A8">
        <w:rPr>
          <w:lang w:val="es-ES"/>
        </w:rPr>
        <w:t xml:space="preserve"> Asimismo, en sus alegatos finales escritos solicitaron a la Corte que declare que en este caso también se vulneró el derecho a la integridad psíquica y moral en perjuicio del señor Olivera</w:t>
      </w:r>
      <w:r w:rsidR="00BC15D1" w:rsidRPr="004A30A8">
        <w:rPr>
          <w:lang w:val="es-ES"/>
        </w:rPr>
        <w:t xml:space="preserve"> amparado por </w:t>
      </w:r>
      <w:r w:rsidR="00573E2F" w:rsidRPr="004A30A8">
        <w:rPr>
          <w:lang w:val="es-ES"/>
        </w:rPr>
        <w:t>el artículo 5.1 de la Convención Americana</w:t>
      </w:r>
      <w:r w:rsidR="00BC15D1" w:rsidRPr="004A30A8">
        <w:rPr>
          <w:lang w:val="es-ES"/>
        </w:rPr>
        <w:t>.</w:t>
      </w:r>
    </w:p>
    <w:p w14:paraId="7336A775" w14:textId="12C32B3E" w:rsidR="00134A1E" w:rsidRPr="004A30A8" w:rsidRDefault="00134A1E" w:rsidP="00134A1E">
      <w:pPr>
        <w:tabs>
          <w:tab w:val="left" w:pos="567"/>
          <w:tab w:val="num" w:pos="12305"/>
        </w:tabs>
        <w:spacing w:line="240" w:lineRule="auto"/>
        <w:rPr>
          <w:lang w:val="es-ES"/>
        </w:rPr>
      </w:pPr>
    </w:p>
    <w:p w14:paraId="3D1BCBDF" w14:textId="0673B529" w:rsidR="00742DC4" w:rsidRPr="004A30A8" w:rsidRDefault="00EF021A">
      <w:pPr>
        <w:numPr>
          <w:ilvl w:val="0"/>
          <w:numId w:val="7"/>
        </w:numPr>
        <w:tabs>
          <w:tab w:val="left" w:pos="567"/>
          <w:tab w:val="num" w:pos="1569"/>
          <w:tab w:val="num" w:pos="12305"/>
        </w:tabs>
        <w:spacing w:line="240" w:lineRule="auto"/>
        <w:ind w:left="0" w:firstLine="0"/>
        <w:rPr>
          <w:lang w:val="es-ES"/>
        </w:rPr>
      </w:pPr>
      <w:r w:rsidRPr="004A30A8">
        <w:t xml:space="preserve">El </w:t>
      </w:r>
      <w:r w:rsidRPr="004A30A8">
        <w:rPr>
          <w:b/>
          <w:i/>
        </w:rPr>
        <w:t>Estado</w:t>
      </w:r>
      <w:r w:rsidR="00AB03D6" w:rsidRPr="004A30A8">
        <w:rPr>
          <w:bCs/>
          <w:iCs/>
        </w:rPr>
        <w:t>, por su parte,</w:t>
      </w:r>
      <w:r w:rsidR="00A47BA2" w:rsidRPr="004A30A8">
        <w:rPr>
          <w:bCs/>
          <w:iCs/>
        </w:rPr>
        <w:t xml:space="preserve"> señaló </w:t>
      </w:r>
      <w:r w:rsidR="003B5A2D" w:rsidRPr="004A30A8">
        <w:rPr>
          <w:lang w:val="es-ES"/>
        </w:rPr>
        <w:t>que</w:t>
      </w:r>
      <w:r w:rsidR="00CA3743" w:rsidRPr="004A30A8">
        <w:rPr>
          <w:lang w:val="es-ES"/>
        </w:rPr>
        <w:t>,</w:t>
      </w:r>
      <w:r w:rsidR="003B5A2D" w:rsidRPr="004A30A8">
        <w:rPr>
          <w:lang w:val="es-ES"/>
        </w:rPr>
        <w:t xml:space="preserve"> en el presente caso, no se acreditó que </w:t>
      </w:r>
      <w:r w:rsidR="00A1501D" w:rsidRPr="004A30A8">
        <w:rPr>
          <w:lang w:val="es-ES"/>
        </w:rPr>
        <w:t xml:space="preserve">haya existido </w:t>
      </w:r>
      <w:r w:rsidR="003B5A2D" w:rsidRPr="004A30A8">
        <w:rPr>
          <w:lang w:val="es-ES"/>
        </w:rPr>
        <w:t xml:space="preserve">una diferencia de trato, ni mucho menos que ésta </w:t>
      </w:r>
      <w:r w:rsidR="00A1501D" w:rsidRPr="004A30A8">
        <w:rPr>
          <w:lang w:val="es-ES"/>
        </w:rPr>
        <w:t xml:space="preserve">hubiese estado </w:t>
      </w:r>
      <w:r w:rsidR="003B5A2D" w:rsidRPr="004A30A8">
        <w:rPr>
          <w:lang w:val="es-ES"/>
        </w:rPr>
        <w:t>motivada por la orientación sexual del señor Olivera, máxime si la representación de Supermercados Peruanos</w:t>
      </w:r>
      <w:r w:rsidR="008821E6" w:rsidRPr="004A30A8">
        <w:rPr>
          <w:lang w:val="es-ES"/>
        </w:rPr>
        <w:t xml:space="preserve"> S.A.</w:t>
      </w:r>
      <w:r w:rsidR="003B5A2D" w:rsidRPr="004A30A8">
        <w:rPr>
          <w:lang w:val="es-ES"/>
        </w:rPr>
        <w:t xml:space="preserve"> siempre sostuvo que la misma solicitud de modificación de conducta hubiera operado en caso de una pareja heterosexual. Advirtió que</w:t>
      </w:r>
      <w:r w:rsidR="00D03FD4" w:rsidRPr="004A30A8">
        <w:rPr>
          <w:lang w:val="es-ES"/>
        </w:rPr>
        <w:t>,</w:t>
      </w:r>
      <w:r w:rsidR="003B5A2D" w:rsidRPr="004A30A8">
        <w:rPr>
          <w:lang w:val="es-ES"/>
        </w:rPr>
        <w:t xml:space="preserve"> teniendo en cuenta que el principio de presunción de inocencia exige un estándar probatorio a efecto de determinar la culpabilidad de una persona, no puede exigirse al demandado en un procedimiento administrativo sancionador que asuma la carga de la prueba, a fin de comprobar su inocencia bajo pena de ser sancionado.</w:t>
      </w:r>
    </w:p>
    <w:p w14:paraId="51B110B8" w14:textId="77777777" w:rsidR="00716E29" w:rsidRPr="004A30A8" w:rsidRDefault="00716E29" w:rsidP="00716E29">
      <w:pPr>
        <w:tabs>
          <w:tab w:val="left" w:pos="567"/>
        </w:tabs>
        <w:spacing w:line="240" w:lineRule="auto"/>
        <w:rPr>
          <w:lang w:val="es-ES"/>
        </w:rPr>
      </w:pPr>
    </w:p>
    <w:p w14:paraId="63761D6A" w14:textId="77777777" w:rsidR="00F0678F" w:rsidRPr="004A30A8" w:rsidRDefault="00F0678F" w:rsidP="00F0678F">
      <w:pPr>
        <w:numPr>
          <w:ilvl w:val="0"/>
          <w:numId w:val="7"/>
        </w:numPr>
        <w:tabs>
          <w:tab w:val="left" w:pos="567"/>
          <w:tab w:val="num" w:pos="1569"/>
          <w:tab w:val="num" w:pos="12305"/>
        </w:tabs>
        <w:spacing w:line="240" w:lineRule="auto"/>
        <w:ind w:left="0" w:firstLine="0"/>
      </w:pPr>
      <w:r w:rsidRPr="004A30A8">
        <w:rPr>
          <w:lang w:val="es-ES"/>
        </w:rPr>
        <w:t xml:space="preserve">En relación con la alegada vulneración del artículo 11 de la Convención Americana, el Estado indicó que (a) no se podía afirmar que haya existido una intervención </w:t>
      </w:r>
      <w:r w:rsidRPr="004A30A8">
        <w:t>por</w:t>
      </w:r>
      <w:r w:rsidRPr="004A30A8">
        <w:rPr>
          <w:lang w:val="es-ES"/>
        </w:rPr>
        <w:t xml:space="preserve"> parte de agentes estatales, en tanto que, ello no se encuentra debidamente respaldado, ni acreditado en los pronunciamientos administrativos y judiciales expedidos en sede interna y que (b) los tribunales internos descartaron motivar su posición con base a argumentos estereotipados, en tanto que, el resultado del proceso se justificó en la</w:t>
      </w:r>
      <w:r w:rsidRPr="004A30A8">
        <w:t xml:space="preserve"> </w:t>
      </w:r>
      <w:r w:rsidRPr="004A30A8">
        <w:rPr>
          <w:lang w:val="es-ES"/>
        </w:rPr>
        <w:t xml:space="preserve">insuficiencia probatoria, y, </w:t>
      </w:r>
      <w:r w:rsidRPr="004A30A8">
        <w:t>por</w:t>
      </w:r>
      <w:r w:rsidRPr="004A30A8">
        <w:rPr>
          <w:lang w:val="es-ES"/>
        </w:rPr>
        <w:t xml:space="preserve"> ende, no se produjo una injerencia en la vida privada del señor Olivera. Asimismo, sostuvo que, según la plataforma fáctica debatida en la etapa de fondo ante la Comisión, no resultaba posible analizar la vulneración del derecho al libre desarrollo de la personalidad con posterioridad a los hechos que integran el marco fáctico. </w:t>
      </w:r>
      <w:r w:rsidRPr="004A30A8">
        <w:t xml:space="preserve">Asimismo, en relación con la alegada violación del artículo 24 de la Convención Americana, el Estado argumentó que (a) no existía en Perú un marco de discriminación estructural, en tanto que, las autoridades, a través de medidas legislativas, administrativas y jurisprudenciales proscriben los actos discriminatorios y vienen implementando medidas positivas en aras de lograr la igualdad, (b) tampoco se produjo en el caso concreto una discriminación </w:t>
      </w:r>
      <w:r w:rsidRPr="004A30A8">
        <w:rPr>
          <w:i/>
          <w:iCs/>
        </w:rPr>
        <w:t>de facto</w:t>
      </w:r>
      <w:r w:rsidRPr="004A30A8">
        <w:t xml:space="preserve">, debido a que no existía un término de comparación y (c) tampoco tuvo lugar un acto de discriminación </w:t>
      </w:r>
      <w:r w:rsidRPr="004A30A8">
        <w:rPr>
          <w:i/>
          <w:iCs/>
        </w:rPr>
        <w:t>de jure</w:t>
      </w:r>
      <w:r w:rsidRPr="004A30A8">
        <w:t xml:space="preserve"> en tanto que los tribunales internos aplicaron la norma interna sin móviles discriminatorios. </w:t>
      </w:r>
    </w:p>
    <w:p w14:paraId="505DBCEF" w14:textId="77777777" w:rsidR="00F55DED" w:rsidRPr="004A30A8" w:rsidRDefault="00F55DED" w:rsidP="00F55DED">
      <w:pPr>
        <w:tabs>
          <w:tab w:val="left" w:pos="567"/>
        </w:tabs>
        <w:spacing w:line="240" w:lineRule="auto"/>
      </w:pPr>
    </w:p>
    <w:p w14:paraId="69CFCF53" w14:textId="32EA7CB7" w:rsidR="00F0678F" w:rsidRPr="004A30A8" w:rsidRDefault="00F0678F" w:rsidP="00F0678F">
      <w:pPr>
        <w:numPr>
          <w:ilvl w:val="0"/>
          <w:numId w:val="7"/>
        </w:numPr>
        <w:tabs>
          <w:tab w:val="left" w:pos="567"/>
          <w:tab w:val="num" w:pos="1569"/>
          <w:tab w:val="num" w:pos="12305"/>
        </w:tabs>
        <w:spacing w:line="240" w:lineRule="auto"/>
        <w:ind w:left="0" w:firstLine="0"/>
      </w:pPr>
      <w:r w:rsidRPr="004A30A8">
        <w:t xml:space="preserve">En relación con la alegada violación del artículo 7 de la Convención, el Estado indicó </w:t>
      </w:r>
      <w:r w:rsidR="00D03FD4" w:rsidRPr="004A30A8">
        <w:t xml:space="preserve">que </w:t>
      </w:r>
      <w:r w:rsidRPr="004A30A8">
        <w:t xml:space="preserve">tanto la Corte Interamericana como el Tribunal Europeo de Derechos Humanos (en adelante “el TEDH”) entienden que existe una afectación a la libertad personal cuando hay alguna restricción por medidas de inmovilización, retención o alguna práctica análoga que impida el desplazamiento físico de la persona, situación disímil a la del presente caso, precisando además que este caso se diferenciaba de los casos </w:t>
      </w:r>
      <w:r w:rsidRPr="004A30A8">
        <w:rPr>
          <w:i/>
          <w:iCs/>
        </w:rPr>
        <w:t>I.V. Vs. Bolivia</w:t>
      </w:r>
      <w:r w:rsidRPr="004A30A8">
        <w:t xml:space="preserve"> y </w:t>
      </w:r>
      <w:r w:rsidRPr="004A30A8">
        <w:rPr>
          <w:i/>
          <w:iCs/>
        </w:rPr>
        <w:t>Atala Riffo y niñas Vs. Chile</w:t>
      </w:r>
      <w:r w:rsidRPr="004A30A8">
        <w:t xml:space="preserve">. </w:t>
      </w:r>
    </w:p>
    <w:p w14:paraId="18463856" w14:textId="77777777" w:rsidR="005B282F" w:rsidRPr="004A30A8" w:rsidRDefault="005B282F" w:rsidP="005B282F">
      <w:pPr>
        <w:tabs>
          <w:tab w:val="left" w:pos="567"/>
        </w:tabs>
        <w:spacing w:line="240" w:lineRule="auto"/>
      </w:pPr>
    </w:p>
    <w:p w14:paraId="5361629F" w14:textId="77777777" w:rsidR="00F0678F" w:rsidRPr="004A30A8" w:rsidRDefault="00F0678F" w:rsidP="00F0678F">
      <w:pPr>
        <w:numPr>
          <w:ilvl w:val="0"/>
          <w:numId w:val="7"/>
        </w:numPr>
        <w:tabs>
          <w:tab w:val="left" w:pos="567"/>
          <w:tab w:val="num" w:pos="1569"/>
          <w:tab w:val="num" w:pos="12305"/>
        </w:tabs>
        <w:spacing w:line="240" w:lineRule="auto"/>
        <w:ind w:left="0" w:firstLine="0"/>
      </w:pPr>
      <w:r w:rsidRPr="004A30A8">
        <w:t xml:space="preserve">Por otro lado, en relación con la alegada violación del artículo 13 de la Convención Americana, el Estado indicó que no existieron los medios probatorios suficientes para demostrar que la intervención en este derecho fue arbitraria. Añadió que este derecho </w:t>
      </w:r>
      <w:r w:rsidRPr="004A30A8">
        <w:lastRenderedPageBreak/>
        <w:t xml:space="preserve">no fue invocado ni discutido en sede administrativa o judicial. </w:t>
      </w:r>
    </w:p>
    <w:p w14:paraId="12BE3AA7" w14:textId="77777777" w:rsidR="003153DF" w:rsidRPr="004A30A8" w:rsidRDefault="003153DF" w:rsidP="003153DF">
      <w:pPr>
        <w:tabs>
          <w:tab w:val="left" w:pos="567"/>
        </w:tabs>
        <w:spacing w:line="240" w:lineRule="auto"/>
      </w:pPr>
    </w:p>
    <w:p w14:paraId="5CD26D8E" w14:textId="05658730" w:rsidR="00F0678F" w:rsidRPr="004A30A8" w:rsidRDefault="00F0678F" w:rsidP="00F0678F">
      <w:pPr>
        <w:numPr>
          <w:ilvl w:val="0"/>
          <w:numId w:val="7"/>
        </w:numPr>
        <w:tabs>
          <w:tab w:val="left" w:pos="567"/>
          <w:tab w:val="num" w:pos="1569"/>
          <w:tab w:val="num" w:pos="12305"/>
        </w:tabs>
        <w:spacing w:line="240" w:lineRule="auto"/>
        <w:ind w:left="0" w:firstLine="0"/>
        <w:rPr>
          <w:lang w:val="es-ES"/>
        </w:rPr>
      </w:pPr>
      <w:r w:rsidRPr="004A30A8">
        <w:t xml:space="preserve">En lo que respecta al plazo razonable, el Estado indicó, respecto de la complejidad del asunto que, al haberse interpuesto una denuncia ante la Comisión de Protección al Consumidor del Indecopi y haberse activado un procedimiento administrativo sancionador, se requería de una etapa probatoria extensa, donde se brindara un tiempo prudencial a la empresa demandada a efectos de que la misma pueda presentar sus descargos, así como las pruebas que considerara pertinentes con el objeto de deslindar su responsabilidad. En cuanto a la conducta de las autoridades, </w:t>
      </w:r>
      <w:r w:rsidR="00730418" w:rsidRPr="004A30A8">
        <w:t xml:space="preserve">señaló </w:t>
      </w:r>
      <w:r w:rsidRPr="004A30A8">
        <w:t xml:space="preserve">que no se apreciaba en el presente caso que las mismas hayan dilatado de forma excesiva el procedimiento, por el contrario, se había brindado atención a las pretensiones del señor Olivera hasta en cinco instancias diferentes, lo que, sin lugar a duda, había ocasionado que el tiempo de tramitación haya sido considerable. Destacó que no existieron periodos de inactividad por parte de los órganos jurisdiccionales, ni incumplimiento de sus funciones que haya determinado una prolongación excesiva en la duración del trámite judicial. Por último, en relación con la situación jurídica del señor Olivera, es muy importante notar que la misma no atravesaba una situación de urgencia o de peligro de daño irreparable, motivo por el cual no existía razón alguna para brindar atención especialmente célere al presente caso. </w:t>
      </w:r>
    </w:p>
    <w:p w14:paraId="4CDCD698" w14:textId="160D8E50" w:rsidR="00355F20" w:rsidRPr="004A30A8" w:rsidRDefault="008E4A60" w:rsidP="003153DF">
      <w:pPr>
        <w:pStyle w:val="Ttulo2"/>
        <w:spacing w:before="360" w:after="360"/>
        <w:ind w:left="924" w:hanging="357"/>
      </w:pPr>
      <w:bookmarkStart w:id="50" w:name="_Toc129887113"/>
      <w:r w:rsidRPr="004A30A8">
        <w:t>B.</w:t>
      </w:r>
      <w:r w:rsidR="00172C60" w:rsidRPr="004A30A8">
        <w:t xml:space="preserve"> </w:t>
      </w:r>
      <w:r w:rsidR="008305A3" w:rsidRPr="004A30A8">
        <w:t>Consideraciones de la Corte</w:t>
      </w:r>
      <w:bookmarkEnd w:id="50"/>
    </w:p>
    <w:p w14:paraId="33781CF6" w14:textId="77B42786" w:rsidR="00F5040C" w:rsidRPr="004A30A8" w:rsidRDefault="009117FF" w:rsidP="003153DF">
      <w:pPr>
        <w:pStyle w:val="Ttulo3"/>
        <w:spacing w:before="360" w:after="360"/>
        <w:ind w:left="992"/>
        <w:contextualSpacing w:val="0"/>
        <w:rPr>
          <w:b w:val="0"/>
          <w:bCs/>
          <w:lang w:val="es-ES"/>
        </w:rPr>
      </w:pPr>
      <w:bookmarkStart w:id="51" w:name="_Toc129887114"/>
      <w:r w:rsidRPr="004A30A8">
        <w:rPr>
          <w:b w:val="0"/>
          <w:bCs/>
          <w:lang w:val="es-ES"/>
        </w:rPr>
        <w:t>B</w:t>
      </w:r>
      <w:r w:rsidR="001332C5" w:rsidRPr="004A30A8">
        <w:rPr>
          <w:b w:val="0"/>
          <w:bCs/>
          <w:lang w:val="es-ES"/>
        </w:rPr>
        <w:t>.1 Consideraciones generales sobre el derecho a la igualdad y no discriminación</w:t>
      </w:r>
      <w:bookmarkEnd w:id="51"/>
    </w:p>
    <w:p w14:paraId="7AFD9F40" w14:textId="0EC1971C" w:rsidR="00F417CE" w:rsidRPr="004A30A8" w:rsidRDefault="0080120E">
      <w:pPr>
        <w:numPr>
          <w:ilvl w:val="0"/>
          <w:numId w:val="7"/>
        </w:numPr>
        <w:tabs>
          <w:tab w:val="left" w:pos="567"/>
          <w:tab w:val="num" w:pos="1569"/>
          <w:tab w:val="num" w:pos="12305"/>
        </w:tabs>
        <w:spacing w:line="240" w:lineRule="auto"/>
        <w:ind w:left="0" w:firstLine="0"/>
        <w:rPr>
          <w:lang w:val="es-ES"/>
        </w:rPr>
      </w:pPr>
      <w:r w:rsidRPr="004A30A8">
        <w:t xml:space="preserve">La noción de igualdad </w:t>
      </w:r>
      <w:r w:rsidR="000148B4" w:rsidRPr="004A30A8">
        <w:t xml:space="preserve">que recogen los artículos 1.1 y 24 de la Convención Americana </w:t>
      </w:r>
      <w:r w:rsidRPr="004A30A8">
        <w:t xml:space="preserve">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w:t>
      </w:r>
      <w:r w:rsidRPr="004A30A8">
        <w:rPr>
          <w:rFonts w:eastAsia="Cambria" w:cs="Cambria"/>
          <w:lang w:val="es-ES_tradnl"/>
        </w:rPr>
        <w:t>a</w:t>
      </w:r>
      <w:r w:rsidRPr="004A30A8">
        <w:t xml:space="preserve"> quienes no se consideran incursos en tal situación</w:t>
      </w:r>
      <w:r w:rsidRPr="004A30A8">
        <w:rPr>
          <w:rStyle w:val="Refdenotaalpie"/>
          <w:rFonts w:eastAsia="Times"/>
          <w:lang w:eastAsia="es-ES"/>
        </w:rPr>
        <w:footnoteReference w:id="88"/>
      </w:r>
      <w:r w:rsidRPr="004A30A8">
        <w:t xml:space="preserve">. </w:t>
      </w:r>
      <w:r w:rsidR="007548CC" w:rsidRPr="004A30A8">
        <w:rPr>
          <w:rFonts w:eastAsia="Cambria" w:cs="Cambria"/>
          <w:lang w:val="es-ES_tradnl"/>
        </w:rPr>
        <w:t xml:space="preserve">El Tribunal ha </w:t>
      </w:r>
      <w:r w:rsidR="00A1501D" w:rsidRPr="004A30A8">
        <w:rPr>
          <w:rFonts w:eastAsia="Cambria" w:cs="Cambria"/>
          <w:lang w:val="es-ES_tradnl"/>
        </w:rPr>
        <w:t xml:space="preserve">señalado </w:t>
      </w:r>
      <w:r w:rsidR="007548CC" w:rsidRPr="004A30A8">
        <w:rPr>
          <w:rFonts w:eastAsia="Cambria" w:cs="Cambria"/>
          <w:lang w:val="es-ES_tradnl"/>
        </w:rPr>
        <w:t xml:space="preserve">que </w:t>
      </w:r>
      <w:r w:rsidR="007548CC" w:rsidRPr="004A30A8">
        <w:t>existe</w:t>
      </w:r>
      <w:r w:rsidR="007548CC" w:rsidRPr="004A30A8">
        <w:rPr>
          <w:spacing w:val="-17"/>
        </w:rPr>
        <w:t xml:space="preserve"> </w:t>
      </w:r>
      <w:r w:rsidR="007548CC" w:rsidRPr="004A30A8">
        <w:t>un</w:t>
      </w:r>
      <w:r w:rsidR="007548CC" w:rsidRPr="004A30A8">
        <w:rPr>
          <w:spacing w:val="-18"/>
        </w:rPr>
        <w:t xml:space="preserve"> </w:t>
      </w:r>
      <w:r w:rsidR="007548CC" w:rsidRPr="004A30A8">
        <w:t>vínculo</w:t>
      </w:r>
      <w:r w:rsidR="007548CC" w:rsidRPr="004A30A8">
        <w:rPr>
          <w:spacing w:val="-17"/>
        </w:rPr>
        <w:t xml:space="preserve"> </w:t>
      </w:r>
      <w:r w:rsidR="007548CC" w:rsidRPr="004A30A8">
        <w:t xml:space="preserve">indisoluble entre la obligación de respetar y garantizar los derechos humanos y el principio de igualdad y no </w:t>
      </w:r>
      <w:r w:rsidR="007548CC" w:rsidRPr="004A30A8">
        <w:rPr>
          <w:spacing w:val="-2"/>
        </w:rPr>
        <w:t>discriminación</w:t>
      </w:r>
      <w:r w:rsidR="007548CC" w:rsidRPr="004A30A8">
        <w:rPr>
          <w:rStyle w:val="Refdenotaalpie"/>
          <w:spacing w:val="-2"/>
        </w:rPr>
        <w:footnoteReference w:id="89"/>
      </w:r>
      <w:r w:rsidR="007548CC" w:rsidRPr="004A30A8">
        <w:rPr>
          <w:spacing w:val="-2"/>
        </w:rPr>
        <w:t>. Además, l</w:t>
      </w:r>
      <w:r w:rsidRPr="004A30A8">
        <w:t>a jurisprudencia de la Corte ha indicado que</w:t>
      </w:r>
      <w:r w:rsidR="007B048F" w:rsidRPr="004A30A8">
        <w:t>,</w:t>
      </w:r>
      <w:r w:rsidRPr="004A30A8">
        <w:t xml:space="preserve"> en la actual etapa de la evolución del derecho internacional, el principio fundamental de igualdad y no discriminación ha ingresado en el dominio del </w:t>
      </w:r>
      <w:r w:rsidRPr="004A30A8">
        <w:rPr>
          <w:i/>
        </w:rPr>
        <w:t>ius cogens</w:t>
      </w:r>
      <w:r w:rsidRPr="004A30A8">
        <w:t>.</w:t>
      </w:r>
      <w:r w:rsidRPr="004A30A8">
        <w:rPr>
          <w:i/>
        </w:rPr>
        <w:t xml:space="preserve"> </w:t>
      </w:r>
      <w:r w:rsidRPr="004A30A8">
        <w:t>Sobre él descansa el andamiaje jurídico del orden público nacional e internacional y permea todo el ordenamiento jurídico</w:t>
      </w:r>
      <w:r w:rsidRPr="004A30A8">
        <w:rPr>
          <w:rStyle w:val="Refdenotaalpie"/>
        </w:rPr>
        <w:footnoteReference w:id="90"/>
      </w:r>
      <w:r w:rsidR="000148B4" w:rsidRPr="004A30A8">
        <w:t>.</w:t>
      </w:r>
      <w:r w:rsidR="007548CC" w:rsidRPr="004A30A8">
        <w:t xml:space="preserve"> </w:t>
      </w:r>
    </w:p>
    <w:p w14:paraId="04C41446" w14:textId="77777777" w:rsidR="00F417CE" w:rsidRPr="004A30A8" w:rsidRDefault="00F417CE" w:rsidP="00F417CE">
      <w:pPr>
        <w:tabs>
          <w:tab w:val="left" w:pos="567"/>
        </w:tabs>
        <w:spacing w:line="240" w:lineRule="auto"/>
        <w:rPr>
          <w:lang w:val="es-ES"/>
        </w:rPr>
      </w:pPr>
    </w:p>
    <w:p w14:paraId="7C08FD06" w14:textId="4AD27123" w:rsidR="00F417CE" w:rsidRPr="004A30A8" w:rsidRDefault="00F417CE">
      <w:pPr>
        <w:numPr>
          <w:ilvl w:val="0"/>
          <w:numId w:val="7"/>
        </w:numPr>
        <w:tabs>
          <w:tab w:val="left" w:pos="567"/>
          <w:tab w:val="num" w:pos="1569"/>
          <w:tab w:val="num" w:pos="12305"/>
        </w:tabs>
        <w:spacing w:line="240" w:lineRule="auto"/>
        <w:ind w:left="0" w:firstLine="0"/>
        <w:rPr>
          <w:lang w:val="es-ES"/>
        </w:rPr>
      </w:pPr>
      <w:r w:rsidRPr="004A30A8">
        <w:rPr>
          <w:lang w:val="es-ES"/>
        </w:rPr>
        <w:t xml:space="preserve">Por otra parte, la Corte recuerda que del artículo 24 de la Convención se desprende </w:t>
      </w:r>
      <w:r w:rsidRPr="004A30A8">
        <w:rPr>
          <w:lang w:val="es-ES"/>
        </w:rPr>
        <w:lastRenderedPageBreak/>
        <w:t>un mandato orientado a garantizar la igualdad material</w:t>
      </w:r>
      <w:r w:rsidR="00F37967" w:rsidRPr="004A30A8">
        <w:rPr>
          <w:lang w:val="es-ES"/>
        </w:rPr>
        <w:t xml:space="preserve">. </w:t>
      </w:r>
      <w:r w:rsidRPr="004A30A8">
        <w:rPr>
          <w:lang w:val="es-ES"/>
        </w:rPr>
        <w:t xml:space="preserve">En ese sentido, la Corte recuerda que el derecho a la igualdad garantizado por el artículo 24 convencional tiene dos dimensiones, la primera una dimensión formal, que establece la igualdad ante la ley. La segunda, una dimensión material o sustancial, que ordena la adopción de medidas positivas de promoción a favor de grupos históricamente discriminados o marginados en razón de los factores a los que hace referencia el artículo 1.1 de la Convención Americana. Lo anterior </w:t>
      </w:r>
      <w:r w:rsidRPr="004A30A8">
        <w:t>quiere</w:t>
      </w:r>
      <w:r w:rsidRPr="004A30A8">
        <w:rPr>
          <w:lang w:val="es-ES"/>
        </w:rPr>
        <w:t xml:space="preserve"> decir que el derecho a la igualdad implica la obligación de adoptar medidas para garantizar que la igualdad sea real y efectiva, esto es, corregir las desigualdades existentes, promover la inclusión y la participación de los grupos históricamente marginados, garantizar a las personas o grupos en desventaja el goce efectivo de sus derechos, en suma, brindar a </w:t>
      </w:r>
      <w:r w:rsidR="00F37967" w:rsidRPr="004A30A8">
        <w:rPr>
          <w:lang w:val="es-ES"/>
        </w:rPr>
        <w:t>cada</w:t>
      </w:r>
      <w:r w:rsidRPr="004A30A8">
        <w:rPr>
          <w:lang w:val="es-ES"/>
        </w:rPr>
        <w:t xml:space="preserve"> persona posibilidades concretas de ver realizada, la igualdad material. Para ello, los Estados deben enfrentar activamente situaciones de exclusión y marginación</w:t>
      </w:r>
      <w:r w:rsidRPr="004A30A8">
        <w:rPr>
          <w:rStyle w:val="Refdenotaalpie"/>
          <w:lang w:val="es-ES"/>
        </w:rPr>
        <w:footnoteReference w:id="91"/>
      </w:r>
      <w:r w:rsidRPr="004A30A8">
        <w:rPr>
          <w:lang w:val="es-ES"/>
        </w:rPr>
        <w:t>.</w:t>
      </w:r>
    </w:p>
    <w:p w14:paraId="57AFB959" w14:textId="7FDFD96B" w:rsidR="00D35372" w:rsidRPr="004A30A8" w:rsidRDefault="00D35372" w:rsidP="00F417CE">
      <w:pPr>
        <w:tabs>
          <w:tab w:val="left" w:pos="567"/>
        </w:tabs>
        <w:spacing w:line="240" w:lineRule="auto"/>
        <w:rPr>
          <w:rFonts w:eastAsia="Cambria" w:cs="Cambria"/>
          <w:lang w:val="es-ES_tradnl"/>
        </w:rPr>
      </w:pPr>
    </w:p>
    <w:p w14:paraId="54AA78F6" w14:textId="3963EDEB" w:rsidR="000E1DDF" w:rsidRPr="004A30A8" w:rsidRDefault="00D35372" w:rsidP="000E1DDF">
      <w:pPr>
        <w:numPr>
          <w:ilvl w:val="0"/>
          <w:numId w:val="7"/>
        </w:numPr>
        <w:tabs>
          <w:tab w:val="left" w:pos="567"/>
          <w:tab w:val="num" w:pos="1569"/>
          <w:tab w:val="num" w:pos="12305"/>
        </w:tabs>
        <w:spacing w:line="240" w:lineRule="auto"/>
        <w:ind w:left="0" w:firstLine="0"/>
      </w:pPr>
      <w:r w:rsidRPr="004A30A8">
        <w:t>Por otro lado, es relevante recordar que, m</w:t>
      </w:r>
      <w:r w:rsidR="00723B37" w:rsidRPr="004A30A8">
        <w:t>ientras</w:t>
      </w:r>
      <w:r w:rsidR="00723B37" w:rsidRPr="004A30A8">
        <w:rPr>
          <w:spacing w:val="-10"/>
        </w:rPr>
        <w:t xml:space="preserve"> </w:t>
      </w:r>
      <w:r w:rsidR="00723B37" w:rsidRPr="004A30A8">
        <w:t>que</w:t>
      </w:r>
      <w:r w:rsidR="00723B37" w:rsidRPr="004A30A8">
        <w:rPr>
          <w:spacing w:val="-11"/>
        </w:rPr>
        <w:t xml:space="preserve"> </w:t>
      </w:r>
      <w:r w:rsidR="00723B37" w:rsidRPr="004A30A8">
        <w:t>la</w:t>
      </w:r>
      <w:r w:rsidR="00723B37" w:rsidRPr="004A30A8">
        <w:rPr>
          <w:spacing w:val="-10"/>
        </w:rPr>
        <w:t xml:space="preserve"> </w:t>
      </w:r>
      <w:r w:rsidR="00723B37" w:rsidRPr="004A30A8">
        <w:t>obligación</w:t>
      </w:r>
      <w:r w:rsidR="00723B37" w:rsidRPr="004A30A8">
        <w:rPr>
          <w:spacing w:val="-10"/>
        </w:rPr>
        <w:t xml:space="preserve"> </w:t>
      </w:r>
      <w:r w:rsidR="00723B37" w:rsidRPr="004A30A8">
        <w:t>general</w:t>
      </w:r>
      <w:r w:rsidR="00723B37" w:rsidRPr="004A30A8">
        <w:rPr>
          <w:spacing w:val="-10"/>
        </w:rPr>
        <w:t xml:space="preserve"> </w:t>
      </w:r>
      <w:r w:rsidR="00723B37" w:rsidRPr="004A30A8">
        <w:t>del</w:t>
      </w:r>
      <w:r w:rsidR="00723B37" w:rsidRPr="004A30A8">
        <w:rPr>
          <w:spacing w:val="-10"/>
        </w:rPr>
        <w:t xml:space="preserve"> </w:t>
      </w:r>
      <w:r w:rsidR="00723B37" w:rsidRPr="004A30A8">
        <w:t>artículo</w:t>
      </w:r>
      <w:r w:rsidR="00723B37" w:rsidRPr="004A30A8">
        <w:rPr>
          <w:spacing w:val="-11"/>
        </w:rPr>
        <w:t xml:space="preserve"> </w:t>
      </w:r>
      <w:r w:rsidR="00723B37" w:rsidRPr="004A30A8">
        <w:t>1.1</w:t>
      </w:r>
      <w:r w:rsidR="00723B37" w:rsidRPr="004A30A8">
        <w:rPr>
          <w:spacing w:val="-10"/>
        </w:rPr>
        <w:t xml:space="preserve"> </w:t>
      </w:r>
      <w:r w:rsidR="00723B37" w:rsidRPr="004A30A8">
        <w:t>se</w:t>
      </w:r>
      <w:r w:rsidR="00723B37" w:rsidRPr="004A30A8">
        <w:rPr>
          <w:spacing w:val="-11"/>
        </w:rPr>
        <w:t xml:space="preserve"> </w:t>
      </w:r>
      <w:r w:rsidR="00723B37" w:rsidRPr="004A30A8">
        <w:t>refiere</w:t>
      </w:r>
      <w:r w:rsidR="00723B37" w:rsidRPr="004A30A8">
        <w:rPr>
          <w:spacing w:val="-11"/>
        </w:rPr>
        <w:t xml:space="preserve"> </w:t>
      </w:r>
      <w:r w:rsidR="00723B37" w:rsidRPr="004A30A8">
        <w:t>al</w:t>
      </w:r>
      <w:r w:rsidR="00723B37" w:rsidRPr="004A30A8">
        <w:rPr>
          <w:spacing w:val="-10"/>
        </w:rPr>
        <w:t xml:space="preserve"> </w:t>
      </w:r>
      <w:r w:rsidR="00723B37" w:rsidRPr="004A30A8">
        <w:t>deber</w:t>
      </w:r>
      <w:r w:rsidR="00723B37" w:rsidRPr="004A30A8">
        <w:rPr>
          <w:spacing w:val="-11"/>
        </w:rPr>
        <w:t xml:space="preserve"> </w:t>
      </w:r>
      <w:r w:rsidR="00723B37" w:rsidRPr="004A30A8">
        <w:t>del</w:t>
      </w:r>
      <w:r w:rsidR="00723B37" w:rsidRPr="004A30A8">
        <w:rPr>
          <w:spacing w:val="-10"/>
        </w:rPr>
        <w:t xml:space="preserve"> </w:t>
      </w:r>
      <w:r w:rsidR="00723B37" w:rsidRPr="004A30A8">
        <w:t>Estado de</w:t>
      </w:r>
      <w:r w:rsidR="00723B37" w:rsidRPr="004A30A8">
        <w:rPr>
          <w:spacing w:val="-3"/>
        </w:rPr>
        <w:t xml:space="preserve"> </w:t>
      </w:r>
      <w:r w:rsidR="00723B37" w:rsidRPr="004A30A8">
        <w:t>respetar</w:t>
      </w:r>
      <w:r w:rsidR="00723B37" w:rsidRPr="004A30A8">
        <w:rPr>
          <w:spacing w:val="-3"/>
        </w:rPr>
        <w:t xml:space="preserve"> </w:t>
      </w:r>
      <w:r w:rsidR="00723B37" w:rsidRPr="004A30A8">
        <w:t>y</w:t>
      </w:r>
      <w:r w:rsidR="00723B37" w:rsidRPr="004A30A8">
        <w:rPr>
          <w:spacing w:val="-2"/>
        </w:rPr>
        <w:t xml:space="preserve"> </w:t>
      </w:r>
      <w:r w:rsidR="00723B37" w:rsidRPr="004A30A8">
        <w:t>garantizar</w:t>
      </w:r>
      <w:r w:rsidR="00723B37" w:rsidRPr="004A30A8">
        <w:rPr>
          <w:spacing w:val="-3"/>
        </w:rPr>
        <w:t xml:space="preserve"> </w:t>
      </w:r>
      <w:r w:rsidR="00723B37" w:rsidRPr="004A30A8">
        <w:t>“sin</w:t>
      </w:r>
      <w:r w:rsidR="00723B37" w:rsidRPr="004A30A8">
        <w:rPr>
          <w:spacing w:val="-1"/>
        </w:rPr>
        <w:t xml:space="preserve"> </w:t>
      </w:r>
      <w:r w:rsidR="00723B37" w:rsidRPr="004A30A8">
        <w:t>discriminación”</w:t>
      </w:r>
      <w:r w:rsidR="00723B37" w:rsidRPr="004A30A8">
        <w:rPr>
          <w:spacing w:val="-2"/>
        </w:rPr>
        <w:t xml:space="preserve"> </w:t>
      </w:r>
      <w:r w:rsidR="00723B37" w:rsidRPr="004A30A8">
        <w:t>los</w:t>
      </w:r>
      <w:r w:rsidR="00723B37" w:rsidRPr="004A30A8">
        <w:rPr>
          <w:spacing w:val="-2"/>
        </w:rPr>
        <w:t xml:space="preserve"> </w:t>
      </w:r>
      <w:r w:rsidR="00723B37" w:rsidRPr="004A30A8">
        <w:t>derechos</w:t>
      </w:r>
      <w:r w:rsidR="00723B37" w:rsidRPr="004A30A8">
        <w:rPr>
          <w:spacing w:val="-2"/>
        </w:rPr>
        <w:t xml:space="preserve"> </w:t>
      </w:r>
      <w:r w:rsidR="00723B37" w:rsidRPr="004A30A8">
        <w:t>contenidos</w:t>
      </w:r>
      <w:r w:rsidR="00723B37" w:rsidRPr="004A30A8">
        <w:rPr>
          <w:spacing w:val="-2"/>
        </w:rPr>
        <w:t xml:space="preserve"> </w:t>
      </w:r>
      <w:r w:rsidR="00723B37" w:rsidRPr="004A30A8">
        <w:t>en</w:t>
      </w:r>
      <w:r w:rsidR="00723B37" w:rsidRPr="004A30A8">
        <w:rPr>
          <w:spacing w:val="-1"/>
        </w:rPr>
        <w:t xml:space="preserve"> </w:t>
      </w:r>
      <w:r w:rsidR="00723B37" w:rsidRPr="004A30A8">
        <w:t>la</w:t>
      </w:r>
      <w:r w:rsidR="00723B37" w:rsidRPr="004A30A8">
        <w:rPr>
          <w:spacing w:val="-4"/>
        </w:rPr>
        <w:t xml:space="preserve"> </w:t>
      </w:r>
      <w:r w:rsidR="00723B37" w:rsidRPr="004A30A8">
        <w:t>Convención</w:t>
      </w:r>
      <w:r w:rsidR="00723B37" w:rsidRPr="004A30A8">
        <w:rPr>
          <w:spacing w:val="-1"/>
        </w:rPr>
        <w:t xml:space="preserve"> </w:t>
      </w:r>
      <w:r w:rsidR="00723B37" w:rsidRPr="004A30A8">
        <w:t>Americana,</w:t>
      </w:r>
      <w:r w:rsidR="00723B37" w:rsidRPr="004A30A8">
        <w:rPr>
          <w:spacing w:val="-5"/>
        </w:rPr>
        <w:t xml:space="preserve"> </w:t>
      </w:r>
      <w:r w:rsidR="00723B37" w:rsidRPr="004A30A8">
        <w:t>el artículo</w:t>
      </w:r>
      <w:r w:rsidR="00723B37" w:rsidRPr="004A30A8">
        <w:rPr>
          <w:spacing w:val="-15"/>
        </w:rPr>
        <w:t xml:space="preserve"> </w:t>
      </w:r>
      <w:r w:rsidR="00723B37" w:rsidRPr="004A30A8">
        <w:t>24</w:t>
      </w:r>
      <w:r w:rsidR="00723B37" w:rsidRPr="004A30A8">
        <w:rPr>
          <w:spacing w:val="-14"/>
        </w:rPr>
        <w:t xml:space="preserve"> </w:t>
      </w:r>
      <w:r w:rsidR="00723B37" w:rsidRPr="004A30A8">
        <w:t>protege</w:t>
      </w:r>
      <w:r w:rsidR="00723B37" w:rsidRPr="004A30A8">
        <w:rPr>
          <w:spacing w:val="-13"/>
        </w:rPr>
        <w:t xml:space="preserve"> </w:t>
      </w:r>
      <w:r w:rsidR="00723B37" w:rsidRPr="004A30A8">
        <w:t>el</w:t>
      </w:r>
      <w:r w:rsidR="00723B37" w:rsidRPr="004A30A8">
        <w:rPr>
          <w:spacing w:val="-14"/>
        </w:rPr>
        <w:t xml:space="preserve"> </w:t>
      </w:r>
      <w:r w:rsidR="00723B37" w:rsidRPr="004A30A8">
        <w:t>derecho</w:t>
      </w:r>
      <w:r w:rsidR="00723B37" w:rsidRPr="004A30A8">
        <w:rPr>
          <w:spacing w:val="-15"/>
        </w:rPr>
        <w:t xml:space="preserve"> </w:t>
      </w:r>
      <w:r w:rsidR="00723B37" w:rsidRPr="004A30A8">
        <w:t>a</w:t>
      </w:r>
      <w:r w:rsidR="00723B37" w:rsidRPr="004A30A8">
        <w:rPr>
          <w:spacing w:val="-14"/>
        </w:rPr>
        <w:t xml:space="preserve"> </w:t>
      </w:r>
      <w:r w:rsidR="00F0678F" w:rsidRPr="004A30A8">
        <w:rPr>
          <w:spacing w:val="-14"/>
        </w:rPr>
        <w:t xml:space="preserve">una </w:t>
      </w:r>
      <w:r w:rsidR="00723B37" w:rsidRPr="004A30A8">
        <w:t>“igual</w:t>
      </w:r>
      <w:r w:rsidR="00723B37" w:rsidRPr="004A30A8">
        <w:rPr>
          <w:spacing w:val="-14"/>
        </w:rPr>
        <w:t xml:space="preserve"> </w:t>
      </w:r>
      <w:r w:rsidR="00723B37" w:rsidRPr="004A30A8">
        <w:t>protección</w:t>
      </w:r>
      <w:r w:rsidR="00723B37" w:rsidRPr="004A30A8">
        <w:rPr>
          <w:spacing w:val="-13"/>
        </w:rPr>
        <w:t xml:space="preserve"> </w:t>
      </w:r>
      <w:r w:rsidR="00723B37" w:rsidRPr="004A30A8">
        <w:t>de</w:t>
      </w:r>
      <w:r w:rsidR="00723B37" w:rsidRPr="004A30A8">
        <w:rPr>
          <w:spacing w:val="-15"/>
        </w:rPr>
        <w:t xml:space="preserve"> </w:t>
      </w:r>
      <w:r w:rsidR="00723B37" w:rsidRPr="004A30A8">
        <w:t>la</w:t>
      </w:r>
      <w:r w:rsidR="00723B37" w:rsidRPr="004A30A8">
        <w:rPr>
          <w:spacing w:val="-14"/>
        </w:rPr>
        <w:t xml:space="preserve"> </w:t>
      </w:r>
      <w:r w:rsidR="00723B37" w:rsidRPr="004A30A8">
        <w:t>ley”</w:t>
      </w:r>
      <w:r w:rsidR="00723B37" w:rsidRPr="004A30A8">
        <w:rPr>
          <w:rStyle w:val="Refdenotaalpie"/>
        </w:rPr>
        <w:footnoteReference w:id="92"/>
      </w:r>
      <w:r w:rsidR="00723B37" w:rsidRPr="004A30A8">
        <w:t>.</w:t>
      </w:r>
      <w:r w:rsidR="00723B37" w:rsidRPr="004A30A8">
        <w:rPr>
          <w:spacing w:val="-15"/>
        </w:rPr>
        <w:t xml:space="preserve"> </w:t>
      </w:r>
      <w:r w:rsidR="00723B37" w:rsidRPr="004A30A8">
        <w:t>Es</w:t>
      </w:r>
      <w:r w:rsidR="00723B37" w:rsidRPr="004A30A8">
        <w:rPr>
          <w:spacing w:val="-15"/>
        </w:rPr>
        <w:t xml:space="preserve"> </w:t>
      </w:r>
      <w:r w:rsidR="00723B37" w:rsidRPr="004A30A8">
        <w:t>decir,</w:t>
      </w:r>
      <w:r w:rsidR="00723B37" w:rsidRPr="004A30A8">
        <w:rPr>
          <w:spacing w:val="-12"/>
        </w:rPr>
        <w:t xml:space="preserve"> </w:t>
      </w:r>
      <w:r w:rsidR="00723B37" w:rsidRPr="004A30A8">
        <w:t>el</w:t>
      </w:r>
      <w:r w:rsidR="00723B37" w:rsidRPr="004A30A8">
        <w:rPr>
          <w:spacing w:val="-11"/>
        </w:rPr>
        <w:t xml:space="preserve"> </w:t>
      </w:r>
      <w:r w:rsidR="00723B37" w:rsidRPr="004A30A8">
        <w:t>artículo</w:t>
      </w:r>
      <w:r w:rsidR="00723B37" w:rsidRPr="004A30A8">
        <w:rPr>
          <w:spacing w:val="-15"/>
        </w:rPr>
        <w:t xml:space="preserve"> </w:t>
      </w:r>
      <w:r w:rsidR="00723B37" w:rsidRPr="004A30A8">
        <w:t>24</w:t>
      </w:r>
      <w:r w:rsidR="00723B37" w:rsidRPr="004A30A8">
        <w:rPr>
          <w:spacing w:val="-14"/>
        </w:rPr>
        <w:t xml:space="preserve"> </w:t>
      </w:r>
      <w:r w:rsidR="00723B37" w:rsidRPr="004A30A8">
        <w:t>de</w:t>
      </w:r>
      <w:r w:rsidR="00723B37" w:rsidRPr="004A30A8">
        <w:rPr>
          <w:spacing w:val="-15"/>
        </w:rPr>
        <w:t xml:space="preserve"> </w:t>
      </w:r>
      <w:r w:rsidR="00723B37" w:rsidRPr="004A30A8">
        <w:t>la</w:t>
      </w:r>
      <w:r w:rsidR="00723B37" w:rsidRPr="004A30A8">
        <w:rPr>
          <w:spacing w:val="-14"/>
        </w:rPr>
        <w:t xml:space="preserve"> </w:t>
      </w:r>
      <w:r w:rsidR="00723B37" w:rsidRPr="004A30A8">
        <w:t>Convención Americana</w:t>
      </w:r>
      <w:r w:rsidR="00723B37" w:rsidRPr="004A30A8">
        <w:rPr>
          <w:spacing w:val="-12"/>
        </w:rPr>
        <w:t xml:space="preserve"> </w:t>
      </w:r>
      <w:r w:rsidR="00723B37" w:rsidRPr="004A30A8">
        <w:t>prohíbe</w:t>
      </w:r>
      <w:r w:rsidR="00723B37" w:rsidRPr="004A30A8">
        <w:rPr>
          <w:spacing w:val="-11"/>
        </w:rPr>
        <w:t xml:space="preserve"> </w:t>
      </w:r>
      <w:r w:rsidR="00723B37" w:rsidRPr="004A30A8">
        <w:t>la</w:t>
      </w:r>
      <w:r w:rsidR="00723B37" w:rsidRPr="004A30A8">
        <w:rPr>
          <w:spacing w:val="-12"/>
        </w:rPr>
        <w:t xml:space="preserve"> </w:t>
      </w:r>
      <w:r w:rsidR="00723B37" w:rsidRPr="004A30A8">
        <w:t>discriminación</w:t>
      </w:r>
      <w:r w:rsidR="00723B37" w:rsidRPr="004A30A8">
        <w:rPr>
          <w:spacing w:val="-12"/>
        </w:rPr>
        <w:t xml:space="preserve"> </w:t>
      </w:r>
      <w:r w:rsidR="00723B37" w:rsidRPr="004A30A8">
        <w:t>de</w:t>
      </w:r>
      <w:r w:rsidR="00723B37" w:rsidRPr="004A30A8">
        <w:rPr>
          <w:spacing w:val="-14"/>
        </w:rPr>
        <w:t xml:space="preserve"> </w:t>
      </w:r>
      <w:r w:rsidR="00723B37" w:rsidRPr="004A30A8">
        <w:t>derecho,</w:t>
      </w:r>
      <w:r w:rsidR="00723B37" w:rsidRPr="004A30A8">
        <w:rPr>
          <w:spacing w:val="-13"/>
        </w:rPr>
        <w:t xml:space="preserve"> </w:t>
      </w:r>
      <w:r w:rsidR="00723B37" w:rsidRPr="004A30A8">
        <w:t>no</w:t>
      </w:r>
      <w:r w:rsidR="00723B37" w:rsidRPr="004A30A8">
        <w:rPr>
          <w:spacing w:val="-11"/>
        </w:rPr>
        <w:t xml:space="preserve"> </w:t>
      </w:r>
      <w:r w:rsidR="00723B37" w:rsidRPr="004A30A8">
        <w:t>sólo</w:t>
      </w:r>
      <w:r w:rsidR="00723B37" w:rsidRPr="004A30A8">
        <w:rPr>
          <w:spacing w:val="-9"/>
        </w:rPr>
        <w:t xml:space="preserve"> </w:t>
      </w:r>
      <w:r w:rsidR="00723B37" w:rsidRPr="004A30A8">
        <w:t>en</w:t>
      </w:r>
      <w:r w:rsidR="00723B37" w:rsidRPr="004A30A8">
        <w:rPr>
          <w:spacing w:val="-12"/>
        </w:rPr>
        <w:t xml:space="preserve"> </w:t>
      </w:r>
      <w:r w:rsidR="00723B37" w:rsidRPr="004A30A8">
        <w:t>cuanto</w:t>
      </w:r>
      <w:r w:rsidR="00723B37" w:rsidRPr="004A30A8">
        <w:rPr>
          <w:spacing w:val="-11"/>
        </w:rPr>
        <w:t xml:space="preserve"> </w:t>
      </w:r>
      <w:r w:rsidR="00723B37" w:rsidRPr="004A30A8">
        <w:t>a</w:t>
      </w:r>
      <w:r w:rsidR="00723B37" w:rsidRPr="004A30A8">
        <w:rPr>
          <w:spacing w:val="-12"/>
        </w:rPr>
        <w:t xml:space="preserve"> </w:t>
      </w:r>
      <w:r w:rsidR="00723B37" w:rsidRPr="004A30A8">
        <w:t>los</w:t>
      </w:r>
      <w:r w:rsidR="00723B37" w:rsidRPr="004A30A8">
        <w:rPr>
          <w:spacing w:val="-11"/>
        </w:rPr>
        <w:t xml:space="preserve"> </w:t>
      </w:r>
      <w:r w:rsidR="00723B37" w:rsidRPr="004A30A8">
        <w:t>derechos</w:t>
      </w:r>
      <w:r w:rsidR="00723B37" w:rsidRPr="004A30A8">
        <w:rPr>
          <w:spacing w:val="-11"/>
        </w:rPr>
        <w:t xml:space="preserve"> </w:t>
      </w:r>
      <w:r w:rsidR="00723B37" w:rsidRPr="004A30A8">
        <w:t>contenidos</w:t>
      </w:r>
      <w:r w:rsidR="00723B37" w:rsidRPr="004A30A8">
        <w:rPr>
          <w:spacing w:val="-11"/>
        </w:rPr>
        <w:t xml:space="preserve"> </w:t>
      </w:r>
      <w:r w:rsidR="00723B37" w:rsidRPr="004A30A8">
        <w:t>en</w:t>
      </w:r>
      <w:r w:rsidR="00723B37" w:rsidRPr="004A30A8">
        <w:rPr>
          <w:spacing w:val="-9"/>
        </w:rPr>
        <w:t xml:space="preserve"> </w:t>
      </w:r>
      <w:r w:rsidR="00723B37" w:rsidRPr="004A30A8">
        <w:t>dicho tratado,</w:t>
      </w:r>
      <w:r w:rsidR="00723B37" w:rsidRPr="004A30A8">
        <w:rPr>
          <w:spacing w:val="-3"/>
        </w:rPr>
        <w:t xml:space="preserve"> </w:t>
      </w:r>
      <w:r w:rsidR="00723B37" w:rsidRPr="004A30A8">
        <w:t>sino</w:t>
      </w:r>
      <w:r w:rsidR="00723B37" w:rsidRPr="004A30A8">
        <w:rPr>
          <w:spacing w:val="-3"/>
        </w:rPr>
        <w:t xml:space="preserve"> </w:t>
      </w:r>
      <w:r w:rsidR="00723B37" w:rsidRPr="004A30A8">
        <w:t>en</w:t>
      </w:r>
      <w:r w:rsidR="00723B37" w:rsidRPr="004A30A8">
        <w:rPr>
          <w:spacing w:val="-3"/>
        </w:rPr>
        <w:t xml:space="preserve"> </w:t>
      </w:r>
      <w:r w:rsidR="00723B37" w:rsidRPr="004A30A8">
        <w:t>lo</w:t>
      </w:r>
      <w:r w:rsidR="00723B37" w:rsidRPr="004A30A8">
        <w:rPr>
          <w:spacing w:val="-6"/>
        </w:rPr>
        <w:t xml:space="preserve"> </w:t>
      </w:r>
      <w:r w:rsidR="00723B37" w:rsidRPr="004A30A8">
        <w:t>que</w:t>
      </w:r>
      <w:r w:rsidR="00723B37" w:rsidRPr="004A30A8">
        <w:rPr>
          <w:spacing w:val="-3"/>
        </w:rPr>
        <w:t xml:space="preserve"> </w:t>
      </w:r>
      <w:r w:rsidR="00723B37" w:rsidRPr="004A30A8">
        <w:t>respecta</w:t>
      </w:r>
      <w:r w:rsidR="00723B37" w:rsidRPr="004A30A8">
        <w:rPr>
          <w:spacing w:val="-4"/>
        </w:rPr>
        <w:t xml:space="preserve"> </w:t>
      </w:r>
      <w:r w:rsidR="00723B37" w:rsidRPr="004A30A8">
        <w:t>a</w:t>
      </w:r>
      <w:r w:rsidR="00723B37" w:rsidRPr="004A30A8">
        <w:rPr>
          <w:spacing w:val="-2"/>
        </w:rPr>
        <w:t xml:space="preserve"> </w:t>
      </w:r>
      <w:r w:rsidR="00723B37" w:rsidRPr="004A30A8">
        <w:t>todas</w:t>
      </w:r>
      <w:r w:rsidR="00723B37" w:rsidRPr="004A30A8">
        <w:rPr>
          <w:spacing w:val="-3"/>
        </w:rPr>
        <w:t xml:space="preserve"> </w:t>
      </w:r>
      <w:r w:rsidR="00723B37" w:rsidRPr="004A30A8">
        <w:t>las</w:t>
      </w:r>
      <w:r w:rsidR="00723B37" w:rsidRPr="004A30A8">
        <w:rPr>
          <w:spacing w:val="-5"/>
        </w:rPr>
        <w:t xml:space="preserve"> </w:t>
      </w:r>
      <w:r w:rsidR="00723B37" w:rsidRPr="004A30A8">
        <w:t>leyes</w:t>
      </w:r>
      <w:r w:rsidR="00723B37" w:rsidRPr="004A30A8">
        <w:rPr>
          <w:spacing w:val="-5"/>
        </w:rPr>
        <w:t xml:space="preserve"> </w:t>
      </w:r>
      <w:r w:rsidR="00723B37" w:rsidRPr="004A30A8">
        <w:t>que</w:t>
      </w:r>
      <w:r w:rsidR="00723B37" w:rsidRPr="004A30A8">
        <w:rPr>
          <w:spacing w:val="-6"/>
        </w:rPr>
        <w:t xml:space="preserve"> </w:t>
      </w:r>
      <w:r w:rsidR="00723B37" w:rsidRPr="004A30A8">
        <w:t>apruebe</w:t>
      </w:r>
      <w:r w:rsidR="00723B37" w:rsidRPr="004A30A8">
        <w:rPr>
          <w:spacing w:val="-3"/>
        </w:rPr>
        <w:t xml:space="preserve"> </w:t>
      </w:r>
      <w:r w:rsidR="00723B37" w:rsidRPr="004A30A8">
        <w:t>el</w:t>
      </w:r>
      <w:r w:rsidR="00723B37" w:rsidRPr="004A30A8">
        <w:rPr>
          <w:spacing w:val="-4"/>
        </w:rPr>
        <w:t xml:space="preserve"> </w:t>
      </w:r>
      <w:r w:rsidR="00723B37" w:rsidRPr="004A30A8">
        <w:t>Estado</w:t>
      </w:r>
      <w:r w:rsidR="00723B37" w:rsidRPr="004A30A8">
        <w:rPr>
          <w:spacing w:val="-3"/>
        </w:rPr>
        <w:t xml:space="preserve"> </w:t>
      </w:r>
      <w:r w:rsidR="00723B37" w:rsidRPr="004A30A8">
        <w:t>y</w:t>
      </w:r>
      <w:r w:rsidR="00723B37" w:rsidRPr="004A30A8">
        <w:rPr>
          <w:spacing w:val="-5"/>
        </w:rPr>
        <w:t xml:space="preserve"> </w:t>
      </w:r>
      <w:r w:rsidR="00723B37" w:rsidRPr="004A30A8">
        <w:t>a</w:t>
      </w:r>
      <w:r w:rsidR="00723B37" w:rsidRPr="004A30A8">
        <w:rPr>
          <w:spacing w:val="-2"/>
        </w:rPr>
        <w:t xml:space="preserve"> </w:t>
      </w:r>
      <w:r w:rsidR="00723B37" w:rsidRPr="004A30A8">
        <w:t>su</w:t>
      </w:r>
      <w:r w:rsidR="00723B37" w:rsidRPr="004A30A8">
        <w:rPr>
          <w:spacing w:val="-3"/>
        </w:rPr>
        <w:t xml:space="preserve"> </w:t>
      </w:r>
      <w:r w:rsidR="00723B37" w:rsidRPr="004A30A8">
        <w:t>aplicación</w:t>
      </w:r>
      <w:r w:rsidR="00723B37" w:rsidRPr="004A30A8">
        <w:rPr>
          <w:rStyle w:val="Refdenotaalpie"/>
        </w:rPr>
        <w:footnoteReference w:id="93"/>
      </w:r>
      <w:r w:rsidR="00723B37" w:rsidRPr="004A30A8">
        <w:t>.</w:t>
      </w:r>
      <w:r w:rsidR="00723B37" w:rsidRPr="004A30A8">
        <w:rPr>
          <w:spacing w:val="-5"/>
        </w:rPr>
        <w:t xml:space="preserve"> </w:t>
      </w:r>
      <w:r w:rsidR="00723B37" w:rsidRPr="004A30A8">
        <w:t>En</w:t>
      </w:r>
      <w:r w:rsidR="00723B37" w:rsidRPr="004A30A8">
        <w:rPr>
          <w:spacing w:val="-4"/>
        </w:rPr>
        <w:t xml:space="preserve"> </w:t>
      </w:r>
      <w:r w:rsidR="00723B37" w:rsidRPr="004A30A8">
        <w:t>otras palabras, si</w:t>
      </w:r>
      <w:r w:rsidR="00723B37" w:rsidRPr="004A30A8">
        <w:rPr>
          <w:spacing w:val="-1"/>
        </w:rPr>
        <w:t xml:space="preserve"> </w:t>
      </w:r>
      <w:r w:rsidR="00723B37" w:rsidRPr="004A30A8">
        <w:t>un</w:t>
      </w:r>
      <w:r w:rsidR="00723B37" w:rsidRPr="004A30A8">
        <w:rPr>
          <w:spacing w:val="-1"/>
        </w:rPr>
        <w:t xml:space="preserve"> </w:t>
      </w:r>
      <w:r w:rsidR="00723B37" w:rsidRPr="004A30A8">
        <w:t>Estado discrimina en el</w:t>
      </w:r>
      <w:r w:rsidR="00723B37" w:rsidRPr="004A30A8">
        <w:rPr>
          <w:spacing w:val="-1"/>
        </w:rPr>
        <w:t xml:space="preserve"> </w:t>
      </w:r>
      <w:r w:rsidR="00723B37" w:rsidRPr="004A30A8">
        <w:t>respeto o</w:t>
      </w:r>
      <w:r w:rsidR="00723B37" w:rsidRPr="004A30A8">
        <w:rPr>
          <w:spacing w:val="-2"/>
        </w:rPr>
        <w:t xml:space="preserve"> </w:t>
      </w:r>
      <w:r w:rsidR="00723B37" w:rsidRPr="004A30A8">
        <w:t>garantía</w:t>
      </w:r>
      <w:r w:rsidR="00723B37" w:rsidRPr="004A30A8">
        <w:rPr>
          <w:spacing w:val="-2"/>
        </w:rPr>
        <w:t xml:space="preserve"> </w:t>
      </w:r>
      <w:r w:rsidR="00723B37" w:rsidRPr="004A30A8">
        <w:t>de</w:t>
      </w:r>
      <w:r w:rsidR="00723B37" w:rsidRPr="004A30A8">
        <w:rPr>
          <w:spacing w:val="-2"/>
        </w:rPr>
        <w:t xml:space="preserve"> </w:t>
      </w:r>
      <w:r w:rsidR="00723B37" w:rsidRPr="004A30A8">
        <w:t>un</w:t>
      </w:r>
      <w:r w:rsidR="00723B37" w:rsidRPr="004A30A8">
        <w:rPr>
          <w:spacing w:val="-1"/>
        </w:rPr>
        <w:t xml:space="preserve"> </w:t>
      </w:r>
      <w:r w:rsidR="00723B37" w:rsidRPr="004A30A8">
        <w:t>derecho</w:t>
      </w:r>
      <w:r w:rsidR="00723B37" w:rsidRPr="004A30A8">
        <w:rPr>
          <w:spacing w:val="-2"/>
        </w:rPr>
        <w:t xml:space="preserve"> </w:t>
      </w:r>
      <w:r w:rsidR="00723B37" w:rsidRPr="004A30A8">
        <w:t>convencional, incumpliría</w:t>
      </w:r>
      <w:r w:rsidR="00723B37" w:rsidRPr="004A30A8">
        <w:rPr>
          <w:spacing w:val="-2"/>
        </w:rPr>
        <w:t xml:space="preserve"> </w:t>
      </w:r>
      <w:r w:rsidR="00723B37" w:rsidRPr="004A30A8">
        <w:t>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del mismo instrumento</w:t>
      </w:r>
      <w:r w:rsidR="00723B37" w:rsidRPr="004A30A8">
        <w:rPr>
          <w:rStyle w:val="Refdenotaalpie"/>
        </w:rPr>
        <w:footnoteReference w:id="94"/>
      </w:r>
      <w:r w:rsidR="009D11F4" w:rsidRPr="004A30A8">
        <w:t>.</w:t>
      </w:r>
    </w:p>
    <w:p w14:paraId="4536CA11" w14:textId="6A544579" w:rsidR="00742DC4" w:rsidRPr="004A30A8" w:rsidRDefault="009117FF" w:rsidP="003153DF">
      <w:pPr>
        <w:pStyle w:val="Ttulo3"/>
        <w:spacing w:before="360" w:after="360"/>
        <w:ind w:left="992"/>
        <w:contextualSpacing w:val="0"/>
        <w:rPr>
          <w:b w:val="0"/>
          <w:bCs/>
          <w:lang w:val="es-ES"/>
        </w:rPr>
      </w:pPr>
      <w:bookmarkStart w:id="52" w:name="_Toc129887115"/>
      <w:r w:rsidRPr="004A30A8">
        <w:rPr>
          <w:b w:val="0"/>
          <w:bCs/>
          <w:lang w:val="es-ES"/>
        </w:rPr>
        <w:t>B</w:t>
      </w:r>
      <w:r w:rsidR="00742DC4" w:rsidRPr="004A30A8">
        <w:rPr>
          <w:b w:val="0"/>
          <w:bCs/>
          <w:lang w:val="es-ES"/>
        </w:rPr>
        <w:t>.</w:t>
      </w:r>
      <w:r w:rsidR="00D35372" w:rsidRPr="004A30A8">
        <w:rPr>
          <w:b w:val="0"/>
          <w:bCs/>
          <w:lang w:val="es-ES"/>
        </w:rPr>
        <w:t>2</w:t>
      </w:r>
      <w:r w:rsidR="00742DC4" w:rsidRPr="004A30A8">
        <w:rPr>
          <w:b w:val="0"/>
          <w:bCs/>
          <w:lang w:val="es-ES"/>
        </w:rPr>
        <w:t xml:space="preserve"> </w:t>
      </w:r>
      <w:r w:rsidR="007B048F" w:rsidRPr="004A30A8">
        <w:rPr>
          <w:b w:val="0"/>
          <w:bCs/>
          <w:lang w:val="es-ES"/>
        </w:rPr>
        <w:t xml:space="preserve">La </w:t>
      </w:r>
      <w:r w:rsidR="00742DC4" w:rsidRPr="004A30A8">
        <w:rPr>
          <w:b w:val="0"/>
          <w:bCs/>
          <w:lang w:val="es-ES"/>
        </w:rPr>
        <w:t xml:space="preserve">orientación sexual </w:t>
      </w:r>
      <w:r w:rsidR="007B048F" w:rsidRPr="004A30A8">
        <w:rPr>
          <w:b w:val="0"/>
          <w:bCs/>
          <w:lang w:val="es-ES"/>
        </w:rPr>
        <w:t>al amparo</w:t>
      </w:r>
      <w:r w:rsidR="00742DC4" w:rsidRPr="004A30A8">
        <w:rPr>
          <w:b w:val="0"/>
          <w:bCs/>
          <w:lang w:val="es-ES"/>
        </w:rPr>
        <w:t xml:space="preserve"> de la Convención Americana</w:t>
      </w:r>
      <w:r w:rsidR="007B048F" w:rsidRPr="004A30A8">
        <w:rPr>
          <w:b w:val="0"/>
          <w:bCs/>
          <w:lang w:val="es-ES"/>
        </w:rPr>
        <w:t xml:space="preserve"> sobre Derechos Humanos</w:t>
      </w:r>
      <w:bookmarkEnd w:id="52"/>
    </w:p>
    <w:p w14:paraId="353D173A" w14:textId="7F4E96B1" w:rsidR="000148B4" w:rsidRPr="004A30A8" w:rsidRDefault="000148B4">
      <w:pPr>
        <w:numPr>
          <w:ilvl w:val="0"/>
          <w:numId w:val="7"/>
        </w:numPr>
        <w:tabs>
          <w:tab w:val="left" w:pos="567"/>
          <w:tab w:val="num" w:pos="1569"/>
          <w:tab w:val="num" w:pos="12305"/>
        </w:tabs>
        <w:spacing w:line="240" w:lineRule="auto"/>
        <w:ind w:left="0" w:firstLine="0"/>
      </w:pPr>
      <w:r w:rsidRPr="004A30A8">
        <w:rPr>
          <w:rFonts w:eastAsia="Cambria" w:cs="Cambria"/>
          <w:lang w:val="es-ES_tradnl"/>
        </w:rPr>
        <w:t>Est</w:t>
      </w:r>
      <w:r w:rsidR="00C24AAC" w:rsidRPr="004A30A8">
        <w:rPr>
          <w:rFonts w:eastAsia="Cambria" w:cs="Cambria"/>
          <w:lang w:val="es-ES_tradnl"/>
        </w:rPr>
        <w:t>a Corte</w:t>
      </w:r>
      <w:r w:rsidRPr="004A30A8">
        <w:rPr>
          <w:rFonts w:eastAsia="Cambria" w:cs="Cambria"/>
          <w:lang w:val="es-ES_tradnl"/>
        </w:rPr>
        <w:t xml:space="preserve"> ha señalado</w:t>
      </w:r>
      <w:r w:rsidR="007548CC" w:rsidRPr="004A30A8">
        <w:rPr>
          <w:rFonts w:eastAsia="Cambria" w:cs="Cambria"/>
          <w:lang w:val="es-ES_tradnl"/>
        </w:rPr>
        <w:t>, desde su Sentencia de</w:t>
      </w:r>
      <w:r w:rsidR="008044C5" w:rsidRPr="004A30A8">
        <w:rPr>
          <w:rFonts w:eastAsia="Cambria" w:cs="Cambria"/>
          <w:lang w:val="es-ES_tradnl"/>
        </w:rPr>
        <w:t>l año</w:t>
      </w:r>
      <w:r w:rsidR="007548CC" w:rsidRPr="004A30A8">
        <w:rPr>
          <w:rFonts w:eastAsia="Cambria" w:cs="Cambria"/>
          <w:lang w:val="es-ES_tradnl"/>
        </w:rPr>
        <w:t xml:space="preserve"> 2012 recaída en el caso </w:t>
      </w:r>
      <w:r w:rsidR="007548CC" w:rsidRPr="004A30A8">
        <w:rPr>
          <w:rFonts w:eastAsia="Cambria" w:cs="Cambria"/>
          <w:i/>
          <w:iCs/>
          <w:lang w:val="es-ES_tradnl"/>
        </w:rPr>
        <w:t>Atala Riffo y niñas Vs. Chile</w:t>
      </w:r>
      <w:r w:rsidR="007548CC" w:rsidRPr="004A30A8">
        <w:rPr>
          <w:rStyle w:val="Refdenotaalpie"/>
          <w:rFonts w:eastAsia="Cambria" w:cs="Cambria"/>
        </w:rPr>
        <w:footnoteReference w:id="95"/>
      </w:r>
      <w:r w:rsidR="007548CC" w:rsidRPr="004A30A8">
        <w:rPr>
          <w:rFonts w:eastAsia="Cambria" w:cs="Cambria"/>
          <w:lang w:val="es-ES_tradnl"/>
        </w:rPr>
        <w:t xml:space="preserve">, </w:t>
      </w:r>
      <w:r w:rsidRPr="004A30A8">
        <w:rPr>
          <w:rFonts w:eastAsia="Cambria" w:cs="Cambria"/>
          <w:lang w:val="es-ES_tradnl"/>
        </w:rPr>
        <w:t>que la orientación sexual y la identidad de género</w:t>
      </w:r>
      <w:r w:rsidR="000801CC" w:rsidRPr="004A30A8">
        <w:rPr>
          <w:rFonts w:eastAsia="Cambria" w:cs="Cambria"/>
          <w:lang w:val="es-ES_tradnl"/>
        </w:rPr>
        <w:t xml:space="preserve"> </w:t>
      </w:r>
      <w:r w:rsidRPr="004A30A8">
        <w:rPr>
          <w:rFonts w:eastAsia="Cambria" w:cs="Cambria"/>
          <w:lang w:val="es-ES_tradnl"/>
        </w:rPr>
        <w:t xml:space="preserve">son categorías protegidas por la Convención </w:t>
      </w:r>
      <w:r w:rsidR="007548CC" w:rsidRPr="004A30A8">
        <w:rPr>
          <w:rFonts w:eastAsia="Cambria" w:cs="Cambria"/>
          <w:lang w:val="es-ES_tradnl"/>
        </w:rPr>
        <w:t>al amparo de</w:t>
      </w:r>
      <w:r w:rsidR="008044C5" w:rsidRPr="004A30A8">
        <w:rPr>
          <w:rFonts w:eastAsia="Cambria" w:cs="Cambria"/>
          <w:lang w:val="es-ES_tradnl"/>
        </w:rPr>
        <w:t xml:space="preserve"> la expresión</w:t>
      </w:r>
      <w:r w:rsidR="007548CC" w:rsidRPr="004A30A8">
        <w:rPr>
          <w:rFonts w:eastAsia="Cambria" w:cs="Cambria"/>
          <w:lang w:val="es-ES_tradnl"/>
        </w:rPr>
        <w:t xml:space="preserve"> “cualquier otra condición social” recogida en el citado artículo 1.1</w:t>
      </w:r>
      <w:r w:rsidR="000801CC" w:rsidRPr="004A30A8">
        <w:rPr>
          <w:rStyle w:val="Refdenotaalpie"/>
          <w:rFonts w:eastAsia="Cambria" w:cs="Cambria"/>
        </w:rPr>
        <w:footnoteReference w:id="96"/>
      </w:r>
      <w:r w:rsidR="008C314C" w:rsidRPr="004A30A8">
        <w:rPr>
          <w:rFonts w:eastAsia="Cambria" w:cs="Cambria"/>
        </w:rPr>
        <w:t xml:space="preserve">. La Opinión Consultiva </w:t>
      </w:r>
      <w:r w:rsidR="00393D35" w:rsidRPr="004A30A8">
        <w:rPr>
          <w:rFonts w:eastAsia="Cambria" w:cs="Cambria"/>
        </w:rPr>
        <w:t>OC-</w:t>
      </w:r>
      <w:r w:rsidR="008C314C" w:rsidRPr="004A30A8">
        <w:rPr>
          <w:rFonts w:eastAsia="Cambria" w:cs="Cambria"/>
        </w:rPr>
        <w:t xml:space="preserve">24/17 de 24 de noviembre </w:t>
      </w:r>
      <w:r w:rsidR="008C314C" w:rsidRPr="004A30A8">
        <w:rPr>
          <w:rFonts w:eastAsia="Cambria" w:cs="Cambria"/>
        </w:rPr>
        <w:lastRenderedPageBreak/>
        <w:t>de 2017 incluyó también la expresión de género como categoría protegida, lo cual ha sido reiterado posteriormente por este Tribunal en sus casos contenciosos</w:t>
      </w:r>
      <w:r w:rsidR="008C314C" w:rsidRPr="004A30A8">
        <w:rPr>
          <w:rStyle w:val="Refdenotaalpie"/>
          <w:rFonts w:eastAsia="Cambria" w:cs="Cambria"/>
        </w:rPr>
        <w:footnoteReference w:id="97"/>
      </w:r>
      <w:r w:rsidR="008C314C" w:rsidRPr="004A30A8">
        <w:rPr>
          <w:rFonts w:eastAsia="Cambria" w:cs="Cambria"/>
        </w:rPr>
        <w:t xml:space="preserve">. </w:t>
      </w:r>
      <w:r w:rsidRPr="004A30A8">
        <w:rPr>
          <w:rFonts w:eastAsia="Cambria" w:cs="Cambria"/>
          <w:lang w:val="es-ES_tradnl"/>
        </w:rPr>
        <w:t xml:space="preserve">De acuerdo </w:t>
      </w:r>
      <w:r w:rsidRPr="004A30A8">
        <w:t xml:space="preserve">con </w:t>
      </w:r>
      <w:r w:rsidR="008C314C" w:rsidRPr="004A30A8">
        <w:t>lo anterior</w:t>
      </w:r>
      <w:r w:rsidRPr="004A30A8">
        <w:t>, ninguna norma, decisión o práctica de derecho interno,</w:t>
      </w:r>
      <w:r w:rsidRPr="004A30A8">
        <w:rPr>
          <w:spacing w:val="-68"/>
        </w:rPr>
        <w:t xml:space="preserve"> </w:t>
      </w:r>
      <w:r w:rsidRPr="004A30A8">
        <w:t>sea por parte de autoridades estatales o por particulares, pueden disminuir o restringir, de</w:t>
      </w:r>
      <w:r w:rsidRPr="004A30A8">
        <w:rPr>
          <w:spacing w:val="1"/>
        </w:rPr>
        <w:t xml:space="preserve"> </w:t>
      </w:r>
      <w:r w:rsidRPr="004A30A8">
        <w:t>modo alguno, los derechos de una persona a partir de su orientación sexual, su identidad de</w:t>
      </w:r>
      <w:r w:rsidR="00DF7FF5" w:rsidRPr="004A30A8">
        <w:t xml:space="preserve"> </w:t>
      </w:r>
      <w:r w:rsidRPr="004A30A8">
        <w:t>género</w:t>
      </w:r>
      <w:r w:rsidRPr="004A30A8">
        <w:rPr>
          <w:spacing w:val="-1"/>
        </w:rPr>
        <w:t xml:space="preserve"> </w:t>
      </w:r>
      <w:r w:rsidRPr="004A30A8">
        <w:t>y/o</w:t>
      </w:r>
      <w:r w:rsidRPr="004A30A8">
        <w:rPr>
          <w:spacing w:val="1"/>
        </w:rPr>
        <w:t xml:space="preserve"> </w:t>
      </w:r>
      <w:r w:rsidRPr="004A30A8">
        <w:t>su</w:t>
      </w:r>
      <w:r w:rsidRPr="004A30A8">
        <w:rPr>
          <w:spacing w:val="2"/>
        </w:rPr>
        <w:t xml:space="preserve"> </w:t>
      </w:r>
      <w:r w:rsidRPr="004A30A8">
        <w:t>expresión</w:t>
      </w:r>
      <w:r w:rsidRPr="004A30A8">
        <w:rPr>
          <w:spacing w:val="3"/>
        </w:rPr>
        <w:t xml:space="preserve"> </w:t>
      </w:r>
      <w:r w:rsidRPr="004A30A8">
        <w:t>de</w:t>
      </w:r>
      <w:r w:rsidRPr="004A30A8">
        <w:rPr>
          <w:spacing w:val="-2"/>
        </w:rPr>
        <w:t xml:space="preserve"> </w:t>
      </w:r>
      <w:r w:rsidRPr="004A30A8">
        <w:t>género</w:t>
      </w:r>
      <w:r w:rsidRPr="004A30A8">
        <w:rPr>
          <w:rStyle w:val="Refdenotaalpie"/>
        </w:rPr>
        <w:footnoteReference w:id="98"/>
      </w:r>
      <w:r w:rsidRPr="004A30A8">
        <w:t>.</w:t>
      </w:r>
    </w:p>
    <w:p w14:paraId="5214ADD3" w14:textId="77777777" w:rsidR="000148B4" w:rsidRPr="004A30A8" w:rsidRDefault="000148B4" w:rsidP="000148B4">
      <w:pPr>
        <w:tabs>
          <w:tab w:val="left" w:pos="567"/>
          <w:tab w:val="num" w:pos="12305"/>
        </w:tabs>
        <w:spacing w:line="240" w:lineRule="auto"/>
        <w:rPr>
          <w:rFonts w:eastAsia="Cambria" w:cs="Cambria"/>
          <w:lang w:val="es-ES"/>
        </w:rPr>
      </w:pPr>
    </w:p>
    <w:p w14:paraId="13CE4C88" w14:textId="4B1BB2F2" w:rsidR="00F55DED" w:rsidRPr="004A30A8" w:rsidRDefault="007548CC" w:rsidP="003153DF">
      <w:pPr>
        <w:numPr>
          <w:ilvl w:val="0"/>
          <w:numId w:val="7"/>
        </w:numPr>
        <w:tabs>
          <w:tab w:val="left" w:pos="567"/>
          <w:tab w:val="num" w:pos="1569"/>
          <w:tab w:val="num" w:pos="12305"/>
        </w:tabs>
        <w:spacing w:line="240" w:lineRule="auto"/>
        <w:ind w:left="0" w:firstLine="0"/>
        <w:rPr>
          <w:rFonts w:eastAsia="Cambria" w:cs="Cambria"/>
          <w:lang w:val="es-ES_tradnl"/>
        </w:rPr>
      </w:pPr>
      <w:r w:rsidRPr="004A30A8">
        <w:t xml:space="preserve">Las formas de discriminación en contra de las personas </w:t>
      </w:r>
      <w:r w:rsidR="00F417CE" w:rsidRPr="004A30A8">
        <w:t>LGBTIQ+</w:t>
      </w:r>
      <w:r w:rsidRPr="004A30A8">
        <w:t xml:space="preserve"> se manifiestan en numerosos aspectos</w:t>
      </w:r>
      <w:r w:rsidR="008C314C" w:rsidRPr="004A30A8">
        <w:t>, tan</w:t>
      </w:r>
      <w:r w:rsidR="007B048F" w:rsidRPr="004A30A8">
        <w:t>t</w:t>
      </w:r>
      <w:r w:rsidR="008C314C" w:rsidRPr="004A30A8">
        <w:t>o</w:t>
      </w:r>
      <w:r w:rsidRPr="004A30A8">
        <w:t xml:space="preserve"> en el ámbito público</w:t>
      </w:r>
      <w:r w:rsidR="008C314C" w:rsidRPr="004A30A8">
        <w:t xml:space="preserve"> como en el </w:t>
      </w:r>
      <w:r w:rsidRPr="004A30A8">
        <w:t>privado</w:t>
      </w:r>
      <w:r w:rsidRPr="004A30A8">
        <w:rPr>
          <w:rStyle w:val="Refdenotaalpie"/>
        </w:rPr>
        <w:footnoteReference w:id="99"/>
      </w:r>
      <w:r w:rsidRPr="004A30A8">
        <w:t xml:space="preserve">. A este respecto, este Tribunal ha reconocido en su jurisprudencia que las personas </w:t>
      </w:r>
      <w:r w:rsidR="00F417CE" w:rsidRPr="004A30A8">
        <w:t>LGBTIQ+</w:t>
      </w:r>
      <w:r w:rsidRPr="004A30A8">
        <w:t xml:space="preserve"> han sido</w:t>
      </w:r>
      <w:r w:rsidRPr="004A30A8">
        <w:rPr>
          <w:spacing w:val="1"/>
        </w:rPr>
        <w:t xml:space="preserve"> </w:t>
      </w:r>
      <w:r w:rsidRPr="004A30A8">
        <w:t>históricamente víctimas de discriminación estructural, estigmatización, así como de diversas</w:t>
      </w:r>
      <w:r w:rsidRPr="004A30A8">
        <w:rPr>
          <w:spacing w:val="1"/>
        </w:rPr>
        <w:t xml:space="preserve"> </w:t>
      </w:r>
      <w:r w:rsidRPr="004A30A8">
        <w:t xml:space="preserve">formas de violencia y violaciones a sus derechos fundamentales. </w:t>
      </w:r>
      <w:r w:rsidR="008044C5" w:rsidRPr="004A30A8">
        <w:t>Esta</w:t>
      </w:r>
      <w:r w:rsidRPr="004A30A8">
        <w:t xml:space="preserve"> violencia contra las personas </w:t>
      </w:r>
      <w:r w:rsidR="00F417CE" w:rsidRPr="004A30A8">
        <w:t>LGBTIQ+</w:t>
      </w:r>
      <w:r w:rsidRPr="004A30A8">
        <w:t xml:space="preserve"> </w:t>
      </w:r>
      <w:r w:rsidR="008044C5" w:rsidRPr="004A30A8">
        <w:t>se basa</w:t>
      </w:r>
      <w:r w:rsidRPr="004A30A8">
        <w:t xml:space="preserve"> en prejuicios, percepciones </w:t>
      </w:r>
      <w:r w:rsidRPr="004A30A8">
        <w:rPr>
          <w:rFonts w:cs="Segoe UI"/>
          <w:lang w:val="es-CO"/>
        </w:rPr>
        <w:t>generalmente negativas hacia aquellas personas o situaciones que resultan ajenas o diferentes</w:t>
      </w:r>
      <w:r w:rsidR="008044C5" w:rsidRPr="004A30A8">
        <w:rPr>
          <w:rFonts w:cs="Segoe UI"/>
          <w:lang w:val="es-CO"/>
        </w:rPr>
        <w:t xml:space="preserve"> y </w:t>
      </w:r>
      <w:r w:rsidRPr="004A30A8">
        <w:rPr>
          <w:lang w:val="es-CO"/>
        </w:rPr>
        <w:t xml:space="preserve">puede ser </w:t>
      </w:r>
      <w:r w:rsidRPr="004A30A8">
        <w:t>impulsada por “el deseo de castigar a quienes se considera que desafían las normas de género”</w:t>
      </w:r>
      <w:r w:rsidRPr="004A30A8">
        <w:rPr>
          <w:rStyle w:val="Refdenotaalpie"/>
        </w:rPr>
        <w:footnoteReference w:id="100"/>
      </w:r>
      <w:r w:rsidRPr="004A30A8">
        <w:t>.</w:t>
      </w:r>
      <w:r w:rsidRPr="004A30A8">
        <w:rPr>
          <w:rFonts w:eastAsiaTheme="minorHAnsi" w:cs="Arial"/>
        </w:rPr>
        <w:t xml:space="preserve"> Sobre este punto, la Corte ha señalado que la violencia ejercida por razones discriminatorias tiene como </w:t>
      </w:r>
      <w:r w:rsidRPr="004A30A8">
        <w:rPr>
          <w:lang w:val="es-CO"/>
        </w:rPr>
        <w:t>efecto o propósito el de impedir o anular el reconocimiento, goce o ejercicio de los derechos humanos y libertades fundamentales de la persona objeto de dicha discriminación, independientemente de si dicha persona se auto-identifica o no con una determinada categoría</w:t>
      </w:r>
      <w:r w:rsidRPr="004A30A8">
        <w:rPr>
          <w:rStyle w:val="Refdenotaalpie"/>
        </w:rPr>
        <w:footnoteReference w:id="101"/>
      </w:r>
      <w:r w:rsidR="00745B44" w:rsidRPr="004A30A8">
        <w:rPr>
          <w:lang w:val="es-CO"/>
        </w:rPr>
        <w:t>.</w:t>
      </w:r>
      <w:r w:rsidR="00694F52" w:rsidRPr="004A30A8">
        <w:rPr>
          <w:lang w:val="es-CO"/>
        </w:rPr>
        <w:t xml:space="preserve"> </w:t>
      </w:r>
    </w:p>
    <w:p w14:paraId="7524389B" w14:textId="77777777" w:rsidR="003153DF" w:rsidRPr="004A30A8" w:rsidRDefault="003153DF" w:rsidP="003153DF">
      <w:pPr>
        <w:tabs>
          <w:tab w:val="left" w:pos="567"/>
        </w:tabs>
        <w:spacing w:line="240" w:lineRule="auto"/>
        <w:rPr>
          <w:rFonts w:eastAsia="Cambria" w:cs="Cambria"/>
          <w:lang w:val="es-ES_tradnl"/>
        </w:rPr>
      </w:pPr>
    </w:p>
    <w:p w14:paraId="23DC5814" w14:textId="7B0F1DF0" w:rsidR="00745B44" w:rsidRPr="004A30A8" w:rsidRDefault="00694F52" w:rsidP="00D96284">
      <w:pPr>
        <w:numPr>
          <w:ilvl w:val="0"/>
          <w:numId w:val="7"/>
        </w:numPr>
        <w:tabs>
          <w:tab w:val="left" w:pos="567"/>
          <w:tab w:val="num" w:pos="1569"/>
          <w:tab w:val="num" w:pos="12305"/>
        </w:tabs>
        <w:spacing w:line="240" w:lineRule="auto"/>
        <w:ind w:left="0" w:firstLine="0"/>
        <w:rPr>
          <w:rFonts w:eastAsia="Cambria" w:cs="Cambria"/>
          <w:lang w:val="es-ES_tradnl"/>
        </w:rPr>
      </w:pPr>
      <w:r w:rsidRPr="004A30A8">
        <w:rPr>
          <w:rFonts w:eastAsia="Cambria" w:cs="Cambria"/>
          <w:lang w:val="es-ES_tradnl"/>
        </w:rPr>
        <w:lastRenderedPageBreak/>
        <w:t xml:space="preserve">En este sentido, este Tribunal ha destacado en un caso previo contra Perú la situación histórica de discriminación que ha sufrido y sufre la población </w:t>
      </w:r>
      <w:r w:rsidR="00F417CE" w:rsidRPr="004A30A8">
        <w:rPr>
          <w:rFonts w:eastAsia="Cambria" w:cs="Cambria"/>
          <w:lang w:val="es-ES_tradnl"/>
        </w:rPr>
        <w:t>LGBTIQ+</w:t>
      </w:r>
      <w:r w:rsidRPr="004A30A8">
        <w:rPr>
          <w:rFonts w:eastAsia="Cambria" w:cs="Cambria"/>
          <w:lang w:val="es-ES_tradnl"/>
        </w:rPr>
        <w:t xml:space="preserve"> en dicho país</w:t>
      </w:r>
      <w:r w:rsidR="00F37967" w:rsidRPr="004A30A8">
        <w:rPr>
          <w:rStyle w:val="Refdenotaalpie"/>
          <w:rFonts w:eastAsia="Cambria" w:cs="Cambria"/>
        </w:rPr>
        <w:footnoteReference w:id="102"/>
      </w:r>
      <w:r w:rsidRPr="004A30A8">
        <w:rPr>
          <w:rFonts w:eastAsia="Cambria" w:cs="Cambria"/>
          <w:lang w:val="es-ES_tradnl"/>
        </w:rPr>
        <w:t xml:space="preserve">. </w:t>
      </w:r>
      <w:r w:rsidRPr="004A30A8">
        <w:t xml:space="preserve">Hasta el año 2017, el Estado peruano no contaba con información estadística sobre la población </w:t>
      </w:r>
      <w:r w:rsidR="00F417CE" w:rsidRPr="004A30A8">
        <w:t>LGBTIQ+</w:t>
      </w:r>
      <w:r w:rsidRPr="004A30A8">
        <w:t>. Ese año el Instituto Nacional de Estadística e Informática realizó la “Primera Encuesta Virtual para personas LGBTI”, con el fin de que “las autoridades públicas y sociedad civil [puedan] implementar políticas, acciones y estrategias que garanticen su reconocimiento y protección en los diferentes ámbitos públicos y privados”</w:t>
      </w:r>
      <w:r w:rsidRPr="004A30A8">
        <w:rPr>
          <w:rStyle w:val="Refdenotaalpie"/>
        </w:rPr>
        <w:footnoteReference w:id="103"/>
      </w:r>
      <w:r w:rsidRPr="004A30A8">
        <w:t xml:space="preserve">. De acuerdo </w:t>
      </w:r>
      <w:r w:rsidR="00F0678F" w:rsidRPr="004A30A8">
        <w:t>con</w:t>
      </w:r>
      <w:r w:rsidRPr="004A30A8">
        <w:t xml:space="preserve"> esta encuesta realizada a personas </w:t>
      </w:r>
      <w:r w:rsidR="00716E29" w:rsidRPr="004A30A8">
        <w:t>“</w:t>
      </w:r>
      <w:r w:rsidRPr="004A30A8">
        <w:t>LGBTI</w:t>
      </w:r>
      <w:r w:rsidR="00716E29" w:rsidRPr="004A30A8">
        <w:t>”</w:t>
      </w:r>
      <w:r w:rsidRPr="004A30A8">
        <w:t>, el 62.7% señaló haber sido víctima de violencia o discriminación, siendo un 17.7% víctima de violencia sexual</w:t>
      </w:r>
      <w:r w:rsidRPr="004A30A8">
        <w:rPr>
          <w:rStyle w:val="Refdenotaalpie"/>
        </w:rPr>
        <w:footnoteReference w:id="104"/>
      </w:r>
      <w:r w:rsidRPr="004A30A8">
        <w:t>. Solo un 4</w:t>
      </w:r>
      <w:r w:rsidR="00065F63" w:rsidRPr="004A30A8">
        <w:t>,</w:t>
      </w:r>
      <w:r w:rsidRPr="004A30A8">
        <w:t xml:space="preserve">4% </w:t>
      </w:r>
      <w:r w:rsidRPr="004A30A8">
        <w:rPr>
          <w:rFonts w:cs="Cambria"/>
        </w:rPr>
        <w:t>del total de personas agredidas o discriminadas denunció el hecho ante las autoridades, y de estas el 27.5% señaló haber sido atendido mal y el 24.4% señaló haber sido atendido muy mal en el lugar donde denunció</w:t>
      </w:r>
      <w:r w:rsidRPr="004A30A8">
        <w:rPr>
          <w:rStyle w:val="Refdenotaalpie"/>
        </w:rPr>
        <w:footnoteReference w:id="105"/>
      </w:r>
      <w:r w:rsidRPr="004A30A8">
        <w:rPr>
          <w:rFonts w:cs="Cambria"/>
        </w:rPr>
        <w:t xml:space="preserve">. Además, </w:t>
      </w:r>
      <w:r w:rsidR="00F37967" w:rsidRPr="004A30A8">
        <w:t>e</w:t>
      </w:r>
      <w:r w:rsidRPr="004A30A8">
        <w:t xml:space="preserve">n la encuesta realizada por el Instituto Nacional de Estadística e Informática se determinó que el “56,5% de la población </w:t>
      </w:r>
      <w:r w:rsidR="00E7537C" w:rsidRPr="004A30A8">
        <w:rPr>
          <w:lang w:val="es-ES"/>
        </w:rPr>
        <w:t xml:space="preserve">LGBTI </w:t>
      </w:r>
      <w:r w:rsidRPr="004A30A8">
        <w:t>siente temor de expresar su orientación sexual y/o identidad de género, señalando como principal motivo el miedo a ser discriminado y/o agredido (72%)”</w:t>
      </w:r>
      <w:r w:rsidRPr="004A30A8">
        <w:rPr>
          <w:rStyle w:val="Refdenotaalpie"/>
        </w:rPr>
        <w:footnoteReference w:id="106"/>
      </w:r>
      <w:r w:rsidRPr="004A30A8">
        <w:t xml:space="preserve">. De acuerdo </w:t>
      </w:r>
      <w:r w:rsidR="00F0678F" w:rsidRPr="004A30A8">
        <w:t>con</w:t>
      </w:r>
      <w:r w:rsidR="005A794E" w:rsidRPr="004A30A8">
        <w:t xml:space="preserve"> </w:t>
      </w:r>
      <w:r w:rsidR="00F0678F" w:rsidRPr="004A30A8">
        <w:t xml:space="preserve">la </w:t>
      </w:r>
      <w:r w:rsidRPr="004A30A8">
        <w:t xml:space="preserve">información citada por la Defensoría del Pueblo del Perú, el “45% de las personas [encuestadas en el 2013 por el Ministerio de Justicia y Derechos Humanos] considera que las personas </w:t>
      </w:r>
      <w:r w:rsidR="00E7537C" w:rsidRPr="004A30A8">
        <w:rPr>
          <w:lang w:val="es-ES"/>
        </w:rPr>
        <w:t xml:space="preserve">LGBTI </w:t>
      </w:r>
      <w:r w:rsidRPr="004A30A8">
        <w:t>no deberían ser docentes en colegios y un 59% que no deben tener derecho al matrimonio civil”</w:t>
      </w:r>
      <w:r w:rsidRPr="004A30A8">
        <w:rPr>
          <w:rStyle w:val="Refdenotaalpie"/>
        </w:rPr>
        <w:footnoteReference w:id="107"/>
      </w:r>
      <w:r w:rsidRPr="004A30A8">
        <w:t xml:space="preserve">. De acuerdo </w:t>
      </w:r>
      <w:r w:rsidR="00F0678F" w:rsidRPr="004A30A8">
        <w:t>con los</w:t>
      </w:r>
      <w:r w:rsidRPr="004A30A8">
        <w:t xml:space="preserve"> datos de la Encuesta Mundial de Valores en 2001, el 64,4% de la población encuestada consideraba que “</w:t>
      </w:r>
      <w:r w:rsidR="007108ED" w:rsidRPr="004A30A8">
        <w:t>nunca justificaría la homosexualidad</w:t>
      </w:r>
      <w:r w:rsidRPr="004A30A8">
        <w:t>” y el 49,2% señaló que el vecino que menos le agradaría tener es un vecino homosexual</w:t>
      </w:r>
      <w:r w:rsidRPr="004A30A8">
        <w:rPr>
          <w:rStyle w:val="Refdenotaalpie"/>
        </w:rPr>
        <w:footnoteReference w:id="108"/>
      </w:r>
      <w:r w:rsidRPr="004A30A8">
        <w:t xml:space="preserve">, </w:t>
      </w:r>
      <w:r w:rsidR="00065F63" w:rsidRPr="004A30A8">
        <w:t>bajando estos porcentajes</w:t>
      </w:r>
      <w:r w:rsidRPr="004A30A8">
        <w:t xml:space="preserve"> en el 2012 al 41.8% y al 44%, respectivamente</w:t>
      </w:r>
      <w:r w:rsidRPr="004A30A8">
        <w:rPr>
          <w:rStyle w:val="Refdenotaalpie"/>
        </w:rPr>
        <w:footnoteReference w:id="109"/>
      </w:r>
      <w:r w:rsidRPr="004A30A8">
        <w:t xml:space="preserve">. </w:t>
      </w:r>
    </w:p>
    <w:p w14:paraId="3477AE2B" w14:textId="43E1623C" w:rsidR="00694F52" w:rsidRPr="004A30A8" w:rsidRDefault="008C314C">
      <w:pPr>
        <w:numPr>
          <w:ilvl w:val="0"/>
          <w:numId w:val="7"/>
        </w:numPr>
        <w:tabs>
          <w:tab w:val="left" w:pos="567"/>
          <w:tab w:val="num" w:pos="1569"/>
          <w:tab w:val="num" w:pos="12305"/>
        </w:tabs>
        <w:spacing w:line="240" w:lineRule="auto"/>
        <w:ind w:left="0" w:firstLine="0"/>
      </w:pPr>
      <w:r w:rsidRPr="004A30A8">
        <w:t>Con respecto a los derechos que se pueden ver afectados a través de este tipo de conductas discriminatorias, la Corte ha advertido que</w:t>
      </w:r>
      <w:r w:rsidR="00470573" w:rsidRPr="004A30A8">
        <w:t>,</w:t>
      </w:r>
      <w:r w:rsidRPr="004A30A8">
        <w:t xml:space="preserve"> </w:t>
      </w:r>
      <w:r w:rsidR="006C443A" w:rsidRPr="004A30A8">
        <w:t>en ocasiones</w:t>
      </w:r>
      <w:r w:rsidR="002D530D" w:rsidRPr="004A30A8">
        <w:t xml:space="preserve"> </w:t>
      </w:r>
      <w:r w:rsidR="006C443A" w:rsidRPr="004A30A8">
        <w:t xml:space="preserve">son </w:t>
      </w:r>
      <w:r w:rsidR="00745B44" w:rsidRPr="004A30A8">
        <w:t>menoscabados</w:t>
      </w:r>
      <w:r w:rsidR="00470573" w:rsidRPr="004A30A8">
        <w:t xml:space="preserve"> </w:t>
      </w:r>
      <w:r w:rsidR="00745B44" w:rsidRPr="004A30A8">
        <w:lastRenderedPageBreak/>
        <w:t>los</w:t>
      </w:r>
      <w:r w:rsidR="00745B44" w:rsidRPr="004A30A8">
        <w:rPr>
          <w:spacing w:val="1"/>
        </w:rPr>
        <w:t xml:space="preserve"> </w:t>
      </w:r>
      <w:r w:rsidR="00745B44" w:rsidRPr="004A30A8">
        <w:t xml:space="preserve">derechos a la vida </w:t>
      </w:r>
      <w:r w:rsidR="00AA48A4" w:rsidRPr="004A30A8">
        <w:t>y/o</w:t>
      </w:r>
      <w:r w:rsidR="00745B44" w:rsidRPr="004A30A8">
        <w:t xml:space="preserve"> integridad personal</w:t>
      </w:r>
      <w:r w:rsidR="00AA48A4" w:rsidRPr="004A30A8">
        <w:t xml:space="preserve"> (como sucedió, por ejemplo, en los casos de </w:t>
      </w:r>
      <w:r w:rsidR="00AA48A4" w:rsidRPr="004A30A8">
        <w:rPr>
          <w:i/>
          <w:iCs/>
        </w:rPr>
        <w:t>Azul Rojas Marín y otra Vs. Perú</w:t>
      </w:r>
      <w:r w:rsidR="00AA48A4" w:rsidRPr="004A30A8">
        <w:t xml:space="preserve"> y </w:t>
      </w:r>
      <w:r w:rsidR="00AA48A4" w:rsidRPr="004A30A8">
        <w:rPr>
          <w:i/>
          <w:iCs/>
        </w:rPr>
        <w:t>Vicky Hernández y otra Vs. Honduras</w:t>
      </w:r>
      <w:r w:rsidR="00AA48A4" w:rsidRPr="004A30A8">
        <w:t>)</w:t>
      </w:r>
      <w:r w:rsidR="00745B44" w:rsidRPr="004A30A8">
        <w:t>, el derecho a la</w:t>
      </w:r>
      <w:r w:rsidR="00745B44" w:rsidRPr="004A30A8">
        <w:rPr>
          <w:spacing w:val="1"/>
        </w:rPr>
        <w:t xml:space="preserve"> </w:t>
      </w:r>
      <w:r w:rsidR="00745B44" w:rsidRPr="004A30A8">
        <w:t>identidad de género y/o a la expresión de género de las personas, así como todos los</w:t>
      </w:r>
      <w:r w:rsidR="00745B44" w:rsidRPr="004A30A8">
        <w:rPr>
          <w:spacing w:val="1"/>
        </w:rPr>
        <w:t xml:space="preserve"> </w:t>
      </w:r>
      <w:r w:rsidR="00745B44" w:rsidRPr="004A30A8">
        <w:t>derechos</w:t>
      </w:r>
      <w:r w:rsidR="00745B44" w:rsidRPr="004A30A8">
        <w:rPr>
          <w:spacing w:val="-2"/>
        </w:rPr>
        <w:t xml:space="preserve"> </w:t>
      </w:r>
      <w:r w:rsidR="00745B44" w:rsidRPr="004A30A8">
        <w:t>que</w:t>
      </w:r>
      <w:r w:rsidR="00745B44" w:rsidRPr="004A30A8">
        <w:rPr>
          <w:spacing w:val="-2"/>
        </w:rPr>
        <w:t xml:space="preserve"> </w:t>
      </w:r>
      <w:r w:rsidR="00745B44" w:rsidRPr="004A30A8">
        <w:t>se encuentran conectados</w:t>
      </w:r>
      <w:r w:rsidR="00745B44" w:rsidRPr="004A30A8">
        <w:rPr>
          <w:spacing w:val="1"/>
        </w:rPr>
        <w:t xml:space="preserve"> </w:t>
      </w:r>
      <w:r w:rsidR="00745B44" w:rsidRPr="004A30A8">
        <w:t>con los</w:t>
      </w:r>
      <w:r w:rsidR="00745B44" w:rsidRPr="004A30A8">
        <w:rPr>
          <w:spacing w:val="2"/>
        </w:rPr>
        <w:t xml:space="preserve"> </w:t>
      </w:r>
      <w:r w:rsidR="00745B44" w:rsidRPr="004A30A8">
        <w:t>mismos</w:t>
      </w:r>
      <w:r w:rsidR="00745B44" w:rsidRPr="004A30A8">
        <w:rPr>
          <w:rStyle w:val="Refdenotaalpie"/>
        </w:rPr>
        <w:footnoteReference w:id="110"/>
      </w:r>
      <w:r w:rsidR="00745B44" w:rsidRPr="004A30A8">
        <w:t xml:space="preserve">. </w:t>
      </w:r>
    </w:p>
    <w:p w14:paraId="5579EB19" w14:textId="77777777" w:rsidR="003153DF" w:rsidRPr="004A30A8" w:rsidRDefault="003153DF" w:rsidP="003153DF">
      <w:pPr>
        <w:tabs>
          <w:tab w:val="left" w:pos="567"/>
        </w:tabs>
        <w:spacing w:line="240" w:lineRule="auto"/>
      </w:pPr>
    </w:p>
    <w:p w14:paraId="141688E9" w14:textId="7B015A14" w:rsidR="006C443A" w:rsidRPr="004A30A8" w:rsidRDefault="00694F52">
      <w:pPr>
        <w:numPr>
          <w:ilvl w:val="0"/>
          <w:numId w:val="7"/>
        </w:numPr>
        <w:tabs>
          <w:tab w:val="left" w:pos="567"/>
          <w:tab w:val="num" w:pos="1569"/>
          <w:tab w:val="num" w:pos="12305"/>
        </w:tabs>
        <w:spacing w:line="240" w:lineRule="auto"/>
        <w:ind w:left="0" w:firstLine="0"/>
      </w:pPr>
      <w:r w:rsidRPr="004A30A8">
        <w:t>Adicionalmente</w:t>
      </w:r>
      <w:r w:rsidR="008C314C" w:rsidRPr="004A30A8">
        <w:t>, e</w:t>
      </w:r>
      <w:r w:rsidR="00745B44" w:rsidRPr="004A30A8">
        <w:t>sta Corte ha</w:t>
      </w:r>
      <w:r w:rsidR="00745B44" w:rsidRPr="004A30A8">
        <w:rPr>
          <w:spacing w:val="1"/>
        </w:rPr>
        <w:t xml:space="preserve"> </w:t>
      </w:r>
      <w:r w:rsidR="00745B44" w:rsidRPr="004A30A8">
        <w:t>indicado en otros casos que el reconocimiento de la afirmación de la identidad sexual y de</w:t>
      </w:r>
      <w:r w:rsidR="00745B44" w:rsidRPr="004A30A8">
        <w:rPr>
          <w:spacing w:val="1"/>
        </w:rPr>
        <w:t xml:space="preserve"> </w:t>
      </w:r>
      <w:r w:rsidR="00745B44" w:rsidRPr="004A30A8">
        <w:t>género se encuentra protegido por la Convención Americana en sus artículos 7 y 11.2</w:t>
      </w:r>
      <w:r w:rsidR="008C314C" w:rsidRPr="004A30A8">
        <w:t xml:space="preserve">, toda vez que </w:t>
      </w:r>
      <w:r w:rsidR="00745B44" w:rsidRPr="004A30A8">
        <w:t>la identidad de género y sexual se encuentra ligada al concepto de libertad, al derecho</w:t>
      </w:r>
      <w:r w:rsidR="00DF7FF5" w:rsidRPr="004A30A8">
        <w:t xml:space="preserve"> </w:t>
      </w:r>
      <w:r w:rsidR="00745B44" w:rsidRPr="004A30A8">
        <w:t>a la vida privada y</w:t>
      </w:r>
      <w:r w:rsidR="00AA48A4" w:rsidRPr="004A30A8">
        <w:t>, en suma,</w:t>
      </w:r>
      <w:r w:rsidR="00745B44" w:rsidRPr="004A30A8">
        <w:t xml:space="preserve"> a la posibilidad de todo ser humano de auto-determinarse y escoger</w:t>
      </w:r>
      <w:r w:rsidR="00745B44" w:rsidRPr="004A30A8">
        <w:rPr>
          <w:spacing w:val="1"/>
        </w:rPr>
        <w:t xml:space="preserve"> </w:t>
      </w:r>
      <w:r w:rsidR="00745B44" w:rsidRPr="004A30A8">
        <w:t>libremente las opciones y circunstancias que le dan sentido a su existencia, conforme a sus</w:t>
      </w:r>
      <w:r w:rsidR="00745B44" w:rsidRPr="004A30A8">
        <w:rPr>
          <w:spacing w:val="1"/>
        </w:rPr>
        <w:t xml:space="preserve"> </w:t>
      </w:r>
      <w:r w:rsidR="00745B44" w:rsidRPr="004A30A8">
        <w:t>propias convicciones</w:t>
      </w:r>
      <w:r w:rsidR="00745B44" w:rsidRPr="004A30A8">
        <w:rPr>
          <w:rStyle w:val="Refdenotaalpie"/>
        </w:rPr>
        <w:footnoteReference w:id="111"/>
      </w:r>
      <w:r w:rsidR="00745B44" w:rsidRPr="004A30A8">
        <w:t>.</w:t>
      </w:r>
      <w:r w:rsidR="00AA48A4" w:rsidRPr="004A30A8">
        <w:t xml:space="preserve"> </w:t>
      </w:r>
    </w:p>
    <w:p w14:paraId="47944827" w14:textId="77777777" w:rsidR="00716E29" w:rsidRPr="004A30A8" w:rsidRDefault="00716E29" w:rsidP="00716E29">
      <w:pPr>
        <w:tabs>
          <w:tab w:val="left" w:pos="567"/>
        </w:tabs>
        <w:spacing w:line="240" w:lineRule="auto"/>
        <w:rPr>
          <w:spacing w:val="-2"/>
        </w:rPr>
      </w:pPr>
    </w:p>
    <w:p w14:paraId="15F96A37" w14:textId="06E984B2" w:rsidR="00246EFB" w:rsidRPr="004A30A8" w:rsidRDefault="00AA48A4">
      <w:pPr>
        <w:numPr>
          <w:ilvl w:val="0"/>
          <w:numId w:val="7"/>
        </w:numPr>
        <w:tabs>
          <w:tab w:val="left" w:pos="567"/>
          <w:tab w:val="num" w:pos="1569"/>
          <w:tab w:val="num" w:pos="12305"/>
        </w:tabs>
        <w:spacing w:line="240" w:lineRule="auto"/>
        <w:ind w:left="0" w:firstLine="0"/>
        <w:rPr>
          <w:spacing w:val="-2"/>
        </w:rPr>
      </w:pPr>
      <w:r w:rsidRPr="004A30A8">
        <w:t>Por un lado, esta Corte ha interpretado en forma amplia el artículo 7</w:t>
      </w:r>
      <w:r w:rsidR="006C443A" w:rsidRPr="004A30A8">
        <w:t>.1</w:t>
      </w:r>
      <w:r w:rsidRPr="004A30A8">
        <w:t xml:space="preserve"> de la Convención Americana al señalar que éste incluye un concepto de libertad en un sentido extenso, el cual es entendido como la capacidad de hacer y no hacer todo lo que esté lícitamente permitido. En otras palabras, constituye el derecho de toda persona de organizar, con arreglo a la ley, su vida individual y social conforme a sus propias opciones y convicciones</w:t>
      </w:r>
      <w:r w:rsidRPr="004A30A8">
        <w:rPr>
          <w:rStyle w:val="Refdenotaalpie"/>
        </w:rPr>
        <w:footnoteReference w:id="112"/>
      </w:r>
      <w:r w:rsidRPr="004A30A8">
        <w:t xml:space="preserve">. </w:t>
      </w:r>
    </w:p>
    <w:p w14:paraId="78D89793" w14:textId="77777777" w:rsidR="00246EFB" w:rsidRPr="004A30A8" w:rsidRDefault="00246EFB" w:rsidP="00246EFB">
      <w:pPr>
        <w:tabs>
          <w:tab w:val="left" w:pos="567"/>
        </w:tabs>
        <w:spacing w:line="240" w:lineRule="auto"/>
        <w:rPr>
          <w:spacing w:val="-2"/>
        </w:rPr>
      </w:pPr>
    </w:p>
    <w:p w14:paraId="13C2C7F9" w14:textId="4BCAE423" w:rsidR="00D35372" w:rsidRPr="004A30A8" w:rsidRDefault="00AA48A4" w:rsidP="00D35372">
      <w:pPr>
        <w:numPr>
          <w:ilvl w:val="0"/>
          <w:numId w:val="7"/>
        </w:numPr>
        <w:tabs>
          <w:tab w:val="left" w:pos="567"/>
          <w:tab w:val="num" w:pos="1569"/>
          <w:tab w:val="num" w:pos="12305"/>
        </w:tabs>
        <w:spacing w:line="240" w:lineRule="auto"/>
        <w:ind w:left="0" w:firstLine="0"/>
        <w:rPr>
          <w:spacing w:val="-2"/>
        </w:rPr>
      </w:pPr>
      <w:r w:rsidRPr="004A30A8">
        <w:t xml:space="preserve">Por otro lado, </w:t>
      </w:r>
      <w:r w:rsidR="00745B44" w:rsidRPr="004A30A8">
        <w:rPr>
          <w:lang w:val="es-CO"/>
        </w:rPr>
        <w:t>Tribunal</w:t>
      </w:r>
      <w:r w:rsidR="00745B44" w:rsidRPr="004A30A8">
        <w:rPr>
          <w:lang w:val="es-ES_tradnl"/>
        </w:rPr>
        <w:t xml:space="preserve"> recuerda que </w:t>
      </w:r>
      <w:r w:rsidR="00AF631E" w:rsidRPr="004A30A8">
        <w:t>el derecho a la</w:t>
      </w:r>
      <w:r w:rsidRPr="004A30A8">
        <w:t xml:space="preserve"> vida privada amparado por </w:t>
      </w:r>
      <w:r w:rsidRPr="004A30A8">
        <w:rPr>
          <w:lang w:val="es-ES_tradnl"/>
        </w:rPr>
        <w:t>el artículo 11</w:t>
      </w:r>
      <w:r w:rsidR="00AF631E" w:rsidRPr="004A30A8">
        <w:rPr>
          <w:lang w:val="es-ES_tradnl"/>
        </w:rPr>
        <w:t>.2</w:t>
      </w:r>
      <w:r w:rsidRPr="004A30A8">
        <w:rPr>
          <w:lang w:val="es-ES_tradnl"/>
        </w:rPr>
        <w:t xml:space="preserve"> de </w:t>
      </w:r>
      <w:r w:rsidR="00745B44" w:rsidRPr="004A30A8">
        <w:t xml:space="preserve">la Convención Americana </w:t>
      </w:r>
      <w:r w:rsidR="008C314C" w:rsidRPr="004A30A8">
        <w:t>engloba aspectos de la identidad física y social, incluyendo el derecho a la autonomía personal, desarrollo personal y el derecho a establecer y desarrollar relaciones con otros seres humanos y con el mundo exterior.</w:t>
      </w:r>
      <w:r w:rsidR="000C3BAC" w:rsidRPr="004A30A8">
        <w:t xml:space="preserve"> En este sentido, </w:t>
      </w:r>
      <w:r w:rsidR="00E371BB" w:rsidRPr="004A30A8">
        <w:t>la Corte</w:t>
      </w:r>
      <w:r w:rsidR="000C3BAC" w:rsidRPr="004A30A8">
        <w:t xml:space="preserve"> ha precisado que la protección del derecho a la vida privada no se limita al derecho a la privacidad, pues abarca una serie de factores relacionados con la dignidad de la persona, incluyendo, por ejemplo, la capacidad para desarrollar su propia personalidad, aspiraciones, determinar su identidad y definir sus relaciones personales. En particular, f</w:t>
      </w:r>
      <w:r w:rsidRPr="004A30A8">
        <w:t>rente</w:t>
      </w:r>
      <w:r w:rsidRPr="004A30A8">
        <w:rPr>
          <w:spacing w:val="-8"/>
        </w:rPr>
        <w:t xml:space="preserve"> </w:t>
      </w:r>
      <w:r w:rsidRPr="004A30A8">
        <w:t>a</w:t>
      </w:r>
      <w:r w:rsidRPr="004A30A8">
        <w:rPr>
          <w:spacing w:val="-6"/>
        </w:rPr>
        <w:t xml:space="preserve"> </w:t>
      </w:r>
      <w:r w:rsidRPr="004A30A8">
        <w:t>la</w:t>
      </w:r>
      <w:r w:rsidRPr="004A30A8">
        <w:rPr>
          <w:spacing w:val="-6"/>
        </w:rPr>
        <w:t xml:space="preserve"> </w:t>
      </w:r>
      <w:r w:rsidRPr="004A30A8">
        <w:t>orientación</w:t>
      </w:r>
      <w:r w:rsidRPr="004A30A8">
        <w:rPr>
          <w:spacing w:val="-5"/>
        </w:rPr>
        <w:t xml:space="preserve"> </w:t>
      </w:r>
      <w:r w:rsidRPr="004A30A8">
        <w:t>sexual</w:t>
      </w:r>
      <w:r w:rsidRPr="004A30A8">
        <w:rPr>
          <w:spacing w:val="-6"/>
        </w:rPr>
        <w:t xml:space="preserve"> </w:t>
      </w:r>
      <w:r w:rsidRPr="004A30A8">
        <w:t>y</w:t>
      </w:r>
      <w:r w:rsidRPr="004A30A8">
        <w:rPr>
          <w:spacing w:val="-7"/>
        </w:rPr>
        <w:t xml:space="preserve"> </w:t>
      </w:r>
      <w:r w:rsidRPr="004A30A8">
        <w:t>a</w:t>
      </w:r>
      <w:r w:rsidRPr="004A30A8">
        <w:rPr>
          <w:spacing w:val="-6"/>
        </w:rPr>
        <w:t xml:space="preserve"> </w:t>
      </w:r>
      <w:r w:rsidRPr="004A30A8">
        <w:t>la</w:t>
      </w:r>
      <w:r w:rsidRPr="004A30A8">
        <w:rPr>
          <w:spacing w:val="-6"/>
        </w:rPr>
        <w:t xml:space="preserve"> </w:t>
      </w:r>
      <w:r w:rsidRPr="004A30A8">
        <w:t>identidad</w:t>
      </w:r>
      <w:r w:rsidRPr="004A30A8">
        <w:rPr>
          <w:spacing w:val="-6"/>
        </w:rPr>
        <w:t xml:space="preserve"> </w:t>
      </w:r>
      <w:r w:rsidRPr="004A30A8">
        <w:t>sexual,</w:t>
      </w:r>
      <w:r w:rsidRPr="004A30A8">
        <w:rPr>
          <w:spacing w:val="-5"/>
        </w:rPr>
        <w:t xml:space="preserve"> </w:t>
      </w:r>
      <w:r w:rsidR="00CA3743" w:rsidRPr="004A30A8">
        <w:rPr>
          <w:spacing w:val="-5"/>
        </w:rPr>
        <w:t>“</w:t>
      </w:r>
      <w:r w:rsidRPr="004A30A8">
        <w:t>la</w:t>
      </w:r>
      <w:r w:rsidRPr="004A30A8">
        <w:rPr>
          <w:spacing w:val="-6"/>
        </w:rPr>
        <w:t xml:space="preserve"> </w:t>
      </w:r>
      <w:r w:rsidRPr="004A30A8">
        <w:t>vida</w:t>
      </w:r>
      <w:r w:rsidRPr="004A30A8">
        <w:rPr>
          <w:spacing w:val="-6"/>
        </w:rPr>
        <w:t xml:space="preserve"> </w:t>
      </w:r>
      <w:r w:rsidRPr="004A30A8">
        <w:t>afectiva con</w:t>
      </w:r>
      <w:r w:rsidRPr="004A30A8">
        <w:rPr>
          <w:spacing w:val="-10"/>
        </w:rPr>
        <w:t xml:space="preserve"> </w:t>
      </w:r>
      <w:r w:rsidRPr="004A30A8">
        <w:t>el</w:t>
      </w:r>
      <w:r w:rsidRPr="004A30A8">
        <w:rPr>
          <w:spacing w:val="-11"/>
        </w:rPr>
        <w:t xml:space="preserve"> </w:t>
      </w:r>
      <w:r w:rsidRPr="004A30A8">
        <w:t>cónyuge</w:t>
      </w:r>
      <w:r w:rsidRPr="004A30A8">
        <w:rPr>
          <w:spacing w:val="-12"/>
        </w:rPr>
        <w:t xml:space="preserve"> </w:t>
      </w:r>
      <w:r w:rsidRPr="004A30A8">
        <w:t>o</w:t>
      </w:r>
      <w:r w:rsidRPr="004A30A8">
        <w:rPr>
          <w:spacing w:val="-15"/>
        </w:rPr>
        <w:t xml:space="preserve"> </w:t>
      </w:r>
      <w:r w:rsidRPr="004A30A8">
        <w:t>compañera</w:t>
      </w:r>
      <w:r w:rsidRPr="004A30A8">
        <w:rPr>
          <w:spacing w:val="-13"/>
        </w:rPr>
        <w:t xml:space="preserve"> </w:t>
      </w:r>
      <w:r w:rsidRPr="004A30A8">
        <w:t>permanente es uno de los aspectos principales de ese ámbito o círculo de la intimidad</w:t>
      </w:r>
      <w:r w:rsidR="000C3BAC" w:rsidRPr="004A30A8">
        <w:t xml:space="preserve"> conectado con la vida privada</w:t>
      </w:r>
      <w:r w:rsidR="00CA3743" w:rsidRPr="004A30A8">
        <w:t>”</w:t>
      </w:r>
      <w:r w:rsidRPr="004A30A8">
        <w:rPr>
          <w:rStyle w:val="Refdenotaalpie"/>
        </w:rPr>
        <w:footnoteReference w:id="113"/>
      </w:r>
      <w:r w:rsidRPr="004A30A8">
        <w:rPr>
          <w:spacing w:val="-2"/>
        </w:rPr>
        <w:t>. Además, l</w:t>
      </w:r>
      <w:r w:rsidR="008C314C" w:rsidRPr="004A30A8">
        <w:t>a</w:t>
      </w:r>
      <w:r w:rsidR="008C314C" w:rsidRPr="004A30A8">
        <w:rPr>
          <w:spacing w:val="-6"/>
        </w:rPr>
        <w:t xml:space="preserve"> </w:t>
      </w:r>
      <w:r w:rsidR="008C314C" w:rsidRPr="004A30A8">
        <w:t>vida</w:t>
      </w:r>
      <w:r w:rsidR="008C314C" w:rsidRPr="004A30A8">
        <w:rPr>
          <w:spacing w:val="-9"/>
        </w:rPr>
        <w:t xml:space="preserve"> </w:t>
      </w:r>
      <w:r w:rsidR="008C314C" w:rsidRPr="004A30A8">
        <w:t>privada</w:t>
      </w:r>
      <w:r w:rsidR="008C314C" w:rsidRPr="004A30A8">
        <w:rPr>
          <w:spacing w:val="-9"/>
        </w:rPr>
        <w:t xml:space="preserve"> </w:t>
      </w:r>
      <w:r w:rsidR="000C3BAC" w:rsidRPr="004A30A8">
        <w:rPr>
          <w:spacing w:val="-9"/>
        </w:rPr>
        <w:t xml:space="preserve">no solo </w:t>
      </w:r>
      <w:r w:rsidR="008C314C" w:rsidRPr="004A30A8">
        <w:t>comprende</w:t>
      </w:r>
      <w:r w:rsidR="008C314C" w:rsidRPr="004A30A8">
        <w:rPr>
          <w:spacing w:val="-10"/>
        </w:rPr>
        <w:t xml:space="preserve"> </w:t>
      </w:r>
      <w:r w:rsidR="008C314C" w:rsidRPr="004A30A8">
        <w:t>la</w:t>
      </w:r>
      <w:r w:rsidR="008C314C" w:rsidRPr="004A30A8">
        <w:rPr>
          <w:spacing w:val="-9"/>
        </w:rPr>
        <w:t xml:space="preserve"> </w:t>
      </w:r>
      <w:r w:rsidR="008C314C" w:rsidRPr="004A30A8">
        <w:t>forma</w:t>
      </w:r>
      <w:r w:rsidR="008C314C" w:rsidRPr="004A30A8">
        <w:rPr>
          <w:spacing w:val="-9"/>
        </w:rPr>
        <w:t xml:space="preserve"> </w:t>
      </w:r>
      <w:r w:rsidR="008C314C" w:rsidRPr="004A30A8">
        <w:t>en</w:t>
      </w:r>
      <w:r w:rsidR="008C314C" w:rsidRPr="004A30A8">
        <w:rPr>
          <w:spacing w:val="-8"/>
        </w:rPr>
        <w:t xml:space="preserve"> </w:t>
      </w:r>
      <w:r w:rsidR="008C314C" w:rsidRPr="004A30A8">
        <w:t>que</w:t>
      </w:r>
      <w:r w:rsidR="008C314C" w:rsidRPr="004A30A8">
        <w:rPr>
          <w:spacing w:val="-10"/>
        </w:rPr>
        <w:t xml:space="preserve"> </w:t>
      </w:r>
      <w:r w:rsidR="008C314C" w:rsidRPr="004A30A8">
        <w:t>la</w:t>
      </w:r>
      <w:r w:rsidR="008C314C" w:rsidRPr="004A30A8">
        <w:rPr>
          <w:spacing w:val="-9"/>
        </w:rPr>
        <w:t xml:space="preserve"> </w:t>
      </w:r>
      <w:r w:rsidR="008C314C" w:rsidRPr="004A30A8">
        <w:t>persona</w:t>
      </w:r>
      <w:r w:rsidR="008C314C" w:rsidRPr="004A30A8">
        <w:rPr>
          <w:spacing w:val="-9"/>
        </w:rPr>
        <w:t xml:space="preserve"> </w:t>
      </w:r>
      <w:r w:rsidR="008C314C" w:rsidRPr="004A30A8">
        <w:t>se</w:t>
      </w:r>
      <w:r w:rsidR="008C314C" w:rsidRPr="004A30A8">
        <w:rPr>
          <w:spacing w:val="-10"/>
        </w:rPr>
        <w:t xml:space="preserve"> </w:t>
      </w:r>
      <w:r w:rsidR="008C314C" w:rsidRPr="004A30A8">
        <w:t>ve</w:t>
      </w:r>
      <w:r w:rsidR="008C314C" w:rsidRPr="004A30A8">
        <w:rPr>
          <w:spacing w:val="-8"/>
        </w:rPr>
        <w:t xml:space="preserve"> </w:t>
      </w:r>
      <w:r w:rsidR="008C314C" w:rsidRPr="004A30A8">
        <w:t>a</w:t>
      </w:r>
      <w:r w:rsidR="008C314C" w:rsidRPr="004A30A8">
        <w:rPr>
          <w:spacing w:val="-9"/>
        </w:rPr>
        <w:t xml:space="preserve"> </w:t>
      </w:r>
      <w:r w:rsidR="008C314C" w:rsidRPr="004A30A8">
        <w:t>sí</w:t>
      </w:r>
      <w:r w:rsidR="008C314C" w:rsidRPr="004A30A8">
        <w:rPr>
          <w:spacing w:val="-9"/>
        </w:rPr>
        <w:t xml:space="preserve"> </w:t>
      </w:r>
      <w:r w:rsidR="008C314C" w:rsidRPr="004A30A8">
        <w:t>mism</w:t>
      </w:r>
      <w:r w:rsidR="00F0678F" w:rsidRPr="004A30A8">
        <w:t>a</w:t>
      </w:r>
      <w:r w:rsidR="000C3BAC" w:rsidRPr="004A30A8">
        <w:rPr>
          <w:spacing w:val="-7"/>
        </w:rPr>
        <w:t>, sino también</w:t>
      </w:r>
      <w:r w:rsidR="008C314C" w:rsidRPr="004A30A8">
        <w:rPr>
          <w:spacing w:val="-9"/>
        </w:rPr>
        <w:t xml:space="preserve"> </w:t>
      </w:r>
      <w:r w:rsidR="008C314C" w:rsidRPr="004A30A8">
        <w:t>cómo decide proyectarse hacia los demás, siendo esto una condición indispensable para el libre desarrollo de la personalidad</w:t>
      </w:r>
      <w:r w:rsidR="008C314C" w:rsidRPr="004A30A8">
        <w:rPr>
          <w:rStyle w:val="Refdenotaalpie"/>
        </w:rPr>
        <w:footnoteReference w:id="114"/>
      </w:r>
      <w:r w:rsidR="008C314C" w:rsidRPr="004A30A8">
        <w:t xml:space="preserve">. </w:t>
      </w:r>
      <w:r w:rsidR="006C6CD5" w:rsidRPr="004A30A8">
        <w:t>Todo e</w:t>
      </w:r>
      <w:r w:rsidRPr="004A30A8">
        <w:t xml:space="preserve">ste ámbito de la vida privada de las personas se caracteriza por ser un espacio de libertad </w:t>
      </w:r>
      <w:r w:rsidR="007B048F" w:rsidRPr="004A30A8">
        <w:t xml:space="preserve">que debe estar </w:t>
      </w:r>
      <w:r w:rsidRPr="004A30A8">
        <w:t>exento e inmune a las injerencias abusivas o arbitrarias por parte de terceros o de la autoridad pública</w:t>
      </w:r>
      <w:r w:rsidRPr="004A30A8">
        <w:rPr>
          <w:rStyle w:val="Refdenotaalpie"/>
        </w:rPr>
        <w:footnoteReference w:id="115"/>
      </w:r>
      <w:r w:rsidRPr="004A30A8">
        <w:t>.</w:t>
      </w:r>
    </w:p>
    <w:p w14:paraId="5DC5EA76" w14:textId="5CF3F3B2" w:rsidR="003153DF" w:rsidRPr="004A30A8" w:rsidRDefault="009117FF" w:rsidP="003153DF">
      <w:pPr>
        <w:pStyle w:val="Ttulo3"/>
        <w:spacing w:before="360" w:after="360"/>
        <w:ind w:left="992"/>
        <w:contextualSpacing w:val="0"/>
        <w:rPr>
          <w:b w:val="0"/>
          <w:bCs/>
          <w:lang w:val="es-ES"/>
        </w:rPr>
      </w:pPr>
      <w:bookmarkStart w:id="53" w:name="_Toc129887116"/>
      <w:r w:rsidRPr="004A30A8">
        <w:rPr>
          <w:b w:val="0"/>
          <w:bCs/>
          <w:lang w:val="es-ES"/>
        </w:rPr>
        <w:t>B</w:t>
      </w:r>
      <w:r w:rsidR="00D35372" w:rsidRPr="004A30A8">
        <w:rPr>
          <w:b w:val="0"/>
          <w:bCs/>
          <w:lang w:val="es-ES"/>
        </w:rPr>
        <w:t xml:space="preserve">.3 Derechos humanos y empresas: estándares en materia de igualdad y no discriminación </w:t>
      </w:r>
      <w:r w:rsidR="006E3C80" w:rsidRPr="004A30A8">
        <w:rPr>
          <w:b w:val="0"/>
          <w:bCs/>
          <w:lang w:val="es-ES"/>
        </w:rPr>
        <w:t xml:space="preserve">por orientación sexual, identidad de género y expresión de </w:t>
      </w:r>
      <w:r w:rsidR="006E3C80" w:rsidRPr="004A30A8">
        <w:rPr>
          <w:b w:val="0"/>
          <w:bCs/>
          <w:lang w:val="es-ES"/>
        </w:rPr>
        <w:lastRenderedPageBreak/>
        <w:t>género</w:t>
      </w:r>
      <w:bookmarkEnd w:id="53"/>
    </w:p>
    <w:p w14:paraId="59672B1C" w14:textId="1F316692" w:rsidR="00D35372" w:rsidRPr="004A30A8" w:rsidRDefault="00AF631E">
      <w:pPr>
        <w:numPr>
          <w:ilvl w:val="0"/>
          <w:numId w:val="7"/>
        </w:numPr>
        <w:tabs>
          <w:tab w:val="left" w:pos="567"/>
          <w:tab w:val="num" w:pos="1569"/>
          <w:tab w:val="num" w:pos="12305"/>
        </w:tabs>
        <w:spacing w:line="240" w:lineRule="auto"/>
        <w:ind w:left="0" w:firstLine="0"/>
        <w:rPr>
          <w:lang w:val="es-ES"/>
        </w:rPr>
      </w:pPr>
      <w:r w:rsidRPr="004A30A8">
        <w:t>E</w:t>
      </w:r>
      <w:r w:rsidR="00D35372" w:rsidRPr="004A30A8">
        <w:t>ste Tribunal ha establecido que la obligación de garantía</w:t>
      </w:r>
      <w:r w:rsidR="00D35372" w:rsidRPr="004A30A8">
        <w:rPr>
          <w:spacing w:val="1"/>
        </w:rPr>
        <w:t xml:space="preserve"> </w:t>
      </w:r>
      <w:r w:rsidRPr="004A30A8">
        <w:rPr>
          <w:spacing w:val="1"/>
        </w:rPr>
        <w:t xml:space="preserve">contenida en el artículo 1.1 de la Convención Americana </w:t>
      </w:r>
      <w:r w:rsidR="00D35372" w:rsidRPr="004A30A8">
        <w:t>se</w:t>
      </w:r>
      <w:r w:rsidR="00D35372" w:rsidRPr="004A30A8">
        <w:rPr>
          <w:spacing w:val="-4"/>
        </w:rPr>
        <w:t xml:space="preserve"> </w:t>
      </w:r>
      <w:r w:rsidR="00D35372" w:rsidRPr="004A30A8">
        <w:t>proyecta</w:t>
      </w:r>
      <w:r w:rsidR="00D35372" w:rsidRPr="004A30A8">
        <w:rPr>
          <w:spacing w:val="-4"/>
        </w:rPr>
        <w:t xml:space="preserve"> </w:t>
      </w:r>
      <w:r w:rsidR="00D35372" w:rsidRPr="004A30A8">
        <w:t>más</w:t>
      </w:r>
      <w:r w:rsidR="00D35372" w:rsidRPr="004A30A8">
        <w:rPr>
          <w:spacing w:val="-4"/>
        </w:rPr>
        <w:t xml:space="preserve"> </w:t>
      </w:r>
      <w:r w:rsidR="00D35372" w:rsidRPr="004A30A8">
        <w:t>allá</w:t>
      </w:r>
      <w:r w:rsidR="00D35372" w:rsidRPr="004A30A8">
        <w:rPr>
          <w:spacing w:val="-3"/>
        </w:rPr>
        <w:t xml:space="preserve"> </w:t>
      </w:r>
      <w:r w:rsidR="00D35372" w:rsidRPr="004A30A8">
        <w:t>de</w:t>
      </w:r>
      <w:r w:rsidR="00D35372" w:rsidRPr="004A30A8">
        <w:rPr>
          <w:spacing w:val="-4"/>
        </w:rPr>
        <w:t xml:space="preserve"> </w:t>
      </w:r>
      <w:r w:rsidR="00D35372" w:rsidRPr="004A30A8">
        <w:t>la</w:t>
      </w:r>
      <w:r w:rsidR="00D35372" w:rsidRPr="004A30A8">
        <w:rPr>
          <w:spacing w:val="-3"/>
        </w:rPr>
        <w:t xml:space="preserve"> </w:t>
      </w:r>
      <w:r w:rsidR="00D35372" w:rsidRPr="004A30A8">
        <w:t>relación</w:t>
      </w:r>
      <w:r w:rsidR="00D35372" w:rsidRPr="004A30A8">
        <w:rPr>
          <w:spacing w:val="-2"/>
        </w:rPr>
        <w:t xml:space="preserve"> </w:t>
      </w:r>
      <w:r w:rsidR="00D35372" w:rsidRPr="004A30A8">
        <w:t>entre</w:t>
      </w:r>
      <w:r w:rsidR="00D35372" w:rsidRPr="004A30A8">
        <w:rPr>
          <w:spacing w:val="-4"/>
        </w:rPr>
        <w:t xml:space="preserve"> </w:t>
      </w:r>
      <w:r w:rsidR="00D35372" w:rsidRPr="004A30A8">
        <w:t>los</w:t>
      </w:r>
      <w:r w:rsidR="00D35372" w:rsidRPr="004A30A8">
        <w:rPr>
          <w:spacing w:val="-4"/>
        </w:rPr>
        <w:t xml:space="preserve"> </w:t>
      </w:r>
      <w:r w:rsidR="00D35372" w:rsidRPr="004A30A8">
        <w:t>agentes</w:t>
      </w:r>
      <w:r w:rsidR="00D35372" w:rsidRPr="004A30A8">
        <w:rPr>
          <w:spacing w:val="-1"/>
        </w:rPr>
        <w:t xml:space="preserve"> </w:t>
      </w:r>
      <w:r w:rsidR="00D35372" w:rsidRPr="004A30A8">
        <w:t>estatales</w:t>
      </w:r>
      <w:r w:rsidR="00D35372" w:rsidRPr="004A30A8">
        <w:rPr>
          <w:spacing w:val="-1"/>
        </w:rPr>
        <w:t xml:space="preserve"> </w:t>
      </w:r>
      <w:r w:rsidR="00D35372" w:rsidRPr="004A30A8">
        <w:t>y</w:t>
      </w:r>
      <w:r w:rsidR="00D35372" w:rsidRPr="004A30A8">
        <w:rPr>
          <w:spacing w:val="-3"/>
        </w:rPr>
        <w:t xml:space="preserve"> </w:t>
      </w:r>
      <w:r w:rsidR="00D35372" w:rsidRPr="004A30A8">
        <w:t>las</w:t>
      </w:r>
      <w:r w:rsidR="00D35372" w:rsidRPr="004A30A8">
        <w:rPr>
          <w:spacing w:val="-4"/>
        </w:rPr>
        <w:t xml:space="preserve"> </w:t>
      </w:r>
      <w:r w:rsidR="00D35372" w:rsidRPr="004A30A8">
        <w:t>personas</w:t>
      </w:r>
      <w:r w:rsidR="00D35372" w:rsidRPr="004A30A8">
        <w:rPr>
          <w:spacing w:val="-1"/>
        </w:rPr>
        <w:t xml:space="preserve"> </w:t>
      </w:r>
      <w:r w:rsidR="00D35372" w:rsidRPr="004A30A8">
        <w:t>sometidas</w:t>
      </w:r>
      <w:r w:rsidR="00D35372" w:rsidRPr="004A30A8">
        <w:rPr>
          <w:spacing w:val="-4"/>
        </w:rPr>
        <w:t xml:space="preserve"> </w:t>
      </w:r>
      <w:r w:rsidR="00D35372" w:rsidRPr="004A30A8">
        <w:t>a</w:t>
      </w:r>
      <w:r w:rsidR="00D35372" w:rsidRPr="004A30A8">
        <w:rPr>
          <w:spacing w:val="-3"/>
        </w:rPr>
        <w:t xml:space="preserve"> </w:t>
      </w:r>
      <w:r w:rsidR="00D35372" w:rsidRPr="004A30A8">
        <w:t>su</w:t>
      </w:r>
      <w:r w:rsidR="00DF7FF5" w:rsidRPr="004A30A8">
        <w:t xml:space="preserve"> </w:t>
      </w:r>
      <w:r w:rsidR="00D35372" w:rsidRPr="004A30A8">
        <w:t>jurisdicción, y abarca el deber de prevenir, en la esfera privada, que terceros vulneren los</w:t>
      </w:r>
      <w:r w:rsidR="00D35372" w:rsidRPr="004A30A8">
        <w:rPr>
          <w:spacing w:val="1"/>
        </w:rPr>
        <w:t xml:space="preserve"> </w:t>
      </w:r>
      <w:r w:rsidR="00D35372" w:rsidRPr="004A30A8">
        <w:t>bienes jurídicos protegidos</w:t>
      </w:r>
      <w:r w:rsidR="00AE074C">
        <w:rPr>
          <w:rStyle w:val="Refdenotaalpie"/>
        </w:rPr>
        <w:footnoteReference w:id="116"/>
      </w:r>
      <w:r w:rsidR="00D35372" w:rsidRPr="004A30A8">
        <w:t>. No obstante, la Corte ha considerado que un Estado no puede</w:t>
      </w:r>
      <w:r w:rsidR="00D35372" w:rsidRPr="004A30A8">
        <w:rPr>
          <w:spacing w:val="1"/>
        </w:rPr>
        <w:t xml:space="preserve"> </w:t>
      </w:r>
      <w:r w:rsidR="00D35372" w:rsidRPr="004A30A8">
        <w:t>ser responsable por cualquier violación de derechos humanos cometida por particulares</w:t>
      </w:r>
      <w:r w:rsidR="00D35372" w:rsidRPr="004A30A8">
        <w:rPr>
          <w:spacing w:val="1"/>
        </w:rPr>
        <w:t xml:space="preserve"> </w:t>
      </w:r>
      <w:r w:rsidR="00D35372" w:rsidRPr="004A30A8">
        <w:t xml:space="preserve">dentro de su jurisdicción. El carácter </w:t>
      </w:r>
      <w:r w:rsidR="00D35372" w:rsidRPr="004A30A8">
        <w:rPr>
          <w:i/>
        </w:rPr>
        <w:t xml:space="preserve">erga omnes </w:t>
      </w:r>
      <w:r w:rsidR="00D35372" w:rsidRPr="004A30A8">
        <w:t>de las obligaciones convencionales de</w:t>
      </w:r>
      <w:r w:rsidR="00D35372" w:rsidRPr="004A30A8">
        <w:rPr>
          <w:spacing w:val="1"/>
        </w:rPr>
        <w:t xml:space="preserve"> </w:t>
      </w:r>
      <w:r w:rsidR="00D35372" w:rsidRPr="004A30A8">
        <w:t>garantía</w:t>
      </w:r>
      <w:r w:rsidR="00D35372" w:rsidRPr="004A30A8">
        <w:rPr>
          <w:spacing w:val="-16"/>
        </w:rPr>
        <w:t xml:space="preserve"> </w:t>
      </w:r>
      <w:r w:rsidR="00D35372" w:rsidRPr="004A30A8">
        <w:t>a</w:t>
      </w:r>
      <w:r w:rsidR="00D35372" w:rsidRPr="004A30A8">
        <w:rPr>
          <w:spacing w:val="-15"/>
        </w:rPr>
        <w:t xml:space="preserve"> </w:t>
      </w:r>
      <w:r w:rsidR="00D35372" w:rsidRPr="004A30A8">
        <w:t>cargo</w:t>
      </w:r>
      <w:r w:rsidR="00D35372" w:rsidRPr="004A30A8">
        <w:rPr>
          <w:spacing w:val="-16"/>
        </w:rPr>
        <w:t xml:space="preserve"> </w:t>
      </w:r>
      <w:r w:rsidR="00D35372" w:rsidRPr="004A30A8">
        <w:t>de</w:t>
      </w:r>
      <w:r w:rsidR="00D35372" w:rsidRPr="004A30A8">
        <w:rPr>
          <w:spacing w:val="-16"/>
        </w:rPr>
        <w:t xml:space="preserve"> </w:t>
      </w:r>
      <w:r w:rsidR="00D35372" w:rsidRPr="004A30A8">
        <w:t>los</w:t>
      </w:r>
      <w:r w:rsidR="00D35372" w:rsidRPr="004A30A8">
        <w:rPr>
          <w:spacing w:val="-13"/>
        </w:rPr>
        <w:t xml:space="preserve"> </w:t>
      </w:r>
      <w:r w:rsidR="00D35372" w:rsidRPr="004A30A8">
        <w:t>Estados</w:t>
      </w:r>
      <w:r w:rsidR="00D35372" w:rsidRPr="004A30A8">
        <w:rPr>
          <w:spacing w:val="-16"/>
        </w:rPr>
        <w:t xml:space="preserve"> </w:t>
      </w:r>
      <w:r w:rsidR="00D35372" w:rsidRPr="004A30A8">
        <w:t>no</w:t>
      </w:r>
      <w:r w:rsidR="00D35372" w:rsidRPr="004A30A8">
        <w:rPr>
          <w:spacing w:val="-16"/>
        </w:rPr>
        <w:t xml:space="preserve"> </w:t>
      </w:r>
      <w:r w:rsidR="00D35372" w:rsidRPr="004A30A8">
        <w:t>implica</w:t>
      </w:r>
      <w:r w:rsidR="00D35372" w:rsidRPr="004A30A8">
        <w:rPr>
          <w:spacing w:val="-15"/>
        </w:rPr>
        <w:t xml:space="preserve"> </w:t>
      </w:r>
      <w:r w:rsidR="00D35372" w:rsidRPr="004A30A8">
        <w:t>su</w:t>
      </w:r>
      <w:r w:rsidR="00D35372" w:rsidRPr="004A30A8">
        <w:rPr>
          <w:spacing w:val="-14"/>
        </w:rPr>
        <w:t xml:space="preserve"> </w:t>
      </w:r>
      <w:r w:rsidR="00D35372" w:rsidRPr="004A30A8">
        <w:t>responsabilidad</w:t>
      </w:r>
      <w:r w:rsidR="00D35372" w:rsidRPr="004A30A8">
        <w:rPr>
          <w:spacing w:val="-17"/>
        </w:rPr>
        <w:t xml:space="preserve"> </w:t>
      </w:r>
      <w:r w:rsidR="00D35372" w:rsidRPr="004A30A8">
        <w:t>ilimitada</w:t>
      </w:r>
      <w:r w:rsidR="00D35372" w:rsidRPr="004A30A8">
        <w:rPr>
          <w:spacing w:val="-15"/>
        </w:rPr>
        <w:t xml:space="preserve"> </w:t>
      </w:r>
      <w:r w:rsidR="00D35372" w:rsidRPr="004A30A8">
        <w:t>frente</w:t>
      </w:r>
      <w:r w:rsidR="00D35372" w:rsidRPr="004A30A8">
        <w:rPr>
          <w:spacing w:val="-16"/>
        </w:rPr>
        <w:t xml:space="preserve"> </w:t>
      </w:r>
      <w:r w:rsidR="00D35372" w:rsidRPr="004A30A8">
        <w:t>a</w:t>
      </w:r>
      <w:r w:rsidR="00D35372" w:rsidRPr="004A30A8">
        <w:rPr>
          <w:spacing w:val="-12"/>
        </w:rPr>
        <w:t xml:space="preserve"> </w:t>
      </w:r>
      <w:r w:rsidR="00D35372" w:rsidRPr="004A30A8">
        <w:t>cualquier</w:t>
      </w:r>
      <w:r w:rsidR="00D35372" w:rsidRPr="004A30A8">
        <w:rPr>
          <w:spacing w:val="-16"/>
        </w:rPr>
        <w:t xml:space="preserve"> </w:t>
      </w:r>
      <w:r w:rsidR="00CA3743" w:rsidRPr="004A30A8">
        <w:t>acto</w:t>
      </w:r>
      <w:r w:rsidR="000273BC" w:rsidRPr="004A30A8">
        <w:t xml:space="preserve"> </w:t>
      </w:r>
      <w:r w:rsidR="00DF7FF5" w:rsidRPr="004A30A8">
        <w:rPr>
          <w:spacing w:val="-68"/>
        </w:rPr>
        <w:t xml:space="preserve">  </w:t>
      </w:r>
      <w:r w:rsidR="00CA3743" w:rsidRPr="004A30A8">
        <w:rPr>
          <w:spacing w:val="1"/>
        </w:rPr>
        <w:t xml:space="preserve">de </w:t>
      </w:r>
      <w:r w:rsidR="00D35372" w:rsidRPr="004A30A8">
        <w:t>particulares.</w:t>
      </w:r>
      <w:r w:rsidR="00D35372" w:rsidRPr="004A30A8">
        <w:rPr>
          <w:spacing w:val="1"/>
        </w:rPr>
        <w:t xml:space="preserve"> </w:t>
      </w:r>
      <w:r w:rsidR="00D35372" w:rsidRPr="004A30A8">
        <w:t>Así,</w:t>
      </w:r>
      <w:r w:rsidR="00D35372" w:rsidRPr="004A30A8">
        <w:rPr>
          <w:spacing w:val="1"/>
        </w:rPr>
        <w:t xml:space="preserve"> </w:t>
      </w:r>
      <w:r w:rsidR="00D35372" w:rsidRPr="004A30A8">
        <w:t>aunque</w:t>
      </w:r>
      <w:r w:rsidR="00D35372" w:rsidRPr="004A30A8">
        <w:rPr>
          <w:spacing w:val="1"/>
        </w:rPr>
        <w:t xml:space="preserve"> </w:t>
      </w:r>
      <w:r w:rsidR="00D35372" w:rsidRPr="004A30A8">
        <w:t>un</w:t>
      </w:r>
      <w:r w:rsidR="00D35372" w:rsidRPr="004A30A8">
        <w:rPr>
          <w:spacing w:val="1"/>
        </w:rPr>
        <w:t xml:space="preserve"> </w:t>
      </w:r>
      <w:r w:rsidR="00D35372" w:rsidRPr="004A30A8">
        <w:t>acto,</w:t>
      </w:r>
      <w:r w:rsidR="00D35372" w:rsidRPr="004A30A8">
        <w:rPr>
          <w:spacing w:val="1"/>
        </w:rPr>
        <w:t xml:space="preserve"> </w:t>
      </w:r>
      <w:r w:rsidR="00D35372" w:rsidRPr="004A30A8">
        <w:t>omisión</w:t>
      </w:r>
      <w:r w:rsidR="00D35372" w:rsidRPr="004A30A8">
        <w:rPr>
          <w:spacing w:val="1"/>
        </w:rPr>
        <w:t xml:space="preserve"> </w:t>
      </w:r>
      <w:r w:rsidR="00D35372" w:rsidRPr="004A30A8">
        <w:t>o</w:t>
      </w:r>
      <w:r w:rsidR="00D35372" w:rsidRPr="004A30A8">
        <w:rPr>
          <w:spacing w:val="1"/>
        </w:rPr>
        <w:t xml:space="preserve"> </w:t>
      </w:r>
      <w:r w:rsidR="00D35372" w:rsidRPr="004A30A8">
        <w:t>hecho</w:t>
      </w:r>
      <w:r w:rsidR="00D35372" w:rsidRPr="004A30A8">
        <w:rPr>
          <w:spacing w:val="1"/>
        </w:rPr>
        <w:t xml:space="preserve"> </w:t>
      </w:r>
      <w:r w:rsidR="00D35372" w:rsidRPr="004A30A8">
        <w:t>de</w:t>
      </w:r>
      <w:r w:rsidR="00D35372" w:rsidRPr="004A30A8">
        <w:rPr>
          <w:spacing w:val="1"/>
        </w:rPr>
        <w:t xml:space="preserve"> </w:t>
      </w:r>
      <w:r w:rsidR="00D35372" w:rsidRPr="004A30A8">
        <w:t>un</w:t>
      </w:r>
      <w:r w:rsidR="00D35372" w:rsidRPr="004A30A8">
        <w:rPr>
          <w:spacing w:val="1"/>
        </w:rPr>
        <w:t xml:space="preserve"> </w:t>
      </w:r>
      <w:r w:rsidR="00D35372" w:rsidRPr="004A30A8">
        <w:t>particular</w:t>
      </w:r>
      <w:r w:rsidR="00D35372" w:rsidRPr="004A30A8">
        <w:rPr>
          <w:spacing w:val="1"/>
        </w:rPr>
        <w:t xml:space="preserve"> </w:t>
      </w:r>
      <w:r w:rsidR="00D35372" w:rsidRPr="004A30A8">
        <w:t>tenga</w:t>
      </w:r>
      <w:r w:rsidR="00D35372" w:rsidRPr="004A30A8">
        <w:rPr>
          <w:spacing w:val="1"/>
        </w:rPr>
        <w:t xml:space="preserve"> </w:t>
      </w:r>
      <w:r w:rsidR="00D35372" w:rsidRPr="004A30A8">
        <w:t>como</w:t>
      </w:r>
      <w:r w:rsidR="00D35372" w:rsidRPr="004A30A8">
        <w:rPr>
          <w:spacing w:val="1"/>
        </w:rPr>
        <w:t xml:space="preserve"> </w:t>
      </w:r>
      <w:r w:rsidR="00D35372" w:rsidRPr="004A30A8">
        <w:t>consecuencia jurídica la violación de los derechos de otro, este no es automáticamente</w:t>
      </w:r>
      <w:r w:rsidR="00D35372" w:rsidRPr="004A30A8">
        <w:rPr>
          <w:spacing w:val="1"/>
        </w:rPr>
        <w:t xml:space="preserve"> </w:t>
      </w:r>
      <w:r w:rsidR="00D35372" w:rsidRPr="004A30A8">
        <w:t>atribuible al Estado, sino que corresponde analizar las circunstancias particulares del caso y</w:t>
      </w:r>
      <w:r w:rsidR="00D35372" w:rsidRPr="004A30A8">
        <w:rPr>
          <w:spacing w:val="1"/>
        </w:rPr>
        <w:t xml:space="preserve"> </w:t>
      </w:r>
      <w:r w:rsidR="00D35372" w:rsidRPr="004A30A8">
        <w:t>la</w:t>
      </w:r>
      <w:r w:rsidR="00D35372" w:rsidRPr="004A30A8">
        <w:rPr>
          <w:spacing w:val="-2"/>
        </w:rPr>
        <w:t xml:space="preserve"> </w:t>
      </w:r>
      <w:r w:rsidR="00D35372" w:rsidRPr="004A30A8">
        <w:t>concreción de</w:t>
      </w:r>
      <w:r w:rsidR="00D35372" w:rsidRPr="004A30A8">
        <w:rPr>
          <w:spacing w:val="-2"/>
        </w:rPr>
        <w:t xml:space="preserve"> </w:t>
      </w:r>
      <w:r w:rsidR="00D35372" w:rsidRPr="004A30A8">
        <w:t>las</w:t>
      </w:r>
      <w:r w:rsidR="00D35372" w:rsidRPr="004A30A8">
        <w:rPr>
          <w:spacing w:val="1"/>
        </w:rPr>
        <w:t xml:space="preserve"> </w:t>
      </w:r>
      <w:r w:rsidR="00D35372" w:rsidRPr="004A30A8">
        <w:t>obligaciones</w:t>
      </w:r>
      <w:r w:rsidR="00D35372" w:rsidRPr="004A30A8">
        <w:rPr>
          <w:spacing w:val="-2"/>
        </w:rPr>
        <w:t xml:space="preserve"> </w:t>
      </w:r>
      <w:r w:rsidR="00D35372" w:rsidRPr="004A30A8">
        <w:t>de</w:t>
      </w:r>
      <w:r w:rsidR="00D35372" w:rsidRPr="004A30A8">
        <w:rPr>
          <w:spacing w:val="-2"/>
        </w:rPr>
        <w:t xml:space="preserve"> </w:t>
      </w:r>
      <w:r w:rsidR="00D35372" w:rsidRPr="004A30A8">
        <w:t>garantía</w:t>
      </w:r>
      <w:r w:rsidR="00AE074C">
        <w:rPr>
          <w:rStyle w:val="Refdenotaalpie"/>
        </w:rPr>
        <w:footnoteReference w:id="117"/>
      </w:r>
      <w:r w:rsidRPr="004A30A8">
        <w:rPr>
          <w:lang w:val="es-ES"/>
        </w:rPr>
        <w:t>.</w:t>
      </w:r>
    </w:p>
    <w:p w14:paraId="65EDBFD7" w14:textId="72206604" w:rsidR="00D35372" w:rsidRPr="004A30A8" w:rsidRDefault="00D35372" w:rsidP="00D35372">
      <w:pPr>
        <w:tabs>
          <w:tab w:val="left" w:pos="567"/>
        </w:tabs>
        <w:spacing w:line="240" w:lineRule="auto"/>
        <w:rPr>
          <w:lang w:val="es-ES"/>
        </w:rPr>
      </w:pPr>
    </w:p>
    <w:p w14:paraId="3690D80F" w14:textId="56D0545B" w:rsidR="003153DF" w:rsidRPr="004A30A8" w:rsidRDefault="00082A24" w:rsidP="000419D6">
      <w:pPr>
        <w:numPr>
          <w:ilvl w:val="0"/>
          <w:numId w:val="7"/>
        </w:numPr>
        <w:tabs>
          <w:tab w:val="left" w:pos="567"/>
          <w:tab w:val="num" w:pos="1569"/>
          <w:tab w:val="num" w:pos="12305"/>
        </w:tabs>
        <w:spacing w:line="240" w:lineRule="auto"/>
        <w:ind w:left="0" w:firstLine="0"/>
      </w:pPr>
      <w:r w:rsidRPr="004A30A8">
        <w:rPr>
          <w:lang w:val="es-ES"/>
        </w:rPr>
        <w:t xml:space="preserve">No obstante lo anterior, </w:t>
      </w:r>
      <w:r w:rsidR="00AF631E" w:rsidRPr="004A30A8">
        <w:rPr>
          <w:lang w:val="es-ES"/>
        </w:rPr>
        <w:t>resulta relevante recordar que</w:t>
      </w:r>
      <w:r w:rsidR="00D35372" w:rsidRPr="004A30A8">
        <w:rPr>
          <w:spacing w:val="-2"/>
        </w:rPr>
        <w:t xml:space="preserve"> </w:t>
      </w:r>
      <w:r w:rsidR="00D35372" w:rsidRPr="004A30A8">
        <w:t xml:space="preserve">los Estados deben abstenerse de realizar acciones que de cualquier manera vayan dirigidas, directa o indirectamente, a crear situaciones de discriminación </w:t>
      </w:r>
      <w:r w:rsidR="00D35372" w:rsidRPr="004A30A8">
        <w:rPr>
          <w:i/>
        </w:rPr>
        <w:t xml:space="preserve">de jure </w:t>
      </w:r>
      <w:r w:rsidR="00D35372" w:rsidRPr="004A30A8">
        <w:t xml:space="preserve">o </w:t>
      </w:r>
      <w:r w:rsidR="00D35372" w:rsidRPr="004A30A8">
        <w:rPr>
          <w:i/>
        </w:rPr>
        <w:t>de facto</w:t>
      </w:r>
      <w:r w:rsidR="00D35372" w:rsidRPr="004A30A8">
        <w:rPr>
          <w:rStyle w:val="Refdenotaalpie"/>
          <w:iCs/>
        </w:rPr>
        <w:footnoteReference w:id="118"/>
      </w:r>
      <w:r w:rsidR="00D35372" w:rsidRPr="004A30A8">
        <w:rPr>
          <w:i/>
        </w:rPr>
        <w:t>.</w:t>
      </w:r>
      <w:r w:rsidR="00AF631E" w:rsidRPr="004A30A8">
        <w:rPr>
          <w:lang w:val="es-ES"/>
        </w:rPr>
        <w:t xml:space="preserve"> </w:t>
      </w:r>
      <w:r w:rsidR="008044C5" w:rsidRPr="004A30A8">
        <w:rPr>
          <w:lang w:val="es-ES"/>
        </w:rPr>
        <w:t xml:space="preserve">Asimismo, </w:t>
      </w:r>
      <w:r w:rsidR="008044C5" w:rsidRPr="004A30A8">
        <w:rPr>
          <w:rFonts w:eastAsia="Cambria" w:cs="Cambria"/>
          <w:lang w:val="es-ES_tradnl"/>
        </w:rPr>
        <w:t>los Estados están obligados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r w:rsidR="008044C5" w:rsidRPr="004A30A8">
        <w:rPr>
          <w:rStyle w:val="Refdenotaalpie"/>
          <w:rFonts w:eastAsia="Cambria" w:cs="Cambria"/>
        </w:rPr>
        <w:footnoteReference w:id="119"/>
      </w:r>
      <w:r w:rsidR="008044C5" w:rsidRPr="004A30A8">
        <w:rPr>
          <w:rFonts w:eastAsia="Cambria" w:cs="Cambria"/>
          <w:lang w:val="es-ES_tradnl"/>
        </w:rPr>
        <w:t xml:space="preserve">. </w:t>
      </w:r>
      <w:r w:rsidR="00AF631E" w:rsidRPr="004A30A8">
        <w:rPr>
          <w:lang w:val="es-ES"/>
        </w:rPr>
        <w:t xml:space="preserve"> </w:t>
      </w:r>
    </w:p>
    <w:p w14:paraId="6C2D583D" w14:textId="77777777" w:rsidR="00082A24" w:rsidRPr="004A30A8" w:rsidRDefault="00082A24" w:rsidP="00082A24">
      <w:pPr>
        <w:tabs>
          <w:tab w:val="left" w:pos="567"/>
        </w:tabs>
        <w:spacing w:line="240" w:lineRule="auto"/>
      </w:pPr>
    </w:p>
    <w:p w14:paraId="17FC3A63" w14:textId="3E0ECACB" w:rsidR="007B7976" w:rsidRPr="004A30A8" w:rsidRDefault="007B7976">
      <w:pPr>
        <w:numPr>
          <w:ilvl w:val="0"/>
          <w:numId w:val="7"/>
        </w:numPr>
        <w:tabs>
          <w:tab w:val="left" w:pos="567"/>
          <w:tab w:val="num" w:pos="1569"/>
          <w:tab w:val="num" w:pos="12305"/>
        </w:tabs>
        <w:spacing w:line="240" w:lineRule="auto"/>
        <w:ind w:left="0" w:firstLine="0"/>
      </w:pPr>
      <w:r w:rsidRPr="004A30A8">
        <w:t>En</w:t>
      </w:r>
      <w:r w:rsidRPr="004A30A8">
        <w:rPr>
          <w:spacing w:val="1"/>
        </w:rPr>
        <w:t xml:space="preserve"> </w:t>
      </w:r>
      <w:r w:rsidRPr="004A30A8">
        <w:t>relación</w:t>
      </w:r>
      <w:r w:rsidRPr="004A30A8">
        <w:rPr>
          <w:spacing w:val="1"/>
        </w:rPr>
        <w:t xml:space="preserve"> </w:t>
      </w:r>
      <w:r w:rsidRPr="004A30A8">
        <w:t>con</w:t>
      </w:r>
      <w:r w:rsidRPr="004A30A8">
        <w:rPr>
          <w:spacing w:val="1"/>
        </w:rPr>
        <w:t xml:space="preserve"> </w:t>
      </w:r>
      <w:r w:rsidRPr="004A30A8">
        <w:t>las</w:t>
      </w:r>
      <w:r w:rsidRPr="004A30A8">
        <w:rPr>
          <w:spacing w:val="1"/>
        </w:rPr>
        <w:t xml:space="preserve"> </w:t>
      </w:r>
      <w:r w:rsidRPr="004A30A8">
        <w:t>obligaciones</w:t>
      </w:r>
      <w:r w:rsidRPr="004A30A8">
        <w:rPr>
          <w:spacing w:val="1"/>
        </w:rPr>
        <w:t xml:space="preserve"> </w:t>
      </w:r>
      <w:r w:rsidRPr="004A30A8">
        <w:t>de</w:t>
      </w:r>
      <w:r w:rsidRPr="004A30A8">
        <w:rPr>
          <w:spacing w:val="1"/>
        </w:rPr>
        <w:t xml:space="preserve"> </w:t>
      </w:r>
      <w:r w:rsidRPr="004A30A8">
        <w:t>los</w:t>
      </w:r>
      <w:r w:rsidRPr="004A30A8">
        <w:rPr>
          <w:spacing w:val="1"/>
        </w:rPr>
        <w:t xml:space="preserve"> </w:t>
      </w:r>
      <w:r w:rsidRPr="004A30A8">
        <w:t>Estados</w:t>
      </w:r>
      <w:r w:rsidRPr="004A30A8">
        <w:rPr>
          <w:spacing w:val="1"/>
        </w:rPr>
        <w:t xml:space="preserve"> </w:t>
      </w:r>
      <w:r w:rsidRPr="004A30A8">
        <w:t>respecto</w:t>
      </w:r>
      <w:r w:rsidRPr="004A30A8">
        <w:rPr>
          <w:spacing w:val="1"/>
        </w:rPr>
        <w:t xml:space="preserve"> </w:t>
      </w:r>
      <w:r w:rsidRPr="004A30A8">
        <w:t>de</w:t>
      </w:r>
      <w:r w:rsidRPr="004A30A8">
        <w:rPr>
          <w:spacing w:val="1"/>
        </w:rPr>
        <w:t xml:space="preserve"> </w:t>
      </w:r>
      <w:r w:rsidRPr="004A30A8">
        <w:t>las</w:t>
      </w:r>
      <w:r w:rsidRPr="004A30A8">
        <w:rPr>
          <w:spacing w:val="1"/>
        </w:rPr>
        <w:t xml:space="preserve"> </w:t>
      </w:r>
      <w:r w:rsidRPr="004A30A8">
        <w:t>actividades</w:t>
      </w:r>
      <w:r w:rsidRPr="004A30A8">
        <w:rPr>
          <w:spacing w:val="1"/>
        </w:rPr>
        <w:t xml:space="preserve"> </w:t>
      </w:r>
      <w:r w:rsidRPr="004A30A8">
        <w:t xml:space="preserve">empresariales, la Corte consideró pertinente en el </w:t>
      </w:r>
      <w:r w:rsidR="00F0678F" w:rsidRPr="004A30A8">
        <w:rPr>
          <w:i/>
          <w:iCs/>
        </w:rPr>
        <w:t>c</w:t>
      </w:r>
      <w:r w:rsidRPr="004A30A8">
        <w:rPr>
          <w:i/>
          <w:iCs/>
        </w:rPr>
        <w:t>aso de los Buzos Miskitos Vs. Honduras</w:t>
      </w:r>
      <w:r w:rsidRPr="004A30A8">
        <w:t xml:space="preserve"> hacer referencia a los “Principios Rectores sobre las empresas y los derechos humanos: puesta en</w:t>
      </w:r>
      <w:r w:rsidRPr="004A30A8">
        <w:rPr>
          <w:spacing w:val="1"/>
        </w:rPr>
        <w:t xml:space="preserve"> </w:t>
      </w:r>
      <w:r w:rsidRPr="004A30A8">
        <w:t>práctica</w:t>
      </w:r>
      <w:r w:rsidRPr="004A30A8">
        <w:rPr>
          <w:spacing w:val="-9"/>
        </w:rPr>
        <w:t xml:space="preserve"> </w:t>
      </w:r>
      <w:r w:rsidRPr="004A30A8">
        <w:t>del</w:t>
      </w:r>
      <w:r w:rsidRPr="004A30A8">
        <w:rPr>
          <w:spacing w:val="-7"/>
        </w:rPr>
        <w:t xml:space="preserve"> </w:t>
      </w:r>
      <w:r w:rsidRPr="004A30A8">
        <w:t>marco</w:t>
      </w:r>
      <w:r w:rsidRPr="004A30A8">
        <w:rPr>
          <w:spacing w:val="-10"/>
        </w:rPr>
        <w:t xml:space="preserve"> </w:t>
      </w:r>
      <w:r w:rsidRPr="004A30A8">
        <w:t>de</w:t>
      </w:r>
      <w:r w:rsidRPr="004A30A8">
        <w:rPr>
          <w:spacing w:val="-10"/>
        </w:rPr>
        <w:t xml:space="preserve"> </w:t>
      </w:r>
      <w:r w:rsidRPr="004A30A8">
        <w:t>las</w:t>
      </w:r>
      <w:r w:rsidRPr="004A30A8">
        <w:rPr>
          <w:spacing w:val="-9"/>
        </w:rPr>
        <w:t xml:space="preserve"> </w:t>
      </w:r>
      <w:r w:rsidRPr="004A30A8">
        <w:t>Naciones</w:t>
      </w:r>
      <w:r w:rsidRPr="004A30A8">
        <w:rPr>
          <w:spacing w:val="-10"/>
        </w:rPr>
        <w:t xml:space="preserve"> </w:t>
      </w:r>
      <w:r w:rsidRPr="004A30A8">
        <w:t>Unidas</w:t>
      </w:r>
      <w:r w:rsidRPr="004A30A8">
        <w:rPr>
          <w:spacing w:val="-10"/>
        </w:rPr>
        <w:t xml:space="preserve"> </w:t>
      </w:r>
      <w:r w:rsidRPr="004A30A8">
        <w:t>para</w:t>
      </w:r>
      <w:r w:rsidR="00082A24" w:rsidRPr="004A30A8">
        <w:t xml:space="preserve"> “p</w:t>
      </w:r>
      <w:r w:rsidRPr="004A30A8">
        <w:t>roteger,</w:t>
      </w:r>
      <w:r w:rsidRPr="004A30A8">
        <w:rPr>
          <w:spacing w:val="-9"/>
        </w:rPr>
        <w:t xml:space="preserve"> </w:t>
      </w:r>
      <w:r w:rsidRPr="004A30A8">
        <w:t>respetar</w:t>
      </w:r>
      <w:r w:rsidRPr="004A30A8">
        <w:rPr>
          <w:spacing w:val="-7"/>
        </w:rPr>
        <w:t xml:space="preserve"> </w:t>
      </w:r>
      <w:r w:rsidRPr="004A30A8">
        <w:t>y</w:t>
      </w:r>
      <w:r w:rsidRPr="004A30A8">
        <w:rPr>
          <w:spacing w:val="-9"/>
        </w:rPr>
        <w:t xml:space="preserve"> </w:t>
      </w:r>
      <w:r w:rsidRPr="004A30A8">
        <w:t>remediar’”</w:t>
      </w:r>
      <w:r w:rsidRPr="004A30A8">
        <w:rPr>
          <w:spacing w:val="-9"/>
        </w:rPr>
        <w:t xml:space="preserve"> </w:t>
      </w:r>
      <w:r w:rsidRPr="004A30A8">
        <w:t>(en</w:t>
      </w:r>
      <w:r w:rsidRPr="004A30A8">
        <w:rPr>
          <w:spacing w:val="-8"/>
        </w:rPr>
        <w:t xml:space="preserve"> </w:t>
      </w:r>
      <w:r w:rsidRPr="004A30A8">
        <w:t>adelante</w:t>
      </w:r>
      <w:r w:rsidR="009117FF" w:rsidRPr="004A30A8">
        <w:t xml:space="preserve"> </w:t>
      </w:r>
      <w:r w:rsidRPr="004A30A8">
        <w:rPr>
          <w:spacing w:val="-68"/>
        </w:rPr>
        <w:t xml:space="preserve"> </w:t>
      </w:r>
      <w:r w:rsidRPr="004A30A8">
        <w:t>“Principios Rectores”)</w:t>
      </w:r>
      <w:r w:rsidRPr="004A30A8">
        <w:rPr>
          <w:rStyle w:val="Refdenotaalpie"/>
        </w:rPr>
        <w:footnoteReference w:id="120"/>
      </w:r>
      <w:r w:rsidRPr="004A30A8">
        <w:t>. En particular, el Tribunal destacó los tres pilares de los Principios</w:t>
      </w:r>
      <w:r w:rsidRPr="004A30A8">
        <w:rPr>
          <w:spacing w:val="1"/>
        </w:rPr>
        <w:t xml:space="preserve"> </w:t>
      </w:r>
      <w:r w:rsidRPr="004A30A8">
        <w:t>Rectores</w:t>
      </w:r>
      <w:r w:rsidR="00D32864" w:rsidRPr="004A30A8">
        <w:t xml:space="preserve">, </w:t>
      </w:r>
      <w:r w:rsidR="007B048F" w:rsidRPr="004A30A8">
        <w:t xml:space="preserve">a saber: </w:t>
      </w:r>
      <w:r w:rsidR="00C43649" w:rsidRPr="004A30A8">
        <w:t xml:space="preserve">(i) </w:t>
      </w:r>
      <w:r w:rsidR="007B048F" w:rsidRPr="004A30A8">
        <w:t>el deber del Estado de proteger los derechos humanos, (ii) la responsabilidad de las empresas de respetar los derechos humanos y (iii) acceso a mecanismos de reparación</w:t>
      </w:r>
      <w:r w:rsidR="00E1020E" w:rsidRPr="004A30A8">
        <w:t>, así</w:t>
      </w:r>
      <w:r w:rsidRPr="004A30A8">
        <w:t xml:space="preserve">, como los principios </w:t>
      </w:r>
      <w:r w:rsidRPr="004A30A8">
        <w:lastRenderedPageBreak/>
        <w:t>fundacionales que se derivan de estos pilares, los cuales</w:t>
      </w:r>
      <w:r w:rsidRPr="004A30A8">
        <w:rPr>
          <w:spacing w:val="1"/>
        </w:rPr>
        <w:t xml:space="preserve"> </w:t>
      </w:r>
      <w:r w:rsidRPr="004A30A8">
        <w:t>resultan fundamentales en la determinación del alcance de las obligaciones en materia de</w:t>
      </w:r>
      <w:r w:rsidRPr="004A30A8">
        <w:rPr>
          <w:spacing w:val="1"/>
        </w:rPr>
        <w:t xml:space="preserve"> </w:t>
      </w:r>
      <w:r w:rsidRPr="004A30A8">
        <w:t>derechos</w:t>
      </w:r>
      <w:r w:rsidRPr="004A30A8">
        <w:rPr>
          <w:spacing w:val="-3"/>
        </w:rPr>
        <w:t xml:space="preserve"> </w:t>
      </w:r>
      <w:r w:rsidRPr="004A30A8">
        <w:t>humanos</w:t>
      </w:r>
      <w:r w:rsidRPr="004A30A8">
        <w:rPr>
          <w:spacing w:val="-2"/>
        </w:rPr>
        <w:t xml:space="preserve"> </w:t>
      </w:r>
      <w:r w:rsidRPr="004A30A8">
        <w:t>de los</w:t>
      </w:r>
      <w:r w:rsidRPr="004A30A8">
        <w:rPr>
          <w:spacing w:val="-2"/>
        </w:rPr>
        <w:t xml:space="preserve"> </w:t>
      </w:r>
      <w:r w:rsidRPr="004A30A8">
        <w:t>Estados</w:t>
      </w:r>
      <w:r w:rsidRPr="004A30A8">
        <w:rPr>
          <w:spacing w:val="-2"/>
        </w:rPr>
        <w:t xml:space="preserve"> </w:t>
      </w:r>
      <w:r w:rsidRPr="004A30A8">
        <w:t>y</w:t>
      </w:r>
      <w:r w:rsidRPr="004A30A8">
        <w:rPr>
          <w:spacing w:val="1"/>
        </w:rPr>
        <w:t xml:space="preserve"> </w:t>
      </w:r>
      <w:r w:rsidRPr="004A30A8">
        <w:t>las</w:t>
      </w:r>
      <w:r w:rsidRPr="004A30A8">
        <w:rPr>
          <w:spacing w:val="-2"/>
        </w:rPr>
        <w:t xml:space="preserve"> </w:t>
      </w:r>
      <w:r w:rsidRPr="004A30A8">
        <w:t>empresas</w:t>
      </w:r>
      <w:r w:rsidRPr="004A30A8">
        <w:rPr>
          <w:rStyle w:val="Refdenotaalpie"/>
        </w:rPr>
        <w:footnoteReference w:id="121"/>
      </w:r>
      <w:r w:rsidRPr="004A30A8">
        <w:t>.</w:t>
      </w:r>
    </w:p>
    <w:p w14:paraId="2DC5237B" w14:textId="77777777" w:rsidR="007B7976" w:rsidRPr="004A30A8" w:rsidRDefault="007B7976" w:rsidP="007B7976">
      <w:pPr>
        <w:tabs>
          <w:tab w:val="left" w:pos="567"/>
        </w:tabs>
        <w:spacing w:line="240" w:lineRule="auto"/>
      </w:pPr>
    </w:p>
    <w:p w14:paraId="53FD0D54" w14:textId="30E107E1" w:rsidR="008F18E1" w:rsidRPr="004A30A8" w:rsidRDefault="006838B1">
      <w:pPr>
        <w:numPr>
          <w:ilvl w:val="0"/>
          <w:numId w:val="7"/>
        </w:numPr>
        <w:tabs>
          <w:tab w:val="left" w:pos="567"/>
          <w:tab w:val="num" w:pos="1569"/>
          <w:tab w:val="num" w:pos="12305"/>
        </w:tabs>
        <w:spacing w:line="240" w:lineRule="auto"/>
        <w:ind w:left="0" w:firstLine="0"/>
      </w:pPr>
      <w:r w:rsidRPr="004A30A8">
        <w:t xml:space="preserve">Asimismo, </w:t>
      </w:r>
      <w:r w:rsidR="00305AEA" w:rsidRPr="004A30A8">
        <w:t>la Corte</w:t>
      </w:r>
      <w:r w:rsidRPr="004A30A8">
        <w:t xml:space="preserve"> </w:t>
      </w:r>
      <w:r w:rsidR="007B7976" w:rsidRPr="004A30A8">
        <w:t>también dejó sentado en dicho caso</w:t>
      </w:r>
      <w:r w:rsidRPr="004A30A8">
        <w:t xml:space="preserve"> que son las</w:t>
      </w:r>
      <w:r w:rsidRPr="004A30A8">
        <w:rPr>
          <w:spacing w:val="1"/>
        </w:rPr>
        <w:t xml:space="preserve"> </w:t>
      </w:r>
      <w:r w:rsidRPr="004A30A8">
        <w:t>empresas</w:t>
      </w:r>
      <w:r w:rsidRPr="004A30A8">
        <w:rPr>
          <w:spacing w:val="1"/>
        </w:rPr>
        <w:t xml:space="preserve"> </w:t>
      </w:r>
      <w:r w:rsidRPr="004A30A8">
        <w:t>las</w:t>
      </w:r>
      <w:r w:rsidRPr="004A30A8">
        <w:rPr>
          <w:spacing w:val="1"/>
        </w:rPr>
        <w:t xml:space="preserve"> </w:t>
      </w:r>
      <w:r w:rsidRPr="004A30A8">
        <w:t>primeras</w:t>
      </w:r>
      <w:r w:rsidRPr="004A30A8">
        <w:rPr>
          <w:spacing w:val="1"/>
        </w:rPr>
        <w:t xml:space="preserve"> </w:t>
      </w:r>
      <w:r w:rsidRPr="004A30A8">
        <w:t>encargadas</w:t>
      </w:r>
      <w:r w:rsidRPr="004A30A8">
        <w:rPr>
          <w:spacing w:val="1"/>
        </w:rPr>
        <w:t xml:space="preserve"> </w:t>
      </w:r>
      <w:r w:rsidRPr="004A30A8">
        <w:t>de</w:t>
      </w:r>
      <w:r w:rsidRPr="004A30A8">
        <w:rPr>
          <w:spacing w:val="1"/>
        </w:rPr>
        <w:t xml:space="preserve"> </w:t>
      </w:r>
      <w:r w:rsidRPr="004A30A8">
        <w:t>tener</w:t>
      </w:r>
      <w:r w:rsidRPr="004A30A8">
        <w:rPr>
          <w:spacing w:val="1"/>
        </w:rPr>
        <w:t xml:space="preserve"> </w:t>
      </w:r>
      <w:r w:rsidRPr="004A30A8">
        <w:t>un</w:t>
      </w:r>
      <w:r w:rsidRPr="004A30A8">
        <w:rPr>
          <w:spacing w:val="1"/>
        </w:rPr>
        <w:t xml:space="preserve"> </w:t>
      </w:r>
      <w:r w:rsidRPr="004A30A8">
        <w:t>comportamiento</w:t>
      </w:r>
      <w:r w:rsidRPr="004A30A8">
        <w:rPr>
          <w:spacing w:val="1"/>
        </w:rPr>
        <w:t xml:space="preserve"> </w:t>
      </w:r>
      <w:r w:rsidRPr="004A30A8">
        <w:t>responsable</w:t>
      </w:r>
      <w:r w:rsidRPr="004A30A8">
        <w:rPr>
          <w:spacing w:val="1"/>
        </w:rPr>
        <w:t xml:space="preserve"> </w:t>
      </w:r>
      <w:r w:rsidRPr="004A30A8">
        <w:t>en</w:t>
      </w:r>
      <w:r w:rsidRPr="004A30A8">
        <w:rPr>
          <w:spacing w:val="1"/>
        </w:rPr>
        <w:t xml:space="preserve"> </w:t>
      </w:r>
      <w:r w:rsidRPr="004A30A8">
        <w:t>las</w:t>
      </w:r>
      <w:r w:rsidRPr="004A30A8">
        <w:rPr>
          <w:spacing w:val="1"/>
        </w:rPr>
        <w:t xml:space="preserve"> </w:t>
      </w:r>
      <w:r w:rsidRPr="004A30A8">
        <w:t>actividades que realicen, pues su participación activa resulta fundamental para el respeto y</w:t>
      </w:r>
      <w:r w:rsidRPr="004A30A8">
        <w:rPr>
          <w:spacing w:val="1"/>
        </w:rPr>
        <w:t xml:space="preserve"> </w:t>
      </w:r>
      <w:r w:rsidRPr="004A30A8">
        <w:t>la vigencia de los derechos humanos</w:t>
      </w:r>
      <w:r w:rsidR="007C6D99" w:rsidRPr="004A30A8">
        <w:rPr>
          <w:rStyle w:val="Refdenotaalpie"/>
        </w:rPr>
        <w:footnoteReference w:id="122"/>
      </w:r>
      <w:r w:rsidRPr="004A30A8">
        <w:t>. En</w:t>
      </w:r>
      <w:r w:rsidRPr="004A30A8">
        <w:rPr>
          <w:spacing w:val="-3"/>
        </w:rPr>
        <w:t xml:space="preserve"> </w:t>
      </w:r>
      <w:r w:rsidRPr="004A30A8">
        <w:t>razón</w:t>
      </w:r>
      <w:r w:rsidRPr="004A30A8">
        <w:rPr>
          <w:spacing w:val="-2"/>
        </w:rPr>
        <w:t xml:space="preserve"> </w:t>
      </w:r>
      <w:r w:rsidRPr="004A30A8">
        <w:t>de</w:t>
      </w:r>
      <w:r w:rsidRPr="004A30A8">
        <w:rPr>
          <w:spacing w:val="-2"/>
        </w:rPr>
        <w:t xml:space="preserve"> </w:t>
      </w:r>
      <w:r w:rsidRPr="004A30A8">
        <w:t>ello,</w:t>
      </w:r>
      <w:r w:rsidRPr="004A30A8">
        <w:rPr>
          <w:spacing w:val="-4"/>
        </w:rPr>
        <w:t xml:space="preserve"> </w:t>
      </w:r>
      <w:r w:rsidRPr="004A30A8">
        <w:t>y</w:t>
      </w:r>
      <w:r w:rsidRPr="004A30A8">
        <w:rPr>
          <w:spacing w:val="-3"/>
        </w:rPr>
        <w:t xml:space="preserve"> </w:t>
      </w:r>
      <w:r w:rsidRPr="004A30A8">
        <w:t>en</w:t>
      </w:r>
      <w:r w:rsidRPr="004A30A8">
        <w:rPr>
          <w:spacing w:val="-3"/>
        </w:rPr>
        <w:t xml:space="preserve"> </w:t>
      </w:r>
      <w:r w:rsidRPr="004A30A8">
        <w:t>el</w:t>
      </w:r>
      <w:r w:rsidRPr="004A30A8">
        <w:rPr>
          <w:spacing w:val="-3"/>
        </w:rPr>
        <w:t xml:space="preserve"> </w:t>
      </w:r>
      <w:r w:rsidRPr="004A30A8">
        <w:t>marco</w:t>
      </w:r>
      <w:r w:rsidRPr="004A30A8">
        <w:rPr>
          <w:spacing w:val="-4"/>
        </w:rPr>
        <w:t xml:space="preserve"> </w:t>
      </w:r>
      <w:r w:rsidRPr="004A30A8">
        <w:t>de</w:t>
      </w:r>
      <w:r w:rsidRPr="004A30A8">
        <w:rPr>
          <w:spacing w:val="-4"/>
        </w:rPr>
        <w:t xml:space="preserve"> </w:t>
      </w:r>
      <w:r w:rsidRPr="004A30A8">
        <w:t>las</w:t>
      </w:r>
      <w:r w:rsidRPr="004A30A8">
        <w:rPr>
          <w:spacing w:val="-4"/>
        </w:rPr>
        <w:t xml:space="preserve"> </w:t>
      </w:r>
      <w:r w:rsidRPr="004A30A8">
        <w:t>obligaciones</w:t>
      </w:r>
      <w:r w:rsidRPr="004A30A8">
        <w:rPr>
          <w:spacing w:val="-4"/>
        </w:rPr>
        <w:t xml:space="preserve"> </w:t>
      </w:r>
      <w:r w:rsidRPr="004A30A8">
        <w:t>de</w:t>
      </w:r>
      <w:r w:rsidRPr="004A30A8">
        <w:rPr>
          <w:spacing w:val="-4"/>
        </w:rPr>
        <w:t xml:space="preserve"> </w:t>
      </w:r>
      <w:r w:rsidRPr="004A30A8">
        <w:t>garantía</w:t>
      </w:r>
      <w:r w:rsidRPr="004A30A8">
        <w:rPr>
          <w:spacing w:val="-3"/>
        </w:rPr>
        <w:t xml:space="preserve"> </w:t>
      </w:r>
      <w:r w:rsidRPr="004A30A8">
        <w:t>y</w:t>
      </w:r>
      <w:r w:rsidRPr="004A30A8">
        <w:rPr>
          <w:spacing w:val="-4"/>
        </w:rPr>
        <w:t xml:space="preserve"> </w:t>
      </w:r>
      <w:r w:rsidRPr="004A30A8">
        <w:t>del deber</w:t>
      </w:r>
      <w:r w:rsidRPr="004A30A8">
        <w:rPr>
          <w:spacing w:val="-4"/>
        </w:rPr>
        <w:t xml:space="preserve"> </w:t>
      </w:r>
      <w:r w:rsidRPr="004A30A8">
        <w:t>de</w:t>
      </w:r>
      <w:r w:rsidRPr="004A30A8">
        <w:rPr>
          <w:spacing w:val="-4"/>
        </w:rPr>
        <w:t xml:space="preserve"> </w:t>
      </w:r>
      <w:r w:rsidR="00C43649" w:rsidRPr="004A30A8">
        <w:t xml:space="preserve">adoptar disposiciones </w:t>
      </w:r>
      <w:r w:rsidRPr="004A30A8">
        <w:t>de derecho interno que se derivan de los artículos 1.1 y 2 de la Convención</w:t>
      </w:r>
      <w:r w:rsidRPr="004A30A8">
        <w:rPr>
          <w:spacing w:val="1"/>
        </w:rPr>
        <w:t xml:space="preserve"> </w:t>
      </w:r>
      <w:r w:rsidRPr="004A30A8">
        <w:t>Americana, los Estados</w:t>
      </w:r>
      <w:r w:rsidRPr="004A30A8">
        <w:rPr>
          <w:spacing w:val="1"/>
        </w:rPr>
        <w:t xml:space="preserve"> </w:t>
      </w:r>
      <w:r w:rsidRPr="004A30A8">
        <w:t>tienen</w:t>
      </w:r>
      <w:r w:rsidRPr="004A30A8">
        <w:rPr>
          <w:spacing w:val="2"/>
        </w:rPr>
        <w:t xml:space="preserve"> </w:t>
      </w:r>
      <w:r w:rsidRPr="004A30A8">
        <w:t>el</w:t>
      </w:r>
      <w:r w:rsidRPr="004A30A8">
        <w:rPr>
          <w:spacing w:val="4"/>
        </w:rPr>
        <w:t xml:space="preserve"> </w:t>
      </w:r>
      <w:r w:rsidRPr="004A30A8">
        <w:t>deber de</w:t>
      </w:r>
      <w:r w:rsidRPr="004A30A8">
        <w:rPr>
          <w:spacing w:val="1"/>
        </w:rPr>
        <w:t xml:space="preserve"> </w:t>
      </w:r>
      <w:r w:rsidRPr="004A30A8">
        <w:t>prevenir</w:t>
      </w:r>
      <w:r w:rsidRPr="004A30A8">
        <w:rPr>
          <w:spacing w:val="-3"/>
        </w:rPr>
        <w:t xml:space="preserve"> </w:t>
      </w:r>
      <w:r w:rsidRPr="004A30A8">
        <w:t>las violaciones a derechos humanos producidas por empresas privadas, por lo que deben adoptar medidas</w:t>
      </w:r>
      <w:r w:rsidRPr="004A30A8">
        <w:rPr>
          <w:spacing w:val="1"/>
        </w:rPr>
        <w:t xml:space="preserve"> </w:t>
      </w:r>
      <w:r w:rsidRPr="004A30A8">
        <w:t>legislativas</w:t>
      </w:r>
      <w:r w:rsidRPr="004A30A8">
        <w:rPr>
          <w:spacing w:val="-17"/>
        </w:rPr>
        <w:t xml:space="preserve"> </w:t>
      </w:r>
      <w:r w:rsidRPr="004A30A8">
        <w:t>y</w:t>
      </w:r>
      <w:r w:rsidRPr="004A30A8">
        <w:rPr>
          <w:spacing w:val="-16"/>
        </w:rPr>
        <w:t xml:space="preserve"> </w:t>
      </w:r>
      <w:r w:rsidRPr="004A30A8">
        <w:t>de</w:t>
      </w:r>
      <w:r w:rsidRPr="004A30A8">
        <w:rPr>
          <w:spacing w:val="-14"/>
        </w:rPr>
        <w:t xml:space="preserve"> </w:t>
      </w:r>
      <w:r w:rsidRPr="004A30A8">
        <w:t>otro</w:t>
      </w:r>
      <w:r w:rsidRPr="004A30A8">
        <w:rPr>
          <w:spacing w:val="-17"/>
        </w:rPr>
        <w:t xml:space="preserve"> </w:t>
      </w:r>
      <w:r w:rsidRPr="004A30A8">
        <w:t>carácter</w:t>
      </w:r>
      <w:r w:rsidRPr="004A30A8">
        <w:rPr>
          <w:spacing w:val="-16"/>
        </w:rPr>
        <w:t xml:space="preserve"> </w:t>
      </w:r>
      <w:r w:rsidRPr="004A30A8">
        <w:t>para</w:t>
      </w:r>
      <w:r w:rsidRPr="004A30A8">
        <w:rPr>
          <w:spacing w:val="-16"/>
        </w:rPr>
        <w:t xml:space="preserve"> </w:t>
      </w:r>
      <w:r w:rsidRPr="004A30A8">
        <w:t>prevenir</w:t>
      </w:r>
      <w:r w:rsidRPr="004A30A8">
        <w:rPr>
          <w:spacing w:val="-16"/>
        </w:rPr>
        <w:t xml:space="preserve"> </w:t>
      </w:r>
      <w:r w:rsidRPr="004A30A8">
        <w:t>dichas</w:t>
      </w:r>
      <w:r w:rsidRPr="004A30A8">
        <w:rPr>
          <w:spacing w:val="-17"/>
        </w:rPr>
        <w:t xml:space="preserve"> </w:t>
      </w:r>
      <w:r w:rsidRPr="004A30A8">
        <w:t>violaciones,</w:t>
      </w:r>
      <w:r w:rsidRPr="004A30A8">
        <w:rPr>
          <w:spacing w:val="-14"/>
        </w:rPr>
        <w:t xml:space="preserve"> </w:t>
      </w:r>
      <w:r w:rsidRPr="004A30A8">
        <w:t>e</w:t>
      </w:r>
      <w:r w:rsidRPr="004A30A8">
        <w:rPr>
          <w:spacing w:val="-16"/>
        </w:rPr>
        <w:t xml:space="preserve"> </w:t>
      </w:r>
      <w:r w:rsidRPr="004A30A8">
        <w:t>investigar,</w:t>
      </w:r>
      <w:r w:rsidRPr="004A30A8">
        <w:rPr>
          <w:spacing w:val="-17"/>
        </w:rPr>
        <w:t xml:space="preserve"> </w:t>
      </w:r>
      <w:r w:rsidRPr="004A30A8">
        <w:t>castigar</w:t>
      </w:r>
      <w:r w:rsidRPr="004A30A8">
        <w:rPr>
          <w:spacing w:val="-16"/>
        </w:rPr>
        <w:t xml:space="preserve"> </w:t>
      </w:r>
      <w:r w:rsidRPr="004A30A8">
        <w:t>y</w:t>
      </w:r>
      <w:r w:rsidRPr="004A30A8">
        <w:rPr>
          <w:spacing w:val="-16"/>
        </w:rPr>
        <w:t xml:space="preserve"> </w:t>
      </w:r>
      <w:r w:rsidRPr="004A30A8">
        <w:t>reparar</w:t>
      </w:r>
      <w:r w:rsidRPr="004A30A8">
        <w:rPr>
          <w:spacing w:val="-68"/>
        </w:rPr>
        <w:t xml:space="preserve"> </w:t>
      </w:r>
      <w:r w:rsidRPr="004A30A8">
        <w:t xml:space="preserve"> </w:t>
      </w:r>
      <w:r w:rsidR="00082A24" w:rsidRPr="004A30A8">
        <w:t xml:space="preserve">tales </w:t>
      </w:r>
      <w:r w:rsidRPr="004A30A8">
        <w:t>violaciones cuando ocurran</w:t>
      </w:r>
      <w:r w:rsidR="0026405E" w:rsidRPr="004A30A8">
        <w:rPr>
          <w:rStyle w:val="Refdenotaalpie"/>
        </w:rPr>
        <w:footnoteReference w:id="123"/>
      </w:r>
      <w:r w:rsidRPr="004A30A8">
        <w:t xml:space="preserve">. </w:t>
      </w:r>
      <w:r w:rsidR="007C6D99" w:rsidRPr="004A30A8">
        <w:t>Se</w:t>
      </w:r>
      <w:r w:rsidR="007C6D99" w:rsidRPr="004A30A8">
        <w:rPr>
          <w:spacing w:val="-7"/>
        </w:rPr>
        <w:t xml:space="preserve"> </w:t>
      </w:r>
      <w:r w:rsidR="007C6D99" w:rsidRPr="004A30A8">
        <w:t>trata</w:t>
      </w:r>
      <w:r w:rsidR="009D11F4" w:rsidRPr="004A30A8">
        <w:t>, en definitiva,</w:t>
      </w:r>
      <w:r w:rsidR="007C6D99" w:rsidRPr="004A30A8">
        <w:rPr>
          <w:spacing w:val="-7"/>
        </w:rPr>
        <w:t xml:space="preserve"> </w:t>
      </w:r>
      <w:r w:rsidR="007C6D99" w:rsidRPr="004A30A8">
        <w:t>de</w:t>
      </w:r>
      <w:r w:rsidR="007C6D99" w:rsidRPr="004A30A8">
        <w:rPr>
          <w:spacing w:val="-9"/>
        </w:rPr>
        <w:t xml:space="preserve"> </w:t>
      </w:r>
      <w:r w:rsidR="007C6D99" w:rsidRPr="004A30A8">
        <w:t>una</w:t>
      </w:r>
      <w:r w:rsidR="007C6D99" w:rsidRPr="004A30A8">
        <w:rPr>
          <w:spacing w:val="-4"/>
        </w:rPr>
        <w:t xml:space="preserve"> </w:t>
      </w:r>
      <w:r w:rsidR="007C6D99" w:rsidRPr="004A30A8">
        <w:t>obligación</w:t>
      </w:r>
      <w:r w:rsidR="007C6D99" w:rsidRPr="004A30A8">
        <w:rPr>
          <w:spacing w:val="-7"/>
        </w:rPr>
        <w:t xml:space="preserve"> </w:t>
      </w:r>
      <w:r w:rsidR="007C6D99" w:rsidRPr="004A30A8">
        <w:t>que</w:t>
      </w:r>
      <w:r w:rsidR="007C6D99" w:rsidRPr="004A30A8">
        <w:rPr>
          <w:spacing w:val="-8"/>
        </w:rPr>
        <w:t xml:space="preserve"> </w:t>
      </w:r>
      <w:r w:rsidR="007C6D99" w:rsidRPr="004A30A8">
        <w:t>debe</w:t>
      </w:r>
      <w:r w:rsidR="007C6D99" w:rsidRPr="004A30A8">
        <w:rPr>
          <w:spacing w:val="-7"/>
        </w:rPr>
        <w:t xml:space="preserve"> </w:t>
      </w:r>
      <w:r w:rsidR="007C6D99" w:rsidRPr="004A30A8">
        <w:t>ser</w:t>
      </w:r>
      <w:r w:rsidR="007C6D99" w:rsidRPr="004A30A8">
        <w:rPr>
          <w:spacing w:val="-6"/>
        </w:rPr>
        <w:t xml:space="preserve"> </w:t>
      </w:r>
      <w:r w:rsidR="007C6D99" w:rsidRPr="004A30A8">
        <w:t>adoptada</w:t>
      </w:r>
      <w:r w:rsidR="00DF7FF5" w:rsidRPr="004A30A8">
        <w:t xml:space="preserve"> </w:t>
      </w:r>
      <w:r w:rsidR="007C6D99" w:rsidRPr="004A30A8">
        <w:t>por</w:t>
      </w:r>
      <w:r w:rsidR="007C6D99" w:rsidRPr="004A30A8">
        <w:rPr>
          <w:spacing w:val="-3"/>
        </w:rPr>
        <w:t xml:space="preserve"> </w:t>
      </w:r>
      <w:r w:rsidR="007C6D99" w:rsidRPr="004A30A8">
        <w:t>las</w:t>
      </w:r>
      <w:r w:rsidR="007C6D99" w:rsidRPr="004A30A8">
        <w:rPr>
          <w:spacing w:val="1"/>
        </w:rPr>
        <w:t xml:space="preserve"> </w:t>
      </w:r>
      <w:r w:rsidR="007C6D99" w:rsidRPr="004A30A8">
        <w:t>empresas</w:t>
      </w:r>
      <w:r w:rsidR="007C6D99" w:rsidRPr="004A30A8">
        <w:rPr>
          <w:spacing w:val="-2"/>
        </w:rPr>
        <w:t xml:space="preserve"> </w:t>
      </w:r>
      <w:r w:rsidR="007C6D99" w:rsidRPr="004A30A8">
        <w:t>y</w:t>
      </w:r>
      <w:r w:rsidR="007C6D99" w:rsidRPr="004A30A8">
        <w:rPr>
          <w:spacing w:val="1"/>
        </w:rPr>
        <w:t xml:space="preserve"> </w:t>
      </w:r>
      <w:r w:rsidR="007C6D99" w:rsidRPr="004A30A8">
        <w:t>regulada</w:t>
      </w:r>
      <w:r w:rsidR="007C6D99" w:rsidRPr="004A30A8">
        <w:rPr>
          <w:spacing w:val="-2"/>
        </w:rPr>
        <w:t xml:space="preserve"> </w:t>
      </w:r>
      <w:r w:rsidR="007C6D99" w:rsidRPr="004A30A8">
        <w:t>por</w:t>
      </w:r>
      <w:r w:rsidR="007C6D99" w:rsidRPr="004A30A8">
        <w:rPr>
          <w:spacing w:val="-2"/>
        </w:rPr>
        <w:t xml:space="preserve"> </w:t>
      </w:r>
      <w:r w:rsidR="007C6D99" w:rsidRPr="004A30A8">
        <w:t>el</w:t>
      </w:r>
      <w:r w:rsidR="007C6D99" w:rsidRPr="004A30A8">
        <w:rPr>
          <w:spacing w:val="2"/>
        </w:rPr>
        <w:t xml:space="preserve"> </w:t>
      </w:r>
      <w:r w:rsidR="007C6D99" w:rsidRPr="004A30A8">
        <w:t>Estado</w:t>
      </w:r>
      <w:r w:rsidR="007C6D99" w:rsidRPr="004A30A8">
        <w:rPr>
          <w:rStyle w:val="Refdenotaalpie"/>
        </w:rPr>
        <w:footnoteReference w:id="124"/>
      </w:r>
      <w:r w:rsidR="007C6D99" w:rsidRPr="004A30A8">
        <w:t xml:space="preserve">. </w:t>
      </w:r>
    </w:p>
    <w:p w14:paraId="21C9DC88" w14:textId="77777777" w:rsidR="008F18E1" w:rsidRPr="004A30A8" w:rsidRDefault="008F18E1" w:rsidP="008F18E1">
      <w:pPr>
        <w:tabs>
          <w:tab w:val="left" w:pos="567"/>
        </w:tabs>
        <w:spacing w:line="240" w:lineRule="auto"/>
      </w:pPr>
    </w:p>
    <w:p w14:paraId="1368107C" w14:textId="0758E69B" w:rsidR="00F1352F" w:rsidRPr="004A30A8" w:rsidRDefault="00606B1F" w:rsidP="00F55DED">
      <w:pPr>
        <w:numPr>
          <w:ilvl w:val="0"/>
          <w:numId w:val="7"/>
        </w:numPr>
        <w:tabs>
          <w:tab w:val="left" w:pos="567"/>
          <w:tab w:val="num" w:pos="1569"/>
          <w:tab w:val="num" w:pos="12305"/>
        </w:tabs>
        <w:spacing w:line="240" w:lineRule="auto"/>
        <w:ind w:left="0" w:firstLine="0"/>
      </w:pPr>
      <w:r w:rsidRPr="004A30A8">
        <w:t>E</w:t>
      </w:r>
      <w:r w:rsidR="006838B1" w:rsidRPr="004A30A8">
        <w:t>s importante destacar que l</w:t>
      </w:r>
      <w:r w:rsidR="006838B1" w:rsidRPr="004A30A8">
        <w:rPr>
          <w:rFonts w:eastAsia="Cambria" w:cs="Cambria"/>
          <w:lang w:val="es-ES_tradnl"/>
        </w:rPr>
        <w:t>os</w:t>
      </w:r>
      <w:r w:rsidR="008F18E1" w:rsidRPr="004A30A8">
        <w:rPr>
          <w:rFonts w:eastAsia="Cambria" w:cs="Cambria"/>
          <w:lang w:val="es-ES_tradnl"/>
        </w:rPr>
        <w:t xml:space="preserve"> mencionados</w:t>
      </w:r>
      <w:r w:rsidR="006838B1" w:rsidRPr="004A30A8">
        <w:rPr>
          <w:rFonts w:eastAsia="Cambria" w:cs="Cambria"/>
          <w:lang w:val="es-ES_tradnl"/>
        </w:rPr>
        <w:t xml:space="preserve"> Principios Rectores señalan que, como parte de su deber de protección contra abusos de derechos humanos cometidos por empresas, los Estados deben garantizar el acceso a mecanismos de reparación eficaces –mecanismos de reparación estatales judiciales y no judiciales</w:t>
      </w:r>
      <w:r w:rsidR="00082A24" w:rsidRPr="004A30A8">
        <w:rPr>
          <w:rFonts w:eastAsia="Cambria" w:cs="Cambria"/>
          <w:lang w:val="es-ES_tradnl"/>
        </w:rPr>
        <w:t>, así como</w:t>
      </w:r>
      <w:r w:rsidR="006838B1" w:rsidRPr="004A30A8">
        <w:rPr>
          <w:rFonts w:eastAsia="Cambria" w:cs="Cambria"/>
          <w:lang w:val="es-ES_tradnl"/>
        </w:rPr>
        <w:t xml:space="preserve"> mecanismos no estatales</w:t>
      </w:r>
      <w:r w:rsidR="00082A24" w:rsidRPr="004A30A8">
        <w:rPr>
          <w:rFonts w:eastAsia="Cambria" w:cs="Cambria"/>
          <w:lang w:val="es-ES_tradnl"/>
        </w:rPr>
        <w:t>–</w:t>
      </w:r>
      <w:r w:rsidR="006838B1" w:rsidRPr="004A30A8">
        <w:rPr>
          <w:rFonts w:eastAsia="Cambria" w:cs="Cambria"/>
          <w:lang w:val="es-ES_tradnl"/>
        </w:rPr>
        <w:t>, y para ello deben eliminar cualquier obstáculo al acceso a reparación de las personas afectadas.</w:t>
      </w:r>
    </w:p>
    <w:p w14:paraId="498926F9" w14:textId="77777777" w:rsidR="006838B1" w:rsidRPr="004A30A8" w:rsidRDefault="006838B1" w:rsidP="006838B1">
      <w:pPr>
        <w:tabs>
          <w:tab w:val="left" w:pos="567"/>
          <w:tab w:val="num" w:pos="12305"/>
        </w:tabs>
        <w:spacing w:line="240" w:lineRule="auto"/>
      </w:pPr>
    </w:p>
    <w:p w14:paraId="1B989402" w14:textId="1B61C74A" w:rsidR="006838B1" w:rsidRPr="004A30A8" w:rsidRDefault="006838B1">
      <w:pPr>
        <w:numPr>
          <w:ilvl w:val="0"/>
          <w:numId w:val="7"/>
        </w:numPr>
        <w:tabs>
          <w:tab w:val="left" w:pos="567"/>
          <w:tab w:val="num" w:pos="1569"/>
          <w:tab w:val="num" w:pos="12305"/>
        </w:tabs>
        <w:spacing w:line="240" w:lineRule="auto"/>
        <w:ind w:left="0" w:firstLine="0"/>
        <w:rPr>
          <w:rFonts w:eastAsia="Cambria" w:cs="Cambria"/>
          <w:lang w:val="es-ES_tradnl"/>
        </w:rPr>
      </w:pPr>
      <w:r w:rsidRPr="004A30A8">
        <w:t>En suma, en la consecución de los fines antes</w:t>
      </w:r>
      <w:r w:rsidRPr="004A30A8">
        <w:rPr>
          <w:spacing w:val="1"/>
        </w:rPr>
        <w:t xml:space="preserve"> </w:t>
      </w:r>
      <w:r w:rsidRPr="004A30A8">
        <w:t xml:space="preserve">mencionados, los Estados deben adoptar medidas destinadas a que las empresas: </w:t>
      </w:r>
      <w:r w:rsidR="009117FF" w:rsidRPr="004A30A8">
        <w:t>(i)</w:t>
      </w:r>
      <w:r w:rsidRPr="004A30A8">
        <w:t xml:space="preserve"> </w:t>
      </w:r>
      <w:r w:rsidR="00082A24" w:rsidRPr="004A30A8">
        <w:t xml:space="preserve">cuenten con </w:t>
      </w:r>
      <w:r w:rsidRPr="004A30A8">
        <w:t xml:space="preserve">políticas apropiadas para la protección de los derechos humanos; </w:t>
      </w:r>
      <w:r w:rsidR="009117FF" w:rsidRPr="004A30A8">
        <w:t>(ii)</w:t>
      </w:r>
      <w:r w:rsidR="00DE72BF" w:rsidRPr="004A30A8">
        <w:t xml:space="preserve"> incorporen prácticas de buen gobierno corporativo con enfoque </w:t>
      </w:r>
      <w:r w:rsidR="00F1352F" w:rsidRPr="004A30A8">
        <w:t>de parte interesada (</w:t>
      </w:r>
      <w:r w:rsidR="00DE72BF" w:rsidRPr="004A30A8">
        <w:rPr>
          <w:i/>
        </w:rPr>
        <w:t>stakeholder</w:t>
      </w:r>
      <w:r w:rsidR="00F1352F" w:rsidRPr="004A30A8">
        <w:rPr>
          <w:i/>
        </w:rPr>
        <w:t>)</w:t>
      </w:r>
      <w:r w:rsidR="00DE72BF" w:rsidRPr="004A30A8">
        <w:t>, que supongan acciones dirigidas a orientar la actividad empresarial hacia</w:t>
      </w:r>
      <w:r w:rsidR="00DE72BF" w:rsidRPr="004A30A8">
        <w:rPr>
          <w:spacing w:val="1"/>
        </w:rPr>
        <w:t xml:space="preserve"> </w:t>
      </w:r>
      <w:r w:rsidR="00DE72BF" w:rsidRPr="004A30A8">
        <w:t>el cumplimiento de las normas y el respeto a los derechos humanos</w:t>
      </w:r>
      <w:r w:rsidR="0096718B" w:rsidRPr="004A30A8">
        <w:t>;</w:t>
      </w:r>
      <w:r w:rsidR="00DE72BF" w:rsidRPr="004A30A8">
        <w:t xml:space="preserve"> </w:t>
      </w:r>
      <w:r w:rsidR="009117FF" w:rsidRPr="004A30A8">
        <w:t>(iii)</w:t>
      </w:r>
      <w:r w:rsidRPr="004A30A8">
        <w:t xml:space="preserve"> </w:t>
      </w:r>
      <w:r w:rsidR="00082A24" w:rsidRPr="004A30A8">
        <w:t xml:space="preserve">cuenten con </w:t>
      </w:r>
      <w:r w:rsidRPr="004A30A8">
        <w:t>procesos de</w:t>
      </w:r>
      <w:r w:rsidRPr="004A30A8">
        <w:rPr>
          <w:spacing w:val="1"/>
        </w:rPr>
        <w:t xml:space="preserve"> </w:t>
      </w:r>
      <w:r w:rsidRPr="004A30A8">
        <w:t>diligencia debida para la identificación, prevención y corrección de violaciones a los derechos</w:t>
      </w:r>
      <w:r w:rsidR="00DF7FF5" w:rsidRPr="004A30A8">
        <w:t xml:space="preserve"> </w:t>
      </w:r>
      <w:r w:rsidRPr="004A30A8">
        <w:t>humanos,</w:t>
      </w:r>
      <w:r w:rsidRPr="004A30A8">
        <w:rPr>
          <w:spacing w:val="-5"/>
        </w:rPr>
        <w:t xml:space="preserve"> </w:t>
      </w:r>
      <w:r w:rsidRPr="004A30A8">
        <w:t>así como</w:t>
      </w:r>
      <w:r w:rsidRPr="004A30A8">
        <w:rPr>
          <w:spacing w:val="-5"/>
        </w:rPr>
        <w:t xml:space="preserve"> </w:t>
      </w:r>
      <w:r w:rsidRPr="004A30A8">
        <w:t>para</w:t>
      </w:r>
      <w:r w:rsidRPr="004A30A8">
        <w:rPr>
          <w:spacing w:val="-3"/>
        </w:rPr>
        <w:t xml:space="preserve"> </w:t>
      </w:r>
      <w:r w:rsidRPr="004A30A8">
        <w:t>garantizar</w:t>
      </w:r>
      <w:r w:rsidRPr="004A30A8">
        <w:rPr>
          <w:spacing w:val="-4"/>
        </w:rPr>
        <w:t xml:space="preserve"> </w:t>
      </w:r>
      <w:r w:rsidRPr="004A30A8">
        <w:t>el</w:t>
      </w:r>
      <w:r w:rsidRPr="004A30A8">
        <w:rPr>
          <w:spacing w:val="-1"/>
        </w:rPr>
        <w:t xml:space="preserve"> </w:t>
      </w:r>
      <w:r w:rsidRPr="004A30A8">
        <w:t>trabajo</w:t>
      </w:r>
      <w:r w:rsidRPr="004A30A8">
        <w:rPr>
          <w:spacing w:val="-4"/>
        </w:rPr>
        <w:t xml:space="preserve"> </w:t>
      </w:r>
      <w:r w:rsidRPr="004A30A8">
        <w:t>digno</w:t>
      </w:r>
      <w:r w:rsidRPr="004A30A8">
        <w:rPr>
          <w:spacing w:val="-5"/>
        </w:rPr>
        <w:t xml:space="preserve"> </w:t>
      </w:r>
      <w:r w:rsidRPr="004A30A8">
        <w:t>y</w:t>
      </w:r>
      <w:r w:rsidRPr="004A30A8">
        <w:rPr>
          <w:spacing w:val="-4"/>
        </w:rPr>
        <w:t xml:space="preserve"> </w:t>
      </w:r>
      <w:r w:rsidRPr="004A30A8">
        <w:t>decente;</w:t>
      </w:r>
      <w:r w:rsidRPr="004A30A8">
        <w:rPr>
          <w:spacing w:val="-2"/>
        </w:rPr>
        <w:t xml:space="preserve"> </w:t>
      </w:r>
      <w:r w:rsidRPr="004A30A8">
        <w:t>y</w:t>
      </w:r>
      <w:r w:rsidRPr="004A30A8">
        <w:rPr>
          <w:spacing w:val="-2"/>
        </w:rPr>
        <w:t xml:space="preserve"> </w:t>
      </w:r>
      <w:r w:rsidR="009117FF" w:rsidRPr="004A30A8">
        <w:rPr>
          <w:spacing w:val="-2"/>
        </w:rPr>
        <w:t xml:space="preserve">(iv) cuenten con </w:t>
      </w:r>
      <w:r w:rsidRPr="004A30A8">
        <w:t>procesos</w:t>
      </w:r>
      <w:r w:rsidRPr="004A30A8">
        <w:rPr>
          <w:spacing w:val="-5"/>
        </w:rPr>
        <w:t xml:space="preserve"> </w:t>
      </w:r>
      <w:r w:rsidRPr="004A30A8">
        <w:t>que</w:t>
      </w:r>
      <w:r w:rsidRPr="004A30A8">
        <w:rPr>
          <w:spacing w:val="-4"/>
        </w:rPr>
        <w:t xml:space="preserve"> </w:t>
      </w:r>
      <w:r w:rsidRPr="004A30A8">
        <w:t>permitan</w:t>
      </w:r>
      <w:r w:rsidRPr="004A30A8">
        <w:rPr>
          <w:spacing w:val="-2"/>
        </w:rPr>
        <w:t xml:space="preserve"> </w:t>
      </w:r>
      <w:r w:rsidRPr="004A30A8">
        <w:t>a</w:t>
      </w:r>
      <w:r w:rsidR="00DF7FF5" w:rsidRPr="004A30A8">
        <w:t xml:space="preserve"> </w:t>
      </w:r>
      <w:r w:rsidRPr="004A30A8">
        <w:t>la empresa reparar las violaciones a derechos humanos que ocurran con motivo de las</w:t>
      </w:r>
      <w:r w:rsidRPr="004A30A8">
        <w:rPr>
          <w:spacing w:val="1"/>
        </w:rPr>
        <w:t xml:space="preserve"> </w:t>
      </w:r>
      <w:r w:rsidRPr="004A30A8">
        <w:t>actividades que realicen, especialmente cuando estas afectan a personas que viven en</w:t>
      </w:r>
      <w:r w:rsidRPr="004A30A8">
        <w:rPr>
          <w:spacing w:val="1"/>
        </w:rPr>
        <w:t xml:space="preserve"> </w:t>
      </w:r>
      <w:r w:rsidRPr="004A30A8">
        <w:t>situación de pobreza o pertenecen a grupos en situación de vulnerabilidad</w:t>
      </w:r>
      <w:r w:rsidR="00082A24" w:rsidRPr="004A30A8">
        <w:rPr>
          <w:rStyle w:val="Refdenotaalpie"/>
        </w:rPr>
        <w:footnoteReference w:id="125"/>
      </w:r>
      <w:r w:rsidRPr="004A30A8">
        <w:t xml:space="preserve">. </w:t>
      </w:r>
    </w:p>
    <w:p w14:paraId="3DC96656" w14:textId="77777777" w:rsidR="006838B1" w:rsidRPr="004A30A8" w:rsidRDefault="006838B1" w:rsidP="006838B1">
      <w:pPr>
        <w:tabs>
          <w:tab w:val="left" w:pos="567"/>
          <w:tab w:val="num" w:pos="12305"/>
        </w:tabs>
        <w:spacing w:line="240" w:lineRule="auto"/>
      </w:pPr>
    </w:p>
    <w:p w14:paraId="539DA481" w14:textId="2751D95F" w:rsidR="00682269" w:rsidRPr="004A30A8" w:rsidRDefault="006838B1">
      <w:pPr>
        <w:numPr>
          <w:ilvl w:val="0"/>
          <w:numId w:val="7"/>
        </w:numPr>
        <w:tabs>
          <w:tab w:val="left" w:pos="567"/>
          <w:tab w:val="num" w:pos="1569"/>
          <w:tab w:val="num" w:pos="12305"/>
        </w:tabs>
        <w:spacing w:line="240" w:lineRule="auto"/>
        <w:ind w:left="0" w:firstLine="0"/>
      </w:pPr>
      <w:r w:rsidRPr="004A30A8">
        <w:t xml:space="preserve">En lo que respecta a la protección de las personas de la comunidad </w:t>
      </w:r>
      <w:r w:rsidR="00F417CE" w:rsidRPr="004A30A8">
        <w:t>LGBTIQ+</w:t>
      </w:r>
      <w:r w:rsidRPr="004A30A8">
        <w:t xml:space="preserve">, </w:t>
      </w:r>
      <w:r w:rsidR="00881E78" w:rsidRPr="004A30A8">
        <w:t>la Corte</w:t>
      </w:r>
      <w:r w:rsidR="007B7976" w:rsidRPr="004A30A8">
        <w:t xml:space="preserve"> advierte que el estigma, profundamente arraigado en la sociedad, así como los estereotipos negativos que actualmente recaen sobre la comunidad </w:t>
      </w:r>
      <w:r w:rsidR="00F417CE" w:rsidRPr="004A30A8">
        <w:t>LGBTIQ+</w:t>
      </w:r>
      <w:r w:rsidR="007B7976" w:rsidRPr="004A30A8">
        <w:t xml:space="preserve"> perpetúan los actos de discriminación que sufren en el lugar de trabajo, el mercado y en la comunidad</w:t>
      </w:r>
      <w:r w:rsidR="00682269" w:rsidRPr="004A30A8">
        <w:t xml:space="preserve"> en general</w:t>
      </w:r>
      <w:r w:rsidR="007B7976" w:rsidRPr="004A30A8">
        <w:t xml:space="preserve">. </w:t>
      </w:r>
      <w:r w:rsidR="00CA64A9" w:rsidRPr="004A30A8">
        <w:t xml:space="preserve">A este respecto, el principio </w:t>
      </w:r>
      <w:r w:rsidR="0096718B" w:rsidRPr="004A30A8">
        <w:t xml:space="preserve">de Yogyakarta </w:t>
      </w:r>
      <w:r w:rsidR="00CA64A9" w:rsidRPr="004A30A8">
        <w:t xml:space="preserve">2.f establece que los Estados deben adoptar “todas las medidas apropiadas, incluyendo programas de educación y capacitación, para alcanzar la eliminación de actitudes y prácticas prejuiciosas o discriminatorias basadas en la idea de la inferioridad o superioridad de </w:t>
      </w:r>
      <w:r w:rsidR="00CA64A9" w:rsidRPr="004A30A8">
        <w:lastRenderedPageBreak/>
        <w:t>cualquier orientación sexual, identidad de género o expresión de género”</w:t>
      </w:r>
      <w:r w:rsidR="00CA64A9" w:rsidRPr="004A30A8">
        <w:rPr>
          <w:rStyle w:val="Refdenotaalpie"/>
        </w:rPr>
        <w:footnoteReference w:id="126"/>
      </w:r>
      <w:r w:rsidR="00CA64A9" w:rsidRPr="004A30A8">
        <w:t xml:space="preserve">. </w:t>
      </w:r>
    </w:p>
    <w:p w14:paraId="418ECA5B" w14:textId="77777777" w:rsidR="00F9191A" w:rsidRPr="004A30A8" w:rsidRDefault="00F9191A" w:rsidP="00F9191A">
      <w:pPr>
        <w:tabs>
          <w:tab w:val="left" w:pos="567"/>
        </w:tabs>
        <w:spacing w:line="240" w:lineRule="auto"/>
      </w:pPr>
    </w:p>
    <w:p w14:paraId="270D6FD9" w14:textId="40D85400" w:rsidR="007B7976" w:rsidRPr="004A30A8" w:rsidRDefault="007B7976">
      <w:pPr>
        <w:numPr>
          <w:ilvl w:val="0"/>
          <w:numId w:val="7"/>
        </w:numPr>
        <w:tabs>
          <w:tab w:val="left" w:pos="567"/>
          <w:tab w:val="num" w:pos="1569"/>
          <w:tab w:val="num" w:pos="12305"/>
        </w:tabs>
        <w:spacing w:line="240" w:lineRule="auto"/>
        <w:ind w:left="0" w:firstLine="0"/>
      </w:pPr>
      <w:r w:rsidRPr="004A30A8">
        <w:t>En aras de eliminar todo tipo de prácticas y actitudes discriminatorias y alcanzar la igualdad material -más allá de la formal- es necesaria la implicación de toda la comunidad y, muy particularmente, del sector empresarial. Así, dicho sector tiene no solo</w:t>
      </w:r>
      <w:r w:rsidR="006838B1" w:rsidRPr="004A30A8">
        <w:t xml:space="preserve"> la posibilidad</w:t>
      </w:r>
      <w:r w:rsidRPr="004A30A8">
        <w:t xml:space="preserve">, sino también </w:t>
      </w:r>
      <w:r w:rsidR="006838B1" w:rsidRPr="004A30A8">
        <w:t xml:space="preserve">la responsabilidad de fomentar un cambio positivo para la comunidad </w:t>
      </w:r>
      <w:r w:rsidR="00F417CE" w:rsidRPr="004A30A8">
        <w:t>LGBTIQ+</w:t>
      </w:r>
      <w:r w:rsidR="006838B1" w:rsidRPr="004A30A8">
        <w:t xml:space="preserve">, lo cual implica la necesidad por parte de </w:t>
      </w:r>
      <w:r w:rsidR="008A3477" w:rsidRPr="004A30A8">
        <w:t xml:space="preserve">las </w:t>
      </w:r>
      <w:r w:rsidR="006838B1" w:rsidRPr="004A30A8">
        <w:t xml:space="preserve">empresas de asumir su responsabilidad de respetar los derechos de personas </w:t>
      </w:r>
      <w:r w:rsidR="00F417CE" w:rsidRPr="004A30A8">
        <w:t>LGBTIQ+</w:t>
      </w:r>
      <w:r w:rsidR="006838B1" w:rsidRPr="004A30A8">
        <w:t>, no sólo en el contexto laboral, sino también en sus relaciones comerciales a través de la oferta de productos o servicios.</w:t>
      </w:r>
      <w:r w:rsidR="00996C4D" w:rsidRPr="004A30A8">
        <w:t xml:space="preserve"> A este respecto, la perita Otero Norza indicó que, en el marco de la protección y promoción de los derechos humanos, </w:t>
      </w:r>
      <w:r w:rsidR="00E548D8" w:rsidRPr="004A30A8">
        <w:t>“</w:t>
      </w:r>
      <w:r w:rsidR="00996C4D" w:rsidRPr="004A30A8">
        <w:t>no solo los Estados desempeñan un papel de vital importancia, sino que las empresas también pueden influir, positiva o negativamente, en su desarrollo</w:t>
      </w:r>
      <w:r w:rsidR="00E548D8" w:rsidRPr="004A30A8">
        <w:t>”</w:t>
      </w:r>
      <w:r w:rsidR="00996C4D" w:rsidRPr="004A30A8">
        <w:rPr>
          <w:rStyle w:val="Refdenotaalpie"/>
        </w:rPr>
        <w:footnoteReference w:id="127"/>
      </w:r>
      <w:r w:rsidRPr="004A30A8">
        <w:t xml:space="preserve">. </w:t>
      </w:r>
    </w:p>
    <w:p w14:paraId="225230F0" w14:textId="4988956C" w:rsidR="00996C4D" w:rsidRPr="004A30A8" w:rsidRDefault="00996C4D" w:rsidP="007B7976">
      <w:pPr>
        <w:tabs>
          <w:tab w:val="left" w:pos="567"/>
          <w:tab w:val="num" w:pos="12305"/>
        </w:tabs>
        <w:spacing w:line="240" w:lineRule="auto"/>
      </w:pPr>
    </w:p>
    <w:p w14:paraId="2E87EEA1" w14:textId="2F18FA73" w:rsidR="00D35372" w:rsidRPr="004A30A8" w:rsidRDefault="00A139B1">
      <w:pPr>
        <w:numPr>
          <w:ilvl w:val="0"/>
          <w:numId w:val="7"/>
        </w:numPr>
        <w:tabs>
          <w:tab w:val="left" w:pos="567"/>
          <w:tab w:val="num" w:pos="1569"/>
          <w:tab w:val="num" w:pos="12305"/>
        </w:tabs>
        <w:spacing w:line="240" w:lineRule="auto"/>
        <w:ind w:left="0" w:firstLine="0"/>
      </w:pPr>
      <w:r w:rsidRPr="004A30A8">
        <w:t>La Corte</w:t>
      </w:r>
      <w:r w:rsidR="007B7976" w:rsidRPr="004A30A8">
        <w:t xml:space="preserve"> </w:t>
      </w:r>
      <w:r w:rsidR="008F18E1" w:rsidRPr="004A30A8">
        <w:t>considera, por tanto,</w:t>
      </w:r>
      <w:r w:rsidR="007B7976" w:rsidRPr="004A30A8">
        <w:t xml:space="preserve"> que e</w:t>
      </w:r>
      <w:r w:rsidR="00D35372" w:rsidRPr="004A30A8">
        <w:t xml:space="preserve">s responsabilidad de todas las empresas respetar los derechos humanos, incluidos los derechos de las personas </w:t>
      </w:r>
      <w:r w:rsidR="00F417CE" w:rsidRPr="004A30A8">
        <w:t>LGBTIQ+</w:t>
      </w:r>
      <w:r w:rsidR="00D35372" w:rsidRPr="004A30A8">
        <w:t xml:space="preserve">, en sus operaciones y relaciones comerciales. </w:t>
      </w:r>
      <w:r w:rsidR="003004C1" w:rsidRPr="004A30A8">
        <w:rPr>
          <w:rStyle w:val="markedcontent"/>
          <w:shd w:val="clear" w:color="auto" w:fill="FFFFFF"/>
        </w:rPr>
        <w:t xml:space="preserve">Para estos efectos es importante mencionar los principios de conducta para las empresas en la lucha contra la discriminación de las personas </w:t>
      </w:r>
      <w:r w:rsidR="00F417CE" w:rsidRPr="004A30A8">
        <w:rPr>
          <w:rStyle w:val="markedcontent"/>
          <w:shd w:val="clear" w:color="auto" w:fill="FFFFFF"/>
        </w:rPr>
        <w:t>LGBTIQ+</w:t>
      </w:r>
      <w:r w:rsidR="003004C1" w:rsidRPr="004A30A8">
        <w:rPr>
          <w:rStyle w:val="markedcontent"/>
          <w:shd w:val="clear" w:color="auto" w:fill="FFFFFF"/>
        </w:rPr>
        <w:t xml:space="preserve"> impulsada por la Oficina de la Alta Comisionada de Naciones Unidas para los Derechos Humanos desde </w:t>
      </w:r>
      <w:r w:rsidR="007E78DC" w:rsidRPr="004A30A8">
        <w:rPr>
          <w:rStyle w:val="markedcontent"/>
          <w:shd w:val="clear" w:color="auto" w:fill="FFFFFF"/>
        </w:rPr>
        <w:t xml:space="preserve">el año </w:t>
      </w:r>
      <w:r w:rsidR="003004C1" w:rsidRPr="004A30A8">
        <w:rPr>
          <w:rStyle w:val="markedcontent"/>
          <w:shd w:val="clear" w:color="auto" w:fill="FFFFFF"/>
        </w:rPr>
        <w:t xml:space="preserve">2017. Dichas orientaciones resaltan la responsabilidad permanente de las empresas de respetar los derechos humanos de estas personas, la responsabilidad de eliminar la discriminación, proveer apoyo a su personal </w:t>
      </w:r>
      <w:r w:rsidR="00F417CE" w:rsidRPr="004A30A8">
        <w:rPr>
          <w:rStyle w:val="markedcontent"/>
          <w:shd w:val="clear" w:color="auto" w:fill="FFFFFF"/>
        </w:rPr>
        <w:t>LGBTIQ+</w:t>
      </w:r>
      <w:r w:rsidR="003004C1" w:rsidRPr="004A30A8">
        <w:rPr>
          <w:rStyle w:val="markedcontent"/>
          <w:shd w:val="clear" w:color="auto" w:fill="FFFFFF"/>
        </w:rPr>
        <w:t xml:space="preserve"> en el lugar de trabajo, poner atención en los impactos y </w:t>
      </w:r>
      <w:r w:rsidR="003004C1" w:rsidRPr="004A30A8">
        <w:rPr>
          <w:rFonts w:eastAsia="Cambria" w:cs="Cambria"/>
          <w:lang w:val="es-ES_tradnl"/>
        </w:rPr>
        <w:t>afectaciones</w:t>
      </w:r>
      <w:r w:rsidR="003004C1" w:rsidRPr="004A30A8">
        <w:rPr>
          <w:rStyle w:val="markedcontent"/>
          <w:shd w:val="clear" w:color="auto" w:fill="FFFFFF"/>
        </w:rPr>
        <w:t xml:space="preserve"> que sus relaciones comerciales o sus productos o servicios generan en las personas </w:t>
      </w:r>
      <w:r w:rsidR="00F417CE" w:rsidRPr="004A30A8">
        <w:rPr>
          <w:rStyle w:val="markedcontent"/>
          <w:shd w:val="clear" w:color="auto" w:fill="FFFFFF"/>
        </w:rPr>
        <w:t>LGBTIQ+</w:t>
      </w:r>
      <w:r w:rsidR="003004C1" w:rsidRPr="004A30A8">
        <w:rPr>
          <w:rStyle w:val="markedcontent"/>
          <w:shd w:val="clear" w:color="auto" w:fill="FFFFFF"/>
        </w:rPr>
        <w:t>, así como contribuir a eliminar tales abusos desde su rol dentro de la comunidad actuando de manera pública en apoyo a estas personas</w:t>
      </w:r>
      <w:r w:rsidR="003004C1" w:rsidRPr="004A30A8">
        <w:rPr>
          <w:rStyle w:val="Refdenotaalpie"/>
          <w:shd w:val="clear" w:color="auto" w:fill="FFFFFF"/>
        </w:rPr>
        <w:footnoteReference w:id="128"/>
      </w:r>
      <w:r w:rsidR="008F18E1" w:rsidRPr="004A30A8">
        <w:rPr>
          <w:rStyle w:val="markedcontent"/>
          <w:shd w:val="clear" w:color="auto" w:fill="FFFFFF"/>
        </w:rPr>
        <w:t xml:space="preserve">. De esta manera, </w:t>
      </w:r>
      <w:r w:rsidR="008F18E1" w:rsidRPr="004A30A8">
        <w:t xml:space="preserve">las empresas deben asegurarse de que no discriminan a los proveedores y distribuidores </w:t>
      </w:r>
      <w:r w:rsidR="00F417CE" w:rsidRPr="004A30A8">
        <w:t>LGBTIQ+</w:t>
      </w:r>
      <w:r w:rsidR="008F18E1" w:rsidRPr="004A30A8">
        <w:t xml:space="preserve"> ni a los clientes </w:t>
      </w:r>
      <w:r w:rsidR="00F417CE" w:rsidRPr="004A30A8">
        <w:t>LGBTIQ+</w:t>
      </w:r>
      <w:r w:rsidR="008F18E1" w:rsidRPr="004A30A8">
        <w:t xml:space="preserve"> a la hora de que estos accedan a sus productos y servicios. Ello implica no solo evitar la discriminación, sino hacer frente a problemas de violencia, acoso, intimidación, malos tratos, incitación a la violencia y otros abusos contra las personas </w:t>
      </w:r>
      <w:r w:rsidR="00F417CE" w:rsidRPr="004A30A8">
        <w:t>LGBTIQ+</w:t>
      </w:r>
      <w:r w:rsidR="008F18E1" w:rsidRPr="004A30A8">
        <w:t xml:space="preserve"> en que las empresas puedan estar implicadas por medio de sus productos, servicios o relaciones comerciales. Las empresas deben asegurarse, asimismo, de que los clientes </w:t>
      </w:r>
      <w:r w:rsidR="00F417CE" w:rsidRPr="004A30A8">
        <w:t>LGBTIQ+</w:t>
      </w:r>
      <w:r w:rsidR="008F18E1" w:rsidRPr="004A30A8">
        <w:t xml:space="preserve"> </w:t>
      </w:r>
      <w:r w:rsidR="00E548D8" w:rsidRPr="004A30A8">
        <w:t>“</w:t>
      </w:r>
      <w:r w:rsidR="008F18E1" w:rsidRPr="004A30A8">
        <w:t>pueden acceder a sus productos y servicios</w:t>
      </w:r>
      <w:r w:rsidR="00E548D8" w:rsidRPr="004A30A8">
        <w:t>”</w:t>
      </w:r>
      <w:r w:rsidR="008F18E1" w:rsidRPr="004A30A8">
        <w:rPr>
          <w:rStyle w:val="Refdenotaalpie"/>
        </w:rPr>
        <w:footnoteReference w:id="129"/>
      </w:r>
      <w:r w:rsidR="008F18E1" w:rsidRPr="004A30A8">
        <w:t>.</w:t>
      </w:r>
    </w:p>
    <w:p w14:paraId="282AA8F4" w14:textId="77777777" w:rsidR="00D35372" w:rsidRPr="004A30A8" w:rsidRDefault="00D35372" w:rsidP="007B7976">
      <w:pPr>
        <w:tabs>
          <w:tab w:val="left" w:pos="567"/>
          <w:tab w:val="num" w:pos="12305"/>
        </w:tabs>
        <w:spacing w:line="240" w:lineRule="auto"/>
      </w:pPr>
    </w:p>
    <w:p w14:paraId="2234697B" w14:textId="44FD12C2" w:rsidR="001C4438" w:rsidRPr="004A30A8" w:rsidRDefault="003004C1">
      <w:pPr>
        <w:numPr>
          <w:ilvl w:val="0"/>
          <w:numId w:val="7"/>
        </w:numPr>
        <w:tabs>
          <w:tab w:val="left" w:pos="567"/>
          <w:tab w:val="num" w:pos="1569"/>
          <w:tab w:val="num" w:pos="12305"/>
        </w:tabs>
        <w:spacing w:line="240" w:lineRule="auto"/>
        <w:ind w:left="0" w:firstLine="0"/>
        <w:rPr>
          <w:rFonts w:eastAsia="Cambria" w:cs="Cambria"/>
          <w:lang w:val="es-ES_tradnl"/>
        </w:rPr>
      </w:pPr>
      <w:r w:rsidRPr="004A30A8">
        <w:t>En vista de todo lo anterior,</w:t>
      </w:r>
      <w:r w:rsidR="008F18E1" w:rsidRPr="004A30A8">
        <w:t xml:space="preserve"> </w:t>
      </w:r>
      <w:r w:rsidR="00244E81" w:rsidRPr="004A30A8">
        <w:t>l</w:t>
      </w:r>
      <w:r w:rsidR="008F18E1" w:rsidRPr="004A30A8">
        <w:t>os Estados se encuentran obligados a</w:t>
      </w:r>
      <w:r w:rsidR="008F18E1" w:rsidRPr="004A30A8">
        <w:rPr>
          <w:spacing w:val="1"/>
        </w:rPr>
        <w:t xml:space="preserve"> </w:t>
      </w:r>
      <w:r w:rsidR="00D96B76" w:rsidRPr="004A30A8">
        <w:t xml:space="preserve">desarrollar políticas adecuadas, </w:t>
      </w:r>
      <w:r w:rsidR="00244E81" w:rsidRPr="004A30A8">
        <w:t xml:space="preserve">así como </w:t>
      </w:r>
      <w:r w:rsidR="00D96B76" w:rsidRPr="004A30A8">
        <w:t>actividades de reglamentación</w:t>
      </w:r>
      <w:r w:rsidR="00C0504D" w:rsidRPr="004A30A8">
        <w:t>, monitoreo y fiscalización</w:t>
      </w:r>
      <w:r w:rsidR="00D96B76" w:rsidRPr="004A30A8">
        <w:t xml:space="preserve"> con el fin de que</w:t>
      </w:r>
      <w:r w:rsidR="008F18E1" w:rsidRPr="004A30A8">
        <w:t xml:space="preserve"> las empresas adopten acciones dirigidas</w:t>
      </w:r>
      <w:r w:rsidRPr="004A30A8">
        <w:t xml:space="preserve"> </w:t>
      </w:r>
      <w:r w:rsidR="008F18E1" w:rsidRPr="004A30A8">
        <w:t xml:space="preserve">a eliminar todo tipo de prácticas y actitudes discriminatorias contra la comunidad </w:t>
      </w:r>
      <w:r w:rsidR="00F417CE" w:rsidRPr="004A30A8">
        <w:t>LGBTIQ+</w:t>
      </w:r>
      <w:r w:rsidR="008F18E1" w:rsidRPr="004A30A8">
        <w:t xml:space="preserve">, para lo cual las </w:t>
      </w:r>
      <w:r w:rsidR="008F18E1" w:rsidRPr="004A30A8">
        <w:lastRenderedPageBreak/>
        <w:t xml:space="preserve">empresas deberán </w:t>
      </w:r>
      <w:r w:rsidR="00D35372" w:rsidRPr="004A30A8">
        <w:t xml:space="preserve">(i) formular políticas para atender su responsabilidad de respetar los derechos humanos e incluir en ellas expresamente los derechos de las personas </w:t>
      </w:r>
      <w:r w:rsidR="00F417CE" w:rsidRPr="004A30A8">
        <w:t>LGBTIQ+</w:t>
      </w:r>
      <w:r w:rsidR="000273BC" w:rsidRPr="004A30A8">
        <w:t>;</w:t>
      </w:r>
      <w:r w:rsidR="00D35372" w:rsidRPr="004A30A8">
        <w:t xml:space="preserve"> (ii) ejercer debida </w:t>
      </w:r>
      <w:r w:rsidR="00797E9B" w:rsidRPr="004A30A8">
        <w:t xml:space="preserve">diligencia </w:t>
      </w:r>
      <w:r w:rsidR="00D35372" w:rsidRPr="004A30A8">
        <w:t xml:space="preserve">para detectar, prevenir y mitigar toda repercusión negativa, potencial o real, que hayan causado o a la que hayan contribuido en el disfrute por parte de las personas </w:t>
      </w:r>
      <w:r w:rsidR="00F417CE" w:rsidRPr="004A30A8">
        <w:t>LGBTIQ+</w:t>
      </w:r>
      <w:r w:rsidR="00D35372" w:rsidRPr="004A30A8">
        <w:t xml:space="preserve"> de sus derechos humanos, o que esté directamente relacionada con sus operaciones, productos, servicios y relaciones comerciales, así como para rendir cuentas sobre cómo les hacen frente, </w:t>
      </w:r>
      <w:r w:rsidR="000273BC" w:rsidRPr="004A30A8">
        <w:t xml:space="preserve">y </w:t>
      </w:r>
      <w:r w:rsidR="00D35372" w:rsidRPr="004A30A8">
        <w:t>(iii) tratar de resolver toda repercusión negativa en los derechos humanos que hayan causado o a la que hayan contribuido poniendo en práctica mecanismos de reparación por sí solas o cooperando con otros procesos legítimos, lo que incluye establecer mecanismos eficaces de reclamación a nivel operacional para las personas o comunidades afectadas y participar en ellos</w:t>
      </w:r>
      <w:r w:rsidR="00D35372" w:rsidRPr="004A30A8">
        <w:rPr>
          <w:rStyle w:val="Refdenotaalpie"/>
        </w:rPr>
        <w:footnoteReference w:id="130"/>
      </w:r>
      <w:r w:rsidRPr="004A30A8">
        <w:rPr>
          <w:rFonts w:eastAsia="Cambria" w:cs="Cambria"/>
          <w:lang w:val="es-ES_tradnl"/>
        </w:rPr>
        <w:t>.</w:t>
      </w:r>
    </w:p>
    <w:p w14:paraId="3742FC63" w14:textId="49863C56" w:rsidR="00742DC4" w:rsidRPr="004A30A8" w:rsidRDefault="009117FF" w:rsidP="003153DF">
      <w:pPr>
        <w:pStyle w:val="Ttulo3"/>
        <w:spacing w:before="360" w:after="360"/>
        <w:ind w:left="992"/>
        <w:contextualSpacing w:val="0"/>
        <w:rPr>
          <w:b w:val="0"/>
          <w:bCs/>
          <w:lang w:val="es-ES"/>
        </w:rPr>
      </w:pPr>
      <w:bookmarkStart w:id="54" w:name="_Toc129887117"/>
      <w:r w:rsidRPr="004A30A8">
        <w:rPr>
          <w:b w:val="0"/>
          <w:bCs/>
          <w:lang w:val="es-ES"/>
        </w:rPr>
        <w:t>B</w:t>
      </w:r>
      <w:r w:rsidR="00742DC4" w:rsidRPr="004A30A8">
        <w:rPr>
          <w:b w:val="0"/>
          <w:bCs/>
          <w:lang w:val="es-ES"/>
        </w:rPr>
        <w:t>.4 Aplicación de los estándares al caso concreto</w:t>
      </w:r>
      <w:bookmarkEnd w:id="54"/>
    </w:p>
    <w:p w14:paraId="5F1E2913" w14:textId="5A30F4FE" w:rsidR="00CF41F9" w:rsidRPr="004A30A8" w:rsidRDefault="00BD7E53">
      <w:pPr>
        <w:numPr>
          <w:ilvl w:val="0"/>
          <w:numId w:val="7"/>
        </w:numPr>
        <w:tabs>
          <w:tab w:val="left" w:pos="567"/>
          <w:tab w:val="num" w:pos="1569"/>
          <w:tab w:val="num" w:pos="12305"/>
        </w:tabs>
        <w:spacing w:line="240" w:lineRule="auto"/>
        <w:ind w:left="0" w:firstLine="0"/>
        <w:rPr>
          <w:lang w:val="es-ES"/>
        </w:rPr>
      </w:pPr>
      <w:r w:rsidRPr="004A30A8">
        <w:rPr>
          <w:rStyle w:val="cf01"/>
          <w:rFonts w:ascii="Verdana" w:eastAsia="Batang" w:hAnsi="Verdana"/>
          <w:sz w:val="20"/>
          <w:szCs w:val="20"/>
        </w:rPr>
        <w:t xml:space="preserve">Tal y como se </w:t>
      </w:r>
      <w:r w:rsidR="000273BC" w:rsidRPr="004A30A8">
        <w:rPr>
          <w:rStyle w:val="cf01"/>
          <w:rFonts w:ascii="Verdana" w:eastAsia="Batang" w:hAnsi="Verdana"/>
          <w:sz w:val="20"/>
          <w:szCs w:val="20"/>
        </w:rPr>
        <w:t>señaló previamente</w:t>
      </w:r>
      <w:r w:rsidR="00CF41F9" w:rsidRPr="004A30A8">
        <w:rPr>
          <w:lang w:val="es-ES"/>
        </w:rPr>
        <w:t xml:space="preserve">, en el presente caso la Corte examinará la (i) motivación de las resoluciones dictadas a nivel interno en sede administrativa y judicial y, en particular, el estándar de prueba aplicado </w:t>
      </w:r>
      <w:r w:rsidR="00C43649" w:rsidRPr="004A30A8">
        <w:rPr>
          <w:lang w:val="es-ES"/>
        </w:rPr>
        <w:t xml:space="preserve">al </w:t>
      </w:r>
      <w:r w:rsidR="00CF41F9" w:rsidRPr="004A30A8">
        <w:rPr>
          <w:lang w:val="es-ES"/>
        </w:rPr>
        <w:t>caso, (ii) el alegado uso discriminatorio de estereotipos sobre orientación sexual y expresión de género en sede administrativa, (iii) el alegado incumplimiento con el plazo razonable, para, finalmente, formular las correspondientes (iv) conclusiones</w:t>
      </w:r>
      <w:r w:rsidR="002D2AB9" w:rsidRPr="004A30A8">
        <w:rPr>
          <w:lang w:val="es-ES"/>
        </w:rPr>
        <w:t xml:space="preserve"> sobre la alegada violación de los artículos </w:t>
      </w:r>
      <w:r w:rsidR="00132FAC" w:rsidRPr="004A30A8">
        <w:rPr>
          <w:lang w:val="es-ES"/>
        </w:rPr>
        <w:t>7, 8.1, 11</w:t>
      </w:r>
      <w:r w:rsidR="003D065D" w:rsidRPr="004A30A8">
        <w:rPr>
          <w:lang w:val="es-ES"/>
        </w:rPr>
        <w:t>.2</w:t>
      </w:r>
      <w:r w:rsidR="00132FAC" w:rsidRPr="004A30A8">
        <w:rPr>
          <w:lang w:val="es-ES"/>
        </w:rPr>
        <w:t>, 13.1. 24 y 25.1</w:t>
      </w:r>
      <w:r w:rsidR="002D2AB9" w:rsidRPr="004A30A8">
        <w:rPr>
          <w:lang w:val="es-ES"/>
        </w:rPr>
        <w:t xml:space="preserve"> de la Convención Americana</w:t>
      </w:r>
      <w:r w:rsidR="00132FAC" w:rsidRPr="004A30A8">
        <w:rPr>
          <w:lang w:val="es-ES"/>
        </w:rPr>
        <w:t>, en relación con el artículo 1.1 del mismo instrumento</w:t>
      </w:r>
      <w:r w:rsidR="00CF41F9" w:rsidRPr="004A30A8">
        <w:rPr>
          <w:lang w:val="es-ES"/>
        </w:rPr>
        <w:t>.</w:t>
      </w:r>
      <w:r w:rsidR="003D065D" w:rsidRPr="004A30A8">
        <w:rPr>
          <w:lang w:val="es-ES"/>
        </w:rPr>
        <w:t xml:space="preserve"> En lo que respecta a la violación de los artículos 8.1 y 25.1, el Tribunal analizará la alegada violación de los mismos en dos vertientes: por un lado, analizará la alegada violación de dichos artículos por la alegada falta de acceso a la justicia</w:t>
      </w:r>
      <w:r w:rsidR="006F3DA1" w:rsidRPr="004A30A8">
        <w:rPr>
          <w:rStyle w:val="Refdenotaalpie"/>
        </w:rPr>
        <w:footnoteReference w:id="131"/>
      </w:r>
      <w:r w:rsidR="008A3DD9" w:rsidRPr="004A30A8">
        <w:rPr>
          <w:lang w:val="es-ES"/>
        </w:rPr>
        <w:t xml:space="preserve"> (apartados B.4.1 y B.4.2)</w:t>
      </w:r>
      <w:r w:rsidR="006F3DA1" w:rsidRPr="004A30A8">
        <w:rPr>
          <w:lang w:val="es-ES"/>
        </w:rPr>
        <w:t xml:space="preserve"> y, por otro, abordará la alegada violación del artículo 8.1 por el alegado incumplimiento con el plazo razonable</w:t>
      </w:r>
      <w:r w:rsidR="006F3DA1" w:rsidRPr="004A30A8">
        <w:rPr>
          <w:rStyle w:val="Refdenotaalpie"/>
        </w:rPr>
        <w:footnoteReference w:id="132"/>
      </w:r>
      <w:r w:rsidR="008A3DD9" w:rsidRPr="004A30A8">
        <w:rPr>
          <w:lang w:val="es-ES"/>
        </w:rPr>
        <w:t xml:space="preserve"> (apartado B.4.3)</w:t>
      </w:r>
      <w:r w:rsidR="006F3DA1" w:rsidRPr="004A30A8">
        <w:rPr>
          <w:lang w:val="es-ES"/>
        </w:rPr>
        <w:t>.</w:t>
      </w:r>
    </w:p>
    <w:p w14:paraId="47788943" w14:textId="06FAD412" w:rsidR="00742DC4" w:rsidRPr="004A30A8" w:rsidRDefault="009117FF" w:rsidP="003153DF">
      <w:pPr>
        <w:pStyle w:val="Ttulo4"/>
        <w:spacing w:before="360" w:after="360"/>
        <w:rPr>
          <w:b/>
          <w:bCs/>
        </w:rPr>
      </w:pPr>
      <w:r w:rsidRPr="004A30A8">
        <w:rPr>
          <w:bCs/>
        </w:rPr>
        <w:t>B</w:t>
      </w:r>
      <w:r w:rsidR="00742DC4" w:rsidRPr="004A30A8">
        <w:rPr>
          <w:bCs/>
        </w:rPr>
        <w:t>.4.</w:t>
      </w:r>
      <w:r w:rsidR="00CF41F9" w:rsidRPr="004A30A8">
        <w:rPr>
          <w:bCs/>
        </w:rPr>
        <w:t>1</w:t>
      </w:r>
      <w:r w:rsidR="00742DC4" w:rsidRPr="004A30A8">
        <w:rPr>
          <w:bCs/>
        </w:rPr>
        <w:t xml:space="preserve"> Estándar de </w:t>
      </w:r>
      <w:r w:rsidR="00742DC4" w:rsidRPr="004A30A8">
        <w:t>prueba</w:t>
      </w:r>
      <w:r w:rsidR="00742DC4" w:rsidRPr="004A30A8">
        <w:rPr>
          <w:bCs/>
        </w:rPr>
        <w:t xml:space="preserve"> </w:t>
      </w:r>
      <w:r w:rsidR="00742DC4" w:rsidRPr="004A30A8">
        <w:t>aplicado</w:t>
      </w:r>
      <w:r w:rsidR="00742DC4" w:rsidRPr="004A30A8">
        <w:rPr>
          <w:bCs/>
        </w:rPr>
        <w:t xml:space="preserve"> al caso</w:t>
      </w:r>
      <w:r w:rsidR="009E6114" w:rsidRPr="004A30A8">
        <w:rPr>
          <w:bCs/>
        </w:rPr>
        <w:t xml:space="preserve"> en sede administrativa y judicial</w:t>
      </w:r>
    </w:p>
    <w:p w14:paraId="77DFD745" w14:textId="0693A741" w:rsidR="00BB74B5" w:rsidRPr="004A30A8" w:rsidRDefault="00716E29">
      <w:pPr>
        <w:numPr>
          <w:ilvl w:val="0"/>
          <w:numId w:val="7"/>
        </w:numPr>
        <w:tabs>
          <w:tab w:val="left" w:pos="567"/>
          <w:tab w:val="num" w:pos="1569"/>
          <w:tab w:val="num" w:pos="12305"/>
        </w:tabs>
        <w:spacing w:line="240" w:lineRule="auto"/>
        <w:ind w:left="0" w:firstLine="0"/>
        <w:rPr>
          <w:rFonts w:eastAsiaTheme="minorHAnsi"/>
          <w:color w:val="000000"/>
          <w:lang w:eastAsia="en-US"/>
        </w:rPr>
      </w:pPr>
      <w:r w:rsidRPr="004A30A8">
        <w:rPr>
          <w:lang w:val="es-ES"/>
        </w:rPr>
        <w:t>Para entrar a analizar el estándar de prueba aplicado al presente caso por parte de las autoridades administrativas y judiciales internas, cabe recordar con carácter preliminar que l</w:t>
      </w:r>
      <w:r w:rsidR="001F62DF" w:rsidRPr="004A30A8">
        <w:rPr>
          <w:lang w:val="es-ES"/>
        </w:rPr>
        <w:t xml:space="preserve">a discriminación </w:t>
      </w:r>
      <w:r w:rsidR="007E78DC" w:rsidRPr="004A30A8">
        <w:rPr>
          <w:lang w:val="es-ES"/>
        </w:rPr>
        <w:t>consiste en</w:t>
      </w:r>
      <w:r w:rsidR="001F62DF" w:rsidRPr="004A30A8">
        <w:rPr>
          <w:lang w:val="es-ES"/>
        </w:rPr>
        <w:t xml:space="preserve"> cualquier distinción, exclusión, restricción o preferencia u otro trato diferencial que se base directa o indirectamente </w:t>
      </w:r>
      <w:r w:rsidR="007E78DC" w:rsidRPr="004A30A8">
        <w:rPr>
          <w:lang w:val="es-ES"/>
        </w:rPr>
        <w:t>en</w:t>
      </w:r>
      <w:r w:rsidR="001F62DF" w:rsidRPr="004A30A8">
        <w:rPr>
          <w:lang w:val="es-ES"/>
        </w:rPr>
        <w:t xml:space="preserve"> motivos prohibidos de discriminación y que tenga la intención o el efecto de anular o perjudicar </w:t>
      </w:r>
      <w:r w:rsidR="001F62DF" w:rsidRPr="004A30A8">
        <w:rPr>
          <w:lang w:val="es-ES"/>
        </w:rPr>
        <w:lastRenderedPageBreak/>
        <w:t xml:space="preserve">el reconocimiento, el disfrute o el ejercicio, en igualdad de condiciones, de derechos humanos y libertades fundamentales en el ámbito político, económico, social, cultural o </w:t>
      </w:r>
      <w:r w:rsidR="00A85DC2" w:rsidRPr="004A30A8">
        <w:rPr>
          <w:lang w:val="es-ES"/>
        </w:rPr>
        <w:t>en cualquier otra esfera</w:t>
      </w:r>
      <w:r w:rsidR="001F62DF" w:rsidRPr="004A30A8">
        <w:rPr>
          <w:rStyle w:val="Refdenotaalpie"/>
        </w:rPr>
        <w:footnoteReference w:id="133"/>
      </w:r>
      <w:r w:rsidR="001F62DF" w:rsidRPr="004A30A8">
        <w:rPr>
          <w:lang w:val="es-ES"/>
        </w:rPr>
        <w:t>.</w:t>
      </w:r>
      <w:r w:rsidRPr="004A30A8">
        <w:rPr>
          <w:lang w:val="es-ES"/>
        </w:rPr>
        <w:t xml:space="preserve"> En el ámbito de la discriminación, l</w:t>
      </w:r>
      <w:r w:rsidR="007C123A" w:rsidRPr="004A30A8">
        <w:rPr>
          <w:rFonts w:eastAsiaTheme="minorHAnsi"/>
          <w:color w:val="000000"/>
          <w:lang w:eastAsia="en-US"/>
        </w:rPr>
        <w:t xml:space="preserve">as víctimas de violaciones relacionadas con actividades empresariales enfrentan barreras asociadas a las asimetrías de información y de poder entre las víctimas y las empresas. Sobre el particular, el Comité de Derechos Económicos, Sociales y Culturales ha advertido en su Observación General </w:t>
      </w:r>
      <w:r w:rsidR="00C43649" w:rsidRPr="004A30A8">
        <w:rPr>
          <w:rFonts w:eastAsiaTheme="minorHAnsi"/>
          <w:color w:val="000000"/>
          <w:lang w:eastAsia="en-US"/>
        </w:rPr>
        <w:t>n</w:t>
      </w:r>
      <w:r w:rsidR="004E3922" w:rsidRPr="004A30A8">
        <w:rPr>
          <w:rFonts w:eastAsiaTheme="minorHAnsi"/>
          <w:color w:val="000000"/>
          <w:lang w:eastAsia="en-US"/>
        </w:rPr>
        <w:t>.</w:t>
      </w:r>
      <w:r w:rsidR="00C43649" w:rsidRPr="004A30A8">
        <w:rPr>
          <w:rFonts w:eastAsiaTheme="minorHAnsi"/>
          <w:color w:val="000000"/>
          <w:lang w:eastAsia="en-US"/>
        </w:rPr>
        <w:t>°</w:t>
      </w:r>
      <w:r w:rsidR="007C123A" w:rsidRPr="004A30A8">
        <w:rPr>
          <w:rFonts w:eastAsiaTheme="minorHAnsi"/>
          <w:color w:val="000000"/>
          <w:lang w:eastAsia="en-US"/>
        </w:rPr>
        <w:t xml:space="preserve"> 24 que, entre los </w:t>
      </w:r>
      <w:r w:rsidR="007C123A" w:rsidRPr="004A30A8">
        <w:t>obstáculos al acceso efectivo a recursos para las víctimas de violaciones de los derechos humanos por entidades empresariales, está “la dificultad para acceder a información y pruebas con que fundamentar las reclamaciones, que en gran medida suelen estar en manos de la empresa demandada”</w:t>
      </w:r>
      <w:r w:rsidR="00BB74B5" w:rsidRPr="004A30A8">
        <w:rPr>
          <w:rStyle w:val="Refdenotaalpie"/>
          <w:rFonts w:eastAsiaTheme="minorHAnsi"/>
          <w:color w:val="000000"/>
          <w:lang w:eastAsia="en-US"/>
        </w:rPr>
        <w:footnoteReference w:id="134"/>
      </w:r>
      <w:r w:rsidR="007C123A" w:rsidRPr="004A30A8">
        <w:rPr>
          <w:rFonts w:eastAsiaTheme="minorHAnsi"/>
          <w:color w:val="000000"/>
          <w:lang w:eastAsia="en-US"/>
        </w:rPr>
        <w:t>.</w:t>
      </w:r>
      <w:r w:rsidR="00BB74B5" w:rsidRPr="004A30A8">
        <w:rPr>
          <w:rFonts w:eastAsiaTheme="minorHAnsi"/>
          <w:color w:val="000000"/>
          <w:lang w:eastAsia="en-US"/>
        </w:rPr>
        <w:t xml:space="preserve"> </w:t>
      </w:r>
    </w:p>
    <w:p w14:paraId="1C78B5B0" w14:textId="77777777" w:rsidR="003153DF" w:rsidRPr="004A30A8" w:rsidRDefault="003153DF" w:rsidP="003153DF">
      <w:pPr>
        <w:tabs>
          <w:tab w:val="left" w:pos="567"/>
        </w:tabs>
        <w:spacing w:line="240" w:lineRule="auto"/>
        <w:rPr>
          <w:rFonts w:eastAsia="Calibri"/>
          <w:kern w:val="2"/>
          <w:lang w:eastAsia="en-US"/>
        </w:rPr>
      </w:pPr>
    </w:p>
    <w:p w14:paraId="452E159E" w14:textId="2BF28D0D" w:rsidR="00C005A3" w:rsidRPr="004A30A8" w:rsidRDefault="00231367" w:rsidP="000273BC">
      <w:pPr>
        <w:numPr>
          <w:ilvl w:val="0"/>
          <w:numId w:val="7"/>
        </w:numPr>
        <w:tabs>
          <w:tab w:val="left" w:pos="567"/>
          <w:tab w:val="num" w:pos="1569"/>
          <w:tab w:val="num" w:pos="12305"/>
        </w:tabs>
        <w:spacing w:line="240" w:lineRule="auto"/>
        <w:ind w:left="0" w:firstLine="0"/>
        <w:rPr>
          <w:rFonts w:eastAsia="Calibri"/>
          <w:kern w:val="2"/>
          <w:lang w:eastAsia="en-US"/>
        </w:rPr>
      </w:pPr>
      <w:r w:rsidRPr="004A30A8">
        <w:rPr>
          <w:lang w:val="es-ES"/>
        </w:rPr>
        <w:t>La Corte</w:t>
      </w:r>
      <w:r w:rsidR="007C123A" w:rsidRPr="004A30A8">
        <w:rPr>
          <w:lang w:val="es-ES"/>
        </w:rPr>
        <w:t xml:space="preserve"> recuerda que</w:t>
      </w:r>
      <w:r w:rsidR="007C123A" w:rsidRPr="004A30A8">
        <w:t>,</w:t>
      </w:r>
      <w:r w:rsidR="007C123A" w:rsidRPr="004A30A8">
        <w:rPr>
          <w:spacing w:val="68"/>
        </w:rPr>
        <w:t xml:space="preserve"> </w:t>
      </w:r>
      <w:r w:rsidR="007C123A" w:rsidRPr="004A30A8">
        <w:t>en virtud</w:t>
      </w:r>
      <w:r w:rsidR="007C123A" w:rsidRPr="004A30A8">
        <w:rPr>
          <w:spacing w:val="67"/>
        </w:rPr>
        <w:t xml:space="preserve"> </w:t>
      </w:r>
      <w:r w:rsidR="007C123A" w:rsidRPr="004A30A8">
        <w:t>de</w:t>
      </w:r>
      <w:r w:rsidR="007C123A" w:rsidRPr="004A30A8">
        <w:rPr>
          <w:spacing w:val="66"/>
        </w:rPr>
        <w:t xml:space="preserve"> </w:t>
      </w:r>
      <w:r w:rsidR="007C123A" w:rsidRPr="004A30A8">
        <w:t>la</w:t>
      </w:r>
      <w:r w:rsidR="007C123A" w:rsidRPr="004A30A8">
        <w:rPr>
          <w:spacing w:val="66"/>
        </w:rPr>
        <w:t xml:space="preserve"> </w:t>
      </w:r>
      <w:r w:rsidR="007C123A" w:rsidRPr="004A30A8">
        <w:t>obligación</w:t>
      </w:r>
      <w:r w:rsidR="007C123A" w:rsidRPr="004A30A8">
        <w:rPr>
          <w:spacing w:val="68"/>
        </w:rPr>
        <w:t xml:space="preserve"> </w:t>
      </w:r>
      <w:r w:rsidR="007C123A" w:rsidRPr="004A30A8">
        <w:t>de</w:t>
      </w:r>
      <w:r w:rsidR="007C123A" w:rsidRPr="004A30A8">
        <w:rPr>
          <w:spacing w:val="66"/>
        </w:rPr>
        <w:t xml:space="preserve"> </w:t>
      </w:r>
      <w:r w:rsidR="007C123A" w:rsidRPr="004A30A8">
        <w:t>no</w:t>
      </w:r>
      <w:r w:rsidR="007C123A" w:rsidRPr="004A30A8">
        <w:rPr>
          <w:spacing w:val="65"/>
        </w:rPr>
        <w:t xml:space="preserve"> </w:t>
      </w:r>
      <w:r w:rsidR="007C123A" w:rsidRPr="004A30A8">
        <w:t>discriminar,</w:t>
      </w:r>
      <w:r w:rsidR="007C123A" w:rsidRPr="004A30A8">
        <w:rPr>
          <w:spacing w:val="66"/>
        </w:rPr>
        <w:t xml:space="preserve"> </w:t>
      </w:r>
      <w:r w:rsidR="007C123A" w:rsidRPr="004A30A8">
        <w:t>los</w:t>
      </w:r>
      <w:r w:rsidR="007C123A" w:rsidRPr="004A30A8">
        <w:rPr>
          <w:spacing w:val="69"/>
        </w:rPr>
        <w:t xml:space="preserve"> </w:t>
      </w:r>
      <w:r w:rsidR="007C123A" w:rsidRPr="004A30A8">
        <w:t>Estados</w:t>
      </w:r>
      <w:r w:rsidR="007C123A" w:rsidRPr="004A30A8">
        <w:rPr>
          <w:spacing w:val="68"/>
        </w:rPr>
        <w:t xml:space="preserve"> </w:t>
      </w:r>
      <w:r w:rsidR="007C123A" w:rsidRPr="004A30A8">
        <w:t>están obligados a</w:t>
      </w:r>
      <w:r w:rsidR="007C123A" w:rsidRPr="004A30A8">
        <w:rPr>
          <w:spacing w:val="1"/>
        </w:rPr>
        <w:t xml:space="preserve"> </w:t>
      </w:r>
      <w:r w:rsidR="007C123A" w:rsidRPr="004A30A8">
        <w:t>adoptar</w:t>
      </w:r>
      <w:r w:rsidR="007C123A" w:rsidRPr="004A30A8">
        <w:rPr>
          <w:spacing w:val="1"/>
        </w:rPr>
        <w:t xml:space="preserve"> </w:t>
      </w:r>
      <w:r w:rsidR="007C123A" w:rsidRPr="004A30A8">
        <w:t>medidas</w:t>
      </w:r>
      <w:r w:rsidR="007C123A" w:rsidRPr="004A30A8">
        <w:rPr>
          <w:spacing w:val="1"/>
        </w:rPr>
        <w:t xml:space="preserve"> </w:t>
      </w:r>
      <w:r w:rsidR="007C123A" w:rsidRPr="004A30A8">
        <w:t>positivas</w:t>
      </w:r>
      <w:r w:rsidR="007C123A" w:rsidRPr="004A30A8">
        <w:rPr>
          <w:spacing w:val="1"/>
        </w:rPr>
        <w:t xml:space="preserve"> </w:t>
      </w:r>
      <w:r w:rsidR="007C123A" w:rsidRPr="004A30A8">
        <w:t>para</w:t>
      </w:r>
      <w:r w:rsidR="007C123A" w:rsidRPr="004A30A8">
        <w:rPr>
          <w:spacing w:val="1"/>
        </w:rPr>
        <w:t xml:space="preserve"> </w:t>
      </w:r>
      <w:r w:rsidR="007C123A" w:rsidRPr="004A30A8">
        <w:t>revertir</w:t>
      </w:r>
      <w:r w:rsidR="007C123A" w:rsidRPr="004A30A8">
        <w:rPr>
          <w:spacing w:val="1"/>
        </w:rPr>
        <w:t xml:space="preserve"> </w:t>
      </w:r>
      <w:r w:rsidR="007C123A" w:rsidRPr="004A30A8">
        <w:t>o</w:t>
      </w:r>
      <w:r w:rsidR="007C123A" w:rsidRPr="004A30A8">
        <w:rPr>
          <w:spacing w:val="1"/>
        </w:rPr>
        <w:t xml:space="preserve"> </w:t>
      </w:r>
      <w:r w:rsidR="007C123A" w:rsidRPr="004A30A8">
        <w:t>cambiar</w:t>
      </w:r>
      <w:r w:rsidR="007C123A" w:rsidRPr="004A30A8">
        <w:rPr>
          <w:spacing w:val="1"/>
        </w:rPr>
        <w:t xml:space="preserve"> </w:t>
      </w:r>
      <w:r w:rsidR="007C123A" w:rsidRPr="004A30A8">
        <w:t>situaciones</w:t>
      </w:r>
      <w:r w:rsidR="007C123A" w:rsidRPr="004A30A8">
        <w:rPr>
          <w:spacing w:val="1"/>
        </w:rPr>
        <w:t xml:space="preserve"> </w:t>
      </w:r>
      <w:r w:rsidR="007C123A" w:rsidRPr="004A30A8">
        <w:t>discriminatorias</w:t>
      </w:r>
      <w:r w:rsidR="007C123A" w:rsidRPr="004A30A8">
        <w:rPr>
          <w:spacing w:val="1"/>
        </w:rPr>
        <w:t xml:space="preserve"> </w:t>
      </w:r>
      <w:r w:rsidR="007C123A" w:rsidRPr="004A30A8">
        <w:t>existentes</w:t>
      </w:r>
      <w:r w:rsidR="007C123A" w:rsidRPr="004A30A8">
        <w:rPr>
          <w:spacing w:val="1"/>
        </w:rPr>
        <w:t xml:space="preserve"> </w:t>
      </w:r>
      <w:r w:rsidR="007C123A" w:rsidRPr="004A30A8">
        <w:t>en</w:t>
      </w:r>
      <w:r w:rsidR="007C123A" w:rsidRPr="004A30A8">
        <w:rPr>
          <w:spacing w:val="1"/>
        </w:rPr>
        <w:t xml:space="preserve"> </w:t>
      </w:r>
      <w:r w:rsidR="007C123A" w:rsidRPr="004A30A8">
        <w:t>sus</w:t>
      </w:r>
      <w:r w:rsidR="007C123A" w:rsidRPr="004A30A8">
        <w:rPr>
          <w:spacing w:val="1"/>
        </w:rPr>
        <w:t xml:space="preserve"> </w:t>
      </w:r>
      <w:r w:rsidR="007C123A" w:rsidRPr="004A30A8">
        <w:t>sociedades,</w:t>
      </w:r>
      <w:r w:rsidR="007C123A" w:rsidRPr="004A30A8">
        <w:rPr>
          <w:spacing w:val="1"/>
        </w:rPr>
        <w:t xml:space="preserve"> </w:t>
      </w:r>
      <w:r w:rsidR="007C123A" w:rsidRPr="004A30A8">
        <w:t>en</w:t>
      </w:r>
      <w:r w:rsidR="007C123A" w:rsidRPr="004A30A8">
        <w:rPr>
          <w:spacing w:val="1"/>
        </w:rPr>
        <w:t xml:space="preserve"> </w:t>
      </w:r>
      <w:r w:rsidR="007C123A" w:rsidRPr="004A30A8">
        <w:t>perjuicio</w:t>
      </w:r>
      <w:r w:rsidR="007C123A" w:rsidRPr="004A30A8">
        <w:rPr>
          <w:spacing w:val="1"/>
        </w:rPr>
        <w:t xml:space="preserve"> </w:t>
      </w:r>
      <w:r w:rsidR="007C123A" w:rsidRPr="004A30A8">
        <w:t>de</w:t>
      </w:r>
      <w:r w:rsidR="007C123A" w:rsidRPr="004A30A8">
        <w:rPr>
          <w:spacing w:val="1"/>
        </w:rPr>
        <w:t xml:space="preserve"> </w:t>
      </w:r>
      <w:r w:rsidR="007C123A" w:rsidRPr="004A30A8">
        <w:t>determinado</w:t>
      </w:r>
      <w:r w:rsidR="007C123A" w:rsidRPr="004A30A8">
        <w:rPr>
          <w:spacing w:val="1"/>
        </w:rPr>
        <w:t xml:space="preserve"> </w:t>
      </w:r>
      <w:r w:rsidR="007C123A" w:rsidRPr="004A30A8">
        <w:t>grupo</w:t>
      </w:r>
      <w:r w:rsidR="007C123A" w:rsidRPr="004A30A8">
        <w:rPr>
          <w:spacing w:val="1"/>
        </w:rPr>
        <w:t xml:space="preserve"> </w:t>
      </w:r>
      <w:r w:rsidR="007C123A" w:rsidRPr="004A30A8">
        <w:t>de</w:t>
      </w:r>
      <w:r w:rsidR="007C123A" w:rsidRPr="004A30A8">
        <w:rPr>
          <w:spacing w:val="1"/>
        </w:rPr>
        <w:t xml:space="preserve"> </w:t>
      </w:r>
      <w:r w:rsidR="007C123A" w:rsidRPr="004A30A8">
        <w:t>personas. Esto implica el deber especial de protección que el Estado debe ejercer con</w:t>
      </w:r>
      <w:r w:rsidR="007C123A" w:rsidRPr="004A30A8">
        <w:rPr>
          <w:spacing w:val="1"/>
        </w:rPr>
        <w:t xml:space="preserve"> </w:t>
      </w:r>
      <w:r w:rsidR="007C123A" w:rsidRPr="004A30A8">
        <w:t xml:space="preserve">respecto a actuaciones y prácticas de terceros que, bajo su tolerancia o aquiescencia, </w:t>
      </w:r>
      <w:r w:rsidR="000273BC" w:rsidRPr="004A30A8">
        <w:t>creen,</w:t>
      </w:r>
      <w:r w:rsidR="000273BC" w:rsidRPr="004A30A8">
        <w:rPr>
          <w:spacing w:val="-68"/>
        </w:rPr>
        <w:t xml:space="preserve">  </w:t>
      </w:r>
      <w:r w:rsidR="007C123A" w:rsidRPr="004A30A8">
        <w:t xml:space="preserve"> </w:t>
      </w:r>
      <w:r w:rsidR="000273BC" w:rsidRPr="004A30A8">
        <w:t xml:space="preserve">mantengan </w:t>
      </w:r>
      <w:r w:rsidR="007C123A" w:rsidRPr="004A30A8">
        <w:t>o</w:t>
      </w:r>
      <w:r w:rsidR="007C123A" w:rsidRPr="004A30A8">
        <w:rPr>
          <w:spacing w:val="-2"/>
        </w:rPr>
        <w:t xml:space="preserve"> </w:t>
      </w:r>
      <w:r w:rsidR="007C123A" w:rsidRPr="004A30A8">
        <w:t>favorezcan las</w:t>
      </w:r>
      <w:r w:rsidR="007C123A" w:rsidRPr="004A30A8">
        <w:rPr>
          <w:spacing w:val="-1"/>
        </w:rPr>
        <w:t xml:space="preserve"> </w:t>
      </w:r>
      <w:r w:rsidR="007C123A" w:rsidRPr="004A30A8">
        <w:t>situaciones</w:t>
      </w:r>
      <w:r w:rsidR="007C123A" w:rsidRPr="004A30A8">
        <w:rPr>
          <w:spacing w:val="-3"/>
        </w:rPr>
        <w:t xml:space="preserve"> </w:t>
      </w:r>
      <w:r w:rsidR="007C123A" w:rsidRPr="004A30A8">
        <w:t>discriminatorias</w:t>
      </w:r>
      <w:r w:rsidR="007C123A" w:rsidRPr="004A30A8">
        <w:rPr>
          <w:rStyle w:val="Refdenotaalpie"/>
        </w:rPr>
        <w:footnoteReference w:id="135"/>
      </w:r>
      <w:r w:rsidR="007C123A" w:rsidRPr="004A30A8">
        <w:t xml:space="preserve">. </w:t>
      </w:r>
      <w:r w:rsidR="00DD4397" w:rsidRPr="004A30A8">
        <w:t xml:space="preserve">Tal y como lo señaló </w:t>
      </w:r>
      <w:r w:rsidR="00CF41F9" w:rsidRPr="004A30A8">
        <w:t>la perita</w:t>
      </w:r>
      <w:r w:rsidR="00DD4397" w:rsidRPr="004A30A8">
        <w:t xml:space="preserve"> Laura Clérico, l</w:t>
      </w:r>
      <w:r w:rsidR="00DD4397" w:rsidRPr="004A30A8">
        <w:rPr>
          <w:rFonts w:eastAsia="Calibri"/>
          <w:kern w:val="2"/>
          <w:lang w:eastAsia="en-US"/>
        </w:rPr>
        <w:t xml:space="preserve">a obligación estatal </w:t>
      </w:r>
      <w:r w:rsidR="00132FAC" w:rsidRPr="004A30A8">
        <w:rPr>
          <w:rFonts w:eastAsia="Calibri"/>
          <w:kern w:val="2"/>
          <w:lang w:eastAsia="en-US"/>
        </w:rPr>
        <w:t>“</w:t>
      </w:r>
      <w:r w:rsidR="00DD4397" w:rsidRPr="004A30A8">
        <w:t>es doble</w:t>
      </w:r>
      <w:r w:rsidR="00132FAC" w:rsidRPr="004A30A8">
        <w:t>”</w:t>
      </w:r>
      <w:r w:rsidR="00DD4397" w:rsidRPr="004A30A8">
        <w:t>,</w:t>
      </w:r>
      <w:r w:rsidR="00132FAC" w:rsidRPr="004A30A8">
        <w:t xml:space="preserve"> toda vez que “</w:t>
      </w:r>
      <w:r w:rsidR="00DD4397" w:rsidRPr="004A30A8">
        <w:t xml:space="preserve">no solo no debe perpetuar la desigualdad, sino que debe reparar el daño ocasionado y transformar los factores que la generan para que no se </w:t>
      </w:r>
      <w:r w:rsidR="00A1501D" w:rsidRPr="004A30A8">
        <w:t xml:space="preserve">siga </w:t>
      </w:r>
      <w:r w:rsidR="00DD4397" w:rsidRPr="004A30A8">
        <w:t>reiterando</w:t>
      </w:r>
      <w:r w:rsidR="00132FAC" w:rsidRPr="004A30A8">
        <w:t>”</w:t>
      </w:r>
      <w:r w:rsidR="00DD4397" w:rsidRPr="004A30A8">
        <w:rPr>
          <w:rStyle w:val="Refdenotaalpie"/>
        </w:rPr>
        <w:footnoteReference w:id="136"/>
      </w:r>
      <w:r w:rsidR="00DD4397" w:rsidRPr="004A30A8">
        <w:t>. Lo anterior implica que</w:t>
      </w:r>
      <w:r w:rsidR="007C123A" w:rsidRPr="004A30A8">
        <w:t>, s</w:t>
      </w:r>
      <w:r w:rsidR="00BB74B5" w:rsidRPr="004A30A8">
        <w:rPr>
          <w:rFonts w:eastAsia="Calibri"/>
          <w:kern w:val="2"/>
          <w:lang w:eastAsia="en-US"/>
        </w:rPr>
        <w:t xml:space="preserve">in una revisión rigurosa </w:t>
      </w:r>
      <w:r w:rsidR="007C123A" w:rsidRPr="004A30A8">
        <w:rPr>
          <w:rFonts w:eastAsia="Calibri"/>
          <w:kern w:val="2"/>
          <w:lang w:eastAsia="en-US"/>
        </w:rPr>
        <w:t xml:space="preserve">por parte de las autoridades nacionales de las alegaciones de discriminación </w:t>
      </w:r>
      <w:r w:rsidR="002E6AA1" w:rsidRPr="004A30A8">
        <w:rPr>
          <w:rFonts w:eastAsia="Calibri"/>
          <w:kern w:val="2"/>
          <w:lang w:eastAsia="en-US"/>
        </w:rPr>
        <w:t>causadas</w:t>
      </w:r>
      <w:r w:rsidR="007C123A" w:rsidRPr="004A30A8">
        <w:rPr>
          <w:rFonts w:eastAsia="Calibri"/>
          <w:kern w:val="2"/>
          <w:lang w:eastAsia="en-US"/>
        </w:rPr>
        <w:t xml:space="preserve"> por parte de una empresa privada</w:t>
      </w:r>
      <w:r w:rsidR="00BB74B5" w:rsidRPr="004A30A8">
        <w:rPr>
          <w:rFonts w:eastAsia="Calibri"/>
          <w:kern w:val="2"/>
          <w:lang w:eastAsia="en-US"/>
        </w:rPr>
        <w:t xml:space="preserve">, será difícil o imposible que el Estado cumpla con </w:t>
      </w:r>
      <w:r w:rsidR="007C123A" w:rsidRPr="004A30A8">
        <w:rPr>
          <w:rFonts w:eastAsia="Calibri"/>
          <w:kern w:val="2"/>
          <w:lang w:eastAsia="en-US"/>
        </w:rPr>
        <w:t xml:space="preserve">este deber especial de protección. </w:t>
      </w:r>
    </w:p>
    <w:p w14:paraId="5B7208D6" w14:textId="77777777" w:rsidR="003153DF" w:rsidRPr="004A30A8" w:rsidRDefault="003153DF" w:rsidP="003153DF">
      <w:pPr>
        <w:tabs>
          <w:tab w:val="left" w:pos="567"/>
        </w:tabs>
        <w:spacing w:line="240" w:lineRule="auto"/>
        <w:rPr>
          <w:rFonts w:eastAsia="Calibri"/>
          <w:kern w:val="2"/>
          <w:lang w:eastAsia="en-US"/>
        </w:rPr>
      </w:pPr>
    </w:p>
    <w:p w14:paraId="75107566" w14:textId="7E6B786F" w:rsidR="00E622A0" w:rsidRPr="004A30A8" w:rsidRDefault="007C123A" w:rsidP="003153DF">
      <w:pPr>
        <w:numPr>
          <w:ilvl w:val="0"/>
          <w:numId w:val="7"/>
        </w:numPr>
        <w:tabs>
          <w:tab w:val="left" w:pos="567"/>
          <w:tab w:val="num" w:pos="1569"/>
          <w:tab w:val="num" w:pos="12305"/>
        </w:tabs>
        <w:spacing w:line="240" w:lineRule="auto"/>
        <w:ind w:left="0" w:firstLine="0"/>
        <w:rPr>
          <w:rFonts w:eastAsia="Calibri"/>
          <w:kern w:val="2"/>
          <w:lang w:eastAsia="en-US"/>
        </w:rPr>
      </w:pPr>
      <w:r w:rsidRPr="004A30A8">
        <w:t>En este sentido</w:t>
      </w:r>
      <w:r w:rsidR="00F61771" w:rsidRPr="004A30A8">
        <w:t>, est</w:t>
      </w:r>
      <w:r w:rsidR="00C3214F" w:rsidRPr="004A30A8">
        <w:t>a Corte</w:t>
      </w:r>
      <w:r w:rsidR="00F61771" w:rsidRPr="004A30A8">
        <w:t xml:space="preserve"> ha indicado que</w:t>
      </w:r>
      <w:r w:rsidR="00F61771" w:rsidRPr="004A30A8">
        <w:rPr>
          <w:lang w:val="es-ES"/>
        </w:rPr>
        <w:t>, t</w:t>
      </w:r>
      <w:r w:rsidR="00302A63" w:rsidRPr="004A30A8">
        <w:t>ratándose</w:t>
      </w:r>
      <w:r w:rsidR="00302A63" w:rsidRPr="004A30A8">
        <w:rPr>
          <w:lang w:val="es-ES"/>
        </w:rPr>
        <w:t xml:space="preserve"> de la prohibición de discriminación por orientación sexual</w:t>
      </w:r>
      <w:r w:rsidR="00F61771" w:rsidRPr="004A30A8">
        <w:rPr>
          <w:lang w:val="es-ES"/>
        </w:rPr>
        <w:t xml:space="preserve"> amparada por el citado artículo 1.1 de la Convención</w:t>
      </w:r>
      <w:r w:rsidR="00302A63" w:rsidRPr="004A30A8">
        <w:rPr>
          <w:lang w:val="es-ES"/>
        </w:rPr>
        <w:t>, la eventual restricción de un derecho exige una fundamentación rigurosa y de mucho peso, invirtiéndose, además, la carga de la prueba, lo que significa que corresponde a la autoridad demostrar que su decisión no tenía un propósito ni un efecto discriminatorio</w:t>
      </w:r>
      <w:r w:rsidR="00302A63" w:rsidRPr="004A30A8">
        <w:rPr>
          <w:rStyle w:val="Refdenotaalpie"/>
        </w:rPr>
        <w:footnoteReference w:id="137"/>
      </w:r>
      <w:r w:rsidR="00BB74B5" w:rsidRPr="004A30A8">
        <w:rPr>
          <w:lang w:val="es-ES"/>
        </w:rPr>
        <w:t>.</w:t>
      </w:r>
      <w:r w:rsidR="00E622A0" w:rsidRPr="004A30A8">
        <w:rPr>
          <w:lang w:val="es-ES"/>
        </w:rPr>
        <w:t xml:space="preserve"> </w:t>
      </w:r>
      <w:r w:rsidR="00C005A3" w:rsidRPr="004A30A8">
        <w:rPr>
          <w:lang w:val="es-ES"/>
        </w:rPr>
        <w:t>En efecto, l</w:t>
      </w:r>
      <w:r w:rsidR="00E622A0" w:rsidRPr="004A30A8">
        <w:rPr>
          <w:rFonts w:eastAsia="Calibri"/>
          <w:kern w:val="2"/>
          <w:lang w:eastAsia="en-US"/>
        </w:rPr>
        <w:t xml:space="preserve">a Corte ha aceptado que, debido a que las víctimas de discriminación no controlan las pruebas o los medios para esclarecer </w:t>
      </w:r>
      <w:r w:rsidR="00E622A0" w:rsidRPr="004A30A8">
        <w:rPr>
          <w:rFonts w:eastAsia="Calibri"/>
          <w:i/>
          <w:iCs/>
          <w:kern w:val="2"/>
          <w:lang w:eastAsia="en-US"/>
        </w:rPr>
        <w:t>prima facie</w:t>
      </w:r>
      <w:r w:rsidR="00E622A0" w:rsidRPr="004A30A8">
        <w:rPr>
          <w:rFonts w:eastAsia="Calibri"/>
          <w:kern w:val="2"/>
          <w:lang w:eastAsia="en-US"/>
        </w:rPr>
        <w:t xml:space="preserve"> los </w:t>
      </w:r>
      <w:r w:rsidR="00E622A0" w:rsidRPr="004A30A8">
        <w:rPr>
          <w:rFonts w:eastAsia="Calibri"/>
          <w:kern w:val="2"/>
          <w:lang w:eastAsia="en-US"/>
        </w:rPr>
        <w:lastRenderedPageBreak/>
        <w:t xml:space="preserve">actos de discriminación, la Convención Americana requiere la inversión de la carga de la prueba para garantizar la efectividad del principio de igualdad y no discriminación. Por ejemplo, en el caso </w:t>
      </w:r>
      <w:r w:rsidR="00E622A0" w:rsidRPr="004A30A8">
        <w:rPr>
          <w:rFonts w:eastAsia="Calibri"/>
          <w:i/>
          <w:iCs/>
          <w:kern w:val="2"/>
          <w:lang w:eastAsia="en-US"/>
        </w:rPr>
        <w:t>Nadege Dorzema</w:t>
      </w:r>
      <w:r w:rsidR="00C3214F" w:rsidRPr="004A30A8">
        <w:rPr>
          <w:rFonts w:eastAsia="Calibri"/>
          <w:i/>
          <w:iCs/>
          <w:kern w:val="2"/>
          <w:lang w:eastAsia="en-US"/>
        </w:rPr>
        <w:t xml:space="preserve"> y otros</w:t>
      </w:r>
      <w:r w:rsidR="00E622A0" w:rsidRPr="004A30A8">
        <w:rPr>
          <w:rFonts w:eastAsia="Calibri"/>
          <w:i/>
          <w:iCs/>
          <w:kern w:val="2"/>
          <w:lang w:eastAsia="en-US"/>
        </w:rPr>
        <w:t xml:space="preserve"> </w:t>
      </w:r>
      <w:r w:rsidR="00C3214F" w:rsidRPr="004A30A8">
        <w:rPr>
          <w:rFonts w:eastAsia="Calibri"/>
          <w:i/>
          <w:iCs/>
          <w:kern w:val="2"/>
          <w:lang w:eastAsia="en-US"/>
        </w:rPr>
        <w:t>V</w:t>
      </w:r>
      <w:r w:rsidR="00E622A0" w:rsidRPr="004A30A8">
        <w:rPr>
          <w:rFonts w:eastAsia="Calibri"/>
          <w:i/>
          <w:iCs/>
          <w:kern w:val="2"/>
          <w:lang w:eastAsia="en-US"/>
        </w:rPr>
        <w:t>s. República Dominicana</w:t>
      </w:r>
      <w:r w:rsidR="00E622A0" w:rsidRPr="004A30A8">
        <w:rPr>
          <w:rFonts w:eastAsia="Calibri"/>
          <w:kern w:val="2"/>
          <w:lang w:eastAsia="en-US"/>
        </w:rPr>
        <w:t>, la Corte sostuvo siguiente:</w:t>
      </w:r>
    </w:p>
    <w:p w14:paraId="39DDE84A" w14:textId="7D936777" w:rsidR="00E622A0" w:rsidRPr="004A30A8" w:rsidRDefault="00E622A0" w:rsidP="003153DF">
      <w:pPr>
        <w:pStyle w:val="Prrafodelista"/>
        <w:spacing w:before="240" w:after="240" w:line="240" w:lineRule="auto"/>
        <w:ind w:left="992" w:right="726"/>
        <w:contextualSpacing w:val="0"/>
        <w:rPr>
          <w:rFonts w:eastAsia="Calibri"/>
          <w:kern w:val="2"/>
          <w:sz w:val="18"/>
          <w:szCs w:val="18"/>
          <w:lang w:eastAsia="en-US"/>
        </w:rPr>
      </w:pPr>
      <w:r w:rsidRPr="004A30A8">
        <w:rPr>
          <w:rFonts w:eastAsia="Calibri"/>
          <w:kern w:val="2"/>
          <w:sz w:val="18"/>
          <w:szCs w:val="18"/>
          <w:lang w:eastAsia="en-US"/>
        </w:rPr>
        <w:t xml:space="preserve">Al </w:t>
      </w:r>
      <w:r w:rsidRPr="004A30A8">
        <w:rPr>
          <w:sz w:val="18"/>
          <w:szCs w:val="18"/>
          <w:lang w:val="es-ES"/>
        </w:rPr>
        <w:t>respecto</w:t>
      </w:r>
      <w:r w:rsidRPr="004A30A8">
        <w:rPr>
          <w:rFonts w:eastAsia="Calibri"/>
          <w:kern w:val="2"/>
          <w:sz w:val="18"/>
          <w:szCs w:val="18"/>
          <w:lang w:eastAsia="en-US"/>
        </w:rPr>
        <w:t xml:space="preserve">, esta Corte reconoce la dificultad de demostrar casos de perjuicio racial por parte de quienes son objeto de discriminación, por lo que coincide con el </w:t>
      </w:r>
      <w:r w:rsidRPr="004A30A8">
        <w:rPr>
          <w:sz w:val="18"/>
          <w:szCs w:val="18"/>
          <w:lang w:val="es-ES"/>
        </w:rPr>
        <w:t>Tribunal</w:t>
      </w:r>
      <w:r w:rsidRPr="004A30A8">
        <w:rPr>
          <w:rFonts w:eastAsia="Calibri"/>
          <w:kern w:val="2"/>
          <w:sz w:val="18"/>
          <w:szCs w:val="18"/>
          <w:lang w:eastAsia="en-US"/>
        </w:rPr>
        <w:t xml:space="preserve"> Europeo en el sentido que, en ciertos casos de violaciones a derechos humanos motivados por discriminación, la carga de la prueba también recae en el Estado, quien tiene el control de los medios para aclarar hechos ocurridos dentro de su territorio</w:t>
      </w:r>
      <w:r w:rsidR="009F278E" w:rsidRPr="004A30A8">
        <w:rPr>
          <w:rStyle w:val="Refdenotaalpie"/>
          <w:rFonts w:eastAsia="Calibri"/>
          <w:kern w:val="2"/>
          <w:sz w:val="18"/>
          <w:szCs w:val="18"/>
          <w:lang w:eastAsia="en-US"/>
        </w:rPr>
        <w:footnoteReference w:id="138"/>
      </w:r>
      <w:r w:rsidRPr="004A30A8">
        <w:rPr>
          <w:rFonts w:eastAsia="Calibri"/>
          <w:kern w:val="2"/>
          <w:sz w:val="18"/>
          <w:szCs w:val="18"/>
          <w:lang w:eastAsia="en-US"/>
        </w:rPr>
        <w:t xml:space="preserve">. </w:t>
      </w:r>
    </w:p>
    <w:p w14:paraId="103B4AB9" w14:textId="00A46C62" w:rsidR="00E622A0" w:rsidRPr="004A30A8" w:rsidRDefault="00076C78">
      <w:pPr>
        <w:widowControl/>
        <w:numPr>
          <w:ilvl w:val="0"/>
          <w:numId w:val="7"/>
        </w:numPr>
        <w:tabs>
          <w:tab w:val="left" w:pos="567"/>
          <w:tab w:val="num" w:pos="1569"/>
          <w:tab w:val="num" w:pos="12305"/>
        </w:tabs>
        <w:autoSpaceDE w:val="0"/>
        <w:autoSpaceDN w:val="0"/>
        <w:spacing w:line="240" w:lineRule="auto"/>
        <w:ind w:left="0" w:firstLine="0"/>
      </w:pPr>
      <w:r w:rsidRPr="004A30A8">
        <w:rPr>
          <w:lang w:val="es-ES"/>
        </w:rPr>
        <w:t>En est</w:t>
      </w:r>
      <w:r w:rsidR="00454DBE" w:rsidRPr="004A30A8">
        <w:rPr>
          <w:lang w:val="es-ES"/>
        </w:rPr>
        <w:t>a</w:t>
      </w:r>
      <w:r w:rsidRPr="004A30A8">
        <w:rPr>
          <w:lang w:val="es-ES"/>
        </w:rPr>
        <w:t xml:space="preserve"> línea, e</w:t>
      </w:r>
      <w:r w:rsidR="00E622A0" w:rsidRPr="004A30A8">
        <w:rPr>
          <w:lang w:val="es-ES"/>
        </w:rPr>
        <w:t xml:space="preserve">n el caso de alegaciones de discriminación por actos de terceros, como los ocurridos en el marco de una relación comercial entre una empresa y el consumidor, aplica de manera </w:t>
      </w:r>
      <w:r w:rsidR="000273BC" w:rsidRPr="004A30A8">
        <w:rPr>
          <w:lang w:val="es-ES"/>
        </w:rPr>
        <w:t>ciertamente</w:t>
      </w:r>
      <w:r w:rsidRPr="004A30A8">
        <w:rPr>
          <w:lang w:val="es-ES"/>
        </w:rPr>
        <w:t xml:space="preserve"> similar </w:t>
      </w:r>
      <w:r w:rsidR="003736F4" w:rsidRPr="004A30A8">
        <w:rPr>
          <w:lang w:val="es-ES"/>
        </w:rPr>
        <w:t>dicho</w:t>
      </w:r>
      <w:r w:rsidR="00E622A0" w:rsidRPr="004A30A8">
        <w:rPr>
          <w:lang w:val="es-ES"/>
        </w:rPr>
        <w:t xml:space="preserve"> estándar</w:t>
      </w:r>
      <w:r w:rsidR="000D0B20" w:rsidRPr="004A30A8">
        <w:rPr>
          <w:lang w:val="es-ES"/>
        </w:rPr>
        <w:t xml:space="preserve">, siendo </w:t>
      </w:r>
      <w:r w:rsidR="00C005A3" w:rsidRPr="004A30A8">
        <w:rPr>
          <w:lang w:val="es-ES"/>
        </w:rPr>
        <w:t>las autoridades administrativas y/o judiciales las encargadas de monitorear los actos de las empresas en el marco de sus relaciones laborales y comerciales de conformidad con los estándares interamericanos e internacionales</w:t>
      </w:r>
      <w:r w:rsidR="00E622A0" w:rsidRPr="004A30A8">
        <w:rPr>
          <w:lang w:val="es-ES"/>
        </w:rPr>
        <w:t xml:space="preserve">. </w:t>
      </w:r>
      <w:r w:rsidR="00E622A0" w:rsidRPr="004A30A8">
        <w:rPr>
          <w:rStyle w:val="markedcontent"/>
          <w:shd w:val="clear" w:color="auto" w:fill="FFFFFF"/>
        </w:rPr>
        <w:t>Sobre este mismo punto, el Comité de Derechos Económicos y Sociales y Culturales ha señalado que</w:t>
      </w:r>
      <w:r w:rsidR="00C005A3" w:rsidRPr="004A30A8">
        <w:rPr>
          <w:rStyle w:val="markedcontent"/>
          <w:shd w:val="clear" w:color="auto" w:fill="FFFFFF"/>
        </w:rPr>
        <w:t>,</w:t>
      </w:r>
      <w:r w:rsidR="00E622A0" w:rsidRPr="004A30A8">
        <w:rPr>
          <w:rStyle w:val="markedcontent"/>
          <w:shd w:val="clear" w:color="auto" w:fill="FFFFFF"/>
        </w:rPr>
        <w:t xml:space="preserve"> cuando las empresas están involucradas en violaciones a los derechos humanos, es común que se presenten barreras y “cargas probatorias” que dificultan acreditar tales vulneraciones ante el Estado. Dicho Comité ha resaltado que es usual que estos medios de prueba estén en poder de las propias empresas</w:t>
      </w:r>
      <w:r w:rsidR="00E622A0" w:rsidRPr="004A30A8">
        <w:rPr>
          <w:rStyle w:val="Refdenotaalpie"/>
          <w:rFonts w:eastAsiaTheme="minorHAnsi" w:cs="Garamond"/>
          <w:lang w:eastAsia="en-US"/>
        </w:rPr>
        <w:footnoteReference w:id="139"/>
      </w:r>
      <w:r w:rsidR="00E622A0" w:rsidRPr="004A30A8">
        <w:rPr>
          <w:rStyle w:val="markedcontent"/>
          <w:shd w:val="clear" w:color="auto" w:fill="FFFFFF"/>
        </w:rPr>
        <w:t>. Así, dadas las condiciones de particular desventaja en las que suelen ocurrir los episodios discriminatorios, es razonable que se exija al denunciante que acredite sólo aquello que esté en la posibilidad material de probar</w:t>
      </w:r>
      <w:r w:rsidR="00FB7288" w:rsidRPr="004A30A8">
        <w:rPr>
          <w:rStyle w:val="markedcontent"/>
          <w:shd w:val="clear" w:color="auto" w:fill="FFFFFF"/>
        </w:rPr>
        <w:t>, lo cual se traduce en la obligación del denunciante de</w:t>
      </w:r>
      <w:r w:rsidR="00FB7288" w:rsidRPr="004A30A8">
        <w:t xml:space="preserve"> aportar indicios, y no solo la simple afirmación de la existencia de discriminación, pues ella debe reflejarse en un panorama de hechos de los que resulte una presunción o apariencia de discriminación</w:t>
      </w:r>
      <w:r w:rsidR="007872AA" w:rsidRPr="004A30A8">
        <w:rPr>
          <w:rStyle w:val="Refdenotaalpie"/>
        </w:rPr>
        <w:footnoteReference w:id="140"/>
      </w:r>
      <w:r w:rsidR="00FB7288" w:rsidRPr="004A30A8">
        <w:t xml:space="preserve">. </w:t>
      </w:r>
      <w:r w:rsidR="000D0B20" w:rsidRPr="004A30A8">
        <w:rPr>
          <w:rStyle w:val="markedcontent"/>
          <w:shd w:val="clear" w:color="auto" w:fill="FFFFFF"/>
        </w:rPr>
        <w:t>En consecuencia</w:t>
      </w:r>
      <w:r w:rsidR="00E622A0" w:rsidRPr="004A30A8">
        <w:rPr>
          <w:rStyle w:val="markedcontent"/>
          <w:shd w:val="clear" w:color="auto" w:fill="FFFFFF"/>
        </w:rPr>
        <w:t xml:space="preserve">, </w:t>
      </w:r>
      <w:r w:rsidR="00E622A0" w:rsidRPr="004A30A8">
        <w:rPr>
          <w:rFonts w:eastAsia="Calibri"/>
          <w:kern w:val="2"/>
          <w:lang w:eastAsia="en-US"/>
        </w:rPr>
        <w:t>un</w:t>
      </w:r>
      <w:r w:rsidR="00BB74B5" w:rsidRPr="004A30A8">
        <w:rPr>
          <w:rFonts w:eastAsia="Calibri"/>
          <w:kern w:val="2"/>
          <w:lang w:eastAsia="en-US"/>
        </w:rPr>
        <w:t xml:space="preserve">a vez que la víctima ha presentado un caso </w:t>
      </w:r>
      <w:r w:rsidR="00BB74B5" w:rsidRPr="004A30A8">
        <w:rPr>
          <w:rFonts w:eastAsia="Calibri"/>
          <w:i/>
          <w:iCs/>
          <w:kern w:val="2"/>
          <w:lang w:eastAsia="en-US"/>
        </w:rPr>
        <w:t>prima facie</w:t>
      </w:r>
      <w:r w:rsidR="00E622A0" w:rsidRPr="004A30A8">
        <w:rPr>
          <w:rFonts w:eastAsia="Calibri"/>
          <w:i/>
          <w:iCs/>
          <w:kern w:val="2"/>
          <w:lang w:eastAsia="en-US"/>
        </w:rPr>
        <w:t xml:space="preserve"> </w:t>
      </w:r>
      <w:r w:rsidR="00E622A0" w:rsidRPr="004A30A8">
        <w:rPr>
          <w:rFonts w:eastAsia="Calibri"/>
          <w:kern w:val="2"/>
          <w:lang w:eastAsia="en-US"/>
        </w:rPr>
        <w:t xml:space="preserve">en el que se acredita la existencia de un trato </w:t>
      </w:r>
      <w:r w:rsidR="00EA3CBB" w:rsidRPr="004A30A8">
        <w:rPr>
          <w:rFonts w:eastAsia="Calibri"/>
          <w:kern w:val="2"/>
          <w:lang w:eastAsia="en-US"/>
        </w:rPr>
        <w:t xml:space="preserve">diferenciado y </w:t>
      </w:r>
      <w:r w:rsidR="00E622A0" w:rsidRPr="004A30A8">
        <w:rPr>
          <w:rFonts w:eastAsia="Calibri"/>
          <w:kern w:val="2"/>
          <w:lang w:eastAsia="en-US"/>
        </w:rPr>
        <w:t>discriminatorio por parte de una empresa y dicho trato se basa en una categoría protegida por el artículo 1.1 de la Convención Americana</w:t>
      </w:r>
      <w:r w:rsidR="00BB74B5" w:rsidRPr="004A30A8">
        <w:rPr>
          <w:rFonts w:eastAsia="Calibri"/>
          <w:kern w:val="2"/>
          <w:lang w:eastAsia="en-US"/>
        </w:rPr>
        <w:t xml:space="preserve">, la carga de la prueba pasa al autor </w:t>
      </w:r>
      <w:r w:rsidR="00E622A0" w:rsidRPr="004A30A8">
        <w:rPr>
          <w:rFonts w:eastAsia="Calibri"/>
          <w:kern w:val="2"/>
          <w:lang w:eastAsia="en-US"/>
        </w:rPr>
        <w:t>-en este caso, la empresa-</w:t>
      </w:r>
      <w:r w:rsidR="00C005A3" w:rsidRPr="004A30A8">
        <w:rPr>
          <w:rFonts w:eastAsia="Calibri"/>
          <w:kern w:val="2"/>
          <w:lang w:eastAsia="en-US"/>
        </w:rPr>
        <w:t xml:space="preserve">, debiendo </w:t>
      </w:r>
      <w:r w:rsidR="00BB74B5" w:rsidRPr="004A30A8">
        <w:rPr>
          <w:rFonts w:eastAsia="Calibri"/>
          <w:kern w:val="2"/>
          <w:lang w:eastAsia="en-US"/>
        </w:rPr>
        <w:t xml:space="preserve">demostrar que no hizo tal distinción o </w:t>
      </w:r>
      <w:r w:rsidR="00E622A0" w:rsidRPr="004A30A8">
        <w:rPr>
          <w:rFonts w:eastAsia="Calibri"/>
          <w:kern w:val="2"/>
          <w:lang w:eastAsia="en-US"/>
        </w:rPr>
        <w:t>que</w:t>
      </w:r>
      <w:r w:rsidR="003736F4" w:rsidRPr="004A30A8">
        <w:rPr>
          <w:rFonts w:eastAsia="Calibri"/>
          <w:kern w:val="2"/>
          <w:lang w:eastAsia="en-US"/>
        </w:rPr>
        <w:t>, en su caso,</w:t>
      </w:r>
      <w:r w:rsidR="00E622A0" w:rsidRPr="004A30A8">
        <w:rPr>
          <w:rFonts w:eastAsia="Calibri"/>
          <w:kern w:val="2"/>
          <w:lang w:eastAsia="en-US"/>
        </w:rPr>
        <w:t xml:space="preserve"> </w:t>
      </w:r>
      <w:r w:rsidR="00831C9B" w:rsidRPr="004A30A8">
        <w:rPr>
          <w:rFonts w:eastAsia="Calibri"/>
          <w:kern w:val="2"/>
          <w:lang w:eastAsia="en-US"/>
        </w:rPr>
        <w:t>existió una justificación objetiva y razonable</w:t>
      </w:r>
      <w:r w:rsidR="00E622A0" w:rsidRPr="004A30A8">
        <w:rPr>
          <w:rFonts w:eastAsia="Calibri"/>
          <w:kern w:val="2"/>
          <w:lang w:eastAsia="en-US"/>
        </w:rPr>
        <w:t xml:space="preserve"> que </w:t>
      </w:r>
      <w:r w:rsidR="00831C9B" w:rsidRPr="004A30A8">
        <w:rPr>
          <w:rFonts w:eastAsia="Calibri"/>
          <w:kern w:val="2"/>
          <w:lang w:eastAsia="en-US"/>
        </w:rPr>
        <w:t>amparara</w:t>
      </w:r>
      <w:r w:rsidR="00E622A0" w:rsidRPr="004A30A8">
        <w:rPr>
          <w:rFonts w:eastAsia="Calibri"/>
          <w:kern w:val="2"/>
          <w:lang w:eastAsia="en-US"/>
        </w:rPr>
        <w:t xml:space="preserve"> </w:t>
      </w:r>
      <w:r w:rsidR="00C005A3" w:rsidRPr="004A30A8">
        <w:rPr>
          <w:rFonts w:eastAsia="Calibri"/>
          <w:kern w:val="2"/>
          <w:lang w:eastAsia="en-US"/>
        </w:rPr>
        <w:t>esta</w:t>
      </w:r>
      <w:r w:rsidR="00E622A0" w:rsidRPr="004A30A8">
        <w:rPr>
          <w:rFonts w:eastAsia="Calibri"/>
          <w:kern w:val="2"/>
          <w:lang w:eastAsia="en-US"/>
        </w:rPr>
        <w:t xml:space="preserve"> diferencia de trato.</w:t>
      </w:r>
    </w:p>
    <w:p w14:paraId="4C04A512" w14:textId="693D74FC" w:rsidR="00E622A0" w:rsidRPr="004A30A8" w:rsidRDefault="00E622A0" w:rsidP="00E622A0">
      <w:pPr>
        <w:widowControl/>
        <w:tabs>
          <w:tab w:val="left" w:pos="567"/>
        </w:tabs>
        <w:autoSpaceDE w:val="0"/>
        <w:autoSpaceDN w:val="0"/>
        <w:spacing w:line="240" w:lineRule="auto"/>
        <w:rPr>
          <w:rFonts w:eastAsia="Calibri"/>
          <w:kern w:val="2"/>
          <w:lang w:eastAsia="en-US"/>
        </w:rPr>
      </w:pPr>
    </w:p>
    <w:p w14:paraId="76CBB3D7" w14:textId="294D7759" w:rsidR="00573E2F" w:rsidRPr="004A30A8" w:rsidRDefault="00DD4397">
      <w:pPr>
        <w:numPr>
          <w:ilvl w:val="0"/>
          <w:numId w:val="7"/>
        </w:numPr>
        <w:tabs>
          <w:tab w:val="left" w:pos="567"/>
          <w:tab w:val="num" w:pos="1569"/>
          <w:tab w:val="num" w:pos="12305"/>
        </w:tabs>
        <w:spacing w:line="240" w:lineRule="auto"/>
        <w:ind w:left="0" w:firstLine="0"/>
        <w:rPr>
          <w:rFonts w:eastAsia="Calibri"/>
          <w:kern w:val="2"/>
          <w:lang w:eastAsia="en-US"/>
        </w:rPr>
      </w:pPr>
      <w:r w:rsidRPr="004A30A8">
        <w:rPr>
          <w:rFonts w:eastAsia="Calibri"/>
          <w:kern w:val="2"/>
          <w:lang w:eastAsia="en-US"/>
        </w:rPr>
        <w:t>L</w:t>
      </w:r>
      <w:r w:rsidR="00E622A0" w:rsidRPr="004A30A8">
        <w:rPr>
          <w:rFonts w:eastAsia="Calibri"/>
          <w:kern w:val="2"/>
          <w:lang w:eastAsia="en-US"/>
        </w:rPr>
        <w:t xml:space="preserve">o anterior está en completa armonía con </w:t>
      </w:r>
      <w:r w:rsidR="00DF4AC9" w:rsidRPr="004A30A8">
        <w:rPr>
          <w:rFonts w:eastAsia="Calibri"/>
          <w:kern w:val="2"/>
          <w:lang w:eastAsia="en-US"/>
        </w:rPr>
        <w:t>la legislación peruana al momento de los hechos</w:t>
      </w:r>
      <w:r w:rsidR="00DF4AC9" w:rsidRPr="004A30A8">
        <w:rPr>
          <w:rStyle w:val="Refdenotaalpie"/>
          <w:rFonts w:eastAsia="Calibri"/>
          <w:kern w:val="2"/>
          <w:lang w:eastAsia="en-US"/>
        </w:rPr>
        <w:footnoteReference w:id="141"/>
      </w:r>
      <w:r w:rsidR="00DF4AC9" w:rsidRPr="004A30A8">
        <w:rPr>
          <w:rFonts w:eastAsia="Calibri"/>
          <w:kern w:val="2"/>
          <w:lang w:eastAsia="en-US"/>
        </w:rPr>
        <w:t>, así como</w:t>
      </w:r>
      <w:r w:rsidR="000D0B20" w:rsidRPr="004A30A8">
        <w:rPr>
          <w:rFonts w:eastAsia="Calibri"/>
          <w:kern w:val="2"/>
          <w:lang w:eastAsia="en-US"/>
        </w:rPr>
        <w:t xml:space="preserve"> con</w:t>
      </w:r>
      <w:r w:rsidR="00DF4AC9" w:rsidRPr="004A30A8">
        <w:rPr>
          <w:rFonts w:eastAsia="Calibri"/>
          <w:kern w:val="2"/>
          <w:lang w:eastAsia="en-US"/>
        </w:rPr>
        <w:t xml:space="preserve"> </w:t>
      </w:r>
      <w:r w:rsidR="00E622A0" w:rsidRPr="004A30A8">
        <w:rPr>
          <w:rFonts w:eastAsia="Calibri"/>
          <w:kern w:val="2"/>
          <w:lang w:eastAsia="en-US"/>
        </w:rPr>
        <w:t xml:space="preserve">los estándares internacionales en la materia. </w:t>
      </w:r>
      <w:r w:rsidR="00A12F67" w:rsidRPr="004A30A8">
        <w:rPr>
          <w:rFonts w:eastAsia="Calibri"/>
          <w:kern w:val="2"/>
          <w:lang w:eastAsia="en-US"/>
        </w:rPr>
        <w:t>E</w:t>
      </w:r>
      <w:r w:rsidR="00E622A0" w:rsidRPr="004A30A8">
        <w:rPr>
          <w:rFonts w:eastAsia="Calibri"/>
          <w:kern w:val="2"/>
          <w:lang w:eastAsia="en-US"/>
        </w:rPr>
        <w:t xml:space="preserve">l </w:t>
      </w:r>
      <w:r w:rsidR="00C43649" w:rsidRPr="004A30A8">
        <w:rPr>
          <w:rFonts w:eastAsia="Calibri"/>
          <w:kern w:val="2"/>
          <w:lang w:eastAsia="en-US"/>
        </w:rPr>
        <w:t xml:space="preserve">Comité para la </w:t>
      </w:r>
      <w:r w:rsidR="00C43649" w:rsidRPr="004A30A8">
        <w:rPr>
          <w:rFonts w:eastAsia="Calibri"/>
          <w:kern w:val="2"/>
          <w:lang w:eastAsia="en-US"/>
        </w:rPr>
        <w:lastRenderedPageBreak/>
        <w:t>Eliminación de la Discriminación Racial</w:t>
      </w:r>
      <w:r w:rsidR="00C43649" w:rsidRPr="004A30A8" w:rsidDel="00C43649">
        <w:rPr>
          <w:rFonts w:eastAsia="Calibri"/>
          <w:kern w:val="2"/>
          <w:lang w:eastAsia="en-US"/>
        </w:rPr>
        <w:t xml:space="preserve"> </w:t>
      </w:r>
      <w:r w:rsidR="00E622A0" w:rsidRPr="004A30A8">
        <w:rPr>
          <w:rFonts w:eastAsia="Calibri"/>
          <w:kern w:val="2"/>
          <w:lang w:eastAsia="en-US"/>
        </w:rPr>
        <w:t xml:space="preserve">de Naciones Unidas, por ejemplo, ha exigido </w:t>
      </w:r>
      <w:r w:rsidR="00E622A0" w:rsidRPr="004A30A8">
        <w:rPr>
          <w:lang w:val="es-ES"/>
        </w:rPr>
        <w:t>igualmente</w:t>
      </w:r>
      <w:r w:rsidR="00E622A0" w:rsidRPr="004A30A8">
        <w:rPr>
          <w:rFonts w:eastAsia="Calibri"/>
          <w:kern w:val="2"/>
          <w:lang w:eastAsia="en-US"/>
        </w:rPr>
        <w:t xml:space="preserve"> que los tribunales nacionales inviertan la carga de la prueba en casos de discriminación </w:t>
      </w:r>
      <w:r w:rsidR="00076C78" w:rsidRPr="004A30A8">
        <w:rPr>
          <w:rFonts w:eastAsia="Calibri"/>
          <w:kern w:val="2"/>
          <w:lang w:eastAsia="en-US"/>
        </w:rPr>
        <w:t>por actos de terceros</w:t>
      </w:r>
      <w:r w:rsidR="00E622A0" w:rsidRPr="004A30A8">
        <w:rPr>
          <w:rFonts w:eastAsia="Calibri"/>
          <w:kern w:val="2"/>
          <w:lang w:eastAsia="en-US"/>
        </w:rPr>
        <w:t xml:space="preserve">. Así, en el caso </w:t>
      </w:r>
      <w:r w:rsidR="00E622A0" w:rsidRPr="004A30A8">
        <w:rPr>
          <w:rFonts w:eastAsia="Calibri"/>
          <w:i/>
          <w:iCs/>
          <w:kern w:val="2"/>
          <w:lang w:eastAsia="en-US"/>
        </w:rPr>
        <w:t>Grigore Zapescu vs. República de Moldava,</w:t>
      </w:r>
      <w:r w:rsidR="00E622A0" w:rsidRPr="004A30A8">
        <w:rPr>
          <w:rFonts w:eastAsia="Calibri"/>
          <w:kern w:val="2"/>
          <w:lang w:eastAsia="en-US"/>
        </w:rPr>
        <w:t xml:space="preserve"> dicho Comité consideró un caso de discriminación racial presentado ante los tribunales nacionales del Estado contra una empresa privada, donde determinó que</w:t>
      </w:r>
      <w:r w:rsidR="009F278E" w:rsidRPr="004A30A8">
        <w:rPr>
          <w:rFonts w:eastAsia="Calibri"/>
          <w:kern w:val="2"/>
          <w:lang w:eastAsia="en-US"/>
        </w:rPr>
        <w:t>, una vez establecidos “indicios razonables de discriminación”,</w:t>
      </w:r>
      <w:r w:rsidR="00E622A0" w:rsidRPr="004A30A8">
        <w:rPr>
          <w:rFonts w:eastAsia="Calibri"/>
          <w:kern w:val="2"/>
          <w:lang w:eastAsia="en-US"/>
        </w:rPr>
        <w:t xml:space="preserve"> “recayó sobre [el demandante] de manera desproporcionada la carga de la prueba respecto de la intención discriminatoria de la empresa demandada”</w:t>
      </w:r>
      <w:r w:rsidR="00E622A0" w:rsidRPr="004A30A8">
        <w:rPr>
          <w:rStyle w:val="Refdenotaalpie"/>
          <w:rFonts w:eastAsia="Calibri"/>
          <w:kern w:val="2"/>
          <w:lang w:eastAsia="en-US"/>
        </w:rPr>
        <w:footnoteReference w:id="142"/>
      </w:r>
      <w:r w:rsidR="00E622A0" w:rsidRPr="004A30A8">
        <w:rPr>
          <w:rFonts w:eastAsia="Calibri"/>
          <w:kern w:val="2"/>
          <w:lang w:eastAsia="en-US"/>
        </w:rPr>
        <w:t>. En este mismo sentido se han pronunciado numerosos tribunales nacionales de la región americana, tales como Argentina</w:t>
      </w:r>
      <w:r w:rsidR="00E622A0" w:rsidRPr="004A30A8">
        <w:rPr>
          <w:rStyle w:val="Refdenotaalpie"/>
          <w:rFonts w:eastAsia="Calibri"/>
          <w:kern w:val="2"/>
          <w:lang w:eastAsia="en-US"/>
        </w:rPr>
        <w:footnoteReference w:id="143"/>
      </w:r>
      <w:r w:rsidR="00E622A0" w:rsidRPr="004A30A8">
        <w:rPr>
          <w:rFonts w:eastAsia="Calibri"/>
          <w:kern w:val="2"/>
          <w:lang w:eastAsia="en-US"/>
        </w:rPr>
        <w:t>, Canadá</w:t>
      </w:r>
      <w:r w:rsidR="00E622A0" w:rsidRPr="004A30A8">
        <w:rPr>
          <w:rStyle w:val="Refdenotaalpie"/>
          <w:rFonts w:eastAsia="Calibri"/>
          <w:kern w:val="2"/>
          <w:lang w:eastAsia="en-US"/>
        </w:rPr>
        <w:footnoteReference w:id="144"/>
      </w:r>
      <w:r w:rsidR="00E622A0" w:rsidRPr="004A30A8">
        <w:rPr>
          <w:rFonts w:eastAsia="Calibri"/>
          <w:kern w:val="2"/>
          <w:lang w:eastAsia="en-US"/>
        </w:rPr>
        <w:t>, Chile</w:t>
      </w:r>
      <w:r w:rsidR="00E622A0" w:rsidRPr="004A30A8">
        <w:rPr>
          <w:rStyle w:val="Refdenotaalpie"/>
          <w:rFonts w:eastAsia="Calibri"/>
          <w:kern w:val="2"/>
          <w:lang w:eastAsia="en-US"/>
        </w:rPr>
        <w:footnoteReference w:id="145"/>
      </w:r>
      <w:r w:rsidR="00E622A0" w:rsidRPr="004A30A8">
        <w:rPr>
          <w:rFonts w:eastAsia="Calibri"/>
          <w:kern w:val="2"/>
          <w:lang w:eastAsia="en-US"/>
        </w:rPr>
        <w:t>, Colombia</w:t>
      </w:r>
      <w:r w:rsidR="00E622A0" w:rsidRPr="004A30A8">
        <w:rPr>
          <w:rStyle w:val="Refdenotaalpie"/>
          <w:rFonts w:eastAsia="Calibri"/>
          <w:kern w:val="2"/>
          <w:lang w:eastAsia="en-US"/>
        </w:rPr>
        <w:footnoteReference w:id="146"/>
      </w:r>
      <w:r w:rsidR="00E622A0" w:rsidRPr="004A30A8">
        <w:rPr>
          <w:rFonts w:eastAsia="Calibri"/>
          <w:kern w:val="2"/>
          <w:lang w:eastAsia="en-US"/>
        </w:rPr>
        <w:t>, Costa Rica</w:t>
      </w:r>
      <w:r w:rsidR="001432B8" w:rsidRPr="004A30A8">
        <w:rPr>
          <w:rStyle w:val="Refdenotaalpie"/>
          <w:rFonts w:eastAsia="Calibri"/>
          <w:kern w:val="2"/>
          <w:lang w:eastAsia="en-US"/>
        </w:rPr>
        <w:footnoteReference w:id="147"/>
      </w:r>
      <w:r w:rsidR="00E622A0" w:rsidRPr="004A30A8">
        <w:rPr>
          <w:rFonts w:eastAsia="Calibri"/>
          <w:kern w:val="2"/>
          <w:lang w:eastAsia="en-US"/>
        </w:rPr>
        <w:t xml:space="preserve">, </w:t>
      </w:r>
      <w:r w:rsidR="001432B8" w:rsidRPr="004A30A8">
        <w:rPr>
          <w:rFonts w:eastAsia="Calibri"/>
          <w:kern w:val="2"/>
          <w:lang w:eastAsia="en-US"/>
        </w:rPr>
        <w:t xml:space="preserve">así como organismos internacionales tales como el ya citado </w:t>
      </w:r>
      <w:r w:rsidR="00C43649" w:rsidRPr="004A30A8">
        <w:rPr>
          <w:rFonts w:eastAsia="Calibri"/>
          <w:kern w:val="2"/>
          <w:lang w:eastAsia="en-US"/>
        </w:rPr>
        <w:t xml:space="preserve">Comité para la Eliminación de la Discriminación </w:t>
      </w:r>
      <w:r w:rsidR="00C43649" w:rsidRPr="004A30A8">
        <w:rPr>
          <w:rFonts w:eastAsia="Calibri"/>
          <w:kern w:val="2"/>
          <w:lang w:eastAsia="en-US"/>
        </w:rPr>
        <w:lastRenderedPageBreak/>
        <w:t>Racial</w:t>
      </w:r>
      <w:r w:rsidR="00C43649" w:rsidRPr="004A30A8">
        <w:rPr>
          <w:rStyle w:val="Refdenotaalpie"/>
          <w:rFonts w:eastAsia="Calibri"/>
          <w:kern w:val="2"/>
          <w:lang w:eastAsia="en-US"/>
        </w:rPr>
        <w:footnoteReference w:id="148"/>
      </w:r>
      <w:r w:rsidR="00C43649" w:rsidRPr="004A30A8">
        <w:rPr>
          <w:rFonts w:eastAsia="Calibri"/>
          <w:kern w:val="2"/>
          <w:lang w:eastAsia="en-US"/>
        </w:rPr>
        <w:t xml:space="preserve">, el </w:t>
      </w:r>
      <w:r w:rsidR="001432B8" w:rsidRPr="004A30A8">
        <w:rPr>
          <w:rFonts w:eastAsia="Calibri"/>
          <w:kern w:val="2"/>
          <w:lang w:eastAsia="en-US"/>
        </w:rPr>
        <w:t>Comité de Derechos Económicos, Sociales y Culturales</w:t>
      </w:r>
      <w:r w:rsidR="00C43649" w:rsidRPr="004A30A8">
        <w:rPr>
          <w:rStyle w:val="Refdenotaalpie"/>
          <w:rFonts w:eastAsia="Calibri"/>
          <w:kern w:val="2"/>
          <w:lang w:eastAsia="en-US"/>
        </w:rPr>
        <w:footnoteReference w:id="149"/>
      </w:r>
      <w:r w:rsidR="001432B8" w:rsidRPr="004A30A8">
        <w:rPr>
          <w:rFonts w:eastAsia="Calibri"/>
          <w:kern w:val="2"/>
          <w:lang w:eastAsia="en-US"/>
        </w:rPr>
        <w:t xml:space="preserve">, </w:t>
      </w:r>
      <w:r w:rsidR="00CC32D4" w:rsidRPr="004A30A8">
        <w:rPr>
          <w:rFonts w:eastAsia="Calibri"/>
          <w:kern w:val="2"/>
          <w:lang w:eastAsia="en-US"/>
        </w:rPr>
        <w:t>la Organización Internacional del Trabajo (OIT)</w:t>
      </w:r>
      <w:r w:rsidR="00CC32D4" w:rsidRPr="004A30A8">
        <w:rPr>
          <w:rStyle w:val="Refdenotaalpie"/>
          <w:rFonts w:eastAsia="Calibri"/>
          <w:kern w:val="2"/>
          <w:lang w:eastAsia="en-US"/>
        </w:rPr>
        <w:footnoteReference w:id="150"/>
      </w:r>
      <w:r w:rsidR="00CC32D4" w:rsidRPr="004A30A8">
        <w:rPr>
          <w:rFonts w:eastAsia="Calibri"/>
          <w:kern w:val="2"/>
          <w:lang w:eastAsia="en-US"/>
        </w:rPr>
        <w:t xml:space="preserve">, </w:t>
      </w:r>
      <w:r w:rsidR="00621F8D" w:rsidRPr="004A30A8">
        <w:rPr>
          <w:rFonts w:eastAsia="Calibri"/>
          <w:kern w:val="2"/>
          <w:lang w:eastAsia="en-US"/>
        </w:rPr>
        <w:t>el Comité sobre los Derechos de las Personas con Discapacidad</w:t>
      </w:r>
      <w:r w:rsidR="00621F8D" w:rsidRPr="004A30A8">
        <w:rPr>
          <w:rStyle w:val="Refdenotaalpie"/>
          <w:rFonts w:eastAsia="Calibri"/>
          <w:kern w:val="2"/>
          <w:lang w:eastAsia="en-US"/>
        </w:rPr>
        <w:footnoteReference w:id="151"/>
      </w:r>
      <w:r w:rsidR="00621F8D" w:rsidRPr="004A30A8">
        <w:rPr>
          <w:rFonts w:eastAsia="Calibri"/>
          <w:kern w:val="2"/>
          <w:lang w:eastAsia="en-US"/>
        </w:rPr>
        <w:t xml:space="preserve">, </w:t>
      </w:r>
      <w:r w:rsidR="00CC32D4" w:rsidRPr="004A30A8">
        <w:rPr>
          <w:rFonts w:eastAsia="Calibri"/>
          <w:kern w:val="2"/>
          <w:lang w:eastAsia="en-US"/>
        </w:rPr>
        <w:t>el Tribunal Europeo de Derechos Humanos</w:t>
      </w:r>
      <w:r w:rsidR="00CC32D4" w:rsidRPr="004A30A8">
        <w:rPr>
          <w:rStyle w:val="Refdenotaalpie"/>
          <w:rFonts w:eastAsia="Calibri"/>
          <w:kern w:val="2"/>
          <w:lang w:eastAsia="en-US"/>
        </w:rPr>
        <w:footnoteReference w:id="152"/>
      </w:r>
      <w:r w:rsidR="00CC32D4" w:rsidRPr="004A30A8">
        <w:rPr>
          <w:rFonts w:eastAsia="Calibri"/>
          <w:kern w:val="2"/>
          <w:lang w:eastAsia="en-US"/>
        </w:rPr>
        <w:t xml:space="preserve">, </w:t>
      </w:r>
      <w:r w:rsidR="00856E64" w:rsidRPr="004A30A8">
        <w:rPr>
          <w:rFonts w:eastAsia="Calibri"/>
          <w:kern w:val="2"/>
          <w:lang w:eastAsia="en-US"/>
        </w:rPr>
        <w:t>el Comité Europeo de Derechos Sociales del Consejo de Europa</w:t>
      </w:r>
      <w:r w:rsidR="00856E64" w:rsidRPr="004A30A8">
        <w:rPr>
          <w:rStyle w:val="Refdenotaalpie"/>
          <w:rFonts w:eastAsia="Calibri"/>
          <w:kern w:val="2"/>
          <w:lang w:eastAsia="en-US"/>
        </w:rPr>
        <w:footnoteReference w:id="153"/>
      </w:r>
      <w:r w:rsidR="00856E64" w:rsidRPr="004A30A8">
        <w:rPr>
          <w:rFonts w:eastAsia="Calibri"/>
          <w:kern w:val="2"/>
          <w:lang w:eastAsia="en-US"/>
        </w:rPr>
        <w:t xml:space="preserve"> </w:t>
      </w:r>
      <w:r w:rsidR="001432B8" w:rsidRPr="004A30A8">
        <w:rPr>
          <w:rFonts w:eastAsia="Calibri"/>
          <w:kern w:val="2"/>
          <w:lang w:eastAsia="en-US"/>
        </w:rPr>
        <w:t>o la Unión Europea</w:t>
      </w:r>
      <w:r w:rsidR="001432B8" w:rsidRPr="004A30A8">
        <w:rPr>
          <w:rStyle w:val="Refdenotaalpie"/>
          <w:rFonts w:eastAsia="Calibri"/>
          <w:kern w:val="2"/>
          <w:lang w:eastAsia="en-US"/>
        </w:rPr>
        <w:footnoteReference w:id="154"/>
      </w:r>
      <w:r w:rsidR="001432B8" w:rsidRPr="004A30A8">
        <w:rPr>
          <w:rFonts w:eastAsia="Calibri"/>
          <w:kern w:val="2"/>
          <w:lang w:eastAsia="en-US"/>
        </w:rPr>
        <w:t xml:space="preserve">. </w:t>
      </w:r>
      <w:r w:rsidR="008269B8" w:rsidRPr="004A30A8">
        <w:rPr>
          <w:rFonts w:eastAsia="Calibri"/>
          <w:kern w:val="2"/>
          <w:lang w:eastAsia="en-US"/>
        </w:rPr>
        <w:t xml:space="preserve">Incluso la propia </w:t>
      </w:r>
      <w:r w:rsidR="00573E2F" w:rsidRPr="004A30A8">
        <w:rPr>
          <w:rFonts w:eastAsia="Calibri"/>
          <w:kern w:val="2"/>
          <w:lang w:eastAsia="en-US"/>
        </w:rPr>
        <w:t>Comisión</w:t>
      </w:r>
      <w:r w:rsidR="0024195F" w:rsidRPr="004A30A8">
        <w:rPr>
          <w:rFonts w:eastAsia="Calibri"/>
          <w:kern w:val="2"/>
          <w:lang w:eastAsia="en-US"/>
        </w:rPr>
        <w:t xml:space="preserve"> </w:t>
      </w:r>
      <w:r w:rsidR="0081319D" w:rsidRPr="004A30A8">
        <w:rPr>
          <w:rFonts w:eastAsia="Calibri"/>
          <w:kern w:val="2"/>
          <w:lang w:eastAsia="en-US"/>
        </w:rPr>
        <w:t>de Protección</w:t>
      </w:r>
      <w:r w:rsidR="0024195F" w:rsidRPr="004A30A8">
        <w:rPr>
          <w:rFonts w:eastAsia="Calibri"/>
          <w:kern w:val="2"/>
          <w:lang w:eastAsia="en-US"/>
        </w:rPr>
        <w:t xml:space="preserve"> al Consumidor</w:t>
      </w:r>
      <w:r w:rsidR="008269B8" w:rsidRPr="004A30A8">
        <w:rPr>
          <w:rFonts w:eastAsia="Calibri"/>
          <w:kern w:val="2"/>
          <w:lang w:eastAsia="en-US"/>
        </w:rPr>
        <w:t xml:space="preserve"> peruana </w:t>
      </w:r>
      <w:r w:rsidR="0024195F" w:rsidRPr="004A30A8">
        <w:rPr>
          <w:rFonts w:eastAsia="Calibri"/>
          <w:kern w:val="2"/>
          <w:lang w:eastAsia="en-US"/>
        </w:rPr>
        <w:t xml:space="preserve">(CPC) </w:t>
      </w:r>
      <w:r w:rsidR="008269B8" w:rsidRPr="004A30A8">
        <w:rPr>
          <w:rFonts w:eastAsia="Calibri"/>
          <w:kern w:val="2"/>
          <w:lang w:eastAsia="en-US"/>
        </w:rPr>
        <w:t xml:space="preserve">y la Sala Especializada en Protección al </w:t>
      </w:r>
      <w:r w:rsidR="009B2C68" w:rsidRPr="004A30A8">
        <w:rPr>
          <w:rFonts w:eastAsia="Calibri"/>
          <w:kern w:val="2"/>
          <w:lang w:eastAsia="en-US"/>
        </w:rPr>
        <w:t>Consumidor</w:t>
      </w:r>
      <w:r w:rsidR="008269B8" w:rsidRPr="004A30A8">
        <w:rPr>
          <w:rFonts w:eastAsia="Calibri"/>
          <w:kern w:val="2"/>
          <w:lang w:eastAsia="en-US"/>
        </w:rPr>
        <w:t xml:space="preserve"> del Tribunal de Defensa de la Competencia y de la Propiedad Intelectual han hecho suy</w:t>
      </w:r>
      <w:r w:rsidR="00A12F67" w:rsidRPr="004A30A8">
        <w:rPr>
          <w:rFonts w:eastAsia="Calibri"/>
          <w:kern w:val="2"/>
          <w:lang w:eastAsia="en-US"/>
        </w:rPr>
        <w:t>a</w:t>
      </w:r>
      <w:r w:rsidR="008269B8" w:rsidRPr="004A30A8">
        <w:rPr>
          <w:rFonts w:eastAsia="Calibri"/>
          <w:kern w:val="2"/>
          <w:lang w:eastAsia="en-US"/>
        </w:rPr>
        <w:t xml:space="preserve"> esta aproximación a una carga dinámica de la prueba</w:t>
      </w:r>
      <w:r w:rsidR="00A12F67" w:rsidRPr="004A30A8">
        <w:rPr>
          <w:rFonts w:eastAsia="Calibri"/>
          <w:kern w:val="2"/>
          <w:lang w:eastAsia="en-US"/>
        </w:rPr>
        <w:t xml:space="preserve"> en casos de discriminación</w:t>
      </w:r>
      <w:r w:rsidR="008269B8" w:rsidRPr="004A30A8">
        <w:rPr>
          <w:rStyle w:val="Refdenotaalpie"/>
          <w:rFonts w:eastAsia="Calibri"/>
          <w:kern w:val="2"/>
          <w:lang w:eastAsia="en-US"/>
        </w:rPr>
        <w:footnoteReference w:id="155"/>
      </w:r>
      <w:r w:rsidR="008269B8" w:rsidRPr="004A30A8">
        <w:rPr>
          <w:rFonts w:eastAsia="Calibri"/>
          <w:kern w:val="2"/>
          <w:lang w:eastAsia="en-US"/>
        </w:rPr>
        <w:t xml:space="preserve">. </w:t>
      </w:r>
      <w:r w:rsidR="00C005A3" w:rsidRPr="004A30A8">
        <w:rPr>
          <w:rFonts w:eastAsia="Calibri"/>
          <w:kern w:val="2"/>
          <w:lang w:eastAsia="en-US"/>
        </w:rPr>
        <w:t>S</w:t>
      </w:r>
      <w:r w:rsidR="00FB7288" w:rsidRPr="004A30A8">
        <w:t xml:space="preserve">egún la perita Otero, esta redistribución de la carga de la prueba responde a que la discriminación no suele manifestarse de forma abierta y </w:t>
      </w:r>
      <w:r w:rsidR="00FB7288" w:rsidRPr="004A30A8">
        <w:lastRenderedPageBreak/>
        <w:t>claramente identificable, pues con frecuencia el motivo de la diferencia de trato no se expresa o se esconde en otro factor de apariencia objetiva</w:t>
      </w:r>
      <w:r w:rsidR="00FB7288" w:rsidRPr="004A30A8">
        <w:rPr>
          <w:rStyle w:val="Refdenotaalpie"/>
        </w:rPr>
        <w:footnoteReference w:id="156"/>
      </w:r>
      <w:r w:rsidR="00FB7288" w:rsidRPr="004A30A8">
        <w:t>.</w:t>
      </w:r>
      <w:r w:rsidR="00140873" w:rsidRPr="004A30A8">
        <w:t xml:space="preserve"> </w:t>
      </w:r>
      <w:r w:rsidR="00573E2F" w:rsidRPr="004A30A8">
        <w:t xml:space="preserve">Por último, </w:t>
      </w:r>
      <w:r w:rsidR="000C08E9" w:rsidRPr="004A30A8">
        <w:t>la Corte</w:t>
      </w:r>
      <w:r w:rsidR="00573E2F" w:rsidRPr="004A30A8">
        <w:t xml:space="preserve"> también advierte que</w:t>
      </w:r>
      <w:r w:rsidR="000C08E9" w:rsidRPr="004A30A8">
        <w:t>,</w:t>
      </w:r>
      <w:r w:rsidR="00573E2F" w:rsidRPr="004A30A8">
        <w:t xml:space="preserve"> en el</w:t>
      </w:r>
      <w:r w:rsidR="008F2C85" w:rsidRPr="004A30A8">
        <w:t xml:space="preserve"> escrito de</w:t>
      </w:r>
      <w:r w:rsidR="00573E2F" w:rsidRPr="004A30A8">
        <w:t xml:space="preserve"> </w:t>
      </w:r>
      <w:r w:rsidR="00573E2F" w:rsidRPr="004A30A8">
        <w:rPr>
          <w:i/>
          <w:iCs/>
        </w:rPr>
        <w:t>amicus</w:t>
      </w:r>
      <w:r w:rsidR="00573E2F" w:rsidRPr="004A30A8">
        <w:t xml:space="preserve"> presentado por el Grupo de Trabajo sobre empresas y derechos humanos de Naciones Unidas</w:t>
      </w:r>
      <w:r w:rsidR="000C08E9" w:rsidRPr="004A30A8">
        <w:t>,</w:t>
      </w:r>
      <w:r w:rsidR="00F55DED" w:rsidRPr="004A30A8">
        <w:t xml:space="preserve"> se</w:t>
      </w:r>
      <w:r w:rsidR="00573E2F" w:rsidRPr="004A30A8">
        <w:t xml:space="preserve"> señaló lo siguiente: </w:t>
      </w:r>
    </w:p>
    <w:p w14:paraId="0D02B958" w14:textId="14E1A83E" w:rsidR="00FB7288" w:rsidRPr="004A30A8" w:rsidRDefault="00573E2F" w:rsidP="003153DF">
      <w:pPr>
        <w:pStyle w:val="Prrafodelista"/>
        <w:spacing w:before="240" w:after="240" w:line="240" w:lineRule="auto"/>
        <w:ind w:left="992" w:right="726"/>
        <w:contextualSpacing w:val="0"/>
        <w:rPr>
          <w:rFonts w:eastAsiaTheme="minorHAnsi"/>
          <w:color w:val="000000"/>
          <w:sz w:val="18"/>
          <w:szCs w:val="18"/>
          <w:lang w:eastAsia="en-US"/>
        </w:rPr>
      </w:pPr>
      <w:r w:rsidRPr="004A30A8">
        <w:rPr>
          <w:rFonts w:eastAsiaTheme="minorHAnsi" w:cs="Calibri"/>
          <w:color w:val="000000"/>
          <w:sz w:val="18"/>
          <w:szCs w:val="18"/>
          <w:lang w:eastAsia="en-US"/>
        </w:rPr>
        <w:t xml:space="preserve">En el sistema universal de protección de derechos humanos </w:t>
      </w:r>
      <w:r w:rsidRPr="004A30A8">
        <w:rPr>
          <w:rFonts w:eastAsiaTheme="minorHAnsi"/>
          <w:color w:val="000000"/>
          <w:sz w:val="18"/>
          <w:szCs w:val="18"/>
          <w:lang w:eastAsia="en-US"/>
        </w:rPr>
        <w:t>existe un claro consenso de que la carga de la prueba no debe recaer exclusivamente en las víctimas en los casos de discriminación por parte de actores no estatales, como las empresas. Por ello, se ha reconocido como estándar la regla de la carga dinámica de la prueba a favor de las víctimas, mediante el cual, dependiendo del caso específico, la carga de la prueba se invierte, distribuye o desplaza hacia las empresas sobre las que se alega el hecho o el acto discriminatorio, y se presenta un caso con indicios razonables de discriminación</w:t>
      </w:r>
      <w:r w:rsidRPr="004A30A8">
        <w:rPr>
          <w:rStyle w:val="Refdenotaalpie"/>
          <w:rFonts w:eastAsiaTheme="minorHAnsi"/>
          <w:color w:val="000000"/>
          <w:sz w:val="18"/>
          <w:szCs w:val="18"/>
          <w:lang w:eastAsia="en-US"/>
        </w:rPr>
        <w:footnoteReference w:id="157"/>
      </w:r>
      <w:r w:rsidRPr="004A30A8">
        <w:rPr>
          <w:rFonts w:eastAsiaTheme="minorHAnsi"/>
          <w:color w:val="000000"/>
          <w:sz w:val="18"/>
          <w:szCs w:val="18"/>
          <w:lang w:eastAsia="en-US"/>
        </w:rPr>
        <w:t xml:space="preserve">. </w:t>
      </w:r>
    </w:p>
    <w:p w14:paraId="37384CA0" w14:textId="2EDC39E0" w:rsidR="00690E40" w:rsidRPr="004A30A8" w:rsidRDefault="00140873">
      <w:pPr>
        <w:widowControl/>
        <w:numPr>
          <w:ilvl w:val="0"/>
          <w:numId w:val="7"/>
        </w:numPr>
        <w:tabs>
          <w:tab w:val="left" w:pos="567"/>
          <w:tab w:val="num" w:pos="1569"/>
          <w:tab w:val="num" w:pos="12305"/>
        </w:tabs>
        <w:autoSpaceDE w:val="0"/>
        <w:autoSpaceDN w:val="0"/>
        <w:spacing w:line="240" w:lineRule="auto"/>
        <w:ind w:left="0" w:firstLine="0"/>
        <w:rPr>
          <w:rFonts w:eastAsia="Calibri"/>
          <w:kern w:val="2"/>
          <w:lang w:eastAsia="en-US"/>
        </w:rPr>
      </w:pPr>
      <w:r w:rsidRPr="004A30A8">
        <w:rPr>
          <w:rFonts w:eastAsia="Calibri"/>
          <w:kern w:val="2"/>
          <w:lang w:eastAsia="en-US"/>
        </w:rPr>
        <w:t>Sentado lo anterior, corresponde a continuación a est</w:t>
      </w:r>
      <w:r w:rsidR="000C08E9" w:rsidRPr="004A30A8">
        <w:rPr>
          <w:rFonts w:eastAsia="Calibri"/>
          <w:kern w:val="2"/>
          <w:lang w:eastAsia="en-US"/>
        </w:rPr>
        <w:t>a Cort</w:t>
      </w:r>
      <w:r w:rsidRPr="004A30A8">
        <w:rPr>
          <w:rFonts w:eastAsia="Calibri"/>
          <w:kern w:val="2"/>
          <w:lang w:eastAsia="en-US"/>
        </w:rPr>
        <w:t>e analizar la respuesta brindada por las autoridades nacionales a la denuncia de trato discriminatorio sufrida por el señor Olivera</w:t>
      </w:r>
      <w:r w:rsidR="00C005A3" w:rsidRPr="004A30A8">
        <w:rPr>
          <w:rFonts w:eastAsia="Calibri"/>
          <w:kern w:val="2"/>
          <w:lang w:eastAsia="en-US"/>
        </w:rPr>
        <w:t xml:space="preserve"> por parte de una empresa</w:t>
      </w:r>
      <w:r w:rsidRPr="004A30A8">
        <w:rPr>
          <w:rFonts w:eastAsia="Calibri"/>
          <w:kern w:val="2"/>
          <w:lang w:eastAsia="en-US"/>
        </w:rPr>
        <w:t xml:space="preserve">. </w:t>
      </w:r>
    </w:p>
    <w:p w14:paraId="1CC44D13" w14:textId="77777777" w:rsidR="006C743B" w:rsidRPr="004A30A8" w:rsidRDefault="006C743B" w:rsidP="006C743B">
      <w:pPr>
        <w:widowControl/>
        <w:tabs>
          <w:tab w:val="left" w:pos="567"/>
        </w:tabs>
        <w:autoSpaceDE w:val="0"/>
        <w:autoSpaceDN w:val="0"/>
        <w:spacing w:line="240" w:lineRule="auto"/>
        <w:rPr>
          <w:rFonts w:eastAsia="Calibri"/>
          <w:kern w:val="2"/>
          <w:lang w:eastAsia="en-US"/>
        </w:rPr>
      </w:pPr>
    </w:p>
    <w:p w14:paraId="373028E5" w14:textId="45176DC1" w:rsidR="000273BC" w:rsidRPr="004A30A8" w:rsidRDefault="006F61C2">
      <w:pPr>
        <w:widowControl/>
        <w:numPr>
          <w:ilvl w:val="0"/>
          <w:numId w:val="7"/>
        </w:numPr>
        <w:tabs>
          <w:tab w:val="left" w:pos="567"/>
          <w:tab w:val="num" w:pos="1569"/>
          <w:tab w:val="num" w:pos="12305"/>
        </w:tabs>
        <w:autoSpaceDE w:val="0"/>
        <w:autoSpaceDN w:val="0"/>
        <w:spacing w:line="240" w:lineRule="auto"/>
        <w:ind w:left="0" w:firstLine="0"/>
        <w:rPr>
          <w:rFonts w:eastAsia="Calibri"/>
          <w:kern w:val="2"/>
          <w:lang w:eastAsia="en-US"/>
        </w:rPr>
      </w:pPr>
      <w:r w:rsidRPr="004A30A8">
        <w:rPr>
          <w:rFonts w:eastAsia="Calibri"/>
          <w:kern w:val="2"/>
          <w:lang w:eastAsia="en-US"/>
        </w:rPr>
        <w:t>La Corte</w:t>
      </w:r>
      <w:r w:rsidR="00140873" w:rsidRPr="004A30A8">
        <w:rPr>
          <w:rFonts w:eastAsia="Calibri"/>
          <w:kern w:val="2"/>
          <w:lang w:eastAsia="en-US"/>
        </w:rPr>
        <w:t xml:space="preserve"> advierte que</w:t>
      </w:r>
      <w:r w:rsidR="00690E40" w:rsidRPr="004A30A8">
        <w:rPr>
          <w:rFonts w:eastAsia="Calibri"/>
          <w:kern w:val="2"/>
          <w:lang w:eastAsia="en-US"/>
        </w:rPr>
        <w:t>, en el presente caso,</w:t>
      </w:r>
      <w:r w:rsidR="00140873" w:rsidRPr="004A30A8">
        <w:rPr>
          <w:rFonts w:eastAsia="Calibri"/>
          <w:kern w:val="2"/>
          <w:lang w:eastAsia="en-US"/>
        </w:rPr>
        <w:t xml:space="preserve"> existieron numerosos indicios que </w:t>
      </w:r>
      <w:r w:rsidR="007E78DC" w:rsidRPr="004A30A8">
        <w:rPr>
          <w:rFonts w:eastAsia="Calibri"/>
          <w:kern w:val="2"/>
          <w:lang w:eastAsia="en-US"/>
        </w:rPr>
        <w:t>señalaban</w:t>
      </w:r>
      <w:r w:rsidR="00140873" w:rsidRPr="004A30A8">
        <w:rPr>
          <w:rFonts w:eastAsia="Calibri"/>
          <w:kern w:val="2"/>
          <w:lang w:eastAsia="en-US"/>
        </w:rPr>
        <w:t xml:space="preserve"> que se había producido un trato desigual en razón de la orientación sexual</w:t>
      </w:r>
      <w:r w:rsidR="00D93E1C" w:rsidRPr="004A30A8">
        <w:rPr>
          <w:rFonts w:eastAsia="Calibri"/>
          <w:kern w:val="2"/>
          <w:lang w:eastAsia="en-US"/>
        </w:rPr>
        <w:t xml:space="preserve"> del señor Olivera y su parej</w:t>
      </w:r>
      <w:r w:rsidR="007E78DC" w:rsidRPr="004A30A8">
        <w:rPr>
          <w:rFonts w:eastAsia="Calibri"/>
          <w:kern w:val="2"/>
          <w:lang w:eastAsia="en-US"/>
        </w:rPr>
        <w:t>a</w:t>
      </w:r>
      <w:r w:rsidR="00076C78" w:rsidRPr="004A30A8">
        <w:rPr>
          <w:rFonts w:eastAsia="Calibri"/>
          <w:kern w:val="2"/>
          <w:lang w:eastAsia="en-US"/>
        </w:rPr>
        <w:t xml:space="preserve">, </w:t>
      </w:r>
      <w:r w:rsidR="00793F68" w:rsidRPr="004A30A8">
        <w:rPr>
          <w:rFonts w:eastAsia="Calibri"/>
          <w:kern w:val="2"/>
          <w:lang w:eastAsia="en-US"/>
        </w:rPr>
        <w:t>de los cuales</w:t>
      </w:r>
      <w:r w:rsidR="00C40934" w:rsidRPr="004A30A8">
        <w:rPr>
          <w:rFonts w:eastAsia="Calibri"/>
          <w:kern w:val="2"/>
          <w:lang w:eastAsia="en-US"/>
        </w:rPr>
        <w:t xml:space="preserve"> tuvieron</w:t>
      </w:r>
      <w:r w:rsidR="00076C78" w:rsidRPr="004A30A8">
        <w:rPr>
          <w:rFonts w:eastAsia="Calibri"/>
          <w:kern w:val="2"/>
          <w:lang w:eastAsia="en-US"/>
        </w:rPr>
        <w:t xml:space="preserve"> conocimiento las autoridades nacionales</w:t>
      </w:r>
      <w:r w:rsidR="00140873" w:rsidRPr="004A30A8">
        <w:rPr>
          <w:rFonts w:eastAsia="Calibri"/>
          <w:kern w:val="2"/>
          <w:lang w:eastAsia="en-US"/>
        </w:rPr>
        <w:t xml:space="preserve">. Así, </w:t>
      </w:r>
      <w:r w:rsidR="00094A78" w:rsidRPr="004A30A8">
        <w:rPr>
          <w:rFonts w:eastAsia="Calibri"/>
          <w:kern w:val="2"/>
          <w:lang w:eastAsia="en-US"/>
        </w:rPr>
        <w:t>en la contestación brindada por Supermercados Peruanos S</w:t>
      </w:r>
      <w:r w:rsidR="008821E6" w:rsidRPr="004A30A8">
        <w:rPr>
          <w:rFonts w:eastAsia="Calibri"/>
          <w:kern w:val="2"/>
          <w:lang w:eastAsia="en-US"/>
        </w:rPr>
        <w:t>.</w:t>
      </w:r>
      <w:r w:rsidR="00094A78" w:rsidRPr="004A30A8">
        <w:rPr>
          <w:rFonts w:eastAsia="Calibri"/>
          <w:kern w:val="2"/>
          <w:lang w:eastAsia="en-US"/>
        </w:rPr>
        <w:t>A</w:t>
      </w:r>
      <w:r w:rsidR="008821E6" w:rsidRPr="004A30A8">
        <w:rPr>
          <w:rFonts w:eastAsia="Calibri"/>
          <w:kern w:val="2"/>
          <w:lang w:eastAsia="en-US"/>
        </w:rPr>
        <w:t>.</w:t>
      </w:r>
      <w:r w:rsidR="00094A78" w:rsidRPr="004A30A8">
        <w:rPr>
          <w:rFonts w:eastAsia="Calibri"/>
          <w:kern w:val="2"/>
          <w:lang w:eastAsia="en-US"/>
        </w:rPr>
        <w:t xml:space="preserve"> ante la CPC, la empresa consideró que el comportamiento del señor Olivera y su pareja debía cesar </w:t>
      </w:r>
      <w:r w:rsidR="00782C9F" w:rsidRPr="004A30A8">
        <w:rPr>
          <w:rFonts w:eastAsia="Calibri"/>
          <w:kern w:val="2"/>
          <w:lang w:eastAsia="en-US"/>
        </w:rPr>
        <w:t>por</w:t>
      </w:r>
      <w:r w:rsidR="00094A78" w:rsidRPr="004A30A8">
        <w:rPr>
          <w:rFonts w:eastAsia="Calibri"/>
          <w:kern w:val="2"/>
          <w:lang w:eastAsia="en-US"/>
        </w:rPr>
        <w:t xml:space="preserve"> “respeto a la moral y buenas costumbres”, ya que uno de los clientes se habría sentido “perturbado e incómodo” por la conducta del señor Olivera, la cual consistía, según dicho supermercado, en “besos, caricias y abrazos</w:t>
      </w:r>
      <w:r w:rsidR="009319A7" w:rsidRPr="004A30A8">
        <w:rPr>
          <w:rFonts w:eastAsia="Calibri"/>
          <w:kern w:val="2"/>
          <w:lang w:eastAsia="en-US"/>
        </w:rPr>
        <w:t>”</w:t>
      </w:r>
      <w:r w:rsidR="00094A78" w:rsidRPr="004A30A8">
        <w:rPr>
          <w:rStyle w:val="Refdenotaalpie"/>
          <w:rFonts w:eastAsia="Calibri"/>
          <w:kern w:val="2"/>
          <w:lang w:eastAsia="en-US"/>
        </w:rPr>
        <w:footnoteReference w:id="158"/>
      </w:r>
      <w:r w:rsidR="00094A78" w:rsidRPr="004A30A8">
        <w:rPr>
          <w:rFonts w:eastAsia="Calibri"/>
          <w:kern w:val="2"/>
          <w:lang w:eastAsia="en-US"/>
        </w:rPr>
        <w:t xml:space="preserve">. </w:t>
      </w:r>
      <w:r w:rsidR="009319A7" w:rsidRPr="004A30A8">
        <w:rPr>
          <w:rFonts w:eastAsia="Calibri"/>
          <w:kern w:val="2"/>
          <w:lang w:eastAsia="en-US"/>
        </w:rPr>
        <w:t xml:space="preserve">Para ello la empresa aportó, entre otros, la declaración de la encargada de permanencia, </w:t>
      </w:r>
      <w:r w:rsidR="00690E40" w:rsidRPr="004A30A8">
        <w:rPr>
          <w:rFonts w:eastAsia="Calibri"/>
          <w:kern w:val="2"/>
          <w:lang w:eastAsia="en-US"/>
        </w:rPr>
        <w:t>quien</w:t>
      </w:r>
      <w:r w:rsidR="009319A7" w:rsidRPr="004A30A8">
        <w:rPr>
          <w:rFonts w:eastAsia="Calibri"/>
          <w:kern w:val="2"/>
          <w:lang w:eastAsia="en-US"/>
        </w:rPr>
        <w:t xml:space="preserve"> indicó que un cliente había manifestado estar “incómodo y fastidiado” por la “actitud de dos caballeros”</w:t>
      </w:r>
      <w:r w:rsidR="00690E40" w:rsidRPr="004A30A8">
        <w:rPr>
          <w:rFonts w:eastAsia="Calibri"/>
          <w:kern w:val="2"/>
          <w:lang w:eastAsia="en-US"/>
        </w:rPr>
        <w:t>,</w:t>
      </w:r>
      <w:r w:rsidR="009319A7" w:rsidRPr="004A30A8">
        <w:rPr>
          <w:rFonts w:eastAsia="Calibri"/>
          <w:kern w:val="2"/>
          <w:lang w:eastAsia="en-US"/>
        </w:rPr>
        <w:t xml:space="preserve"> destacando así el hecho de que fuera una pareja homosexual la que estaba demostrando actos de cariño</w:t>
      </w:r>
      <w:r w:rsidR="009319A7" w:rsidRPr="004A30A8">
        <w:rPr>
          <w:rFonts w:eastAsia="Calibri"/>
          <w:kern w:val="2"/>
          <w:vertAlign w:val="superscript"/>
          <w:lang w:eastAsia="en-US"/>
        </w:rPr>
        <w:footnoteReference w:id="159"/>
      </w:r>
      <w:r w:rsidR="009319A7" w:rsidRPr="004A30A8">
        <w:rPr>
          <w:rFonts w:eastAsia="Calibri"/>
          <w:kern w:val="2"/>
          <w:lang w:eastAsia="en-US"/>
        </w:rPr>
        <w:t>.</w:t>
      </w:r>
      <w:r w:rsidR="009319A7" w:rsidRPr="004A30A8">
        <w:rPr>
          <w:rFonts w:eastAsiaTheme="minorHAnsi" w:cs="Garamond"/>
          <w:sz w:val="22"/>
          <w:szCs w:val="22"/>
          <w:lang w:eastAsia="en-US"/>
        </w:rPr>
        <w:t xml:space="preserve"> </w:t>
      </w:r>
      <w:r w:rsidR="009319A7" w:rsidRPr="004A30A8">
        <w:rPr>
          <w:rFonts w:eastAsia="Calibri"/>
          <w:kern w:val="2"/>
          <w:lang w:eastAsia="en-US"/>
        </w:rPr>
        <w:t xml:space="preserve">Esta acentuación en el carácter homosexual de los actos </w:t>
      </w:r>
      <w:r w:rsidR="00690E40" w:rsidRPr="004A30A8">
        <w:rPr>
          <w:rFonts w:eastAsia="Calibri"/>
          <w:kern w:val="2"/>
          <w:lang w:eastAsia="en-US"/>
        </w:rPr>
        <w:t xml:space="preserve">-cuestión que no habría sucedido en caso de ser una pareja heterosexual- </w:t>
      </w:r>
      <w:r w:rsidR="009319A7" w:rsidRPr="004A30A8">
        <w:rPr>
          <w:rFonts w:eastAsia="Calibri"/>
          <w:kern w:val="2"/>
          <w:lang w:eastAsia="en-US"/>
        </w:rPr>
        <w:t xml:space="preserve">fue también </w:t>
      </w:r>
      <w:r w:rsidR="00690E40" w:rsidRPr="004A30A8">
        <w:rPr>
          <w:rFonts w:eastAsia="Calibri"/>
          <w:kern w:val="2"/>
          <w:lang w:eastAsia="en-US"/>
        </w:rPr>
        <w:t>reforzada</w:t>
      </w:r>
      <w:r w:rsidR="009319A7" w:rsidRPr="004A30A8">
        <w:rPr>
          <w:rFonts w:eastAsia="Calibri"/>
          <w:kern w:val="2"/>
          <w:lang w:eastAsia="en-US"/>
        </w:rPr>
        <w:t xml:space="preserve"> por otra declaración aportada por la empresa, realizada por el Jefe de Prevención de Pérdidas, quien indicó que “</w:t>
      </w:r>
      <w:r w:rsidR="0065295C" w:rsidRPr="004A30A8">
        <w:rPr>
          <w:rFonts w:eastAsia="Calibri"/>
          <w:kern w:val="2"/>
          <w:lang w:eastAsia="en-US"/>
        </w:rPr>
        <w:t>a</w:t>
      </w:r>
      <w:r w:rsidR="009319A7" w:rsidRPr="004A30A8">
        <w:rPr>
          <w:rFonts w:eastAsia="Calibri"/>
          <w:kern w:val="2"/>
          <w:lang w:eastAsia="en-US"/>
        </w:rPr>
        <w:t>l momento de que los niños pasaban o salían de los juegos presenciaban de cómo dos personas de igual sexo se besaban y acariciaban”</w:t>
      </w:r>
      <w:r w:rsidR="00782C9F" w:rsidRPr="004A30A8">
        <w:rPr>
          <w:rFonts w:eastAsia="Calibri"/>
          <w:kern w:val="2"/>
          <w:lang w:eastAsia="en-US"/>
        </w:rPr>
        <w:t>,</w:t>
      </w:r>
      <w:r w:rsidR="009319A7" w:rsidRPr="004A30A8">
        <w:rPr>
          <w:rFonts w:eastAsia="Calibri"/>
          <w:kern w:val="2"/>
          <w:lang w:eastAsia="en-US"/>
        </w:rPr>
        <w:t xml:space="preserve"> lo cual hacía que algunos clientes se encontraran “incómodos”</w:t>
      </w:r>
      <w:r w:rsidR="009319A7" w:rsidRPr="004A30A8">
        <w:rPr>
          <w:rStyle w:val="Refdenotaalpie"/>
          <w:rFonts w:eastAsia="Calibri"/>
          <w:kern w:val="2"/>
          <w:lang w:eastAsia="en-US"/>
        </w:rPr>
        <w:footnoteReference w:id="160"/>
      </w:r>
      <w:r w:rsidR="009319A7" w:rsidRPr="004A30A8">
        <w:rPr>
          <w:rFonts w:eastAsia="Calibri"/>
          <w:kern w:val="2"/>
          <w:lang w:eastAsia="en-US"/>
        </w:rPr>
        <w:t xml:space="preserve">. </w:t>
      </w:r>
    </w:p>
    <w:p w14:paraId="34E75738" w14:textId="77777777" w:rsidR="000273BC" w:rsidRPr="004A30A8" w:rsidRDefault="000273BC" w:rsidP="000273BC">
      <w:pPr>
        <w:widowControl/>
        <w:tabs>
          <w:tab w:val="left" w:pos="567"/>
        </w:tabs>
        <w:autoSpaceDE w:val="0"/>
        <w:autoSpaceDN w:val="0"/>
        <w:spacing w:line="240" w:lineRule="auto"/>
        <w:rPr>
          <w:rFonts w:eastAsia="Calibri"/>
          <w:kern w:val="2"/>
          <w:lang w:eastAsia="en-US"/>
        </w:rPr>
      </w:pPr>
    </w:p>
    <w:p w14:paraId="1F4F0DEE" w14:textId="2C93F9E1" w:rsidR="007A198B" w:rsidRPr="004A30A8" w:rsidRDefault="009319A7">
      <w:pPr>
        <w:widowControl/>
        <w:numPr>
          <w:ilvl w:val="0"/>
          <w:numId w:val="7"/>
        </w:numPr>
        <w:tabs>
          <w:tab w:val="left" w:pos="567"/>
          <w:tab w:val="num" w:pos="1569"/>
          <w:tab w:val="num" w:pos="12305"/>
        </w:tabs>
        <w:autoSpaceDE w:val="0"/>
        <w:autoSpaceDN w:val="0"/>
        <w:spacing w:line="240" w:lineRule="auto"/>
        <w:ind w:left="0" w:firstLine="0"/>
        <w:rPr>
          <w:rFonts w:eastAsia="Calibri"/>
          <w:kern w:val="2"/>
          <w:lang w:eastAsia="en-US"/>
        </w:rPr>
      </w:pPr>
      <w:r w:rsidRPr="004A30A8">
        <w:rPr>
          <w:rFonts w:eastAsia="Calibri"/>
          <w:kern w:val="2"/>
          <w:lang w:eastAsia="en-US"/>
        </w:rPr>
        <w:t>Además, no escapa a est</w:t>
      </w:r>
      <w:r w:rsidR="00DA7CB3" w:rsidRPr="004A30A8">
        <w:rPr>
          <w:rFonts w:eastAsia="Calibri"/>
          <w:kern w:val="2"/>
          <w:lang w:eastAsia="en-US"/>
        </w:rPr>
        <w:t>a Corte</w:t>
      </w:r>
      <w:r w:rsidRPr="004A30A8">
        <w:rPr>
          <w:rFonts w:eastAsia="Calibri"/>
          <w:kern w:val="2"/>
          <w:lang w:eastAsia="en-US"/>
        </w:rPr>
        <w:t xml:space="preserve"> </w:t>
      </w:r>
      <w:r w:rsidR="008821E6" w:rsidRPr="004A30A8">
        <w:rPr>
          <w:rFonts w:eastAsia="Calibri"/>
          <w:kern w:val="2"/>
          <w:lang w:eastAsia="en-US"/>
        </w:rPr>
        <w:t xml:space="preserve">el contenido de </w:t>
      </w:r>
      <w:r w:rsidRPr="004A30A8">
        <w:rPr>
          <w:rFonts w:eastAsia="Calibri"/>
          <w:kern w:val="2"/>
          <w:lang w:eastAsia="en-US"/>
        </w:rPr>
        <w:t xml:space="preserve">las cartas elaboradas por clientes del supermercado que este aportó en apoyo de su contestación, en las cuales se recogían manifestaciones </w:t>
      </w:r>
      <w:r w:rsidR="0065295C" w:rsidRPr="004A30A8">
        <w:rPr>
          <w:rFonts w:eastAsia="Calibri"/>
          <w:kern w:val="2"/>
          <w:lang w:eastAsia="en-US"/>
        </w:rPr>
        <w:t>abiertamente discriminatorias</w:t>
      </w:r>
      <w:r w:rsidR="00690E40" w:rsidRPr="004A30A8">
        <w:rPr>
          <w:rFonts w:eastAsia="Calibri"/>
          <w:kern w:val="2"/>
          <w:lang w:eastAsia="en-US"/>
        </w:rPr>
        <w:t>,</w:t>
      </w:r>
      <w:r w:rsidR="0065295C" w:rsidRPr="004A30A8">
        <w:rPr>
          <w:rFonts w:eastAsia="Calibri"/>
          <w:kern w:val="2"/>
          <w:lang w:eastAsia="en-US"/>
        </w:rPr>
        <w:t xml:space="preserve"> </w:t>
      </w:r>
      <w:r w:rsidRPr="004A30A8">
        <w:rPr>
          <w:rFonts w:eastAsia="Calibri"/>
          <w:kern w:val="2"/>
          <w:lang w:eastAsia="en-US"/>
        </w:rPr>
        <w:t>tales como:</w:t>
      </w:r>
    </w:p>
    <w:p w14:paraId="3FAEDC51" w14:textId="3246E1FF" w:rsidR="009319A7" w:rsidRPr="004A30A8" w:rsidRDefault="009319A7" w:rsidP="009319A7">
      <w:pPr>
        <w:widowControl/>
        <w:tabs>
          <w:tab w:val="left" w:pos="567"/>
          <w:tab w:val="num" w:pos="1569"/>
          <w:tab w:val="num" w:pos="12305"/>
        </w:tabs>
        <w:autoSpaceDE w:val="0"/>
        <w:autoSpaceDN w:val="0"/>
        <w:spacing w:line="240" w:lineRule="auto"/>
        <w:rPr>
          <w:rFonts w:eastAsia="Calibri"/>
          <w:kern w:val="2"/>
          <w:lang w:eastAsia="en-US"/>
        </w:rPr>
      </w:pPr>
    </w:p>
    <w:p w14:paraId="6458D3EB" w14:textId="380216B7" w:rsidR="009319A7" w:rsidRPr="004A30A8" w:rsidRDefault="009319A7">
      <w:pPr>
        <w:pStyle w:val="Prrafodelista"/>
        <w:widowControl/>
        <w:numPr>
          <w:ilvl w:val="0"/>
          <w:numId w:val="8"/>
        </w:numPr>
        <w:tabs>
          <w:tab w:val="left" w:pos="567"/>
          <w:tab w:val="num" w:pos="1569"/>
          <w:tab w:val="num" w:pos="12305"/>
        </w:tabs>
        <w:autoSpaceDE w:val="0"/>
        <w:autoSpaceDN w:val="0"/>
        <w:spacing w:line="240" w:lineRule="auto"/>
        <w:rPr>
          <w:rFonts w:eastAsia="Calibri"/>
          <w:kern w:val="2"/>
          <w:lang w:eastAsia="en-US"/>
        </w:rPr>
      </w:pPr>
      <w:r w:rsidRPr="004A30A8">
        <w:rPr>
          <w:rFonts w:eastAsia="Calibri"/>
          <w:kern w:val="2"/>
          <w:lang w:eastAsia="en-US"/>
        </w:rPr>
        <w:t xml:space="preserve">“yo como madre de familia no estoy de acuerdo que hagan cosas en lugares </w:t>
      </w:r>
      <w:r w:rsidR="0065295C" w:rsidRPr="004A30A8">
        <w:rPr>
          <w:rFonts w:eastAsia="Calibri"/>
          <w:kern w:val="2"/>
          <w:lang w:eastAsia="en-US"/>
        </w:rPr>
        <w:t>públicos</w:t>
      </w:r>
      <w:r w:rsidRPr="004A30A8">
        <w:rPr>
          <w:rFonts w:eastAsia="Calibri"/>
          <w:kern w:val="2"/>
          <w:lang w:eastAsia="en-US"/>
        </w:rPr>
        <w:t xml:space="preserve"> […] ellos deben respetar y hacer sus cosas en otro lado y así evitarnos de malos ratos […] y así desprestigian ese local”</w:t>
      </w:r>
      <w:r w:rsidRPr="004A30A8">
        <w:rPr>
          <w:rStyle w:val="Refdenotaalpie"/>
          <w:rFonts w:eastAsia="Calibri"/>
          <w:kern w:val="2"/>
          <w:lang w:eastAsia="en-US"/>
        </w:rPr>
        <w:footnoteReference w:id="161"/>
      </w:r>
      <w:r w:rsidR="009F76C5" w:rsidRPr="004A30A8">
        <w:rPr>
          <w:rFonts w:eastAsia="Calibri"/>
          <w:kern w:val="2"/>
          <w:lang w:eastAsia="en-US"/>
        </w:rPr>
        <w:t>;</w:t>
      </w:r>
    </w:p>
    <w:p w14:paraId="2126704C" w14:textId="77777777" w:rsidR="009F76C5" w:rsidRPr="004A30A8" w:rsidRDefault="009F76C5" w:rsidP="009F76C5">
      <w:pPr>
        <w:pStyle w:val="Prrafodelista"/>
        <w:widowControl/>
        <w:tabs>
          <w:tab w:val="left" w:pos="567"/>
        </w:tabs>
        <w:autoSpaceDE w:val="0"/>
        <w:autoSpaceDN w:val="0"/>
        <w:spacing w:line="240" w:lineRule="auto"/>
        <w:rPr>
          <w:rFonts w:eastAsia="Calibri"/>
          <w:kern w:val="2"/>
          <w:lang w:eastAsia="en-US"/>
        </w:rPr>
      </w:pPr>
    </w:p>
    <w:p w14:paraId="03D41F19" w14:textId="0D87432D" w:rsidR="009319A7" w:rsidRPr="004A30A8" w:rsidRDefault="009319A7">
      <w:pPr>
        <w:pStyle w:val="Prrafodelista"/>
        <w:widowControl/>
        <w:numPr>
          <w:ilvl w:val="0"/>
          <w:numId w:val="8"/>
        </w:numPr>
        <w:tabs>
          <w:tab w:val="left" w:pos="567"/>
          <w:tab w:val="num" w:pos="1569"/>
          <w:tab w:val="num" w:pos="12305"/>
        </w:tabs>
        <w:autoSpaceDE w:val="0"/>
        <w:autoSpaceDN w:val="0"/>
        <w:spacing w:line="240" w:lineRule="auto"/>
        <w:rPr>
          <w:rFonts w:eastAsia="Calibri"/>
          <w:kern w:val="2"/>
          <w:lang w:eastAsia="en-US"/>
        </w:rPr>
      </w:pPr>
      <w:r w:rsidRPr="004A30A8">
        <w:rPr>
          <w:rFonts w:eastAsia="Calibri"/>
          <w:kern w:val="2"/>
          <w:lang w:eastAsia="en-US"/>
        </w:rPr>
        <w:t xml:space="preserve">“lo que sí estoy en desacuerdo es que hagan actos y manifestaciones escandalosas en público […] todos estos actos deben ser en privado y no estar exhibiéndose ocasionando rechazo en la gente y estupor en los niños, más </w:t>
      </w:r>
      <w:r w:rsidR="00DD23FD" w:rsidRPr="004A30A8">
        <w:rPr>
          <w:rFonts w:eastAsia="Calibri"/>
          <w:kern w:val="2"/>
          <w:lang w:eastAsia="en-US"/>
        </w:rPr>
        <w:t>aún</w:t>
      </w:r>
      <w:r w:rsidRPr="004A30A8">
        <w:rPr>
          <w:rFonts w:eastAsia="Calibri"/>
          <w:kern w:val="2"/>
          <w:lang w:eastAsia="en-US"/>
        </w:rPr>
        <w:t xml:space="preserve"> cuando uno tiene hijos menores de edad”</w:t>
      </w:r>
      <w:r w:rsidRPr="004A30A8">
        <w:rPr>
          <w:rStyle w:val="Refdenotaalpie"/>
          <w:rFonts w:eastAsia="Calibri"/>
          <w:kern w:val="2"/>
          <w:lang w:eastAsia="en-US"/>
        </w:rPr>
        <w:footnoteReference w:id="162"/>
      </w:r>
      <w:r w:rsidR="009F76C5" w:rsidRPr="004A30A8">
        <w:rPr>
          <w:rFonts w:eastAsia="Calibri"/>
          <w:kern w:val="2"/>
          <w:lang w:eastAsia="en-US"/>
        </w:rPr>
        <w:t>;</w:t>
      </w:r>
    </w:p>
    <w:p w14:paraId="3639BD43" w14:textId="77777777" w:rsidR="009F76C5" w:rsidRPr="004A30A8" w:rsidRDefault="009F76C5" w:rsidP="009F76C5">
      <w:pPr>
        <w:pStyle w:val="Prrafodelista"/>
        <w:rPr>
          <w:rFonts w:eastAsia="Calibri"/>
          <w:kern w:val="2"/>
          <w:lang w:eastAsia="en-US"/>
        </w:rPr>
      </w:pPr>
    </w:p>
    <w:p w14:paraId="2FC4BA72" w14:textId="45CDF805" w:rsidR="009319A7" w:rsidRPr="004A30A8" w:rsidRDefault="009F76C5">
      <w:pPr>
        <w:pStyle w:val="Prrafodelista"/>
        <w:widowControl/>
        <w:numPr>
          <w:ilvl w:val="0"/>
          <w:numId w:val="8"/>
        </w:numPr>
        <w:tabs>
          <w:tab w:val="left" w:pos="567"/>
          <w:tab w:val="num" w:pos="1569"/>
          <w:tab w:val="num" w:pos="12305"/>
        </w:tabs>
        <w:autoSpaceDE w:val="0"/>
        <w:autoSpaceDN w:val="0"/>
        <w:spacing w:line="240" w:lineRule="auto"/>
        <w:rPr>
          <w:rFonts w:eastAsia="Calibri"/>
          <w:kern w:val="2"/>
          <w:lang w:eastAsia="en-US"/>
        </w:rPr>
      </w:pPr>
      <w:r w:rsidRPr="004A30A8">
        <w:rPr>
          <w:rFonts w:eastAsia="Calibri"/>
          <w:kern w:val="2"/>
          <w:lang w:eastAsia="en-US"/>
        </w:rPr>
        <w:t xml:space="preserve">“expreso mi total rechazo a la exhibición inmoral de parejas en centro públicos con afluencia de personas y niños y más </w:t>
      </w:r>
      <w:r w:rsidR="00DD23FD" w:rsidRPr="004A30A8">
        <w:rPr>
          <w:rFonts w:eastAsia="Calibri"/>
          <w:kern w:val="2"/>
          <w:lang w:eastAsia="en-US"/>
        </w:rPr>
        <w:t>aún</w:t>
      </w:r>
      <w:r w:rsidRPr="004A30A8">
        <w:rPr>
          <w:rFonts w:eastAsia="Calibri"/>
          <w:kern w:val="2"/>
          <w:lang w:eastAsia="en-US"/>
        </w:rPr>
        <w:t xml:space="preserve"> si son homosexuales […] ya que [los niños] se confunden y los padres deben exigir que se respeten los buenos modales”</w:t>
      </w:r>
      <w:r w:rsidRPr="004A30A8">
        <w:rPr>
          <w:rStyle w:val="Refdenotaalpie"/>
          <w:rFonts w:eastAsia="Calibri"/>
          <w:kern w:val="2"/>
          <w:lang w:eastAsia="en-US"/>
        </w:rPr>
        <w:footnoteReference w:id="163"/>
      </w:r>
      <w:r w:rsidRPr="004A30A8">
        <w:rPr>
          <w:rFonts w:eastAsia="Calibri"/>
          <w:kern w:val="2"/>
          <w:lang w:eastAsia="en-US"/>
        </w:rPr>
        <w:t>;</w:t>
      </w:r>
    </w:p>
    <w:p w14:paraId="6A1580F9" w14:textId="77777777" w:rsidR="009F76C5" w:rsidRPr="004A30A8" w:rsidRDefault="009F76C5" w:rsidP="009F76C5">
      <w:pPr>
        <w:pStyle w:val="Prrafodelista"/>
        <w:rPr>
          <w:rFonts w:eastAsia="Calibri"/>
          <w:kern w:val="2"/>
          <w:lang w:eastAsia="en-US"/>
        </w:rPr>
      </w:pPr>
    </w:p>
    <w:p w14:paraId="7F1492EA" w14:textId="65977EAF" w:rsidR="009F76C5" w:rsidRPr="004A30A8" w:rsidRDefault="009F76C5">
      <w:pPr>
        <w:pStyle w:val="Prrafodelista"/>
        <w:widowControl/>
        <w:numPr>
          <w:ilvl w:val="0"/>
          <w:numId w:val="8"/>
        </w:numPr>
        <w:tabs>
          <w:tab w:val="left" w:pos="567"/>
          <w:tab w:val="num" w:pos="1569"/>
          <w:tab w:val="num" w:pos="12305"/>
        </w:tabs>
        <w:autoSpaceDE w:val="0"/>
        <w:autoSpaceDN w:val="0"/>
        <w:spacing w:line="240" w:lineRule="auto"/>
        <w:rPr>
          <w:rFonts w:eastAsia="Calibri"/>
          <w:kern w:val="2"/>
          <w:lang w:eastAsia="en-US"/>
        </w:rPr>
      </w:pPr>
      <w:r w:rsidRPr="004A30A8">
        <w:rPr>
          <w:rFonts w:eastAsia="Calibri"/>
          <w:kern w:val="2"/>
          <w:lang w:eastAsia="en-US"/>
        </w:rPr>
        <w:t>“no es posible que nuestros hijos sean testigos de actos absurdos que van en contra de la Ley de Dios”</w:t>
      </w:r>
      <w:r w:rsidRPr="004A30A8">
        <w:rPr>
          <w:rStyle w:val="Refdenotaalpie"/>
          <w:rFonts w:eastAsia="Calibri"/>
          <w:kern w:val="2"/>
          <w:lang w:eastAsia="en-US"/>
        </w:rPr>
        <w:footnoteReference w:id="164"/>
      </w:r>
      <w:r w:rsidRPr="004A30A8">
        <w:rPr>
          <w:rFonts w:eastAsia="Calibri"/>
          <w:kern w:val="2"/>
          <w:lang w:eastAsia="en-US"/>
        </w:rPr>
        <w:t>;</w:t>
      </w:r>
    </w:p>
    <w:p w14:paraId="66B05FCB" w14:textId="77777777" w:rsidR="009F76C5" w:rsidRPr="004A30A8" w:rsidRDefault="009F76C5" w:rsidP="009F76C5">
      <w:pPr>
        <w:pStyle w:val="Prrafodelista"/>
        <w:rPr>
          <w:rFonts w:eastAsia="Calibri"/>
          <w:kern w:val="2"/>
          <w:lang w:eastAsia="en-US"/>
        </w:rPr>
      </w:pPr>
    </w:p>
    <w:p w14:paraId="7FE3F163" w14:textId="582CDB95" w:rsidR="009F76C5" w:rsidRPr="004A30A8" w:rsidRDefault="009F76C5">
      <w:pPr>
        <w:pStyle w:val="Prrafodelista"/>
        <w:widowControl/>
        <w:numPr>
          <w:ilvl w:val="0"/>
          <w:numId w:val="8"/>
        </w:numPr>
        <w:tabs>
          <w:tab w:val="left" w:pos="567"/>
          <w:tab w:val="num" w:pos="1569"/>
          <w:tab w:val="num" w:pos="12305"/>
        </w:tabs>
        <w:autoSpaceDE w:val="0"/>
        <w:autoSpaceDN w:val="0"/>
        <w:spacing w:line="240" w:lineRule="auto"/>
        <w:rPr>
          <w:rFonts w:eastAsia="Calibri"/>
          <w:kern w:val="2"/>
          <w:lang w:eastAsia="en-US"/>
        </w:rPr>
      </w:pPr>
      <w:r w:rsidRPr="004A30A8">
        <w:rPr>
          <w:rFonts w:eastAsia="Calibri"/>
          <w:kern w:val="2"/>
          <w:lang w:eastAsia="en-US"/>
        </w:rPr>
        <w:t>“manifiesto mi descontento con los actos producidos por la manifestación MHOL (gays) que atentan contra la moral y las buenas costumbres […] día de la manifestación de este grupo gays estuve presente y fue horrible ver cómo se besaban entre ellos y ellas”</w:t>
      </w:r>
      <w:r w:rsidRPr="004A30A8">
        <w:rPr>
          <w:rStyle w:val="Refdenotaalpie"/>
          <w:rFonts w:eastAsia="Calibri"/>
          <w:kern w:val="2"/>
          <w:lang w:eastAsia="en-US"/>
        </w:rPr>
        <w:footnoteReference w:id="165"/>
      </w:r>
      <w:r w:rsidR="0065295C" w:rsidRPr="004A30A8">
        <w:rPr>
          <w:rFonts w:eastAsia="Calibri"/>
          <w:kern w:val="2"/>
          <w:lang w:eastAsia="en-US"/>
        </w:rPr>
        <w:t>.</w:t>
      </w:r>
    </w:p>
    <w:p w14:paraId="1C7DBBFA" w14:textId="77777777" w:rsidR="00140873" w:rsidRPr="004A30A8" w:rsidRDefault="00140873" w:rsidP="00140873">
      <w:pPr>
        <w:widowControl/>
        <w:tabs>
          <w:tab w:val="left" w:pos="567"/>
          <w:tab w:val="num" w:pos="12305"/>
        </w:tabs>
        <w:autoSpaceDE w:val="0"/>
        <w:autoSpaceDN w:val="0"/>
        <w:spacing w:line="240" w:lineRule="auto"/>
      </w:pPr>
    </w:p>
    <w:p w14:paraId="58CD1251" w14:textId="717E4E8B" w:rsidR="00DD4397" w:rsidRPr="004A30A8" w:rsidRDefault="001F62DF">
      <w:pPr>
        <w:widowControl/>
        <w:numPr>
          <w:ilvl w:val="0"/>
          <w:numId w:val="7"/>
        </w:numPr>
        <w:tabs>
          <w:tab w:val="left" w:pos="567"/>
          <w:tab w:val="num" w:pos="1569"/>
          <w:tab w:val="num" w:pos="12305"/>
        </w:tabs>
        <w:autoSpaceDE w:val="0"/>
        <w:autoSpaceDN w:val="0"/>
        <w:spacing w:line="240" w:lineRule="auto"/>
        <w:ind w:left="0" w:firstLine="0"/>
      </w:pPr>
      <w:r w:rsidRPr="004A30A8">
        <w:rPr>
          <w:rFonts w:eastAsia="Calibri"/>
          <w:kern w:val="2"/>
          <w:lang w:eastAsia="en-US"/>
        </w:rPr>
        <w:t>El</w:t>
      </w:r>
      <w:r w:rsidR="00140873" w:rsidRPr="004A30A8">
        <w:rPr>
          <w:rFonts w:eastAsia="Calibri"/>
          <w:kern w:val="2"/>
          <w:lang w:eastAsia="en-US"/>
        </w:rPr>
        <w:t xml:space="preserve"> </w:t>
      </w:r>
      <w:r w:rsidR="00140873" w:rsidRPr="004A30A8">
        <w:rPr>
          <w:rFonts w:eastAsiaTheme="minorHAnsi" w:cs="Garamond"/>
          <w:lang w:eastAsia="en-US"/>
        </w:rPr>
        <w:t>Tribunal</w:t>
      </w:r>
      <w:r w:rsidR="00140873" w:rsidRPr="004A30A8">
        <w:rPr>
          <w:rFonts w:eastAsia="Calibri"/>
          <w:kern w:val="2"/>
          <w:lang w:eastAsia="en-US"/>
        </w:rPr>
        <w:t xml:space="preserve"> advierte que, en el presente caso, l</w:t>
      </w:r>
      <w:r w:rsidR="00BB74B5" w:rsidRPr="004A30A8">
        <w:rPr>
          <w:rFonts w:eastAsia="Calibri"/>
          <w:kern w:val="2"/>
          <w:lang w:eastAsia="en-US"/>
        </w:rPr>
        <w:t xml:space="preserve">as autoridades </w:t>
      </w:r>
      <w:r w:rsidR="00FF0AE7" w:rsidRPr="004A30A8">
        <w:rPr>
          <w:rFonts w:eastAsia="Calibri"/>
          <w:kern w:val="2"/>
          <w:lang w:eastAsia="en-US"/>
        </w:rPr>
        <w:t xml:space="preserve">administrativas y judiciales </w:t>
      </w:r>
      <w:r w:rsidR="00BB74B5" w:rsidRPr="004A30A8">
        <w:rPr>
          <w:rFonts w:eastAsia="Calibri"/>
          <w:kern w:val="2"/>
          <w:lang w:eastAsia="en-US"/>
        </w:rPr>
        <w:t xml:space="preserve">peruanas tuvieron ante ellos fuertes indicios de </w:t>
      </w:r>
      <w:r w:rsidR="00BB74B5" w:rsidRPr="004A30A8">
        <w:rPr>
          <w:rFonts w:eastAsiaTheme="minorHAnsi" w:cs="Garamond"/>
          <w:lang w:eastAsia="en-US"/>
        </w:rPr>
        <w:t>discriminación</w:t>
      </w:r>
      <w:r w:rsidR="00DD23FD" w:rsidRPr="004A30A8">
        <w:rPr>
          <w:rFonts w:eastAsia="Calibri"/>
          <w:kern w:val="2"/>
          <w:lang w:eastAsia="en-US"/>
        </w:rPr>
        <w:t xml:space="preserve"> en razón de la orientación sexual del señor Olivera y su pareja, a través </w:t>
      </w:r>
      <w:r w:rsidR="00C40934" w:rsidRPr="004A30A8">
        <w:rPr>
          <w:rFonts w:eastAsia="Calibri"/>
          <w:kern w:val="2"/>
          <w:lang w:eastAsia="en-US"/>
        </w:rPr>
        <w:t>no solo de la propia denuncia interpuesta por el señor Olivera</w:t>
      </w:r>
      <w:r w:rsidR="000273BC" w:rsidRPr="004A30A8">
        <w:rPr>
          <w:rFonts w:eastAsia="Calibri"/>
          <w:kern w:val="2"/>
          <w:lang w:eastAsia="en-US"/>
        </w:rPr>
        <w:t xml:space="preserve"> y su testimonio</w:t>
      </w:r>
      <w:r w:rsidR="00C40934" w:rsidRPr="004A30A8">
        <w:rPr>
          <w:rFonts w:eastAsia="Calibri"/>
          <w:kern w:val="2"/>
          <w:lang w:eastAsia="en-US"/>
        </w:rPr>
        <w:t xml:space="preserve">, sino también </w:t>
      </w:r>
      <w:r w:rsidR="00DD23FD" w:rsidRPr="004A30A8">
        <w:rPr>
          <w:rFonts w:eastAsia="Calibri"/>
          <w:kern w:val="2"/>
          <w:lang w:eastAsia="en-US"/>
        </w:rPr>
        <w:t>de las declaraciones realizadas</w:t>
      </w:r>
      <w:r w:rsidR="00BB74B5" w:rsidRPr="004A30A8">
        <w:rPr>
          <w:rFonts w:eastAsia="Calibri"/>
          <w:kern w:val="2"/>
          <w:lang w:eastAsia="en-US"/>
        </w:rPr>
        <w:t xml:space="preserve"> por los trabajadores de Supermercados Peruanos</w:t>
      </w:r>
      <w:r w:rsidR="00EE0802" w:rsidRPr="004A30A8">
        <w:rPr>
          <w:rFonts w:eastAsia="Calibri"/>
          <w:kern w:val="2"/>
          <w:lang w:eastAsia="en-US"/>
        </w:rPr>
        <w:t xml:space="preserve"> S</w:t>
      </w:r>
      <w:r w:rsidR="008821E6" w:rsidRPr="004A30A8">
        <w:rPr>
          <w:rFonts w:eastAsia="Calibri"/>
          <w:kern w:val="2"/>
          <w:lang w:eastAsia="en-US"/>
        </w:rPr>
        <w:t>.</w:t>
      </w:r>
      <w:r w:rsidR="00EE0802" w:rsidRPr="004A30A8">
        <w:rPr>
          <w:rFonts w:eastAsia="Calibri"/>
          <w:kern w:val="2"/>
          <w:lang w:eastAsia="en-US"/>
        </w:rPr>
        <w:t>A</w:t>
      </w:r>
      <w:r w:rsidR="008821E6" w:rsidRPr="004A30A8">
        <w:rPr>
          <w:rFonts w:eastAsia="Calibri"/>
          <w:kern w:val="2"/>
          <w:lang w:eastAsia="en-US"/>
        </w:rPr>
        <w:t>.</w:t>
      </w:r>
      <w:r w:rsidR="009923B8" w:rsidRPr="004A30A8">
        <w:rPr>
          <w:rFonts w:eastAsia="Calibri"/>
          <w:kern w:val="2"/>
          <w:lang w:eastAsia="en-US"/>
        </w:rPr>
        <w:t>,</w:t>
      </w:r>
      <w:r w:rsidR="00BB74B5" w:rsidRPr="004A30A8">
        <w:rPr>
          <w:rFonts w:eastAsia="Calibri"/>
          <w:kern w:val="2"/>
          <w:lang w:eastAsia="en-US"/>
        </w:rPr>
        <w:t xml:space="preserve"> </w:t>
      </w:r>
      <w:r w:rsidR="00EE0802" w:rsidRPr="004A30A8">
        <w:rPr>
          <w:rFonts w:eastAsia="Calibri"/>
          <w:kern w:val="2"/>
          <w:lang w:eastAsia="en-US"/>
        </w:rPr>
        <w:t>así como de la propia estrategia de defensa del supermercado</w:t>
      </w:r>
      <w:r w:rsidR="00BB74B5" w:rsidRPr="004A30A8">
        <w:rPr>
          <w:rFonts w:eastAsia="Calibri"/>
          <w:kern w:val="2"/>
          <w:lang w:eastAsia="en-US"/>
        </w:rPr>
        <w:t xml:space="preserve">. </w:t>
      </w:r>
      <w:r w:rsidR="00DD4397" w:rsidRPr="004A30A8">
        <w:rPr>
          <w:lang w:val="es-ES"/>
        </w:rPr>
        <w:t xml:space="preserve">Por tanto, </w:t>
      </w:r>
      <w:r w:rsidR="00033A9E" w:rsidRPr="004A30A8">
        <w:t>una vez acreditada la presencia de tales indicios y toda vez que la Convención Americana estipula</w:t>
      </w:r>
      <w:r w:rsidR="00DD4397" w:rsidRPr="004A30A8">
        <w:t xml:space="preserve"> la prohibición de discriminación por orientación sexual, la eventual restricción de un derecho requería una fundamentación rigurosa y de mucho peso</w:t>
      </w:r>
      <w:r w:rsidR="00DD4397" w:rsidRPr="004A30A8">
        <w:rPr>
          <w:rStyle w:val="Refdenotaalpie"/>
        </w:rPr>
        <w:footnoteReference w:id="166"/>
      </w:r>
      <w:r w:rsidR="00033A9E" w:rsidRPr="004A30A8">
        <w:t xml:space="preserve">, correspondiendo a </w:t>
      </w:r>
      <w:r w:rsidR="00EE0802" w:rsidRPr="004A30A8">
        <w:t xml:space="preserve">las autoridades nacionales exigir a </w:t>
      </w:r>
      <w:r w:rsidR="00033A9E" w:rsidRPr="004A30A8">
        <w:t xml:space="preserve">la empresa </w:t>
      </w:r>
      <w:r w:rsidR="00EE0802" w:rsidRPr="004A30A8">
        <w:t xml:space="preserve">acusada </w:t>
      </w:r>
      <w:r w:rsidR="00033A9E" w:rsidRPr="004A30A8">
        <w:t>demostrar</w:t>
      </w:r>
      <w:r w:rsidR="00C40934" w:rsidRPr="004A30A8">
        <w:t>, o bien que</w:t>
      </w:r>
      <w:r w:rsidR="00033A9E" w:rsidRPr="004A30A8">
        <w:t xml:space="preserve"> s</w:t>
      </w:r>
      <w:r w:rsidR="00EE0802" w:rsidRPr="004A30A8">
        <w:t xml:space="preserve">us actos no tuvieron </w:t>
      </w:r>
      <w:r w:rsidR="00033A9E" w:rsidRPr="004A30A8">
        <w:t>un propósito ni un efecto discriminatorio</w:t>
      </w:r>
      <w:r w:rsidR="00033A9E" w:rsidRPr="004A30A8">
        <w:rPr>
          <w:rStyle w:val="Refdenotaalpie"/>
        </w:rPr>
        <w:footnoteReference w:id="167"/>
      </w:r>
      <w:r w:rsidR="00C40934" w:rsidRPr="004A30A8">
        <w:t xml:space="preserve">, o bien que existía una justificación objetiva y </w:t>
      </w:r>
      <w:r w:rsidR="00C40934" w:rsidRPr="004A30A8">
        <w:lastRenderedPageBreak/>
        <w:t>razonable</w:t>
      </w:r>
      <w:r w:rsidR="00C40934" w:rsidRPr="004A30A8">
        <w:rPr>
          <w:rStyle w:val="Refdenotaalpie"/>
        </w:rPr>
        <w:footnoteReference w:id="168"/>
      </w:r>
      <w:r w:rsidR="00C40934" w:rsidRPr="004A30A8">
        <w:t>, es decir, perseguía</w:t>
      </w:r>
      <w:r w:rsidR="000273BC" w:rsidRPr="004A30A8">
        <w:t>n</w:t>
      </w:r>
      <w:r w:rsidR="00C40934" w:rsidRPr="004A30A8">
        <w:t xml:space="preserve"> un fin legítimo y existía una relación razonable de proporcionalidad entre los medios utilizados y el fin perseguido</w:t>
      </w:r>
      <w:r w:rsidR="00C40934" w:rsidRPr="004A30A8">
        <w:rPr>
          <w:rStyle w:val="Refdenotaalpie"/>
        </w:rPr>
        <w:footnoteReference w:id="169"/>
      </w:r>
      <w:r w:rsidR="00033A9E" w:rsidRPr="004A30A8">
        <w:t>.</w:t>
      </w:r>
    </w:p>
    <w:p w14:paraId="36C3B78B" w14:textId="77777777" w:rsidR="008F2C85" w:rsidRPr="004A30A8" w:rsidRDefault="008F2C85" w:rsidP="008F2C85">
      <w:pPr>
        <w:widowControl/>
        <w:tabs>
          <w:tab w:val="left" w:pos="567"/>
        </w:tabs>
        <w:autoSpaceDE w:val="0"/>
        <w:autoSpaceDN w:val="0"/>
        <w:spacing w:line="240" w:lineRule="auto"/>
      </w:pPr>
    </w:p>
    <w:p w14:paraId="78CFA372" w14:textId="70AF6161" w:rsidR="003C04C2" w:rsidRPr="004A30A8" w:rsidRDefault="00033A9E" w:rsidP="00AC2D08">
      <w:pPr>
        <w:widowControl/>
        <w:numPr>
          <w:ilvl w:val="0"/>
          <w:numId w:val="7"/>
        </w:numPr>
        <w:tabs>
          <w:tab w:val="left" w:pos="567"/>
          <w:tab w:val="num" w:pos="1569"/>
          <w:tab w:val="num" w:pos="12305"/>
        </w:tabs>
        <w:autoSpaceDE w:val="0"/>
        <w:autoSpaceDN w:val="0"/>
        <w:spacing w:line="240" w:lineRule="auto"/>
        <w:ind w:left="0" w:firstLine="0"/>
      </w:pPr>
      <w:r w:rsidRPr="004A30A8">
        <w:t>Lo anterior no sucedió en el presente caso, donde</w:t>
      </w:r>
      <w:r w:rsidR="00EE0802" w:rsidRPr="004A30A8">
        <w:t xml:space="preserve"> las autoridades </w:t>
      </w:r>
      <w:r w:rsidR="008821E6" w:rsidRPr="004A30A8">
        <w:t xml:space="preserve">administrativas y </w:t>
      </w:r>
      <w:r w:rsidR="00EE0802" w:rsidRPr="004A30A8">
        <w:t>judiciales</w:t>
      </w:r>
      <w:r w:rsidR="00943DA0" w:rsidRPr="004A30A8">
        <w:t xml:space="preserve"> determinaron</w:t>
      </w:r>
      <w:r w:rsidR="00EE0802" w:rsidRPr="004A30A8">
        <w:t xml:space="preserve"> que el señor Olivera no había acreditado suficientemente la existencia de un trato discriminatorio</w:t>
      </w:r>
      <w:r w:rsidR="00C40934" w:rsidRPr="004A30A8">
        <w:t xml:space="preserve">, sin analizar debidamente los numerosos indicios </w:t>
      </w:r>
      <w:r w:rsidR="000273BC" w:rsidRPr="004A30A8">
        <w:t xml:space="preserve">existentes </w:t>
      </w:r>
      <w:r w:rsidR="00C40934" w:rsidRPr="004A30A8">
        <w:t xml:space="preserve">y </w:t>
      </w:r>
      <w:r w:rsidR="00A12F67" w:rsidRPr="004A30A8">
        <w:t>operando en favor de la empresa denunciada el principio de presunción de inocencia</w:t>
      </w:r>
      <w:r w:rsidR="00A12F67" w:rsidRPr="004A30A8">
        <w:rPr>
          <w:rStyle w:val="Refdenotaalpie"/>
        </w:rPr>
        <w:footnoteReference w:id="170"/>
      </w:r>
      <w:r w:rsidR="00F9191A" w:rsidRPr="004A30A8">
        <w:t xml:space="preserve">. </w:t>
      </w:r>
      <w:r w:rsidR="00EE0802" w:rsidRPr="004A30A8">
        <w:t>Así, en el ámbito administrativo</w:t>
      </w:r>
      <w:r w:rsidR="00A3634F" w:rsidRPr="004A30A8">
        <w:t>,</w:t>
      </w:r>
      <w:r w:rsidR="00EE0802" w:rsidRPr="004A30A8">
        <w:t xml:space="preserve"> la CPC exigió al señor Olivera demostrar que el trato que le fue exigido a él no le fue “igualmente exigido a otro consumidor”</w:t>
      </w:r>
      <w:r w:rsidR="008716E5" w:rsidRPr="004A30A8">
        <w:t xml:space="preserve"> señalando</w:t>
      </w:r>
      <w:r w:rsidR="00FF0AE7" w:rsidRPr="004A30A8">
        <w:t>,</w:t>
      </w:r>
      <w:r w:rsidR="008716E5" w:rsidRPr="004A30A8">
        <w:t xml:space="preserve"> como ejemplo</w:t>
      </w:r>
      <w:r w:rsidR="00FF0AE7" w:rsidRPr="004A30A8">
        <w:t>,</w:t>
      </w:r>
      <w:r w:rsidR="008716E5" w:rsidRPr="004A30A8">
        <w:t xml:space="preserve"> que el señor Olivera debía probar que “en el momento de impedir el ingreso a un consumidor, se permitió el ingreso a personas de otros rasgos raciales sin exigirles dichos requisitos</w:t>
      </w:r>
      <w:r w:rsidR="006C1CDB" w:rsidRPr="004A30A8">
        <w:t>”</w:t>
      </w:r>
      <w:r w:rsidR="00EE0802" w:rsidRPr="004A30A8">
        <w:rPr>
          <w:rStyle w:val="Refdenotaalpie"/>
        </w:rPr>
        <w:footnoteReference w:id="171"/>
      </w:r>
      <w:r w:rsidR="00EE0802" w:rsidRPr="004A30A8">
        <w:t>.</w:t>
      </w:r>
      <w:r w:rsidR="008716E5" w:rsidRPr="004A30A8">
        <w:t xml:space="preserve"> La Sala de Defensa de la Competencia, por su parte, también consideró que, como los hechos se sustentaban únicamente sobre las alegaciones de ambas partes, la cuestión no ameritaba mayor análisis</w:t>
      </w:r>
      <w:r w:rsidR="008716E5" w:rsidRPr="004A30A8">
        <w:rPr>
          <w:rStyle w:val="Refdenotaalpie"/>
        </w:rPr>
        <w:footnoteReference w:id="172"/>
      </w:r>
      <w:r w:rsidR="008716E5" w:rsidRPr="004A30A8">
        <w:t xml:space="preserve">. </w:t>
      </w:r>
      <w:r w:rsidR="00277194" w:rsidRPr="004A30A8">
        <w:t>Añadió, además, que debía existir “certeza sobre la infracción cometida”</w:t>
      </w:r>
      <w:r w:rsidR="00277194" w:rsidRPr="004A30A8">
        <w:rPr>
          <w:rStyle w:val="Refdenotaalpie"/>
        </w:rPr>
        <w:footnoteReference w:id="173"/>
      </w:r>
      <w:r w:rsidR="00277194" w:rsidRPr="004A30A8">
        <w:t xml:space="preserve">. </w:t>
      </w:r>
      <w:r w:rsidR="008821E6" w:rsidRPr="004A30A8">
        <w:t>Asimismo</w:t>
      </w:r>
      <w:r w:rsidR="008716E5" w:rsidRPr="004A30A8">
        <w:t>,</w:t>
      </w:r>
      <w:r w:rsidR="00FF0AE7" w:rsidRPr="004A30A8">
        <w:t xml:space="preserve"> en el ámbito judicial,</w:t>
      </w:r>
      <w:r w:rsidR="008716E5" w:rsidRPr="004A30A8">
        <w:t xml:space="preserve"> la Corte Superior de Justicia de Lima consideró que las pruebas aportadas por el señor Olivera no eran suficientes por ser solo prueba de parte, lo cual hizo que no hubiera “certeza en el juzgador” de que hubiera tenido lugar un trato discriminatorio</w:t>
      </w:r>
      <w:r w:rsidR="008716E5" w:rsidRPr="004A30A8">
        <w:rPr>
          <w:rStyle w:val="Refdenotaalpie"/>
        </w:rPr>
        <w:footnoteReference w:id="174"/>
      </w:r>
      <w:r w:rsidR="008716E5" w:rsidRPr="004A30A8">
        <w:t>. Lo anterior fue refrendado por la Corte Suprema de Justicia, la cual también consideró que la prueba no era suficiente al ser “</w:t>
      </w:r>
      <w:r w:rsidR="00BA1C3D" w:rsidRPr="004A30A8">
        <w:t>de parte</w:t>
      </w:r>
      <w:r w:rsidR="008716E5" w:rsidRPr="004A30A8">
        <w:t>”</w:t>
      </w:r>
      <w:r w:rsidR="00BA1C3D" w:rsidRPr="004A30A8">
        <w:t xml:space="preserve"> y no otorgar “certeza de los hechos ocurridos”</w:t>
      </w:r>
      <w:r w:rsidR="00BA1C3D" w:rsidRPr="004A30A8">
        <w:rPr>
          <w:rStyle w:val="Refdenotaalpie"/>
        </w:rPr>
        <w:footnoteReference w:id="175"/>
      </w:r>
      <w:r w:rsidR="00BA1C3D" w:rsidRPr="004A30A8">
        <w:t>.</w:t>
      </w:r>
      <w:r w:rsidR="008716E5" w:rsidRPr="004A30A8">
        <w:t xml:space="preserve"> </w:t>
      </w:r>
    </w:p>
    <w:p w14:paraId="2A2F0528" w14:textId="77777777" w:rsidR="00227DCD" w:rsidRPr="004A30A8" w:rsidRDefault="00227DCD" w:rsidP="001F62DF">
      <w:pPr>
        <w:widowControl/>
        <w:tabs>
          <w:tab w:val="left" w:pos="567"/>
        </w:tabs>
        <w:autoSpaceDE w:val="0"/>
        <w:autoSpaceDN w:val="0"/>
        <w:spacing w:line="240" w:lineRule="auto"/>
      </w:pPr>
    </w:p>
    <w:p w14:paraId="7A607015" w14:textId="3307143E" w:rsidR="00227DCD" w:rsidRPr="004A30A8" w:rsidRDefault="00ED6689">
      <w:pPr>
        <w:widowControl/>
        <w:numPr>
          <w:ilvl w:val="0"/>
          <w:numId w:val="7"/>
        </w:numPr>
        <w:tabs>
          <w:tab w:val="left" w:pos="567"/>
          <w:tab w:val="num" w:pos="1569"/>
          <w:tab w:val="num" w:pos="12305"/>
        </w:tabs>
        <w:autoSpaceDE w:val="0"/>
        <w:autoSpaceDN w:val="0"/>
        <w:spacing w:line="240" w:lineRule="auto"/>
        <w:ind w:left="0" w:firstLine="0"/>
        <w:rPr>
          <w:lang w:val="es-ES"/>
        </w:rPr>
      </w:pPr>
      <w:r w:rsidRPr="004A30A8">
        <w:t>La Corte</w:t>
      </w:r>
      <w:r w:rsidR="00C40934" w:rsidRPr="004A30A8">
        <w:t xml:space="preserve"> destaca, además, que e</w:t>
      </w:r>
      <w:r w:rsidR="00227DCD" w:rsidRPr="004A30A8">
        <w:rPr>
          <w:lang w:val="es-ES"/>
        </w:rPr>
        <w:t xml:space="preserve">n un contexto donde aún prevalecen prejuicios y existe una discriminación histórica y estructural contra personas </w:t>
      </w:r>
      <w:r w:rsidR="00F417CE" w:rsidRPr="004A30A8">
        <w:rPr>
          <w:lang w:val="es-ES"/>
        </w:rPr>
        <w:t>LGBTIQ+</w:t>
      </w:r>
      <w:r w:rsidR="00227DCD" w:rsidRPr="004A30A8">
        <w:rPr>
          <w:lang w:val="es-ES"/>
        </w:rPr>
        <w:t xml:space="preserve">, las instancias administrativas y los tribunales </w:t>
      </w:r>
      <w:r w:rsidR="00227DCD" w:rsidRPr="004A30A8">
        <w:t>deben</w:t>
      </w:r>
      <w:r w:rsidR="00227DCD" w:rsidRPr="004A30A8">
        <w:rPr>
          <w:lang w:val="es-ES"/>
        </w:rPr>
        <w:t xml:space="preserve"> ser especialmente cuidadosas a la hora de desechar o desvalorar testimonios pues esta práctica podría ser contraria a la Convención Americana. En ningún caso un testimonio puede ser infravalorado únicamente en razón de la orientación sexual, identidad de género o expresión de género de una persona. </w:t>
      </w:r>
    </w:p>
    <w:p w14:paraId="5ACC41AE" w14:textId="77777777" w:rsidR="003C04C2" w:rsidRPr="004A30A8" w:rsidRDefault="003C04C2" w:rsidP="003C04C2">
      <w:pPr>
        <w:widowControl/>
        <w:tabs>
          <w:tab w:val="left" w:pos="567"/>
        </w:tabs>
        <w:autoSpaceDE w:val="0"/>
        <w:autoSpaceDN w:val="0"/>
        <w:spacing w:line="240" w:lineRule="auto"/>
      </w:pPr>
    </w:p>
    <w:p w14:paraId="45EE5908" w14:textId="06099D25" w:rsidR="00BA1C3D" w:rsidRPr="004A30A8" w:rsidRDefault="00C40934">
      <w:pPr>
        <w:widowControl/>
        <w:numPr>
          <w:ilvl w:val="0"/>
          <w:numId w:val="7"/>
        </w:numPr>
        <w:tabs>
          <w:tab w:val="left" w:pos="567"/>
          <w:tab w:val="num" w:pos="1569"/>
          <w:tab w:val="num" w:pos="12305"/>
        </w:tabs>
        <w:autoSpaceDE w:val="0"/>
        <w:autoSpaceDN w:val="0"/>
        <w:spacing w:line="240" w:lineRule="auto"/>
        <w:ind w:left="0" w:firstLine="0"/>
      </w:pPr>
      <w:r w:rsidRPr="004A30A8">
        <w:lastRenderedPageBreak/>
        <w:t>En suma, las decisiones de las autoridades administrativas y judiciales impusieron un estándar probatorio donde, tal y como lo ilustró el señor Olivera en el acto de la audiencia pública ante este Tribunal, “lo único que podía acreditar la discriminación, o hubiese podido acreditar la discriminación era un video de exactamente el momento en que ocurrieron los hechos”</w:t>
      </w:r>
      <w:r w:rsidRPr="004A30A8">
        <w:rPr>
          <w:rStyle w:val="Refdenotaalpie"/>
        </w:rPr>
        <w:footnoteReference w:id="176"/>
      </w:r>
      <w:r w:rsidRPr="004A30A8">
        <w:t xml:space="preserve">, lo cual es, a todas luces, un estándar de prueba difícilmente alcanzable y desproporcionado. </w:t>
      </w:r>
      <w:r w:rsidR="00BA1C3D" w:rsidRPr="004A30A8">
        <w:t xml:space="preserve">En vista de lo anterior, </w:t>
      </w:r>
      <w:r w:rsidR="00EC2288" w:rsidRPr="004A30A8">
        <w:t>la Corte</w:t>
      </w:r>
      <w:r w:rsidR="00BA1C3D" w:rsidRPr="004A30A8">
        <w:t xml:space="preserve"> considera que</w:t>
      </w:r>
      <w:r w:rsidR="001F62DF" w:rsidRPr="004A30A8">
        <w:t>, si bien no le corresponde determinar las circunstancias fácticas de lo acaecido el 11 de agosto de 2004 en el Supermercado Santa Isabel</w:t>
      </w:r>
      <w:r w:rsidRPr="004A30A8">
        <w:t xml:space="preserve"> en relación con el encuentro existente entre el señor Olivera, su pareja y empleados de dicho supermercado</w:t>
      </w:r>
      <w:r w:rsidR="001F62DF" w:rsidRPr="004A30A8">
        <w:t>,</w:t>
      </w:r>
      <w:r w:rsidR="00BA1C3D" w:rsidRPr="004A30A8">
        <w:t xml:space="preserve"> la respuesta brindada por las autoridades nacionales </w:t>
      </w:r>
      <w:r w:rsidR="003C04C2" w:rsidRPr="004A30A8">
        <w:t>ante</w:t>
      </w:r>
      <w:r w:rsidR="00BA1C3D" w:rsidRPr="004A30A8">
        <w:t xml:space="preserve"> un</w:t>
      </w:r>
      <w:r w:rsidRPr="004A30A8">
        <w:t xml:space="preserve">a denuncia </w:t>
      </w:r>
      <w:r w:rsidR="00BA1C3D" w:rsidRPr="004A30A8">
        <w:t xml:space="preserve">donde existían indicios de un trato discriminatorio </w:t>
      </w:r>
      <w:r w:rsidR="003C04C2" w:rsidRPr="004A30A8">
        <w:t xml:space="preserve">brindado por una empresa con motivo de la </w:t>
      </w:r>
      <w:r w:rsidR="00BA1C3D" w:rsidRPr="004A30A8">
        <w:t xml:space="preserve">orientación sexual </w:t>
      </w:r>
      <w:r w:rsidR="003C04C2" w:rsidRPr="004A30A8">
        <w:t xml:space="preserve">del señor Olivera y su pareja </w:t>
      </w:r>
      <w:r w:rsidR="008716E5" w:rsidRPr="004A30A8">
        <w:t xml:space="preserve">supuso la imposición de </w:t>
      </w:r>
      <w:r w:rsidR="00227DCD" w:rsidRPr="004A30A8">
        <w:t xml:space="preserve">una exigencia </w:t>
      </w:r>
      <w:r w:rsidR="00936B52" w:rsidRPr="004A30A8">
        <w:t>probatori</w:t>
      </w:r>
      <w:r w:rsidR="00227DCD" w:rsidRPr="004A30A8">
        <w:t>a</w:t>
      </w:r>
      <w:r w:rsidR="00936B52" w:rsidRPr="004A30A8">
        <w:t xml:space="preserve"> contrari</w:t>
      </w:r>
      <w:r w:rsidR="00227DCD" w:rsidRPr="004A30A8">
        <w:t>a</w:t>
      </w:r>
      <w:r w:rsidR="00936B52" w:rsidRPr="004A30A8">
        <w:t xml:space="preserve"> a </w:t>
      </w:r>
      <w:r w:rsidR="00BA1C3D" w:rsidRPr="004A30A8">
        <w:t xml:space="preserve">los estándares mencionados </w:t>
      </w:r>
      <w:r w:rsidR="00BA1C3D" w:rsidRPr="004A30A8">
        <w:rPr>
          <w:i/>
          <w:iCs/>
        </w:rPr>
        <w:t>supra</w:t>
      </w:r>
      <w:r w:rsidR="00BA1C3D" w:rsidRPr="004A30A8">
        <w:t xml:space="preserve"> (párrs.</w:t>
      </w:r>
      <w:r w:rsidR="00936B52" w:rsidRPr="004A30A8">
        <w:t xml:space="preserve"> </w:t>
      </w:r>
      <w:r w:rsidR="00F9191A" w:rsidRPr="004A30A8">
        <w:t>104</w:t>
      </w:r>
      <w:r w:rsidR="00BA1C3D" w:rsidRPr="004A30A8">
        <w:t xml:space="preserve"> y </w:t>
      </w:r>
      <w:r w:rsidR="00F9191A" w:rsidRPr="004A30A8">
        <w:t>109</w:t>
      </w:r>
      <w:r w:rsidR="00BA1C3D" w:rsidRPr="004A30A8">
        <w:t>)</w:t>
      </w:r>
      <w:r w:rsidR="00F9191A" w:rsidRPr="004A30A8">
        <w:t xml:space="preserve">, lo cual </w:t>
      </w:r>
      <w:r w:rsidR="006C1CDB" w:rsidRPr="004A30A8">
        <w:t xml:space="preserve">se tradujo en </w:t>
      </w:r>
      <w:r w:rsidR="00F9191A" w:rsidRPr="004A30A8">
        <w:t>un incumplimiento con la obligación de realizar la correspondiente fiscalización en aras de eliminar eventuales prácticas y actitudes discriminatorias contra la comunidad LGBTIQ+.</w:t>
      </w:r>
    </w:p>
    <w:p w14:paraId="74D5A0A4" w14:textId="3EB9A7AF" w:rsidR="00CF41F9" w:rsidRPr="004A30A8" w:rsidRDefault="009117FF" w:rsidP="003153DF">
      <w:pPr>
        <w:pStyle w:val="Ttulo4"/>
        <w:spacing w:before="360" w:after="360"/>
      </w:pPr>
      <w:r w:rsidRPr="004A30A8">
        <w:t>B</w:t>
      </w:r>
      <w:r w:rsidR="00CF41F9" w:rsidRPr="004A30A8">
        <w:t>.4.2 Alegado uso discriminatorio de estereotipos sobre orientación sexual y expresión de género en sede administrativa</w:t>
      </w:r>
    </w:p>
    <w:p w14:paraId="51231C36" w14:textId="40581E59" w:rsidR="00CF41F9" w:rsidRPr="004A30A8" w:rsidRDefault="00FF0AE7">
      <w:pPr>
        <w:numPr>
          <w:ilvl w:val="0"/>
          <w:numId w:val="7"/>
        </w:numPr>
        <w:tabs>
          <w:tab w:val="left" w:pos="567"/>
          <w:tab w:val="num" w:pos="1569"/>
          <w:tab w:val="num" w:pos="12305"/>
        </w:tabs>
        <w:spacing w:line="240" w:lineRule="auto"/>
        <w:ind w:left="0" w:firstLine="0"/>
        <w:rPr>
          <w:lang w:val="es-ES"/>
        </w:rPr>
      </w:pPr>
      <w:r w:rsidRPr="004A30A8">
        <w:rPr>
          <w:lang w:val="es-ES"/>
        </w:rPr>
        <w:t xml:space="preserve">En lo que respecta a </w:t>
      </w:r>
      <w:r w:rsidR="00CF41F9" w:rsidRPr="004A30A8">
        <w:rPr>
          <w:lang w:val="es-ES"/>
        </w:rPr>
        <w:t>la respuesta brindada por las autoridades internas en sede administrativa</w:t>
      </w:r>
      <w:r w:rsidR="00F960C3" w:rsidRPr="004A30A8">
        <w:rPr>
          <w:lang w:val="es-ES"/>
        </w:rPr>
        <w:t>,</w:t>
      </w:r>
      <w:r w:rsidRPr="004A30A8">
        <w:rPr>
          <w:lang w:val="es-ES"/>
        </w:rPr>
        <w:t xml:space="preserve"> y más allá de las consideraciones ya realizadas sobre el estándar de prueba aplicado</w:t>
      </w:r>
      <w:r w:rsidR="00690E40" w:rsidRPr="004A30A8">
        <w:rPr>
          <w:lang w:val="es-ES"/>
        </w:rPr>
        <w:t xml:space="preserve"> en el marco del procedimiento en su conjunto</w:t>
      </w:r>
      <w:r w:rsidRPr="004A30A8">
        <w:rPr>
          <w:lang w:val="es-ES"/>
        </w:rPr>
        <w:t xml:space="preserve">, </w:t>
      </w:r>
      <w:r w:rsidR="00D0090E" w:rsidRPr="004A30A8">
        <w:rPr>
          <w:lang w:val="es-ES"/>
        </w:rPr>
        <w:t>la Corte</w:t>
      </w:r>
      <w:r w:rsidR="00CF41F9" w:rsidRPr="004A30A8">
        <w:rPr>
          <w:lang w:val="es-ES"/>
        </w:rPr>
        <w:t xml:space="preserve"> observa que</w:t>
      </w:r>
      <w:r w:rsidR="00D0090E" w:rsidRPr="004A30A8">
        <w:rPr>
          <w:lang w:val="es-ES"/>
        </w:rPr>
        <w:t>,</w:t>
      </w:r>
      <w:r w:rsidR="00CF41F9" w:rsidRPr="004A30A8">
        <w:rPr>
          <w:lang w:val="es-ES"/>
        </w:rPr>
        <w:t xml:space="preserve"> en la Resolución de 31 de agosto de 2005</w:t>
      </w:r>
      <w:r w:rsidR="00D0090E" w:rsidRPr="004A30A8">
        <w:rPr>
          <w:lang w:val="es-ES"/>
        </w:rPr>
        <w:t>,</w:t>
      </w:r>
      <w:r w:rsidR="00CF41F9" w:rsidRPr="004A30A8">
        <w:rPr>
          <w:lang w:val="es-ES"/>
        </w:rPr>
        <w:t xml:space="preserve"> la CPC analizó por primera vez la denuncia interpuesta por el señor Olivera, teniendo como punto de partida </w:t>
      </w:r>
      <w:r w:rsidRPr="004A30A8">
        <w:rPr>
          <w:lang w:val="es-ES"/>
        </w:rPr>
        <w:t>cuestionarse</w:t>
      </w:r>
      <w:r w:rsidR="00CF41F9" w:rsidRPr="004A30A8">
        <w:rPr>
          <w:lang w:val="es-ES"/>
        </w:rPr>
        <w:t xml:space="preserve"> si era “justificado exigir mayor prudencia a las parejas homosexuales” respecto de sus conductas afectivas cuando estas </w:t>
      </w:r>
      <w:r w:rsidR="00793F68" w:rsidRPr="004A30A8">
        <w:rPr>
          <w:lang w:val="es-ES"/>
        </w:rPr>
        <w:t>fueran desarrolladas</w:t>
      </w:r>
      <w:r w:rsidR="00CF41F9" w:rsidRPr="004A30A8">
        <w:rPr>
          <w:lang w:val="es-ES"/>
        </w:rPr>
        <w:t xml:space="preserve"> en la presencia de niños</w:t>
      </w:r>
      <w:r w:rsidR="00793F68" w:rsidRPr="004A30A8">
        <w:rPr>
          <w:lang w:val="es-ES"/>
        </w:rPr>
        <w:t xml:space="preserve"> y niñas</w:t>
      </w:r>
      <w:r w:rsidR="00CF41F9" w:rsidRPr="004A30A8">
        <w:rPr>
          <w:lang w:val="es-ES"/>
        </w:rPr>
        <w:t>, como sucedió en el presente caso</w:t>
      </w:r>
      <w:r w:rsidR="00CF41F9" w:rsidRPr="004A30A8">
        <w:rPr>
          <w:rStyle w:val="Refdenotaalpie"/>
        </w:rPr>
        <w:footnoteReference w:id="177"/>
      </w:r>
      <w:r w:rsidR="00CF41F9" w:rsidRPr="004A30A8">
        <w:rPr>
          <w:lang w:val="es-ES"/>
        </w:rPr>
        <w:t xml:space="preserve">. El planteamiento refleja, </w:t>
      </w:r>
      <w:r w:rsidR="00CF41F9" w:rsidRPr="004A30A8">
        <w:rPr>
          <w:i/>
          <w:iCs/>
          <w:lang w:val="es-ES"/>
        </w:rPr>
        <w:t>ab initio</w:t>
      </w:r>
      <w:r w:rsidR="00CF41F9" w:rsidRPr="004A30A8">
        <w:rPr>
          <w:lang w:val="es-ES"/>
        </w:rPr>
        <w:t xml:space="preserve">, un trato desigual a la hora de entender los actos románticos expresados por parejas homosexuales frente a las heterosexuales. A este respecto, </w:t>
      </w:r>
      <w:r w:rsidR="00CF41F9" w:rsidRPr="004A30A8">
        <w:t xml:space="preserve">la Convención Americana –entendida a la luz de los estándares internacionales sobre empresas privadas y derechos humanos– obliga a los Estados a exigir a las empresas privadas una estricta igualdad de trato entre personas </w:t>
      </w:r>
      <w:r w:rsidR="00F417CE" w:rsidRPr="004A30A8">
        <w:t>LGBTIQ+</w:t>
      </w:r>
      <w:r w:rsidR="00CF41F9" w:rsidRPr="004A30A8">
        <w:t xml:space="preserve"> y personas heterosexuales en materia de afecto público.</w:t>
      </w:r>
    </w:p>
    <w:p w14:paraId="4AFE1A9C" w14:textId="77777777" w:rsidR="00CF41F9" w:rsidRPr="004A30A8" w:rsidRDefault="00CF41F9" w:rsidP="00CF41F9">
      <w:pPr>
        <w:tabs>
          <w:tab w:val="left" w:pos="567"/>
        </w:tabs>
        <w:spacing w:line="240" w:lineRule="auto"/>
        <w:rPr>
          <w:lang w:val="es-ES"/>
        </w:rPr>
      </w:pPr>
    </w:p>
    <w:p w14:paraId="3FABEF93" w14:textId="3065B622" w:rsidR="00690E40" w:rsidRPr="004A30A8" w:rsidRDefault="00CF41F9" w:rsidP="00501A43">
      <w:pPr>
        <w:numPr>
          <w:ilvl w:val="0"/>
          <w:numId w:val="7"/>
        </w:numPr>
        <w:tabs>
          <w:tab w:val="left" w:pos="567"/>
          <w:tab w:val="num" w:pos="1569"/>
          <w:tab w:val="num" w:pos="12305"/>
        </w:tabs>
        <w:spacing w:line="240" w:lineRule="auto"/>
        <w:ind w:left="0" w:firstLine="0"/>
        <w:rPr>
          <w:lang w:val="es-ES"/>
        </w:rPr>
      </w:pPr>
      <w:r w:rsidRPr="004A30A8">
        <w:rPr>
          <w:lang w:val="es-ES"/>
        </w:rPr>
        <w:t>Este trato desigual se vio además profundizado por las siguientes consideraciones que realizó la CPC respecto a la existencia o no de un “consenso científico” sobre las consecuencias de la exposición de los niños a “conductas homosexuales”, apoyándose, entre otros, en un informe aportado por Supermercados Peruanos S</w:t>
      </w:r>
      <w:r w:rsidR="00FB645B" w:rsidRPr="004A30A8">
        <w:rPr>
          <w:lang w:val="es-ES"/>
        </w:rPr>
        <w:t>.</w:t>
      </w:r>
      <w:r w:rsidRPr="004A30A8">
        <w:rPr>
          <w:lang w:val="es-ES"/>
        </w:rPr>
        <w:t>A</w:t>
      </w:r>
      <w:r w:rsidR="00FB645B" w:rsidRPr="004A30A8">
        <w:rPr>
          <w:lang w:val="es-ES"/>
        </w:rPr>
        <w:t>.</w:t>
      </w:r>
      <w:r w:rsidRPr="004A30A8">
        <w:rPr>
          <w:lang w:val="es-ES"/>
        </w:rPr>
        <w:t xml:space="preserve"> y elaborado por el psiquiatra R.F, donde</w:t>
      </w:r>
      <w:r w:rsidR="00EA082D" w:rsidRPr="004A30A8">
        <w:rPr>
          <w:lang w:val="es-ES"/>
        </w:rPr>
        <w:t xml:space="preserve"> </w:t>
      </w:r>
      <w:r w:rsidRPr="004A30A8">
        <w:rPr>
          <w:lang w:val="es-ES"/>
        </w:rPr>
        <w:t>señaló que era “muy importante para el desarrollo psicosexual normal de los niños” la presencia de un ambiente familiar “con un padre y una madre como referencia para su identificación sexual y el entendimiento de las relaciones de pareja”</w:t>
      </w:r>
      <w:r w:rsidRPr="004A30A8">
        <w:rPr>
          <w:rStyle w:val="Refdenotaalpie"/>
        </w:rPr>
        <w:footnoteReference w:id="178"/>
      </w:r>
      <w:r w:rsidRPr="004A30A8">
        <w:rPr>
          <w:lang w:val="es-ES"/>
        </w:rPr>
        <w:t xml:space="preserve">. Además, según dicho informe, asistir a “besos, abrazos y caricias” por parte </w:t>
      </w:r>
      <w:r w:rsidRPr="004A30A8">
        <w:rPr>
          <w:lang w:val="es-ES"/>
        </w:rPr>
        <w:lastRenderedPageBreak/>
        <w:t>parejas homosexuales tenía un impacto en la salud mental del niño</w:t>
      </w:r>
      <w:r w:rsidRPr="004A30A8">
        <w:rPr>
          <w:rStyle w:val="Refdenotaalpie"/>
        </w:rPr>
        <w:footnoteReference w:id="179"/>
      </w:r>
      <w:r w:rsidRPr="004A30A8">
        <w:rPr>
          <w:lang w:val="es-ES"/>
        </w:rPr>
        <w:t>, quebrando la comprensión de las relaciones afectivas entre un hombre y una mujer, “provocándole inseguridad y angustia”</w:t>
      </w:r>
      <w:r w:rsidRPr="004A30A8">
        <w:rPr>
          <w:rStyle w:val="Refdenotaalpie"/>
        </w:rPr>
        <w:footnoteReference w:id="180"/>
      </w:r>
      <w:r w:rsidRPr="004A30A8">
        <w:t xml:space="preserve">. </w:t>
      </w:r>
    </w:p>
    <w:p w14:paraId="33F19B89" w14:textId="77777777" w:rsidR="00F55DED" w:rsidRPr="004A30A8" w:rsidRDefault="00F55DED" w:rsidP="00F55DED">
      <w:pPr>
        <w:tabs>
          <w:tab w:val="left" w:pos="567"/>
          <w:tab w:val="num" w:pos="12305"/>
        </w:tabs>
        <w:spacing w:line="240" w:lineRule="auto"/>
        <w:rPr>
          <w:lang w:val="es-ES"/>
        </w:rPr>
      </w:pPr>
    </w:p>
    <w:p w14:paraId="3B4772CD" w14:textId="1067DCAB" w:rsidR="00CF41F9" w:rsidRPr="004A30A8" w:rsidRDefault="00CF41F9" w:rsidP="008458BD">
      <w:pPr>
        <w:widowControl/>
        <w:numPr>
          <w:ilvl w:val="0"/>
          <w:numId w:val="7"/>
        </w:numPr>
        <w:tabs>
          <w:tab w:val="left" w:pos="567"/>
          <w:tab w:val="num" w:pos="1569"/>
          <w:tab w:val="num" w:pos="12305"/>
        </w:tabs>
        <w:autoSpaceDE w:val="0"/>
        <w:autoSpaceDN w:val="0"/>
        <w:spacing w:line="240" w:lineRule="auto"/>
        <w:ind w:left="0" w:firstLine="0"/>
      </w:pPr>
      <w:r w:rsidRPr="004A30A8">
        <w:t xml:space="preserve">Lejos de rechazar estas consideraciones por su carácter homófobo y de </w:t>
      </w:r>
      <w:r w:rsidRPr="004A30A8">
        <w:rPr>
          <w:lang w:val="es-ES"/>
        </w:rPr>
        <w:t xml:space="preserve">patologización de la </w:t>
      </w:r>
      <w:r w:rsidR="00EA082D" w:rsidRPr="004A30A8">
        <w:rPr>
          <w:lang w:val="es-ES"/>
        </w:rPr>
        <w:t>homosexualidad</w:t>
      </w:r>
      <w:r w:rsidRPr="004A30A8">
        <w:t xml:space="preserve">, </w:t>
      </w:r>
      <w:r w:rsidRPr="004A30A8">
        <w:rPr>
          <w:lang w:val="es-ES"/>
        </w:rPr>
        <w:t>la CPC hizo uso de dicho informe</w:t>
      </w:r>
      <w:r w:rsidR="00690E40" w:rsidRPr="004A30A8">
        <w:rPr>
          <w:lang w:val="es-ES"/>
        </w:rPr>
        <w:t>,</w:t>
      </w:r>
      <w:r w:rsidRPr="004A30A8">
        <w:rPr>
          <w:lang w:val="es-ES"/>
        </w:rPr>
        <w:t xml:space="preserve"> destacando lo señalado por el referido psiquiatra respecto a que el entorno puede condicionar las conductas psicosexuales de las personas, “pudiendo darse una mayor influencia en los niños expuestos a las conductas homosexuales”, resaltando,</w:t>
      </w:r>
      <w:r w:rsidR="00690E40" w:rsidRPr="004A30A8">
        <w:rPr>
          <w:lang w:val="es-ES"/>
        </w:rPr>
        <w:t xml:space="preserve"> </w:t>
      </w:r>
      <w:r w:rsidRPr="004A30A8">
        <w:rPr>
          <w:lang w:val="es-ES"/>
        </w:rPr>
        <w:t>además</w:t>
      </w:r>
      <w:r w:rsidR="00690E40" w:rsidRPr="004A30A8">
        <w:rPr>
          <w:lang w:val="es-ES"/>
        </w:rPr>
        <w:t>,</w:t>
      </w:r>
      <w:r w:rsidRPr="004A30A8">
        <w:rPr>
          <w:lang w:val="es-ES"/>
        </w:rPr>
        <w:t xml:space="preserve"> “los efectos negativos que sobre la infancia tendría la exposición de los menores de edad a los estilos de vida gay o a la visión inopinada de intercambios eróticos entre personas del mismo sexo”</w:t>
      </w:r>
      <w:r w:rsidRPr="004A30A8">
        <w:rPr>
          <w:rStyle w:val="Refdenotaalpie"/>
        </w:rPr>
        <w:footnoteReference w:id="181"/>
      </w:r>
      <w:r w:rsidRPr="004A30A8">
        <w:rPr>
          <w:lang w:val="es-ES"/>
        </w:rPr>
        <w:t xml:space="preserve">. </w:t>
      </w:r>
      <w:r w:rsidRPr="004A30A8">
        <w:t xml:space="preserve">A este respecto, </w:t>
      </w:r>
      <w:r w:rsidR="004902B5" w:rsidRPr="004A30A8">
        <w:t>la Corte</w:t>
      </w:r>
      <w:r w:rsidRPr="004A30A8">
        <w:t xml:space="preserve"> recuerda que el objetivo general de proteger el principio del interés superior del niño es, en sí mismo, un fin legítimo y es, además, imperioso. </w:t>
      </w:r>
      <w:r w:rsidR="00227DCD" w:rsidRPr="004A30A8">
        <w:t xml:space="preserve">Ahora bien, lo anterior no puede ser empleado como un argumento para justificar </w:t>
      </w:r>
      <w:r w:rsidR="00132FAC" w:rsidRPr="004A30A8">
        <w:t>actos discriminatorios en razón de la</w:t>
      </w:r>
      <w:r w:rsidR="00227DCD" w:rsidRPr="004A30A8">
        <w:t xml:space="preserve"> orientación sexual</w:t>
      </w:r>
      <w:r w:rsidR="0041083E" w:rsidRPr="004A30A8">
        <w:t>.</w:t>
      </w:r>
      <w:r w:rsidR="00227DCD" w:rsidRPr="004A30A8">
        <w:t xml:space="preserve"> </w:t>
      </w:r>
    </w:p>
    <w:p w14:paraId="65897826" w14:textId="77777777" w:rsidR="00F55DED" w:rsidRPr="004A30A8" w:rsidRDefault="00F55DED" w:rsidP="00F55DED">
      <w:pPr>
        <w:tabs>
          <w:tab w:val="left" w:pos="567"/>
        </w:tabs>
        <w:spacing w:line="240" w:lineRule="auto"/>
        <w:rPr>
          <w:lang w:val="es-ES"/>
        </w:rPr>
      </w:pPr>
    </w:p>
    <w:p w14:paraId="4B98E6B0" w14:textId="6FCAC356" w:rsidR="00480061" w:rsidRPr="004A30A8" w:rsidRDefault="00CF41F9">
      <w:pPr>
        <w:numPr>
          <w:ilvl w:val="0"/>
          <w:numId w:val="7"/>
        </w:numPr>
        <w:tabs>
          <w:tab w:val="left" w:pos="567"/>
          <w:tab w:val="num" w:pos="1569"/>
          <w:tab w:val="num" w:pos="12305"/>
        </w:tabs>
        <w:spacing w:line="240" w:lineRule="auto"/>
        <w:ind w:left="0" w:firstLine="0"/>
        <w:rPr>
          <w:lang w:val="es-ES"/>
        </w:rPr>
      </w:pPr>
      <w:r w:rsidRPr="004A30A8">
        <w:rPr>
          <w:lang w:val="es-ES"/>
        </w:rPr>
        <w:t xml:space="preserve">Adicionalmente, </w:t>
      </w:r>
      <w:r w:rsidR="00431D6B" w:rsidRPr="004A30A8">
        <w:rPr>
          <w:lang w:val="es-ES"/>
        </w:rPr>
        <w:t>la Corte</w:t>
      </w:r>
      <w:r w:rsidRPr="004A30A8">
        <w:rPr>
          <w:lang w:val="es-ES"/>
        </w:rPr>
        <w:t xml:space="preserve"> advierte que el </w:t>
      </w:r>
      <w:r w:rsidR="006C743B" w:rsidRPr="004A30A8">
        <w:rPr>
          <w:lang w:val="es-ES"/>
        </w:rPr>
        <w:t xml:space="preserve">referido </w:t>
      </w:r>
      <w:r w:rsidRPr="004A30A8">
        <w:rPr>
          <w:lang w:val="es-ES"/>
        </w:rPr>
        <w:t>informe psiquiátrico elaborado por R.F.</w:t>
      </w:r>
      <w:r w:rsidR="00793F68" w:rsidRPr="004A30A8">
        <w:rPr>
          <w:lang w:val="es-ES"/>
        </w:rPr>
        <w:t>A.</w:t>
      </w:r>
      <w:r w:rsidRPr="004A30A8">
        <w:rPr>
          <w:lang w:val="es-ES"/>
        </w:rPr>
        <w:t xml:space="preserve"> aportado por Supermercados Peruanos S.A. definía los actos </w:t>
      </w:r>
      <w:r w:rsidR="00782C9F" w:rsidRPr="004A30A8">
        <w:rPr>
          <w:lang w:val="es-ES"/>
        </w:rPr>
        <w:t>entre</w:t>
      </w:r>
      <w:r w:rsidRPr="004A30A8">
        <w:rPr>
          <w:lang w:val="es-ES"/>
        </w:rPr>
        <w:t xml:space="preserve"> el señor Olivera y su pareja (caracterizados por las autoridades internas como “besos, abrazos y caricias”) como “escenas eróticas”</w:t>
      </w:r>
      <w:r w:rsidRPr="004A30A8">
        <w:rPr>
          <w:rStyle w:val="Refdenotaalpie"/>
        </w:rPr>
        <w:footnoteReference w:id="182"/>
      </w:r>
      <w:r w:rsidRPr="004A30A8">
        <w:rPr>
          <w:lang w:val="es-ES"/>
        </w:rPr>
        <w:t>. En ese mismo sentido, la CPC definió a estos actos como “manifestaciones eróticas”</w:t>
      </w:r>
      <w:r w:rsidRPr="004A30A8">
        <w:rPr>
          <w:rStyle w:val="Refdenotaalpie"/>
        </w:rPr>
        <w:footnoteReference w:id="183"/>
      </w:r>
      <w:r w:rsidRPr="004A30A8">
        <w:rPr>
          <w:lang w:val="es-ES"/>
        </w:rPr>
        <w:t xml:space="preserve">. Lo anterior fue confirmado por la Sala de Defensa de la Competencia, la cual hizo referencia a </w:t>
      </w:r>
      <w:r w:rsidR="00793F68" w:rsidRPr="004A30A8">
        <w:rPr>
          <w:lang w:val="es-ES"/>
        </w:rPr>
        <w:t xml:space="preserve">prueba </w:t>
      </w:r>
      <w:r w:rsidRPr="004A30A8">
        <w:rPr>
          <w:lang w:val="es-ES"/>
        </w:rPr>
        <w:t>documental presentada por la empresa denunciada donde se hacía referencia a que el señor Olivera y su pareja “se besaban y acariciaban”</w:t>
      </w:r>
      <w:r w:rsidR="006C743B" w:rsidRPr="004A30A8">
        <w:rPr>
          <w:lang w:val="es-ES"/>
        </w:rPr>
        <w:t>,</w:t>
      </w:r>
      <w:r w:rsidRPr="004A30A8">
        <w:rPr>
          <w:lang w:val="es-ES"/>
        </w:rPr>
        <w:t xml:space="preserve"> </w:t>
      </w:r>
      <w:r w:rsidRPr="004A30A8">
        <w:t>realizaban</w:t>
      </w:r>
      <w:r w:rsidRPr="004A30A8">
        <w:rPr>
          <w:lang w:val="es-ES"/>
        </w:rPr>
        <w:t xml:space="preserve"> “actos indebidos (acariciándose)”</w:t>
      </w:r>
      <w:r w:rsidR="006C743B" w:rsidRPr="004A30A8">
        <w:rPr>
          <w:lang w:val="es-ES"/>
        </w:rPr>
        <w:t>,</w:t>
      </w:r>
      <w:r w:rsidRPr="004A30A8">
        <w:rPr>
          <w:lang w:val="es-ES"/>
        </w:rPr>
        <w:t xml:space="preserve"> y se comportaban “de forma inmoral”, asumiendo </w:t>
      </w:r>
      <w:r w:rsidR="006C743B" w:rsidRPr="004A30A8">
        <w:rPr>
          <w:lang w:val="es-ES"/>
        </w:rPr>
        <w:t xml:space="preserve">de esta forma </w:t>
      </w:r>
      <w:r w:rsidRPr="004A30A8">
        <w:rPr>
          <w:lang w:val="es-ES"/>
        </w:rPr>
        <w:t>el relato de la empresa de que estos “actos de intimidad” eran “excesivos para ser realizados en público”</w:t>
      </w:r>
      <w:r w:rsidRPr="004A30A8">
        <w:rPr>
          <w:rStyle w:val="Refdenotaalpie"/>
        </w:rPr>
        <w:footnoteReference w:id="184"/>
      </w:r>
      <w:r w:rsidRPr="004A30A8">
        <w:rPr>
          <w:lang w:val="es-ES"/>
        </w:rPr>
        <w:t xml:space="preserve">. </w:t>
      </w:r>
      <w:r w:rsidRPr="004A30A8">
        <w:t xml:space="preserve">Dicha Sala hizo, además, una analogía del comportamiento del señor Olivera y su pareja con actos tales </w:t>
      </w:r>
      <w:r w:rsidR="00793F68" w:rsidRPr="004A30A8">
        <w:t xml:space="preserve">como </w:t>
      </w:r>
      <w:r w:rsidRPr="004A30A8">
        <w:t>“el nudismo, las relaciones sexuales, o las manifestaciones de pareja que no sean acordes con el carácter público del establecimiento y con la intimidad de las conductas</w:t>
      </w:r>
      <w:r w:rsidRPr="004A30A8">
        <w:rPr>
          <w:lang w:val="es-ES"/>
        </w:rPr>
        <w:t>”</w:t>
      </w:r>
      <w:r w:rsidRPr="004A30A8">
        <w:rPr>
          <w:rStyle w:val="Refdenotaalpie"/>
        </w:rPr>
        <w:footnoteReference w:id="185"/>
      </w:r>
      <w:r w:rsidRPr="004A30A8">
        <w:rPr>
          <w:lang w:val="es-ES"/>
        </w:rPr>
        <w:t>.</w:t>
      </w:r>
    </w:p>
    <w:p w14:paraId="11BE8EAC" w14:textId="77777777" w:rsidR="00CF41F9" w:rsidRPr="004A30A8" w:rsidRDefault="00CF41F9" w:rsidP="00CF41F9">
      <w:pPr>
        <w:tabs>
          <w:tab w:val="left" w:pos="567"/>
        </w:tabs>
        <w:spacing w:line="240" w:lineRule="auto"/>
        <w:rPr>
          <w:lang w:val="es-ES"/>
        </w:rPr>
      </w:pPr>
    </w:p>
    <w:p w14:paraId="43D6D4BD" w14:textId="4599D69F" w:rsidR="00CF41F9" w:rsidRPr="004A30A8" w:rsidRDefault="0041083E" w:rsidP="007327FA">
      <w:pPr>
        <w:numPr>
          <w:ilvl w:val="0"/>
          <w:numId w:val="7"/>
        </w:numPr>
        <w:tabs>
          <w:tab w:val="left" w:pos="567"/>
          <w:tab w:val="num" w:pos="1569"/>
          <w:tab w:val="num" w:pos="12305"/>
        </w:tabs>
        <w:spacing w:line="240" w:lineRule="auto"/>
        <w:ind w:left="0" w:firstLine="0"/>
        <w:rPr>
          <w:lang w:val="es-ES"/>
        </w:rPr>
      </w:pPr>
      <w:r w:rsidRPr="004A30A8">
        <w:t>Según la prueba documental aportada</w:t>
      </w:r>
      <w:r w:rsidR="00CF41F9" w:rsidRPr="004A30A8">
        <w:t>, las resoluciones administrativa</w:t>
      </w:r>
      <w:r w:rsidR="0081319D" w:rsidRPr="004A30A8">
        <w:t>s</w:t>
      </w:r>
      <w:r w:rsidR="00CF41F9" w:rsidRPr="004A30A8">
        <w:t xml:space="preserve"> </w:t>
      </w:r>
      <w:r w:rsidRPr="004A30A8">
        <w:t>concluyeron</w:t>
      </w:r>
      <w:r w:rsidR="00CF41F9" w:rsidRPr="004A30A8">
        <w:t xml:space="preserve"> sesgadamente que toda manifestación de afecto entre una pareja homosexual </w:t>
      </w:r>
      <w:r w:rsidR="000273BC" w:rsidRPr="004A30A8">
        <w:t>podría implicar</w:t>
      </w:r>
      <w:r w:rsidR="00CF41F9" w:rsidRPr="004A30A8">
        <w:t xml:space="preserve"> un aspecto erótico</w:t>
      </w:r>
      <w:r w:rsidRPr="004A30A8">
        <w:t>. Esta es una</w:t>
      </w:r>
      <w:r w:rsidR="00CF41F9" w:rsidRPr="004A30A8">
        <w:t xml:space="preserve"> interpretación que conlleva </w:t>
      </w:r>
      <w:r w:rsidR="00CF41F9" w:rsidRPr="004A30A8">
        <w:lastRenderedPageBreak/>
        <w:t>un</w:t>
      </w:r>
      <w:r w:rsidRPr="004A30A8">
        <w:t xml:space="preserve"> estereotipo negativo por orientación sexual que contiene una</w:t>
      </w:r>
      <w:r w:rsidR="00CF41F9" w:rsidRPr="004A30A8">
        <w:t xml:space="preserve"> carga peyorativa que no habría sido aplicada a una pareja heterosexual</w:t>
      </w:r>
      <w:r w:rsidR="00F32D1B" w:rsidRPr="004A30A8">
        <w:rPr>
          <w:rStyle w:val="Refdenotaalpie"/>
        </w:rPr>
        <w:footnoteReference w:id="186"/>
      </w:r>
      <w:r w:rsidR="00CF41F9" w:rsidRPr="004A30A8">
        <w:t xml:space="preserve">, al menos </w:t>
      </w:r>
      <w:r w:rsidRPr="004A30A8">
        <w:t>de</w:t>
      </w:r>
      <w:r w:rsidR="00CF41F9" w:rsidRPr="004A30A8">
        <w:t xml:space="preserve"> manera automática y sin un análisis detallado de lo sucedido y de los </w:t>
      </w:r>
      <w:r w:rsidR="00CF41F9" w:rsidRPr="004A30A8">
        <w:rPr>
          <w:lang w:val="es-PA"/>
        </w:rPr>
        <w:t>específicos</w:t>
      </w:r>
      <w:r w:rsidR="00CF41F9" w:rsidRPr="004A30A8">
        <w:t xml:space="preserve"> actos de afecto desplegados por la pareja</w:t>
      </w:r>
      <w:r w:rsidRPr="004A30A8">
        <w:t>. Esto</w:t>
      </w:r>
      <w:r w:rsidR="00CF41F9" w:rsidRPr="004A30A8">
        <w:t xml:space="preserve"> vició la ponderación de derechos realizada por los órganos administrativos y constituyó un acto discriminatorio por orientación sexual.</w:t>
      </w:r>
      <w:r w:rsidR="006C743B" w:rsidRPr="004A30A8">
        <w:t xml:space="preserve"> </w:t>
      </w:r>
      <w:r w:rsidR="00227DCD" w:rsidRPr="004A30A8">
        <w:rPr>
          <w:lang w:val="es-ES"/>
        </w:rPr>
        <w:t xml:space="preserve">En </w:t>
      </w:r>
      <w:r w:rsidR="00A67A99" w:rsidRPr="004A30A8">
        <w:rPr>
          <w:lang w:val="es-ES"/>
        </w:rPr>
        <w:t>efecto</w:t>
      </w:r>
      <w:r w:rsidR="00227DCD" w:rsidRPr="004A30A8">
        <w:rPr>
          <w:lang w:val="es-ES"/>
        </w:rPr>
        <w:t>, est</w:t>
      </w:r>
      <w:r w:rsidR="009E1948" w:rsidRPr="004A30A8">
        <w:rPr>
          <w:lang w:val="es-ES"/>
        </w:rPr>
        <w:t>a Cort</w:t>
      </w:r>
      <w:r w:rsidR="00227DCD" w:rsidRPr="004A30A8">
        <w:rPr>
          <w:lang w:val="es-ES"/>
        </w:rPr>
        <w:t>e encuentra que</w:t>
      </w:r>
      <w:r w:rsidR="009E1948" w:rsidRPr="004A30A8">
        <w:rPr>
          <w:lang w:val="es-ES"/>
        </w:rPr>
        <w:t>,</w:t>
      </w:r>
      <w:r w:rsidR="00227DCD" w:rsidRPr="004A30A8">
        <w:rPr>
          <w:lang w:val="es-ES"/>
        </w:rPr>
        <w:t xml:space="preserve"> en las distintas instancias nacionales</w:t>
      </w:r>
      <w:r w:rsidR="009E1948" w:rsidRPr="004A30A8">
        <w:rPr>
          <w:lang w:val="es-ES"/>
        </w:rPr>
        <w:t>,</w:t>
      </w:r>
      <w:r w:rsidR="00227DCD" w:rsidRPr="004A30A8">
        <w:rPr>
          <w:lang w:val="es-ES"/>
        </w:rPr>
        <w:t xml:space="preserve"> </w:t>
      </w:r>
      <w:r w:rsidR="00DE72BF" w:rsidRPr="004A30A8">
        <w:rPr>
          <w:lang w:val="es-ES"/>
        </w:rPr>
        <w:t>fueron valorados</w:t>
      </w:r>
      <w:r w:rsidR="00227DCD" w:rsidRPr="004A30A8">
        <w:rPr>
          <w:lang w:val="es-ES"/>
        </w:rPr>
        <w:t xml:space="preserve"> peritajes y testimonios con gran contenido de estereotipos. La apreciación de la </w:t>
      </w:r>
      <w:r w:rsidR="00227DCD" w:rsidRPr="004A30A8">
        <w:rPr>
          <w:lang w:val="es-PA"/>
        </w:rPr>
        <w:t>prueba</w:t>
      </w:r>
      <w:r w:rsidR="00227DCD" w:rsidRPr="004A30A8">
        <w:rPr>
          <w:lang w:val="es-ES"/>
        </w:rPr>
        <w:t xml:space="preserve"> no puede estar guiada por prejuicio</w:t>
      </w:r>
      <w:r w:rsidR="008C598C" w:rsidRPr="004A30A8">
        <w:rPr>
          <w:lang w:val="es-ES"/>
        </w:rPr>
        <w:t>s</w:t>
      </w:r>
      <w:r w:rsidR="00227DCD" w:rsidRPr="004A30A8">
        <w:rPr>
          <w:lang w:val="es-ES"/>
        </w:rPr>
        <w:t xml:space="preserve"> personales ni ideas preconcebidas sobre un sector minoritario de la población. Prueba</w:t>
      </w:r>
      <w:r w:rsidR="0070750B" w:rsidRPr="004A30A8">
        <w:rPr>
          <w:lang w:val="es-ES"/>
        </w:rPr>
        <w:t>s</w:t>
      </w:r>
      <w:r w:rsidR="00227DCD" w:rsidRPr="004A30A8">
        <w:rPr>
          <w:lang w:val="es-ES"/>
        </w:rPr>
        <w:t xml:space="preserve"> </w:t>
      </w:r>
      <w:r w:rsidR="00DE72BF" w:rsidRPr="004A30A8">
        <w:rPr>
          <w:lang w:val="es-ES"/>
        </w:rPr>
        <w:t xml:space="preserve">sin base científica y </w:t>
      </w:r>
      <w:r w:rsidR="00E75A5B" w:rsidRPr="004A30A8">
        <w:rPr>
          <w:lang w:val="es-ES"/>
        </w:rPr>
        <w:t>fundada</w:t>
      </w:r>
      <w:r w:rsidR="0070750B" w:rsidRPr="004A30A8">
        <w:rPr>
          <w:lang w:val="es-ES"/>
        </w:rPr>
        <w:t>s</w:t>
      </w:r>
      <w:r w:rsidR="00E75A5B" w:rsidRPr="004A30A8">
        <w:rPr>
          <w:lang w:val="es-ES"/>
        </w:rPr>
        <w:t xml:space="preserve"> en</w:t>
      </w:r>
      <w:r w:rsidR="00DE72BF" w:rsidRPr="004A30A8">
        <w:rPr>
          <w:lang w:val="es-ES"/>
        </w:rPr>
        <w:t xml:space="preserve"> prejuicios</w:t>
      </w:r>
      <w:r w:rsidR="00227DCD" w:rsidRPr="004A30A8">
        <w:rPr>
          <w:lang w:val="es-ES"/>
        </w:rPr>
        <w:t>, como la</w:t>
      </w:r>
      <w:r w:rsidR="0070750B" w:rsidRPr="004A30A8">
        <w:rPr>
          <w:lang w:val="es-ES"/>
        </w:rPr>
        <w:t>s</w:t>
      </w:r>
      <w:r w:rsidR="00227DCD" w:rsidRPr="004A30A8">
        <w:rPr>
          <w:lang w:val="es-ES"/>
        </w:rPr>
        <w:t xml:space="preserve"> </w:t>
      </w:r>
      <w:r w:rsidR="0070750B" w:rsidRPr="004A30A8">
        <w:rPr>
          <w:lang w:val="es-ES"/>
        </w:rPr>
        <w:t>valoradas</w:t>
      </w:r>
      <w:r w:rsidR="00227DCD" w:rsidRPr="004A30A8">
        <w:rPr>
          <w:lang w:val="es-ES"/>
        </w:rPr>
        <w:t xml:space="preserve"> en el caso concreto, </w:t>
      </w:r>
      <w:r w:rsidR="0070750B" w:rsidRPr="004A30A8">
        <w:rPr>
          <w:lang w:val="es-ES"/>
        </w:rPr>
        <w:t>son</w:t>
      </w:r>
      <w:r w:rsidR="004E1002" w:rsidRPr="004A30A8">
        <w:rPr>
          <w:lang w:val="es-ES"/>
        </w:rPr>
        <w:t xml:space="preserve"> discriminatoria</w:t>
      </w:r>
      <w:r w:rsidR="0070750B" w:rsidRPr="004A30A8">
        <w:rPr>
          <w:lang w:val="es-ES"/>
        </w:rPr>
        <w:t>s</w:t>
      </w:r>
      <w:r w:rsidR="004E1002" w:rsidRPr="004A30A8">
        <w:rPr>
          <w:lang w:val="es-ES"/>
        </w:rPr>
        <w:t xml:space="preserve"> y contraria</w:t>
      </w:r>
      <w:r w:rsidR="0070750B" w:rsidRPr="004A30A8">
        <w:rPr>
          <w:lang w:val="es-ES"/>
        </w:rPr>
        <w:t>s</w:t>
      </w:r>
      <w:r w:rsidR="004E1002" w:rsidRPr="004A30A8">
        <w:rPr>
          <w:lang w:val="es-ES"/>
        </w:rPr>
        <w:t xml:space="preserve"> a las</w:t>
      </w:r>
      <w:r w:rsidR="00227DCD" w:rsidRPr="004A30A8">
        <w:rPr>
          <w:lang w:val="es-ES"/>
        </w:rPr>
        <w:t xml:space="preserve"> </w:t>
      </w:r>
      <w:r w:rsidR="00DE72BF" w:rsidRPr="004A30A8">
        <w:rPr>
          <w:lang w:val="es-ES"/>
        </w:rPr>
        <w:t>categorías</w:t>
      </w:r>
      <w:r w:rsidR="00227DCD" w:rsidRPr="004A30A8">
        <w:rPr>
          <w:lang w:val="es-ES"/>
        </w:rPr>
        <w:t xml:space="preserve"> protegidas por la Convención Americana</w:t>
      </w:r>
      <w:r w:rsidR="004E1002" w:rsidRPr="004A30A8">
        <w:rPr>
          <w:lang w:val="es-ES"/>
        </w:rPr>
        <w:t xml:space="preserve"> en su artículo 1.1.</w:t>
      </w:r>
      <w:r w:rsidR="00227DCD" w:rsidRPr="004A30A8">
        <w:rPr>
          <w:lang w:val="es-ES"/>
        </w:rPr>
        <w:t xml:space="preserve"> </w:t>
      </w:r>
      <w:r w:rsidR="00A67A99" w:rsidRPr="004A30A8">
        <w:t>El Tribunal advierte, además, que este acto discriminatorio no fue corregido ni reparado posteriormente en sede judicial.</w:t>
      </w:r>
    </w:p>
    <w:p w14:paraId="23AC3898" w14:textId="77777777" w:rsidR="00CF41F9" w:rsidRPr="004A30A8" w:rsidRDefault="00CF41F9" w:rsidP="00CF41F9">
      <w:pPr>
        <w:tabs>
          <w:tab w:val="left" w:pos="567"/>
        </w:tabs>
        <w:spacing w:line="240" w:lineRule="auto"/>
        <w:rPr>
          <w:lang w:eastAsia="es-ES"/>
        </w:rPr>
      </w:pPr>
    </w:p>
    <w:p w14:paraId="2103E235" w14:textId="3A374006" w:rsidR="00CF41F9" w:rsidRPr="004A30A8" w:rsidRDefault="00CF41F9">
      <w:pPr>
        <w:numPr>
          <w:ilvl w:val="0"/>
          <w:numId w:val="7"/>
        </w:numPr>
        <w:tabs>
          <w:tab w:val="left" w:pos="567"/>
          <w:tab w:val="num" w:pos="1569"/>
          <w:tab w:val="num" w:pos="12305"/>
        </w:tabs>
        <w:spacing w:line="240" w:lineRule="auto"/>
        <w:ind w:left="0" w:firstLine="0"/>
      </w:pPr>
      <w:r w:rsidRPr="004A30A8">
        <w:rPr>
          <w:lang w:val="es-PA"/>
        </w:rPr>
        <w:t>La</w:t>
      </w:r>
      <w:r w:rsidRPr="004A30A8">
        <w:rPr>
          <w:rFonts w:cs="Arial"/>
        </w:rPr>
        <w:t xml:space="preserve"> Corte reitera que el derecho a ser juzgado por un juez o tribunal imparcial es una garantía fundamental del debido proceso, debiéndose garantizar que el juez o </w:t>
      </w:r>
      <w:r w:rsidRPr="004A30A8">
        <w:rPr>
          <w:lang w:val="es-ES"/>
        </w:rPr>
        <w:t>tribunal</w:t>
      </w:r>
      <w:r w:rsidRPr="004A30A8">
        <w:rPr>
          <w:rFonts w:cs="Arial"/>
        </w:rPr>
        <w:t xml:space="preserve"> en el ejercicio de su función como juzgador cuente con la mayor objetividad para enfrentar el juicio</w:t>
      </w:r>
      <w:r w:rsidRPr="004A30A8">
        <w:rPr>
          <w:rStyle w:val="Refdenotaalpie"/>
          <w:rFonts w:eastAsia="MS Mincho" w:cs="Arial"/>
        </w:rPr>
        <w:footnoteReference w:id="187"/>
      </w:r>
      <w:r w:rsidRPr="004A30A8">
        <w:rPr>
          <w:rFonts w:cs="Arial"/>
        </w:rPr>
        <w:t>. Este Tribunal ha establecido que la</w:t>
      </w:r>
      <w:r w:rsidR="008C598C" w:rsidRPr="004A30A8">
        <w:rPr>
          <w:rFonts w:cs="Arial"/>
        </w:rPr>
        <w:t xml:space="preserve"> </w:t>
      </w:r>
      <w:r w:rsidRPr="004A30A8">
        <w:rPr>
          <w:rFonts w:cs="Arial"/>
          <w:bCs/>
          <w:iCs/>
        </w:rPr>
        <w:t>imparcialidad</w:t>
      </w:r>
      <w:r w:rsidR="008C598C" w:rsidRPr="004A30A8">
        <w:rPr>
          <w:rFonts w:cs="Arial"/>
          <w:bCs/>
          <w:iCs/>
        </w:rPr>
        <w:t xml:space="preserve"> </w:t>
      </w:r>
      <w:r w:rsidRPr="004A30A8">
        <w:rPr>
          <w:rFonts w:cs="Arial"/>
        </w:rPr>
        <w:t xml:space="preserve">exige que el </w:t>
      </w:r>
      <w:r w:rsidR="00FF0AE7" w:rsidRPr="004A30A8">
        <w:rPr>
          <w:rFonts w:cs="Arial"/>
        </w:rPr>
        <w:t>juzgador</w:t>
      </w:r>
      <w:r w:rsidRPr="004A30A8">
        <w:rPr>
          <w:rFonts w:cs="Arial"/>
        </w:rPr>
        <w:t xml:space="preserve"> que interviene en una contienda particular se aproxime a los hechos de la causa careciendo, de manera subjetiva, de todo prejuicio y, asimismo, ofreciendo garantías suficientes de índole objetiva que </w:t>
      </w:r>
      <w:r w:rsidRPr="004A30A8">
        <w:t>inspiren la confianza necesaria a las partes en el caso, así como a los ciudadanos en una sociedad democrática</w:t>
      </w:r>
      <w:r w:rsidRPr="004A30A8">
        <w:rPr>
          <w:rStyle w:val="Refdenotaalpie"/>
          <w:rFonts w:eastAsia="MS Mincho"/>
        </w:rPr>
        <w:footnoteReference w:id="188"/>
      </w:r>
      <w:r w:rsidRPr="004A30A8">
        <w:t>.</w:t>
      </w:r>
      <w:r w:rsidRPr="004A30A8">
        <w:rPr>
          <w:rFonts w:cs="Arial"/>
        </w:rPr>
        <w:t xml:space="preserve"> </w:t>
      </w:r>
      <w:r w:rsidRPr="004A30A8">
        <w:rPr>
          <w:lang w:val="es-ES"/>
        </w:rPr>
        <w:t>La</w:t>
      </w:r>
      <w:r w:rsidRPr="004A30A8">
        <w:t xml:space="preserve"> Corte recuerda que ha reconocido que los prejuicios personales y los estereotipos de género </w:t>
      </w:r>
      <w:r w:rsidRPr="004A30A8">
        <w:rPr>
          <w:lang w:val="es-ES"/>
        </w:rPr>
        <w:t>afectan</w:t>
      </w:r>
      <w:r w:rsidRPr="004A30A8">
        <w:t xml:space="preserve"> la objetividad de los funcionarios estatales encargados </w:t>
      </w:r>
      <w:r w:rsidR="00277194" w:rsidRPr="004A30A8">
        <w:t xml:space="preserve">de investigar </w:t>
      </w:r>
      <w:r w:rsidRPr="004A30A8">
        <w:t>las</w:t>
      </w:r>
      <w:r w:rsidRPr="004A30A8">
        <w:rPr>
          <w:spacing w:val="12"/>
        </w:rPr>
        <w:t xml:space="preserve"> </w:t>
      </w:r>
      <w:r w:rsidRPr="004A30A8">
        <w:t>denuncias</w:t>
      </w:r>
      <w:r w:rsidRPr="004A30A8">
        <w:rPr>
          <w:spacing w:val="11"/>
        </w:rPr>
        <w:t xml:space="preserve"> </w:t>
      </w:r>
      <w:r w:rsidRPr="004A30A8">
        <w:t>que</w:t>
      </w:r>
      <w:r w:rsidRPr="004A30A8">
        <w:rPr>
          <w:spacing w:val="13"/>
        </w:rPr>
        <w:t xml:space="preserve"> </w:t>
      </w:r>
      <w:r w:rsidRPr="004A30A8">
        <w:t>se</w:t>
      </w:r>
      <w:r w:rsidRPr="004A30A8">
        <w:rPr>
          <w:spacing w:val="11"/>
        </w:rPr>
        <w:t xml:space="preserve"> </w:t>
      </w:r>
      <w:r w:rsidRPr="004A30A8">
        <w:t>les</w:t>
      </w:r>
      <w:r w:rsidRPr="004A30A8">
        <w:rPr>
          <w:spacing w:val="11"/>
        </w:rPr>
        <w:t xml:space="preserve"> </w:t>
      </w:r>
      <w:r w:rsidRPr="004A30A8">
        <w:t>presentan,</w:t>
      </w:r>
      <w:r w:rsidRPr="004A30A8">
        <w:rPr>
          <w:spacing w:val="11"/>
        </w:rPr>
        <w:t xml:space="preserve"> </w:t>
      </w:r>
      <w:r w:rsidRPr="004A30A8">
        <w:t>influyendo</w:t>
      </w:r>
      <w:r w:rsidRPr="004A30A8">
        <w:rPr>
          <w:spacing w:val="11"/>
        </w:rPr>
        <w:t xml:space="preserve"> </w:t>
      </w:r>
      <w:r w:rsidRPr="004A30A8">
        <w:t>en</w:t>
      </w:r>
      <w:r w:rsidRPr="004A30A8">
        <w:rPr>
          <w:spacing w:val="12"/>
        </w:rPr>
        <w:t xml:space="preserve"> </w:t>
      </w:r>
      <w:r w:rsidRPr="004A30A8">
        <w:t>su</w:t>
      </w:r>
      <w:r w:rsidRPr="004A30A8">
        <w:rPr>
          <w:spacing w:val="15"/>
        </w:rPr>
        <w:t xml:space="preserve"> </w:t>
      </w:r>
      <w:r w:rsidRPr="004A30A8">
        <w:t>percepción</w:t>
      </w:r>
      <w:r w:rsidRPr="004A30A8">
        <w:rPr>
          <w:spacing w:val="19"/>
        </w:rPr>
        <w:t xml:space="preserve"> </w:t>
      </w:r>
      <w:r w:rsidRPr="004A30A8">
        <w:t>para</w:t>
      </w:r>
      <w:r w:rsidRPr="004A30A8">
        <w:rPr>
          <w:spacing w:val="12"/>
        </w:rPr>
        <w:t xml:space="preserve"> </w:t>
      </w:r>
      <w:r w:rsidRPr="004A30A8">
        <w:t>determinar</w:t>
      </w:r>
      <w:r w:rsidR="00DF7FF5" w:rsidRPr="004A30A8">
        <w:t xml:space="preserve"> </w:t>
      </w:r>
      <w:r w:rsidRPr="004A30A8">
        <w:t xml:space="preserve">si </w:t>
      </w:r>
      <w:r w:rsidRPr="004A30A8">
        <w:rPr>
          <w:lang w:val="es-ES"/>
        </w:rPr>
        <w:t>ocurrió́</w:t>
      </w:r>
      <w:r w:rsidRPr="004A30A8">
        <w:t xml:space="preserve"> o no un hecho de violencia, en su evaluación de la credibilidad de los testigos y de</w:t>
      </w:r>
      <w:r w:rsidRPr="004A30A8">
        <w:rPr>
          <w:spacing w:val="1"/>
        </w:rPr>
        <w:t xml:space="preserve"> </w:t>
      </w:r>
      <w:r w:rsidRPr="004A30A8">
        <w:t xml:space="preserve">la propia víctima. </w:t>
      </w:r>
      <w:r w:rsidR="00793F68" w:rsidRPr="004A30A8">
        <w:t>En tal sentido, l</w:t>
      </w:r>
      <w:r w:rsidRPr="004A30A8">
        <w:t>os estereotipos “distorsionan las percepciones y dan lugar a decisiones</w:t>
      </w:r>
      <w:r w:rsidRPr="004A30A8">
        <w:rPr>
          <w:spacing w:val="1"/>
        </w:rPr>
        <w:t xml:space="preserve"> </w:t>
      </w:r>
      <w:r w:rsidRPr="004A30A8">
        <w:t xml:space="preserve">basadas en creencias preconcebidas y mitos, en lugar de hechos”, lo que a su vez puede </w:t>
      </w:r>
      <w:r w:rsidR="008E700A" w:rsidRPr="004A30A8">
        <w:t xml:space="preserve">dar </w:t>
      </w:r>
      <w:r w:rsidR="00DF7FF5" w:rsidRPr="004A30A8">
        <w:rPr>
          <w:spacing w:val="-68"/>
        </w:rPr>
        <w:t xml:space="preserve">  </w:t>
      </w:r>
      <w:r w:rsidR="00FF0AE7" w:rsidRPr="004A30A8">
        <w:t>lugar</w:t>
      </w:r>
      <w:r w:rsidRPr="004A30A8">
        <w:t xml:space="preserve"> a la denegación de justicia, incluida la revictimización de las denunciantes</w:t>
      </w:r>
      <w:r w:rsidRPr="004A30A8">
        <w:rPr>
          <w:rStyle w:val="Refdenotaalpie"/>
        </w:rPr>
        <w:footnoteReference w:id="189"/>
      </w:r>
      <w:r w:rsidRPr="004A30A8">
        <w:t>.</w:t>
      </w:r>
    </w:p>
    <w:p w14:paraId="2D09CD91" w14:textId="77777777" w:rsidR="00CF41F9" w:rsidRPr="004A30A8" w:rsidRDefault="00CF41F9" w:rsidP="00CF41F9">
      <w:pPr>
        <w:tabs>
          <w:tab w:val="left" w:pos="567"/>
        </w:tabs>
        <w:spacing w:line="240" w:lineRule="auto"/>
      </w:pPr>
    </w:p>
    <w:p w14:paraId="6C2003FF" w14:textId="62EFB3DE" w:rsidR="00CF41F9" w:rsidRPr="004A30A8" w:rsidRDefault="00A67A99">
      <w:pPr>
        <w:widowControl/>
        <w:numPr>
          <w:ilvl w:val="0"/>
          <w:numId w:val="7"/>
        </w:numPr>
        <w:tabs>
          <w:tab w:val="left" w:pos="567"/>
          <w:tab w:val="num" w:pos="1569"/>
          <w:tab w:val="num" w:pos="12305"/>
        </w:tabs>
        <w:autoSpaceDE w:val="0"/>
        <w:autoSpaceDN w:val="0"/>
        <w:spacing w:line="240" w:lineRule="auto"/>
        <w:ind w:left="0" w:firstLine="0"/>
        <w:rPr>
          <w:lang w:val="es-ES"/>
        </w:rPr>
      </w:pPr>
      <w:r w:rsidRPr="004A30A8">
        <w:rPr>
          <w:lang w:val="es-ES"/>
        </w:rPr>
        <w:t>En suma, e</w:t>
      </w:r>
      <w:r w:rsidR="00CF41F9" w:rsidRPr="004A30A8">
        <w:rPr>
          <w:lang w:val="es-ES"/>
        </w:rPr>
        <w:t xml:space="preserve">n el presente caso </w:t>
      </w:r>
      <w:r w:rsidR="00EC05B2" w:rsidRPr="004A30A8">
        <w:rPr>
          <w:lang w:val="es-ES"/>
        </w:rPr>
        <w:t>la Corte</w:t>
      </w:r>
      <w:r w:rsidR="00CF41F9" w:rsidRPr="004A30A8">
        <w:rPr>
          <w:lang w:val="es-ES"/>
        </w:rPr>
        <w:t xml:space="preserve"> advierte que las resoluciones administrativas apelaron a prejuicios sociales sobre actos afectivos realizados por una pareja </w:t>
      </w:r>
      <w:r w:rsidR="00CF41F9" w:rsidRPr="004A30A8">
        <w:rPr>
          <w:lang w:val="es-ES"/>
        </w:rPr>
        <w:lastRenderedPageBreak/>
        <w:t>homosexual y su alegado impacto</w:t>
      </w:r>
      <w:r w:rsidR="00FF0AE7" w:rsidRPr="004A30A8">
        <w:rPr>
          <w:lang w:val="es-ES"/>
        </w:rPr>
        <w:t xml:space="preserve"> sobre otras personas (y, en particular, niños</w:t>
      </w:r>
      <w:r w:rsidRPr="004A30A8">
        <w:rPr>
          <w:lang w:val="es-ES"/>
        </w:rPr>
        <w:t xml:space="preserve"> y</w:t>
      </w:r>
      <w:r w:rsidR="00DF7FF5" w:rsidRPr="004A30A8">
        <w:rPr>
          <w:lang w:val="es-ES"/>
        </w:rPr>
        <w:t xml:space="preserve"> </w:t>
      </w:r>
      <w:r w:rsidRPr="004A30A8">
        <w:rPr>
          <w:lang w:val="es-ES"/>
        </w:rPr>
        <w:t>niñas</w:t>
      </w:r>
      <w:r w:rsidR="00FF0AE7" w:rsidRPr="004A30A8">
        <w:rPr>
          <w:lang w:val="es-ES"/>
        </w:rPr>
        <w:t>)</w:t>
      </w:r>
      <w:r w:rsidR="00CF41F9" w:rsidRPr="004A30A8">
        <w:rPr>
          <w:lang w:val="es-ES"/>
        </w:rPr>
        <w:t>, amparando así el actuar del supermercado sin</w:t>
      </w:r>
      <w:r w:rsidRPr="004A30A8">
        <w:rPr>
          <w:lang w:val="es-ES"/>
        </w:rPr>
        <w:t xml:space="preserve"> un</w:t>
      </w:r>
      <w:r w:rsidR="00CF41F9" w:rsidRPr="004A30A8">
        <w:rPr>
          <w:lang w:val="es-ES"/>
        </w:rPr>
        <w:t xml:space="preserve"> mayor análisis de lo realmente acaecido y de las razones que habrían justificado el comportamiento de la empresa. </w:t>
      </w:r>
      <w:r w:rsidRPr="004A30A8">
        <w:rPr>
          <w:lang w:val="es-ES"/>
        </w:rPr>
        <w:t>En efecto, l</w:t>
      </w:r>
      <w:r w:rsidR="00CF41F9" w:rsidRPr="004A30A8">
        <w:rPr>
          <w:lang w:val="es-ES"/>
        </w:rPr>
        <w:t xml:space="preserve">as resoluciones administrativas estuvieron motivadas por razones discriminatorias con base en la orientación sexual del señor Olivera y su pareja, impidiendo así el acceso de este a un </w:t>
      </w:r>
      <w:r w:rsidR="00EA082D" w:rsidRPr="004A30A8">
        <w:rPr>
          <w:lang w:val="es-ES"/>
        </w:rPr>
        <w:t>órgano</w:t>
      </w:r>
      <w:r w:rsidR="00CF41F9" w:rsidRPr="004A30A8">
        <w:rPr>
          <w:lang w:val="es-ES"/>
        </w:rPr>
        <w:t xml:space="preserve"> imparcial que analizara la denuncia de conformidad con los estándares interamericanos del debido proceso. Lo anterior también tuvo un impacto, necesariamente, en el derecho a la libertad personal y a su vida privada</w:t>
      </w:r>
      <w:r w:rsidR="00FF0AE7" w:rsidRPr="004A30A8">
        <w:rPr>
          <w:lang w:val="es-ES"/>
        </w:rPr>
        <w:t>,</w:t>
      </w:r>
      <w:r w:rsidR="00CF41F9" w:rsidRPr="004A30A8">
        <w:rPr>
          <w:lang w:val="es-ES"/>
        </w:rPr>
        <w:t xml:space="preserve"> </w:t>
      </w:r>
      <w:r w:rsidR="00FF0AE7" w:rsidRPr="004A30A8">
        <w:t xml:space="preserve">toda vez que </w:t>
      </w:r>
      <w:r w:rsidR="006C743B" w:rsidRPr="004A30A8">
        <w:t>afectó al derecho del señor Olivera y su pareja a vivir su vida individual y social conforme a sus propias opciones y convicciones</w:t>
      </w:r>
      <w:r w:rsidR="006C743B" w:rsidRPr="004A30A8">
        <w:rPr>
          <w:rStyle w:val="Refdenotaalpie"/>
        </w:rPr>
        <w:footnoteReference w:id="190"/>
      </w:r>
      <w:r w:rsidR="006C743B" w:rsidRPr="004A30A8">
        <w:t xml:space="preserve"> y supuso una injerencia injustificada en el derecho a la autonomía personal, desarrollo personal y el derecho a establecer y desarrollar relaciones con otros seres humanos y con el mundo exterior</w:t>
      </w:r>
      <w:r w:rsidR="006C743B" w:rsidRPr="004A30A8">
        <w:rPr>
          <w:rStyle w:val="Refdenotaalpie"/>
        </w:rPr>
        <w:footnoteReference w:id="191"/>
      </w:r>
      <w:r w:rsidR="006C743B" w:rsidRPr="004A30A8">
        <w:t>.</w:t>
      </w:r>
      <w:r w:rsidR="00CF41F9" w:rsidRPr="004A30A8">
        <w:rPr>
          <w:lang w:val="es-ES"/>
        </w:rPr>
        <w:t xml:space="preserve"> </w:t>
      </w:r>
    </w:p>
    <w:p w14:paraId="025EB0CF" w14:textId="78B16DCC" w:rsidR="00B0535B" w:rsidRPr="004A30A8" w:rsidRDefault="009117FF" w:rsidP="00721B81">
      <w:pPr>
        <w:pStyle w:val="Ttulo4"/>
        <w:rPr>
          <w:b/>
          <w:bCs/>
        </w:rPr>
      </w:pPr>
      <w:r w:rsidRPr="004A30A8">
        <w:rPr>
          <w:bCs/>
        </w:rPr>
        <w:t>B</w:t>
      </w:r>
      <w:r w:rsidR="00B0535B" w:rsidRPr="004A30A8">
        <w:rPr>
          <w:bCs/>
        </w:rPr>
        <w:t xml:space="preserve">.4.3 </w:t>
      </w:r>
      <w:r w:rsidR="00B0535B" w:rsidRPr="004A30A8">
        <w:t>Plazo</w:t>
      </w:r>
      <w:r w:rsidR="00B0535B" w:rsidRPr="004A30A8">
        <w:rPr>
          <w:bCs/>
        </w:rPr>
        <w:t xml:space="preserve"> </w:t>
      </w:r>
      <w:r w:rsidR="00B0535B" w:rsidRPr="004A30A8">
        <w:t>razonable</w:t>
      </w:r>
    </w:p>
    <w:p w14:paraId="05B196FF" w14:textId="625805FB" w:rsidR="00B0535B" w:rsidRPr="004A30A8" w:rsidRDefault="00167600">
      <w:pPr>
        <w:numPr>
          <w:ilvl w:val="0"/>
          <w:numId w:val="7"/>
        </w:numPr>
        <w:tabs>
          <w:tab w:val="left" w:pos="567"/>
          <w:tab w:val="num" w:pos="1569"/>
          <w:tab w:val="num" w:pos="12305"/>
        </w:tabs>
        <w:spacing w:line="240" w:lineRule="auto"/>
        <w:ind w:left="0" w:firstLine="0"/>
        <w:textAlignment w:val="baseline"/>
        <w:rPr>
          <w:rFonts w:eastAsiaTheme="minorHAnsi" w:cs="Arial"/>
          <w:lang w:val="es-ES" w:eastAsia="en-US"/>
        </w:rPr>
      </w:pPr>
      <w:r w:rsidRPr="004A30A8">
        <w:rPr>
          <w:rFonts w:eastAsia="Calibri"/>
          <w:kern w:val="2"/>
          <w:lang w:eastAsia="en-US"/>
        </w:rPr>
        <w:t>La Corte</w:t>
      </w:r>
      <w:r w:rsidR="00B0535B" w:rsidRPr="004A30A8">
        <w:rPr>
          <w:rFonts w:eastAsia="Calibri"/>
          <w:kern w:val="2"/>
          <w:lang w:eastAsia="en-US"/>
        </w:rPr>
        <w:t xml:space="preserve"> ha </w:t>
      </w:r>
      <w:r w:rsidR="00B0535B" w:rsidRPr="004A30A8">
        <w:rPr>
          <w:lang w:val="es-ES"/>
        </w:rPr>
        <w:t>señalado</w:t>
      </w:r>
      <w:r w:rsidR="00B0535B" w:rsidRPr="004A30A8">
        <w:rPr>
          <w:rFonts w:eastAsia="Calibri"/>
          <w:kern w:val="2"/>
          <w:lang w:eastAsia="en-US"/>
        </w:rPr>
        <w:t xml:space="preserve"> que el derecho de acceso a la justicia en casos de violaciones a los derechos humanos debe asegurar, en tiempo razonable, el derecho de las presuntas víctimas o sus familiares a </w:t>
      </w:r>
      <w:r w:rsidR="00B0535B" w:rsidRPr="004A30A8">
        <w:rPr>
          <w:lang w:val="es-ES"/>
        </w:rPr>
        <w:t>que</w:t>
      </w:r>
      <w:r w:rsidR="00B0535B" w:rsidRPr="004A30A8">
        <w:rPr>
          <w:rFonts w:eastAsia="Calibri"/>
          <w:kern w:val="2"/>
          <w:lang w:eastAsia="en-US"/>
        </w:rPr>
        <w:t xml:space="preserve"> se haga todo lo necesario para conocer la verdad de lo sucedido e investigar, juzgar y, en su caso, sancionar a los eventuales responsables</w:t>
      </w:r>
      <w:r w:rsidR="00B0535B" w:rsidRPr="004A30A8">
        <w:rPr>
          <w:rFonts w:eastAsia="Calibri"/>
          <w:kern w:val="2"/>
          <w:vertAlign w:val="superscript"/>
          <w:lang w:eastAsia="en-US"/>
        </w:rPr>
        <w:footnoteReference w:id="192"/>
      </w:r>
      <w:r w:rsidR="00B0535B" w:rsidRPr="004A30A8">
        <w:rPr>
          <w:rFonts w:eastAsia="Calibri"/>
          <w:kern w:val="2"/>
          <w:lang w:eastAsia="en-US"/>
        </w:rPr>
        <w:t xml:space="preserve">. </w:t>
      </w:r>
      <w:r w:rsidR="00B0535B" w:rsidRPr="004A30A8">
        <w:rPr>
          <w:rFonts w:cs="Arial"/>
        </w:rPr>
        <w:t xml:space="preserve">No menos importante es lo indicado por </w:t>
      </w:r>
      <w:r w:rsidR="00B0535B" w:rsidRPr="004A30A8">
        <w:rPr>
          <w:rFonts w:eastAsia="MS Mincho" w:cs="Verdana"/>
          <w:bCs/>
          <w:lang w:eastAsia="en-US"/>
        </w:rPr>
        <w:t>el Tribunal</w:t>
      </w:r>
      <w:r w:rsidR="00B0535B" w:rsidRPr="004A30A8">
        <w:rPr>
          <w:rFonts w:cs="Verdana"/>
          <w:bCs/>
        </w:rPr>
        <w:t xml:space="preserve"> con respecto a que una demora prolongada en el proceso puede llegar a constituir, por sí misma, una </w:t>
      </w:r>
      <w:r w:rsidR="00B0535B" w:rsidRPr="004A30A8">
        <w:rPr>
          <w:snapToGrid w:val="0"/>
          <w:lang w:eastAsia="es-ES"/>
        </w:rPr>
        <w:t>violación</w:t>
      </w:r>
      <w:r w:rsidR="00B0535B" w:rsidRPr="004A30A8">
        <w:rPr>
          <w:rFonts w:cs="Verdana"/>
          <w:bCs/>
        </w:rPr>
        <w:t xml:space="preserve"> a las garantías judiciales</w:t>
      </w:r>
      <w:r w:rsidR="00B0535B" w:rsidRPr="004A30A8">
        <w:rPr>
          <w:rStyle w:val="Refdenotaalpie"/>
          <w:rFonts w:eastAsia="MS Mincho"/>
          <w:bCs/>
        </w:rPr>
        <w:footnoteReference w:id="193"/>
      </w:r>
      <w:r w:rsidR="00B0535B" w:rsidRPr="004A30A8">
        <w:rPr>
          <w:rFonts w:cs="Verdana"/>
          <w:bCs/>
        </w:rPr>
        <w:t xml:space="preserve">. </w:t>
      </w:r>
    </w:p>
    <w:p w14:paraId="08FA650C" w14:textId="77777777" w:rsidR="00B0535B" w:rsidRPr="004A30A8" w:rsidRDefault="00B0535B" w:rsidP="00B0535B">
      <w:pPr>
        <w:tabs>
          <w:tab w:val="left" w:pos="567"/>
        </w:tabs>
        <w:spacing w:line="240" w:lineRule="auto"/>
        <w:rPr>
          <w:rFonts w:eastAsiaTheme="minorHAnsi" w:cs="Arial"/>
          <w:lang w:val="es-ES" w:eastAsia="en-US"/>
        </w:rPr>
      </w:pPr>
    </w:p>
    <w:p w14:paraId="09032E82" w14:textId="4A475362" w:rsidR="00B0535B" w:rsidRPr="004A30A8" w:rsidRDefault="003A7463">
      <w:pPr>
        <w:numPr>
          <w:ilvl w:val="0"/>
          <w:numId w:val="7"/>
        </w:numPr>
        <w:tabs>
          <w:tab w:val="left" w:pos="567"/>
          <w:tab w:val="num" w:pos="1569"/>
          <w:tab w:val="num" w:pos="12305"/>
        </w:tabs>
        <w:spacing w:line="240" w:lineRule="auto"/>
        <w:ind w:left="0" w:firstLine="0"/>
        <w:textAlignment w:val="baseline"/>
        <w:rPr>
          <w:rFonts w:eastAsiaTheme="minorHAnsi" w:cs="Arial"/>
          <w:lang w:val="es-ES" w:eastAsia="en-US"/>
        </w:rPr>
      </w:pPr>
      <w:r w:rsidRPr="004A30A8">
        <w:rPr>
          <w:rFonts w:cs="Verdana"/>
          <w:bCs/>
        </w:rPr>
        <w:t>La Corte</w:t>
      </w:r>
      <w:r w:rsidR="00B0535B" w:rsidRPr="004A30A8">
        <w:rPr>
          <w:rFonts w:cs="Verdana"/>
          <w:bCs/>
        </w:rPr>
        <w:t xml:space="preserve"> ha establecido que la evaluación del plazo razonable se debe analizar en cada caso concreto, en relación con la duración total del proceso, lo cual podría también incluir la ejecución de la sentencia definitiva. Así, ha considerado cuatro elementos para analizar si se cumplió con la garantía del plazo razonable, a saber: a) la complejidad del asunto</w:t>
      </w:r>
      <w:r w:rsidR="00B0535B" w:rsidRPr="004A30A8">
        <w:rPr>
          <w:rStyle w:val="Refdenotaalpie"/>
          <w:rFonts w:eastAsia="MS Mincho"/>
          <w:bCs/>
        </w:rPr>
        <w:footnoteReference w:id="194"/>
      </w:r>
      <w:r w:rsidR="00B0535B" w:rsidRPr="004A30A8">
        <w:rPr>
          <w:rFonts w:cs="Verdana"/>
          <w:bCs/>
        </w:rPr>
        <w:t>; b) la actividad procesal del interesado</w:t>
      </w:r>
      <w:r w:rsidR="00B0535B" w:rsidRPr="004A30A8">
        <w:rPr>
          <w:rStyle w:val="Refdenotaalpie"/>
          <w:rFonts w:eastAsia="MS Mincho"/>
          <w:bCs/>
        </w:rPr>
        <w:footnoteReference w:id="195"/>
      </w:r>
      <w:r w:rsidR="00B0535B" w:rsidRPr="004A30A8">
        <w:rPr>
          <w:rFonts w:cs="Verdana"/>
          <w:bCs/>
        </w:rPr>
        <w:t xml:space="preserve">; c) la conducta de las autoridades </w:t>
      </w:r>
      <w:r w:rsidR="00B0535B" w:rsidRPr="004A30A8">
        <w:rPr>
          <w:rFonts w:cs="Verdana"/>
          <w:bCs/>
        </w:rPr>
        <w:lastRenderedPageBreak/>
        <w:t>judiciales</w:t>
      </w:r>
      <w:r w:rsidR="00B0535B" w:rsidRPr="004A30A8">
        <w:rPr>
          <w:rStyle w:val="Refdenotaalpie"/>
          <w:rFonts w:eastAsia="MS Mincho"/>
          <w:bCs/>
        </w:rPr>
        <w:footnoteReference w:id="196"/>
      </w:r>
      <w:r w:rsidR="00B0535B" w:rsidRPr="004A30A8">
        <w:rPr>
          <w:rFonts w:cs="Verdana"/>
          <w:bCs/>
        </w:rPr>
        <w:t>, y d) la afectación generada en la situación jurídica de la presunta víctima</w:t>
      </w:r>
      <w:r w:rsidR="00B0535B" w:rsidRPr="004A30A8">
        <w:rPr>
          <w:rStyle w:val="Refdenotaalpie"/>
          <w:rFonts w:eastAsia="MS Mincho"/>
          <w:bCs/>
        </w:rPr>
        <w:footnoteReference w:id="197"/>
      </w:r>
      <w:r w:rsidR="00B0535B" w:rsidRPr="004A30A8">
        <w:rPr>
          <w:rFonts w:cs="Verdana"/>
          <w:bCs/>
        </w:rPr>
        <w:t xml:space="preserve">. La Corte recuerda que corresponde al Estado justificar, con fundamento en los criterios señalados, la razón por la cual ha requerido del tiempo </w:t>
      </w:r>
      <w:r w:rsidR="00B0535B" w:rsidRPr="004A30A8">
        <w:rPr>
          <w:rFonts w:eastAsia="Calibri"/>
          <w:kern w:val="2"/>
          <w:lang w:eastAsia="en-US"/>
        </w:rPr>
        <w:t>transcurrido</w:t>
      </w:r>
      <w:r w:rsidR="00B0535B" w:rsidRPr="004A30A8">
        <w:rPr>
          <w:rFonts w:cs="Verdana"/>
          <w:bCs/>
        </w:rPr>
        <w:t xml:space="preserve"> para tratar los casos y, en la eventualidad de que este no lo </w:t>
      </w:r>
      <w:r w:rsidR="00B0535B" w:rsidRPr="004A30A8">
        <w:rPr>
          <w:lang w:val="es-ES"/>
        </w:rPr>
        <w:t>demuestre</w:t>
      </w:r>
      <w:r w:rsidR="00B0535B" w:rsidRPr="004A30A8">
        <w:rPr>
          <w:rFonts w:cs="Verdana"/>
          <w:bCs/>
        </w:rPr>
        <w:t>, la Corte tiene amplias atribuciones para hacer su propia estimación al respecto</w:t>
      </w:r>
      <w:r w:rsidR="00B0535B" w:rsidRPr="004A30A8">
        <w:rPr>
          <w:rStyle w:val="Refdenotaalpie"/>
          <w:rFonts w:eastAsia="MS Mincho"/>
          <w:bCs/>
        </w:rPr>
        <w:footnoteReference w:id="198"/>
      </w:r>
      <w:r w:rsidR="00B0535B" w:rsidRPr="004A30A8">
        <w:rPr>
          <w:rFonts w:cs="Verdana"/>
          <w:bCs/>
        </w:rPr>
        <w:t xml:space="preserve">. El Tribunal </w:t>
      </w:r>
      <w:r w:rsidR="00B0535B" w:rsidRPr="004A30A8">
        <w:rPr>
          <w:rFonts w:eastAsia="Calibri"/>
          <w:kern w:val="2"/>
          <w:lang w:eastAsia="en-US"/>
        </w:rPr>
        <w:t>reitera</w:t>
      </w:r>
      <w:r w:rsidR="00B0535B" w:rsidRPr="004A30A8">
        <w:rPr>
          <w:rFonts w:cs="Verdana"/>
          <w:bCs/>
        </w:rPr>
        <w:t>, además, que se debe apreciar la duración total del proceso, desde el primer acto procesal hasta que se dicte la sentencia definitiva, incluyendo los recursos de instancia que pudieran eventualmente presentarse</w:t>
      </w:r>
      <w:r w:rsidR="00B0535B" w:rsidRPr="004A30A8">
        <w:rPr>
          <w:rStyle w:val="Refdenotaalpie"/>
          <w:rFonts w:eastAsia="MS Mincho"/>
          <w:bCs/>
        </w:rPr>
        <w:footnoteReference w:id="199"/>
      </w:r>
      <w:r w:rsidR="00B0535B" w:rsidRPr="004A30A8">
        <w:rPr>
          <w:rFonts w:cs="Verdana"/>
          <w:bCs/>
        </w:rPr>
        <w:t>.</w:t>
      </w:r>
    </w:p>
    <w:p w14:paraId="5A1BDB70" w14:textId="237C011D" w:rsidR="00B0535B" w:rsidRPr="004A30A8" w:rsidRDefault="00B0535B" w:rsidP="00B0535B">
      <w:pPr>
        <w:widowControl/>
        <w:autoSpaceDE w:val="0"/>
        <w:autoSpaceDN w:val="0"/>
        <w:spacing w:line="240" w:lineRule="auto"/>
        <w:rPr>
          <w:rFonts w:eastAsiaTheme="minorHAnsi" w:cs="Arial"/>
          <w:lang w:val="es-ES" w:eastAsia="en-US"/>
        </w:rPr>
      </w:pPr>
    </w:p>
    <w:p w14:paraId="471C3BC7" w14:textId="2CA3F6EF" w:rsidR="00F64CD7" w:rsidRPr="004A30A8" w:rsidRDefault="00B0535B">
      <w:pPr>
        <w:numPr>
          <w:ilvl w:val="0"/>
          <w:numId w:val="7"/>
        </w:numPr>
        <w:tabs>
          <w:tab w:val="left" w:pos="567"/>
          <w:tab w:val="num" w:pos="1569"/>
          <w:tab w:val="num" w:pos="12305"/>
        </w:tabs>
        <w:spacing w:line="240" w:lineRule="auto"/>
        <w:ind w:left="0" w:firstLine="0"/>
        <w:textAlignment w:val="baseline"/>
        <w:rPr>
          <w:rFonts w:eastAsiaTheme="minorHAnsi" w:cs="Arial"/>
          <w:lang w:val="es-ES" w:eastAsia="en-US"/>
        </w:rPr>
      </w:pPr>
      <w:r w:rsidRPr="004A30A8">
        <w:rPr>
          <w:rFonts w:eastAsiaTheme="minorHAnsi" w:cs="Arial"/>
          <w:lang w:val="es-ES" w:eastAsia="en-US"/>
        </w:rPr>
        <w:t xml:space="preserve">En el </w:t>
      </w:r>
      <w:r w:rsidRPr="004A30A8">
        <w:rPr>
          <w:rFonts w:eastAsia="Calibri"/>
          <w:kern w:val="2"/>
          <w:lang w:eastAsia="en-US"/>
        </w:rPr>
        <w:t>presente</w:t>
      </w:r>
      <w:r w:rsidRPr="004A30A8">
        <w:rPr>
          <w:rFonts w:eastAsiaTheme="minorHAnsi" w:cs="Arial"/>
          <w:lang w:val="es-ES" w:eastAsia="en-US"/>
        </w:rPr>
        <w:t xml:space="preserve"> caso</w:t>
      </w:r>
      <w:r w:rsidR="00B0222D" w:rsidRPr="004A30A8">
        <w:rPr>
          <w:rFonts w:eastAsiaTheme="minorHAnsi" w:cs="Arial"/>
          <w:lang w:val="es-ES" w:eastAsia="en-US"/>
        </w:rPr>
        <w:t>, la Cort</w:t>
      </w:r>
      <w:r w:rsidRPr="004A30A8">
        <w:rPr>
          <w:rFonts w:eastAsiaTheme="minorHAnsi" w:cs="Arial"/>
          <w:lang w:val="es-ES" w:eastAsia="en-US"/>
        </w:rPr>
        <w:t>e advierte que</w:t>
      </w:r>
      <w:r w:rsidR="008821E6" w:rsidRPr="004A30A8">
        <w:rPr>
          <w:rFonts w:eastAsiaTheme="minorHAnsi" w:cs="Arial"/>
          <w:lang w:val="es-ES" w:eastAsia="en-US"/>
        </w:rPr>
        <w:t xml:space="preserve"> </w:t>
      </w:r>
      <w:r w:rsidR="00D96047" w:rsidRPr="004A30A8">
        <w:rPr>
          <w:rFonts w:eastAsiaTheme="minorHAnsi" w:cs="Arial"/>
          <w:lang w:val="es-ES" w:eastAsia="en-US"/>
        </w:rPr>
        <w:t>la denuncia del señor Olivera fue presentada el 1 de octubre de 2004</w:t>
      </w:r>
      <w:r w:rsidR="008821E6" w:rsidRPr="004A30A8">
        <w:rPr>
          <w:rFonts w:eastAsiaTheme="minorHAnsi" w:cs="Arial"/>
          <w:lang w:val="es-ES" w:eastAsia="en-US"/>
        </w:rPr>
        <w:t>. L</w:t>
      </w:r>
      <w:r w:rsidR="00D96047" w:rsidRPr="004A30A8">
        <w:rPr>
          <w:rFonts w:eastAsiaTheme="minorHAnsi" w:cs="Arial"/>
          <w:lang w:val="es-ES" w:eastAsia="en-US"/>
        </w:rPr>
        <w:t xml:space="preserve">a primera </w:t>
      </w:r>
      <w:r w:rsidR="00D96047" w:rsidRPr="004A30A8">
        <w:rPr>
          <w:lang w:val="es-ES"/>
        </w:rPr>
        <w:t>instancia</w:t>
      </w:r>
      <w:r w:rsidR="00D96047" w:rsidRPr="004A30A8">
        <w:rPr>
          <w:rFonts w:eastAsiaTheme="minorHAnsi" w:cs="Arial"/>
          <w:lang w:val="es-ES" w:eastAsia="en-US"/>
        </w:rPr>
        <w:t xml:space="preserve"> </w:t>
      </w:r>
      <w:r w:rsidR="008821E6" w:rsidRPr="004A30A8">
        <w:rPr>
          <w:rFonts w:eastAsiaTheme="minorHAnsi" w:cs="Arial"/>
          <w:lang w:val="es-ES" w:eastAsia="en-US"/>
        </w:rPr>
        <w:t xml:space="preserve">administrativa </w:t>
      </w:r>
      <w:r w:rsidR="00D96047" w:rsidRPr="004A30A8">
        <w:rPr>
          <w:rFonts w:eastAsiaTheme="minorHAnsi" w:cs="Arial"/>
          <w:lang w:val="es-ES" w:eastAsia="en-US"/>
        </w:rPr>
        <w:t>fue agotada el 31 de agosto de 2005 y la segunda el 17 de mayo de 2006</w:t>
      </w:r>
      <w:r w:rsidR="008821E6" w:rsidRPr="004A30A8">
        <w:rPr>
          <w:rFonts w:eastAsiaTheme="minorHAnsi" w:cs="Arial"/>
          <w:lang w:val="es-ES" w:eastAsia="en-US"/>
        </w:rPr>
        <w:t xml:space="preserve">. Además, </w:t>
      </w:r>
      <w:r w:rsidR="001C1459" w:rsidRPr="004A30A8">
        <w:rPr>
          <w:rFonts w:eastAsiaTheme="minorHAnsi" w:cs="Arial"/>
          <w:lang w:val="es-ES" w:eastAsia="en-US"/>
        </w:rPr>
        <w:t>la instancia judicial se agotó el 10 de junio de 2008, la segunda instancia</w:t>
      </w:r>
      <w:r w:rsidR="00A67A99" w:rsidRPr="004A30A8">
        <w:rPr>
          <w:rFonts w:eastAsiaTheme="minorHAnsi" w:cs="Arial"/>
          <w:lang w:val="es-ES" w:eastAsia="en-US"/>
        </w:rPr>
        <w:t xml:space="preserve"> judicial</w:t>
      </w:r>
      <w:r w:rsidR="001C1459" w:rsidRPr="004A30A8">
        <w:rPr>
          <w:rFonts w:eastAsiaTheme="minorHAnsi" w:cs="Arial"/>
          <w:lang w:val="es-ES" w:eastAsia="en-US"/>
        </w:rPr>
        <w:t xml:space="preserve"> el 14 de junio de 2010 y</w:t>
      </w:r>
      <w:r w:rsidR="008821E6" w:rsidRPr="004A30A8">
        <w:rPr>
          <w:rFonts w:eastAsiaTheme="minorHAnsi" w:cs="Arial"/>
          <w:lang w:val="es-ES" w:eastAsia="en-US"/>
        </w:rPr>
        <w:t xml:space="preserve">, finalmente, la tercera y última instancia finalizó el </w:t>
      </w:r>
      <w:r w:rsidR="001C1459" w:rsidRPr="004A30A8">
        <w:rPr>
          <w:rFonts w:eastAsiaTheme="minorHAnsi" w:cs="Arial"/>
          <w:lang w:val="es-ES" w:eastAsia="en-US"/>
        </w:rPr>
        <w:t>11 de abril de 2011</w:t>
      </w:r>
      <w:r w:rsidR="008821E6" w:rsidRPr="004A30A8">
        <w:rPr>
          <w:rFonts w:eastAsiaTheme="minorHAnsi" w:cs="Arial"/>
          <w:lang w:val="es-ES" w:eastAsia="en-US"/>
        </w:rPr>
        <w:t xml:space="preserve">, esto es, seis años </w:t>
      </w:r>
      <w:r w:rsidR="00A67A99" w:rsidRPr="004A30A8">
        <w:rPr>
          <w:rFonts w:eastAsiaTheme="minorHAnsi" w:cs="Arial"/>
          <w:lang w:val="es-ES" w:eastAsia="en-US"/>
        </w:rPr>
        <w:t xml:space="preserve">y medio </w:t>
      </w:r>
      <w:r w:rsidR="008821E6" w:rsidRPr="004A30A8">
        <w:rPr>
          <w:rFonts w:eastAsiaTheme="minorHAnsi" w:cs="Arial"/>
          <w:lang w:val="es-ES" w:eastAsia="en-US"/>
        </w:rPr>
        <w:t>después de la interposición de la denuncia.</w:t>
      </w:r>
    </w:p>
    <w:p w14:paraId="254D9AE4" w14:textId="6FC6578D" w:rsidR="00BE6D81" w:rsidRPr="004A30A8" w:rsidRDefault="00BE6D81" w:rsidP="00BE6D81">
      <w:pPr>
        <w:tabs>
          <w:tab w:val="left" w:pos="567"/>
        </w:tabs>
        <w:spacing w:line="240" w:lineRule="auto"/>
        <w:textAlignment w:val="baseline"/>
        <w:rPr>
          <w:rFonts w:eastAsiaTheme="minorHAnsi" w:cs="Arial"/>
          <w:lang w:val="es-ES" w:eastAsia="en-US"/>
        </w:rPr>
      </w:pPr>
    </w:p>
    <w:p w14:paraId="038879DC" w14:textId="24CFB3BF" w:rsidR="00F64CD7" w:rsidRPr="004A30A8" w:rsidRDefault="008821E6">
      <w:pPr>
        <w:numPr>
          <w:ilvl w:val="0"/>
          <w:numId w:val="7"/>
        </w:numPr>
        <w:tabs>
          <w:tab w:val="left" w:pos="567"/>
          <w:tab w:val="num" w:pos="1569"/>
          <w:tab w:val="num" w:pos="12305"/>
        </w:tabs>
        <w:spacing w:line="240" w:lineRule="auto"/>
        <w:ind w:left="0" w:firstLine="0"/>
        <w:textAlignment w:val="baseline"/>
        <w:rPr>
          <w:rFonts w:eastAsiaTheme="minorHAnsi" w:cs="Arial"/>
          <w:lang w:val="es-ES" w:eastAsia="en-US"/>
        </w:rPr>
      </w:pPr>
      <w:r w:rsidRPr="004A30A8">
        <w:rPr>
          <w:rFonts w:eastAsiaTheme="minorHAnsi" w:cs="Arial"/>
          <w:lang w:val="es-ES" w:eastAsia="en-US"/>
        </w:rPr>
        <w:t xml:space="preserve">En el presente caso, si bien </w:t>
      </w:r>
      <w:r w:rsidR="00D31EAC" w:rsidRPr="004A30A8">
        <w:rPr>
          <w:rFonts w:eastAsiaTheme="minorHAnsi" w:cs="Arial"/>
          <w:lang w:val="es-ES" w:eastAsia="en-US"/>
        </w:rPr>
        <w:t>la Corte</w:t>
      </w:r>
      <w:r w:rsidRPr="004A30A8">
        <w:rPr>
          <w:rFonts w:eastAsiaTheme="minorHAnsi" w:cs="Arial"/>
          <w:lang w:val="es-ES" w:eastAsia="en-US"/>
        </w:rPr>
        <w:t xml:space="preserve"> </w:t>
      </w:r>
      <w:r w:rsidR="00EA082D" w:rsidRPr="004A30A8">
        <w:rPr>
          <w:rFonts w:eastAsiaTheme="minorHAnsi" w:cs="Arial"/>
          <w:lang w:val="es-ES" w:eastAsia="en-US"/>
        </w:rPr>
        <w:t>nota</w:t>
      </w:r>
      <w:r w:rsidRPr="004A30A8">
        <w:rPr>
          <w:rFonts w:eastAsiaTheme="minorHAnsi" w:cs="Arial"/>
          <w:lang w:val="es-ES" w:eastAsia="en-US"/>
        </w:rPr>
        <w:t xml:space="preserve"> que el caso no presentaba mayores complejidades y no se aprecia ninguna actividad </w:t>
      </w:r>
      <w:r w:rsidR="00EA2830" w:rsidRPr="004A30A8">
        <w:rPr>
          <w:rFonts w:eastAsiaTheme="minorHAnsi" w:cs="Arial"/>
          <w:lang w:val="es-ES" w:eastAsia="en-US"/>
        </w:rPr>
        <w:t>obstaculizadora</w:t>
      </w:r>
      <w:r w:rsidRPr="004A30A8">
        <w:rPr>
          <w:rFonts w:eastAsiaTheme="minorHAnsi" w:cs="Arial"/>
          <w:lang w:val="es-ES" w:eastAsia="en-US"/>
        </w:rPr>
        <w:t xml:space="preserve"> por parte del señor Olivera, tampoco </w:t>
      </w:r>
      <w:r w:rsidR="00EA2830" w:rsidRPr="004A30A8">
        <w:rPr>
          <w:rFonts w:eastAsiaTheme="minorHAnsi" w:cs="Arial"/>
          <w:lang w:val="es-ES" w:eastAsia="en-US"/>
        </w:rPr>
        <w:t>posee elementos suficientes que le permitan advertir una conducta negligente por parte del Estado, máxime cuando transcurrieron cinco instancias (entre el ámbito administrativo y el judicial) en un lapso de seis años y medio</w:t>
      </w:r>
      <w:r w:rsidR="00D22E4A" w:rsidRPr="004A30A8">
        <w:rPr>
          <w:rFonts w:eastAsiaTheme="minorHAnsi" w:cs="Arial"/>
          <w:lang w:val="es-ES" w:eastAsia="en-US"/>
        </w:rPr>
        <w:t>,</w:t>
      </w:r>
      <w:r w:rsidR="00EA2830" w:rsidRPr="004A30A8">
        <w:rPr>
          <w:rFonts w:eastAsiaTheme="minorHAnsi" w:cs="Arial"/>
          <w:lang w:val="es-ES" w:eastAsia="en-US"/>
        </w:rPr>
        <w:t xml:space="preserve"> desde la interposición de la denuncia </w:t>
      </w:r>
      <w:r w:rsidR="005B62D8" w:rsidRPr="004A30A8">
        <w:rPr>
          <w:rFonts w:eastAsiaTheme="minorHAnsi" w:cs="Arial"/>
          <w:lang w:val="es-ES" w:eastAsia="en-US"/>
        </w:rPr>
        <w:t xml:space="preserve">por parte del señor Olivera </w:t>
      </w:r>
      <w:r w:rsidR="00EA2830" w:rsidRPr="004A30A8">
        <w:rPr>
          <w:rFonts w:eastAsiaTheme="minorHAnsi" w:cs="Arial"/>
          <w:lang w:val="es-ES" w:eastAsia="en-US"/>
        </w:rPr>
        <w:t xml:space="preserve">hasta la última resolución definitiva dictada por la Corte Suprema de Justicia. En vista de lo anterior, el Tribunal </w:t>
      </w:r>
      <w:r w:rsidR="005B62D8" w:rsidRPr="004A30A8">
        <w:rPr>
          <w:rFonts w:eastAsiaTheme="minorHAnsi" w:cs="Arial"/>
          <w:lang w:val="es-ES" w:eastAsia="en-US"/>
        </w:rPr>
        <w:t>concluye</w:t>
      </w:r>
      <w:r w:rsidR="00EA2830" w:rsidRPr="004A30A8">
        <w:rPr>
          <w:rFonts w:eastAsiaTheme="minorHAnsi" w:cs="Arial"/>
          <w:lang w:val="es-ES" w:eastAsia="en-US"/>
        </w:rPr>
        <w:t xml:space="preserve"> que el Estado no violó el artículo 8.1 de la Convención Americana por el alegado incumplimiento con el plazo razonable.</w:t>
      </w:r>
    </w:p>
    <w:p w14:paraId="3D3325AB" w14:textId="112AE1B7" w:rsidR="00157BDB" w:rsidRPr="004A30A8" w:rsidRDefault="009117FF" w:rsidP="00157BDB">
      <w:pPr>
        <w:pStyle w:val="Ttulo4"/>
        <w:rPr>
          <w:bCs/>
          <w:lang w:val="es-CR"/>
        </w:rPr>
      </w:pPr>
      <w:r w:rsidRPr="004A30A8">
        <w:rPr>
          <w:bCs/>
        </w:rPr>
        <w:t>B</w:t>
      </w:r>
      <w:r w:rsidR="00157BDB" w:rsidRPr="004A30A8">
        <w:rPr>
          <w:bCs/>
        </w:rPr>
        <w:t>.4.4 Conclusiones</w:t>
      </w:r>
    </w:p>
    <w:p w14:paraId="6C74D809" w14:textId="3A11D020" w:rsidR="00F960C3" w:rsidRPr="004A30A8" w:rsidRDefault="00D31EAC">
      <w:pPr>
        <w:widowControl/>
        <w:numPr>
          <w:ilvl w:val="0"/>
          <w:numId w:val="7"/>
        </w:numPr>
        <w:tabs>
          <w:tab w:val="left" w:pos="567"/>
          <w:tab w:val="num" w:pos="1569"/>
          <w:tab w:val="num" w:pos="12305"/>
        </w:tabs>
        <w:autoSpaceDE w:val="0"/>
        <w:autoSpaceDN w:val="0"/>
        <w:spacing w:line="240" w:lineRule="auto"/>
        <w:ind w:left="0" w:firstLine="0"/>
        <w:textAlignment w:val="baseline"/>
        <w:rPr>
          <w:lang w:val="es-ES"/>
        </w:rPr>
      </w:pPr>
      <w:r w:rsidRPr="004A30A8">
        <w:rPr>
          <w:lang w:val="es-ES"/>
        </w:rPr>
        <w:t>La Corte</w:t>
      </w:r>
      <w:r w:rsidR="00D22E4A" w:rsidRPr="004A30A8">
        <w:rPr>
          <w:lang w:val="es-ES"/>
        </w:rPr>
        <w:t xml:space="preserve"> considera </w:t>
      </w:r>
      <w:r w:rsidR="00D22E4A" w:rsidRPr="004A30A8">
        <w:rPr>
          <w:shd w:val="clear" w:color="auto" w:fill="FFFFFF"/>
        </w:rPr>
        <w:t>que los parámetros y las exigencias sobre la carga de la prueba impuesto</w:t>
      </w:r>
      <w:r w:rsidR="00F960C3" w:rsidRPr="004A30A8">
        <w:rPr>
          <w:shd w:val="clear" w:color="auto" w:fill="FFFFFF"/>
        </w:rPr>
        <w:t>s</w:t>
      </w:r>
      <w:r w:rsidR="00D22E4A" w:rsidRPr="004A30A8">
        <w:rPr>
          <w:shd w:val="clear" w:color="auto" w:fill="FFFFFF"/>
        </w:rPr>
        <w:t xml:space="preserve"> por los órganos administrativos y judiciales internos </w:t>
      </w:r>
      <w:r w:rsidR="00D22E4A" w:rsidRPr="004A30A8">
        <w:t xml:space="preserve">hicieron nugatorio </w:t>
      </w:r>
      <w:r w:rsidR="00D22E4A" w:rsidRPr="004A30A8">
        <w:rPr>
          <w:shd w:val="clear" w:color="auto" w:fill="FFFFFF"/>
        </w:rPr>
        <w:t>el derecho al acceso a la justicia en condiciones de igualdad del señor Olivera</w:t>
      </w:r>
      <w:r w:rsidR="00D22E4A" w:rsidRPr="004A30A8">
        <w:rPr>
          <w:lang w:val="es-ES"/>
        </w:rPr>
        <w:t xml:space="preserve">. A lo anterior se añade la particular motivación </w:t>
      </w:r>
      <w:r w:rsidR="00F960C3" w:rsidRPr="004A30A8">
        <w:rPr>
          <w:lang w:val="es-ES"/>
        </w:rPr>
        <w:t>brindada por</w:t>
      </w:r>
      <w:r w:rsidR="00D22E4A" w:rsidRPr="004A30A8">
        <w:rPr>
          <w:lang w:val="es-ES"/>
        </w:rPr>
        <w:t xml:space="preserve"> las autoridades administrativas</w:t>
      </w:r>
      <w:r w:rsidR="0081319D" w:rsidRPr="004A30A8">
        <w:rPr>
          <w:lang w:val="es-ES"/>
        </w:rPr>
        <w:t xml:space="preserve"> -no subsanada en sede judicial</w:t>
      </w:r>
      <w:r w:rsidR="00F960C3" w:rsidRPr="004A30A8">
        <w:rPr>
          <w:lang w:val="es-ES"/>
        </w:rPr>
        <w:t xml:space="preserve">, </w:t>
      </w:r>
      <w:r w:rsidR="00D22E4A" w:rsidRPr="004A30A8">
        <w:rPr>
          <w:lang w:val="es-ES"/>
        </w:rPr>
        <w:t xml:space="preserve">basada en estereotipos por orientación sexual </w:t>
      </w:r>
      <w:r w:rsidR="00F960C3" w:rsidRPr="004A30A8">
        <w:rPr>
          <w:lang w:val="es-ES"/>
        </w:rPr>
        <w:t xml:space="preserve">que afectaron la </w:t>
      </w:r>
      <w:r w:rsidR="00D22E4A" w:rsidRPr="004A30A8">
        <w:rPr>
          <w:lang w:val="es-ES"/>
        </w:rPr>
        <w:t>imparcialidad</w:t>
      </w:r>
      <w:r w:rsidR="00F960C3" w:rsidRPr="004A30A8">
        <w:rPr>
          <w:lang w:val="es-ES"/>
        </w:rPr>
        <w:t xml:space="preserve"> de dichos órganos</w:t>
      </w:r>
      <w:r w:rsidR="00D22E4A" w:rsidRPr="004A30A8">
        <w:rPr>
          <w:lang w:val="es-ES"/>
        </w:rPr>
        <w:t xml:space="preserve">. </w:t>
      </w:r>
      <w:r w:rsidR="00D22E4A" w:rsidRPr="004A30A8">
        <w:t xml:space="preserve">En vista de lo anterior, </w:t>
      </w:r>
      <w:r w:rsidR="008B7A1C" w:rsidRPr="004A30A8">
        <w:t>la Corte</w:t>
      </w:r>
      <w:r w:rsidR="00EA082D" w:rsidRPr="004A30A8">
        <w:t xml:space="preserve"> concluye que el</w:t>
      </w:r>
      <w:r w:rsidR="00D22E4A" w:rsidRPr="004A30A8">
        <w:t xml:space="preserve"> </w:t>
      </w:r>
      <w:r w:rsidR="00D22E4A" w:rsidRPr="004A30A8">
        <w:lastRenderedPageBreak/>
        <w:t>Estado es responsable por la violación de los artículos 7</w:t>
      </w:r>
      <w:r w:rsidR="00975219" w:rsidRPr="004A30A8">
        <w:t>.1</w:t>
      </w:r>
      <w:r w:rsidR="00D22E4A" w:rsidRPr="004A30A8">
        <w:t>, 8.1, 11</w:t>
      </w:r>
      <w:r w:rsidR="003D065D" w:rsidRPr="004A30A8">
        <w:t>.2</w:t>
      </w:r>
      <w:r w:rsidR="003656CC" w:rsidRPr="004A30A8">
        <w:t>,</w:t>
      </w:r>
      <w:r w:rsidR="00D22E4A" w:rsidRPr="004A30A8">
        <w:t xml:space="preserve"> 24 y 25</w:t>
      </w:r>
      <w:r w:rsidR="00132FAC" w:rsidRPr="004A30A8">
        <w:t>.1</w:t>
      </w:r>
      <w:r w:rsidR="00D22E4A" w:rsidRPr="004A30A8">
        <w:t xml:space="preserve"> de la Convención Americana, en relación con el artículo 1.1 del mismo instrumento. </w:t>
      </w:r>
      <w:r w:rsidR="00132FAC" w:rsidRPr="004A30A8">
        <w:t xml:space="preserve">Asimismo, el Estado no es responsable por la alegada violación del artículo 8.1 de la Convención Americana por el alegado incumplimiento con el plazo razonable. </w:t>
      </w:r>
      <w:r w:rsidR="00157BDB" w:rsidRPr="004A30A8">
        <w:rPr>
          <w:shd w:val="clear" w:color="auto" w:fill="FFFFFF"/>
        </w:rPr>
        <w:t xml:space="preserve">Por último, en cuanto </w:t>
      </w:r>
      <w:r w:rsidR="00745254" w:rsidRPr="004A30A8">
        <w:rPr>
          <w:shd w:val="clear" w:color="auto" w:fill="FFFFFF"/>
        </w:rPr>
        <w:t>a la alegada</w:t>
      </w:r>
      <w:r w:rsidR="00157BDB" w:rsidRPr="004A30A8">
        <w:rPr>
          <w:shd w:val="clear" w:color="auto" w:fill="FFFFFF"/>
        </w:rPr>
        <w:t xml:space="preserve"> violación </w:t>
      </w:r>
      <w:r w:rsidR="00BC15D1" w:rsidRPr="004A30A8">
        <w:rPr>
          <w:shd w:val="clear" w:color="auto" w:fill="FFFFFF"/>
        </w:rPr>
        <w:t xml:space="preserve">de la integridad psíquica y moral, así como </w:t>
      </w:r>
      <w:r w:rsidR="00157BDB" w:rsidRPr="004A30A8">
        <w:rPr>
          <w:shd w:val="clear" w:color="auto" w:fill="FFFFFF"/>
        </w:rPr>
        <w:t>la libertad de pensamiento y de expresión formulad</w:t>
      </w:r>
      <w:r w:rsidR="00BC15D1" w:rsidRPr="004A30A8">
        <w:rPr>
          <w:shd w:val="clear" w:color="auto" w:fill="FFFFFF"/>
        </w:rPr>
        <w:t>a</w:t>
      </w:r>
      <w:r w:rsidR="00157BDB" w:rsidRPr="004A30A8">
        <w:rPr>
          <w:shd w:val="clear" w:color="auto" w:fill="FFFFFF"/>
        </w:rPr>
        <w:t xml:space="preserve"> por los representantes, la Corte estima que no corresponde una determinación autónoma, toda vez que su sustento se encuentra analizado bajo el principio de igualdad y no discriminación, el derecho a la libertad personal y el derecho a la vida privada. </w:t>
      </w:r>
    </w:p>
    <w:p w14:paraId="10DDC6B7" w14:textId="12128B40" w:rsidR="001F4D31" w:rsidRPr="004A30A8" w:rsidRDefault="008E4B36" w:rsidP="00D03F10">
      <w:pPr>
        <w:pStyle w:val="Ttulo1"/>
        <w:spacing w:before="360" w:after="360"/>
      </w:pPr>
      <w:bookmarkStart w:id="55" w:name="_Toc129887118"/>
      <w:r w:rsidRPr="004A30A8">
        <w:t>IX</w:t>
      </w:r>
      <w:r w:rsidR="001F4D31" w:rsidRPr="004A30A8">
        <w:br/>
      </w:r>
      <w:r w:rsidR="007243BC" w:rsidRPr="004A30A8">
        <w:t>REPARACIONES</w:t>
      </w:r>
      <w:bookmarkEnd w:id="55"/>
      <w:r w:rsidR="001F4D31" w:rsidRPr="004A30A8">
        <w:t xml:space="preserve"> </w:t>
      </w:r>
    </w:p>
    <w:p w14:paraId="52E613C5" w14:textId="77777777" w:rsidR="003A7436" w:rsidRPr="004A30A8" w:rsidRDefault="003A7436">
      <w:pPr>
        <w:numPr>
          <w:ilvl w:val="0"/>
          <w:numId w:val="7"/>
        </w:numPr>
        <w:tabs>
          <w:tab w:val="left" w:pos="567"/>
          <w:tab w:val="num" w:pos="1569"/>
          <w:tab w:val="num" w:pos="12305"/>
        </w:tabs>
        <w:spacing w:line="240" w:lineRule="auto"/>
        <w:ind w:left="0" w:firstLine="0"/>
        <w:rPr>
          <w:lang w:val="es-ES" w:bidi="en-US"/>
        </w:rPr>
      </w:pPr>
      <w:r w:rsidRPr="004A30A8">
        <w:rPr>
          <w:lang w:val="es-ES" w:eastAsia="es-ES" w:bidi="en-US"/>
        </w:rPr>
        <w:t>Sobre</w:t>
      </w:r>
      <w:r w:rsidRPr="004A30A8">
        <w:rPr>
          <w:lang w:val="es-ES" w:bidi="en-US"/>
        </w:rPr>
        <w:t xml:space="preserve"> </w:t>
      </w:r>
      <w:r w:rsidRPr="004A30A8">
        <w:rPr>
          <w:bCs/>
          <w:lang w:val="es-ES" w:bidi="en-US"/>
        </w:rPr>
        <w:t>la</w:t>
      </w:r>
      <w:r w:rsidRPr="004A30A8">
        <w:rPr>
          <w:lang w:val="es-ES" w:bidi="en-US"/>
        </w:rPr>
        <w:t xml:space="preserve"> base </w:t>
      </w:r>
      <w:r w:rsidRPr="004A30A8">
        <w:rPr>
          <w:lang w:val="es-ES"/>
        </w:rPr>
        <w:t>de</w:t>
      </w:r>
      <w:r w:rsidRPr="004A30A8">
        <w:rPr>
          <w:lang w:val="es-ES" w:bidi="en-US"/>
        </w:rPr>
        <w:t xml:space="preserve"> lo dispuesto en el artículo 63.1 de la Convención Americana, la Corte ha indicado que toda violación de una obligación internacional que haya producido daño comporta el deber de repararlo </w:t>
      </w:r>
      <w:r w:rsidRPr="004A30A8">
        <w:rPr>
          <w:lang w:val="es-ES"/>
        </w:rPr>
        <w:t>adecuadamente</w:t>
      </w:r>
      <w:r w:rsidRPr="004A30A8">
        <w:rPr>
          <w:lang w:val="es-ES" w:bidi="en-US"/>
        </w:rPr>
        <w:t xml:space="preserve"> y que esa disposición recoge una norma consuetudinaria que constituye uno </w:t>
      </w:r>
      <w:r w:rsidRPr="004A30A8">
        <w:rPr>
          <w:lang w:val="es-ES"/>
        </w:rPr>
        <w:t>de</w:t>
      </w:r>
      <w:r w:rsidRPr="004A30A8">
        <w:rPr>
          <w:lang w:val="es-ES" w:bidi="en-US"/>
        </w:rPr>
        <w:t xml:space="preserve"> los principios fundamentales del Derecho Internacional contemporáneo sobre responsabilidad de un Estado</w:t>
      </w:r>
      <w:r w:rsidRPr="004A30A8">
        <w:rPr>
          <w:vertAlign w:val="superscript"/>
          <w:lang w:val="es-ES" w:bidi="en-US"/>
        </w:rPr>
        <w:footnoteReference w:id="200"/>
      </w:r>
      <w:r w:rsidRPr="004A30A8">
        <w:rPr>
          <w:lang w:val="es-ES" w:bidi="en-US"/>
        </w:rPr>
        <w:t>.</w:t>
      </w:r>
    </w:p>
    <w:p w14:paraId="5F914641" w14:textId="77777777" w:rsidR="003A7436" w:rsidRPr="004A30A8" w:rsidRDefault="003A7436" w:rsidP="003A7436">
      <w:pPr>
        <w:pStyle w:val="Normal1"/>
        <w:widowControl/>
        <w:contextualSpacing/>
        <w:jc w:val="both"/>
        <w:rPr>
          <w:rFonts w:ascii="Verdana" w:hAnsi="Verdana"/>
          <w:sz w:val="20"/>
          <w:szCs w:val="20"/>
          <w:lang w:val="es-ES" w:bidi="en-US"/>
        </w:rPr>
      </w:pPr>
    </w:p>
    <w:p w14:paraId="634115B6" w14:textId="77777777" w:rsidR="003A7436" w:rsidRPr="004A30A8" w:rsidRDefault="003A7436">
      <w:pPr>
        <w:numPr>
          <w:ilvl w:val="0"/>
          <w:numId w:val="7"/>
        </w:numPr>
        <w:tabs>
          <w:tab w:val="left" w:pos="567"/>
          <w:tab w:val="num" w:pos="1569"/>
          <w:tab w:val="num" w:pos="12305"/>
        </w:tabs>
        <w:spacing w:line="240" w:lineRule="auto"/>
        <w:ind w:left="0" w:firstLine="0"/>
        <w:rPr>
          <w:lang w:val="es-ES" w:bidi="en-US"/>
        </w:rPr>
      </w:pPr>
      <w:r w:rsidRPr="004A30A8">
        <w:rPr>
          <w:bCs/>
          <w:lang w:val="es-ES" w:bidi="en-US"/>
        </w:rPr>
        <w:t xml:space="preserve">La </w:t>
      </w:r>
      <w:r w:rsidRPr="004A30A8">
        <w:rPr>
          <w:lang w:val="es-ES" w:eastAsia="es-ES" w:bidi="en-US"/>
        </w:rPr>
        <w:t>reparación</w:t>
      </w:r>
      <w:r w:rsidRPr="004A30A8">
        <w:rPr>
          <w:bCs/>
          <w:lang w:val="es-ES" w:bidi="en-US"/>
        </w:rPr>
        <w:t xml:space="preserve"> del daño ocasionado por la infracción de una obligación internacional requiere, </w:t>
      </w:r>
      <w:r w:rsidRPr="004A30A8">
        <w:rPr>
          <w:lang w:val="es-ES" w:eastAsia="es-ES_tradnl"/>
        </w:rPr>
        <w:t>siempre</w:t>
      </w:r>
      <w:r w:rsidRPr="004A30A8">
        <w:rPr>
          <w:bCs/>
          <w:lang w:val="es-ES" w:bidi="en-US"/>
        </w:rPr>
        <w:t xml:space="preserve"> que sea posible, la plena restitución (</w:t>
      </w:r>
      <w:r w:rsidRPr="004A30A8">
        <w:rPr>
          <w:bCs/>
          <w:i/>
          <w:lang w:val="es-ES" w:bidi="en-US"/>
        </w:rPr>
        <w:t>restitutio in integrum</w:t>
      </w:r>
      <w:r w:rsidRPr="004A30A8">
        <w:rPr>
          <w:bCs/>
          <w:lang w:val="es-ES" w:bidi="en-US"/>
        </w:rPr>
        <w:t xml:space="preserve">), que consiste en el restablecimiento de la </w:t>
      </w:r>
      <w:r w:rsidRPr="004A30A8">
        <w:rPr>
          <w:lang w:val="es-ES"/>
        </w:rPr>
        <w:t>situación</w:t>
      </w:r>
      <w:r w:rsidRPr="004A30A8">
        <w:rPr>
          <w:bCs/>
          <w:lang w:val="es-ES" w:bidi="en-US"/>
        </w:rPr>
        <w:t xml:space="preserve"> anterior. De no ser esto factible, como ocurre en la mayoría de los </w:t>
      </w:r>
      <w:r w:rsidRPr="004A30A8">
        <w:t>casos</w:t>
      </w:r>
      <w:r w:rsidRPr="004A30A8">
        <w:rPr>
          <w:bCs/>
          <w:lang w:val="es-ES" w:bidi="en-US"/>
        </w:rPr>
        <w:t xml:space="preserve"> de violaciones a derechos humanos, el Tribunal determinará medidas para garantizar los derechos conculcados y reparar las consecuencias que las infracciones produjeron</w:t>
      </w:r>
      <w:r w:rsidRPr="004A30A8">
        <w:rPr>
          <w:vertAlign w:val="superscript"/>
          <w:lang w:val="es-ES" w:bidi="en-US"/>
        </w:rPr>
        <w:footnoteReference w:id="201"/>
      </w:r>
      <w:r w:rsidRPr="004A30A8">
        <w:rPr>
          <w:bCs/>
          <w:lang w:val="es-ES" w:bidi="en-US"/>
        </w:rPr>
        <w:t xml:space="preserve">. Por tanto, </w:t>
      </w:r>
      <w:r w:rsidRPr="004A30A8">
        <w:rPr>
          <w:lang w:val="es-ES" w:bidi="en-US"/>
        </w:rPr>
        <w:t xml:space="preserve">la Corte ha </w:t>
      </w:r>
      <w:r w:rsidRPr="004A30A8">
        <w:rPr>
          <w:lang w:val="es-ES"/>
        </w:rPr>
        <w:t>considerado</w:t>
      </w:r>
      <w:r w:rsidRPr="004A30A8">
        <w:rPr>
          <w:lang w:val="es-ES" w:bidi="en-US"/>
        </w:rPr>
        <w:t xml:space="preserve"> la necesidad de </w:t>
      </w:r>
      <w:r w:rsidRPr="004A30A8">
        <w:rPr>
          <w:lang w:val="es-ES"/>
        </w:rPr>
        <w:t>otorgar</w:t>
      </w:r>
      <w:r w:rsidRPr="004A30A8">
        <w:rPr>
          <w:lang w:val="es-ES" w:bidi="en-US"/>
        </w:rPr>
        <w:t xml:space="preserve">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4A30A8">
        <w:rPr>
          <w:vertAlign w:val="superscript"/>
          <w:lang w:val="es-ES" w:bidi="en-US"/>
        </w:rPr>
        <w:footnoteReference w:id="202"/>
      </w:r>
      <w:r w:rsidRPr="004A30A8">
        <w:rPr>
          <w:lang w:val="es-ES" w:bidi="en-US"/>
        </w:rPr>
        <w:t>.</w:t>
      </w:r>
    </w:p>
    <w:p w14:paraId="52EAC8BF" w14:textId="77777777" w:rsidR="003A7436" w:rsidRPr="004A30A8" w:rsidRDefault="003A7436" w:rsidP="003A7436">
      <w:pPr>
        <w:pStyle w:val="Normal1"/>
        <w:widowControl/>
        <w:contextualSpacing/>
        <w:jc w:val="both"/>
        <w:rPr>
          <w:rFonts w:ascii="Verdana" w:hAnsi="Verdana"/>
          <w:sz w:val="20"/>
          <w:szCs w:val="20"/>
          <w:lang w:val="es-ES" w:bidi="en-US"/>
        </w:rPr>
      </w:pPr>
    </w:p>
    <w:p w14:paraId="14243B3B" w14:textId="77777777" w:rsidR="003A7436" w:rsidRPr="004A30A8" w:rsidRDefault="003A7436">
      <w:pPr>
        <w:numPr>
          <w:ilvl w:val="0"/>
          <w:numId w:val="7"/>
        </w:numPr>
        <w:tabs>
          <w:tab w:val="left" w:pos="567"/>
          <w:tab w:val="num" w:pos="1569"/>
          <w:tab w:val="num" w:pos="12305"/>
        </w:tabs>
        <w:spacing w:line="240" w:lineRule="auto"/>
        <w:ind w:left="0" w:firstLine="0"/>
        <w:rPr>
          <w:lang w:val="es-ES" w:bidi="en-US"/>
        </w:rPr>
      </w:pPr>
      <w:r w:rsidRPr="004A30A8">
        <w:rPr>
          <w:lang w:val="es-ES" w:bidi="en-US"/>
        </w:rPr>
        <w:t xml:space="preserve">La </w:t>
      </w:r>
      <w:r w:rsidRPr="004A30A8">
        <w:rPr>
          <w:bCs/>
          <w:lang w:val="es-ES" w:bidi="en-US"/>
        </w:rPr>
        <w:t>Corte</w:t>
      </w:r>
      <w:r w:rsidRPr="004A30A8">
        <w:rPr>
          <w:lang w:val="es-ES" w:bidi="en-US"/>
        </w:rPr>
        <w:t xml:space="preserve"> ha </w:t>
      </w:r>
      <w:r w:rsidRPr="004A30A8">
        <w:rPr>
          <w:lang w:val="es-ES"/>
        </w:rPr>
        <w:t>establecido</w:t>
      </w:r>
      <w:r w:rsidRPr="004A30A8">
        <w:rPr>
          <w:lang w:val="es-ES" w:bidi="en-US"/>
        </w:rPr>
        <w:t xml:space="preserve"> que las reparaciones deben tener un nexo causal con los hechos del caso, las violaciones declaradas, los daños acreditados, así como las medidas solicitadas para reparar los daños respectivos. </w:t>
      </w:r>
      <w:r w:rsidRPr="004A30A8">
        <w:rPr>
          <w:lang w:val="es-ES"/>
        </w:rPr>
        <w:t>Por</w:t>
      </w:r>
      <w:r w:rsidRPr="004A30A8">
        <w:rPr>
          <w:lang w:val="es-ES" w:bidi="en-US"/>
        </w:rPr>
        <w:t xml:space="preserve"> lo tanto, la Corte deberá observar dicha concurrencia para pronunciarse debidamente y conforme a derecho</w:t>
      </w:r>
      <w:r w:rsidRPr="004A30A8">
        <w:rPr>
          <w:vertAlign w:val="superscript"/>
          <w:lang w:val="es-ES" w:bidi="en-US"/>
        </w:rPr>
        <w:footnoteReference w:id="203"/>
      </w:r>
      <w:r w:rsidRPr="004A30A8">
        <w:rPr>
          <w:lang w:val="es-ES" w:bidi="en-US"/>
        </w:rPr>
        <w:t>.</w:t>
      </w:r>
    </w:p>
    <w:p w14:paraId="4D00F2DE" w14:textId="77777777" w:rsidR="003A7436" w:rsidRPr="004A30A8" w:rsidRDefault="003A7436" w:rsidP="003A7436">
      <w:pPr>
        <w:pStyle w:val="Normal1"/>
        <w:widowControl/>
        <w:contextualSpacing/>
        <w:jc w:val="both"/>
        <w:rPr>
          <w:rFonts w:ascii="Verdana" w:hAnsi="Verdana"/>
          <w:sz w:val="20"/>
          <w:szCs w:val="20"/>
          <w:lang w:val="es-ES" w:bidi="en-US"/>
        </w:rPr>
      </w:pPr>
    </w:p>
    <w:p w14:paraId="19D48AA4" w14:textId="1311EA94" w:rsidR="00780EB4" w:rsidRPr="004A30A8" w:rsidRDefault="003A7436" w:rsidP="00E23C8F">
      <w:pPr>
        <w:numPr>
          <w:ilvl w:val="0"/>
          <w:numId w:val="7"/>
        </w:numPr>
        <w:tabs>
          <w:tab w:val="left" w:pos="567"/>
          <w:tab w:val="num" w:pos="1569"/>
          <w:tab w:val="num" w:pos="12305"/>
        </w:tabs>
        <w:spacing w:line="240" w:lineRule="auto"/>
        <w:ind w:left="0" w:firstLine="0"/>
        <w:rPr>
          <w:lang w:val="es-ES" w:bidi="en-US"/>
        </w:rPr>
      </w:pPr>
      <w:r w:rsidRPr="004A30A8">
        <w:rPr>
          <w:lang w:val="es-ES"/>
        </w:rPr>
        <w:t>Tomando en cuenta las violaciones a la Convención Americana declaradas en el capítulo anterior, a la luz de los criterios fijados en la jurisprudencia del Tribunal en relación con la naturaleza y alcances de la obligación de reparar</w:t>
      </w:r>
      <w:r w:rsidRPr="004A30A8">
        <w:rPr>
          <w:rFonts w:eastAsia="Calibri"/>
          <w:vertAlign w:val="superscript"/>
          <w:lang w:val="es-ES"/>
        </w:rPr>
        <w:footnoteReference w:id="204"/>
      </w:r>
      <w:r w:rsidRPr="004A30A8">
        <w:rPr>
          <w:lang w:val="es-ES"/>
        </w:rPr>
        <w:t xml:space="preserve">, la Corte analizará </w:t>
      </w:r>
      <w:r w:rsidRPr="004A30A8">
        <w:rPr>
          <w:lang w:val="es-ES"/>
        </w:rPr>
        <w:lastRenderedPageBreak/>
        <w:t xml:space="preserve">las pretensiones presentadas por </w:t>
      </w:r>
      <w:r w:rsidRPr="004A30A8">
        <w:t>la</w:t>
      </w:r>
      <w:r w:rsidRPr="004A30A8">
        <w:rPr>
          <w:lang w:val="es-ES"/>
        </w:rPr>
        <w:t xml:space="preserve"> Comisión y los representantes, así como los argumentos del Estado al respecto, con el objeto de disponer a continuación las medidas tendientes a reparar dichas violaciones.</w:t>
      </w:r>
    </w:p>
    <w:p w14:paraId="09FEA579" w14:textId="3160DDB3" w:rsidR="00780DEB" w:rsidRPr="004A30A8" w:rsidRDefault="0032502D" w:rsidP="00804223">
      <w:pPr>
        <w:pStyle w:val="Ttulo2"/>
        <w:spacing w:before="360" w:after="360"/>
        <w:ind w:left="924" w:hanging="357"/>
      </w:pPr>
      <w:bookmarkStart w:id="56" w:name="_Toc129887119"/>
      <w:r w:rsidRPr="004A30A8">
        <w:t xml:space="preserve">A. </w:t>
      </w:r>
      <w:r w:rsidR="004A1938" w:rsidRPr="004A30A8">
        <w:t>Parte lesionada</w:t>
      </w:r>
      <w:bookmarkEnd w:id="56"/>
    </w:p>
    <w:p w14:paraId="4160167B" w14:textId="5DD854E6" w:rsidR="00C6520D" w:rsidRPr="004A30A8" w:rsidRDefault="00780DEB" w:rsidP="00C6520D">
      <w:pPr>
        <w:numPr>
          <w:ilvl w:val="0"/>
          <w:numId w:val="7"/>
        </w:numPr>
        <w:tabs>
          <w:tab w:val="left" w:pos="567"/>
          <w:tab w:val="num" w:pos="1569"/>
          <w:tab w:val="num" w:pos="12305"/>
        </w:tabs>
        <w:spacing w:line="240" w:lineRule="auto"/>
        <w:ind w:left="0" w:firstLine="0"/>
        <w:rPr>
          <w:lang w:val="es-ES" w:eastAsia="es-ES_tradnl"/>
        </w:rPr>
      </w:pPr>
      <w:r w:rsidRPr="004A30A8">
        <w:rPr>
          <w:lang w:val="es-ES" w:eastAsia="es-ES_tradnl"/>
        </w:rPr>
        <w:t xml:space="preserve">Este Tribunal considera parte lesionada, en los términos del artículo 63.1 de la </w:t>
      </w:r>
      <w:r w:rsidRPr="004A30A8">
        <w:rPr>
          <w:lang w:val="es-ES"/>
        </w:rPr>
        <w:t>Convención</w:t>
      </w:r>
      <w:r w:rsidRPr="004A30A8">
        <w:rPr>
          <w:lang w:val="es-ES" w:eastAsia="es-ES_tradnl"/>
        </w:rPr>
        <w:t xml:space="preserve">, a </w:t>
      </w:r>
      <w:r w:rsidR="00572333" w:rsidRPr="004A30A8">
        <w:rPr>
          <w:lang w:val="es-ES" w:eastAsia="es-ES" w:bidi="en-US"/>
        </w:rPr>
        <w:t>quien</w:t>
      </w:r>
      <w:r w:rsidRPr="004A30A8">
        <w:rPr>
          <w:lang w:val="es-ES" w:eastAsia="es-ES_tradnl"/>
        </w:rPr>
        <w:t xml:space="preserve"> ha sido </w:t>
      </w:r>
      <w:r w:rsidRPr="004A30A8">
        <w:rPr>
          <w:lang w:val="es-ES" w:eastAsia="es-ES" w:bidi="en-US"/>
        </w:rPr>
        <w:t>declarada</w:t>
      </w:r>
      <w:r w:rsidRPr="004A30A8">
        <w:rPr>
          <w:lang w:val="es-ES" w:eastAsia="es-ES_tradnl"/>
        </w:rPr>
        <w:t xml:space="preserve"> víctima de la violación de algún derecho reconocido en la </w:t>
      </w:r>
      <w:r w:rsidRPr="004A30A8">
        <w:rPr>
          <w:lang w:val="es-ES"/>
        </w:rPr>
        <w:t>misma</w:t>
      </w:r>
      <w:r w:rsidRPr="004A30A8">
        <w:rPr>
          <w:lang w:val="es-ES" w:eastAsia="es-ES_tradnl"/>
        </w:rPr>
        <w:t>. Por lo tanto, esta Corte considera como “</w:t>
      </w:r>
      <w:r w:rsidRPr="004A30A8">
        <w:rPr>
          <w:lang w:val="es-ES"/>
        </w:rPr>
        <w:t>parte</w:t>
      </w:r>
      <w:r w:rsidRPr="004A30A8">
        <w:rPr>
          <w:lang w:val="es-ES" w:eastAsia="es-ES_tradnl"/>
        </w:rPr>
        <w:t xml:space="preserve"> lesionada” a</w:t>
      </w:r>
      <w:r w:rsidR="00183053" w:rsidRPr="004A30A8">
        <w:rPr>
          <w:lang w:val="es-ES" w:eastAsia="es-ES_tradnl"/>
        </w:rPr>
        <w:t>l señor Crissthian Manuel Olivera Fuentes quien</w:t>
      </w:r>
      <w:r w:rsidRPr="004A30A8">
        <w:rPr>
          <w:lang w:val="es-ES" w:eastAsia="es-ES_tradnl"/>
        </w:rPr>
        <w:t>, en su carácter de víctima de las violaciones declaradas en el capítulo VI</w:t>
      </w:r>
      <w:r w:rsidR="00183053" w:rsidRPr="004A30A8">
        <w:rPr>
          <w:lang w:val="es-ES" w:eastAsia="es-ES_tradnl"/>
        </w:rPr>
        <w:t>I</w:t>
      </w:r>
      <w:r w:rsidR="008E4B36" w:rsidRPr="004A30A8">
        <w:rPr>
          <w:lang w:val="es-ES" w:eastAsia="es-ES_tradnl"/>
        </w:rPr>
        <w:t>I</w:t>
      </w:r>
      <w:r w:rsidRPr="004A30A8">
        <w:rPr>
          <w:lang w:val="es-ES" w:eastAsia="es-ES_tradnl"/>
        </w:rPr>
        <w:t xml:space="preserve"> de la presente Sentencia, será beneficiario de las reparaciones que la Corte ordene. </w:t>
      </w:r>
    </w:p>
    <w:p w14:paraId="43D41317" w14:textId="4A094114" w:rsidR="002C7E2F" w:rsidRPr="004A30A8" w:rsidRDefault="0006208E" w:rsidP="00804223">
      <w:pPr>
        <w:pStyle w:val="Ttulo2"/>
        <w:spacing w:before="240" w:after="240"/>
        <w:ind w:left="924" w:hanging="357"/>
      </w:pPr>
      <w:bookmarkStart w:id="57" w:name="_Toc129887120"/>
      <w:r w:rsidRPr="004A30A8">
        <w:t>B. Medidas de rehabilitación</w:t>
      </w:r>
      <w:bookmarkEnd w:id="57"/>
    </w:p>
    <w:p w14:paraId="7A8FEE97" w14:textId="0D8DAC51" w:rsidR="002C7E2F" w:rsidRPr="004A30A8" w:rsidRDefault="00FC6660">
      <w:pPr>
        <w:numPr>
          <w:ilvl w:val="0"/>
          <w:numId w:val="7"/>
        </w:numPr>
        <w:tabs>
          <w:tab w:val="left" w:pos="567"/>
          <w:tab w:val="num" w:pos="1569"/>
          <w:tab w:val="num" w:pos="12305"/>
        </w:tabs>
        <w:spacing w:line="240" w:lineRule="auto"/>
        <w:ind w:left="0" w:firstLine="0"/>
        <w:rPr>
          <w:lang w:val="es-ES" w:eastAsia="es-ES_tradnl"/>
        </w:rPr>
      </w:pPr>
      <w:r w:rsidRPr="004A30A8">
        <w:rPr>
          <w:lang w:val="es-ES" w:eastAsia="es-ES_tradnl"/>
        </w:rPr>
        <w:t>En su escrito de observaciones finales escritas, l</w:t>
      </w:r>
      <w:r w:rsidR="002C7E2F" w:rsidRPr="004A30A8">
        <w:rPr>
          <w:lang w:val="es-ES" w:eastAsia="es-ES_tradnl"/>
        </w:rPr>
        <w:t>a</w:t>
      </w:r>
      <w:r w:rsidR="004665A6" w:rsidRPr="004A30A8">
        <w:rPr>
          <w:rFonts w:cs="Arial"/>
        </w:rPr>
        <w:t xml:space="preserve"> </w:t>
      </w:r>
      <w:r w:rsidR="004665A6" w:rsidRPr="004A30A8">
        <w:rPr>
          <w:rFonts w:cs="Arial"/>
          <w:b/>
          <w:i/>
        </w:rPr>
        <w:t>Comisión</w:t>
      </w:r>
      <w:r w:rsidR="004665A6" w:rsidRPr="004A30A8">
        <w:rPr>
          <w:rFonts w:cs="Arial"/>
        </w:rPr>
        <w:t xml:space="preserve"> </w:t>
      </w:r>
      <w:r w:rsidR="00C05F54" w:rsidRPr="004A30A8">
        <w:rPr>
          <w:rFonts w:cs="Arial"/>
        </w:rPr>
        <w:t>señaló que</w:t>
      </w:r>
      <w:r w:rsidR="00E516C3" w:rsidRPr="004A30A8">
        <w:rPr>
          <w:rFonts w:cs="Arial"/>
        </w:rPr>
        <w:t xml:space="preserve"> </w:t>
      </w:r>
      <w:r w:rsidR="005847F0" w:rsidRPr="004A30A8">
        <w:rPr>
          <w:rFonts w:cs="Arial"/>
        </w:rPr>
        <w:t xml:space="preserve">el Estado debía brindar a la víctima un </w:t>
      </w:r>
      <w:r w:rsidRPr="004A30A8">
        <w:rPr>
          <w:rFonts w:cs="Arial"/>
        </w:rPr>
        <w:t>“</w:t>
      </w:r>
      <w:r w:rsidR="005847F0" w:rsidRPr="004A30A8">
        <w:rPr>
          <w:rFonts w:cs="Arial"/>
        </w:rPr>
        <w:t xml:space="preserve">tratamiento </w:t>
      </w:r>
      <w:r w:rsidR="00C91148" w:rsidRPr="004A30A8">
        <w:rPr>
          <w:rFonts w:cs="Arial"/>
        </w:rPr>
        <w:t xml:space="preserve">adecuado conforme a sus necesidades, </w:t>
      </w:r>
      <w:r w:rsidR="00793F68" w:rsidRPr="004A30A8">
        <w:rPr>
          <w:rFonts w:cs="Arial"/>
        </w:rPr>
        <w:t xml:space="preserve">[…] </w:t>
      </w:r>
      <w:r w:rsidR="00763D83" w:rsidRPr="004A30A8">
        <w:rPr>
          <w:rFonts w:cs="Arial"/>
        </w:rPr>
        <w:t xml:space="preserve">por </w:t>
      </w:r>
      <w:r w:rsidR="00763D83" w:rsidRPr="004A30A8">
        <w:t>una</w:t>
      </w:r>
      <w:r w:rsidR="00763D83" w:rsidRPr="004A30A8">
        <w:rPr>
          <w:rFonts w:cs="Arial"/>
        </w:rPr>
        <w:t xml:space="preserve"> persona o institución con la experticia</w:t>
      </w:r>
      <w:r w:rsidR="00046248" w:rsidRPr="004A30A8">
        <w:rPr>
          <w:rFonts w:cs="Arial"/>
        </w:rPr>
        <w:t xml:space="preserve"> requerida para tratar específicamente a personas que han sufrido actos de discriminación</w:t>
      </w:r>
      <w:r w:rsidRPr="004A30A8">
        <w:rPr>
          <w:rFonts w:cs="Arial"/>
        </w:rPr>
        <w:t>”</w:t>
      </w:r>
      <w:r w:rsidR="00987058" w:rsidRPr="004A30A8">
        <w:rPr>
          <w:rFonts w:cs="Arial"/>
        </w:rPr>
        <w:t>.</w:t>
      </w:r>
      <w:r w:rsidR="00046248" w:rsidRPr="004A30A8">
        <w:rPr>
          <w:rFonts w:cs="Arial"/>
        </w:rPr>
        <w:t xml:space="preserve"> </w:t>
      </w:r>
    </w:p>
    <w:p w14:paraId="31B43F0F" w14:textId="77777777" w:rsidR="00D764B5" w:rsidRPr="004A30A8" w:rsidRDefault="00D764B5" w:rsidP="00D764B5">
      <w:pPr>
        <w:tabs>
          <w:tab w:val="left" w:pos="567"/>
        </w:tabs>
        <w:spacing w:line="240" w:lineRule="auto"/>
        <w:rPr>
          <w:lang w:val="es-ES" w:eastAsia="es-ES_tradnl"/>
        </w:rPr>
      </w:pPr>
    </w:p>
    <w:p w14:paraId="27AF768F" w14:textId="31EF4813" w:rsidR="00D764B5" w:rsidRPr="004A30A8" w:rsidRDefault="004665A6" w:rsidP="007C516D">
      <w:pPr>
        <w:numPr>
          <w:ilvl w:val="0"/>
          <w:numId w:val="7"/>
        </w:numPr>
        <w:tabs>
          <w:tab w:val="left" w:pos="567"/>
          <w:tab w:val="num" w:pos="1569"/>
          <w:tab w:val="num" w:pos="12305"/>
        </w:tabs>
        <w:spacing w:line="240" w:lineRule="auto"/>
        <w:ind w:left="0" w:firstLine="0"/>
        <w:rPr>
          <w:lang w:val="es-ES" w:eastAsia="es-ES_tradnl"/>
        </w:rPr>
      </w:pPr>
      <w:r w:rsidRPr="004A30A8">
        <w:rPr>
          <w:rFonts w:cs="Arial"/>
        </w:rPr>
        <w:t xml:space="preserve">Los </w:t>
      </w:r>
      <w:r w:rsidRPr="004A30A8">
        <w:rPr>
          <w:rFonts w:cs="Arial"/>
          <w:b/>
          <w:i/>
        </w:rPr>
        <w:t>representantes</w:t>
      </w:r>
      <w:r w:rsidRPr="004A30A8">
        <w:rPr>
          <w:rFonts w:cs="Arial"/>
        </w:rPr>
        <w:t xml:space="preserve"> solicitaron que el Estado brinde al señor Olivera de forma gratuita, inmediata y por el tiempo que sea necesario, “un adecuado tratamiento psicológico o psiquiátrico, </w:t>
      </w:r>
      <w:r w:rsidRPr="004A30A8">
        <w:rPr>
          <w:lang w:val="es-ES"/>
        </w:rPr>
        <w:t>según</w:t>
      </w:r>
      <w:r w:rsidRPr="004A30A8">
        <w:rPr>
          <w:rFonts w:cs="Arial"/>
        </w:rPr>
        <w:t xml:space="preserve"> </w:t>
      </w:r>
      <w:r w:rsidRPr="004A30A8">
        <w:t>corresponda</w:t>
      </w:r>
      <w:r w:rsidRPr="004A30A8">
        <w:rPr>
          <w:rFonts w:cs="Arial"/>
        </w:rPr>
        <w:t>”</w:t>
      </w:r>
      <w:r w:rsidR="00124874" w:rsidRPr="004A30A8">
        <w:rPr>
          <w:rFonts w:cs="Arial"/>
        </w:rPr>
        <w:t>.</w:t>
      </w:r>
      <w:r w:rsidRPr="004A30A8">
        <w:rPr>
          <w:rFonts w:cs="Arial"/>
        </w:rPr>
        <w:t xml:space="preserve"> Indicaron que el Estado </w:t>
      </w:r>
      <w:r w:rsidR="00755A04" w:rsidRPr="004A30A8">
        <w:rPr>
          <w:lang w:val="es-ES"/>
        </w:rPr>
        <w:t>debía además</w:t>
      </w:r>
      <w:r w:rsidRPr="004A30A8">
        <w:rPr>
          <w:rFonts w:cs="Arial"/>
        </w:rPr>
        <w:t xml:space="preserve"> cubrir el costo del transporte y los medicamentos</w:t>
      </w:r>
      <w:r w:rsidR="00755A04" w:rsidRPr="004A30A8">
        <w:rPr>
          <w:rFonts w:cs="Arial"/>
        </w:rPr>
        <w:t xml:space="preserve">, así como cualquier otro gasto </w:t>
      </w:r>
      <w:r w:rsidRPr="004A30A8">
        <w:rPr>
          <w:rFonts w:cs="Arial"/>
        </w:rPr>
        <w:t xml:space="preserve">que </w:t>
      </w:r>
      <w:r w:rsidR="00755A04" w:rsidRPr="004A30A8">
        <w:rPr>
          <w:rFonts w:cs="Arial"/>
        </w:rPr>
        <w:t>pudiera</w:t>
      </w:r>
      <w:r w:rsidRPr="004A30A8">
        <w:rPr>
          <w:rFonts w:cs="Arial"/>
        </w:rPr>
        <w:t xml:space="preserve"> derivar del tratamiento. Asimismo, solicitaron que dicho tratamiento sea prestado por psicólogos o psiquiatras expertos en la atención de personas LGBTI</w:t>
      </w:r>
      <w:r w:rsidR="00793F68" w:rsidRPr="004A30A8">
        <w:rPr>
          <w:rFonts w:cs="Arial"/>
        </w:rPr>
        <w:t>Q+</w:t>
      </w:r>
      <w:r w:rsidRPr="004A30A8">
        <w:rPr>
          <w:rFonts w:cs="Arial"/>
        </w:rPr>
        <w:t>, de común acuerdo con el señor Olivera. En caso de no contar con este tipo de expertos en el servicio general de atención psicológica y psiquiátrica del Sistema Integral de Salud (</w:t>
      </w:r>
      <w:r w:rsidR="00510C67" w:rsidRPr="004A30A8">
        <w:rPr>
          <w:rFonts w:cs="Arial"/>
        </w:rPr>
        <w:t>en adelante “</w:t>
      </w:r>
      <w:r w:rsidRPr="004A30A8">
        <w:rPr>
          <w:rFonts w:cs="Arial"/>
        </w:rPr>
        <w:t>SIS</w:t>
      </w:r>
      <w:r w:rsidR="00510C67" w:rsidRPr="004A30A8">
        <w:rPr>
          <w:rFonts w:cs="Arial"/>
        </w:rPr>
        <w:t>”</w:t>
      </w:r>
      <w:r w:rsidRPr="004A30A8">
        <w:rPr>
          <w:rFonts w:cs="Arial"/>
        </w:rPr>
        <w:t>) o el Seguro Social de Salud (</w:t>
      </w:r>
      <w:r w:rsidR="00510C67" w:rsidRPr="004A30A8">
        <w:rPr>
          <w:rFonts w:cs="Arial"/>
        </w:rPr>
        <w:t>en adelante “</w:t>
      </w:r>
      <w:r w:rsidRPr="004A30A8">
        <w:rPr>
          <w:rFonts w:cs="Arial"/>
        </w:rPr>
        <w:t>EsSalud</w:t>
      </w:r>
      <w:r w:rsidR="00510C67" w:rsidRPr="004A30A8">
        <w:rPr>
          <w:rFonts w:cs="Arial"/>
        </w:rPr>
        <w:t>”</w:t>
      </w:r>
      <w:r w:rsidRPr="004A30A8">
        <w:rPr>
          <w:rFonts w:cs="Arial"/>
        </w:rPr>
        <w:t xml:space="preserve">), señalaron que el Estado tendría que proveer tratamiento especializado </w:t>
      </w:r>
      <w:r w:rsidR="00755A04" w:rsidRPr="004A30A8">
        <w:rPr>
          <w:rFonts w:cs="Arial"/>
        </w:rPr>
        <w:t xml:space="preserve">en un centro de salud </w:t>
      </w:r>
      <w:r w:rsidRPr="004A30A8">
        <w:rPr>
          <w:rFonts w:cs="Arial"/>
        </w:rPr>
        <w:t>privado.</w:t>
      </w:r>
      <w:r w:rsidRPr="004A30A8">
        <w:rPr>
          <w:rFonts w:cs="Arial"/>
          <w:b/>
        </w:rPr>
        <w:t xml:space="preserve"> </w:t>
      </w:r>
    </w:p>
    <w:p w14:paraId="6EC9C155" w14:textId="77777777" w:rsidR="00EE15AE" w:rsidRPr="004A30A8" w:rsidRDefault="00EE15AE" w:rsidP="00EE15AE">
      <w:pPr>
        <w:tabs>
          <w:tab w:val="left" w:pos="567"/>
        </w:tabs>
        <w:spacing w:line="240" w:lineRule="auto"/>
        <w:rPr>
          <w:lang w:val="es-ES" w:eastAsia="es-ES_tradnl"/>
        </w:rPr>
      </w:pPr>
    </w:p>
    <w:p w14:paraId="0FE3057C" w14:textId="1F0DC84C" w:rsidR="00DF63FC" w:rsidRPr="004A30A8" w:rsidRDefault="004665A6" w:rsidP="00BE1EB1">
      <w:pPr>
        <w:numPr>
          <w:ilvl w:val="0"/>
          <w:numId w:val="7"/>
        </w:numPr>
        <w:tabs>
          <w:tab w:val="left" w:pos="567"/>
          <w:tab w:val="num" w:pos="1569"/>
          <w:tab w:val="num" w:pos="12305"/>
        </w:tabs>
        <w:spacing w:line="240" w:lineRule="auto"/>
        <w:ind w:left="0" w:firstLine="0"/>
        <w:rPr>
          <w:lang w:val="es-ES" w:eastAsia="es-ES_tradnl"/>
        </w:rPr>
      </w:pPr>
      <w:r w:rsidRPr="004A30A8">
        <w:rPr>
          <w:lang w:val="es-ES"/>
        </w:rPr>
        <w:t xml:space="preserve">El </w:t>
      </w:r>
      <w:r w:rsidRPr="004A30A8">
        <w:rPr>
          <w:b/>
          <w:i/>
          <w:lang w:val="es-ES"/>
        </w:rPr>
        <w:t xml:space="preserve">Estado </w:t>
      </w:r>
      <w:r w:rsidRPr="004A30A8">
        <w:rPr>
          <w:lang w:val="es-ES"/>
        </w:rPr>
        <w:t xml:space="preserve">alegó que no se aprecia en el acervo probatorio una </w:t>
      </w:r>
      <w:r w:rsidR="000C6AE5" w:rsidRPr="004A30A8">
        <w:rPr>
          <w:lang w:val="es-ES"/>
        </w:rPr>
        <w:t>relación causal</w:t>
      </w:r>
      <w:r w:rsidRPr="004A30A8">
        <w:rPr>
          <w:lang w:val="es-ES"/>
        </w:rPr>
        <w:t xml:space="preserve"> entre los hechos denunciados del 11 de agosto de 2004 y un menoscabo en la salud mental del señor Olivera. </w:t>
      </w:r>
      <w:r w:rsidR="000C6AE5" w:rsidRPr="004A30A8">
        <w:rPr>
          <w:lang w:val="es-ES"/>
        </w:rPr>
        <w:t>Añadió que el peritaje realizado por el señor Gonzalo Meneses resultaría extemporánea, toda vez que los hechos ocurrieron en</w:t>
      </w:r>
      <w:r w:rsidR="00572333" w:rsidRPr="004A30A8">
        <w:rPr>
          <w:lang w:val="es-ES"/>
        </w:rPr>
        <w:t xml:space="preserve"> </w:t>
      </w:r>
      <w:r w:rsidR="000C6AE5" w:rsidRPr="004A30A8">
        <w:rPr>
          <w:lang w:val="es-ES"/>
        </w:rPr>
        <w:t>el año 2004 y la evaluación psicológica se realizó 17 años después. I</w:t>
      </w:r>
      <w:r w:rsidR="008764DC" w:rsidRPr="004A30A8">
        <w:rPr>
          <w:lang w:val="es-ES" w:eastAsia="es-ES_tradnl"/>
        </w:rPr>
        <w:t>ndicó</w:t>
      </w:r>
      <w:r w:rsidR="000C6AE5" w:rsidRPr="004A30A8">
        <w:rPr>
          <w:lang w:val="es-ES" w:eastAsia="es-ES_tradnl"/>
        </w:rPr>
        <w:t xml:space="preserve"> además</w:t>
      </w:r>
      <w:r w:rsidR="008764DC" w:rsidRPr="004A30A8">
        <w:rPr>
          <w:lang w:val="es-ES" w:eastAsia="es-ES_tradnl"/>
        </w:rPr>
        <w:t xml:space="preserve"> </w:t>
      </w:r>
      <w:r w:rsidR="008031AE" w:rsidRPr="004A30A8">
        <w:rPr>
          <w:lang w:val="es-ES" w:eastAsia="es-ES_tradnl"/>
        </w:rPr>
        <w:t xml:space="preserve">que, indiferentemente del hecho de que no se haya acreditado la afectación a la salud mental del señor Olivera Fuentes, </w:t>
      </w:r>
      <w:r w:rsidR="00F30917" w:rsidRPr="004A30A8">
        <w:rPr>
          <w:lang w:val="es-ES" w:eastAsia="es-ES_tradnl"/>
        </w:rPr>
        <w:t xml:space="preserve">este puede solicitar atención psicológica o </w:t>
      </w:r>
      <w:r w:rsidR="00F30917" w:rsidRPr="004A30A8">
        <w:rPr>
          <w:lang w:val="es-ES"/>
        </w:rPr>
        <w:t>psiquiátrica</w:t>
      </w:r>
      <w:r w:rsidR="00F30917" w:rsidRPr="004A30A8">
        <w:rPr>
          <w:lang w:val="es-ES" w:eastAsia="es-ES_tradnl"/>
        </w:rPr>
        <w:t xml:space="preserve"> con el seguro de salud otorgado por el Estado de manera gratuita. </w:t>
      </w:r>
      <w:r w:rsidR="00510C67" w:rsidRPr="004A30A8">
        <w:rPr>
          <w:lang w:val="es-ES" w:eastAsia="es-ES_tradnl"/>
        </w:rPr>
        <w:t xml:space="preserve">Sobre este punto, el Estado señaló que el </w:t>
      </w:r>
      <w:r w:rsidR="000C6AE5" w:rsidRPr="004A30A8">
        <w:rPr>
          <w:lang w:val="es-ES" w:eastAsia="es-ES_tradnl"/>
        </w:rPr>
        <w:t>Seguro Integral de Salud al que está afiliado el señor Olivera</w:t>
      </w:r>
      <w:r w:rsidR="00510C67" w:rsidRPr="004A30A8">
        <w:rPr>
          <w:lang w:val="es-ES" w:eastAsia="es-ES_tradnl"/>
        </w:rPr>
        <w:t xml:space="preserve"> </w:t>
      </w:r>
      <w:r w:rsidR="00BB67AE" w:rsidRPr="004A30A8">
        <w:rPr>
          <w:lang w:val="es-ES" w:eastAsia="es-ES_tradnl"/>
        </w:rPr>
        <w:t>posee una cobertura gratuita de atención a pacientes con patologías de salud mental tales como la ansiedad y la depresión</w:t>
      </w:r>
      <w:r w:rsidR="000E4D7A" w:rsidRPr="004A30A8">
        <w:rPr>
          <w:lang w:val="es-ES" w:eastAsia="es-ES_tradnl"/>
        </w:rPr>
        <w:t>, accesibles a cualquier ciudadano que presente su document</w:t>
      </w:r>
      <w:r w:rsidR="00D1396E" w:rsidRPr="004A30A8">
        <w:rPr>
          <w:lang w:val="es-ES" w:eastAsia="es-ES_tradnl"/>
        </w:rPr>
        <w:t>o nacional de identidad.</w:t>
      </w:r>
      <w:r w:rsidR="000F5416" w:rsidRPr="004A30A8">
        <w:rPr>
          <w:lang w:val="es-ES" w:eastAsia="es-ES_tradnl"/>
        </w:rPr>
        <w:t xml:space="preserve"> </w:t>
      </w:r>
    </w:p>
    <w:p w14:paraId="1407C028" w14:textId="77777777" w:rsidR="00804223" w:rsidRPr="004A30A8" w:rsidRDefault="00804223" w:rsidP="00804223">
      <w:pPr>
        <w:tabs>
          <w:tab w:val="left" w:pos="567"/>
        </w:tabs>
        <w:spacing w:line="240" w:lineRule="auto"/>
        <w:rPr>
          <w:lang w:val="es-ES" w:eastAsia="es-ES_tradnl"/>
        </w:rPr>
      </w:pPr>
    </w:p>
    <w:p w14:paraId="13562D02" w14:textId="340DE065" w:rsidR="00DF63FC" w:rsidRPr="004A30A8" w:rsidRDefault="00DF63FC">
      <w:pPr>
        <w:numPr>
          <w:ilvl w:val="0"/>
          <w:numId w:val="7"/>
        </w:numPr>
        <w:tabs>
          <w:tab w:val="left" w:pos="567"/>
          <w:tab w:val="num" w:pos="1569"/>
          <w:tab w:val="num" w:pos="12305"/>
        </w:tabs>
        <w:spacing w:line="240" w:lineRule="auto"/>
        <w:ind w:left="0" w:firstLine="0"/>
      </w:pPr>
      <w:r w:rsidRPr="004A30A8">
        <w:t xml:space="preserve">Además, en relación con los gastos vinculados al acompañamiento psicológico prestado al señor Olivera Fuentes posterior a la celebración de la audiencia pública, el </w:t>
      </w:r>
      <w:r w:rsidRPr="004A30A8">
        <w:lastRenderedPageBreak/>
        <w:t xml:space="preserve">Estado señaló que los comprobantes no deben ser valorados por la Corte en tanto: (i) no se vinculan con los hechos materia de controversia, dado que la salud mental del señor Olivera Fuentes no ha sido objeto de debate, y (ii) el señor Olivera Fuentes ha contado con acceso al SIS, a través del cual pudo haber solicitado sesiones psicológicas y tratamiento en caso de haberlo requerido. </w:t>
      </w:r>
    </w:p>
    <w:p w14:paraId="33798C3E" w14:textId="77777777" w:rsidR="00804223" w:rsidRPr="004A30A8" w:rsidRDefault="00804223" w:rsidP="00804223">
      <w:pPr>
        <w:tabs>
          <w:tab w:val="left" w:pos="567"/>
        </w:tabs>
        <w:spacing w:line="240" w:lineRule="auto"/>
      </w:pPr>
    </w:p>
    <w:p w14:paraId="2BFF2176" w14:textId="4F126DA6" w:rsidR="00EE15AE" w:rsidRPr="004A30A8" w:rsidRDefault="00572333" w:rsidP="007A1AD7">
      <w:pPr>
        <w:numPr>
          <w:ilvl w:val="0"/>
          <w:numId w:val="7"/>
        </w:numPr>
        <w:tabs>
          <w:tab w:val="left" w:pos="567"/>
          <w:tab w:val="num" w:pos="1569"/>
          <w:tab w:val="num" w:pos="12305"/>
        </w:tabs>
        <w:spacing w:line="240" w:lineRule="auto"/>
        <w:ind w:left="0" w:firstLine="0"/>
      </w:pPr>
      <w:r w:rsidRPr="004A30A8">
        <w:t xml:space="preserve">La </w:t>
      </w:r>
      <w:r w:rsidRPr="004A30A8">
        <w:rPr>
          <w:b/>
          <w:bCs/>
          <w:i/>
          <w:iCs/>
        </w:rPr>
        <w:t>Corte</w:t>
      </w:r>
      <w:r w:rsidRPr="004A30A8">
        <w:t xml:space="preserve"> advierte que</w:t>
      </w:r>
      <w:r w:rsidR="00ED6A94" w:rsidRPr="004A30A8">
        <w:t xml:space="preserve"> el peritaje elaborado por el señor Meneses versó, en términos generales, sobre (i) los daños en la salud mental que ocasiona la discriminación estructural y cotidiana contra las personas LGBT</w:t>
      </w:r>
      <w:r w:rsidR="008C0720" w:rsidRPr="004A30A8">
        <w:t>I</w:t>
      </w:r>
      <w:r w:rsidR="00ED6A94" w:rsidRPr="004A30A8">
        <w:t xml:space="preserve">, particularmente cuando se trata de gays, lesbianas y bisexuales, y (ii) las acciones para erradicar, prevenir y reparar adecuadamente desde el Estado este tipo de daño. </w:t>
      </w:r>
      <w:r w:rsidR="007B25FB" w:rsidRPr="004A30A8">
        <w:t xml:space="preserve">El Tribunal observa, además, que el señor Olivera declaró que todo el procedimiento ante las autoridades internas le resultó “muy frustrante” indicando que “nadie sabe cuántas lágrimas y cuánto enojo he tenido que pasar, cuando he tenido que leer todas estas cosas, los alegatos en el proceso”, mediante la construcción de un relato que le “invalida[ba]” y por el que desacreditaba su palabra por ser homosexual, </w:t>
      </w:r>
      <w:r w:rsidR="00EE15AE" w:rsidRPr="004A30A8">
        <w:t xml:space="preserve">señalando que su palabra había sido “ninguneada” y le habían “despojado de valor” y “credibilidad”, </w:t>
      </w:r>
      <w:r w:rsidR="007B25FB" w:rsidRPr="004A30A8">
        <w:t xml:space="preserve">lo cual le produjo “mucho dolor” y </w:t>
      </w:r>
      <w:r w:rsidR="00EE15AE" w:rsidRPr="004A30A8">
        <w:t>“</w:t>
      </w:r>
      <w:r w:rsidR="007B25FB" w:rsidRPr="004A30A8">
        <w:t xml:space="preserve">daño a </w:t>
      </w:r>
      <w:r w:rsidR="00EE15AE" w:rsidRPr="004A30A8">
        <w:t xml:space="preserve">[…] </w:t>
      </w:r>
      <w:r w:rsidR="007B25FB" w:rsidRPr="004A30A8">
        <w:t>nivel emocional</w:t>
      </w:r>
      <w:r w:rsidR="00EE15AE" w:rsidRPr="004A30A8">
        <w:t>”</w:t>
      </w:r>
      <w:r w:rsidR="007B25FB" w:rsidRPr="004A30A8">
        <w:t xml:space="preserve"> a lo largo de más de 18 años</w:t>
      </w:r>
      <w:r w:rsidR="007B25FB" w:rsidRPr="004A30A8">
        <w:rPr>
          <w:rStyle w:val="Refdenotaalpie"/>
        </w:rPr>
        <w:footnoteReference w:id="205"/>
      </w:r>
      <w:r w:rsidR="00ED6A94" w:rsidRPr="004A30A8">
        <w:t>.</w:t>
      </w:r>
      <w:r w:rsidR="009A19C2" w:rsidRPr="004A30A8">
        <w:t xml:space="preserve"> </w:t>
      </w:r>
    </w:p>
    <w:p w14:paraId="3A2E7FE0" w14:textId="77777777" w:rsidR="00EE15AE" w:rsidRPr="004A30A8" w:rsidRDefault="00EE15AE" w:rsidP="00EE15AE">
      <w:pPr>
        <w:tabs>
          <w:tab w:val="left" w:pos="567"/>
          <w:tab w:val="num" w:pos="12305"/>
        </w:tabs>
        <w:spacing w:line="240" w:lineRule="auto"/>
      </w:pPr>
    </w:p>
    <w:p w14:paraId="479643A3" w14:textId="7B0743D9" w:rsidR="00780583" w:rsidRPr="004A30A8" w:rsidRDefault="007B25FB" w:rsidP="00780583">
      <w:pPr>
        <w:numPr>
          <w:ilvl w:val="0"/>
          <w:numId w:val="7"/>
        </w:numPr>
        <w:tabs>
          <w:tab w:val="left" w:pos="567"/>
          <w:tab w:val="num" w:pos="1569"/>
          <w:tab w:val="num" w:pos="12305"/>
        </w:tabs>
        <w:spacing w:line="240" w:lineRule="auto"/>
        <w:ind w:left="0" w:firstLine="0"/>
      </w:pPr>
      <w:r w:rsidRPr="004A30A8">
        <w:t>Esta Corte constata, por tanto, que el señor Olivera padeció un profundo sufrimiento y angustia en detrimento de su integridad psíquica y moral.</w:t>
      </w:r>
      <w:r w:rsidR="00DF7FF5" w:rsidRPr="004A30A8">
        <w:t xml:space="preserve"> </w:t>
      </w:r>
      <w:r w:rsidRPr="004A30A8">
        <w:t xml:space="preserve">En vista de lo anterior, la Corte ordena al Estado brindar gratuitamente, de forma prioritaria, tratamiento </w:t>
      </w:r>
      <w:r w:rsidRPr="004A30A8">
        <w:rPr>
          <w:rFonts w:cs="Arial"/>
        </w:rPr>
        <w:t xml:space="preserve">psicológico </w:t>
      </w:r>
      <w:r w:rsidR="00CF688D" w:rsidRPr="004A30A8">
        <w:rPr>
          <w:rFonts w:cs="Arial"/>
        </w:rPr>
        <w:t>y/</w:t>
      </w:r>
      <w:r w:rsidRPr="004A30A8">
        <w:rPr>
          <w:rFonts w:cs="Arial"/>
        </w:rPr>
        <w:t xml:space="preserve">o psiquiátrico, </w:t>
      </w:r>
      <w:r w:rsidRPr="004A30A8">
        <w:rPr>
          <w:lang w:val="es-ES"/>
        </w:rPr>
        <w:t>según</w:t>
      </w:r>
      <w:r w:rsidRPr="004A30A8">
        <w:rPr>
          <w:rFonts w:cs="Arial"/>
        </w:rPr>
        <w:t xml:space="preserve"> </w:t>
      </w:r>
      <w:r w:rsidRPr="004A30A8">
        <w:t>corresponda, para el señor Olivera Fuentes, el cual deberá incluir la provisión de medicamentos y, en su caso, transporte y otros gastos directamente relacionados y necesarios</w:t>
      </w:r>
      <w:r w:rsidRPr="004A30A8">
        <w:rPr>
          <w:rStyle w:val="Refdenotaalpie"/>
        </w:rPr>
        <w:footnoteReference w:id="206"/>
      </w:r>
      <w:r w:rsidRPr="004A30A8">
        <w:t xml:space="preserve">. </w:t>
      </w:r>
      <w:r w:rsidR="00304DC9" w:rsidRPr="004A30A8">
        <w:t>Dicho t</w:t>
      </w:r>
      <w:r w:rsidRPr="004A30A8">
        <w:t xml:space="preserve">ratamiento psicológico y/o psiquiátrico </w:t>
      </w:r>
      <w:r w:rsidR="00304DC9" w:rsidRPr="004A30A8">
        <w:t xml:space="preserve">deberá ser </w:t>
      </w:r>
      <w:r w:rsidR="00304DC9" w:rsidRPr="004A30A8">
        <w:rPr>
          <w:rFonts w:cs="Arial"/>
        </w:rPr>
        <w:t xml:space="preserve">prestado por psicólogos o psiquiatras </w:t>
      </w:r>
      <w:r w:rsidR="00304DC9" w:rsidRPr="004A30A8">
        <w:t xml:space="preserve">debiendo </w:t>
      </w:r>
      <w:r w:rsidRPr="004A30A8">
        <w:t>considerar las circunstancias y necesidades particulares de la víctima, según lo que se acuerde con ella y después de una evaluación individua</w:t>
      </w:r>
      <w:r w:rsidR="00304DC9" w:rsidRPr="004A30A8">
        <w:t>l</w:t>
      </w:r>
      <w:r w:rsidR="00304DC9" w:rsidRPr="004A30A8">
        <w:rPr>
          <w:rStyle w:val="Refdenotaalpie"/>
        </w:rPr>
        <w:footnoteReference w:id="207"/>
      </w:r>
      <w:r w:rsidR="00304DC9" w:rsidRPr="004A30A8">
        <w:t xml:space="preserve">. </w:t>
      </w:r>
      <w:r w:rsidR="00304DC9" w:rsidRPr="004A30A8">
        <w:rPr>
          <w:rFonts w:cs="Arial"/>
        </w:rPr>
        <w:t xml:space="preserve">En caso de no contar con este tipo de expertos en el servicio general de atención psicológica y psiquiátrica del Sistema Integral de Salud o el Seguro Social de Salud, el Estado tendrá que proveer el tratamiento especializado en un centro de salud privado. </w:t>
      </w:r>
      <w:r w:rsidR="00304DC9" w:rsidRPr="004A30A8">
        <w:t>El Estado dispondrá del plazo de tres meses, contado a partir de la recepción de dicha solicitud, para brindar de manera efectiva la atención psicológica y/o psiquiátrica solicitada.</w:t>
      </w:r>
    </w:p>
    <w:p w14:paraId="27CA4922" w14:textId="234719A4" w:rsidR="00780583" w:rsidRPr="004A30A8" w:rsidRDefault="0006208E" w:rsidP="00804223">
      <w:pPr>
        <w:pStyle w:val="Ttulo2"/>
        <w:spacing w:before="360" w:after="360"/>
        <w:ind w:left="924" w:hanging="357"/>
      </w:pPr>
      <w:bookmarkStart w:id="58" w:name="_Toc129887121"/>
      <w:bookmarkStart w:id="59" w:name="_Hlk116402183"/>
      <w:r w:rsidRPr="004A30A8">
        <w:t>C</w:t>
      </w:r>
      <w:r w:rsidR="004A1938" w:rsidRPr="004A30A8">
        <w:t>.</w:t>
      </w:r>
      <w:r w:rsidR="00A11019" w:rsidRPr="004A30A8">
        <w:t xml:space="preserve"> Med</w:t>
      </w:r>
      <w:r w:rsidR="00D764B5" w:rsidRPr="004A30A8">
        <w:t>i</w:t>
      </w:r>
      <w:r w:rsidR="00A11019" w:rsidRPr="004A30A8">
        <w:t xml:space="preserve">das de </w:t>
      </w:r>
      <w:r w:rsidR="002C70B6" w:rsidRPr="004A30A8">
        <w:t>satisfacción</w:t>
      </w:r>
      <w:bookmarkEnd w:id="58"/>
      <w:r w:rsidR="00172C60" w:rsidRPr="004A30A8">
        <w:t xml:space="preserve"> </w:t>
      </w:r>
      <w:bookmarkEnd w:id="59"/>
    </w:p>
    <w:p w14:paraId="15EBDDAA" w14:textId="1366568A" w:rsidR="00872F37" w:rsidRPr="004A30A8" w:rsidRDefault="00780583">
      <w:pPr>
        <w:numPr>
          <w:ilvl w:val="0"/>
          <w:numId w:val="7"/>
        </w:numPr>
        <w:tabs>
          <w:tab w:val="left" w:pos="567"/>
          <w:tab w:val="num" w:pos="1569"/>
          <w:tab w:val="num" w:pos="12305"/>
        </w:tabs>
        <w:spacing w:line="240" w:lineRule="auto"/>
        <w:ind w:left="0" w:firstLine="0"/>
        <w:rPr>
          <w:rFonts w:cs="Arial"/>
          <w:b/>
        </w:rPr>
      </w:pPr>
      <w:r w:rsidRPr="004A30A8">
        <w:rPr>
          <w:lang w:val="es-ES" w:eastAsia="es-ES_tradnl"/>
        </w:rPr>
        <w:t xml:space="preserve">La </w:t>
      </w:r>
      <w:r w:rsidR="00ED0581" w:rsidRPr="004A30A8">
        <w:rPr>
          <w:rFonts w:cs="Arial"/>
          <w:b/>
          <w:i/>
        </w:rPr>
        <w:t>Comisión</w:t>
      </w:r>
      <w:r w:rsidR="00ED0581" w:rsidRPr="004A30A8">
        <w:rPr>
          <w:rFonts w:cs="Arial"/>
        </w:rPr>
        <w:t xml:space="preserve"> no realizó </w:t>
      </w:r>
      <w:r w:rsidR="00ED0581" w:rsidRPr="004A30A8">
        <w:t>alegatos</w:t>
      </w:r>
      <w:r w:rsidR="00ED0581" w:rsidRPr="004A30A8">
        <w:rPr>
          <w:rFonts w:cs="Arial"/>
        </w:rPr>
        <w:t xml:space="preserve"> específicos a este respecto</w:t>
      </w:r>
      <w:r w:rsidR="00FC6660" w:rsidRPr="004A30A8">
        <w:rPr>
          <w:rFonts w:cs="Arial"/>
        </w:rPr>
        <w:t>, si bien s</w:t>
      </w:r>
      <w:r w:rsidR="00ED0581" w:rsidRPr="004A30A8">
        <w:rPr>
          <w:rFonts w:cs="Arial"/>
        </w:rPr>
        <w:t xml:space="preserve">eñaló la necesidad de reparar </w:t>
      </w:r>
      <w:r w:rsidR="00FC6660" w:rsidRPr="004A30A8">
        <w:rPr>
          <w:rFonts w:cs="Arial"/>
        </w:rPr>
        <w:t>“</w:t>
      </w:r>
      <w:r w:rsidR="00ED0581" w:rsidRPr="004A30A8">
        <w:rPr>
          <w:rFonts w:cs="Arial"/>
        </w:rPr>
        <w:t>integralmente</w:t>
      </w:r>
      <w:r w:rsidR="00FC6660" w:rsidRPr="004A30A8">
        <w:rPr>
          <w:rFonts w:cs="Arial"/>
        </w:rPr>
        <w:t>”</w:t>
      </w:r>
      <w:r w:rsidR="00ED0581" w:rsidRPr="004A30A8">
        <w:rPr>
          <w:rFonts w:cs="Arial"/>
        </w:rPr>
        <w:t xml:space="preserve"> a la víctima. </w:t>
      </w:r>
    </w:p>
    <w:p w14:paraId="72B9020C" w14:textId="77777777" w:rsidR="00CC014D" w:rsidRPr="004A30A8" w:rsidRDefault="00CC014D" w:rsidP="00CC014D">
      <w:pPr>
        <w:tabs>
          <w:tab w:val="left" w:pos="567"/>
          <w:tab w:val="num" w:pos="12305"/>
        </w:tabs>
        <w:spacing w:line="240" w:lineRule="auto"/>
        <w:rPr>
          <w:rFonts w:cs="Arial"/>
          <w:b/>
        </w:rPr>
      </w:pPr>
    </w:p>
    <w:p w14:paraId="6C165305" w14:textId="3F6EC52F" w:rsidR="00755A04" w:rsidRPr="004A30A8" w:rsidRDefault="00ED0581" w:rsidP="00804223">
      <w:pPr>
        <w:numPr>
          <w:ilvl w:val="0"/>
          <w:numId w:val="7"/>
        </w:numPr>
        <w:tabs>
          <w:tab w:val="left" w:pos="567"/>
          <w:tab w:val="num" w:pos="1569"/>
          <w:tab w:val="num" w:pos="12305"/>
        </w:tabs>
        <w:spacing w:line="240" w:lineRule="auto"/>
        <w:ind w:left="0" w:firstLine="0"/>
        <w:rPr>
          <w:lang w:val="es-ES" w:eastAsia="es-ES_tradnl"/>
        </w:rPr>
      </w:pPr>
      <w:r w:rsidRPr="004A30A8">
        <w:rPr>
          <w:rFonts w:cs="Arial"/>
          <w:lang w:val="es-ES"/>
        </w:rPr>
        <w:t xml:space="preserve">Las </w:t>
      </w:r>
      <w:r w:rsidRPr="004A30A8">
        <w:rPr>
          <w:rFonts w:cs="Arial"/>
          <w:b/>
          <w:i/>
          <w:lang w:val="es-ES"/>
        </w:rPr>
        <w:t>representantes</w:t>
      </w:r>
      <w:r w:rsidRPr="004A30A8">
        <w:rPr>
          <w:rFonts w:eastAsia="Arial" w:cs="Arial"/>
          <w:lang w:val="es-ES"/>
        </w:rPr>
        <w:t xml:space="preserve"> </w:t>
      </w:r>
      <w:r w:rsidR="00342F0B" w:rsidRPr="004A30A8">
        <w:rPr>
          <w:rFonts w:eastAsia="Arial" w:cs="Arial"/>
          <w:lang w:val="es-ES"/>
        </w:rPr>
        <w:t xml:space="preserve">solicitaron que se ordene al Estado peruano publicar el resumen </w:t>
      </w:r>
      <w:r w:rsidR="00342F0B" w:rsidRPr="004A30A8">
        <w:t>oficial</w:t>
      </w:r>
      <w:r w:rsidR="00342F0B" w:rsidRPr="004A30A8">
        <w:rPr>
          <w:rFonts w:eastAsia="Arial" w:cs="Arial"/>
          <w:lang w:val="es-ES"/>
        </w:rPr>
        <w:t xml:space="preserve"> de la Sentencia en los principales diarios de </w:t>
      </w:r>
      <w:r w:rsidR="00342F0B" w:rsidRPr="004A30A8">
        <w:t>amplia</w:t>
      </w:r>
      <w:r w:rsidR="00342F0B" w:rsidRPr="004A30A8">
        <w:rPr>
          <w:rFonts w:eastAsia="Arial" w:cs="Arial"/>
          <w:lang w:val="es-ES"/>
        </w:rPr>
        <w:t xml:space="preserve"> circulación a nivel nacional. Además, solicitaron la publicación de la sentencia en su totalidad por el periodo </w:t>
      </w:r>
      <w:r w:rsidR="00342F0B" w:rsidRPr="004A30A8">
        <w:rPr>
          <w:rFonts w:eastAsia="Arial" w:cs="Arial"/>
          <w:lang w:val="es-ES"/>
        </w:rPr>
        <w:lastRenderedPageBreak/>
        <w:t>de un año a través de un enlace en las páginas web del Ministerio de Justicia y Derechos Humanos, el Indecopi y el Poder Judicial.</w:t>
      </w:r>
      <w:r w:rsidR="00342F0B" w:rsidRPr="004A30A8">
        <w:rPr>
          <w:rFonts w:eastAsia="Arial" w:cs="Arial"/>
          <w:b/>
          <w:lang w:val="es-ES"/>
        </w:rPr>
        <w:t xml:space="preserve"> </w:t>
      </w:r>
    </w:p>
    <w:p w14:paraId="37642BE7" w14:textId="77777777" w:rsidR="00804223" w:rsidRPr="004A30A8" w:rsidRDefault="00804223" w:rsidP="00804223">
      <w:pPr>
        <w:tabs>
          <w:tab w:val="left" w:pos="567"/>
        </w:tabs>
        <w:spacing w:line="240" w:lineRule="auto"/>
        <w:rPr>
          <w:lang w:val="es-ES" w:eastAsia="es-ES_tradnl"/>
        </w:rPr>
      </w:pPr>
    </w:p>
    <w:p w14:paraId="7C94CEF4" w14:textId="37AD544C" w:rsidR="00780583" w:rsidRPr="004A30A8" w:rsidRDefault="00ED0581">
      <w:pPr>
        <w:numPr>
          <w:ilvl w:val="0"/>
          <w:numId w:val="7"/>
        </w:numPr>
        <w:tabs>
          <w:tab w:val="left" w:pos="567"/>
          <w:tab w:val="num" w:pos="1569"/>
          <w:tab w:val="num" w:pos="12305"/>
        </w:tabs>
        <w:spacing w:line="240" w:lineRule="auto"/>
        <w:ind w:left="0" w:firstLine="0"/>
        <w:rPr>
          <w:lang w:val="es-ES" w:eastAsia="es-ES_tradnl"/>
        </w:rPr>
      </w:pPr>
      <w:r w:rsidRPr="004A30A8">
        <w:rPr>
          <w:rFonts w:eastAsia="Arial" w:cs="Arial"/>
          <w:lang w:val="es-ES"/>
        </w:rPr>
        <w:t xml:space="preserve">Asimismo, </w:t>
      </w:r>
      <w:r w:rsidR="00342F0B" w:rsidRPr="004A30A8">
        <w:rPr>
          <w:rFonts w:eastAsia="Arial" w:cs="Arial"/>
          <w:lang w:val="es-ES"/>
        </w:rPr>
        <w:t>solicitaron que se</w:t>
      </w:r>
      <w:r w:rsidR="00342F0B" w:rsidRPr="004A30A8">
        <w:t xml:space="preserve"> </w:t>
      </w:r>
      <w:r w:rsidR="00342F0B" w:rsidRPr="004A30A8">
        <w:rPr>
          <w:rFonts w:eastAsia="Arial" w:cs="Arial"/>
          <w:lang w:val="es-ES"/>
        </w:rPr>
        <w:t>ordene al Estado peruano que reconozca en un acto público su responsabilidad por las violaciones cometidas en perjuicio del señor Olivera Fuentes</w:t>
      </w:r>
      <w:r w:rsidR="00755A04" w:rsidRPr="004A30A8">
        <w:rPr>
          <w:rFonts w:eastAsia="Arial" w:cs="Arial"/>
          <w:lang w:val="es-ES"/>
        </w:rPr>
        <w:t xml:space="preserve">, donde ofreciera disculpas “por la discriminación que sufrió a causa de su </w:t>
      </w:r>
      <w:r w:rsidR="00755A04" w:rsidRPr="004A30A8">
        <w:rPr>
          <w:rFonts w:cs="Arial"/>
          <w:lang w:val="es-ES"/>
        </w:rPr>
        <w:t>orientación</w:t>
      </w:r>
      <w:r w:rsidR="00755A04" w:rsidRPr="004A30A8">
        <w:rPr>
          <w:rFonts w:eastAsia="Arial" w:cs="Arial"/>
          <w:lang w:val="es-ES"/>
        </w:rPr>
        <w:t xml:space="preserve"> sexual y expresión de género”</w:t>
      </w:r>
      <w:r w:rsidR="00342F0B" w:rsidRPr="004A30A8">
        <w:rPr>
          <w:rFonts w:eastAsia="Arial" w:cs="Arial"/>
          <w:lang w:val="es-ES"/>
        </w:rPr>
        <w:t xml:space="preserve">. Sobre este punto, indicaron que el acto público </w:t>
      </w:r>
      <w:r w:rsidR="00755A04" w:rsidRPr="004A30A8">
        <w:rPr>
          <w:rFonts w:eastAsia="Arial" w:cs="Arial"/>
          <w:lang w:val="es-ES"/>
        </w:rPr>
        <w:t>debía</w:t>
      </w:r>
      <w:r w:rsidR="00342F0B" w:rsidRPr="004A30A8">
        <w:rPr>
          <w:rFonts w:eastAsia="Arial" w:cs="Arial"/>
          <w:lang w:val="es-ES"/>
        </w:rPr>
        <w:t xml:space="preserve"> tener lugar dentro de un año a partir de la </w:t>
      </w:r>
      <w:r w:rsidR="00755A04" w:rsidRPr="004A30A8">
        <w:t>notificación</w:t>
      </w:r>
      <w:r w:rsidR="00342F0B" w:rsidRPr="004A30A8">
        <w:rPr>
          <w:rFonts w:eastAsia="Arial" w:cs="Arial"/>
          <w:lang w:val="es-ES"/>
        </w:rPr>
        <w:t xml:space="preserve"> de la Sentencia</w:t>
      </w:r>
      <w:r w:rsidR="00755A04" w:rsidRPr="004A30A8">
        <w:rPr>
          <w:rFonts w:eastAsia="Arial" w:cs="Arial"/>
          <w:lang w:val="es-ES"/>
        </w:rPr>
        <w:t>, debía ser retransmitido a través de radio y televisión de alcance nacional, así como en sus redes sociales</w:t>
      </w:r>
      <w:r w:rsidR="00342F0B" w:rsidRPr="004A30A8">
        <w:rPr>
          <w:rFonts w:eastAsia="Arial" w:cs="Arial"/>
          <w:lang w:val="es-ES"/>
        </w:rPr>
        <w:t xml:space="preserve"> y en él deben participar altos representantes del Estado peruano, incluyendo la presidencia de la República, la presidencia del Consejo de ministros, quien ostente el Ministerio de Justicia y Derechos Humanos, la presidencia de Indecopi y la presidencia del Poder Judicial. </w:t>
      </w:r>
      <w:r w:rsidR="00755A04" w:rsidRPr="004A30A8">
        <w:rPr>
          <w:rFonts w:eastAsia="Arial" w:cs="Arial"/>
          <w:lang w:val="es-ES"/>
        </w:rPr>
        <w:t>También solicito que los detalles sobre el acto público, tales como la fecha y el lugar, así como el mensaje de disculpas, debían consultarse previa y debidamente con el señor Olivera y sus representantes</w:t>
      </w:r>
      <w:r w:rsidR="00CF688D" w:rsidRPr="004A30A8">
        <w:rPr>
          <w:rFonts w:eastAsia="Arial" w:cs="Arial"/>
          <w:lang w:val="es-ES"/>
        </w:rPr>
        <w:t>.</w:t>
      </w:r>
      <w:r w:rsidR="00755A04" w:rsidRPr="004A30A8">
        <w:rPr>
          <w:rFonts w:eastAsia="Arial" w:cs="Arial"/>
          <w:b/>
          <w:lang w:val="es-ES"/>
        </w:rPr>
        <w:t xml:space="preserve"> </w:t>
      </w:r>
    </w:p>
    <w:p w14:paraId="7399505C" w14:textId="77777777" w:rsidR="00780583" w:rsidRPr="004A30A8" w:rsidRDefault="00780583" w:rsidP="00780583">
      <w:pPr>
        <w:tabs>
          <w:tab w:val="left" w:pos="567"/>
        </w:tabs>
        <w:spacing w:line="240" w:lineRule="auto"/>
        <w:rPr>
          <w:lang w:val="es-ES" w:eastAsia="es-ES_tradnl"/>
        </w:rPr>
      </w:pPr>
    </w:p>
    <w:p w14:paraId="412B52F2" w14:textId="5EFA8467" w:rsidR="004A1938" w:rsidRPr="004A30A8" w:rsidRDefault="00ED0581">
      <w:pPr>
        <w:numPr>
          <w:ilvl w:val="0"/>
          <w:numId w:val="7"/>
        </w:numPr>
        <w:tabs>
          <w:tab w:val="left" w:pos="567"/>
          <w:tab w:val="num" w:pos="1569"/>
          <w:tab w:val="num" w:pos="12305"/>
        </w:tabs>
        <w:spacing w:line="240" w:lineRule="auto"/>
        <w:ind w:left="0" w:firstLine="0"/>
      </w:pPr>
      <w:r w:rsidRPr="004A30A8">
        <w:rPr>
          <w:lang w:val="es-ES"/>
        </w:rPr>
        <w:t xml:space="preserve">El </w:t>
      </w:r>
      <w:r w:rsidRPr="004A30A8">
        <w:rPr>
          <w:b/>
          <w:i/>
          <w:lang w:val="es-ES"/>
        </w:rPr>
        <w:t xml:space="preserve">Estado </w:t>
      </w:r>
      <w:r w:rsidRPr="004A30A8">
        <w:rPr>
          <w:lang w:val="es-ES"/>
        </w:rPr>
        <w:t xml:space="preserve">no </w:t>
      </w:r>
      <w:r w:rsidR="000C6AE5" w:rsidRPr="004A30A8">
        <w:rPr>
          <w:lang w:val="es-ES"/>
        </w:rPr>
        <w:t>presentó objeción alguna</w:t>
      </w:r>
      <w:r w:rsidRPr="004A30A8">
        <w:rPr>
          <w:lang w:val="es-ES"/>
        </w:rPr>
        <w:t xml:space="preserve"> respecto a una eventual publicación de la sentencia</w:t>
      </w:r>
      <w:r w:rsidR="00342F0B" w:rsidRPr="004A30A8">
        <w:rPr>
          <w:lang w:val="es-ES"/>
        </w:rPr>
        <w:t xml:space="preserve"> o del resumen oficial</w:t>
      </w:r>
      <w:r w:rsidRPr="004A30A8">
        <w:rPr>
          <w:lang w:val="es-ES"/>
        </w:rPr>
        <w:t xml:space="preserve">. En </w:t>
      </w:r>
      <w:r w:rsidRPr="004A30A8">
        <w:t>relación</w:t>
      </w:r>
      <w:r w:rsidRPr="004A30A8">
        <w:rPr>
          <w:lang w:val="es-ES"/>
        </w:rPr>
        <w:t xml:space="preserve"> con un eventual acto público de responsabilidad, indicó que los actos de reconocimiento de </w:t>
      </w:r>
      <w:r w:rsidRPr="004A30A8">
        <w:t>responsabilidad</w:t>
      </w:r>
      <w:r w:rsidRPr="004A30A8">
        <w:rPr>
          <w:lang w:val="es-ES"/>
        </w:rPr>
        <w:t xml:space="preserve"> internacionales y las disculpas públicas no son medidas de satisfacción necesarias en sí mismas puesto que, la propia sentencia de la Corte constituye una forma de reparación. </w:t>
      </w:r>
    </w:p>
    <w:p w14:paraId="44FBEB89" w14:textId="77777777" w:rsidR="000F4892" w:rsidRPr="004A30A8" w:rsidRDefault="000F4892" w:rsidP="000F4892">
      <w:pPr>
        <w:tabs>
          <w:tab w:val="left" w:pos="567"/>
        </w:tabs>
        <w:spacing w:line="240" w:lineRule="auto"/>
      </w:pPr>
    </w:p>
    <w:p w14:paraId="3D6B2F52" w14:textId="15C875C9" w:rsidR="00872F37" w:rsidRPr="004A30A8" w:rsidRDefault="00872F37">
      <w:pPr>
        <w:numPr>
          <w:ilvl w:val="0"/>
          <w:numId w:val="7"/>
        </w:numPr>
        <w:tabs>
          <w:tab w:val="left" w:pos="567"/>
          <w:tab w:val="num" w:pos="1569"/>
          <w:tab w:val="num" w:pos="12305"/>
        </w:tabs>
        <w:spacing w:line="240" w:lineRule="auto"/>
        <w:ind w:left="0" w:firstLine="0"/>
        <w:textAlignment w:val="baseline"/>
        <w:rPr>
          <w:lang w:val="es-ES" w:eastAsia="es-ES_tradnl"/>
        </w:rPr>
      </w:pPr>
      <w:r w:rsidRPr="004A30A8">
        <w:rPr>
          <w:rFonts w:eastAsia="MS Mincho"/>
          <w:lang w:val="es-ES" w:bidi="en-US"/>
        </w:rPr>
        <w:t xml:space="preserve">La </w:t>
      </w:r>
      <w:r w:rsidRPr="004A30A8">
        <w:rPr>
          <w:rFonts w:eastAsia="MS Mincho"/>
          <w:b/>
          <w:bCs/>
          <w:i/>
          <w:iCs/>
          <w:lang w:val="es-ES" w:bidi="en-US"/>
        </w:rPr>
        <w:t>Corte</w:t>
      </w:r>
      <w:r w:rsidRPr="004A30A8">
        <w:rPr>
          <w:rFonts w:eastAsia="MS Mincho"/>
          <w:lang w:val="es-ES" w:bidi="en-US"/>
        </w:rPr>
        <w:t xml:space="preserve"> estima, como lo ha dispuesto en otros casos</w:t>
      </w:r>
      <w:r w:rsidRPr="004A30A8">
        <w:rPr>
          <w:rStyle w:val="Refdenotaalpie"/>
          <w:rFonts w:eastAsia="MS Mincho"/>
          <w:lang w:val="es-ES" w:bidi="en-US"/>
        </w:rPr>
        <w:footnoteReference w:id="208"/>
      </w:r>
      <w:r w:rsidRPr="004A30A8">
        <w:rPr>
          <w:rFonts w:eastAsia="MS Mincho"/>
          <w:lang w:val="es-ES" w:bidi="en-US"/>
        </w:rPr>
        <w:t xml:space="preserve">, que el Estado debe publicar, en el plazo de seis meses, contado a partir de la notificación de la presente Sentencia: </w:t>
      </w:r>
      <w:r w:rsidRPr="004A30A8">
        <w:t>a) el resumen oficial de la Sentencia elaborado por la Corte, por una sola vez, en el Diario Oficial en un tamaño de letra legible y adecuado; b) el resumen oficial de la presente Sentencia elaborado por la Corte, por una sola vez, en un medio de comunicación de amplia circulación nacional en un tamaño de letra legible y adecuado,</w:t>
      </w:r>
      <w:r w:rsidR="00DE72BF" w:rsidRPr="004A30A8">
        <w:t xml:space="preserve"> </w:t>
      </w:r>
      <w:r w:rsidRPr="004A30A8">
        <w:rPr>
          <w:rFonts w:eastAsia="MS Mincho"/>
          <w:lang w:val="es-ES" w:bidi="en-US"/>
        </w:rPr>
        <w:t xml:space="preserve">c) la presente Sentencia en su integridad, disponible por un período de un año, </w:t>
      </w:r>
      <w:r w:rsidR="00251088" w:rsidRPr="004A30A8">
        <w:rPr>
          <w:rFonts w:eastAsia="Arial" w:cs="Arial"/>
          <w:lang w:val="es-ES"/>
        </w:rPr>
        <w:t xml:space="preserve">en las páginas web del Ministerio de Justicia y Derechos Humanos, el </w:t>
      </w:r>
      <w:r w:rsidR="003337B8" w:rsidRPr="004A30A8">
        <w:rPr>
          <w:lang w:val="es-ES"/>
        </w:rPr>
        <w:t>Indecopi</w:t>
      </w:r>
      <w:r w:rsidR="003337B8" w:rsidRPr="004A30A8">
        <w:rPr>
          <w:rFonts w:eastAsia="Arial" w:cs="Arial"/>
          <w:lang w:val="es-ES"/>
        </w:rPr>
        <w:t xml:space="preserve"> </w:t>
      </w:r>
      <w:r w:rsidR="00251088" w:rsidRPr="004A30A8">
        <w:rPr>
          <w:rFonts w:eastAsia="Arial" w:cs="Arial"/>
          <w:lang w:val="es-ES"/>
        </w:rPr>
        <w:t>y el Poder Judicial</w:t>
      </w:r>
      <w:r w:rsidRPr="004A30A8">
        <w:rPr>
          <w:rFonts w:eastAsia="MS Mincho"/>
          <w:lang w:val="es-ES" w:bidi="en-US"/>
        </w:rPr>
        <w:t>,</w:t>
      </w:r>
      <w:r w:rsidRPr="004A30A8">
        <w:t xml:space="preserve"> de manera accesible al público y desde la página de inicio del sitio web</w:t>
      </w:r>
      <w:r w:rsidR="00DE72BF" w:rsidRPr="004A30A8">
        <w:rPr>
          <w:rFonts w:eastAsia="MS Mincho"/>
          <w:lang w:val="es-ES" w:bidi="en-US"/>
        </w:rPr>
        <w:t xml:space="preserve"> </w:t>
      </w:r>
      <w:r w:rsidR="00DE72BF" w:rsidRPr="004A30A8">
        <w:t>y d) una cartilla informativa o infografía con lenguaje accesible de la Sentencia en las redes sociales de dos instituciones públicas qu</w:t>
      </w:r>
      <w:r w:rsidR="007B24B3" w:rsidRPr="004A30A8">
        <w:t>e</w:t>
      </w:r>
      <w:r w:rsidR="00DE72BF" w:rsidRPr="004A30A8">
        <w:t xml:space="preserve"> el Estado designe para tales fines. </w:t>
      </w:r>
      <w:r w:rsidRPr="004A30A8">
        <w:rPr>
          <w:rFonts w:eastAsiaTheme="minorHAnsi" w:cs="Verdana"/>
          <w:lang w:val="es-ES" w:eastAsia="en-US"/>
        </w:rPr>
        <w:t xml:space="preserve">El Estado deberá informar de forma inmediata a este Tribunal una vez que proceda a realizar </w:t>
      </w:r>
      <w:r w:rsidRPr="004A30A8">
        <w:rPr>
          <w:rFonts w:eastAsia="Verdana" w:cs="Verdana"/>
          <w:lang w:val="es-ES"/>
        </w:rPr>
        <w:t>cada</w:t>
      </w:r>
      <w:r w:rsidRPr="004A30A8">
        <w:rPr>
          <w:rFonts w:eastAsiaTheme="minorHAnsi" w:cs="Verdana"/>
          <w:lang w:val="es-ES" w:eastAsia="en-US"/>
        </w:rPr>
        <w:t xml:space="preserve"> una </w:t>
      </w:r>
      <w:r w:rsidRPr="004A30A8">
        <w:rPr>
          <w:rFonts w:eastAsia="MS Mincho"/>
          <w:lang w:val="es-ES" w:bidi="en-US"/>
        </w:rPr>
        <w:t>de</w:t>
      </w:r>
      <w:r w:rsidRPr="004A30A8">
        <w:rPr>
          <w:rFonts w:eastAsiaTheme="minorHAnsi" w:cs="Verdana"/>
          <w:lang w:val="es-ES" w:eastAsia="en-US"/>
        </w:rPr>
        <w:t xml:space="preserve"> las publicaciones dispuestas, independientemente del plazo de un año para presentar su primer informe dispuesto en el punto resolutivo </w:t>
      </w:r>
      <w:r w:rsidR="00793F68" w:rsidRPr="004A30A8">
        <w:rPr>
          <w:rFonts w:eastAsiaTheme="minorHAnsi" w:cs="Verdana"/>
          <w:lang w:val="es-ES" w:eastAsia="en-US"/>
        </w:rPr>
        <w:t>12</w:t>
      </w:r>
      <w:r w:rsidRPr="004A30A8">
        <w:rPr>
          <w:rFonts w:eastAsiaTheme="minorHAnsi" w:cs="Verdana"/>
          <w:lang w:val="es-ES" w:eastAsia="en-US"/>
        </w:rPr>
        <w:t xml:space="preserve"> de la Sentencia. </w:t>
      </w:r>
    </w:p>
    <w:p w14:paraId="40963E87" w14:textId="526FA355" w:rsidR="00342F0B" w:rsidRPr="004A30A8" w:rsidRDefault="00342F0B" w:rsidP="007B4A64">
      <w:pPr>
        <w:tabs>
          <w:tab w:val="left" w:pos="567"/>
          <w:tab w:val="num" w:pos="12305"/>
        </w:tabs>
        <w:spacing w:line="240" w:lineRule="auto"/>
        <w:textAlignment w:val="baseline"/>
      </w:pPr>
    </w:p>
    <w:p w14:paraId="71B52837" w14:textId="67E09B8A" w:rsidR="00D57BF2" w:rsidRPr="004A30A8" w:rsidRDefault="00D57BF2" w:rsidP="00D57BF2">
      <w:pPr>
        <w:numPr>
          <w:ilvl w:val="0"/>
          <w:numId w:val="7"/>
        </w:numPr>
        <w:tabs>
          <w:tab w:val="left" w:pos="567"/>
          <w:tab w:val="num" w:pos="1569"/>
          <w:tab w:val="num" w:pos="12305"/>
        </w:tabs>
        <w:spacing w:line="240" w:lineRule="auto"/>
        <w:ind w:left="0" w:firstLine="0"/>
      </w:pPr>
      <w:r w:rsidRPr="004A30A8">
        <w:t xml:space="preserve">En relación con la solicitud de celebrar un acto público de responsabilidad, la Corte estima que la emisión de la presente Sentencia, así como las demás medidas ordenadas, </w:t>
      </w:r>
      <w:r w:rsidRPr="004A30A8">
        <w:rPr>
          <w:rFonts w:eastAsia="Arial" w:cs="Arial"/>
          <w:lang w:val="es-ES"/>
        </w:rPr>
        <w:t>resultan</w:t>
      </w:r>
      <w:r w:rsidRPr="004A30A8">
        <w:t xml:space="preserve"> suficientes y adecuadas para remediar las violaciones sufridas por la víctima y no estima necesario ordenar esta medida de satisfacción.</w:t>
      </w:r>
    </w:p>
    <w:p w14:paraId="55788234" w14:textId="2EBBF16C" w:rsidR="00671E65" w:rsidRPr="004A30A8" w:rsidRDefault="0006208E" w:rsidP="00804223">
      <w:pPr>
        <w:pStyle w:val="Ttulo2"/>
        <w:spacing w:before="360" w:after="360"/>
        <w:ind w:left="924" w:hanging="357"/>
      </w:pPr>
      <w:bookmarkStart w:id="60" w:name="_Toc129887122"/>
      <w:r w:rsidRPr="004A30A8">
        <w:t>D</w:t>
      </w:r>
      <w:r w:rsidR="00782DA5" w:rsidRPr="004A30A8">
        <w:t xml:space="preserve">. </w:t>
      </w:r>
      <w:r w:rsidR="00CA362A" w:rsidRPr="004A30A8">
        <w:t>Garantías de no repetición</w:t>
      </w:r>
      <w:bookmarkEnd w:id="60"/>
      <w:r w:rsidR="00CA362A" w:rsidRPr="004A30A8">
        <w:t xml:space="preserve"> </w:t>
      </w:r>
    </w:p>
    <w:p w14:paraId="049AE48C" w14:textId="12CA315A" w:rsidR="00671E65" w:rsidRPr="004A30A8" w:rsidRDefault="00671E65">
      <w:pPr>
        <w:numPr>
          <w:ilvl w:val="0"/>
          <w:numId w:val="7"/>
        </w:numPr>
        <w:tabs>
          <w:tab w:val="left" w:pos="567"/>
          <w:tab w:val="num" w:pos="1569"/>
          <w:tab w:val="num" w:pos="12305"/>
        </w:tabs>
        <w:spacing w:line="240" w:lineRule="auto"/>
        <w:ind w:left="0" w:firstLine="0"/>
      </w:pPr>
      <w:r w:rsidRPr="004A30A8">
        <w:t xml:space="preserve">En primer lugar, la </w:t>
      </w:r>
      <w:r w:rsidR="00DA717D" w:rsidRPr="004A30A8">
        <w:rPr>
          <w:b/>
          <w:bCs/>
          <w:i/>
          <w:iCs/>
        </w:rPr>
        <w:t>Comisión</w:t>
      </w:r>
      <w:r w:rsidR="00DA717D" w:rsidRPr="004A30A8">
        <w:rPr>
          <w:rFonts w:cs="Arial"/>
        </w:rPr>
        <w:t xml:space="preserve"> </w:t>
      </w:r>
      <w:r w:rsidRPr="004A30A8">
        <w:rPr>
          <w:rFonts w:cs="Arial"/>
        </w:rPr>
        <w:t>reco</w:t>
      </w:r>
      <w:r w:rsidR="00B96875" w:rsidRPr="004A30A8">
        <w:rPr>
          <w:rFonts w:cs="Arial"/>
        </w:rPr>
        <w:t xml:space="preserve">noció que </w:t>
      </w:r>
      <w:r w:rsidR="001E16D3" w:rsidRPr="004A30A8">
        <w:rPr>
          <w:rFonts w:cs="Arial"/>
        </w:rPr>
        <w:t xml:space="preserve">el Estado viene incorporando </w:t>
      </w:r>
      <w:r w:rsidR="00307E76" w:rsidRPr="004A30A8">
        <w:rPr>
          <w:rFonts w:cs="Arial"/>
        </w:rPr>
        <w:t xml:space="preserve">políticas transversales que promueven el respeto promoción y protección de los derechos de las </w:t>
      </w:r>
      <w:r w:rsidR="00307E76" w:rsidRPr="004A30A8">
        <w:rPr>
          <w:rFonts w:cs="Arial"/>
        </w:rPr>
        <w:lastRenderedPageBreak/>
        <w:t xml:space="preserve">personas </w:t>
      </w:r>
      <w:r w:rsidR="00E7537C" w:rsidRPr="004A30A8">
        <w:rPr>
          <w:lang w:val="es-ES"/>
        </w:rPr>
        <w:t xml:space="preserve">LGBTIQ+ </w:t>
      </w:r>
      <w:r w:rsidR="0052159B" w:rsidRPr="004A30A8">
        <w:rPr>
          <w:rFonts w:cs="Arial"/>
        </w:rPr>
        <w:t xml:space="preserve">a través de instrumentos como: (i) </w:t>
      </w:r>
      <w:r w:rsidR="00CE6128" w:rsidRPr="004A30A8">
        <w:rPr>
          <w:rFonts w:cs="Arial"/>
        </w:rPr>
        <w:t>el Plan Nacional de Derechos Humanos, (ii)</w:t>
      </w:r>
      <w:r w:rsidR="005C0657" w:rsidRPr="004A30A8">
        <w:rPr>
          <w:rFonts w:cs="Arial"/>
        </w:rPr>
        <w:t xml:space="preserve"> el Plan Nacional de Igualdad de Género y </w:t>
      </w:r>
      <w:r w:rsidR="00D43033" w:rsidRPr="004A30A8">
        <w:rPr>
          <w:rFonts w:cs="Arial"/>
        </w:rPr>
        <w:t xml:space="preserve">(iii) </w:t>
      </w:r>
      <w:r w:rsidR="005C0657" w:rsidRPr="004A30A8">
        <w:rPr>
          <w:rFonts w:cs="Arial"/>
        </w:rPr>
        <w:t>el Plan Nacional Contra la Violencia de Género.</w:t>
      </w:r>
    </w:p>
    <w:p w14:paraId="28E77977" w14:textId="77777777" w:rsidR="00671E65" w:rsidRPr="004A30A8" w:rsidRDefault="00671E65" w:rsidP="00671E65">
      <w:pPr>
        <w:tabs>
          <w:tab w:val="left" w:pos="567"/>
        </w:tabs>
        <w:spacing w:line="240" w:lineRule="auto"/>
      </w:pPr>
    </w:p>
    <w:p w14:paraId="6A5E10E3" w14:textId="29ADB1C3" w:rsidR="00F12E62" w:rsidRPr="004A30A8" w:rsidRDefault="00FC6660">
      <w:pPr>
        <w:numPr>
          <w:ilvl w:val="0"/>
          <w:numId w:val="7"/>
        </w:numPr>
        <w:tabs>
          <w:tab w:val="left" w:pos="567"/>
          <w:tab w:val="num" w:pos="1569"/>
          <w:tab w:val="num" w:pos="12305"/>
        </w:tabs>
        <w:spacing w:line="240" w:lineRule="auto"/>
        <w:ind w:left="0" w:firstLine="0"/>
      </w:pPr>
      <w:r w:rsidRPr="004A30A8">
        <w:rPr>
          <w:rFonts w:cs="Arial"/>
        </w:rPr>
        <w:t>Sin perjuicio</w:t>
      </w:r>
      <w:r w:rsidR="005C0657" w:rsidRPr="004A30A8">
        <w:rPr>
          <w:rFonts w:cs="Arial"/>
        </w:rPr>
        <w:t xml:space="preserve"> de lo anterior, </w:t>
      </w:r>
      <w:r w:rsidR="00DA717D" w:rsidRPr="004A30A8">
        <w:rPr>
          <w:rFonts w:cs="Arial"/>
        </w:rPr>
        <w:t xml:space="preserve">recomendó que el Estado </w:t>
      </w:r>
      <w:r w:rsidR="00CC014D" w:rsidRPr="004A30A8">
        <w:rPr>
          <w:rFonts w:cs="Arial"/>
        </w:rPr>
        <w:t>adoptara las siguientes cuatro garantías</w:t>
      </w:r>
      <w:r w:rsidR="00DA717D" w:rsidRPr="004A30A8">
        <w:rPr>
          <w:rFonts w:cs="Arial"/>
        </w:rPr>
        <w:t xml:space="preserve"> </w:t>
      </w:r>
      <w:r w:rsidR="00CC014D" w:rsidRPr="004A30A8">
        <w:rPr>
          <w:rFonts w:cs="Arial"/>
        </w:rPr>
        <w:t xml:space="preserve">de </w:t>
      </w:r>
      <w:r w:rsidR="00DA717D" w:rsidRPr="004A30A8">
        <w:rPr>
          <w:rFonts w:cs="Arial"/>
        </w:rPr>
        <w:t xml:space="preserve">no repetición: </w:t>
      </w:r>
    </w:p>
    <w:p w14:paraId="250B4F88" w14:textId="45A4D64C" w:rsidR="00F12E62" w:rsidRPr="004A30A8" w:rsidRDefault="00DA717D">
      <w:pPr>
        <w:pStyle w:val="Prrafodelista"/>
        <w:numPr>
          <w:ilvl w:val="0"/>
          <w:numId w:val="9"/>
        </w:numPr>
        <w:tabs>
          <w:tab w:val="left" w:pos="567"/>
        </w:tabs>
        <w:spacing w:before="120" w:after="120" w:line="240" w:lineRule="auto"/>
        <w:ind w:left="1077"/>
        <w:contextualSpacing w:val="0"/>
        <w:rPr>
          <w:rFonts w:cs="Arial"/>
        </w:rPr>
      </w:pPr>
      <w:r w:rsidRPr="004A30A8">
        <w:rPr>
          <w:rFonts w:cs="Arial"/>
        </w:rPr>
        <w:t xml:space="preserve">elaborar e implementar una política pública para promover en la sociedad el respeto a los derechos de las personas </w:t>
      </w:r>
      <w:r w:rsidR="00E7537C" w:rsidRPr="004A30A8">
        <w:rPr>
          <w:lang w:val="es-ES"/>
        </w:rPr>
        <w:t xml:space="preserve">LGBTIQ+ </w:t>
      </w:r>
      <w:r w:rsidR="00FC6660" w:rsidRPr="004A30A8">
        <w:rPr>
          <w:rFonts w:cs="Arial"/>
        </w:rPr>
        <w:t>a través de la elaboración e implementación de campañas informativas de sensibilización y concientización en los medios de comunicación públicos;</w:t>
      </w:r>
      <w:r w:rsidRPr="004A30A8">
        <w:rPr>
          <w:rFonts w:cs="Arial"/>
        </w:rPr>
        <w:t xml:space="preserve"> </w:t>
      </w:r>
    </w:p>
    <w:p w14:paraId="03A38091" w14:textId="2798A291" w:rsidR="00F12E62" w:rsidRPr="004A30A8" w:rsidRDefault="00DA717D">
      <w:pPr>
        <w:pStyle w:val="Prrafodelista"/>
        <w:numPr>
          <w:ilvl w:val="0"/>
          <w:numId w:val="9"/>
        </w:numPr>
        <w:tabs>
          <w:tab w:val="left" w:pos="567"/>
        </w:tabs>
        <w:spacing w:before="120" w:after="120" w:line="240" w:lineRule="auto"/>
        <w:ind w:left="1077"/>
        <w:contextualSpacing w:val="0"/>
      </w:pPr>
      <w:r w:rsidRPr="004A30A8">
        <w:rPr>
          <w:rFonts w:cs="Arial"/>
        </w:rPr>
        <w:t>crear o fortalecer mecanismos de entrenamientos especializados para todos los operadores de justicia y fuerzas de seguridad del Estado</w:t>
      </w:r>
      <w:r w:rsidR="00FC6660" w:rsidRPr="004A30A8">
        <w:rPr>
          <w:rFonts w:cs="Arial"/>
        </w:rPr>
        <w:t xml:space="preserve"> sobre igualdad y no discriminación</w:t>
      </w:r>
      <w:r w:rsidRPr="004A30A8">
        <w:rPr>
          <w:rFonts w:cs="Arial"/>
        </w:rPr>
        <w:t xml:space="preserve">, </w:t>
      </w:r>
      <w:r w:rsidR="00FC6660" w:rsidRPr="004A30A8">
        <w:rPr>
          <w:rFonts w:cs="Arial"/>
        </w:rPr>
        <w:t xml:space="preserve">perspectiva de género y derechos humanos de las personas </w:t>
      </w:r>
      <w:r w:rsidR="00C66EA7" w:rsidRPr="004A30A8">
        <w:rPr>
          <w:lang w:val="es-ES"/>
        </w:rPr>
        <w:t>LGBTIQ+</w:t>
      </w:r>
      <w:r w:rsidR="00FC6660" w:rsidRPr="004A30A8">
        <w:rPr>
          <w:rFonts w:cs="Arial"/>
        </w:rPr>
        <w:t xml:space="preserve">; </w:t>
      </w:r>
    </w:p>
    <w:p w14:paraId="21529C2A" w14:textId="37E3CBA2" w:rsidR="00F12E62" w:rsidRPr="004A30A8" w:rsidRDefault="00DA717D">
      <w:pPr>
        <w:pStyle w:val="Prrafodelista"/>
        <w:numPr>
          <w:ilvl w:val="0"/>
          <w:numId w:val="9"/>
        </w:numPr>
        <w:tabs>
          <w:tab w:val="left" w:pos="567"/>
        </w:tabs>
        <w:spacing w:before="120" w:after="120" w:line="240" w:lineRule="auto"/>
        <w:ind w:left="1077"/>
        <w:contextualSpacing w:val="0"/>
      </w:pPr>
      <w:r w:rsidRPr="004A30A8">
        <w:rPr>
          <w:rFonts w:cs="Arial"/>
        </w:rPr>
        <w:t xml:space="preserve">adoptar medidas que exijan, </w:t>
      </w:r>
      <w:r w:rsidRPr="004A30A8">
        <w:t>promuevan</w:t>
      </w:r>
      <w:r w:rsidRPr="004A30A8">
        <w:rPr>
          <w:rFonts w:cs="Arial"/>
        </w:rPr>
        <w:t xml:space="preserve"> y orienten a las empresas a realizar actos de debida </w:t>
      </w:r>
      <w:r w:rsidRPr="004A30A8">
        <w:rPr>
          <w:lang w:val="es-ES"/>
        </w:rPr>
        <w:t>diligencia</w:t>
      </w:r>
      <w:r w:rsidRPr="004A30A8">
        <w:rPr>
          <w:rFonts w:cs="Arial"/>
        </w:rPr>
        <w:t xml:space="preserve"> en procesos relacionados con la protección del consumidor respecto a la igualdad y no discriminación de personas </w:t>
      </w:r>
      <w:r w:rsidR="00C66EA7" w:rsidRPr="004A30A8">
        <w:rPr>
          <w:lang w:val="es-ES"/>
        </w:rPr>
        <w:t>LGBTIQ+</w:t>
      </w:r>
      <w:r w:rsidRPr="004A30A8">
        <w:rPr>
          <w:rFonts w:cs="Arial"/>
        </w:rPr>
        <w:t xml:space="preserve">, y </w:t>
      </w:r>
    </w:p>
    <w:p w14:paraId="19EADD12" w14:textId="75D308DD" w:rsidR="002419EC" w:rsidRPr="004A30A8" w:rsidRDefault="00DA717D">
      <w:pPr>
        <w:pStyle w:val="Prrafodelista"/>
        <w:numPr>
          <w:ilvl w:val="0"/>
          <w:numId w:val="9"/>
        </w:numPr>
        <w:tabs>
          <w:tab w:val="left" w:pos="567"/>
        </w:tabs>
        <w:spacing w:before="120" w:after="120" w:line="240" w:lineRule="auto"/>
        <w:ind w:left="1077"/>
        <w:contextualSpacing w:val="0"/>
      </w:pPr>
      <w:r w:rsidRPr="004A30A8">
        <w:rPr>
          <w:rFonts w:cs="Arial"/>
        </w:rPr>
        <w:t xml:space="preserve">adoptar las medidas </w:t>
      </w:r>
      <w:r w:rsidRPr="004A30A8">
        <w:t>necesarias</w:t>
      </w:r>
      <w:r w:rsidRPr="004A30A8">
        <w:rPr>
          <w:rFonts w:cs="Arial"/>
        </w:rPr>
        <w:t xml:space="preserve"> para impulsar la ratificación de la Convención Interamericana contra toda forma de Discriminación e Intolerancia. </w:t>
      </w:r>
    </w:p>
    <w:p w14:paraId="04E52EC9" w14:textId="77777777" w:rsidR="00804223" w:rsidRPr="004A30A8" w:rsidRDefault="00804223" w:rsidP="00804223">
      <w:pPr>
        <w:tabs>
          <w:tab w:val="left" w:pos="567"/>
        </w:tabs>
        <w:spacing w:line="240" w:lineRule="auto"/>
      </w:pPr>
    </w:p>
    <w:p w14:paraId="472C36FF" w14:textId="7B299279" w:rsidR="00F12E62" w:rsidRPr="004A30A8" w:rsidRDefault="00DA717D">
      <w:pPr>
        <w:numPr>
          <w:ilvl w:val="0"/>
          <w:numId w:val="7"/>
        </w:numPr>
        <w:tabs>
          <w:tab w:val="left" w:pos="567"/>
          <w:tab w:val="num" w:pos="1569"/>
          <w:tab w:val="num" w:pos="12305"/>
        </w:tabs>
        <w:spacing w:line="240" w:lineRule="auto"/>
        <w:ind w:left="0" w:firstLine="0"/>
      </w:pPr>
      <w:r w:rsidRPr="004A30A8">
        <w:rPr>
          <w:lang w:val="es-ES"/>
        </w:rPr>
        <w:t xml:space="preserve">Los </w:t>
      </w:r>
      <w:r w:rsidRPr="004A30A8">
        <w:rPr>
          <w:b/>
          <w:i/>
          <w:lang w:val="es-ES"/>
        </w:rPr>
        <w:t>representantes</w:t>
      </w:r>
      <w:r w:rsidR="00F12E62" w:rsidRPr="004A30A8">
        <w:rPr>
          <w:lang w:val="es-ES"/>
        </w:rPr>
        <w:t xml:space="preserve">, por su parte, </w:t>
      </w:r>
      <w:r w:rsidRPr="004A30A8">
        <w:rPr>
          <w:lang w:val="es-ES"/>
        </w:rPr>
        <w:t>solicitaron</w:t>
      </w:r>
      <w:r w:rsidR="00F12E62" w:rsidRPr="004A30A8">
        <w:rPr>
          <w:lang w:val="es-ES"/>
        </w:rPr>
        <w:t xml:space="preserve"> </w:t>
      </w:r>
      <w:r w:rsidRPr="004A30A8">
        <w:rPr>
          <w:lang w:val="es-ES"/>
        </w:rPr>
        <w:t xml:space="preserve">como garantías de no repetición: </w:t>
      </w:r>
    </w:p>
    <w:p w14:paraId="5F4D1F40" w14:textId="3B1231A8" w:rsidR="00F12E62" w:rsidRPr="004A30A8" w:rsidRDefault="00F12E62" w:rsidP="00F12E62">
      <w:pPr>
        <w:tabs>
          <w:tab w:val="left" w:pos="567"/>
        </w:tabs>
        <w:spacing w:line="240" w:lineRule="auto"/>
      </w:pPr>
    </w:p>
    <w:p w14:paraId="2F3EFC0F" w14:textId="4FE9CC68" w:rsidR="00F12E62" w:rsidRPr="004A30A8" w:rsidRDefault="00DA717D">
      <w:pPr>
        <w:pStyle w:val="Prrafodelista"/>
        <w:numPr>
          <w:ilvl w:val="0"/>
          <w:numId w:val="10"/>
        </w:numPr>
        <w:tabs>
          <w:tab w:val="left" w:pos="567"/>
        </w:tabs>
        <w:spacing w:before="120" w:after="120" w:line="240" w:lineRule="auto"/>
        <w:ind w:left="1077"/>
        <w:contextualSpacing w:val="0"/>
        <w:rPr>
          <w:lang w:val="es-ES"/>
        </w:rPr>
      </w:pPr>
      <w:r w:rsidRPr="004A30A8">
        <w:rPr>
          <w:lang w:val="es-ES"/>
        </w:rPr>
        <w:t xml:space="preserve">que el Estado elabore de un plan pedagógico integral </w:t>
      </w:r>
      <w:r w:rsidR="00755A04" w:rsidRPr="004A30A8">
        <w:rPr>
          <w:lang w:val="es-ES"/>
        </w:rPr>
        <w:t xml:space="preserve">en materia de diversidad sexual y de género que debe ser incorporado en los cursos de formación regular de jueces, autoridades administrativas que administran justicia (como </w:t>
      </w:r>
      <w:r w:rsidR="003337B8" w:rsidRPr="004A30A8">
        <w:rPr>
          <w:lang w:val="es-ES"/>
        </w:rPr>
        <w:t>Indecopi</w:t>
      </w:r>
      <w:r w:rsidR="00755A04" w:rsidRPr="004A30A8">
        <w:rPr>
          <w:lang w:val="es-ES"/>
        </w:rPr>
        <w:t>), policías, fiscales, miembros de serenazgo así como cualquier otro órgano que ejerza funciones relativas a velar por el cumplimiento de la normativa interna</w:t>
      </w:r>
      <w:r w:rsidR="00F12E62" w:rsidRPr="004A30A8">
        <w:rPr>
          <w:lang w:val="es-ES"/>
        </w:rPr>
        <w:t>;</w:t>
      </w:r>
      <w:r w:rsidRPr="004A30A8">
        <w:rPr>
          <w:lang w:val="es-ES"/>
        </w:rPr>
        <w:t xml:space="preserve"> </w:t>
      </w:r>
    </w:p>
    <w:p w14:paraId="0163EA30" w14:textId="7D262617"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t xml:space="preserve">que </w:t>
      </w:r>
      <w:r w:rsidR="003337B8" w:rsidRPr="004A30A8">
        <w:rPr>
          <w:lang w:val="es-ES"/>
        </w:rPr>
        <w:t xml:space="preserve">Indecopi </w:t>
      </w:r>
      <w:r w:rsidRPr="004A30A8">
        <w:rPr>
          <w:lang w:val="es-ES"/>
        </w:rPr>
        <w:t>y el Poder Judicial elaboren, adopten e implementen un manual de razonamiento jurídico sobre los estándares interamericanos en casos de discriminación</w:t>
      </w:r>
      <w:r w:rsidR="003F1C67" w:rsidRPr="004A30A8">
        <w:rPr>
          <w:lang w:val="es-ES"/>
        </w:rPr>
        <w:t xml:space="preserve"> hacia personas </w:t>
      </w:r>
      <w:r w:rsidR="00C66EA7" w:rsidRPr="004A30A8">
        <w:rPr>
          <w:lang w:val="es-ES"/>
        </w:rPr>
        <w:t>LGBTIQ+</w:t>
      </w:r>
      <w:r w:rsidR="00F12E62" w:rsidRPr="004A30A8">
        <w:rPr>
          <w:lang w:val="es-ES"/>
        </w:rPr>
        <w:t>;</w:t>
      </w:r>
    </w:p>
    <w:p w14:paraId="1157984C" w14:textId="77777777"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t xml:space="preserve">que el Estado elabore un documental audiovisual sobre la </w:t>
      </w:r>
      <w:r w:rsidRPr="004A30A8">
        <w:t>discriminación</w:t>
      </w:r>
      <w:r w:rsidRPr="004A30A8">
        <w:rPr>
          <w:lang w:val="es-ES"/>
        </w:rPr>
        <w:t xml:space="preserve"> que sufren las personas </w:t>
      </w:r>
      <w:r w:rsidRPr="004A30A8">
        <w:t>sexualmente</w:t>
      </w:r>
      <w:r w:rsidRPr="004A30A8">
        <w:rPr>
          <w:lang w:val="es-ES"/>
        </w:rPr>
        <w:t xml:space="preserve"> diversas en espacios públicos en el Perú</w:t>
      </w:r>
      <w:r w:rsidR="00F12E62" w:rsidRPr="004A30A8">
        <w:rPr>
          <w:lang w:val="es-ES"/>
        </w:rPr>
        <w:t>;</w:t>
      </w:r>
    </w:p>
    <w:p w14:paraId="45769900" w14:textId="2956F0B2"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t xml:space="preserve">que el Estado </w:t>
      </w:r>
      <w:r w:rsidR="003F1C67" w:rsidRPr="004A30A8">
        <w:rPr>
          <w:lang w:val="es-ES"/>
        </w:rPr>
        <w:t xml:space="preserve">adopte medidas que exijan, promuevan y orienten a las empresas a cumplir con los estándares interamericanos sobre debida diligencia en materia de igualdad y no discriminación de las personas </w:t>
      </w:r>
      <w:r w:rsidR="00C66EA7" w:rsidRPr="004A30A8">
        <w:rPr>
          <w:lang w:val="es-ES"/>
        </w:rPr>
        <w:t>LGBTIQ+</w:t>
      </w:r>
      <w:r w:rsidR="00F12E62" w:rsidRPr="004A30A8">
        <w:rPr>
          <w:lang w:val="es-ES"/>
        </w:rPr>
        <w:t>;</w:t>
      </w:r>
      <w:r w:rsidRPr="004A30A8">
        <w:rPr>
          <w:lang w:val="es-ES"/>
        </w:rPr>
        <w:t xml:space="preserve"> </w:t>
      </w:r>
    </w:p>
    <w:p w14:paraId="7EC1591F" w14:textId="53F9FAD1"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t xml:space="preserve">que el Estado elabore </w:t>
      </w:r>
      <w:r w:rsidR="003F1C67" w:rsidRPr="004A30A8">
        <w:rPr>
          <w:lang w:val="es-ES"/>
        </w:rPr>
        <w:t xml:space="preserve">e implemente </w:t>
      </w:r>
      <w:r w:rsidRPr="004A30A8">
        <w:rPr>
          <w:lang w:val="es-ES"/>
        </w:rPr>
        <w:t xml:space="preserve">una política pública para promover el respeto a los derechos de las personas </w:t>
      </w:r>
      <w:r w:rsidR="00E7537C" w:rsidRPr="004A30A8">
        <w:rPr>
          <w:lang w:val="es-ES"/>
        </w:rPr>
        <w:t xml:space="preserve">LGBTIQ+ </w:t>
      </w:r>
      <w:r w:rsidRPr="004A30A8">
        <w:rPr>
          <w:lang w:val="es-ES"/>
        </w:rPr>
        <w:t>y su aceptación social</w:t>
      </w:r>
      <w:r w:rsidR="003F1C67" w:rsidRPr="004A30A8">
        <w:rPr>
          <w:lang w:val="es-ES"/>
        </w:rPr>
        <w:t>, especialmente a través de la educación y de la cultura general</w:t>
      </w:r>
      <w:r w:rsidR="00F12E62" w:rsidRPr="004A30A8">
        <w:rPr>
          <w:lang w:val="es-ES"/>
        </w:rPr>
        <w:t>;</w:t>
      </w:r>
    </w:p>
    <w:p w14:paraId="61DD8939" w14:textId="035E7285"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t xml:space="preserve">que el Estado </w:t>
      </w:r>
      <w:r w:rsidR="003F1C67" w:rsidRPr="004A30A8">
        <w:rPr>
          <w:lang w:val="es-ES"/>
        </w:rPr>
        <w:t>recopile</w:t>
      </w:r>
      <w:r w:rsidRPr="004A30A8">
        <w:rPr>
          <w:lang w:val="es-ES"/>
        </w:rPr>
        <w:t xml:space="preserve"> datos y</w:t>
      </w:r>
      <w:r w:rsidR="003F1C67" w:rsidRPr="004A30A8">
        <w:rPr>
          <w:lang w:val="es-ES"/>
        </w:rPr>
        <w:t xml:space="preserve"> elabore estadísticas sobre la discriminación hacia consumidores </w:t>
      </w:r>
      <w:r w:rsidR="00E7537C" w:rsidRPr="004A30A8">
        <w:rPr>
          <w:lang w:val="es-ES"/>
        </w:rPr>
        <w:t>LGBTIQ+</w:t>
      </w:r>
      <w:r w:rsidR="00F12E62" w:rsidRPr="004A30A8">
        <w:rPr>
          <w:lang w:val="es-ES"/>
        </w:rPr>
        <w:t>;</w:t>
      </w:r>
    </w:p>
    <w:p w14:paraId="3B31CF25" w14:textId="70D033ED" w:rsidR="00F12E62" w:rsidRPr="004A30A8" w:rsidRDefault="00DA717D">
      <w:pPr>
        <w:pStyle w:val="Prrafodelista"/>
        <w:numPr>
          <w:ilvl w:val="0"/>
          <w:numId w:val="10"/>
        </w:numPr>
        <w:tabs>
          <w:tab w:val="left" w:pos="567"/>
        </w:tabs>
        <w:spacing w:before="120" w:after="120" w:line="240" w:lineRule="auto"/>
        <w:ind w:left="1077"/>
        <w:contextualSpacing w:val="0"/>
      </w:pPr>
      <w:r w:rsidRPr="004A30A8">
        <w:rPr>
          <w:lang w:val="es-ES"/>
        </w:rPr>
        <w:lastRenderedPageBreak/>
        <w:t>que el Estado diseñe</w:t>
      </w:r>
      <w:r w:rsidR="003F1C67" w:rsidRPr="004A30A8">
        <w:rPr>
          <w:lang w:val="es-ES"/>
        </w:rPr>
        <w:t>, adopte</w:t>
      </w:r>
      <w:r w:rsidRPr="004A30A8">
        <w:rPr>
          <w:lang w:val="es-ES"/>
        </w:rPr>
        <w:t xml:space="preserve"> e implemente una política pública de atención de la salud mental de las personas </w:t>
      </w:r>
      <w:r w:rsidR="00E7537C" w:rsidRPr="004A30A8">
        <w:rPr>
          <w:lang w:val="es-ES"/>
        </w:rPr>
        <w:t xml:space="preserve">LGBTIQ+ </w:t>
      </w:r>
      <w:r w:rsidRPr="004A30A8">
        <w:rPr>
          <w:lang w:val="es-ES"/>
        </w:rPr>
        <w:t>a partir de un enfoque de diversidad sexual y de género</w:t>
      </w:r>
      <w:r w:rsidR="00F12E62" w:rsidRPr="004A30A8">
        <w:rPr>
          <w:lang w:val="es-ES"/>
        </w:rPr>
        <w:t>;</w:t>
      </w:r>
    </w:p>
    <w:p w14:paraId="4E89BAF6" w14:textId="6E7671C2" w:rsidR="00F12E62" w:rsidRPr="004A30A8" w:rsidRDefault="003F1C67">
      <w:pPr>
        <w:pStyle w:val="Prrafodelista"/>
        <w:numPr>
          <w:ilvl w:val="0"/>
          <w:numId w:val="10"/>
        </w:numPr>
        <w:tabs>
          <w:tab w:val="left" w:pos="567"/>
        </w:tabs>
        <w:spacing w:before="120" w:after="120" w:line="240" w:lineRule="auto"/>
        <w:ind w:left="1077"/>
        <w:contextualSpacing w:val="0"/>
      </w:pPr>
      <w:r w:rsidRPr="004A30A8">
        <w:rPr>
          <w:lang w:val="es-ES"/>
        </w:rPr>
        <w:t>que el Estado designe un</w:t>
      </w:r>
      <w:r w:rsidR="00DA717D" w:rsidRPr="004A30A8">
        <w:rPr>
          <w:lang w:val="es-ES"/>
        </w:rPr>
        <w:t xml:space="preserve"> ente rector </w:t>
      </w:r>
      <w:r w:rsidRPr="004A30A8">
        <w:rPr>
          <w:lang w:val="es-ES"/>
        </w:rPr>
        <w:t xml:space="preserve">del Poder Ejecutivo encargado de elaborar, implementar, supervisar y evaluar políticas nacionales sobre las personas </w:t>
      </w:r>
      <w:r w:rsidR="00E7537C" w:rsidRPr="004A30A8">
        <w:rPr>
          <w:lang w:val="es-ES"/>
        </w:rPr>
        <w:t xml:space="preserve">LGBTIQ+ </w:t>
      </w:r>
      <w:r w:rsidRPr="004A30A8">
        <w:rPr>
          <w:lang w:val="es-ES"/>
        </w:rPr>
        <w:t>que permitan un trabajo intersectorial, sostenible y planificado con los otros organismos estatales</w:t>
      </w:r>
      <w:r w:rsidR="00F12E62" w:rsidRPr="004A30A8">
        <w:rPr>
          <w:lang w:val="es-ES"/>
        </w:rPr>
        <w:t>;</w:t>
      </w:r>
    </w:p>
    <w:p w14:paraId="4E2F822E" w14:textId="792FB1B1" w:rsidR="00342F0B" w:rsidRPr="004A30A8" w:rsidRDefault="003F1C67">
      <w:pPr>
        <w:pStyle w:val="Prrafodelista"/>
        <w:numPr>
          <w:ilvl w:val="0"/>
          <w:numId w:val="10"/>
        </w:numPr>
        <w:tabs>
          <w:tab w:val="left" w:pos="567"/>
        </w:tabs>
        <w:spacing w:before="120" w:after="120" w:line="240" w:lineRule="auto"/>
        <w:ind w:left="1077"/>
        <w:contextualSpacing w:val="0"/>
      </w:pPr>
      <w:r w:rsidRPr="004A30A8">
        <w:rPr>
          <w:lang w:val="es-ES"/>
        </w:rPr>
        <w:t xml:space="preserve">que se ordenen al Estado tomar todas las medidas necesarias para impulsar la ratificación de </w:t>
      </w:r>
      <w:r w:rsidR="007A4C67" w:rsidRPr="004A30A8">
        <w:rPr>
          <w:lang w:val="es-ES"/>
        </w:rPr>
        <w:t>la Convención Interamericana contra toda forma de Discriminación e Intolerancia</w:t>
      </w:r>
      <w:r w:rsidR="00342F0B" w:rsidRPr="004A30A8">
        <w:rPr>
          <w:lang w:val="es-ES"/>
        </w:rPr>
        <w:t>;</w:t>
      </w:r>
    </w:p>
    <w:p w14:paraId="51710761" w14:textId="7AD2BAB9" w:rsidR="00F12E62" w:rsidRPr="004A30A8" w:rsidRDefault="00342F0B">
      <w:pPr>
        <w:pStyle w:val="Prrafodelista"/>
        <w:numPr>
          <w:ilvl w:val="0"/>
          <w:numId w:val="10"/>
        </w:numPr>
        <w:tabs>
          <w:tab w:val="left" w:pos="567"/>
        </w:tabs>
        <w:spacing w:before="120" w:after="120" w:line="240" w:lineRule="auto"/>
        <w:ind w:left="1077"/>
        <w:contextualSpacing w:val="0"/>
      </w:pPr>
      <w:r w:rsidRPr="004A30A8">
        <w:rPr>
          <w:lang w:val="es-ES"/>
        </w:rPr>
        <w:t>que ordene al Registro Nacional de Identificación y Estado Civil (“RENIEC”) implementar un procedimiento administrativo de reconocimiento de la identidad de género de las personas trans acorde con los parámetros establecidos en la Opinión Consultiva OC-24/17,</w:t>
      </w:r>
      <w:r w:rsidR="00AA2825" w:rsidRPr="004A30A8">
        <w:rPr>
          <w:lang w:val="es-ES"/>
        </w:rPr>
        <w:t xml:space="preserve"> </w:t>
      </w:r>
      <w:r w:rsidR="007A4C67" w:rsidRPr="004A30A8">
        <w:rPr>
          <w:lang w:val="es-ES"/>
        </w:rPr>
        <w:t>y</w:t>
      </w:r>
    </w:p>
    <w:p w14:paraId="1DDDE7F5" w14:textId="703D2C22" w:rsidR="007A4C67" w:rsidRPr="004A30A8" w:rsidRDefault="007A4C67">
      <w:pPr>
        <w:pStyle w:val="Prrafodelista"/>
        <w:numPr>
          <w:ilvl w:val="0"/>
          <w:numId w:val="10"/>
        </w:numPr>
        <w:tabs>
          <w:tab w:val="left" w:pos="567"/>
        </w:tabs>
        <w:spacing w:before="120" w:after="120" w:line="240" w:lineRule="auto"/>
        <w:ind w:left="1077"/>
        <w:contextualSpacing w:val="0"/>
      </w:pPr>
      <w:r w:rsidRPr="004A30A8">
        <w:rPr>
          <w:lang w:val="es-ES"/>
        </w:rPr>
        <w:t xml:space="preserve">que se ordene al Estado la aprobación de una ley sobre matrimonio igualitario. </w:t>
      </w:r>
    </w:p>
    <w:p w14:paraId="08C46CE1" w14:textId="77777777" w:rsidR="00F478F0" w:rsidRPr="004A30A8" w:rsidRDefault="00F478F0" w:rsidP="00F478F0">
      <w:pPr>
        <w:tabs>
          <w:tab w:val="left" w:pos="567"/>
        </w:tabs>
        <w:spacing w:line="240" w:lineRule="auto"/>
      </w:pPr>
    </w:p>
    <w:p w14:paraId="0B5DA321" w14:textId="42A9EA51" w:rsidR="009720C4" w:rsidRPr="004A30A8" w:rsidRDefault="009720C4">
      <w:pPr>
        <w:numPr>
          <w:ilvl w:val="0"/>
          <w:numId w:val="7"/>
        </w:numPr>
        <w:tabs>
          <w:tab w:val="left" w:pos="567"/>
          <w:tab w:val="num" w:pos="1569"/>
          <w:tab w:val="num" w:pos="12305"/>
        </w:tabs>
        <w:spacing w:line="240" w:lineRule="auto"/>
        <w:ind w:left="0" w:firstLine="0"/>
      </w:pPr>
      <w:r w:rsidRPr="004A30A8">
        <w:t xml:space="preserve">Adicionalmente, en los alegatos finales escritos, los representantes solicitaron ordenar al Estado (i) la creación de una Comisión de la Verdad sobre la discriminación y violencia histórica contra las personas </w:t>
      </w:r>
      <w:r w:rsidR="00E7537C" w:rsidRPr="004A30A8">
        <w:rPr>
          <w:lang w:val="es-ES"/>
        </w:rPr>
        <w:t xml:space="preserve">LGBTIQ+ </w:t>
      </w:r>
      <w:r w:rsidRPr="004A30A8">
        <w:t xml:space="preserve">en el Perú; (ii) aprobar una ley marco contra toda forma de discriminación que incluya la orientación sexual, la identidad y expresión de género y las características sexuales; (iii) crear defensorías públicas especializadas en los derechos de las personas </w:t>
      </w:r>
      <w:r w:rsidR="00E7537C" w:rsidRPr="004A30A8">
        <w:rPr>
          <w:lang w:val="es-ES"/>
        </w:rPr>
        <w:t>LGBTIQ+</w:t>
      </w:r>
      <w:r w:rsidRPr="004A30A8">
        <w:t xml:space="preserve">; (iv) garantizar que las personas </w:t>
      </w:r>
      <w:r w:rsidR="00E7537C" w:rsidRPr="004A30A8">
        <w:rPr>
          <w:lang w:val="es-ES"/>
        </w:rPr>
        <w:t>LGBTIQ+</w:t>
      </w:r>
      <w:r w:rsidRPr="004A30A8">
        <w:t xml:space="preserve">víctimas de discriminación o violencia tengan acceso a una atención psicológica y/o psiquiátrica oportuna; (v) </w:t>
      </w:r>
      <w:r w:rsidR="00CC014D" w:rsidRPr="004A30A8">
        <w:t>p</w:t>
      </w:r>
      <w:r w:rsidRPr="004A30A8">
        <w:t xml:space="preserve">rohibir las denominadas “terapias de conversión”; (vi) incorporar la enseñanza del enfoque psicoterapéutico afirmativo en los currículos universitarios de psicología y psiquiatría a nivel nacional; (vii) recolectar información y producir estadística sobre la salud mental de las personas </w:t>
      </w:r>
      <w:r w:rsidR="00E7537C" w:rsidRPr="004A30A8">
        <w:rPr>
          <w:lang w:val="es-ES"/>
        </w:rPr>
        <w:t>LGBTIQ+</w:t>
      </w:r>
      <w:r w:rsidRPr="004A30A8">
        <w:t>, e incorporar la Educación Sexual Integral (“ESI”) con un enfoque afirmativo de la diversidad sexual en todas las escuelas públicas y privadas.</w:t>
      </w:r>
    </w:p>
    <w:p w14:paraId="4C42A7AA" w14:textId="77777777" w:rsidR="009720C4" w:rsidRPr="004A30A8" w:rsidRDefault="009720C4" w:rsidP="009720C4">
      <w:pPr>
        <w:tabs>
          <w:tab w:val="left" w:pos="567"/>
          <w:tab w:val="num" w:pos="12305"/>
        </w:tabs>
        <w:spacing w:line="240" w:lineRule="auto"/>
      </w:pPr>
    </w:p>
    <w:p w14:paraId="45144DDF" w14:textId="6CCEFB7D" w:rsidR="000C6AE5" w:rsidRPr="004A30A8" w:rsidRDefault="000C6AE5">
      <w:pPr>
        <w:numPr>
          <w:ilvl w:val="0"/>
          <w:numId w:val="7"/>
        </w:numPr>
        <w:tabs>
          <w:tab w:val="left" w:pos="567"/>
          <w:tab w:val="num" w:pos="1569"/>
          <w:tab w:val="num" w:pos="12305"/>
        </w:tabs>
        <w:spacing w:line="240" w:lineRule="auto"/>
        <w:ind w:left="0" w:firstLine="0"/>
      </w:pPr>
      <w:r w:rsidRPr="004A30A8">
        <w:t xml:space="preserve">Por un lado, en relación con las recomendaciones elaboradas por la Comisión como garantías de no repetición, </w:t>
      </w:r>
      <w:r w:rsidR="00CC014D" w:rsidRPr="004A30A8">
        <w:t xml:space="preserve">el </w:t>
      </w:r>
      <w:r w:rsidR="00CC014D" w:rsidRPr="004A30A8">
        <w:rPr>
          <w:b/>
          <w:i/>
          <w:lang w:val="es-ES"/>
        </w:rPr>
        <w:t>Estado</w:t>
      </w:r>
      <w:r w:rsidR="00CC014D" w:rsidRPr="004A30A8">
        <w:rPr>
          <w:lang w:val="es-ES"/>
        </w:rPr>
        <w:t xml:space="preserve"> alegó </w:t>
      </w:r>
      <w:r w:rsidRPr="004A30A8">
        <w:t>lo siguiente:</w:t>
      </w:r>
    </w:p>
    <w:p w14:paraId="00B41866" w14:textId="14E0D4D1" w:rsidR="00A43865" w:rsidRPr="004A30A8" w:rsidRDefault="00A43865">
      <w:pPr>
        <w:pStyle w:val="Prrafodelista"/>
        <w:numPr>
          <w:ilvl w:val="0"/>
          <w:numId w:val="11"/>
        </w:numPr>
        <w:tabs>
          <w:tab w:val="left" w:pos="567"/>
          <w:tab w:val="left" w:pos="851"/>
        </w:tabs>
        <w:spacing w:before="120" w:after="120" w:line="240" w:lineRule="auto"/>
        <w:ind w:left="567" w:hanging="425"/>
        <w:contextualSpacing w:val="0"/>
      </w:pPr>
      <w:r w:rsidRPr="004A30A8">
        <w:rPr>
          <w:rFonts w:cs="Arial"/>
        </w:rPr>
        <w:t xml:space="preserve">En relación con la elaboración e implementación de una política pública para promover en la sociedad el respeto a los derechos de las personas </w:t>
      </w:r>
      <w:r w:rsidR="00C66EA7" w:rsidRPr="004A30A8">
        <w:rPr>
          <w:lang w:val="es-ES"/>
        </w:rPr>
        <w:t>LGBTIQ+</w:t>
      </w:r>
      <w:r w:rsidRPr="004A30A8">
        <w:rPr>
          <w:rFonts w:cs="Arial"/>
        </w:rPr>
        <w:t>, el Estado señaló que viene incorporando desde hace años políticas evolutivas transversales que promueven el respeto, promoción y protección de los derechos de las personas LGBTI</w:t>
      </w:r>
      <w:r w:rsidR="00793F68" w:rsidRPr="004A30A8">
        <w:rPr>
          <w:rFonts w:cs="Arial"/>
        </w:rPr>
        <w:t>Q+</w:t>
      </w:r>
      <w:r w:rsidR="004968B9" w:rsidRPr="004A30A8">
        <w:rPr>
          <w:rFonts w:cs="Arial"/>
        </w:rPr>
        <w:t>.</w:t>
      </w:r>
    </w:p>
    <w:p w14:paraId="450A1869" w14:textId="2B26BA72" w:rsidR="002D44FB" w:rsidRPr="004A30A8" w:rsidRDefault="00DA717D">
      <w:pPr>
        <w:pStyle w:val="Prrafodelista"/>
        <w:numPr>
          <w:ilvl w:val="0"/>
          <w:numId w:val="11"/>
        </w:numPr>
        <w:tabs>
          <w:tab w:val="left" w:pos="567"/>
          <w:tab w:val="left" w:pos="851"/>
        </w:tabs>
        <w:spacing w:before="120" w:after="120" w:line="240" w:lineRule="auto"/>
        <w:ind w:left="567" w:hanging="425"/>
        <w:contextualSpacing w:val="0"/>
      </w:pPr>
      <w:r w:rsidRPr="004A30A8">
        <w:rPr>
          <w:lang w:val="es-ES"/>
        </w:rPr>
        <w:t xml:space="preserve">En </w:t>
      </w:r>
      <w:r w:rsidR="00F12E62" w:rsidRPr="004A30A8">
        <w:rPr>
          <w:lang w:val="es-ES"/>
        </w:rPr>
        <w:t>relación</w:t>
      </w:r>
      <w:r w:rsidR="00A43865" w:rsidRPr="004A30A8">
        <w:rPr>
          <w:lang w:val="es-ES"/>
        </w:rPr>
        <w:t xml:space="preserve"> con </w:t>
      </w:r>
      <w:r w:rsidR="00A43865" w:rsidRPr="004A30A8">
        <w:rPr>
          <w:rFonts w:cs="Arial"/>
        </w:rPr>
        <w:t xml:space="preserve">la creación o fortalecimiento de mecanismos de </w:t>
      </w:r>
      <w:r w:rsidR="002D44FB" w:rsidRPr="004A30A8">
        <w:rPr>
          <w:rFonts w:cs="Arial"/>
        </w:rPr>
        <w:t>capacitación</w:t>
      </w:r>
      <w:r w:rsidR="00A43865" w:rsidRPr="004A30A8">
        <w:rPr>
          <w:rFonts w:cs="Arial"/>
        </w:rPr>
        <w:t xml:space="preserve"> para todos los operadores de justicia y fuerzas de seguridad del Estado sobre igualdad y no discriminación, perspectiva de género y derechos humanos de las personas </w:t>
      </w:r>
      <w:r w:rsidR="00C66EA7" w:rsidRPr="004A30A8">
        <w:rPr>
          <w:lang w:val="es-ES"/>
        </w:rPr>
        <w:t>LGBTIQ+</w:t>
      </w:r>
      <w:r w:rsidR="00A43865" w:rsidRPr="004A30A8">
        <w:rPr>
          <w:rFonts w:cs="Arial"/>
        </w:rPr>
        <w:t>, el Estado</w:t>
      </w:r>
      <w:r w:rsidR="00F12E62" w:rsidRPr="004A30A8">
        <w:rPr>
          <w:lang w:val="es-ES"/>
        </w:rPr>
        <w:t xml:space="preserve"> </w:t>
      </w:r>
      <w:r w:rsidR="002D44FB" w:rsidRPr="004A30A8">
        <w:rPr>
          <w:lang w:val="es-ES"/>
        </w:rPr>
        <w:t xml:space="preserve">señaló implementó en todas las acciones comprendidas en los distintos sectores de la administración pública, los siguientes enfoques: </w:t>
      </w:r>
      <w:r w:rsidR="00793F68" w:rsidRPr="004A30A8">
        <w:rPr>
          <w:lang w:val="es-ES"/>
        </w:rPr>
        <w:t>(</w:t>
      </w:r>
      <w:r w:rsidR="002D44FB" w:rsidRPr="004A30A8">
        <w:rPr>
          <w:lang w:val="es-ES"/>
        </w:rPr>
        <w:t xml:space="preserve">i) intercultural; </w:t>
      </w:r>
      <w:r w:rsidR="00793F68" w:rsidRPr="004A30A8">
        <w:rPr>
          <w:lang w:val="es-ES"/>
        </w:rPr>
        <w:t>(</w:t>
      </w:r>
      <w:r w:rsidR="002D44FB" w:rsidRPr="004A30A8">
        <w:rPr>
          <w:lang w:val="es-ES"/>
        </w:rPr>
        <w:t xml:space="preserve">ii) de género; y, </w:t>
      </w:r>
      <w:r w:rsidR="00793F68" w:rsidRPr="004A30A8">
        <w:rPr>
          <w:lang w:val="es-ES"/>
        </w:rPr>
        <w:t>(</w:t>
      </w:r>
      <w:r w:rsidR="002D44FB" w:rsidRPr="004A30A8">
        <w:rPr>
          <w:lang w:val="es-ES"/>
        </w:rPr>
        <w:t xml:space="preserve">iii) de Derecho Humanos. Añadió que el Ministerio de la Mujer y Poblaciones Vulnerables ha realizado numerosas acciones para otorgar capacitaciones a los funcionarios del Estado. </w:t>
      </w:r>
      <w:r w:rsidR="004968B9" w:rsidRPr="004A30A8">
        <w:rPr>
          <w:lang w:val="es-ES"/>
        </w:rPr>
        <w:t>Indicó</w:t>
      </w:r>
      <w:r w:rsidR="002D44FB" w:rsidRPr="004A30A8">
        <w:rPr>
          <w:lang w:val="es-ES"/>
        </w:rPr>
        <w:t xml:space="preserve"> que el Plan Nacional de Derechos Humanos 2018-2021 ha previsto una acción estratégica para promover </w:t>
      </w:r>
      <w:r w:rsidR="002D44FB" w:rsidRPr="004A30A8">
        <w:rPr>
          <w:lang w:val="es-ES"/>
        </w:rPr>
        <w:lastRenderedPageBreak/>
        <w:t xml:space="preserve">el cambio de actitudes en las/los servidores públicos, Policía Nacional y operadores/as del sistema de justicia para garantizar respecto de las personas </w:t>
      </w:r>
      <w:r w:rsidR="00C66EA7" w:rsidRPr="004A30A8">
        <w:rPr>
          <w:lang w:val="es-ES"/>
        </w:rPr>
        <w:t>LGBTIQ+</w:t>
      </w:r>
      <w:r w:rsidR="002D44FB" w:rsidRPr="004A30A8">
        <w:rPr>
          <w:lang w:val="es-ES"/>
        </w:rPr>
        <w:t>.</w:t>
      </w:r>
      <w:r w:rsidR="0047627D" w:rsidRPr="004A30A8">
        <w:rPr>
          <w:lang w:val="es-ES"/>
        </w:rPr>
        <w:t xml:space="preserve"> </w:t>
      </w:r>
      <w:r w:rsidR="004968B9" w:rsidRPr="004A30A8">
        <w:rPr>
          <w:lang w:val="es-ES"/>
        </w:rPr>
        <w:t>A</w:t>
      </w:r>
      <w:r w:rsidR="0047627D" w:rsidRPr="004A30A8">
        <w:rPr>
          <w:lang w:val="es-ES"/>
        </w:rPr>
        <w:t>demás que, según lo informado por la Academia de la Magistratura – AMAG, exist</w:t>
      </w:r>
      <w:r w:rsidR="00CC014D" w:rsidRPr="004A30A8">
        <w:rPr>
          <w:lang w:val="es-ES"/>
        </w:rPr>
        <w:t>ían</w:t>
      </w:r>
      <w:r w:rsidR="0047627D" w:rsidRPr="004A30A8">
        <w:rPr>
          <w:lang w:val="es-ES"/>
        </w:rPr>
        <w:t xml:space="preserve"> numerosas capacitaciones recibidas por los operadores de justicia, esto es, jueces, fiscales y auxiliares de justicia relativas al respeto de la igualdad y no discriminación, perspectiva de género y derechos humanos de las personas </w:t>
      </w:r>
      <w:r w:rsidR="00C66EA7" w:rsidRPr="004A30A8">
        <w:rPr>
          <w:lang w:val="es-ES"/>
        </w:rPr>
        <w:t>LGBTIQ+</w:t>
      </w:r>
      <w:r w:rsidR="0047627D" w:rsidRPr="004A30A8">
        <w:rPr>
          <w:lang w:val="es-ES"/>
        </w:rPr>
        <w:t xml:space="preserve">. </w:t>
      </w:r>
    </w:p>
    <w:p w14:paraId="4FA0A33D" w14:textId="3D3C7701" w:rsidR="000C6AE5" w:rsidRPr="004A30A8" w:rsidRDefault="002D44FB">
      <w:pPr>
        <w:pStyle w:val="Prrafodelista"/>
        <w:numPr>
          <w:ilvl w:val="0"/>
          <w:numId w:val="11"/>
        </w:numPr>
        <w:tabs>
          <w:tab w:val="left" w:pos="567"/>
          <w:tab w:val="left" w:pos="851"/>
        </w:tabs>
        <w:spacing w:before="120" w:after="120" w:line="240" w:lineRule="auto"/>
        <w:ind w:left="567" w:hanging="425"/>
        <w:contextualSpacing w:val="0"/>
      </w:pPr>
      <w:r w:rsidRPr="004A30A8">
        <w:rPr>
          <w:lang w:val="es-ES"/>
        </w:rPr>
        <w:t xml:space="preserve">En relación con </w:t>
      </w:r>
      <w:r w:rsidR="00575FC8" w:rsidRPr="004A30A8">
        <w:rPr>
          <w:lang w:val="es-ES"/>
        </w:rPr>
        <w:t xml:space="preserve">la </w:t>
      </w:r>
      <w:r w:rsidR="00380F72" w:rsidRPr="004A30A8">
        <w:rPr>
          <w:lang w:val="es-ES"/>
        </w:rPr>
        <w:t>adopción de</w:t>
      </w:r>
      <w:r w:rsidRPr="004A30A8">
        <w:rPr>
          <w:rFonts w:cs="Arial"/>
        </w:rPr>
        <w:t xml:space="preserve"> medidas que exijan, </w:t>
      </w:r>
      <w:r w:rsidRPr="004A30A8">
        <w:t>promuevan</w:t>
      </w:r>
      <w:r w:rsidRPr="004A30A8">
        <w:rPr>
          <w:rFonts w:cs="Arial"/>
        </w:rPr>
        <w:t xml:space="preserve"> y orienten a las empresas a realizar actos de debida </w:t>
      </w:r>
      <w:r w:rsidRPr="004A30A8">
        <w:rPr>
          <w:lang w:val="es-ES"/>
        </w:rPr>
        <w:t>diligencia</w:t>
      </w:r>
      <w:r w:rsidRPr="004A30A8">
        <w:rPr>
          <w:rFonts w:cs="Arial"/>
        </w:rPr>
        <w:t xml:space="preserve"> en procesos relacionados con la protección del consumidor respecto a la igualdad y no discriminación de personas </w:t>
      </w:r>
      <w:r w:rsidR="00C66EA7" w:rsidRPr="004A30A8">
        <w:rPr>
          <w:lang w:val="es-ES"/>
        </w:rPr>
        <w:t>LGBTIQ+</w:t>
      </w:r>
      <w:r w:rsidRPr="004A30A8">
        <w:rPr>
          <w:lang w:val="es-ES"/>
        </w:rPr>
        <w:t xml:space="preserve">, el Estado </w:t>
      </w:r>
      <w:r w:rsidR="001B564D" w:rsidRPr="004A30A8">
        <w:rPr>
          <w:lang w:val="es-ES"/>
        </w:rPr>
        <w:t>informó</w:t>
      </w:r>
      <w:r w:rsidRPr="004A30A8">
        <w:rPr>
          <w:lang w:val="es-ES"/>
        </w:rPr>
        <w:t xml:space="preserve"> que, en el año 2011, se adhirió a las Recomendaciones del </w:t>
      </w:r>
      <w:r w:rsidR="00793F68" w:rsidRPr="004A30A8">
        <w:rPr>
          <w:lang w:val="es-ES"/>
        </w:rPr>
        <w:t xml:space="preserve">Consejo de la Organización para la Cooperación y el Desarrollo Económicos  (en adelante, “la OCDE”) </w:t>
      </w:r>
      <w:r w:rsidRPr="004A30A8">
        <w:rPr>
          <w:lang w:val="es-ES"/>
        </w:rPr>
        <w:t>contenidas en la “Guía de debida diligencia para el sector minero”</w:t>
      </w:r>
      <w:r w:rsidR="00F478F0" w:rsidRPr="004A30A8">
        <w:rPr>
          <w:lang w:val="es-ES"/>
        </w:rPr>
        <w:t>. S</w:t>
      </w:r>
      <w:r w:rsidRPr="004A30A8">
        <w:rPr>
          <w:lang w:val="es-ES"/>
        </w:rPr>
        <w:t xml:space="preserve">eguidamente, en el año 2017 se adhirió a la “Guía de la OCDE de debida diligencia para cadenas suministro responsable en el sector textil y del calzado”; </w:t>
      </w:r>
      <w:r w:rsidR="00F478F0" w:rsidRPr="004A30A8">
        <w:rPr>
          <w:lang w:val="es-ES"/>
        </w:rPr>
        <w:t>Además, e</w:t>
      </w:r>
      <w:r w:rsidRPr="004A30A8">
        <w:rPr>
          <w:lang w:val="es-ES"/>
        </w:rPr>
        <w:t>n el año 2018 se adhirió a las recomendaciones Consejo de la OCDE contenido en la “Guía de debida diligencia para una conducta empresarial</w:t>
      </w:r>
      <w:r w:rsidR="0047627D" w:rsidRPr="004A30A8">
        <w:rPr>
          <w:lang w:val="es-ES"/>
        </w:rPr>
        <w:t xml:space="preserve"> </w:t>
      </w:r>
      <w:r w:rsidRPr="004A30A8">
        <w:rPr>
          <w:lang w:val="es-ES"/>
        </w:rPr>
        <w:t>responsable</w:t>
      </w:r>
      <w:r w:rsidR="00380F72" w:rsidRPr="004A30A8">
        <w:rPr>
          <w:lang w:val="es-ES"/>
        </w:rPr>
        <w:t>”</w:t>
      </w:r>
      <w:r w:rsidR="00F478F0" w:rsidRPr="004A30A8">
        <w:rPr>
          <w:lang w:val="es-ES"/>
        </w:rPr>
        <w:t xml:space="preserve"> y </w:t>
      </w:r>
      <w:r w:rsidR="00380F72" w:rsidRPr="004A30A8">
        <w:rPr>
          <w:lang w:val="es-ES"/>
        </w:rPr>
        <w:t>el Consejo Nacional de Derechos Humanos aprobó los cinco lineamientos estratégicos que fueron desarrollados en el Plan Nacional de Acción sobre Derechos Humanos y Empresas, considerando los “Principios Rectores sobre las empresas y los derechos humanos de la ONU”,</w:t>
      </w:r>
      <w:r w:rsidRPr="004A30A8">
        <w:rPr>
          <w:lang w:val="es-ES"/>
        </w:rPr>
        <w:t xml:space="preserve"> </w:t>
      </w:r>
      <w:r w:rsidR="00380F72" w:rsidRPr="004A30A8">
        <w:rPr>
          <w:lang w:val="es-ES"/>
        </w:rPr>
        <w:t xml:space="preserve">instalándose para ello el Grupo de Trabajo del Poder Ejecutivo para el Plan Nacional de Acción sobre Empresas y Derechos Humanos (GTPE-PNA). </w:t>
      </w:r>
      <w:r w:rsidR="00F478F0" w:rsidRPr="004A30A8">
        <w:rPr>
          <w:lang w:val="es-ES"/>
        </w:rPr>
        <w:t>Por último</w:t>
      </w:r>
      <w:r w:rsidR="00380F72" w:rsidRPr="004A30A8">
        <w:rPr>
          <w:lang w:val="es-ES"/>
        </w:rPr>
        <w:t xml:space="preserve">, el 11 de junio de 2021, el Estado peruano aprobó el “Plan Nacional de Acción sobre Empresas y Derechos Humanos 2021-2025” </w:t>
      </w:r>
      <w:r w:rsidR="00BB5CEA" w:rsidRPr="004A30A8">
        <w:rPr>
          <w:lang w:val="es-ES"/>
        </w:rPr>
        <w:t>e</w:t>
      </w:r>
      <w:r w:rsidR="00380F72" w:rsidRPr="004A30A8">
        <w:rPr>
          <w:lang w:val="es-ES"/>
        </w:rPr>
        <w:t xml:space="preserve">n el que se identificó 23 temas priorizados a fin de definir mecanismos para medir los avances en el acortamiento de las brechas existentes, dentro de los que se encuentra como tema priorizado, la protección a los derechos de las personas LGBTI. </w:t>
      </w:r>
    </w:p>
    <w:p w14:paraId="329BB7FB" w14:textId="6186FCEE" w:rsidR="00804223" w:rsidRPr="004A30A8" w:rsidRDefault="00380F72" w:rsidP="00804223">
      <w:pPr>
        <w:pStyle w:val="Prrafodelista"/>
        <w:numPr>
          <w:ilvl w:val="0"/>
          <w:numId w:val="11"/>
        </w:numPr>
        <w:tabs>
          <w:tab w:val="left" w:pos="567"/>
          <w:tab w:val="left" w:pos="851"/>
        </w:tabs>
        <w:spacing w:before="120" w:after="120" w:line="240" w:lineRule="auto"/>
        <w:ind w:left="567" w:hanging="425"/>
        <w:contextualSpacing w:val="0"/>
      </w:pPr>
      <w:r w:rsidRPr="004A30A8">
        <w:t>En relación con la adopción de medidas necesarias para impulsar la ratificación de la Convención Interamericana contra toda forma de discriminación e intolerancia,</w:t>
      </w:r>
      <w:r w:rsidR="000C6AE5" w:rsidRPr="004A30A8">
        <w:t xml:space="preserve"> </w:t>
      </w:r>
      <w:r w:rsidRPr="004A30A8">
        <w:t xml:space="preserve">el Estado indicó </w:t>
      </w:r>
      <w:r w:rsidR="001C4C72" w:rsidRPr="004A30A8">
        <w:t xml:space="preserve">que el 25 de octubre de 2016, el Estado peruano a través de la Representación Permanente ante la OEA, suscribió el referido instrumento internacional. Una vez aceptada la obligación internacional, el Poder Ejecutivo inició los trámites pertinentes para el proceso de perfeccionamiento interno del tratado. El 19 de noviembre de 2017 el Ministerio de Relaciones Exteriores emitió la Solicitud de Perfeccionamiento a fin de que sea el Congreso de la República el que proceda a aprobar el tratado. El 6 de </w:t>
      </w:r>
      <w:r w:rsidR="004968B9" w:rsidRPr="004A30A8">
        <w:t>septiembre</w:t>
      </w:r>
      <w:r w:rsidR="001C4C72" w:rsidRPr="004A30A8">
        <w:t xml:space="preserve"> de 2018 se remitió al Congreso un “Proyecto de Resolución Legislativa”, encontrándose actualmente pendiente el trámite de aprobación por parte del Congreso con arreglo al ordenamiento jurídico peruano. Especificó a estos efectos que el 17 de agosto de 2</w:t>
      </w:r>
      <w:r w:rsidR="00582A84" w:rsidRPr="004A30A8">
        <w:t>0</w:t>
      </w:r>
      <w:r w:rsidR="001C4C72" w:rsidRPr="004A30A8">
        <w:t>21 se dispuso que la referida Convención continúe el trámite en la Comisión de Relaciones Exteriores del Congreso de la República.</w:t>
      </w:r>
    </w:p>
    <w:p w14:paraId="4368FF8C" w14:textId="67408E30" w:rsidR="00DD0D9E" w:rsidRPr="004A30A8" w:rsidRDefault="00DD0D9E">
      <w:pPr>
        <w:numPr>
          <w:ilvl w:val="0"/>
          <w:numId w:val="7"/>
        </w:numPr>
        <w:tabs>
          <w:tab w:val="left" w:pos="567"/>
          <w:tab w:val="num" w:pos="1569"/>
          <w:tab w:val="num" w:pos="12305"/>
        </w:tabs>
        <w:spacing w:line="240" w:lineRule="auto"/>
        <w:ind w:left="0" w:firstLine="0"/>
      </w:pPr>
      <w:r w:rsidRPr="004A30A8">
        <w:t xml:space="preserve">Por otro lado, en relación con las reparaciones solicitadas por los </w:t>
      </w:r>
      <w:r w:rsidRPr="004A30A8">
        <w:rPr>
          <w:lang w:val="es-ES"/>
        </w:rPr>
        <w:t>representantes</w:t>
      </w:r>
      <w:r w:rsidRPr="004A30A8">
        <w:t xml:space="preserve"> como garantías de no repetición, el Estado indicó lo siguiente:</w:t>
      </w:r>
    </w:p>
    <w:p w14:paraId="4749F5AB" w14:textId="2D96AE6B" w:rsidR="00084697" w:rsidRPr="004A30A8" w:rsidRDefault="00084697">
      <w:pPr>
        <w:pStyle w:val="Prrafodelista"/>
        <w:numPr>
          <w:ilvl w:val="0"/>
          <w:numId w:val="12"/>
        </w:numPr>
        <w:tabs>
          <w:tab w:val="left" w:pos="567"/>
        </w:tabs>
        <w:spacing w:before="120" w:after="120" w:line="240" w:lineRule="auto"/>
        <w:ind w:left="567" w:hanging="425"/>
        <w:contextualSpacing w:val="0"/>
      </w:pPr>
      <w:r w:rsidRPr="004A30A8">
        <w:t xml:space="preserve">En relación con la capacitación de agentes estatales en el respecto a la diversidad sexual y género, indicó que la resolución de la controversia en sede interna no revelaba el uso de estereotipos y prejuicios sobre la orientación sexual y expresión </w:t>
      </w:r>
      <w:r w:rsidRPr="004A30A8">
        <w:lastRenderedPageBreak/>
        <w:t>de género por parte de las autoridades jurisdiccionales peruanas. Asimismo, reiteró lo alegado respecto de la segunda recomendación efectuada por la Comisión</w:t>
      </w:r>
      <w:r w:rsidR="00F478F0" w:rsidRPr="004A30A8">
        <w:t>.</w:t>
      </w:r>
    </w:p>
    <w:p w14:paraId="05602B56" w14:textId="349B2A4F" w:rsidR="00084697" w:rsidRPr="004A30A8" w:rsidRDefault="00084697">
      <w:pPr>
        <w:pStyle w:val="Prrafodelista"/>
        <w:numPr>
          <w:ilvl w:val="0"/>
          <w:numId w:val="12"/>
        </w:numPr>
        <w:tabs>
          <w:tab w:val="left" w:pos="567"/>
        </w:tabs>
        <w:spacing w:before="120" w:after="120" w:line="240" w:lineRule="auto"/>
        <w:ind w:left="567" w:hanging="425"/>
        <w:contextualSpacing w:val="0"/>
      </w:pPr>
      <w:r w:rsidRPr="004A30A8">
        <w:rPr>
          <w:rFonts w:cs="Arial"/>
        </w:rPr>
        <w:t xml:space="preserve">En relación con </w:t>
      </w:r>
      <w:r w:rsidR="00575FC8" w:rsidRPr="004A30A8">
        <w:rPr>
          <w:rFonts w:cs="Arial"/>
        </w:rPr>
        <w:t xml:space="preserve">la </w:t>
      </w:r>
      <w:r w:rsidRPr="004A30A8">
        <w:rPr>
          <w:rFonts w:cs="Arial"/>
        </w:rPr>
        <w:t xml:space="preserve">elaboración de Manuales de razonamiento jurídico sobre discriminación contra personas </w:t>
      </w:r>
      <w:r w:rsidR="00C66EA7" w:rsidRPr="004A30A8">
        <w:rPr>
          <w:lang w:val="es-ES"/>
        </w:rPr>
        <w:t>LGBTIQ+</w:t>
      </w:r>
      <w:r w:rsidRPr="004A30A8">
        <w:rPr>
          <w:rFonts w:cs="Arial"/>
        </w:rPr>
        <w:t xml:space="preserve">, el Estado destacó ciertos documentos elaborados en el marco de las capacitaciones brindadas en materia de derechos de las personas </w:t>
      </w:r>
      <w:r w:rsidR="00C66EA7" w:rsidRPr="004A30A8">
        <w:rPr>
          <w:lang w:val="es-ES"/>
        </w:rPr>
        <w:t>LGBTIQ+</w:t>
      </w:r>
      <w:r w:rsidR="004968B9" w:rsidRPr="004A30A8">
        <w:rPr>
          <w:rStyle w:val="Refdenotaalpie"/>
          <w:rFonts w:cs="Arial"/>
        </w:rPr>
        <w:footnoteReference w:id="209"/>
      </w:r>
      <w:r w:rsidR="004968B9" w:rsidRPr="004A30A8">
        <w:rPr>
          <w:rFonts w:cs="Arial"/>
        </w:rPr>
        <w:t>.</w:t>
      </w:r>
      <w:r w:rsidRPr="004A30A8">
        <w:rPr>
          <w:rFonts w:cs="Arial"/>
        </w:rPr>
        <w:t xml:space="preserve"> </w:t>
      </w:r>
    </w:p>
    <w:p w14:paraId="2A7712B6" w14:textId="4900D975" w:rsidR="00084697" w:rsidRPr="004A30A8" w:rsidRDefault="00084697">
      <w:pPr>
        <w:pStyle w:val="Prrafodelista"/>
        <w:numPr>
          <w:ilvl w:val="0"/>
          <w:numId w:val="12"/>
        </w:numPr>
        <w:tabs>
          <w:tab w:val="left" w:pos="567"/>
        </w:tabs>
        <w:spacing w:before="120" w:after="120" w:line="240" w:lineRule="auto"/>
        <w:ind w:left="567" w:hanging="425"/>
        <w:contextualSpacing w:val="0"/>
      </w:pPr>
      <w:r w:rsidRPr="004A30A8">
        <w:rPr>
          <w:lang w:val="es-ES"/>
        </w:rPr>
        <w:t xml:space="preserve">En relación con la elaboración de un eventual video sobre la discriminación de las personas sexualmente diversas en Perú, el Estado indicó que ya hay amplio material relacionado con la protección de los </w:t>
      </w:r>
      <w:r w:rsidRPr="004A30A8">
        <w:t>derechos</w:t>
      </w:r>
      <w:r w:rsidRPr="004A30A8">
        <w:rPr>
          <w:lang w:val="es-ES"/>
        </w:rPr>
        <w:t xml:space="preserve"> de las personas </w:t>
      </w:r>
      <w:r w:rsidR="00E7537C" w:rsidRPr="004A30A8">
        <w:rPr>
          <w:lang w:val="es-ES"/>
        </w:rPr>
        <w:t xml:space="preserve">LGBTIQ+ </w:t>
      </w:r>
      <w:r w:rsidRPr="004A30A8">
        <w:rPr>
          <w:lang w:val="es-ES"/>
        </w:rPr>
        <w:t xml:space="preserve">en el ámbito de la administración pública. </w:t>
      </w:r>
      <w:r w:rsidR="00C40668" w:rsidRPr="004A30A8">
        <w:rPr>
          <w:lang w:val="es-ES"/>
        </w:rPr>
        <w:t>Añadió que los representantes no sustentaron debidamente la razón por la cual consideran indispensable la realización y difusión de dicho material audiovisual</w:t>
      </w:r>
      <w:r w:rsidR="00F478F0" w:rsidRPr="004A30A8">
        <w:rPr>
          <w:lang w:val="es-ES"/>
        </w:rPr>
        <w:t xml:space="preserve">. </w:t>
      </w:r>
    </w:p>
    <w:p w14:paraId="797E966C" w14:textId="1783B433" w:rsidR="00C40668" w:rsidRPr="004A30A8" w:rsidRDefault="00C40668">
      <w:pPr>
        <w:pStyle w:val="Prrafodelista"/>
        <w:numPr>
          <w:ilvl w:val="0"/>
          <w:numId w:val="12"/>
        </w:numPr>
        <w:tabs>
          <w:tab w:val="left" w:pos="567"/>
        </w:tabs>
        <w:spacing w:before="120" w:after="120" w:line="240" w:lineRule="auto"/>
        <w:ind w:left="567" w:hanging="425"/>
        <w:contextualSpacing w:val="0"/>
      </w:pPr>
      <w:r w:rsidRPr="004A30A8">
        <w:rPr>
          <w:lang w:val="es-ES"/>
        </w:rPr>
        <w:t>En relación con las medidas de debida diligencia de las empresas, el Estado hizo referencia a sus argumentos esgrimidos en relación con la tercera recomendación elaborada por la Comisión.</w:t>
      </w:r>
    </w:p>
    <w:p w14:paraId="32A4B855" w14:textId="639070DA" w:rsidR="00C40668" w:rsidRPr="004A30A8" w:rsidRDefault="00C40668">
      <w:pPr>
        <w:pStyle w:val="Prrafodelista"/>
        <w:numPr>
          <w:ilvl w:val="0"/>
          <w:numId w:val="12"/>
        </w:numPr>
        <w:tabs>
          <w:tab w:val="left" w:pos="567"/>
        </w:tabs>
        <w:spacing w:before="120" w:after="120" w:line="240" w:lineRule="auto"/>
        <w:ind w:left="567" w:hanging="425"/>
        <w:contextualSpacing w:val="0"/>
      </w:pPr>
      <w:r w:rsidRPr="004A30A8">
        <w:t xml:space="preserve">En relación </w:t>
      </w:r>
      <w:r w:rsidR="00CC014D" w:rsidRPr="004A30A8">
        <w:t>con</w:t>
      </w:r>
      <w:r w:rsidRPr="004A30A8">
        <w:t xml:space="preserve"> la elaboración de una política pública para eliminar el estigma y la discriminación hacia personas </w:t>
      </w:r>
      <w:r w:rsidR="00E7537C" w:rsidRPr="004A30A8">
        <w:rPr>
          <w:lang w:val="es-ES"/>
        </w:rPr>
        <w:t xml:space="preserve">LGBTIQ+ </w:t>
      </w:r>
      <w:r w:rsidRPr="004A30A8">
        <w:rPr>
          <w:lang w:val="es-ES"/>
        </w:rPr>
        <w:t xml:space="preserve">el Estado hizo referencia a sus argumentos esgrimidos en relación con la </w:t>
      </w:r>
      <w:r w:rsidR="00CC014D" w:rsidRPr="004A30A8">
        <w:rPr>
          <w:lang w:val="es-ES"/>
        </w:rPr>
        <w:t>primera</w:t>
      </w:r>
      <w:r w:rsidRPr="004A30A8">
        <w:rPr>
          <w:lang w:val="es-ES"/>
        </w:rPr>
        <w:t xml:space="preserve"> recomendación elaborada por la Comisión.</w:t>
      </w:r>
    </w:p>
    <w:p w14:paraId="03296288" w14:textId="76E806D4" w:rsidR="00D146C5" w:rsidRPr="004A30A8" w:rsidRDefault="00C40668">
      <w:pPr>
        <w:pStyle w:val="Prrafodelista"/>
        <w:numPr>
          <w:ilvl w:val="0"/>
          <w:numId w:val="12"/>
        </w:numPr>
        <w:tabs>
          <w:tab w:val="left" w:pos="567"/>
        </w:tabs>
        <w:spacing w:before="120" w:after="120" w:line="240" w:lineRule="auto"/>
        <w:ind w:left="567" w:hanging="425"/>
        <w:contextualSpacing w:val="0"/>
      </w:pPr>
      <w:r w:rsidRPr="004A30A8">
        <w:t xml:space="preserve">En relación con la recopilación de datos y elaboración de estadísticas sobre la discriminación hacia consumidores </w:t>
      </w:r>
      <w:r w:rsidR="00E7537C" w:rsidRPr="004A30A8">
        <w:rPr>
          <w:lang w:val="es-ES"/>
        </w:rPr>
        <w:t>LGBTIQ+</w:t>
      </w:r>
      <w:r w:rsidR="00E13E66" w:rsidRPr="004A30A8">
        <w:t xml:space="preserve">, el Estado hizo referencia a las capacitaciones y a todas las medidas adoptadas por el Estado peruano para erradicar cualquier forma de discriminación de las personas </w:t>
      </w:r>
      <w:r w:rsidR="00E7537C" w:rsidRPr="004A30A8">
        <w:rPr>
          <w:lang w:val="es-ES"/>
        </w:rPr>
        <w:t>LGBTIQ+</w:t>
      </w:r>
      <w:r w:rsidR="00D146C5" w:rsidRPr="004A30A8">
        <w:t xml:space="preserve">, destacando que en materia de relaciones de consumo, el </w:t>
      </w:r>
      <w:r w:rsidR="003337B8" w:rsidRPr="004A30A8">
        <w:rPr>
          <w:lang w:val="es-ES"/>
        </w:rPr>
        <w:t>Indecopi</w:t>
      </w:r>
      <w:r w:rsidR="003337B8" w:rsidRPr="004A30A8">
        <w:t xml:space="preserve"> </w:t>
      </w:r>
      <w:r w:rsidR="00D146C5" w:rsidRPr="004A30A8">
        <w:t xml:space="preserve">ha elaborado una herramienta denominada “Diagnóstico sobre los estereotipos de género en el consumo y la publicidad en el Perú”, de 9 de diciembre de 2020. </w:t>
      </w:r>
    </w:p>
    <w:p w14:paraId="56C136CB" w14:textId="56584EB7" w:rsidR="00D146C5" w:rsidRPr="004A30A8" w:rsidRDefault="00D146C5">
      <w:pPr>
        <w:pStyle w:val="Prrafodelista"/>
        <w:numPr>
          <w:ilvl w:val="0"/>
          <w:numId w:val="12"/>
        </w:numPr>
        <w:tabs>
          <w:tab w:val="left" w:pos="567"/>
        </w:tabs>
        <w:spacing w:before="120" w:after="120" w:line="240" w:lineRule="auto"/>
        <w:ind w:left="567" w:hanging="425"/>
        <w:contextualSpacing w:val="0"/>
      </w:pPr>
      <w:r w:rsidRPr="004A30A8">
        <w:t xml:space="preserve">En relación con la solicitud de implementación de una política pública en salud mental para personas </w:t>
      </w:r>
      <w:r w:rsidR="00E7537C" w:rsidRPr="004A30A8">
        <w:rPr>
          <w:lang w:val="es-ES"/>
        </w:rPr>
        <w:t>LGBTIQ+</w:t>
      </w:r>
      <w:r w:rsidRPr="004A30A8">
        <w:t>, el Estado indicó que ya cuenta con una Ley de Salud Mental (Ley N</w:t>
      </w:r>
      <w:r w:rsidR="00A25EC8" w:rsidRPr="004A30A8">
        <w:t>.</w:t>
      </w:r>
      <w:r w:rsidRPr="004A30A8">
        <w:t>º 30947), de 23 de mayo de 2019 la cual garantiza el derecho “a gozar del más alto nivel posible de salud mental” “sin discriminación alguna”, teniendo en cuenta las circunstancias particulares de cada persona y, en especial, aquellos en “situación de vulnerabilidad y grupos de especial protección, personas en situación de riesgo, abandono o desprotección y las víctimas de violencia”.</w:t>
      </w:r>
    </w:p>
    <w:p w14:paraId="5A4AFB15" w14:textId="4D3ADEE2" w:rsidR="009628BF" w:rsidRPr="004A30A8" w:rsidRDefault="009628BF">
      <w:pPr>
        <w:pStyle w:val="Prrafodelista"/>
        <w:numPr>
          <w:ilvl w:val="0"/>
          <w:numId w:val="12"/>
        </w:numPr>
        <w:tabs>
          <w:tab w:val="left" w:pos="567"/>
        </w:tabs>
        <w:spacing w:before="120" w:after="120" w:line="240" w:lineRule="auto"/>
        <w:ind w:left="567" w:hanging="425"/>
        <w:contextualSpacing w:val="0"/>
      </w:pPr>
      <w:r w:rsidRPr="004A30A8">
        <w:t xml:space="preserve">En </w:t>
      </w:r>
      <w:r w:rsidR="00E13E66" w:rsidRPr="004A30A8">
        <w:t>relación con</w:t>
      </w:r>
      <w:r w:rsidRPr="004A30A8">
        <w:t xml:space="preserve"> la designación de un ente rector en materia de igualdad de personas LGBTI, el Estado ar</w:t>
      </w:r>
      <w:r w:rsidR="00783A6F" w:rsidRPr="004A30A8">
        <w:t xml:space="preserve">guyó </w:t>
      </w:r>
      <w:r w:rsidR="00CE621F" w:rsidRPr="004A30A8">
        <w:t>que</w:t>
      </w:r>
      <w:r w:rsidR="00E13E66" w:rsidRPr="004A30A8">
        <w:t xml:space="preserve"> </w:t>
      </w:r>
      <w:r w:rsidR="00CE621F" w:rsidRPr="004A30A8">
        <w:t xml:space="preserve">el Ministerio de la Mujer y Poblaciones Vulnerables, así como el Ministerio de Justicia y Derechos Humanos </w:t>
      </w:r>
      <w:r w:rsidR="005E171A" w:rsidRPr="004A30A8">
        <w:t xml:space="preserve">han realizado labores diligentes orientadas a la protección de los grupos vulnerables de Perú, </w:t>
      </w:r>
      <w:r w:rsidR="005E171A" w:rsidRPr="004A30A8">
        <w:lastRenderedPageBreak/>
        <w:t xml:space="preserve">incluyendo a la población </w:t>
      </w:r>
      <w:r w:rsidR="00C66EA7" w:rsidRPr="004A30A8">
        <w:rPr>
          <w:lang w:val="es-ES"/>
        </w:rPr>
        <w:t>LGBTIQ+</w:t>
      </w:r>
      <w:r w:rsidR="00736893" w:rsidRPr="004A30A8">
        <w:t xml:space="preserve">. </w:t>
      </w:r>
    </w:p>
    <w:p w14:paraId="474A2430" w14:textId="2569EDD5" w:rsidR="00C2738F" w:rsidRPr="004A30A8" w:rsidRDefault="00DA717D">
      <w:pPr>
        <w:pStyle w:val="Prrafodelista"/>
        <w:numPr>
          <w:ilvl w:val="0"/>
          <w:numId w:val="12"/>
        </w:numPr>
        <w:tabs>
          <w:tab w:val="left" w:pos="567"/>
        </w:tabs>
        <w:spacing w:before="120" w:after="120" w:line="240" w:lineRule="auto"/>
        <w:ind w:left="567" w:hanging="425"/>
        <w:contextualSpacing w:val="0"/>
      </w:pPr>
      <w:r w:rsidRPr="004A30A8">
        <w:rPr>
          <w:lang w:val="es-ES"/>
        </w:rPr>
        <w:t xml:space="preserve">En lo que respecta a la ratificación de </w:t>
      </w:r>
      <w:r w:rsidRPr="004A30A8">
        <w:rPr>
          <w:rFonts w:cs="Arial"/>
        </w:rPr>
        <w:t xml:space="preserve">la Convención Interamericana contra toda forma de Discriminación e Intolerancia, el Estado </w:t>
      </w:r>
      <w:r w:rsidR="00E13E66" w:rsidRPr="004A30A8">
        <w:rPr>
          <w:rFonts w:cs="Arial"/>
        </w:rPr>
        <w:t xml:space="preserve">se remitió a lo indicado en relación a la </w:t>
      </w:r>
      <w:r w:rsidR="00C2738F" w:rsidRPr="004A30A8">
        <w:rPr>
          <w:rFonts w:cs="Arial"/>
        </w:rPr>
        <w:t xml:space="preserve">cuarta </w:t>
      </w:r>
      <w:r w:rsidR="00E13E66" w:rsidRPr="004A30A8">
        <w:rPr>
          <w:rFonts w:cs="Arial"/>
        </w:rPr>
        <w:t xml:space="preserve">recomendación </w:t>
      </w:r>
      <w:r w:rsidR="00C2738F" w:rsidRPr="004A30A8">
        <w:rPr>
          <w:rFonts w:cs="Arial"/>
        </w:rPr>
        <w:t xml:space="preserve">elaborada por la Comisión y </w:t>
      </w:r>
      <w:r w:rsidRPr="004A30A8">
        <w:rPr>
          <w:rFonts w:cs="Arial"/>
        </w:rPr>
        <w:t>señaló que ya existe una iniciativa de ley en discusión para aprobar este instrumento.</w:t>
      </w:r>
      <w:r w:rsidR="006F4F0A" w:rsidRPr="004A30A8">
        <w:rPr>
          <w:rFonts w:cs="Arial"/>
        </w:rPr>
        <w:t xml:space="preserve"> </w:t>
      </w:r>
    </w:p>
    <w:p w14:paraId="72D46D5F" w14:textId="102DFC82" w:rsidR="00F71316" w:rsidRPr="004A30A8" w:rsidRDefault="00C2738F">
      <w:pPr>
        <w:pStyle w:val="Prrafodelista"/>
        <w:numPr>
          <w:ilvl w:val="0"/>
          <w:numId w:val="12"/>
        </w:numPr>
        <w:tabs>
          <w:tab w:val="left" w:pos="567"/>
        </w:tabs>
        <w:spacing w:before="120" w:after="120" w:line="240" w:lineRule="auto"/>
        <w:ind w:left="567" w:hanging="425"/>
        <w:contextualSpacing w:val="0"/>
      </w:pPr>
      <w:r w:rsidRPr="004A30A8">
        <w:rPr>
          <w:rFonts w:cs="Arial"/>
        </w:rPr>
        <w:t xml:space="preserve">Finalmente, en relación con </w:t>
      </w:r>
      <w:r w:rsidR="00DB607F" w:rsidRPr="004A30A8">
        <w:rPr>
          <w:rFonts w:cs="Arial"/>
        </w:rPr>
        <w:t xml:space="preserve">la necesidad de </w:t>
      </w:r>
      <w:r w:rsidRPr="004A30A8">
        <w:rPr>
          <w:rFonts w:cs="Arial"/>
        </w:rPr>
        <w:t xml:space="preserve">implementar un procedimiento administrativo de reconocimiento de la identidad de género de las personas trans acorde con los parámetros establecidos en la Opinión Consultiva OC-24/17, </w:t>
      </w:r>
      <w:r w:rsidR="00DB607F" w:rsidRPr="004A30A8">
        <w:rPr>
          <w:rFonts w:cs="Arial"/>
        </w:rPr>
        <w:t xml:space="preserve">el </w:t>
      </w:r>
      <w:r w:rsidR="00DB607F" w:rsidRPr="004A30A8">
        <w:t>Estado</w:t>
      </w:r>
      <w:r w:rsidR="00DB607F" w:rsidRPr="004A30A8">
        <w:rPr>
          <w:rFonts w:cs="Arial"/>
        </w:rPr>
        <w:t xml:space="preserve"> advirtió que el caso en cuestión versa sobre un supuesto acto de discriminación en materia de orientación sexual, mas no está relacionado directamente con la identidad de género.</w:t>
      </w:r>
      <w:r w:rsidR="00535E28" w:rsidRPr="004A30A8">
        <w:rPr>
          <w:rFonts w:cs="Arial"/>
        </w:rPr>
        <w:t xml:space="preserve"> </w:t>
      </w:r>
    </w:p>
    <w:p w14:paraId="66E6812E" w14:textId="5A7F94A0" w:rsidR="00BB5CEA" w:rsidRPr="004A30A8" w:rsidRDefault="009A5D6D">
      <w:pPr>
        <w:numPr>
          <w:ilvl w:val="0"/>
          <w:numId w:val="7"/>
        </w:numPr>
        <w:tabs>
          <w:tab w:val="left" w:pos="567"/>
          <w:tab w:val="num" w:pos="1569"/>
          <w:tab w:val="num" w:pos="12305"/>
        </w:tabs>
        <w:spacing w:line="240" w:lineRule="auto"/>
        <w:ind w:left="0" w:firstLine="0"/>
        <w:rPr>
          <w:lang w:val="es-ES"/>
        </w:rPr>
      </w:pPr>
      <w:r w:rsidRPr="004A30A8">
        <w:rPr>
          <w:lang w:val="es-ES"/>
        </w:rPr>
        <w:t xml:space="preserve">En relación con </w:t>
      </w:r>
      <w:r w:rsidR="00C10911" w:rsidRPr="004A30A8">
        <w:rPr>
          <w:lang w:val="es-ES"/>
        </w:rPr>
        <w:t>la recomendación</w:t>
      </w:r>
      <w:r w:rsidR="00BB5CEA" w:rsidRPr="004A30A8">
        <w:rPr>
          <w:lang w:val="es-ES"/>
        </w:rPr>
        <w:t xml:space="preserve"> n.° </w:t>
      </w:r>
      <w:r w:rsidRPr="004A30A8">
        <w:rPr>
          <w:lang w:val="es-ES"/>
        </w:rPr>
        <w:t>1</w:t>
      </w:r>
      <w:r w:rsidR="00BB5CEA" w:rsidRPr="004A30A8">
        <w:rPr>
          <w:lang w:val="es-ES"/>
        </w:rPr>
        <w:t xml:space="preserve"> </w:t>
      </w:r>
      <w:r w:rsidRPr="004A30A8">
        <w:rPr>
          <w:lang w:val="es-ES"/>
        </w:rPr>
        <w:t>solicitada por la Comisión</w:t>
      </w:r>
      <w:r w:rsidR="00BB5CEA" w:rsidRPr="004A30A8">
        <w:rPr>
          <w:lang w:val="es-ES"/>
        </w:rPr>
        <w:t xml:space="preserve"> </w:t>
      </w:r>
      <w:r w:rsidR="00A2377B" w:rsidRPr="004A30A8">
        <w:rPr>
          <w:lang w:val="es-ES"/>
        </w:rPr>
        <w:t>(</w:t>
      </w:r>
      <w:r w:rsidR="00A2377B" w:rsidRPr="004A30A8">
        <w:rPr>
          <w:i/>
          <w:iCs/>
          <w:lang w:val="es-ES"/>
        </w:rPr>
        <w:t>supra</w:t>
      </w:r>
      <w:r w:rsidR="00A2377B" w:rsidRPr="004A30A8">
        <w:rPr>
          <w:lang w:val="es-ES"/>
        </w:rPr>
        <w:t xml:space="preserve"> párr. </w:t>
      </w:r>
      <w:r w:rsidR="00030CB8" w:rsidRPr="004A30A8">
        <w:rPr>
          <w:lang w:val="es-ES"/>
        </w:rPr>
        <w:t>148</w:t>
      </w:r>
      <w:r w:rsidR="00A2377B" w:rsidRPr="004A30A8">
        <w:rPr>
          <w:lang w:val="es-ES"/>
        </w:rPr>
        <w:t xml:space="preserve">) </w:t>
      </w:r>
      <w:r w:rsidR="00BB5CEA" w:rsidRPr="004A30A8">
        <w:rPr>
          <w:lang w:val="es-ES"/>
        </w:rPr>
        <w:t>y la solicitud de reparación n.° 5 solicitada por los representantes</w:t>
      </w:r>
      <w:r w:rsidR="00A2377B" w:rsidRPr="004A30A8">
        <w:rPr>
          <w:lang w:val="es-ES"/>
        </w:rPr>
        <w:t xml:space="preserve"> (</w:t>
      </w:r>
      <w:r w:rsidR="00A2377B" w:rsidRPr="004A30A8">
        <w:rPr>
          <w:i/>
          <w:iCs/>
          <w:lang w:val="es-ES"/>
        </w:rPr>
        <w:t>supra</w:t>
      </w:r>
      <w:r w:rsidR="00A2377B" w:rsidRPr="004A30A8">
        <w:rPr>
          <w:lang w:val="es-ES"/>
        </w:rPr>
        <w:t xml:space="preserve"> párr. </w:t>
      </w:r>
      <w:r w:rsidR="00030CB8" w:rsidRPr="004A30A8">
        <w:rPr>
          <w:lang w:val="es-ES"/>
        </w:rPr>
        <w:t>149</w:t>
      </w:r>
      <w:r w:rsidR="00A2377B" w:rsidRPr="004A30A8">
        <w:rPr>
          <w:lang w:val="es-ES"/>
        </w:rPr>
        <w:t>)</w:t>
      </w:r>
      <w:r w:rsidR="00BB5CEA" w:rsidRPr="004A30A8">
        <w:rPr>
          <w:lang w:val="es-ES"/>
        </w:rPr>
        <w:t>, e</w:t>
      </w:r>
      <w:r w:rsidRPr="004A30A8">
        <w:t>st</w:t>
      </w:r>
      <w:r w:rsidR="00D044D6" w:rsidRPr="004A30A8">
        <w:t>a</w:t>
      </w:r>
      <w:r w:rsidRPr="004A30A8">
        <w:t xml:space="preserve"> </w:t>
      </w:r>
      <w:r w:rsidR="00BA0C9F" w:rsidRPr="004A30A8">
        <w:rPr>
          <w:b/>
          <w:bCs/>
          <w:i/>
          <w:iCs/>
        </w:rPr>
        <w:t>Corte</w:t>
      </w:r>
      <w:r w:rsidRPr="004A30A8">
        <w:t xml:space="preserve"> valora de manera positiva los esfuerzos llevados a cabo por el Estado </w:t>
      </w:r>
      <w:r w:rsidR="00635C11" w:rsidRPr="004A30A8">
        <w:t xml:space="preserve">en la </w:t>
      </w:r>
      <w:r w:rsidRPr="004A30A8">
        <w:rPr>
          <w:rFonts w:cs="Arial"/>
        </w:rPr>
        <w:t xml:space="preserve">elaboración e implementación de </w:t>
      </w:r>
      <w:r w:rsidR="002C27C6" w:rsidRPr="004A30A8">
        <w:rPr>
          <w:rFonts w:cs="Arial"/>
        </w:rPr>
        <w:t>políticas públicas</w:t>
      </w:r>
      <w:r w:rsidRPr="004A30A8">
        <w:rPr>
          <w:rFonts w:cs="Arial"/>
        </w:rPr>
        <w:t xml:space="preserve"> para promover en la sociedad el respeto a los derechos </w:t>
      </w:r>
      <w:r w:rsidR="00BB5CEA" w:rsidRPr="004A30A8">
        <w:rPr>
          <w:rFonts w:cs="Arial"/>
        </w:rPr>
        <w:t>humanos a lo largo de estos últimos años</w:t>
      </w:r>
      <w:r w:rsidRPr="004A30A8">
        <w:rPr>
          <w:rFonts w:cs="Arial"/>
        </w:rPr>
        <w:t xml:space="preserve">. Sin embargo, </w:t>
      </w:r>
      <w:r w:rsidR="00BB5CEA" w:rsidRPr="004A30A8">
        <w:rPr>
          <w:rFonts w:cs="Arial"/>
        </w:rPr>
        <w:t>el Tribunal advierte que</w:t>
      </w:r>
      <w:r w:rsidR="00C10911" w:rsidRPr="004A30A8">
        <w:rPr>
          <w:rFonts w:cs="Arial"/>
        </w:rPr>
        <w:t>, a raíz de las violaciones declaradas en la presente Sentencia</w:t>
      </w:r>
      <w:r w:rsidR="00BB5CEA" w:rsidRPr="004A30A8">
        <w:rPr>
          <w:rFonts w:cs="Arial"/>
        </w:rPr>
        <w:t xml:space="preserve"> es preciso contar con una política pública </w:t>
      </w:r>
      <w:r w:rsidR="00C10911" w:rsidRPr="004A30A8">
        <w:rPr>
          <w:rFonts w:cs="Arial"/>
        </w:rPr>
        <w:t xml:space="preserve">específica </w:t>
      </w:r>
      <w:r w:rsidR="00BB5CEA" w:rsidRPr="004A30A8">
        <w:rPr>
          <w:rFonts w:cs="Arial"/>
        </w:rPr>
        <w:t>que promueva expresamente</w:t>
      </w:r>
      <w:r w:rsidR="00C10911" w:rsidRPr="004A30A8">
        <w:t xml:space="preserve"> </w:t>
      </w:r>
      <w:r w:rsidR="00C10911" w:rsidRPr="004A30A8">
        <w:rPr>
          <w:rFonts w:cs="Arial"/>
        </w:rPr>
        <w:t xml:space="preserve">el respeto a los derechos de las personas </w:t>
      </w:r>
      <w:r w:rsidR="00C66EA7" w:rsidRPr="004A30A8">
        <w:rPr>
          <w:lang w:val="es-ES"/>
        </w:rPr>
        <w:t>LGBTIQ+</w:t>
      </w:r>
      <w:r w:rsidR="00C10911" w:rsidRPr="004A30A8">
        <w:rPr>
          <w:rFonts w:cs="Arial"/>
        </w:rPr>
        <w:t>. Para ello, el Estado deberá</w:t>
      </w:r>
      <w:r w:rsidR="008C0720" w:rsidRPr="004A30A8">
        <w:rPr>
          <w:rFonts w:cs="Arial"/>
        </w:rPr>
        <w:t xml:space="preserve"> diseñar e</w:t>
      </w:r>
      <w:r w:rsidR="00C10911" w:rsidRPr="004A30A8">
        <w:rPr>
          <w:rFonts w:cs="Arial"/>
        </w:rPr>
        <w:t xml:space="preserve"> implementar, en el plazo de </w:t>
      </w:r>
      <w:r w:rsidR="00DE72BF" w:rsidRPr="004A30A8">
        <w:rPr>
          <w:rFonts w:cs="Arial"/>
        </w:rPr>
        <w:t>dos</w:t>
      </w:r>
      <w:r w:rsidR="00C10911" w:rsidRPr="004A30A8">
        <w:rPr>
          <w:rFonts w:cs="Arial"/>
        </w:rPr>
        <w:t xml:space="preserve"> año</w:t>
      </w:r>
      <w:r w:rsidR="00DE72BF" w:rsidRPr="004A30A8">
        <w:rPr>
          <w:rFonts w:cs="Arial"/>
        </w:rPr>
        <w:t>s</w:t>
      </w:r>
      <w:r w:rsidR="00C10911" w:rsidRPr="004A30A8">
        <w:rPr>
          <w:rFonts w:cs="Arial"/>
        </w:rPr>
        <w:t xml:space="preserve"> a partir de la notificación de la presente Sentencia, una campaña informativa anual de sensibilización y concientización </w:t>
      </w:r>
      <w:r w:rsidR="001B564D" w:rsidRPr="004A30A8">
        <w:rPr>
          <w:rFonts w:cs="Arial"/>
        </w:rPr>
        <w:t xml:space="preserve">a nivel nacional </w:t>
      </w:r>
      <w:r w:rsidR="00C10911" w:rsidRPr="004A30A8">
        <w:rPr>
          <w:rFonts w:cs="Arial"/>
        </w:rPr>
        <w:t>en los medios de comunicación respecto de la importancia de promover en la sociedad</w:t>
      </w:r>
      <w:r w:rsidR="00A54031" w:rsidRPr="004A30A8">
        <w:rPr>
          <w:rFonts w:cs="Arial"/>
        </w:rPr>
        <w:t xml:space="preserve"> una cultura de</w:t>
      </w:r>
      <w:r w:rsidR="00C10911" w:rsidRPr="004A30A8">
        <w:rPr>
          <w:rFonts w:cs="Arial"/>
        </w:rPr>
        <w:t xml:space="preserve"> respeto</w:t>
      </w:r>
      <w:r w:rsidR="00AF5B45" w:rsidRPr="004A30A8">
        <w:rPr>
          <w:rFonts w:cs="Arial"/>
        </w:rPr>
        <w:t>, no discriminación</w:t>
      </w:r>
      <w:r w:rsidR="00C10911" w:rsidRPr="004A30A8">
        <w:rPr>
          <w:rFonts w:cs="Arial"/>
        </w:rPr>
        <w:t xml:space="preserve"> </w:t>
      </w:r>
      <w:r w:rsidR="00A54031" w:rsidRPr="004A30A8">
        <w:rPr>
          <w:rFonts w:cs="Arial"/>
        </w:rPr>
        <w:t xml:space="preserve">y garantía de </w:t>
      </w:r>
      <w:r w:rsidR="00C10911" w:rsidRPr="004A30A8">
        <w:rPr>
          <w:rFonts w:cs="Arial"/>
        </w:rPr>
        <w:t xml:space="preserve">los derechos de las personas </w:t>
      </w:r>
      <w:r w:rsidR="00C66EA7" w:rsidRPr="004A30A8">
        <w:rPr>
          <w:lang w:val="es-ES"/>
        </w:rPr>
        <w:t>LGBTIQ+</w:t>
      </w:r>
      <w:r w:rsidR="00C10911" w:rsidRPr="004A30A8">
        <w:rPr>
          <w:rFonts w:cs="Arial"/>
        </w:rPr>
        <w:t xml:space="preserve">. </w:t>
      </w:r>
      <w:r w:rsidR="001B564D" w:rsidRPr="004A30A8">
        <w:t>A tal efecto, el Estado deberá presentar a la Corte un informe anual durante cinco años a partir de la implementación de la primera campaña.</w:t>
      </w:r>
    </w:p>
    <w:p w14:paraId="58B8ED15" w14:textId="77777777" w:rsidR="00CF688D" w:rsidRPr="004A30A8" w:rsidRDefault="00CF688D" w:rsidP="00C10911">
      <w:pPr>
        <w:tabs>
          <w:tab w:val="left" w:pos="567"/>
        </w:tabs>
        <w:spacing w:line="240" w:lineRule="auto"/>
        <w:rPr>
          <w:lang w:val="es-ES"/>
        </w:rPr>
      </w:pPr>
    </w:p>
    <w:p w14:paraId="7C688135" w14:textId="53E13FAC" w:rsidR="00A57425" w:rsidRPr="004A30A8" w:rsidRDefault="00A57425">
      <w:pPr>
        <w:numPr>
          <w:ilvl w:val="0"/>
          <w:numId w:val="7"/>
        </w:numPr>
        <w:tabs>
          <w:tab w:val="left" w:pos="567"/>
          <w:tab w:val="num" w:pos="1569"/>
          <w:tab w:val="num" w:pos="12305"/>
        </w:tabs>
        <w:spacing w:line="240" w:lineRule="auto"/>
        <w:ind w:left="0" w:firstLine="0"/>
        <w:rPr>
          <w:rFonts w:cs="Arial"/>
        </w:rPr>
      </w:pPr>
      <w:r w:rsidRPr="004A30A8">
        <w:rPr>
          <w:lang w:val="es-ES"/>
        </w:rPr>
        <w:t xml:space="preserve">En relación con la recomendación n.° 2 solicitada por la Comisión </w:t>
      </w:r>
      <w:r w:rsidR="00A2377B" w:rsidRPr="004A30A8">
        <w:rPr>
          <w:lang w:val="es-ES"/>
        </w:rPr>
        <w:t>(</w:t>
      </w:r>
      <w:r w:rsidR="00A2377B" w:rsidRPr="004A30A8">
        <w:rPr>
          <w:i/>
          <w:iCs/>
          <w:lang w:val="es-ES"/>
        </w:rPr>
        <w:t>supra</w:t>
      </w:r>
      <w:r w:rsidR="00A2377B" w:rsidRPr="004A30A8">
        <w:rPr>
          <w:lang w:val="es-ES"/>
        </w:rPr>
        <w:t xml:space="preserve"> párr. </w:t>
      </w:r>
      <w:r w:rsidR="00030CB8" w:rsidRPr="004A30A8">
        <w:rPr>
          <w:lang w:val="es-ES"/>
        </w:rPr>
        <w:t>148</w:t>
      </w:r>
      <w:r w:rsidR="00A2377B" w:rsidRPr="004A30A8">
        <w:rPr>
          <w:lang w:val="es-ES"/>
        </w:rPr>
        <w:t xml:space="preserve">) </w:t>
      </w:r>
      <w:r w:rsidRPr="004A30A8">
        <w:rPr>
          <w:lang w:val="es-ES"/>
        </w:rPr>
        <w:t xml:space="preserve">y las solicitudes de reparación n.° </w:t>
      </w:r>
      <w:r w:rsidR="00A2377B" w:rsidRPr="004A30A8">
        <w:rPr>
          <w:lang w:val="es-ES"/>
        </w:rPr>
        <w:t>1</w:t>
      </w:r>
      <w:r w:rsidRPr="004A30A8">
        <w:rPr>
          <w:lang w:val="es-ES"/>
        </w:rPr>
        <w:t xml:space="preserve"> y n.° </w:t>
      </w:r>
      <w:r w:rsidR="00A2377B" w:rsidRPr="004A30A8">
        <w:rPr>
          <w:lang w:val="es-ES"/>
        </w:rPr>
        <w:t>2</w:t>
      </w:r>
      <w:r w:rsidRPr="004A30A8">
        <w:rPr>
          <w:lang w:val="es-ES"/>
        </w:rPr>
        <w:t xml:space="preserve"> solicitada por los representantes</w:t>
      </w:r>
      <w:r w:rsidR="00A2377B" w:rsidRPr="004A30A8">
        <w:rPr>
          <w:lang w:val="es-ES"/>
        </w:rPr>
        <w:t xml:space="preserve"> (</w:t>
      </w:r>
      <w:r w:rsidR="00A2377B" w:rsidRPr="004A30A8">
        <w:rPr>
          <w:i/>
          <w:iCs/>
          <w:lang w:val="es-ES"/>
        </w:rPr>
        <w:t>supra</w:t>
      </w:r>
      <w:r w:rsidR="00A2377B" w:rsidRPr="004A30A8">
        <w:rPr>
          <w:lang w:val="es-ES"/>
        </w:rPr>
        <w:t xml:space="preserve"> párr. </w:t>
      </w:r>
      <w:r w:rsidR="00030CB8" w:rsidRPr="004A30A8">
        <w:rPr>
          <w:lang w:val="es-ES"/>
        </w:rPr>
        <w:t>149</w:t>
      </w:r>
      <w:r w:rsidR="00A2377B" w:rsidRPr="004A30A8">
        <w:rPr>
          <w:lang w:val="es-ES"/>
        </w:rPr>
        <w:t>)</w:t>
      </w:r>
      <w:r w:rsidRPr="004A30A8">
        <w:rPr>
          <w:lang w:val="es-ES"/>
        </w:rPr>
        <w:t xml:space="preserve">, la Corte advierte que en el </w:t>
      </w:r>
      <w:r w:rsidRPr="004A30A8">
        <w:rPr>
          <w:i/>
          <w:iCs/>
          <w:lang w:val="es-ES"/>
        </w:rPr>
        <w:t xml:space="preserve">caso </w:t>
      </w:r>
      <w:r w:rsidRPr="004A30A8">
        <w:rPr>
          <w:i/>
          <w:iCs/>
        </w:rPr>
        <w:t xml:space="preserve">Azul Rojas Marín y otra Vs. Perú </w:t>
      </w:r>
      <w:r w:rsidRPr="004A30A8">
        <w:t xml:space="preserve">ordenó al Estado de Perú </w:t>
      </w:r>
      <w:r w:rsidR="00F478F0" w:rsidRPr="004A30A8">
        <w:t>“c</w:t>
      </w:r>
      <w:r w:rsidRPr="004A30A8">
        <w:t>rear e implementar, en el plazo de dos años, un plan de capacitación de agentes de la Policía Nacional del Perú, el Ministerio Público, el Poder Judicial y el serenazgo orientado a sensibilizar a los miembros de los cuerpos policiales y fiscales sobre</w:t>
      </w:r>
      <w:r w:rsidR="00F478F0" w:rsidRPr="004A30A8">
        <w:t xml:space="preserve"> </w:t>
      </w:r>
      <w:r w:rsidRPr="004A30A8">
        <w:t>el respeto de la orientación sexual y expresión de género en sus intervenciones a civiles,</w:t>
      </w:r>
      <w:r w:rsidR="00F478F0" w:rsidRPr="004A30A8">
        <w:t xml:space="preserve"> </w:t>
      </w:r>
      <w:r w:rsidRPr="004A30A8">
        <w:t xml:space="preserve">la debida diligencia en la conducción de investigaciones y procesos judiciales relacionados con discriminación, violencia sexual y tortura de personas </w:t>
      </w:r>
      <w:r w:rsidR="00C66EA7" w:rsidRPr="004A30A8">
        <w:rPr>
          <w:lang w:val="es-ES"/>
        </w:rPr>
        <w:t>LGBTIQ+</w:t>
      </w:r>
      <w:r w:rsidRPr="004A30A8">
        <w:t xml:space="preserve">, y el carácter discriminatorio que tienen los estereotipos de orientación sexual y expresión de género y el impacto negativo que su utilización tiene sobre las personas </w:t>
      </w:r>
      <w:r w:rsidR="00C66EA7" w:rsidRPr="004A30A8">
        <w:rPr>
          <w:lang w:val="es-ES"/>
        </w:rPr>
        <w:t>LGBTIQ+</w:t>
      </w:r>
      <w:r w:rsidR="00635C11" w:rsidRPr="004A30A8">
        <w:rPr>
          <w:lang w:val="es-ES"/>
        </w:rPr>
        <w:t>”</w:t>
      </w:r>
      <w:r w:rsidRPr="004A30A8">
        <w:rPr>
          <w:rStyle w:val="Refdenotaalpie"/>
        </w:rPr>
        <w:footnoteReference w:id="210"/>
      </w:r>
      <w:r w:rsidR="00F478F0" w:rsidRPr="004A30A8">
        <w:t>.</w:t>
      </w:r>
    </w:p>
    <w:p w14:paraId="1BD42189" w14:textId="77777777" w:rsidR="00A57425" w:rsidRPr="004A30A8" w:rsidRDefault="00A57425" w:rsidP="00A57425">
      <w:pPr>
        <w:tabs>
          <w:tab w:val="left" w:pos="567"/>
        </w:tabs>
        <w:spacing w:line="240" w:lineRule="auto"/>
        <w:rPr>
          <w:rFonts w:cs="Arial"/>
        </w:rPr>
      </w:pPr>
    </w:p>
    <w:p w14:paraId="4838B8A5" w14:textId="65CA6371" w:rsidR="00FB0C16" w:rsidRPr="004A30A8" w:rsidRDefault="00A57425">
      <w:pPr>
        <w:numPr>
          <w:ilvl w:val="0"/>
          <w:numId w:val="7"/>
        </w:numPr>
        <w:tabs>
          <w:tab w:val="left" w:pos="567"/>
          <w:tab w:val="num" w:pos="1569"/>
          <w:tab w:val="num" w:pos="12305"/>
        </w:tabs>
        <w:spacing w:line="240" w:lineRule="auto"/>
        <w:ind w:left="0" w:firstLine="0"/>
        <w:rPr>
          <w:lang w:val="es-ES"/>
        </w:rPr>
      </w:pPr>
      <w:r w:rsidRPr="004A30A8">
        <w:t xml:space="preserve">La Corte considera, no obstante, que dicho plan de capacitación está </w:t>
      </w:r>
      <w:r w:rsidRPr="004A30A8">
        <w:rPr>
          <w:lang w:val="es-ES"/>
        </w:rPr>
        <w:t>enfocado</w:t>
      </w:r>
      <w:r w:rsidRPr="004A30A8">
        <w:t xml:space="preserve"> en casos de violencia </w:t>
      </w:r>
      <w:r w:rsidR="000D29FD" w:rsidRPr="004A30A8">
        <w:t xml:space="preserve">sexual y tortura </w:t>
      </w:r>
      <w:r w:rsidRPr="004A30A8">
        <w:t xml:space="preserve">dirigidos contra personas LGBTI, mientras que el </w:t>
      </w:r>
      <w:r w:rsidRPr="004A30A8">
        <w:rPr>
          <w:lang w:val="es-ES"/>
        </w:rPr>
        <w:t>presente</w:t>
      </w:r>
      <w:r w:rsidRPr="004A30A8">
        <w:t xml:space="preserve"> caso se relaciona con actos de discriminación sufridos por consumidores en el ámbito de la empresa privada. A raíz de lo anterior, la Corte considera pertinente ordenar al Estado</w:t>
      </w:r>
      <w:r w:rsidR="00154A01" w:rsidRPr="004A30A8">
        <w:t xml:space="preserve"> que</w:t>
      </w:r>
      <w:r w:rsidRPr="004A30A8">
        <w:t xml:space="preserve"> </w:t>
      </w:r>
      <w:r w:rsidRPr="004A30A8">
        <w:rPr>
          <w:lang w:val="es-ES"/>
        </w:rPr>
        <w:t>elabore, en el plazo de un año, un plan pedagógico integral en materia de diversidad sexual y de género</w:t>
      </w:r>
      <w:r w:rsidR="002D780B" w:rsidRPr="004A30A8">
        <w:rPr>
          <w:lang w:val="es-ES"/>
        </w:rPr>
        <w:t>,</w:t>
      </w:r>
      <w:r w:rsidRPr="004A30A8">
        <w:rPr>
          <w:lang w:val="es-ES"/>
        </w:rPr>
        <w:t xml:space="preserve"> igualdad y no discriminación, perspectiva de género y derechos humanos de las personas </w:t>
      </w:r>
      <w:r w:rsidR="00E7537C" w:rsidRPr="004A30A8">
        <w:rPr>
          <w:lang w:val="es-ES"/>
        </w:rPr>
        <w:t xml:space="preserve">LGBTIQ+ </w:t>
      </w:r>
      <w:r w:rsidR="002C27C6" w:rsidRPr="004A30A8">
        <w:rPr>
          <w:lang w:val="es-ES"/>
        </w:rPr>
        <w:t>en el ámbito de consumo</w:t>
      </w:r>
      <w:r w:rsidRPr="004A30A8">
        <w:rPr>
          <w:lang w:val="es-ES"/>
        </w:rPr>
        <w:t xml:space="preserve">, el cual deberá ser incorporado en los cursos de formación regular de autoridades administrativas y </w:t>
      </w:r>
      <w:r w:rsidR="00F55DED" w:rsidRPr="004A30A8">
        <w:rPr>
          <w:lang w:val="es-ES"/>
        </w:rPr>
        <w:lastRenderedPageBreak/>
        <w:t>judiciales</w:t>
      </w:r>
      <w:r w:rsidRPr="004A30A8">
        <w:rPr>
          <w:lang w:val="es-ES"/>
        </w:rPr>
        <w:t>, así como cualquier otro órgano que ejerza funciones relativas a velar por el cumplimiento de la normativa interna</w:t>
      </w:r>
      <w:r w:rsidR="00A54031" w:rsidRPr="004A30A8">
        <w:rPr>
          <w:lang w:val="es-ES"/>
        </w:rPr>
        <w:t xml:space="preserve"> en este ámbito</w:t>
      </w:r>
      <w:r w:rsidR="00FB0C16" w:rsidRPr="004A30A8">
        <w:rPr>
          <w:lang w:val="es-ES"/>
        </w:rPr>
        <w:t>. Asimismo, en el marco de dicho plan pedagógico, el Estado deberá elaborar</w:t>
      </w:r>
      <w:r w:rsidR="00A2377B" w:rsidRPr="004A30A8">
        <w:rPr>
          <w:lang w:val="es-ES"/>
        </w:rPr>
        <w:t>, en el plazo de un año,</w:t>
      </w:r>
      <w:r w:rsidR="00FB0C16" w:rsidRPr="004A30A8">
        <w:rPr>
          <w:lang w:val="es-ES"/>
        </w:rPr>
        <w:t xml:space="preserve"> un manual de razonamiento jurídico sobre los estándares interamericanos en casos de discriminación hacia personas </w:t>
      </w:r>
      <w:r w:rsidR="00C66EA7" w:rsidRPr="004A30A8">
        <w:rPr>
          <w:lang w:val="es-ES"/>
        </w:rPr>
        <w:t>LGBTIQ+</w:t>
      </w:r>
      <w:r w:rsidR="007469C6" w:rsidRPr="004A30A8">
        <w:rPr>
          <w:rStyle w:val="Refdenotaalpie"/>
        </w:rPr>
        <w:footnoteReference w:id="211"/>
      </w:r>
      <w:r w:rsidR="00FB0C16" w:rsidRPr="004A30A8">
        <w:rPr>
          <w:lang w:val="es-ES"/>
        </w:rPr>
        <w:t>.</w:t>
      </w:r>
      <w:r w:rsidR="00A2377B" w:rsidRPr="004A30A8">
        <w:t xml:space="preserve"> El Estado deberá presentar a la Corte un informe anual durante cinco años a partir de la implementación del plan pedagógico integral en el que indique las acciones que se han realizado para tal fin.</w:t>
      </w:r>
    </w:p>
    <w:p w14:paraId="3E508046" w14:textId="77777777" w:rsidR="00A57425" w:rsidRPr="004A30A8" w:rsidRDefault="00A57425" w:rsidP="00A57425">
      <w:pPr>
        <w:tabs>
          <w:tab w:val="left" w:pos="567"/>
          <w:tab w:val="num" w:pos="12305"/>
        </w:tabs>
        <w:spacing w:line="240" w:lineRule="auto"/>
        <w:rPr>
          <w:rFonts w:cs="Arial"/>
        </w:rPr>
      </w:pPr>
    </w:p>
    <w:p w14:paraId="75506412" w14:textId="0C6DDA2F" w:rsidR="00BB5CEA" w:rsidRPr="004A30A8" w:rsidRDefault="00C10911">
      <w:pPr>
        <w:numPr>
          <w:ilvl w:val="0"/>
          <w:numId w:val="7"/>
        </w:numPr>
        <w:tabs>
          <w:tab w:val="left" w:pos="567"/>
          <w:tab w:val="num" w:pos="1569"/>
          <w:tab w:val="num" w:pos="12305"/>
        </w:tabs>
        <w:spacing w:line="240" w:lineRule="auto"/>
        <w:ind w:left="0" w:firstLine="0"/>
        <w:rPr>
          <w:rFonts w:cs="Arial"/>
        </w:rPr>
      </w:pPr>
      <w:r w:rsidRPr="004A30A8">
        <w:rPr>
          <w:lang w:val="es-ES"/>
        </w:rPr>
        <w:t xml:space="preserve">En relación con la recomendación n.° 3 solicitada por la Comisión </w:t>
      </w:r>
      <w:r w:rsidR="00A2377B" w:rsidRPr="004A30A8">
        <w:rPr>
          <w:lang w:val="es-ES"/>
        </w:rPr>
        <w:t>(</w:t>
      </w:r>
      <w:r w:rsidR="00A2377B" w:rsidRPr="004A30A8">
        <w:rPr>
          <w:i/>
          <w:iCs/>
          <w:lang w:val="es-ES"/>
        </w:rPr>
        <w:t>supra</w:t>
      </w:r>
      <w:r w:rsidR="00A2377B" w:rsidRPr="004A30A8">
        <w:rPr>
          <w:lang w:val="es-ES"/>
        </w:rPr>
        <w:t xml:space="preserve"> párr. </w:t>
      </w:r>
      <w:r w:rsidR="00030CB8" w:rsidRPr="004A30A8">
        <w:rPr>
          <w:lang w:val="es-ES"/>
        </w:rPr>
        <w:t>148</w:t>
      </w:r>
      <w:r w:rsidR="00A2377B" w:rsidRPr="004A30A8">
        <w:rPr>
          <w:lang w:val="es-ES"/>
        </w:rPr>
        <w:t xml:space="preserve">) </w:t>
      </w:r>
      <w:r w:rsidRPr="004A30A8">
        <w:rPr>
          <w:lang w:val="es-ES"/>
        </w:rPr>
        <w:t>y la solicitud de reparación n.° 4 solicitada por los representantes</w:t>
      </w:r>
      <w:r w:rsidR="00A2377B" w:rsidRPr="004A30A8">
        <w:rPr>
          <w:lang w:val="es-ES"/>
        </w:rPr>
        <w:t xml:space="preserve"> (</w:t>
      </w:r>
      <w:r w:rsidR="00A2377B" w:rsidRPr="004A30A8">
        <w:rPr>
          <w:i/>
          <w:iCs/>
          <w:lang w:val="es-ES"/>
        </w:rPr>
        <w:t>supra</w:t>
      </w:r>
      <w:r w:rsidR="00A2377B" w:rsidRPr="004A30A8">
        <w:rPr>
          <w:lang w:val="es-ES"/>
        </w:rPr>
        <w:t xml:space="preserve"> párr. </w:t>
      </w:r>
      <w:r w:rsidR="00030CB8" w:rsidRPr="004A30A8">
        <w:rPr>
          <w:lang w:val="es-ES"/>
        </w:rPr>
        <w:t>149</w:t>
      </w:r>
      <w:r w:rsidR="00A2377B" w:rsidRPr="004A30A8">
        <w:rPr>
          <w:lang w:val="es-ES"/>
        </w:rPr>
        <w:t>)</w:t>
      </w:r>
      <w:r w:rsidR="001B564D" w:rsidRPr="004A30A8">
        <w:rPr>
          <w:lang w:val="es-ES"/>
        </w:rPr>
        <w:t xml:space="preserve">, la Corte considera que las medidas adoptadas por el Estado en materia de Derechos Humanos y empresas implican un avance progresivo en la incorporación de la debida diligencia de las empresas respecto a la garantía y respeto de los derechos de los consumidores. No obstante lo anterior, el Tribunal considera necesario adoptar medidas específicas en materia de igualdad y no discriminación de las personas </w:t>
      </w:r>
      <w:r w:rsidR="00E7537C" w:rsidRPr="004A30A8">
        <w:rPr>
          <w:lang w:val="es-ES"/>
        </w:rPr>
        <w:t xml:space="preserve">LGBTIQ+ </w:t>
      </w:r>
      <w:r w:rsidR="00765499" w:rsidRPr="004A30A8">
        <w:rPr>
          <w:lang w:val="es-ES"/>
        </w:rPr>
        <w:t xml:space="preserve">en el ámbito de las </w:t>
      </w:r>
      <w:r w:rsidR="00F5040C" w:rsidRPr="004A30A8">
        <w:rPr>
          <w:lang w:val="es-ES"/>
        </w:rPr>
        <w:t>relaciones entre consumidor y empresa privada</w:t>
      </w:r>
      <w:r w:rsidR="001B564D" w:rsidRPr="004A30A8">
        <w:rPr>
          <w:lang w:val="es-ES"/>
        </w:rPr>
        <w:t xml:space="preserve">. </w:t>
      </w:r>
      <w:r w:rsidR="008C0720" w:rsidRPr="004A30A8">
        <w:rPr>
          <w:rFonts w:cs="Arial"/>
        </w:rPr>
        <w:t xml:space="preserve">Para ello, el Estado deberá diseñar e implementar, en el plazo de </w:t>
      </w:r>
      <w:r w:rsidR="00F23AE0" w:rsidRPr="004A30A8">
        <w:rPr>
          <w:rFonts w:cs="Arial"/>
        </w:rPr>
        <w:t>dos</w:t>
      </w:r>
      <w:r w:rsidR="00DE72BF" w:rsidRPr="004A30A8">
        <w:rPr>
          <w:rFonts w:cs="Arial"/>
        </w:rPr>
        <w:t xml:space="preserve"> años</w:t>
      </w:r>
      <w:r w:rsidR="00F23AE0" w:rsidRPr="004A30A8">
        <w:rPr>
          <w:rFonts w:cs="Arial"/>
        </w:rPr>
        <w:t xml:space="preserve"> </w:t>
      </w:r>
      <w:r w:rsidR="008C0720" w:rsidRPr="004A30A8">
        <w:rPr>
          <w:rFonts w:cs="Arial"/>
        </w:rPr>
        <w:t xml:space="preserve">a partir de la notificación de la presente Sentencia, una política pública </w:t>
      </w:r>
      <w:r w:rsidR="008C0720" w:rsidRPr="004A30A8">
        <w:t xml:space="preserve">con el objetivo de </w:t>
      </w:r>
      <w:r w:rsidR="00163FC9" w:rsidRPr="004A30A8">
        <w:t>monitorear y fiscalizar que las empresas cumplan</w:t>
      </w:r>
      <w:r w:rsidR="008C0720" w:rsidRPr="004A30A8">
        <w:t xml:space="preserve"> con </w:t>
      </w:r>
      <w:r w:rsidR="00765499" w:rsidRPr="004A30A8">
        <w:t xml:space="preserve">la legislación nacional, así como con </w:t>
      </w:r>
      <w:r w:rsidR="008C0720" w:rsidRPr="004A30A8">
        <w:t xml:space="preserve">los estándares interamericanos sobre igualdad y no discriminación de las personas </w:t>
      </w:r>
      <w:r w:rsidR="00E7537C" w:rsidRPr="004A30A8">
        <w:rPr>
          <w:lang w:val="es-ES"/>
        </w:rPr>
        <w:t>LGBTIQ+</w:t>
      </w:r>
      <w:r w:rsidR="008C0720" w:rsidRPr="004A30A8">
        <w:rPr>
          <w:rFonts w:cs="Arial"/>
        </w:rPr>
        <w:t xml:space="preserve">. </w:t>
      </w:r>
      <w:r w:rsidR="00DF6F23" w:rsidRPr="004A30A8">
        <w:t>Como parte de esta política pública, el Estado debe requerir a las empresas capacitar a sus trabajadores</w:t>
      </w:r>
      <w:r w:rsidR="00D044D6" w:rsidRPr="004A30A8">
        <w:t>, trabajadoras</w:t>
      </w:r>
      <w:r w:rsidR="00DF6F23" w:rsidRPr="004A30A8">
        <w:t xml:space="preserve"> y colaboradores (incluyendo el personal de seguridad) en el respeto a los consumidores </w:t>
      </w:r>
      <w:r w:rsidR="00C66EA7" w:rsidRPr="004A30A8">
        <w:rPr>
          <w:lang w:val="es-ES"/>
        </w:rPr>
        <w:t>LGBTIQ+</w:t>
      </w:r>
      <w:r w:rsidR="00DF6F23" w:rsidRPr="004A30A8">
        <w:t xml:space="preserve">. </w:t>
      </w:r>
      <w:r w:rsidR="00A2377B" w:rsidRPr="004A30A8">
        <w:t xml:space="preserve">El Estado deberá presentar a la Corte un informe anual durante cinco años a partir de la implementación </w:t>
      </w:r>
      <w:r w:rsidR="00A4547B">
        <w:t>de</w:t>
      </w:r>
      <w:r w:rsidR="00A2377B" w:rsidRPr="004A30A8">
        <w:t xml:space="preserve"> la política pública, en el que indique las acciones que se han realizado para tal fin.</w:t>
      </w:r>
    </w:p>
    <w:p w14:paraId="45F8421F" w14:textId="77777777" w:rsidR="00DF6F23" w:rsidRPr="004A30A8" w:rsidRDefault="00DF6F23" w:rsidP="00DF6F23">
      <w:pPr>
        <w:tabs>
          <w:tab w:val="left" w:pos="567"/>
        </w:tabs>
        <w:spacing w:line="240" w:lineRule="auto"/>
      </w:pPr>
    </w:p>
    <w:p w14:paraId="6342AB54" w14:textId="623E5805" w:rsidR="00FB0C16" w:rsidRPr="004A30A8" w:rsidRDefault="00FB0C16">
      <w:pPr>
        <w:numPr>
          <w:ilvl w:val="0"/>
          <w:numId w:val="7"/>
        </w:numPr>
        <w:tabs>
          <w:tab w:val="left" w:pos="567"/>
          <w:tab w:val="num" w:pos="1569"/>
          <w:tab w:val="num" w:pos="12305"/>
        </w:tabs>
        <w:spacing w:line="240" w:lineRule="auto"/>
        <w:ind w:left="0" w:firstLine="0"/>
      </w:pPr>
      <w:r w:rsidRPr="004A30A8">
        <w:rPr>
          <w:lang w:val="es-ES"/>
        </w:rPr>
        <w:t xml:space="preserve">En relación con la recomendación n.° 4 solicitada por la Comisión </w:t>
      </w:r>
      <w:r w:rsidR="00A2377B" w:rsidRPr="004A30A8">
        <w:rPr>
          <w:lang w:val="es-ES"/>
        </w:rPr>
        <w:t>(</w:t>
      </w:r>
      <w:r w:rsidR="00A2377B" w:rsidRPr="004A30A8">
        <w:rPr>
          <w:i/>
          <w:iCs/>
          <w:lang w:val="es-ES"/>
        </w:rPr>
        <w:t>supra</w:t>
      </w:r>
      <w:r w:rsidR="00A2377B" w:rsidRPr="004A30A8">
        <w:rPr>
          <w:lang w:val="es-ES"/>
        </w:rPr>
        <w:t xml:space="preserve"> párr. </w:t>
      </w:r>
      <w:r w:rsidR="00030CB8" w:rsidRPr="004A30A8">
        <w:rPr>
          <w:lang w:val="es-ES"/>
        </w:rPr>
        <w:t>148</w:t>
      </w:r>
      <w:r w:rsidR="00A2377B" w:rsidRPr="004A30A8">
        <w:rPr>
          <w:lang w:val="es-ES"/>
        </w:rPr>
        <w:t xml:space="preserve">) </w:t>
      </w:r>
      <w:r w:rsidRPr="004A30A8">
        <w:rPr>
          <w:lang w:val="es-ES"/>
        </w:rPr>
        <w:t>y la solicitud de reparación n.° 9 solicitada por los representantes</w:t>
      </w:r>
      <w:r w:rsidR="00A2377B" w:rsidRPr="004A30A8">
        <w:rPr>
          <w:lang w:val="es-ES"/>
        </w:rPr>
        <w:t xml:space="preserve"> (</w:t>
      </w:r>
      <w:r w:rsidR="00A2377B" w:rsidRPr="004A30A8">
        <w:rPr>
          <w:i/>
          <w:iCs/>
          <w:lang w:val="es-ES"/>
        </w:rPr>
        <w:t>supra</w:t>
      </w:r>
      <w:r w:rsidR="00A2377B" w:rsidRPr="004A30A8">
        <w:rPr>
          <w:lang w:val="es-ES"/>
        </w:rPr>
        <w:t xml:space="preserve"> párr. </w:t>
      </w:r>
      <w:r w:rsidR="00030CB8" w:rsidRPr="004A30A8">
        <w:rPr>
          <w:lang w:val="es-ES"/>
        </w:rPr>
        <w:t>149</w:t>
      </w:r>
      <w:r w:rsidR="00A2377B" w:rsidRPr="004A30A8">
        <w:rPr>
          <w:lang w:val="es-ES"/>
        </w:rPr>
        <w:t>)</w:t>
      </w:r>
      <w:r w:rsidRPr="004A30A8">
        <w:rPr>
          <w:lang w:val="es-ES"/>
        </w:rPr>
        <w:t xml:space="preserve">, la Corte valora positivamente todas las </w:t>
      </w:r>
      <w:r w:rsidRPr="004A30A8">
        <w:t>medidas adoptadas hasta la fecha por el Estado para impulsar la ratificación de la Convención Interamericana contra toda forma de discriminación e intolerancia, encontrándose actualmente pendiente el trámite de aprobación de la suscripción de dicho tratado por parte del Congreso, todo ello con arreglo al ordenamiento jurídico peruano. En vista de lo anterior, el Tribunal no considera necesario ordenar la referida medida de reparación.</w:t>
      </w:r>
    </w:p>
    <w:p w14:paraId="297CD0D0" w14:textId="77777777" w:rsidR="00F478F0" w:rsidRPr="004A30A8" w:rsidRDefault="00F478F0" w:rsidP="00F478F0">
      <w:pPr>
        <w:tabs>
          <w:tab w:val="left" w:pos="567"/>
        </w:tabs>
        <w:spacing w:line="240" w:lineRule="auto"/>
        <w:rPr>
          <w:rFonts w:cs="Arial"/>
        </w:rPr>
      </w:pPr>
    </w:p>
    <w:p w14:paraId="3D1E2631" w14:textId="4BFE9FEA" w:rsidR="00765499" w:rsidRPr="004A30A8" w:rsidRDefault="00FB0C16">
      <w:pPr>
        <w:numPr>
          <w:ilvl w:val="0"/>
          <w:numId w:val="7"/>
        </w:numPr>
        <w:tabs>
          <w:tab w:val="left" w:pos="567"/>
          <w:tab w:val="num" w:pos="1569"/>
          <w:tab w:val="num" w:pos="12305"/>
        </w:tabs>
        <w:spacing w:line="240" w:lineRule="auto"/>
        <w:ind w:left="0" w:firstLine="0"/>
        <w:rPr>
          <w:rFonts w:cs="Arial"/>
        </w:rPr>
      </w:pPr>
      <w:r w:rsidRPr="004A30A8">
        <w:rPr>
          <w:lang w:val="es-ES"/>
        </w:rPr>
        <w:t>En relación con la solicitud de reparación n.° 3 solicitada por los representantes</w:t>
      </w:r>
      <w:r w:rsidR="00A2377B" w:rsidRPr="004A30A8">
        <w:rPr>
          <w:lang w:val="es-ES"/>
        </w:rPr>
        <w:t xml:space="preserve"> (</w:t>
      </w:r>
      <w:r w:rsidR="00A2377B" w:rsidRPr="004A30A8">
        <w:rPr>
          <w:i/>
          <w:iCs/>
          <w:lang w:val="es-ES"/>
        </w:rPr>
        <w:t>supra</w:t>
      </w:r>
      <w:r w:rsidR="00A2377B" w:rsidRPr="004A30A8">
        <w:rPr>
          <w:lang w:val="es-ES"/>
        </w:rPr>
        <w:t xml:space="preserve"> párr. </w:t>
      </w:r>
      <w:r w:rsidR="00030CB8" w:rsidRPr="004A30A8">
        <w:rPr>
          <w:lang w:val="es-ES"/>
        </w:rPr>
        <w:t>149</w:t>
      </w:r>
      <w:r w:rsidR="0031387A" w:rsidRPr="004A30A8">
        <w:rPr>
          <w:lang w:val="es-ES"/>
        </w:rPr>
        <w:t>)</w:t>
      </w:r>
      <w:r w:rsidRPr="004A30A8">
        <w:rPr>
          <w:lang w:val="es-ES"/>
        </w:rPr>
        <w:t xml:space="preserve"> </w:t>
      </w:r>
      <w:r w:rsidR="00A2377B" w:rsidRPr="004A30A8">
        <w:rPr>
          <w:lang w:val="es-ES"/>
        </w:rPr>
        <w:t xml:space="preserve">el Tribunal considera que </w:t>
      </w:r>
      <w:r w:rsidR="00A2377B" w:rsidRPr="004A30A8">
        <w:t xml:space="preserve">la emisión de la presente Sentencia, así como las demás medidas ordenadas, resultan suficientes y adecuadas para remediar las violaciones sufridas por la víctima y no estima necesario ordenar esta medida </w:t>
      </w:r>
      <w:r w:rsidR="00DF6F23" w:rsidRPr="004A30A8">
        <w:t>de reparación</w:t>
      </w:r>
      <w:r w:rsidR="00A2377B" w:rsidRPr="004A30A8">
        <w:t>.</w:t>
      </w:r>
    </w:p>
    <w:p w14:paraId="4A484AEE" w14:textId="77777777" w:rsidR="00F478F0" w:rsidRPr="004A30A8" w:rsidRDefault="00F478F0" w:rsidP="00F478F0">
      <w:pPr>
        <w:tabs>
          <w:tab w:val="left" w:pos="567"/>
        </w:tabs>
        <w:spacing w:line="240" w:lineRule="auto"/>
        <w:rPr>
          <w:rFonts w:cs="Arial"/>
        </w:rPr>
      </w:pPr>
    </w:p>
    <w:p w14:paraId="576E92F5" w14:textId="5467CD7E" w:rsidR="00A2377B" w:rsidRPr="004A30A8" w:rsidRDefault="00A2377B">
      <w:pPr>
        <w:numPr>
          <w:ilvl w:val="0"/>
          <w:numId w:val="7"/>
        </w:numPr>
        <w:tabs>
          <w:tab w:val="left" w:pos="567"/>
          <w:tab w:val="num" w:pos="1569"/>
          <w:tab w:val="num" w:pos="12305"/>
        </w:tabs>
        <w:spacing w:line="240" w:lineRule="auto"/>
        <w:ind w:left="0" w:firstLine="0"/>
        <w:rPr>
          <w:rFonts w:cs="Arial"/>
        </w:rPr>
      </w:pPr>
      <w:r w:rsidRPr="004A30A8">
        <w:rPr>
          <w:rFonts w:cs="Arial"/>
        </w:rPr>
        <w:t xml:space="preserve">En relación </w:t>
      </w:r>
      <w:r w:rsidRPr="004A30A8">
        <w:rPr>
          <w:lang w:val="es-ES"/>
        </w:rPr>
        <w:t>con la solicitud de reparación n.° 6 solicitada por los representantes (</w:t>
      </w:r>
      <w:r w:rsidRPr="004A30A8">
        <w:rPr>
          <w:i/>
          <w:iCs/>
          <w:lang w:val="es-ES"/>
        </w:rPr>
        <w:t>supra</w:t>
      </w:r>
      <w:r w:rsidRPr="004A30A8">
        <w:rPr>
          <w:lang w:val="es-ES"/>
        </w:rPr>
        <w:t xml:space="preserve"> párr. </w:t>
      </w:r>
      <w:r w:rsidR="00030CB8" w:rsidRPr="004A30A8">
        <w:rPr>
          <w:lang w:val="es-ES"/>
        </w:rPr>
        <w:t>149</w:t>
      </w:r>
      <w:r w:rsidRPr="004A30A8">
        <w:rPr>
          <w:lang w:val="es-ES"/>
        </w:rPr>
        <w:t xml:space="preserve">), la Corte advierte que, en el </w:t>
      </w:r>
      <w:r w:rsidRPr="004A30A8">
        <w:rPr>
          <w:i/>
          <w:iCs/>
          <w:lang w:val="es-ES"/>
        </w:rPr>
        <w:t xml:space="preserve">caso </w:t>
      </w:r>
      <w:r w:rsidRPr="004A30A8">
        <w:rPr>
          <w:i/>
          <w:iCs/>
        </w:rPr>
        <w:t xml:space="preserve">Azul Rojas Marín y otra Vs. Perú </w:t>
      </w:r>
      <w:r w:rsidRPr="004A30A8">
        <w:t xml:space="preserve">ordenó al Estado de Perú diseñar e implementar “un sistema de recopilación de datos y cifras vinculadas a los casos de violencia contra las personas LGBTI, con el fin de evaluar con precisión y de manera uniforme el tipo, la prevalencia, las tendencias y las pautas </w:t>
      </w:r>
      <w:r w:rsidRPr="004A30A8">
        <w:lastRenderedPageBreak/>
        <w:t>de la violencia y la discriminación contra las personas LGBTI, desglosando los datos por comunidades, la raza, el origen étnico, la religión o las creencias, el estado de salud, la edad, y la clase o la situación migratoria o económica”</w:t>
      </w:r>
      <w:r w:rsidRPr="004A30A8">
        <w:rPr>
          <w:rStyle w:val="Refdenotaalpie"/>
        </w:rPr>
        <w:footnoteReference w:id="212"/>
      </w:r>
      <w:r w:rsidRPr="004A30A8">
        <w:t>. La Corte considera, por tanto, que no es necesario reiterar a Perú esta medida de reparación, toda vez que el cumplimiento de la misma está siendo en la actualidad analizado por parte de la Corte en la etapa supervisión de cumplimiento correspondiente.</w:t>
      </w:r>
    </w:p>
    <w:p w14:paraId="21BAFB39" w14:textId="48502F0B" w:rsidR="00BB5CEA" w:rsidRPr="004A30A8" w:rsidRDefault="00BB5CEA" w:rsidP="009A5D6D">
      <w:pPr>
        <w:tabs>
          <w:tab w:val="left" w:pos="567"/>
        </w:tabs>
        <w:spacing w:line="240" w:lineRule="auto"/>
        <w:rPr>
          <w:lang w:val="es-ES"/>
        </w:rPr>
      </w:pPr>
    </w:p>
    <w:p w14:paraId="0CB98419" w14:textId="5BC68D5D" w:rsidR="001A621C" w:rsidRPr="004A30A8" w:rsidRDefault="001A621C">
      <w:pPr>
        <w:numPr>
          <w:ilvl w:val="0"/>
          <w:numId w:val="7"/>
        </w:numPr>
        <w:tabs>
          <w:tab w:val="left" w:pos="567"/>
          <w:tab w:val="num" w:pos="1569"/>
          <w:tab w:val="num" w:pos="12305"/>
        </w:tabs>
        <w:spacing w:line="240" w:lineRule="auto"/>
        <w:ind w:left="0" w:firstLine="0"/>
        <w:rPr>
          <w:lang w:val="es-ES"/>
        </w:rPr>
      </w:pPr>
      <w:r w:rsidRPr="004A30A8">
        <w:t xml:space="preserve">Adicionalmente, respecto a las medidas </w:t>
      </w:r>
      <w:r w:rsidR="00D044D6" w:rsidRPr="004A30A8">
        <w:rPr>
          <w:lang w:val="es-ES"/>
        </w:rPr>
        <w:t xml:space="preserve">n.° </w:t>
      </w:r>
      <w:r w:rsidR="009A5D6D" w:rsidRPr="004A30A8">
        <w:t>7, 8, 10 y 11</w:t>
      </w:r>
      <w:r w:rsidRPr="004A30A8">
        <w:t xml:space="preserve"> solicitadas por los representantes</w:t>
      </w:r>
      <w:r w:rsidR="00A2377B" w:rsidRPr="004A30A8">
        <w:t xml:space="preserve"> </w:t>
      </w:r>
      <w:r w:rsidR="00A2377B" w:rsidRPr="004A30A8">
        <w:rPr>
          <w:lang w:val="es-ES"/>
        </w:rPr>
        <w:t>(</w:t>
      </w:r>
      <w:r w:rsidR="00A2377B" w:rsidRPr="004A30A8">
        <w:rPr>
          <w:i/>
          <w:iCs/>
          <w:lang w:val="es-ES"/>
        </w:rPr>
        <w:t>supra</w:t>
      </w:r>
      <w:r w:rsidR="00A2377B" w:rsidRPr="004A30A8">
        <w:rPr>
          <w:lang w:val="es-ES"/>
        </w:rPr>
        <w:t xml:space="preserve"> párr. </w:t>
      </w:r>
      <w:r w:rsidR="00030CB8" w:rsidRPr="004A30A8">
        <w:rPr>
          <w:lang w:val="es-ES"/>
        </w:rPr>
        <w:t>149</w:t>
      </w:r>
      <w:r w:rsidR="00A2377B" w:rsidRPr="004A30A8">
        <w:rPr>
          <w:lang w:val="es-ES"/>
        </w:rPr>
        <w:t>)</w:t>
      </w:r>
      <w:r w:rsidRPr="004A30A8">
        <w:t xml:space="preserve">, la Corte observa que no existe nexo causal entre las violaciones declaradas y </w:t>
      </w:r>
      <w:r w:rsidR="009A5D6D" w:rsidRPr="004A30A8">
        <w:t>dichas reparaciones, por lo que no es procedente ordenar su adopción</w:t>
      </w:r>
      <w:r w:rsidRPr="004A30A8">
        <w:t>.</w:t>
      </w:r>
    </w:p>
    <w:p w14:paraId="417D2ED2" w14:textId="77777777" w:rsidR="00804223" w:rsidRPr="004A30A8" w:rsidRDefault="00804223" w:rsidP="00804223">
      <w:pPr>
        <w:tabs>
          <w:tab w:val="left" w:pos="567"/>
        </w:tabs>
        <w:spacing w:line="240" w:lineRule="auto"/>
        <w:rPr>
          <w:lang w:val="es-ES"/>
        </w:rPr>
      </w:pPr>
    </w:p>
    <w:p w14:paraId="42801863" w14:textId="7B9FC2E6" w:rsidR="00A608D2" w:rsidRPr="004A30A8" w:rsidRDefault="009720C4" w:rsidP="00804223">
      <w:pPr>
        <w:numPr>
          <w:ilvl w:val="0"/>
          <w:numId w:val="7"/>
        </w:numPr>
        <w:tabs>
          <w:tab w:val="left" w:pos="567"/>
          <w:tab w:val="num" w:pos="1569"/>
          <w:tab w:val="num" w:pos="12305"/>
        </w:tabs>
        <w:spacing w:line="240" w:lineRule="auto"/>
        <w:ind w:left="0" w:firstLine="0"/>
        <w:rPr>
          <w:lang w:val="es-ES"/>
        </w:rPr>
      </w:pPr>
      <w:r w:rsidRPr="004A30A8">
        <w:t xml:space="preserve">Por último, en relación con las </w:t>
      </w:r>
      <w:r w:rsidR="00DF6F23" w:rsidRPr="004A30A8">
        <w:t xml:space="preserve">siete </w:t>
      </w:r>
      <w:r w:rsidRPr="004A30A8">
        <w:t>medidas de reparación adicionales solicitadas por los representantes en los alegatos finales escritos</w:t>
      </w:r>
      <w:r w:rsidR="00DF6F23" w:rsidRPr="004A30A8">
        <w:t xml:space="preserve"> (</w:t>
      </w:r>
      <w:r w:rsidR="00DF6F23" w:rsidRPr="004A30A8">
        <w:rPr>
          <w:i/>
          <w:iCs/>
        </w:rPr>
        <w:t>supra</w:t>
      </w:r>
      <w:r w:rsidR="00DF6F23" w:rsidRPr="004A30A8">
        <w:t xml:space="preserve"> párr. </w:t>
      </w:r>
      <w:r w:rsidR="00030CB8" w:rsidRPr="004A30A8">
        <w:t>150</w:t>
      </w:r>
      <w:r w:rsidR="00DF6F23" w:rsidRPr="004A30A8">
        <w:t>)</w:t>
      </w:r>
      <w:r w:rsidRPr="004A30A8">
        <w:t xml:space="preserve">, </w:t>
      </w:r>
      <w:r w:rsidR="00E8269E" w:rsidRPr="004A30A8">
        <w:t>la Corte considera</w:t>
      </w:r>
      <w:r w:rsidR="00635C11" w:rsidRPr="004A30A8">
        <w:t>, como ha hecho en otros casos</w:t>
      </w:r>
      <w:r w:rsidR="00635C11" w:rsidRPr="004A30A8">
        <w:rPr>
          <w:vertAlign w:val="superscript"/>
          <w:lang w:val="en-US"/>
        </w:rPr>
        <w:footnoteReference w:id="213"/>
      </w:r>
      <w:r w:rsidR="00635C11" w:rsidRPr="004A30A8">
        <w:t xml:space="preserve">, </w:t>
      </w:r>
      <w:r w:rsidR="00E8269E" w:rsidRPr="004A30A8">
        <w:t xml:space="preserve">que no corresponde dar lugar a estas solicitudes, </w:t>
      </w:r>
      <w:r w:rsidR="00F5040C" w:rsidRPr="004A30A8">
        <w:t>toda vez</w:t>
      </w:r>
      <w:r w:rsidR="00E8269E" w:rsidRPr="004A30A8">
        <w:t xml:space="preserve"> que fueron presentadas de forma extemporánea.</w:t>
      </w:r>
    </w:p>
    <w:p w14:paraId="6221ED25" w14:textId="7B5AB45A" w:rsidR="00EC5644" w:rsidRPr="004A30A8" w:rsidRDefault="005D2972" w:rsidP="00804223">
      <w:pPr>
        <w:pStyle w:val="Ttulo2"/>
        <w:spacing w:before="360" w:after="360"/>
        <w:ind w:left="924" w:hanging="357"/>
      </w:pPr>
      <w:bookmarkStart w:id="61" w:name="_Toc129887123"/>
      <w:r w:rsidRPr="004A30A8">
        <w:t>E</w:t>
      </w:r>
      <w:r w:rsidR="003023B0" w:rsidRPr="004A30A8">
        <w:t xml:space="preserve">. </w:t>
      </w:r>
      <w:r w:rsidR="006D7B7D" w:rsidRPr="004A30A8">
        <w:t>Indemnizaciones compensatorias</w:t>
      </w:r>
      <w:bookmarkEnd w:id="61"/>
    </w:p>
    <w:p w14:paraId="589E1ACA" w14:textId="66FEA6A1" w:rsidR="00EC5644" w:rsidRPr="004A30A8" w:rsidRDefault="00EC5644">
      <w:pPr>
        <w:numPr>
          <w:ilvl w:val="0"/>
          <w:numId w:val="7"/>
        </w:numPr>
        <w:tabs>
          <w:tab w:val="left" w:pos="567"/>
          <w:tab w:val="num" w:pos="1569"/>
          <w:tab w:val="num" w:pos="12305"/>
        </w:tabs>
        <w:spacing w:line="240" w:lineRule="auto"/>
        <w:ind w:left="0" w:firstLine="0"/>
      </w:pPr>
      <w:r w:rsidRPr="004A30A8">
        <w:t>La</w:t>
      </w:r>
      <w:r w:rsidRPr="004A30A8">
        <w:rPr>
          <w:rFonts w:cs="Arial"/>
        </w:rPr>
        <w:t xml:space="preserve"> </w:t>
      </w:r>
      <w:r w:rsidRPr="004A30A8">
        <w:rPr>
          <w:rFonts w:cs="Arial"/>
          <w:b/>
          <w:i/>
        </w:rPr>
        <w:t xml:space="preserve">Comisión </w:t>
      </w:r>
      <w:r w:rsidRPr="004A30A8">
        <w:rPr>
          <w:rFonts w:cs="Arial"/>
        </w:rPr>
        <w:t xml:space="preserve">solicitó, en términos generales, que se reparara </w:t>
      </w:r>
      <w:r w:rsidR="00124848" w:rsidRPr="004A30A8">
        <w:rPr>
          <w:rFonts w:cs="Arial"/>
        </w:rPr>
        <w:t>“</w:t>
      </w:r>
      <w:r w:rsidRPr="004A30A8">
        <w:rPr>
          <w:rFonts w:cs="Arial"/>
        </w:rPr>
        <w:t>integralmente</w:t>
      </w:r>
      <w:r w:rsidR="00124848" w:rsidRPr="004A30A8">
        <w:rPr>
          <w:rFonts w:cs="Arial"/>
        </w:rPr>
        <w:t>”</w:t>
      </w:r>
      <w:r w:rsidRPr="004A30A8">
        <w:rPr>
          <w:rFonts w:cs="Arial"/>
        </w:rPr>
        <w:t xml:space="preserve"> las violaciones de derechos </w:t>
      </w:r>
      <w:r w:rsidRPr="004A30A8">
        <w:t>humanos</w:t>
      </w:r>
      <w:r w:rsidRPr="004A30A8">
        <w:rPr>
          <w:rFonts w:cs="Arial"/>
        </w:rPr>
        <w:t xml:space="preserve"> declaradas en el Informe de Fondo. </w:t>
      </w:r>
    </w:p>
    <w:p w14:paraId="447699FD" w14:textId="77777777" w:rsidR="00EC5644" w:rsidRPr="004A30A8" w:rsidRDefault="00EC5644" w:rsidP="00EC5644">
      <w:pPr>
        <w:tabs>
          <w:tab w:val="left" w:pos="567"/>
        </w:tabs>
        <w:spacing w:line="240" w:lineRule="auto"/>
      </w:pPr>
    </w:p>
    <w:p w14:paraId="14FE5A40" w14:textId="524B6C4B" w:rsidR="00EC5644" w:rsidRPr="004A30A8" w:rsidRDefault="00EC5644">
      <w:pPr>
        <w:numPr>
          <w:ilvl w:val="0"/>
          <w:numId w:val="7"/>
        </w:numPr>
        <w:tabs>
          <w:tab w:val="left" w:pos="567"/>
          <w:tab w:val="num" w:pos="1569"/>
          <w:tab w:val="num" w:pos="12305"/>
        </w:tabs>
        <w:spacing w:line="240" w:lineRule="auto"/>
        <w:ind w:left="0" w:firstLine="0"/>
      </w:pPr>
      <w:r w:rsidRPr="004A30A8">
        <w:rPr>
          <w:rFonts w:cs="Arial"/>
        </w:rPr>
        <w:t xml:space="preserve">Los </w:t>
      </w:r>
      <w:r w:rsidRPr="004A30A8">
        <w:rPr>
          <w:rFonts w:cs="Arial"/>
          <w:b/>
          <w:i/>
        </w:rPr>
        <w:t>representantes</w:t>
      </w:r>
      <w:r w:rsidRPr="004A30A8">
        <w:rPr>
          <w:rFonts w:cs="Arial"/>
        </w:rPr>
        <w:t xml:space="preserve"> </w:t>
      </w:r>
      <w:r w:rsidRPr="004A30A8">
        <w:t>solicitaron</w:t>
      </w:r>
      <w:r w:rsidRPr="004A30A8">
        <w:rPr>
          <w:rFonts w:cs="Arial"/>
        </w:rPr>
        <w:t xml:space="preserve"> que la Corte otorgue una suma de </w:t>
      </w:r>
      <w:r w:rsidR="0041662E" w:rsidRPr="004A30A8">
        <w:rPr>
          <w:rFonts w:cs="Arial"/>
        </w:rPr>
        <w:t xml:space="preserve">USD$ </w:t>
      </w:r>
      <w:r w:rsidRPr="004A30A8">
        <w:rPr>
          <w:rFonts w:cs="Arial"/>
        </w:rPr>
        <w:t xml:space="preserve">75,000.00 por el daño </w:t>
      </w:r>
      <w:r w:rsidRPr="004A30A8">
        <w:rPr>
          <w:lang w:val="es-ES"/>
        </w:rPr>
        <w:t>moral</w:t>
      </w:r>
      <w:r w:rsidRPr="004A30A8">
        <w:rPr>
          <w:rFonts w:cs="Arial"/>
          <w:i/>
          <w:iCs/>
        </w:rPr>
        <w:t xml:space="preserve"> </w:t>
      </w:r>
      <w:r w:rsidRPr="004A30A8">
        <w:rPr>
          <w:rFonts w:cs="Arial"/>
        </w:rPr>
        <w:t>ocasionado por las autoridades peruanas al convalidar el trato discriminatorio que recibió Olivera Fuentes por demostrar afecto a su pareja públicamente, y por las dolencias físicas y psicológicas derivadas de la denegación de justicia durante 17 años.</w:t>
      </w:r>
      <w:r w:rsidRPr="004A30A8">
        <w:rPr>
          <w:rFonts w:cs="Arial"/>
          <w:b/>
        </w:rPr>
        <w:t xml:space="preserve"> </w:t>
      </w:r>
    </w:p>
    <w:p w14:paraId="7CD90CD5" w14:textId="77777777" w:rsidR="00EC5644" w:rsidRPr="004A30A8" w:rsidRDefault="00EC5644" w:rsidP="00EC5644">
      <w:pPr>
        <w:tabs>
          <w:tab w:val="left" w:pos="567"/>
        </w:tabs>
        <w:spacing w:line="240" w:lineRule="auto"/>
      </w:pPr>
    </w:p>
    <w:p w14:paraId="3C34560C" w14:textId="3286521D" w:rsidR="00911095" w:rsidRPr="004A30A8" w:rsidRDefault="00EC5644">
      <w:pPr>
        <w:numPr>
          <w:ilvl w:val="0"/>
          <w:numId w:val="7"/>
        </w:numPr>
        <w:tabs>
          <w:tab w:val="left" w:pos="567"/>
          <w:tab w:val="num" w:pos="1569"/>
          <w:tab w:val="num" w:pos="12305"/>
        </w:tabs>
        <w:spacing w:line="240" w:lineRule="auto"/>
        <w:ind w:left="0" w:firstLine="0"/>
      </w:pPr>
      <w:r w:rsidRPr="004A30A8">
        <w:rPr>
          <w:rFonts w:cs="Arial"/>
          <w:lang w:val="es-ES"/>
        </w:rPr>
        <w:t xml:space="preserve">El </w:t>
      </w:r>
      <w:r w:rsidRPr="004A30A8">
        <w:rPr>
          <w:rFonts w:cs="Arial"/>
          <w:b/>
          <w:i/>
          <w:lang w:val="es-ES"/>
        </w:rPr>
        <w:t>Estado</w:t>
      </w:r>
      <w:r w:rsidRPr="004A30A8">
        <w:rPr>
          <w:rFonts w:cs="Arial"/>
          <w:lang w:val="es-ES"/>
        </w:rPr>
        <w:t xml:space="preserve"> argumentó que no </w:t>
      </w:r>
      <w:r w:rsidR="00124848" w:rsidRPr="004A30A8">
        <w:t xml:space="preserve">se apreciaba sustento alguno </w:t>
      </w:r>
      <w:r w:rsidRPr="004A30A8">
        <w:rPr>
          <w:rFonts w:cs="Arial"/>
          <w:lang w:val="es-ES"/>
        </w:rPr>
        <w:t xml:space="preserve">que </w:t>
      </w:r>
      <w:r w:rsidR="00124848" w:rsidRPr="004A30A8">
        <w:rPr>
          <w:rFonts w:cs="Arial"/>
          <w:lang w:val="es-ES"/>
        </w:rPr>
        <w:t>justificara la cuantía reclamada por los representantes</w:t>
      </w:r>
      <w:r w:rsidRPr="004A30A8">
        <w:rPr>
          <w:rFonts w:cs="Arial"/>
          <w:lang w:val="es-ES"/>
        </w:rPr>
        <w:t xml:space="preserve">. </w:t>
      </w:r>
    </w:p>
    <w:p w14:paraId="5298CAE7" w14:textId="77777777" w:rsidR="008B0EB9" w:rsidRPr="004A30A8" w:rsidRDefault="008B0EB9" w:rsidP="008B0EB9">
      <w:pPr>
        <w:tabs>
          <w:tab w:val="left" w:pos="567"/>
        </w:tabs>
        <w:spacing w:line="240" w:lineRule="auto"/>
      </w:pPr>
    </w:p>
    <w:p w14:paraId="45410BEE" w14:textId="386C6251" w:rsidR="007312D4" w:rsidRPr="004A30A8" w:rsidRDefault="007312D4" w:rsidP="00804223">
      <w:pPr>
        <w:numPr>
          <w:ilvl w:val="0"/>
          <w:numId w:val="7"/>
        </w:numPr>
        <w:tabs>
          <w:tab w:val="left" w:pos="567"/>
        </w:tabs>
        <w:spacing w:line="240" w:lineRule="auto"/>
        <w:ind w:left="0" w:firstLine="0"/>
        <w:rPr>
          <w:rFonts w:eastAsia="Calibri"/>
          <w:b/>
          <w:i/>
          <w:lang w:val="es-ES"/>
        </w:rPr>
      </w:pPr>
      <w:r w:rsidRPr="004A30A8">
        <w:rPr>
          <w:rFonts w:cs="Arial"/>
          <w:lang w:val="es-ES"/>
        </w:rPr>
        <w:t>La</w:t>
      </w:r>
      <w:r w:rsidRPr="004A30A8">
        <w:rPr>
          <w:lang w:val="es-ES"/>
        </w:rPr>
        <w:t xml:space="preserve"> </w:t>
      </w:r>
      <w:r w:rsidRPr="004A30A8">
        <w:rPr>
          <w:b/>
          <w:bCs/>
          <w:i/>
          <w:iCs/>
          <w:lang w:val="es-ES"/>
        </w:rPr>
        <w:t>Corte</w:t>
      </w:r>
      <w:r w:rsidRPr="004A30A8">
        <w:rPr>
          <w:lang w:val="es-ES"/>
        </w:rPr>
        <w:t xml:space="preserv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Por otra parte,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4A30A8">
        <w:rPr>
          <w:rFonts w:eastAsia="Calibri"/>
          <w:vertAlign w:val="superscript"/>
          <w:lang w:val="es-ES"/>
        </w:rPr>
        <w:footnoteReference w:id="214"/>
      </w:r>
      <w:r w:rsidRPr="004A30A8">
        <w:rPr>
          <w:lang w:val="es-ES"/>
        </w:rPr>
        <w:t xml:space="preserve">. </w:t>
      </w:r>
    </w:p>
    <w:p w14:paraId="31049E16" w14:textId="77777777" w:rsidR="00804223" w:rsidRPr="004A30A8" w:rsidRDefault="00804223" w:rsidP="00804223">
      <w:pPr>
        <w:tabs>
          <w:tab w:val="left" w:pos="567"/>
        </w:tabs>
        <w:spacing w:line="240" w:lineRule="auto"/>
        <w:rPr>
          <w:rFonts w:eastAsia="Calibri"/>
          <w:b/>
          <w:i/>
          <w:lang w:val="es-ES"/>
        </w:rPr>
      </w:pPr>
    </w:p>
    <w:p w14:paraId="6FFAEF7F" w14:textId="6972D689" w:rsidR="00580F8F" w:rsidRPr="004A30A8" w:rsidRDefault="00580F8F">
      <w:pPr>
        <w:numPr>
          <w:ilvl w:val="0"/>
          <w:numId w:val="7"/>
        </w:numPr>
        <w:tabs>
          <w:tab w:val="left" w:pos="567"/>
          <w:tab w:val="num" w:pos="1569"/>
          <w:tab w:val="num" w:pos="12305"/>
        </w:tabs>
        <w:spacing w:line="240" w:lineRule="auto"/>
        <w:ind w:left="0" w:firstLine="0"/>
        <w:rPr>
          <w:rFonts w:eastAsia="Calibri"/>
          <w:b/>
          <w:i/>
          <w:sz w:val="18"/>
          <w:szCs w:val="18"/>
          <w:lang w:val="es-ES"/>
        </w:rPr>
      </w:pPr>
      <w:r w:rsidRPr="004A30A8">
        <w:rPr>
          <w:lang w:val="es-ES"/>
        </w:rPr>
        <w:t xml:space="preserve">La Corte acreditó en su Sentencia </w:t>
      </w:r>
      <w:r w:rsidR="00124848" w:rsidRPr="004A30A8">
        <w:rPr>
          <w:lang w:val="es-ES"/>
        </w:rPr>
        <w:t>que</w:t>
      </w:r>
      <w:r w:rsidRPr="004A30A8">
        <w:rPr>
          <w:lang w:val="es-ES"/>
        </w:rPr>
        <w:t xml:space="preserve"> el señor Olivera</w:t>
      </w:r>
      <w:r w:rsidR="00124848" w:rsidRPr="004A30A8">
        <w:rPr>
          <w:lang w:val="es-ES"/>
        </w:rPr>
        <w:t xml:space="preserve"> sufrió un trato </w:t>
      </w:r>
      <w:r w:rsidR="00124848" w:rsidRPr="004A30A8">
        <w:rPr>
          <w:lang w:val="es-ES"/>
        </w:rPr>
        <w:lastRenderedPageBreak/>
        <w:t>discriminatorio por parte de las autoridades administrativas y judiciales. Dicho trato ahondó más la “homofobia, […] discriminación [y] estigmatización”</w:t>
      </w:r>
      <w:r w:rsidR="00124848" w:rsidRPr="004A30A8">
        <w:rPr>
          <w:rStyle w:val="Refdenotaalpie"/>
        </w:rPr>
        <w:footnoteReference w:id="215"/>
      </w:r>
      <w:r w:rsidR="00124848" w:rsidRPr="004A30A8">
        <w:rPr>
          <w:lang w:val="es-ES"/>
        </w:rPr>
        <w:t xml:space="preserve"> que padeció.</w:t>
      </w:r>
      <w:r w:rsidRPr="004A30A8">
        <w:rPr>
          <w:lang w:val="es-ES"/>
        </w:rPr>
        <w:t xml:space="preserve"> </w:t>
      </w:r>
      <w:r w:rsidR="00A7610D" w:rsidRPr="004A30A8">
        <w:rPr>
          <w:lang w:val="es-ES"/>
        </w:rPr>
        <w:t>El señor Olivera declaró</w:t>
      </w:r>
      <w:r w:rsidR="00635C11" w:rsidRPr="004A30A8">
        <w:rPr>
          <w:lang w:val="es-ES"/>
        </w:rPr>
        <w:t>,</w:t>
      </w:r>
      <w:r w:rsidR="00A7610D" w:rsidRPr="004A30A8">
        <w:rPr>
          <w:lang w:val="es-ES"/>
        </w:rPr>
        <w:t xml:space="preserve"> además</w:t>
      </w:r>
      <w:r w:rsidR="00635C11" w:rsidRPr="004A30A8">
        <w:rPr>
          <w:lang w:val="es-ES"/>
        </w:rPr>
        <w:t>,</w:t>
      </w:r>
      <w:r w:rsidR="00A7610D" w:rsidRPr="004A30A8">
        <w:rPr>
          <w:lang w:val="es-ES"/>
        </w:rPr>
        <w:t xml:space="preserve"> que en el marco de los procesos internos se sintió “nuevamente humillado”, con “mucho conflicto” y fue “muy desgastante a nivel emocional”, donde su palabra fue “ninguneada” y “despojad[a] de valor” y de “credibilidad”</w:t>
      </w:r>
      <w:r w:rsidR="00A7610D" w:rsidRPr="004A30A8">
        <w:rPr>
          <w:rStyle w:val="Refdenotaalpie"/>
        </w:rPr>
        <w:footnoteReference w:id="216"/>
      </w:r>
      <w:r w:rsidR="00A7610D" w:rsidRPr="004A30A8">
        <w:rPr>
          <w:lang w:val="es-ES"/>
        </w:rPr>
        <w:t xml:space="preserve">. A lo anterior se añade el hecho de que han transcurrido más de 18 años desde que transcurrieran los hechos, sin que el señor Olivera haya obtenido ningún tipo de reparación. </w:t>
      </w:r>
    </w:p>
    <w:p w14:paraId="6A6482A3" w14:textId="77777777" w:rsidR="00A7610D" w:rsidRPr="004A30A8" w:rsidRDefault="00A7610D" w:rsidP="00A7610D">
      <w:pPr>
        <w:pStyle w:val="Prrafodelista"/>
        <w:rPr>
          <w:rFonts w:eastAsia="Calibri"/>
          <w:b/>
          <w:i/>
          <w:sz w:val="18"/>
          <w:szCs w:val="18"/>
          <w:lang w:val="es-ES"/>
        </w:rPr>
      </w:pPr>
    </w:p>
    <w:p w14:paraId="16DEE414" w14:textId="59A3A90C" w:rsidR="007B4A64" w:rsidRPr="004A30A8" w:rsidRDefault="00580F8F">
      <w:pPr>
        <w:numPr>
          <w:ilvl w:val="0"/>
          <w:numId w:val="7"/>
        </w:numPr>
        <w:tabs>
          <w:tab w:val="left" w:pos="567"/>
          <w:tab w:val="num" w:pos="1569"/>
          <w:tab w:val="num" w:pos="12305"/>
        </w:tabs>
        <w:spacing w:line="240" w:lineRule="auto"/>
        <w:ind w:left="0" w:firstLine="0"/>
        <w:textAlignment w:val="baseline"/>
        <w:rPr>
          <w:bCs/>
          <w:lang w:val="es-ES"/>
        </w:rPr>
      </w:pPr>
      <w:r w:rsidRPr="004A30A8">
        <w:rPr>
          <w:lang w:val="es-ES"/>
        </w:rPr>
        <w:t xml:space="preserve">Por ello, considerando circunstancias del presente caso, las violaciones cometidas, los sufrimientos ocasionados y experimentados en diferentes grados y el tiempo transcurrido, el Tribunal pasa a fijar en equidad la indemnización por daño inmaterial a favor de la víctima. En función de ello, la Corte ordena, en equidad, el pago de la suma de </w:t>
      </w:r>
      <w:r w:rsidRPr="004A30A8">
        <w:rPr>
          <w:lang w:val="es-ES" w:eastAsia="es-ES_tradnl"/>
        </w:rPr>
        <w:t>USD$ 15</w:t>
      </w:r>
      <w:r w:rsidR="00582A84" w:rsidRPr="004A30A8">
        <w:rPr>
          <w:lang w:val="es-ES" w:eastAsia="es-ES_tradnl"/>
        </w:rPr>
        <w:t>.</w:t>
      </w:r>
      <w:r w:rsidRPr="004A30A8">
        <w:rPr>
          <w:lang w:val="es-ES" w:eastAsia="es-ES_tradnl"/>
        </w:rPr>
        <w:t>000</w:t>
      </w:r>
      <w:r w:rsidR="00582A84" w:rsidRPr="004A30A8">
        <w:rPr>
          <w:lang w:val="es-ES" w:eastAsia="es-ES_tradnl"/>
        </w:rPr>
        <w:t>,00</w:t>
      </w:r>
      <w:r w:rsidRPr="004A30A8">
        <w:rPr>
          <w:bCs/>
          <w:lang w:val="es-ES"/>
        </w:rPr>
        <w:t xml:space="preserve"> (quince mil dólares de los Estados Unidos de América), por concepto de daño inmaterial</w:t>
      </w:r>
      <w:r w:rsidR="00A7610D" w:rsidRPr="004A30A8">
        <w:rPr>
          <w:bCs/>
          <w:lang w:val="es-ES"/>
        </w:rPr>
        <w:t>,</w:t>
      </w:r>
      <w:r w:rsidRPr="004A30A8">
        <w:rPr>
          <w:bCs/>
          <w:lang w:val="es-ES"/>
        </w:rPr>
        <w:t xml:space="preserve"> en favor del señor Crissthian Olivera Fuentes.</w:t>
      </w:r>
    </w:p>
    <w:p w14:paraId="320806DF" w14:textId="3311305F" w:rsidR="00911095" w:rsidRPr="004A30A8" w:rsidRDefault="005D2972" w:rsidP="00804223">
      <w:pPr>
        <w:pStyle w:val="Ttulo2"/>
        <w:spacing w:before="360" w:after="360"/>
        <w:ind w:firstLine="709"/>
      </w:pPr>
      <w:bookmarkStart w:id="62" w:name="_Toc129887124"/>
      <w:r w:rsidRPr="004A30A8">
        <w:t>F</w:t>
      </w:r>
      <w:r w:rsidR="00BE614A" w:rsidRPr="004A30A8">
        <w:t>. Cost</w:t>
      </w:r>
      <w:r w:rsidR="00C54378" w:rsidRPr="004A30A8">
        <w:t>a</w:t>
      </w:r>
      <w:r w:rsidR="00BE614A" w:rsidRPr="004A30A8">
        <w:t>s y gastos</w:t>
      </w:r>
      <w:bookmarkEnd w:id="62"/>
      <w:r w:rsidR="004A1938" w:rsidRPr="004A30A8">
        <w:t xml:space="preserve"> </w:t>
      </w:r>
    </w:p>
    <w:p w14:paraId="40E6E10F" w14:textId="7FB0293D" w:rsidR="00947391" w:rsidRPr="004A30A8" w:rsidRDefault="00911095">
      <w:pPr>
        <w:numPr>
          <w:ilvl w:val="0"/>
          <w:numId w:val="7"/>
        </w:numPr>
        <w:tabs>
          <w:tab w:val="left" w:pos="567"/>
          <w:tab w:val="num" w:pos="1569"/>
          <w:tab w:val="num" w:pos="12305"/>
        </w:tabs>
        <w:spacing w:line="240" w:lineRule="auto"/>
        <w:ind w:left="0" w:firstLine="0"/>
        <w:rPr>
          <w:b/>
          <w:bCs/>
          <w:lang w:val="es-ES"/>
        </w:rPr>
      </w:pPr>
      <w:r w:rsidRPr="004A30A8">
        <w:t>Los</w:t>
      </w:r>
      <w:r w:rsidR="00947391" w:rsidRPr="004A30A8">
        <w:t xml:space="preserve"> </w:t>
      </w:r>
      <w:r w:rsidR="00947391" w:rsidRPr="004A30A8">
        <w:rPr>
          <w:b/>
          <w:bCs/>
          <w:i/>
          <w:iCs/>
        </w:rPr>
        <w:t>representantes</w:t>
      </w:r>
      <w:r w:rsidR="00947391" w:rsidRPr="004A30A8">
        <w:t xml:space="preserve"> indicaron que la asociación </w:t>
      </w:r>
      <w:r w:rsidR="00575DA4" w:rsidRPr="004A30A8">
        <w:rPr>
          <w:i/>
          <w:iCs/>
        </w:rPr>
        <w:t>DEMUS</w:t>
      </w:r>
      <w:r w:rsidR="00947391" w:rsidRPr="004A30A8">
        <w:rPr>
          <w:i/>
          <w:iCs/>
        </w:rPr>
        <w:t xml:space="preserve"> – Estudios para la defensa de los derechos para la mujer </w:t>
      </w:r>
      <w:r w:rsidR="00FA0FA3" w:rsidRPr="004A30A8">
        <w:t>(en adelante “</w:t>
      </w:r>
      <w:r w:rsidR="00575DA4" w:rsidRPr="004A30A8">
        <w:rPr>
          <w:i/>
          <w:iCs/>
        </w:rPr>
        <w:t>DEMUS</w:t>
      </w:r>
      <w:r w:rsidR="00FA0FA3" w:rsidRPr="004A30A8">
        <w:t>”)</w:t>
      </w:r>
      <w:r w:rsidR="00FA0FA3" w:rsidRPr="004A30A8">
        <w:rPr>
          <w:i/>
          <w:iCs/>
        </w:rPr>
        <w:t xml:space="preserve"> </w:t>
      </w:r>
      <w:r w:rsidR="00947391" w:rsidRPr="004A30A8">
        <w:t xml:space="preserve">ha actuado como representante de la presunta víctima desde el inicio del </w:t>
      </w:r>
      <w:r w:rsidR="00947391" w:rsidRPr="004A30A8">
        <w:rPr>
          <w:lang w:val="es-ES"/>
        </w:rPr>
        <w:t>procedimiento</w:t>
      </w:r>
      <w:r w:rsidR="00947391" w:rsidRPr="004A30A8">
        <w:t xml:space="preserve"> administrativo en sede interna y hasta el proceso ante la Corte Interamericana de Derechos Humanos. A pesar de esto, </w:t>
      </w:r>
      <w:r w:rsidR="00575DA4" w:rsidRPr="004A30A8">
        <w:rPr>
          <w:i/>
          <w:iCs/>
        </w:rPr>
        <w:t xml:space="preserve">DEMUS </w:t>
      </w:r>
      <w:r w:rsidR="00947391" w:rsidRPr="004A30A8">
        <w:t>señaló que solo busca el reembolso de</w:t>
      </w:r>
      <w:r w:rsidR="00A34572" w:rsidRPr="004A30A8">
        <w:t>: (i)</w:t>
      </w:r>
      <w:r w:rsidR="00947391" w:rsidRPr="004A30A8">
        <w:t xml:space="preserve"> los gastos incurridos en el proceso internacional por viajes</w:t>
      </w:r>
      <w:r w:rsidR="00A34572" w:rsidRPr="004A30A8">
        <w:t>, (ii) los</w:t>
      </w:r>
      <w:r w:rsidR="00947391" w:rsidRPr="004A30A8">
        <w:t xml:space="preserve"> salarios</w:t>
      </w:r>
      <w:r w:rsidR="00A6756B" w:rsidRPr="004A30A8">
        <w:t xml:space="preserve"> de los abogados que han participado en la elaboración de escritos </w:t>
      </w:r>
      <w:r w:rsidR="00A34572" w:rsidRPr="004A30A8">
        <w:t>vinculados al caso en cuestión</w:t>
      </w:r>
      <w:r w:rsidR="006873A6" w:rsidRPr="004A30A8">
        <w:t>, y (iii) el acompañamiento psicológico del señor Olivera Fuentes posterior a la celebración de la audiencia pública</w:t>
      </w:r>
      <w:r w:rsidR="00BC15D1" w:rsidRPr="004A30A8">
        <w:t>, así como los gastos incurridos en un momento posterior a la presentación del escrito de solicitudes, argumentos y pruebas por concepto de (iv) la defensa legal ante la Corte Interamericana y (v) el acompañamiento psicológico del señor Olivera durante esta etapa.</w:t>
      </w:r>
      <w:r w:rsidR="00947391" w:rsidRPr="004A30A8">
        <w:t xml:space="preserve"> En función de ello, solicitaron que se les otorgue la suma de </w:t>
      </w:r>
      <w:r w:rsidR="0041662E" w:rsidRPr="004A30A8">
        <w:t xml:space="preserve">USD$ </w:t>
      </w:r>
      <w:r w:rsidR="00947391" w:rsidRPr="004A30A8">
        <w:rPr>
          <w:bCs/>
        </w:rPr>
        <w:t>4</w:t>
      </w:r>
      <w:r w:rsidR="006873A6" w:rsidRPr="004A30A8">
        <w:rPr>
          <w:bCs/>
        </w:rPr>
        <w:t>5</w:t>
      </w:r>
      <w:r w:rsidR="00947391" w:rsidRPr="004A30A8">
        <w:rPr>
          <w:bCs/>
        </w:rPr>
        <w:t>,</w:t>
      </w:r>
      <w:r w:rsidR="006873A6" w:rsidRPr="004A30A8">
        <w:rPr>
          <w:bCs/>
        </w:rPr>
        <w:t>8</w:t>
      </w:r>
      <w:r w:rsidR="00947391" w:rsidRPr="004A30A8">
        <w:rPr>
          <w:bCs/>
        </w:rPr>
        <w:t>8</w:t>
      </w:r>
      <w:r w:rsidR="006873A6" w:rsidRPr="004A30A8">
        <w:rPr>
          <w:bCs/>
        </w:rPr>
        <w:t>7</w:t>
      </w:r>
      <w:r w:rsidR="00947391" w:rsidRPr="004A30A8">
        <w:rPr>
          <w:bCs/>
        </w:rPr>
        <w:t>.3</w:t>
      </w:r>
      <w:r w:rsidR="006873A6" w:rsidRPr="004A30A8">
        <w:rPr>
          <w:bCs/>
        </w:rPr>
        <w:t>4</w:t>
      </w:r>
      <w:r w:rsidR="00947391" w:rsidRPr="004A30A8">
        <w:rPr>
          <w:bCs/>
        </w:rPr>
        <w:t>.</w:t>
      </w:r>
      <w:r w:rsidR="00947391" w:rsidRPr="004A30A8">
        <w:t xml:space="preserve"> </w:t>
      </w:r>
    </w:p>
    <w:p w14:paraId="1ED5D275" w14:textId="77777777" w:rsidR="008E43E5" w:rsidRPr="004A30A8" w:rsidRDefault="008E43E5" w:rsidP="008E43E5">
      <w:pPr>
        <w:tabs>
          <w:tab w:val="left" w:pos="567"/>
        </w:tabs>
        <w:spacing w:line="240" w:lineRule="auto"/>
        <w:rPr>
          <w:b/>
          <w:bCs/>
          <w:lang w:val="es-ES"/>
        </w:rPr>
      </w:pPr>
    </w:p>
    <w:p w14:paraId="2A3C763F" w14:textId="2480753E" w:rsidR="008E43E5" w:rsidRPr="004A30A8" w:rsidRDefault="008E43E5">
      <w:pPr>
        <w:numPr>
          <w:ilvl w:val="0"/>
          <w:numId w:val="7"/>
        </w:numPr>
        <w:tabs>
          <w:tab w:val="left" w:pos="567"/>
          <w:tab w:val="num" w:pos="1569"/>
          <w:tab w:val="num" w:pos="12305"/>
        </w:tabs>
        <w:spacing w:line="240" w:lineRule="auto"/>
        <w:ind w:left="0" w:firstLine="0"/>
        <w:rPr>
          <w:lang w:val="es-ES"/>
        </w:rPr>
      </w:pPr>
      <w:r w:rsidRPr="004A30A8">
        <w:rPr>
          <w:lang w:val="es-ES"/>
        </w:rPr>
        <w:t xml:space="preserve">Además, los representantes señalaron que </w:t>
      </w:r>
      <w:r w:rsidR="00FA0FA3" w:rsidRPr="004A30A8">
        <w:rPr>
          <w:lang w:val="es-ES"/>
        </w:rPr>
        <w:t>i</w:t>
      </w:r>
      <w:r w:rsidRPr="004A30A8">
        <w:rPr>
          <w:lang w:val="es-ES"/>
        </w:rPr>
        <w:t xml:space="preserve">ntegrantes de </w:t>
      </w:r>
      <w:r w:rsidRPr="004A30A8">
        <w:rPr>
          <w:i/>
          <w:iCs/>
          <w:lang w:val="es-ES"/>
        </w:rPr>
        <w:t>Synergía</w:t>
      </w:r>
      <w:r w:rsidR="00575DA4" w:rsidRPr="004A30A8">
        <w:t xml:space="preserve"> </w:t>
      </w:r>
      <w:r w:rsidR="00575DA4" w:rsidRPr="004A30A8">
        <w:rPr>
          <w:i/>
          <w:iCs/>
          <w:lang w:val="es-ES"/>
        </w:rPr>
        <w:t xml:space="preserve">– Iniciativa para los Derechos Humanos </w:t>
      </w:r>
      <w:r w:rsidR="00575DA4" w:rsidRPr="004A30A8">
        <w:rPr>
          <w:lang w:val="es-ES"/>
        </w:rPr>
        <w:t>(en adelante “</w:t>
      </w:r>
      <w:r w:rsidR="00575DA4" w:rsidRPr="004A30A8">
        <w:rPr>
          <w:i/>
          <w:iCs/>
          <w:lang w:val="es-ES"/>
        </w:rPr>
        <w:t>Synergía”)</w:t>
      </w:r>
      <w:r w:rsidR="003565CD" w:rsidRPr="004A30A8">
        <w:rPr>
          <w:lang w:val="es-ES"/>
        </w:rPr>
        <w:t>, por su parte,</w:t>
      </w:r>
      <w:r w:rsidRPr="004A30A8">
        <w:rPr>
          <w:lang w:val="es-ES"/>
        </w:rPr>
        <w:t xml:space="preserve"> han formado parte del equipo legal de la presunta víctima desde el 21 de febrero de 2018. En el ejercicio de dicha representación han incurrido en gastos vinculados a la elaboración de los escritos jurídicos enviados en el trámite del caso en sus etapas de admisibilidad y fondo ante la </w:t>
      </w:r>
      <w:r w:rsidR="000F20F2" w:rsidRPr="004A30A8">
        <w:rPr>
          <w:lang w:val="es-ES"/>
        </w:rPr>
        <w:t>Comisión</w:t>
      </w:r>
      <w:r w:rsidRPr="004A30A8">
        <w:rPr>
          <w:lang w:val="es-ES"/>
        </w:rPr>
        <w:t xml:space="preserve">, y la preparación del </w:t>
      </w:r>
      <w:r w:rsidR="00FA0FA3" w:rsidRPr="004A30A8">
        <w:rPr>
          <w:lang w:val="es-ES"/>
        </w:rPr>
        <w:t>e</w:t>
      </w:r>
      <w:r w:rsidR="000F20F2" w:rsidRPr="004A30A8">
        <w:rPr>
          <w:lang w:val="es-ES"/>
        </w:rPr>
        <w:t xml:space="preserve">scrito de </w:t>
      </w:r>
      <w:r w:rsidR="00FA0FA3" w:rsidRPr="004A30A8">
        <w:rPr>
          <w:lang w:val="es-ES"/>
        </w:rPr>
        <w:t>solicitudes, a</w:t>
      </w:r>
      <w:r w:rsidR="000F20F2" w:rsidRPr="004A30A8">
        <w:rPr>
          <w:lang w:val="es-ES"/>
        </w:rPr>
        <w:t xml:space="preserve">rgumentos y </w:t>
      </w:r>
      <w:r w:rsidR="00FA0FA3" w:rsidRPr="004A30A8">
        <w:rPr>
          <w:lang w:val="es-ES"/>
        </w:rPr>
        <w:t>p</w:t>
      </w:r>
      <w:r w:rsidR="000F20F2" w:rsidRPr="004A30A8">
        <w:rPr>
          <w:lang w:val="es-ES"/>
        </w:rPr>
        <w:t>ruebas</w:t>
      </w:r>
      <w:r w:rsidRPr="004A30A8">
        <w:rPr>
          <w:lang w:val="es-ES"/>
        </w:rPr>
        <w:t xml:space="preserve">. En función de ello, solicitaron que la Corte Interamericana fije en equidad el monto que el Estado debe pagar por este concepto y que dicha suma sea reintegrada a </w:t>
      </w:r>
      <w:r w:rsidRPr="004A30A8">
        <w:rPr>
          <w:i/>
          <w:iCs/>
          <w:lang w:val="es-ES"/>
        </w:rPr>
        <w:t>Synergía</w:t>
      </w:r>
      <w:r w:rsidRPr="004A30A8">
        <w:rPr>
          <w:lang w:val="es-ES"/>
        </w:rPr>
        <w:t>.</w:t>
      </w:r>
      <w:r w:rsidRPr="004A30A8">
        <w:rPr>
          <w:b/>
          <w:bCs/>
          <w:lang w:val="es-ES"/>
        </w:rPr>
        <w:t xml:space="preserve"> </w:t>
      </w:r>
    </w:p>
    <w:p w14:paraId="032C0BC9" w14:textId="77777777" w:rsidR="00A86CB4" w:rsidRPr="004A30A8" w:rsidRDefault="00A86CB4" w:rsidP="00CD69FC">
      <w:pPr>
        <w:tabs>
          <w:tab w:val="left" w:pos="567"/>
          <w:tab w:val="num" w:pos="12305"/>
        </w:tabs>
        <w:spacing w:line="240" w:lineRule="auto"/>
        <w:rPr>
          <w:lang w:val="es-ES"/>
        </w:rPr>
      </w:pPr>
    </w:p>
    <w:p w14:paraId="3BB43330" w14:textId="2E93E63E" w:rsidR="00A86CB4" w:rsidRPr="004A30A8" w:rsidRDefault="003565CD">
      <w:pPr>
        <w:numPr>
          <w:ilvl w:val="0"/>
          <w:numId w:val="7"/>
        </w:numPr>
        <w:tabs>
          <w:tab w:val="left" w:pos="567"/>
          <w:tab w:val="num" w:pos="1569"/>
          <w:tab w:val="num" w:pos="12305"/>
        </w:tabs>
        <w:spacing w:line="240" w:lineRule="auto"/>
        <w:ind w:left="0" w:firstLine="0"/>
        <w:rPr>
          <w:lang w:val="es-ES"/>
        </w:rPr>
      </w:pPr>
      <w:r w:rsidRPr="004A30A8">
        <w:rPr>
          <w:rFonts w:eastAsia="Arial" w:cs="Arial"/>
          <w:lang w:val="es-ES"/>
        </w:rPr>
        <w:t>Por último, l</w:t>
      </w:r>
      <w:r w:rsidR="00A86CB4" w:rsidRPr="004A30A8">
        <w:rPr>
          <w:rFonts w:eastAsia="Arial" w:cs="Arial"/>
          <w:lang w:val="es-ES"/>
        </w:rPr>
        <w:t xml:space="preserve">os representantes indicaron que </w:t>
      </w:r>
      <w:r w:rsidR="00A86CB4" w:rsidRPr="004A30A8">
        <w:rPr>
          <w:rFonts w:eastAsia="Arial" w:cs="Arial"/>
          <w:i/>
          <w:iCs/>
          <w:lang w:val="es-ES"/>
        </w:rPr>
        <w:t>Líderes en Acción</w:t>
      </w:r>
      <w:r w:rsidR="00A86CB4" w:rsidRPr="004A30A8">
        <w:rPr>
          <w:rFonts w:eastAsia="Arial" w:cs="Arial"/>
          <w:lang w:val="es-ES"/>
        </w:rPr>
        <w:t xml:space="preserve"> ha actuado como representante de la presunta víctima en el proceso </w:t>
      </w:r>
      <w:r w:rsidR="00A86CB4" w:rsidRPr="004A30A8">
        <w:t>internacional</w:t>
      </w:r>
      <w:r w:rsidR="00A86CB4" w:rsidRPr="004A30A8">
        <w:rPr>
          <w:rFonts w:eastAsia="Arial" w:cs="Arial"/>
          <w:lang w:val="es-ES"/>
        </w:rPr>
        <w:t xml:space="preserve"> desde el 26 de marzo de 2014, pero que, a pesar de su </w:t>
      </w:r>
      <w:r w:rsidR="00A86CB4" w:rsidRPr="004A30A8">
        <w:rPr>
          <w:lang w:val="es-ES"/>
        </w:rPr>
        <w:t>contribución</w:t>
      </w:r>
      <w:r w:rsidR="00A86CB4" w:rsidRPr="004A30A8">
        <w:rPr>
          <w:rFonts w:eastAsia="Arial" w:cs="Arial"/>
          <w:lang w:val="es-ES"/>
        </w:rPr>
        <w:t xml:space="preserve"> </w:t>
      </w:r>
      <w:r w:rsidR="00A86CB4" w:rsidRPr="004A30A8">
        <w:t>sustantiva</w:t>
      </w:r>
      <w:r w:rsidR="00A86CB4" w:rsidRPr="004A30A8">
        <w:rPr>
          <w:rFonts w:eastAsia="Arial" w:cs="Arial"/>
          <w:lang w:val="es-ES"/>
        </w:rPr>
        <w:t xml:space="preserve">, no </w:t>
      </w:r>
      <w:r w:rsidR="00BD7AF4" w:rsidRPr="004A30A8">
        <w:rPr>
          <w:rFonts w:eastAsia="Arial" w:cs="Arial"/>
          <w:lang w:val="es-ES"/>
        </w:rPr>
        <w:t>busca</w:t>
      </w:r>
      <w:r w:rsidR="00A86CB4" w:rsidRPr="004A30A8">
        <w:rPr>
          <w:rFonts w:eastAsia="Arial" w:cs="Arial"/>
          <w:lang w:val="es-ES"/>
        </w:rPr>
        <w:t xml:space="preserve"> el reembolso de </w:t>
      </w:r>
      <w:r w:rsidR="00A86CB4" w:rsidRPr="004A30A8">
        <w:rPr>
          <w:rFonts w:eastAsia="Arial" w:cs="Arial"/>
          <w:lang w:val="es-ES"/>
        </w:rPr>
        <w:lastRenderedPageBreak/>
        <w:t>gasto o costa alguna.</w:t>
      </w:r>
    </w:p>
    <w:p w14:paraId="352EA43F" w14:textId="77777777" w:rsidR="00A86CB4" w:rsidRPr="004A30A8" w:rsidRDefault="00A86CB4" w:rsidP="00A86CB4">
      <w:pPr>
        <w:tabs>
          <w:tab w:val="left" w:pos="567"/>
        </w:tabs>
        <w:spacing w:line="240" w:lineRule="auto"/>
        <w:rPr>
          <w:lang w:val="es-ES"/>
        </w:rPr>
      </w:pPr>
    </w:p>
    <w:p w14:paraId="513F122D" w14:textId="749A9092" w:rsidR="00DE3F75" w:rsidRPr="004A30A8" w:rsidRDefault="00DC39D2">
      <w:pPr>
        <w:numPr>
          <w:ilvl w:val="0"/>
          <w:numId w:val="7"/>
        </w:numPr>
        <w:tabs>
          <w:tab w:val="left" w:pos="567"/>
          <w:tab w:val="num" w:pos="1569"/>
          <w:tab w:val="num" w:pos="12305"/>
        </w:tabs>
        <w:spacing w:line="240" w:lineRule="auto"/>
        <w:ind w:left="0" w:firstLine="0"/>
        <w:rPr>
          <w:lang w:val="es-ES"/>
        </w:rPr>
      </w:pPr>
      <w:r w:rsidRPr="004A30A8">
        <w:rPr>
          <w:lang w:val="es-ES"/>
        </w:rPr>
        <w:t xml:space="preserve">El </w:t>
      </w:r>
      <w:r w:rsidRPr="004A30A8">
        <w:rPr>
          <w:b/>
          <w:bCs/>
          <w:i/>
          <w:iCs/>
          <w:lang w:val="es-ES"/>
        </w:rPr>
        <w:t>Estado</w:t>
      </w:r>
      <w:r w:rsidRPr="004A30A8">
        <w:rPr>
          <w:lang w:val="es-ES"/>
        </w:rPr>
        <w:t xml:space="preserve"> alegó que los documentos que </w:t>
      </w:r>
      <w:r w:rsidR="00FA0FA3" w:rsidRPr="004A30A8">
        <w:rPr>
          <w:lang w:val="es-ES"/>
        </w:rPr>
        <w:t>pretendían</w:t>
      </w:r>
      <w:r w:rsidRPr="004A30A8">
        <w:rPr>
          <w:lang w:val="es-ES"/>
        </w:rPr>
        <w:t xml:space="preserve"> acreditar el monto a pagar a </w:t>
      </w:r>
      <w:r w:rsidR="00AC7321" w:rsidRPr="004A30A8">
        <w:rPr>
          <w:i/>
          <w:iCs/>
          <w:lang w:val="es-ES"/>
        </w:rPr>
        <w:t>DEMUS</w:t>
      </w:r>
      <w:r w:rsidRPr="004A30A8">
        <w:rPr>
          <w:lang w:val="es-ES"/>
        </w:rPr>
        <w:t xml:space="preserve"> no </w:t>
      </w:r>
      <w:r w:rsidR="00892FD9" w:rsidRPr="004A30A8">
        <w:rPr>
          <w:lang w:val="es-ES"/>
        </w:rPr>
        <w:t>genera</w:t>
      </w:r>
      <w:r w:rsidR="0046188A" w:rsidRPr="004A30A8">
        <w:rPr>
          <w:lang w:val="es-ES"/>
        </w:rPr>
        <w:t>ban</w:t>
      </w:r>
      <w:r w:rsidR="00892FD9" w:rsidRPr="004A30A8">
        <w:rPr>
          <w:lang w:val="es-ES"/>
        </w:rPr>
        <w:t xml:space="preserve"> </w:t>
      </w:r>
      <w:r w:rsidR="00892FD9" w:rsidRPr="004A30A8">
        <w:t>convicción</w:t>
      </w:r>
      <w:r w:rsidR="00892FD9" w:rsidRPr="004A30A8">
        <w:rPr>
          <w:lang w:val="es-ES"/>
        </w:rPr>
        <w:t xml:space="preserve"> de que los gastos que sustenta</w:t>
      </w:r>
      <w:r w:rsidR="0046188A" w:rsidRPr="004A30A8">
        <w:rPr>
          <w:lang w:val="es-ES"/>
        </w:rPr>
        <w:t xml:space="preserve">ban </w:t>
      </w:r>
      <w:r w:rsidR="00892FD9" w:rsidRPr="004A30A8">
        <w:rPr>
          <w:lang w:val="es-ES"/>
        </w:rPr>
        <w:t>estuvieran</w:t>
      </w:r>
      <w:r w:rsidR="00DA696F" w:rsidRPr="004A30A8">
        <w:rPr>
          <w:lang w:val="es-ES"/>
        </w:rPr>
        <w:t xml:space="preserve"> destinados de manera exclusiva al</w:t>
      </w:r>
      <w:r w:rsidRPr="004A30A8">
        <w:rPr>
          <w:lang w:val="es-ES"/>
        </w:rPr>
        <w:t xml:space="preserve"> </w:t>
      </w:r>
      <w:r w:rsidR="00DA696F" w:rsidRPr="004A30A8">
        <w:rPr>
          <w:lang w:val="es-ES"/>
        </w:rPr>
        <w:t xml:space="preserve">patrocinio del </w:t>
      </w:r>
      <w:r w:rsidRPr="004A30A8">
        <w:rPr>
          <w:lang w:val="es-ES"/>
        </w:rPr>
        <w:t xml:space="preserve">señor Olivera Fuentes, dado que </w:t>
      </w:r>
      <w:r w:rsidRPr="004A30A8">
        <w:rPr>
          <w:i/>
          <w:iCs/>
          <w:lang w:val="es-ES"/>
        </w:rPr>
        <w:t>DEMUS</w:t>
      </w:r>
      <w:r w:rsidRPr="004A30A8">
        <w:rPr>
          <w:lang w:val="es-ES"/>
        </w:rPr>
        <w:t xml:space="preserve"> </w:t>
      </w:r>
      <w:r w:rsidR="00BE79C0" w:rsidRPr="004A30A8">
        <w:rPr>
          <w:lang w:val="es-ES"/>
        </w:rPr>
        <w:t>“</w:t>
      </w:r>
      <w:r w:rsidRPr="004A30A8">
        <w:rPr>
          <w:lang w:val="es-ES"/>
        </w:rPr>
        <w:t xml:space="preserve">es una institución que litiga distintos casos ante el </w:t>
      </w:r>
      <w:r w:rsidR="00851339" w:rsidRPr="004A30A8">
        <w:rPr>
          <w:lang w:val="es-ES"/>
        </w:rPr>
        <w:t>[Sistema Interamericano de Derechos Humanos]</w:t>
      </w:r>
      <w:r w:rsidR="00BE79C0" w:rsidRPr="004A30A8">
        <w:rPr>
          <w:lang w:val="es-ES"/>
        </w:rPr>
        <w:t>”</w:t>
      </w:r>
      <w:r w:rsidRPr="004A30A8">
        <w:rPr>
          <w:lang w:val="es-ES"/>
        </w:rPr>
        <w:t xml:space="preserve"> y</w:t>
      </w:r>
      <w:r w:rsidR="00BD1897" w:rsidRPr="004A30A8">
        <w:rPr>
          <w:lang w:val="es-ES"/>
        </w:rPr>
        <w:t xml:space="preserve"> no se </w:t>
      </w:r>
      <w:r w:rsidR="0046188A" w:rsidRPr="004A30A8">
        <w:rPr>
          <w:lang w:val="es-ES"/>
        </w:rPr>
        <w:t>habría</w:t>
      </w:r>
      <w:r w:rsidR="00BD1897" w:rsidRPr="004A30A8">
        <w:rPr>
          <w:lang w:val="es-ES"/>
        </w:rPr>
        <w:t xml:space="preserve"> aportado prueba de que</w:t>
      </w:r>
      <w:r w:rsidRPr="004A30A8">
        <w:rPr>
          <w:lang w:val="es-ES"/>
        </w:rPr>
        <w:t xml:space="preserve"> </w:t>
      </w:r>
      <w:r w:rsidR="00BD1897" w:rsidRPr="004A30A8">
        <w:rPr>
          <w:lang w:val="es-ES"/>
        </w:rPr>
        <w:t xml:space="preserve">las facturas de </w:t>
      </w:r>
      <w:r w:rsidRPr="004A30A8">
        <w:rPr>
          <w:lang w:val="es-ES"/>
        </w:rPr>
        <w:t>los gastos</w:t>
      </w:r>
      <w:r w:rsidR="00BD1897" w:rsidRPr="004A30A8">
        <w:rPr>
          <w:lang w:val="es-ES"/>
        </w:rPr>
        <w:t xml:space="preserve"> reportados </w:t>
      </w:r>
      <w:r w:rsidR="0046188A" w:rsidRPr="004A30A8">
        <w:rPr>
          <w:lang w:val="es-ES"/>
        </w:rPr>
        <w:t>fueran</w:t>
      </w:r>
      <w:r w:rsidR="00BD1897" w:rsidRPr="004A30A8">
        <w:rPr>
          <w:lang w:val="es-ES"/>
        </w:rPr>
        <w:t xml:space="preserve"> específicamente del litigio en cuestión</w:t>
      </w:r>
      <w:r w:rsidRPr="004A30A8">
        <w:rPr>
          <w:lang w:val="es-ES"/>
        </w:rPr>
        <w:t xml:space="preserve">. </w:t>
      </w:r>
      <w:r w:rsidR="0046188A" w:rsidRPr="004A30A8">
        <w:rPr>
          <w:lang w:val="es-ES"/>
        </w:rPr>
        <w:t xml:space="preserve">En </w:t>
      </w:r>
      <w:r w:rsidR="0046188A" w:rsidRPr="004A30A8">
        <w:rPr>
          <w:rFonts w:eastAsia="Arial" w:cs="Arial"/>
          <w:lang w:val="es-ES"/>
        </w:rPr>
        <w:t>cuanto</w:t>
      </w:r>
      <w:r w:rsidR="0046188A" w:rsidRPr="004A30A8">
        <w:rPr>
          <w:lang w:val="es-ES"/>
        </w:rPr>
        <w:t xml:space="preserve"> al reclamo de gastos futuros reclamados por los representantes, el Estado recordó que, de acuerdo con la jurisprudencia constante de la Corte, sólo procedía el pago de costas y gastos si existiera documentación que comprobase que el desembolsado se realizó con ocasión al proceso</w:t>
      </w:r>
      <w:r w:rsidR="00DE3F75" w:rsidRPr="004A30A8">
        <w:rPr>
          <w:lang w:val="es-ES"/>
        </w:rPr>
        <w:t xml:space="preserve">. </w:t>
      </w:r>
    </w:p>
    <w:p w14:paraId="28D09395" w14:textId="691F818D" w:rsidR="001C1409" w:rsidRPr="004A30A8" w:rsidRDefault="001C1409" w:rsidP="001C1409">
      <w:pPr>
        <w:tabs>
          <w:tab w:val="left" w:pos="567"/>
        </w:tabs>
        <w:spacing w:line="240" w:lineRule="auto"/>
      </w:pPr>
    </w:p>
    <w:p w14:paraId="5F2BBC9C" w14:textId="77777777" w:rsidR="007312D4" w:rsidRPr="004A30A8" w:rsidRDefault="007312D4">
      <w:pPr>
        <w:numPr>
          <w:ilvl w:val="0"/>
          <w:numId w:val="7"/>
        </w:numPr>
        <w:tabs>
          <w:tab w:val="left" w:pos="567"/>
          <w:tab w:val="num" w:pos="1569"/>
          <w:tab w:val="num" w:pos="12305"/>
        </w:tabs>
        <w:spacing w:line="240" w:lineRule="auto"/>
        <w:ind w:left="0" w:firstLine="0"/>
      </w:pPr>
      <w:bookmarkStart w:id="63" w:name="_Ref532988410"/>
      <w:r w:rsidRPr="004A30A8">
        <w:t xml:space="preserve">La </w:t>
      </w:r>
      <w:r w:rsidRPr="004A30A8">
        <w:rPr>
          <w:rFonts w:cs="Verdana"/>
          <w:b/>
          <w:bCs/>
          <w:i/>
          <w:iCs/>
        </w:rPr>
        <w:t>Corte</w:t>
      </w:r>
      <w:r w:rsidRPr="004A30A8">
        <w:t xml:space="preserve"> reitera que, conforme a su jurisprudencia</w:t>
      </w:r>
      <w:r w:rsidRPr="004A30A8">
        <w:rPr>
          <w:vertAlign w:val="superscript"/>
        </w:rPr>
        <w:footnoteReference w:id="217"/>
      </w:r>
      <w:r w:rsidRPr="004A30A8">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w:t>
      </w:r>
      <w:r w:rsidRPr="004A30A8">
        <w:rPr>
          <w:lang w:val="es-ES"/>
        </w:rPr>
        <w:t>declarada</w:t>
      </w:r>
      <w:r w:rsidRPr="004A30A8">
        <w:t xml:space="preserve"> mediante una sentencia condenatoria. </w:t>
      </w:r>
      <w:r w:rsidRPr="004A30A8">
        <w:rPr>
          <w:rFonts w:cs="Verdana"/>
        </w:rPr>
        <w:t xml:space="preserve">En cuanto al reembolso de las costas y gastos, corresponde al Tribunal apreciar </w:t>
      </w:r>
      <w:r w:rsidRPr="004A30A8">
        <w:t>prudentemente</w:t>
      </w:r>
      <w:r w:rsidRPr="004A30A8">
        <w:rPr>
          <w:rFonts w:cs="Verdana"/>
        </w:rPr>
        <w:t xml:space="preserve"> su alcance, el cual comprende los gastos generados ante las autoridades de la jurisdicción interna, así como los generados en el curso del proceso ante el Sistema Interamericano, teniendo en cuenta las circunstancias del caso concreto y la naturaleza de la </w:t>
      </w:r>
      <w:r w:rsidRPr="004A30A8">
        <w:rPr>
          <w:rFonts w:cs="Arial"/>
          <w:lang w:val="es-ES"/>
        </w:rPr>
        <w:t>jurisdicción</w:t>
      </w:r>
      <w:r w:rsidRPr="004A30A8">
        <w:rPr>
          <w:rFonts w:cs="Verdana"/>
        </w:rPr>
        <w:t xml:space="preserve"> internacional de protección de los derechos humanos. Esta apreciación puede ser realizada con base en el principio de equidad y tomando en cuenta los gastos señalados por las partes, siempre que su </w:t>
      </w:r>
      <w:r w:rsidRPr="004A30A8">
        <w:rPr>
          <w:rFonts w:cs="Verdana"/>
          <w:i/>
          <w:iCs/>
        </w:rPr>
        <w:t>quantum</w:t>
      </w:r>
      <w:r w:rsidRPr="004A30A8">
        <w:rPr>
          <w:rFonts w:cs="Verdana"/>
          <w:iCs/>
        </w:rPr>
        <w:t xml:space="preserve"> </w:t>
      </w:r>
      <w:r w:rsidRPr="004A30A8">
        <w:rPr>
          <w:rFonts w:cs="Verdana"/>
        </w:rPr>
        <w:t>sea razonable</w:t>
      </w:r>
      <w:r w:rsidRPr="004A30A8">
        <w:rPr>
          <w:vertAlign w:val="superscript"/>
        </w:rPr>
        <w:footnoteReference w:id="218"/>
      </w:r>
      <w:r w:rsidRPr="004A30A8">
        <w:t>.</w:t>
      </w:r>
      <w:bookmarkEnd w:id="63"/>
    </w:p>
    <w:p w14:paraId="2BEF9F2A" w14:textId="77777777" w:rsidR="007312D4" w:rsidRPr="004A30A8" w:rsidRDefault="007312D4" w:rsidP="007312D4">
      <w:pPr>
        <w:tabs>
          <w:tab w:val="left" w:pos="567"/>
        </w:tabs>
        <w:spacing w:line="240" w:lineRule="auto"/>
      </w:pPr>
    </w:p>
    <w:p w14:paraId="0D8E4007" w14:textId="7640D0F5" w:rsidR="00272381" w:rsidRPr="004A30A8" w:rsidRDefault="007312D4" w:rsidP="00804223">
      <w:pPr>
        <w:numPr>
          <w:ilvl w:val="0"/>
          <w:numId w:val="7"/>
        </w:numPr>
        <w:tabs>
          <w:tab w:val="left" w:pos="567"/>
          <w:tab w:val="num" w:pos="1569"/>
          <w:tab w:val="num" w:pos="12305"/>
        </w:tabs>
        <w:spacing w:line="240" w:lineRule="auto"/>
        <w:ind w:left="0" w:firstLine="0"/>
        <w:rPr>
          <w:rFonts w:cs="Verdana"/>
          <w:lang w:val="es-ES"/>
        </w:rPr>
      </w:pPr>
      <w:r w:rsidRPr="004A30A8">
        <w:t>Tomando en cuenta los montos solicitados por cada una de las organizaciones y los comprobantes de gastos presentados la Corte dispone fijar en equidad el pago de: un monto total de USD $</w:t>
      </w:r>
      <w:r w:rsidR="00272381" w:rsidRPr="004A30A8">
        <w:t>15</w:t>
      </w:r>
      <w:r w:rsidR="00582A84" w:rsidRPr="004A30A8">
        <w:t>.</w:t>
      </w:r>
      <w:r w:rsidRPr="004A30A8">
        <w:t>000</w:t>
      </w:r>
      <w:r w:rsidR="00582A84" w:rsidRPr="004A30A8">
        <w:t>,</w:t>
      </w:r>
      <w:r w:rsidRPr="004A30A8">
        <w:t>00 (</w:t>
      </w:r>
      <w:r w:rsidR="00272381" w:rsidRPr="004A30A8">
        <w:t>quince</w:t>
      </w:r>
      <w:r w:rsidRPr="004A30A8">
        <w:t xml:space="preserve"> mil dólares de los Estados Unidos de América) por concepto de costas y gastos a favor de </w:t>
      </w:r>
      <w:r w:rsidR="00272381" w:rsidRPr="004A30A8">
        <w:rPr>
          <w:i/>
          <w:iCs/>
        </w:rPr>
        <w:t>DEMUS</w:t>
      </w:r>
      <w:r w:rsidRPr="004A30A8">
        <w:t>, así como un monto total de USD $</w:t>
      </w:r>
      <w:r w:rsidR="00D22B49" w:rsidRPr="004A30A8">
        <w:t>10</w:t>
      </w:r>
      <w:r w:rsidR="00582A84" w:rsidRPr="004A30A8">
        <w:t>.</w:t>
      </w:r>
      <w:r w:rsidRPr="004A30A8">
        <w:t>000</w:t>
      </w:r>
      <w:r w:rsidR="00582A84" w:rsidRPr="004A30A8">
        <w:t>,</w:t>
      </w:r>
      <w:r w:rsidRPr="004A30A8">
        <w:t>00 (</w:t>
      </w:r>
      <w:r w:rsidR="00D22B49" w:rsidRPr="004A30A8">
        <w:t>diez</w:t>
      </w:r>
      <w:r w:rsidRPr="004A30A8">
        <w:t xml:space="preserve"> mil dólares de los Estados Unidos de América) por concepto de costas y </w:t>
      </w:r>
      <w:r w:rsidRPr="004A30A8">
        <w:rPr>
          <w:lang w:val="es-ES"/>
        </w:rPr>
        <w:t>gastos</w:t>
      </w:r>
      <w:r w:rsidRPr="004A30A8">
        <w:t xml:space="preserve"> a favor de </w:t>
      </w:r>
      <w:r w:rsidR="00272381" w:rsidRPr="004A30A8">
        <w:rPr>
          <w:i/>
          <w:iCs/>
        </w:rPr>
        <w:t>Synergía</w:t>
      </w:r>
      <w:r w:rsidRPr="004A30A8">
        <w:t xml:space="preserve">. Dichas cantidades deberán ser entregadas directamente </w:t>
      </w:r>
      <w:r w:rsidRPr="004A30A8">
        <w:rPr>
          <w:lang w:val="es-VE"/>
        </w:rPr>
        <w:t>a dichas organizaciones</w:t>
      </w:r>
      <w:r w:rsidRPr="004A30A8">
        <w:t xml:space="preserve">. En la etapa de </w:t>
      </w:r>
      <w:r w:rsidRPr="004A30A8">
        <w:rPr>
          <w:rFonts w:cs="Verdana"/>
          <w:lang w:val="es-ES"/>
        </w:rPr>
        <w:t xml:space="preserve">supervisión del cumplimiento de la presente </w:t>
      </w:r>
      <w:r w:rsidRPr="004A30A8">
        <w:rPr>
          <w:lang w:val="es-ES"/>
        </w:rPr>
        <w:t>Sentencia</w:t>
      </w:r>
      <w:r w:rsidRPr="004A30A8">
        <w:rPr>
          <w:rFonts w:cs="Verdana"/>
          <w:lang w:val="es-ES"/>
        </w:rPr>
        <w:t>, la Corte podrá disponer que el Estado reembolse a las víctimas o sus representantes los gastos razonables en que incurran en dicha etapa procesal.</w:t>
      </w:r>
    </w:p>
    <w:p w14:paraId="34A11D7C" w14:textId="77777777" w:rsidR="00111230" w:rsidRPr="004A30A8" w:rsidRDefault="00111230" w:rsidP="00111230">
      <w:pPr>
        <w:pStyle w:val="Ttulo2"/>
        <w:spacing w:before="360" w:after="360"/>
        <w:ind w:left="924" w:hanging="357"/>
        <w:rPr>
          <w:bCs/>
        </w:rPr>
      </w:pPr>
      <w:bookmarkStart w:id="64" w:name="_Toc129887125"/>
      <w:r w:rsidRPr="004A30A8">
        <w:rPr>
          <w:bCs/>
          <w:iCs/>
          <w:lang w:val="es-ES"/>
        </w:rPr>
        <w:t>G</w:t>
      </w:r>
      <w:r w:rsidRPr="004A30A8">
        <w:rPr>
          <w:bCs/>
          <w:i w:val="0"/>
          <w:lang w:val="es-ES"/>
        </w:rPr>
        <w:t>.</w:t>
      </w:r>
      <w:r w:rsidRPr="004A30A8">
        <w:rPr>
          <w:bCs/>
        </w:rPr>
        <w:t xml:space="preserve"> Reintegro</w:t>
      </w:r>
      <w:r w:rsidRPr="004A30A8">
        <w:rPr>
          <w:bCs/>
          <w:lang w:val="es-ES"/>
        </w:rPr>
        <w:t xml:space="preserve"> de los gastos al Fondo de Asistencia Legal de Víctimas de la Corte </w:t>
      </w:r>
      <w:r w:rsidRPr="004A30A8">
        <w:rPr>
          <w:bCs/>
        </w:rPr>
        <w:t>Interamericana</w:t>
      </w:r>
      <w:bookmarkEnd w:id="64"/>
    </w:p>
    <w:p w14:paraId="23F4EE86" w14:textId="77777777" w:rsidR="00111230" w:rsidRPr="004A30A8" w:rsidRDefault="00111230" w:rsidP="00111230">
      <w:pPr>
        <w:numPr>
          <w:ilvl w:val="0"/>
          <w:numId w:val="7"/>
        </w:numPr>
        <w:tabs>
          <w:tab w:val="left" w:pos="567"/>
        </w:tabs>
        <w:spacing w:line="240" w:lineRule="auto"/>
        <w:ind w:left="0" w:firstLine="0"/>
        <w:rPr>
          <w:rFonts w:cs="Arial"/>
          <w:lang w:val="es-ES"/>
        </w:rPr>
      </w:pPr>
      <w:r w:rsidRPr="004A30A8">
        <w:rPr>
          <w:rFonts w:eastAsia="MS Mincho" w:cs="Verdana"/>
          <w:snapToGrid w:val="0"/>
          <w:lang w:val="es-ES" w:eastAsia="es-ES" w:bidi="en-US"/>
        </w:rPr>
        <w:t xml:space="preserve">En el 2008 la Asamblea General de la Organización de Estados Americanos creó el Fondo de </w:t>
      </w:r>
      <w:r w:rsidRPr="004A30A8">
        <w:rPr>
          <w:rFonts w:eastAsia="MS Mincho"/>
          <w:lang w:val="es-ES" w:bidi="en-US"/>
        </w:rPr>
        <w:t>Asistencia</w:t>
      </w:r>
      <w:r w:rsidRPr="004A30A8">
        <w:rPr>
          <w:rFonts w:eastAsia="MS Mincho" w:cs="Verdana"/>
          <w:snapToGrid w:val="0"/>
          <w:lang w:val="es-ES" w:eastAsia="es-ES" w:bidi="en-US"/>
        </w:rPr>
        <w:t xml:space="preserve"> Legal del Sistema Interamericano de Derechos Humanos, con el “objeto [de] facilitar acceso al sistema interamericano de derechos humanos a aquellas personas que actualmente no tienen los recursos necesarios para llevar su caso al sistema”</w:t>
      </w:r>
      <w:r w:rsidRPr="004A30A8">
        <w:rPr>
          <w:rFonts w:eastAsia="MS Mincho" w:cs="Verdana"/>
          <w:snapToGrid w:val="0"/>
          <w:vertAlign w:val="superscript"/>
          <w:lang w:val="es-ES" w:eastAsia="es-ES" w:bidi="en-US"/>
        </w:rPr>
        <w:footnoteReference w:id="219"/>
      </w:r>
      <w:r w:rsidRPr="004A30A8">
        <w:rPr>
          <w:rFonts w:eastAsia="MS Mincho" w:cs="Verdana"/>
          <w:snapToGrid w:val="0"/>
          <w:lang w:val="es-ES" w:eastAsia="es-ES" w:bidi="en-US"/>
        </w:rPr>
        <w:t xml:space="preserve">. </w:t>
      </w:r>
    </w:p>
    <w:p w14:paraId="066F414E" w14:textId="77777777" w:rsidR="00111230" w:rsidRPr="004A30A8" w:rsidRDefault="00111230" w:rsidP="00111230">
      <w:pPr>
        <w:tabs>
          <w:tab w:val="left" w:pos="567"/>
        </w:tabs>
        <w:spacing w:line="240" w:lineRule="auto"/>
        <w:rPr>
          <w:rFonts w:cs="Arial"/>
          <w:lang w:val="es-ES"/>
        </w:rPr>
      </w:pPr>
    </w:p>
    <w:p w14:paraId="752910C5" w14:textId="77777777" w:rsidR="00111230" w:rsidRPr="004A30A8" w:rsidRDefault="00111230" w:rsidP="00111230">
      <w:pPr>
        <w:numPr>
          <w:ilvl w:val="0"/>
          <w:numId w:val="7"/>
        </w:numPr>
        <w:tabs>
          <w:tab w:val="left" w:pos="567"/>
        </w:tabs>
        <w:spacing w:line="240" w:lineRule="auto"/>
        <w:ind w:left="0" w:firstLine="0"/>
      </w:pPr>
      <w:r w:rsidRPr="004A30A8">
        <w:rPr>
          <w:rFonts w:eastAsia="MS Mincho" w:cs="Verdana"/>
          <w:snapToGrid w:val="0"/>
          <w:lang w:val="es-ES" w:eastAsia="es-ES" w:bidi="en-US"/>
        </w:rPr>
        <w:t xml:space="preserve">Mediante nota de Secretaría de la Corte de 12 de diciembre de 2022 se remitió un informe al Estado sobre las erogaciones efectuadas en aplicación del Fondo de Asistencia Legal de Víctimas en el presente caso, las cuales ascendieron a la suma de USD$ 5.560,07 (cinco mil quinientos sesenta dólares con siete centavos de los Estados Unidos de América) y, según lo dispuesto en el artículo 5 del Reglamento de la Corte sobre el Funcionamiento del referido Fondo, se otorgó un plazo para que Perú presentara las observaciones que estimara pertinentes. El 19 de diciembre de 2022 el Estado presentó un escrito en el cual manifestó que únicamente se presentaron comprobantes relacionados con los gastos por concepto de pasajes aéreos, mientras que no se remitió ningún comprobante en relación con los gastos de alojamiento, movilidad y manutención erogados para asistir a la audiencia pública relativa al presente caso celebrada en la ciudad de Brasilia, Brasil, el 24 de agosto de 2022. A este respecto, tal y como se señaló en el referido informe de 12 de diciembre de 2022, la Corte destaca que los gastos viáticos y terminales se determinaron según una tabla de viáticos de la Organización de los Estados Americanos aplicable a la ciudad de Brasilia, Brasil, vigente en agosto de 2022. En consecuencia, no era necesario remitir ningún tipo de comprobante adicional en relación con dichos gastos. </w:t>
      </w:r>
    </w:p>
    <w:p w14:paraId="437541B0" w14:textId="77777777" w:rsidR="00111230" w:rsidRPr="004A30A8" w:rsidRDefault="00111230" w:rsidP="00111230">
      <w:pPr>
        <w:tabs>
          <w:tab w:val="left" w:pos="567"/>
        </w:tabs>
        <w:spacing w:line="240" w:lineRule="auto"/>
        <w:rPr>
          <w:rFonts w:eastAsia="MS Mincho" w:cs="Verdana"/>
          <w:snapToGrid w:val="0"/>
          <w:lang w:eastAsia="es-ES" w:bidi="en-US"/>
        </w:rPr>
      </w:pPr>
    </w:p>
    <w:p w14:paraId="0465DAFA" w14:textId="77777777" w:rsidR="00111230" w:rsidRPr="004A30A8" w:rsidRDefault="00111230" w:rsidP="00111230">
      <w:pPr>
        <w:numPr>
          <w:ilvl w:val="0"/>
          <w:numId w:val="7"/>
        </w:numPr>
        <w:tabs>
          <w:tab w:val="left" w:pos="567"/>
        </w:tabs>
        <w:spacing w:line="240" w:lineRule="auto"/>
        <w:ind w:left="0" w:firstLine="0"/>
        <w:rPr>
          <w:rFonts w:eastAsia="MS Mincho" w:cs="Verdana"/>
          <w:snapToGrid w:val="0"/>
          <w:lang w:val="es-ES" w:eastAsia="es-ES" w:bidi="en-US"/>
        </w:rPr>
      </w:pPr>
      <w:r w:rsidRPr="004A30A8">
        <w:rPr>
          <w:rFonts w:eastAsia="MS Mincho" w:cs="Verdana"/>
          <w:snapToGrid w:val="0"/>
          <w:lang w:val="es-ES" w:eastAsia="es-ES" w:bidi="en-US"/>
        </w:rPr>
        <w:t>A la luz del artículo 5 del Reglamento del Fondo, en razón de las violaciones declaradas en la presente Sentencia y que se cumplió con los requisitos para acogerse al Fondo, la Corte ordena al Estado el reintegro a dicho Fondo de la cantidad de USD$ 5.560,07 (cinco mil quinientos sesenta dólares con siete centavos de los Estados Unidos de América) por concepto de los gastos necesarios realizados. Dicha cantidad deberá ser reintegrada en el plazo de seis meses, contados a partir de la notificación del presente fallo.</w:t>
      </w:r>
    </w:p>
    <w:p w14:paraId="1F08673F" w14:textId="7D775725" w:rsidR="00C54378" w:rsidRPr="004A30A8" w:rsidRDefault="00DB12C8" w:rsidP="00804223">
      <w:pPr>
        <w:pStyle w:val="Ttulo2"/>
        <w:spacing w:before="360" w:after="360"/>
        <w:ind w:left="924" w:hanging="357"/>
      </w:pPr>
      <w:bookmarkStart w:id="65" w:name="_Toc129887126"/>
      <w:r w:rsidRPr="004A30A8">
        <w:t>H</w:t>
      </w:r>
      <w:r w:rsidR="00C54378" w:rsidRPr="004A30A8">
        <w:t xml:space="preserve">. </w:t>
      </w:r>
      <w:r w:rsidR="000A032D" w:rsidRPr="004A30A8">
        <w:t>Modalidad de cumplimiento de los pagos ordenados</w:t>
      </w:r>
      <w:bookmarkEnd w:id="65"/>
      <w:r w:rsidR="00C54378" w:rsidRPr="004A30A8">
        <w:t xml:space="preserve"> </w:t>
      </w:r>
    </w:p>
    <w:p w14:paraId="10FB153B" w14:textId="1991E9F6" w:rsidR="000A130C" w:rsidRPr="004A30A8" w:rsidRDefault="000A130C">
      <w:pPr>
        <w:numPr>
          <w:ilvl w:val="0"/>
          <w:numId w:val="7"/>
        </w:numPr>
        <w:tabs>
          <w:tab w:val="left" w:pos="567"/>
          <w:tab w:val="num" w:pos="1569"/>
          <w:tab w:val="num" w:pos="12305"/>
        </w:tabs>
        <w:spacing w:line="240" w:lineRule="auto"/>
        <w:ind w:left="0" w:firstLine="0"/>
        <w:rPr>
          <w:rFonts w:eastAsia="MS Mincho"/>
          <w:lang w:val="es-ES" w:bidi="en-US"/>
        </w:rPr>
      </w:pPr>
      <w:bookmarkStart w:id="66" w:name="_Ref512872975"/>
      <w:r w:rsidRPr="004A30A8">
        <w:rPr>
          <w:rFonts w:eastAsia="SimSun"/>
          <w:lang w:val="es-ES"/>
        </w:rPr>
        <w:t xml:space="preserve">El Estado deberá efectuar el </w:t>
      </w:r>
      <w:r w:rsidRPr="004A30A8">
        <w:rPr>
          <w:rFonts w:eastAsia="MS Mincho"/>
          <w:lang w:val="es-ES" w:bidi="en-US"/>
        </w:rPr>
        <w:t>pago</w:t>
      </w:r>
      <w:r w:rsidRPr="004A30A8">
        <w:rPr>
          <w:rFonts w:eastAsia="SimSun"/>
          <w:lang w:val="es-ES"/>
        </w:rPr>
        <w:t xml:space="preserve"> de la </w:t>
      </w:r>
      <w:r w:rsidR="00DB12C8" w:rsidRPr="004A30A8">
        <w:rPr>
          <w:rFonts w:eastAsia="SimSun"/>
          <w:lang w:val="es-ES"/>
        </w:rPr>
        <w:t>indemnización</w:t>
      </w:r>
      <w:r w:rsidRPr="004A30A8">
        <w:rPr>
          <w:rFonts w:eastAsia="SimSun"/>
          <w:lang w:val="es-ES"/>
        </w:rPr>
        <w:t xml:space="preserve"> por concepto de daño inmaterial </w:t>
      </w:r>
      <w:r w:rsidR="006C1CDB" w:rsidRPr="004A30A8">
        <w:t xml:space="preserve">y el reintegro de costas y gastos </w:t>
      </w:r>
      <w:r w:rsidRPr="004A30A8">
        <w:t>establecido</w:t>
      </w:r>
      <w:r w:rsidR="006C1CDB" w:rsidRPr="004A30A8">
        <w:t>s</w:t>
      </w:r>
      <w:r w:rsidRPr="004A30A8">
        <w:rPr>
          <w:rFonts w:eastAsia="SimSun"/>
          <w:lang w:val="es-ES"/>
        </w:rPr>
        <w:t xml:space="preserve"> en la presente Sentencia directamente a la persona indicada en la misma, dentro del </w:t>
      </w:r>
      <w:r w:rsidRPr="004A30A8">
        <w:rPr>
          <w:rFonts w:eastAsia="MS Mincho"/>
          <w:lang w:val="es-ES" w:bidi="en-US"/>
        </w:rPr>
        <w:t>plazo</w:t>
      </w:r>
      <w:r w:rsidRPr="004A30A8">
        <w:rPr>
          <w:rFonts w:eastAsia="SimSun"/>
          <w:lang w:val="es-ES"/>
        </w:rPr>
        <w:t xml:space="preserve"> de un año contado a partir de la notificación de la presente Sentencia</w:t>
      </w:r>
      <w:bookmarkEnd w:id="66"/>
      <w:r w:rsidRPr="004A30A8">
        <w:rPr>
          <w:rFonts w:eastAsia="SimSun"/>
          <w:lang w:val="es-ES"/>
        </w:rPr>
        <w:t xml:space="preserve">, sin perjuicio de </w:t>
      </w:r>
      <w:r w:rsidRPr="004A30A8">
        <w:rPr>
          <w:rFonts w:eastAsia="Arial" w:cs="Arial"/>
          <w:lang w:val="es-ES"/>
        </w:rPr>
        <w:t>que</w:t>
      </w:r>
      <w:r w:rsidRPr="004A30A8">
        <w:rPr>
          <w:rFonts w:eastAsia="SimSun"/>
          <w:lang w:val="es-ES"/>
        </w:rPr>
        <w:t xml:space="preserve"> pueda adelantar el pago completo en un plazo menor, en los términos de los siguientes párrafos</w:t>
      </w:r>
      <w:r w:rsidRPr="004A30A8">
        <w:rPr>
          <w:rFonts w:eastAsia="MS Mincho"/>
          <w:lang w:val="es-ES" w:bidi="en-US"/>
        </w:rPr>
        <w:t>.</w:t>
      </w:r>
    </w:p>
    <w:p w14:paraId="0B6A4085" w14:textId="77777777" w:rsidR="000A130C" w:rsidRPr="004A30A8" w:rsidRDefault="000A130C" w:rsidP="000A130C">
      <w:pPr>
        <w:spacing w:line="240" w:lineRule="auto"/>
        <w:rPr>
          <w:rFonts w:eastAsia="SimSun" w:cs="Vrinda"/>
          <w:lang w:val="es-ES" w:bidi="en-US"/>
        </w:rPr>
      </w:pPr>
    </w:p>
    <w:p w14:paraId="0639D7C1" w14:textId="1D119963" w:rsidR="000A130C" w:rsidRPr="004A30A8" w:rsidRDefault="000A130C">
      <w:pPr>
        <w:numPr>
          <w:ilvl w:val="0"/>
          <w:numId w:val="7"/>
        </w:numPr>
        <w:tabs>
          <w:tab w:val="left" w:pos="567"/>
          <w:tab w:val="num" w:pos="1569"/>
          <w:tab w:val="num" w:pos="12305"/>
        </w:tabs>
        <w:spacing w:line="240" w:lineRule="auto"/>
        <w:ind w:left="0" w:firstLine="0"/>
        <w:rPr>
          <w:rFonts w:eastAsia="SimSun" w:cs="Vrinda"/>
          <w:lang w:val="es-ES" w:bidi="en-US"/>
        </w:rPr>
      </w:pPr>
      <w:r w:rsidRPr="004A30A8">
        <w:rPr>
          <w:rFonts w:eastAsia="SimSun"/>
          <w:lang w:val="es-ES"/>
        </w:rPr>
        <w:t xml:space="preserve">En caso de que </w:t>
      </w:r>
      <w:r w:rsidR="00DB12C8" w:rsidRPr="004A30A8">
        <w:rPr>
          <w:rFonts w:eastAsia="SimSun"/>
          <w:lang w:val="es-ES"/>
        </w:rPr>
        <w:t>el beneficiario</w:t>
      </w:r>
      <w:r w:rsidRPr="004A30A8">
        <w:rPr>
          <w:rFonts w:eastAsia="SimSun"/>
          <w:lang w:val="es-ES"/>
        </w:rPr>
        <w:t xml:space="preserve"> haya fallecido o fallezca antes de que le sea entregada la </w:t>
      </w:r>
      <w:r w:rsidRPr="004A30A8">
        <w:t>cantidad</w:t>
      </w:r>
      <w:r w:rsidRPr="004A30A8">
        <w:rPr>
          <w:rFonts w:eastAsia="SimSun"/>
          <w:lang w:val="es-ES"/>
        </w:rPr>
        <w:t xml:space="preserve"> respectiva, esta se </w:t>
      </w:r>
      <w:r w:rsidRPr="004A30A8">
        <w:rPr>
          <w:rFonts w:eastAsia="MS Mincho"/>
          <w:lang w:val="es-ES" w:bidi="en-US"/>
        </w:rPr>
        <w:t>entregará</w:t>
      </w:r>
      <w:r w:rsidRPr="004A30A8">
        <w:rPr>
          <w:rFonts w:eastAsia="SimSun"/>
          <w:lang w:val="es-ES"/>
        </w:rPr>
        <w:t xml:space="preserve"> directamente a sus derechohabientes, conforme al derecho interno aplicable.</w:t>
      </w:r>
    </w:p>
    <w:p w14:paraId="7416CBBF" w14:textId="77777777" w:rsidR="000A130C" w:rsidRPr="004A30A8" w:rsidRDefault="000A130C" w:rsidP="000A130C">
      <w:pPr>
        <w:tabs>
          <w:tab w:val="left" w:pos="567"/>
        </w:tabs>
        <w:spacing w:line="240" w:lineRule="auto"/>
        <w:rPr>
          <w:rFonts w:eastAsia="SimSun"/>
          <w:lang w:val="es-ES"/>
        </w:rPr>
      </w:pPr>
    </w:p>
    <w:p w14:paraId="299346EA" w14:textId="5F3F6094" w:rsidR="000A130C" w:rsidRPr="004A30A8" w:rsidRDefault="000A130C">
      <w:pPr>
        <w:numPr>
          <w:ilvl w:val="0"/>
          <w:numId w:val="7"/>
        </w:numPr>
        <w:tabs>
          <w:tab w:val="left" w:pos="567"/>
          <w:tab w:val="num" w:pos="1569"/>
          <w:tab w:val="num" w:pos="12305"/>
        </w:tabs>
        <w:spacing w:line="240" w:lineRule="auto"/>
        <w:ind w:left="0" w:firstLine="0"/>
        <w:rPr>
          <w:rFonts w:eastAsia="SimSun"/>
          <w:lang w:val="es-ES"/>
        </w:rPr>
      </w:pPr>
      <w:r w:rsidRPr="004A30A8">
        <w:rPr>
          <w:rFonts w:eastAsia="SimSun"/>
          <w:lang w:val="es-ES"/>
        </w:rPr>
        <w:t xml:space="preserve">El Estado deberá cumplir con las obligaciones monetarias mediante el pago en dólares de los Estados Unidos de América o su equivalente en moneda nacional, utilizando para el cálculo </w:t>
      </w:r>
      <w:r w:rsidRPr="004A30A8">
        <w:t>respectivo</w:t>
      </w:r>
      <w:r w:rsidRPr="004A30A8">
        <w:rPr>
          <w:rFonts w:eastAsia="SimSun"/>
          <w:lang w:val="es-ES"/>
        </w:rPr>
        <w:t xml:space="preserve"> el tipo de cambio de mercado publicado o calculado por una autoridad bancaria o financiera pertinente en la fecha más cercana al día del </w:t>
      </w:r>
      <w:r w:rsidRPr="004A30A8">
        <w:rPr>
          <w:rFonts w:eastAsia="SimSun"/>
          <w:lang w:val="es-ES"/>
        </w:rPr>
        <w:lastRenderedPageBreak/>
        <w:t>pago.</w:t>
      </w:r>
    </w:p>
    <w:p w14:paraId="12144179" w14:textId="77777777" w:rsidR="000A130C" w:rsidRPr="004A30A8" w:rsidRDefault="000A130C" w:rsidP="000A130C">
      <w:pPr>
        <w:tabs>
          <w:tab w:val="left" w:pos="567"/>
        </w:tabs>
        <w:spacing w:line="240" w:lineRule="auto"/>
        <w:rPr>
          <w:rFonts w:eastAsia="SimSun"/>
          <w:lang w:val="es-ES"/>
        </w:rPr>
      </w:pPr>
    </w:p>
    <w:p w14:paraId="2E2076DB" w14:textId="376654F9" w:rsidR="000A130C" w:rsidRPr="004A30A8" w:rsidRDefault="000A130C">
      <w:pPr>
        <w:numPr>
          <w:ilvl w:val="0"/>
          <w:numId w:val="7"/>
        </w:numPr>
        <w:tabs>
          <w:tab w:val="left" w:pos="567"/>
          <w:tab w:val="num" w:pos="1569"/>
          <w:tab w:val="num" w:pos="12305"/>
        </w:tabs>
        <w:spacing w:line="240" w:lineRule="auto"/>
        <w:ind w:left="0" w:firstLine="0"/>
        <w:rPr>
          <w:rFonts w:eastAsia="SimSun" w:cs="Vrinda"/>
          <w:lang w:val="es-ES" w:bidi="en-US"/>
        </w:rPr>
      </w:pPr>
      <w:r w:rsidRPr="004A30A8">
        <w:rPr>
          <w:rFonts w:eastAsia="SimSun"/>
          <w:lang w:val="es-ES"/>
        </w:rPr>
        <w:t xml:space="preserve">Si por causas atribuibles a los beneficiarios de las indemnizaciones o a sus derechohabientes no </w:t>
      </w:r>
      <w:r w:rsidRPr="004A30A8">
        <w:t>fuese</w:t>
      </w:r>
      <w:r w:rsidRPr="004A30A8">
        <w:rPr>
          <w:rFonts w:eastAsia="SimSun"/>
          <w:lang w:val="es-ES"/>
        </w:rPr>
        <w:t xml:space="preserve"> posible el pago de las cantidades determinadas dentro del plazo indicado, el Estado </w:t>
      </w:r>
      <w:r w:rsidRPr="004A30A8">
        <w:rPr>
          <w:rFonts w:eastAsia="Arial" w:cs="Arial"/>
          <w:lang w:val="es-ES"/>
        </w:rPr>
        <w:t>consignará</w:t>
      </w:r>
      <w:r w:rsidRPr="004A30A8">
        <w:rPr>
          <w:rFonts w:eastAsia="SimSun"/>
          <w:lang w:val="es-ES"/>
        </w:rPr>
        <w:t xml:space="preserve"> dichos montos a su favor en una cuenta o certificado de depósito en </w:t>
      </w:r>
      <w:r w:rsidRPr="004A30A8">
        <w:rPr>
          <w:rFonts w:eastAsia="MS Mincho"/>
          <w:lang w:val="es-ES" w:bidi="en-US"/>
        </w:rPr>
        <w:t>una</w:t>
      </w:r>
      <w:r w:rsidRPr="004A30A8">
        <w:rPr>
          <w:rFonts w:eastAsia="SimSun"/>
          <w:lang w:val="es-ES"/>
        </w:rPr>
        <w:t xml:space="preserve"> institución financiera </w:t>
      </w:r>
      <w:r w:rsidR="00DB12C8" w:rsidRPr="004A30A8">
        <w:rPr>
          <w:rFonts w:eastAsia="SimSun"/>
          <w:lang w:val="es-ES"/>
        </w:rPr>
        <w:t>peruana</w:t>
      </w:r>
      <w:r w:rsidRPr="004A30A8">
        <w:rPr>
          <w:rFonts w:eastAsia="SimSun"/>
          <w:lang w:val="es-ES"/>
        </w:rPr>
        <w:t xml:space="preserve"> solvente, en </w:t>
      </w:r>
      <w:r w:rsidRPr="004A30A8">
        <w:rPr>
          <w:rFonts w:eastAsia="MS Mincho"/>
          <w:lang w:val="es-ES" w:bidi="en-US"/>
        </w:rPr>
        <w:t>dólares</w:t>
      </w:r>
      <w:r w:rsidRPr="004A30A8">
        <w:rPr>
          <w:rFonts w:eastAsia="SimSun"/>
          <w:lang w:val="es-ES"/>
        </w:rPr>
        <w:t xml:space="preserve">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2E7C765E" w14:textId="77777777" w:rsidR="000A130C" w:rsidRPr="004A30A8" w:rsidRDefault="000A130C" w:rsidP="000A130C">
      <w:pPr>
        <w:tabs>
          <w:tab w:val="left" w:pos="567"/>
        </w:tabs>
        <w:spacing w:line="240" w:lineRule="auto"/>
        <w:rPr>
          <w:rFonts w:eastAsia="SimSun"/>
          <w:lang w:val="es-ES"/>
        </w:rPr>
      </w:pPr>
    </w:p>
    <w:p w14:paraId="77D5C092" w14:textId="07C8770F" w:rsidR="000A130C" w:rsidRPr="004A30A8" w:rsidRDefault="000A130C">
      <w:pPr>
        <w:numPr>
          <w:ilvl w:val="0"/>
          <w:numId w:val="7"/>
        </w:numPr>
        <w:tabs>
          <w:tab w:val="left" w:pos="567"/>
          <w:tab w:val="num" w:pos="1569"/>
          <w:tab w:val="num" w:pos="12305"/>
        </w:tabs>
        <w:spacing w:line="240" w:lineRule="auto"/>
        <w:ind w:left="0" w:firstLine="0"/>
        <w:rPr>
          <w:rFonts w:eastAsia="SimSun" w:cs="Vrinda"/>
          <w:lang w:val="es-ES" w:bidi="en-US"/>
        </w:rPr>
      </w:pPr>
      <w:r w:rsidRPr="004A30A8">
        <w:rPr>
          <w:rFonts w:eastAsia="SimSun"/>
          <w:lang w:val="es-ES"/>
        </w:rPr>
        <w:t xml:space="preserve">Las cantidades </w:t>
      </w:r>
      <w:r w:rsidRPr="004A30A8">
        <w:rPr>
          <w:rFonts w:eastAsia="Arial" w:cs="Arial"/>
          <w:lang w:val="es-ES"/>
        </w:rPr>
        <w:t>asignadas</w:t>
      </w:r>
      <w:r w:rsidRPr="004A30A8">
        <w:rPr>
          <w:rFonts w:eastAsia="SimSun"/>
          <w:lang w:val="es-ES"/>
        </w:rPr>
        <w:t xml:space="preserve"> en la presente Sentencia en concepto de indemnización por daño inmaterial</w:t>
      </w:r>
      <w:r w:rsidR="006C1CDB" w:rsidRPr="004A30A8">
        <w:rPr>
          <w:rFonts w:eastAsia="SimSun"/>
          <w:lang w:val="es-ES"/>
        </w:rPr>
        <w:t xml:space="preserve"> </w:t>
      </w:r>
      <w:r w:rsidR="006C1CDB" w:rsidRPr="004A30A8">
        <w:t>y por costas y gastos</w:t>
      </w:r>
      <w:r w:rsidRPr="004A30A8">
        <w:rPr>
          <w:rFonts w:eastAsia="SimSun"/>
          <w:lang w:val="es-ES"/>
        </w:rPr>
        <w:t xml:space="preserve"> </w:t>
      </w:r>
      <w:r w:rsidRPr="004A30A8">
        <w:rPr>
          <w:rFonts w:eastAsia="MS Mincho"/>
          <w:lang w:val="es-ES" w:bidi="en-US"/>
        </w:rPr>
        <w:t>deberán</w:t>
      </w:r>
      <w:r w:rsidRPr="004A30A8">
        <w:rPr>
          <w:rFonts w:eastAsia="SimSun"/>
          <w:lang w:val="es-ES"/>
        </w:rPr>
        <w:t xml:space="preserve"> ser entregadas a la persona indicada en forma íntegra, conforme a lo establecido en esta Sentencia, sin reducciones derivadas de eventuales cargas fiscales.</w:t>
      </w:r>
      <w:bookmarkStart w:id="67" w:name="_Ref469940442"/>
    </w:p>
    <w:p w14:paraId="5E49ABBB" w14:textId="77777777" w:rsidR="000A130C" w:rsidRPr="004A30A8" w:rsidRDefault="000A130C" w:rsidP="000A130C">
      <w:pPr>
        <w:spacing w:line="240" w:lineRule="auto"/>
        <w:rPr>
          <w:rFonts w:eastAsia="SimSun" w:cs="Vrinda"/>
          <w:lang w:val="es-ES" w:bidi="en-US"/>
        </w:rPr>
      </w:pPr>
    </w:p>
    <w:bookmarkEnd w:id="67"/>
    <w:p w14:paraId="4B4E072A" w14:textId="14FA6322" w:rsidR="000A130C" w:rsidRPr="004A30A8" w:rsidRDefault="000A130C">
      <w:pPr>
        <w:numPr>
          <w:ilvl w:val="0"/>
          <w:numId w:val="7"/>
        </w:numPr>
        <w:tabs>
          <w:tab w:val="left" w:pos="567"/>
          <w:tab w:val="num" w:pos="1569"/>
          <w:tab w:val="num" w:pos="12305"/>
        </w:tabs>
        <w:spacing w:line="240" w:lineRule="auto"/>
        <w:ind w:left="0" w:firstLine="0"/>
        <w:rPr>
          <w:rFonts w:eastAsia="Batang" w:cs="Times"/>
          <w:noProof/>
          <w:lang w:val="es-ES"/>
        </w:rPr>
      </w:pPr>
      <w:r w:rsidRPr="004A30A8">
        <w:rPr>
          <w:rFonts w:eastAsia="Batang" w:cs="Times"/>
          <w:noProof/>
          <w:lang w:val="es-ES"/>
        </w:rPr>
        <w:t xml:space="preserve">En caso de que el Estado incurriera en mora, incluyendo en el reintegro de los gastos al Fondo de </w:t>
      </w:r>
      <w:r w:rsidRPr="004A30A8">
        <w:rPr>
          <w:rFonts w:eastAsia="Arial" w:cs="Arial"/>
          <w:lang w:val="es-ES"/>
        </w:rPr>
        <w:t>Asistencia</w:t>
      </w:r>
      <w:r w:rsidRPr="004A30A8">
        <w:rPr>
          <w:rFonts w:eastAsia="Batang" w:cs="Times"/>
          <w:noProof/>
          <w:lang w:val="es-ES"/>
        </w:rPr>
        <w:t xml:space="preserve"> Legal de Víctimas, deberá pagar un interés sobre la cantidad adeudada </w:t>
      </w:r>
      <w:r w:rsidRPr="004A30A8">
        <w:t>correspondiente</w:t>
      </w:r>
      <w:r w:rsidRPr="004A30A8">
        <w:rPr>
          <w:rFonts w:eastAsia="Batang" w:cs="Times"/>
          <w:noProof/>
          <w:lang w:val="es-ES"/>
        </w:rPr>
        <w:t xml:space="preserve"> al interés bancario </w:t>
      </w:r>
      <w:r w:rsidRPr="004A30A8">
        <w:rPr>
          <w:rFonts w:eastAsia="MS Mincho"/>
          <w:lang w:val="es-ES" w:bidi="en-US"/>
        </w:rPr>
        <w:t>moratorio</w:t>
      </w:r>
      <w:r w:rsidRPr="004A30A8">
        <w:rPr>
          <w:rFonts w:eastAsia="Batang" w:cs="Times"/>
          <w:noProof/>
          <w:lang w:val="es-ES"/>
        </w:rPr>
        <w:t xml:space="preserve"> en Perú. </w:t>
      </w:r>
    </w:p>
    <w:p w14:paraId="0963025A" w14:textId="410CEB3B" w:rsidR="002D2425" w:rsidRPr="004A30A8" w:rsidRDefault="002D2425" w:rsidP="00804223">
      <w:pPr>
        <w:pStyle w:val="Ttulo1"/>
        <w:spacing w:before="360" w:after="360"/>
      </w:pPr>
      <w:bookmarkStart w:id="68" w:name="_Toc24447115"/>
      <w:bookmarkStart w:id="69" w:name="_Toc108695527"/>
      <w:bookmarkStart w:id="70" w:name="_Toc111623881"/>
      <w:bookmarkStart w:id="71" w:name="_Toc129887127"/>
      <w:r w:rsidRPr="004A30A8">
        <w:t>X</w:t>
      </w:r>
      <w:r w:rsidRPr="004A30A8">
        <w:br/>
        <w:t>PUNTOS RESOLUTIVOS</w:t>
      </w:r>
      <w:bookmarkEnd w:id="68"/>
      <w:bookmarkEnd w:id="69"/>
      <w:bookmarkEnd w:id="70"/>
      <w:bookmarkEnd w:id="71"/>
    </w:p>
    <w:p w14:paraId="396D877A" w14:textId="77777777" w:rsidR="00D03F10" w:rsidRPr="004A30A8" w:rsidRDefault="002D2425" w:rsidP="00A575B9">
      <w:pPr>
        <w:widowControl/>
        <w:numPr>
          <w:ilvl w:val="0"/>
          <w:numId w:val="7"/>
        </w:numPr>
        <w:tabs>
          <w:tab w:val="left" w:pos="567"/>
          <w:tab w:val="num" w:pos="1569"/>
          <w:tab w:val="num" w:pos="5057"/>
          <w:tab w:val="num" w:pos="12305"/>
        </w:tabs>
        <w:adjustRightInd/>
        <w:spacing w:after="200" w:line="276" w:lineRule="auto"/>
        <w:ind w:left="0" w:firstLine="0"/>
        <w:jc w:val="left"/>
        <w:rPr>
          <w:rFonts w:eastAsia="MS Mincho"/>
          <w:b/>
          <w:bCs/>
          <w:lang w:val="es-ES" w:bidi="en-US"/>
        </w:rPr>
      </w:pPr>
      <w:r w:rsidRPr="004A30A8">
        <w:rPr>
          <w:rFonts w:cs="Arial"/>
        </w:rPr>
        <w:t xml:space="preserve">Por </w:t>
      </w:r>
      <w:r w:rsidRPr="004A30A8">
        <w:t>tanto</w:t>
      </w:r>
      <w:r w:rsidRPr="004A30A8">
        <w:rPr>
          <w:rFonts w:cs="Arial"/>
        </w:rPr>
        <w:t>,</w:t>
      </w:r>
    </w:p>
    <w:p w14:paraId="5CAD6C6B" w14:textId="296F99D7" w:rsidR="002D2425" w:rsidRPr="004A30A8" w:rsidRDefault="002D2425" w:rsidP="00D03F10">
      <w:pPr>
        <w:widowControl/>
        <w:tabs>
          <w:tab w:val="left" w:pos="567"/>
          <w:tab w:val="num" w:pos="5057"/>
          <w:tab w:val="num" w:pos="12305"/>
        </w:tabs>
        <w:adjustRightInd/>
        <w:spacing w:after="200" w:line="276" w:lineRule="auto"/>
        <w:jc w:val="left"/>
        <w:rPr>
          <w:rFonts w:eastAsia="MS Mincho"/>
          <w:b/>
          <w:bCs/>
          <w:lang w:val="es-ES" w:bidi="en-US"/>
        </w:rPr>
      </w:pPr>
      <w:r w:rsidRPr="004A30A8">
        <w:rPr>
          <w:rFonts w:eastAsia="MS Mincho"/>
          <w:b/>
          <w:bCs/>
          <w:lang w:val="es-ES" w:bidi="en-US"/>
        </w:rPr>
        <w:t>LA CORTE</w:t>
      </w:r>
    </w:p>
    <w:p w14:paraId="5182C5A7" w14:textId="5EB5713B" w:rsidR="00582A84" w:rsidRPr="004A30A8" w:rsidRDefault="00582A84" w:rsidP="00582A84">
      <w:pPr>
        <w:pStyle w:val="Prrafodelista"/>
        <w:widowControl/>
        <w:ind w:left="0"/>
        <w:rPr>
          <w:b/>
        </w:rPr>
      </w:pPr>
      <w:r w:rsidRPr="004A30A8">
        <w:rPr>
          <w:b/>
        </w:rPr>
        <w:t xml:space="preserve">DECIDE, </w:t>
      </w:r>
    </w:p>
    <w:p w14:paraId="3360E0AD" w14:textId="675C7AC9" w:rsidR="003656CC" w:rsidRPr="004A30A8" w:rsidRDefault="003656CC" w:rsidP="003656CC">
      <w:pPr>
        <w:tabs>
          <w:tab w:val="left" w:pos="720"/>
        </w:tabs>
        <w:spacing w:before="360" w:after="360" w:line="20" w:lineRule="atLeast"/>
        <w:ind w:right="-86"/>
        <w:contextualSpacing/>
        <w:rPr>
          <w:rFonts w:eastAsia="MS Mincho"/>
          <w:lang w:val="es-ES" w:bidi="en-US"/>
        </w:rPr>
      </w:pPr>
      <w:r w:rsidRPr="004A30A8">
        <w:rPr>
          <w:rFonts w:eastAsia="MS Mincho"/>
          <w:lang w:val="es-ES" w:bidi="en-US"/>
        </w:rPr>
        <w:t xml:space="preserve">Por </w:t>
      </w:r>
      <w:r w:rsidR="00804223" w:rsidRPr="004A30A8">
        <w:rPr>
          <w:rFonts w:eastAsia="MS Mincho"/>
          <w:lang w:val="es-ES" w:bidi="en-US"/>
        </w:rPr>
        <w:t>unanimidad</w:t>
      </w:r>
      <w:r w:rsidRPr="004A30A8">
        <w:rPr>
          <w:rFonts w:eastAsia="MS Mincho"/>
          <w:lang w:val="es-ES" w:bidi="en-US"/>
        </w:rPr>
        <w:t>,</w:t>
      </w:r>
    </w:p>
    <w:p w14:paraId="20E578ED" w14:textId="77777777" w:rsidR="00582A84" w:rsidRPr="004A30A8" w:rsidRDefault="00582A84" w:rsidP="00582A84"/>
    <w:p w14:paraId="1E5CED19" w14:textId="08F18BF9" w:rsidR="00582A84" w:rsidRPr="004A30A8" w:rsidRDefault="00582A84">
      <w:pPr>
        <w:numPr>
          <w:ilvl w:val="0"/>
          <w:numId w:val="14"/>
        </w:numPr>
        <w:tabs>
          <w:tab w:val="left" w:pos="720"/>
        </w:tabs>
        <w:spacing w:before="360" w:after="360" w:line="20" w:lineRule="atLeast"/>
        <w:ind w:right="-86"/>
        <w:contextualSpacing/>
        <w:textAlignment w:val="baseline"/>
      </w:pPr>
      <w:r w:rsidRPr="004A30A8">
        <w:t xml:space="preserve">Desestimar la excepción preliminar relativa </w:t>
      </w:r>
      <w:r w:rsidRPr="004A30A8">
        <w:rPr>
          <w:lang w:val="es-ES"/>
        </w:rPr>
        <w:t>al control de legalidad de las actuaciones de la Comisión</w:t>
      </w:r>
      <w:r w:rsidR="003656CC" w:rsidRPr="004A30A8">
        <w:rPr>
          <w:lang w:val="es-ES"/>
        </w:rPr>
        <w:t xml:space="preserve"> y excepción de cuarta instancia</w:t>
      </w:r>
      <w:r w:rsidRPr="004A30A8">
        <w:t xml:space="preserve">, de conformidad con los párrafos </w:t>
      </w:r>
      <w:r w:rsidR="00CF688D" w:rsidRPr="004A30A8">
        <w:t>18</w:t>
      </w:r>
      <w:r w:rsidRPr="004A30A8">
        <w:t xml:space="preserve"> y </w:t>
      </w:r>
      <w:r w:rsidR="00CF688D" w:rsidRPr="004A30A8">
        <w:t>19</w:t>
      </w:r>
      <w:r w:rsidRPr="004A30A8">
        <w:t xml:space="preserve"> de esta Sentencia.</w:t>
      </w:r>
    </w:p>
    <w:p w14:paraId="6E00991E" w14:textId="77777777" w:rsidR="00582A84" w:rsidRPr="004A30A8" w:rsidRDefault="00582A84" w:rsidP="00582A84">
      <w:pPr>
        <w:tabs>
          <w:tab w:val="left" w:pos="720"/>
        </w:tabs>
        <w:spacing w:before="360" w:after="360" w:line="20" w:lineRule="atLeast"/>
        <w:ind w:right="-86"/>
        <w:contextualSpacing/>
      </w:pPr>
    </w:p>
    <w:p w14:paraId="27FF0737" w14:textId="42238A96" w:rsidR="00582A84" w:rsidRPr="004A30A8" w:rsidRDefault="00582A84">
      <w:pPr>
        <w:numPr>
          <w:ilvl w:val="0"/>
          <w:numId w:val="14"/>
        </w:numPr>
        <w:tabs>
          <w:tab w:val="left" w:pos="720"/>
        </w:tabs>
        <w:spacing w:line="20" w:lineRule="atLeast"/>
        <w:ind w:right="-90"/>
        <w:contextualSpacing/>
        <w:textAlignment w:val="baseline"/>
      </w:pPr>
      <w:r w:rsidRPr="004A30A8">
        <w:t xml:space="preserve">Desestimar la excepción preliminar de </w:t>
      </w:r>
      <w:r w:rsidRPr="004A30A8">
        <w:rPr>
          <w:lang w:val="es-ES"/>
        </w:rPr>
        <w:t>falta de agotamiento de recursos internos</w:t>
      </w:r>
      <w:r w:rsidRPr="004A30A8">
        <w:t xml:space="preserve">, de conformidad con los párrafos </w:t>
      </w:r>
      <w:r w:rsidR="00CF688D" w:rsidRPr="004A30A8">
        <w:t>23</w:t>
      </w:r>
      <w:r w:rsidRPr="004A30A8">
        <w:t xml:space="preserve"> </w:t>
      </w:r>
      <w:r w:rsidR="00CF688D" w:rsidRPr="004A30A8">
        <w:t>a</w:t>
      </w:r>
      <w:r w:rsidRPr="004A30A8">
        <w:t xml:space="preserve"> </w:t>
      </w:r>
      <w:r w:rsidR="00CF688D" w:rsidRPr="004A30A8">
        <w:t>26</w:t>
      </w:r>
      <w:r w:rsidRPr="004A30A8">
        <w:t xml:space="preserve"> de esta Sentencia.</w:t>
      </w:r>
    </w:p>
    <w:p w14:paraId="3CEE9CA8" w14:textId="77777777" w:rsidR="002D2425" w:rsidRPr="004A30A8" w:rsidRDefault="002D2425" w:rsidP="002D2425">
      <w:pPr>
        <w:tabs>
          <w:tab w:val="left" w:pos="720"/>
        </w:tabs>
        <w:spacing w:line="20" w:lineRule="atLeast"/>
        <w:ind w:right="-90"/>
        <w:contextualSpacing/>
      </w:pPr>
    </w:p>
    <w:p w14:paraId="28FCBBF0" w14:textId="77777777" w:rsidR="002D2425" w:rsidRPr="004A30A8" w:rsidRDefault="002D2425" w:rsidP="002D2425">
      <w:pPr>
        <w:tabs>
          <w:tab w:val="left" w:pos="720"/>
        </w:tabs>
        <w:spacing w:before="360" w:after="360" w:line="20" w:lineRule="atLeast"/>
        <w:ind w:right="-86"/>
        <w:contextualSpacing/>
        <w:rPr>
          <w:rFonts w:eastAsia="MS Mincho"/>
          <w:b/>
          <w:bCs/>
          <w:lang w:val="es-ES" w:bidi="en-US"/>
        </w:rPr>
      </w:pPr>
      <w:r w:rsidRPr="004A30A8">
        <w:rPr>
          <w:rFonts w:eastAsia="MS Mincho"/>
          <w:b/>
          <w:bCs/>
          <w:lang w:val="es-ES" w:bidi="en-US"/>
        </w:rPr>
        <w:t>DECLARA,</w:t>
      </w:r>
    </w:p>
    <w:p w14:paraId="02C2B70A" w14:textId="77777777" w:rsidR="002D2425" w:rsidRPr="004A30A8" w:rsidRDefault="002D2425" w:rsidP="002D2425">
      <w:pPr>
        <w:tabs>
          <w:tab w:val="left" w:pos="720"/>
        </w:tabs>
        <w:spacing w:line="20" w:lineRule="atLeast"/>
        <w:ind w:right="-90"/>
        <w:contextualSpacing/>
        <w:rPr>
          <w:kern w:val="2"/>
          <w:lang w:val="es-ES"/>
        </w:rPr>
      </w:pPr>
    </w:p>
    <w:p w14:paraId="09474A49" w14:textId="127A9393" w:rsidR="00721C76" w:rsidRPr="004A30A8" w:rsidRDefault="002D2425" w:rsidP="001C4438">
      <w:pPr>
        <w:tabs>
          <w:tab w:val="left" w:pos="720"/>
        </w:tabs>
        <w:spacing w:line="20" w:lineRule="atLeast"/>
        <w:ind w:right="-90"/>
        <w:contextualSpacing/>
        <w:rPr>
          <w:rFonts w:eastAsia="MS Mincho"/>
          <w:lang w:val="es-ES" w:bidi="en-US"/>
        </w:rPr>
      </w:pPr>
      <w:r w:rsidRPr="004A30A8">
        <w:rPr>
          <w:rFonts w:eastAsia="MS Mincho"/>
          <w:lang w:val="es-ES" w:bidi="en-US"/>
        </w:rPr>
        <w:t xml:space="preserve">Por </w:t>
      </w:r>
      <w:r w:rsidR="00804223" w:rsidRPr="004A30A8">
        <w:rPr>
          <w:rFonts w:eastAsia="MS Mincho"/>
          <w:lang w:val="es-ES" w:bidi="en-US"/>
        </w:rPr>
        <w:t xml:space="preserve">unanimidad </w:t>
      </w:r>
      <w:r w:rsidRPr="004A30A8">
        <w:rPr>
          <w:rFonts w:eastAsia="MS Mincho"/>
          <w:lang w:val="es-ES" w:bidi="en-US"/>
        </w:rPr>
        <w:t>que:</w:t>
      </w:r>
    </w:p>
    <w:p w14:paraId="50BE2078" w14:textId="5F6C0031" w:rsidR="00582A84" w:rsidRPr="004A30A8" w:rsidRDefault="00582A84" w:rsidP="001C4438">
      <w:pPr>
        <w:tabs>
          <w:tab w:val="left" w:pos="720"/>
        </w:tabs>
        <w:spacing w:line="20" w:lineRule="atLeast"/>
        <w:ind w:right="-90"/>
        <w:contextualSpacing/>
        <w:rPr>
          <w:rFonts w:eastAsia="MS Mincho"/>
          <w:lang w:val="es-ES" w:bidi="en-US"/>
        </w:rPr>
      </w:pPr>
    </w:p>
    <w:p w14:paraId="7D5024BF" w14:textId="4DFA48D2" w:rsidR="00582A84" w:rsidRPr="004A30A8" w:rsidRDefault="00582A84">
      <w:pPr>
        <w:numPr>
          <w:ilvl w:val="0"/>
          <w:numId w:val="14"/>
        </w:numPr>
        <w:tabs>
          <w:tab w:val="left" w:pos="720"/>
        </w:tabs>
        <w:spacing w:line="20" w:lineRule="atLeast"/>
        <w:ind w:right="-90"/>
        <w:contextualSpacing/>
        <w:textAlignment w:val="baseline"/>
      </w:pPr>
      <w:r w:rsidRPr="004A30A8">
        <w:rPr>
          <w:kern w:val="2"/>
          <w:lang w:val="es-ES"/>
        </w:rPr>
        <w:t xml:space="preserve">El Estado es responsable por la violación </w:t>
      </w:r>
      <w:r w:rsidR="003656CC" w:rsidRPr="004A30A8">
        <w:t>de los artículos 7</w:t>
      </w:r>
      <w:r w:rsidR="004478DB" w:rsidRPr="004A30A8">
        <w:t>.1</w:t>
      </w:r>
      <w:r w:rsidR="003656CC" w:rsidRPr="004A30A8">
        <w:t>, 8.1, 11</w:t>
      </w:r>
      <w:r w:rsidR="003D065D" w:rsidRPr="004A30A8">
        <w:t>.2</w:t>
      </w:r>
      <w:r w:rsidR="003656CC" w:rsidRPr="004A30A8">
        <w:t>, 24 y 25</w:t>
      </w:r>
      <w:r w:rsidR="00132FAC" w:rsidRPr="004A30A8">
        <w:t>.1</w:t>
      </w:r>
      <w:r w:rsidR="003656CC" w:rsidRPr="004A30A8">
        <w:t xml:space="preserve"> de la Convención Americana sobre Derechos Humanos, en relación con el artículo 1.1 del mismo instrumento</w:t>
      </w:r>
      <w:r w:rsidRPr="004A30A8">
        <w:t xml:space="preserve">, en perjuicio </w:t>
      </w:r>
      <w:r w:rsidR="003656CC" w:rsidRPr="004A30A8">
        <w:t xml:space="preserve">del señor </w:t>
      </w:r>
      <w:r w:rsidR="003656CC" w:rsidRPr="004A30A8">
        <w:rPr>
          <w:lang w:val="es-ES"/>
        </w:rPr>
        <w:t>Crissthian Manuel Olivera Fuentes</w:t>
      </w:r>
      <w:r w:rsidRPr="004A30A8">
        <w:rPr>
          <w:kern w:val="2"/>
          <w:lang w:val="es-ES"/>
        </w:rPr>
        <w:t xml:space="preserve">, en los términos de los párrafos </w:t>
      </w:r>
      <w:r w:rsidR="00F9191A" w:rsidRPr="004A30A8">
        <w:rPr>
          <w:kern w:val="2"/>
          <w:lang w:val="es-ES"/>
        </w:rPr>
        <w:t>105</w:t>
      </w:r>
      <w:r w:rsidRPr="004A30A8">
        <w:rPr>
          <w:kern w:val="2"/>
          <w:lang w:val="es-ES"/>
        </w:rPr>
        <w:t xml:space="preserve"> a </w:t>
      </w:r>
      <w:r w:rsidR="00F9191A" w:rsidRPr="004A30A8">
        <w:rPr>
          <w:kern w:val="2"/>
          <w:lang w:val="es-ES"/>
        </w:rPr>
        <w:t>129</w:t>
      </w:r>
      <w:r w:rsidRPr="004A30A8">
        <w:rPr>
          <w:kern w:val="2"/>
          <w:lang w:val="es-ES"/>
        </w:rPr>
        <w:t xml:space="preserve"> de la presente Sentencia.</w:t>
      </w:r>
    </w:p>
    <w:p w14:paraId="069EA881" w14:textId="77777777" w:rsidR="00582A84" w:rsidRPr="004A30A8" w:rsidRDefault="00582A84" w:rsidP="00582A84">
      <w:pPr>
        <w:tabs>
          <w:tab w:val="left" w:pos="720"/>
        </w:tabs>
        <w:spacing w:line="20" w:lineRule="atLeast"/>
        <w:ind w:right="-90"/>
        <w:contextualSpacing/>
        <w:rPr>
          <w:rFonts w:eastAsia="MS Mincho"/>
          <w:lang w:val="es-ES" w:bidi="en-US"/>
        </w:rPr>
      </w:pPr>
    </w:p>
    <w:p w14:paraId="4BAB5793" w14:textId="77777777" w:rsidR="00582A84" w:rsidRPr="004A30A8" w:rsidRDefault="00582A84" w:rsidP="00582A84">
      <w:pPr>
        <w:tabs>
          <w:tab w:val="left" w:pos="720"/>
        </w:tabs>
        <w:spacing w:before="360" w:after="360" w:line="20" w:lineRule="atLeast"/>
        <w:ind w:right="-86"/>
        <w:contextualSpacing/>
        <w:rPr>
          <w:rFonts w:eastAsia="MS Mincho"/>
          <w:b/>
          <w:bCs/>
          <w:lang w:val="es-ES" w:bidi="en-US"/>
        </w:rPr>
      </w:pPr>
    </w:p>
    <w:p w14:paraId="074B9007" w14:textId="77777777" w:rsidR="00582A84" w:rsidRPr="004A30A8" w:rsidRDefault="00582A84" w:rsidP="00582A84">
      <w:pPr>
        <w:tabs>
          <w:tab w:val="left" w:pos="720"/>
        </w:tabs>
        <w:spacing w:before="360" w:after="360" w:line="20" w:lineRule="atLeast"/>
        <w:ind w:right="-86"/>
        <w:contextualSpacing/>
        <w:rPr>
          <w:rFonts w:eastAsia="MS Mincho"/>
          <w:b/>
          <w:bCs/>
          <w:lang w:val="es-ES" w:bidi="en-US"/>
        </w:rPr>
      </w:pPr>
      <w:r w:rsidRPr="004A30A8">
        <w:rPr>
          <w:rFonts w:eastAsia="MS Mincho"/>
          <w:b/>
          <w:bCs/>
          <w:lang w:val="es-ES" w:bidi="en-US"/>
        </w:rPr>
        <w:t xml:space="preserve">Y DISPONE: </w:t>
      </w:r>
    </w:p>
    <w:p w14:paraId="78E1060D" w14:textId="77777777" w:rsidR="00582A84" w:rsidRPr="004A30A8" w:rsidRDefault="00582A84" w:rsidP="00582A84">
      <w:pPr>
        <w:tabs>
          <w:tab w:val="left" w:pos="720"/>
        </w:tabs>
        <w:spacing w:before="360" w:after="360" w:line="20" w:lineRule="atLeast"/>
        <w:ind w:right="-86"/>
        <w:contextualSpacing/>
        <w:rPr>
          <w:rFonts w:eastAsia="MS Mincho"/>
          <w:b/>
          <w:bCs/>
          <w:lang w:val="es-ES" w:bidi="en-US"/>
        </w:rPr>
      </w:pPr>
    </w:p>
    <w:p w14:paraId="6BB212B0" w14:textId="77777777" w:rsidR="00582A84" w:rsidRPr="004A30A8" w:rsidRDefault="00582A84" w:rsidP="00582A84">
      <w:pPr>
        <w:tabs>
          <w:tab w:val="left" w:pos="720"/>
        </w:tabs>
        <w:spacing w:line="20" w:lineRule="atLeast"/>
        <w:ind w:right="-90"/>
        <w:contextualSpacing/>
        <w:rPr>
          <w:rFonts w:eastAsia="MS Mincho"/>
          <w:lang w:val="es-ES" w:bidi="en-US"/>
        </w:rPr>
      </w:pPr>
      <w:r w:rsidRPr="004A30A8">
        <w:rPr>
          <w:rFonts w:eastAsia="MS Mincho"/>
          <w:lang w:val="es-ES" w:bidi="en-US"/>
        </w:rPr>
        <w:t xml:space="preserve">Por </w:t>
      </w:r>
      <w:r w:rsidRPr="004A30A8">
        <w:t>unanimidad,</w:t>
      </w:r>
      <w:r w:rsidRPr="004A30A8">
        <w:rPr>
          <w:rFonts w:eastAsia="MS Mincho"/>
          <w:lang w:val="es-ES" w:bidi="en-US"/>
        </w:rPr>
        <w:t xml:space="preserve"> que:</w:t>
      </w:r>
    </w:p>
    <w:p w14:paraId="2983CE6B" w14:textId="77777777" w:rsidR="00582A84" w:rsidRPr="004A30A8" w:rsidRDefault="00582A84" w:rsidP="00582A84">
      <w:pPr>
        <w:tabs>
          <w:tab w:val="left" w:pos="720"/>
        </w:tabs>
        <w:spacing w:line="20" w:lineRule="atLeast"/>
        <w:ind w:right="-90"/>
        <w:contextualSpacing/>
        <w:rPr>
          <w:rFonts w:eastAsia="MS Mincho"/>
          <w:bCs/>
          <w:lang w:val="es-ES" w:bidi="en-US"/>
        </w:rPr>
      </w:pPr>
    </w:p>
    <w:p w14:paraId="4092A8AD" w14:textId="77777777" w:rsidR="00582A84" w:rsidRPr="004A30A8" w:rsidRDefault="00582A84">
      <w:pPr>
        <w:numPr>
          <w:ilvl w:val="0"/>
          <w:numId w:val="14"/>
        </w:numPr>
        <w:tabs>
          <w:tab w:val="left" w:pos="720"/>
        </w:tabs>
        <w:spacing w:line="20" w:lineRule="atLeast"/>
        <w:ind w:right="-90"/>
        <w:contextualSpacing/>
        <w:textAlignment w:val="baseline"/>
        <w:rPr>
          <w:bCs/>
          <w:lang w:val="es-ES"/>
        </w:rPr>
      </w:pPr>
      <w:r w:rsidRPr="004A30A8">
        <w:rPr>
          <w:lang w:val="es-ES"/>
        </w:rPr>
        <w:t>Esta</w:t>
      </w:r>
      <w:r w:rsidRPr="004A30A8">
        <w:rPr>
          <w:bCs/>
          <w:lang w:val="es-ES"/>
        </w:rPr>
        <w:t xml:space="preserve"> sentencia constituye, por sí misma, una forma de reparación.</w:t>
      </w:r>
    </w:p>
    <w:p w14:paraId="555DCB77" w14:textId="77777777" w:rsidR="00582A84" w:rsidRPr="004A30A8" w:rsidRDefault="00582A84" w:rsidP="00582A84">
      <w:pPr>
        <w:tabs>
          <w:tab w:val="left" w:pos="720"/>
        </w:tabs>
        <w:spacing w:line="20" w:lineRule="atLeast"/>
        <w:ind w:right="-90"/>
        <w:contextualSpacing/>
        <w:rPr>
          <w:bCs/>
          <w:lang w:val="es-ES"/>
        </w:rPr>
      </w:pPr>
    </w:p>
    <w:p w14:paraId="3D8FFBC3" w14:textId="3B6CC546" w:rsidR="00582A84" w:rsidRPr="004A30A8" w:rsidRDefault="00891061">
      <w:pPr>
        <w:numPr>
          <w:ilvl w:val="0"/>
          <w:numId w:val="14"/>
        </w:numPr>
        <w:tabs>
          <w:tab w:val="left" w:pos="720"/>
        </w:tabs>
        <w:spacing w:line="20" w:lineRule="atLeast"/>
        <w:ind w:right="-90"/>
        <w:contextualSpacing/>
        <w:textAlignment w:val="baseline"/>
        <w:rPr>
          <w:rFonts w:eastAsiaTheme="minorHAnsi" w:cs="Arial"/>
          <w:lang w:val="es-ES" w:eastAsia="en-US"/>
        </w:rPr>
      </w:pPr>
      <w:r w:rsidRPr="004A30A8">
        <w:t xml:space="preserve">El Estado brindará gratuitamente, y de forma inmediata, oportuna, adecuada y efectiva, tratamiento psicológico y/o psiquiátrico a </w:t>
      </w:r>
      <w:r w:rsidRPr="004A30A8">
        <w:rPr>
          <w:lang w:val="es-ES"/>
        </w:rPr>
        <w:t>Crissthian Manuel Olivera Fuentes</w:t>
      </w:r>
      <w:r w:rsidRPr="004A30A8">
        <w:t xml:space="preserve">, de conformidad con lo establecido en </w:t>
      </w:r>
      <w:r w:rsidR="00CF688D" w:rsidRPr="004A30A8">
        <w:t xml:space="preserve">el párrafo </w:t>
      </w:r>
      <w:r w:rsidR="00F9191A" w:rsidRPr="004A30A8">
        <w:t>140</w:t>
      </w:r>
      <w:r w:rsidRPr="004A30A8">
        <w:t xml:space="preserve"> de esta Sentencia.</w:t>
      </w:r>
    </w:p>
    <w:p w14:paraId="545FB057" w14:textId="77777777" w:rsidR="006D484A" w:rsidRPr="004A30A8" w:rsidRDefault="006D484A" w:rsidP="006D484A">
      <w:pPr>
        <w:tabs>
          <w:tab w:val="left" w:pos="720"/>
        </w:tabs>
        <w:spacing w:line="20" w:lineRule="atLeast"/>
        <w:ind w:right="-90"/>
        <w:contextualSpacing/>
        <w:textAlignment w:val="baseline"/>
        <w:rPr>
          <w:bCs/>
          <w:lang w:val="es-ES"/>
        </w:rPr>
      </w:pPr>
    </w:p>
    <w:p w14:paraId="57BA4C51" w14:textId="30D0D24B" w:rsidR="00582A84" w:rsidRPr="004A30A8" w:rsidRDefault="00582A84">
      <w:pPr>
        <w:numPr>
          <w:ilvl w:val="0"/>
          <w:numId w:val="14"/>
        </w:numPr>
        <w:tabs>
          <w:tab w:val="left" w:pos="720"/>
        </w:tabs>
        <w:spacing w:line="20" w:lineRule="atLeast"/>
        <w:ind w:right="-90"/>
        <w:contextualSpacing/>
        <w:textAlignment w:val="baseline"/>
        <w:rPr>
          <w:bCs/>
          <w:lang w:val="es-ES"/>
        </w:rPr>
      </w:pPr>
      <w:r w:rsidRPr="004A30A8">
        <w:rPr>
          <w:bCs/>
          <w:lang w:val="es-ES"/>
        </w:rPr>
        <w:t xml:space="preserve">El Estado realizará las publicaciones indicadas en el párrafo </w:t>
      </w:r>
      <w:r w:rsidR="00F9191A" w:rsidRPr="004A30A8">
        <w:rPr>
          <w:bCs/>
          <w:lang w:val="es-ES"/>
        </w:rPr>
        <w:t>145</w:t>
      </w:r>
      <w:r w:rsidRPr="004A30A8">
        <w:rPr>
          <w:bCs/>
          <w:lang w:val="es-ES"/>
        </w:rPr>
        <w:t xml:space="preserve"> de la presente Sentencia.</w:t>
      </w:r>
    </w:p>
    <w:p w14:paraId="704B9228" w14:textId="77777777" w:rsidR="00891061" w:rsidRPr="004A30A8" w:rsidRDefault="00891061" w:rsidP="00AB6FF9">
      <w:pPr>
        <w:tabs>
          <w:tab w:val="left" w:pos="720"/>
        </w:tabs>
        <w:spacing w:line="20" w:lineRule="atLeast"/>
        <w:ind w:right="-90"/>
        <w:contextualSpacing/>
        <w:textAlignment w:val="baseline"/>
        <w:rPr>
          <w:bCs/>
          <w:lang w:val="es-ES"/>
        </w:rPr>
      </w:pPr>
    </w:p>
    <w:p w14:paraId="486CD685" w14:textId="7B2F5C45" w:rsidR="00F55DED" w:rsidRPr="004A30A8" w:rsidRDefault="00891061" w:rsidP="00804223">
      <w:pPr>
        <w:numPr>
          <w:ilvl w:val="0"/>
          <w:numId w:val="14"/>
        </w:numPr>
        <w:tabs>
          <w:tab w:val="left" w:pos="720"/>
        </w:tabs>
        <w:spacing w:line="20" w:lineRule="atLeast"/>
        <w:ind w:right="-90"/>
        <w:contextualSpacing/>
        <w:textAlignment w:val="baseline"/>
        <w:rPr>
          <w:bCs/>
          <w:lang w:val="es-ES"/>
        </w:rPr>
      </w:pPr>
      <w:r w:rsidRPr="004A30A8">
        <w:rPr>
          <w:rFonts w:cs="Arial"/>
          <w:lang w:val="es-ES"/>
        </w:rPr>
        <w:t>E</w:t>
      </w:r>
      <w:r w:rsidRPr="004A30A8">
        <w:rPr>
          <w:rFonts w:cs="Arial"/>
        </w:rPr>
        <w:t>l Estado diseñará e implementará una campaña informativa anual de sensibilización y concientización a nivel nacional en los medios de comunicación respecto de la importancia de promover en la sociedad una cultura de respeto</w:t>
      </w:r>
      <w:r w:rsidR="00AF5B45" w:rsidRPr="004A30A8">
        <w:rPr>
          <w:rFonts w:cs="Arial"/>
        </w:rPr>
        <w:t xml:space="preserve">, no discriminación </w:t>
      </w:r>
      <w:r w:rsidRPr="004A30A8">
        <w:rPr>
          <w:rFonts w:cs="Arial"/>
        </w:rPr>
        <w:t>y garantía de los derechos de las personas LGBTI</w:t>
      </w:r>
      <w:r w:rsidR="00A67A99" w:rsidRPr="004A30A8">
        <w:rPr>
          <w:rFonts w:cs="Arial"/>
        </w:rPr>
        <w:t>Q+</w:t>
      </w:r>
      <w:r w:rsidRPr="004A30A8">
        <w:t>,</w:t>
      </w:r>
      <w:r w:rsidRPr="004A30A8">
        <w:rPr>
          <w:lang w:val="es-ES"/>
        </w:rPr>
        <w:t xml:space="preserve"> en los términos </w:t>
      </w:r>
      <w:r w:rsidR="00CF688D" w:rsidRPr="004A30A8">
        <w:rPr>
          <w:lang w:val="es-ES"/>
        </w:rPr>
        <w:t xml:space="preserve">del párrafo </w:t>
      </w:r>
      <w:r w:rsidR="00F9191A" w:rsidRPr="004A30A8">
        <w:rPr>
          <w:lang w:val="es-ES"/>
        </w:rPr>
        <w:t>153</w:t>
      </w:r>
      <w:r w:rsidRPr="004A30A8">
        <w:rPr>
          <w:bCs/>
          <w:lang w:val="es-ES"/>
        </w:rPr>
        <w:t xml:space="preserve"> </w:t>
      </w:r>
      <w:r w:rsidRPr="004A30A8">
        <w:rPr>
          <w:lang w:val="es-ES"/>
        </w:rPr>
        <w:t xml:space="preserve">de esta </w:t>
      </w:r>
      <w:r w:rsidRPr="004A30A8">
        <w:rPr>
          <w:bCs/>
          <w:lang w:val="es-ES"/>
        </w:rPr>
        <w:t>Sentencia.</w:t>
      </w:r>
    </w:p>
    <w:p w14:paraId="296447E4" w14:textId="77777777" w:rsidR="00804223" w:rsidRPr="004A30A8" w:rsidRDefault="00804223" w:rsidP="00804223">
      <w:pPr>
        <w:tabs>
          <w:tab w:val="left" w:pos="720"/>
        </w:tabs>
        <w:spacing w:line="20" w:lineRule="atLeast"/>
        <w:ind w:right="-90"/>
        <w:contextualSpacing/>
        <w:textAlignment w:val="baseline"/>
        <w:rPr>
          <w:bCs/>
          <w:lang w:val="es-ES"/>
        </w:rPr>
      </w:pPr>
    </w:p>
    <w:p w14:paraId="0D855438" w14:textId="583BFE3E" w:rsidR="00891061" w:rsidRPr="004A30A8" w:rsidRDefault="00891061">
      <w:pPr>
        <w:numPr>
          <w:ilvl w:val="0"/>
          <w:numId w:val="14"/>
        </w:numPr>
        <w:tabs>
          <w:tab w:val="left" w:pos="720"/>
        </w:tabs>
        <w:spacing w:line="20" w:lineRule="atLeast"/>
        <w:ind w:right="-90"/>
        <w:contextualSpacing/>
        <w:textAlignment w:val="baseline"/>
        <w:rPr>
          <w:bCs/>
          <w:lang w:val="es-ES"/>
        </w:rPr>
      </w:pPr>
      <w:r w:rsidRPr="004A30A8">
        <w:rPr>
          <w:rFonts w:cs="Arial"/>
          <w:lang w:val="es-ES"/>
        </w:rPr>
        <w:t>E</w:t>
      </w:r>
      <w:r w:rsidRPr="004A30A8">
        <w:rPr>
          <w:rFonts w:cs="Arial"/>
        </w:rPr>
        <w:t>l Estad</w:t>
      </w:r>
      <w:r w:rsidR="00D04DCF" w:rsidRPr="004A30A8">
        <w:rPr>
          <w:rFonts w:cs="Arial"/>
        </w:rPr>
        <w:t>o</w:t>
      </w:r>
      <w:r w:rsidRPr="004A30A8">
        <w:rPr>
          <w:rFonts w:cs="Arial"/>
        </w:rPr>
        <w:t xml:space="preserve"> </w:t>
      </w:r>
      <w:r w:rsidRPr="004A30A8">
        <w:rPr>
          <w:lang w:val="es-ES"/>
        </w:rPr>
        <w:t>elaborará</w:t>
      </w:r>
      <w:r w:rsidR="00D04DCF" w:rsidRPr="004A30A8">
        <w:rPr>
          <w:lang w:val="es-ES"/>
        </w:rPr>
        <w:t xml:space="preserve"> </w:t>
      </w:r>
      <w:r w:rsidRPr="004A30A8">
        <w:rPr>
          <w:lang w:val="es-ES"/>
        </w:rPr>
        <w:t>un plan pedagógico integral en materia de diversidad sexual y de género</w:t>
      </w:r>
      <w:r w:rsidR="004E37BE" w:rsidRPr="004A30A8">
        <w:rPr>
          <w:lang w:val="es-ES"/>
        </w:rPr>
        <w:t>,</w:t>
      </w:r>
      <w:r w:rsidRPr="004A30A8">
        <w:rPr>
          <w:lang w:val="es-ES"/>
        </w:rPr>
        <w:t xml:space="preserve"> igualdad y no discriminación, perspectiva de género y derechos humanos de las personas </w:t>
      </w:r>
      <w:r w:rsidR="00E7537C" w:rsidRPr="004A30A8">
        <w:rPr>
          <w:lang w:val="es-ES"/>
        </w:rPr>
        <w:t xml:space="preserve">LGBTIQ+ </w:t>
      </w:r>
      <w:r w:rsidRPr="004A30A8">
        <w:rPr>
          <w:lang w:val="es-ES"/>
        </w:rPr>
        <w:t>en el ámbito de consumo</w:t>
      </w:r>
      <w:r w:rsidRPr="004A30A8">
        <w:t>,</w:t>
      </w:r>
      <w:r w:rsidR="00D04DCF" w:rsidRPr="004A30A8">
        <w:t xml:space="preserve"> </w:t>
      </w:r>
      <w:r w:rsidR="00D04DCF" w:rsidRPr="004A30A8">
        <w:rPr>
          <w:lang w:val="es-ES"/>
        </w:rPr>
        <w:t xml:space="preserve">el cual deberá ser incorporado en los cursos de formación regular de autoridades administrativas y </w:t>
      </w:r>
      <w:r w:rsidR="004E37BE" w:rsidRPr="004A30A8">
        <w:rPr>
          <w:lang w:val="es-ES"/>
        </w:rPr>
        <w:t>judiciales</w:t>
      </w:r>
      <w:r w:rsidR="00CF688D" w:rsidRPr="004A30A8">
        <w:rPr>
          <w:lang w:val="es-ES"/>
        </w:rPr>
        <w:t xml:space="preserve"> y de </w:t>
      </w:r>
      <w:r w:rsidR="00D04DCF" w:rsidRPr="004A30A8">
        <w:rPr>
          <w:lang w:val="es-ES"/>
        </w:rPr>
        <w:t xml:space="preserve">cualquier otro órgano que ejerza funciones relativas a velar por el cumplimiento de la normativa interna en este ámbito, </w:t>
      </w:r>
      <w:r w:rsidR="00CF688D" w:rsidRPr="004A30A8">
        <w:rPr>
          <w:lang w:val="es-ES"/>
        </w:rPr>
        <w:t xml:space="preserve">así como un manual de razonamiento jurídico sobre los estándares interamericanos en casos de discriminación hacia personas LGBTIQ+, </w:t>
      </w:r>
      <w:r w:rsidRPr="004A30A8">
        <w:rPr>
          <w:lang w:val="es-ES"/>
        </w:rPr>
        <w:t xml:space="preserve">en los términos </w:t>
      </w:r>
      <w:r w:rsidR="00CF688D" w:rsidRPr="004A30A8">
        <w:rPr>
          <w:lang w:val="es-ES"/>
        </w:rPr>
        <w:t xml:space="preserve">del párrafo </w:t>
      </w:r>
      <w:r w:rsidR="00F9191A" w:rsidRPr="004A30A8">
        <w:rPr>
          <w:lang w:val="es-ES"/>
        </w:rPr>
        <w:t>155</w:t>
      </w:r>
      <w:r w:rsidRPr="004A30A8">
        <w:rPr>
          <w:bCs/>
          <w:lang w:val="es-ES"/>
        </w:rPr>
        <w:t xml:space="preserve"> </w:t>
      </w:r>
      <w:r w:rsidRPr="004A30A8">
        <w:rPr>
          <w:lang w:val="es-ES"/>
        </w:rPr>
        <w:t xml:space="preserve">de esta </w:t>
      </w:r>
      <w:r w:rsidRPr="004A30A8">
        <w:rPr>
          <w:bCs/>
          <w:lang w:val="es-ES"/>
        </w:rPr>
        <w:t>Sentencia.</w:t>
      </w:r>
    </w:p>
    <w:p w14:paraId="5A477EEC" w14:textId="77777777" w:rsidR="00CF688D" w:rsidRPr="004A30A8" w:rsidRDefault="00CF688D" w:rsidP="00582A84">
      <w:pPr>
        <w:tabs>
          <w:tab w:val="left" w:pos="720"/>
        </w:tabs>
        <w:spacing w:line="20" w:lineRule="atLeast"/>
        <w:ind w:right="-90"/>
        <w:contextualSpacing/>
        <w:rPr>
          <w:lang w:val="es-ES"/>
        </w:rPr>
      </w:pPr>
    </w:p>
    <w:p w14:paraId="18B97A63" w14:textId="6534CCAE" w:rsidR="00D04DCF" w:rsidRPr="004A30A8" w:rsidRDefault="00D04DCF">
      <w:pPr>
        <w:numPr>
          <w:ilvl w:val="0"/>
          <w:numId w:val="14"/>
        </w:numPr>
        <w:tabs>
          <w:tab w:val="left" w:pos="720"/>
        </w:tabs>
        <w:spacing w:line="20" w:lineRule="atLeast"/>
        <w:ind w:right="-90"/>
        <w:contextualSpacing/>
        <w:textAlignment w:val="baseline"/>
        <w:rPr>
          <w:bCs/>
          <w:lang w:val="es-ES"/>
        </w:rPr>
      </w:pPr>
      <w:r w:rsidRPr="004A30A8">
        <w:rPr>
          <w:rFonts w:cs="Arial"/>
        </w:rPr>
        <w:t xml:space="preserve">El Estado diseñará e implementará una política pública </w:t>
      </w:r>
      <w:r w:rsidRPr="004A30A8">
        <w:t xml:space="preserve">con el objetivo </w:t>
      </w:r>
      <w:r w:rsidR="004E37BE" w:rsidRPr="004A30A8">
        <w:t>monitorear y fiscalizar que</w:t>
      </w:r>
      <w:r w:rsidRPr="004A30A8">
        <w:t xml:space="preserve"> las empresas y sus trabajadores</w:t>
      </w:r>
      <w:r w:rsidR="00D044D6" w:rsidRPr="004A30A8">
        <w:t xml:space="preserve">, </w:t>
      </w:r>
      <w:r w:rsidRPr="004A30A8">
        <w:t>trabajadoras</w:t>
      </w:r>
      <w:r w:rsidR="00D044D6" w:rsidRPr="004A30A8">
        <w:t xml:space="preserve"> y colaboradores</w:t>
      </w:r>
      <w:r w:rsidRPr="004A30A8">
        <w:t xml:space="preserve"> </w:t>
      </w:r>
      <w:r w:rsidR="004E37BE" w:rsidRPr="004A30A8">
        <w:t>cumplan</w:t>
      </w:r>
      <w:r w:rsidRPr="004A30A8">
        <w:t xml:space="preserve"> con la legislación nacional, así como con los estándares interamericanos sobre igualdad y no discriminación de las personas </w:t>
      </w:r>
      <w:r w:rsidR="00E7537C" w:rsidRPr="004A30A8">
        <w:rPr>
          <w:lang w:val="es-ES"/>
        </w:rPr>
        <w:t>LGBTIQ+</w:t>
      </w:r>
      <w:r w:rsidRPr="004A30A8">
        <w:t>,</w:t>
      </w:r>
      <w:r w:rsidRPr="004A30A8">
        <w:rPr>
          <w:lang w:val="es-ES"/>
        </w:rPr>
        <w:t xml:space="preserve"> en los términos </w:t>
      </w:r>
      <w:r w:rsidR="00CF688D" w:rsidRPr="004A30A8">
        <w:rPr>
          <w:lang w:val="es-ES"/>
        </w:rPr>
        <w:t xml:space="preserve">del párrafo </w:t>
      </w:r>
      <w:r w:rsidR="00F9191A" w:rsidRPr="004A30A8">
        <w:rPr>
          <w:lang w:val="es-ES"/>
        </w:rPr>
        <w:t>156</w:t>
      </w:r>
      <w:r w:rsidRPr="004A30A8">
        <w:rPr>
          <w:bCs/>
          <w:lang w:val="es-ES"/>
        </w:rPr>
        <w:t xml:space="preserve"> </w:t>
      </w:r>
      <w:r w:rsidRPr="004A30A8">
        <w:rPr>
          <w:lang w:val="es-ES"/>
        </w:rPr>
        <w:t xml:space="preserve">de esta </w:t>
      </w:r>
      <w:r w:rsidRPr="004A30A8">
        <w:rPr>
          <w:bCs/>
          <w:lang w:val="es-ES"/>
        </w:rPr>
        <w:t>Sentencia.</w:t>
      </w:r>
    </w:p>
    <w:p w14:paraId="0B83F2D9" w14:textId="77777777" w:rsidR="00D04DCF" w:rsidRPr="004A30A8" w:rsidRDefault="00D04DCF" w:rsidP="00582A84">
      <w:pPr>
        <w:tabs>
          <w:tab w:val="left" w:pos="720"/>
        </w:tabs>
        <w:spacing w:line="20" w:lineRule="atLeast"/>
        <w:ind w:right="-90"/>
        <w:contextualSpacing/>
        <w:rPr>
          <w:lang w:val="es-ES"/>
        </w:rPr>
      </w:pPr>
    </w:p>
    <w:p w14:paraId="4B7050F7" w14:textId="7D90E87A" w:rsidR="00582A84" w:rsidRPr="004A30A8" w:rsidRDefault="00582A84">
      <w:pPr>
        <w:numPr>
          <w:ilvl w:val="0"/>
          <w:numId w:val="14"/>
        </w:numPr>
        <w:tabs>
          <w:tab w:val="left" w:pos="720"/>
        </w:tabs>
        <w:spacing w:line="20" w:lineRule="atLeast"/>
        <w:ind w:right="-90"/>
        <w:contextualSpacing/>
        <w:textAlignment w:val="baseline"/>
        <w:rPr>
          <w:bCs/>
          <w:lang w:val="es-ES"/>
        </w:rPr>
      </w:pPr>
      <w:r w:rsidRPr="004A30A8">
        <w:rPr>
          <w:bCs/>
          <w:lang w:val="es-ES"/>
        </w:rPr>
        <w:t xml:space="preserve">El Estado pagará las cantidades fijadas en </w:t>
      </w:r>
      <w:r w:rsidR="00891061" w:rsidRPr="004A30A8">
        <w:rPr>
          <w:bCs/>
          <w:lang w:val="es-ES"/>
        </w:rPr>
        <w:t>los</w:t>
      </w:r>
      <w:r w:rsidRPr="004A30A8">
        <w:rPr>
          <w:bCs/>
          <w:lang w:val="es-ES"/>
        </w:rPr>
        <w:t xml:space="preserve"> párrafo</w:t>
      </w:r>
      <w:r w:rsidR="00891061" w:rsidRPr="004A30A8">
        <w:rPr>
          <w:bCs/>
          <w:lang w:val="es-ES"/>
        </w:rPr>
        <w:t>s</w:t>
      </w:r>
      <w:r w:rsidRPr="004A30A8">
        <w:rPr>
          <w:bCs/>
          <w:lang w:val="es-ES"/>
        </w:rPr>
        <w:t xml:space="preserve"> </w:t>
      </w:r>
      <w:r w:rsidR="00F9191A" w:rsidRPr="004A30A8">
        <w:rPr>
          <w:bCs/>
          <w:lang w:val="es-ES"/>
        </w:rPr>
        <w:t>167</w:t>
      </w:r>
      <w:r w:rsidR="00891061" w:rsidRPr="004A30A8">
        <w:rPr>
          <w:bCs/>
          <w:lang w:val="es-ES"/>
        </w:rPr>
        <w:t xml:space="preserve"> y </w:t>
      </w:r>
      <w:r w:rsidR="00F9191A" w:rsidRPr="004A30A8">
        <w:rPr>
          <w:bCs/>
          <w:lang w:val="es-ES"/>
        </w:rPr>
        <w:t>173</w:t>
      </w:r>
      <w:r w:rsidRPr="004A30A8">
        <w:rPr>
          <w:bCs/>
          <w:lang w:val="es-ES"/>
        </w:rPr>
        <w:t xml:space="preserve"> de </w:t>
      </w:r>
      <w:r w:rsidR="007E7E0A" w:rsidRPr="004A30A8">
        <w:rPr>
          <w:bCs/>
          <w:lang w:val="es-ES"/>
        </w:rPr>
        <w:t xml:space="preserve">esta </w:t>
      </w:r>
      <w:r w:rsidRPr="004A30A8">
        <w:rPr>
          <w:bCs/>
          <w:lang w:val="es-ES"/>
        </w:rPr>
        <w:t>Sentencia por concepto de indemnización por daño inmaterial</w:t>
      </w:r>
      <w:r w:rsidR="00891061" w:rsidRPr="004A30A8">
        <w:rPr>
          <w:bCs/>
          <w:lang w:val="es-ES"/>
        </w:rPr>
        <w:t xml:space="preserve"> </w:t>
      </w:r>
      <w:r w:rsidR="00891061" w:rsidRPr="004A30A8">
        <w:t>y por el reintegro de costas y gastos,</w:t>
      </w:r>
      <w:r w:rsidRPr="004A30A8">
        <w:rPr>
          <w:lang w:val="es-ES"/>
        </w:rPr>
        <w:t xml:space="preserve"> en los términos de los párrafos </w:t>
      </w:r>
      <w:r w:rsidR="00CF688D" w:rsidRPr="004A30A8">
        <w:rPr>
          <w:bCs/>
          <w:lang w:val="es-ES"/>
        </w:rPr>
        <w:t>17</w:t>
      </w:r>
      <w:r w:rsidR="00A449A6" w:rsidRPr="004A30A8">
        <w:rPr>
          <w:bCs/>
          <w:lang w:val="es-ES"/>
        </w:rPr>
        <w:t>7</w:t>
      </w:r>
      <w:r w:rsidRPr="004A30A8">
        <w:rPr>
          <w:bCs/>
          <w:lang w:val="es-ES"/>
        </w:rPr>
        <w:t xml:space="preserve"> a </w:t>
      </w:r>
      <w:r w:rsidR="00CF688D" w:rsidRPr="004A30A8">
        <w:rPr>
          <w:bCs/>
          <w:lang w:val="es-ES"/>
        </w:rPr>
        <w:t>181</w:t>
      </w:r>
      <w:r w:rsidRPr="004A30A8">
        <w:rPr>
          <w:bCs/>
          <w:lang w:val="es-ES"/>
        </w:rPr>
        <w:t xml:space="preserve"> </w:t>
      </w:r>
      <w:r w:rsidRPr="004A30A8">
        <w:rPr>
          <w:lang w:val="es-ES"/>
        </w:rPr>
        <w:t xml:space="preserve">de esta </w:t>
      </w:r>
      <w:r w:rsidRPr="004A30A8">
        <w:rPr>
          <w:bCs/>
          <w:lang w:val="es-ES"/>
        </w:rPr>
        <w:t>Sentencia.</w:t>
      </w:r>
    </w:p>
    <w:p w14:paraId="69F8C811" w14:textId="77777777" w:rsidR="00A67A99" w:rsidRPr="004A30A8" w:rsidRDefault="00A67A99" w:rsidP="00A67A99">
      <w:pPr>
        <w:tabs>
          <w:tab w:val="left" w:pos="720"/>
        </w:tabs>
        <w:spacing w:line="20" w:lineRule="atLeast"/>
        <w:ind w:right="-90"/>
        <w:contextualSpacing/>
        <w:textAlignment w:val="baseline"/>
        <w:rPr>
          <w:bCs/>
          <w:lang w:val="es-ES"/>
        </w:rPr>
      </w:pPr>
    </w:p>
    <w:p w14:paraId="3A4E3DA0" w14:textId="3D53BE07" w:rsidR="006D484A" w:rsidRPr="004A30A8" w:rsidRDefault="006D484A">
      <w:pPr>
        <w:numPr>
          <w:ilvl w:val="0"/>
          <w:numId w:val="14"/>
        </w:numPr>
        <w:tabs>
          <w:tab w:val="left" w:pos="720"/>
        </w:tabs>
        <w:spacing w:line="20" w:lineRule="atLeast"/>
        <w:ind w:right="-90"/>
        <w:contextualSpacing/>
        <w:textAlignment w:val="baseline"/>
        <w:rPr>
          <w:bCs/>
          <w:lang w:val="es-ES"/>
        </w:rPr>
      </w:pPr>
      <w:r w:rsidRPr="004A30A8">
        <w:t xml:space="preserve">El Estado reintegrará al Fondo de Asistencia Legal de Víctimas de la Corte Interamericana de Derechos Humanos la cantidad erogada durante la tramitación del presente caso, en los términos del párrafo </w:t>
      </w:r>
      <w:r w:rsidR="00F9191A" w:rsidRPr="004A30A8">
        <w:t>176</w:t>
      </w:r>
      <w:r w:rsidRPr="004A30A8">
        <w:t xml:space="preserve"> de esta Sentencia.</w:t>
      </w:r>
    </w:p>
    <w:p w14:paraId="2EDEF0CB" w14:textId="77777777" w:rsidR="00582A84" w:rsidRPr="004A30A8" w:rsidRDefault="00582A84" w:rsidP="00582A84">
      <w:pPr>
        <w:tabs>
          <w:tab w:val="left" w:pos="720"/>
        </w:tabs>
        <w:spacing w:line="20" w:lineRule="atLeast"/>
        <w:ind w:right="-90"/>
        <w:contextualSpacing/>
        <w:rPr>
          <w:bCs/>
          <w:lang w:val="es-ES"/>
        </w:rPr>
      </w:pPr>
    </w:p>
    <w:p w14:paraId="39C86627" w14:textId="2CCC6893" w:rsidR="00582A84" w:rsidRPr="004A30A8" w:rsidRDefault="00582A84">
      <w:pPr>
        <w:numPr>
          <w:ilvl w:val="0"/>
          <w:numId w:val="14"/>
        </w:numPr>
        <w:tabs>
          <w:tab w:val="left" w:pos="720"/>
        </w:tabs>
        <w:spacing w:line="20" w:lineRule="atLeast"/>
        <w:ind w:right="-90"/>
        <w:contextualSpacing/>
        <w:textAlignment w:val="baseline"/>
        <w:rPr>
          <w:rFonts w:eastAsia="MS Mincho"/>
          <w:bCs/>
          <w:lang w:val="es-ES" w:bidi="en-US"/>
        </w:rPr>
      </w:pPr>
      <w:r w:rsidRPr="004A30A8">
        <w:rPr>
          <w:bCs/>
          <w:lang w:val="es-ES"/>
        </w:rPr>
        <w:t>El Estado, dentro del plazo de un año contado a partir de la notificación de esta Sentencia, rendirá al Tribunal un informe sobre las medidas adoptadas para cumplir con la misma</w:t>
      </w:r>
      <w:r w:rsidR="007E7E0A" w:rsidRPr="004A30A8">
        <w:rPr>
          <w:bCs/>
          <w:lang w:val="es-ES"/>
        </w:rPr>
        <w:t>.</w:t>
      </w:r>
    </w:p>
    <w:p w14:paraId="5803A7CE" w14:textId="77777777" w:rsidR="00582A84" w:rsidRPr="004A30A8" w:rsidRDefault="00582A84" w:rsidP="00582A84">
      <w:pPr>
        <w:tabs>
          <w:tab w:val="left" w:pos="720"/>
        </w:tabs>
        <w:spacing w:line="20" w:lineRule="atLeast"/>
        <w:ind w:right="-90"/>
        <w:contextualSpacing/>
        <w:rPr>
          <w:rFonts w:eastAsia="MS Mincho"/>
          <w:bCs/>
          <w:lang w:val="es-ES" w:bidi="en-US"/>
        </w:rPr>
      </w:pPr>
    </w:p>
    <w:p w14:paraId="1F49682C" w14:textId="6071649C" w:rsidR="00582A84" w:rsidRPr="004A30A8" w:rsidRDefault="00582A84">
      <w:pPr>
        <w:numPr>
          <w:ilvl w:val="0"/>
          <w:numId w:val="14"/>
        </w:numPr>
        <w:tabs>
          <w:tab w:val="left" w:pos="720"/>
        </w:tabs>
        <w:spacing w:line="20" w:lineRule="atLeast"/>
        <w:ind w:right="-90"/>
        <w:contextualSpacing/>
        <w:textAlignment w:val="baseline"/>
        <w:rPr>
          <w:b/>
          <w:bCs/>
          <w:lang w:val="es-ES"/>
        </w:rPr>
      </w:pPr>
      <w:r w:rsidRPr="004A30A8">
        <w:rPr>
          <w:bCs/>
          <w:lang w:val="es-ES"/>
        </w:rPr>
        <w:t xml:space="preserve">La Corte supervisará el cumplimiento íntegro de esta Sentencia, en ejercicio de sus atribuciones </w:t>
      </w:r>
      <w:r w:rsidR="00547206" w:rsidRPr="004A30A8">
        <w:rPr>
          <w:bCs/>
          <w:lang w:val="es-ES"/>
        </w:rPr>
        <w:t>establecidas en</w:t>
      </w:r>
      <w:r w:rsidRPr="004A30A8">
        <w:rPr>
          <w:bCs/>
          <w:lang w:val="es-ES"/>
        </w:rPr>
        <w:t xml:space="preserve"> la Convención Americana sobre Derechos Humanos, y </w:t>
      </w:r>
      <w:r w:rsidRPr="004A30A8">
        <w:rPr>
          <w:bCs/>
          <w:lang w:val="es-ES"/>
        </w:rPr>
        <w:lastRenderedPageBreak/>
        <w:t xml:space="preserve">dará por concluido el presente caso una vez que el Estado haya dado </w:t>
      </w:r>
      <w:r w:rsidR="00547206" w:rsidRPr="004A30A8">
        <w:rPr>
          <w:bCs/>
          <w:lang w:val="es-ES"/>
        </w:rPr>
        <w:t xml:space="preserve">total </w:t>
      </w:r>
      <w:r w:rsidRPr="004A30A8">
        <w:rPr>
          <w:bCs/>
          <w:lang w:val="es-ES"/>
        </w:rPr>
        <w:t>cumplimiento a lo dispuesto en la misma.</w:t>
      </w:r>
      <w:r w:rsidRPr="004A30A8">
        <w:rPr>
          <w:rFonts w:cs="Verdana"/>
          <w:lang w:val="es-ES"/>
        </w:rPr>
        <w:t xml:space="preserve"> </w:t>
      </w:r>
    </w:p>
    <w:p w14:paraId="10401ABC" w14:textId="77777777" w:rsidR="004A6F85" w:rsidRPr="004A30A8" w:rsidRDefault="004A6F85" w:rsidP="004A6F85">
      <w:pPr>
        <w:pStyle w:val="Prrafodelista"/>
        <w:rPr>
          <w:b/>
          <w:bCs/>
          <w:lang w:val="es-ES"/>
        </w:rPr>
      </w:pPr>
    </w:p>
    <w:p w14:paraId="71F76791" w14:textId="77777777" w:rsidR="006D484A" w:rsidRPr="004A30A8" w:rsidRDefault="006D484A" w:rsidP="00AB6FF9">
      <w:pPr>
        <w:tabs>
          <w:tab w:val="left" w:pos="720"/>
        </w:tabs>
        <w:spacing w:line="20" w:lineRule="atLeast"/>
        <w:ind w:right="-93"/>
        <w:contextualSpacing/>
        <w:rPr>
          <w:rFonts w:cs="Verdana"/>
          <w:lang w:val="es-ES"/>
        </w:rPr>
      </w:pPr>
    </w:p>
    <w:p w14:paraId="67246ACE" w14:textId="77777777" w:rsidR="001C6D58" w:rsidRDefault="00582A84" w:rsidP="00AB6FF9">
      <w:pPr>
        <w:tabs>
          <w:tab w:val="left" w:pos="720"/>
        </w:tabs>
        <w:spacing w:line="20" w:lineRule="atLeast"/>
        <w:ind w:right="-93"/>
        <w:contextualSpacing/>
        <w:rPr>
          <w:rFonts w:cs="Verdana"/>
          <w:lang w:val="es-ES"/>
        </w:rPr>
        <w:sectPr w:rsidR="001C6D58" w:rsidSect="00914995">
          <w:headerReference w:type="default" r:id="rId8"/>
          <w:footerReference w:type="default" r:id="rId9"/>
          <w:pgSz w:w="12240" w:h="15840"/>
          <w:pgMar w:top="1417" w:right="1701" w:bottom="1417" w:left="1701" w:header="708" w:footer="708" w:gutter="0"/>
          <w:cols w:space="708"/>
          <w:docGrid w:linePitch="360"/>
        </w:sectPr>
      </w:pPr>
      <w:r w:rsidRPr="004A30A8">
        <w:rPr>
          <w:rFonts w:cs="Verdana"/>
          <w:lang w:val="es-ES"/>
        </w:rPr>
        <w:t xml:space="preserve">Redactada en español en San José, Costa Rica, el </w:t>
      </w:r>
      <w:r w:rsidR="00F55DED" w:rsidRPr="004A30A8">
        <w:rPr>
          <w:rFonts w:cs="Verdana"/>
          <w:lang w:val="es-ES"/>
        </w:rPr>
        <w:t>4</w:t>
      </w:r>
      <w:r w:rsidRPr="004A30A8">
        <w:rPr>
          <w:rFonts w:cs="Verdana"/>
          <w:lang w:val="es-ES"/>
        </w:rPr>
        <w:t xml:space="preserve"> de febrero de 2023.</w:t>
      </w:r>
    </w:p>
    <w:p w14:paraId="3286042F"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pt-BR"/>
        </w:rPr>
        <w:lastRenderedPageBreak/>
        <w:t xml:space="preserve">Corte IDH. Caso Olivera Fuentes Vs. </w:t>
      </w:r>
      <w:r w:rsidRPr="001C6D58">
        <w:rPr>
          <w:rFonts w:cs="Verdana"/>
          <w:lang w:val="es-ES"/>
        </w:rPr>
        <w:t xml:space="preserve">Perú. Rectificación de errores materiales de la sentencia. </w:t>
      </w:r>
      <w:proofErr w:type="gramStart"/>
      <w:r w:rsidRPr="001C6D58">
        <w:rPr>
          <w:rFonts w:cs="Verdana"/>
          <w:lang w:val="es-ES"/>
        </w:rPr>
        <w:t>Resolución  de</w:t>
      </w:r>
      <w:proofErr w:type="gramEnd"/>
      <w:r w:rsidRPr="001C6D58">
        <w:rPr>
          <w:rFonts w:cs="Verdana"/>
          <w:lang w:val="es-ES"/>
        </w:rPr>
        <w:t xml:space="preserve"> la Corte Interamericana de Derechos Humanos de 30 de agosto de 2023.</w:t>
      </w:r>
    </w:p>
    <w:p w14:paraId="5A5B4235" w14:textId="77777777" w:rsidR="001C6D58" w:rsidRPr="001C6D58" w:rsidRDefault="001C6D58" w:rsidP="001C6D58">
      <w:pPr>
        <w:tabs>
          <w:tab w:val="left" w:pos="720"/>
        </w:tabs>
        <w:spacing w:line="20" w:lineRule="atLeast"/>
        <w:ind w:right="-93"/>
        <w:contextualSpacing/>
        <w:rPr>
          <w:rFonts w:cs="Verdana"/>
          <w:lang w:val="es-ES"/>
        </w:rPr>
      </w:pPr>
    </w:p>
    <w:p w14:paraId="7A07E1DD" w14:textId="77777777" w:rsidR="001C6D58" w:rsidRPr="001C6D58" w:rsidRDefault="001C6D58" w:rsidP="001C6D58">
      <w:pPr>
        <w:tabs>
          <w:tab w:val="left" w:pos="720"/>
        </w:tabs>
        <w:spacing w:line="20" w:lineRule="atLeast"/>
        <w:ind w:right="-93"/>
        <w:contextualSpacing/>
        <w:rPr>
          <w:rFonts w:cs="Verdana"/>
          <w:lang w:val="es-ES"/>
        </w:rPr>
      </w:pPr>
    </w:p>
    <w:p w14:paraId="1B70C9BB" w14:textId="77777777" w:rsidR="001C6D58" w:rsidRPr="001C6D58" w:rsidRDefault="001C6D58" w:rsidP="001C6D58">
      <w:pPr>
        <w:tabs>
          <w:tab w:val="left" w:pos="720"/>
        </w:tabs>
        <w:spacing w:line="20" w:lineRule="atLeast"/>
        <w:ind w:right="-93"/>
        <w:contextualSpacing/>
        <w:rPr>
          <w:rFonts w:cs="Verdana"/>
          <w:lang w:val="es-ES"/>
        </w:rPr>
      </w:pPr>
    </w:p>
    <w:p w14:paraId="50F7DAE2" w14:textId="77777777" w:rsidR="001C6D58" w:rsidRPr="001C6D58" w:rsidRDefault="001C6D58" w:rsidP="001C6D58">
      <w:pPr>
        <w:tabs>
          <w:tab w:val="left" w:pos="720"/>
        </w:tabs>
        <w:spacing w:line="20" w:lineRule="atLeast"/>
        <w:ind w:right="-93"/>
        <w:contextualSpacing/>
        <w:jc w:val="center"/>
        <w:rPr>
          <w:rFonts w:cs="Verdana"/>
          <w:lang w:val="es-ES"/>
        </w:rPr>
      </w:pPr>
      <w:r w:rsidRPr="001C6D58">
        <w:rPr>
          <w:rFonts w:cs="Verdana"/>
          <w:lang w:val="es-ES"/>
        </w:rPr>
        <w:t>Ricardo C. Pérez Manrique</w:t>
      </w:r>
    </w:p>
    <w:p w14:paraId="4F94E2AC" w14:textId="77777777" w:rsidR="001C6D58" w:rsidRPr="001C6D58" w:rsidRDefault="001C6D58" w:rsidP="001C6D58">
      <w:pPr>
        <w:tabs>
          <w:tab w:val="left" w:pos="720"/>
        </w:tabs>
        <w:spacing w:line="20" w:lineRule="atLeast"/>
        <w:ind w:right="-93"/>
        <w:contextualSpacing/>
        <w:jc w:val="center"/>
        <w:rPr>
          <w:rFonts w:cs="Verdana"/>
          <w:lang w:val="es-ES"/>
        </w:rPr>
      </w:pPr>
      <w:r w:rsidRPr="001C6D58">
        <w:rPr>
          <w:rFonts w:cs="Verdana"/>
          <w:lang w:val="es-ES"/>
        </w:rPr>
        <w:t>Presidente</w:t>
      </w:r>
    </w:p>
    <w:p w14:paraId="1DC8C0C5" w14:textId="77777777" w:rsidR="001C6D58" w:rsidRPr="001C6D58" w:rsidRDefault="001C6D58" w:rsidP="001C6D58">
      <w:pPr>
        <w:tabs>
          <w:tab w:val="left" w:pos="720"/>
        </w:tabs>
        <w:spacing w:line="20" w:lineRule="atLeast"/>
        <w:ind w:right="-93"/>
        <w:contextualSpacing/>
        <w:rPr>
          <w:rFonts w:cs="Verdana"/>
          <w:lang w:val="es-ES"/>
        </w:rPr>
      </w:pPr>
    </w:p>
    <w:p w14:paraId="399808B4" w14:textId="77777777" w:rsidR="001C6D58" w:rsidRPr="001C6D58" w:rsidRDefault="001C6D58" w:rsidP="001C6D58">
      <w:pPr>
        <w:tabs>
          <w:tab w:val="left" w:pos="720"/>
        </w:tabs>
        <w:spacing w:line="20" w:lineRule="atLeast"/>
        <w:ind w:right="-93"/>
        <w:contextualSpacing/>
        <w:rPr>
          <w:rFonts w:cs="Verdana"/>
          <w:lang w:val="es-ES"/>
        </w:rPr>
      </w:pPr>
    </w:p>
    <w:p w14:paraId="1892B1A4" w14:textId="77777777" w:rsidR="001C6D58" w:rsidRPr="001C6D58" w:rsidRDefault="001C6D58" w:rsidP="001C6D58">
      <w:pPr>
        <w:tabs>
          <w:tab w:val="left" w:pos="720"/>
        </w:tabs>
        <w:spacing w:line="20" w:lineRule="atLeast"/>
        <w:ind w:right="-93"/>
        <w:contextualSpacing/>
        <w:rPr>
          <w:rFonts w:cs="Verdana"/>
          <w:lang w:val="es-ES"/>
        </w:rPr>
      </w:pPr>
    </w:p>
    <w:p w14:paraId="4EB5A8A9"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Eduardo Ferrer Mac-</w:t>
      </w:r>
      <w:proofErr w:type="spellStart"/>
      <w:r w:rsidRPr="001C6D58">
        <w:rPr>
          <w:rFonts w:cs="Verdana"/>
          <w:lang w:val="es-ES"/>
        </w:rPr>
        <w:t>Gregor</w:t>
      </w:r>
      <w:proofErr w:type="spellEnd"/>
      <w:r w:rsidRPr="001C6D58">
        <w:rPr>
          <w:rFonts w:cs="Verdana"/>
          <w:lang w:val="es-ES"/>
        </w:rPr>
        <w:t xml:space="preserve"> </w:t>
      </w:r>
      <w:proofErr w:type="spellStart"/>
      <w:r w:rsidRPr="001C6D58">
        <w:rPr>
          <w:rFonts w:cs="Verdana"/>
          <w:lang w:val="es-ES"/>
        </w:rPr>
        <w:t>Poisot</w:t>
      </w:r>
      <w:proofErr w:type="spellEnd"/>
      <w:r w:rsidRPr="001C6D58">
        <w:rPr>
          <w:rFonts w:cs="Verdana"/>
          <w:lang w:val="es-ES"/>
        </w:rPr>
        <w:t xml:space="preserve"> </w:t>
      </w:r>
      <w:r w:rsidRPr="001C6D58">
        <w:rPr>
          <w:rFonts w:cs="Verdana"/>
          <w:lang w:val="es-ES"/>
        </w:rPr>
        <w:tab/>
      </w:r>
      <w:r w:rsidRPr="001C6D58">
        <w:rPr>
          <w:rFonts w:cs="Verdana"/>
          <w:lang w:val="es-ES"/>
        </w:rPr>
        <w:tab/>
      </w:r>
      <w:r w:rsidRPr="001C6D58">
        <w:rPr>
          <w:rFonts w:cs="Verdana"/>
          <w:lang w:val="es-ES"/>
        </w:rPr>
        <w:tab/>
      </w:r>
      <w:r w:rsidRPr="001C6D58">
        <w:rPr>
          <w:rFonts w:cs="Verdana"/>
          <w:lang w:val="es-ES"/>
        </w:rPr>
        <w:tab/>
        <w:t>Humberto Antonio Sierra Porto</w:t>
      </w:r>
    </w:p>
    <w:p w14:paraId="2A142B32" w14:textId="77777777" w:rsidR="001C6D58" w:rsidRPr="001C6D58" w:rsidRDefault="001C6D58" w:rsidP="001C6D58">
      <w:pPr>
        <w:tabs>
          <w:tab w:val="left" w:pos="720"/>
        </w:tabs>
        <w:spacing w:line="20" w:lineRule="atLeast"/>
        <w:ind w:right="-93"/>
        <w:contextualSpacing/>
        <w:rPr>
          <w:rFonts w:cs="Verdana"/>
          <w:lang w:val="es-ES"/>
        </w:rPr>
      </w:pPr>
    </w:p>
    <w:p w14:paraId="62C9E1CC" w14:textId="77777777" w:rsidR="001C6D58" w:rsidRPr="001C6D58" w:rsidRDefault="001C6D58" w:rsidP="001C6D58">
      <w:pPr>
        <w:tabs>
          <w:tab w:val="left" w:pos="720"/>
        </w:tabs>
        <w:spacing w:line="20" w:lineRule="atLeast"/>
        <w:ind w:right="-93"/>
        <w:contextualSpacing/>
        <w:rPr>
          <w:rFonts w:cs="Verdana"/>
          <w:lang w:val="es-ES"/>
        </w:rPr>
      </w:pPr>
    </w:p>
    <w:p w14:paraId="75E837A2" w14:textId="77777777" w:rsidR="001C6D58" w:rsidRPr="001C6D58" w:rsidRDefault="001C6D58" w:rsidP="001C6D58">
      <w:pPr>
        <w:tabs>
          <w:tab w:val="left" w:pos="720"/>
        </w:tabs>
        <w:spacing w:line="20" w:lineRule="atLeast"/>
        <w:ind w:right="-93"/>
        <w:contextualSpacing/>
        <w:rPr>
          <w:rFonts w:cs="Verdana"/>
          <w:lang w:val="es-ES"/>
        </w:rPr>
      </w:pPr>
    </w:p>
    <w:p w14:paraId="68AB2A99" w14:textId="77777777" w:rsidR="001C6D58" w:rsidRPr="001C6D58" w:rsidRDefault="001C6D58" w:rsidP="001C6D58">
      <w:pPr>
        <w:tabs>
          <w:tab w:val="left" w:pos="720"/>
        </w:tabs>
        <w:spacing w:line="20" w:lineRule="atLeast"/>
        <w:ind w:right="-93"/>
        <w:contextualSpacing/>
        <w:rPr>
          <w:rFonts w:cs="Verdana"/>
          <w:lang w:val="es-ES"/>
        </w:rPr>
      </w:pPr>
    </w:p>
    <w:p w14:paraId="098E2D64"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Nancy Hernández López</w:t>
      </w:r>
      <w:r w:rsidRPr="001C6D58">
        <w:rPr>
          <w:rFonts w:cs="Verdana"/>
          <w:lang w:val="es-ES"/>
        </w:rPr>
        <w:tab/>
      </w:r>
      <w:r w:rsidRPr="001C6D58">
        <w:rPr>
          <w:rFonts w:cs="Verdana"/>
          <w:lang w:val="es-ES"/>
        </w:rPr>
        <w:tab/>
      </w:r>
      <w:r w:rsidRPr="001C6D58">
        <w:rPr>
          <w:rFonts w:cs="Verdana"/>
          <w:lang w:val="es-ES"/>
        </w:rPr>
        <w:tab/>
      </w:r>
      <w:proofErr w:type="gramStart"/>
      <w:r w:rsidRPr="001C6D58">
        <w:rPr>
          <w:rFonts w:cs="Verdana"/>
          <w:lang w:val="es-ES"/>
        </w:rPr>
        <w:tab/>
        <w:t xml:space="preserve">  </w:t>
      </w:r>
      <w:r w:rsidRPr="001C6D58">
        <w:rPr>
          <w:rFonts w:cs="Verdana"/>
          <w:lang w:val="es-ES"/>
        </w:rPr>
        <w:tab/>
      </w:r>
      <w:proofErr w:type="gramEnd"/>
      <w:r w:rsidRPr="001C6D58">
        <w:rPr>
          <w:rFonts w:cs="Verdana"/>
          <w:lang w:val="es-ES"/>
        </w:rPr>
        <w:tab/>
      </w:r>
      <w:r w:rsidRPr="001C6D58">
        <w:rPr>
          <w:rFonts w:cs="Verdana"/>
          <w:lang w:val="es-ES"/>
        </w:rPr>
        <w:tab/>
        <w:t xml:space="preserve"> Verónica Gómez                                                  </w:t>
      </w:r>
    </w:p>
    <w:p w14:paraId="2E7007D5" w14:textId="77777777" w:rsidR="001C6D58" w:rsidRPr="001C6D58" w:rsidRDefault="001C6D58" w:rsidP="001C6D58">
      <w:pPr>
        <w:tabs>
          <w:tab w:val="left" w:pos="720"/>
        </w:tabs>
        <w:spacing w:line="20" w:lineRule="atLeast"/>
        <w:ind w:right="-93"/>
        <w:contextualSpacing/>
        <w:rPr>
          <w:rFonts w:cs="Verdana"/>
          <w:lang w:val="es-ES"/>
        </w:rPr>
      </w:pPr>
    </w:p>
    <w:p w14:paraId="1AE93A31" w14:textId="77777777" w:rsidR="001C6D58" w:rsidRPr="001C6D58" w:rsidRDefault="001C6D58" w:rsidP="001C6D58">
      <w:pPr>
        <w:tabs>
          <w:tab w:val="left" w:pos="720"/>
        </w:tabs>
        <w:spacing w:line="20" w:lineRule="atLeast"/>
        <w:ind w:right="-93"/>
        <w:contextualSpacing/>
        <w:rPr>
          <w:rFonts w:cs="Verdana"/>
          <w:lang w:val="es-ES"/>
        </w:rPr>
      </w:pPr>
    </w:p>
    <w:p w14:paraId="006A2C0B" w14:textId="77777777" w:rsidR="001C6D58" w:rsidRPr="001C6D58" w:rsidRDefault="001C6D58" w:rsidP="001C6D58">
      <w:pPr>
        <w:tabs>
          <w:tab w:val="left" w:pos="720"/>
        </w:tabs>
        <w:spacing w:line="20" w:lineRule="atLeast"/>
        <w:ind w:right="-93"/>
        <w:contextualSpacing/>
        <w:rPr>
          <w:rFonts w:cs="Verdana"/>
          <w:lang w:val="es-ES"/>
        </w:rPr>
      </w:pPr>
    </w:p>
    <w:p w14:paraId="042844FE" w14:textId="77777777" w:rsidR="001C6D58" w:rsidRPr="001C6D58" w:rsidRDefault="001C6D58" w:rsidP="001C6D58">
      <w:pPr>
        <w:tabs>
          <w:tab w:val="left" w:pos="720"/>
        </w:tabs>
        <w:spacing w:line="20" w:lineRule="atLeast"/>
        <w:ind w:right="-93"/>
        <w:contextualSpacing/>
        <w:rPr>
          <w:rFonts w:cs="Verdana"/>
          <w:lang w:val="es-ES"/>
        </w:rPr>
      </w:pPr>
    </w:p>
    <w:p w14:paraId="17EB7116"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Patricia Pérez Goldberg</w:t>
      </w:r>
      <w:r w:rsidRPr="001C6D58">
        <w:rPr>
          <w:rFonts w:cs="Verdana"/>
          <w:lang w:val="es-ES"/>
        </w:rPr>
        <w:tab/>
      </w:r>
      <w:r w:rsidRPr="001C6D58">
        <w:rPr>
          <w:rFonts w:cs="Verdana"/>
          <w:lang w:val="es-ES"/>
        </w:rPr>
        <w:tab/>
      </w:r>
      <w:r w:rsidRPr="001C6D58">
        <w:rPr>
          <w:rFonts w:cs="Verdana"/>
          <w:lang w:val="es-ES"/>
        </w:rPr>
        <w:tab/>
        <w:t xml:space="preserve">                    </w:t>
      </w:r>
      <w:r w:rsidRPr="001C6D58">
        <w:rPr>
          <w:rFonts w:cs="Verdana"/>
          <w:lang w:val="es-ES"/>
        </w:rPr>
        <w:tab/>
        <w:t xml:space="preserve">               Rodrigo Mudrovitsch</w:t>
      </w:r>
    </w:p>
    <w:p w14:paraId="3E5E096E" w14:textId="77777777" w:rsidR="001C6D58" w:rsidRPr="001C6D58" w:rsidRDefault="001C6D58" w:rsidP="001C6D58">
      <w:pPr>
        <w:tabs>
          <w:tab w:val="left" w:pos="720"/>
        </w:tabs>
        <w:spacing w:line="20" w:lineRule="atLeast"/>
        <w:ind w:right="-93"/>
        <w:contextualSpacing/>
        <w:rPr>
          <w:rFonts w:cs="Verdana"/>
          <w:lang w:val="es-ES"/>
        </w:rPr>
      </w:pPr>
    </w:p>
    <w:p w14:paraId="389C9084" w14:textId="77777777" w:rsidR="001C6D58" w:rsidRPr="001C6D58" w:rsidRDefault="001C6D58" w:rsidP="001C6D58">
      <w:pPr>
        <w:tabs>
          <w:tab w:val="left" w:pos="720"/>
        </w:tabs>
        <w:spacing w:line="20" w:lineRule="atLeast"/>
        <w:ind w:right="-93"/>
        <w:contextualSpacing/>
        <w:rPr>
          <w:rFonts w:cs="Verdana"/>
          <w:lang w:val="es-ES"/>
        </w:rPr>
      </w:pPr>
    </w:p>
    <w:p w14:paraId="6960F5E9" w14:textId="77777777" w:rsidR="001C6D58" w:rsidRPr="001C6D58" w:rsidRDefault="001C6D58" w:rsidP="001C6D58">
      <w:pPr>
        <w:tabs>
          <w:tab w:val="left" w:pos="720"/>
        </w:tabs>
        <w:spacing w:line="20" w:lineRule="atLeast"/>
        <w:ind w:right="-93"/>
        <w:contextualSpacing/>
        <w:rPr>
          <w:rFonts w:cs="Verdana"/>
          <w:lang w:val="es-ES"/>
        </w:rPr>
      </w:pPr>
    </w:p>
    <w:p w14:paraId="47C6E34E" w14:textId="77777777" w:rsidR="001C6D58" w:rsidRPr="001C6D58" w:rsidRDefault="001C6D58" w:rsidP="001C6D58">
      <w:pPr>
        <w:tabs>
          <w:tab w:val="left" w:pos="720"/>
        </w:tabs>
        <w:spacing w:line="20" w:lineRule="atLeast"/>
        <w:ind w:right="-93"/>
        <w:contextualSpacing/>
        <w:rPr>
          <w:rFonts w:cs="Verdana"/>
          <w:lang w:val="es-ES"/>
        </w:rPr>
      </w:pPr>
    </w:p>
    <w:p w14:paraId="340B0440" w14:textId="77777777" w:rsidR="001C6D58" w:rsidRPr="001C6D58" w:rsidRDefault="001C6D58" w:rsidP="001C6D58">
      <w:pPr>
        <w:tabs>
          <w:tab w:val="left" w:pos="720"/>
        </w:tabs>
        <w:spacing w:line="20" w:lineRule="atLeast"/>
        <w:ind w:right="-93"/>
        <w:contextualSpacing/>
        <w:jc w:val="center"/>
        <w:rPr>
          <w:rFonts w:cs="Verdana"/>
          <w:lang w:val="es-ES"/>
        </w:rPr>
      </w:pPr>
      <w:r w:rsidRPr="001C6D58">
        <w:rPr>
          <w:rFonts w:cs="Verdana"/>
          <w:lang w:val="es-ES"/>
        </w:rPr>
        <w:t xml:space="preserve">Romina I. </w:t>
      </w:r>
      <w:proofErr w:type="spellStart"/>
      <w:r w:rsidRPr="001C6D58">
        <w:rPr>
          <w:rFonts w:cs="Verdana"/>
          <w:lang w:val="es-ES"/>
        </w:rPr>
        <w:t>Sijniensky</w:t>
      </w:r>
      <w:proofErr w:type="spellEnd"/>
    </w:p>
    <w:p w14:paraId="25AEC7B8" w14:textId="77777777" w:rsidR="001C6D58" w:rsidRPr="001C6D58" w:rsidRDefault="001C6D58" w:rsidP="001C6D58">
      <w:pPr>
        <w:tabs>
          <w:tab w:val="left" w:pos="720"/>
        </w:tabs>
        <w:spacing w:line="20" w:lineRule="atLeast"/>
        <w:ind w:right="-93"/>
        <w:contextualSpacing/>
        <w:jc w:val="center"/>
        <w:rPr>
          <w:rFonts w:cs="Verdana"/>
          <w:lang w:val="es-ES"/>
        </w:rPr>
      </w:pPr>
      <w:r w:rsidRPr="001C6D58">
        <w:rPr>
          <w:rFonts w:cs="Verdana"/>
          <w:lang w:val="es-ES"/>
        </w:rPr>
        <w:t>Secretaria Adjunta</w:t>
      </w:r>
    </w:p>
    <w:p w14:paraId="3D30A7B9" w14:textId="77777777" w:rsidR="001C6D58" w:rsidRPr="001C6D58" w:rsidRDefault="001C6D58" w:rsidP="001C6D58">
      <w:pPr>
        <w:tabs>
          <w:tab w:val="left" w:pos="720"/>
        </w:tabs>
        <w:spacing w:line="20" w:lineRule="atLeast"/>
        <w:ind w:right="-93"/>
        <w:contextualSpacing/>
        <w:rPr>
          <w:rFonts w:cs="Verdana"/>
          <w:lang w:val="es-ES"/>
        </w:rPr>
      </w:pPr>
    </w:p>
    <w:p w14:paraId="0E9F41CC" w14:textId="77777777" w:rsidR="001C6D58" w:rsidRPr="001C6D58" w:rsidRDefault="001C6D58" w:rsidP="001C6D58">
      <w:pPr>
        <w:tabs>
          <w:tab w:val="left" w:pos="720"/>
        </w:tabs>
        <w:spacing w:line="20" w:lineRule="atLeast"/>
        <w:ind w:right="-93"/>
        <w:contextualSpacing/>
        <w:rPr>
          <w:rFonts w:cs="Verdana"/>
          <w:lang w:val="es-ES"/>
        </w:rPr>
      </w:pPr>
    </w:p>
    <w:p w14:paraId="0EABDD91" w14:textId="77777777" w:rsidR="001C6D58" w:rsidRPr="001C6D58" w:rsidRDefault="001C6D58" w:rsidP="001C6D58">
      <w:pPr>
        <w:tabs>
          <w:tab w:val="left" w:pos="720"/>
        </w:tabs>
        <w:spacing w:line="20" w:lineRule="atLeast"/>
        <w:ind w:right="-93"/>
        <w:contextualSpacing/>
        <w:rPr>
          <w:rFonts w:cs="Verdana"/>
          <w:lang w:val="es-ES"/>
        </w:rPr>
      </w:pPr>
    </w:p>
    <w:p w14:paraId="725FCED3"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Comuníquese y ejecútese,</w:t>
      </w:r>
    </w:p>
    <w:p w14:paraId="608E7BF9" w14:textId="77777777" w:rsidR="001C6D58" w:rsidRPr="001C6D58" w:rsidRDefault="001C6D58" w:rsidP="001C6D58">
      <w:pPr>
        <w:tabs>
          <w:tab w:val="left" w:pos="720"/>
        </w:tabs>
        <w:spacing w:line="20" w:lineRule="atLeast"/>
        <w:ind w:right="-93"/>
        <w:contextualSpacing/>
        <w:rPr>
          <w:rFonts w:cs="Verdana"/>
          <w:lang w:val="es-ES"/>
        </w:rPr>
      </w:pPr>
    </w:p>
    <w:p w14:paraId="5536DB18" w14:textId="77777777" w:rsidR="001C6D58" w:rsidRPr="001C6D58" w:rsidRDefault="001C6D58" w:rsidP="001C6D58">
      <w:pPr>
        <w:tabs>
          <w:tab w:val="left" w:pos="720"/>
        </w:tabs>
        <w:spacing w:line="20" w:lineRule="atLeast"/>
        <w:ind w:right="-93"/>
        <w:contextualSpacing/>
        <w:rPr>
          <w:rFonts w:cs="Verdana"/>
          <w:lang w:val="es-ES"/>
        </w:rPr>
      </w:pPr>
    </w:p>
    <w:p w14:paraId="3480072E" w14:textId="77777777" w:rsidR="001C6D58" w:rsidRPr="001C6D58" w:rsidRDefault="001C6D58" w:rsidP="001C6D58">
      <w:pPr>
        <w:tabs>
          <w:tab w:val="left" w:pos="720"/>
        </w:tabs>
        <w:spacing w:line="20" w:lineRule="atLeast"/>
        <w:ind w:right="-93"/>
        <w:contextualSpacing/>
        <w:rPr>
          <w:rFonts w:cs="Verdana"/>
          <w:lang w:val="es-ES"/>
        </w:rPr>
      </w:pPr>
    </w:p>
    <w:p w14:paraId="2EA032EC"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 xml:space="preserve">                                                                                        Ricardo C. Pérez Manrique</w:t>
      </w:r>
    </w:p>
    <w:p w14:paraId="52CE5EF3" w14:textId="32BF5C30"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 xml:space="preserve">      </w:t>
      </w:r>
      <w:r>
        <w:rPr>
          <w:rFonts w:cs="Verdana"/>
          <w:lang w:val="es-ES"/>
        </w:rPr>
        <w:t xml:space="preserve">                                                                                              </w:t>
      </w:r>
      <w:r w:rsidRPr="001C6D58">
        <w:rPr>
          <w:rFonts w:cs="Verdana"/>
          <w:lang w:val="es-ES"/>
        </w:rPr>
        <w:t xml:space="preserve"> Presidente</w:t>
      </w:r>
    </w:p>
    <w:p w14:paraId="521D7A9A" w14:textId="77777777" w:rsidR="001C6D58" w:rsidRPr="001C6D58" w:rsidRDefault="001C6D58" w:rsidP="001C6D58">
      <w:pPr>
        <w:tabs>
          <w:tab w:val="left" w:pos="720"/>
        </w:tabs>
        <w:spacing w:line="20" w:lineRule="atLeast"/>
        <w:ind w:right="-93"/>
        <w:contextualSpacing/>
        <w:rPr>
          <w:rFonts w:cs="Verdana"/>
          <w:lang w:val="es-ES"/>
        </w:rPr>
      </w:pPr>
    </w:p>
    <w:p w14:paraId="4FF5361E" w14:textId="77777777" w:rsidR="001C6D58" w:rsidRPr="001C6D58" w:rsidRDefault="001C6D58" w:rsidP="001C6D58">
      <w:pPr>
        <w:tabs>
          <w:tab w:val="left" w:pos="720"/>
        </w:tabs>
        <w:spacing w:line="20" w:lineRule="atLeast"/>
        <w:ind w:right="-93"/>
        <w:contextualSpacing/>
        <w:rPr>
          <w:rFonts w:cs="Verdana"/>
          <w:lang w:val="es-ES"/>
        </w:rPr>
      </w:pPr>
    </w:p>
    <w:p w14:paraId="0D2A0461" w14:textId="77777777" w:rsidR="001C6D58" w:rsidRPr="001C6D58" w:rsidRDefault="001C6D58" w:rsidP="001C6D58">
      <w:pPr>
        <w:tabs>
          <w:tab w:val="left" w:pos="720"/>
        </w:tabs>
        <w:spacing w:line="20" w:lineRule="atLeast"/>
        <w:ind w:right="-93"/>
        <w:contextualSpacing/>
        <w:rPr>
          <w:rFonts w:cs="Verdana"/>
          <w:lang w:val="es-ES"/>
        </w:rPr>
      </w:pPr>
    </w:p>
    <w:p w14:paraId="1FF6AACC" w14:textId="77777777" w:rsidR="001C6D58" w:rsidRPr="001C6D58" w:rsidRDefault="001C6D58" w:rsidP="001C6D58">
      <w:pPr>
        <w:tabs>
          <w:tab w:val="left" w:pos="720"/>
        </w:tabs>
        <w:spacing w:line="20" w:lineRule="atLeast"/>
        <w:ind w:right="-93"/>
        <w:contextualSpacing/>
        <w:rPr>
          <w:rFonts w:cs="Verdana"/>
          <w:lang w:val="es-ES"/>
        </w:rPr>
      </w:pPr>
      <w:r w:rsidRPr="001C6D58">
        <w:rPr>
          <w:rFonts w:cs="Verdana"/>
          <w:lang w:val="es-ES"/>
        </w:rPr>
        <w:t xml:space="preserve">Romina I. </w:t>
      </w:r>
      <w:proofErr w:type="spellStart"/>
      <w:r w:rsidRPr="001C6D58">
        <w:rPr>
          <w:rFonts w:cs="Verdana"/>
          <w:lang w:val="es-ES"/>
        </w:rPr>
        <w:t>Sijniensky</w:t>
      </w:r>
      <w:proofErr w:type="spellEnd"/>
    </w:p>
    <w:p w14:paraId="6E71C06B" w14:textId="24556797" w:rsidR="00EA7858" w:rsidRDefault="001C6D58" w:rsidP="00AB6FF9">
      <w:pPr>
        <w:tabs>
          <w:tab w:val="left" w:pos="720"/>
        </w:tabs>
        <w:spacing w:line="20" w:lineRule="atLeast"/>
        <w:ind w:right="-93"/>
        <w:contextualSpacing/>
        <w:rPr>
          <w:rFonts w:cs="Verdana"/>
          <w:lang w:val="es-ES"/>
        </w:rPr>
      </w:pPr>
      <w:r w:rsidRPr="001C6D58">
        <w:rPr>
          <w:rFonts w:cs="Verdana"/>
          <w:lang w:val="es-ES"/>
        </w:rPr>
        <w:t xml:space="preserve"> Secretaria Adjunta</w:t>
      </w:r>
    </w:p>
    <w:p w14:paraId="36522C07" w14:textId="77777777" w:rsidR="00EA7858" w:rsidRDefault="00EA7858" w:rsidP="00AB6FF9">
      <w:pPr>
        <w:tabs>
          <w:tab w:val="left" w:pos="720"/>
        </w:tabs>
        <w:spacing w:line="20" w:lineRule="atLeast"/>
        <w:ind w:right="-93"/>
        <w:contextualSpacing/>
        <w:rPr>
          <w:rFonts w:cs="Verdana"/>
          <w:lang w:val="es-ES"/>
        </w:rPr>
      </w:pPr>
    </w:p>
    <w:p w14:paraId="253B308B" w14:textId="77777777" w:rsidR="00EA7858" w:rsidRDefault="00EA7858" w:rsidP="00AB6FF9">
      <w:pPr>
        <w:tabs>
          <w:tab w:val="left" w:pos="720"/>
        </w:tabs>
        <w:spacing w:line="20" w:lineRule="atLeast"/>
        <w:ind w:right="-93"/>
        <w:contextualSpacing/>
        <w:rPr>
          <w:rFonts w:cs="Verdana"/>
          <w:lang w:val="es-ES"/>
        </w:rPr>
      </w:pPr>
    </w:p>
    <w:p w14:paraId="2EBD3858" w14:textId="77777777" w:rsidR="00EA7858" w:rsidRDefault="00EA7858" w:rsidP="00AB6FF9">
      <w:pPr>
        <w:tabs>
          <w:tab w:val="left" w:pos="720"/>
        </w:tabs>
        <w:spacing w:line="20" w:lineRule="atLeast"/>
        <w:ind w:right="-93"/>
        <w:contextualSpacing/>
        <w:rPr>
          <w:rFonts w:cs="Verdana"/>
          <w:lang w:val="es-ES"/>
        </w:rPr>
      </w:pPr>
    </w:p>
    <w:p w14:paraId="7DF432F6" w14:textId="77777777" w:rsidR="00EA7858" w:rsidRDefault="00EA7858" w:rsidP="00AB6FF9">
      <w:pPr>
        <w:tabs>
          <w:tab w:val="left" w:pos="720"/>
        </w:tabs>
        <w:spacing w:line="20" w:lineRule="atLeast"/>
        <w:ind w:right="-93"/>
        <w:contextualSpacing/>
        <w:rPr>
          <w:rFonts w:cs="Verdana"/>
          <w:lang w:val="es-ES"/>
        </w:rPr>
      </w:pPr>
    </w:p>
    <w:p w14:paraId="1D7EE79D" w14:textId="77777777" w:rsidR="00EA7858" w:rsidRDefault="00EA7858" w:rsidP="00AB6FF9">
      <w:pPr>
        <w:tabs>
          <w:tab w:val="left" w:pos="720"/>
        </w:tabs>
        <w:spacing w:line="20" w:lineRule="atLeast"/>
        <w:ind w:right="-93"/>
        <w:contextualSpacing/>
        <w:rPr>
          <w:rFonts w:cs="Verdana"/>
          <w:lang w:val="es-ES"/>
        </w:rPr>
      </w:pPr>
    </w:p>
    <w:sectPr w:rsidR="00EA7858" w:rsidSect="009149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20CC" w14:textId="77777777" w:rsidR="001C74E2" w:rsidRDefault="001C74E2" w:rsidP="00E0705E">
      <w:pPr>
        <w:spacing w:line="240" w:lineRule="auto"/>
      </w:pPr>
      <w:r>
        <w:separator/>
      </w:r>
    </w:p>
  </w:endnote>
  <w:endnote w:type="continuationSeparator" w:id="0">
    <w:p w14:paraId="331F4E9C" w14:textId="77777777" w:rsidR="001C74E2" w:rsidRDefault="001C74E2" w:rsidP="00E07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Palatino Linotype"/>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99383205"/>
      <w:docPartObj>
        <w:docPartGallery w:val="Page Numbers (Bottom of Page)"/>
        <w:docPartUnique/>
      </w:docPartObj>
    </w:sdtPr>
    <w:sdtContent>
      <w:p w14:paraId="194F4A17" w14:textId="77777777" w:rsidR="00604713" w:rsidRDefault="00604713">
        <w:pPr>
          <w:pStyle w:val="Piedepgina"/>
          <w:jc w:val="center"/>
          <w:rPr>
            <w:sz w:val="18"/>
            <w:szCs w:val="18"/>
          </w:rPr>
        </w:pPr>
      </w:p>
      <w:p w14:paraId="4F76C399" w14:textId="7322CE3F" w:rsidR="00CD69FC" w:rsidRPr="00CD69FC" w:rsidRDefault="00CD69FC">
        <w:pPr>
          <w:pStyle w:val="Piedepgina"/>
          <w:jc w:val="center"/>
          <w:rPr>
            <w:sz w:val="18"/>
            <w:szCs w:val="18"/>
          </w:rPr>
        </w:pPr>
        <w:r w:rsidRPr="00CD69FC">
          <w:rPr>
            <w:sz w:val="18"/>
            <w:szCs w:val="18"/>
          </w:rPr>
          <w:fldChar w:fldCharType="begin"/>
        </w:r>
        <w:r w:rsidRPr="00CD69FC">
          <w:rPr>
            <w:sz w:val="18"/>
            <w:szCs w:val="18"/>
          </w:rPr>
          <w:instrText>PAGE   \* MERGEFORMAT</w:instrText>
        </w:r>
        <w:r w:rsidRPr="00CD69FC">
          <w:rPr>
            <w:sz w:val="18"/>
            <w:szCs w:val="18"/>
          </w:rPr>
          <w:fldChar w:fldCharType="separate"/>
        </w:r>
        <w:r w:rsidRPr="00CD69FC">
          <w:rPr>
            <w:sz w:val="18"/>
            <w:szCs w:val="18"/>
            <w:lang w:val="es-ES"/>
          </w:rPr>
          <w:t>2</w:t>
        </w:r>
        <w:r w:rsidRPr="00CD69FC">
          <w:rPr>
            <w:sz w:val="18"/>
            <w:szCs w:val="18"/>
          </w:rPr>
          <w:fldChar w:fldCharType="end"/>
        </w:r>
      </w:p>
    </w:sdtContent>
  </w:sdt>
  <w:p w14:paraId="7E2C0075" w14:textId="77777777" w:rsidR="00CD69FC" w:rsidRPr="00CD69FC" w:rsidRDefault="00CD69FC">
    <w:pPr>
      <w:pStyle w:val="Piedepgina"/>
      <w:rPr>
        <w:sz w:val="18"/>
        <w:szCs w:val="18"/>
      </w:rPr>
    </w:pPr>
  </w:p>
  <w:p w14:paraId="6EA04D8E" w14:textId="77777777" w:rsidR="005147E8" w:rsidRDefault="005147E8"/>
  <w:p w14:paraId="64EF8554" w14:textId="77777777" w:rsidR="00424188" w:rsidRDefault="004241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D684" w14:textId="77777777" w:rsidR="001C74E2" w:rsidRDefault="001C74E2" w:rsidP="00E0705E">
      <w:pPr>
        <w:spacing w:line="240" w:lineRule="auto"/>
      </w:pPr>
      <w:r>
        <w:separator/>
      </w:r>
    </w:p>
  </w:footnote>
  <w:footnote w:type="continuationSeparator" w:id="0">
    <w:p w14:paraId="4DBB22EE" w14:textId="77777777" w:rsidR="001C74E2" w:rsidRDefault="001C74E2" w:rsidP="00E0705E">
      <w:pPr>
        <w:spacing w:line="240" w:lineRule="auto"/>
      </w:pPr>
      <w:r>
        <w:continuationSeparator/>
      </w:r>
    </w:p>
  </w:footnote>
  <w:footnote w:id="1">
    <w:p w14:paraId="30731DF4" w14:textId="35A53B45" w:rsidR="00E0705E" w:rsidRPr="00065F63" w:rsidRDefault="00E0705E" w:rsidP="00DF7FF5">
      <w:pPr>
        <w:pStyle w:val="Textonotapie"/>
        <w:spacing w:before="40" w:after="40"/>
        <w:rPr>
          <w:sz w:val="16"/>
          <w:szCs w:val="16"/>
        </w:rPr>
      </w:pPr>
      <w:r w:rsidRPr="00065F63">
        <w:rPr>
          <w:rStyle w:val="Refdenotaalpie"/>
          <w:rFonts w:eastAsia="Batang"/>
          <w:sz w:val="16"/>
          <w:szCs w:val="16"/>
        </w:rPr>
        <w:footnoteRef/>
      </w:r>
      <w:r w:rsidRPr="00065F63">
        <w:rPr>
          <w:sz w:val="16"/>
          <w:szCs w:val="16"/>
        </w:rPr>
        <w:t xml:space="preserve"> </w:t>
      </w:r>
      <w:r w:rsidRPr="00065F63">
        <w:rPr>
          <w:sz w:val="16"/>
          <w:szCs w:val="16"/>
        </w:rPr>
        <w:tab/>
        <w:t xml:space="preserve">El mismo fue notificado a las partes el </w:t>
      </w:r>
      <w:r w:rsidR="00692222" w:rsidRPr="00065F63">
        <w:rPr>
          <w:sz w:val="16"/>
          <w:szCs w:val="16"/>
        </w:rPr>
        <w:t>23</w:t>
      </w:r>
      <w:r w:rsidRPr="00065F63">
        <w:rPr>
          <w:sz w:val="16"/>
          <w:szCs w:val="16"/>
        </w:rPr>
        <w:t xml:space="preserve"> de </w:t>
      </w:r>
      <w:r w:rsidR="00692222" w:rsidRPr="00065F63">
        <w:rPr>
          <w:sz w:val="16"/>
          <w:szCs w:val="16"/>
        </w:rPr>
        <w:t>febrero</w:t>
      </w:r>
      <w:r w:rsidRPr="00065F63">
        <w:rPr>
          <w:sz w:val="16"/>
          <w:szCs w:val="16"/>
        </w:rPr>
        <w:t xml:space="preserve"> de 20</w:t>
      </w:r>
      <w:r w:rsidR="003F4997" w:rsidRPr="00065F63">
        <w:rPr>
          <w:sz w:val="16"/>
          <w:szCs w:val="16"/>
        </w:rPr>
        <w:t>18</w:t>
      </w:r>
      <w:r w:rsidRPr="00065F63">
        <w:rPr>
          <w:sz w:val="16"/>
          <w:szCs w:val="16"/>
        </w:rPr>
        <w:t xml:space="preserve">. </w:t>
      </w:r>
    </w:p>
  </w:footnote>
  <w:footnote w:id="2">
    <w:p w14:paraId="1A46B3E9" w14:textId="4AEE9029" w:rsidR="00254D6C" w:rsidRPr="00254D6C" w:rsidRDefault="00254D6C">
      <w:pPr>
        <w:pStyle w:val="Textonotapie"/>
        <w:rPr>
          <w:sz w:val="16"/>
          <w:szCs w:val="16"/>
        </w:rPr>
      </w:pPr>
      <w:r w:rsidRPr="00254D6C">
        <w:rPr>
          <w:rStyle w:val="Refdenotaalpie"/>
          <w:sz w:val="16"/>
          <w:szCs w:val="16"/>
        </w:rPr>
        <w:footnoteRef/>
      </w:r>
      <w:r w:rsidRPr="00254D6C">
        <w:rPr>
          <w:sz w:val="16"/>
          <w:szCs w:val="16"/>
        </w:rPr>
        <w:t xml:space="preserve"> </w:t>
      </w:r>
      <w:r w:rsidRPr="00254D6C">
        <w:rPr>
          <w:sz w:val="16"/>
          <w:szCs w:val="16"/>
        </w:rPr>
        <w:tab/>
        <w:t>La Comisión concluyó que el Estado era responsable internacionalmente por</w:t>
      </w:r>
      <w:r w:rsidR="007B3B66">
        <w:rPr>
          <w:sz w:val="16"/>
          <w:szCs w:val="16"/>
        </w:rPr>
        <w:t xml:space="preserve"> la violaci</w:t>
      </w:r>
      <w:r w:rsidR="00346233">
        <w:rPr>
          <w:sz w:val="16"/>
          <w:szCs w:val="16"/>
        </w:rPr>
        <w:t xml:space="preserve">ón </w:t>
      </w:r>
      <w:r w:rsidRPr="00254D6C">
        <w:rPr>
          <w:sz w:val="16"/>
          <w:szCs w:val="16"/>
        </w:rPr>
        <w:t>de los derechos establecidos en los artículos 8.1 (garantías judiciales), 11 (vida privada), 24 (igualdad ante la ley) y 25.1 (protección judicial) de la Convención Americana sobre Derechos Humanos (en adelante “la Convención Americana”</w:t>
      </w:r>
      <w:proofErr w:type="gramStart"/>
      <w:r w:rsidRPr="00254D6C">
        <w:rPr>
          <w:sz w:val="16"/>
          <w:szCs w:val="16"/>
        </w:rPr>
        <w:t>) ,</w:t>
      </w:r>
      <w:proofErr w:type="gramEnd"/>
      <w:r w:rsidRPr="00254D6C">
        <w:rPr>
          <w:sz w:val="16"/>
          <w:szCs w:val="16"/>
        </w:rPr>
        <w:t xml:space="preserve"> en relación con las obligaciones establecidas en el artículo 1.1 del mismo instrumento</w:t>
      </w:r>
    </w:p>
  </w:footnote>
  <w:footnote w:id="3">
    <w:p w14:paraId="4B50DEE0" w14:textId="1D248875" w:rsidR="00E0705E" w:rsidRPr="00065F63" w:rsidRDefault="00E0705E" w:rsidP="00DF7FF5">
      <w:pPr>
        <w:pStyle w:val="Textonotapie"/>
        <w:spacing w:before="40" w:after="40"/>
        <w:rPr>
          <w:sz w:val="16"/>
          <w:szCs w:val="16"/>
        </w:rPr>
      </w:pPr>
      <w:r w:rsidRPr="00065F63">
        <w:rPr>
          <w:rStyle w:val="Refdenotaalpie"/>
          <w:rFonts w:eastAsia="Batang"/>
          <w:sz w:val="16"/>
          <w:szCs w:val="16"/>
        </w:rPr>
        <w:footnoteRef/>
      </w:r>
      <w:r w:rsidRPr="00065F63">
        <w:rPr>
          <w:sz w:val="16"/>
          <w:szCs w:val="16"/>
        </w:rPr>
        <w:t xml:space="preserve"> </w:t>
      </w:r>
      <w:r w:rsidRPr="00065F63">
        <w:rPr>
          <w:sz w:val="16"/>
          <w:szCs w:val="16"/>
        </w:rPr>
        <w:tab/>
      </w:r>
      <w:r w:rsidR="00F045E1" w:rsidRPr="00EA3CBB">
        <w:rPr>
          <w:sz w:val="16"/>
          <w:szCs w:val="16"/>
        </w:rPr>
        <w:t>La Comisión designó como su</w:t>
      </w:r>
      <w:r w:rsidR="00F045E1">
        <w:rPr>
          <w:sz w:val="16"/>
          <w:szCs w:val="16"/>
        </w:rPr>
        <w:t xml:space="preserve"> delegado</w:t>
      </w:r>
      <w:r w:rsidR="00F045E1" w:rsidRPr="00EA3CBB">
        <w:rPr>
          <w:sz w:val="16"/>
          <w:szCs w:val="16"/>
        </w:rPr>
        <w:t xml:space="preserve"> ante la Corte al Comisionado Edgar Stuardo Ralón Orellana Panszi. Asimismo, </w:t>
      </w:r>
      <w:r w:rsidR="00F045E1">
        <w:rPr>
          <w:sz w:val="16"/>
          <w:szCs w:val="16"/>
        </w:rPr>
        <w:t>designó como asesora y asesores legales a la entonces Secretaria Ejecutiva Adjunta</w:t>
      </w:r>
      <w:r w:rsidR="00D14B73">
        <w:rPr>
          <w:sz w:val="16"/>
          <w:szCs w:val="16"/>
        </w:rPr>
        <w:t>,</w:t>
      </w:r>
      <w:r w:rsidR="00F045E1">
        <w:rPr>
          <w:sz w:val="16"/>
          <w:szCs w:val="16"/>
        </w:rPr>
        <w:t xml:space="preserve"> Marisol Blanchard Vera</w:t>
      </w:r>
      <w:r w:rsidR="00D14B73">
        <w:rPr>
          <w:sz w:val="16"/>
          <w:szCs w:val="16"/>
        </w:rPr>
        <w:t>,</w:t>
      </w:r>
      <w:r w:rsidR="00F045E1">
        <w:rPr>
          <w:sz w:val="16"/>
          <w:szCs w:val="16"/>
        </w:rPr>
        <w:t xml:space="preserve"> y a los entonces abogados de la Secretaría Ejecutiva de la Comisión</w:t>
      </w:r>
      <w:r w:rsidR="00D14B73">
        <w:rPr>
          <w:sz w:val="16"/>
          <w:szCs w:val="16"/>
        </w:rPr>
        <w:t>,</w:t>
      </w:r>
      <w:r w:rsidR="00F045E1">
        <w:rPr>
          <w:sz w:val="16"/>
          <w:szCs w:val="16"/>
        </w:rPr>
        <w:t xml:space="preserve"> Jorge Meza Flores</w:t>
      </w:r>
      <w:r w:rsidR="00F045E1" w:rsidRPr="00F045E1">
        <w:rPr>
          <w:sz w:val="16"/>
          <w:szCs w:val="16"/>
        </w:rPr>
        <w:t xml:space="preserve"> </w:t>
      </w:r>
      <w:r w:rsidR="005A794E">
        <w:rPr>
          <w:sz w:val="16"/>
          <w:szCs w:val="16"/>
        </w:rPr>
        <w:t>y Christian</w:t>
      </w:r>
      <w:r w:rsidR="00F045E1">
        <w:rPr>
          <w:sz w:val="16"/>
          <w:szCs w:val="16"/>
        </w:rPr>
        <w:t xml:space="preserve"> González Chacón.</w:t>
      </w:r>
    </w:p>
  </w:footnote>
  <w:footnote w:id="4">
    <w:p w14:paraId="43D51056" w14:textId="51C67E79" w:rsidR="008667CF" w:rsidRPr="00065F63" w:rsidRDefault="00442F84" w:rsidP="00DF7FF5">
      <w:pPr>
        <w:pStyle w:val="Textonotapie"/>
        <w:spacing w:before="40" w:after="40"/>
        <w:rPr>
          <w:sz w:val="16"/>
          <w:szCs w:val="16"/>
        </w:rPr>
      </w:pPr>
      <w:r w:rsidRPr="00065F63">
        <w:rPr>
          <w:rStyle w:val="Refdenotaalpie"/>
          <w:rFonts w:eastAsia="Batang"/>
          <w:sz w:val="16"/>
          <w:szCs w:val="16"/>
        </w:rPr>
        <w:footnoteRef/>
      </w:r>
      <w:r w:rsidRPr="00065F63">
        <w:rPr>
          <w:sz w:val="16"/>
          <w:szCs w:val="16"/>
        </w:rPr>
        <w:t xml:space="preserve"> </w:t>
      </w:r>
      <w:r w:rsidRPr="00065F63">
        <w:rPr>
          <w:sz w:val="16"/>
          <w:szCs w:val="16"/>
        </w:rPr>
        <w:tab/>
        <w:t>Ejerce la representación de la presunta víctima DEMUS</w:t>
      </w:r>
      <w:r w:rsidR="00B77ED7" w:rsidRPr="00065F63">
        <w:rPr>
          <w:sz w:val="16"/>
          <w:szCs w:val="16"/>
        </w:rPr>
        <w:t xml:space="preserve"> </w:t>
      </w:r>
      <w:r w:rsidRPr="00065F63">
        <w:rPr>
          <w:sz w:val="16"/>
          <w:szCs w:val="16"/>
        </w:rPr>
        <w:t>- Estudio para la Defensa de los Derechos de la Mujer, y Synergía – Iniciativas para los Derechos Humanos y Líderes en Acción.</w:t>
      </w:r>
      <w:r w:rsidR="00B06E6D" w:rsidRPr="00065F63">
        <w:rPr>
          <w:sz w:val="16"/>
          <w:szCs w:val="16"/>
        </w:rPr>
        <w:t xml:space="preserve"> </w:t>
      </w:r>
    </w:p>
  </w:footnote>
  <w:footnote w:id="5">
    <w:p w14:paraId="1A82468F" w14:textId="77777777" w:rsidR="006B179E" w:rsidRPr="00065F63" w:rsidRDefault="006B179E"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Olivera Fuentes Vs. Perú</w:t>
      </w:r>
      <w:r w:rsidRPr="00065F63">
        <w:rPr>
          <w:sz w:val="16"/>
          <w:szCs w:val="16"/>
        </w:rPr>
        <w:t xml:space="preserve">. Resolución del Presidente de la Corte Interamericana de Derechos Humanos de 30 de junio de 2002. Disponible en: </w:t>
      </w:r>
    </w:p>
    <w:p w14:paraId="12D99A25" w14:textId="77777777" w:rsidR="006B179E" w:rsidRPr="00065F63" w:rsidRDefault="00000000" w:rsidP="00DF7FF5">
      <w:pPr>
        <w:pStyle w:val="Textonotapie"/>
        <w:spacing w:before="40" w:after="40"/>
        <w:rPr>
          <w:sz w:val="16"/>
          <w:szCs w:val="16"/>
          <w:lang w:val="es-ES"/>
        </w:rPr>
      </w:pPr>
      <w:hyperlink r:id="rId1" w:history="1">
        <w:r w:rsidR="006B179E" w:rsidRPr="00065F63">
          <w:rPr>
            <w:rStyle w:val="Hipervnculo"/>
            <w:sz w:val="16"/>
            <w:szCs w:val="16"/>
          </w:rPr>
          <w:t>www.corteidh.or.cr/docs/asuntos/olivera_fuentes_30_06_22.pdf</w:t>
        </w:r>
      </w:hyperlink>
    </w:p>
  </w:footnote>
  <w:footnote w:id="6">
    <w:p w14:paraId="5EDFFCBA" w14:textId="1AED3A25" w:rsidR="00697025" w:rsidRPr="00065F63" w:rsidRDefault="00697025"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6B179E" w:rsidRPr="00065F63">
        <w:rPr>
          <w:sz w:val="16"/>
          <w:szCs w:val="16"/>
        </w:rPr>
        <w:t>El</w:t>
      </w:r>
      <w:r w:rsidR="006B179E" w:rsidRPr="00065F63">
        <w:rPr>
          <w:sz w:val="16"/>
          <w:szCs w:val="16"/>
          <w:lang w:val="es-ES"/>
        </w:rPr>
        <w:t xml:space="preserve"> 4 de agosto de 2022 el Estado solicitó el cambio de modalidad de la declaración del perito Rafel Rodríguez Campos para que la misma fuera rendida de manera virtual. Mediante nota de Secretaría de 18 de agosto de 2022, y tras haber dado traslado a </w:t>
      </w:r>
      <w:r w:rsidR="00B37538" w:rsidRPr="00065F63">
        <w:rPr>
          <w:sz w:val="16"/>
          <w:szCs w:val="16"/>
          <w:lang w:val="es-ES"/>
        </w:rPr>
        <w:t xml:space="preserve">los representantes y a la Comisión </w:t>
      </w:r>
      <w:r w:rsidR="006B179E" w:rsidRPr="00065F63">
        <w:rPr>
          <w:sz w:val="16"/>
          <w:szCs w:val="16"/>
          <w:lang w:val="es-ES"/>
        </w:rPr>
        <w:t xml:space="preserve">de la solicitud del Estado para observaciones, así como </w:t>
      </w:r>
      <w:r w:rsidR="00B37538" w:rsidRPr="00065F63">
        <w:rPr>
          <w:sz w:val="16"/>
          <w:szCs w:val="16"/>
          <w:lang w:val="es-ES"/>
        </w:rPr>
        <w:t xml:space="preserve">tras haber otorgado </w:t>
      </w:r>
      <w:r w:rsidR="006B179E" w:rsidRPr="00065F63">
        <w:rPr>
          <w:sz w:val="16"/>
          <w:szCs w:val="16"/>
          <w:lang w:val="es-ES"/>
        </w:rPr>
        <w:t>derecho de réplica al Estado a dichas observaciones, se informó a las partes y a la Comisión de la decisión del Presidente de modificar la naturaleza y modalidad de la declaración de dicho perito, ordenando que declarara en calidad de testigo y mediante declaración ante fedatario público (</w:t>
      </w:r>
      <w:r w:rsidR="00BB7BE5" w:rsidRPr="00065F63">
        <w:rPr>
          <w:sz w:val="16"/>
          <w:szCs w:val="16"/>
          <w:lang w:val="es-ES"/>
        </w:rPr>
        <w:t>afidávit</w:t>
      </w:r>
      <w:r w:rsidR="006B179E" w:rsidRPr="00065F63">
        <w:rPr>
          <w:sz w:val="16"/>
          <w:szCs w:val="16"/>
          <w:lang w:val="es-ES"/>
        </w:rPr>
        <w:t xml:space="preserve">). El 20 de agosto de 2022 el Estado solicitó un reexamen de la decisión del Presidente. El 22 de agosto de 2022 el Pleno del Tribunal desestimó el recurso interpuesto por el Estado y confirmó la decisión del Presidente. </w:t>
      </w:r>
      <w:r w:rsidR="006B179E" w:rsidRPr="00065F63">
        <w:rPr>
          <w:i/>
          <w:iCs/>
          <w:sz w:val="16"/>
          <w:szCs w:val="16"/>
          <w:lang w:val="es-ES"/>
        </w:rPr>
        <w:t xml:space="preserve">Cfr. </w:t>
      </w:r>
      <w:r w:rsidR="00D43F2E" w:rsidRPr="00065F63">
        <w:rPr>
          <w:i/>
          <w:iCs/>
          <w:sz w:val="16"/>
          <w:szCs w:val="16"/>
          <w:lang w:val="es-ES"/>
        </w:rPr>
        <w:t>Olivera Fuentes Vs. Perú.</w:t>
      </w:r>
      <w:r w:rsidR="00D43F2E" w:rsidRPr="00065F63">
        <w:rPr>
          <w:sz w:val="16"/>
          <w:szCs w:val="16"/>
          <w:lang w:val="es-ES"/>
        </w:rPr>
        <w:t xml:space="preserve"> Resolución de la Corte Interamericana de Derechos Humanos de 22 de agosto de 2022. Disponible </w:t>
      </w:r>
      <w:r w:rsidR="00F045E1">
        <w:rPr>
          <w:sz w:val="16"/>
          <w:szCs w:val="16"/>
          <w:lang w:val="es-ES"/>
        </w:rPr>
        <w:t>en</w:t>
      </w:r>
      <w:r w:rsidR="00D43F2E" w:rsidRPr="00065F63">
        <w:rPr>
          <w:sz w:val="16"/>
          <w:szCs w:val="16"/>
          <w:lang w:val="es-ES"/>
        </w:rPr>
        <w:t xml:space="preserve">: </w:t>
      </w:r>
    </w:p>
    <w:p w14:paraId="45322129" w14:textId="774E4E08" w:rsidR="00D43F2E" w:rsidRPr="00065F63" w:rsidRDefault="00000000" w:rsidP="00DF7FF5">
      <w:pPr>
        <w:pStyle w:val="Textonotapie"/>
        <w:spacing w:before="40" w:after="40"/>
        <w:rPr>
          <w:sz w:val="16"/>
          <w:szCs w:val="16"/>
          <w:lang w:val="es-ES"/>
        </w:rPr>
      </w:pPr>
      <w:hyperlink r:id="rId2" w:history="1">
        <w:r w:rsidR="00D43F2E" w:rsidRPr="00065F63">
          <w:rPr>
            <w:rStyle w:val="Hipervnculo"/>
            <w:sz w:val="16"/>
            <w:szCs w:val="16"/>
            <w:lang w:val="es-ES"/>
          </w:rPr>
          <w:t>https://www.corteidh.or.cr/docs/asuntos/olivera_fuentes_22_08_22.pdf</w:t>
        </w:r>
      </w:hyperlink>
      <w:r w:rsidR="00D43F2E" w:rsidRPr="00065F63">
        <w:rPr>
          <w:sz w:val="16"/>
          <w:szCs w:val="16"/>
          <w:lang w:val="es-ES"/>
        </w:rPr>
        <w:t xml:space="preserve"> </w:t>
      </w:r>
    </w:p>
  </w:footnote>
  <w:footnote w:id="7">
    <w:p w14:paraId="04325071" w14:textId="529D2098" w:rsidR="006B179E" w:rsidRPr="00065F63" w:rsidRDefault="006B179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t>A esta audiencia comparecieron: a) por la Comisión Interamericana; Esmeralda Arosemena de Troitiño, Comisionada CIDH, Jorge Meza Flores, Secretario Ejecutivo Adjunto y Carla Leiva, Asesora de la Comisión; b) por los representantes de la presunta víctima: Carlos Joel Zelada Acuña, Sayda Silvia Lucas Aguirre, Diego Alberto Quesada Nicoli y María Ysabel Cedano García, c) y por el Estado de Perú: Carlos Miguel Reaño Balarezo, Procurador Público Especializado Supranacional, Judith Cateriny Córdiva Alva, Abogada de la Procuraduría Pública Especializada Supranacional y José Carlos Vargas Soncco, Abogado de la Procuraduría Pública Especializada Supranacional.</w:t>
      </w:r>
    </w:p>
  </w:footnote>
  <w:footnote w:id="8">
    <w:p w14:paraId="19EBBF75" w14:textId="73CF2908" w:rsidR="002B13EE" w:rsidRPr="00065F63" w:rsidRDefault="002B13E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5D7B62" w:rsidRPr="00065F63">
        <w:rPr>
          <w:sz w:val="16"/>
          <w:szCs w:val="16"/>
        </w:rPr>
        <w:tab/>
      </w:r>
      <w:r w:rsidR="00C90823" w:rsidRPr="00065F63">
        <w:rPr>
          <w:sz w:val="16"/>
          <w:szCs w:val="16"/>
        </w:rPr>
        <w:t xml:space="preserve">El escrito fue firmado por </w:t>
      </w:r>
      <w:r w:rsidR="005D7B62" w:rsidRPr="00065F63">
        <w:rPr>
          <w:sz w:val="16"/>
          <w:szCs w:val="16"/>
        </w:rPr>
        <w:t>José Benjamín</w:t>
      </w:r>
      <w:r w:rsidR="00C00B4D" w:rsidRPr="00065F63">
        <w:rPr>
          <w:sz w:val="16"/>
          <w:szCs w:val="16"/>
        </w:rPr>
        <w:t xml:space="preserve"> González Mauricio</w:t>
      </w:r>
      <w:r w:rsidR="009B0B8E" w:rsidRPr="00065F63">
        <w:rPr>
          <w:sz w:val="16"/>
          <w:szCs w:val="16"/>
        </w:rPr>
        <w:t xml:space="preserve"> y se relaciona con los discursos de odio en contra de la población de la diversidad sexual en América Latina y el Caribe.</w:t>
      </w:r>
    </w:p>
  </w:footnote>
  <w:footnote w:id="9">
    <w:p w14:paraId="12A2308E" w14:textId="000B05FD" w:rsidR="00D2308B" w:rsidRPr="00065F63" w:rsidRDefault="00C05896"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t xml:space="preserve">El escrito fue firmado por </w:t>
      </w:r>
      <w:r w:rsidR="00B71FF0" w:rsidRPr="00065F63">
        <w:rPr>
          <w:sz w:val="16"/>
          <w:szCs w:val="16"/>
          <w:lang w:val="es-ES"/>
        </w:rPr>
        <w:t>el abogado Jorge Montes</w:t>
      </w:r>
      <w:r w:rsidR="00130E53" w:rsidRPr="00065F63">
        <w:rPr>
          <w:sz w:val="16"/>
          <w:szCs w:val="16"/>
          <w:lang w:val="es-ES"/>
        </w:rPr>
        <w:t xml:space="preserve"> y estudiantes del seminario II de Derechos Humanos – 2022 </w:t>
      </w:r>
      <w:r w:rsidR="00CF7A7F" w:rsidRPr="00065F63">
        <w:rPr>
          <w:sz w:val="16"/>
          <w:szCs w:val="16"/>
          <w:lang w:val="es-ES"/>
        </w:rPr>
        <w:t xml:space="preserve">de la </w:t>
      </w:r>
      <w:r w:rsidR="004D75F7" w:rsidRPr="00065F63">
        <w:rPr>
          <w:sz w:val="16"/>
          <w:szCs w:val="16"/>
          <w:lang w:val="es-ES"/>
        </w:rPr>
        <w:t>Universidad Nacional del Comahue</w:t>
      </w:r>
      <w:r w:rsidR="009B0B8E" w:rsidRPr="00065F63">
        <w:rPr>
          <w:sz w:val="16"/>
          <w:szCs w:val="16"/>
          <w:lang w:val="es-ES"/>
        </w:rPr>
        <w:t xml:space="preserve"> y realiza consideraciones respecto a (i) heteronormatividad, (ii) principio de no discriminación, (iii) interés superior del niño, (iv) lesión a derechos fundamentales</w:t>
      </w:r>
      <w:r w:rsidR="00F045E1">
        <w:rPr>
          <w:sz w:val="16"/>
          <w:szCs w:val="16"/>
          <w:lang w:val="es-ES"/>
        </w:rPr>
        <w:t>,</w:t>
      </w:r>
      <w:r w:rsidR="009B0B8E" w:rsidRPr="00065F63">
        <w:rPr>
          <w:sz w:val="16"/>
          <w:szCs w:val="16"/>
          <w:lang w:val="es-ES"/>
        </w:rPr>
        <w:t xml:space="preserve"> y (v) propuestas</w:t>
      </w:r>
      <w:r w:rsidR="00F045E1">
        <w:rPr>
          <w:sz w:val="16"/>
          <w:szCs w:val="16"/>
          <w:lang w:val="es-ES"/>
        </w:rPr>
        <w:t xml:space="preserve"> de posibles reparaciones en el caso concreto</w:t>
      </w:r>
      <w:r w:rsidR="00F045E1" w:rsidRPr="00065F63">
        <w:rPr>
          <w:sz w:val="16"/>
          <w:szCs w:val="16"/>
          <w:lang w:val="es-ES"/>
        </w:rPr>
        <w:t>.</w:t>
      </w:r>
      <w:r w:rsidR="009B0B8E" w:rsidRPr="00065F63">
        <w:rPr>
          <w:sz w:val="16"/>
          <w:szCs w:val="16"/>
          <w:lang w:val="es-ES"/>
        </w:rPr>
        <w:t xml:space="preserve"> </w:t>
      </w:r>
    </w:p>
  </w:footnote>
  <w:footnote w:id="10">
    <w:p w14:paraId="723DB4A9" w14:textId="41F16D0A" w:rsidR="000D265C" w:rsidRPr="00065F63" w:rsidRDefault="000D265C"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36347E" w:rsidRPr="00065F63">
        <w:rPr>
          <w:sz w:val="16"/>
          <w:szCs w:val="16"/>
        </w:rPr>
        <w:tab/>
      </w:r>
      <w:r w:rsidR="00A775B3" w:rsidRPr="00065F63">
        <w:rPr>
          <w:sz w:val="16"/>
          <w:szCs w:val="16"/>
        </w:rPr>
        <w:t xml:space="preserve">El escrito fue firmado por </w:t>
      </w:r>
      <w:r w:rsidR="00633852" w:rsidRPr="00065F63">
        <w:rPr>
          <w:sz w:val="16"/>
          <w:szCs w:val="16"/>
        </w:rPr>
        <w:t>Gabriel de la Cruz Soler, María Pía Bravo</w:t>
      </w:r>
      <w:r w:rsidR="00642395" w:rsidRPr="00065F63">
        <w:rPr>
          <w:sz w:val="16"/>
          <w:szCs w:val="16"/>
        </w:rPr>
        <w:t>, Renato Velásquez Peláez, Kerli Solari Díaz y Mariela Noles Cotito</w:t>
      </w:r>
      <w:r w:rsidR="0029634B" w:rsidRPr="00065F63">
        <w:rPr>
          <w:sz w:val="16"/>
          <w:szCs w:val="16"/>
        </w:rPr>
        <w:t xml:space="preserve"> y se relaciona con (i) </w:t>
      </w:r>
      <w:r w:rsidR="00F045E1">
        <w:rPr>
          <w:sz w:val="16"/>
          <w:szCs w:val="16"/>
        </w:rPr>
        <w:t>e</w:t>
      </w:r>
      <w:r w:rsidR="0029634B" w:rsidRPr="00065F63">
        <w:rPr>
          <w:sz w:val="16"/>
          <w:szCs w:val="16"/>
        </w:rPr>
        <w:t xml:space="preserve">xclusiones y violencias que persisten: la situación de discriminación estructural contra personas LGBTIQ+ en el Perú, (ii) </w:t>
      </w:r>
      <w:r w:rsidR="00F045E1">
        <w:rPr>
          <w:sz w:val="16"/>
          <w:szCs w:val="16"/>
        </w:rPr>
        <w:t>d</w:t>
      </w:r>
      <w:r w:rsidR="0029634B" w:rsidRPr="00065F63">
        <w:rPr>
          <w:sz w:val="16"/>
          <w:szCs w:val="16"/>
        </w:rPr>
        <w:t>erribar las estructuras de discriminación: medidas de reparación necesarias frente a la discriminación contra personas LGBTIQ+ en el ámbito privado</w:t>
      </w:r>
      <w:r w:rsidR="00F045E1">
        <w:rPr>
          <w:sz w:val="16"/>
          <w:szCs w:val="16"/>
        </w:rPr>
        <w:t>,</w:t>
      </w:r>
      <w:r w:rsidR="0029634B" w:rsidRPr="00065F63">
        <w:rPr>
          <w:sz w:val="16"/>
          <w:szCs w:val="16"/>
        </w:rPr>
        <w:t xml:space="preserve"> y (iii) </w:t>
      </w:r>
      <w:r w:rsidR="00F045E1">
        <w:rPr>
          <w:sz w:val="16"/>
          <w:szCs w:val="16"/>
        </w:rPr>
        <w:t>e</w:t>
      </w:r>
      <w:r w:rsidR="0029634B" w:rsidRPr="00065F63">
        <w:rPr>
          <w:sz w:val="16"/>
          <w:szCs w:val="16"/>
        </w:rPr>
        <w:t>mpresas, derechos humanos y personas LGBTIQ+: recomendaciones para una reparación transformadora.</w:t>
      </w:r>
    </w:p>
  </w:footnote>
  <w:footnote w:id="11">
    <w:p w14:paraId="377287AD" w14:textId="24515965" w:rsidR="00E44DA2" w:rsidRPr="00065F63" w:rsidRDefault="00E44DA2"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421CDF" w:rsidRPr="00065F63">
        <w:rPr>
          <w:sz w:val="16"/>
          <w:szCs w:val="16"/>
        </w:rPr>
        <w:tab/>
        <w:t xml:space="preserve">El escrito fue firmado por </w:t>
      </w:r>
      <w:r w:rsidR="000D4233" w:rsidRPr="00065F63">
        <w:rPr>
          <w:sz w:val="16"/>
          <w:szCs w:val="16"/>
        </w:rPr>
        <w:t>Alberto de Belau</w:t>
      </w:r>
      <w:r w:rsidR="00A54031" w:rsidRPr="00065F63">
        <w:rPr>
          <w:sz w:val="16"/>
          <w:szCs w:val="16"/>
        </w:rPr>
        <w:t>n</w:t>
      </w:r>
      <w:r w:rsidR="000D4233" w:rsidRPr="00065F63">
        <w:rPr>
          <w:sz w:val="16"/>
          <w:szCs w:val="16"/>
        </w:rPr>
        <w:t>de de Cárdenas</w:t>
      </w:r>
      <w:r w:rsidR="00A54031" w:rsidRPr="00065F63">
        <w:rPr>
          <w:sz w:val="16"/>
          <w:szCs w:val="16"/>
        </w:rPr>
        <w:t xml:space="preserve"> y</w:t>
      </w:r>
      <w:r w:rsidR="000D4233" w:rsidRPr="00065F63">
        <w:rPr>
          <w:sz w:val="16"/>
          <w:szCs w:val="16"/>
        </w:rPr>
        <w:t xml:space="preserve"> Arif Hyder Ali</w:t>
      </w:r>
      <w:r w:rsidR="00A54031" w:rsidRPr="00065F63">
        <w:rPr>
          <w:sz w:val="16"/>
          <w:szCs w:val="16"/>
        </w:rPr>
        <w:t xml:space="preserve"> y se relaciona con (i) declaración de interés del amicus curiae, (ii) exposición de argumento preliminar, (iii) resumen de hechos y antecedentes, (iv) procedimiento ante la Comisión, (v) argumentos y (vi) conclusión.</w:t>
      </w:r>
    </w:p>
  </w:footnote>
  <w:footnote w:id="12">
    <w:p w14:paraId="61200447" w14:textId="7227C0B2" w:rsidR="002538F7" w:rsidRPr="00065F63" w:rsidRDefault="004F5C43"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00EF73B8" w:rsidRPr="00065F63">
        <w:rPr>
          <w:sz w:val="16"/>
          <w:szCs w:val="16"/>
        </w:rPr>
        <w:tab/>
        <w:t>El escrito fue firmado por Andrés Calderón L</w:t>
      </w:r>
      <w:r w:rsidR="00AB31FA" w:rsidRPr="00065F63">
        <w:rPr>
          <w:sz w:val="16"/>
          <w:szCs w:val="16"/>
        </w:rPr>
        <w:t xml:space="preserve"> y se relaciona con (i) Discriminación y ataques a la libertad de expresión de género en el contexto peruano, (ii) alcances del derecho a la libertad de expresión, en particular, </w:t>
      </w:r>
      <w:r w:rsidR="00F045E1">
        <w:rPr>
          <w:sz w:val="16"/>
          <w:szCs w:val="16"/>
        </w:rPr>
        <w:t xml:space="preserve">a la </w:t>
      </w:r>
      <w:r w:rsidR="00AB31FA" w:rsidRPr="00065F63">
        <w:rPr>
          <w:sz w:val="16"/>
          <w:szCs w:val="16"/>
        </w:rPr>
        <w:t>libertad de expresión de género</w:t>
      </w:r>
      <w:r w:rsidR="00F045E1">
        <w:rPr>
          <w:sz w:val="16"/>
          <w:szCs w:val="16"/>
        </w:rPr>
        <w:t xml:space="preserve">; </w:t>
      </w:r>
      <w:r w:rsidR="00AB31FA" w:rsidRPr="00065F63">
        <w:rPr>
          <w:sz w:val="16"/>
          <w:szCs w:val="16"/>
        </w:rPr>
        <w:t>(iii) análisis de la restricción al derecho a la liberta de expresión en relación con las obligaciones estatales de respeto, garantía y no discriminación</w:t>
      </w:r>
      <w:r w:rsidR="00F045E1">
        <w:rPr>
          <w:sz w:val="16"/>
          <w:szCs w:val="16"/>
        </w:rPr>
        <w:t>;</w:t>
      </w:r>
      <w:r w:rsidR="00AB31FA" w:rsidRPr="00065F63">
        <w:rPr>
          <w:sz w:val="16"/>
          <w:szCs w:val="16"/>
        </w:rPr>
        <w:t xml:space="preserve"> (iv) omisiones en el razonamiento de las autoridades en sede administrativa y en sede judicial del derecho a la liberta de expresión</w:t>
      </w:r>
      <w:r w:rsidR="00F045E1">
        <w:rPr>
          <w:sz w:val="16"/>
          <w:szCs w:val="16"/>
        </w:rPr>
        <w:t>,</w:t>
      </w:r>
      <w:r w:rsidR="00AB31FA" w:rsidRPr="00065F63">
        <w:rPr>
          <w:sz w:val="16"/>
          <w:szCs w:val="16"/>
        </w:rPr>
        <w:t xml:space="preserve"> y (v) conclusiones.</w:t>
      </w:r>
    </w:p>
  </w:footnote>
  <w:footnote w:id="13">
    <w:p w14:paraId="13565AB1" w14:textId="7B70BDE3" w:rsidR="009616FC" w:rsidRPr="00065F63" w:rsidRDefault="009616FC" w:rsidP="00DF7FF5">
      <w:pPr>
        <w:pStyle w:val="Textonotapie"/>
        <w:spacing w:before="40" w:after="40"/>
        <w:rPr>
          <w:sz w:val="16"/>
          <w:szCs w:val="16"/>
        </w:rPr>
      </w:pPr>
      <w:r w:rsidRPr="00065F63">
        <w:rPr>
          <w:rStyle w:val="Refdenotaalpie"/>
          <w:sz w:val="16"/>
          <w:szCs w:val="16"/>
        </w:rPr>
        <w:footnoteRef/>
      </w:r>
      <w:r w:rsidR="00A835E7" w:rsidRPr="00065F63">
        <w:rPr>
          <w:sz w:val="16"/>
          <w:szCs w:val="16"/>
        </w:rPr>
        <w:t xml:space="preserve"> </w:t>
      </w:r>
      <w:r w:rsidR="00A835E7" w:rsidRPr="00065F63">
        <w:rPr>
          <w:sz w:val="16"/>
          <w:szCs w:val="16"/>
        </w:rPr>
        <w:tab/>
      </w:r>
      <w:r w:rsidRPr="00065F63">
        <w:rPr>
          <w:sz w:val="16"/>
          <w:szCs w:val="16"/>
        </w:rPr>
        <w:t>El escrito fue firmado por Fanny Gómez-Lugo, Daisha Edmundson, Stephane Lustig y Juan Felipe Rivera</w:t>
      </w:r>
      <w:r w:rsidR="009851E1" w:rsidRPr="00065F63">
        <w:rPr>
          <w:sz w:val="16"/>
          <w:szCs w:val="16"/>
        </w:rPr>
        <w:t xml:space="preserve"> y se relaciona con los siguientes argumentos: (i) Crissthian sufrió discriminación tanto por su orientación sexual como por su expresión de género. Crissthian fue víctima de discriminación por demostrar afecto con su pareja en público, lo que efectivamente constituyó una vulneración del derecho a la libertad de expresión</w:t>
      </w:r>
      <w:r w:rsidR="00503E4C">
        <w:rPr>
          <w:sz w:val="16"/>
          <w:szCs w:val="16"/>
        </w:rPr>
        <w:t>;</w:t>
      </w:r>
      <w:r w:rsidR="009851E1" w:rsidRPr="00065F63">
        <w:rPr>
          <w:sz w:val="16"/>
          <w:szCs w:val="16"/>
        </w:rPr>
        <w:t xml:space="preserve"> (ii) resulta fundamental comprender el contexto de violencia y discriminación sistémica que sufre la comunidad LGBT en Perú. Lo que le ocurrió a Crissthian no fue un caso aislado, sino que forma parte de un sistema que discrimina a las personas por las percepciones sobre su orientación sexual, identidad y expresión de género, tanto en Perú como en toda la región latinoamericana</w:t>
      </w:r>
      <w:r w:rsidR="00503E4C">
        <w:rPr>
          <w:sz w:val="16"/>
          <w:szCs w:val="16"/>
        </w:rPr>
        <w:t>;</w:t>
      </w:r>
      <w:r w:rsidR="009851E1" w:rsidRPr="00065F63">
        <w:rPr>
          <w:sz w:val="16"/>
          <w:szCs w:val="16"/>
        </w:rPr>
        <w:t xml:space="preserve"> (iii) las parejas heterosexuales nunca vivenciarían la discriminación que sufrieron Crissthian y su pareja debido al privilegio heterosexual y la heteronormatividad. Debido a la heteronormatividad, es habitual que se trate a las personas homosexuales de forma diferente a las heterosexuales y esa diferencia de trato es discriminatoria</w:t>
      </w:r>
      <w:r w:rsidR="00503E4C">
        <w:rPr>
          <w:sz w:val="16"/>
          <w:szCs w:val="16"/>
        </w:rPr>
        <w:t>;</w:t>
      </w:r>
      <w:r w:rsidR="009851E1" w:rsidRPr="00065F63">
        <w:rPr>
          <w:sz w:val="16"/>
          <w:szCs w:val="16"/>
        </w:rPr>
        <w:t xml:space="preserve"> (iv) la discriminación, violencia y microagresiones que acaecen en Perú de forma continua han afectado notoriamente la salud mental de la comunidad LGBT</w:t>
      </w:r>
      <w:r w:rsidR="00503E4C">
        <w:rPr>
          <w:sz w:val="16"/>
          <w:szCs w:val="16"/>
        </w:rPr>
        <w:t>;</w:t>
      </w:r>
      <w:r w:rsidR="009851E1" w:rsidRPr="00065F63">
        <w:rPr>
          <w:sz w:val="16"/>
          <w:szCs w:val="16"/>
        </w:rPr>
        <w:t xml:space="preserve"> (v) el Estado tiene la obligación positiva de garantizar la protección de las personas, no solo contra las violaciones perpetradas por el propio Estado, sino también contra los actos cometidos por personas o entidades privadas. Por lo tanto, Perú debe garantizar que las empresas no apliquen prácticas discriminatorias contra las personas LGBT</w:t>
      </w:r>
      <w:r w:rsidR="00503E4C">
        <w:rPr>
          <w:sz w:val="16"/>
          <w:szCs w:val="16"/>
        </w:rPr>
        <w:t>, y</w:t>
      </w:r>
      <w:r w:rsidR="009851E1" w:rsidRPr="00065F63">
        <w:rPr>
          <w:sz w:val="16"/>
          <w:szCs w:val="16"/>
        </w:rPr>
        <w:t xml:space="preserve"> (vi) el criterio del “interés superior del niño” es utilizado a menudo por los Estados y las entidades para justificar su discriminación contra la comunidad LGBT.</w:t>
      </w:r>
    </w:p>
  </w:footnote>
  <w:footnote w:id="14">
    <w:p w14:paraId="4DAE1F09" w14:textId="2D3799C2" w:rsidR="003C103B" w:rsidRPr="00065F63" w:rsidRDefault="00A835E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503E4C" w:rsidRPr="00065F63">
        <w:rPr>
          <w:sz w:val="16"/>
          <w:szCs w:val="16"/>
          <w:lang w:val="es-ES"/>
        </w:rPr>
        <w:t xml:space="preserve">El escrito fue firmado por Arturo Pueblita Fernández, Isabel Davara F. de Marcos, Julieta Becerril Romero y Juan Francisco Diez Spelz y se relaciona con (i) argumentos en consideración en torno al caso que atienden </w:t>
      </w:r>
      <w:r w:rsidR="00503E4C">
        <w:rPr>
          <w:sz w:val="16"/>
          <w:szCs w:val="16"/>
          <w:lang w:val="es-ES"/>
        </w:rPr>
        <w:t xml:space="preserve">a </w:t>
      </w:r>
      <w:r w:rsidR="00503E4C" w:rsidRPr="00065F63">
        <w:rPr>
          <w:sz w:val="16"/>
          <w:szCs w:val="16"/>
          <w:lang w:val="es-ES"/>
        </w:rPr>
        <w:t>la normatividad en torno al derecho a la igualdad, la identidad y el libre desarrollo de la personalidad,</w:t>
      </w:r>
      <w:r w:rsidR="00503E4C">
        <w:rPr>
          <w:sz w:val="16"/>
          <w:szCs w:val="16"/>
          <w:lang w:val="es-ES"/>
        </w:rPr>
        <w:t xml:space="preserve"> y</w:t>
      </w:r>
      <w:r w:rsidR="00503E4C" w:rsidRPr="00065F63">
        <w:rPr>
          <w:sz w:val="16"/>
          <w:szCs w:val="16"/>
          <w:lang w:val="es-ES"/>
        </w:rPr>
        <w:t xml:space="preserve"> (ii) argumentos relacionados con derechos humanos y empresas.</w:t>
      </w:r>
    </w:p>
  </w:footnote>
  <w:footnote w:id="15">
    <w:p w14:paraId="711FA575" w14:textId="463DF3D3" w:rsidR="00CB0C6C" w:rsidRPr="00065F63" w:rsidRDefault="00642BCA"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CB0C6C" w:rsidRPr="00065F63">
        <w:rPr>
          <w:sz w:val="16"/>
          <w:szCs w:val="16"/>
        </w:rPr>
        <w:t>El escrito fue firmado por Fernanda Hopenhaym</w:t>
      </w:r>
      <w:r w:rsidR="00387ED5" w:rsidRPr="00065F63">
        <w:rPr>
          <w:sz w:val="16"/>
          <w:szCs w:val="16"/>
        </w:rPr>
        <w:t xml:space="preserve"> y se relaciona con </w:t>
      </w:r>
      <w:r w:rsidR="00CB0C6C" w:rsidRPr="00065F63">
        <w:rPr>
          <w:sz w:val="16"/>
          <w:szCs w:val="16"/>
        </w:rPr>
        <w:t>los estándares internacionales en materia de derechos humanos y empresas</w:t>
      </w:r>
      <w:r w:rsidR="00387ED5" w:rsidRPr="00065F63">
        <w:rPr>
          <w:sz w:val="16"/>
          <w:szCs w:val="16"/>
        </w:rPr>
        <w:t>, enfatizando su importancia para determinar la responsabilidad internacional de los Estados a la luz de su deber de proteger contra abusos de derechos humanos cometidos por empresas, incluso para garantizar el acceso a mecanismos de reparación eficaces cuando se producen esos abusos</w:t>
      </w:r>
      <w:r w:rsidR="00CB0C6C" w:rsidRPr="00065F63">
        <w:rPr>
          <w:sz w:val="16"/>
          <w:szCs w:val="16"/>
        </w:rPr>
        <w:t>.</w:t>
      </w:r>
    </w:p>
  </w:footnote>
  <w:footnote w:id="16">
    <w:p w14:paraId="24A1500B" w14:textId="77A3FB67" w:rsidR="008A43D6" w:rsidRPr="00065F63" w:rsidRDefault="008A43D6"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El escrito fue firmado por Renata Bregaglio Lazarete y Nicole V</w:t>
      </w:r>
      <w:r w:rsidR="00503E4C">
        <w:rPr>
          <w:sz w:val="16"/>
          <w:szCs w:val="16"/>
        </w:rPr>
        <w:t>á</w:t>
      </w:r>
      <w:r w:rsidRPr="00065F63">
        <w:rPr>
          <w:sz w:val="16"/>
          <w:szCs w:val="16"/>
        </w:rPr>
        <w:t>squez Lozada</w:t>
      </w:r>
      <w:r w:rsidR="000E1DDF" w:rsidRPr="00065F63">
        <w:rPr>
          <w:sz w:val="16"/>
          <w:szCs w:val="16"/>
        </w:rPr>
        <w:t xml:space="preserve"> y se relaciona con (i) el contexto generalizado o sistemático de discriminación contra personas </w:t>
      </w:r>
      <w:r w:rsidR="00F417CE" w:rsidRPr="00065F63">
        <w:rPr>
          <w:sz w:val="16"/>
          <w:szCs w:val="16"/>
        </w:rPr>
        <w:t>LGBTI</w:t>
      </w:r>
      <w:r w:rsidR="000E1DDF" w:rsidRPr="00065F63">
        <w:rPr>
          <w:sz w:val="16"/>
          <w:szCs w:val="16"/>
        </w:rPr>
        <w:t xml:space="preserve"> en el Perú y (ii) la inversión de la carga de la prueba.</w:t>
      </w:r>
    </w:p>
  </w:footnote>
  <w:footnote w:id="17">
    <w:p w14:paraId="51E8CF4C" w14:textId="295A128B" w:rsidR="00695904" w:rsidRPr="00065F63" w:rsidRDefault="0069590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00385AB7" w:rsidRPr="00065F63">
        <w:rPr>
          <w:sz w:val="16"/>
          <w:szCs w:val="16"/>
        </w:rPr>
        <w:tab/>
        <w:t>El escrito fue firmado por Maria Jennie Dador Tozzini y Beatriz Ramírez Huaroto</w:t>
      </w:r>
      <w:r w:rsidR="00C901BF" w:rsidRPr="00065F63">
        <w:rPr>
          <w:sz w:val="16"/>
          <w:szCs w:val="16"/>
        </w:rPr>
        <w:t xml:space="preserve"> y se relaciona con (i) la ausencia de respuesta pública frente a la discriminación estructural contra las personas LTGBI en el Perú, y (ii) el rol de </w:t>
      </w:r>
      <w:r w:rsidR="003337B8" w:rsidRPr="00065F63">
        <w:rPr>
          <w:sz w:val="16"/>
          <w:szCs w:val="16"/>
        </w:rPr>
        <w:t xml:space="preserve">Indecopi </w:t>
      </w:r>
      <w:r w:rsidR="00C901BF" w:rsidRPr="00065F63">
        <w:rPr>
          <w:sz w:val="16"/>
          <w:szCs w:val="16"/>
        </w:rPr>
        <w:t>y su proceso administrativo sancionador como alternativa más eficiente frente al amparo.</w:t>
      </w:r>
    </w:p>
  </w:footnote>
  <w:footnote w:id="18">
    <w:p w14:paraId="180CC895" w14:textId="77AD32A9" w:rsidR="00520E4F" w:rsidRPr="00065F63" w:rsidRDefault="00520E4F"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1E1FD0" w:rsidRPr="00065F63">
        <w:rPr>
          <w:sz w:val="16"/>
          <w:szCs w:val="16"/>
        </w:rPr>
        <w:tab/>
      </w:r>
      <w:r w:rsidR="00503E4C" w:rsidRPr="00065F63">
        <w:rPr>
          <w:sz w:val="16"/>
          <w:szCs w:val="16"/>
        </w:rPr>
        <w:t>El escrito fue firmado por Marcela Sánchez Buitrago, Juan Felipe Rivera Osorio, Beldys Hernández Albarracín, María Camila Arias, Carlos Mantilla, Natalia Briceño, Estefany León Ferreira, Melissa Fierro Cedeño, Katia Lázaro Vergel, Laura Valentina Rocha, Mateo Aguilera Ruíz, Ambar Sánchez Latorre y Karen Anaya Cortés y se relaciona con (i) el espacio público es un lugar recurrente de violencia y castigo a las orientaciones sexuales e identidades de género no hegemónicas en América Latina</w:t>
      </w:r>
      <w:r w:rsidR="00503E4C">
        <w:rPr>
          <w:sz w:val="16"/>
          <w:szCs w:val="16"/>
        </w:rPr>
        <w:t>;</w:t>
      </w:r>
      <w:r w:rsidR="00503E4C" w:rsidRPr="00065F63">
        <w:rPr>
          <w:sz w:val="16"/>
          <w:szCs w:val="16"/>
        </w:rPr>
        <w:t xml:space="preserve"> (ii) la violencia por prejuicio, como herramienta analítica, permite entender la violencia y rechazo hacia las OSIEG en el espacio público, como en el caso bajo estudio</w:t>
      </w:r>
      <w:r w:rsidR="00503E4C">
        <w:rPr>
          <w:sz w:val="16"/>
          <w:szCs w:val="16"/>
        </w:rPr>
        <w:t>;</w:t>
      </w:r>
      <w:r w:rsidR="00503E4C" w:rsidRPr="00065F63">
        <w:rPr>
          <w:sz w:val="16"/>
          <w:szCs w:val="16"/>
        </w:rPr>
        <w:t xml:space="preserve"> (iii) el contexto </w:t>
      </w:r>
      <w:r w:rsidR="007B3B66">
        <w:rPr>
          <w:sz w:val="16"/>
          <w:szCs w:val="16"/>
        </w:rPr>
        <w:t>n</w:t>
      </w:r>
      <w:r w:rsidR="00503E4C" w:rsidRPr="00065F63">
        <w:rPr>
          <w:sz w:val="16"/>
          <w:szCs w:val="16"/>
        </w:rPr>
        <w:t>acional del caso y de la realidad del Perú</w:t>
      </w:r>
      <w:r w:rsidR="00503E4C">
        <w:rPr>
          <w:sz w:val="16"/>
          <w:szCs w:val="16"/>
        </w:rPr>
        <w:t>;</w:t>
      </w:r>
      <w:r w:rsidR="00503E4C" w:rsidRPr="00065F63">
        <w:rPr>
          <w:sz w:val="16"/>
          <w:szCs w:val="16"/>
        </w:rPr>
        <w:t xml:space="preserve"> (iv) la libertad de expresión (y asociación) incluye las manifestaciones de afecto entre parejas del mismo sexo y está protegida por la CADH</w:t>
      </w:r>
      <w:r w:rsidR="00503E4C">
        <w:rPr>
          <w:sz w:val="16"/>
          <w:szCs w:val="16"/>
        </w:rPr>
        <w:t xml:space="preserve">; </w:t>
      </w:r>
      <w:r w:rsidR="00503E4C" w:rsidRPr="00065F63">
        <w:rPr>
          <w:sz w:val="16"/>
          <w:szCs w:val="16"/>
        </w:rPr>
        <w:t>(v) la carga dinámica de la prueba, su inversión o el uso de presunciones, son herramientas fundamentales para analizar casos de discriminación en sede administrativa y judicial, así como garantizar la justicia, y (vi) la discriminación tiene un impacto en la salud mental de las personas LGBTIQ+.</w:t>
      </w:r>
    </w:p>
  </w:footnote>
  <w:footnote w:id="19">
    <w:p w14:paraId="6B507603" w14:textId="14F390F9" w:rsidR="002B0C05" w:rsidRPr="00065F63" w:rsidRDefault="002B0C05"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503E4C" w:rsidRPr="00065F63">
        <w:rPr>
          <w:sz w:val="16"/>
          <w:szCs w:val="16"/>
        </w:rPr>
        <w:t>El escrito fue firmado por Tatiana Cardoso Squeff, Pedro Lucchetti Silva, Andréia Fernandez de Almeida Rangel, Igor Mendinilla de Castilho, L</w:t>
      </w:r>
      <w:r w:rsidR="00503E4C">
        <w:rPr>
          <w:sz w:val="16"/>
          <w:szCs w:val="16"/>
        </w:rPr>
        <w:t>ú</w:t>
      </w:r>
      <w:r w:rsidR="00503E4C" w:rsidRPr="00065F63">
        <w:rPr>
          <w:sz w:val="16"/>
          <w:szCs w:val="16"/>
        </w:rPr>
        <w:t>cia Souza d´Aquino y Daniel Ferrer Tavares Dembroz y se relaciona con la protección al consumidor en un establecimiento de comercio y las derivadas de las obligaciones del Estado.</w:t>
      </w:r>
    </w:p>
  </w:footnote>
  <w:footnote w:id="20">
    <w:p w14:paraId="707748C0" w14:textId="18CB0DCD" w:rsidR="00A14A3E" w:rsidRPr="00065F63" w:rsidRDefault="00A14A3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A47A50" w:rsidRPr="00065F63">
        <w:rPr>
          <w:sz w:val="16"/>
          <w:szCs w:val="16"/>
        </w:rPr>
        <w:tab/>
      </w:r>
      <w:r w:rsidR="00F62D1D" w:rsidRPr="00065F63">
        <w:rPr>
          <w:i/>
          <w:iCs/>
          <w:sz w:val="16"/>
          <w:szCs w:val="16"/>
        </w:rPr>
        <w:t>Cfr</w:t>
      </w:r>
      <w:r w:rsidR="00F62D1D" w:rsidRPr="00065F63">
        <w:rPr>
          <w:sz w:val="16"/>
          <w:szCs w:val="16"/>
        </w:rPr>
        <w:t xml:space="preserve">. </w:t>
      </w:r>
      <w:r w:rsidR="00F62D1D" w:rsidRPr="00065F63">
        <w:rPr>
          <w:i/>
          <w:iCs/>
          <w:sz w:val="16"/>
          <w:szCs w:val="16"/>
        </w:rPr>
        <w:t>Control de Legalidad en el Ejercicio de las Atribuciones de la Comisión Interamericana de Derechos Humanos (arts. 41 y 44 de la Convención Americana sobre Derechos Humanos).</w:t>
      </w:r>
      <w:r w:rsidR="00F62D1D" w:rsidRPr="00065F63">
        <w:rPr>
          <w:sz w:val="16"/>
          <w:szCs w:val="16"/>
        </w:rPr>
        <w:t xml:space="preserve"> Opinión Consultiva OC-19/05 de 28 de noviembre de 2005. Serie A No. 19, puntos resolutivos primero y tercero; </w:t>
      </w:r>
      <w:r w:rsidR="00F62D1D" w:rsidRPr="00065F63">
        <w:rPr>
          <w:i/>
          <w:iCs/>
          <w:sz w:val="16"/>
          <w:szCs w:val="16"/>
        </w:rPr>
        <w:t>Caso del Pueblo Saramaka Vs. Suriname. Excepciones Preliminares, Fondo, Reparaciones y Costas.</w:t>
      </w:r>
      <w:r w:rsidR="00F62D1D" w:rsidRPr="00065F63">
        <w:rPr>
          <w:sz w:val="16"/>
          <w:szCs w:val="16"/>
        </w:rPr>
        <w:t xml:space="preserve"> Sentencia de 28 de noviembre de 2007. Serie C No. 172, párr. 32</w:t>
      </w:r>
      <w:r w:rsidR="00F74828" w:rsidRPr="00065F63">
        <w:rPr>
          <w:sz w:val="16"/>
          <w:szCs w:val="16"/>
        </w:rPr>
        <w:t xml:space="preserve"> y</w:t>
      </w:r>
      <w:r w:rsidR="00FC1908" w:rsidRPr="00065F63">
        <w:rPr>
          <w:sz w:val="16"/>
          <w:szCs w:val="16"/>
        </w:rPr>
        <w:t xml:space="preserve"> </w:t>
      </w:r>
      <w:r w:rsidR="00FC1908" w:rsidRPr="00065F63">
        <w:rPr>
          <w:i/>
          <w:iCs/>
          <w:sz w:val="16"/>
          <w:szCs w:val="16"/>
        </w:rPr>
        <w:t xml:space="preserve">Caso </w:t>
      </w:r>
      <w:r w:rsidR="00436796" w:rsidRPr="00065F63">
        <w:rPr>
          <w:i/>
          <w:iCs/>
          <w:sz w:val="16"/>
          <w:szCs w:val="16"/>
        </w:rPr>
        <w:t>Moya Chacón y Otro Vs. Costa Rica. Excepciones Preliminares, Fondo, Reparaciones y Costas.</w:t>
      </w:r>
      <w:r w:rsidR="00436796" w:rsidRPr="00065F63">
        <w:rPr>
          <w:sz w:val="16"/>
          <w:szCs w:val="16"/>
        </w:rPr>
        <w:t xml:space="preserve"> Sentencia de </w:t>
      </w:r>
      <w:r w:rsidR="00AB1ADA" w:rsidRPr="00065F63">
        <w:rPr>
          <w:sz w:val="16"/>
          <w:szCs w:val="16"/>
        </w:rPr>
        <w:t xml:space="preserve">23 de mayo de 2022. Serie C. No. 451, párr. </w:t>
      </w:r>
      <w:r w:rsidR="00962A72" w:rsidRPr="00065F63">
        <w:rPr>
          <w:sz w:val="16"/>
          <w:szCs w:val="16"/>
        </w:rPr>
        <w:t>16.</w:t>
      </w:r>
    </w:p>
  </w:footnote>
  <w:footnote w:id="21">
    <w:p w14:paraId="0C98B36C" w14:textId="2710729C" w:rsidR="00AA5C7B" w:rsidRPr="00065F63" w:rsidRDefault="00AA5C7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A47A50" w:rsidRPr="00065F63">
        <w:rPr>
          <w:sz w:val="16"/>
          <w:szCs w:val="16"/>
        </w:rPr>
        <w:tab/>
      </w:r>
      <w:r w:rsidR="004216FD" w:rsidRPr="00065F63">
        <w:rPr>
          <w:i/>
          <w:iCs/>
          <w:sz w:val="16"/>
          <w:szCs w:val="16"/>
        </w:rPr>
        <w:t xml:space="preserve">Cfr. </w:t>
      </w:r>
      <w:r w:rsidR="00D105F4" w:rsidRPr="00065F63">
        <w:rPr>
          <w:i/>
          <w:iCs/>
          <w:sz w:val="16"/>
          <w:szCs w:val="16"/>
        </w:rPr>
        <w:t>Caso Cabrera García y Montiel Flores Vs. México. Excepción Preliminar, Fondo, Reparaciones y Costas</w:t>
      </w:r>
      <w:r w:rsidR="00D105F4" w:rsidRPr="00065F63">
        <w:rPr>
          <w:sz w:val="16"/>
          <w:szCs w:val="16"/>
        </w:rPr>
        <w:t xml:space="preserve">. Sentencia de 26 de noviembre de 2010. Serie C No. 220, párr. 18, </w:t>
      </w:r>
      <w:r w:rsidR="0047469F" w:rsidRPr="00065F63">
        <w:rPr>
          <w:sz w:val="16"/>
          <w:szCs w:val="16"/>
        </w:rPr>
        <w:t xml:space="preserve">y </w:t>
      </w:r>
      <w:r w:rsidR="0047469F" w:rsidRPr="00065F63">
        <w:rPr>
          <w:i/>
          <w:iCs/>
          <w:sz w:val="16"/>
          <w:szCs w:val="16"/>
        </w:rPr>
        <w:t>Caso Digna Ochoa y familiares Vs. México. Excepciones Preliminares, Fondo, Reparaciones y Costas</w:t>
      </w:r>
      <w:r w:rsidR="0047469F" w:rsidRPr="00065F63">
        <w:rPr>
          <w:sz w:val="16"/>
          <w:szCs w:val="16"/>
        </w:rPr>
        <w:t>. Sentencia de 25 de noviembre de 2021. Serie C No. 447, párr. 38.</w:t>
      </w:r>
    </w:p>
  </w:footnote>
  <w:footnote w:id="22">
    <w:p w14:paraId="1A27BC03" w14:textId="046FF3ED" w:rsidR="00172C60" w:rsidRPr="00065F63" w:rsidRDefault="00172C60"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503E4C" w:rsidRPr="00F232F6">
        <w:rPr>
          <w:i/>
          <w:iCs/>
          <w:sz w:val="16"/>
          <w:szCs w:val="16"/>
        </w:rPr>
        <w:t>Cfr</w:t>
      </w:r>
      <w:r w:rsidR="00503E4C">
        <w:rPr>
          <w:sz w:val="16"/>
          <w:szCs w:val="16"/>
        </w:rPr>
        <w:t xml:space="preserve">. </w:t>
      </w:r>
      <w:r w:rsidR="00503E4C">
        <w:rPr>
          <w:i/>
          <w:iCs/>
          <w:sz w:val="16"/>
          <w:szCs w:val="16"/>
        </w:rPr>
        <w:t xml:space="preserve">Caso Velásquez Rodríguez Vs. Honduras. Excepciones Preliminares. </w:t>
      </w:r>
      <w:r w:rsidR="00503E4C">
        <w:rPr>
          <w:sz w:val="16"/>
          <w:szCs w:val="16"/>
        </w:rPr>
        <w:t xml:space="preserve">Sentencia de 26 de junio de 1987. Serie C No. 1, párr. 85, y </w:t>
      </w:r>
      <w:r w:rsidR="00503E4C" w:rsidRPr="00F232F6">
        <w:rPr>
          <w:i/>
          <w:iCs/>
          <w:sz w:val="16"/>
          <w:szCs w:val="16"/>
        </w:rPr>
        <w:t xml:space="preserve">Caso Cortez Espinoza Vs. Ecuador. </w:t>
      </w:r>
      <w:r w:rsidR="00503E4C">
        <w:rPr>
          <w:i/>
          <w:iCs/>
          <w:sz w:val="16"/>
          <w:szCs w:val="16"/>
        </w:rPr>
        <w:t xml:space="preserve">Excepciones Preliminares, Fondo, Reparaciones y Costas. </w:t>
      </w:r>
      <w:r w:rsidR="00503E4C">
        <w:rPr>
          <w:sz w:val="16"/>
          <w:szCs w:val="16"/>
        </w:rPr>
        <w:t>Sentencia de 18 de octubre de 2022. Serie C No. 468, párr. 24</w:t>
      </w:r>
      <w:r w:rsidRPr="00065F63">
        <w:rPr>
          <w:sz w:val="16"/>
          <w:szCs w:val="16"/>
        </w:rPr>
        <w:t>.</w:t>
      </w:r>
    </w:p>
  </w:footnote>
  <w:footnote w:id="23">
    <w:p w14:paraId="4FE86FE6" w14:textId="30CD9CB2" w:rsidR="00172C60" w:rsidRPr="00065F63" w:rsidRDefault="00172C60"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503E4C" w:rsidRPr="00065F63">
        <w:rPr>
          <w:i/>
          <w:sz w:val="16"/>
          <w:szCs w:val="16"/>
        </w:rPr>
        <w:t>Cfr</w:t>
      </w:r>
      <w:r w:rsidR="00503E4C" w:rsidRPr="00065F63">
        <w:rPr>
          <w:sz w:val="16"/>
          <w:szCs w:val="16"/>
        </w:rPr>
        <w:t>.</w:t>
      </w:r>
      <w:r w:rsidR="00503E4C" w:rsidRPr="00065F63">
        <w:rPr>
          <w:spacing w:val="-11"/>
          <w:sz w:val="16"/>
          <w:szCs w:val="16"/>
        </w:rPr>
        <w:t xml:space="preserve"> </w:t>
      </w:r>
      <w:r w:rsidR="00503E4C" w:rsidRPr="00065F63">
        <w:rPr>
          <w:i/>
          <w:sz w:val="16"/>
          <w:szCs w:val="16"/>
        </w:rPr>
        <w:t>Caso</w:t>
      </w:r>
      <w:r w:rsidR="00503E4C" w:rsidRPr="00065F63">
        <w:rPr>
          <w:i/>
          <w:spacing w:val="-11"/>
          <w:sz w:val="16"/>
          <w:szCs w:val="16"/>
        </w:rPr>
        <w:t xml:space="preserve"> </w:t>
      </w:r>
      <w:r w:rsidR="00503E4C" w:rsidRPr="00065F63">
        <w:rPr>
          <w:i/>
          <w:sz w:val="16"/>
          <w:szCs w:val="16"/>
        </w:rPr>
        <w:t>Velásquez</w:t>
      </w:r>
      <w:r w:rsidR="00503E4C" w:rsidRPr="00065F63">
        <w:rPr>
          <w:i/>
          <w:spacing w:val="-11"/>
          <w:sz w:val="16"/>
          <w:szCs w:val="16"/>
        </w:rPr>
        <w:t xml:space="preserve"> </w:t>
      </w:r>
      <w:r w:rsidR="00503E4C" w:rsidRPr="00065F63">
        <w:rPr>
          <w:i/>
          <w:sz w:val="16"/>
          <w:szCs w:val="16"/>
        </w:rPr>
        <w:t>Rodríguez</w:t>
      </w:r>
      <w:r w:rsidR="00503E4C" w:rsidRPr="00065F63">
        <w:rPr>
          <w:i/>
          <w:spacing w:val="-11"/>
          <w:sz w:val="16"/>
          <w:szCs w:val="16"/>
        </w:rPr>
        <w:t xml:space="preserve"> </w:t>
      </w:r>
      <w:r w:rsidR="00503E4C" w:rsidRPr="00065F63">
        <w:rPr>
          <w:i/>
          <w:sz w:val="16"/>
          <w:szCs w:val="16"/>
        </w:rPr>
        <w:t>Vs.</w:t>
      </w:r>
      <w:r w:rsidR="00503E4C" w:rsidRPr="00065F63">
        <w:rPr>
          <w:i/>
          <w:spacing w:val="-11"/>
          <w:sz w:val="16"/>
          <w:szCs w:val="16"/>
        </w:rPr>
        <w:t xml:space="preserve"> </w:t>
      </w:r>
      <w:r w:rsidR="00503E4C" w:rsidRPr="00065F63">
        <w:rPr>
          <w:i/>
          <w:sz w:val="16"/>
          <w:szCs w:val="16"/>
        </w:rPr>
        <w:t>Honduras</w:t>
      </w:r>
      <w:r w:rsidR="00503E4C" w:rsidRPr="00065F63">
        <w:rPr>
          <w:sz w:val="16"/>
          <w:szCs w:val="16"/>
        </w:rPr>
        <w:t>.</w:t>
      </w:r>
      <w:r w:rsidR="00503E4C" w:rsidRPr="00065F63">
        <w:rPr>
          <w:spacing w:val="-10"/>
          <w:sz w:val="16"/>
          <w:szCs w:val="16"/>
        </w:rPr>
        <w:t xml:space="preserve"> </w:t>
      </w:r>
      <w:r w:rsidR="00503E4C" w:rsidRPr="00065F63">
        <w:rPr>
          <w:i/>
          <w:sz w:val="16"/>
          <w:szCs w:val="16"/>
        </w:rPr>
        <w:t>Fondo</w:t>
      </w:r>
      <w:r w:rsidR="00503E4C" w:rsidRPr="00065F63">
        <w:rPr>
          <w:sz w:val="16"/>
          <w:szCs w:val="16"/>
        </w:rPr>
        <w:t>.</w:t>
      </w:r>
      <w:r w:rsidR="00503E4C" w:rsidRPr="00065F63">
        <w:rPr>
          <w:spacing w:val="-10"/>
          <w:sz w:val="16"/>
          <w:szCs w:val="16"/>
        </w:rPr>
        <w:t xml:space="preserve"> </w:t>
      </w:r>
      <w:r w:rsidR="00503E4C" w:rsidRPr="00065F63">
        <w:rPr>
          <w:spacing w:val="-3"/>
          <w:sz w:val="16"/>
          <w:szCs w:val="16"/>
        </w:rPr>
        <w:t>Sentencia</w:t>
      </w:r>
      <w:r w:rsidR="00503E4C" w:rsidRPr="00065F63">
        <w:rPr>
          <w:spacing w:val="-11"/>
          <w:sz w:val="16"/>
          <w:szCs w:val="16"/>
        </w:rPr>
        <w:t xml:space="preserve"> </w:t>
      </w:r>
      <w:r w:rsidR="00503E4C" w:rsidRPr="00065F63">
        <w:rPr>
          <w:sz w:val="16"/>
          <w:szCs w:val="16"/>
        </w:rPr>
        <w:t>de</w:t>
      </w:r>
      <w:r w:rsidR="00503E4C" w:rsidRPr="00065F63">
        <w:rPr>
          <w:spacing w:val="-11"/>
          <w:sz w:val="16"/>
          <w:szCs w:val="16"/>
        </w:rPr>
        <w:t xml:space="preserve"> </w:t>
      </w:r>
      <w:r w:rsidR="00503E4C" w:rsidRPr="00065F63">
        <w:rPr>
          <w:sz w:val="16"/>
          <w:szCs w:val="16"/>
        </w:rPr>
        <w:t>29</w:t>
      </w:r>
      <w:r w:rsidR="00503E4C" w:rsidRPr="00065F63">
        <w:rPr>
          <w:spacing w:val="-10"/>
          <w:sz w:val="16"/>
          <w:szCs w:val="16"/>
        </w:rPr>
        <w:t xml:space="preserve"> </w:t>
      </w:r>
      <w:r w:rsidR="00503E4C" w:rsidRPr="00065F63">
        <w:rPr>
          <w:sz w:val="16"/>
          <w:szCs w:val="16"/>
        </w:rPr>
        <w:t>de</w:t>
      </w:r>
      <w:r w:rsidR="00503E4C" w:rsidRPr="00065F63">
        <w:rPr>
          <w:spacing w:val="-11"/>
          <w:sz w:val="16"/>
          <w:szCs w:val="16"/>
        </w:rPr>
        <w:t xml:space="preserve"> </w:t>
      </w:r>
      <w:r w:rsidR="00503E4C" w:rsidRPr="00065F63">
        <w:rPr>
          <w:sz w:val="16"/>
          <w:szCs w:val="16"/>
        </w:rPr>
        <w:t>julio</w:t>
      </w:r>
      <w:r w:rsidR="00503E4C" w:rsidRPr="00065F63">
        <w:rPr>
          <w:spacing w:val="-12"/>
          <w:sz w:val="16"/>
          <w:szCs w:val="16"/>
        </w:rPr>
        <w:t xml:space="preserve"> </w:t>
      </w:r>
      <w:r w:rsidR="00503E4C" w:rsidRPr="00065F63">
        <w:rPr>
          <w:sz w:val="16"/>
          <w:szCs w:val="16"/>
        </w:rPr>
        <w:t>de</w:t>
      </w:r>
      <w:r w:rsidR="00503E4C" w:rsidRPr="00065F63">
        <w:rPr>
          <w:spacing w:val="-11"/>
          <w:sz w:val="16"/>
          <w:szCs w:val="16"/>
        </w:rPr>
        <w:t xml:space="preserve"> </w:t>
      </w:r>
      <w:r w:rsidR="00503E4C" w:rsidRPr="00065F63">
        <w:rPr>
          <w:sz w:val="16"/>
          <w:szCs w:val="16"/>
        </w:rPr>
        <w:t>1988.</w:t>
      </w:r>
      <w:r w:rsidR="00503E4C" w:rsidRPr="00065F63">
        <w:rPr>
          <w:spacing w:val="-11"/>
          <w:sz w:val="16"/>
          <w:szCs w:val="16"/>
        </w:rPr>
        <w:t xml:space="preserve"> </w:t>
      </w:r>
      <w:r w:rsidR="00503E4C" w:rsidRPr="00065F63">
        <w:rPr>
          <w:sz w:val="16"/>
          <w:szCs w:val="16"/>
        </w:rPr>
        <w:t>Serie</w:t>
      </w:r>
      <w:r w:rsidR="00503E4C" w:rsidRPr="00065F63">
        <w:rPr>
          <w:spacing w:val="-11"/>
          <w:sz w:val="16"/>
          <w:szCs w:val="16"/>
        </w:rPr>
        <w:t xml:space="preserve"> </w:t>
      </w:r>
      <w:r w:rsidR="00503E4C" w:rsidRPr="00065F63">
        <w:rPr>
          <w:sz w:val="16"/>
          <w:szCs w:val="16"/>
        </w:rPr>
        <w:t>C</w:t>
      </w:r>
      <w:r w:rsidR="00503E4C" w:rsidRPr="00065F63">
        <w:rPr>
          <w:spacing w:val="-11"/>
          <w:sz w:val="16"/>
          <w:szCs w:val="16"/>
        </w:rPr>
        <w:t xml:space="preserve"> </w:t>
      </w:r>
      <w:r w:rsidR="00503E4C" w:rsidRPr="00065F63">
        <w:rPr>
          <w:sz w:val="16"/>
          <w:szCs w:val="16"/>
        </w:rPr>
        <w:t>No.</w:t>
      </w:r>
      <w:r w:rsidR="00503E4C" w:rsidRPr="00065F63">
        <w:rPr>
          <w:spacing w:val="-11"/>
          <w:sz w:val="16"/>
          <w:szCs w:val="16"/>
        </w:rPr>
        <w:t xml:space="preserve"> </w:t>
      </w:r>
      <w:r w:rsidR="00503E4C" w:rsidRPr="00065F63">
        <w:rPr>
          <w:sz w:val="16"/>
          <w:szCs w:val="16"/>
        </w:rPr>
        <w:t>4,</w:t>
      </w:r>
      <w:r w:rsidR="00503E4C" w:rsidRPr="00065F63">
        <w:rPr>
          <w:spacing w:val="-11"/>
          <w:sz w:val="16"/>
          <w:szCs w:val="16"/>
        </w:rPr>
        <w:t xml:space="preserve"> </w:t>
      </w:r>
      <w:r w:rsidR="00503E4C" w:rsidRPr="00065F63">
        <w:rPr>
          <w:sz w:val="16"/>
          <w:szCs w:val="16"/>
        </w:rPr>
        <w:t>párr.</w:t>
      </w:r>
      <w:r w:rsidR="00503E4C" w:rsidRPr="00065F63">
        <w:rPr>
          <w:spacing w:val="-11"/>
          <w:sz w:val="16"/>
          <w:szCs w:val="16"/>
        </w:rPr>
        <w:t xml:space="preserve"> </w:t>
      </w:r>
      <w:r w:rsidR="00503E4C" w:rsidRPr="00065F63">
        <w:rPr>
          <w:sz w:val="16"/>
          <w:szCs w:val="16"/>
        </w:rPr>
        <w:t>63,</w:t>
      </w:r>
      <w:r w:rsidR="00503E4C" w:rsidRPr="00065F63">
        <w:rPr>
          <w:spacing w:val="-11"/>
          <w:sz w:val="16"/>
          <w:szCs w:val="16"/>
        </w:rPr>
        <w:t xml:space="preserve"> </w:t>
      </w:r>
      <w:r w:rsidR="00503E4C" w:rsidRPr="00065F63">
        <w:rPr>
          <w:sz w:val="16"/>
          <w:szCs w:val="16"/>
        </w:rPr>
        <w:t>y</w:t>
      </w:r>
      <w:r w:rsidR="00503E4C" w:rsidRPr="00065F63">
        <w:rPr>
          <w:spacing w:val="-12"/>
          <w:sz w:val="16"/>
          <w:szCs w:val="16"/>
        </w:rPr>
        <w:t xml:space="preserve"> </w:t>
      </w:r>
      <w:r w:rsidR="00503E4C">
        <w:rPr>
          <w:i/>
          <w:sz w:val="16"/>
          <w:szCs w:val="16"/>
        </w:rPr>
        <w:t xml:space="preserve">Caso Cortez Espinoza Vs. Ecuador, supra, </w:t>
      </w:r>
      <w:r w:rsidR="00503E4C">
        <w:rPr>
          <w:iCs/>
          <w:sz w:val="16"/>
          <w:szCs w:val="16"/>
        </w:rPr>
        <w:t>párr. 24.</w:t>
      </w:r>
    </w:p>
  </w:footnote>
  <w:footnote w:id="24">
    <w:p w14:paraId="6CAEAD42" w14:textId="0BFDB61D" w:rsidR="00DE38A2" w:rsidRPr="00065F63" w:rsidRDefault="00DE38A2"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A47A50" w:rsidRPr="00065F63">
        <w:rPr>
          <w:sz w:val="16"/>
          <w:szCs w:val="16"/>
        </w:rPr>
        <w:tab/>
      </w:r>
      <w:r w:rsidR="00AB3B2E" w:rsidRPr="00065F63">
        <w:rPr>
          <w:i/>
          <w:iCs/>
          <w:sz w:val="16"/>
          <w:szCs w:val="16"/>
        </w:rPr>
        <w:t>Cfr</w:t>
      </w:r>
      <w:r w:rsidR="00B401BC" w:rsidRPr="00065F63">
        <w:rPr>
          <w:i/>
          <w:iCs/>
          <w:sz w:val="16"/>
          <w:szCs w:val="16"/>
        </w:rPr>
        <w:t xml:space="preserve">. </w:t>
      </w:r>
      <w:r w:rsidR="00B501B7" w:rsidRPr="00065F63">
        <w:rPr>
          <w:sz w:val="16"/>
          <w:szCs w:val="16"/>
        </w:rPr>
        <w:t>Informe</w:t>
      </w:r>
      <w:r w:rsidR="00EF7F4F" w:rsidRPr="00065F63">
        <w:rPr>
          <w:sz w:val="16"/>
          <w:szCs w:val="16"/>
        </w:rPr>
        <w:t xml:space="preserve"> N.° 113-2013-JUS/PPES</w:t>
      </w:r>
      <w:r w:rsidR="008B48CE" w:rsidRPr="00065F63">
        <w:rPr>
          <w:sz w:val="16"/>
          <w:szCs w:val="16"/>
        </w:rPr>
        <w:t xml:space="preserve"> de la Procuraduría Pública Especializada</w:t>
      </w:r>
      <w:r w:rsidR="00EF7F4F" w:rsidRPr="00065F63">
        <w:rPr>
          <w:sz w:val="16"/>
          <w:szCs w:val="16"/>
        </w:rPr>
        <w:t xml:space="preserve"> de</w:t>
      </w:r>
      <w:r w:rsidR="008B48CE" w:rsidRPr="00065F63">
        <w:rPr>
          <w:sz w:val="16"/>
          <w:szCs w:val="16"/>
        </w:rPr>
        <w:t xml:space="preserve"> </w:t>
      </w:r>
      <w:r w:rsidR="00EF7F4F" w:rsidRPr="00065F63">
        <w:rPr>
          <w:sz w:val="16"/>
          <w:szCs w:val="16"/>
        </w:rPr>
        <w:t xml:space="preserve">15 de julio de 2013 </w:t>
      </w:r>
      <w:r w:rsidR="003B4E57" w:rsidRPr="00065F63">
        <w:rPr>
          <w:sz w:val="16"/>
          <w:szCs w:val="16"/>
        </w:rPr>
        <w:t>(</w:t>
      </w:r>
      <w:r w:rsidR="00AB3B2E" w:rsidRPr="00065F63">
        <w:rPr>
          <w:sz w:val="16"/>
          <w:szCs w:val="16"/>
        </w:rPr>
        <w:t>expediente de prueb</w:t>
      </w:r>
      <w:r w:rsidR="0070151C" w:rsidRPr="00065F63">
        <w:rPr>
          <w:sz w:val="16"/>
          <w:szCs w:val="16"/>
        </w:rPr>
        <w:t>a,</w:t>
      </w:r>
      <w:r w:rsidR="00AB3B2E" w:rsidRPr="00065F63">
        <w:rPr>
          <w:sz w:val="16"/>
          <w:szCs w:val="16"/>
        </w:rPr>
        <w:t xml:space="preserve"> </w:t>
      </w:r>
      <w:r w:rsidR="004D7A2A" w:rsidRPr="00065F63">
        <w:rPr>
          <w:sz w:val="16"/>
          <w:szCs w:val="16"/>
        </w:rPr>
        <w:t xml:space="preserve">folio </w:t>
      </w:r>
      <w:r w:rsidR="004D6721" w:rsidRPr="00065F63">
        <w:rPr>
          <w:sz w:val="16"/>
          <w:szCs w:val="16"/>
        </w:rPr>
        <w:t>234</w:t>
      </w:r>
      <w:r w:rsidR="003B4E57" w:rsidRPr="00065F63">
        <w:rPr>
          <w:sz w:val="16"/>
          <w:szCs w:val="16"/>
        </w:rPr>
        <w:t>)</w:t>
      </w:r>
      <w:r w:rsidR="00EF7F4F" w:rsidRPr="00065F63">
        <w:rPr>
          <w:sz w:val="16"/>
          <w:szCs w:val="16"/>
        </w:rPr>
        <w:t>,</w:t>
      </w:r>
      <w:r w:rsidR="00B501B7" w:rsidRPr="00065F63">
        <w:rPr>
          <w:sz w:val="16"/>
          <w:szCs w:val="16"/>
        </w:rPr>
        <w:t xml:space="preserve"> Informe N.° 41-2014-JUS/PPES </w:t>
      </w:r>
      <w:r w:rsidR="008B48CE" w:rsidRPr="00065F63">
        <w:rPr>
          <w:sz w:val="16"/>
          <w:szCs w:val="16"/>
        </w:rPr>
        <w:t xml:space="preserve">de la Procuraduría Pública Especializada </w:t>
      </w:r>
      <w:r w:rsidR="00B501B7" w:rsidRPr="00065F63">
        <w:rPr>
          <w:sz w:val="16"/>
          <w:szCs w:val="16"/>
        </w:rPr>
        <w:t>de 17 de marzo de 2014 (</w:t>
      </w:r>
      <w:r w:rsidR="0070151C" w:rsidRPr="00065F63">
        <w:rPr>
          <w:sz w:val="16"/>
          <w:szCs w:val="16"/>
        </w:rPr>
        <w:t xml:space="preserve">expediente de prueba, </w:t>
      </w:r>
      <w:r w:rsidR="004D7A2A" w:rsidRPr="00065F63">
        <w:rPr>
          <w:sz w:val="16"/>
          <w:szCs w:val="16"/>
        </w:rPr>
        <w:t xml:space="preserve">folios </w:t>
      </w:r>
      <w:r w:rsidR="00B501B7" w:rsidRPr="00065F63">
        <w:rPr>
          <w:sz w:val="16"/>
          <w:szCs w:val="16"/>
        </w:rPr>
        <w:t>604</w:t>
      </w:r>
      <w:r w:rsidR="004D7A2A" w:rsidRPr="00065F63">
        <w:rPr>
          <w:sz w:val="16"/>
          <w:szCs w:val="16"/>
        </w:rPr>
        <w:t xml:space="preserve"> </w:t>
      </w:r>
      <w:r w:rsidR="00E9507C" w:rsidRPr="00065F63">
        <w:rPr>
          <w:sz w:val="16"/>
          <w:szCs w:val="16"/>
        </w:rPr>
        <w:t>a</w:t>
      </w:r>
      <w:r w:rsidR="004D7A2A" w:rsidRPr="00065F63">
        <w:rPr>
          <w:sz w:val="16"/>
          <w:szCs w:val="16"/>
        </w:rPr>
        <w:t xml:space="preserve"> </w:t>
      </w:r>
      <w:r w:rsidR="00B501B7" w:rsidRPr="00065F63">
        <w:rPr>
          <w:sz w:val="16"/>
          <w:szCs w:val="16"/>
        </w:rPr>
        <w:t>605),</w:t>
      </w:r>
      <w:r w:rsidR="00B37538" w:rsidRPr="00065F63">
        <w:rPr>
          <w:sz w:val="16"/>
          <w:szCs w:val="16"/>
        </w:rPr>
        <w:t xml:space="preserve"> e</w:t>
      </w:r>
      <w:r w:rsidR="00B501B7" w:rsidRPr="00065F63">
        <w:rPr>
          <w:sz w:val="16"/>
          <w:szCs w:val="16"/>
        </w:rPr>
        <w:t xml:space="preserve"> Informe N.° 059-2016-JUS/CDJE-PPES</w:t>
      </w:r>
      <w:r w:rsidR="008B48CE" w:rsidRPr="00065F63">
        <w:rPr>
          <w:sz w:val="16"/>
          <w:szCs w:val="16"/>
        </w:rPr>
        <w:t xml:space="preserve"> de la Procuraduría Pública Especializada</w:t>
      </w:r>
      <w:r w:rsidR="00B501B7" w:rsidRPr="00065F63">
        <w:rPr>
          <w:sz w:val="16"/>
          <w:szCs w:val="16"/>
        </w:rPr>
        <w:t xml:space="preserve"> de 08 de abril de 2016</w:t>
      </w:r>
      <w:r w:rsidR="00CF549F" w:rsidRPr="00065F63">
        <w:rPr>
          <w:sz w:val="16"/>
          <w:szCs w:val="16"/>
        </w:rPr>
        <w:t xml:space="preserve"> (</w:t>
      </w:r>
      <w:r w:rsidR="00E9507C" w:rsidRPr="00065F63">
        <w:rPr>
          <w:sz w:val="16"/>
          <w:szCs w:val="16"/>
        </w:rPr>
        <w:t>e</w:t>
      </w:r>
      <w:r w:rsidR="0070151C" w:rsidRPr="00065F63">
        <w:rPr>
          <w:sz w:val="16"/>
          <w:szCs w:val="16"/>
        </w:rPr>
        <w:t xml:space="preserve">xpediente de </w:t>
      </w:r>
      <w:r w:rsidR="00E9507C" w:rsidRPr="00065F63">
        <w:rPr>
          <w:sz w:val="16"/>
          <w:szCs w:val="16"/>
        </w:rPr>
        <w:t>p</w:t>
      </w:r>
      <w:r w:rsidR="0070151C" w:rsidRPr="00065F63">
        <w:rPr>
          <w:sz w:val="16"/>
          <w:szCs w:val="16"/>
        </w:rPr>
        <w:t xml:space="preserve">rueba, </w:t>
      </w:r>
      <w:r w:rsidR="00CF549F" w:rsidRPr="00065F63">
        <w:rPr>
          <w:sz w:val="16"/>
          <w:szCs w:val="16"/>
        </w:rPr>
        <w:t xml:space="preserve">folios 645 a </w:t>
      </w:r>
      <w:r w:rsidR="004D7A2A" w:rsidRPr="00065F63">
        <w:rPr>
          <w:sz w:val="16"/>
          <w:szCs w:val="16"/>
        </w:rPr>
        <w:t>647</w:t>
      </w:r>
      <w:r w:rsidR="00CF549F" w:rsidRPr="00065F63">
        <w:rPr>
          <w:sz w:val="16"/>
          <w:szCs w:val="16"/>
        </w:rPr>
        <w:t>)</w:t>
      </w:r>
      <w:r w:rsidR="004D7A2A" w:rsidRPr="00065F63">
        <w:rPr>
          <w:sz w:val="16"/>
          <w:szCs w:val="16"/>
        </w:rPr>
        <w:t>.</w:t>
      </w:r>
    </w:p>
  </w:footnote>
  <w:footnote w:id="25">
    <w:p w14:paraId="50720675" w14:textId="2642C26E" w:rsidR="00231DBE" w:rsidRPr="00065F63" w:rsidRDefault="00231DBE"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503E4C" w:rsidRPr="00065F63">
        <w:rPr>
          <w:i/>
          <w:iCs/>
          <w:sz w:val="16"/>
          <w:szCs w:val="16"/>
        </w:rPr>
        <w:t>Cfr. Caso Escher y otros Vs. Brasil. Excepciones Preliminares, Fondo, Reparaciones y Costas</w:t>
      </w:r>
      <w:r w:rsidR="00503E4C" w:rsidRPr="00065F63">
        <w:rPr>
          <w:sz w:val="16"/>
          <w:szCs w:val="16"/>
        </w:rPr>
        <w:t xml:space="preserve">. Sentencia de 6 de julio de 2009. Serie C No. 200, párr. 38, y </w:t>
      </w:r>
      <w:r w:rsidR="00503E4C">
        <w:rPr>
          <w:i/>
          <w:sz w:val="16"/>
          <w:szCs w:val="16"/>
        </w:rPr>
        <w:t xml:space="preserve">Caso Cortez Espinoza Vs. Ecuador, supra, </w:t>
      </w:r>
      <w:r w:rsidR="00503E4C">
        <w:rPr>
          <w:iCs/>
          <w:sz w:val="16"/>
          <w:szCs w:val="16"/>
        </w:rPr>
        <w:t>párr. 24.</w:t>
      </w:r>
    </w:p>
  </w:footnote>
  <w:footnote w:id="26">
    <w:p w14:paraId="3C1869AF" w14:textId="1CB83968" w:rsidR="008E4B36" w:rsidRPr="00503E4C" w:rsidRDefault="008E4B36"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503E4C" w:rsidRPr="00065F63">
        <w:rPr>
          <w:i/>
          <w:iCs/>
          <w:sz w:val="16"/>
          <w:szCs w:val="16"/>
        </w:rPr>
        <w:t>Cfr. Caso Gonzalez Lluy y otros vs. Ecuador. Excepciones Preliminares, Fondo, Reparaciones y Costas.</w:t>
      </w:r>
      <w:r w:rsidR="00503E4C" w:rsidRPr="00065F63">
        <w:rPr>
          <w:sz w:val="16"/>
          <w:szCs w:val="16"/>
        </w:rPr>
        <w:t xml:space="preserve"> Sentencia de 1 de septiembre de 2015. Serie C. no 298, párr.37, y </w:t>
      </w:r>
      <w:r w:rsidR="00503E4C" w:rsidRPr="00503E4C">
        <w:rPr>
          <w:i/>
          <w:iCs/>
          <w:sz w:val="16"/>
          <w:szCs w:val="16"/>
        </w:rPr>
        <w:t>Casierra Quiñonez y otros Vs. Ecuador. Excepción Preliminar, Fondo, Reparaciones y Costas.</w:t>
      </w:r>
      <w:r w:rsidR="00503E4C" w:rsidRPr="00503E4C">
        <w:rPr>
          <w:sz w:val="16"/>
          <w:szCs w:val="16"/>
        </w:rPr>
        <w:t xml:space="preserve"> Sentencia de 11 de mayo de 2022. Serie C No. 450, párr.</w:t>
      </w:r>
      <w:r w:rsidR="00503E4C">
        <w:rPr>
          <w:sz w:val="16"/>
          <w:szCs w:val="16"/>
        </w:rPr>
        <w:t xml:space="preserve"> </w:t>
      </w:r>
      <w:r w:rsidR="00503E4C" w:rsidRPr="00503E4C">
        <w:rPr>
          <w:sz w:val="16"/>
          <w:szCs w:val="16"/>
        </w:rPr>
        <w:t>22.</w:t>
      </w:r>
    </w:p>
  </w:footnote>
  <w:footnote w:id="27">
    <w:p w14:paraId="1226CD45" w14:textId="5DE6895D" w:rsidR="000C2AF9" w:rsidRPr="00065F63" w:rsidRDefault="000C2AF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D733B5" w:rsidRPr="00065F63">
        <w:rPr>
          <w:sz w:val="16"/>
          <w:szCs w:val="16"/>
        </w:rPr>
        <w:tab/>
        <w:t>En particular, en dichos párrafos la Comisión describe el análisis que realizaron las autoridades nacionales sobre la admisibilidad del referido programa de televisión como prueba del trato discriminatorio.</w:t>
      </w:r>
    </w:p>
  </w:footnote>
  <w:footnote w:id="28">
    <w:p w14:paraId="0F9B3E30" w14:textId="7EF4CC83" w:rsidR="008E4B36" w:rsidRPr="00065F63" w:rsidRDefault="008E4B36"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Pr="00065F63">
        <w:rPr>
          <w:sz w:val="16"/>
          <w:szCs w:val="16"/>
        </w:rPr>
        <w:t>CIDH</w:t>
      </w:r>
      <w:r w:rsidR="00BB7BE5" w:rsidRPr="00065F63">
        <w:rPr>
          <w:sz w:val="16"/>
          <w:szCs w:val="16"/>
        </w:rPr>
        <w:t xml:space="preserve">, </w:t>
      </w:r>
      <w:r w:rsidRPr="00065F63">
        <w:rPr>
          <w:i/>
          <w:iCs/>
          <w:sz w:val="16"/>
          <w:szCs w:val="16"/>
        </w:rPr>
        <w:t>Caso Crissthian Manuel Olivera Fuentes Vs. Perú.</w:t>
      </w:r>
      <w:r w:rsidRPr="00065F63">
        <w:rPr>
          <w:sz w:val="16"/>
          <w:szCs w:val="16"/>
        </w:rPr>
        <w:t xml:space="preserve"> Informe de Fondo No. 304/20</w:t>
      </w:r>
      <w:r w:rsidR="00BB7BE5" w:rsidRPr="00065F63">
        <w:rPr>
          <w:sz w:val="16"/>
          <w:szCs w:val="16"/>
        </w:rPr>
        <w:t>,</w:t>
      </w:r>
      <w:r w:rsidRPr="00065F63">
        <w:rPr>
          <w:sz w:val="16"/>
          <w:szCs w:val="16"/>
        </w:rPr>
        <w:t xml:space="preserve"> de 29 de octubre de 2020, párr.47. </w:t>
      </w:r>
    </w:p>
  </w:footnote>
  <w:footnote w:id="29">
    <w:p w14:paraId="51AD6239" w14:textId="749A0591" w:rsidR="008E4B36" w:rsidRPr="00065F63" w:rsidRDefault="008E4B36" w:rsidP="00DF7FF5">
      <w:pPr>
        <w:pStyle w:val="Textonotapie"/>
        <w:spacing w:before="40" w:after="40"/>
        <w:rPr>
          <w:sz w:val="16"/>
          <w:szCs w:val="16"/>
          <w:lang w:val="es-ES"/>
        </w:rPr>
      </w:pPr>
      <w:r w:rsidRPr="00065F63">
        <w:rPr>
          <w:rStyle w:val="Refdenotaalpie"/>
          <w:sz w:val="16"/>
          <w:szCs w:val="16"/>
        </w:rPr>
        <w:footnoteRef/>
      </w:r>
      <w:r w:rsidRPr="00A7288A">
        <w:rPr>
          <w:sz w:val="16"/>
          <w:szCs w:val="16"/>
          <w:lang w:val="es-ES"/>
        </w:rPr>
        <w:t xml:space="preserve"> </w:t>
      </w:r>
      <w:r w:rsidRPr="00A7288A">
        <w:rPr>
          <w:sz w:val="16"/>
          <w:szCs w:val="16"/>
          <w:lang w:val="es-ES"/>
        </w:rPr>
        <w:tab/>
      </w:r>
      <w:r w:rsidR="002A2FD1" w:rsidRPr="00065F63">
        <w:rPr>
          <w:i/>
          <w:iCs/>
          <w:sz w:val="16"/>
          <w:szCs w:val="16"/>
          <w:lang w:val="es-ES"/>
        </w:rPr>
        <w:t>Cfr</w:t>
      </w:r>
      <w:r w:rsidR="002A2FD1" w:rsidRPr="00065F63">
        <w:rPr>
          <w:sz w:val="16"/>
          <w:szCs w:val="16"/>
          <w:lang w:val="es-ES"/>
        </w:rPr>
        <w:t xml:space="preserve">. </w:t>
      </w:r>
      <w:r w:rsidR="002A2FD1" w:rsidRPr="002A2FD1">
        <w:rPr>
          <w:i/>
          <w:iCs/>
          <w:sz w:val="16"/>
          <w:szCs w:val="16"/>
        </w:rPr>
        <w:t xml:space="preserve">Caso “Cinco Pensionistas” Vs. Perú. </w:t>
      </w:r>
      <w:r w:rsidR="002A2FD1" w:rsidRPr="00F232F6">
        <w:rPr>
          <w:i/>
          <w:iCs/>
          <w:sz w:val="16"/>
          <w:szCs w:val="16"/>
        </w:rPr>
        <w:t xml:space="preserve">Fondo, Reparaciones y Costas. </w:t>
      </w:r>
      <w:r w:rsidR="002A2FD1" w:rsidRPr="00F232F6">
        <w:rPr>
          <w:sz w:val="16"/>
          <w:szCs w:val="16"/>
        </w:rPr>
        <w:t xml:space="preserve">Sentencia de 28 de </w:t>
      </w:r>
      <w:r w:rsidR="004B3EE9">
        <w:rPr>
          <w:sz w:val="16"/>
          <w:szCs w:val="16"/>
        </w:rPr>
        <w:t>f</w:t>
      </w:r>
      <w:r w:rsidR="002A2FD1" w:rsidRPr="00F232F6">
        <w:rPr>
          <w:sz w:val="16"/>
          <w:szCs w:val="16"/>
        </w:rPr>
        <w:t>ebrero de 2003. Serie C No. 98, párr.</w:t>
      </w:r>
      <w:r w:rsidR="002A2FD1">
        <w:rPr>
          <w:sz w:val="16"/>
          <w:szCs w:val="16"/>
        </w:rPr>
        <w:t xml:space="preserve"> </w:t>
      </w:r>
      <w:r w:rsidR="002A2FD1" w:rsidRPr="00F232F6">
        <w:rPr>
          <w:sz w:val="16"/>
          <w:szCs w:val="16"/>
        </w:rPr>
        <w:t>155</w:t>
      </w:r>
      <w:r w:rsidR="002A2FD1" w:rsidRPr="00EA3CBB">
        <w:rPr>
          <w:sz w:val="16"/>
          <w:szCs w:val="16"/>
        </w:rPr>
        <w:t xml:space="preserve">, y </w:t>
      </w:r>
      <w:r w:rsidR="002A2FD1">
        <w:rPr>
          <w:i/>
          <w:iCs/>
          <w:sz w:val="16"/>
          <w:szCs w:val="16"/>
        </w:rPr>
        <w:t>Caso Casierra Quiñonez y otros Vs. Ecuador, supra</w:t>
      </w:r>
      <w:r w:rsidR="002A2FD1">
        <w:rPr>
          <w:sz w:val="16"/>
          <w:szCs w:val="16"/>
        </w:rPr>
        <w:t>, párr. 22.</w:t>
      </w:r>
    </w:p>
  </w:footnote>
  <w:footnote w:id="30">
    <w:p w14:paraId="03249513" w14:textId="024C85A3" w:rsidR="001B0BA5" w:rsidRPr="00065F63" w:rsidRDefault="001B0BA5" w:rsidP="00DF7FF5">
      <w:pPr>
        <w:pStyle w:val="Textonotapie"/>
        <w:spacing w:before="40" w:after="40"/>
        <w:rPr>
          <w:sz w:val="16"/>
          <w:szCs w:val="16"/>
          <w:lang w:val="es-ES"/>
        </w:rPr>
      </w:pPr>
      <w:r w:rsidRPr="00065F63">
        <w:rPr>
          <w:rStyle w:val="Refdenotaalpie"/>
          <w:rFonts w:eastAsia="Batang"/>
          <w:sz w:val="16"/>
          <w:szCs w:val="16"/>
        </w:rPr>
        <w:footnoteRef/>
      </w:r>
      <w:r w:rsidRPr="00065F63">
        <w:rPr>
          <w:sz w:val="16"/>
          <w:szCs w:val="16"/>
        </w:rPr>
        <w:t xml:space="preserve"> </w:t>
      </w:r>
      <w:r w:rsidRPr="00065F63">
        <w:rPr>
          <w:sz w:val="16"/>
          <w:szCs w:val="16"/>
        </w:rPr>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002A2FD1" w:rsidRPr="00065F63">
        <w:rPr>
          <w:i/>
          <w:iCs/>
          <w:sz w:val="16"/>
          <w:szCs w:val="16"/>
        </w:rPr>
        <w:t xml:space="preserve">Cfr. </w:t>
      </w:r>
      <w:r w:rsidR="002A2FD1">
        <w:rPr>
          <w:i/>
          <w:iCs/>
          <w:sz w:val="16"/>
          <w:szCs w:val="16"/>
        </w:rPr>
        <w:t xml:space="preserve">Caso Velásquez Rodríguez Vs. Honduras, supra, </w:t>
      </w:r>
      <w:r w:rsidR="002A2FD1" w:rsidRPr="00B100C9">
        <w:rPr>
          <w:sz w:val="16"/>
          <w:szCs w:val="16"/>
        </w:rPr>
        <w:t xml:space="preserve">párr. 140, y </w:t>
      </w:r>
      <w:r w:rsidR="002A2FD1">
        <w:rPr>
          <w:i/>
          <w:iCs/>
          <w:sz w:val="16"/>
          <w:szCs w:val="16"/>
        </w:rPr>
        <w:t xml:space="preserve">Caso Leguizamón Zaván Vs. Paraguay. Fondo, Reparaciones y Costas. </w:t>
      </w:r>
      <w:r w:rsidR="002A2FD1">
        <w:rPr>
          <w:sz w:val="16"/>
          <w:szCs w:val="16"/>
        </w:rPr>
        <w:t>Sentencia de 15 de noviembre de 2022. Serie C. No. 473, párr. 28.</w:t>
      </w:r>
    </w:p>
  </w:footnote>
  <w:footnote w:id="31">
    <w:p w14:paraId="7229185F" w14:textId="6404E98E" w:rsidR="00DD3A65" w:rsidRPr="00065F63" w:rsidRDefault="00DD3A65" w:rsidP="00DF7FF5">
      <w:pPr>
        <w:widowControl/>
        <w:autoSpaceDE w:val="0"/>
        <w:autoSpaceDN w:val="0"/>
        <w:spacing w:before="40" w:after="40" w:line="240" w:lineRule="auto"/>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2A2FD1" w:rsidRPr="00065F63">
        <w:rPr>
          <w:sz w:val="16"/>
          <w:szCs w:val="16"/>
          <w:lang w:val="es-ES"/>
        </w:rPr>
        <w:t xml:space="preserve">Anexo 1: </w:t>
      </w:r>
      <w:r w:rsidR="002A2FD1">
        <w:rPr>
          <w:sz w:val="16"/>
          <w:szCs w:val="16"/>
          <w:lang w:val="es-ES"/>
        </w:rPr>
        <w:t xml:space="preserve">Corte Superior de Justicia de Lima, </w:t>
      </w:r>
      <w:r w:rsidR="002A2FD1" w:rsidRPr="00065F63">
        <w:rPr>
          <w:rFonts w:eastAsiaTheme="minorHAnsi" w:cs="Garamond"/>
          <w:sz w:val="16"/>
          <w:szCs w:val="16"/>
          <w:lang w:eastAsia="en-US"/>
        </w:rPr>
        <w:t>Segundo Juzgado Constitucional de Lima, Expediente No. 10819-2017, Resolución No. 1, de 24 de julio del 2017, y Anexo 2: Tribunal Constitucional del Perú, Expediente No. 1739-2018-PA/TC,</w:t>
      </w:r>
      <w:r w:rsidR="002A2FD1">
        <w:rPr>
          <w:rFonts w:eastAsiaTheme="minorHAnsi" w:cs="Garamond"/>
          <w:sz w:val="16"/>
          <w:szCs w:val="16"/>
          <w:lang w:eastAsia="en-US"/>
        </w:rPr>
        <w:t xml:space="preserve"> </w:t>
      </w:r>
      <w:r w:rsidR="002A2FD1" w:rsidRPr="00065F63">
        <w:rPr>
          <w:rFonts w:eastAsiaTheme="minorHAnsi" w:cs="Garamond"/>
          <w:sz w:val="16"/>
          <w:szCs w:val="16"/>
          <w:lang w:eastAsia="en-US"/>
        </w:rPr>
        <w:t xml:space="preserve">Caso Oscar Ugarteche, Sentencia de 3 de noviembre de 2020, Voto singular del magistrado </w:t>
      </w:r>
      <w:r w:rsidR="002A2FD1">
        <w:rPr>
          <w:rFonts w:eastAsiaTheme="minorHAnsi" w:cs="Garamond"/>
          <w:sz w:val="16"/>
          <w:szCs w:val="16"/>
          <w:lang w:eastAsia="en-US"/>
        </w:rPr>
        <w:t>Miranda Canales</w:t>
      </w:r>
      <w:r w:rsidR="002A2FD1" w:rsidRPr="00065F63">
        <w:rPr>
          <w:rFonts w:eastAsiaTheme="minorHAnsi" w:cs="Garamond"/>
          <w:sz w:val="16"/>
          <w:szCs w:val="16"/>
          <w:lang w:eastAsia="en-US"/>
        </w:rPr>
        <w:t>.</w:t>
      </w:r>
    </w:p>
  </w:footnote>
  <w:footnote w:id="32">
    <w:p w14:paraId="1DA4C566" w14:textId="4A64B0F3" w:rsidR="00586E01" w:rsidRPr="00065F63" w:rsidRDefault="00586E01"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2A2FD1" w:rsidRPr="00065F63">
        <w:rPr>
          <w:sz w:val="16"/>
          <w:szCs w:val="16"/>
        </w:rPr>
        <w:t>Anexo 1: Tribunal Constitucional de Perú, Expediente No. 02653-2021-PA/TC,</w:t>
      </w:r>
      <w:r w:rsidR="002A2FD1">
        <w:rPr>
          <w:sz w:val="16"/>
          <w:szCs w:val="16"/>
        </w:rPr>
        <w:t xml:space="preserve"> </w:t>
      </w:r>
      <w:r w:rsidR="002A2FD1" w:rsidRPr="00065F63">
        <w:rPr>
          <w:sz w:val="16"/>
          <w:szCs w:val="16"/>
        </w:rPr>
        <w:t>Caso Paredes Aljovín, Sentencia de 19 de abril de 2022; Anexo 2: Tribunal Constitucional de Perú, Expediente No. 02743-2021-PA/TC, Caso Martinot Urbina, Sentencia de 5 de abril de 2022; Anexo 3: Tribunal Constitucional de Perú. Expediente No. 1739-2018-PA/TC, Caso Oscar Ugarteche</w:t>
      </w:r>
      <w:r w:rsidR="002A2FD1" w:rsidRPr="00065F63">
        <w:rPr>
          <w:i/>
          <w:iCs/>
          <w:sz w:val="16"/>
          <w:szCs w:val="16"/>
        </w:rPr>
        <w:t xml:space="preserve">, </w:t>
      </w:r>
      <w:r w:rsidR="002A2FD1" w:rsidRPr="00065F63">
        <w:rPr>
          <w:sz w:val="16"/>
          <w:szCs w:val="16"/>
        </w:rPr>
        <w:t xml:space="preserve">Sentencia de 3 de noviembre de 2020; Anexo 4: Comprobante del pago realizado por </w:t>
      </w:r>
      <w:r w:rsidR="002A2FD1" w:rsidRPr="00065F63">
        <w:rPr>
          <w:i/>
          <w:iCs/>
          <w:sz w:val="16"/>
          <w:szCs w:val="16"/>
        </w:rPr>
        <w:t xml:space="preserve">DEMUS </w:t>
      </w:r>
      <w:r w:rsidR="002A2FD1" w:rsidRPr="00065F63">
        <w:rPr>
          <w:sz w:val="16"/>
          <w:szCs w:val="16"/>
        </w:rPr>
        <w:t>al abogado por la elaboración del ESAP, de 24 de septiembre de 2021, y Anexo 5: Comprobantes de los pagos realizado</w:t>
      </w:r>
      <w:r w:rsidR="002A2FD1">
        <w:rPr>
          <w:sz w:val="16"/>
          <w:szCs w:val="16"/>
        </w:rPr>
        <w:t>s</w:t>
      </w:r>
      <w:r w:rsidR="002A2FD1" w:rsidRPr="00065F63">
        <w:rPr>
          <w:sz w:val="16"/>
          <w:szCs w:val="16"/>
        </w:rPr>
        <w:t xml:space="preserve"> por </w:t>
      </w:r>
      <w:r w:rsidR="002A2FD1" w:rsidRPr="00065F63">
        <w:rPr>
          <w:i/>
          <w:iCs/>
          <w:sz w:val="16"/>
          <w:szCs w:val="16"/>
        </w:rPr>
        <w:t xml:space="preserve">DEMUS </w:t>
      </w:r>
      <w:r w:rsidR="002A2FD1">
        <w:rPr>
          <w:sz w:val="16"/>
          <w:szCs w:val="16"/>
        </w:rPr>
        <w:t>de forma posterior al 24 de septiembre de 2021</w:t>
      </w:r>
      <w:r w:rsidR="002A2FD1" w:rsidRPr="00065F63">
        <w:rPr>
          <w:sz w:val="16"/>
          <w:szCs w:val="16"/>
        </w:rPr>
        <w:t xml:space="preserve"> y </w:t>
      </w:r>
      <w:r w:rsidR="002A2FD1">
        <w:rPr>
          <w:sz w:val="16"/>
          <w:szCs w:val="16"/>
        </w:rPr>
        <w:t>por concepto de</w:t>
      </w:r>
      <w:r w:rsidR="002A2FD1" w:rsidRPr="00065F63">
        <w:rPr>
          <w:sz w:val="16"/>
          <w:szCs w:val="16"/>
        </w:rPr>
        <w:t xml:space="preserve"> </w:t>
      </w:r>
      <w:r w:rsidR="002A2FD1">
        <w:rPr>
          <w:sz w:val="16"/>
          <w:szCs w:val="16"/>
        </w:rPr>
        <w:t>atención</w:t>
      </w:r>
      <w:r w:rsidR="002A2FD1" w:rsidRPr="00065F63">
        <w:rPr>
          <w:sz w:val="16"/>
          <w:szCs w:val="16"/>
        </w:rPr>
        <w:t xml:space="preserve"> psicóloga </w:t>
      </w:r>
      <w:r w:rsidR="002A2FD1">
        <w:rPr>
          <w:sz w:val="16"/>
          <w:szCs w:val="16"/>
        </w:rPr>
        <w:t>en el marco d</w:t>
      </w:r>
      <w:r w:rsidR="002A2FD1" w:rsidRPr="00065F63">
        <w:rPr>
          <w:sz w:val="16"/>
          <w:szCs w:val="16"/>
        </w:rPr>
        <w:t>el litigio ante la Corte Interamericana, de 9 de febrero de 2022, de 16 de marzo de 2022, 17 de mayo de 2022, 25 de mayo de 2022, 27 de junio de 2022, 19 de julio de 2022, 27 de julio de 2022, 10 de agosto de 2022, 18 de agosto de 2022, 19 de agosto de 2022, 27 de agosto de 2022, 31 de agosto de 2022, y 26 de septiembre de 2022.</w:t>
      </w:r>
    </w:p>
  </w:footnote>
  <w:footnote w:id="33">
    <w:p w14:paraId="155136A1" w14:textId="159BCE29" w:rsidR="009F78AD" w:rsidRPr="00065F63" w:rsidRDefault="009F78AD" w:rsidP="00DF7FF5">
      <w:pPr>
        <w:pStyle w:val="Textonotapie"/>
        <w:spacing w:before="40" w:after="40"/>
        <w:rPr>
          <w:sz w:val="16"/>
          <w:szCs w:val="16"/>
          <w:lang w:val="es-ES"/>
        </w:rPr>
      </w:pPr>
      <w:r w:rsidRPr="00065F63">
        <w:rPr>
          <w:rStyle w:val="Refdenotaalpie"/>
          <w:sz w:val="16"/>
          <w:szCs w:val="16"/>
        </w:rPr>
        <w:footnoteRef/>
      </w:r>
      <w:r w:rsidR="00C920C1" w:rsidRPr="00065F63">
        <w:rPr>
          <w:sz w:val="16"/>
          <w:szCs w:val="16"/>
        </w:rPr>
        <w:t xml:space="preserve"> </w:t>
      </w:r>
      <w:r w:rsidR="00C920C1" w:rsidRPr="00065F63">
        <w:rPr>
          <w:sz w:val="16"/>
          <w:szCs w:val="16"/>
        </w:rPr>
        <w:tab/>
      </w:r>
      <w:r w:rsidR="00852E3E" w:rsidRPr="00065F63">
        <w:rPr>
          <w:sz w:val="16"/>
          <w:szCs w:val="16"/>
        </w:rPr>
        <w:t xml:space="preserve">Anexo 1: </w:t>
      </w:r>
      <w:r w:rsidR="00A34BB7" w:rsidRPr="00065F63">
        <w:rPr>
          <w:sz w:val="16"/>
          <w:szCs w:val="16"/>
        </w:rPr>
        <w:t>Información sobre las actividades realizadas por la Dirección de Políticas y Gestión en Derechos Humanos, respecto del caso No. 13.</w:t>
      </w:r>
      <w:r w:rsidR="00235643" w:rsidRPr="00065F63">
        <w:rPr>
          <w:sz w:val="16"/>
          <w:szCs w:val="16"/>
        </w:rPr>
        <w:t xml:space="preserve">505 – Crissthian Manuel Olivera Fuentes. </w:t>
      </w:r>
    </w:p>
  </w:footnote>
  <w:footnote w:id="34">
    <w:p w14:paraId="2D779F4B" w14:textId="5C3D7763" w:rsidR="001B0BA5" w:rsidRPr="00065F63" w:rsidRDefault="001B0BA5" w:rsidP="00DF7FF5">
      <w:pPr>
        <w:pStyle w:val="Textonotapie"/>
        <w:spacing w:before="40" w:after="40"/>
        <w:rPr>
          <w:sz w:val="16"/>
          <w:szCs w:val="16"/>
          <w:lang w:val="es-ES_tradnl"/>
        </w:rPr>
      </w:pPr>
      <w:r w:rsidRPr="00065F63">
        <w:rPr>
          <w:rStyle w:val="Refdenotaalpie"/>
          <w:rFonts w:eastAsia="Batang"/>
          <w:sz w:val="16"/>
          <w:szCs w:val="16"/>
        </w:rPr>
        <w:footnoteRef/>
      </w:r>
      <w:r w:rsidRPr="00065F63">
        <w:rPr>
          <w:sz w:val="16"/>
          <w:szCs w:val="16"/>
        </w:rPr>
        <w:t xml:space="preserve"> </w:t>
      </w:r>
      <w:r w:rsidRPr="00065F63">
        <w:rPr>
          <w:sz w:val="16"/>
          <w:szCs w:val="16"/>
        </w:rPr>
        <w:tab/>
        <w:t>La Corte recibió las declaraciones rendidas ante fedatario público (</w:t>
      </w:r>
      <w:r w:rsidR="00BB7BE5" w:rsidRPr="00065F63">
        <w:rPr>
          <w:sz w:val="16"/>
          <w:szCs w:val="16"/>
        </w:rPr>
        <w:t>afidávit</w:t>
      </w:r>
      <w:r w:rsidRPr="00065F63">
        <w:rPr>
          <w:sz w:val="16"/>
          <w:szCs w:val="16"/>
        </w:rPr>
        <w:t xml:space="preserve">) de los testigos Juan Francisco Rojas Leo y Elizabeth Mercedes Sante Beizaga </w:t>
      </w:r>
      <w:r w:rsidR="004D0B91" w:rsidRPr="00065F63">
        <w:rPr>
          <w:sz w:val="16"/>
          <w:szCs w:val="16"/>
        </w:rPr>
        <w:t xml:space="preserve">y </w:t>
      </w:r>
      <w:r w:rsidR="002A2FD1">
        <w:rPr>
          <w:sz w:val="16"/>
          <w:szCs w:val="16"/>
        </w:rPr>
        <w:t xml:space="preserve">del </w:t>
      </w:r>
      <w:r w:rsidR="007C17A0">
        <w:rPr>
          <w:sz w:val="16"/>
          <w:szCs w:val="16"/>
        </w:rPr>
        <w:t>testigo</w:t>
      </w:r>
      <w:r w:rsidR="002A2FD1">
        <w:rPr>
          <w:sz w:val="16"/>
          <w:szCs w:val="16"/>
        </w:rPr>
        <w:t xml:space="preserve"> </w:t>
      </w:r>
      <w:r w:rsidR="004D0B91" w:rsidRPr="00065F63">
        <w:rPr>
          <w:sz w:val="16"/>
          <w:szCs w:val="16"/>
        </w:rPr>
        <w:t xml:space="preserve">Rafael Rodríguez Campos, </w:t>
      </w:r>
      <w:r w:rsidRPr="00065F63">
        <w:rPr>
          <w:sz w:val="16"/>
          <w:szCs w:val="16"/>
        </w:rPr>
        <w:t>propuestos por el Estado, así como del perito Gonzalo Meneses, propuesto por los representantes.</w:t>
      </w:r>
    </w:p>
  </w:footnote>
  <w:footnote w:id="35">
    <w:p w14:paraId="6EDB373D" w14:textId="02C881B7" w:rsidR="00C679C3" w:rsidRPr="00065F63" w:rsidRDefault="00C679C3"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D73C90" w:rsidRPr="00065F63">
        <w:rPr>
          <w:sz w:val="16"/>
          <w:szCs w:val="16"/>
          <w:lang w:val="es-ES"/>
        </w:rPr>
        <w:t>En audiencia pública l</w:t>
      </w:r>
      <w:r w:rsidRPr="00065F63">
        <w:rPr>
          <w:sz w:val="16"/>
          <w:szCs w:val="16"/>
          <w:lang w:val="es-ES"/>
        </w:rPr>
        <w:t xml:space="preserve">a Corte recibió las declaraciones </w:t>
      </w:r>
      <w:r w:rsidR="0018421F" w:rsidRPr="00065F63">
        <w:rPr>
          <w:sz w:val="16"/>
          <w:szCs w:val="16"/>
          <w:lang w:val="es-ES"/>
        </w:rPr>
        <w:t xml:space="preserve">de la presunta víctima Crissthian Manuel Olivera Fuentes y de las peritas </w:t>
      </w:r>
      <w:r w:rsidRPr="00065F63">
        <w:rPr>
          <w:sz w:val="16"/>
          <w:szCs w:val="16"/>
          <w:lang w:val="es-ES"/>
        </w:rPr>
        <w:t xml:space="preserve">Laura Clérico, </w:t>
      </w:r>
      <w:r w:rsidR="00CB3B9A" w:rsidRPr="00065F63">
        <w:rPr>
          <w:sz w:val="16"/>
          <w:szCs w:val="16"/>
          <w:lang w:val="es-ES"/>
        </w:rPr>
        <w:t xml:space="preserve">propuesta por los representantes, </w:t>
      </w:r>
      <w:r w:rsidR="0018421F" w:rsidRPr="00065F63">
        <w:rPr>
          <w:sz w:val="16"/>
          <w:szCs w:val="16"/>
          <w:lang w:val="es-ES"/>
        </w:rPr>
        <w:t xml:space="preserve">y </w:t>
      </w:r>
      <w:r w:rsidR="00583DBD" w:rsidRPr="00065F63">
        <w:rPr>
          <w:sz w:val="16"/>
          <w:szCs w:val="16"/>
          <w:lang w:val="es-ES"/>
        </w:rPr>
        <w:t>Laura Otero, propuesta por la Comisión Interamericana.</w:t>
      </w:r>
    </w:p>
  </w:footnote>
  <w:footnote w:id="36">
    <w:p w14:paraId="7C12753B" w14:textId="77777777" w:rsidR="00B06E6D" w:rsidRPr="00065F63" w:rsidRDefault="001B0BA5" w:rsidP="00DF7FF5">
      <w:pPr>
        <w:pStyle w:val="Textonotapie"/>
        <w:spacing w:before="40" w:after="40"/>
        <w:rPr>
          <w:sz w:val="16"/>
          <w:szCs w:val="16"/>
        </w:rPr>
      </w:pPr>
      <w:r w:rsidRPr="00065F63">
        <w:rPr>
          <w:rStyle w:val="Refdenotaalpie"/>
          <w:rFonts w:eastAsia="Calibri"/>
          <w:sz w:val="16"/>
          <w:szCs w:val="16"/>
        </w:rPr>
        <w:footnoteRef/>
      </w:r>
      <w:r w:rsidRPr="00065F63">
        <w:rPr>
          <w:sz w:val="16"/>
          <w:szCs w:val="16"/>
        </w:rPr>
        <w:t xml:space="preserve"> </w:t>
      </w:r>
      <w:r w:rsidRPr="00065F63">
        <w:rPr>
          <w:sz w:val="16"/>
          <w:szCs w:val="16"/>
        </w:rPr>
        <w:tab/>
        <w:t>Los objetos de todas estas declaraciones se encuentran establecidos en la Resolución del Presidente de la Corte Interamericana emitida el</w:t>
      </w:r>
      <w:r w:rsidRPr="00065F63">
        <w:rPr>
          <w:i/>
          <w:sz w:val="16"/>
          <w:szCs w:val="16"/>
        </w:rPr>
        <w:t xml:space="preserve"> </w:t>
      </w:r>
      <w:r w:rsidRPr="00065F63">
        <w:rPr>
          <w:sz w:val="16"/>
          <w:szCs w:val="16"/>
        </w:rPr>
        <w:t>30 de junio de 2002. Disponible en:</w:t>
      </w:r>
    </w:p>
    <w:p w14:paraId="6126CC39" w14:textId="6B284274" w:rsidR="001B0BA5" w:rsidRPr="00065F63" w:rsidRDefault="00000000" w:rsidP="00DF7FF5">
      <w:pPr>
        <w:pStyle w:val="Textonotapie"/>
        <w:spacing w:before="40" w:after="40"/>
        <w:rPr>
          <w:sz w:val="16"/>
          <w:szCs w:val="16"/>
        </w:rPr>
      </w:pPr>
      <w:hyperlink r:id="rId3" w:history="1">
        <w:r w:rsidR="001B0BA5" w:rsidRPr="00065F63">
          <w:rPr>
            <w:rStyle w:val="Hipervnculo"/>
            <w:sz w:val="16"/>
            <w:szCs w:val="16"/>
          </w:rPr>
          <w:t>www.corteidh.or.cr/docs/asuntos/olivera_fuentes_30_06_22.pdf</w:t>
        </w:r>
      </w:hyperlink>
      <w:r w:rsidR="001B0BA5" w:rsidRPr="00065F63">
        <w:rPr>
          <w:sz w:val="16"/>
          <w:szCs w:val="16"/>
        </w:rPr>
        <w:t xml:space="preserve"> </w:t>
      </w:r>
    </w:p>
  </w:footnote>
  <w:footnote w:id="37">
    <w:p w14:paraId="2146679A" w14:textId="2CA769A9" w:rsidR="00F417CE" w:rsidRPr="00065F63" w:rsidRDefault="00F417CE" w:rsidP="00DF7FF5">
      <w:pPr>
        <w:spacing w:before="40" w:after="40" w:line="240" w:lineRule="auto"/>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lang w:val="es-ES"/>
        </w:rPr>
        <w:t>Cfr</w:t>
      </w:r>
      <w:r w:rsidRPr="00065F63">
        <w:rPr>
          <w:sz w:val="16"/>
          <w:szCs w:val="16"/>
          <w:lang w:val="es-ES"/>
        </w:rPr>
        <w:t xml:space="preserve">. Para efectos de la presente </w:t>
      </w:r>
      <w:r w:rsidR="005B282F" w:rsidRPr="00065F63">
        <w:rPr>
          <w:sz w:val="16"/>
          <w:szCs w:val="16"/>
          <w:lang w:val="es-ES"/>
        </w:rPr>
        <w:t>S</w:t>
      </w:r>
      <w:r w:rsidRPr="00065F63">
        <w:rPr>
          <w:sz w:val="16"/>
          <w:szCs w:val="16"/>
          <w:lang w:val="es-ES"/>
        </w:rPr>
        <w:t xml:space="preserve">entencia la Corte utilizará el acrónimo “LGBTIQ+” el cual se refiere a personas lesbianas, gays, bisexuales, transgénero, intersexuales y </w:t>
      </w:r>
      <w:r w:rsidRPr="00065F63">
        <w:rPr>
          <w:i/>
          <w:iCs/>
          <w:sz w:val="16"/>
          <w:szCs w:val="16"/>
          <w:lang w:val="es-ES"/>
        </w:rPr>
        <w:t>queer</w:t>
      </w:r>
      <w:r w:rsidRPr="00065F63">
        <w:rPr>
          <w:sz w:val="16"/>
          <w:szCs w:val="16"/>
          <w:lang w:val="es-ES"/>
        </w:rPr>
        <w:t xml:space="preserve">. El signo “más” representa a las personas con una orientación sexual, una identidad de género, una expresión de género y características sexuales diversas que se identifican a sí mismas utilizando otros términos. </w:t>
      </w:r>
      <w:r w:rsidRPr="00065F63">
        <w:rPr>
          <w:i/>
          <w:iCs/>
          <w:sz w:val="16"/>
          <w:szCs w:val="16"/>
          <w:lang w:val="es-ES"/>
        </w:rPr>
        <w:t>Cfr</w:t>
      </w:r>
      <w:r w:rsidRPr="00065F63">
        <w:rPr>
          <w:sz w:val="16"/>
          <w:szCs w:val="16"/>
          <w:lang w:val="es-ES"/>
        </w:rPr>
        <w:t xml:space="preserve">. </w:t>
      </w:r>
      <w:r w:rsidR="00FF6770" w:rsidRPr="00065F63">
        <w:rPr>
          <w:sz w:val="16"/>
          <w:szCs w:val="16"/>
          <w:lang w:val="es-ES"/>
        </w:rPr>
        <w:t xml:space="preserve">Organización Internacional del Trabajo (OIT), </w:t>
      </w:r>
      <w:r w:rsidRPr="00065F63">
        <w:rPr>
          <w:sz w:val="16"/>
          <w:szCs w:val="16"/>
          <w:lang w:val="es-ES"/>
        </w:rPr>
        <w:t>Informe “Inclusión de las personas lesbianas, gays, bisexuales, transgénero, intersexuales y queer (LGBTIQ+) en el mundo del trabajo: una guía de aprendizaje”</w:t>
      </w:r>
      <w:r w:rsidR="005B282F" w:rsidRPr="00065F63">
        <w:rPr>
          <w:sz w:val="16"/>
          <w:szCs w:val="16"/>
          <w:lang w:val="es-ES"/>
        </w:rPr>
        <w:t xml:space="preserve">, pág. 4, disponible aquí: </w:t>
      </w:r>
      <w:hyperlink r:id="rId4" w:history="1">
        <w:r w:rsidR="005B282F" w:rsidRPr="00065F63">
          <w:rPr>
            <w:rStyle w:val="Hipervnculo"/>
            <w:sz w:val="16"/>
            <w:szCs w:val="16"/>
            <w:lang w:val="es-ES"/>
          </w:rPr>
          <w:t>https://www.ilo.org/global/publications/books/WCMS_852977/lang--es/index.htm</w:t>
        </w:r>
      </w:hyperlink>
      <w:r w:rsidR="00FF6770" w:rsidRPr="00065F63">
        <w:rPr>
          <w:sz w:val="16"/>
          <w:szCs w:val="16"/>
          <w:lang w:val="es-ES"/>
        </w:rPr>
        <w:t>.</w:t>
      </w:r>
      <w:r w:rsidR="005B282F" w:rsidRPr="00065F63">
        <w:rPr>
          <w:sz w:val="16"/>
          <w:szCs w:val="16"/>
          <w:lang w:val="es-ES"/>
        </w:rPr>
        <w:t xml:space="preserve"> Ver también, Alto Comisionado de las Naciones Unidas para los Refugiados, “LGBTIQ+ refugees, 11. Terminology”, disponible aquí: </w:t>
      </w:r>
      <w:hyperlink r:id="rId5" w:history="1">
        <w:r w:rsidR="005B282F" w:rsidRPr="00065F63">
          <w:rPr>
            <w:rStyle w:val="Hipervnculo"/>
            <w:sz w:val="16"/>
            <w:szCs w:val="16"/>
            <w:lang w:val="es-ES"/>
          </w:rPr>
          <w:t>https://www.unhcr.org/handbooks/ih/age-gender-diversity/lgbtiq-refugees</w:t>
        </w:r>
      </w:hyperlink>
      <w:r w:rsidR="005B282F" w:rsidRPr="00065F63">
        <w:rPr>
          <w:sz w:val="16"/>
          <w:szCs w:val="16"/>
          <w:lang w:val="es-ES"/>
        </w:rPr>
        <w:t xml:space="preserve"> </w:t>
      </w:r>
    </w:p>
  </w:footnote>
  <w:footnote w:id="38">
    <w:p w14:paraId="1AFE13A0" w14:textId="3C419C4F" w:rsidR="00EB556E" w:rsidRPr="00065F63" w:rsidRDefault="00EB556E"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sz w:val="16"/>
          <w:szCs w:val="16"/>
        </w:rPr>
        <w:t>Cfr</w:t>
      </w:r>
      <w:r w:rsidRPr="00065F63">
        <w:rPr>
          <w:rFonts w:cs="Calibri"/>
          <w:sz w:val="16"/>
          <w:szCs w:val="16"/>
        </w:rPr>
        <w:t>.</w:t>
      </w:r>
      <w:r w:rsidR="00774B5A">
        <w:rPr>
          <w:rFonts w:cs="Calibri"/>
          <w:sz w:val="16"/>
          <w:szCs w:val="16"/>
        </w:rPr>
        <w:t xml:space="preserve"> </w:t>
      </w:r>
      <w:r w:rsidRPr="00065F63">
        <w:rPr>
          <w:rFonts w:cs="Calibri"/>
          <w:sz w:val="16"/>
          <w:szCs w:val="16"/>
        </w:rPr>
        <w:t>Denuncia formulada por Crissthian Manuel Olivera Fuentes</w:t>
      </w:r>
      <w:r w:rsidRPr="00065F63">
        <w:rPr>
          <w:rFonts w:cs="Calibri"/>
          <w:sz w:val="16"/>
          <w:szCs w:val="16"/>
        </w:rPr>
        <w:br/>
        <w:t xml:space="preserve"> ante el Instituto Nacional de Defensa del Consumidor y la Propiedad Intelectual (Indecopi), de 1 de octubre de 2004 (</w:t>
      </w:r>
      <w:r w:rsidR="00774B5A">
        <w:rPr>
          <w:rFonts w:cs="Calibri"/>
          <w:sz w:val="16"/>
          <w:szCs w:val="16"/>
        </w:rPr>
        <w:t>e</w:t>
      </w:r>
      <w:r w:rsidRPr="00065F63">
        <w:rPr>
          <w:rFonts w:cs="Calibri"/>
          <w:sz w:val="16"/>
          <w:szCs w:val="16"/>
        </w:rPr>
        <w:t>xpediente de prueba, folio 4)</w:t>
      </w:r>
      <w:r w:rsidR="00ED0BA9" w:rsidRPr="00065F63">
        <w:rPr>
          <w:rFonts w:cs="Calibri"/>
          <w:sz w:val="16"/>
          <w:szCs w:val="16"/>
        </w:rPr>
        <w:t xml:space="preserve">, y </w:t>
      </w:r>
      <w:r w:rsidR="00ED0BA9" w:rsidRPr="00065F63">
        <w:rPr>
          <w:rFonts w:cs="Calibri"/>
          <w:color w:val="000000"/>
          <w:sz w:val="16"/>
          <w:szCs w:val="16"/>
        </w:rPr>
        <w:t>Declaración de Crissthian Manuel Olivera Fuentes rendida en la audiencia pública celebrada el 24 de agosto de 2022 en el marco del 150 Período Ordinario de Sesiones.</w:t>
      </w:r>
    </w:p>
  </w:footnote>
  <w:footnote w:id="39">
    <w:p w14:paraId="7599FC68" w14:textId="0F2AA7E6" w:rsidR="00EB556E" w:rsidRPr="00065F63" w:rsidRDefault="00EB556E"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sz w:val="16"/>
          <w:szCs w:val="16"/>
        </w:rPr>
        <w:t>Cfr</w:t>
      </w:r>
      <w:r w:rsidRPr="00065F63">
        <w:rPr>
          <w:rFonts w:cs="Calibri"/>
          <w:sz w:val="16"/>
          <w:szCs w:val="16"/>
        </w:rPr>
        <w:t>. Escrito de Contestación de Supermercados Peruanos S.A., de 19 de octubre de 2004 (expediente de prueba, folio 14).</w:t>
      </w:r>
      <w:r w:rsidR="00D07BE7" w:rsidRPr="00065F63">
        <w:rPr>
          <w:rFonts w:cs="Calibri"/>
          <w:sz w:val="16"/>
          <w:szCs w:val="16"/>
        </w:rPr>
        <w:t xml:space="preserve"> Ver también,</w:t>
      </w:r>
      <w:r w:rsidR="00D07BE7" w:rsidRPr="00065F63">
        <w:rPr>
          <w:rFonts w:cs="Calibri"/>
          <w:color w:val="000000"/>
          <w:sz w:val="16"/>
          <w:szCs w:val="16"/>
        </w:rPr>
        <w:t xml:space="preserve"> Declaración de G.M.P, encargada de permanencia del Supermercado Santa Isabel - San Miguel, de 14 de octubre de 2004 (</w:t>
      </w:r>
      <w:r w:rsidR="00774B5A">
        <w:rPr>
          <w:rFonts w:cs="Calibri"/>
          <w:color w:val="000000"/>
          <w:sz w:val="16"/>
          <w:szCs w:val="16"/>
        </w:rPr>
        <w:t>e</w:t>
      </w:r>
      <w:r w:rsidR="00D07BE7" w:rsidRPr="00065F63">
        <w:rPr>
          <w:rFonts w:cs="Calibri"/>
          <w:color w:val="000000"/>
          <w:sz w:val="16"/>
          <w:szCs w:val="16"/>
        </w:rPr>
        <w:t>xpediente de prueba, folio 21).</w:t>
      </w:r>
    </w:p>
  </w:footnote>
  <w:footnote w:id="40">
    <w:p w14:paraId="1364A6B6" w14:textId="78F6529D" w:rsidR="00A504FE" w:rsidRPr="00065F63" w:rsidRDefault="00A504FE"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Declaración de G.M.P, encargada de permanencia del Supermercado Santa Isabel - San Miguel, de 14 de octubre de 2004 (</w:t>
      </w:r>
      <w:r w:rsidR="00774B5A">
        <w:rPr>
          <w:rFonts w:cs="Calibri"/>
          <w:color w:val="000000"/>
          <w:sz w:val="16"/>
          <w:szCs w:val="16"/>
        </w:rPr>
        <w:t>e</w:t>
      </w:r>
      <w:r w:rsidRPr="00065F63">
        <w:rPr>
          <w:rFonts w:cs="Calibri"/>
          <w:color w:val="000000"/>
          <w:sz w:val="16"/>
          <w:szCs w:val="16"/>
        </w:rPr>
        <w:t>xpediente de prueba, folio 21).</w:t>
      </w:r>
    </w:p>
  </w:footnote>
  <w:footnote w:id="41">
    <w:p w14:paraId="7E42C7E0" w14:textId="6161906E" w:rsidR="00ED0BA9" w:rsidRPr="00065F63" w:rsidRDefault="00ED0BA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Declaración de G.M.P, encargada de permanencia del Supermercado Santa Isabel - San Miguel, de 14 de octubre de 2004 (</w:t>
      </w:r>
      <w:r w:rsidR="00774B5A">
        <w:rPr>
          <w:sz w:val="16"/>
          <w:szCs w:val="16"/>
        </w:rPr>
        <w:t>e</w:t>
      </w:r>
      <w:r w:rsidRPr="00065F63">
        <w:rPr>
          <w:sz w:val="16"/>
          <w:szCs w:val="16"/>
        </w:rPr>
        <w:t>xpediente de prueba, folio 21).</w:t>
      </w:r>
    </w:p>
  </w:footnote>
  <w:footnote w:id="42">
    <w:p w14:paraId="1B47905F" w14:textId="329FB744" w:rsidR="001618BE" w:rsidRPr="00065F63" w:rsidRDefault="001618B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ED0BA9" w:rsidRPr="00065F63">
        <w:rPr>
          <w:rFonts w:cs="Calibri"/>
          <w:i/>
          <w:iCs/>
          <w:color w:val="000000"/>
          <w:sz w:val="16"/>
          <w:szCs w:val="16"/>
        </w:rPr>
        <w:t>Cfr</w:t>
      </w:r>
      <w:r w:rsidR="00ED0BA9" w:rsidRPr="00065F63">
        <w:rPr>
          <w:rFonts w:cs="Calibri"/>
          <w:color w:val="000000"/>
          <w:sz w:val="16"/>
          <w:szCs w:val="16"/>
        </w:rPr>
        <w:t>. Declaración de Crissthian Manuel Olivera Fuentes rendida en la audiencia pública celebrada el 24 de agosto de 2022 en el marco del 150 Período Ordinario de Sesiones.</w:t>
      </w:r>
    </w:p>
  </w:footnote>
  <w:footnote w:id="43">
    <w:p w14:paraId="1EFAD2C4" w14:textId="1127EC2B" w:rsidR="00AF5351" w:rsidRPr="00065F63" w:rsidRDefault="00AF5351"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Tribunal de Defensa de la Competencia y de la Propiedad Intelectual, Sala de Defensa de la Competencia, Resolución no.</w:t>
      </w:r>
      <w:r w:rsidR="00B06E6D" w:rsidRPr="00065F63">
        <w:rPr>
          <w:rFonts w:cs="Calibri"/>
          <w:color w:val="000000"/>
          <w:sz w:val="16"/>
          <w:szCs w:val="16"/>
        </w:rPr>
        <w:t xml:space="preserve"> </w:t>
      </w:r>
      <w:r w:rsidRPr="00065F63">
        <w:rPr>
          <w:rFonts w:cs="Calibri"/>
          <w:color w:val="000000"/>
          <w:sz w:val="16"/>
          <w:szCs w:val="16"/>
        </w:rPr>
        <w:t>0665-2006/TDC-INDECOPI, de 17 de mayo de 2006 (expediente de prueba, folio 49).</w:t>
      </w:r>
    </w:p>
  </w:footnote>
  <w:footnote w:id="44">
    <w:p w14:paraId="3317B522" w14:textId="148154D4" w:rsidR="007C573A" w:rsidRPr="00065F63" w:rsidRDefault="007C573A"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FB3BE1" w:rsidRPr="00065F63">
        <w:rPr>
          <w:sz w:val="16"/>
          <w:szCs w:val="16"/>
        </w:rPr>
        <w:tab/>
      </w:r>
      <w:r w:rsidR="00FB3BE1" w:rsidRPr="00065F63">
        <w:rPr>
          <w:i/>
          <w:iCs/>
          <w:sz w:val="16"/>
          <w:szCs w:val="16"/>
        </w:rPr>
        <w:t>Cfr.</w:t>
      </w:r>
      <w:r w:rsidR="00FB3BE1" w:rsidRPr="00065F63">
        <w:rPr>
          <w:sz w:val="16"/>
          <w:szCs w:val="16"/>
        </w:rPr>
        <w:t xml:space="preserve"> </w:t>
      </w:r>
      <w:r w:rsidR="00A75BE9" w:rsidRPr="00065F63">
        <w:rPr>
          <w:sz w:val="16"/>
          <w:szCs w:val="16"/>
        </w:rPr>
        <w:t>Denuncia del señor Olivera Fuentes ante Indecopi de 29 de septiembre de 2004 (</w:t>
      </w:r>
      <w:r w:rsidR="00DF63B2" w:rsidRPr="00065F63">
        <w:rPr>
          <w:sz w:val="16"/>
          <w:szCs w:val="16"/>
        </w:rPr>
        <w:t>expediente de prueba, folio 4</w:t>
      </w:r>
      <w:r w:rsidR="00A75BE9" w:rsidRPr="00065F63">
        <w:rPr>
          <w:sz w:val="16"/>
          <w:szCs w:val="16"/>
        </w:rPr>
        <w:t>).</w:t>
      </w:r>
    </w:p>
  </w:footnote>
  <w:footnote w:id="45">
    <w:p w14:paraId="69B1FE3A" w14:textId="10C57853" w:rsidR="00FD4FD6" w:rsidRPr="00065F63" w:rsidRDefault="00FD4FD6"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3A34AD" w:rsidRPr="00065F63">
        <w:rPr>
          <w:sz w:val="16"/>
          <w:szCs w:val="16"/>
        </w:rPr>
        <w:tab/>
      </w:r>
      <w:r w:rsidR="003A34AD" w:rsidRPr="00065F63">
        <w:rPr>
          <w:i/>
          <w:iCs/>
          <w:sz w:val="16"/>
          <w:szCs w:val="16"/>
          <w:lang w:val="es-ES"/>
        </w:rPr>
        <w:t>Cfr.</w:t>
      </w:r>
      <w:r w:rsidR="003A34AD" w:rsidRPr="00065F63">
        <w:rPr>
          <w:sz w:val="16"/>
          <w:szCs w:val="16"/>
        </w:rPr>
        <w:t xml:space="preserve"> </w:t>
      </w:r>
      <w:r w:rsidR="00092FC8" w:rsidRPr="00065F63">
        <w:rPr>
          <w:sz w:val="16"/>
          <w:szCs w:val="16"/>
        </w:rPr>
        <w:t>Denuncia del señor Olivera Fuentes ante Indecopi de 29 de septiembre de 2004 (expediente de prueba, folio 4);</w:t>
      </w:r>
      <w:r w:rsidR="00F75ABA" w:rsidRPr="00065F63">
        <w:rPr>
          <w:sz w:val="16"/>
          <w:szCs w:val="16"/>
        </w:rPr>
        <w:t xml:space="preserve"> </w:t>
      </w:r>
      <w:r w:rsidR="00721CE4" w:rsidRPr="00065F63">
        <w:rPr>
          <w:sz w:val="16"/>
          <w:szCs w:val="16"/>
        </w:rPr>
        <w:t>y D</w:t>
      </w:r>
      <w:r w:rsidR="00413D86" w:rsidRPr="00065F63">
        <w:rPr>
          <w:sz w:val="16"/>
          <w:szCs w:val="16"/>
        </w:rPr>
        <w:t>eclaración del señor Crissthian Manuel Olivera Fuentes rendida en la audiencia pública celebrada el día 24 de agosto de 2022 en el marco del 150 Período Ordinario de Sesiones, quien afirmó lo siguiente: “</w:t>
      </w:r>
      <w:r w:rsidR="008C43CD" w:rsidRPr="00065F63">
        <w:rPr>
          <w:sz w:val="16"/>
          <w:szCs w:val="16"/>
        </w:rPr>
        <w:t>[S]</w:t>
      </w:r>
      <w:r w:rsidR="00261A42" w:rsidRPr="00065F63">
        <w:rPr>
          <w:sz w:val="16"/>
          <w:szCs w:val="16"/>
        </w:rPr>
        <w:t>í</w:t>
      </w:r>
      <w:r w:rsidR="006F2B06" w:rsidRPr="00065F63">
        <w:rPr>
          <w:sz w:val="16"/>
          <w:szCs w:val="16"/>
        </w:rPr>
        <w:t>,</w:t>
      </w:r>
      <w:r w:rsidR="00261A42" w:rsidRPr="00065F63">
        <w:rPr>
          <w:sz w:val="16"/>
          <w:szCs w:val="16"/>
        </w:rPr>
        <w:t xml:space="preserve"> intentaron retirarnos, </w:t>
      </w:r>
      <w:r w:rsidR="006D2715" w:rsidRPr="00065F63">
        <w:rPr>
          <w:sz w:val="16"/>
          <w:szCs w:val="16"/>
        </w:rPr>
        <w:t>si no lograron retirarnos fue porque nos opusimos a e</w:t>
      </w:r>
      <w:r w:rsidR="00E96694" w:rsidRPr="00065F63">
        <w:rPr>
          <w:sz w:val="16"/>
          <w:szCs w:val="16"/>
        </w:rPr>
        <w:t xml:space="preserve">so, porque quisieron cogernos del brazo y me dijeron </w:t>
      </w:r>
      <w:r w:rsidR="00ED0BA9" w:rsidRPr="00065F63">
        <w:rPr>
          <w:sz w:val="16"/>
          <w:szCs w:val="16"/>
        </w:rPr>
        <w:t>‘</w:t>
      </w:r>
      <w:r w:rsidR="00E96694" w:rsidRPr="00065F63">
        <w:rPr>
          <w:sz w:val="16"/>
          <w:szCs w:val="16"/>
        </w:rPr>
        <w:t>acompáñanos</w:t>
      </w:r>
      <w:r w:rsidR="00ED0BA9" w:rsidRPr="00065F63">
        <w:rPr>
          <w:sz w:val="16"/>
          <w:szCs w:val="16"/>
        </w:rPr>
        <w:t>’</w:t>
      </w:r>
      <w:r w:rsidR="00413D86" w:rsidRPr="00065F63">
        <w:rPr>
          <w:sz w:val="16"/>
          <w:szCs w:val="16"/>
        </w:rPr>
        <w:t xml:space="preserve"> </w:t>
      </w:r>
      <w:r w:rsidR="00ED0BA9" w:rsidRPr="00065F63">
        <w:rPr>
          <w:sz w:val="16"/>
          <w:szCs w:val="16"/>
        </w:rPr>
        <w:t>[</w:t>
      </w:r>
      <w:r w:rsidR="00E33030" w:rsidRPr="00065F63">
        <w:rPr>
          <w:sz w:val="16"/>
          <w:szCs w:val="16"/>
        </w:rPr>
        <w:t>…</w:t>
      </w:r>
      <w:r w:rsidR="00ED0BA9" w:rsidRPr="00065F63">
        <w:rPr>
          <w:sz w:val="16"/>
          <w:szCs w:val="16"/>
        </w:rPr>
        <w:t>]</w:t>
      </w:r>
      <w:r w:rsidR="00E33030" w:rsidRPr="00065F63">
        <w:rPr>
          <w:sz w:val="16"/>
          <w:szCs w:val="16"/>
        </w:rPr>
        <w:t xml:space="preserve"> yo esquivé ese intento</w:t>
      </w:r>
      <w:r w:rsidR="00413D86" w:rsidRPr="00065F63">
        <w:rPr>
          <w:sz w:val="16"/>
          <w:szCs w:val="16"/>
        </w:rPr>
        <w:t>”</w:t>
      </w:r>
      <w:r w:rsidR="00D22197">
        <w:rPr>
          <w:sz w:val="16"/>
          <w:szCs w:val="16"/>
        </w:rPr>
        <w:t>.</w:t>
      </w:r>
    </w:p>
  </w:footnote>
  <w:footnote w:id="46">
    <w:p w14:paraId="76F60FFA" w14:textId="39CDC48A" w:rsidR="003862F1" w:rsidRPr="00065F63" w:rsidRDefault="003862F1"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180EC6" w:rsidRPr="00065F63">
        <w:rPr>
          <w:sz w:val="16"/>
          <w:szCs w:val="16"/>
        </w:rPr>
        <w:tab/>
      </w:r>
      <w:r w:rsidR="00180EC6" w:rsidRPr="00065F63">
        <w:rPr>
          <w:i/>
          <w:iCs/>
          <w:sz w:val="16"/>
          <w:szCs w:val="16"/>
        </w:rPr>
        <w:t>Cfr.</w:t>
      </w:r>
      <w:r w:rsidR="00180EC6" w:rsidRPr="00065F63">
        <w:rPr>
          <w:sz w:val="16"/>
          <w:szCs w:val="16"/>
        </w:rPr>
        <w:t xml:space="preserve"> </w:t>
      </w:r>
      <w:r w:rsidR="00633039" w:rsidRPr="00065F63">
        <w:rPr>
          <w:sz w:val="16"/>
          <w:szCs w:val="16"/>
        </w:rPr>
        <w:t xml:space="preserve">Denuncia del señor Olivera Fuentes ante Indecopi de 29 de septiembre de 2004 (expediente de prueba, folio 4); y </w:t>
      </w:r>
      <w:r w:rsidR="00180EC6" w:rsidRPr="00065F63">
        <w:rPr>
          <w:sz w:val="16"/>
          <w:szCs w:val="16"/>
        </w:rPr>
        <w:t xml:space="preserve">Declaración del señor Crissthian Manuel Olivera Fuentes rendida en la audiencia pública celebrada el día 24 de agosto de 2022 en el marco del 150 Período Ordinario de Sesiones, quien afirmó lo siguiente: </w:t>
      </w:r>
      <w:r w:rsidR="00D22197">
        <w:rPr>
          <w:sz w:val="16"/>
          <w:szCs w:val="16"/>
        </w:rPr>
        <w:t>“</w:t>
      </w:r>
      <w:r w:rsidR="006D122F" w:rsidRPr="00065F63">
        <w:rPr>
          <w:sz w:val="16"/>
          <w:szCs w:val="16"/>
        </w:rPr>
        <w:t>[L]a situación se volvió bastante bochornosa, humillante</w:t>
      </w:r>
      <w:r w:rsidR="00BB12C5" w:rsidRPr="00065F63">
        <w:rPr>
          <w:sz w:val="16"/>
          <w:szCs w:val="16"/>
        </w:rPr>
        <w:t xml:space="preserve">, porque pasar de una situación pacífica, romántica </w:t>
      </w:r>
      <w:r w:rsidR="00D22197" w:rsidRPr="00065F63">
        <w:rPr>
          <w:sz w:val="16"/>
          <w:szCs w:val="16"/>
        </w:rPr>
        <w:t>[</w:t>
      </w:r>
      <w:r w:rsidR="00BB12C5" w:rsidRPr="00065F63">
        <w:rPr>
          <w:sz w:val="16"/>
          <w:szCs w:val="16"/>
        </w:rPr>
        <w:t>…</w:t>
      </w:r>
      <w:r w:rsidR="00D22197" w:rsidRPr="00065F63">
        <w:rPr>
          <w:sz w:val="16"/>
          <w:szCs w:val="16"/>
        </w:rPr>
        <w:t>]</w:t>
      </w:r>
      <w:r w:rsidR="00BB12C5" w:rsidRPr="00065F63">
        <w:rPr>
          <w:sz w:val="16"/>
          <w:szCs w:val="16"/>
        </w:rPr>
        <w:t xml:space="preserve"> pasamos abruptamente </w:t>
      </w:r>
      <w:r w:rsidR="00DC1B6B" w:rsidRPr="00065F63">
        <w:rPr>
          <w:sz w:val="16"/>
          <w:szCs w:val="16"/>
        </w:rPr>
        <w:t>a una situación humillante. De pronto teníamos a personas de seguridad rode</w:t>
      </w:r>
      <w:r w:rsidR="00633039" w:rsidRPr="00065F63">
        <w:rPr>
          <w:sz w:val="16"/>
          <w:szCs w:val="16"/>
        </w:rPr>
        <w:t>ándonos y tratándonos como un delincuente</w:t>
      </w:r>
      <w:r w:rsidR="00D22197">
        <w:rPr>
          <w:sz w:val="16"/>
          <w:szCs w:val="16"/>
        </w:rPr>
        <w:t>”</w:t>
      </w:r>
      <w:r w:rsidR="00633039" w:rsidRPr="00065F63">
        <w:rPr>
          <w:sz w:val="16"/>
          <w:szCs w:val="16"/>
        </w:rPr>
        <w:t>.</w:t>
      </w:r>
    </w:p>
  </w:footnote>
  <w:footnote w:id="47">
    <w:p w14:paraId="5B0B9CE3" w14:textId="3D92DA36" w:rsidR="000B24AE" w:rsidRPr="00065F63" w:rsidRDefault="000B24AE"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00AF5A71" w:rsidRPr="00065F63">
        <w:rPr>
          <w:sz w:val="16"/>
          <w:szCs w:val="16"/>
        </w:rPr>
        <w:tab/>
      </w:r>
      <w:r w:rsidR="00AF5A71" w:rsidRPr="00065F63">
        <w:rPr>
          <w:i/>
          <w:iCs/>
          <w:sz w:val="16"/>
          <w:szCs w:val="16"/>
        </w:rPr>
        <w:t xml:space="preserve">Cfr. </w:t>
      </w:r>
      <w:r w:rsidR="00AF5A71" w:rsidRPr="00065F63">
        <w:rPr>
          <w:sz w:val="16"/>
          <w:szCs w:val="16"/>
        </w:rPr>
        <w:t xml:space="preserve">Denuncia del señor Olivera Fuentes ante el </w:t>
      </w:r>
      <w:r w:rsidR="00774B5A">
        <w:rPr>
          <w:sz w:val="16"/>
          <w:szCs w:val="16"/>
        </w:rPr>
        <w:t>Indecopi</w:t>
      </w:r>
      <w:r w:rsidR="00AF5A71" w:rsidRPr="00065F63">
        <w:rPr>
          <w:sz w:val="16"/>
          <w:szCs w:val="16"/>
        </w:rPr>
        <w:t xml:space="preserve"> del 29 de septiembre de 2004 (expediente de prueba, folio 4);</w:t>
      </w:r>
      <w:r w:rsidR="009B5E31" w:rsidRPr="00065F63">
        <w:rPr>
          <w:sz w:val="16"/>
          <w:szCs w:val="16"/>
        </w:rPr>
        <w:t xml:space="preserve"> </w:t>
      </w:r>
      <w:r w:rsidR="009B5E31" w:rsidRPr="00065F63">
        <w:rPr>
          <w:rFonts w:cs="Calibri"/>
          <w:color w:val="000000"/>
          <w:sz w:val="16"/>
          <w:szCs w:val="16"/>
        </w:rPr>
        <w:t>Declaración de G.M.P, encargada de permanencia del Supermercado Santa Isabel - San Miguel, de 14 de octubre de 2004 (Expediente de prueba, folio 21), e Informe No. 056-J.P.P. de C.Q.D, jefe de Prevención de Pérdidas de Supermercados Santa Isabel - San Miguel, de 12 de agosto de 2004 (expediente de prueba, folio 23).</w:t>
      </w:r>
    </w:p>
  </w:footnote>
  <w:footnote w:id="48">
    <w:p w14:paraId="72D87A95" w14:textId="1C5BE404" w:rsidR="00164A5E" w:rsidRPr="00065F63" w:rsidRDefault="00164A5E" w:rsidP="00DF7FF5">
      <w:pPr>
        <w:widowControl/>
        <w:adjustRightInd/>
        <w:spacing w:before="40" w:after="40" w:line="240" w:lineRule="auto"/>
        <w:rPr>
          <w:rFonts w:cs="Calibri"/>
          <w:sz w:val="16"/>
          <w:szCs w:val="16"/>
        </w:rPr>
      </w:pPr>
      <w:r w:rsidRPr="00065F63">
        <w:rPr>
          <w:rStyle w:val="Refdenotaalpie"/>
          <w:sz w:val="16"/>
          <w:szCs w:val="16"/>
        </w:rPr>
        <w:footnoteRef/>
      </w:r>
      <w:r w:rsidRPr="00065F63">
        <w:rPr>
          <w:sz w:val="16"/>
          <w:szCs w:val="16"/>
        </w:rPr>
        <w:t xml:space="preserve"> </w:t>
      </w:r>
      <w:r w:rsidR="009B5E31" w:rsidRPr="00065F63">
        <w:rPr>
          <w:sz w:val="16"/>
          <w:szCs w:val="16"/>
        </w:rPr>
        <w:tab/>
      </w:r>
      <w:r w:rsidR="009B5E31" w:rsidRPr="00065F63">
        <w:rPr>
          <w:rFonts w:cs="Calibri"/>
          <w:i/>
          <w:iCs/>
          <w:sz w:val="16"/>
          <w:szCs w:val="16"/>
        </w:rPr>
        <w:t>Cfr</w:t>
      </w:r>
      <w:r w:rsidR="009B5E31" w:rsidRPr="00065F63">
        <w:rPr>
          <w:rFonts w:cs="Calibri"/>
          <w:sz w:val="16"/>
          <w:szCs w:val="16"/>
        </w:rPr>
        <w:t>. Denuncia formulada por Crissthian Manuel Olivera Fuentes</w:t>
      </w:r>
      <w:r w:rsidR="00B06E6D" w:rsidRPr="00065F63">
        <w:rPr>
          <w:rFonts w:cs="Calibri"/>
          <w:sz w:val="16"/>
          <w:szCs w:val="16"/>
        </w:rPr>
        <w:t xml:space="preserve"> </w:t>
      </w:r>
      <w:r w:rsidR="009B5E31" w:rsidRPr="00065F63">
        <w:rPr>
          <w:rFonts w:cs="Calibri"/>
          <w:sz w:val="16"/>
          <w:szCs w:val="16"/>
        </w:rPr>
        <w:t>ante el Instituto Nacional de Defensa del Consumidor y la Propiedad Intelectual (Indecopi), de 1 de octubre de 2004 (Expediente de prueba, folio 5), y</w:t>
      </w:r>
      <w:r w:rsidR="009B5E31" w:rsidRPr="00065F63">
        <w:rPr>
          <w:i/>
          <w:iCs/>
          <w:sz w:val="16"/>
          <w:szCs w:val="16"/>
        </w:rPr>
        <w:t xml:space="preserve"> </w:t>
      </w:r>
      <w:r w:rsidR="009B5E31" w:rsidRPr="00065F63">
        <w:rPr>
          <w:sz w:val="16"/>
          <w:szCs w:val="16"/>
        </w:rPr>
        <w:t>Video del programa</w:t>
      </w:r>
      <w:r w:rsidR="009B5E31" w:rsidRPr="00065F63">
        <w:rPr>
          <w:i/>
          <w:iCs/>
          <w:sz w:val="16"/>
          <w:szCs w:val="16"/>
        </w:rPr>
        <w:t xml:space="preserve"> </w:t>
      </w:r>
      <w:r w:rsidR="00205562">
        <w:rPr>
          <w:i/>
          <w:iCs/>
          <w:sz w:val="16"/>
          <w:szCs w:val="16"/>
        </w:rPr>
        <w:t>“</w:t>
      </w:r>
      <w:r w:rsidR="009B5E31" w:rsidRPr="00205562">
        <w:rPr>
          <w:sz w:val="16"/>
          <w:szCs w:val="16"/>
        </w:rPr>
        <w:t>Reporte Semanal</w:t>
      </w:r>
      <w:r w:rsidR="00205562">
        <w:rPr>
          <w:i/>
          <w:iCs/>
          <w:sz w:val="16"/>
          <w:szCs w:val="16"/>
        </w:rPr>
        <w:t>”</w:t>
      </w:r>
      <w:r w:rsidR="009B5E31" w:rsidRPr="00065F63">
        <w:rPr>
          <w:i/>
          <w:iCs/>
          <w:sz w:val="16"/>
          <w:szCs w:val="16"/>
        </w:rPr>
        <w:t xml:space="preserve"> </w:t>
      </w:r>
      <w:r w:rsidR="009B5E31" w:rsidRPr="00065F63">
        <w:rPr>
          <w:sz w:val="16"/>
          <w:szCs w:val="16"/>
        </w:rPr>
        <w:t>emitido el 22 de agosto de 2004 (expediente de prueba, carpeta de material audiovisual, minutos 5:00 a 14:00)</w:t>
      </w:r>
      <w:r w:rsidR="009B5E31" w:rsidRPr="00065F63">
        <w:rPr>
          <w:i/>
          <w:iCs/>
          <w:sz w:val="16"/>
          <w:szCs w:val="16"/>
        </w:rPr>
        <w:t>.</w:t>
      </w:r>
    </w:p>
  </w:footnote>
  <w:footnote w:id="49">
    <w:p w14:paraId="524411F2" w14:textId="71106EA9" w:rsidR="00157BDB" w:rsidRPr="00065F63" w:rsidRDefault="00157BDB" w:rsidP="00DF7FF5">
      <w:pPr>
        <w:widowControl/>
        <w:adjustRightInd/>
        <w:spacing w:before="40" w:after="40" w:line="240" w:lineRule="auto"/>
        <w:rPr>
          <w:rFonts w:cs="Calibri"/>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sz w:val="16"/>
          <w:szCs w:val="16"/>
        </w:rPr>
        <w:t>Cfr</w:t>
      </w:r>
      <w:r w:rsidRPr="00065F63">
        <w:rPr>
          <w:rFonts w:cs="Calibri"/>
          <w:sz w:val="16"/>
          <w:szCs w:val="16"/>
        </w:rPr>
        <w:t>. Denuncia formulada por Crissthian Manuel Olivera Fuentes ante el Instituto Nacional de Defensa del Consumidor y la Propiedad Intelectual (Indecopi), de 1 de octubre de 2004 (Expediente de prueba, folio 5), y</w:t>
      </w:r>
      <w:r w:rsidRPr="00065F63">
        <w:rPr>
          <w:i/>
          <w:iCs/>
          <w:sz w:val="16"/>
          <w:szCs w:val="16"/>
        </w:rPr>
        <w:t xml:space="preserve"> </w:t>
      </w:r>
      <w:r w:rsidRPr="00065F63">
        <w:rPr>
          <w:sz w:val="16"/>
          <w:szCs w:val="16"/>
        </w:rPr>
        <w:t>Video del programa</w:t>
      </w:r>
      <w:r w:rsidRPr="00065F63">
        <w:rPr>
          <w:i/>
          <w:iCs/>
          <w:sz w:val="16"/>
          <w:szCs w:val="16"/>
        </w:rPr>
        <w:t xml:space="preserve"> </w:t>
      </w:r>
      <w:r w:rsidR="00205562">
        <w:rPr>
          <w:i/>
          <w:iCs/>
          <w:sz w:val="16"/>
          <w:szCs w:val="16"/>
        </w:rPr>
        <w:t>“</w:t>
      </w:r>
      <w:r w:rsidR="00205562" w:rsidRPr="00205562">
        <w:rPr>
          <w:sz w:val="16"/>
          <w:szCs w:val="16"/>
        </w:rPr>
        <w:t>Reporte Semanal</w:t>
      </w:r>
      <w:r w:rsidR="00205562">
        <w:rPr>
          <w:sz w:val="16"/>
          <w:szCs w:val="16"/>
        </w:rPr>
        <w:t>”</w:t>
      </w:r>
      <w:r w:rsidR="00205562" w:rsidRPr="00065F63">
        <w:rPr>
          <w:sz w:val="16"/>
          <w:szCs w:val="16"/>
        </w:rPr>
        <w:t xml:space="preserve"> </w:t>
      </w:r>
      <w:r w:rsidRPr="00065F63">
        <w:rPr>
          <w:sz w:val="16"/>
          <w:szCs w:val="16"/>
        </w:rPr>
        <w:t>emitido el 22 de agosto de 2004 (expediente de prueba, carpeta de material audiovisual, minutos 5:00 a 14:00)</w:t>
      </w:r>
      <w:r w:rsidRPr="00065F63">
        <w:rPr>
          <w:i/>
          <w:iCs/>
          <w:sz w:val="16"/>
          <w:szCs w:val="16"/>
        </w:rPr>
        <w:t>.</w:t>
      </w:r>
    </w:p>
  </w:footnote>
  <w:footnote w:id="50">
    <w:p w14:paraId="208E51A8" w14:textId="1C4538BA" w:rsidR="007A465B" w:rsidRPr="00065F63" w:rsidRDefault="007A465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Dicho artículo dispone que “[t]oda persona tiene derecho a la igualdad ante la ley. Nadie debe ser discriminado por motivo de origen, raza, sexo, idioma, religión, opinión, condición económica o de cualquier otra índole”.</w:t>
      </w:r>
    </w:p>
  </w:footnote>
  <w:footnote w:id="51">
    <w:p w14:paraId="0AE614DE" w14:textId="427BA703" w:rsidR="00164A5E" w:rsidRPr="00065F63" w:rsidRDefault="00164A5E" w:rsidP="00DF7FF5">
      <w:pPr>
        <w:widowControl/>
        <w:autoSpaceDE w:val="0"/>
        <w:autoSpaceDN w:val="0"/>
        <w:spacing w:before="40" w:after="40" w:line="240" w:lineRule="auto"/>
        <w:rPr>
          <w:rFonts w:eastAsiaTheme="minorHAnsi" w:cs="Garamond"/>
          <w:sz w:val="16"/>
          <w:szCs w:val="16"/>
          <w:lang w:eastAsia="en-US"/>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eastAsiaTheme="minorHAnsi" w:cs="Garamond"/>
          <w:sz w:val="16"/>
          <w:szCs w:val="16"/>
          <w:lang w:eastAsia="en-US"/>
        </w:rPr>
        <w:t>Dicho artículo disponía lo siguiente:</w:t>
      </w:r>
    </w:p>
    <w:p w14:paraId="6AEB2D8A" w14:textId="4D47CCF8" w:rsidR="00164A5E" w:rsidRPr="00065F63" w:rsidRDefault="00164A5E" w:rsidP="00DF7FF5">
      <w:pPr>
        <w:widowControl/>
        <w:autoSpaceDE w:val="0"/>
        <w:autoSpaceDN w:val="0"/>
        <w:spacing w:before="40" w:after="40" w:line="240" w:lineRule="auto"/>
        <w:ind w:left="993"/>
        <w:rPr>
          <w:sz w:val="16"/>
          <w:szCs w:val="16"/>
        </w:rPr>
      </w:pPr>
      <w:r w:rsidRPr="00065F63">
        <w:rPr>
          <w:rFonts w:eastAsiaTheme="minorHAnsi" w:cs="Garamond"/>
          <w:sz w:val="16"/>
          <w:szCs w:val="16"/>
          <w:lang w:eastAsia="en-US"/>
        </w:rPr>
        <w:t xml:space="preserve">d) Derecho a la protección de sus intereses económicos, mediante el trato equitativo y justo en toda transacción comercial; y a la protección contra métodos comerciales coercitivos o que impliquen desinformación o información equivocada sobre los productos o servicios; […] Precísese que al establecer el inciso d) del Artículo 5º del Decreto Legislativo </w:t>
      </w:r>
      <w:r w:rsidR="00A25EC8" w:rsidRPr="00065F63">
        <w:rPr>
          <w:rFonts w:eastAsiaTheme="minorHAnsi" w:cs="Garamond"/>
          <w:sz w:val="16"/>
          <w:szCs w:val="16"/>
          <w:lang w:eastAsia="en-US"/>
        </w:rPr>
        <w:t>N.º</w:t>
      </w:r>
      <w:r w:rsidRPr="00065F63">
        <w:rPr>
          <w:rFonts w:eastAsiaTheme="minorHAnsi" w:cs="Garamond"/>
          <w:sz w:val="16"/>
          <w:szCs w:val="16"/>
          <w:lang w:eastAsia="en-US"/>
        </w:rPr>
        <w:t xml:space="preserve"> 716, que </w:t>
      </w:r>
      <w:r w:rsidRPr="00065F63">
        <w:rPr>
          <w:rFonts w:eastAsiaTheme="minorHAnsi" w:cs="Garamond,Bold"/>
          <w:sz w:val="16"/>
          <w:szCs w:val="16"/>
          <w:lang w:eastAsia="en-US"/>
        </w:rPr>
        <w:t xml:space="preserve">todos los consumidores tienen el derecho a la protección de sus intereses económicos, mediante el trato equitativo y justo en toda transacción comercial, se establece que los consumidores no podrán ser discriminados por motivo de raza, sexo, nivel socioeconómico, idioma, discapacidad, preferencias políticas, creencias religiosas o de cualquier índole, en la adquisición de productos y prestación de servicios que se ofrecen en locales abiertos al público </w:t>
      </w:r>
    </w:p>
  </w:footnote>
  <w:footnote w:id="52">
    <w:p w14:paraId="678E34E1" w14:textId="77777777" w:rsidR="007A465B" w:rsidRPr="00065F63" w:rsidRDefault="007A465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 xml:space="preserve">Dicho artículo disponía lo siguiente: </w:t>
      </w:r>
    </w:p>
    <w:p w14:paraId="387FBA4B" w14:textId="1230ED9E" w:rsidR="007A465B" w:rsidRPr="00065F63" w:rsidRDefault="007A465B" w:rsidP="00DF7FF5">
      <w:pPr>
        <w:pStyle w:val="Textonotapie"/>
        <w:spacing w:before="40" w:after="40"/>
        <w:ind w:left="993"/>
        <w:rPr>
          <w:sz w:val="16"/>
          <w:szCs w:val="16"/>
        </w:rPr>
      </w:pPr>
      <w:r w:rsidRPr="00065F63">
        <w:rPr>
          <w:sz w:val="16"/>
          <w:szCs w:val="16"/>
        </w:rPr>
        <w:t>Los proveedores no podrán establecer discriminación alguna respecto a /os solicitantes de los productos y servicios que /os primeros ofrecen en locales abiertos al público.</w:t>
      </w:r>
      <w:r w:rsidR="00990F3C" w:rsidRPr="00065F63">
        <w:rPr>
          <w:sz w:val="16"/>
          <w:szCs w:val="16"/>
        </w:rPr>
        <w:t xml:space="preserve"> </w:t>
      </w:r>
      <w:r w:rsidRPr="00065F63">
        <w:rPr>
          <w:sz w:val="16"/>
          <w:szCs w:val="16"/>
        </w:rPr>
        <w:t>Está prohibido realizar selección de clientela, excluir a personas o realizar otras prácticas similares, sin que medien causas de seguridad del establecimiento o tranquilidad de sus clientes u otras razones objetivas y justificadas</w:t>
      </w:r>
      <w:r w:rsidR="00990F3C" w:rsidRPr="00065F63">
        <w:rPr>
          <w:sz w:val="16"/>
          <w:szCs w:val="16"/>
        </w:rPr>
        <w:t>.</w:t>
      </w:r>
    </w:p>
  </w:footnote>
  <w:footnote w:id="53">
    <w:p w14:paraId="2EC5325E" w14:textId="791A8273" w:rsidR="00030C03" w:rsidRPr="00065F63" w:rsidRDefault="00030C03"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007A5087" w:rsidRPr="00065F63">
        <w:rPr>
          <w:sz w:val="16"/>
          <w:szCs w:val="16"/>
        </w:rPr>
        <w:tab/>
      </w:r>
      <w:r w:rsidR="0049579D" w:rsidRPr="00065F63">
        <w:rPr>
          <w:i/>
          <w:iCs/>
          <w:sz w:val="16"/>
          <w:szCs w:val="16"/>
        </w:rPr>
        <w:t>Cfr</w:t>
      </w:r>
      <w:r w:rsidR="0049579D" w:rsidRPr="00065F63">
        <w:rPr>
          <w:sz w:val="16"/>
          <w:szCs w:val="16"/>
        </w:rPr>
        <w:t>. Denuncia formulada por Crissthian M</w:t>
      </w:r>
      <w:r w:rsidR="009E15EC" w:rsidRPr="00065F63">
        <w:rPr>
          <w:sz w:val="16"/>
          <w:szCs w:val="16"/>
        </w:rPr>
        <w:t>.</w:t>
      </w:r>
      <w:r w:rsidR="0049579D" w:rsidRPr="00065F63">
        <w:rPr>
          <w:sz w:val="16"/>
          <w:szCs w:val="16"/>
        </w:rPr>
        <w:t xml:space="preserve"> Olivera Fuentes ante el Instituto Nacional de Defensa del Consumidor y la Propiedad Intelectual (Indecopi), de 1 de octubre de 2004 (</w:t>
      </w:r>
      <w:r w:rsidR="00D01CF7" w:rsidRPr="00065F63">
        <w:rPr>
          <w:sz w:val="16"/>
          <w:szCs w:val="16"/>
        </w:rPr>
        <w:t>e</w:t>
      </w:r>
      <w:r w:rsidR="0049579D" w:rsidRPr="00065F63">
        <w:rPr>
          <w:sz w:val="16"/>
          <w:szCs w:val="16"/>
        </w:rPr>
        <w:t>xpediente de prueba, folio</w:t>
      </w:r>
      <w:r w:rsidR="00990F3C" w:rsidRPr="00065F63">
        <w:rPr>
          <w:sz w:val="16"/>
          <w:szCs w:val="16"/>
        </w:rPr>
        <w:t>s</w:t>
      </w:r>
      <w:r w:rsidR="0049579D" w:rsidRPr="00065F63">
        <w:rPr>
          <w:sz w:val="16"/>
          <w:szCs w:val="16"/>
        </w:rPr>
        <w:t xml:space="preserve"> 10</w:t>
      </w:r>
      <w:r w:rsidR="00990F3C" w:rsidRPr="00065F63">
        <w:rPr>
          <w:sz w:val="16"/>
          <w:szCs w:val="16"/>
        </w:rPr>
        <w:t xml:space="preserve"> y 11</w:t>
      </w:r>
      <w:r w:rsidR="0049579D" w:rsidRPr="00065F63">
        <w:rPr>
          <w:sz w:val="16"/>
          <w:szCs w:val="16"/>
        </w:rPr>
        <w:t>).</w:t>
      </w:r>
    </w:p>
  </w:footnote>
  <w:footnote w:id="54">
    <w:p w14:paraId="0081F8D0" w14:textId="7D79376C" w:rsidR="00BB7BE5" w:rsidRPr="00065F63" w:rsidRDefault="00BB7BE5"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Contestación de la denuncia de Supermercados Peruanos S.A. del 19 de octubre de 2004, párr. 9 (expediente de prueba, folio 16).</w:t>
      </w:r>
    </w:p>
  </w:footnote>
  <w:footnote w:id="55">
    <w:p w14:paraId="7BCCF251" w14:textId="6BB5A070" w:rsidR="00BC7680" w:rsidRPr="00065F63" w:rsidRDefault="00BC7680"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003A0F7B" w:rsidRPr="00065F63">
        <w:rPr>
          <w:sz w:val="16"/>
          <w:szCs w:val="16"/>
        </w:rPr>
        <w:tab/>
      </w:r>
      <w:r w:rsidR="003A0F7B" w:rsidRPr="00065F63">
        <w:rPr>
          <w:i/>
          <w:iCs/>
          <w:sz w:val="16"/>
          <w:szCs w:val="16"/>
        </w:rPr>
        <w:t>Cfr</w:t>
      </w:r>
      <w:r w:rsidR="003A0F7B" w:rsidRPr="00065F63">
        <w:rPr>
          <w:sz w:val="16"/>
          <w:szCs w:val="16"/>
        </w:rPr>
        <w:t xml:space="preserve">. </w:t>
      </w:r>
      <w:r w:rsidRPr="00065F63">
        <w:rPr>
          <w:sz w:val="16"/>
          <w:szCs w:val="16"/>
        </w:rPr>
        <w:t>Escrito presentado por Supermercados Peruanos S.A. el 1 de junio de 2005 ante la CPC de Indecopi, p. 7</w:t>
      </w:r>
      <w:r w:rsidR="003A0F7B" w:rsidRPr="00065F63">
        <w:rPr>
          <w:sz w:val="16"/>
          <w:szCs w:val="16"/>
        </w:rPr>
        <w:t xml:space="preserve"> (expediente de prueba, folio </w:t>
      </w:r>
      <w:r w:rsidR="00BB7BE5" w:rsidRPr="00065F63">
        <w:rPr>
          <w:sz w:val="16"/>
          <w:szCs w:val="16"/>
        </w:rPr>
        <w:t>1824</w:t>
      </w:r>
      <w:r w:rsidR="003A0F7B" w:rsidRPr="00065F63">
        <w:rPr>
          <w:sz w:val="16"/>
          <w:szCs w:val="16"/>
        </w:rPr>
        <w:t>), y E</w:t>
      </w:r>
      <w:r w:rsidRPr="00065F63">
        <w:rPr>
          <w:sz w:val="16"/>
          <w:szCs w:val="16"/>
        </w:rPr>
        <w:t>scrito presentado por Supermercados Peruanos S.A. el 2 de agosto de 2005 ante la CPC de Indecopi, p</w:t>
      </w:r>
      <w:r w:rsidR="00CC739B" w:rsidRPr="00065F63">
        <w:rPr>
          <w:sz w:val="16"/>
          <w:szCs w:val="16"/>
        </w:rPr>
        <w:t>ágs</w:t>
      </w:r>
      <w:r w:rsidRPr="00065F63">
        <w:rPr>
          <w:sz w:val="16"/>
          <w:szCs w:val="16"/>
        </w:rPr>
        <w:t xml:space="preserve">. </w:t>
      </w:r>
      <w:r w:rsidR="00CC739B" w:rsidRPr="00065F63">
        <w:rPr>
          <w:sz w:val="16"/>
          <w:szCs w:val="16"/>
        </w:rPr>
        <w:t xml:space="preserve">4 a </w:t>
      </w:r>
      <w:r w:rsidRPr="00065F63">
        <w:rPr>
          <w:sz w:val="16"/>
          <w:szCs w:val="16"/>
        </w:rPr>
        <w:t>6</w:t>
      </w:r>
      <w:r w:rsidR="003A0F7B" w:rsidRPr="00065F63">
        <w:rPr>
          <w:sz w:val="16"/>
          <w:szCs w:val="16"/>
        </w:rPr>
        <w:t xml:space="preserve"> (expediente de prueba, folio</w:t>
      </w:r>
      <w:r w:rsidR="00CC739B" w:rsidRPr="00065F63">
        <w:rPr>
          <w:sz w:val="16"/>
          <w:szCs w:val="16"/>
        </w:rPr>
        <w:t>s</w:t>
      </w:r>
      <w:r w:rsidR="003A0F7B" w:rsidRPr="00065F63">
        <w:rPr>
          <w:sz w:val="16"/>
          <w:szCs w:val="16"/>
        </w:rPr>
        <w:t xml:space="preserve"> </w:t>
      </w:r>
      <w:r w:rsidR="00CC739B" w:rsidRPr="00065F63">
        <w:rPr>
          <w:sz w:val="16"/>
          <w:szCs w:val="16"/>
        </w:rPr>
        <w:t>1837 a 1839).</w:t>
      </w:r>
    </w:p>
  </w:footnote>
  <w:footnote w:id="56">
    <w:p w14:paraId="14F17135" w14:textId="2417A3E4" w:rsidR="00FE6D1B" w:rsidRPr="00065F63" w:rsidRDefault="00FE6D1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7A5087" w:rsidRPr="00065F63">
        <w:rPr>
          <w:sz w:val="16"/>
          <w:szCs w:val="16"/>
        </w:rPr>
        <w:tab/>
      </w:r>
      <w:r w:rsidR="007A5087" w:rsidRPr="00065F63">
        <w:rPr>
          <w:i/>
          <w:iCs/>
          <w:sz w:val="16"/>
          <w:szCs w:val="16"/>
        </w:rPr>
        <w:t>Cfr</w:t>
      </w:r>
      <w:r w:rsidR="007A5087" w:rsidRPr="00065F63">
        <w:rPr>
          <w:sz w:val="16"/>
          <w:szCs w:val="16"/>
        </w:rPr>
        <w:t>.</w:t>
      </w:r>
      <w:r w:rsidR="00FA2F20" w:rsidRPr="00065F63">
        <w:rPr>
          <w:sz w:val="16"/>
          <w:szCs w:val="16"/>
        </w:rPr>
        <w:t xml:space="preserve"> </w:t>
      </w:r>
      <w:r w:rsidR="007A5087" w:rsidRPr="00065F63">
        <w:rPr>
          <w:sz w:val="16"/>
          <w:szCs w:val="16"/>
        </w:rPr>
        <w:t>Contestación de la denuncia de Supermercados Peruanos S.A. del 19 de octubre de 2004 (expediente de prueba, folio 1</w:t>
      </w:r>
      <w:r w:rsidR="00F107AD" w:rsidRPr="00065F63">
        <w:rPr>
          <w:sz w:val="16"/>
          <w:szCs w:val="16"/>
        </w:rPr>
        <w:t>6</w:t>
      </w:r>
      <w:r w:rsidR="007A5087" w:rsidRPr="00065F63">
        <w:rPr>
          <w:sz w:val="16"/>
          <w:szCs w:val="16"/>
        </w:rPr>
        <w:t>).</w:t>
      </w:r>
    </w:p>
  </w:footnote>
  <w:footnote w:id="57">
    <w:p w14:paraId="10F6A5BF" w14:textId="7B15004E" w:rsidR="00A45847" w:rsidRPr="00065F63" w:rsidRDefault="00A4584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Pr="00065F63">
        <w:rPr>
          <w:sz w:val="16"/>
          <w:szCs w:val="16"/>
        </w:rPr>
        <w:t>Cartas firmadas por clientes en respaldo a Supermercados Peruanos S.A</w:t>
      </w:r>
      <w:r w:rsidRPr="00065F63">
        <w:rPr>
          <w:i/>
          <w:iCs/>
          <w:sz w:val="16"/>
          <w:szCs w:val="16"/>
        </w:rPr>
        <w:t xml:space="preserve">., </w:t>
      </w:r>
      <w:r w:rsidRPr="00065F63">
        <w:rPr>
          <w:sz w:val="16"/>
          <w:szCs w:val="16"/>
        </w:rPr>
        <w:t>sin fecha (expediente de prueba, folios 1852 a 1856).</w:t>
      </w:r>
    </w:p>
  </w:footnote>
  <w:footnote w:id="58">
    <w:p w14:paraId="24234D3D" w14:textId="46EC23F2" w:rsidR="008E2C5D" w:rsidRPr="00065F63" w:rsidRDefault="008E2C5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Informe médico-psicológico elaborado por el doctor R.F.</w:t>
      </w:r>
      <w:r w:rsidR="00F20348" w:rsidRPr="00065F63">
        <w:rPr>
          <w:sz w:val="16"/>
          <w:szCs w:val="16"/>
        </w:rPr>
        <w:t>A.</w:t>
      </w:r>
      <w:r w:rsidRPr="00065F63">
        <w:rPr>
          <w:sz w:val="16"/>
          <w:szCs w:val="16"/>
        </w:rPr>
        <w:t xml:space="preserve"> ante la Comisión de Protección al Consumidor de Indecopi, sin fecha (expediente de prueba, folio 1864 y 1865).</w:t>
      </w:r>
    </w:p>
  </w:footnote>
  <w:footnote w:id="59">
    <w:p w14:paraId="010A99AA" w14:textId="234C97F6" w:rsidR="00EF31FF" w:rsidRPr="00065F63" w:rsidRDefault="00EF31FF"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Informe médico-psicológico elaborado por el doctor R.F.</w:t>
      </w:r>
      <w:r w:rsidR="00F20348" w:rsidRPr="00065F63">
        <w:rPr>
          <w:sz w:val="16"/>
          <w:szCs w:val="16"/>
        </w:rPr>
        <w:t>A.</w:t>
      </w:r>
      <w:r w:rsidRPr="00065F63">
        <w:rPr>
          <w:sz w:val="16"/>
          <w:szCs w:val="16"/>
        </w:rPr>
        <w:t xml:space="preserve"> ante la Comisión de Protección al Consumidor de Indecopi, sin fecha (expediente de prueba, folio 1864 y 1865).</w:t>
      </w:r>
    </w:p>
  </w:footnote>
  <w:footnote w:id="60">
    <w:p w14:paraId="7E933C3C" w14:textId="07C2A8F6" w:rsidR="00C37ACE" w:rsidRPr="00065F63" w:rsidRDefault="00C37AC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13026A" w:rsidRPr="00065F63">
        <w:rPr>
          <w:sz w:val="16"/>
          <w:szCs w:val="16"/>
        </w:rPr>
        <w:tab/>
      </w:r>
      <w:r w:rsidR="0013026A" w:rsidRPr="00065F63">
        <w:rPr>
          <w:i/>
          <w:iCs/>
          <w:sz w:val="16"/>
          <w:szCs w:val="16"/>
        </w:rPr>
        <w:t>Cfr</w:t>
      </w:r>
      <w:r w:rsidR="0013026A" w:rsidRPr="00065F63">
        <w:rPr>
          <w:sz w:val="16"/>
          <w:szCs w:val="16"/>
        </w:rPr>
        <w:t>.</w:t>
      </w:r>
      <w:r w:rsidR="001A0DFE" w:rsidRPr="00065F63">
        <w:rPr>
          <w:sz w:val="16"/>
          <w:szCs w:val="16"/>
        </w:rPr>
        <w:t xml:space="preserve"> </w:t>
      </w:r>
      <w:r w:rsidR="00E91E84" w:rsidRPr="00065F63">
        <w:rPr>
          <w:sz w:val="16"/>
          <w:szCs w:val="16"/>
        </w:rPr>
        <w:t>Exposición</w:t>
      </w:r>
      <w:r w:rsidR="00316B48" w:rsidRPr="00065F63">
        <w:rPr>
          <w:sz w:val="16"/>
          <w:szCs w:val="16"/>
        </w:rPr>
        <w:t xml:space="preserve"> del psiquiatra</w:t>
      </w:r>
      <w:r w:rsidR="00E91E84" w:rsidRPr="00065F63">
        <w:rPr>
          <w:sz w:val="16"/>
          <w:szCs w:val="16"/>
        </w:rPr>
        <w:t xml:space="preserve"> R.F. </w:t>
      </w:r>
      <w:r w:rsidR="00C01676" w:rsidRPr="00065F63">
        <w:rPr>
          <w:sz w:val="16"/>
          <w:szCs w:val="16"/>
        </w:rPr>
        <w:t>ante la Comisión de Protección al Consumidor de Indecopi</w:t>
      </w:r>
      <w:r w:rsidR="00940F9F" w:rsidRPr="00065F63">
        <w:rPr>
          <w:sz w:val="16"/>
          <w:szCs w:val="16"/>
        </w:rPr>
        <w:t>, sin fecha (e</w:t>
      </w:r>
      <w:r w:rsidR="00C832BD" w:rsidRPr="00065F63">
        <w:rPr>
          <w:sz w:val="16"/>
          <w:szCs w:val="16"/>
        </w:rPr>
        <w:t>xpediente de prueba, folio</w:t>
      </w:r>
      <w:r w:rsidR="009D26AE" w:rsidRPr="00065F63">
        <w:rPr>
          <w:sz w:val="16"/>
          <w:szCs w:val="16"/>
        </w:rPr>
        <w:t xml:space="preserve"> 1869</w:t>
      </w:r>
      <w:r w:rsidR="00940F9F" w:rsidRPr="00065F63">
        <w:rPr>
          <w:sz w:val="16"/>
          <w:szCs w:val="16"/>
        </w:rPr>
        <w:t>)</w:t>
      </w:r>
      <w:r w:rsidR="00C832BD" w:rsidRPr="00065F63">
        <w:rPr>
          <w:sz w:val="16"/>
          <w:szCs w:val="16"/>
        </w:rPr>
        <w:t>.</w:t>
      </w:r>
    </w:p>
  </w:footnote>
  <w:footnote w:id="61">
    <w:p w14:paraId="19D20887" w14:textId="5BC3BB57" w:rsidR="00F20348" w:rsidRPr="00065F63" w:rsidRDefault="00F2034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Escrito de Supermercados Peruanos, </w:t>
      </w:r>
      <w:r w:rsidR="008821E6" w:rsidRPr="00065F63">
        <w:rPr>
          <w:sz w:val="16"/>
          <w:szCs w:val="16"/>
        </w:rPr>
        <w:t>S.A.</w:t>
      </w:r>
      <w:r w:rsidRPr="00065F63">
        <w:rPr>
          <w:sz w:val="16"/>
          <w:szCs w:val="16"/>
        </w:rPr>
        <w:t>, de 12 de diciembre de 2004, presentado el 3 de enero de 2005 ante la CPC (expediente de prueba, folios 1808 y siguientes).</w:t>
      </w:r>
    </w:p>
  </w:footnote>
  <w:footnote w:id="62">
    <w:p w14:paraId="293744BF" w14:textId="0A6410E8" w:rsidR="00F20348" w:rsidRPr="00065F63" w:rsidRDefault="00F2034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Escrito de Supermercados Peruanos, </w:t>
      </w:r>
      <w:r w:rsidR="008821E6" w:rsidRPr="00065F63">
        <w:rPr>
          <w:sz w:val="16"/>
          <w:szCs w:val="16"/>
        </w:rPr>
        <w:t>S.A.</w:t>
      </w:r>
      <w:r w:rsidRPr="00065F63">
        <w:rPr>
          <w:sz w:val="16"/>
          <w:szCs w:val="16"/>
        </w:rPr>
        <w:t>, de 12 de diciembre de 2004, presentado el 31 de mayo de 2005 ante la CPC (expediente de prueba, folios 1818 y siguientes).</w:t>
      </w:r>
    </w:p>
  </w:footnote>
  <w:footnote w:id="63">
    <w:p w14:paraId="1792E50C" w14:textId="73FE91AE" w:rsidR="00F20348" w:rsidRPr="00065F63" w:rsidRDefault="00F2034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Escrito de Supermercados Peruanos, </w:t>
      </w:r>
      <w:r w:rsidR="008821E6" w:rsidRPr="00065F63">
        <w:rPr>
          <w:sz w:val="16"/>
          <w:szCs w:val="16"/>
        </w:rPr>
        <w:t>S.A.</w:t>
      </w:r>
      <w:r w:rsidRPr="00065F63">
        <w:rPr>
          <w:sz w:val="16"/>
          <w:szCs w:val="16"/>
        </w:rPr>
        <w:t>, de 12 de diciembre de 2004, presentado el 31 de mayo de 2005 ante la CPC (expediente de prueba, folio 1825).</w:t>
      </w:r>
    </w:p>
  </w:footnote>
  <w:footnote w:id="64">
    <w:p w14:paraId="3634D56F" w14:textId="2C8A103E" w:rsidR="00026CF0" w:rsidRPr="00065F63" w:rsidRDefault="00026CF0"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7332BE" w:rsidRPr="00065F63">
        <w:rPr>
          <w:sz w:val="16"/>
          <w:szCs w:val="16"/>
        </w:rPr>
        <w:tab/>
      </w:r>
      <w:r w:rsidR="003B63C2" w:rsidRPr="00065F63">
        <w:rPr>
          <w:i/>
          <w:iCs/>
          <w:sz w:val="16"/>
          <w:szCs w:val="16"/>
        </w:rPr>
        <w:t>Cfr</w:t>
      </w:r>
      <w:r w:rsidR="003B63C2"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003B63C2" w:rsidRPr="00065F63">
        <w:rPr>
          <w:sz w:val="16"/>
          <w:szCs w:val="16"/>
        </w:rPr>
        <w:t xml:space="preserve"> 1039-2005/CPC</w:t>
      </w:r>
      <w:r w:rsidR="00D33777" w:rsidRPr="00065F63">
        <w:rPr>
          <w:sz w:val="16"/>
          <w:szCs w:val="16"/>
        </w:rPr>
        <w:t>,</w:t>
      </w:r>
      <w:r w:rsidR="003B63C2" w:rsidRPr="00065F63">
        <w:rPr>
          <w:sz w:val="16"/>
          <w:szCs w:val="16"/>
        </w:rPr>
        <w:t xml:space="preserve"> de 31 de agosto de 2005, (expediente de prueba, folio 18</w:t>
      </w:r>
      <w:r w:rsidR="00D33777" w:rsidRPr="00065F63">
        <w:rPr>
          <w:sz w:val="16"/>
          <w:szCs w:val="16"/>
        </w:rPr>
        <w:t>95</w:t>
      </w:r>
      <w:r w:rsidR="003B63C2" w:rsidRPr="00065F63">
        <w:rPr>
          <w:sz w:val="16"/>
          <w:szCs w:val="16"/>
        </w:rPr>
        <w:t>).</w:t>
      </w:r>
    </w:p>
  </w:footnote>
  <w:footnote w:id="65">
    <w:p w14:paraId="3AA55CC3" w14:textId="6970D8BF" w:rsidR="00D72063" w:rsidRPr="00065F63" w:rsidRDefault="00D72063"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w:t>
      </w:r>
      <w:r w:rsidR="00774B5A">
        <w:rPr>
          <w:sz w:val="16"/>
          <w:szCs w:val="16"/>
        </w:rPr>
        <w:t>1896</w:t>
      </w:r>
      <w:r w:rsidRPr="00065F63">
        <w:rPr>
          <w:sz w:val="16"/>
          <w:szCs w:val="16"/>
        </w:rPr>
        <w:t>).</w:t>
      </w:r>
    </w:p>
  </w:footnote>
  <w:footnote w:id="66">
    <w:p w14:paraId="3D90E333" w14:textId="3D4DB63F" w:rsidR="003B63C2" w:rsidRPr="00065F63" w:rsidRDefault="003B63C2"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18</w:t>
      </w:r>
      <w:r w:rsidR="00774B5A">
        <w:rPr>
          <w:sz w:val="16"/>
          <w:szCs w:val="16"/>
        </w:rPr>
        <w:t>78</w:t>
      </w:r>
      <w:r w:rsidRPr="00065F63">
        <w:rPr>
          <w:sz w:val="16"/>
          <w:szCs w:val="16"/>
        </w:rPr>
        <w:t>).</w:t>
      </w:r>
    </w:p>
  </w:footnote>
  <w:footnote w:id="67">
    <w:p w14:paraId="366ADDDA" w14:textId="5982487F" w:rsidR="00D33777" w:rsidRPr="00065F63" w:rsidRDefault="00D33777"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1878).</w:t>
      </w:r>
    </w:p>
  </w:footnote>
  <w:footnote w:id="68">
    <w:p w14:paraId="500D5CF6" w14:textId="55C41712" w:rsidR="00C735CD" w:rsidRPr="00065F63" w:rsidRDefault="00C735C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1884).</w:t>
      </w:r>
    </w:p>
  </w:footnote>
  <w:footnote w:id="69">
    <w:p w14:paraId="73369407" w14:textId="49F76684" w:rsidR="00C735CD" w:rsidRPr="00065F63" w:rsidRDefault="00C735C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1887).</w:t>
      </w:r>
    </w:p>
  </w:footnote>
  <w:footnote w:id="70">
    <w:p w14:paraId="646A826E" w14:textId="61E55829" w:rsidR="00531B51" w:rsidRPr="00065F63" w:rsidRDefault="00531B51"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w:t>
      </w:r>
      <w:r w:rsidR="00774B5A">
        <w:rPr>
          <w:sz w:val="16"/>
          <w:szCs w:val="16"/>
        </w:rPr>
        <w:t xml:space="preserve"> </w:t>
      </w:r>
      <w:r w:rsidRPr="00065F63">
        <w:rPr>
          <w:sz w:val="16"/>
          <w:szCs w:val="16"/>
        </w:rPr>
        <w:t>1904).</w:t>
      </w:r>
    </w:p>
  </w:footnote>
  <w:footnote w:id="71">
    <w:p w14:paraId="7740972D" w14:textId="1E2C2617" w:rsidR="00D72063" w:rsidRPr="00065F63" w:rsidRDefault="00D72063"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Comisión de Protección al Consumidor (CPC) del Instituto Nacional de Defensa de la Competencia de la Propiedad Intelectual (Indecopi), Resolución final </w:t>
      </w:r>
      <w:r w:rsidR="00A25EC8" w:rsidRPr="00065F63">
        <w:rPr>
          <w:sz w:val="16"/>
          <w:szCs w:val="16"/>
        </w:rPr>
        <w:t>N.º</w:t>
      </w:r>
      <w:r w:rsidRPr="00065F63">
        <w:rPr>
          <w:sz w:val="16"/>
          <w:szCs w:val="16"/>
        </w:rPr>
        <w:t xml:space="preserve"> 1039-2005/CPC de 31 de agosto de 2005, (expediente de prueba, folio 1903).</w:t>
      </w:r>
    </w:p>
  </w:footnote>
  <w:footnote w:id="72">
    <w:p w14:paraId="65379D77" w14:textId="18F10928" w:rsidR="00ED6699" w:rsidRPr="00065F63" w:rsidRDefault="00ED6699" w:rsidP="00DF7FF5">
      <w:pPr>
        <w:widowControl/>
        <w:adjustRightInd/>
        <w:spacing w:before="40" w:after="40" w:line="240" w:lineRule="auto"/>
        <w:rPr>
          <w:rFonts w:cs="Calibri"/>
          <w:i/>
          <w:iCs/>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Tribunal de Defensa de la Competencia y de la Propiedad Intelectual, Sala de Defensa de la Competencia, Resolución no.</w:t>
      </w:r>
      <w:r w:rsidR="00B06E6D" w:rsidRPr="00065F63">
        <w:rPr>
          <w:rFonts w:cs="Calibri"/>
          <w:color w:val="000000"/>
          <w:sz w:val="16"/>
          <w:szCs w:val="16"/>
        </w:rPr>
        <w:t xml:space="preserve"> </w:t>
      </w:r>
      <w:r w:rsidRPr="00065F63">
        <w:rPr>
          <w:rFonts w:cs="Calibri"/>
          <w:color w:val="000000"/>
          <w:sz w:val="16"/>
          <w:szCs w:val="16"/>
        </w:rPr>
        <w:t>0665-2006/TDC-INDECOPI, de 17 de mayo de 2006 (expediente de prueba, folio 39).</w:t>
      </w:r>
    </w:p>
  </w:footnote>
  <w:footnote w:id="73">
    <w:p w14:paraId="56A44859" w14:textId="248D7B0E" w:rsidR="00B1314B" w:rsidRPr="00065F63" w:rsidRDefault="00B1314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xml:space="preserve">. Tribunal de Defensa de la Competencia y de la Propiedad Intelectual, Sala de Defensa de la Competencia, Resolución </w:t>
      </w:r>
      <w:r w:rsidR="00774B5A" w:rsidRPr="00065F63">
        <w:rPr>
          <w:sz w:val="16"/>
          <w:szCs w:val="16"/>
        </w:rPr>
        <w:t>N.º</w:t>
      </w:r>
      <w:r w:rsidR="00774B5A">
        <w:rPr>
          <w:sz w:val="16"/>
          <w:szCs w:val="16"/>
        </w:rPr>
        <w:t xml:space="preserve"> </w:t>
      </w:r>
      <w:r w:rsidRPr="00065F63">
        <w:rPr>
          <w:rFonts w:cs="Calibri"/>
          <w:color w:val="000000"/>
          <w:sz w:val="16"/>
          <w:szCs w:val="16"/>
        </w:rPr>
        <w:t>0665-2006/TDC-INDECOPI, de 17 de mayo de 2006 (expediente de prueba, folio 48).</w:t>
      </w:r>
    </w:p>
  </w:footnote>
  <w:footnote w:id="74">
    <w:p w14:paraId="7F2CE216" w14:textId="0F3EA303" w:rsidR="00B1314B" w:rsidRPr="00065F63" w:rsidRDefault="00B1314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xml:space="preserve">. Tribunal de Defensa de la Competencia y de la Propiedad Intelectual, Sala de Defensa de la Competencia, Resolución </w:t>
      </w:r>
      <w:r w:rsidR="00774B5A">
        <w:rPr>
          <w:rFonts w:cs="Calibri"/>
          <w:color w:val="000000"/>
          <w:sz w:val="16"/>
          <w:szCs w:val="16"/>
        </w:rPr>
        <w:t xml:space="preserve">N.º </w:t>
      </w:r>
      <w:r w:rsidRPr="00065F63">
        <w:rPr>
          <w:rFonts w:cs="Calibri"/>
          <w:color w:val="000000"/>
          <w:sz w:val="16"/>
          <w:szCs w:val="16"/>
        </w:rPr>
        <w:t>0665-2006/TDC-INDECOPI, de 17 de mayo de 2006 (expediente de prueba, folio 48).</w:t>
      </w:r>
    </w:p>
  </w:footnote>
  <w:footnote w:id="75">
    <w:p w14:paraId="14AADA73" w14:textId="3665B199" w:rsidR="00AF5351" w:rsidRPr="00065F63" w:rsidRDefault="00AF5351"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xml:space="preserve">. Tribunal de Defensa de la Competencia y de la Propiedad Intelectual, Sala de Defensa de la Competencia, Resolución </w:t>
      </w:r>
      <w:r w:rsidR="00774B5A">
        <w:rPr>
          <w:rFonts w:cs="Calibri"/>
          <w:color w:val="000000"/>
          <w:sz w:val="16"/>
          <w:szCs w:val="16"/>
        </w:rPr>
        <w:t xml:space="preserve">N.º </w:t>
      </w:r>
      <w:r w:rsidRPr="00065F63">
        <w:rPr>
          <w:rFonts w:cs="Calibri"/>
          <w:color w:val="000000"/>
          <w:sz w:val="16"/>
          <w:szCs w:val="16"/>
        </w:rPr>
        <w:t>0665-2006/TDC-INDECOPI, de 17 de mayo de 2006 (expediente de prueba, folio 49).</w:t>
      </w:r>
    </w:p>
  </w:footnote>
  <w:footnote w:id="76">
    <w:p w14:paraId="17C9457C" w14:textId="4C71CCDB" w:rsidR="007751AB" w:rsidRPr="00065F63" w:rsidRDefault="007751A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F40AEA" w:rsidRPr="00065F63">
        <w:rPr>
          <w:sz w:val="16"/>
          <w:szCs w:val="16"/>
        </w:rPr>
        <w:tab/>
      </w:r>
      <w:r w:rsidR="00313820" w:rsidRPr="00065F63">
        <w:rPr>
          <w:i/>
          <w:iCs/>
          <w:sz w:val="16"/>
          <w:szCs w:val="16"/>
        </w:rPr>
        <w:t>Cfr.</w:t>
      </w:r>
      <w:r w:rsidR="00313820" w:rsidRPr="00065F63">
        <w:rPr>
          <w:sz w:val="16"/>
          <w:szCs w:val="16"/>
        </w:rPr>
        <w:t xml:space="preserve"> Tribunal de Defensa de la Competencia y de la Propiedad Intelectual, Sala de Defensa de la Competencia. Resolución final </w:t>
      </w:r>
      <w:r w:rsidR="00A25EC8" w:rsidRPr="00065F63">
        <w:rPr>
          <w:sz w:val="16"/>
          <w:szCs w:val="16"/>
        </w:rPr>
        <w:t>N.º</w:t>
      </w:r>
      <w:r w:rsidR="00313820" w:rsidRPr="00065F63">
        <w:rPr>
          <w:sz w:val="16"/>
          <w:szCs w:val="16"/>
        </w:rPr>
        <w:t xml:space="preserve"> 0665-2006/TDC-INDECOPI de 17 de mayo de 2006, (expediente de prueba, folio 314).</w:t>
      </w:r>
    </w:p>
  </w:footnote>
  <w:footnote w:id="77">
    <w:p w14:paraId="36E332C0" w14:textId="76537C95" w:rsidR="00260F22" w:rsidRPr="00065F63" w:rsidRDefault="00260F22"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D0149F" w:rsidRPr="00065F63">
        <w:rPr>
          <w:sz w:val="16"/>
          <w:szCs w:val="16"/>
        </w:rPr>
        <w:tab/>
      </w:r>
      <w:r w:rsidR="00313820" w:rsidRPr="00065F63">
        <w:rPr>
          <w:i/>
          <w:iCs/>
          <w:sz w:val="16"/>
          <w:szCs w:val="16"/>
        </w:rPr>
        <w:t>Cfr.</w:t>
      </w:r>
      <w:r w:rsidR="00313820" w:rsidRPr="00065F63">
        <w:rPr>
          <w:sz w:val="16"/>
          <w:szCs w:val="16"/>
        </w:rPr>
        <w:t xml:space="preserve"> Tribunal de Defensa de la Competencia y de la Propiedad Intelectual, Sala de Defensa de la Competencia. Resolución final </w:t>
      </w:r>
      <w:r w:rsidR="00A25EC8" w:rsidRPr="00065F63">
        <w:rPr>
          <w:sz w:val="16"/>
          <w:szCs w:val="16"/>
        </w:rPr>
        <w:t>N.º</w:t>
      </w:r>
      <w:r w:rsidR="00313820" w:rsidRPr="00065F63">
        <w:rPr>
          <w:sz w:val="16"/>
          <w:szCs w:val="16"/>
        </w:rPr>
        <w:t xml:space="preserve"> 0665-2006/TDC-INDECOPI de 17 de mayo de 2006, (expediente de prueba, folio 309).</w:t>
      </w:r>
    </w:p>
  </w:footnote>
  <w:footnote w:id="78">
    <w:p w14:paraId="667713AD" w14:textId="1E734D2F" w:rsidR="0080429D" w:rsidRPr="00065F63" w:rsidRDefault="0080429D"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Corte Superior de Justicia de Lima, Sala Segunda Especializada en lo Contencioso Administrativo, Resolución </w:t>
      </w:r>
      <w:r w:rsidR="00774B5A">
        <w:rPr>
          <w:sz w:val="16"/>
          <w:szCs w:val="16"/>
        </w:rPr>
        <w:t xml:space="preserve">N.º </w:t>
      </w:r>
      <w:r w:rsidRPr="00065F63">
        <w:rPr>
          <w:sz w:val="16"/>
          <w:szCs w:val="16"/>
        </w:rPr>
        <w:t>14, de 10 de junio del 2008 (expediente de prueba, folios 66 y siguientes).</w:t>
      </w:r>
    </w:p>
  </w:footnote>
  <w:footnote w:id="79">
    <w:p w14:paraId="346E2FCB" w14:textId="5FDEB479" w:rsidR="0080429D" w:rsidRPr="00065F63" w:rsidRDefault="0080429D"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Corte Superior de Justicia de Lima, Sala Segunda Especializada en lo Contencioso Administrativo, Resolución </w:t>
      </w:r>
      <w:r w:rsidR="00774B5A">
        <w:rPr>
          <w:sz w:val="16"/>
          <w:szCs w:val="16"/>
        </w:rPr>
        <w:t xml:space="preserve">N.º </w:t>
      </w:r>
      <w:r w:rsidRPr="00065F63">
        <w:rPr>
          <w:sz w:val="16"/>
          <w:szCs w:val="16"/>
        </w:rPr>
        <w:t>14, de 10 de junio del 2008 (expediente de prueba, folio 69).</w:t>
      </w:r>
    </w:p>
  </w:footnote>
  <w:footnote w:id="80">
    <w:p w14:paraId="5E95B9B5" w14:textId="0D1D1363" w:rsidR="00B64588" w:rsidRPr="00065F63" w:rsidRDefault="00B64588" w:rsidP="00DF7FF5">
      <w:pPr>
        <w:widowControl/>
        <w:autoSpaceDE w:val="0"/>
        <w:autoSpaceDN w:val="0"/>
        <w:spacing w:before="40" w:after="40" w:line="240" w:lineRule="auto"/>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D25DA3" w:rsidRPr="00065F63">
        <w:rPr>
          <w:i/>
          <w:iCs/>
          <w:sz w:val="16"/>
          <w:szCs w:val="16"/>
          <w:lang w:val="es-ES"/>
        </w:rPr>
        <w:t>Cfr</w:t>
      </w:r>
      <w:r w:rsidR="00D25DA3" w:rsidRPr="00065F63">
        <w:rPr>
          <w:sz w:val="16"/>
          <w:szCs w:val="16"/>
          <w:lang w:val="es-ES"/>
        </w:rPr>
        <w:t>.</w:t>
      </w:r>
      <w:r w:rsidR="00D25DA3" w:rsidRPr="00065F63">
        <w:rPr>
          <w:sz w:val="16"/>
          <w:szCs w:val="16"/>
        </w:rPr>
        <w:t xml:space="preserve"> Corte Superior de Justicia de Lima, Sala Segunda Especializada en lo Contencioso Administrativo, Resolución </w:t>
      </w:r>
      <w:r w:rsidR="00774B5A">
        <w:rPr>
          <w:sz w:val="16"/>
          <w:szCs w:val="16"/>
        </w:rPr>
        <w:t xml:space="preserve">N.º </w:t>
      </w:r>
      <w:r w:rsidR="00D25DA3" w:rsidRPr="00065F63">
        <w:rPr>
          <w:sz w:val="16"/>
          <w:szCs w:val="16"/>
        </w:rPr>
        <w:t>14, de 10 de junio del 2008 (expediente de prueba, folio 70).</w:t>
      </w:r>
    </w:p>
  </w:footnote>
  <w:footnote w:id="81">
    <w:p w14:paraId="4252F420" w14:textId="799778FF" w:rsidR="005368F1" w:rsidRPr="00065F63" w:rsidRDefault="005368F1"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F75AEC" w:rsidRPr="00065F63">
        <w:rPr>
          <w:sz w:val="16"/>
          <w:szCs w:val="16"/>
        </w:rPr>
        <w:tab/>
      </w:r>
      <w:r w:rsidR="005947CB" w:rsidRPr="00065F63">
        <w:rPr>
          <w:i/>
          <w:iCs/>
          <w:sz w:val="16"/>
          <w:szCs w:val="16"/>
          <w:lang w:val="es-ES"/>
        </w:rPr>
        <w:t>Cfr</w:t>
      </w:r>
      <w:r w:rsidR="005947CB" w:rsidRPr="00065F63">
        <w:rPr>
          <w:sz w:val="16"/>
          <w:szCs w:val="16"/>
          <w:lang w:val="es-ES"/>
        </w:rPr>
        <w:t>.</w:t>
      </w:r>
      <w:r w:rsidR="00D25DA3" w:rsidRPr="00065F63">
        <w:rPr>
          <w:sz w:val="16"/>
          <w:szCs w:val="16"/>
        </w:rPr>
        <w:t xml:space="preserve"> Corte Superior de Justicia de Lima, Sala Segunda Especializada en lo Contencioso Administrativo, Resolución </w:t>
      </w:r>
      <w:r w:rsidR="00774B5A">
        <w:rPr>
          <w:sz w:val="16"/>
          <w:szCs w:val="16"/>
        </w:rPr>
        <w:t xml:space="preserve">N.º </w:t>
      </w:r>
      <w:r w:rsidR="00D25DA3" w:rsidRPr="00065F63">
        <w:rPr>
          <w:sz w:val="16"/>
          <w:szCs w:val="16"/>
        </w:rPr>
        <w:t>14, de 10 de junio del 2008 (expediente de prueba, folios 68 y 69).</w:t>
      </w:r>
      <w:r w:rsidR="005947CB" w:rsidRPr="00065F63">
        <w:rPr>
          <w:sz w:val="16"/>
          <w:szCs w:val="16"/>
          <w:lang w:val="es-ES"/>
        </w:rPr>
        <w:t xml:space="preserve"> </w:t>
      </w:r>
    </w:p>
  </w:footnote>
  <w:footnote w:id="82">
    <w:p w14:paraId="752F5D2B" w14:textId="03667A85" w:rsidR="00142FEF" w:rsidRPr="00065F63" w:rsidRDefault="00142FEF"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Corte Suprema de Justicia de la República, Sala Civil Permanente, Resolución </w:t>
      </w:r>
      <w:r w:rsidR="00A25EC8" w:rsidRPr="00065F63">
        <w:rPr>
          <w:sz w:val="16"/>
          <w:szCs w:val="16"/>
        </w:rPr>
        <w:t>N.º</w:t>
      </w:r>
      <w:r w:rsidRPr="00065F63">
        <w:rPr>
          <w:sz w:val="16"/>
          <w:szCs w:val="16"/>
        </w:rPr>
        <w:t xml:space="preserve"> 2145-2009, de 14 de junio de </w:t>
      </w:r>
      <w:r w:rsidR="00274654" w:rsidRPr="00065F63">
        <w:rPr>
          <w:sz w:val="16"/>
          <w:szCs w:val="16"/>
        </w:rPr>
        <w:t>2010</w:t>
      </w:r>
      <w:r w:rsidRPr="00065F63">
        <w:rPr>
          <w:sz w:val="16"/>
          <w:szCs w:val="16"/>
        </w:rPr>
        <w:t>, (expediente de prueba, folio 74).</w:t>
      </w:r>
    </w:p>
  </w:footnote>
  <w:footnote w:id="83">
    <w:p w14:paraId="43F7474D" w14:textId="31261AE7" w:rsidR="0027362B" w:rsidRPr="00065F63" w:rsidRDefault="0027362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004B37C3" w:rsidRPr="00065F63">
        <w:rPr>
          <w:sz w:val="16"/>
          <w:szCs w:val="16"/>
        </w:rPr>
        <w:tab/>
      </w:r>
      <w:r w:rsidR="00142FEF" w:rsidRPr="00065F63">
        <w:rPr>
          <w:i/>
          <w:iCs/>
          <w:sz w:val="16"/>
          <w:szCs w:val="16"/>
        </w:rPr>
        <w:t>Cfr</w:t>
      </w:r>
      <w:r w:rsidR="00142FEF" w:rsidRPr="00065F63">
        <w:rPr>
          <w:sz w:val="16"/>
          <w:szCs w:val="16"/>
        </w:rPr>
        <w:t xml:space="preserve">. Corte Suprema de Justicia de la República, Sala Civil Permanente, Resolución </w:t>
      </w:r>
      <w:r w:rsidR="00A25EC8" w:rsidRPr="00065F63">
        <w:rPr>
          <w:sz w:val="16"/>
          <w:szCs w:val="16"/>
        </w:rPr>
        <w:t>N.º</w:t>
      </w:r>
      <w:r w:rsidR="00142FEF" w:rsidRPr="00065F63">
        <w:rPr>
          <w:sz w:val="16"/>
          <w:szCs w:val="16"/>
        </w:rPr>
        <w:t xml:space="preserve"> 2145-2009, de 14 de junio de </w:t>
      </w:r>
      <w:r w:rsidR="00274654" w:rsidRPr="00065F63">
        <w:rPr>
          <w:sz w:val="16"/>
          <w:szCs w:val="16"/>
        </w:rPr>
        <w:t>2010</w:t>
      </w:r>
      <w:r w:rsidR="00142FEF" w:rsidRPr="00065F63">
        <w:rPr>
          <w:sz w:val="16"/>
          <w:szCs w:val="16"/>
        </w:rPr>
        <w:t>, (expediente de prueba, folios 75 y 76).</w:t>
      </w:r>
    </w:p>
  </w:footnote>
  <w:footnote w:id="84">
    <w:p w14:paraId="6F48D65F" w14:textId="63DCCF0D" w:rsidR="00B535F3" w:rsidRPr="00065F63" w:rsidRDefault="00B535F3"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E93288" w:rsidRPr="00065F63">
        <w:rPr>
          <w:i/>
          <w:iCs/>
          <w:sz w:val="16"/>
          <w:szCs w:val="16"/>
        </w:rPr>
        <w:t xml:space="preserve">Cfr. </w:t>
      </w:r>
      <w:r w:rsidR="00E93288" w:rsidRPr="00065F63">
        <w:rPr>
          <w:sz w:val="16"/>
          <w:szCs w:val="16"/>
        </w:rPr>
        <w:t>Corte Suprema de Justicia de la República, Sala de Derecho Constitucional y Social Permanente, Auto calificatorio del recurso CAS. 457-2011, de 11 de abril de 2011 (expediente de prueba, folio 78).</w:t>
      </w:r>
    </w:p>
  </w:footnote>
  <w:footnote w:id="85">
    <w:p w14:paraId="5AFCF32A" w14:textId="271B3478" w:rsidR="003D27A8" w:rsidRPr="00065F63" w:rsidRDefault="003D27A8"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ab/>
      </w:r>
      <w:r w:rsidR="009A5DBC" w:rsidRPr="00065F63">
        <w:rPr>
          <w:i/>
          <w:iCs/>
          <w:sz w:val="16"/>
          <w:szCs w:val="16"/>
        </w:rPr>
        <w:t xml:space="preserve">Cfr. </w:t>
      </w:r>
      <w:r w:rsidR="009A5DBC" w:rsidRPr="00065F63">
        <w:rPr>
          <w:sz w:val="16"/>
          <w:szCs w:val="16"/>
        </w:rPr>
        <w:t>Corte Suprema de Justicia de la República, Sala de Derecho Constitucional y Social Permanente, Auto calificatorio del recurso CAS. 457-2011, de 11 de abril de 2011 (expediente de prueba, folio 79)</w:t>
      </w:r>
      <w:r w:rsidR="008851C6" w:rsidRPr="00065F63">
        <w:rPr>
          <w:sz w:val="16"/>
          <w:szCs w:val="16"/>
        </w:rPr>
        <w:t>.</w:t>
      </w:r>
    </w:p>
  </w:footnote>
  <w:footnote w:id="86">
    <w:p w14:paraId="2772EFFA" w14:textId="0DBBA5AF" w:rsidR="0012430C" w:rsidRPr="00065F63" w:rsidRDefault="0012430C"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t xml:space="preserve">Artículos </w:t>
      </w:r>
      <w:r w:rsidR="00854BEC" w:rsidRPr="00065F63">
        <w:rPr>
          <w:sz w:val="16"/>
          <w:szCs w:val="16"/>
        </w:rPr>
        <w:t xml:space="preserve">7, 11, 13, </w:t>
      </w:r>
      <w:r w:rsidRPr="00065F63">
        <w:rPr>
          <w:sz w:val="16"/>
          <w:szCs w:val="16"/>
        </w:rPr>
        <w:t xml:space="preserve">24, 8.1 y 25 de la Convención Americana sobre Derechos Humanos. </w:t>
      </w:r>
    </w:p>
  </w:footnote>
  <w:footnote w:id="87">
    <w:p w14:paraId="3D560F58" w14:textId="6AC8ED0A" w:rsidR="00D43896" w:rsidRPr="00065F63" w:rsidRDefault="00D43896"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sz w:val="16"/>
          <w:szCs w:val="16"/>
          <w:lang w:val="es-ES"/>
        </w:rPr>
        <w:t xml:space="preserve">A este respecto, el Tribunal recuerda que, cuando la Convención hace referencia en su artículo 8.1 </w:t>
      </w:r>
      <w:r w:rsidRPr="00065F63">
        <w:rPr>
          <w:sz w:val="16"/>
          <w:szCs w:val="16"/>
        </w:rPr>
        <w:t>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w:t>
      </w:r>
      <w:r w:rsidR="00FF0AE7" w:rsidRPr="00065F63">
        <w:rPr>
          <w:sz w:val="16"/>
          <w:szCs w:val="16"/>
        </w:rPr>
        <w:t xml:space="preserve">. </w:t>
      </w:r>
      <w:r w:rsidRPr="00065F63">
        <w:rPr>
          <w:i/>
          <w:iCs/>
          <w:sz w:val="16"/>
          <w:szCs w:val="16"/>
        </w:rPr>
        <w:t>Cfr. Caso del Tribunal Constitucional Vs. Perú. Fondo, Reparaciones y Costas</w:t>
      </w:r>
      <w:r w:rsidRPr="00065F63">
        <w:rPr>
          <w:sz w:val="16"/>
          <w:szCs w:val="16"/>
        </w:rPr>
        <w:t>. Sentencia de 31 de enero de 2001. Serie C No. 71, párr. 71</w:t>
      </w:r>
      <w:r w:rsidR="00221A43">
        <w:rPr>
          <w:sz w:val="16"/>
          <w:szCs w:val="16"/>
        </w:rPr>
        <w:t>,</w:t>
      </w:r>
      <w:r w:rsidR="00221A43" w:rsidRPr="00221A43">
        <w:rPr>
          <w:sz w:val="16"/>
          <w:szCs w:val="16"/>
        </w:rPr>
        <w:t xml:space="preserve"> </w:t>
      </w:r>
      <w:r w:rsidR="00221A43" w:rsidRPr="00065F63">
        <w:rPr>
          <w:sz w:val="16"/>
          <w:szCs w:val="16"/>
        </w:rPr>
        <w:t xml:space="preserve">y </w:t>
      </w:r>
      <w:r w:rsidR="00221A43" w:rsidRPr="00B100C9">
        <w:rPr>
          <w:i/>
          <w:iCs/>
          <w:sz w:val="16"/>
          <w:szCs w:val="16"/>
        </w:rPr>
        <w:t>Caso</w:t>
      </w:r>
      <w:r w:rsidR="00221A43">
        <w:rPr>
          <w:sz w:val="16"/>
          <w:szCs w:val="16"/>
        </w:rPr>
        <w:t xml:space="preserve"> </w:t>
      </w:r>
      <w:r w:rsidR="00221A43">
        <w:rPr>
          <w:i/>
          <w:iCs/>
          <w:sz w:val="16"/>
          <w:szCs w:val="16"/>
        </w:rPr>
        <w:t xml:space="preserve">Colindres Shonenberg Vs. El Salvador. Fondo, Reparaciones y Costas. </w:t>
      </w:r>
      <w:r w:rsidR="00221A43" w:rsidRPr="00B100C9">
        <w:rPr>
          <w:sz w:val="16"/>
          <w:szCs w:val="16"/>
        </w:rPr>
        <w:t>Sentencia</w:t>
      </w:r>
      <w:r w:rsidR="00221A43">
        <w:rPr>
          <w:i/>
          <w:iCs/>
          <w:sz w:val="16"/>
          <w:szCs w:val="16"/>
        </w:rPr>
        <w:t xml:space="preserve"> </w:t>
      </w:r>
      <w:r w:rsidR="00221A43">
        <w:rPr>
          <w:sz w:val="16"/>
          <w:szCs w:val="16"/>
        </w:rPr>
        <w:t>de 4 de febrero de 2019. Serie C No. 373, párr. 64.</w:t>
      </w:r>
    </w:p>
  </w:footnote>
  <w:footnote w:id="88">
    <w:p w14:paraId="058AA958" w14:textId="0AC58B5A" w:rsidR="0080120E" w:rsidRPr="00065F63" w:rsidRDefault="0080120E" w:rsidP="00DF7FF5">
      <w:pPr>
        <w:pStyle w:val="Textonotapie"/>
        <w:spacing w:before="40" w:after="40"/>
        <w:rPr>
          <w:sz w:val="16"/>
          <w:szCs w:val="16"/>
          <w:lang w:val="es-CO"/>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sz w:val="16"/>
          <w:szCs w:val="16"/>
        </w:rPr>
        <w:t xml:space="preserve"> </w:t>
      </w:r>
      <w:r w:rsidRPr="00065F63">
        <w:rPr>
          <w:i/>
          <w:sz w:val="16"/>
          <w:szCs w:val="16"/>
        </w:rPr>
        <w:t>Propuesta de Modificación a la Constitución Política de Costa Rica relacionada con la Naturalización</w:t>
      </w:r>
      <w:r w:rsidRPr="00065F63">
        <w:rPr>
          <w:sz w:val="16"/>
          <w:szCs w:val="16"/>
        </w:rPr>
        <w:t>. Opinión Consultiva OC-4/84 del 19 de enero de 1984. Serie A No. 4, párr. 55</w:t>
      </w:r>
      <w:r w:rsidR="00F0678F" w:rsidRPr="00065F63">
        <w:rPr>
          <w:sz w:val="16"/>
          <w:szCs w:val="16"/>
        </w:rPr>
        <w:t xml:space="preserve">, y </w:t>
      </w:r>
      <w:r w:rsidR="00F0678F">
        <w:rPr>
          <w:i/>
          <w:iCs/>
          <w:sz w:val="16"/>
          <w:szCs w:val="16"/>
        </w:rPr>
        <w:t xml:space="preserve">Caso Guevara Díaz Vs. Costa Rica. Fondo, Reparaciones y Costas. </w:t>
      </w:r>
      <w:r w:rsidR="00F0678F">
        <w:rPr>
          <w:sz w:val="16"/>
          <w:szCs w:val="16"/>
        </w:rPr>
        <w:t>Sentencia de 22 de junio de 2022. Serie C No. 453, párr. 46.</w:t>
      </w:r>
    </w:p>
  </w:footnote>
  <w:footnote w:id="89">
    <w:p w14:paraId="0E96AD91" w14:textId="7BB8C306" w:rsidR="007548CC" w:rsidRPr="00065F63" w:rsidRDefault="007548C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 xml:space="preserve">Cfr. </w:t>
      </w:r>
      <w:r w:rsidR="003A0F7B" w:rsidRPr="00065F63">
        <w:rPr>
          <w:i/>
          <w:sz w:val="16"/>
          <w:szCs w:val="16"/>
        </w:rPr>
        <w:t xml:space="preserve">Condición jurídica y derechos de los migrantes indocumentados. </w:t>
      </w:r>
      <w:r w:rsidR="003A0F7B" w:rsidRPr="00065F63">
        <w:rPr>
          <w:iCs/>
          <w:sz w:val="16"/>
          <w:szCs w:val="16"/>
        </w:rPr>
        <w:t>Opinión Consultiva OC-18/03 de 17 de septiembre de 2003. Serie A No. 18</w:t>
      </w:r>
      <w:r w:rsidRPr="00065F63">
        <w:rPr>
          <w:iCs/>
          <w:sz w:val="16"/>
          <w:szCs w:val="16"/>
        </w:rPr>
        <w:t>,</w:t>
      </w:r>
      <w:r w:rsidRPr="00065F63">
        <w:rPr>
          <w:sz w:val="16"/>
          <w:szCs w:val="16"/>
        </w:rPr>
        <w:t xml:space="preserve"> párr. 85</w:t>
      </w:r>
      <w:r w:rsidR="00F0678F" w:rsidRPr="00065F63">
        <w:rPr>
          <w:sz w:val="16"/>
          <w:szCs w:val="16"/>
        </w:rPr>
        <w:t>,</w:t>
      </w:r>
      <w:r w:rsidR="00F0678F" w:rsidRPr="00065F63">
        <w:rPr>
          <w:spacing w:val="-1"/>
          <w:sz w:val="16"/>
          <w:szCs w:val="16"/>
        </w:rPr>
        <w:t xml:space="preserve"> </w:t>
      </w:r>
      <w:r w:rsidR="00F0678F" w:rsidRPr="00065F63">
        <w:rPr>
          <w:sz w:val="16"/>
          <w:szCs w:val="16"/>
        </w:rPr>
        <w:t>y</w:t>
      </w:r>
      <w:r w:rsidR="00F0678F" w:rsidRPr="00065F63">
        <w:rPr>
          <w:i/>
          <w:iCs/>
          <w:sz w:val="16"/>
          <w:szCs w:val="16"/>
        </w:rPr>
        <w:t xml:space="preserve"> </w:t>
      </w:r>
      <w:r w:rsidR="00F0678F">
        <w:rPr>
          <w:i/>
          <w:iCs/>
          <w:sz w:val="16"/>
          <w:szCs w:val="16"/>
        </w:rPr>
        <w:t xml:space="preserve">Caso Guevara Díaz Vs. Costa Rica, supra, </w:t>
      </w:r>
      <w:r w:rsidR="00F0678F">
        <w:rPr>
          <w:sz w:val="16"/>
          <w:szCs w:val="16"/>
        </w:rPr>
        <w:t>párr. 47.</w:t>
      </w:r>
    </w:p>
  </w:footnote>
  <w:footnote w:id="90">
    <w:p w14:paraId="0F4D0D14" w14:textId="2997AE6F" w:rsidR="0080120E" w:rsidRPr="00065F63" w:rsidRDefault="0080120E"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 xml:space="preserve">Cfr. </w:t>
      </w:r>
      <w:r w:rsidRPr="00065F63">
        <w:rPr>
          <w:sz w:val="16"/>
          <w:szCs w:val="16"/>
        </w:rPr>
        <w:t>Opinión Consultiva OC-18/0</w:t>
      </w:r>
      <w:r w:rsidR="003A0F7B" w:rsidRPr="00065F63">
        <w:rPr>
          <w:sz w:val="16"/>
          <w:szCs w:val="16"/>
        </w:rPr>
        <w:t xml:space="preserve">3, </w:t>
      </w:r>
      <w:r w:rsidR="003A0F7B" w:rsidRPr="00065F63">
        <w:rPr>
          <w:i/>
          <w:iCs/>
          <w:sz w:val="16"/>
          <w:szCs w:val="16"/>
        </w:rPr>
        <w:t>supra</w:t>
      </w:r>
      <w:r w:rsidR="003A0F7B" w:rsidRPr="00065F63">
        <w:rPr>
          <w:sz w:val="16"/>
          <w:szCs w:val="16"/>
        </w:rPr>
        <w:t xml:space="preserve">, </w:t>
      </w:r>
      <w:r w:rsidRPr="00065F63">
        <w:rPr>
          <w:sz w:val="16"/>
          <w:szCs w:val="16"/>
        </w:rPr>
        <w:t>párr. 101</w:t>
      </w:r>
      <w:r w:rsidR="00F0678F" w:rsidRPr="00065F63">
        <w:rPr>
          <w:sz w:val="16"/>
          <w:szCs w:val="16"/>
        </w:rPr>
        <w:t xml:space="preserve">, y </w:t>
      </w:r>
      <w:r w:rsidR="00F0678F" w:rsidRPr="00065F63">
        <w:rPr>
          <w:i/>
          <w:iCs/>
          <w:sz w:val="16"/>
          <w:szCs w:val="16"/>
        </w:rPr>
        <w:t xml:space="preserve">Caso </w:t>
      </w:r>
      <w:r w:rsidR="00F0678F">
        <w:rPr>
          <w:i/>
          <w:iCs/>
          <w:sz w:val="16"/>
          <w:szCs w:val="16"/>
        </w:rPr>
        <w:t xml:space="preserve">Guevara Díaz Vs. Costa Rica, supra, </w:t>
      </w:r>
      <w:r w:rsidR="00F0678F">
        <w:rPr>
          <w:sz w:val="16"/>
          <w:szCs w:val="16"/>
        </w:rPr>
        <w:t>párr. 46.</w:t>
      </w:r>
    </w:p>
  </w:footnote>
  <w:footnote w:id="91">
    <w:p w14:paraId="49A4E305" w14:textId="77777777" w:rsidR="00F417CE" w:rsidRPr="00065F63" w:rsidRDefault="00F417C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F0678F">
        <w:rPr>
          <w:i/>
          <w:iCs/>
          <w:sz w:val="16"/>
          <w:szCs w:val="16"/>
        </w:rPr>
        <w:t>Cfr</w:t>
      </w:r>
      <w:r w:rsidRPr="00065F63">
        <w:rPr>
          <w:sz w:val="16"/>
          <w:szCs w:val="16"/>
        </w:rPr>
        <w:t xml:space="preserve">. </w:t>
      </w:r>
      <w:r w:rsidRPr="00F0678F">
        <w:rPr>
          <w:i/>
          <w:iCs/>
          <w:sz w:val="16"/>
          <w:szCs w:val="16"/>
        </w:rPr>
        <w:t>Caso de los Empleados de la Fábrica de Fuegos de Santo Antônio de Jesus y sus familiares Vs. Brasil. Interpretación de la Sentencia de Excepciones preliminares, Fondo, Reparaciones y Costas</w:t>
      </w:r>
      <w:r w:rsidRPr="00065F63">
        <w:rPr>
          <w:sz w:val="16"/>
          <w:szCs w:val="16"/>
        </w:rPr>
        <w:t xml:space="preserve">. Sentencia de 21 de junio de 2021. Serie C No. 427, párr. 199, y </w:t>
      </w:r>
      <w:r w:rsidRPr="00F0678F">
        <w:rPr>
          <w:i/>
          <w:iCs/>
          <w:sz w:val="16"/>
          <w:szCs w:val="16"/>
        </w:rPr>
        <w:t>Caso de los Buzos Miskitos (Lemoth Morris y otros) Vs. Honduras</w:t>
      </w:r>
      <w:r w:rsidRPr="00065F63">
        <w:rPr>
          <w:sz w:val="16"/>
          <w:szCs w:val="16"/>
        </w:rPr>
        <w:t xml:space="preserve">. Sentencia de 31 de agosto de 2021. Serie C No. 432, párr. 108. Ver también, Opinión Consultiva OC-27/21, </w:t>
      </w:r>
      <w:r w:rsidRPr="00F0678F">
        <w:rPr>
          <w:i/>
          <w:iCs/>
          <w:sz w:val="16"/>
          <w:szCs w:val="16"/>
        </w:rPr>
        <w:t>supra</w:t>
      </w:r>
      <w:r w:rsidRPr="00065F63">
        <w:rPr>
          <w:sz w:val="16"/>
          <w:szCs w:val="16"/>
        </w:rPr>
        <w:t>, párr. 157.</w:t>
      </w:r>
    </w:p>
  </w:footnote>
  <w:footnote w:id="92">
    <w:p w14:paraId="044A24A2" w14:textId="127CC304" w:rsidR="00723B37" w:rsidRPr="00065F63" w:rsidRDefault="00723B37"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 xml:space="preserve">Cfr. </w:t>
      </w:r>
      <w:r w:rsidRPr="00065F63">
        <w:rPr>
          <w:iCs/>
          <w:sz w:val="16"/>
          <w:szCs w:val="16"/>
        </w:rPr>
        <w:t>Opinión Consultiva OC-4/84</w:t>
      </w:r>
      <w:r w:rsidRPr="00065F63">
        <w:rPr>
          <w:sz w:val="16"/>
          <w:szCs w:val="16"/>
        </w:rPr>
        <w:t xml:space="preserve">, </w:t>
      </w:r>
      <w:r w:rsidRPr="00065F63">
        <w:rPr>
          <w:i/>
          <w:sz w:val="16"/>
          <w:szCs w:val="16"/>
        </w:rPr>
        <w:t>supra</w:t>
      </w:r>
      <w:r w:rsidRPr="00065F63">
        <w:rPr>
          <w:sz w:val="16"/>
          <w:szCs w:val="16"/>
        </w:rPr>
        <w:t>, párrs. 53 y 54</w:t>
      </w:r>
      <w:r w:rsidR="00F0678F" w:rsidRPr="00065F63">
        <w:rPr>
          <w:sz w:val="16"/>
          <w:szCs w:val="16"/>
        </w:rPr>
        <w:t xml:space="preserve">, </w:t>
      </w:r>
      <w:r w:rsidR="00F0678F" w:rsidRPr="00EA3CBB">
        <w:rPr>
          <w:sz w:val="16"/>
          <w:szCs w:val="16"/>
        </w:rPr>
        <w:t xml:space="preserve">y </w:t>
      </w:r>
      <w:r w:rsidR="00F0678F">
        <w:rPr>
          <w:i/>
          <w:iCs/>
          <w:sz w:val="16"/>
          <w:szCs w:val="16"/>
        </w:rPr>
        <w:t xml:space="preserve">Caso Guevara Díaz Vs. Costa Rica, supra, </w:t>
      </w:r>
      <w:r w:rsidR="00F0678F">
        <w:rPr>
          <w:sz w:val="16"/>
          <w:szCs w:val="16"/>
        </w:rPr>
        <w:t>párr. 47.</w:t>
      </w:r>
    </w:p>
  </w:footnote>
  <w:footnote w:id="93">
    <w:p w14:paraId="6E962641" w14:textId="49233172" w:rsidR="00723B37" w:rsidRPr="00065F63" w:rsidRDefault="00723B37"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4"/>
          <w:sz w:val="16"/>
          <w:szCs w:val="16"/>
        </w:rPr>
        <w:t xml:space="preserve"> </w:t>
      </w:r>
      <w:r w:rsidRPr="00065F63">
        <w:rPr>
          <w:i/>
          <w:sz w:val="16"/>
          <w:szCs w:val="16"/>
        </w:rPr>
        <w:t>Caso</w:t>
      </w:r>
      <w:r w:rsidRPr="00065F63">
        <w:rPr>
          <w:i/>
          <w:spacing w:val="-3"/>
          <w:sz w:val="16"/>
          <w:szCs w:val="16"/>
        </w:rPr>
        <w:t xml:space="preserve"> </w:t>
      </w:r>
      <w:r w:rsidRPr="00065F63">
        <w:rPr>
          <w:i/>
          <w:sz w:val="16"/>
          <w:szCs w:val="16"/>
        </w:rPr>
        <w:t>Yatama</w:t>
      </w:r>
      <w:r w:rsidRPr="00065F63">
        <w:rPr>
          <w:i/>
          <w:spacing w:val="-4"/>
          <w:sz w:val="16"/>
          <w:szCs w:val="16"/>
        </w:rPr>
        <w:t xml:space="preserve"> </w:t>
      </w:r>
      <w:r w:rsidRPr="00065F63">
        <w:rPr>
          <w:i/>
          <w:sz w:val="16"/>
          <w:szCs w:val="16"/>
        </w:rPr>
        <w:t>Vs.</w:t>
      </w:r>
      <w:r w:rsidRPr="00065F63">
        <w:rPr>
          <w:i/>
          <w:spacing w:val="-4"/>
          <w:sz w:val="16"/>
          <w:szCs w:val="16"/>
        </w:rPr>
        <w:t xml:space="preserve"> </w:t>
      </w:r>
      <w:r w:rsidRPr="00065F63">
        <w:rPr>
          <w:i/>
          <w:sz w:val="16"/>
          <w:szCs w:val="16"/>
        </w:rPr>
        <w:t>Nicaragua</w:t>
      </w:r>
      <w:r w:rsidRPr="00065F63">
        <w:rPr>
          <w:b/>
          <w:i/>
          <w:sz w:val="16"/>
          <w:szCs w:val="16"/>
        </w:rPr>
        <w:t>.</w:t>
      </w:r>
      <w:r w:rsidRPr="00065F63">
        <w:rPr>
          <w:b/>
          <w:i/>
          <w:spacing w:val="-4"/>
          <w:sz w:val="16"/>
          <w:szCs w:val="16"/>
        </w:rPr>
        <w:t xml:space="preserve"> </w:t>
      </w:r>
      <w:r w:rsidRPr="00065F63">
        <w:rPr>
          <w:i/>
          <w:sz w:val="16"/>
          <w:szCs w:val="16"/>
        </w:rPr>
        <w:t>Excepciones</w:t>
      </w:r>
      <w:r w:rsidRPr="00065F63">
        <w:rPr>
          <w:i/>
          <w:spacing w:val="-3"/>
          <w:sz w:val="16"/>
          <w:szCs w:val="16"/>
        </w:rPr>
        <w:t xml:space="preserve"> </w:t>
      </w:r>
      <w:r w:rsidRPr="00065F63">
        <w:rPr>
          <w:i/>
          <w:sz w:val="16"/>
          <w:szCs w:val="16"/>
        </w:rPr>
        <w:t>Preliminares,</w:t>
      </w:r>
      <w:r w:rsidRPr="00065F63">
        <w:rPr>
          <w:i/>
          <w:spacing w:val="-2"/>
          <w:sz w:val="16"/>
          <w:szCs w:val="16"/>
        </w:rPr>
        <w:t xml:space="preserve"> </w:t>
      </w:r>
      <w:r w:rsidRPr="00065F63">
        <w:rPr>
          <w:i/>
          <w:sz w:val="16"/>
          <w:szCs w:val="16"/>
        </w:rPr>
        <w:t>Fondo,</w:t>
      </w:r>
      <w:r w:rsidRPr="00065F63">
        <w:rPr>
          <w:i/>
          <w:spacing w:val="-4"/>
          <w:sz w:val="16"/>
          <w:szCs w:val="16"/>
        </w:rPr>
        <w:t xml:space="preserve"> </w:t>
      </w:r>
      <w:r w:rsidRPr="00065F63">
        <w:rPr>
          <w:i/>
          <w:sz w:val="16"/>
          <w:szCs w:val="16"/>
        </w:rPr>
        <w:t>Reparaciones</w:t>
      </w:r>
      <w:r w:rsidRPr="00065F63">
        <w:rPr>
          <w:i/>
          <w:spacing w:val="-3"/>
          <w:sz w:val="16"/>
          <w:szCs w:val="16"/>
        </w:rPr>
        <w:t xml:space="preserve"> </w:t>
      </w:r>
      <w:r w:rsidRPr="00065F63">
        <w:rPr>
          <w:i/>
          <w:sz w:val="16"/>
          <w:szCs w:val="16"/>
        </w:rPr>
        <w:t>y</w:t>
      </w:r>
      <w:r w:rsidRPr="00065F63">
        <w:rPr>
          <w:i/>
          <w:spacing w:val="-2"/>
          <w:sz w:val="16"/>
          <w:szCs w:val="16"/>
        </w:rPr>
        <w:t xml:space="preserve"> </w:t>
      </w:r>
      <w:r w:rsidRPr="00065F63">
        <w:rPr>
          <w:i/>
          <w:sz w:val="16"/>
          <w:szCs w:val="16"/>
        </w:rPr>
        <w:t>Costas.</w:t>
      </w:r>
      <w:r w:rsidRPr="00065F63">
        <w:rPr>
          <w:i/>
          <w:spacing w:val="-4"/>
          <w:sz w:val="16"/>
          <w:szCs w:val="16"/>
        </w:rPr>
        <w:t xml:space="preserve"> </w:t>
      </w:r>
      <w:r w:rsidRPr="00065F63">
        <w:rPr>
          <w:sz w:val="16"/>
          <w:szCs w:val="16"/>
        </w:rPr>
        <w:t>Sentencia</w:t>
      </w:r>
      <w:r w:rsidRPr="00065F63">
        <w:rPr>
          <w:spacing w:val="-4"/>
          <w:sz w:val="16"/>
          <w:szCs w:val="16"/>
        </w:rPr>
        <w:t xml:space="preserve"> </w:t>
      </w:r>
      <w:r w:rsidRPr="00065F63">
        <w:rPr>
          <w:sz w:val="16"/>
          <w:szCs w:val="16"/>
        </w:rPr>
        <w:t>de</w:t>
      </w:r>
      <w:r w:rsidRPr="00065F63">
        <w:rPr>
          <w:spacing w:val="-3"/>
          <w:sz w:val="16"/>
          <w:szCs w:val="16"/>
        </w:rPr>
        <w:t xml:space="preserve"> </w:t>
      </w:r>
      <w:r w:rsidRPr="00065F63">
        <w:rPr>
          <w:sz w:val="16"/>
          <w:szCs w:val="16"/>
        </w:rPr>
        <w:t>23</w:t>
      </w:r>
      <w:r w:rsidRPr="00065F63">
        <w:rPr>
          <w:spacing w:val="-3"/>
          <w:sz w:val="16"/>
          <w:szCs w:val="16"/>
        </w:rPr>
        <w:t xml:space="preserve"> </w:t>
      </w:r>
      <w:r w:rsidRPr="00065F63">
        <w:rPr>
          <w:sz w:val="16"/>
          <w:szCs w:val="16"/>
        </w:rPr>
        <w:t>de</w:t>
      </w:r>
      <w:r w:rsidRPr="00065F63">
        <w:rPr>
          <w:spacing w:val="-3"/>
          <w:sz w:val="16"/>
          <w:szCs w:val="16"/>
        </w:rPr>
        <w:t xml:space="preserve"> </w:t>
      </w:r>
      <w:r w:rsidRPr="00065F63">
        <w:rPr>
          <w:sz w:val="16"/>
          <w:szCs w:val="16"/>
        </w:rPr>
        <w:t>junio</w:t>
      </w:r>
      <w:r w:rsidRPr="00065F63">
        <w:rPr>
          <w:spacing w:val="-3"/>
          <w:sz w:val="16"/>
          <w:szCs w:val="16"/>
        </w:rPr>
        <w:t xml:space="preserve"> </w:t>
      </w:r>
      <w:r w:rsidRPr="00065F63">
        <w:rPr>
          <w:sz w:val="16"/>
          <w:szCs w:val="16"/>
        </w:rPr>
        <w:t>de 2005.</w:t>
      </w:r>
      <w:r w:rsidRPr="00065F63">
        <w:rPr>
          <w:spacing w:val="-9"/>
          <w:sz w:val="16"/>
          <w:szCs w:val="16"/>
        </w:rPr>
        <w:t xml:space="preserve"> </w:t>
      </w:r>
      <w:r w:rsidRPr="00065F63">
        <w:rPr>
          <w:sz w:val="16"/>
          <w:szCs w:val="16"/>
        </w:rPr>
        <w:t>Serie</w:t>
      </w:r>
      <w:r w:rsidRPr="00065F63">
        <w:rPr>
          <w:spacing w:val="-8"/>
          <w:sz w:val="16"/>
          <w:szCs w:val="16"/>
        </w:rPr>
        <w:t xml:space="preserve"> </w:t>
      </w:r>
      <w:r w:rsidRPr="00065F63">
        <w:rPr>
          <w:sz w:val="16"/>
          <w:szCs w:val="16"/>
        </w:rPr>
        <w:t>C</w:t>
      </w:r>
      <w:r w:rsidRPr="00065F63">
        <w:rPr>
          <w:spacing w:val="-7"/>
          <w:sz w:val="16"/>
          <w:szCs w:val="16"/>
        </w:rPr>
        <w:t xml:space="preserve"> </w:t>
      </w:r>
      <w:r w:rsidRPr="00065F63">
        <w:rPr>
          <w:sz w:val="16"/>
          <w:szCs w:val="16"/>
        </w:rPr>
        <w:t>No.</w:t>
      </w:r>
      <w:r w:rsidRPr="00065F63">
        <w:rPr>
          <w:spacing w:val="-9"/>
          <w:sz w:val="16"/>
          <w:szCs w:val="16"/>
        </w:rPr>
        <w:t xml:space="preserve"> </w:t>
      </w:r>
      <w:r w:rsidRPr="00065F63">
        <w:rPr>
          <w:sz w:val="16"/>
          <w:szCs w:val="16"/>
        </w:rPr>
        <w:t>127</w:t>
      </w:r>
      <w:r w:rsidRPr="00065F63">
        <w:rPr>
          <w:b/>
          <w:sz w:val="16"/>
          <w:szCs w:val="16"/>
        </w:rPr>
        <w:t>,</w:t>
      </w:r>
      <w:r w:rsidRPr="00065F63">
        <w:rPr>
          <w:b/>
          <w:spacing w:val="-7"/>
          <w:sz w:val="16"/>
          <w:szCs w:val="16"/>
        </w:rPr>
        <w:t xml:space="preserve"> </w:t>
      </w:r>
      <w:r w:rsidRPr="00065F63">
        <w:rPr>
          <w:sz w:val="16"/>
          <w:szCs w:val="16"/>
        </w:rPr>
        <w:t>párr.</w:t>
      </w:r>
      <w:r w:rsidRPr="00065F63">
        <w:rPr>
          <w:spacing w:val="-9"/>
          <w:sz w:val="16"/>
          <w:szCs w:val="16"/>
        </w:rPr>
        <w:t xml:space="preserve"> </w:t>
      </w:r>
      <w:r w:rsidRPr="00065F63">
        <w:rPr>
          <w:sz w:val="16"/>
          <w:szCs w:val="16"/>
        </w:rPr>
        <w:t>186</w:t>
      </w:r>
      <w:r w:rsidR="00F0678F">
        <w:rPr>
          <w:sz w:val="16"/>
          <w:szCs w:val="16"/>
          <w:lang w:val="es-ES"/>
        </w:rPr>
        <w:t xml:space="preserve">, y </w:t>
      </w:r>
      <w:r w:rsidR="00F0678F">
        <w:rPr>
          <w:i/>
          <w:iCs/>
          <w:sz w:val="16"/>
          <w:szCs w:val="16"/>
          <w:lang w:val="es-ES"/>
        </w:rPr>
        <w:t>Caso Guevara Díaz Vs. Costa Rica, supra,</w:t>
      </w:r>
      <w:r w:rsidR="00F0678F">
        <w:rPr>
          <w:sz w:val="16"/>
          <w:szCs w:val="16"/>
          <w:lang w:val="es-ES"/>
        </w:rPr>
        <w:t xml:space="preserve"> </w:t>
      </w:r>
      <w:r w:rsidR="00F0678F" w:rsidRPr="00B100C9">
        <w:rPr>
          <w:sz w:val="16"/>
          <w:szCs w:val="16"/>
          <w:lang w:val="es-ES"/>
        </w:rPr>
        <w:t>párr.</w:t>
      </w:r>
      <w:r w:rsidR="00F0678F">
        <w:rPr>
          <w:sz w:val="16"/>
          <w:szCs w:val="16"/>
          <w:lang w:val="es-ES"/>
        </w:rPr>
        <w:t xml:space="preserve"> </w:t>
      </w:r>
      <w:r w:rsidR="00F0678F" w:rsidRPr="00B100C9">
        <w:rPr>
          <w:sz w:val="16"/>
          <w:szCs w:val="16"/>
          <w:lang w:val="es-ES"/>
        </w:rPr>
        <w:t>48.</w:t>
      </w:r>
    </w:p>
  </w:footnote>
  <w:footnote w:id="94">
    <w:p w14:paraId="28747000" w14:textId="5920B070" w:rsidR="00723B37" w:rsidRPr="00065F63" w:rsidRDefault="00723B37"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15"/>
          <w:sz w:val="16"/>
          <w:szCs w:val="16"/>
        </w:rPr>
        <w:t xml:space="preserve"> </w:t>
      </w:r>
      <w:r w:rsidRPr="00065F63">
        <w:rPr>
          <w:i/>
          <w:sz w:val="16"/>
          <w:szCs w:val="16"/>
        </w:rPr>
        <w:t>Caso</w:t>
      </w:r>
      <w:r w:rsidRPr="00065F63">
        <w:rPr>
          <w:i/>
          <w:spacing w:val="-13"/>
          <w:sz w:val="16"/>
          <w:szCs w:val="16"/>
        </w:rPr>
        <w:t xml:space="preserve"> </w:t>
      </w:r>
      <w:r w:rsidRPr="00065F63">
        <w:rPr>
          <w:i/>
          <w:sz w:val="16"/>
          <w:szCs w:val="16"/>
        </w:rPr>
        <w:t>Apitz</w:t>
      </w:r>
      <w:r w:rsidRPr="00065F63">
        <w:rPr>
          <w:i/>
          <w:spacing w:val="-15"/>
          <w:sz w:val="16"/>
          <w:szCs w:val="16"/>
        </w:rPr>
        <w:t xml:space="preserve"> </w:t>
      </w:r>
      <w:r w:rsidRPr="00065F63">
        <w:rPr>
          <w:i/>
          <w:sz w:val="16"/>
          <w:szCs w:val="16"/>
        </w:rPr>
        <w:t>Barbera</w:t>
      </w:r>
      <w:r w:rsidRPr="00065F63">
        <w:rPr>
          <w:i/>
          <w:spacing w:val="-14"/>
          <w:sz w:val="16"/>
          <w:szCs w:val="16"/>
        </w:rPr>
        <w:t xml:space="preserve"> </w:t>
      </w:r>
      <w:r w:rsidRPr="00065F63">
        <w:rPr>
          <w:i/>
          <w:sz w:val="16"/>
          <w:szCs w:val="16"/>
        </w:rPr>
        <w:t>y</w:t>
      </w:r>
      <w:r w:rsidRPr="00065F63">
        <w:rPr>
          <w:i/>
          <w:spacing w:val="-14"/>
          <w:sz w:val="16"/>
          <w:szCs w:val="16"/>
        </w:rPr>
        <w:t xml:space="preserve"> </w:t>
      </w:r>
      <w:r w:rsidRPr="00065F63">
        <w:rPr>
          <w:i/>
          <w:sz w:val="16"/>
          <w:szCs w:val="16"/>
        </w:rPr>
        <w:t>otros</w:t>
      </w:r>
      <w:r w:rsidRPr="00065F63">
        <w:rPr>
          <w:i/>
          <w:spacing w:val="-14"/>
          <w:sz w:val="16"/>
          <w:szCs w:val="16"/>
        </w:rPr>
        <w:t xml:space="preserve"> </w:t>
      </w:r>
      <w:r w:rsidRPr="00065F63">
        <w:rPr>
          <w:i/>
          <w:sz w:val="16"/>
          <w:szCs w:val="16"/>
        </w:rPr>
        <w:t>(“Corte</w:t>
      </w:r>
      <w:r w:rsidRPr="00065F63">
        <w:rPr>
          <w:i/>
          <w:spacing w:val="-13"/>
          <w:sz w:val="16"/>
          <w:szCs w:val="16"/>
        </w:rPr>
        <w:t xml:space="preserve"> </w:t>
      </w:r>
      <w:r w:rsidRPr="00065F63">
        <w:rPr>
          <w:i/>
          <w:sz w:val="16"/>
          <w:szCs w:val="16"/>
        </w:rPr>
        <w:t>Primera</w:t>
      </w:r>
      <w:r w:rsidRPr="00065F63">
        <w:rPr>
          <w:i/>
          <w:spacing w:val="-15"/>
          <w:sz w:val="16"/>
          <w:szCs w:val="16"/>
        </w:rPr>
        <w:t xml:space="preserve"> </w:t>
      </w:r>
      <w:r w:rsidRPr="00065F63">
        <w:rPr>
          <w:i/>
          <w:sz w:val="16"/>
          <w:szCs w:val="16"/>
        </w:rPr>
        <w:t>de</w:t>
      </w:r>
      <w:r w:rsidRPr="00065F63">
        <w:rPr>
          <w:i/>
          <w:spacing w:val="-13"/>
          <w:sz w:val="16"/>
          <w:szCs w:val="16"/>
        </w:rPr>
        <w:t xml:space="preserve"> </w:t>
      </w:r>
      <w:r w:rsidRPr="00065F63">
        <w:rPr>
          <w:i/>
          <w:sz w:val="16"/>
          <w:szCs w:val="16"/>
        </w:rPr>
        <w:t>lo</w:t>
      </w:r>
      <w:r w:rsidRPr="00065F63">
        <w:rPr>
          <w:i/>
          <w:spacing w:val="-15"/>
          <w:sz w:val="16"/>
          <w:szCs w:val="16"/>
        </w:rPr>
        <w:t xml:space="preserve"> </w:t>
      </w:r>
      <w:r w:rsidRPr="00065F63">
        <w:rPr>
          <w:i/>
          <w:sz w:val="16"/>
          <w:szCs w:val="16"/>
        </w:rPr>
        <w:t>Contencioso</w:t>
      </w:r>
      <w:r w:rsidRPr="00065F63">
        <w:rPr>
          <w:i/>
          <w:spacing w:val="-14"/>
          <w:sz w:val="16"/>
          <w:szCs w:val="16"/>
        </w:rPr>
        <w:t xml:space="preserve"> </w:t>
      </w:r>
      <w:r w:rsidRPr="00065F63">
        <w:rPr>
          <w:i/>
          <w:sz w:val="16"/>
          <w:szCs w:val="16"/>
        </w:rPr>
        <w:t>Administrativo”)</w:t>
      </w:r>
      <w:r w:rsidRPr="00065F63">
        <w:rPr>
          <w:i/>
          <w:spacing w:val="-14"/>
          <w:sz w:val="16"/>
          <w:szCs w:val="16"/>
        </w:rPr>
        <w:t xml:space="preserve"> </w:t>
      </w:r>
      <w:r w:rsidRPr="00065F63">
        <w:rPr>
          <w:i/>
          <w:sz w:val="16"/>
          <w:szCs w:val="16"/>
        </w:rPr>
        <w:t>Vs.</w:t>
      </w:r>
      <w:r w:rsidRPr="00065F63">
        <w:rPr>
          <w:i/>
          <w:spacing w:val="-14"/>
          <w:sz w:val="16"/>
          <w:szCs w:val="16"/>
        </w:rPr>
        <w:t xml:space="preserve"> </w:t>
      </w:r>
      <w:r w:rsidRPr="00065F63">
        <w:rPr>
          <w:i/>
          <w:sz w:val="16"/>
          <w:szCs w:val="16"/>
        </w:rPr>
        <w:t>Venezuela.</w:t>
      </w:r>
      <w:r w:rsidRPr="00065F63">
        <w:rPr>
          <w:i/>
          <w:spacing w:val="-14"/>
          <w:sz w:val="16"/>
          <w:szCs w:val="16"/>
        </w:rPr>
        <w:t xml:space="preserve"> </w:t>
      </w:r>
      <w:r w:rsidRPr="00065F63">
        <w:rPr>
          <w:i/>
          <w:sz w:val="16"/>
          <w:szCs w:val="16"/>
        </w:rPr>
        <w:t>Excepción</w:t>
      </w:r>
      <w:r w:rsidRPr="00065F63">
        <w:rPr>
          <w:i/>
          <w:spacing w:val="-14"/>
          <w:sz w:val="16"/>
          <w:szCs w:val="16"/>
        </w:rPr>
        <w:t xml:space="preserve"> </w:t>
      </w:r>
      <w:r w:rsidRPr="00065F63">
        <w:rPr>
          <w:i/>
          <w:sz w:val="16"/>
          <w:szCs w:val="16"/>
        </w:rPr>
        <w:t>Preliminar, Fondo,</w:t>
      </w:r>
      <w:r w:rsidRPr="00065F63">
        <w:rPr>
          <w:i/>
          <w:spacing w:val="-3"/>
          <w:sz w:val="16"/>
          <w:szCs w:val="16"/>
        </w:rPr>
        <w:t xml:space="preserve"> </w:t>
      </w:r>
      <w:r w:rsidRPr="00065F63">
        <w:rPr>
          <w:i/>
          <w:sz w:val="16"/>
          <w:szCs w:val="16"/>
        </w:rPr>
        <w:t>Reparaciones y</w:t>
      </w:r>
      <w:r w:rsidRPr="00065F63">
        <w:rPr>
          <w:i/>
          <w:spacing w:val="-2"/>
          <w:sz w:val="16"/>
          <w:szCs w:val="16"/>
        </w:rPr>
        <w:t xml:space="preserve"> </w:t>
      </w:r>
      <w:r w:rsidRPr="00065F63">
        <w:rPr>
          <w:i/>
          <w:sz w:val="16"/>
          <w:szCs w:val="16"/>
        </w:rPr>
        <w:t>Costas.</w:t>
      </w:r>
      <w:r w:rsidRPr="00065F63">
        <w:rPr>
          <w:i/>
          <w:spacing w:val="-1"/>
          <w:sz w:val="16"/>
          <w:szCs w:val="16"/>
        </w:rPr>
        <w:t xml:space="preserve"> </w:t>
      </w:r>
      <w:r w:rsidRPr="00065F63">
        <w:rPr>
          <w:sz w:val="16"/>
          <w:szCs w:val="16"/>
        </w:rPr>
        <w:t>Sentencia</w:t>
      </w:r>
      <w:r w:rsidRPr="00065F63">
        <w:rPr>
          <w:spacing w:val="-1"/>
          <w:sz w:val="16"/>
          <w:szCs w:val="16"/>
        </w:rPr>
        <w:t xml:space="preserve"> </w:t>
      </w:r>
      <w:r w:rsidRPr="00065F63">
        <w:rPr>
          <w:sz w:val="16"/>
          <w:szCs w:val="16"/>
        </w:rPr>
        <w:t>de</w:t>
      </w:r>
      <w:r w:rsidRPr="00065F63">
        <w:rPr>
          <w:spacing w:val="-2"/>
          <w:sz w:val="16"/>
          <w:szCs w:val="16"/>
        </w:rPr>
        <w:t xml:space="preserve"> </w:t>
      </w:r>
      <w:r w:rsidRPr="00065F63">
        <w:rPr>
          <w:sz w:val="16"/>
          <w:szCs w:val="16"/>
        </w:rPr>
        <w:t>5 de agosto</w:t>
      </w:r>
      <w:r w:rsidRPr="00065F63">
        <w:rPr>
          <w:spacing w:val="-2"/>
          <w:sz w:val="16"/>
          <w:szCs w:val="16"/>
        </w:rPr>
        <w:t xml:space="preserve"> </w:t>
      </w:r>
      <w:r w:rsidRPr="00065F63">
        <w:rPr>
          <w:sz w:val="16"/>
          <w:szCs w:val="16"/>
        </w:rPr>
        <w:t>de</w:t>
      </w:r>
      <w:r w:rsidRPr="00065F63">
        <w:rPr>
          <w:spacing w:val="-2"/>
          <w:sz w:val="16"/>
          <w:szCs w:val="16"/>
        </w:rPr>
        <w:t xml:space="preserve"> </w:t>
      </w:r>
      <w:r w:rsidRPr="00065F63">
        <w:rPr>
          <w:sz w:val="16"/>
          <w:szCs w:val="16"/>
        </w:rPr>
        <w:t>2008.</w:t>
      </w:r>
      <w:r w:rsidRPr="00065F63">
        <w:rPr>
          <w:spacing w:val="-1"/>
          <w:sz w:val="16"/>
          <w:szCs w:val="16"/>
        </w:rPr>
        <w:t xml:space="preserve"> </w:t>
      </w:r>
      <w:r w:rsidRPr="00065F63">
        <w:rPr>
          <w:sz w:val="16"/>
          <w:szCs w:val="16"/>
        </w:rPr>
        <w:t>Serie C</w:t>
      </w:r>
      <w:r w:rsidRPr="00065F63">
        <w:rPr>
          <w:spacing w:val="-2"/>
          <w:sz w:val="16"/>
          <w:szCs w:val="16"/>
        </w:rPr>
        <w:t xml:space="preserve"> </w:t>
      </w:r>
      <w:r w:rsidRPr="00065F63">
        <w:rPr>
          <w:sz w:val="16"/>
          <w:szCs w:val="16"/>
        </w:rPr>
        <w:t>No.</w:t>
      </w:r>
      <w:r w:rsidRPr="00065F63">
        <w:rPr>
          <w:spacing w:val="-3"/>
          <w:sz w:val="16"/>
          <w:szCs w:val="16"/>
        </w:rPr>
        <w:t xml:space="preserve"> </w:t>
      </w:r>
      <w:r w:rsidRPr="00065F63">
        <w:rPr>
          <w:sz w:val="16"/>
          <w:szCs w:val="16"/>
        </w:rPr>
        <w:t>182,</w:t>
      </w:r>
      <w:r w:rsidRPr="00065F63">
        <w:rPr>
          <w:spacing w:val="-1"/>
          <w:sz w:val="16"/>
          <w:szCs w:val="16"/>
        </w:rPr>
        <w:t xml:space="preserve"> </w:t>
      </w:r>
      <w:r w:rsidRPr="00065F63">
        <w:rPr>
          <w:sz w:val="16"/>
          <w:szCs w:val="16"/>
        </w:rPr>
        <w:t>párr.</w:t>
      </w:r>
      <w:r w:rsidRPr="00065F63">
        <w:rPr>
          <w:spacing w:val="-3"/>
          <w:sz w:val="16"/>
          <w:szCs w:val="16"/>
        </w:rPr>
        <w:t xml:space="preserve"> </w:t>
      </w:r>
      <w:r w:rsidRPr="00065F63">
        <w:rPr>
          <w:sz w:val="16"/>
          <w:szCs w:val="16"/>
        </w:rPr>
        <w:t>209,</w:t>
      </w:r>
      <w:r w:rsidR="00F0678F" w:rsidRPr="00065F63">
        <w:rPr>
          <w:sz w:val="16"/>
          <w:szCs w:val="16"/>
        </w:rPr>
        <w:t xml:space="preserve"> </w:t>
      </w:r>
      <w:r w:rsidR="00F0678F" w:rsidRPr="00EA3CBB">
        <w:rPr>
          <w:sz w:val="16"/>
          <w:szCs w:val="16"/>
        </w:rPr>
        <w:t xml:space="preserve">y </w:t>
      </w:r>
      <w:r w:rsidR="00F0678F">
        <w:rPr>
          <w:i/>
          <w:iCs/>
          <w:sz w:val="16"/>
          <w:szCs w:val="16"/>
        </w:rPr>
        <w:t xml:space="preserve">Caso Guevara Díaz Vs. Costa Rica, supra, </w:t>
      </w:r>
      <w:r w:rsidR="00F0678F">
        <w:rPr>
          <w:sz w:val="16"/>
          <w:szCs w:val="16"/>
        </w:rPr>
        <w:t>párr. 48.</w:t>
      </w:r>
    </w:p>
  </w:footnote>
  <w:footnote w:id="95">
    <w:p w14:paraId="67A1DEB6" w14:textId="71B70A50" w:rsidR="007548CC" w:rsidRPr="00065F63" w:rsidRDefault="007548C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00F0678F" w:rsidRPr="00065F63">
        <w:rPr>
          <w:i/>
          <w:iCs/>
          <w:sz w:val="16"/>
          <w:szCs w:val="16"/>
        </w:rPr>
        <w:t>Caso Atala Riffo y niñas Vs. Chile. Fondo, Reparaciones y Costas</w:t>
      </w:r>
      <w:r w:rsidR="00F0678F" w:rsidRPr="00065F63">
        <w:rPr>
          <w:sz w:val="16"/>
          <w:szCs w:val="16"/>
        </w:rPr>
        <w:t>. Sentencia de 24 de febrero de 2012. Serie C No. 239</w:t>
      </w:r>
      <w:r w:rsidR="00F0678F">
        <w:rPr>
          <w:sz w:val="16"/>
          <w:szCs w:val="16"/>
        </w:rPr>
        <w:t>, párr. 91.</w:t>
      </w:r>
    </w:p>
  </w:footnote>
  <w:footnote w:id="96">
    <w:p w14:paraId="14FBE29B" w14:textId="7605A6C3" w:rsidR="000801CC" w:rsidRPr="00065F63" w:rsidRDefault="000801C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El artículo 1.1 de la Convención establece que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008044C5">
        <w:rPr>
          <w:sz w:val="16"/>
          <w:szCs w:val="16"/>
        </w:rPr>
        <w:t>.</w:t>
      </w:r>
    </w:p>
  </w:footnote>
  <w:footnote w:id="97">
    <w:p w14:paraId="283019D5" w14:textId="751DA3B3" w:rsidR="008C314C" w:rsidRPr="00065F63" w:rsidRDefault="008C314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 xml:space="preserve">Este Tribunal ha explicado que la expresión de género se entiende como la manifestación externa del género de una persona, a través de su aspecto físico, la cual puede incluir el modo de vestir, el peinado o la utilización de artículos cosméticos, o a través de manerismos, de la forma de hablar, de patrones de comportamiento personal, de comportamiento o interacción social, de nombres o referencias personales, entre otros. La expresión de género de una persona puede o no corresponder con su identidad de género auto-percibida. </w:t>
      </w:r>
      <w:r w:rsidR="00F0678F" w:rsidRPr="00065F63">
        <w:rPr>
          <w:i/>
          <w:iCs/>
          <w:sz w:val="16"/>
          <w:szCs w:val="16"/>
        </w:rPr>
        <w:t>Cfr</w:t>
      </w:r>
      <w:r w:rsidR="00F0678F" w:rsidRPr="00065F63">
        <w:rPr>
          <w:sz w:val="16"/>
          <w:szCs w:val="16"/>
        </w:rPr>
        <w:t xml:space="preserve">. </w:t>
      </w:r>
      <w:r w:rsidR="00F0678F" w:rsidRPr="00B100C9">
        <w:rPr>
          <w:i/>
          <w:iCs/>
          <w:sz w:val="16"/>
          <w:szCs w:val="16"/>
        </w:rPr>
        <w:t>Identidad de género, e igualdad y no discriminación a parejas del mismo sexo. Obligaciones estatales en relación con el cambio de nombre, la identidad de género, y los derechos derivados de un vínculo entre parejas del mismo sexo</w:t>
      </w:r>
      <w:r w:rsidR="00F0678F">
        <w:rPr>
          <w:sz w:val="16"/>
          <w:szCs w:val="16"/>
        </w:rPr>
        <w:t xml:space="preserve"> </w:t>
      </w:r>
      <w:r w:rsidR="00F0678F" w:rsidRPr="00B100C9">
        <w:rPr>
          <w:i/>
          <w:iCs/>
          <w:sz w:val="16"/>
          <w:szCs w:val="16"/>
        </w:rPr>
        <w:t xml:space="preserve">(interpretación y alcance de los artículos 1.1, 3, 7, 11.2, 13, 17, 18 y 24, en relación con el artículo 1 de la Convención Americana sobre Derechos Humanos). </w:t>
      </w:r>
      <w:r w:rsidR="00F0678F" w:rsidRPr="00F42FA3">
        <w:rPr>
          <w:sz w:val="16"/>
          <w:szCs w:val="16"/>
        </w:rPr>
        <w:t>Opinión Consultiva OC-24/17 de 24 de noviembre de 2017. Serie A No. 24</w:t>
      </w:r>
      <w:r w:rsidR="00F0678F">
        <w:rPr>
          <w:sz w:val="16"/>
          <w:szCs w:val="16"/>
        </w:rPr>
        <w:t xml:space="preserve">, </w:t>
      </w:r>
      <w:r w:rsidRPr="00065F63">
        <w:rPr>
          <w:sz w:val="16"/>
          <w:szCs w:val="16"/>
        </w:rPr>
        <w:t xml:space="preserve">párr. 32, letra g) y párr. 75. Ver también, </w:t>
      </w:r>
      <w:r w:rsidRPr="00065F63">
        <w:rPr>
          <w:i/>
          <w:iCs/>
          <w:sz w:val="16"/>
          <w:szCs w:val="16"/>
        </w:rPr>
        <w:t>Caso Azul Rojas Marín y otra Vs. Perú. Excepciones Preliminares, Fondo, Reparaciones y Costas.</w:t>
      </w:r>
      <w:r w:rsidRPr="00065F63">
        <w:rPr>
          <w:sz w:val="16"/>
          <w:szCs w:val="16"/>
        </w:rPr>
        <w:t xml:space="preserve"> Sentencia de 12 de marzo de 2020. Serie C No. 402, párr. 90, y </w:t>
      </w:r>
      <w:r w:rsidRPr="00065F63">
        <w:rPr>
          <w:i/>
          <w:iCs/>
          <w:sz w:val="16"/>
          <w:szCs w:val="16"/>
        </w:rPr>
        <w:t>Caso Vicky Hernández y otras Vs. Honduras. Fondo, Reparaciones y Costas.</w:t>
      </w:r>
      <w:r w:rsidRPr="00065F63">
        <w:rPr>
          <w:sz w:val="16"/>
          <w:szCs w:val="16"/>
        </w:rPr>
        <w:t xml:space="preserve"> Sentencia de 26 de marzo de 2021. Serie C No. 422, párr. 67.</w:t>
      </w:r>
    </w:p>
  </w:footnote>
  <w:footnote w:id="98">
    <w:p w14:paraId="03B0CC70" w14:textId="2EEBC482" w:rsidR="000148B4" w:rsidRPr="00065F63" w:rsidRDefault="000148B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00F0678F" w:rsidRPr="00065F63">
        <w:rPr>
          <w:i/>
          <w:iCs/>
          <w:sz w:val="16"/>
          <w:szCs w:val="16"/>
        </w:rPr>
        <w:t>Caso Atala Riffo y niñas Vs. Chile</w:t>
      </w:r>
      <w:r w:rsidR="00F0678F" w:rsidRPr="00065F63">
        <w:rPr>
          <w:sz w:val="16"/>
          <w:szCs w:val="16"/>
        </w:rPr>
        <w:t xml:space="preserve">, </w:t>
      </w:r>
      <w:r w:rsidR="00F0678F" w:rsidRPr="00065F63">
        <w:rPr>
          <w:i/>
          <w:iCs/>
          <w:sz w:val="16"/>
          <w:szCs w:val="16"/>
        </w:rPr>
        <w:t>supra</w:t>
      </w:r>
      <w:r w:rsidR="00F0678F" w:rsidRPr="00065F63">
        <w:rPr>
          <w:sz w:val="16"/>
          <w:szCs w:val="16"/>
        </w:rPr>
        <w:t xml:space="preserve">, párr. 91, y </w:t>
      </w:r>
      <w:r w:rsidR="00F0678F" w:rsidRPr="00065F63">
        <w:rPr>
          <w:i/>
          <w:iCs/>
          <w:sz w:val="16"/>
          <w:szCs w:val="16"/>
        </w:rPr>
        <w:t>Caso Vicky Hernández y otras Vs. Honduras</w:t>
      </w:r>
      <w:r w:rsidR="00F0678F">
        <w:rPr>
          <w:i/>
          <w:iCs/>
          <w:sz w:val="16"/>
          <w:szCs w:val="16"/>
        </w:rPr>
        <w:t>, supra</w:t>
      </w:r>
      <w:r w:rsidR="00F0678F" w:rsidRPr="00065F63">
        <w:rPr>
          <w:sz w:val="16"/>
          <w:szCs w:val="16"/>
        </w:rPr>
        <w:t>, párr. 123.</w:t>
      </w:r>
    </w:p>
  </w:footnote>
  <w:footnote w:id="99">
    <w:p w14:paraId="0BEE0A2F" w14:textId="7344CFD2" w:rsidR="007548CC" w:rsidRPr="00065F63" w:rsidRDefault="007548C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lang w:val="es-ES"/>
        </w:rPr>
        <w:t>Cfr</w:t>
      </w:r>
      <w:r w:rsidRPr="00065F63">
        <w:rPr>
          <w:sz w:val="16"/>
          <w:szCs w:val="16"/>
          <w:lang w:val="es-ES"/>
        </w:rPr>
        <w:t xml:space="preserve">. </w:t>
      </w:r>
      <w:r w:rsidR="00F0678F" w:rsidRPr="00065F63">
        <w:rPr>
          <w:sz w:val="16"/>
          <w:szCs w:val="16"/>
          <w:lang w:val="es-ES"/>
        </w:rPr>
        <w:t xml:space="preserve">Opinión Consultiva OC-24/17, </w:t>
      </w:r>
      <w:r w:rsidR="00F0678F" w:rsidRPr="00065F63">
        <w:rPr>
          <w:i/>
          <w:iCs/>
          <w:sz w:val="16"/>
          <w:szCs w:val="16"/>
          <w:lang w:val="es-ES"/>
        </w:rPr>
        <w:t>supra</w:t>
      </w:r>
      <w:r w:rsidR="00F0678F" w:rsidRPr="00065F63">
        <w:rPr>
          <w:sz w:val="16"/>
          <w:szCs w:val="16"/>
          <w:lang w:val="es-ES"/>
        </w:rPr>
        <w:t>, párr. 36, y</w:t>
      </w:r>
      <w:r w:rsidR="00F0678F" w:rsidRPr="00065F63">
        <w:rPr>
          <w:sz w:val="16"/>
          <w:szCs w:val="16"/>
        </w:rPr>
        <w:t xml:space="preserve"> </w:t>
      </w:r>
      <w:r w:rsidR="00F0678F" w:rsidRPr="00837674">
        <w:rPr>
          <w:i/>
          <w:iCs/>
          <w:sz w:val="16"/>
          <w:szCs w:val="16"/>
        </w:rPr>
        <w:t xml:space="preserve">Caso Vicky Hernández y otras Vs. Honduras. supra, </w:t>
      </w:r>
      <w:r w:rsidR="00F0678F" w:rsidRPr="00F232F6">
        <w:rPr>
          <w:sz w:val="16"/>
          <w:szCs w:val="16"/>
        </w:rPr>
        <w:t>párr. 68.</w:t>
      </w:r>
    </w:p>
  </w:footnote>
  <w:footnote w:id="100">
    <w:p w14:paraId="20830AFF" w14:textId="6FFC9B62" w:rsidR="007548CC" w:rsidRPr="00065F63" w:rsidRDefault="007548CC" w:rsidP="00DF7FF5">
      <w:pPr>
        <w:pStyle w:val="Textonotapie"/>
        <w:spacing w:before="40" w:after="40"/>
        <w:rPr>
          <w:sz w:val="16"/>
          <w:szCs w:val="16"/>
          <w:lang w:val="es-ES"/>
        </w:rPr>
      </w:pPr>
      <w:r w:rsidRPr="00065F63">
        <w:rPr>
          <w:rStyle w:val="Refdenotaalpie"/>
          <w:sz w:val="16"/>
          <w:szCs w:val="16"/>
        </w:rPr>
        <w:footnoteRef/>
      </w:r>
      <w:r w:rsidRPr="00065F63">
        <w:rPr>
          <w:sz w:val="16"/>
          <w:szCs w:val="16"/>
          <w:lang w:val="es-ES"/>
        </w:rPr>
        <w:t xml:space="preserve"> </w:t>
      </w:r>
      <w:r w:rsidRPr="00065F63">
        <w:rPr>
          <w:sz w:val="16"/>
          <w:szCs w:val="16"/>
          <w:lang w:val="es-ES"/>
        </w:rPr>
        <w:tab/>
      </w:r>
      <w:r w:rsidRPr="00065F63">
        <w:rPr>
          <w:i/>
          <w:sz w:val="16"/>
          <w:szCs w:val="16"/>
          <w:lang w:val="es-ES"/>
        </w:rPr>
        <w:t>Cfr. Caso Azul Rojas Marín y otra Vs. Perú</w:t>
      </w:r>
      <w:r w:rsidR="00A76CFC" w:rsidRPr="00065F63">
        <w:rPr>
          <w:i/>
          <w:sz w:val="16"/>
          <w:szCs w:val="16"/>
          <w:lang w:val="es-ES"/>
        </w:rPr>
        <w:t>, supra</w:t>
      </w:r>
      <w:r w:rsidRPr="00065F63">
        <w:rPr>
          <w:sz w:val="16"/>
          <w:szCs w:val="16"/>
          <w:lang w:val="es-ES"/>
        </w:rPr>
        <w:t>, párr. 92</w:t>
      </w:r>
      <w:r w:rsidR="005D2297" w:rsidRPr="00065F63">
        <w:rPr>
          <w:sz w:val="16"/>
          <w:szCs w:val="16"/>
          <w:lang w:val="es-ES"/>
        </w:rPr>
        <w:t xml:space="preserve">, y </w:t>
      </w:r>
      <w:r w:rsidR="005D2297" w:rsidRPr="00065F63">
        <w:rPr>
          <w:i/>
          <w:iCs/>
          <w:sz w:val="16"/>
          <w:szCs w:val="16"/>
          <w:lang w:val="es-ES"/>
        </w:rPr>
        <w:t>Enfoques diferenciados respecto de determinados grupos de personas privadas de la libertad (Interpretación y alcance de los artículos 1.1, 4.1, 5, 11.2, 12, 13, 17.1, 19, 24 y 26 de la Convención Americana sobre Derechos Humanos y de otros instrumentos que conciernen a la protección de los derechos humanos).</w:t>
      </w:r>
      <w:r w:rsidR="005D2297" w:rsidRPr="00065F63">
        <w:rPr>
          <w:sz w:val="16"/>
          <w:szCs w:val="16"/>
          <w:lang w:val="es-ES"/>
        </w:rPr>
        <w:t xml:space="preserve"> Opinión Consultiva OC-29/22 de 30 de mayo de 2022. Serie A No. 29, párr. 227</w:t>
      </w:r>
      <w:r w:rsidRPr="00065F63">
        <w:rPr>
          <w:sz w:val="16"/>
          <w:szCs w:val="16"/>
          <w:lang w:val="es-ES"/>
        </w:rPr>
        <w:t xml:space="preserve">. Ver también, Naciones Unidas, Informe de la Oficina del Alto Comisionado de las Naciones Unidas para los Derechos Humanos. </w:t>
      </w:r>
      <w:r w:rsidRPr="00065F63">
        <w:rPr>
          <w:i/>
          <w:sz w:val="16"/>
          <w:szCs w:val="16"/>
          <w:lang w:val="es-ES"/>
        </w:rPr>
        <w:t>Discriminación y violencia contra las personas por motivos de orientación sexual e identidad de género</w:t>
      </w:r>
      <w:r w:rsidRPr="00065F63">
        <w:rPr>
          <w:sz w:val="16"/>
          <w:szCs w:val="16"/>
          <w:lang w:val="es-ES"/>
        </w:rPr>
        <w:t xml:space="preserve">, 4 de mayo de 2015, A/HRC/29/23, párr. 21. Asimismo, Informe del Alto Comisionado de las Naciones Unidas para los Derechos Humanos. </w:t>
      </w:r>
      <w:r w:rsidRPr="00065F63">
        <w:rPr>
          <w:i/>
          <w:sz w:val="16"/>
          <w:szCs w:val="16"/>
          <w:lang w:val="es-ES"/>
        </w:rPr>
        <w:t>Leyes y prácticas discriminatorias y actos de violencia cometidos contra personas por su orientación sexual e identidad de género</w:t>
      </w:r>
      <w:r w:rsidRPr="00065F63">
        <w:rPr>
          <w:sz w:val="16"/>
          <w:szCs w:val="16"/>
          <w:lang w:val="es-ES"/>
        </w:rPr>
        <w:t xml:space="preserve">, 17 de noviembre de 2011, A/HRC/19/41, A/HRC/19/41, párrs. 20 y 21. Véase en el mismo sentido, Organización para la Seguridad y la Cooperación en Europa – OSCE, </w:t>
      </w:r>
      <w:r w:rsidRPr="00065F63">
        <w:rPr>
          <w:i/>
          <w:sz w:val="16"/>
          <w:szCs w:val="16"/>
          <w:lang w:val="es-ES"/>
        </w:rPr>
        <w:t>Hate Crimes in the OSCE Region – Incidents and Responses, reporte anual 2006, OSCE/ODIHR</w:t>
      </w:r>
      <w:r w:rsidRPr="00065F63">
        <w:rPr>
          <w:sz w:val="16"/>
          <w:szCs w:val="16"/>
          <w:lang w:val="es-ES"/>
        </w:rPr>
        <w:t xml:space="preserve">, Varsovia, 2007, pág. 53. </w:t>
      </w:r>
    </w:p>
  </w:footnote>
  <w:footnote w:id="101">
    <w:p w14:paraId="5E4997CD" w14:textId="5CA87E9D" w:rsidR="007548CC" w:rsidRPr="00065F63" w:rsidRDefault="007548C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lang w:val="es-ES"/>
        </w:rPr>
        <w:t>Cfr. Caso Azul Rojas Marín y otra Vs. Perú</w:t>
      </w:r>
      <w:r w:rsidR="00A76CFC" w:rsidRPr="00065F63">
        <w:rPr>
          <w:i/>
          <w:sz w:val="16"/>
          <w:szCs w:val="16"/>
          <w:lang w:val="es-ES"/>
        </w:rPr>
        <w:t>, supra</w:t>
      </w:r>
      <w:r w:rsidRPr="00065F63">
        <w:rPr>
          <w:sz w:val="16"/>
          <w:szCs w:val="16"/>
          <w:lang w:val="es-ES"/>
        </w:rPr>
        <w:t>, párr. 93.</w:t>
      </w:r>
    </w:p>
  </w:footnote>
  <w:footnote w:id="102">
    <w:p w14:paraId="06680862" w14:textId="55B267E1" w:rsidR="00F37967" w:rsidRPr="00065F63" w:rsidRDefault="00F3796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F0678F" w:rsidRPr="00065F63">
        <w:rPr>
          <w:i/>
          <w:sz w:val="16"/>
          <w:szCs w:val="16"/>
          <w:lang w:val="es-ES"/>
        </w:rPr>
        <w:t>Cfr. Caso Azul Rojas Marín y otra Vs. Perú</w:t>
      </w:r>
      <w:r w:rsidR="00F0678F">
        <w:rPr>
          <w:i/>
          <w:sz w:val="16"/>
          <w:szCs w:val="16"/>
          <w:lang w:val="es-ES"/>
        </w:rPr>
        <w:t>, supra,</w:t>
      </w:r>
      <w:r w:rsidR="00F0678F" w:rsidRPr="00F232F6">
        <w:rPr>
          <w:iCs/>
          <w:sz w:val="16"/>
          <w:szCs w:val="16"/>
          <w:lang w:val="es-ES"/>
        </w:rPr>
        <w:t xml:space="preserve"> párr</w:t>
      </w:r>
      <w:r w:rsidR="00F0678F">
        <w:rPr>
          <w:iCs/>
          <w:sz w:val="16"/>
          <w:szCs w:val="16"/>
          <w:lang w:val="es-ES"/>
        </w:rPr>
        <w:t>s. 47 a 49</w:t>
      </w:r>
      <w:r w:rsidR="00F0678F" w:rsidRPr="00F232F6">
        <w:rPr>
          <w:iCs/>
          <w:sz w:val="16"/>
          <w:szCs w:val="16"/>
          <w:lang w:val="es-ES"/>
        </w:rPr>
        <w:t>.</w:t>
      </w:r>
    </w:p>
  </w:footnote>
  <w:footnote w:id="103">
    <w:p w14:paraId="34BC8134" w14:textId="14A42F7B" w:rsidR="00694F52" w:rsidRPr="00065F63" w:rsidRDefault="00694F5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47, e </w:t>
      </w:r>
      <w:r w:rsidRPr="00065F63">
        <w:rPr>
          <w:sz w:val="16"/>
          <w:szCs w:val="16"/>
        </w:rPr>
        <w:t xml:space="preserve">Instituto Nacional de Estadística e Informática, Primera Encuesta Virtual para personas LGBTI, 2017, pág. 5. Disponible en: </w:t>
      </w:r>
      <w:hyperlink r:id="rId6" w:history="1">
        <w:r w:rsidRPr="00065F63">
          <w:rPr>
            <w:rStyle w:val="Hipervnculo"/>
            <w:sz w:val="16"/>
            <w:szCs w:val="16"/>
          </w:rPr>
          <w:t>https://www.inei.gob.pe/media/MenuRecursivo/boletines/lgbti.pdf</w:t>
        </w:r>
      </w:hyperlink>
    </w:p>
  </w:footnote>
  <w:footnote w:id="104">
    <w:p w14:paraId="3EB5700C" w14:textId="3CCF58B8" w:rsidR="00694F52" w:rsidRPr="00065F63" w:rsidRDefault="00694F5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47, e </w:t>
      </w:r>
      <w:r w:rsidRPr="00065F63">
        <w:rPr>
          <w:sz w:val="16"/>
          <w:szCs w:val="16"/>
        </w:rPr>
        <w:t xml:space="preserve">Instituto Nacional de Estadística e Informática, Primera Encuesta Virtual para personas LGBTI, 2017, págs. 22 y 23. Disponible en: </w:t>
      </w:r>
      <w:hyperlink r:id="rId7" w:history="1">
        <w:r w:rsidRPr="00065F63">
          <w:rPr>
            <w:rStyle w:val="Hipervnculo"/>
            <w:sz w:val="16"/>
            <w:szCs w:val="16"/>
          </w:rPr>
          <w:t>https://www.inei.gob.pe/media/MenuRecursivo/boletines/lgbti.pdf</w:t>
        </w:r>
      </w:hyperlink>
    </w:p>
  </w:footnote>
  <w:footnote w:id="105">
    <w:p w14:paraId="51985320" w14:textId="739C9F80" w:rsidR="00694F52" w:rsidRPr="00065F63" w:rsidRDefault="00694F5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47, e </w:t>
      </w:r>
      <w:r w:rsidRPr="00065F63">
        <w:rPr>
          <w:sz w:val="16"/>
          <w:szCs w:val="16"/>
        </w:rPr>
        <w:t xml:space="preserve">Instituto Nacional de Estadística e Informática, Primera Encuesta Virtual para personas LGBTI, 2017, pág. 25. Disponible en: </w:t>
      </w:r>
      <w:hyperlink r:id="rId8" w:history="1">
        <w:r w:rsidRPr="00065F63">
          <w:rPr>
            <w:rStyle w:val="Hipervnculo"/>
            <w:sz w:val="16"/>
            <w:szCs w:val="16"/>
          </w:rPr>
          <w:t>https://www.inei.gob.pe/media/MenuRecursivo/boletines/lgbti.pdf</w:t>
        </w:r>
      </w:hyperlink>
    </w:p>
  </w:footnote>
  <w:footnote w:id="106">
    <w:p w14:paraId="0094302C" w14:textId="1C4BDD3B" w:rsidR="00694F52" w:rsidRPr="00065F63" w:rsidRDefault="00694F5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49, e </w:t>
      </w:r>
      <w:r w:rsidRPr="00065F63">
        <w:rPr>
          <w:sz w:val="16"/>
          <w:szCs w:val="16"/>
        </w:rPr>
        <w:t xml:space="preserve">Instituto Nacional de Estadística e Informática, Primera Encuesta Virtual para personas LGBTI, 2017, pág. 20. Disponible en: </w:t>
      </w:r>
      <w:hyperlink r:id="rId9" w:history="1">
        <w:r w:rsidRPr="00065F63">
          <w:rPr>
            <w:rStyle w:val="Hipervnculo"/>
            <w:sz w:val="16"/>
            <w:szCs w:val="16"/>
          </w:rPr>
          <w:t>https://www.inei.gob.pe/media/MenuRecursivo/boletines/lgbti.pdf</w:t>
        </w:r>
      </w:hyperlink>
    </w:p>
  </w:footnote>
  <w:footnote w:id="107">
    <w:p w14:paraId="5008B7B4" w14:textId="5DFE4CCA" w:rsidR="00694F52" w:rsidRPr="00065F63" w:rsidRDefault="00694F52" w:rsidP="00DF7FF5">
      <w:pPr>
        <w:pStyle w:val="Textonotapie"/>
        <w:spacing w:before="40" w:after="40"/>
        <w:rPr>
          <w:b/>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49, y </w:t>
      </w:r>
      <w:r w:rsidRPr="00065F63">
        <w:rPr>
          <w:sz w:val="16"/>
          <w:szCs w:val="16"/>
        </w:rPr>
        <w:t xml:space="preserve">Defensoría del Pueblo del Perú, Derechos humanos de las personas LGBTI: Necesidad de una política pública para la igualdad en el Perú, págs. 16 y 17. Disponible en: </w:t>
      </w:r>
      <w:hyperlink r:id="rId10" w:history="1">
        <w:r w:rsidRPr="00065F63">
          <w:rPr>
            <w:rStyle w:val="Hipervnculo"/>
            <w:sz w:val="16"/>
            <w:szCs w:val="16"/>
          </w:rPr>
          <w:t>https://defensoria.gob.pe/modules/Downloads/informes/defensoriales/Informe-175--Derechos-humanos-de-personas-LGBTI.pdf</w:t>
        </w:r>
      </w:hyperlink>
      <w:r w:rsidRPr="00065F63">
        <w:rPr>
          <w:sz w:val="16"/>
          <w:szCs w:val="16"/>
        </w:rPr>
        <w:t xml:space="preserve"> </w:t>
      </w:r>
    </w:p>
  </w:footnote>
  <w:footnote w:id="108">
    <w:p w14:paraId="7BE935BC" w14:textId="77777777" w:rsidR="00065F63" w:rsidRDefault="00694F52" w:rsidP="00DF7FF5">
      <w:pPr>
        <w:pStyle w:val="Textonotapie"/>
        <w:spacing w:before="40" w:after="40"/>
        <w:rPr>
          <w:sz w:val="16"/>
          <w:szCs w:val="16"/>
        </w:rPr>
      </w:pPr>
      <w:r w:rsidRPr="00065F63">
        <w:rPr>
          <w:rStyle w:val="Refdenotaalpie"/>
          <w:sz w:val="16"/>
          <w:szCs w:val="16"/>
        </w:rPr>
        <w:footnoteRef/>
      </w:r>
      <w:r w:rsidR="00DF7FF5"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49, e </w:t>
      </w:r>
      <w:r w:rsidRPr="00065F63">
        <w:rPr>
          <w:sz w:val="16"/>
          <w:szCs w:val="16"/>
        </w:rPr>
        <w:t>Instituto de Opinión Pública, Actitudes hacia la homosexualidad en el Perú, Febrero 2015, págs. 18 y 19, citando la Encuesta de Valores Mundiales. Disponible en:</w:t>
      </w:r>
    </w:p>
    <w:p w14:paraId="797C5A05" w14:textId="3CBF5F90" w:rsidR="00694F52" w:rsidRPr="00065F63" w:rsidRDefault="00000000" w:rsidP="00DF7FF5">
      <w:pPr>
        <w:pStyle w:val="Textonotapie"/>
        <w:spacing w:before="40" w:after="40"/>
        <w:rPr>
          <w:sz w:val="16"/>
          <w:szCs w:val="16"/>
        </w:rPr>
      </w:pPr>
      <w:hyperlink r:id="rId11" w:history="1">
        <w:r w:rsidR="00694F52" w:rsidRPr="00065F63">
          <w:rPr>
            <w:rStyle w:val="Hipervnculo"/>
            <w:sz w:val="16"/>
            <w:szCs w:val="16"/>
          </w:rPr>
          <w:t>http://repositorio.pucp.edu.pe/index/bitstream/handle/123456789/47040/Cuadernos%20de%20investigaci%C3%B3n%2011.pdf?sequence=4</w:t>
        </w:r>
      </w:hyperlink>
    </w:p>
  </w:footnote>
  <w:footnote w:id="109">
    <w:p w14:paraId="6F52F694" w14:textId="77777777" w:rsidR="00065F63" w:rsidRDefault="00694F52" w:rsidP="00DF7FF5">
      <w:pPr>
        <w:pStyle w:val="Textonotapie"/>
        <w:spacing w:before="40" w:after="40"/>
        <w:rPr>
          <w:sz w:val="16"/>
          <w:szCs w:val="16"/>
        </w:rPr>
      </w:pPr>
      <w:r w:rsidRPr="00065F63">
        <w:rPr>
          <w:rStyle w:val="Refdenotaalpie"/>
          <w:sz w:val="16"/>
          <w:szCs w:val="16"/>
        </w:rPr>
        <w:footnoteRef/>
      </w:r>
      <w:r w:rsidR="00DF7FF5" w:rsidRPr="00065F63">
        <w:rPr>
          <w:sz w:val="16"/>
          <w:szCs w:val="16"/>
        </w:rPr>
        <w:t xml:space="preserve"> </w:t>
      </w:r>
      <w:r w:rsidRPr="00065F63">
        <w:rPr>
          <w:sz w:val="16"/>
          <w:szCs w:val="16"/>
        </w:rPr>
        <w:tab/>
      </w:r>
      <w:r w:rsidR="00065F63" w:rsidRPr="00065F63">
        <w:rPr>
          <w:i/>
          <w:iCs/>
          <w:sz w:val="16"/>
          <w:szCs w:val="16"/>
        </w:rPr>
        <w:t>Cfr.</w:t>
      </w:r>
      <w:r w:rsidR="00065F63" w:rsidRPr="00065F63">
        <w:rPr>
          <w:sz w:val="16"/>
          <w:szCs w:val="16"/>
        </w:rPr>
        <w:t xml:space="preserve"> </w:t>
      </w:r>
      <w:r w:rsidR="00065F63" w:rsidRPr="00065F63">
        <w:rPr>
          <w:i/>
          <w:sz w:val="16"/>
          <w:szCs w:val="16"/>
          <w:lang w:val="es-ES"/>
        </w:rPr>
        <w:t>Caso Azul Rojas Marín y otra Vs. Perú</w:t>
      </w:r>
      <w:r w:rsidR="00065F63">
        <w:rPr>
          <w:sz w:val="16"/>
          <w:szCs w:val="16"/>
        </w:rPr>
        <w:t xml:space="preserve">, </w:t>
      </w:r>
      <w:r w:rsidR="00065F63" w:rsidRPr="00065F63">
        <w:rPr>
          <w:i/>
          <w:iCs/>
          <w:sz w:val="16"/>
          <w:szCs w:val="16"/>
        </w:rPr>
        <w:t>supra</w:t>
      </w:r>
      <w:r w:rsidR="00065F63">
        <w:rPr>
          <w:sz w:val="16"/>
          <w:szCs w:val="16"/>
        </w:rPr>
        <w:t xml:space="preserve">, párr. 49, e </w:t>
      </w:r>
      <w:r w:rsidRPr="00065F63">
        <w:rPr>
          <w:sz w:val="16"/>
          <w:szCs w:val="16"/>
        </w:rPr>
        <w:t>Instituto de Opinión Pública, Actitudes hacia la homosexualidad en el Perú, Febrero 2015, págs. 20 y 21, citando la Encuesta de Valores Mundiales. Disponible en:</w:t>
      </w:r>
    </w:p>
    <w:p w14:paraId="32966A3A" w14:textId="5CCA8346" w:rsidR="00694F52" w:rsidRPr="00065F63" w:rsidRDefault="00000000" w:rsidP="00DF7FF5">
      <w:pPr>
        <w:pStyle w:val="Textonotapie"/>
        <w:spacing w:before="40" w:after="40"/>
        <w:rPr>
          <w:sz w:val="16"/>
          <w:szCs w:val="16"/>
        </w:rPr>
      </w:pPr>
      <w:hyperlink r:id="rId12" w:history="1">
        <w:r w:rsidR="00694F52" w:rsidRPr="00065F63">
          <w:rPr>
            <w:rStyle w:val="Hipervnculo"/>
            <w:sz w:val="16"/>
            <w:szCs w:val="16"/>
          </w:rPr>
          <w:t>http://repositorio.pucp.edu.pe/index/bitstream/handle/123456789/47040/Cuadernos%20de%20investigaci%C3%B3n%2011.pdf?sequence=4</w:t>
        </w:r>
      </w:hyperlink>
    </w:p>
  </w:footnote>
  <w:footnote w:id="110">
    <w:p w14:paraId="25D9682C" w14:textId="5681397A" w:rsidR="00745B44" w:rsidRPr="00065F63" w:rsidRDefault="00745B4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i/>
          <w:iCs/>
          <w:sz w:val="16"/>
          <w:szCs w:val="16"/>
        </w:rPr>
        <w:t>Opinión Consultiva OC-24/17</w:t>
      </w:r>
      <w:r w:rsidRPr="00065F63">
        <w:rPr>
          <w:sz w:val="16"/>
          <w:szCs w:val="16"/>
        </w:rPr>
        <w:t xml:space="preserve">, </w:t>
      </w:r>
      <w:r w:rsidRPr="00065F63">
        <w:rPr>
          <w:i/>
          <w:iCs/>
          <w:sz w:val="16"/>
          <w:szCs w:val="16"/>
        </w:rPr>
        <w:t>supra</w:t>
      </w:r>
      <w:r w:rsidRPr="00065F63">
        <w:rPr>
          <w:sz w:val="16"/>
          <w:szCs w:val="16"/>
        </w:rPr>
        <w:t>, párrs. 113 y 114, y C</w:t>
      </w:r>
      <w:r w:rsidRPr="00065F63">
        <w:rPr>
          <w:i/>
          <w:iCs/>
          <w:sz w:val="16"/>
          <w:szCs w:val="16"/>
        </w:rPr>
        <w:t>aso Vicky Hernández y otras Vs. Honduras</w:t>
      </w:r>
      <w:r w:rsidR="00A76CFC" w:rsidRPr="00065F63">
        <w:rPr>
          <w:i/>
          <w:iCs/>
          <w:sz w:val="16"/>
          <w:szCs w:val="16"/>
        </w:rPr>
        <w:t>, supra</w:t>
      </w:r>
      <w:r w:rsidRPr="00065F63">
        <w:rPr>
          <w:sz w:val="16"/>
          <w:szCs w:val="16"/>
        </w:rPr>
        <w:t>, párr. 119.</w:t>
      </w:r>
    </w:p>
  </w:footnote>
  <w:footnote w:id="111">
    <w:p w14:paraId="5F004774" w14:textId="1E704BF2" w:rsidR="00745B44" w:rsidRPr="00065F63" w:rsidRDefault="00745B4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Vicky Hernández y otras Vs. Honduras</w:t>
      </w:r>
      <w:r w:rsidR="00A76CFC" w:rsidRPr="00065F63">
        <w:rPr>
          <w:i/>
          <w:iCs/>
          <w:sz w:val="16"/>
          <w:szCs w:val="16"/>
        </w:rPr>
        <w:t>, supra,</w:t>
      </w:r>
      <w:r w:rsidRPr="00065F63">
        <w:rPr>
          <w:sz w:val="16"/>
          <w:szCs w:val="16"/>
        </w:rPr>
        <w:t xml:space="preserve"> párr. 116</w:t>
      </w:r>
      <w:r w:rsidR="00AA48A4" w:rsidRPr="00065F63">
        <w:rPr>
          <w:sz w:val="16"/>
          <w:szCs w:val="16"/>
        </w:rPr>
        <w:t>,</w:t>
      </w:r>
      <w:r w:rsidR="00AA48A4" w:rsidRPr="00065F63">
        <w:rPr>
          <w:spacing w:val="-6"/>
          <w:sz w:val="16"/>
          <w:szCs w:val="16"/>
        </w:rPr>
        <w:t xml:space="preserve"> </w:t>
      </w:r>
      <w:r w:rsidR="00AA48A4" w:rsidRPr="00065F63">
        <w:rPr>
          <w:sz w:val="16"/>
          <w:szCs w:val="16"/>
        </w:rPr>
        <w:t xml:space="preserve">y </w:t>
      </w:r>
      <w:r w:rsidR="00AA48A4" w:rsidRPr="00065F63">
        <w:rPr>
          <w:i/>
          <w:iCs/>
          <w:sz w:val="16"/>
          <w:szCs w:val="16"/>
        </w:rPr>
        <w:t xml:space="preserve">Caso </w:t>
      </w:r>
      <w:proofErr w:type="spellStart"/>
      <w:r w:rsidR="00AA48A4" w:rsidRPr="00065F63">
        <w:rPr>
          <w:i/>
          <w:iCs/>
          <w:sz w:val="16"/>
          <w:szCs w:val="16"/>
        </w:rPr>
        <w:t>Pavez</w:t>
      </w:r>
      <w:proofErr w:type="spellEnd"/>
      <w:r w:rsidR="00AA48A4" w:rsidRPr="00065F63">
        <w:rPr>
          <w:i/>
          <w:iCs/>
          <w:sz w:val="16"/>
          <w:szCs w:val="16"/>
        </w:rPr>
        <w:t xml:space="preserve"> </w:t>
      </w:r>
      <w:proofErr w:type="spellStart"/>
      <w:r w:rsidR="00AA48A4" w:rsidRPr="00065F63">
        <w:rPr>
          <w:i/>
          <w:iCs/>
          <w:sz w:val="16"/>
          <w:szCs w:val="16"/>
        </w:rPr>
        <w:t>Pavez</w:t>
      </w:r>
      <w:proofErr w:type="spellEnd"/>
      <w:r w:rsidR="00AA48A4" w:rsidRPr="00065F63">
        <w:rPr>
          <w:i/>
          <w:iCs/>
          <w:sz w:val="16"/>
          <w:szCs w:val="16"/>
        </w:rPr>
        <w:t xml:space="preserve"> Vs. Chile, supra</w:t>
      </w:r>
      <w:r w:rsidR="00AA48A4" w:rsidRPr="00065F63">
        <w:rPr>
          <w:sz w:val="16"/>
          <w:szCs w:val="16"/>
        </w:rPr>
        <w:t>, párr. 60</w:t>
      </w:r>
      <w:r w:rsidRPr="00065F63">
        <w:rPr>
          <w:sz w:val="16"/>
          <w:szCs w:val="16"/>
        </w:rPr>
        <w:t xml:space="preserve">. </w:t>
      </w:r>
    </w:p>
  </w:footnote>
  <w:footnote w:id="112">
    <w:p w14:paraId="3503BBDC" w14:textId="1004908A" w:rsidR="00AA48A4" w:rsidRPr="00065F63" w:rsidRDefault="00AA48A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 Caso Chaparro Álvarez y Lapo Íñiguez Vs. Ecuador. Excepciones Preliminares, Fondo, Reparaciones y Costas</w:t>
      </w:r>
      <w:r w:rsidRPr="00065F63">
        <w:rPr>
          <w:sz w:val="16"/>
          <w:szCs w:val="16"/>
        </w:rPr>
        <w:t>. Sentencia</w:t>
      </w:r>
      <w:r w:rsidRPr="00065F63">
        <w:rPr>
          <w:spacing w:val="-1"/>
          <w:sz w:val="16"/>
          <w:szCs w:val="16"/>
        </w:rPr>
        <w:t xml:space="preserve"> </w:t>
      </w:r>
      <w:r w:rsidRPr="00065F63">
        <w:rPr>
          <w:sz w:val="16"/>
          <w:szCs w:val="16"/>
        </w:rPr>
        <w:t>de</w:t>
      </w:r>
      <w:r w:rsidRPr="00065F63">
        <w:rPr>
          <w:spacing w:val="-2"/>
          <w:sz w:val="16"/>
          <w:szCs w:val="16"/>
        </w:rPr>
        <w:t xml:space="preserve"> </w:t>
      </w:r>
      <w:r w:rsidRPr="00065F63">
        <w:rPr>
          <w:sz w:val="16"/>
          <w:szCs w:val="16"/>
        </w:rPr>
        <w:t>21</w:t>
      </w:r>
      <w:r w:rsidRPr="00065F63">
        <w:rPr>
          <w:spacing w:val="-2"/>
          <w:sz w:val="16"/>
          <w:szCs w:val="16"/>
        </w:rPr>
        <w:t xml:space="preserve"> </w:t>
      </w:r>
      <w:r w:rsidRPr="00065F63">
        <w:rPr>
          <w:sz w:val="16"/>
          <w:szCs w:val="16"/>
        </w:rPr>
        <w:t>de</w:t>
      </w:r>
      <w:r w:rsidRPr="00065F63">
        <w:rPr>
          <w:spacing w:val="-2"/>
          <w:sz w:val="16"/>
          <w:szCs w:val="16"/>
        </w:rPr>
        <w:t xml:space="preserve"> </w:t>
      </w:r>
      <w:r w:rsidRPr="00065F63">
        <w:rPr>
          <w:sz w:val="16"/>
          <w:szCs w:val="16"/>
        </w:rPr>
        <w:t>noviembre de</w:t>
      </w:r>
      <w:r w:rsidRPr="00065F63">
        <w:rPr>
          <w:spacing w:val="-2"/>
          <w:sz w:val="16"/>
          <w:szCs w:val="16"/>
        </w:rPr>
        <w:t xml:space="preserve"> </w:t>
      </w:r>
      <w:r w:rsidRPr="00065F63">
        <w:rPr>
          <w:sz w:val="16"/>
          <w:szCs w:val="16"/>
        </w:rPr>
        <w:t>2007.</w:t>
      </w:r>
      <w:r w:rsidRPr="00065F63">
        <w:rPr>
          <w:spacing w:val="-3"/>
          <w:sz w:val="16"/>
          <w:szCs w:val="16"/>
        </w:rPr>
        <w:t xml:space="preserve"> </w:t>
      </w:r>
      <w:r w:rsidRPr="00065F63">
        <w:rPr>
          <w:sz w:val="16"/>
          <w:szCs w:val="16"/>
        </w:rPr>
        <w:t>Serie C</w:t>
      </w:r>
      <w:r w:rsidRPr="00065F63">
        <w:rPr>
          <w:spacing w:val="-2"/>
          <w:sz w:val="16"/>
          <w:szCs w:val="16"/>
        </w:rPr>
        <w:t xml:space="preserve"> </w:t>
      </w:r>
      <w:r w:rsidRPr="00065F63">
        <w:rPr>
          <w:sz w:val="16"/>
          <w:szCs w:val="16"/>
        </w:rPr>
        <w:t>No.</w:t>
      </w:r>
      <w:r w:rsidRPr="00065F63">
        <w:rPr>
          <w:spacing w:val="-1"/>
          <w:sz w:val="16"/>
          <w:szCs w:val="16"/>
        </w:rPr>
        <w:t xml:space="preserve"> </w:t>
      </w:r>
      <w:r w:rsidRPr="00065F63">
        <w:rPr>
          <w:sz w:val="16"/>
          <w:szCs w:val="16"/>
        </w:rPr>
        <w:t>170,</w:t>
      </w:r>
      <w:r w:rsidRPr="00065F63">
        <w:rPr>
          <w:spacing w:val="-1"/>
          <w:sz w:val="16"/>
          <w:szCs w:val="16"/>
        </w:rPr>
        <w:t xml:space="preserve"> </w:t>
      </w:r>
      <w:r w:rsidRPr="00065F63">
        <w:rPr>
          <w:sz w:val="16"/>
          <w:szCs w:val="16"/>
        </w:rPr>
        <w:t>párr.</w:t>
      </w:r>
      <w:r w:rsidRPr="00065F63">
        <w:rPr>
          <w:spacing w:val="-3"/>
          <w:sz w:val="16"/>
          <w:szCs w:val="16"/>
        </w:rPr>
        <w:t xml:space="preserve"> </w:t>
      </w:r>
      <w:r w:rsidRPr="00065F63">
        <w:rPr>
          <w:sz w:val="16"/>
          <w:szCs w:val="16"/>
        </w:rPr>
        <w:t xml:space="preserve">52, y </w:t>
      </w:r>
      <w:r w:rsidRPr="00065F63">
        <w:rPr>
          <w:i/>
          <w:iCs/>
          <w:sz w:val="16"/>
          <w:szCs w:val="16"/>
        </w:rPr>
        <w:t xml:space="preserve">Caso </w:t>
      </w:r>
      <w:proofErr w:type="spellStart"/>
      <w:r w:rsidRPr="00065F63">
        <w:rPr>
          <w:i/>
          <w:iCs/>
          <w:sz w:val="16"/>
          <w:szCs w:val="16"/>
        </w:rPr>
        <w:t>Pavez</w:t>
      </w:r>
      <w:proofErr w:type="spellEnd"/>
      <w:r w:rsidRPr="00065F63">
        <w:rPr>
          <w:i/>
          <w:iCs/>
          <w:sz w:val="16"/>
          <w:szCs w:val="16"/>
        </w:rPr>
        <w:t xml:space="preserve"> </w:t>
      </w:r>
      <w:proofErr w:type="spellStart"/>
      <w:r w:rsidRPr="00065F63">
        <w:rPr>
          <w:i/>
          <w:iCs/>
          <w:sz w:val="16"/>
          <w:szCs w:val="16"/>
        </w:rPr>
        <w:t>Pavez</w:t>
      </w:r>
      <w:proofErr w:type="spellEnd"/>
      <w:r w:rsidRPr="00065F63">
        <w:rPr>
          <w:i/>
          <w:iCs/>
          <w:sz w:val="16"/>
          <w:szCs w:val="16"/>
        </w:rPr>
        <w:t xml:space="preserve"> Vs. Chile, supra</w:t>
      </w:r>
      <w:r w:rsidRPr="00065F63">
        <w:rPr>
          <w:sz w:val="16"/>
          <w:szCs w:val="16"/>
        </w:rPr>
        <w:t>, párr. 60.</w:t>
      </w:r>
    </w:p>
  </w:footnote>
  <w:footnote w:id="113">
    <w:p w14:paraId="72A04A8F" w14:textId="44DA914A" w:rsidR="00AA48A4" w:rsidRPr="00065F63" w:rsidRDefault="00AA48A4"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8"/>
          <w:sz w:val="16"/>
          <w:szCs w:val="16"/>
        </w:rPr>
        <w:t xml:space="preserve"> </w:t>
      </w:r>
      <w:r w:rsidRPr="00065F63">
        <w:rPr>
          <w:i/>
          <w:sz w:val="16"/>
          <w:szCs w:val="16"/>
        </w:rPr>
        <w:t>Caso</w:t>
      </w:r>
      <w:r w:rsidRPr="00065F63">
        <w:rPr>
          <w:i/>
          <w:spacing w:val="-9"/>
          <w:sz w:val="16"/>
          <w:szCs w:val="16"/>
        </w:rPr>
        <w:t xml:space="preserve"> </w:t>
      </w:r>
      <w:r w:rsidRPr="00065F63">
        <w:rPr>
          <w:i/>
          <w:sz w:val="16"/>
          <w:szCs w:val="16"/>
        </w:rPr>
        <w:t>Atala</w:t>
      </w:r>
      <w:r w:rsidRPr="00065F63">
        <w:rPr>
          <w:i/>
          <w:spacing w:val="-8"/>
          <w:sz w:val="16"/>
          <w:szCs w:val="16"/>
        </w:rPr>
        <w:t xml:space="preserve"> </w:t>
      </w:r>
      <w:r w:rsidRPr="00065F63">
        <w:rPr>
          <w:i/>
          <w:sz w:val="16"/>
          <w:szCs w:val="16"/>
        </w:rPr>
        <w:t>Riffo</w:t>
      </w:r>
      <w:r w:rsidRPr="00065F63">
        <w:rPr>
          <w:i/>
          <w:spacing w:val="-9"/>
          <w:sz w:val="16"/>
          <w:szCs w:val="16"/>
        </w:rPr>
        <w:t xml:space="preserve"> </w:t>
      </w:r>
      <w:r w:rsidRPr="00065F63">
        <w:rPr>
          <w:i/>
          <w:sz w:val="16"/>
          <w:szCs w:val="16"/>
        </w:rPr>
        <w:t>y</w:t>
      </w:r>
      <w:r w:rsidRPr="00065F63">
        <w:rPr>
          <w:i/>
          <w:spacing w:val="-4"/>
          <w:sz w:val="16"/>
          <w:szCs w:val="16"/>
        </w:rPr>
        <w:t xml:space="preserve"> </w:t>
      </w:r>
      <w:r w:rsidRPr="00065F63">
        <w:rPr>
          <w:i/>
          <w:sz w:val="16"/>
          <w:szCs w:val="16"/>
        </w:rPr>
        <w:t>niñas</w:t>
      </w:r>
      <w:r w:rsidRPr="00065F63">
        <w:rPr>
          <w:i/>
          <w:spacing w:val="-7"/>
          <w:sz w:val="16"/>
          <w:szCs w:val="16"/>
        </w:rPr>
        <w:t xml:space="preserve"> </w:t>
      </w:r>
      <w:r w:rsidRPr="00065F63">
        <w:rPr>
          <w:i/>
          <w:sz w:val="16"/>
          <w:szCs w:val="16"/>
        </w:rPr>
        <w:t>Vs.</w:t>
      </w:r>
      <w:r w:rsidRPr="00065F63">
        <w:rPr>
          <w:i/>
          <w:spacing w:val="-6"/>
          <w:sz w:val="16"/>
          <w:szCs w:val="16"/>
        </w:rPr>
        <w:t xml:space="preserve"> </w:t>
      </w:r>
      <w:r w:rsidRPr="00065F63">
        <w:rPr>
          <w:i/>
          <w:sz w:val="16"/>
          <w:szCs w:val="16"/>
        </w:rPr>
        <w:t>Chile</w:t>
      </w:r>
      <w:r w:rsidRPr="00065F63">
        <w:rPr>
          <w:sz w:val="16"/>
          <w:szCs w:val="16"/>
        </w:rPr>
        <w:t>,</w:t>
      </w:r>
      <w:r w:rsidRPr="00065F63">
        <w:rPr>
          <w:spacing w:val="-8"/>
          <w:sz w:val="16"/>
          <w:szCs w:val="16"/>
        </w:rPr>
        <w:t xml:space="preserve"> </w:t>
      </w:r>
      <w:r w:rsidRPr="00065F63">
        <w:rPr>
          <w:i/>
          <w:sz w:val="16"/>
          <w:szCs w:val="16"/>
        </w:rPr>
        <w:t>supra</w:t>
      </w:r>
      <w:r w:rsidRPr="00065F63">
        <w:rPr>
          <w:sz w:val="16"/>
          <w:szCs w:val="16"/>
        </w:rPr>
        <w:t>,</w:t>
      </w:r>
      <w:r w:rsidRPr="00065F63">
        <w:rPr>
          <w:spacing w:val="-11"/>
          <w:sz w:val="16"/>
          <w:szCs w:val="16"/>
        </w:rPr>
        <w:t xml:space="preserve"> </w:t>
      </w:r>
      <w:r w:rsidRPr="00065F63">
        <w:rPr>
          <w:sz w:val="16"/>
          <w:szCs w:val="16"/>
        </w:rPr>
        <w:t>párr.</w:t>
      </w:r>
      <w:r w:rsidRPr="00065F63">
        <w:rPr>
          <w:spacing w:val="-8"/>
          <w:sz w:val="16"/>
          <w:szCs w:val="16"/>
        </w:rPr>
        <w:t xml:space="preserve"> </w:t>
      </w:r>
      <w:r w:rsidRPr="00065F63">
        <w:rPr>
          <w:sz w:val="16"/>
          <w:szCs w:val="16"/>
        </w:rPr>
        <w:t>14</w:t>
      </w:r>
      <w:r w:rsidR="00F0678F">
        <w:rPr>
          <w:sz w:val="16"/>
          <w:szCs w:val="16"/>
        </w:rPr>
        <w:t>2</w:t>
      </w:r>
      <w:r w:rsidRPr="00065F63">
        <w:rPr>
          <w:sz w:val="16"/>
          <w:szCs w:val="16"/>
        </w:rPr>
        <w:t>,</w:t>
      </w:r>
      <w:r w:rsidRPr="00065F63">
        <w:rPr>
          <w:spacing w:val="-6"/>
          <w:sz w:val="16"/>
          <w:szCs w:val="16"/>
        </w:rPr>
        <w:t xml:space="preserve"> </w:t>
      </w:r>
      <w:r w:rsidRPr="00065F63">
        <w:rPr>
          <w:sz w:val="16"/>
          <w:szCs w:val="16"/>
        </w:rPr>
        <w:t xml:space="preserve">y </w:t>
      </w:r>
      <w:r w:rsidRPr="00065F63">
        <w:rPr>
          <w:i/>
          <w:iCs/>
          <w:sz w:val="16"/>
          <w:szCs w:val="16"/>
        </w:rPr>
        <w:t xml:space="preserve">Caso </w:t>
      </w:r>
      <w:proofErr w:type="spellStart"/>
      <w:r w:rsidRPr="00065F63">
        <w:rPr>
          <w:i/>
          <w:iCs/>
          <w:sz w:val="16"/>
          <w:szCs w:val="16"/>
        </w:rPr>
        <w:t>Pavez</w:t>
      </w:r>
      <w:proofErr w:type="spellEnd"/>
      <w:r w:rsidRPr="00065F63">
        <w:rPr>
          <w:i/>
          <w:iCs/>
          <w:sz w:val="16"/>
          <w:szCs w:val="16"/>
        </w:rPr>
        <w:t xml:space="preserve"> </w:t>
      </w:r>
      <w:proofErr w:type="spellStart"/>
      <w:r w:rsidRPr="00065F63">
        <w:rPr>
          <w:i/>
          <w:iCs/>
          <w:sz w:val="16"/>
          <w:szCs w:val="16"/>
        </w:rPr>
        <w:t>Pavez</w:t>
      </w:r>
      <w:proofErr w:type="spellEnd"/>
      <w:r w:rsidRPr="00065F63">
        <w:rPr>
          <w:i/>
          <w:iCs/>
          <w:sz w:val="16"/>
          <w:szCs w:val="16"/>
        </w:rPr>
        <w:t xml:space="preserve"> Vs. Chile, supra</w:t>
      </w:r>
      <w:r w:rsidRPr="00065F63">
        <w:rPr>
          <w:sz w:val="16"/>
          <w:szCs w:val="16"/>
        </w:rPr>
        <w:t>, párr. 62.</w:t>
      </w:r>
    </w:p>
  </w:footnote>
  <w:footnote w:id="114">
    <w:p w14:paraId="6626A627" w14:textId="5368D954" w:rsidR="008C314C" w:rsidRPr="00065F63" w:rsidRDefault="008C314C"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6"/>
          <w:sz w:val="16"/>
          <w:szCs w:val="16"/>
        </w:rPr>
        <w:t xml:space="preserve"> </w:t>
      </w:r>
      <w:r w:rsidRPr="00065F63">
        <w:rPr>
          <w:iCs/>
          <w:sz w:val="16"/>
          <w:szCs w:val="16"/>
        </w:rPr>
        <w:t>Opinión</w:t>
      </w:r>
      <w:r w:rsidRPr="00065F63">
        <w:rPr>
          <w:iCs/>
          <w:spacing w:val="-6"/>
          <w:sz w:val="16"/>
          <w:szCs w:val="16"/>
        </w:rPr>
        <w:t xml:space="preserve"> </w:t>
      </w:r>
      <w:r w:rsidRPr="00065F63">
        <w:rPr>
          <w:iCs/>
          <w:sz w:val="16"/>
          <w:szCs w:val="16"/>
        </w:rPr>
        <w:t>Consultiva</w:t>
      </w:r>
      <w:r w:rsidRPr="00065F63">
        <w:rPr>
          <w:iCs/>
          <w:spacing w:val="-6"/>
          <w:sz w:val="16"/>
          <w:szCs w:val="16"/>
        </w:rPr>
        <w:t xml:space="preserve"> </w:t>
      </w:r>
      <w:r w:rsidRPr="00065F63">
        <w:rPr>
          <w:iCs/>
          <w:sz w:val="16"/>
          <w:szCs w:val="16"/>
        </w:rPr>
        <w:t>OC-24/17</w:t>
      </w:r>
      <w:r w:rsidRPr="00065F63">
        <w:rPr>
          <w:sz w:val="16"/>
          <w:szCs w:val="16"/>
        </w:rPr>
        <w:t>,</w:t>
      </w:r>
      <w:r w:rsidRPr="00065F63">
        <w:rPr>
          <w:spacing w:val="-6"/>
          <w:sz w:val="16"/>
          <w:szCs w:val="16"/>
        </w:rPr>
        <w:t xml:space="preserve"> </w:t>
      </w:r>
      <w:r w:rsidR="00604713" w:rsidRPr="00065F63">
        <w:rPr>
          <w:i/>
          <w:iCs/>
          <w:spacing w:val="-6"/>
          <w:sz w:val="16"/>
          <w:szCs w:val="16"/>
        </w:rPr>
        <w:t>supra</w:t>
      </w:r>
      <w:r w:rsidR="00604713" w:rsidRPr="00065F63">
        <w:rPr>
          <w:spacing w:val="-6"/>
          <w:sz w:val="16"/>
          <w:szCs w:val="16"/>
        </w:rPr>
        <w:t xml:space="preserve">, </w:t>
      </w:r>
      <w:r w:rsidRPr="00065F63">
        <w:rPr>
          <w:sz w:val="16"/>
          <w:szCs w:val="16"/>
        </w:rPr>
        <w:t>párr.</w:t>
      </w:r>
      <w:r w:rsidRPr="00065F63">
        <w:rPr>
          <w:spacing w:val="-6"/>
          <w:sz w:val="16"/>
          <w:szCs w:val="16"/>
        </w:rPr>
        <w:t xml:space="preserve"> </w:t>
      </w:r>
      <w:r w:rsidRPr="00065F63">
        <w:rPr>
          <w:sz w:val="16"/>
          <w:szCs w:val="16"/>
        </w:rPr>
        <w:t>87,</w:t>
      </w:r>
      <w:r w:rsidRPr="00065F63">
        <w:rPr>
          <w:spacing w:val="-6"/>
          <w:sz w:val="16"/>
          <w:szCs w:val="16"/>
        </w:rPr>
        <w:t xml:space="preserve"> </w:t>
      </w:r>
      <w:r w:rsidRPr="00065F63">
        <w:rPr>
          <w:sz w:val="16"/>
          <w:szCs w:val="16"/>
        </w:rPr>
        <w:t xml:space="preserve">y </w:t>
      </w:r>
      <w:r w:rsidRPr="00065F63">
        <w:rPr>
          <w:i/>
          <w:iCs/>
          <w:sz w:val="16"/>
          <w:szCs w:val="16"/>
        </w:rPr>
        <w:t>Caso Pavez Pavez Vs. Chile, supra</w:t>
      </w:r>
      <w:r w:rsidRPr="00065F63">
        <w:rPr>
          <w:sz w:val="16"/>
          <w:szCs w:val="16"/>
        </w:rPr>
        <w:t>, párr. 58.</w:t>
      </w:r>
    </w:p>
  </w:footnote>
  <w:footnote w:id="115">
    <w:p w14:paraId="0534D1AB" w14:textId="090315C4" w:rsidR="00AA48A4" w:rsidRPr="00065F63" w:rsidRDefault="00AA48A4" w:rsidP="00DF7FF5">
      <w:pPr>
        <w:pStyle w:val="Textonotapie"/>
        <w:spacing w:before="40" w:after="40"/>
        <w:rPr>
          <w:sz w:val="16"/>
          <w:szCs w:val="16"/>
        </w:rPr>
      </w:pPr>
      <w:r w:rsidRPr="00065F63">
        <w:rPr>
          <w:rStyle w:val="Refdenotaalpie"/>
          <w:sz w:val="16"/>
          <w:szCs w:val="16"/>
        </w:rPr>
        <w:footnoteRef/>
      </w:r>
      <w:r w:rsidRPr="00065F63">
        <w:rPr>
          <w:i/>
          <w:sz w:val="16"/>
          <w:szCs w:val="16"/>
        </w:rPr>
        <w:t xml:space="preserve"> </w:t>
      </w:r>
      <w:r w:rsidRPr="00065F63">
        <w:rPr>
          <w:i/>
          <w:sz w:val="16"/>
          <w:szCs w:val="16"/>
        </w:rPr>
        <w:tab/>
        <w:t>Cfr.</w:t>
      </w:r>
      <w:r w:rsidRPr="00065F63">
        <w:rPr>
          <w:i/>
          <w:spacing w:val="-1"/>
          <w:sz w:val="16"/>
          <w:szCs w:val="16"/>
        </w:rPr>
        <w:t xml:space="preserve"> </w:t>
      </w:r>
      <w:r w:rsidR="00604713" w:rsidRPr="00065F63">
        <w:rPr>
          <w:iCs/>
          <w:sz w:val="16"/>
          <w:szCs w:val="16"/>
        </w:rPr>
        <w:t>Opinión</w:t>
      </w:r>
      <w:r w:rsidR="00604713" w:rsidRPr="00065F63">
        <w:rPr>
          <w:iCs/>
          <w:spacing w:val="-6"/>
          <w:sz w:val="16"/>
          <w:szCs w:val="16"/>
        </w:rPr>
        <w:t xml:space="preserve"> </w:t>
      </w:r>
      <w:r w:rsidR="00604713" w:rsidRPr="00065F63">
        <w:rPr>
          <w:iCs/>
          <w:sz w:val="16"/>
          <w:szCs w:val="16"/>
        </w:rPr>
        <w:t>Consultiva</w:t>
      </w:r>
      <w:r w:rsidR="00604713" w:rsidRPr="00065F63">
        <w:rPr>
          <w:iCs/>
          <w:spacing w:val="-6"/>
          <w:sz w:val="16"/>
          <w:szCs w:val="16"/>
        </w:rPr>
        <w:t xml:space="preserve"> </w:t>
      </w:r>
      <w:r w:rsidR="00604713" w:rsidRPr="00065F63">
        <w:rPr>
          <w:iCs/>
          <w:sz w:val="16"/>
          <w:szCs w:val="16"/>
        </w:rPr>
        <w:t>OC-24/17</w:t>
      </w:r>
      <w:r w:rsidR="00604713" w:rsidRPr="00065F63">
        <w:rPr>
          <w:sz w:val="16"/>
          <w:szCs w:val="16"/>
        </w:rPr>
        <w:t>,</w:t>
      </w:r>
      <w:r w:rsidR="00604713" w:rsidRPr="00065F63">
        <w:rPr>
          <w:spacing w:val="-6"/>
          <w:sz w:val="16"/>
          <w:szCs w:val="16"/>
        </w:rPr>
        <w:t xml:space="preserve"> </w:t>
      </w:r>
      <w:r w:rsidR="00604713" w:rsidRPr="00065F63">
        <w:rPr>
          <w:i/>
          <w:iCs/>
          <w:spacing w:val="-6"/>
          <w:sz w:val="16"/>
          <w:szCs w:val="16"/>
        </w:rPr>
        <w:t>supra</w:t>
      </w:r>
      <w:r w:rsidR="00604713" w:rsidRPr="00065F63">
        <w:rPr>
          <w:spacing w:val="-6"/>
          <w:sz w:val="16"/>
          <w:szCs w:val="16"/>
        </w:rPr>
        <w:t xml:space="preserve">, </w:t>
      </w:r>
      <w:r w:rsidRPr="00065F63">
        <w:rPr>
          <w:sz w:val="16"/>
          <w:szCs w:val="16"/>
        </w:rPr>
        <w:t xml:space="preserve">párr. 86, y </w:t>
      </w:r>
      <w:r w:rsidRPr="00065F63">
        <w:rPr>
          <w:i/>
          <w:iCs/>
          <w:sz w:val="16"/>
          <w:szCs w:val="16"/>
        </w:rPr>
        <w:t>Caso Pavez Pavez Vs. Chile</w:t>
      </w:r>
      <w:r w:rsidR="00604713" w:rsidRPr="00065F63">
        <w:rPr>
          <w:i/>
          <w:iCs/>
          <w:sz w:val="16"/>
          <w:szCs w:val="16"/>
        </w:rPr>
        <w:t>, supra</w:t>
      </w:r>
      <w:r w:rsidRPr="00065F63">
        <w:rPr>
          <w:sz w:val="16"/>
          <w:szCs w:val="16"/>
        </w:rPr>
        <w:t>, párr. 57.</w:t>
      </w:r>
    </w:p>
  </w:footnote>
  <w:footnote w:id="116">
    <w:p w14:paraId="66DD11A5" w14:textId="67848FA7" w:rsidR="00AE074C" w:rsidRPr="00AE074C" w:rsidRDefault="00AE074C">
      <w:pPr>
        <w:pStyle w:val="Textonotapie"/>
      </w:pPr>
      <w:r>
        <w:rPr>
          <w:rStyle w:val="Refdenotaalpie"/>
        </w:rPr>
        <w:footnoteRef/>
      </w:r>
      <w:r>
        <w:t xml:space="preserve"> </w:t>
      </w:r>
      <w:r w:rsidR="007A514D">
        <w:tab/>
      </w:r>
      <w:r w:rsidR="007A514D" w:rsidRPr="00D60228">
        <w:rPr>
          <w:rFonts w:eastAsia="Verdana" w:cs="Verdana"/>
          <w:i/>
          <w:sz w:val="16"/>
          <w:szCs w:val="16"/>
        </w:rPr>
        <w:t xml:space="preserve">Cfr. Caso de la "Masacre de Mapiripán" Vs. Colombia. </w:t>
      </w:r>
      <w:r w:rsidR="007A514D" w:rsidRPr="00D60228">
        <w:rPr>
          <w:rFonts w:eastAsia="Verdana" w:cs="Verdana"/>
          <w:sz w:val="16"/>
          <w:szCs w:val="16"/>
        </w:rPr>
        <w:t>Sentencia de 15 de septiembre de 2005. Serie C No.</w:t>
      </w:r>
      <w:r w:rsidR="007A514D" w:rsidRPr="00D60228">
        <w:rPr>
          <w:rFonts w:eastAsia="Verdana" w:cs="Verdana"/>
          <w:spacing w:val="1"/>
          <w:sz w:val="16"/>
          <w:szCs w:val="16"/>
        </w:rPr>
        <w:t xml:space="preserve"> </w:t>
      </w:r>
      <w:r w:rsidR="007A514D" w:rsidRPr="00D60228">
        <w:rPr>
          <w:rFonts w:eastAsia="Verdana" w:cs="Verdana"/>
          <w:sz w:val="16"/>
          <w:szCs w:val="16"/>
        </w:rPr>
        <w:t>134, párr. 111, y</w:t>
      </w:r>
      <w:r w:rsidR="0078369A">
        <w:rPr>
          <w:rFonts w:eastAsia="Verdana" w:cs="Verdana"/>
          <w:i/>
          <w:iCs/>
          <w:sz w:val="16"/>
          <w:szCs w:val="16"/>
        </w:rPr>
        <w:t xml:space="preserve"> </w:t>
      </w:r>
      <w:r w:rsidR="0078369A" w:rsidRPr="0078369A">
        <w:rPr>
          <w:rFonts w:eastAsia="Verdana" w:cs="Verdana"/>
          <w:i/>
          <w:iCs/>
          <w:sz w:val="16"/>
          <w:szCs w:val="16"/>
        </w:rPr>
        <w:t xml:space="preserve">Caso Vera Rojas y otros Vs. Chile. Excepciones preliminares, Fondo, Reparaciones y Costas. </w:t>
      </w:r>
      <w:r w:rsidR="0078369A" w:rsidRPr="0028163E">
        <w:rPr>
          <w:rFonts w:eastAsia="Verdana" w:cs="Verdana"/>
          <w:sz w:val="16"/>
          <w:szCs w:val="16"/>
        </w:rPr>
        <w:t>Sentencia de 1 de octubre de 2021. Serie C No. 439</w:t>
      </w:r>
      <w:r w:rsidR="0078369A" w:rsidRPr="0078369A">
        <w:rPr>
          <w:rFonts w:eastAsia="Verdana" w:cs="Verdana"/>
          <w:sz w:val="16"/>
          <w:szCs w:val="16"/>
        </w:rPr>
        <w:t>,</w:t>
      </w:r>
      <w:r w:rsidR="0078369A">
        <w:rPr>
          <w:rFonts w:eastAsia="Verdana" w:cs="Verdana"/>
          <w:sz w:val="16"/>
          <w:szCs w:val="16"/>
        </w:rPr>
        <w:t xml:space="preserve"> párr. 83.</w:t>
      </w:r>
    </w:p>
  </w:footnote>
  <w:footnote w:id="117">
    <w:p w14:paraId="5ED56DA1" w14:textId="6C8E903A" w:rsidR="00AE074C" w:rsidRPr="00AE074C" w:rsidRDefault="00AE074C">
      <w:pPr>
        <w:pStyle w:val="Textonotapie"/>
      </w:pPr>
      <w:r>
        <w:rPr>
          <w:rStyle w:val="Refdenotaalpie"/>
        </w:rPr>
        <w:footnoteRef/>
      </w:r>
      <w:r>
        <w:t xml:space="preserve"> </w:t>
      </w:r>
      <w:r w:rsidR="00ED4AEC">
        <w:tab/>
      </w:r>
      <w:r w:rsidR="00ED4AEC" w:rsidRPr="00D60228">
        <w:rPr>
          <w:i/>
          <w:iCs/>
          <w:sz w:val="16"/>
          <w:szCs w:val="16"/>
        </w:rPr>
        <w:t>Cfr. Caso de la Masacre de Pueblo Bello Vs. Colombia</w:t>
      </w:r>
      <w:r w:rsidR="00ED4AEC" w:rsidRPr="00D60228">
        <w:rPr>
          <w:sz w:val="16"/>
          <w:szCs w:val="16"/>
        </w:rPr>
        <w:t xml:space="preserve">. Sentencia de 31 de enero de 2006. Serie C No. 140, párr. 123, y </w:t>
      </w:r>
      <w:r w:rsidR="00EF3EA2" w:rsidRPr="0078369A">
        <w:rPr>
          <w:rFonts w:eastAsia="Verdana" w:cs="Verdana"/>
          <w:i/>
          <w:iCs/>
          <w:sz w:val="16"/>
          <w:szCs w:val="16"/>
        </w:rPr>
        <w:t>Caso Vera Rojas y otros Vs. Chile</w:t>
      </w:r>
      <w:r w:rsidR="00ED4AEC" w:rsidRPr="00D60228">
        <w:rPr>
          <w:i/>
          <w:iCs/>
          <w:sz w:val="16"/>
          <w:szCs w:val="16"/>
        </w:rPr>
        <w:t>, supra</w:t>
      </w:r>
      <w:r w:rsidR="00ED4AEC" w:rsidRPr="00D60228">
        <w:rPr>
          <w:sz w:val="16"/>
          <w:szCs w:val="16"/>
        </w:rPr>
        <w:t xml:space="preserve">, párr. </w:t>
      </w:r>
      <w:r w:rsidR="00EF3EA2">
        <w:rPr>
          <w:sz w:val="16"/>
          <w:szCs w:val="16"/>
        </w:rPr>
        <w:t>83</w:t>
      </w:r>
      <w:r w:rsidR="00ED4AEC" w:rsidRPr="00D60228">
        <w:rPr>
          <w:sz w:val="16"/>
          <w:szCs w:val="16"/>
        </w:rPr>
        <w:t>.</w:t>
      </w:r>
    </w:p>
  </w:footnote>
  <w:footnote w:id="118">
    <w:p w14:paraId="47E7CF36" w14:textId="77777777" w:rsidR="00D35372" w:rsidRPr="00065F63" w:rsidRDefault="00D3537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13"/>
          <w:sz w:val="16"/>
          <w:szCs w:val="16"/>
        </w:rPr>
        <w:t xml:space="preserve"> </w:t>
      </w:r>
      <w:r w:rsidRPr="00065F63">
        <w:rPr>
          <w:i/>
          <w:sz w:val="16"/>
          <w:szCs w:val="16"/>
        </w:rPr>
        <w:t>Condición</w:t>
      </w:r>
      <w:r w:rsidRPr="00065F63">
        <w:rPr>
          <w:i/>
          <w:spacing w:val="-13"/>
          <w:sz w:val="16"/>
          <w:szCs w:val="16"/>
        </w:rPr>
        <w:t xml:space="preserve"> </w:t>
      </w:r>
      <w:r w:rsidRPr="00065F63">
        <w:rPr>
          <w:i/>
          <w:sz w:val="16"/>
          <w:szCs w:val="16"/>
        </w:rPr>
        <w:t>jurídica</w:t>
      </w:r>
      <w:r w:rsidRPr="00065F63">
        <w:rPr>
          <w:i/>
          <w:spacing w:val="-15"/>
          <w:sz w:val="16"/>
          <w:szCs w:val="16"/>
        </w:rPr>
        <w:t xml:space="preserve"> </w:t>
      </w:r>
      <w:r w:rsidRPr="00065F63">
        <w:rPr>
          <w:i/>
          <w:sz w:val="16"/>
          <w:szCs w:val="16"/>
        </w:rPr>
        <w:t>y</w:t>
      </w:r>
      <w:r w:rsidRPr="00065F63">
        <w:rPr>
          <w:i/>
          <w:spacing w:val="-10"/>
          <w:sz w:val="16"/>
          <w:szCs w:val="16"/>
        </w:rPr>
        <w:t xml:space="preserve"> </w:t>
      </w:r>
      <w:r w:rsidRPr="00065F63">
        <w:rPr>
          <w:i/>
          <w:sz w:val="16"/>
          <w:szCs w:val="16"/>
        </w:rPr>
        <w:t>derechos</w:t>
      </w:r>
      <w:r w:rsidRPr="00065F63">
        <w:rPr>
          <w:i/>
          <w:spacing w:val="-12"/>
          <w:sz w:val="16"/>
          <w:szCs w:val="16"/>
        </w:rPr>
        <w:t xml:space="preserve"> </w:t>
      </w:r>
      <w:r w:rsidRPr="00065F63">
        <w:rPr>
          <w:i/>
          <w:sz w:val="16"/>
          <w:szCs w:val="16"/>
        </w:rPr>
        <w:t>de</w:t>
      </w:r>
      <w:r w:rsidRPr="00065F63">
        <w:rPr>
          <w:i/>
          <w:spacing w:val="-12"/>
          <w:sz w:val="16"/>
          <w:szCs w:val="16"/>
        </w:rPr>
        <w:t xml:space="preserve"> </w:t>
      </w:r>
      <w:r w:rsidRPr="00065F63">
        <w:rPr>
          <w:i/>
          <w:sz w:val="16"/>
          <w:szCs w:val="16"/>
        </w:rPr>
        <w:t>los</w:t>
      </w:r>
      <w:r w:rsidRPr="00065F63">
        <w:rPr>
          <w:i/>
          <w:spacing w:val="-14"/>
          <w:sz w:val="16"/>
          <w:szCs w:val="16"/>
        </w:rPr>
        <w:t xml:space="preserve"> </w:t>
      </w:r>
      <w:r w:rsidRPr="00065F63">
        <w:rPr>
          <w:i/>
          <w:sz w:val="16"/>
          <w:szCs w:val="16"/>
        </w:rPr>
        <w:t>migrantes</w:t>
      </w:r>
      <w:r w:rsidRPr="00065F63">
        <w:rPr>
          <w:i/>
          <w:spacing w:val="-12"/>
          <w:sz w:val="16"/>
          <w:szCs w:val="16"/>
        </w:rPr>
        <w:t xml:space="preserve"> </w:t>
      </w:r>
      <w:r w:rsidRPr="00065F63">
        <w:rPr>
          <w:i/>
          <w:sz w:val="16"/>
          <w:szCs w:val="16"/>
        </w:rPr>
        <w:t>indocumentados</w:t>
      </w:r>
      <w:r w:rsidRPr="00065F63">
        <w:rPr>
          <w:sz w:val="16"/>
          <w:szCs w:val="16"/>
        </w:rPr>
        <w:t>.</w:t>
      </w:r>
      <w:r w:rsidRPr="00065F63">
        <w:rPr>
          <w:spacing w:val="-15"/>
          <w:sz w:val="16"/>
          <w:szCs w:val="16"/>
        </w:rPr>
        <w:t xml:space="preserve"> </w:t>
      </w:r>
      <w:r w:rsidRPr="00065F63">
        <w:rPr>
          <w:sz w:val="16"/>
          <w:szCs w:val="16"/>
        </w:rPr>
        <w:t>Opinión</w:t>
      </w:r>
      <w:r w:rsidRPr="00065F63">
        <w:rPr>
          <w:spacing w:val="-12"/>
          <w:sz w:val="16"/>
          <w:szCs w:val="16"/>
        </w:rPr>
        <w:t xml:space="preserve"> </w:t>
      </w:r>
      <w:r w:rsidRPr="00065F63">
        <w:rPr>
          <w:sz w:val="16"/>
          <w:szCs w:val="16"/>
        </w:rPr>
        <w:t>Consultiva</w:t>
      </w:r>
      <w:r w:rsidRPr="00065F63">
        <w:rPr>
          <w:spacing w:val="-13"/>
          <w:sz w:val="16"/>
          <w:szCs w:val="16"/>
        </w:rPr>
        <w:t xml:space="preserve"> </w:t>
      </w:r>
      <w:r w:rsidRPr="00065F63">
        <w:rPr>
          <w:sz w:val="16"/>
          <w:szCs w:val="16"/>
        </w:rPr>
        <w:t>OC-18/03</w:t>
      </w:r>
      <w:r w:rsidRPr="00065F63">
        <w:rPr>
          <w:spacing w:val="-14"/>
          <w:sz w:val="16"/>
          <w:szCs w:val="16"/>
        </w:rPr>
        <w:t xml:space="preserve"> </w:t>
      </w:r>
      <w:r w:rsidRPr="00065F63">
        <w:rPr>
          <w:sz w:val="16"/>
          <w:szCs w:val="16"/>
        </w:rPr>
        <w:t>de</w:t>
      </w:r>
      <w:r w:rsidRPr="00065F63">
        <w:rPr>
          <w:spacing w:val="-14"/>
          <w:sz w:val="16"/>
          <w:szCs w:val="16"/>
        </w:rPr>
        <w:t xml:space="preserve"> </w:t>
      </w:r>
      <w:r w:rsidRPr="00065F63">
        <w:rPr>
          <w:sz w:val="16"/>
          <w:szCs w:val="16"/>
        </w:rPr>
        <w:t>17</w:t>
      </w:r>
      <w:r w:rsidRPr="00065F63">
        <w:rPr>
          <w:spacing w:val="-13"/>
          <w:sz w:val="16"/>
          <w:szCs w:val="16"/>
        </w:rPr>
        <w:t xml:space="preserve"> </w:t>
      </w:r>
      <w:r w:rsidRPr="00065F63">
        <w:rPr>
          <w:sz w:val="16"/>
          <w:szCs w:val="16"/>
        </w:rPr>
        <w:t>de</w:t>
      </w:r>
      <w:r w:rsidRPr="00065F63">
        <w:rPr>
          <w:spacing w:val="-14"/>
          <w:sz w:val="16"/>
          <w:szCs w:val="16"/>
        </w:rPr>
        <w:t xml:space="preserve"> </w:t>
      </w:r>
      <w:r w:rsidRPr="00065F63">
        <w:rPr>
          <w:sz w:val="16"/>
          <w:szCs w:val="16"/>
        </w:rPr>
        <w:t xml:space="preserve">septiembre de 2003. Serie A No. 18, párr. 103, y </w:t>
      </w:r>
      <w:r w:rsidRPr="00065F63">
        <w:rPr>
          <w:i/>
          <w:iCs/>
          <w:sz w:val="16"/>
          <w:szCs w:val="16"/>
        </w:rPr>
        <w:t>Caso Pavez Pavez Vs. Chile, supra</w:t>
      </w:r>
      <w:r w:rsidRPr="00065F63">
        <w:rPr>
          <w:sz w:val="16"/>
          <w:szCs w:val="16"/>
        </w:rPr>
        <w:t>, párr. 65.</w:t>
      </w:r>
    </w:p>
  </w:footnote>
  <w:footnote w:id="119">
    <w:p w14:paraId="30826B6B" w14:textId="7431677D" w:rsidR="008044C5" w:rsidRPr="00065F63" w:rsidRDefault="008044C5" w:rsidP="008044C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Opinión Consultiva OC-18/03, </w:t>
      </w:r>
      <w:r w:rsidRPr="00065F63">
        <w:rPr>
          <w:i/>
          <w:iCs/>
          <w:sz w:val="16"/>
          <w:szCs w:val="16"/>
        </w:rPr>
        <w:t>supra</w:t>
      </w:r>
      <w:r w:rsidRPr="00065F63">
        <w:rPr>
          <w:sz w:val="16"/>
          <w:szCs w:val="16"/>
        </w:rPr>
        <w:t xml:space="preserve">, párr. 104, e </w:t>
      </w:r>
      <w:r w:rsidRPr="00065F63">
        <w:rPr>
          <w:i/>
          <w:sz w:val="16"/>
          <w:szCs w:val="16"/>
        </w:rPr>
        <w:t>Opinión</w:t>
      </w:r>
      <w:r w:rsidRPr="00065F63">
        <w:rPr>
          <w:i/>
          <w:spacing w:val="-6"/>
          <w:sz w:val="16"/>
          <w:szCs w:val="16"/>
        </w:rPr>
        <w:t xml:space="preserve"> </w:t>
      </w:r>
      <w:r w:rsidRPr="00065F63">
        <w:rPr>
          <w:i/>
          <w:sz w:val="16"/>
          <w:szCs w:val="16"/>
        </w:rPr>
        <w:t>Consultiva</w:t>
      </w:r>
      <w:r w:rsidRPr="00065F63">
        <w:rPr>
          <w:i/>
          <w:spacing w:val="-6"/>
          <w:sz w:val="16"/>
          <w:szCs w:val="16"/>
        </w:rPr>
        <w:t xml:space="preserve"> </w:t>
      </w:r>
      <w:r w:rsidRPr="00065F63">
        <w:rPr>
          <w:i/>
          <w:sz w:val="16"/>
          <w:szCs w:val="16"/>
        </w:rPr>
        <w:t>OC-24/17</w:t>
      </w:r>
      <w:r w:rsidRPr="00065F63">
        <w:rPr>
          <w:sz w:val="16"/>
          <w:szCs w:val="16"/>
        </w:rPr>
        <w:t>,</w:t>
      </w:r>
      <w:r w:rsidRPr="00065F63">
        <w:rPr>
          <w:spacing w:val="-6"/>
          <w:sz w:val="16"/>
          <w:szCs w:val="16"/>
        </w:rPr>
        <w:t xml:space="preserve"> </w:t>
      </w:r>
      <w:r w:rsidRPr="00065F63">
        <w:rPr>
          <w:i/>
          <w:iCs/>
          <w:spacing w:val="-6"/>
          <w:sz w:val="16"/>
          <w:szCs w:val="16"/>
        </w:rPr>
        <w:t>supra</w:t>
      </w:r>
      <w:r w:rsidRPr="00065F63">
        <w:rPr>
          <w:spacing w:val="-6"/>
          <w:sz w:val="16"/>
          <w:szCs w:val="16"/>
        </w:rPr>
        <w:t xml:space="preserve">, </w:t>
      </w:r>
      <w:r w:rsidRPr="00065F63">
        <w:rPr>
          <w:sz w:val="16"/>
          <w:szCs w:val="16"/>
        </w:rPr>
        <w:t>párr. 65.</w:t>
      </w:r>
      <w:r w:rsidR="00082A24">
        <w:rPr>
          <w:sz w:val="16"/>
          <w:szCs w:val="16"/>
        </w:rPr>
        <w:t xml:space="preserve"> En este mismo sentido, </w:t>
      </w:r>
      <w:r w:rsidR="00082A24" w:rsidRPr="00082A24">
        <w:rPr>
          <w:sz w:val="16"/>
          <w:szCs w:val="16"/>
        </w:rPr>
        <w:t>el Comité de Derechos Humanos de la ONU concluyó en su Observación General N.º. 18 que “el principio de la igualdad exige algunas veces a los Estados Partes adoptar disposiciones positivas para reducir o eliminar las condiciones que originan o facilitan que se perpetúe la discriminación prohibida por el Pacto”</w:t>
      </w:r>
      <w:r w:rsidR="00082A24">
        <w:rPr>
          <w:sz w:val="16"/>
          <w:szCs w:val="16"/>
        </w:rPr>
        <w:t xml:space="preserve">. </w:t>
      </w:r>
      <w:r w:rsidR="00082A24" w:rsidRPr="00065F63">
        <w:rPr>
          <w:i/>
          <w:iCs/>
          <w:sz w:val="16"/>
          <w:szCs w:val="16"/>
        </w:rPr>
        <w:t>Cfr</w:t>
      </w:r>
      <w:r w:rsidR="00082A24" w:rsidRPr="00065F63">
        <w:rPr>
          <w:sz w:val="16"/>
          <w:szCs w:val="16"/>
        </w:rPr>
        <w:t>. Comité de Derechos Humanos de la ONU, Observación general No. 18, “No discriminación”, adoptado en la Sesión 37° del Comité de Derechos Humanos, 10 de noviembre de 1989, párr. 10.</w:t>
      </w:r>
    </w:p>
  </w:footnote>
  <w:footnote w:id="120">
    <w:p w14:paraId="425897FE" w14:textId="77777777" w:rsidR="007B7976" w:rsidRPr="00065F63" w:rsidRDefault="007B7976"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Consejo de Derechos Humanos, “Los derechos humanos y las empresas transnacionales y otras empresas”, A/HRC/17/31, 6 de julio de 2011, resolutivo 1, y</w:t>
      </w:r>
      <w:r w:rsidRPr="00065F63">
        <w:rPr>
          <w:i/>
          <w:iCs/>
          <w:sz w:val="16"/>
          <w:szCs w:val="16"/>
        </w:rPr>
        <w:t xml:space="preserve"> </w:t>
      </w:r>
      <w:r w:rsidRPr="00065F63">
        <w:rPr>
          <w:sz w:val="16"/>
          <w:szCs w:val="16"/>
        </w:rPr>
        <w:t>Comité de Derechos Económicos, Sociales y Culturales. Observación General No. 24 sobre las obligaciones de los Estados en virtud del Pacto Internacional de Derechos Económicos, Sociales y Culturales, en el contexto de las actividades empresariales, E/C.12/GC/24, 10 de agosto de 2017, párr. 14.</w:t>
      </w:r>
    </w:p>
  </w:footnote>
  <w:footnote w:id="121">
    <w:p w14:paraId="5BCBD5AC" w14:textId="5229D774" w:rsidR="007B7976" w:rsidRPr="00065F63" w:rsidRDefault="007B7976"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i/>
          <w:iCs/>
          <w:sz w:val="16"/>
          <w:szCs w:val="16"/>
        </w:rPr>
        <w:t>Caso de los Buzos Miskitos (Lemoth Morris y otros) Vs. Honduras</w:t>
      </w:r>
      <w:r w:rsidRPr="00065F63">
        <w:rPr>
          <w:sz w:val="16"/>
          <w:szCs w:val="16"/>
        </w:rPr>
        <w:t>. Sentencia de 31 de agosto de 2021. Serie C No. 432, párr. 47.</w:t>
      </w:r>
    </w:p>
  </w:footnote>
  <w:footnote w:id="122">
    <w:p w14:paraId="417CA57E" w14:textId="77777777" w:rsidR="007C6D99" w:rsidRPr="00065F63" w:rsidRDefault="007C6D9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de los Buzos Miskitos (Lemoth Morris y otros) Vs. Honduras, supra,</w:t>
      </w:r>
      <w:r w:rsidRPr="00065F63">
        <w:rPr>
          <w:sz w:val="16"/>
          <w:szCs w:val="16"/>
        </w:rPr>
        <w:t xml:space="preserve"> párr. 51.</w:t>
      </w:r>
    </w:p>
  </w:footnote>
  <w:footnote w:id="123">
    <w:p w14:paraId="56697548" w14:textId="2F1FA560" w:rsidR="0026405E" w:rsidRPr="00065F63" w:rsidRDefault="0026405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de los Buzos Miskitos (Lemoth Morris y otros) Vs. Honduras, supra,</w:t>
      </w:r>
      <w:r w:rsidRPr="00065F63">
        <w:rPr>
          <w:sz w:val="16"/>
          <w:szCs w:val="16"/>
        </w:rPr>
        <w:t xml:space="preserve"> párr. 48.</w:t>
      </w:r>
    </w:p>
  </w:footnote>
  <w:footnote w:id="124">
    <w:p w14:paraId="5F8DC1FD" w14:textId="77777777" w:rsidR="007C6D99" w:rsidRPr="00065F63" w:rsidRDefault="007C6D9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de los Buzos Miskitos (Lemoth Morris y otros) Vs. Honduras, supra,</w:t>
      </w:r>
      <w:r w:rsidRPr="00065F63">
        <w:rPr>
          <w:sz w:val="16"/>
          <w:szCs w:val="16"/>
        </w:rPr>
        <w:t xml:space="preserve"> párr. 51.</w:t>
      </w:r>
    </w:p>
  </w:footnote>
  <w:footnote w:id="125">
    <w:p w14:paraId="20B14F9F" w14:textId="5F8C34A6" w:rsidR="00082A24" w:rsidRPr="00082A24" w:rsidRDefault="00082A24">
      <w:pPr>
        <w:pStyle w:val="Textonotapie"/>
        <w:rPr>
          <w:sz w:val="16"/>
          <w:szCs w:val="16"/>
        </w:rPr>
      </w:pPr>
      <w:r w:rsidRPr="00082A24">
        <w:rPr>
          <w:rStyle w:val="Refdenotaalpie"/>
          <w:sz w:val="16"/>
          <w:szCs w:val="16"/>
        </w:rPr>
        <w:footnoteRef/>
      </w:r>
      <w:r w:rsidRPr="00082A24">
        <w:rPr>
          <w:sz w:val="16"/>
          <w:szCs w:val="16"/>
        </w:rPr>
        <w:t xml:space="preserve"> </w:t>
      </w:r>
      <w:r w:rsidRPr="00082A24">
        <w:rPr>
          <w:sz w:val="16"/>
          <w:szCs w:val="16"/>
        </w:rPr>
        <w:tab/>
      </w:r>
      <w:r w:rsidRPr="00082A24">
        <w:rPr>
          <w:i/>
          <w:iCs/>
          <w:sz w:val="16"/>
          <w:szCs w:val="16"/>
        </w:rPr>
        <w:t>Cfr.</w:t>
      </w:r>
      <w:r w:rsidR="00881E78">
        <w:rPr>
          <w:i/>
          <w:iCs/>
          <w:sz w:val="16"/>
          <w:szCs w:val="16"/>
        </w:rPr>
        <w:t>,</w:t>
      </w:r>
      <w:r w:rsidRPr="00082A24">
        <w:rPr>
          <w:i/>
          <w:iCs/>
          <w:sz w:val="16"/>
          <w:szCs w:val="16"/>
        </w:rPr>
        <w:t xml:space="preserve"> </w:t>
      </w:r>
      <w:r w:rsidR="00881E78">
        <w:rPr>
          <w:i/>
          <w:iCs/>
          <w:sz w:val="16"/>
          <w:szCs w:val="16"/>
        </w:rPr>
        <w:t>m</w:t>
      </w:r>
      <w:r w:rsidRPr="00082A24">
        <w:rPr>
          <w:i/>
          <w:iCs/>
          <w:sz w:val="16"/>
          <w:szCs w:val="16"/>
        </w:rPr>
        <w:t>utatis mutandis, Caso de los Buzos Miskitos (Lemoth Morris y otros) Vs. Honduras, supra,</w:t>
      </w:r>
      <w:r w:rsidRPr="00082A24">
        <w:rPr>
          <w:sz w:val="16"/>
          <w:szCs w:val="16"/>
        </w:rPr>
        <w:t xml:space="preserve"> párr. 49.</w:t>
      </w:r>
    </w:p>
  </w:footnote>
  <w:footnote w:id="126">
    <w:p w14:paraId="4DE3A96F" w14:textId="12F5E8B4" w:rsidR="00CA64A9" w:rsidRPr="00065F63" w:rsidRDefault="00CA64A9" w:rsidP="00CD1F7F">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00CD1F7F" w:rsidRPr="00CD1F7F">
        <w:rPr>
          <w:sz w:val="16"/>
          <w:szCs w:val="16"/>
        </w:rPr>
        <w:t>Principios sobre la aplicación de la legislación internacional de derechos humanos en</w:t>
      </w:r>
      <w:r w:rsidR="00CD1F7F">
        <w:rPr>
          <w:sz w:val="16"/>
          <w:szCs w:val="16"/>
        </w:rPr>
        <w:t xml:space="preserve"> </w:t>
      </w:r>
      <w:r w:rsidR="00CD1F7F" w:rsidRPr="00CD1F7F">
        <w:rPr>
          <w:sz w:val="16"/>
          <w:szCs w:val="16"/>
        </w:rPr>
        <w:t>relación con la orientación sexual y la identidad de género, Principios de Yogyakarta, marzo 2007</w:t>
      </w:r>
      <w:r w:rsidR="00CD1F7F">
        <w:rPr>
          <w:sz w:val="16"/>
          <w:szCs w:val="16"/>
        </w:rPr>
        <w:t>, Principio 2.f</w:t>
      </w:r>
      <w:r w:rsidRPr="00065F63">
        <w:rPr>
          <w:sz w:val="16"/>
          <w:szCs w:val="16"/>
        </w:rPr>
        <w:t>.</w:t>
      </w:r>
    </w:p>
  </w:footnote>
  <w:footnote w:id="127">
    <w:p w14:paraId="26DC5F5B" w14:textId="3354A948" w:rsidR="00996C4D" w:rsidRPr="00065F63" w:rsidRDefault="00996C4D"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lang w:val="es-ES"/>
        </w:rPr>
        <w:t>Cfr</w:t>
      </w:r>
      <w:r w:rsidRPr="00065F63">
        <w:rPr>
          <w:sz w:val="16"/>
          <w:szCs w:val="16"/>
          <w:lang w:val="es-ES"/>
        </w:rPr>
        <w:t xml:space="preserve">. Versión escrita del peritaje de la señora Laura Otero Norza rendido en la audiencia pública celebrada el 24 de agosto de 2022 en el marco del 150 Período Ordinario de Sesiones, pág. 31 (expediente de prueba, folio </w:t>
      </w:r>
      <w:r w:rsidR="003B4014" w:rsidRPr="00065F63">
        <w:rPr>
          <w:sz w:val="16"/>
          <w:szCs w:val="16"/>
          <w:lang w:val="es-ES"/>
        </w:rPr>
        <w:t>1331</w:t>
      </w:r>
      <w:r w:rsidRPr="00065F63">
        <w:rPr>
          <w:sz w:val="16"/>
          <w:szCs w:val="16"/>
          <w:lang w:val="es-ES"/>
        </w:rPr>
        <w:t>).</w:t>
      </w:r>
    </w:p>
  </w:footnote>
  <w:footnote w:id="128">
    <w:p w14:paraId="249E5BCF" w14:textId="6F057032" w:rsidR="003004C1" w:rsidRPr="00065F63" w:rsidRDefault="003004C1"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Style w:val="markedcontent"/>
          <w:sz w:val="16"/>
          <w:szCs w:val="16"/>
          <w:shd w:val="clear" w:color="auto" w:fill="FFFFFF"/>
        </w:rPr>
        <w:t>CIDH</w:t>
      </w:r>
      <w:r w:rsidR="00D96B76" w:rsidRPr="00065F63">
        <w:rPr>
          <w:rStyle w:val="markedcontent"/>
          <w:sz w:val="16"/>
          <w:szCs w:val="16"/>
          <w:shd w:val="clear" w:color="auto" w:fill="FFFFFF"/>
        </w:rPr>
        <w:t xml:space="preserve">, </w:t>
      </w:r>
      <w:r w:rsidRPr="00065F63">
        <w:rPr>
          <w:rStyle w:val="markedcontent"/>
          <w:sz w:val="16"/>
          <w:szCs w:val="16"/>
          <w:shd w:val="clear" w:color="auto" w:fill="FFFFFF"/>
        </w:rPr>
        <w:t>Empresas y Derechos Humanos: Estándares Interamericanos. Informe preparado por la REDESCA. OEA/Ser.L/V/II/CIDH/REDESCA/INF.1/19 1 de noviembre de 2019, párr. 385.</w:t>
      </w:r>
    </w:p>
  </w:footnote>
  <w:footnote w:id="129">
    <w:p w14:paraId="363D6B3B" w14:textId="4EDE845E" w:rsidR="008F18E1" w:rsidRPr="00065F63" w:rsidRDefault="008F18E1" w:rsidP="009117FF">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009117FF">
        <w:rPr>
          <w:sz w:val="16"/>
          <w:szCs w:val="16"/>
        </w:rPr>
        <w:tab/>
      </w:r>
      <w:r w:rsidRPr="00065F63">
        <w:rPr>
          <w:i/>
          <w:iCs/>
          <w:sz w:val="16"/>
          <w:szCs w:val="16"/>
        </w:rPr>
        <w:t>Cfr</w:t>
      </w:r>
      <w:r w:rsidRPr="00065F63">
        <w:rPr>
          <w:sz w:val="16"/>
          <w:szCs w:val="16"/>
        </w:rPr>
        <w:t xml:space="preserve">. Alto Comisionado de las Naciones Unidas para los Derechos Humanos, “Hacer frente a la discriminación contra las personas </w:t>
      </w:r>
      <w:r w:rsidRPr="009117FF">
        <w:rPr>
          <w:rStyle w:val="Refdenotaalpie"/>
          <w:lang w:val="es-CR"/>
        </w:rPr>
        <w:t>lesbianas</w:t>
      </w:r>
      <w:r w:rsidRPr="00065F63">
        <w:rPr>
          <w:sz w:val="16"/>
          <w:szCs w:val="16"/>
        </w:rPr>
        <w:t xml:space="preserve">, gais, bisexuales, trans e intersexuales”, Normas de conducta para las empresas contra la Discriminación de las Personas LGBTI, disponible aquí: </w:t>
      </w:r>
      <w:hyperlink r:id="rId13" w:history="1">
        <w:r w:rsidRPr="00065F63">
          <w:rPr>
            <w:rStyle w:val="Hipervnculo"/>
            <w:sz w:val="16"/>
            <w:szCs w:val="16"/>
          </w:rPr>
          <w:t>https://www.unfe.org/wp-content/uploads/2018/04/Principios-mundiales-para-las-empresas.pdf</w:t>
        </w:r>
      </w:hyperlink>
      <w:r w:rsidR="009117FF">
        <w:rPr>
          <w:rStyle w:val="Hipervnculo"/>
          <w:sz w:val="16"/>
          <w:szCs w:val="16"/>
        </w:rPr>
        <w:t xml:space="preserve"> </w:t>
      </w:r>
      <w:r w:rsidRPr="00065F63">
        <w:rPr>
          <w:sz w:val="16"/>
          <w:szCs w:val="16"/>
        </w:rPr>
        <w:t xml:space="preserve"> </w:t>
      </w:r>
    </w:p>
  </w:footnote>
  <w:footnote w:id="130">
    <w:p w14:paraId="7AD52A35" w14:textId="2361BEC5" w:rsidR="00D35372" w:rsidRPr="00065F63" w:rsidRDefault="00D35372"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00D96B76" w:rsidRPr="00065F63">
        <w:rPr>
          <w:sz w:val="16"/>
          <w:szCs w:val="16"/>
        </w:rPr>
        <w:t xml:space="preserve">Consejo de Derechos Humanos, “Los derechos humanos y las empresas transnacionales y otras empresas”, </w:t>
      </w:r>
      <w:r w:rsidR="007E78DC" w:rsidRPr="00065F63">
        <w:rPr>
          <w:sz w:val="16"/>
          <w:szCs w:val="16"/>
        </w:rPr>
        <w:t>A/HRC/</w:t>
      </w:r>
      <w:r w:rsidR="007E78DC">
        <w:rPr>
          <w:sz w:val="16"/>
          <w:szCs w:val="16"/>
        </w:rPr>
        <w:t>RES/17/4</w:t>
      </w:r>
      <w:r w:rsidR="00D96B76" w:rsidRPr="00065F63">
        <w:rPr>
          <w:sz w:val="16"/>
          <w:szCs w:val="16"/>
        </w:rPr>
        <w:t xml:space="preserve">, 6 de julio de 2011, resolutivos 1, 3, 11, 13, 15, 17, y 22; </w:t>
      </w:r>
      <w:r w:rsidRPr="00065F63">
        <w:rPr>
          <w:sz w:val="16"/>
          <w:szCs w:val="16"/>
        </w:rPr>
        <w:t>Alto Comisionado de las Naciones Unidas para los Derechos Humanos, “Hacer frente a la discriminación contra las personas lesbianas, gais, bisexuales, trans e intersexuales”, Normas de conducta para las empresas contra la Discriminación de las Personas LGBTI</w:t>
      </w:r>
      <w:r w:rsidR="00D96B76" w:rsidRPr="00065F63">
        <w:rPr>
          <w:sz w:val="16"/>
          <w:szCs w:val="16"/>
        </w:rPr>
        <w:t xml:space="preserve">. Ver también, </w:t>
      </w:r>
      <w:r w:rsidR="00D96B76" w:rsidRPr="00065F63">
        <w:rPr>
          <w:rStyle w:val="markedcontent"/>
          <w:sz w:val="16"/>
          <w:szCs w:val="16"/>
          <w:shd w:val="clear" w:color="auto" w:fill="FFFFFF"/>
        </w:rPr>
        <w:t>CIDH, Empresas y Derechos Humanos: Estándares Interamericanos. Informe preparado por la REDESCA. OEA/Ser.L/V/II/CIDH/REDESCA/INF.1/19 1 de noviembre de 2019, párr. 414, Recomendaciones nos. 1, 3, 6, 9 y párr. 414, Recomendaciones nos. 3, 4, 9, 11 y 22.</w:t>
      </w:r>
    </w:p>
  </w:footnote>
  <w:footnote w:id="131">
    <w:p w14:paraId="1608FF02" w14:textId="5EBD57EF" w:rsidR="006F3DA1" w:rsidRPr="006F3DA1" w:rsidRDefault="006F3DA1" w:rsidP="006F3DA1">
      <w:pPr>
        <w:pStyle w:val="Textonotapie"/>
        <w:rPr>
          <w:sz w:val="16"/>
          <w:szCs w:val="16"/>
        </w:rPr>
      </w:pPr>
      <w:r w:rsidRPr="006F3DA1">
        <w:rPr>
          <w:rStyle w:val="Refdenotaalpie"/>
          <w:sz w:val="16"/>
          <w:szCs w:val="16"/>
        </w:rPr>
        <w:footnoteRef/>
      </w:r>
      <w:r w:rsidRPr="006F3DA1">
        <w:rPr>
          <w:sz w:val="16"/>
          <w:szCs w:val="16"/>
        </w:rPr>
        <w:t xml:space="preserve"> </w:t>
      </w:r>
      <w:r w:rsidRPr="006F3DA1">
        <w:rPr>
          <w:sz w:val="16"/>
          <w:szCs w:val="16"/>
        </w:rPr>
        <w:tab/>
      </w:r>
      <w:r w:rsidRPr="006F3DA1">
        <w:rPr>
          <w:i/>
          <w:iCs/>
          <w:sz w:val="16"/>
          <w:szCs w:val="16"/>
        </w:rPr>
        <w:t>Cfr.</w:t>
      </w:r>
      <w:r>
        <w:rPr>
          <w:i/>
          <w:iCs/>
          <w:sz w:val="16"/>
          <w:szCs w:val="16"/>
        </w:rPr>
        <w:t>,</w:t>
      </w:r>
      <w:r w:rsidRPr="006F3DA1">
        <w:rPr>
          <w:i/>
          <w:iCs/>
          <w:sz w:val="16"/>
          <w:szCs w:val="16"/>
        </w:rPr>
        <w:t xml:space="preserve"> </w:t>
      </w:r>
      <w:r w:rsidRPr="006F3DA1">
        <w:rPr>
          <w:sz w:val="16"/>
          <w:szCs w:val="16"/>
        </w:rPr>
        <w:t>entre otros</w:t>
      </w:r>
      <w:r>
        <w:rPr>
          <w:i/>
          <w:iCs/>
          <w:sz w:val="16"/>
          <w:szCs w:val="16"/>
        </w:rPr>
        <w:t xml:space="preserve">, </w:t>
      </w:r>
      <w:r w:rsidRPr="006F3DA1">
        <w:rPr>
          <w:i/>
          <w:iCs/>
          <w:sz w:val="16"/>
          <w:szCs w:val="16"/>
        </w:rPr>
        <w:t>Caso Velásquez Rodríguez Vs. Honduras. Excepciones Preliminares.</w:t>
      </w:r>
      <w:r w:rsidRPr="006F3DA1">
        <w:rPr>
          <w:sz w:val="16"/>
          <w:szCs w:val="16"/>
        </w:rPr>
        <w:t xml:space="preserve"> Sentencia de 26 de junio de 1987. Serie C No. 1, párr. 91, y </w:t>
      </w:r>
      <w:r w:rsidRPr="006F3DA1">
        <w:rPr>
          <w:i/>
          <w:iCs/>
          <w:sz w:val="16"/>
          <w:szCs w:val="16"/>
        </w:rPr>
        <w:t xml:space="preserve">Caso Aroca Palma y otros Vs. Ecuador. Excepción Preliminar, Fondo, Reparaciones y Costas. </w:t>
      </w:r>
      <w:r w:rsidRPr="006F3DA1">
        <w:rPr>
          <w:sz w:val="16"/>
          <w:szCs w:val="16"/>
        </w:rPr>
        <w:t>Sentencia de 8 de noviembre de 2022. Serie C No. 471, párr. 103</w:t>
      </w:r>
      <w:r>
        <w:rPr>
          <w:sz w:val="16"/>
          <w:szCs w:val="16"/>
        </w:rPr>
        <w:t>.</w:t>
      </w:r>
    </w:p>
  </w:footnote>
  <w:footnote w:id="132">
    <w:p w14:paraId="4AD1B279" w14:textId="5D127EC6" w:rsidR="006F3DA1" w:rsidRPr="006F3DA1" w:rsidRDefault="006F3DA1">
      <w:pPr>
        <w:pStyle w:val="Textonotapie"/>
        <w:rPr>
          <w:sz w:val="16"/>
          <w:szCs w:val="16"/>
        </w:rPr>
      </w:pPr>
      <w:r w:rsidRPr="006F3DA1">
        <w:rPr>
          <w:rStyle w:val="Refdenotaalpie"/>
          <w:sz w:val="16"/>
          <w:szCs w:val="16"/>
        </w:rPr>
        <w:footnoteRef/>
      </w:r>
      <w:r w:rsidRPr="006F3DA1">
        <w:rPr>
          <w:sz w:val="16"/>
          <w:szCs w:val="16"/>
        </w:rPr>
        <w:t xml:space="preserve"> </w:t>
      </w:r>
      <w:r w:rsidRPr="006F3DA1">
        <w:rPr>
          <w:sz w:val="16"/>
          <w:szCs w:val="16"/>
        </w:rPr>
        <w:tab/>
      </w:r>
      <w:r w:rsidRPr="006F3DA1">
        <w:rPr>
          <w:i/>
          <w:iCs/>
          <w:sz w:val="16"/>
          <w:szCs w:val="16"/>
        </w:rPr>
        <w:t>Cfr</w:t>
      </w:r>
      <w:r w:rsidRPr="006F3DA1">
        <w:rPr>
          <w:sz w:val="16"/>
          <w:szCs w:val="16"/>
        </w:rPr>
        <w:t xml:space="preserve">., entre otros, </w:t>
      </w:r>
      <w:r w:rsidRPr="006F3DA1">
        <w:rPr>
          <w:i/>
          <w:iCs/>
          <w:sz w:val="16"/>
          <w:szCs w:val="16"/>
        </w:rPr>
        <w:t>Caso Genie Lacayo Vs. Nicaragua. Fondo, Reparaciones y Costas.</w:t>
      </w:r>
      <w:r w:rsidRPr="006F3DA1">
        <w:rPr>
          <w:sz w:val="16"/>
          <w:szCs w:val="16"/>
        </w:rPr>
        <w:t xml:space="preserve"> Sentencia del 29 de enero de 1997. Serie C No. 30, párr. 77, y </w:t>
      </w:r>
      <w:r w:rsidRPr="006F3DA1">
        <w:rPr>
          <w:i/>
          <w:iCs/>
          <w:sz w:val="16"/>
          <w:szCs w:val="16"/>
        </w:rPr>
        <w:t>Caso Cortez Espinoza Vs. Ecuador. Excepciones Preliminares, Fondo, Reparaciones y Costas</w:t>
      </w:r>
      <w:r w:rsidRPr="006F3DA1">
        <w:rPr>
          <w:sz w:val="16"/>
          <w:szCs w:val="16"/>
        </w:rPr>
        <w:t>. Sentencia de 18 de octubre de 2022. Serie C No. 468, párr. 96.</w:t>
      </w:r>
    </w:p>
  </w:footnote>
  <w:footnote w:id="133">
    <w:p w14:paraId="1754AD1F" w14:textId="4969681E" w:rsidR="007E78DC" w:rsidRPr="00065F63" w:rsidRDefault="001F62DF" w:rsidP="007E78DC">
      <w:pPr>
        <w:pStyle w:val="Textonotapie"/>
        <w:spacing w:before="40" w:after="40"/>
        <w:rPr>
          <w:sz w:val="16"/>
          <w:szCs w:val="16"/>
        </w:rPr>
      </w:pPr>
      <w:r w:rsidRPr="00A85DC2">
        <w:rPr>
          <w:rStyle w:val="Refdenotaalpie"/>
          <w:sz w:val="16"/>
          <w:szCs w:val="16"/>
        </w:rPr>
        <w:footnoteRef/>
      </w:r>
      <w:r w:rsidRPr="00A85DC2">
        <w:rPr>
          <w:sz w:val="16"/>
          <w:szCs w:val="16"/>
        </w:rPr>
        <w:t xml:space="preserve"> </w:t>
      </w:r>
      <w:r w:rsidR="007E78DC">
        <w:rPr>
          <w:sz w:val="16"/>
          <w:szCs w:val="16"/>
        </w:rPr>
        <w:tab/>
      </w:r>
      <w:r w:rsidR="007E78DC" w:rsidRPr="00A85DC2">
        <w:rPr>
          <w:i/>
          <w:iCs/>
          <w:sz w:val="16"/>
          <w:szCs w:val="16"/>
        </w:rPr>
        <w:t>Cfr</w:t>
      </w:r>
      <w:r w:rsidR="007E78DC" w:rsidRPr="00A85DC2">
        <w:rPr>
          <w:sz w:val="16"/>
          <w:szCs w:val="16"/>
        </w:rPr>
        <w:t xml:space="preserve">. Convención internacional sobre la eliminación de todas las formas de discriminación racial, artículo 1; Convención sobre la eliminación de todas las formas de discriminación contra la mujer, artículo 1 Convención sobre los derechos de las personas con discapacidad, artículo 2; Comité de Derechos Humanos, Observación General N.° 18, “No discriminación”, 37º período de sesiones, </w:t>
      </w:r>
      <w:r w:rsidR="007E78DC">
        <w:rPr>
          <w:sz w:val="16"/>
          <w:szCs w:val="16"/>
        </w:rPr>
        <w:t xml:space="preserve">de </w:t>
      </w:r>
      <w:r w:rsidR="007E78DC" w:rsidRPr="00167F35">
        <w:rPr>
          <w:sz w:val="16"/>
          <w:szCs w:val="16"/>
          <w:lang w:val="es-ES"/>
        </w:rPr>
        <w:t>10 de noviembre de 1989</w:t>
      </w:r>
      <w:r w:rsidR="007E78DC">
        <w:rPr>
          <w:sz w:val="16"/>
          <w:szCs w:val="16"/>
        </w:rPr>
        <w:t xml:space="preserve">, </w:t>
      </w:r>
      <w:r w:rsidR="007E78DC" w:rsidRPr="00A85DC2">
        <w:rPr>
          <w:sz w:val="16"/>
          <w:szCs w:val="16"/>
        </w:rPr>
        <w:t>párr. 6</w:t>
      </w:r>
      <w:r w:rsidR="007E78DC">
        <w:rPr>
          <w:sz w:val="16"/>
          <w:szCs w:val="16"/>
        </w:rPr>
        <w:t>,</w:t>
      </w:r>
      <w:r w:rsidR="007E78DC" w:rsidRPr="00A85DC2">
        <w:rPr>
          <w:sz w:val="16"/>
          <w:szCs w:val="16"/>
        </w:rPr>
        <w:t xml:space="preserve"> y Comité</w:t>
      </w:r>
      <w:r w:rsidR="007E78DC">
        <w:rPr>
          <w:sz w:val="16"/>
          <w:szCs w:val="16"/>
        </w:rPr>
        <w:t xml:space="preserve"> </w:t>
      </w:r>
      <w:r w:rsidR="007E78DC" w:rsidRPr="00A85DC2">
        <w:rPr>
          <w:sz w:val="16"/>
          <w:szCs w:val="16"/>
        </w:rPr>
        <w:t xml:space="preserve"> de Derechos Económicos, Sociales y Culturales, Observación General N.° 20, “La no discriminación y los derechos económicos, sociales y culturales</w:t>
      </w:r>
      <w:r w:rsidR="007E78DC">
        <w:rPr>
          <w:sz w:val="16"/>
          <w:szCs w:val="16"/>
        </w:rPr>
        <w:t>”</w:t>
      </w:r>
      <w:r w:rsidR="007E78DC" w:rsidRPr="00A85DC2">
        <w:rPr>
          <w:sz w:val="16"/>
          <w:szCs w:val="16"/>
        </w:rPr>
        <w:t xml:space="preserve"> (artículo 2, párrafo 2 del Pacto Internacional de Derechos Económicos, Sociales y Culturales), E/C.12/GC/20, de 2 de julio de 2009, párr. 7.</w:t>
      </w:r>
    </w:p>
    <w:p w14:paraId="44FFD419" w14:textId="268243B9" w:rsidR="001F62DF" w:rsidRPr="00065F63" w:rsidRDefault="001F62DF" w:rsidP="00DF7FF5">
      <w:pPr>
        <w:pStyle w:val="Textonotapie"/>
        <w:spacing w:before="40" w:after="40"/>
        <w:rPr>
          <w:sz w:val="16"/>
          <w:szCs w:val="16"/>
        </w:rPr>
      </w:pPr>
    </w:p>
  </w:footnote>
  <w:footnote w:id="134">
    <w:p w14:paraId="61525BF0" w14:textId="77777777" w:rsidR="00BB74B5" w:rsidRPr="00065F63" w:rsidRDefault="00BB74B5"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Comité de Derechos Económicos, Sociales y Culturales. Observación General No. 24 sobre las obligaciones de los Estados en virtud del Pacto Internacional de Derechos Económicos, Sociales y Culturales, en el contexto de las actividades empresariales, E/C.12/GC/24, 10 de agosto de 2017, párr. 42. </w:t>
      </w:r>
    </w:p>
  </w:footnote>
  <w:footnote w:id="135">
    <w:p w14:paraId="6EFB31EF" w14:textId="44F13468" w:rsidR="007C123A" w:rsidRPr="00065F63" w:rsidRDefault="007C123A"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7E78DC" w:rsidRPr="00065F63">
        <w:rPr>
          <w:i/>
          <w:iCs/>
          <w:sz w:val="16"/>
          <w:szCs w:val="16"/>
        </w:rPr>
        <w:t>Cfr</w:t>
      </w:r>
      <w:r w:rsidR="007E78DC" w:rsidRPr="00065F63">
        <w:rPr>
          <w:sz w:val="16"/>
          <w:szCs w:val="16"/>
        </w:rPr>
        <w:t xml:space="preserve">. Opinión Consultiva OC-24/17, </w:t>
      </w:r>
      <w:r w:rsidR="007E78DC" w:rsidRPr="00065F63">
        <w:rPr>
          <w:i/>
          <w:iCs/>
          <w:sz w:val="16"/>
          <w:szCs w:val="16"/>
        </w:rPr>
        <w:t>supra</w:t>
      </w:r>
      <w:r w:rsidR="007E78DC" w:rsidRPr="00065F63">
        <w:rPr>
          <w:sz w:val="16"/>
          <w:szCs w:val="16"/>
        </w:rPr>
        <w:t xml:space="preserve">, párrs. 91, 96, 101 y 104, y </w:t>
      </w:r>
      <w:r w:rsidR="007E78DC" w:rsidRPr="00065F63">
        <w:rPr>
          <w:i/>
          <w:iCs/>
          <w:sz w:val="16"/>
          <w:szCs w:val="16"/>
        </w:rPr>
        <w:t xml:space="preserve">Cfr. Caso </w:t>
      </w:r>
      <w:r w:rsidR="007E78DC">
        <w:rPr>
          <w:i/>
          <w:iCs/>
          <w:sz w:val="16"/>
          <w:szCs w:val="16"/>
        </w:rPr>
        <w:t>Pavez Pavez Vs. Chile</w:t>
      </w:r>
      <w:r w:rsidR="007E78DC" w:rsidRPr="00EA3CBB">
        <w:rPr>
          <w:i/>
          <w:iCs/>
          <w:sz w:val="16"/>
          <w:szCs w:val="16"/>
        </w:rPr>
        <w:t>, supra</w:t>
      </w:r>
      <w:r w:rsidR="007E78DC" w:rsidRPr="00EA3CBB">
        <w:rPr>
          <w:sz w:val="16"/>
          <w:szCs w:val="16"/>
        </w:rPr>
        <w:t xml:space="preserve">, párr. </w:t>
      </w:r>
      <w:r w:rsidR="007E78DC">
        <w:rPr>
          <w:sz w:val="16"/>
          <w:szCs w:val="16"/>
        </w:rPr>
        <w:t>37</w:t>
      </w:r>
      <w:r w:rsidR="007E78DC" w:rsidRPr="00EA3CBB">
        <w:rPr>
          <w:sz w:val="16"/>
          <w:szCs w:val="16"/>
        </w:rPr>
        <w:t>.</w:t>
      </w:r>
    </w:p>
  </w:footnote>
  <w:footnote w:id="136">
    <w:p w14:paraId="4D524F25" w14:textId="280CED34" w:rsidR="00DD4397" w:rsidRPr="00065F63" w:rsidRDefault="00DD439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7E78DC" w:rsidRPr="00065F63">
        <w:rPr>
          <w:i/>
          <w:iCs/>
          <w:sz w:val="16"/>
          <w:szCs w:val="16"/>
          <w:lang w:val="es-ES"/>
        </w:rPr>
        <w:t>Cfr</w:t>
      </w:r>
      <w:r w:rsidR="007E78DC" w:rsidRPr="00065F63">
        <w:rPr>
          <w:sz w:val="16"/>
          <w:szCs w:val="16"/>
          <w:lang w:val="es-ES"/>
        </w:rPr>
        <w:t xml:space="preserve">. Versión escrita del peritaje de la señora Laura Clérico rendido en la audiencia pública celebrada el 24 de agosto de 2022 en el marco del 150 Período Ordinario de Sesiones, párr. 23 (expediente de prueba, folio </w:t>
      </w:r>
      <w:r w:rsidR="007E78DC">
        <w:rPr>
          <w:sz w:val="16"/>
          <w:szCs w:val="16"/>
          <w:lang w:val="es-ES"/>
        </w:rPr>
        <w:t>6029</w:t>
      </w:r>
      <w:r w:rsidR="007E78DC" w:rsidRPr="00065F63">
        <w:rPr>
          <w:sz w:val="16"/>
          <w:szCs w:val="16"/>
          <w:lang w:val="es-ES"/>
        </w:rPr>
        <w:t>).</w:t>
      </w:r>
    </w:p>
  </w:footnote>
  <w:footnote w:id="137">
    <w:p w14:paraId="549C611A" w14:textId="79D813F0" w:rsidR="00302A63" w:rsidRPr="00065F63" w:rsidRDefault="00302A63"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7E78DC" w:rsidRPr="00065F63">
        <w:rPr>
          <w:i/>
          <w:iCs/>
          <w:sz w:val="16"/>
          <w:szCs w:val="16"/>
        </w:rPr>
        <w:t>Cfr</w:t>
      </w:r>
      <w:r w:rsidR="007E78DC" w:rsidRPr="00065F63">
        <w:rPr>
          <w:sz w:val="16"/>
          <w:szCs w:val="16"/>
        </w:rPr>
        <w:t xml:space="preserve">. </w:t>
      </w:r>
      <w:r w:rsidR="007E78DC" w:rsidRPr="00256435">
        <w:rPr>
          <w:rFonts w:cs="Open Sans"/>
          <w:i/>
          <w:iCs/>
          <w:sz w:val="16"/>
          <w:szCs w:val="16"/>
          <w:shd w:val="clear" w:color="auto" w:fill="FFFFFF"/>
        </w:rPr>
        <w:t xml:space="preserve">Caso Gonzales Lluy y otros Vs. Ecuador. Excepciones Preliminares, Fondo, Reparaciones y Costas. </w:t>
      </w:r>
      <w:r w:rsidR="007E78DC" w:rsidRPr="00B100C9">
        <w:rPr>
          <w:rFonts w:cs="Open Sans"/>
          <w:sz w:val="16"/>
          <w:szCs w:val="16"/>
          <w:shd w:val="clear" w:color="auto" w:fill="FFFFFF"/>
        </w:rPr>
        <w:t>Sentencia de 1 de septiembre de 2015. Serie C No. 298, párr. 257,</w:t>
      </w:r>
      <w:r w:rsidR="007E78DC">
        <w:rPr>
          <w:rFonts w:cs="Open Sans"/>
          <w:i/>
          <w:iCs/>
          <w:sz w:val="16"/>
          <w:szCs w:val="16"/>
          <w:shd w:val="clear" w:color="auto" w:fill="FFFFFF"/>
        </w:rPr>
        <w:t xml:space="preserve"> </w:t>
      </w:r>
      <w:r w:rsidR="007E78DC" w:rsidRPr="00B100C9">
        <w:rPr>
          <w:rFonts w:cs="Open Sans"/>
          <w:sz w:val="16"/>
          <w:szCs w:val="16"/>
          <w:shd w:val="clear" w:color="auto" w:fill="FFFFFF"/>
        </w:rPr>
        <w:t xml:space="preserve">y </w:t>
      </w:r>
      <w:r w:rsidR="007E78DC">
        <w:rPr>
          <w:rFonts w:cs="Open Sans"/>
          <w:i/>
          <w:iCs/>
          <w:sz w:val="16"/>
          <w:szCs w:val="16"/>
          <w:shd w:val="clear" w:color="auto" w:fill="FFFFFF"/>
        </w:rPr>
        <w:t xml:space="preserve">Caso Guevara Díaz Vs. Costa Rica, supra, </w:t>
      </w:r>
      <w:r w:rsidR="007E78DC">
        <w:rPr>
          <w:rFonts w:cs="Open Sans"/>
          <w:sz w:val="16"/>
          <w:szCs w:val="16"/>
          <w:shd w:val="clear" w:color="auto" w:fill="FFFFFF"/>
        </w:rPr>
        <w:t>párr. 49.</w:t>
      </w:r>
    </w:p>
  </w:footnote>
  <w:footnote w:id="138">
    <w:p w14:paraId="1B2F9F2B" w14:textId="77777777" w:rsidR="009F278E" w:rsidRPr="00065F63" w:rsidRDefault="009F278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i/>
          <w:iCs/>
          <w:sz w:val="16"/>
          <w:szCs w:val="16"/>
          <w:lang w:val="es-ES"/>
        </w:rPr>
        <w:t>Cfr</w:t>
      </w:r>
      <w:r w:rsidRPr="00065F63">
        <w:rPr>
          <w:sz w:val="16"/>
          <w:szCs w:val="16"/>
          <w:lang w:val="es-ES"/>
        </w:rPr>
        <w:t xml:space="preserve">. </w:t>
      </w:r>
      <w:r w:rsidRPr="00065F63">
        <w:rPr>
          <w:i/>
          <w:iCs/>
          <w:sz w:val="16"/>
          <w:szCs w:val="16"/>
          <w:lang w:val="es-ES"/>
        </w:rPr>
        <w:t>Caso Nadege Dorzema y otros Vs. República Dominicana. Fondo, Reparaciones y Costas</w:t>
      </w:r>
      <w:r w:rsidRPr="00065F63">
        <w:rPr>
          <w:sz w:val="16"/>
          <w:szCs w:val="16"/>
          <w:lang w:val="es-ES"/>
        </w:rPr>
        <w:t>. Sentencia de 24 de octubre de 2012. Serie C No. 251, párr. 229.</w:t>
      </w:r>
    </w:p>
  </w:footnote>
  <w:footnote w:id="139">
    <w:p w14:paraId="394D888F" w14:textId="457D9A98" w:rsidR="00E622A0" w:rsidRPr="00065F63" w:rsidRDefault="00E622A0" w:rsidP="00DF7FF5">
      <w:pPr>
        <w:widowControl/>
        <w:autoSpaceDE w:val="0"/>
        <w:autoSpaceDN w:val="0"/>
        <w:spacing w:before="40" w:after="40" w:line="240" w:lineRule="auto"/>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7E78DC" w:rsidRPr="00065F63">
        <w:rPr>
          <w:i/>
          <w:iCs/>
          <w:sz w:val="16"/>
          <w:szCs w:val="16"/>
          <w:lang w:val="es-ES"/>
        </w:rPr>
        <w:t>Cfr</w:t>
      </w:r>
      <w:r w:rsidR="007E78DC" w:rsidRPr="00065F63">
        <w:rPr>
          <w:sz w:val="16"/>
          <w:szCs w:val="16"/>
          <w:lang w:val="es-ES"/>
        </w:rPr>
        <w:t xml:space="preserve">. </w:t>
      </w:r>
      <w:r w:rsidR="007E78DC" w:rsidRPr="00EA3CBB">
        <w:rPr>
          <w:sz w:val="16"/>
          <w:szCs w:val="16"/>
        </w:rPr>
        <w:t>Comité de Derechos Económicos, Sociales y Culturales. Observación General No. 24 sobre las obligaciones de los Estados en virtud del Pacto Internacional de Derechos Económicos, Sociales y Culturales, en el contexto de las actividades empresariales, E/C.12/GC/24, 10 de agosto de 2017, párr. 4</w:t>
      </w:r>
      <w:r w:rsidR="007E78DC">
        <w:rPr>
          <w:sz w:val="16"/>
          <w:szCs w:val="16"/>
        </w:rPr>
        <w:t>5</w:t>
      </w:r>
      <w:r w:rsidR="007E78DC" w:rsidRPr="00EA3CBB">
        <w:rPr>
          <w:sz w:val="16"/>
          <w:szCs w:val="16"/>
        </w:rPr>
        <w:t>.</w:t>
      </w:r>
      <w:r w:rsidRPr="00065F63">
        <w:rPr>
          <w:rFonts w:eastAsiaTheme="minorHAnsi" w:cs="Garamond"/>
          <w:sz w:val="16"/>
          <w:szCs w:val="16"/>
          <w:lang w:eastAsia="en-US"/>
        </w:rPr>
        <w:t xml:space="preserve"> </w:t>
      </w:r>
    </w:p>
  </w:footnote>
  <w:footnote w:id="140">
    <w:p w14:paraId="46B5A5E2" w14:textId="2D0D2305" w:rsidR="007872AA" w:rsidRPr="00065F63" w:rsidRDefault="007872AA"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A este respecto, la perita Otero refirió que la inversión de la carga de la prueba es probablemente el aspecto más importante en casos de discriminación, debido a la “dificultad que tienen las víctimas para poder comprobar la discriminación no solamente porque no tengan elementos de prueba direct</w:t>
      </w:r>
      <w:r w:rsidR="00454DBE">
        <w:rPr>
          <w:sz w:val="16"/>
          <w:szCs w:val="16"/>
        </w:rPr>
        <w:t xml:space="preserve">a, </w:t>
      </w:r>
      <w:r w:rsidRPr="00065F63">
        <w:rPr>
          <w:sz w:val="16"/>
          <w:szCs w:val="16"/>
        </w:rPr>
        <w:t>sino que</w:t>
      </w:r>
      <w:r w:rsidR="00454DBE">
        <w:rPr>
          <w:sz w:val="16"/>
          <w:szCs w:val="16"/>
        </w:rPr>
        <w:t>,</w:t>
      </w:r>
      <w:r w:rsidRPr="00065F63">
        <w:rPr>
          <w:sz w:val="16"/>
          <w:szCs w:val="16"/>
        </w:rPr>
        <w:t xml:space="preserve"> además</w:t>
      </w:r>
      <w:r w:rsidR="00454DBE">
        <w:rPr>
          <w:sz w:val="16"/>
          <w:szCs w:val="16"/>
        </w:rPr>
        <w:t>,</w:t>
      </w:r>
      <w:r w:rsidRPr="00065F63">
        <w:rPr>
          <w:sz w:val="16"/>
          <w:szCs w:val="16"/>
        </w:rPr>
        <w:t xml:space="preserve"> la discriminación puede ser un motivo interno en la persona que discrimina o la entidad que establece el trato discriminatorio”. </w:t>
      </w:r>
      <w:r w:rsidRPr="00065F63">
        <w:rPr>
          <w:rFonts w:cs="Calibri"/>
          <w:i/>
          <w:iCs/>
          <w:color w:val="000000"/>
          <w:sz w:val="16"/>
          <w:szCs w:val="16"/>
        </w:rPr>
        <w:t>Cfr</w:t>
      </w:r>
      <w:r w:rsidRPr="00065F63">
        <w:rPr>
          <w:rFonts w:cs="Calibri"/>
          <w:color w:val="000000"/>
          <w:sz w:val="16"/>
          <w:szCs w:val="16"/>
        </w:rPr>
        <w:t>. Peritaje de Laura Otero Norza rendido en la audiencia pública celebrada el 24 de agosto de 2022 en el marco del 150 Período Ordinario de Sesiones.</w:t>
      </w:r>
    </w:p>
  </w:footnote>
  <w:footnote w:id="141">
    <w:p w14:paraId="1EA7925E" w14:textId="02E71230" w:rsidR="00C005A3" w:rsidRPr="00065F63" w:rsidRDefault="00DF4AC9" w:rsidP="00DF7FF5">
      <w:pPr>
        <w:pStyle w:val="Textonotapie"/>
        <w:spacing w:before="40" w:after="40"/>
        <w:rPr>
          <w:sz w:val="16"/>
          <w:szCs w:val="16"/>
        </w:rPr>
      </w:pPr>
      <w:r w:rsidRPr="00065F63">
        <w:rPr>
          <w:rStyle w:val="Refdenotaalpie"/>
          <w:sz w:val="16"/>
          <w:szCs w:val="16"/>
        </w:rPr>
        <w:footnoteRef/>
      </w:r>
      <w:r w:rsidR="00DF7FF5" w:rsidRPr="00065F63">
        <w:rPr>
          <w:sz w:val="16"/>
          <w:szCs w:val="16"/>
        </w:rPr>
        <w:t xml:space="preserve"> </w:t>
      </w:r>
      <w:r w:rsidR="00C005A3" w:rsidRPr="00065F63">
        <w:rPr>
          <w:sz w:val="16"/>
          <w:szCs w:val="16"/>
        </w:rPr>
        <w:tab/>
        <w:t xml:space="preserve">Al momento de los hechos de este caso, se encontraba vigente el Decreto Legislativo No.716, Ley de Protección del Consumidor, compilada en un Texto Único Ordenado por el Decreto Supremo 006-2009-ITINCI, la cual en su artículo 7.b señalaba lo siguiente: </w:t>
      </w:r>
    </w:p>
    <w:p w14:paraId="26E5D235" w14:textId="746FEA1F" w:rsidR="00C005A3" w:rsidRPr="00065F63" w:rsidRDefault="00C005A3" w:rsidP="00DF7FF5">
      <w:pPr>
        <w:pStyle w:val="Textonotapie"/>
        <w:spacing w:before="40" w:after="40"/>
        <w:ind w:left="567" w:right="616"/>
        <w:rPr>
          <w:sz w:val="16"/>
          <w:szCs w:val="16"/>
        </w:rPr>
      </w:pPr>
      <w:r w:rsidRPr="00065F63">
        <w:rPr>
          <w:sz w:val="16"/>
          <w:szCs w:val="16"/>
        </w:rPr>
        <w:t xml:space="preserve">Los proveedores no podrán establecer discriminación alguna respecto a los solicitantes de los productos y servicios que los primeros ofrecen en locales abiertos al público. Está prohibido realizar selección de clientela, excluir a personas o realizar otras prácticas similares, sin que medien causas de seguridad del establecimiento o tranquilidad de sus clientes u otras razones objetivas y justificadas. La carga de la prueba sobre la existencia de un trato desigual corresponde al consumidor afectado o, de ser el caso, a quien lo represente en el proceso o a la administración cuando ésta actúe de oficio. Acreditar la existencia de una causa objetiva y justificada le corresponde al proveedor del bien o servicio. Si el proveedor demuestra la existencia de una causa objetiva y justificada, le corresponde a quien alegue tal hecho, probar que ésta es en realidad un pretexto o una simulación para incurrir en prácticas discriminatorias. </w:t>
      </w:r>
      <w:r w:rsidRPr="00782C9F">
        <w:rPr>
          <w:sz w:val="16"/>
          <w:szCs w:val="16"/>
          <w:u w:val="single"/>
        </w:rPr>
        <w:t>Para todos estos efectos, será válida la utilización de indicios y otros sucedáneos de los medios probatorios</w:t>
      </w:r>
      <w:r w:rsidRPr="00065F63">
        <w:rPr>
          <w:sz w:val="16"/>
          <w:szCs w:val="16"/>
        </w:rPr>
        <w:t>.</w:t>
      </w:r>
      <w:r w:rsidR="00862CAC" w:rsidRPr="00065F63">
        <w:rPr>
          <w:sz w:val="16"/>
          <w:szCs w:val="16"/>
        </w:rPr>
        <w:t xml:space="preserve"> [énfasis añadido]</w:t>
      </w:r>
    </w:p>
  </w:footnote>
  <w:footnote w:id="142">
    <w:p w14:paraId="4BAA460E" w14:textId="4FB0C24A" w:rsidR="00E622A0" w:rsidRPr="00065F63" w:rsidRDefault="00E622A0"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i/>
          <w:iCs/>
          <w:sz w:val="16"/>
          <w:szCs w:val="16"/>
          <w:lang w:val="es-ES"/>
        </w:rPr>
        <w:t>Cfr</w:t>
      </w:r>
      <w:r w:rsidRPr="00065F63">
        <w:rPr>
          <w:sz w:val="16"/>
          <w:szCs w:val="16"/>
          <w:lang w:val="es-ES"/>
        </w:rPr>
        <w:t xml:space="preserve">. Comité para la Eliminación de la Discriminación Racial, </w:t>
      </w:r>
      <w:r w:rsidRPr="00065F63">
        <w:rPr>
          <w:i/>
          <w:iCs/>
          <w:sz w:val="16"/>
          <w:szCs w:val="16"/>
          <w:lang w:val="es-ES"/>
        </w:rPr>
        <w:t>Grigore Zapescu vs. República de Moldova</w:t>
      </w:r>
      <w:r w:rsidRPr="00065F63">
        <w:rPr>
          <w:sz w:val="16"/>
          <w:szCs w:val="16"/>
          <w:lang w:val="es-ES"/>
        </w:rPr>
        <w:t xml:space="preserve">, </w:t>
      </w:r>
      <w:r w:rsidR="001C45CA" w:rsidRPr="00065F63">
        <w:rPr>
          <w:sz w:val="16"/>
          <w:szCs w:val="16"/>
          <w:lang w:val="es-ES"/>
        </w:rPr>
        <w:t>Comunicación no. 60/2016</w:t>
      </w:r>
      <w:r w:rsidRPr="00065F63">
        <w:rPr>
          <w:sz w:val="16"/>
          <w:szCs w:val="16"/>
          <w:lang w:val="es-ES"/>
        </w:rPr>
        <w:t>, CERD/C/103/D/60/2016</w:t>
      </w:r>
      <w:r w:rsidR="001C45CA" w:rsidRPr="00065F63">
        <w:rPr>
          <w:sz w:val="16"/>
          <w:szCs w:val="16"/>
          <w:lang w:val="es-ES"/>
        </w:rPr>
        <w:t>, Decisión de 31 de m</w:t>
      </w:r>
      <w:r w:rsidRPr="00065F63">
        <w:rPr>
          <w:sz w:val="16"/>
          <w:szCs w:val="16"/>
          <w:lang w:val="es-ES"/>
        </w:rPr>
        <w:t>ayo de 2021, párr</w:t>
      </w:r>
      <w:r w:rsidR="009F278E" w:rsidRPr="00065F63">
        <w:rPr>
          <w:sz w:val="16"/>
          <w:szCs w:val="16"/>
          <w:lang w:val="es-ES"/>
        </w:rPr>
        <w:t>s</w:t>
      </w:r>
      <w:r w:rsidRPr="00065F63">
        <w:rPr>
          <w:sz w:val="16"/>
          <w:szCs w:val="16"/>
          <w:lang w:val="es-ES"/>
        </w:rPr>
        <w:t xml:space="preserve">. </w:t>
      </w:r>
      <w:r w:rsidR="009F278E" w:rsidRPr="00065F63">
        <w:rPr>
          <w:sz w:val="16"/>
          <w:szCs w:val="16"/>
          <w:lang w:val="es-ES"/>
        </w:rPr>
        <w:t xml:space="preserve">5.3 y </w:t>
      </w:r>
      <w:r w:rsidRPr="00065F63">
        <w:rPr>
          <w:sz w:val="16"/>
          <w:szCs w:val="16"/>
          <w:lang w:val="es-ES"/>
        </w:rPr>
        <w:t>8.10.</w:t>
      </w:r>
      <w:r w:rsidR="00A608D2" w:rsidRPr="00065F63">
        <w:rPr>
          <w:sz w:val="16"/>
          <w:szCs w:val="16"/>
          <w:lang w:val="es-ES"/>
        </w:rPr>
        <w:t xml:space="preserve"> </w:t>
      </w:r>
    </w:p>
  </w:footnote>
  <w:footnote w:id="143">
    <w:p w14:paraId="58BB6073" w14:textId="1881BEBC" w:rsidR="00E622A0" w:rsidRPr="00065F63" w:rsidRDefault="00E622A0"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Corte Suprema de la Nación Argentina</w:t>
      </w:r>
      <w:r w:rsidR="00CA3743" w:rsidRPr="00065F63">
        <w:rPr>
          <w:sz w:val="16"/>
          <w:szCs w:val="16"/>
        </w:rPr>
        <w:t>,</w:t>
      </w:r>
      <w:r w:rsidRPr="00065F63">
        <w:rPr>
          <w:sz w:val="16"/>
          <w:szCs w:val="16"/>
        </w:rPr>
        <w:t xml:space="preserve"> Hooft, Pedro Cornelio Federico c/ Buenos Aires, Provincia de s/ acción declarativa de inconstitucionalidad. Buenos Aires</w:t>
      </w:r>
      <w:r w:rsidR="00CA3743" w:rsidRPr="00065F63">
        <w:rPr>
          <w:sz w:val="16"/>
          <w:szCs w:val="16"/>
        </w:rPr>
        <w:t>, de</w:t>
      </w:r>
      <w:r w:rsidRPr="00065F63">
        <w:rPr>
          <w:sz w:val="16"/>
          <w:szCs w:val="16"/>
        </w:rPr>
        <w:t xml:space="preserve"> 16 de noviembre de 2004</w:t>
      </w:r>
      <w:r w:rsidR="002F0641" w:rsidRPr="00065F63">
        <w:rPr>
          <w:sz w:val="16"/>
          <w:szCs w:val="16"/>
        </w:rPr>
        <w:t xml:space="preserve">, Sentencia de 16 de noviembre de 2004 y Corte Suprema de la Nación Argentina, Pellicori, Liliana Silva c/ Colegio Público de Abogados de la Capital Federal s/ amparo, Sentencia de 15 de noviembre de 2011, donde indicó que: “[r]esultará suficiente, para la parte que afirma un trato discriminatorio, con la acreditación de hechos que, </w:t>
      </w:r>
      <w:r w:rsidR="002F0641" w:rsidRPr="00065F63">
        <w:rPr>
          <w:i/>
          <w:iCs/>
          <w:sz w:val="16"/>
          <w:szCs w:val="16"/>
        </w:rPr>
        <w:t>prima facie</w:t>
      </w:r>
      <w:r w:rsidR="002F0641" w:rsidRPr="00065F63">
        <w:rPr>
          <w:sz w:val="16"/>
          <w:szCs w:val="16"/>
        </w:rPr>
        <w:t xml:space="preserve"> evaluados, resulten idóneos para inducir su existencia, caso en el cual corresponderá al demandado a quien se reprocha la comisión del trato impugnado, la prueba de que éste tuvo como causa un motivo objetivo y razonable ajeno a toda discriminación.”</w:t>
      </w:r>
    </w:p>
  </w:footnote>
  <w:footnote w:id="144">
    <w:p w14:paraId="62219CC1" w14:textId="17666E7C" w:rsidR="00E622A0" w:rsidRPr="00065F63" w:rsidRDefault="00E622A0" w:rsidP="00DF7FF5">
      <w:pPr>
        <w:pStyle w:val="Textonotapie"/>
        <w:spacing w:before="40" w:after="40"/>
        <w:rPr>
          <w:sz w:val="16"/>
          <w:szCs w:val="16"/>
          <w:lang w:val="fr-029"/>
        </w:rPr>
      </w:pPr>
      <w:r w:rsidRPr="00065F63">
        <w:rPr>
          <w:rStyle w:val="Refdenotaalpie"/>
          <w:sz w:val="16"/>
          <w:szCs w:val="16"/>
        </w:rPr>
        <w:footnoteRef/>
      </w:r>
      <w:r w:rsidRPr="001C6D58">
        <w:rPr>
          <w:sz w:val="16"/>
          <w:szCs w:val="16"/>
        </w:rPr>
        <w:t xml:space="preserve"> </w:t>
      </w:r>
      <w:r w:rsidRPr="001C6D58">
        <w:rPr>
          <w:sz w:val="16"/>
          <w:szCs w:val="16"/>
        </w:rPr>
        <w:tab/>
      </w:r>
      <w:r w:rsidRPr="001C6D58">
        <w:rPr>
          <w:i/>
          <w:iCs/>
          <w:sz w:val="16"/>
          <w:szCs w:val="16"/>
        </w:rPr>
        <w:t>Cfr</w:t>
      </w:r>
      <w:r w:rsidRPr="001C6D58">
        <w:rPr>
          <w:sz w:val="16"/>
          <w:szCs w:val="16"/>
        </w:rPr>
        <w:t>. Corte Suprema de Justicia</w:t>
      </w:r>
      <w:r w:rsidR="00DF4AC9" w:rsidRPr="001C6D58">
        <w:rPr>
          <w:sz w:val="16"/>
          <w:szCs w:val="16"/>
        </w:rPr>
        <w:t>,</w:t>
      </w:r>
      <w:r w:rsidRPr="001C6D58">
        <w:rPr>
          <w:sz w:val="16"/>
          <w:szCs w:val="16"/>
        </w:rPr>
        <w:t xml:space="preserve"> </w:t>
      </w:r>
      <w:r w:rsidRPr="001C6D58">
        <w:rPr>
          <w:i/>
          <w:iCs/>
          <w:sz w:val="16"/>
          <w:szCs w:val="16"/>
        </w:rPr>
        <w:t>Moore v. British Columbia</w:t>
      </w:r>
      <w:r w:rsidRPr="001C6D58">
        <w:rPr>
          <w:sz w:val="16"/>
          <w:szCs w:val="16"/>
        </w:rPr>
        <w:t xml:space="preserve"> (Education). </w:t>
      </w:r>
      <w:r w:rsidRPr="00065F63">
        <w:rPr>
          <w:sz w:val="16"/>
          <w:szCs w:val="16"/>
          <w:lang w:val="fr-029"/>
        </w:rPr>
        <w:t>2012 SCC 61, [2012] 3 S.C.R. 360</w:t>
      </w:r>
      <w:r w:rsidR="0067353E">
        <w:rPr>
          <w:sz w:val="16"/>
          <w:szCs w:val="16"/>
          <w:lang w:val="fr-029"/>
        </w:rPr>
        <w:t>, 9 de noviembre de 2012,</w:t>
      </w:r>
      <w:r w:rsidRPr="00065F63">
        <w:rPr>
          <w:sz w:val="16"/>
          <w:szCs w:val="16"/>
          <w:lang w:val="fr-029"/>
        </w:rPr>
        <w:t xml:space="preserve"> Dockets 34040, 34041. Disponible en inglés: </w:t>
      </w:r>
      <w:hyperlink r:id="rId14" w:history="1">
        <w:r w:rsidR="0028163E" w:rsidRPr="00E77D72">
          <w:rPr>
            <w:rStyle w:val="Hipervnculo"/>
            <w:sz w:val="16"/>
            <w:szCs w:val="16"/>
            <w:lang w:val="fr-029"/>
          </w:rPr>
          <w:t>https://scc-csc.lexum.com/scc-csc/scc-csc/en/item/12680/index.do</w:t>
        </w:r>
      </w:hyperlink>
      <w:r w:rsidR="0028163E">
        <w:rPr>
          <w:sz w:val="16"/>
          <w:szCs w:val="16"/>
          <w:lang w:val="fr-029"/>
        </w:rPr>
        <w:t xml:space="preserve"> </w:t>
      </w:r>
      <w:r w:rsidR="002F0641" w:rsidRPr="0067353E">
        <w:rPr>
          <w:sz w:val="16"/>
          <w:szCs w:val="16"/>
          <w:lang w:val="fr-029"/>
        </w:rPr>
        <w:t>y</w:t>
      </w:r>
      <w:r w:rsidR="002F0641" w:rsidRPr="00065F63">
        <w:rPr>
          <w:sz w:val="16"/>
          <w:szCs w:val="16"/>
          <w:lang w:val="fr-029"/>
        </w:rPr>
        <w:t xml:space="preserve"> Corte Suprema de Justicia, Quebec</w:t>
      </w:r>
      <w:r w:rsidR="002F0641" w:rsidRPr="00065F63">
        <w:rPr>
          <w:rStyle w:val="Hipervnculo"/>
          <w:i/>
          <w:iCs/>
          <w:color w:val="auto"/>
          <w:sz w:val="16"/>
          <w:szCs w:val="16"/>
          <w:u w:val="none"/>
          <w:lang w:val="fr-029"/>
        </w:rPr>
        <w:t xml:space="preserve"> (Comission des droits de la personne et des droits de la jeunesse) v. Bombardier Inc. (Bombardier Aerospace Training Center), </w:t>
      </w:r>
      <w:r w:rsidR="002F0641" w:rsidRPr="00065F63">
        <w:rPr>
          <w:rStyle w:val="Hipervnculo"/>
          <w:color w:val="auto"/>
          <w:sz w:val="16"/>
          <w:szCs w:val="16"/>
          <w:u w:val="none"/>
          <w:lang w:val="fr-029"/>
        </w:rPr>
        <w:t xml:space="preserve">2015 SCC 39, [2015] 2 S.C.R. 789, Docket 35625. </w:t>
      </w:r>
      <w:r w:rsidR="002F0641" w:rsidRPr="00065F63">
        <w:rPr>
          <w:sz w:val="16"/>
          <w:szCs w:val="16"/>
          <w:lang w:val="fr-029"/>
        </w:rPr>
        <w:t>Disponible en inglés:</w:t>
      </w:r>
      <w:r w:rsidR="002F0641" w:rsidRPr="00065F63">
        <w:rPr>
          <w:rStyle w:val="Hipervnculo"/>
          <w:sz w:val="16"/>
          <w:szCs w:val="16"/>
          <w:u w:val="none"/>
          <w:lang w:val="fr-029"/>
        </w:rPr>
        <w:t xml:space="preserve"> </w:t>
      </w:r>
      <w:hyperlink r:id="rId15" w:history="1">
        <w:r w:rsidR="00EB32D7" w:rsidRPr="00065F63">
          <w:rPr>
            <w:rStyle w:val="Hipervnculo"/>
            <w:sz w:val="16"/>
            <w:szCs w:val="16"/>
            <w:lang w:val="fr-029"/>
          </w:rPr>
          <w:t>https://www.canlii.org/en/ca/scc/doc/2015/2015scc39/2015scc39.html</w:t>
        </w:r>
      </w:hyperlink>
      <w:r w:rsidR="00EB32D7" w:rsidRPr="00065F63">
        <w:rPr>
          <w:sz w:val="16"/>
          <w:szCs w:val="16"/>
          <w:lang w:val="fr-029"/>
        </w:rPr>
        <w:t xml:space="preserve"> </w:t>
      </w:r>
    </w:p>
  </w:footnote>
  <w:footnote w:id="145">
    <w:p w14:paraId="31240D92" w14:textId="7397D044" w:rsidR="00E622A0" w:rsidRPr="0028163E" w:rsidRDefault="00E622A0" w:rsidP="00DF7FF5">
      <w:pPr>
        <w:pStyle w:val="Textonotapie"/>
        <w:spacing w:before="40" w:after="40"/>
        <w:rPr>
          <w:sz w:val="16"/>
          <w:szCs w:val="16"/>
          <w:lang w:val="fr-029"/>
        </w:rPr>
      </w:pPr>
      <w:r w:rsidRPr="00065F63">
        <w:rPr>
          <w:rStyle w:val="Refdenotaalpie"/>
          <w:sz w:val="16"/>
          <w:szCs w:val="16"/>
        </w:rPr>
        <w:footnoteRef/>
      </w:r>
      <w:r w:rsidRPr="0028163E">
        <w:rPr>
          <w:sz w:val="16"/>
          <w:szCs w:val="16"/>
          <w:lang w:val="fr-029"/>
        </w:rPr>
        <w:t xml:space="preserve"> </w:t>
      </w:r>
      <w:r w:rsidR="001432B8" w:rsidRPr="0028163E">
        <w:rPr>
          <w:sz w:val="16"/>
          <w:szCs w:val="16"/>
          <w:lang w:val="fr-029"/>
        </w:rPr>
        <w:tab/>
      </w:r>
      <w:r w:rsidR="002F0641" w:rsidRPr="0028163E">
        <w:rPr>
          <w:i/>
          <w:iCs/>
          <w:sz w:val="16"/>
          <w:szCs w:val="16"/>
          <w:lang w:val="fr-029"/>
        </w:rPr>
        <w:t>Cfr</w:t>
      </w:r>
      <w:r w:rsidR="002F0641" w:rsidRPr="0028163E">
        <w:rPr>
          <w:sz w:val="16"/>
          <w:szCs w:val="16"/>
          <w:lang w:val="fr-029"/>
        </w:rPr>
        <w:t>. Corte de Apelaciones de Temuco, Sentencia No. 297-2015</w:t>
      </w:r>
      <w:r w:rsidR="00CA3743" w:rsidRPr="0028163E">
        <w:rPr>
          <w:sz w:val="16"/>
          <w:szCs w:val="16"/>
          <w:lang w:val="fr-029"/>
        </w:rPr>
        <w:t>,</w:t>
      </w:r>
      <w:r w:rsidR="002F0641" w:rsidRPr="0028163E">
        <w:rPr>
          <w:sz w:val="16"/>
          <w:szCs w:val="16"/>
          <w:lang w:val="fr-029"/>
        </w:rPr>
        <w:t xml:space="preserve"> de 12 de mayo de 2015</w:t>
      </w:r>
      <w:r w:rsidR="001432B8" w:rsidRPr="0028163E">
        <w:rPr>
          <w:sz w:val="16"/>
          <w:szCs w:val="16"/>
          <w:lang w:val="fr-029"/>
        </w:rPr>
        <w:t>.</w:t>
      </w:r>
    </w:p>
  </w:footnote>
  <w:footnote w:id="146">
    <w:p w14:paraId="7A49FDB7" w14:textId="5431FC4C" w:rsidR="00E622A0" w:rsidRPr="00065F63" w:rsidRDefault="00E622A0" w:rsidP="00DF7FF5">
      <w:pPr>
        <w:pStyle w:val="Textonotapie"/>
        <w:spacing w:before="40" w:after="40"/>
        <w:rPr>
          <w:sz w:val="16"/>
          <w:szCs w:val="16"/>
        </w:rPr>
      </w:pPr>
      <w:r w:rsidRPr="00065F63">
        <w:rPr>
          <w:rStyle w:val="Refdenotaalpie"/>
          <w:sz w:val="16"/>
          <w:szCs w:val="16"/>
        </w:rPr>
        <w:footnoteRef/>
      </w:r>
      <w:r w:rsidRPr="001C6D58">
        <w:rPr>
          <w:sz w:val="16"/>
          <w:szCs w:val="16"/>
          <w:lang w:val="fr-029"/>
        </w:rPr>
        <w:t xml:space="preserve"> </w:t>
      </w:r>
      <w:r w:rsidRPr="001C6D58">
        <w:rPr>
          <w:sz w:val="16"/>
          <w:szCs w:val="16"/>
          <w:lang w:val="fr-029"/>
        </w:rPr>
        <w:tab/>
      </w:r>
      <w:r w:rsidR="002F0641" w:rsidRPr="001C6D58">
        <w:rPr>
          <w:i/>
          <w:iCs/>
          <w:sz w:val="16"/>
          <w:szCs w:val="16"/>
          <w:lang w:val="fr-029"/>
        </w:rPr>
        <w:t>Cfr</w:t>
      </w:r>
      <w:r w:rsidR="002F0641" w:rsidRPr="001C6D58">
        <w:rPr>
          <w:sz w:val="16"/>
          <w:szCs w:val="16"/>
          <w:lang w:val="fr-029"/>
        </w:rPr>
        <w:t xml:space="preserve">., entre otras, Sala Tercera de Revisión de la Corte Constitucional de la República de Colombia, Sentencia No. </w:t>
      </w:r>
      <w:r w:rsidR="002F0641" w:rsidRPr="0028163E">
        <w:rPr>
          <w:sz w:val="16"/>
          <w:szCs w:val="16"/>
        </w:rPr>
        <w:t>T-098</w:t>
      </w:r>
      <w:r w:rsidR="00EA3CBB" w:rsidRPr="0028163E">
        <w:rPr>
          <w:sz w:val="16"/>
          <w:szCs w:val="16"/>
        </w:rPr>
        <w:t>,</w:t>
      </w:r>
      <w:r w:rsidR="002F0641" w:rsidRPr="0028163E">
        <w:rPr>
          <w:sz w:val="16"/>
          <w:szCs w:val="16"/>
        </w:rPr>
        <w:t xml:space="preserve"> de 7 de marzo de 1994, Sala Tercera de Revisión de la Corte Constitucional de la República de Colombia, Sentencia No. </w:t>
      </w:r>
      <w:r w:rsidR="002F0641" w:rsidRPr="00065F63">
        <w:rPr>
          <w:sz w:val="16"/>
          <w:szCs w:val="16"/>
        </w:rPr>
        <w:t>T-596</w:t>
      </w:r>
      <w:r w:rsidR="00EA3CBB" w:rsidRPr="00065F63">
        <w:rPr>
          <w:sz w:val="16"/>
          <w:szCs w:val="16"/>
        </w:rPr>
        <w:t>,</w:t>
      </w:r>
      <w:r w:rsidR="002F0641" w:rsidRPr="00065F63">
        <w:rPr>
          <w:sz w:val="16"/>
          <w:szCs w:val="16"/>
        </w:rPr>
        <w:t xml:space="preserve"> de 15 junio de 2004, y Sala Tercera de Revisión de la Corte Constitucional de la República de Colombia, Sentencia No. T-291 de 2016</w:t>
      </w:r>
      <w:r w:rsidR="00D06CA8" w:rsidRPr="00065F63">
        <w:rPr>
          <w:sz w:val="16"/>
          <w:szCs w:val="16"/>
        </w:rPr>
        <w:t xml:space="preserve"> y Sentencia No. </w:t>
      </w:r>
      <w:r w:rsidR="002F0641" w:rsidRPr="00065F63">
        <w:rPr>
          <w:sz w:val="16"/>
          <w:szCs w:val="16"/>
        </w:rPr>
        <w:t>T-068</w:t>
      </w:r>
      <w:r w:rsidR="00EA3CBB" w:rsidRPr="00065F63">
        <w:rPr>
          <w:sz w:val="16"/>
          <w:szCs w:val="16"/>
        </w:rPr>
        <w:t>,</w:t>
      </w:r>
      <w:r w:rsidR="002F0641" w:rsidRPr="00065F63">
        <w:rPr>
          <w:sz w:val="16"/>
          <w:szCs w:val="16"/>
        </w:rPr>
        <w:t xml:space="preserve"> de 21 de marzo de 2021</w:t>
      </w:r>
      <w:r w:rsidR="00EA3CBB" w:rsidRPr="00065F63">
        <w:rPr>
          <w:sz w:val="16"/>
          <w:szCs w:val="16"/>
        </w:rPr>
        <w:t>,</w:t>
      </w:r>
      <w:r w:rsidR="002F0641" w:rsidRPr="00065F63">
        <w:rPr>
          <w:sz w:val="16"/>
          <w:szCs w:val="16"/>
        </w:rPr>
        <w:t xml:space="preserve"> en donde se estableció que: “[e]n los casos donde se discuta la existencia de un trato basado en cualquiera de las categorías sospechosas de discriminación, la jurisprudencia constitucional ha desarrollado el concepto de “carga dinámica de la prueba”, conforme al cual se traslada la obligación de probar la ausencia de discriminación a la parte accionada, quien, al encontrarse en una situación de superioridad, tiene una mayor capacidad para aportar los medios probatorios que demuestren que su proceder no constituyó un acto discriminatorio, por lo que resulta insuficiente para el juez la simple negación de los hechos por parte de quien se presume que los ejecuta”</w:t>
      </w:r>
      <w:r w:rsidRPr="00065F63">
        <w:rPr>
          <w:sz w:val="16"/>
          <w:szCs w:val="16"/>
        </w:rPr>
        <w:t>.</w:t>
      </w:r>
    </w:p>
  </w:footnote>
  <w:footnote w:id="147">
    <w:p w14:paraId="49628CF3" w14:textId="7BA00248" w:rsidR="001432B8" w:rsidRPr="00065F63" w:rsidRDefault="001432B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2F0641" w:rsidRPr="00065F63">
        <w:rPr>
          <w:i/>
          <w:iCs/>
          <w:sz w:val="16"/>
          <w:szCs w:val="16"/>
        </w:rPr>
        <w:t>Cfr</w:t>
      </w:r>
      <w:r w:rsidR="002F0641" w:rsidRPr="00065F63">
        <w:rPr>
          <w:sz w:val="16"/>
          <w:szCs w:val="16"/>
        </w:rPr>
        <w:t>. Sala Constitucional de la Corte Suprema de Justicia de Costa Rica, Sentencia No. 2018-010289, de 26 de junio de 2018.</w:t>
      </w:r>
    </w:p>
  </w:footnote>
  <w:footnote w:id="148">
    <w:p w14:paraId="34FCCAEC" w14:textId="29B714A4" w:rsidR="00C43649" w:rsidRPr="00065F63" w:rsidRDefault="00C4364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Comité para la Eliminación de la Discriminación Racial (CERD), </w:t>
      </w:r>
      <w:r w:rsidRPr="00065F63">
        <w:rPr>
          <w:i/>
          <w:iCs/>
          <w:sz w:val="16"/>
          <w:szCs w:val="16"/>
        </w:rPr>
        <w:t>Laurent Gabre Gabaroum Vs. Francia</w:t>
      </w:r>
      <w:r w:rsidRPr="00065F63">
        <w:rPr>
          <w:sz w:val="16"/>
          <w:szCs w:val="16"/>
        </w:rPr>
        <w:t>, Comunicación n</w:t>
      </w:r>
      <w:r w:rsidR="004E3922" w:rsidRPr="00065F63">
        <w:rPr>
          <w:sz w:val="16"/>
          <w:szCs w:val="16"/>
        </w:rPr>
        <w:t>.</w:t>
      </w:r>
      <w:r w:rsidRPr="00065F63">
        <w:rPr>
          <w:sz w:val="16"/>
          <w:szCs w:val="16"/>
        </w:rPr>
        <w:t xml:space="preserve">° 52/2012, CERD/C/89/D/52/2012, Decisión de 8 de junio de 2016, párr. 7.2 y </w:t>
      </w:r>
      <w:r w:rsidRPr="00065F63">
        <w:rPr>
          <w:i/>
          <w:iCs/>
          <w:sz w:val="16"/>
          <w:szCs w:val="16"/>
        </w:rPr>
        <w:t>V. S. Vs. Eslovaquia</w:t>
      </w:r>
      <w:r w:rsidRPr="00065F63">
        <w:rPr>
          <w:sz w:val="16"/>
          <w:szCs w:val="16"/>
        </w:rPr>
        <w:t>, Comunicación n</w:t>
      </w:r>
      <w:r w:rsidR="004E3922" w:rsidRPr="00065F63">
        <w:rPr>
          <w:sz w:val="16"/>
          <w:szCs w:val="16"/>
        </w:rPr>
        <w:t>.</w:t>
      </w:r>
      <w:r w:rsidRPr="00065F63">
        <w:rPr>
          <w:sz w:val="16"/>
          <w:szCs w:val="16"/>
        </w:rPr>
        <w:t xml:space="preserve">° 56/2014, 2015, Decisión de 4 de diciembre de 2015, párr. 7.4. Además, el CERD recomienda a los Estados parte “[r]egular la carga de la prueba en los procedimientos civiles relativos a la discriminación basada en la raza, el color, la ascendencia y el origen nacional o étnico de modo que una vez que un no ciudadano haya demostrado la existencia de presunciones de hecho de que ha sido víctima de ese tipo de discriminación, sea el denunciado quien deba presentar pruebas de la justificación objetiva y razonable de la diferencia de trato. </w:t>
      </w:r>
      <w:r w:rsidRPr="00065F63">
        <w:rPr>
          <w:i/>
          <w:iCs/>
          <w:sz w:val="16"/>
          <w:szCs w:val="16"/>
        </w:rPr>
        <w:t>Cfr</w:t>
      </w:r>
      <w:r w:rsidRPr="00065F63">
        <w:rPr>
          <w:sz w:val="16"/>
          <w:szCs w:val="16"/>
        </w:rPr>
        <w:t xml:space="preserve">. Comité para la Eliminación de la Discriminación Racial (CERD), Recomendación general No. 30 sobre la discriminación contra los no ciudadanos, de 5 de octubre de 2004, apartado 24. </w:t>
      </w:r>
    </w:p>
  </w:footnote>
  <w:footnote w:id="149">
    <w:p w14:paraId="3E2FE83E" w14:textId="57AEF7EF" w:rsidR="00C43649" w:rsidRPr="00065F63" w:rsidRDefault="00C4364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AB6FF9" w:rsidRPr="00065F63">
        <w:rPr>
          <w:i/>
          <w:iCs/>
          <w:sz w:val="16"/>
          <w:szCs w:val="16"/>
          <w:lang w:val="es-ES"/>
        </w:rPr>
        <w:t>Cfr</w:t>
      </w:r>
      <w:r w:rsidR="00AB6FF9" w:rsidRPr="00065F63">
        <w:rPr>
          <w:sz w:val="16"/>
          <w:szCs w:val="16"/>
          <w:lang w:val="es-ES"/>
        </w:rPr>
        <w:t>.</w:t>
      </w:r>
      <w:r w:rsidR="00AB6FF9" w:rsidRPr="00065F63">
        <w:rPr>
          <w:sz w:val="16"/>
          <w:szCs w:val="16"/>
        </w:rPr>
        <w:t xml:space="preserve"> Comité de Derechos Económicos, Sociales y Culturales, Observaciones finales sobre el cuarto informe periódico de Chequia, E/C.12/CHE/CO/4, de 18 de noviembre de 2019, párr. 35.</w:t>
      </w:r>
      <w:r w:rsidR="00621F8D" w:rsidRPr="00065F63">
        <w:rPr>
          <w:sz w:val="16"/>
          <w:szCs w:val="16"/>
        </w:rPr>
        <w:t xml:space="preserve"> </w:t>
      </w:r>
    </w:p>
  </w:footnote>
  <w:footnote w:id="150">
    <w:p w14:paraId="3080D81B" w14:textId="087F3205" w:rsidR="00CC32D4" w:rsidRPr="00065F63" w:rsidRDefault="00CC32D4"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i/>
          <w:iCs/>
          <w:sz w:val="16"/>
          <w:szCs w:val="16"/>
          <w:lang w:val="es-ES"/>
        </w:rPr>
        <w:t>Cfr</w:t>
      </w:r>
      <w:r w:rsidRPr="00065F63">
        <w:rPr>
          <w:sz w:val="16"/>
          <w:szCs w:val="16"/>
          <w:lang w:val="es-ES"/>
        </w:rPr>
        <w:t xml:space="preserve">. OIT, </w:t>
      </w:r>
      <w:r w:rsidR="00856E64" w:rsidRPr="00065F63">
        <w:rPr>
          <w:sz w:val="16"/>
          <w:szCs w:val="16"/>
          <w:lang w:val="es-ES"/>
        </w:rPr>
        <w:t>“</w:t>
      </w:r>
      <w:r w:rsidRPr="00065F63">
        <w:rPr>
          <w:sz w:val="16"/>
          <w:szCs w:val="16"/>
          <w:lang w:val="es-ES"/>
        </w:rPr>
        <w:t>La libertad sindical - Recopilación de decisiones y principios del Comité de Libertad Sindical del Consejo de Administración de la OIT</w:t>
      </w:r>
      <w:r w:rsidR="00856E64" w:rsidRPr="00065F63">
        <w:rPr>
          <w:sz w:val="16"/>
          <w:szCs w:val="16"/>
          <w:lang w:val="es-ES"/>
        </w:rPr>
        <w:t xml:space="preserve">”, </w:t>
      </w:r>
      <w:r w:rsidRPr="00065F63">
        <w:rPr>
          <w:sz w:val="16"/>
          <w:szCs w:val="16"/>
          <w:lang w:val="es-ES"/>
        </w:rPr>
        <w:t>Quinta edición (revisada), 2006, Decisiones y principios del Comité de Libertad Sindical hasta su 339.° informe (noviembre de 2005), párr. 830, el cual señala que “</w:t>
      </w:r>
      <w:r w:rsidRPr="00065F63">
        <w:rPr>
          <w:sz w:val="16"/>
          <w:szCs w:val="16"/>
        </w:rPr>
        <w:t>con el fin de garantizar una protección eficaz de los representantes de los trabajadores recomienda entre las medidas que deben adoptarse que, cuando se alega que el despido de un representante de los trabajadores o la modificación en su detrimento de las condiciones de empleo fuesen discriminatorios, se adopten disposiciones que impongan al empleador la obligación de probar que su acto estaba justificado”.</w:t>
      </w:r>
    </w:p>
  </w:footnote>
  <w:footnote w:id="151">
    <w:p w14:paraId="1837BDE4" w14:textId="3518203E" w:rsidR="00621F8D" w:rsidRPr="00065F63" w:rsidRDefault="00621F8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Comité sobre los Derechos de las Personas con Discapacidad, Observaciones finales sobre el informe inicial de la Federación Rusa, CRPD/C/RUS/CO/1, de 9 de abril de 2018, párr. 54, y Observaciones finales sobre el informe inicial de Bosnia y Herzegovina, CRPD/C/BIH/CO/1, de 2 de mayo de 2017, párr. 29.</w:t>
      </w:r>
      <w:r w:rsidR="00DF7FF5" w:rsidRPr="00065F63">
        <w:rPr>
          <w:sz w:val="16"/>
          <w:szCs w:val="16"/>
        </w:rPr>
        <w:t xml:space="preserve"> </w:t>
      </w:r>
    </w:p>
  </w:footnote>
  <w:footnote w:id="152">
    <w:p w14:paraId="1B83AC89" w14:textId="5EEE67D8" w:rsidR="00CC32D4" w:rsidRPr="00065F63" w:rsidRDefault="00CC32D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Pr="00065F63">
        <w:rPr>
          <w:sz w:val="16"/>
          <w:szCs w:val="16"/>
        </w:rPr>
        <w:t>TEDH</w:t>
      </w:r>
      <w:r w:rsidRPr="00065F63">
        <w:rPr>
          <w:i/>
          <w:iCs/>
          <w:sz w:val="16"/>
          <w:szCs w:val="16"/>
        </w:rPr>
        <w:t xml:space="preserve">, </w:t>
      </w:r>
      <w:r w:rsidR="005A769B" w:rsidRPr="00065F63">
        <w:rPr>
          <w:i/>
          <w:iCs/>
          <w:sz w:val="16"/>
          <w:szCs w:val="16"/>
        </w:rPr>
        <w:t xml:space="preserve">Beizaras and Levickas v. Lithuania, </w:t>
      </w:r>
      <w:r w:rsidR="005A769B" w:rsidRPr="00065F63">
        <w:rPr>
          <w:sz w:val="16"/>
          <w:szCs w:val="16"/>
        </w:rPr>
        <w:t xml:space="preserve">no. 41288/15, Sentencia de 14 de </w:t>
      </w:r>
      <w:r w:rsidR="007F1409" w:rsidRPr="00065F63">
        <w:rPr>
          <w:sz w:val="16"/>
          <w:szCs w:val="16"/>
        </w:rPr>
        <w:t>e</w:t>
      </w:r>
      <w:r w:rsidR="005A769B" w:rsidRPr="00065F63">
        <w:rPr>
          <w:sz w:val="16"/>
          <w:szCs w:val="16"/>
        </w:rPr>
        <w:t>nero de 2020, párr. 115, y</w:t>
      </w:r>
      <w:r w:rsidR="005A769B" w:rsidRPr="00065F63">
        <w:rPr>
          <w:i/>
          <w:iCs/>
          <w:sz w:val="16"/>
          <w:szCs w:val="16"/>
        </w:rPr>
        <w:t xml:space="preserve"> </w:t>
      </w:r>
      <w:r w:rsidRPr="00065F63">
        <w:rPr>
          <w:i/>
          <w:iCs/>
          <w:sz w:val="16"/>
          <w:szCs w:val="16"/>
        </w:rPr>
        <w:t>Zakharova and Others v. Russia</w:t>
      </w:r>
      <w:r w:rsidRPr="00065F63">
        <w:rPr>
          <w:sz w:val="16"/>
          <w:szCs w:val="16"/>
        </w:rPr>
        <w:t>, no. 12736/10, Sentencia de 8 de marzo de 2022, párrs. 36 y 37.</w:t>
      </w:r>
    </w:p>
  </w:footnote>
  <w:footnote w:id="153">
    <w:p w14:paraId="420FC370" w14:textId="6A07FA04" w:rsidR="00856E64" w:rsidRPr="00065F63" w:rsidRDefault="00856E6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Comité Europeo de Derechos Sociales del Consejo de Europa</w:t>
      </w:r>
      <w:r w:rsidR="00A31E41" w:rsidRPr="00065F63">
        <w:rPr>
          <w:sz w:val="16"/>
          <w:szCs w:val="16"/>
        </w:rPr>
        <w:t xml:space="preserve"> (ECSR)</w:t>
      </w:r>
      <w:r w:rsidRPr="00065F63">
        <w:rPr>
          <w:sz w:val="16"/>
          <w:szCs w:val="16"/>
        </w:rPr>
        <w:t xml:space="preserve">, </w:t>
      </w:r>
      <w:r w:rsidR="00C31AFC" w:rsidRPr="00065F63">
        <w:rPr>
          <w:i/>
          <w:iCs/>
          <w:sz w:val="16"/>
          <w:szCs w:val="16"/>
        </w:rPr>
        <w:t xml:space="preserve">Mental Disability Advocacy Centre </w:t>
      </w:r>
      <w:r w:rsidR="00C31AFC" w:rsidRPr="00065F63">
        <w:rPr>
          <w:i/>
          <w:iCs/>
          <w:sz w:val="16"/>
          <w:szCs w:val="16"/>
          <w:lang w:val="es-ES"/>
        </w:rPr>
        <w:t>(MDAC) v. Bulgaria,</w:t>
      </w:r>
      <w:r w:rsidR="00C31AFC" w:rsidRPr="00065F63">
        <w:rPr>
          <w:sz w:val="16"/>
          <w:szCs w:val="16"/>
          <w:lang w:val="es-ES"/>
        </w:rPr>
        <w:t xml:space="preserve"> Comunicación no. 41/2007, Decisión de 3 de junio de 2008, párr. 52. Y </w:t>
      </w:r>
      <w:r w:rsidRPr="00065F63">
        <w:rPr>
          <w:i/>
          <w:iCs/>
          <w:sz w:val="16"/>
          <w:szCs w:val="16"/>
          <w:lang w:val="es-ES"/>
        </w:rPr>
        <w:t>Associazione Nazionale Giudici di Pace v. Italia</w:t>
      </w:r>
      <w:r w:rsidRPr="00065F63">
        <w:rPr>
          <w:sz w:val="16"/>
          <w:szCs w:val="16"/>
          <w:lang w:val="es-ES"/>
        </w:rPr>
        <w:t>, Comunicación no. 102/2013, Decisión de 5 de julio de 2016, párr. 73</w:t>
      </w:r>
      <w:r w:rsidR="00C31AFC" w:rsidRPr="00065F63">
        <w:rPr>
          <w:sz w:val="16"/>
          <w:szCs w:val="16"/>
          <w:lang w:val="es-ES"/>
        </w:rPr>
        <w:t>.</w:t>
      </w:r>
      <w:r w:rsidRPr="00065F63">
        <w:rPr>
          <w:sz w:val="16"/>
          <w:szCs w:val="16"/>
        </w:rPr>
        <w:t xml:space="preserve"> </w:t>
      </w:r>
    </w:p>
  </w:footnote>
  <w:footnote w:id="154">
    <w:p w14:paraId="5736F608" w14:textId="216A0A03" w:rsidR="001432B8" w:rsidRPr="00065F63" w:rsidRDefault="001432B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Directiva 97/80/CE</w:t>
      </w:r>
      <w:r w:rsidR="009F278E" w:rsidRPr="00065F63">
        <w:rPr>
          <w:sz w:val="16"/>
          <w:szCs w:val="16"/>
        </w:rPr>
        <w:t xml:space="preserve"> del Consejo de 15 de diciembre de 1997, relativa a la carga de la prueba en los casos de discriminación por razón de sexo</w:t>
      </w:r>
      <w:r w:rsidRPr="00065F63">
        <w:rPr>
          <w:sz w:val="16"/>
          <w:szCs w:val="16"/>
        </w:rPr>
        <w:t>,</w:t>
      </w:r>
      <w:r w:rsidR="009F278E" w:rsidRPr="00065F63">
        <w:rPr>
          <w:sz w:val="16"/>
          <w:szCs w:val="16"/>
        </w:rPr>
        <w:t xml:space="preserve"> «DOCE» </w:t>
      </w:r>
      <w:r w:rsidR="00C43649" w:rsidRPr="00065F63">
        <w:rPr>
          <w:sz w:val="16"/>
          <w:szCs w:val="16"/>
        </w:rPr>
        <w:t>n</w:t>
      </w:r>
      <w:r w:rsidR="004E3922" w:rsidRPr="00065F63">
        <w:rPr>
          <w:sz w:val="16"/>
          <w:szCs w:val="16"/>
        </w:rPr>
        <w:t>.</w:t>
      </w:r>
      <w:r w:rsidR="00C43649" w:rsidRPr="00065F63">
        <w:rPr>
          <w:sz w:val="16"/>
          <w:szCs w:val="16"/>
        </w:rPr>
        <w:t xml:space="preserve">° </w:t>
      </w:r>
      <w:r w:rsidR="009F278E" w:rsidRPr="00065F63">
        <w:rPr>
          <w:sz w:val="16"/>
          <w:szCs w:val="16"/>
        </w:rPr>
        <w:t xml:space="preserve">14, de 20 de enero de 1998, </w:t>
      </w:r>
      <w:r w:rsidRPr="00065F63">
        <w:rPr>
          <w:sz w:val="16"/>
          <w:szCs w:val="16"/>
        </w:rPr>
        <w:t>artículo 4</w:t>
      </w:r>
      <w:r w:rsidR="00EA3CBB" w:rsidRPr="00065F63">
        <w:rPr>
          <w:sz w:val="16"/>
          <w:szCs w:val="16"/>
        </w:rPr>
        <w:t>.</w:t>
      </w:r>
      <w:r w:rsidRPr="00065F63">
        <w:rPr>
          <w:sz w:val="16"/>
          <w:szCs w:val="16"/>
        </w:rPr>
        <w:t xml:space="preserve"> Ver también, Directiva 2000/43/CE del Consejo, </w:t>
      </w:r>
      <w:r w:rsidR="009F278E" w:rsidRPr="00065F63">
        <w:rPr>
          <w:sz w:val="16"/>
          <w:szCs w:val="16"/>
        </w:rPr>
        <w:t>r</w:t>
      </w:r>
      <w:r w:rsidRPr="00065F63">
        <w:rPr>
          <w:sz w:val="16"/>
          <w:szCs w:val="16"/>
        </w:rPr>
        <w:t>elativa a la aplicación del principio de igualdad de trato de las personas independientemente de su origen racial o étnico,</w:t>
      </w:r>
      <w:r w:rsidR="00776C41" w:rsidRPr="00065F63">
        <w:rPr>
          <w:sz w:val="16"/>
          <w:szCs w:val="16"/>
        </w:rPr>
        <w:t xml:space="preserve"> </w:t>
      </w:r>
      <w:r w:rsidR="009F278E" w:rsidRPr="00065F63">
        <w:rPr>
          <w:sz w:val="16"/>
          <w:szCs w:val="16"/>
        </w:rPr>
        <w:t xml:space="preserve">«DOCE» </w:t>
      </w:r>
      <w:r w:rsidR="00C43649" w:rsidRPr="00065F63">
        <w:rPr>
          <w:sz w:val="16"/>
          <w:szCs w:val="16"/>
        </w:rPr>
        <w:t>n</w:t>
      </w:r>
      <w:r w:rsidR="004E3922" w:rsidRPr="00065F63">
        <w:rPr>
          <w:sz w:val="16"/>
          <w:szCs w:val="16"/>
        </w:rPr>
        <w:t>.</w:t>
      </w:r>
      <w:r w:rsidR="00C43649" w:rsidRPr="00065F63">
        <w:rPr>
          <w:sz w:val="16"/>
          <w:szCs w:val="16"/>
        </w:rPr>
        <w:t xml:space="preserve">° </w:t>
      </w:r>
      <w:r w:rsidR="009F278E" w:rsidRPr="00065F63">
        <w:rPr>
          <w:sz w:val="16"/>
          <w:szCs w:val="16"/>
        </w:rPr>
        <w:t>180, de 19 de julio de 2000,</w:t>
      </w:r>
      <w:r w:rsidRPr="00065F63">
        <w:rPr>
          <w:sz w:val="16"/>
          <w:szCs w:val="16"/>
        </w:rPr>
        <w:t xml:space="preserve"> párr. 21, el cual señala que “</w:t>
      </w:r>
      <w:r w:rsidR="00776C41" w:rsidRPr="00065F63">
        <w:rPr>
          <w:sz w:val="16"/>
          <w:szCs w:val="16"/>
        </w:rPr>
        <w:t>[l]</w:t>
      </w:r>
      <w:r w:rsidRPr="00065F63">
        <w:rPr>
          <w:color w:val="000000"/>
          <w:sz w:val="16"/>
          <w:szCs w:val="16"/>
          <w:shd w:val="clear" w:color="auto" w:fill="FFFFFF"/>
        </w:rPr>
        <w:t>as normas relativas a la carga de la prueba deben modificarse cuando exista a primera vista un caso de presunta discriminación. Para la aplicación efectiva del principio de igualdad de trato, la carga de la prueba debe recaer en la parte demandada cuando se aporten indicios de dicha discriminación”.</w:t>
      </w:r>
      <w:r w:rsidR="009C3EA7" w:rsidRPr="00065F63">
        <w:rPr>
          <w:color w:val="000000"/>
          <w:sz w:val="16"/>
          <w:szCs w:val="16"/>
          <w:shd w:val="clear" w:color="auto" w:fill="FFFFFF"/>
        </w:rPr>
        <w:t xml:space="preserve"> En el mismo sentido, </w:t>
      </w:r>
      <w:r w:rsidR="00EA082D" w:rsidRPr="00065F63">
        <w:rPr>
          <w:color w:val="000000"/>
          <w:sz w:val="16"/>
          <w:szCs w:val="16"/>
          <w:shd w:val="clear" w:color="auto" w:fill="FFFFFF"/>
        </w:rPr>
        <w:t xml:space="preserve">ver </w:t>
      </w:r>
      <w:r w:rsidR="009C3EA7" w:rsidRPr="00065F63">
        <w:rPr>
          <w:color w:val="000000"/>
          <w:sz w:val="16"/>
          <w:szCs w:val="16"/>
          <w:shd w:val="clear" w:color="auto" w:fill="FFFFFF"/>
        </w:rPr>
        <w:t xml:space="preserve">Directiva 2004/113/CE del Consejo, por la que se aplica el principio de igualdad de trato entre hombres y mujeres al acceso a bienes y servicios y su suministro, «DOUE» </w:t>
      </w:r>
      <w:r w:rsidR="00C43649" w:rsidRPr="00065F63">
        <w:rPr>
          <w:sz w:val="16"/>
          <w:szCs w:val="16"/>
        </w:rPr>
        <w:t>n</w:t>
      </w:r>
      <w:r w:rsidR="004E3922" w:rsidRPr="00065F63">
        <w:rPr>
          <w:sz w:val="16"/>
          <w:szCs w:val="16"/>
        </w:rPr>
        <w:t>.</w:t>
      </w:r>
      <w:r w:rsidR="00C43649" w:rsidRPr="00065F63">
        <w:rPr>
          <w:sz w:val="16"/>
          <w:szCs w:val="16"/>
        </w:rPr>
        <w:t xml:space="preserve">° </w:t>
      </w:r>
      <w:r w:rsidR="009C3EA7" w:rsidRPr="00065F63">
        <w:rPr>
          <w:color w:val="000000"/>
          <w:sz w:val="16"/>
          <w:szCs w:val="16"/>
          <w:shd w:val="clear" w:color="auto" w:fill="FFFFFF"/>
        </w:rPr>
        <w:t>373, de 21 de diciembre de 2004, artículo 9.</w:t>
      </w:r>
    </w:p>
  </w:footnote>
  <w:footnote w:id="155">
    <w:p w14:paraId="0E9DF454" w14:textId="3FB1F3F5" w:rsidR="008269B8" w:rsidRPr="00065F63" w:rsidRDefault="008269B8"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DD23FD" w:rsidRPr="00065F63">
        <w:rPr>
          <w:i/>
          <w:iCs/>
          <w:sz w:val="16"/>
          <w:szCs w:val="16"/>
        </w:rPr>
        <w:t>Cfr</w:t>
      </w:r>
      <w:r w:rsidR="00DD23FD" w:rsidRPr="00065F63">
        <w:rPr>
          <w:sz w:val="16"/>
          <w:szCs w:val="16"/>
        </w:rPr>
        <w:t>. Comisión de Protección al consumidor (C</w:t>
      </w:r>
      <w:r w:rsidR="007E78DC">
        <w:rPr>
          <w:sz w:val="16"/>
          <w:szCs w:val="16"/>
        </w:rPr>
        <w:t>P</w:t>
      </w:r>
      <w:r w:rsidR="00DD23FD" w:rsidRPr="00065F63">
        <w:rPr>
          <w:sz w:val="16"/>
          <w:szCs w:val="16"/>
        </w:rPr>
        <w:t xml:space="preserve">C), del Instituto Nacional de Defensa de la Competencia de la Propiedad Intelectual (INDECOPI), Resolución final n°. 0911 -2006/CPC, de 23 de mayo de 2006, págs. 8 y 9 (expediente de prueba, folios 2014 y 2015). Asimismo, ver, </w:t>
      </w:r>
      <w:r w:rsidR="00104C40" w:rsidRPr="00065F63">
        <w:rPr>
          <w:sz w:val="16"/>
          <w:szCs w:val="16"/>
        </w:rPr>
        <w:t xml:space="preserve">a título ilustrativo, </w:t>
      </w:r>
      <w:r w:rsidR="00A735E8" w:rsidRPr="00065F63">
        <w:rPr>
          <w:sz w:val="16"/>
          <w:szCs w:val="16"/>
        </w:rPr>
        <w:t>Sala Especializada de Protección al Consumidor del Tribunal de Defensa de la Competencia y de la Propiedad Intelectual,</w:t>
      </w:r>
      <w:r w:rsidR="00104C40" w:rsidRPr="00065F63">
        <w:rPr>
          <w:sz w:val="16"/>
          <w:szCs w:val="16"/>
        </w:rPr>
        <w:t xml:space="preserve"> </w:t>
      </w:r>
      <w:r w:rsidR="00A735E8" w:rsidRPr="00065F63">
        <w:rPr>
          <w:sz w:val="16"/>
          <w:szCs w:val="16"/>
        </w:rPr>
        <w:t>Resolución 3255-2015-SPC-INDECOPI, de 19 de octubre de 2015, párrs. 32 a 34</w:t>
      </w:r>
      <w:r w:rsidR="00BE46FB" w:rsidRPr="00065F63">
        <w:rPr>
          <w:sz w:val="16"/>
          <w:szCs w:val="16"/>
        </w:rPr>
        <w:t>;</w:t>
      </w:r>
      <w:r w:rsidR="00A735E8" w:rsidRPr="00065F63">
        <w:rPr>
          <w:sz w:val="16"/>
          <w:szCs w:val="16"/>
        </w:rPr>
        <w:t xml:space="preserve"> Resolución no. 3167/2017-SPC-INDECOPI, de 6 de noviembre de 2017, párrs. 13</w:t>
      </w:r>
      <w:r w:rsidR="007F1409" w:rsidRPr="00065F63">
        <w:rPr>
          <w:sz w:val="16"/>
          <w:szCs w:val="16"/>
        </w:rPr>
        <w:t xml:space="preserve"> </w:t>
      </w:r>
      <w:r w:rsidR="00A735E8" w:rsidRPr="00065F63">
        <w:rPr>
          <w:sz w:val="16"/>
          <w:szCs w:val="16"/>
        </w:rPr>
        <w:t xml:space="preserve">a 20, y </w:t>
      </w:r>
      <w:r w:rsidR="009B2C68" w:rsidRPr="00065F63">
        <w:rPr>
          <w:sz w:val="16"/>
          <w:szCs w:val="16"/>
        </w:rPr>
        <w:t>Resolución no. 2129-2018/SPC-INDECOPI, de 20 de agosto de 2018, párrs. 16 a 19</w:t>
      </w:r>
      <w:r w:rsidR="003B4014" w:rsidRPr="00065F63">
        <w:rPr>
          <w:sz w:val="16"/>
          <w:szCs w:val="16"/>
        </w:rPr>
        <w:t xml:space="preserve"> </w:t>
      </w:r>
      <w:r w:rsidR="003B4014" w:rsidRPr="00065F63">
        <w:rPr>
          <w:sz w:val="16"/>
          <w:szCs w:val="16"/>
          <w:lang w:val="es-ES"/>
        </w:rPr>
        <w:t xml:space="preserve">(expediente de prueba, folios </w:t>
      </w:r>
      <w:r w:rsidR="00A735E8" w:rsidRPr="00065F63">
        <w:rPr>
          <w:sz w:val="16"/>
          <w:szCs w:val="16"/>
          <w:lang w:val="es-ES"/>
        </w:rPr>
        <w:t>2269 a 2270, 2065 y 2238 a 2240, respectivamente</w:t>
      </w:r>
      <w:r w:rsidR="003B4014" w:rsidRPr="00065F63">
        <w:rPr>
          <w:sz w:val="16"/>
          <w:szCs w:val="16"/>
          <w:lang w:val="es-ES"/>
        </w:rPr>
        <w:t>)</w:t>
      </w:r>
      <w:r w:rsidR="009B2C68" w:rsidRPr="00065F63">
        <w:rPr>
          <w:sz w:val="16"/>
          <w:szCs w:val="16"/>
        </w:rPr>
        <w:t>.</w:t>
      </w:r>
    </w:p>
  </w:footnote>
  <w:footnote w:id="156">
    <w:p w14:paraId="0D26111F" w14:textId="5265257F" w:rsidR="00FB7288" w:rsidRPr="00065F63" w:rsidRDefault="00FB7288"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7E78DC" w:rsidRPr="00065F63">
        <w:rPr>
          <w:i/>
          <w:iCs/>
          <w:sz w:val="16"/>
          <w:szCs w:val="16"/>
          <w:lang w:val="es-ES"/>
        </w:rPr>
        <w:t>Cfr</w:t>
      </w:r>
      <w:r w:rsidR="007E78DC" w:rsidRPr="00065F63">
        <w:rPr>
          <w:sz w:val="16"/>
          <w:szCs w:val="16"/>
          <w:lang w:val="es-ES"/>
        </w:rPr>
        <w:t xml:space="preserve">. Versión escrita del peritaje de la señora Laura Otero Norza rendido en la audiencia pública celebrada el 24 de agosto de 2022 en el marco del 150 Período Ordinario de Sesiones, pág. 48 (expediente de prueba, folio </w:t>
      </w:r>
      <w:r w:rsidR="007E78DC">
        <w:rPr>
          <w:sz w:val="16"/>
          <w:szCs w:val="16"/>
          <w:lang w:val="es-ES"/>
        </w:rPr>
        <w:t>6104</w:t>
      </w:r>
      <w:r w:rsidR="007E78DC" w:rsidRPr="00065F63">
        <w:rPr>
          <w:sz w:val="16"/>
          <w:szCs w:val="16"/>
          <w:lang w:val="es-ES"/>
        </w:rPr>
        <w:t>).</w:t>
      </w:r>
    </w:p>
  </w:footnote>
  <w:footnote w:id="157">
    <w:p w14:paraId="39A2DA81" w14:textId="6799C27B" w:rsidR="00573E2F" w:rsidRPr="00065F63" w:rsidRDefault="00573E2F"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i/>
          <w:iCs/>
          <w:sz w:val="16"/>
          <w:szCs w:val="16"/>
          <w:lang w:val="es-ES"/>
        </w:rPr>
        <w:t>Cfr</w:t>
      </w:r>
      <w:r w:rsidRPr="00065F63">
        <w:rPr>
          <w:sz w:val="16"/>
          <w:szCs w:val="16"/>
          <w:lang w:val="es-ES"/>
        </w:rPr>
        <w:t xml:space="preserve">. </w:t>
      </w:r>
      <w:r w:rsidRPr="00065F63">
        <w:rPr>
          <w:i/>
          <w:iCs/>
          <w:sz w:val="16"/>
          <w:szCs w:val="16"/>
          <w:lang w:val="es-ES"/>
        </w:rPr>
        <w:t>Amicus Curie</w:t>
      </w:r>
      <w:r w:rsidRPr="00065F63">
        <w:rPr>
          <w:sz w:val="16"/>
          <w:szCs w:val="16"/>
          <w:lang w:val="es-ES"/>
        </w:rPr>
        <w:t xml:space="preserve"> presentado por el Grupo de Trabajo de las Naciones Unidas sobre la cuestión de los derechos humanos y las empresas transnacionales y otras empresas, de 6 de septiembre de 2022, párr. 22 (expediente de fondo, folio </w:t>
      </w:r>
      <w:r w:rsidR="00BE46FB" w:rsidRPr="00065F63">
        <w:rPr>
          <w:sz w:val="16"/>
          <w:szCs w:val="16"/>
          <w:lang w:val="es-ES"/>
        </w:rPr>
        <w:t>1794</w:t>
      </w:r>
      <w:r w:rsidRPr="00065F63">
        <w:rPr>
          <w:sz w:val="16"/>
          <w:szCs w:val="16"/>
          <w:lang w:val="es-ES"/>
        </w:rPr>
        <w:t>).</w:t>
      </w:r>
    </w:p>
  </w:footnote>
  <w:footnote w:id="158">
    <w:p w14:paraId="221E8FD5" w14:textId="2B1E0A3F" w:rsidR="00094A78" w:rsidRPr="00065F63" w:rsidRDefault="00094A78" w:rsidP="00DF7FF5">
      <w:pPr>
        <w:widowControl/>
        <w:adjustRightInd/>
        <w:spacing w:before="40" w:after="40" w:line="240" w:lineRule="auto"/>
        <w:rPr>
          <w:rFonts w:cs="Calibri"/>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793F68" w:rsidRPr="00065F63">
        <w:rPr>
          <w:rFonts w:cs="Calibri"/>
          <w:i/>
          <w:iCs/>
          <w:sz w:val="16"/>
          <w:szCs w:val="16"/>
        </w:rPr>
        <w:t>Cfr</w:t>
      </w:r>
      <w:r w:rsidR="00793F68" w:rsidRPr="00065F63">
        <w:rPr>
          <w:rFonts w:cs="Calibri"/>
          <w:sz w:val="16"/>
          <w:szCs w:val="16"/>
        </w:rPr>
        <w:t xml:space="preserve">. Escrito de Contestación de Supermercados Peruanos S.A., de 19 de octubre de 2004, párrs. </w:t>
      </w:r>
      <w:r w:rsidR="00793F68">
        <w:rPr>
          <w:rFonts w:cs="Calibri"/>
          <w:sz w:val="16"/>
          <w:szCs w:val="16"/>
        </w:rPr>
        <w:t xml:space="preserve">2, 7 y 9 </w:t>
      </w:r>
      <w:r w:rsidR="00793F68" w:rsidRPr="00065F63">
        <w:rPr>
          <w:rFonts w:cs="Calibri"/>
          <w:sz w:val="16"/>
          <w:szCs w:val="16"/>
        </w:rPr>
        <w:t xml:space="preserve"> (expediente de prueba, folios </w:t>
      </w:r>
      <w:r w:rsidR="00793F68">
        <w:rPr>
          <w:rFonts w:cs="Calibri"/>
          <w:sz w:val="16"/>
          <w:szCs w:val="16"/>
        </w:rPr>
        <w:t>14, 15 y 16</w:t>
      </w:r>
      <w:r w:rsidR="00793F68" w:rsidRPr="00065F63">
        <w:rPr>
          <w:rFonts w:cs="Calibri"/>
          <w:sz w:val="16"/>
          <w:szCs w:val="16"/>
        </w:rPr>
        <w:t>).</w:t>
      </w:r>
    </w:p>
  </w:footnote>
  <w:footnote w:id="159">
    <w:p w14:paraId="52D12C9C" w14:textId="7A28B82C" w:rsidR="009319A7" w:rsidRPr="00065F63" w:rsidRDefault="009319A7"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Declaración de G.M.P, encargada de permanencia del Supermercado Santa Isabel - San Miguel, de 14 de octubre de 2004 (</w:t>
      </w:r>
      <w:r w:rsidR="00793F68">
        <w:rPr>
          <w:rFonts w:cs="Calibri"/>
          <w:color w:val="000000"/>
          <w:sz w:val="16"/>
          <w:szCs w:val="16"/>
        </w:rPr>
        <w:t>e</w:t>
      </w:r>
      <w:r w:rsidRPr="00065F63">
        <w:rPr>
          <w:rFonts w:cs="Calibri"/>
          <w:color w:val="000000"/>
          <w:sz w:val="16"/>
          <w:szCs w:val="16"/>
        </w:rPr>
        <w:t>xpediente de prueba, folio 21).</w:t>
      </w:r>
    </w:p>
  </w:footnote>
  <w:footnote w:id="160">
    <w:p w14:paraId="5615DC39" w14:textId="6C765085" w:rsidR="009319A7" w:rsidRPr="00065F63" w:rsidRDefault="009319A7"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rFonts w:cs="Calibri"/>
          <w:i/>
          <w:iCs/>
          <w:color w:val="000000"/>
          <w:sz w:val="16"/>
          <w:szCs w:val="16"/>
        </w:rPr>
        <w:t>Cfr</w:t>
      </w:r>
      <w:r w:rsidRPr="00065F63">
        <w:rPr>
          <w:rFonts w:cs="Calibri"/>
          <w:color w:val="000000"/>
          <w:sz w:val="16"/>
          <w:szCs w:val="16"/>
        </w:rPr>
        <w:t>. Informe No. 056-J.P.P. de C.Q.D, jefe de Prevención de Pérdidas de Supermercados Santa Isabel - San Miguel, de 12 de agosto de 2004 (expediente de prueba, folio 23).</w:t>
      </w:r>
    </w:p>
  </w:footnote>
  <w:footnote w:id="161">
    <w:p w14:paraId="6A2198D4" w14:textId="0044A4DE" w:rsidR="009319A7" w:rsidRPr="00065F63" w:rsidRDefault="009319A7"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Fonts w:cs="Calibri"/>
          <w:color w:val="000000"/>
          <w:sz w:val="16"/>
          <w:szCs w:val="16"/>
        </w:rPr>
        <w:t>Cartas aportadas por Supermercados Peruanos S.A. anexas al Escrito de Contestación de 19 de octubre de 2004 (expediente de prueba, folio 1852).</w:t>
      </w:r>
    </w:p>
  </w:footnote>
  <w:footnote w:id="162">
    <w:p w14:paraId="553F9F6F" w14:textId="473FFA35" w:rsidR="009319A7" w:rsidRPr="00065F63" w:rsidRDefault="009319A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Fonts w:cs="Calibri"/>
          <w:color w:val="000000"/>
          <w:sz w:val="16"/>
          <w:szCs w:val="16"/>
        </w:rPr>
        <w:t>Cartas aportadas por Supermercados Peruanos S.A. anexas al Escrito de Contestación de 19 de octubre de 2004 (expediente de prueba, folio 1853).</w:t>
      </w:r>
    </w:p>
  </w:footnote>
  <w:footnote w:id="163">
    <w:p w14:paraId="3F36392C" w14:textId="40C87FDF" w:rsidR="009F76C5" w:rsidRPr="00065F63" w:rsidRDefault="009F76C5"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Fonts w:cs="Calibri"/>
          <w:color w:val="000000"/>
          <w:sz w:val="16"/>
          <w:szCs w:val="16"/>
        </w:rPr>
        <w:t>Cartas aportadas por Supermercados Peruanos S.A. anexas al Escrito de Contestación de 19 de octubre de 2004 (expediente de prueba, folio 1855).</w:t>
      </w:r>
    </w:p>
  </w:footnote>
  <w:footnote w:id="164">
    <w:p w14:paraId="5404B5E4" w14:textId="7B725622" w:rsidR="009F76C5" w:rsidRPr="00065F63" w:rsidRDefault="009F76C5"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Fonts w:cs="Calibri"/>
          <w:color w:val="000000"/>
          <w:sz w:val="16"/>
          <w:szCs w:val="16"/>
        </w:rPr>
        <w:t>Cartas aportadas por Supermercados Peruanos S.A. anexas al Escrito de Contestación de 19 de octubre de 2004 (expediente de prueba, folio 1856).</w:t>
      </w:r>
    </w:p>
  </w:footnote>
  <w:footnote w:id="165">
    <w:p w14:paraId="6125D92C" w14:textId="72876D0A" w:rsidR="009F76C5" w:rsidRPr="00065F63" w:rsidRDefault="009F76C5"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w:t>
      </w:r>
      <w:r w:rsidRPr="00065F63">
        <w:rPr>
          <w:rFonts w:cs="Calibri"/>
          <w:color w:val="000000"/>
          <w:sz w:val="16"/>
          <w:szCs w:val="16"/>
        </w:rPr>
        <w:t>Cartas aportadas por Supermercados Peruanos S.A. anexas al Escrito de Contestación de 19 de octubre de 2004 (expediente de prueba, folio 1857).</w:t>
      </w:r>
    </w:p>
  </w:footnote>
  <w:footnote w:id="166">
    <w:p w14:paraId="3550F586" w14:textId="77777777" w:rsidR="00DD4397" w:rsidRPr="00065F63" w:rsidRDefault="00DD4397"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TEDH, </w:t>
      </w:r>
      <w:r w:rsidRPr="00065F63">
        <w:rPr>
          <w:i/>
          <w:iCs/>
          <w:sz w:val="16"/>
          <w:szCs w:val="16"/>
        </w:rPr>
        <w:t>Karner vs. Austria</w:t>
      </w:r>
      <w:r w:rsidRPr="00065F63">
        <w:rPr>
          <w:sz w:val="16"/>
          <w:szCs w:val="16"/>
        </w:rPr>
        <w:t xml:space="preserve">, no. 40016/98, Sentencia de 24 de julio de 2003, párr. 37, y </w:t>
      </w:r>
      <w:r w:rsidRPr="00065F63">
        <w:rPr>
          <w:i/>
          <w:iCs/>
          <w:sz w:val="16"/>
          <w:szCs w:val="16"/>
        </w:rPr>
        <w:t>Kozak vs. Poland</w:t>
      </w:r>
      <w:r w:rsidRPr="00065F63">
        <w:rPr>
          <w:sz w:val="16"/>
          <w:szCs w:val="16"/>
        </w:rPr>
        <w:t xml:space="preserve">, no. 13102/02, Sentencia de 2 de marzo de 2010, párr. 92. </w:t>
      </w:r>
    </w:p>
  </w:footnote>
  <w:footnote w:id="167">
    <w:p w14:paraId="4F1130D2" w14:textId="77777777" w:rsidR="00033A9E" w:rsidRPr="00065F63" w:rsidRDefault="00033A9E"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t xml:space="preserve">Ver, </w:t>
      </w:r>
      <w:r w:rsidRPr="00065F63">
        <w:rPr>
          <w:i/>
          <w:iCs/>
          <w:sz w:val="16"/>
          <w:szCs w:val="16"/>
          <w:lang w:val="es-ES"/>
        </w:rPr>
        <w:t>mutatis mutandis, Caso Atala Riffo y niñas Vs. Chile</w:t>
      </w:r>
      <w:r w:rsidRPr="00065F63">
        <w:rPr>
          <w:sz w:val="16"/>
          <w:szCs w:val="16"/>
          <w:lang w:val="es-ES"/>
        </w:rPr>
        <w:t xml:space="preserve">, </w:t>
      </w:r>
      <w:r w:rsidRPr="00065F63">
        <w:rPr>
          <w:i/>
          <w:iCs/>
          <w:sz w:val="16"/>
          <w:szCs w:val="16"/>
          <w:lang w:val="es-ES"/>
        </w:rPr>
        <w:t>supra</w:t>
      </w:r>
      <w:r w:rsidRPr="00065F63">
        <w:rPr>
          <w:sz w:val="16"/>
          <w:szCs w:val="16"/>
          <w:lang w:val="es-ES"/>
        </w:rPr>
        <w:t>, párr. 124.</w:t>
      </w:r>
    </w:p>
  </w:footnote>
  <w:footnote w:id="168">
    <w:p w14:paraId="4D27172F" w14:textId="7888BDE9" w:rsidR="00C40934" w:rsidRPr="00065F63" w:rsidRDefault="00C40934"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00793F68" w:rsidRPr="00065F63">
        <w:rPr>
          <w:i/>
          <w:iCs/>
          <w:sz w:val="16"/>
          <w:szCs w:val="16"/>
        </w:rPr>
        <w:t>Cfr</w:t>
      </w:r>
      <w:r w:rsidR="00793F68" w:rsidRPr="00065F63">
        <w:rPr>
          <w:sz w:val="16"/>
          <w:szCs w:val="16"/>
        </w:rPr>
        <w:t xml:space="preserve">. </w:t>
      </w:r>
      <w:r w:rsidR="00793F68" w:rsidRPr="00065F63">
        <w:rPr>
          <w:i/>
          <w:iCs/>
          <w:sz w:val="16"/>
          <w:szCs w:val="16"/>
        </w:rPr>
        <w:t>Condición Jurídica y Derechos Humanos del Niño. Opinión Consultiva OC-17/02</w:t>
      </w:r>
      <w:r w:rsidR="00793F68" w:rsidRPr="00065F63">
        <w:rPr>
          <w:sz w:val="16"/>
          <w:szCs w:val="16"/>
        </w:rPr>
        <w:t xml:space="preserve"> del 28 de agosto de 2002. Serie A No. 17, párr. 46, y </w:t>
      </w:r>
      <w:r w:rsidR="00793F68" w:rsidRPr="00065F63">
        <w:rPr>
          <w:rFonts w:cs="Open Sans"/>
          <w:i/>
          <w:iCs/>
          <w:sz w:val="16"/>
          <w:szCs w:val="16"/>
          <w:shd w:val="clear" w:color="auto" w:fill="FFFFFF"/>
        </w:rPr>
        <w:t>Caso Guevara Díaz Vs. Costa Rica</w:t>
      </w:r>
      <w:r w:rsidR="00793F68">
        <w:rPr>
          <w:rFonts w:cs="Open Sans"/>
          <w:i/>
          <w:iCs/>
          <w:sz w:val="16"/>
          <w:szCs w:val="16"/>
          <w:shd w:val="clear" w:color="auto" w:fill="FFFFFF"/>
        </w:rPr>
        <w:t>, supra</w:t>
      </w:r>
      <w:r w:rsidR="00793F68" w:rsidRPr="00065F63">
        <w:rPr>
          <w:rFonts w:cs="Open Sans"/>
          <w:sz w:val="16"/>
          <w:szCs w:val="16"/>
          <w:shd w:val="clear" w:color="auto" w:fill="FFFFFF"/>
        </w:rPr>
        <w:t>, párr. 49.</w:t>
      </w:r>
    </w:p>
  </w:footnote>
  <w:footnote w:id="169">
    <w:p w14:paraId="3F807D4D" w14:textId="782FC7FE" w:rsidR="00C40934" w:rsidRPr="00065F63" w:rsidRDefault="00C40934"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793F68" w:rsidRPr="00065F63">
        <w:rPr>
          <w:i/>
          <w:iCs/>
          <w:sz w:val="16"/>
          <w:szCs w:val="16"/>
        </w:rPr>
        <w:t xml:space="preserve">Cfr. Caso Norín Catrimán (Dirigentes, Miembros y Activista del Pueblo Indígena </w:t>
      </w:r>
      <w:r w:rsidR="00793F68" w:rsidRPr="00065F63">
        <w:rPr>
          <w:rStyle w:val="Refdenotaalpie"/>
          <w:i/>
          <w:iCs/>
          <w:sz w:val="16"/>
          <w:szCs w:val="16"/>
          <w:vertAlign w:val="baseline"/>
          <w:lang w:val="es-CR"/>
        </w:rPr>
        <w:t>Mapuche</w:t>
      </w:r>
      <w:r w:rsidR="00793F68" w:rsidRPr="00065F63">
        <w:rPr>
          <w:i/>
          <w:iCs/>
          <w:sz w:val="16"/>
          <w:szCs w:val="16"/>
        </w:rPr>
        <w:t>) y otros Vs. Chile. Fondo, Reparaciones y Costas</w:t>
      </w:r>
      <w:r w:rsidR="00793F68" w:rsidRPr="00065F63">
        <w:rPr>
          <w:sz w:val="16"/>
          <w:szCs w:val="16"/>
        </w:rPr>
        <w:t xml:space="preserve">. Sentencia de 29 de mayo de 2014. Serie C No. 279, párr. 200, y </w:t>
      </w:r>
      <w:r w:rsidR="00793F68" w:rsidRPr="00065F63">
        <w:rPr>
          <w:rFonts w:cs="Open Sans"/>
          <w:i/>
          <w:iCs/>
          <w:sz w:val="16"/>
          <w:szCs w:val="16"/>
          <w:shd w:val="clear" w:color="auto" w:fill="FFFFFF"/>
        </w:rPr>
        <w:t>Caso Guevara Díaz Vs. Costa Rica</w:t>
      </w:r>
      <w:r w:rsidR="00793F68">
        <w:rPr>
          <w:rFonts w:cs="Open Sans"/>
          <w:i/>
          <w:iCs/>
          <w:sz w:val="16"/>
          <w:szCs w:val="16"/>
          <w:shd w:val="clear" w:color="auto" w:fill="FFFFFF"/>
        </w:rPr>
        <w:t xml:space="preserve">, supra, </w:t>
      </w:r>
      <w:r w:rsidR="00793F68" w:rsidRPr="00065F63">
        <w:rPr>
          <w:rFonts w:cs="Open Sans"/>
          <w:sz w:val="16"/>
          <w:szCs w:val="16"/>
          <w:shd w:val="clear" w:color="auto" w:fill="FFFFFF"/>
        </w:rPr>
        <w:t>párr. 49.</w:t>
      </w:r>
    </w:p>
  </w:footnote>
  <w:footnote w:id="170">
    <w:p w14:paraId="60FA975D" w14:textId="4A118A5B" w:rsidR="00A12F67" w:rsidRPr="00065F63" w:rsidRDefault="00A12F67"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Tribunal de Defensa de la Competencia y de la Propiedad Intelectual, Sala de Defensa de la Competencia, Resolución no.</w:t>
      </w:r>
      <w:r w:rsidR="00DF7FF5" w:rsidRPr="00065F63">
        <w:rPr>
          <w:rFonts w:cs="Calibri"/>
          <w:color w:val="000000"/>
          <w:sz w:val="16"/>
          <w:szCs w:val="16"/>
        </w:rPr>
        <w:t xml:space="preserve"> </w:t>
      </w:r>
      <w:r w:rsidRPr="00065F63">
        <w:rPr>
          <w:rFonts w:cs="Calibri"/>
          <w:color w:val="000000"/>
          <w:sz w:val="16"/>
          <w:szCs w:val="16"/>
        </w:rPr>
        <w:t xml:space="preserve">0665-2006/TDC-INDECOPI, de 17 de mayo de 2006 (expediente de prueba, folio 46), y </w:t>
      </w:r>
      <w:r w:rsidRPr="00065F63">
        <w:rPr>
          <w:sz w:val="16"/>
          <w:szCs w:val="16"/>
        </w:rPr>
        <w:t xml:space="preserve">Corte Suprema de Justicia de la República, Sala Civil Permanente, Resolución </w:t>
      </w:r>
      <w:r w:rsidR="00A25EC8" w:rsidRPr="00065F63">
        <w:rPr>
          <w:sz w:val="16"/>
          <w:szCs w:val="16"/>
        </w:rPr>
        <w:t>N.º</w:t>
      </w:r>
      <w:r w:rsidRPr="00065F63">
        <w:rPr>
          <w:sz w:val="16"/>
          <w:szCs w:val="16"/>
        </w:rPr>
        <w:t xml:space="preserve"> 2145-2009, de 14 de junio de 2010, (expediente de prueba, folio 75).</w:t>
      </w:r>
    </w:p>
  </w:footnote>
  <w:footnote w:id="171">
    <w:p w14:paraId="005107C5" w14:textId="1CD630FD" w:rsidR="00EE0802" w:rsidRPr="00065F63" w:rsidRDefault="00EE0802"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i/>
          <w:iCs/>
          <w:sz w:val="16"/>
          <w:szCs w:val="16"/>
          <w:lang w:val="es-ES"/>
        </w:rPr>
        <w:t>Cfr</w:t>
      </w:r>
      <w:r w:rsidRPr="00065F63">
        <w:rPr>
          <w:sz w:val="16"/>
          <w:szCs w:val="16"/>
          <w:lang w:val="es-ES"/>
        </w:rPr>
        <w:t>. Comisión de Protección al Consumidor (CPC) del Instituto Nacional de Defensa de la Competencia de la Propiedad Intelectual (Indecopi), Resolución de 31 de agosto de 2005 (expediente de prueba, folio 1893).</w:t>
      </w:r>
    </w:p>
  </w:footnote>
  <w:footnote w:id="172">
    <w:p w14:paraId="2E89D786" w14:textId="55230F34" w:rsidR="008716E5" w:rsidRPr="00065F63" w:rsidRDefault="008716E5" w:rsidP="00DF7FF5">
      <w:pPr>
        <w:widowControl/>
        <w:adjustRightInd/>
        <w:spacing w:before="40" w:after="40" w:line="240" w:lineRule="auto"/>
        <w:rPr>
          <w:rFonts w:cs="Calibri"/>
          <w:i/>
          <w:iCs/>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Tribunal de Defensa de la Competencia y de la Propiedad Intelectual, Sala de Defensa de la Competencia, Resolución no.</w:t>
      </w:r>
      <w:r w:rsidR="00DF7FF5" w:rsidRPr="00065F63">
        <w:rPr>
          <w:rFonts w:cs="Calibri"/>
          <w:color w:val="000000"/>
          <w:sz w:val="16"/>
          <w:szCs w:val="16"/>
        </w:rPr>
        <w:t xml:space="preserve"> </w:t>
      </w:r>
      <w:r w:rsidRPr="00065F63">
        <w:rPr>
          <w:rFonts w:cs="Calibri"/>
          <w:color w:val="000000"/>
          <w:sz w:val="16"/>
          <w:szCs w:val="16"/>
        </w:rPr>
        <w:t>0665-2006/TDC-INDECOPI, de 17 de mayo de 2006 (expediente de prueba, folio 48).</w:t>
      </w:r>
    </w:p>
  </w:footnote>
  <w:footnote w:id="173">
    <w:p w14:paraId="40576051" w14:textId="6EF32315" w:rsidR="00277194" w:rsidRPr="00065F63" w:rsidRDefault="00277194"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lang w:val="es-ES"/>
        </w:rPr>
        <w:tab/>
      </w:r>
      <w:r w:rsidRPr="00065F63">
        <w:rPr>
          <w:rFonts w:cs="Calibri"/>
          <w:i/>
          <w:iCs/>
          <w:color w:val="000000"/>
          <w:sz w:val="16"/>
          <w:szCs w:val="16"/>
        </w:rPr>
        <w:t>Cfr</w:t>
      </w:r>
      <w:r w:rsidRPr="00065F63">
        <w:rPr>
          <w:rFonts w:cs="Calibri"/>
          <w:color w:val="000000"/>
          <w:sz w:val="16"/>
          <w:szCs w:val="16"/>
        </w:rPr>
        <w:t>. Tribunal de Defensa de la Competencia y de la Propiedad Intelectual, Sala de Defensa de la Competencia, Resolución no.</w:t>
      </w:r>
      <w:r w:rsidR="00DF7FF5" w:rsidRPr="00065F63">
        <w:rPr>
          <w:rFonts w:cs="Calibri"/>
          <w:color w:val="000000"/>
          <w:sz w:val="16"/>
          <w:szCs w:val="16"/>
        </w:rPr>
        <w:t xml:space="preserve"> </w:t>
      </w:r>
      <w:r w:rsidRPr="00065F63">
        <w:rPr>
          <w:rFonts w:cs="Calibri"/>
          <w:color w:val="000000"/>
          <w:sz w:val="16"/>
          <w:szCs w:val="16"/>
        </w:rPr>
        <w:t xml:space="preserve">0665-2006/TDC-INDECOPI, de 17 de mayo de 2006 </w:t>
      </w:r>
      <w:r w:rsidRPr="00065F63">
        <w:rPr>
          <w:sz w:val="16"/>
          <w:szCs w:val="16"/>
          <w:lang w:val="es-ES"/>
        </w:rPr>
        <w:t>(expediente de prueba, folio 1921).</w:t>
      </w:r>
    </w:p>
  </w:footnote>
  <w:footnote w:id="174">
    <w:p w14:paraId="2037A823" w14:textId="63195BD5" w:rsidR="008716E5" w:rsidRPr="00065F63" w:rsidRDefault="008716E5"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lang w:val="es-ES"/>
        </w:rPr>
        <w:t xml:space="preserve">Cfr. </w:t>
      </w:r>
      <w:r w:rsidRPr="00065F63">
        <w:rPr>
          <w:sz w:val="16"/>
          <w:szCs w:val="16"/>
          <w:lang w:val="es-ES"/>
        </w:rPr>
        <w:t>Corte Superior de Justicia de Lima, Sala Segunda Especializada en lo Contencioso Administrativo, Resolución no. 14, de 10 de junio del 2008 (expediente de prueba, folio</w:t>
      </w:r>
      <w:r w:rsidRPr="00065F63">
        <w:rPr>
          <w:i/>
          <w:iCs/>
          <w:sz w:val="16"/>
          <w:szCs w:val="16"/>
          <w:lang w:val="es-ES"/>
        </w:rPr>
        <w:t xml:space="preserve"> </w:t>
      </w:r>
      <w:r w:rsidR="00277194" w:rsidRPr="00065F63">
        <w:rPr>
          <w:sz w:val="16"/>
          <w:szCs w:val="16"/>
          <w:lang w:val="es-ES"/>
        </w:rPr>
        <w:t>69</w:t>
      </w:r>
      <w:r w:rsidRPr="00065F63">
        <w:rPr>
          <w:sz w:val="16"/>
          <w:szCs w:val="16"/>
          <w:lang w:val="es-ES"/>
        </w:rPr>
        <w:t>).</w:t>
      </w:r>
    </w:p>
  </w:footnote>
  <w:footnote w:id="175">
    <w:p w14:paraId="5FDB30DB" w14:textId="43E85B30" w:rsidR="00BA1C3D" w:rsidRPr="00065F63" w:rsidRDefault="00BA1C3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xml:space="preserve">. Corte Suprema de Justicia de la República, Sala Civil Permanente, Resolución </w:t>
      </w:r>
      <w:r w:rsidR="00A25EC8" w:rsidRPr="00065F63">
        <w:rPr>
          <w:sz w:val="16"/>
          <w:szCs w:val="16"/>
        </w:rPr>
        <w:t>N.º</w:t>
      </w:r>
      <w:r w:rsidRPr="00065F63">
        <w:rPr>
          <w:sz w:val="16"/>
          <w:szCs w:val="16"/>
        </w:rPr>
        <w:t xml:space="preserve"> 2145-2009, de 14 de junio de </w:t>
      </w:r>
      <w:r w:rsidR="00274654" w:rsidRPr="00065F63">
        <w:rPr>
          <w:sz w:val="16"/>
          <w:szCs w:val="16"/>
        </w:rPr>
        <w:t>2010</w:t>
      </w:r>
      <w:r w:rsidRPr="00065F63">
        <w:rPr>
          <w:sz w:val="16"/>
          <w:szCs w:val="16"/>
        </w:rPr>
        <w:t>, (expediente de prueba, folio 76).</w:t>
      </w:r>
    </w:p>
  </w:footnote>
  <w:footnote w:id="176">
    <w:p w14:paraId="22677459" w14:textId="2A330367" w:rsidR="00C40934" w:rsidRPr="00065F63" w:rsidRDefault="00C40934"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xml:space="preserve">. Declaración de Crissthian Manuel Olivera Fuentes rendida en la audiencia pública celebrada </w:t>
      </w:r>
      <w:r w:rsidR="00A25EC8" w:rsidRPr="00065F63">
        <w:rPr>
          <w:rFonts w:cs="Calibri"/>
          <w:color w:val="000000"/>
          <w:sz w:val="16"/>
          <w:szCs w:val="16"/>
        </w:rPr>
        <w:t>el</w:t>
      </w:r>
      <w:r w:rsidRPr="00065F63">
        <w:rPr>
          <w:rFonts w:cs="Calibri"/>
          <w:color w:val="000000"/>
          <w:sz w:val="16"/>
          <w:szCs w:val="16"/>
        </w:rPr>
        <w:t xml:space="preserve"> 24 de agosto de 2022 en el marco del 150 Período Ordinario de Sesiones.</w:t>
      </w:r>
    </w:p>
  </w:footnote>
  <w:footnote w:id="177">
    <w:p w14:paraId="2346430D"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Comisión de Protección al Consumidor (CPC) del Instituto Nacional de Defensa de la Competencia de la Propiedad Intelectual (Indecopi), Resolución de 31 de agosto de 2005 (expediente de prueba, folio 1876).</w:t>
      </w:r>
    </w:p>
  </w:footnote>
  <w:footnote w:id="178">
    <w:p w14:paraId="59871579" w14:textId="77777777" w:rsidR="00CF41F9" w:rsidRPr="00065F63" w:rsidRDefault="00CF41F9" w:rsidP="00DF7FF5">
      <w:pPr>
        <w:widowControl/>
        <w:adjustRightInd/>
        <w:spacing w:before="40" w:after="40" w:line="240" w:lineRule="auto"/>
        <w:rPr>
          <w:rFonts w:cs="Calibri"/>
          <w:color w:val="000000"/>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Informe médico-psicológico elaborado por el doctor R.F. ante la Comisión de Protección al Consumidor de Indecopi, sin fecha (expediente de prueba, folios 1864 y 1865).</w:t>
      </w:r>
    </w:p>
  </w:footnote>
  <w:footnote w:id="179">
    <w:p w14:paraId="2E4FB54D"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Informe médico-psicológico elaborado por el doctor R.F. ante la Comisión de Protección al Consumidor de Indecopi, sin fecha (expediente de prueba, folio 1865).</w:t>
      </w:r>
    </w:p>
  </w:footnote>
  <w:footnote w:id="180">
    <w:p w14:paraId="42EB057E"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Informe médico-psicológico elaborado por el doctor R.F. ante la Comisión de Protección al Consumidor de Indecopi, sin fecha (expediente de prueba, folio 1865).</w:t>
      </w:r>
    </w:p>
  </w:footnote>
  <w:footnote w:id="181">
    <w:p w14:paraId="0E5C7EE9"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Comisión de Protección al Consumidor (CPC) del Instituto Nacional de Defensa de la Competencia de la Propiedad Intelectual (Indecopi), Resolución de 31 de agosto de 2005 (expediente de prueba, folio 1878).</w:t>
      </w:r>
    </w:p>
  </w:footnote>
  <w:footnote w:id="182">
    <w:p w14:paraId="2CDEE27C"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Informe médico-psicológico elaborado por el doctor R.F. ante la Comisión de Protección al Consumidor de Indecopi, sin fecha (expediente de prueba, folio 1865).</w:t>
      </w:r>
    </w:p>
  </w:footnote>
  <w:footnote w:id="183">
    <w:p w14:paraId="7DA37554"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Comisión de Protección al Consumidor (CPC) del Instituto Nacional de Defensa de la Competencia de la Propiedad Intelectual (Indecopi), Resolución de 31 de agosto de 2005 (expediente de prueba, folio 1890).</w:t>
      </w:r>
    </w:p>
  </w:footnote>
  <w:footnote w:id="184">
    <w:p w14:paraId="02D8FFE5" w14:textId="10D562AA" w:rsidR="00CF41F9" w:rsidRPr="00065F63" w:rsidRDefault="00CF41F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Pr="00065F63">
        <w:rPr>
          <w:sz w:val="16"/>
          <w:szCs w:val="16"/>
        </w:rPr>
        <w:t>Tribunal de Defensa de la Competencia y de la Propiedad Intelectual, Sala de Defensa de la Competencia, Resolución no.</w:t>
      </w:r>
      <w:r w:rsidR="00DF7FF5" w:rsidRPr="00065F63">
        <w:rPr>
          <w:sz w:val="16"/>
          <w:szCs w:val="16"/>
        </w:rPr>
        <w:t xml:space="preserve"> </w:t>
      </w:r>
      <w:r w:rsidRPr="00065F63">
        <w:rPr>
          <w:sz w:val="16"/>
          <w:szCs w:val="16"/>
        </w:rPr>
        <w:t>0665-2006/TDC-INDECOPI, de 17 de mayo de 2006 (expediente de prueba, folio</w:t>
      </w:r>
      <w:r w:rsidRPr="00065F63">
        <w:rPr>
          <w:rFonts w:cs="Calibri"/>
          <w:color w:val="000000"/>
          <w:sz w:val="16"/>
          <w:szCs w:val="16"/>
        </w:rPr>
        <w:t xml:space="preserve"> 1921).</w:t>
      </w:r>
    </w:p>
  </w:footnote>
  <w:footnote w:id="185">
    <w:p w14:paraId="59DDA8B7" w14:textId="005E134C" w:rsidR="00CF41F9" w:rsidRPr="00065F63" w:rsidRDefault="00CF41F9" w:rsidP="00DF7FF5">
      <w:pPr>
        <w:widowControl/>
        <w:autoSpaceDE w:val="0"/>
        <w:autoSpaceDN w:val="0"/>
        <w:spacing w:before="40" w:after="40" w:line="240" w:lineRule="auto"/>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w:t>
      </w:r>
      <w:r w:rsidRPr="00065F63">
        <w:rPr>
          <w:sz w:val="16"/>
          <w:szCs w:val="16"/>
        </w:rPr>
        <w:t>Tribunal de Defensa de la Competencia y de la Propiedad Intelectual, Sala de Defensa de la Competencia, Resolución no.</w:t>
      </w:r>
      <w:r w:rsidR="00DF7FF5" w:rsidRPr="00065F63">
        <w:rPr>
          <w:sz w:val="16"/>
          <w:szCs w:val="16"/>
        </w:rPr>
        <w:t xml:space="preserve"> </w:t>
      </w:r>
      <w:r w:rsidRPr="00065F63">
        <w:rPr>
          <w:sz w:val="16"/>
          <w:szCs w:val="16"/>
        </w:rPr>
        <w:t xml:space="preserve">0665-2006/TDC-INDECOPI, de 17 de mayo de 2006 (expediente de prueba, folio </w:t>
      </w:r>
      <w:r w:rsidR="00267353" w:rsidRPr="00065F63">
        <w:rPr>
          <w:sz w:val="16"/>
          <w:szCs w:val="16"/>
        </w:rPr>
        <w:t>1918</w:t>
      </w:r>
      <w:r w:rsidRPr="00065F63">
        <w:rPr>
          <w:sz w:val="16"/>
          <w:szCs w:val="16"/>
        </w:rPr>
        <w:t>).</w:t>
      </w:r>
    </w:p>
  </w:footnote>
  <w:footnote w:id="186">
    <w:p w14:paraId="28E294AC" w14:textId="7FF6C5B2" w:rsidR="00F32D1B" w:rsidRPr="00065F63" w:rsidRDefault="00F32D1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 xml:space="preserve">A este respecto, la perita Clérico advirtió que el uso en el expediente administrativo y en las decisiones judiciales de calificativos de la conducta del señor Olivera y su pareja como “exagerada”, “inadecuada”, “exacerbada” o contraria a “la moral y buenas costumbres” son indicadores de la presencia de estereotipos. </w:t>
      </w:r>
      <w:r w:rsidR="00227DCD" w:rsidRPr="00065F63">
        <w:rPr>
          <w:sz w:val="16"/>
          <w:szCs w:val="16"/>
          <w:lang w:val="es-ES"/>
        </w:rPr>
        <w:t>Además, consideró que la caracterización de los hombres homosexuales como ‘‘promiscuos, depravados, depredadores sexuales y delincuentes por naturaleza", así como ‘‘mentirosos’’, genera interferencias que se configuran en violaciones a los derechos humanos.</w:t>
      </w:r>
      <w:r w:rsidR="00F55DED" w:rsidRPr="00065F63">
        <w:rPr>
          <w:sz w:val="16"/>
          <w:szCs w:val="16"/>
          <w:lang w:val="es-ES"/>
        </w:rPr>
        <w:t xml:space="preserve"> </w:t>
      </w:r>
      <w:r w:rsidRPr="00065F63">
        <w:rPr>
          <w:i/>
          <w:iCs/>
          <w:sz w:val="16"/>
          <w:szCs w:val="16"/>
          <w:lang w:val="es-ES"/>
        </w:rPr>
        <w:t>Cfr</w:t>
      </w:r>
      <w:r w:rsidRPr="00065F63">
        <w:rPr>
          <w:sz w:val="16"/>
          <w:szCs w:val="16"/>
          <w:lang w:val="es-ES"/>
        </w:rPr>
        <w:t xml:space="preserve">. </w:t>
      </w:r>
      <w:r w:rsidR="008E700A" w:rsidRPr="00065F63">
        <w:rPr>
          <w:rFonts w:cs="Calibri"/>
          <w:color w:val="000000"/>
          <w:sz w:val="16"/>
          <w:szCs w:val="16"/>
        </w:rPr>
        <w:t xml:space="preserve">Peritaje de Laura </w:t>
      </w:r>
      <w:r w:rsidR="008E700A">
        <w:rPr>
          <w:rFonts w:cs="Calibri"/>
          <w:color w:val="000000"/>
          <w:sz w:val="16"/>
          <w:szCs w:val="16"/>
        </w:rPr>
        <w:t>Clérico</w:t>
      </w:r>
      <w:r w:rsidR="008E700A" w:rsidRPr="00065F63">
        <w:rPr>
          <w:rFonts w:cs="Calibri"/>
          <w:color w:val="000000"/>
          <w:sz w:val="16"/>
          <w:szCs w:val="16"/>
        </w:rPr>
        <w:t xml:space="preserve"> rendido en la audiencia pública celebrada el 24 de agosto de 2022 en el marco del 150 Período Ordinario de Sesiones</w:t>
      </w:r>
      <w:r w:rsidR="008E700A">
        <w:rPr>
          <w:rFonts w:cs="Calibri"/>
          <w:color w:val="000000"/>
          <w:sz w:val="16"/>
          <w:szCs w:val="16"/>
        </w:rPr>
        <w:t xml:space="preserve"> </w:t>
      </w:r>
      <w:r w:rsidR="00227DCD" w:rsidRPr="00065F63">
        <w:rPr>
          <w:sz w:val="16"/>
          <w:szCs w:val="16"/>
          <w:lang w:val="es-ES"/>
        </w:rPr>
        <w:t xml:space="preserve">y </w:t>
      </w:r>
      <w:r w:rsidR="008E700A">
        <w:rPr>
          <w:sz w:val="16"/>
          <w:szCs w:val="16"/>
          <w:lang w:val="es-ES"/>
        </w:rPr>
        <w:t>v</w:t>
      </w:r>
      <w:r w:rsidRPr="00065F63">
        <w:rPr>
          <w:sz w:val="16"/>
          <w:szCs w:val="16"/>
          <w:lang w:val="es-ES"/>
        </w:rPr>
        <w:t>ersión escrita de</w:t>
      </w:r>
      <w:r w:rsidR="008E700A">
        <w:rPr>
          <w:sz w:val="16"/>
          <w:szCs w:val="16"/>
          <w:lang w:val="es-ES"/>
        </w:rPr>
        <w:t xml:space="preserve"> dicho</w:t>
      </w:r>
      <w:r w:rsidRPr="00065F63">
        <w:rPr>
          <w:sz w:val="16"/>
          <w:szCs w:val="16"/>
          <w:lang w:val="es-ES"/>
        </w:rPr>
        <w:t xml:space="preserve"> peritaje, párr. 52 (expediente de </w:t>
      </w:r>
      <w:r w:rsidR="00CA329C" w:rsidRPr="00065F63">
        <w:rPr>
          <w:sz w:val="16"/>
          <w:szCs w:val="16"/>
          <w:lang w:val="es-ES"/>
        </w:rPr>
        <w:t>fondo</w:t>
      </w:r>
      <w:r w:rsidRPr="00065F63">
        <w:rPr>
          <w:sz w:val="16"/>
          <w:szCs w:val="16"/>
          <w:lang w:val="es-ES"/>
        </w:rPr>
        <w:t xml:space="preserve">, folio </w:t>
      </w:r>
      <w:r w:rsidR="00CA329C" w:rsidRPr="00065F63">
        <w:rPr>
          <w:sz w:val="16"/>
          <w:szCs w:val="16"/>
          <w:lang w:val="es-ES"/>
        </w:rPr>
        <w:t>1284</w:t>
      </w:r>
      <w:r w:rsidRPr="00065F63">
        <w:rPr>
          <w:sz w:val="16"/>
          <w:szCs w:val="16"/>
          <w:lang w:val="es-ES"/>
        </w:rPr>
        <w:t>).</w:t>
      </w:r>
      <w:r w:rsidR="00227DCD" w:rsidRPr="00065F63">
        <w:rPr>
          <w:sz w:val="16"/>
          <w:szCs w:val="16"/>
          <w:lang w:val="es-ES"/>
        </w:rPr>
        <w:t xml:space="preserve"> </w:t>
      </w:r>
    </w:p>
  </w:footnote>
  <w:footnote w:id="187">
    <w:p w14:paraId="0115529D" w14:textId="2F2FC0BD" w:rsidR="00CF41F9" w:rsidRPr="00065F63" w:rsidRDefault="00CF41F9" w:rsidP="00DF7FF5">
      <w:pPr>
        <w:pStyle w:val="Textonotapie"/>
        <w:spacing w:before="40" w:after="40"/>
        <w:rPr>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rFonts w:cs="Arial"/>
          <w:i/>
          <w:iCs/>
          <w:sz w:val="16"/>
          <w:szCs w:val="16"/>
        </w:rPr>
        <w:t xml:space="preserve">Cfr. </w:t>
      </w:r>
      <w:r w:rsidR="00793F68" w:rsidRPr="00065F63">
        <w:rPr>
          <w:i/>
          <w:iCs/>
          <w:sz w:val="16"/>
          <w:szCs w:val="16"/>
          <w:lang w:val="es-AR"/>
        </w:rPr>
        <w:t xml:space="preserve">Caso Herrera Ulloa Vs. Costa Rica. Excepciones Preliminares, Fondo, Reparaciones y Costas. </w:t>
      </w:r>
      <w:r w:rsidR="00793F68" w:rsidRPr="00065F63">
        <w:rPr>
          <w:sz w:val="16"/>
          <w:szCs w:val="16"/>
          <w:lang w:val="es-AR"/>
        </w:rPr>
        <w:t xml:space="preserve">Sentencia de 2 de julio de 2004. Serie C No. 107, </w:t>
      </w:r>
      <w:r w:rsidR="00793F68" w:rsidRPr="00065F63">
        <w:rPr>
          <w:rFonts w:cs="Arial"/>
          <w:iCs/>
          <w:sz w:val="16"/>
          <w:szCs w:val="16"/>
        </w:rPr>
        <w:t>párr. 171, y</w:t>
      </w:r>
      <w:r w:rsidR="00793F68" w:rsidRPr="00065F63">
        <w:rPr>
          <w:rFonts w:cs="Arial"/>
          <w:i/>
          <w:iCs/>
          <w:sz w:val="16"/>
          <w:szCs w:val="16"/>
        </w:rPr>
        <w:t xml:space="preserve"> </w:t>
      </w:r>
      <w:r w:rsidR="00793F68" w:rsidRPr="00FF2F3C">
        <w:rPr>
          <w:i/>
          <w:iCs/>
          <w:sz w:val="16"/>
          <w:szCs w:val="16"/>
          <w:lang w:val="es-AR"/>
        </w:rPr>
        <w:t>C</w:t>
      </w:r>
      <w:r w:rsidR="00793F68" w:rsidRPr="00FF2F3C">
        <w:rPr>
          <w:rFonts w:cs="Arial"/>
          <w:bCs/>
          <w:i/>
          <w:iCs/>
          <w:sz w:val="16"/>
          <w:szCs w:val="16"/>
        </w:rPr>
        <w:t xml:space="preserve">aso </w:t>
      </w:r>
      <w:r w:rsidR="00793F68">
        <w:rPr>
          <w:rFonts w:cs="Arial"/>
          <w:bCs/>
          <w:i/>
          <w:iCs/>
          <w:sz w:val="16"/>
          <w:szCs w:val="16"/>
        </w:rPr>
        <w:t>Extrabajadores del Organismo Judicial Vs. Guatemala</w:t>
      </w:r>
      <w:r w:rsidR="00793F68" w:rsidRPr="00F232F6">
        <w:rPr>
          <w:rFonts w:cs="Arial"/>
          <w:bCs/>
          <w:sz w:val="16"/>
          <w:szCs w:val="16"/>
        </w:rPr>
        <w:t xml:space="preserve">. </w:t>
      </w:r>
      <w:r w:rsidR="00793F68">
        <w:rPr>
          <w:rFonts w:cs="Arial"/>
          <w:bCs/>
          <w:sz w:val="16"/>
          <w:szCs w:val="16"/>
        </w:rPr>
        <w:t xml:space="preserve">Sentencia de 17 de noviembre de 2021. Serie C No. 445, párr. 64. </w:t>
      </w:r>
      <w:r w:rsidR="00793F68" w:rsidRPr="00F232F6">
        <w:rPr>
          <w:rFonts w:cs="Arial"/>
          <w:bCs/>
          <w:sz w:val="16"/>
          <w:szCs w:val="16"/>
        </w:rPr>
        <w:t xml:space="preserve"> </w:t>
      </w:r>
      <w:r w:rsidR="00793F68" w:rsidRPr="00065F63">
        <w:rPr>
          <w:sz w:val="16"/>
          <w:szCs w:val="16"/>
          <w:lang w:val="es-ES"/>
        </w:rPr>
        <w:t xml:space="preserve">A este respecto, el Tribunal recuerda que, cuando la Convención hace referencia en su artículo 8.1 </w:t>
      </w:r>
      <w:r w:rsidR="00793F68" w:rsidRPr="00065F63">
        <w:rPr>
          <w:sz w:val="16"/>
          <w:szCs w:val="16"/>
        </w:rPr>
        <w:t xml:space="preserve">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 </w:t>
      </w:r>
      <w:r w:rsidR="00793F68">
        <w:rPr>
          <w:sz w:val="16"/>
          <w:szCs w:val="16"/>
        </w:rPr>
        <w:t xml:space="preserve">Al respecto ver </w:t>
      </w:r>
      <w:r w:rsidR="00793F68" w:rsidRPr="00F232F6">
        <w:rPr>
          <w:i/>
          <w:iCs/>
          <w:sz w:val="16"/>
          <w:szCs w:val="16"/>
        </w:rPr>
        <w:t>Caso</w:t>
      </w:r>
      <w:r w:rsidR="00793F68" w:rsidRPr="00EA3CBB">
        <w:rPr>
          <w:i/>
          <w:iCs/>
          <w:sz w:val="16"/>
          <w:szCs w:val="16"/>
        </w:rPr>
        <w:t xml:space="preserve"> del Tribunal Constitucional Vs. Perú</w:t>
      </w:r>
      <w:r w:rsidR="00793F68">
        <w:rPr>
          <w:i/>
          <w:iCs/>
          <w:sz w:val="16"/>
          <w:szCs w:val="16"/>
        </w:rPr>
        <w:t>, supra,</w:t>
      </w:r>
      <w:r w:rsidR="00793F68" w:rsidRPr="00EA3CBB">
        <w:rPr>
          <w:i/>
          <w:iCs/>
          <w:sz w:val="16"/>
          <w:szCs w:val="16"/>
        </w:rPr>
        <w:t xml:space="preserve"> </w:t>
      </w:r>
      <w:r w:rsidR="00793F68" w:rsidRPr="00EA3CBB">
        <w:rPr>
          <w:sz w:val="16"/>
          <w:szCs w:val="16"/>
        </w:rPr>
        <w:t xml:space="preserve">párr. 71, y </w:t>
      </w:r>
      <w:r w:rsidR="00793F68" w:rsidRPr="0072077F">
        <w:rPr>
          <w:i/>
          <w:iCs/>
          <w:sz w:val="16"/>
          <w:szCs w:val="16"/>
        </w:rPr>
        <w:t>Caso</w:t>
      </w:r>
      <w:r w:rsidR="00793F68">
        <w:rPr>
          <w:sz w:val="16"/>
          <w:szCs w:val="16"/>
        </w:rPr>
        <w:t xml:space="preserve"> </w:t>
      </w:r>
      <w:r w:rsidR="00793F68">
        <w:rPr>
          <w:i/>
          <w:iCs/>
          <w:sz w:val="16"/>
          <w:szCs w:val="16"/>
        </w:rPr>
        <w:t xml:space="preserve">Colindres Shonenberg Vs. El Salvador, supra, </w:t>
      </w:r>
      <w:r w:rsidR="00793F68">
        <w:rPr>
          <w:sz w:val="16"/>
          <w:szCs w:val="16"/>
        </w:rPr>
        <w:t>párr. 64.</w:t>
      </w:r>
    </w:p>
  </w:footnote>
  <w:footnote w:id="188">
    <w:p w14:paraId="2A0EF514" w14:textId="07489DC1" w:rsidR="00CF41F9" w:rsidRPr="00065F63" w:rsidRDefault="00CF41F9" w:rsidP="00DF7FF5">
      <w:pPr>
        <w:pStyle w:val="Textonotapie"/>
        <w:spacing w:before="40" w:after="40"/>
        <w:rPr>
          <w:sz w:val="16"/>
          <w:szCs w:val="16"/>
          <w:lang w:val="es-AR"/>
        </w:rPr>
      </w:pPr>
      <w:r w:rsidRPr="00065F63">
        <w:rPr>
          <w:rStyle w:val="Refdenotaalpie"/>
          <w:rFonts w:eastAsia="Calibri"/>
          <w:sz w:val="16"/>
          <w:szCs w:val="16"/>
        </w:rPr>
        <w:footnoteRef/>
      </w:r>
      <w:r w:rsidRPr="00065F63">
        <w:rPr>
          <w:sz w:val="16"/>
          <w:szCs w:val="16"/>
          <w:lang w:val="es-AR"/>
        </w:rPr>
        <w:t xml:space="preserve"> </w:t>
      </w:r>
      <w:r w:rsidRPr="00065F63">
        <w:rPr>
          <w:sz w:val="16"/>
          <w:szCs w:val="16"/>
          <w:lang w:val="es-AR"/>
        </w:rPr>
        <w:tab/>
      </w:r>
      <w:r w:rsidR="00793F68" w:rsidRPr="00065F63">
        <w:rPr>
          <w:i/>
          <w:sz w:val="16"/>
          <w:szCs w:val="16"/>
          <w:lang w:val="es-AR"/>
        </w:rPr>
        <w:t xml:space="preserve">Cfr. </w:t>
      </w:r>
      <w:r w:rsidR="00793F68" w:rsidRPr="00065F63">
        <w:rPr>
          <w:i/>
          <w:iCs/>
          <w:sz w:val="16"/>
          <w:szCs w:val="16"/>
          <w:lang w:val="es-AR"/>
        </w:rPr>
        <w:t>Caso Herrera Ulloa Vs. Costa Rica, supra</w:t>
      </w:r>
      <w:r w:rsidR="00793F68" w:rsidRPr="00065F63">
        <w:rPr>
          <w:sz w:val="16"/>
          <w:szCs w:val="16"/>
          <w:lang w:val="es-AR"/>
        </w:rPr>
        <w:t xml:space="preserve">, párr. 171, y </w:t>
      </w:r>
      <w:r w:rsidR="00793F68" w:rsidRPr="00065F63">
        <w:rPr>
          <w:i/>
          <w:iCs/>
          <w:sz w:val="16"/>
          <w:szCs w:val="16"/>
          <w:lang w:val="es-AR"/>
        </w:rPr>
        <w:t>C</w:t>
      </w:r>
      <w:r w:rsidR="00793F68" w:rsidRPr="00065F63">
        <w:rPr>
          <w:rFonts w:cs="Arial"/>
          <w:bCs/>
          <w:i/>
          <w:iCs/>
          <w:sz w:val="16"/>
          <w:szCs w:val="16"/>
        </w:rPr>
        <w:t>aso Granier y otros (Radio Caracas Televisión) Vs. Venezuela</w:t>
      </w:r>
      <w:r w:rsidR="00793F68">
        <w:rPr>
          <w:rFonts w:cs="Arial"/>
          <w:bCs/>
          <w:i/>
          <w:iCs/>
          <w:sz w:val="16"/>
          <w:szCs w:val="16"/>
        </w:rPr>
        <w:t xml:space="preserve">. </w:t>
      </w:r>
      <w:r w:rsidR="00793F68" w:rsidRPr="00452033">
        <w:rPr>
          <w:i/>
          <w:iCs/>
          <w:sz w:val="16"/>
          <w:szCs w:val="16"/>
        </w:rPr>
        <w:t xml:space="preserve">Excepciones Preliminares, Fondo, Reparaciones y Costas. </w:t>
      </w:r>
      <w:r w:rsidR="00793F68" w:rsidRPr="00B100C9">
        <w:rPr>
          <w:sz w:val="16"/>
          <w:szCs w:val="16"/>
        </w:rPr>
        <w:t>Sentencia de 22 de junio de 2015. Serie C No. 293,</w:t>
      </w:r>
      <w:r w:rsidR="00793F68">
        <w:rPr>
          <w:i/>
          <w:iCs/>
          <w:sz w:val="16"/>
          <w:szCs w:val="16"/>
        </w:rPr>
        <w:t xml:space="preserve"> </w:t>
      </w:r>
      <w:r w:rsidR="00793F68" w:rsidRPr="00EA3CBB">
        <w:rPr>
          <w:rFonts w:cs="Arial"/>
          <w:bCs/>
          <w:iCs/>
          <w:sz w:val="16"/>
          <w:szCs w:val="16"/>
        </w:rPr>
        <w:t>párr</w:t>
      </w:r>
      <w:r w:rsidR="00793F68">
        <w:rPr>
          <w:rFonts w:cs="Arial"/>
          <w:bCs/>
          <w:iCs/>
          <w:sz w:val="16"/>
          <w:szCs w:val="16"/>
        </w:rPr>
        <w:t>.</w:t>
      </w:r>
      <w:r w:rsidR="00793F68" w:rsidRPr="00EA3CBB" w:rsidDel="003B3D30">
        <w:rPr>
          <w:rFonts w:cs="Arial"/>
          <w:sz w:val="16"/>
          <w:szCs w:val="16"/>
          <w:lang w:val="es-CL"/>
        </w:rPr>
        <w:t xml:space="preserve"> </w:t>
      </w:r>
      <w:r w:rsidR="00793F68" w:rsidRPr="00EA3CBB">
        <w:rPr>
          <w:rFonts w:cs="Arial"/>
          <w:sz w:val="16"/>
          <w:szCs w:val="16"/>
          <w:lang w:val="es-CL"/>
        </w:rPr>
        <w:t>304.</w:t>
      </w:r>
    </w:p>
  </w:footnote>
  <w:footnote w:id="189">
    <w:p w14:paraId="6512E2D9" w14:textId="77777777" w:rsidR="00CF41F9" w:rsidRPr="00065F63" w:rsidRDefault="00CF41F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 Caso Vicky Hernández y otras Vs. Honduras, supra</w:t>
      </w:r>
      <w:r w:rsidRPr="00065F63">
        <w:rPr>
          <w:sz w:val="16"/>
          <w:szCs w:val="16"/>
        </w:rPr>
        <w:t>, párr. 114.</w:t>
      </w:r>
    </w:p>
  </w:footnote>
  <w:footnote w:id="190">
    <w:p w14:paraId="40D734CA" w14:textId="4AEBEE5A" w:rsidR="006C743B" w:rsidRPr="00065F63" w:rsidRDefault="006C743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 Mutatis mutandis, Caso Chaparro Álvarez y Lapo Íñiguez. Vs. Ecuador. Excepciones Preliminares, Fondo, Reparaciones y Costas</w:t>
      </w:r>
      <w:r w:rsidRPr="00065F63">
        <w:rPr>
          <w:sz w:val="16"/>
          <w:szCs w:val="16"/>
        </w:rPr>
        <w:t>. Sentencia</w:t>
      </w:r>
      <w:r w:rsidRPr="00065F63">
        <w:rPr>
          <w:spacing w:val="-1"/>
          <w:sz w:val="16"/>
          <w:szCs w:val="16"/>
        </w:rPr>
        <w:t xml:space="preserve"> </w:t>
      </w:r>
      <w:r w:rsidRPr="00065F63">
        <w:rPr>
          <w:sz w:val="16"/>
          <w:szCs w:val="16"/>
        </w:rPr>
        <w:t>de</w:t>
      </w:r>
      <w:r w:rsidRPr="00065F63">
        <w:rPr>
          <w:spacing w:val="-2"/>
          <w:sz w:val="16"/>
          <w:szCs w:val="16"/>
        </w:rPr>
        <w:t xml:space="preserve"> </w:t>
      </w:r>
      <w:r w:rsidRPr="00065F63">
        <w:rPr>
          <w:sz w:val="16"/>
          <w:szCs w:val="16"/>
        </w:rPr>
        <w:t>21</w:t>
      </w:r>
      <w:r w:rsidRPr="00065F63">
        <w:rPr>
          <w:spacing w:val="-2"/>
          <w:sz w:val="16"/>
          <w:szCs w:val="16"/>
        </w:rPr>
        <w:t xml:space="preserve"> </w:t>
      </w:r>
      <w:r w:rsidRPr="00065F63">
        <w:rPr>
          <w:sz w:val="16"/>
          <w:szCs w:val="16"/>
        </w:rPr>
        <w:t>de</w:t>
      </w:r>
      <w:r w:rsidRPr="00065F63">
        <w:rPr>
          <w:spacing w:val="-2"/>
          <w:sz w:val="16"/>
          <w:szCs w:val="16"/>
        </w:rPr>
        <w:t xml:space="preserve"> </w:t>
      </w:r>
      <w:r w:rsidRPr="00065F63">
        <w:rPr>
          <w:sz w:val="16"/>
          <w:szCs w:val="16"/>
        </w:rPr>
        <w:t>noviembre de</w:t>
      </w:r>
      <w:r w:rsidRPr="00065F63">
        <w:rPr>
          <w:spacing w:val="-2"/>
          <w:sz w:val="16"/>
          <w:szCs w:val="16"/>
        </w:rPr>
        <w:t xml:space="preserve"> </w:t>
      </w:r>
      <w:r w:rsidRPr="00065F63">
        <w:rPr>
          <w:sz w:val="16"/>
          <w:szCs w:val="16"/>
        </w:rPr>
        <w:t>2007.</w:t>
      </w:r>
      <w:r w:rsidRPr="00065F63">
        <w:rPr>
          <w:spacing w:val="-3"/>
          <w:sz w:val="16"/>
          <w:szCs w:val="16"/>
        </w:rPr>
        <w:t xml:space="preserve"> </w:t>
      </w:r>
      <w:r w:rsidRPr="00065F63">
        <w:rPr>
          <w:sz w:val="16"/>
          <w:szCs w:val="16"/>
        </w:rPr>
        <w:t>Serie C</w:t>
      </w:r>
      <w:r w:rsidRPr="00065F63">
        <w:rPr>
          <w:spacing w:val="-2"/>
          <w:sz w:val="16"/>
          <w:szCs w:val="16"/>
        </w:rPr>
        <w:t xml:space="preserve"> </w:t>
      </w:r>
      <w:r w:rsidRPr="00065F63">
        <w:rPr>
          <w:sz w:val="16"/>
          <w:szCs w:val="16"/>
        </w:rPr>
        <w:t>No.</w:t>
      </w:r>
      <w:r w:rsidRPr="00065F63">
        <w:rPr>
          <w:spacing w:val="-1"/>
          <w:sz w:val="16"/>
          <w:szCs w:val="16"/>
        </w:rPr>
        <w:t xml:space="preserve"> </w:t>
      </w:r>
      <w:r w:rsidRPr="00065F63">
        <w:rPr>
          <w:sz w:val="16"/>
          <w:szCs w:val="16"/>
        </w:rPr>
        <w:t>170,</w:t>
      </w:r>
      <w:r w:rsidRPr="00065F63">
        <w:rPr>
          <w:spacing w:val="-1"/>
          <w:sz w:val="16"/>
          <w:szCs w:val="16"/>
        </w:rPr>
        <w:t xml:space="preserve"> </w:t>
      </w:r>
      <w:r w:rsidRPr="00065F63">
        <w:rPr>
          <w:sz w:val="16"/>
          <w:szCs w:val="16"/>
        </w:rPr>
        <w:t>párr.</w:t>
      </w:r>
      <w:r w:rsidRPr="00065F63">
        <w:rPr>
          <w:spacing w:val="-3"/>
          <w:sz w:val="16"/>
          <w:szCs w:val="16"/>
        </w:rPr>
        <w:t xml:space="preserve"> </w:t>
      </w:r>
      <w:r w:rsidRPr="00065F63">
        <w:rPr>
          <w:sz w:val="16"/>
          <w:szCs w:val="16"/>
        </w:rPr>
        <w:t xml:space="preserve">52, y </w:t>
      </w:r>
      <w:r w:rsidRPr="00065F63">
        <w:rPr>
          <w:i/>
          <w:iCs/>
          <w:sz w:val="16"/>
          <w:szCs w:val="16"/>
        </w:rPr>
        <w:t>Caso Pavez Pavez Vs. Chile, supra</w:t>
      </w:r>
      <w:r w:rsidRPr="00065F63">
        <w:rPr>
          <w:sz w:val="16"/>
          <w:szCs w:val="16"/>
        </w:rPr>
        <w:t>, párr. 60.</w:t>
      </w:r>
    </w:p>
  </w:footnote>
  <w:footnote w:id="191">
    <w:p w14:paraId="448F117C" w14:textId="77777777" w:rsidR="006C743B" w:rsidRPr="00065F63" w:rsidRDefault="006C743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sz w:val="16"/>
          <w:szCs w:val="16"/>
        </w:rPr>
        <w:t>Cfr.</w:t>
      </w:r>
      <w:r w:rsidRPr="00065F63">
        <w:rPr>
          <w:i/>
          <w:spacing w:val="-8"/>
          <w:sz w:val="16"/>
          <w:szCs w:val="16"/>
        </w:rPr>
        <w:t xml:space="preserve"> </w:t>
      </w:r>
      <w:r w:rsidRPr="00065F63">
        <w:rPr>
          <w:i/>
          <w:sz w:val="16"/>
          <w:szCs w:val="16"/>
        </w:rPr>
        <w:t>Caso</w:t>
      </w:r>
      <w:r w:rsidRPr="00065F63">
        <w:rPr>
          <w:i/>
          <w:spacing w:val="-9"/>
          <w:sz w:val="16"/>
          <w:szCs w:val="16"/>
        </w:rPr>
        <w:t xml:space="preserve"> </w:t>
      </w:r>
      <w:r w:rsidRPr="00065F63">
        <w:rPr>
          <w:i/>
          <w:sz w:val="16"/>
          <w:szCs w:val="16"/>
        </w:rPr>
        <w:t>Atala</w:t>
      </w:r>
      <w:r w:rsidRPr="00065F63">
        <w:rPr>
          <w:i/>
          <w:spacing w:val="-8"/>
          <w:sz w:val="16"/>
          <w:szCs w:val="16"/>
        </w:rPr>
        <w:t xml:space="preserve"> </w:t>
      </w:r>
      <w:r w:rsidRPr="00065F63">
        <w:rPr>
          <w:i/>
          <w:sz w:val="16"/>
          <w:szCs w:val="16"/>
        </w:rPr>
        <w:t>Riffo</w:t>
      </w:r>
      <w:r w:rsidRPr="00065F63">
        <w:rPr>
          <w:i/>
          <w:spacing w:val="-9"/>
          <w:sz w:val="16"/>
          <w:szCs w:val="16"/>
        </w:rPr>
        <w:t xml:space="preserve"> </w:t>
      </w:r>
      <w:r w:rsidRPr="00065F63">
        <w:rPr>
          <w:i/>
          <w:sz w:val="16"/>
          <w:szCs w:val="16"/>
        </w:rPr>
        <w:t>y</w:t>
      </w:r>
      <w:r w:rsidRPr="00065F63">
        <w:rPr>
          <w:i/>
          <w:spacing w:val="-4"/>
          <w:sz w:val="16"/>
          <w:szCs w:val="16"/>
        </w:rPr>
        <w:t xml:space="preserve"> </w:t>
      </w:r>
      <w:r w:rsidRPr="00065F63">
        <w:rPr>
          <w:i/>
          <w:sz w:val="16"/>
          <w:szCs w:val="16"/>
        </w:rPr>
        <w:t>niñas</w:t>
      </w:r>
      <w:r w:rsidRPr="00065F63">
        <w:rPr>
          <w:i/>
          <w:spacing w:val="-7"/>
          <w:sz w:val="16"/>
          <w:szCs w:val="16"/>
        </w:rPr>
        <w:t xml:space="preserve"> </w:t>
      </w:r>
      <w:r w:rsidRPr="00065F63">
        <w:rPr>
          <w:i/>
          <w:sz w:val="16"/>
          <w:szCs w:val="16"/>
        </w:rPr>
        <w:t>Vs.</w:t>
      </w:r>
      <w:r w:rsidRPr="00065F63">
        <w:rPr>
          <w:i/>
          <w:spacing w:val="-6"/>
          <w:sz w:val="16"/>
          <w:szCs w:val="16"/>
        </w:rPr>
        <w:t xml:space="preserve"> </w:t>
      </w:r>
      <w:r w:rsidRPr="00065F63">
        <w:rPr>
          <w:i/>
          <w:sz w:val="16"/>
          <w:szCs w:val="16"/>
        </w:rPr>
        <w:t>Chile</w:t>
      </w:r>
      <w:r w:rsidRPr="00065F63">
        <w:rPr>
          <w:sz w:val="16"/>
          <w:szCs w:val="16"/>
        </w:rPr>
        <w:t>,</w:t>
      </w:r>
      <w:r w:rsidRPr="00065F63">
        <w:rPr>
          <w:spacing w:val="-8"/>
          <w:sz w:val="16"/>
          <w:szCs w:val="16"/>
        </w:rPr>
        <w:t xml:space="preserve"> </w:t>
      </w:r>
      <w:r w:rsidRPr="00065F63">
        <w:rPr>
          <w:i/>
          <w:sz w:val="16"/>
          <w:szCs w:val="16"/>
        </w:rPr>
        <w:t>supra</w:t>
      </w:r>
      <w:r w:rsidRPr="00065F63">
        <w:rPr>
          <w:sz w:val="16"/>
          <w:szCs w:val="16"/>
        </w:rPr>
        <w:t>,</w:t>
      </w:r>
      <w:r w:rsidRPr="00065F63">
        <w:rPr>
          <w:spacing w:val="-11"/>
          <w:sz w:val="16"/>
          <w:szCs w:val="16"/>
        </w:rPr>
        <w:t xml:space="preserve"> </w:t>
      </w:r>
      <w:r w:rsidRPr="00065F63">
        <w:rPr>
          <w:sz w:val="16"/>
          <w:szCs w:val="16"/>
        </w:rPr>
        <w:t>párr.</w:t>
      </w:r>
      <w:r w:rsidRPr="00065F63">
        <w:rPr>
          <w:spacing w:val="-8"/>
          <w:sz w:val="16"/>
          <w:szCs w:val="16"/>
        </w:rPr>
        <w:t xml:space="preserve"> </w:t>
      </w:r>
      <w:r w:rsidRPr="00065F63">
        <w:rPr>
          <w:sz w:val="16"/>
          <w:szCs w:val="16"/>
        </w:rPr>
        <w:t>141,</w:t>
      </w:r>
      <w:r w:rsidRPr="00065F63">
        <w:rPr>
          <w:spacing w:val="-6"/>
          <w:sz w:val="16"/>
          <w:szCs w:val="16"/>
        </w:rPr>
        <w:t xml:space="preserve"> </w:t>
      </w:r>
      <w:r w:rsidRPr="00065F63">
        <w:rPr>
          <w:sz w:val="16"/>
          <w:szCs w:val="16"/>
        </w:rPr>
        <w:t xml:space="preserve">y </w:t>
      </w:r>
      <w:r w:rsidRPr="00065F63">
        <w:rPr>
          <w:i/>
          <w:iCs/>
          <w:sz w:val="16"/>
          <w:szCs w:val="16"/>
        </w:rPr>
        <w:t>Caso Pavez Pavez Vs. Chile, supra</w:t>
      </w:r>
      <w:r w:rsidRPr="00065F63">
        <w:rPr>
          <w:sz w:val="16"/>
          <w:szCs w:val="16"/>
        </w:rPr>
        <w:t>, párr. 62.</w:t>
      </w:r>
    </w:p>
  </w:footnote>
  <w:footnote w:id="192">
    <w:p w14:paraId="2C060419" w14:textId="20E6922D" w:rsidR="00B0535B" w:rsidRPr="00065F63" w:rsidRDefault="00B0535B" w:rsidP="00DF7FF5">
      <w:pPr>
        <w:pStyle w:val="Textonotapie"/>
        <w:spacing w:before="40" w:after="40"/>
        <w:rPr>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i/>
          <w:sz w:val="16"/>
          <w:szCs w:val="16"/>
        </w:rPr>
        <w:t>Cfr.</w:t>
      </w:r>
      <w:r w:rsidR="00793F68" w:rsidRPr="00065F63">
        <w:rPr>
          <w:sz w:val="16"/>
          <w:szCs w:val="16"/>
        </w:rPr>
        <w:t xml:space="preserve"> </w:t>
      </w:r>
      <w:r w:rsidR="00793F68" w:rsidRPr="00065F63">
        <w:rPr>
          <w:i/>
          <w:iCs/>
          <w:sz w:val="16"/>
          <w:szCs w:val="16"/>
        </w:rPr>
        <w:t xml:space="preserve">Caso Bulacio Vs. Argentina. Fondo, Reparaciones y Costas. </w:t>
      </w:r>
      <w:r w:rsidR="00793F68" w:rsidRPr="00065F63">
        <w:rPr>
          <w:iCs/>
          <w:sz w:val="16"/>
          <w:szCs w:val="16"/>
        </w:rPr>
        <w:t>Sentencia de 18 de septiembre de 2003. Serie C No. 100,</w:t>
      </w:r>
      <w:r w:rsidR="00793F68" w:rsidRPr="00065F63">
        <w:rPr>
          <w:i/>
          <w:iCs/>
          <w:sz w:val="16"/>
          <w:szCs w:val="16"/>
        </w:rPr>
        <w:t xml:space="preserve"> </w:t>
      </w:r>
      <w:r w:rsidR="00793F68" w:rsidRPr="00065F63">
        <w:rPr>
          <w:sz w:val="16"/>
          <w:szCs w:val="16"/>
        </w:rPr>
        <w:t>párr. 114, y</w:t>
      </w:r>
      <w:r w:rsidR="00793F68" w:rsidRPr="00065F63">
        <w:rPr>
          <w:i/>
          <w:sz w:val="16"/>
          <w:szCs w:val="16"/>
        </w:rPr>
        <w:t xml:space="preserve"> </w:t>
      </w:r>
      <w:r w:rsidR="00793F68">
        <w:rPr>
          <w:i/>
          <w:sz w:val="16"/>
          <w:szCs w:val="16"/>
        </w:rPr>
        <w:t xml:space="preserve">Caso Vicky Hernández y otras, Vs. Honduras, </w:t>
      </w:r>
      <w:r w:rsidR="00793F68">
        <w:rPr>
          <w:iCs/>
          <w:sz w:val="16"/>
          <w:szCs w:val="16"/>
        </w:rPr>
        <w:t>párr. 103.</w:t>
      </w:r>
    </w:p>
  </w:footnote>
  <w:footnote w:id="193">
    <w:p w14:paraId="7DD808F2" w14:textId="646F8B66" w:rsidR="00B0535B" w:rsidRPr="00065F63" w:rsidRDefault="00B0535B" w:rsidP="00DF7FF5">
      <w:pPr>
        <w:pStyle w:val="Textonotapie"/>
        <w:spacing w:before="40" w:after="40"/>
        <w:rPr>
          <w:sz w:val="16"/>
          <w:szCs w:val="16"/>
          <w:lang w:val="es-MX"/>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i/>
          <w:sz w:val="16"/>
          <w:szCs w:val="16"/>
        </w:rPr>
        <w:t>Cfr.</w:t>
      </w:r>
      <w:r w:rsidR="00793F68" w:rsidRPr="00065F63">
        <w:rPr>
          <w:sz w:val="16"/>
          <w:szCs w:val="16"/>
        </w:rPr>
        <w:t xml:space="preserve"> </w:t>
      </w:r>
      <w:r w:rsidR="00793F68" w:rsidRPr="00065F63">
        <w:rPr>
          <w:i/>
          <w:sz w:val="16"/>
          <w:szCs w:val="16"/>
        </w:rPr>
        <w:t>Caso Hilaire, Constantine y Benjamin y otros Vs. Trinidad y Tobago</w:t>
      </w:r>
      <w:r w:rsidR="00793F68" w:rsidRPr="00065F63">
        <w:rPr>
          <w:sz w:val="16"/>
          <w:szCs w:val="16"/>
        </w:rPr>
        <w:t xml:space="preserve">. Fondo, Reparaciones y Costas. Sentencia de 21 de junio de 2002. Serie C No. 94, párr. 145, y </w:t>
      </w:r>
      <w:r w:rsidR="00793F68">
        <w:rPr>
          <w:i/>
          <w:iCs/>
          <w:sz w:val="16"/>
          <w:szCs w:val="16"/>
        </w:rPr>
        <w:t>Caso Leguizamón Zaván Vs. Paraguay, supra</w:t>
      </w:r>
      <w:r w:rsidR="00793F68">
        <w:rPr>
          <w:sz w:val="16"/>
          <w:szCs w:val="16"/>
        </w:rPr>
        <w:t>, párr. 68.</w:t>
      </w:r>
    </w:p>
  </w:footnote>
  <w:footnote w:id="194">
    <w:p w14:paraId="63DC3242" w14:textId="7C3193E1" w:rsidR="00B0535B" w:rsidRPr="00065F63" w:rsidRDefault="00B0535B" w:rsidP="00DF7FF5">
      <w:pPr>
        <w:pStyle w:val="Textonotapie"/>
        <w:spacing w:before="40" w:after="40"/>
        <w:rPr>
          <w:bCs/>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rFonts w:cs="Verdana"/>
          <w:bCs/>
          <w:sz w:val="16"/>
          <w:szCs w:val="16"/>
        </w:rPr>
        <w:t xml:space="preserve">En cuanto al análisis de la complejidad del asunto, la Corte ha tenido en cuenta, entre otros criterios, la complejidad de la prueba, la pluralidad de sujetos procesales o la cantidad de víctimas, el tiempo transcurrido desde que se tuvo noticia del hecho que debe ser investigado, las características del recurso contenido en la legislación interna y el contexto en el que ocurrió la violación. </w:t>
      </w:r>
      <w:r w:rsidR="00793F68" w:rsidRPr="00065F63">
        <w:rPr>
          <w:i/>
          <w:sz w:val="16"/>
          <w:szCs w:val="16"/>
        </w:rPr>
        <w:t>Cfr.</w:t>
      </w:r>
      <w:r w:rsidR="00793F68" w:rsidRPr="00065F63">
        <w:rPr>
          <w:sz w:val="16"/>
          <w:szCs w:val="16"/>
        </w:rPr>
        <w:t xml:space="preserve"> </w:t>
      </w:r>
      <w:r w:rsidR="00793F68" w:rsidRPr="00065F63">
        <w:rPr>
          <w:i/>
          <w:sz w:val="16"/>
          <w:szCs w:val="16"/>
        </w:rPr>
        <w:t>Caso Genie Lacayo Vs. Nicaragua. Excepciones Preliminares</w:t>
      </w:r>
      <w:r w:rsidR="00793F68" w:rsidRPr="00065F63">
        <w:rPr>
          <w:sz w:val="16"/>
          <w:szCs w:val="16"/>
        </w:rPr>
        <w:t xml:space="preserve">. Sentencia de 27 de enero de 1995. Serie C No. 21, párr. 78, y </w:t>
      </w:r>
      <w:r w:rsidR="00793F68" w:rsidRPr="00065F63">
        <w:rPr>
          <w:rFonts w:cs="Arial"/>
          <w:i/>
          <w:iCs/>
          <w:sz w:val="16"/>
          <w:szCs w:val="16"/>
          <w:shd w:val="clear" w:color="auto" w:fill="FFFFFF"/>
        </w:rPr>
        <w:t xml:space="preserve">Caso </w:t>
      </w:r>
      <w:r w:rsidR="00793F68">
        <w:rPr>
          <w:rFonts w:cs="Arial"/>
          <w:i/>
          <w:iCs/>
          <w:sz w:val="16"/>
          <w:szCs w:val="16"/>
          <w:shd w:val="clear" w:color="auto" w:fill="FFFFFF"/>
        </w:rPr>
        <w:t xml:space="preserve">Sales Pimienta Vs. Brasil. Excepciones Preliminares, Fondo, Reparaciones y Costas. </w:t>
      </w:r>
      <w:r w:rsidR="00793F68">
        <w:rPr>
          <w:rFonts w:cs="Arial"/>
          <w:sz w:val="16"/>
          <w:szCs w:val="16"/>
          <w:shd w:val="clear" w:color="auto" w:fill="FFFFFF"/>
        </w:rPr>
        <w:t>Sentencia de 30 de junio de 2022. Serie C No. 454, párr. 107.</w:t>
      </w:r>
    </w:p>
  </w:footnote>
  <w:footnote w:id="195">
    <w:p w14:paraId="1181020B" w14:textId="11C5F055" w:rsidR="00B0535B" w:rsidRPr="00065F63" w:rsidRDefault="00B0535B" w:rsidP="00DF7FF5">
      <w:pPr>
        <w:pStyle w:val="Textonotapie"/>
        <w:spacing w:before="40" w:after="40"/>
        <w:rPr>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snapToGrid w:val="0"/>
          <w:sz w:val="16"/>
          <w:szCs w:val="16"/>
          <w:lang w:eastAsia="es-ES"/>
        </w:rPr>
        <w:t xml:space="preserve">Respecto de la actividad del interesado en obtener justicia, la Corte ha tomado en consideración si la conducta procesal de este ha contribuido en algún grado a prolongar </w:t>
      </w:r>
      <w:r w:rsidR="00793F68" w:rsidRPr="00065F63">
        <w:rPr>
          <w:rFonts w:cs="Verdana"/>
          <w:bCs/>
          <w:sz w:val="16"/>
          <w:szCs w:val="16"/>
        </w:rPr>
        <w:t>indebidamente</w:t>
      </w:r>
      <w:r w:rsidR="00793F68" w:rsidRPr="00065F63">
        <w:rPr>
          <w:snapToGrid w:val="0"/>
          <w:sz w:val="16"/>
          <w:szCs w:val="16"/>
          <w:lang w:eastAsia="es-ES"/>
        </w:rPr>
        <w:t xml:space="preserve"> la duración del proceso. </w:t>
      </w:r>
      <w:r w:rsidR="00793F68" w:rsidRPr="00065F63">
        <w:rPr>
          <w:i/>
          <w:sz w:val="16"/>
          <w:szCs w:val="16"/>
        </w:rPr>
        <w:t>Cfr</w:t>
      </w:r>
      <w:r w:rsidR="00793F68" w:rsidRPr="00065F63">
        <w:rPr>
          <w:sz w:val="16"/>
          <w:szCs w:val="16"/>
        </w:rPr>
        <w:t xml:space="preserve">. </w:t>
      </w:r>
      <w:r w:rsidR="00793F68" w:rsidRPr="00065F63">
        <w:rPr>
          <w:i/>
          <w:sz w:val="16"/>
          <w:szCs w:val="16"/>
        </w:rPr>
        <w:t>Caso Cantos Vs. Argentina. Fondo, Reparaciones y Costas</w:t>
      </w:r>
      <w:r w:rsidR="00793F68" w:rsidRPr="00065F63">
        <w:rPr>
          <w:sz w:val="16"/>
          <w:szCs w:val="16"/>
        </w:rPr>
        <w:t xml:space="preserve">. Sentencia de 28 de noviembre de 2002. Serie C No. 97, párr. 57, y </w:t>
      </w:r>
      <w:r w:rsidR="00793F68">
        <w:rPr>
          <w:rFonts w:cs="Arial"/>
          <w:i/>
          <w:iCs/>
          <w:sz w:val="16"/>
          <w:szCs w:val="16"/>
          <w:shd w:val="clear" w:color="auto" w:fill="FFFFFF"/>
        </w:rPr>
        <w:t xml:space="preserve">Caso Sales Pimienta Vs. Brasil, supra, </w:t>
      </w:r>
      <w:r w:rsidR="00793F68">
        <w:rPr>
          <w:rFonts w:cs="Arial"/>
          <w:sz w:val="16"/>
          <w:szCs w:val="16"/>
          <w:shd w:val="clear" w:color="auto" w:fill="FFFFFF"/>
        </w:rPr>
        <w:t>párr. 107.</w:t>
      </w:r>
    </w:p>
  </w:footnote>
  <w:footnote w:id="196">
    <w:p w14:paraId="1D382156" w14:textId="03821F90" w:rsidR="00B0535B" w:rsidRPr="00065F63" w:rsidRDefault="00B0535B" w:rsidP="00DF7FF5">
      <w:pPr>
        <w:pStyle w:val="Textonotapie"/>
        <w:spacing w:before="40" w:after="40"/>
        <w:rPr>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snapToGrid w:val="0"/>
          <w:sz w:val="16"/>
          <w:szCs w:val="16"/>
          <w:lang w:eastAsia="es-ES"/>
        </w:rPr>
        <w:t xml:space="preserve">La Corte ha entendido que, para lograr plenamente la efectividad de la sentencia, las autoridades judiciales deben </w:t>
      </w:r>
      <w:r w:rsidR="00793F68" w:rsidRPr="00065F63">
        <w:rPr>
          <w:rFonts w:cs="Verdana"/>
          <w:bCs/>
          <w:sz w:val="16"/>
          <w:szCs w:val="16"/>
        </w:rPr>
        <w:t>actuar</w:t>
      </w:r>
      <w:r w:rsidR="00793F68" w:rsidRPr="00065F63">
        <w:rPr>
          <w:snapToGrid w:val="0"/>
          <w:sz w:val="16"/>
          <w:szCs w:val="16"/>
          <w:lang w:eastAsia="es-ES"/>
        </w:rPr>
        <w:t xml:space="preserve"> con celeridad y sin demora, debido a que el principio de tutela judicial efectiva requiere que los procedimientos de ejecución sean llevados a cabo sin obstáculos o demoras indebidas, a fin de que alcancen su objetivo de manera rápida, sencilla e integral.</w:t>
      </w:r>
      <w:r w:rsidR="00793F68" w:rsidRPr="00065F63">
        <w:rPr>
          <w:i/>
          <w:sz w:val="16"/>
          <w:szCs w:val="16"/>
        </w:rPr>
        <w:t xml:space="preserve"> Cfr.</w:t>
      </w:r>
      <w:r w:rsidR="00793F68" w:rsidRPr="00065F63">
        <w:rPr>
          <w:sz w:val="16"/>
          <w:szCs w:val="16"/>
        </w:rPr>
        <w:t xml:space="preserve"> </w:t>
      </w:r>
      <w:r w:rsidR="00793F68" w:rsidRPr="00065F63">
        <w:rPr>
          <w:i/>
          <w:sz w:val="16"/>
          <w:szCs w:val="16"/>
        </w:rPr>
        <w:t xml:space="preserve">Caso Mejía Idrovo Vs. Ecuador. Excepciones Preliminares, Fondo, Reparaciones y Costas. </w:t>
      </w:r>
      <w:r w:rsidR="00793F68" w:rsidRPr="00065F63">
        <w:rPr>
          <w:sz w:val="16"/>
          <w:szCs w:val="16"/>
        </w:rPr>
        <w:t>Sentencia de 5 de julio de 2011. Serie C No. 228</w:t>
      </w:r>
      <w:r w:rsidR="00793F68" w:rsidRPr="00065F63">
        <w:rPr>
          <w:i/>
          <w:sz w:val="16"/>
          <w:szCs w:val="16"/>
        </w:rPr>
        <w:t>,</w:t>
      </w:r>
      <w:r w:rsidR="00793F68" w:rsidRPr="00065F63">
        <w:rPr>
          <w:sz w:val="16"/>
          <w:szCs w:val="16"/>
        </w:rPr>
        <w:t xml:space="preserve"> párr. 106, y </w:t>
      </w:r>
      <w:r w:rsidR="00793F68">
        <w:rPr>
          <w:rFonts w:cs="Arial"/>
          <w:i/>
          <w:iCs/>
          <w:sz w:val="16"/>
          <w:szCs w:val="16"/>
          <w:shd w:val="clear" w:color="auto" w:fill="FFFFFF"/>
        </w:rPr>
        <w:t xml:space="preserve">Caso Sales Pimienta Vs. Brasil, supra, </w:t>
      </w:r>
      <w:r w:rsidR="00793F68">
        <w:rPr>
          <w:rFonts w:cs="Arial"/>
          <w:sz w:val="16"/>
          <w:szCs w:val="16"/>
          <w:shd w:val="clear" w:color="auto" w:fill="FFFFFF"/>
        </w:rPr>
        <w:t>párr. 107.</w:t>
      </w:r>
    </w:p>
  </w:footnote>
  <w:footnote w:id="197">
    <w:p w14:paraId="0D63A2B5" w14:textId="3A42D045" w:rsidR="00B0535B" w:rsidRPr="00065F63" w:rsidRDefault="00B0535B" w:rsidP="00DF7FF5">
      <w:pPr>
        <w:pStyle w:val="Textonotapie"/>
        <w:spacing w:before="40" w:after="40"/>
        <w:rPr>
          <w:sz w:val="16"/>
          <w:szCs w:val="16"/>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snapToGrid w:val="0"/>
          <w:sz w:val="16"/>
          <w:szCs w:val="16"/>
          <w:lang w:eastAsia="es-ES"/>
        </w:rPr>
        <w:t>En cuanto a la afectación generada en la situación jurídica de la presunta víctima, la Corte ha afirmado que</w:t>
      </w:r>
      <w:r w:rsidR="00793F68">
        <w:rPr>
          <w:snapToGrid w:val="0"/>
          <w:sz w:val="16"/>
          <w:szCs w:val="16"/>
          <w:lang w:eastAsia="es-ES"/>
        </w:rPr>
        <w:t>,</w:t>
      </w:r>
      <w:r w:rsidR="00793F68" w:rsidRPr="00065F63">
        <w:rPr>
          <w:snapToGrid w:val="0"/>
          <w:sz w:val="16"/>
          <w:szCs w:val="16"/>
          <w:lang w:eastAsia="es-ES"/>
        </w:rPr>
        <w:t xml:space="preserve"> para determinar la razonabilidad del plazo</w:t>
      </w:r>
      <w:r w:rsidR="00793F68">
        <w:rPr>
          <w:snapToGrid w:val="0"/>
          <w:sz w:val="16"/>
          <w:szCs w:val="16"/>
          <w:lang w:eastAsia="es-ES"/>
        </w:rPr>
        <w:t>,</w:t>
      </w:r>
      <w:r w:rsidR="00793F68" w:rsidRPr="00065F63">
        <w:rPr>
          <w:snapToGrid w:val="0"/>
          <w:sz w:val="16"/>
          <w:szCs w:val="16"/>
          <w:lang w:eastAsia="es-ES"/>
        </w:rPr>
        <w:t xml:space="preserve"> se debe tomar en cuenta la afectación generada por la duración del procedimiento en la situación jurídica de la persona involucrada, </w:t>
      </w:r>
      <w:r w:rsidR="00793F68" w:rsidRPr="00065F63">
        <w:rPr>
          <w:rFonts w:cs="Verdana"/>
          <w:bCs/>
          <w:sz w:val="16"/>
          <w:szCs w:val="16"/>
        </w:rPr>
        <w:t>considerando</w:t>
      </w:r>
      <w:r w:rsidR="00793F68" w:rsidRPr="00065F63">
        <w:rPr>
          <w:snapToGrid w:val="0"/>
          <w:sz w:val="16"/>
          <w:szCs w:val="16"/>
          <w:lang w:eastAsia="es-ES"/>
        </w:rPr>
        <w:t>, entre otros elementos, la materia de la controversia.</w:t>
      </w:r>
      <w:r w:rsidR="00793F68" w:rsidRPr="00065F63">
        <w:rPr>
          <w:i/>
          <w:sz w:val="16"/>
          <w:szCs w:val="16"/>
          <w:lang w:val="es-MX"/>
        </w:rPr>
        <w:t xml:space="preserve"> Cfr.</w:t>
      </w:r>
      <w:r w:rsidR="00793F68" w:rsidRPr="00065F63">
        <w:rPr>
          <w:sz w:val="16"/>
          <w:szCs w:val="16"/>
          <w:lang w:val="es-MX"/>
        </w:rPr>
        <w:t xml:space="preserve"> </w:t>
      </w:r>
      <w:r w:rsidR="00793F68" w:rsidRPr="00065F63">
        <w:rPr>
          <w:i/>
          <w:sz w:val="16"/>
          <w:szCs w:val="16"/>
        </w:rPr>
        <w:t xml:space="preserve">Caso </w:t>
      </w:r>
      <w:r w:rsidR="00793F68" w:rsidRPr="00065F63">
        <w:rPr>
          <w:bCs/>
          <w:i/>
          <w:sz w:val="16"/>
          <w:szCs w:val="16"/>
        </w:rPr>
        <w:t>Asociación Nacional de Cesantes y Jubilados de la Superintendencia Nacional de Administración Tributaria (ANCEJUB-SUNAT) Vs. Perú</w:t>
      </w:r>
      <w:r w:rsidR="00793F68" w:rsidRPr="00065F63">
        <w:rPr>
          <w:bCs/>
          <w:sz w:val="16"/>
          <w:szCs w:val="16"/>
        </w:rPr>
        <w:t xml:space="preserve">. </w:t>
      </w:r>
      <w:r w:rsidR="00793F68" w:rsidRPr="00065F63">
        <w:rPr>
          <w:bCs/>
          <w:i/>
          <w:sz w:val="16"/>
          <w:szCs w:val="16"/>
        </w:rPr>
        <w:t>Excepciones Preliminares, Fondo, Reparaciones y Costas.</w:t>
      </w:r>
      <w:r w:rsidR="00793F68" w:rsidRPr="00065F63">
        <w:rPr>
          <w:bCs/>
          <w:sz w:val="16"/>
          <w:szCs w:val="16"/>
        </w:rPr>
        <w:t xml:space="preserve"> Sentencia de 21 de noviembre de 2019. Serie C No. 394, párr. 148</w:t>
      </w:r>
      <w:r w:rsidR="00793F68" w:rsidRPr="00065F63">
        <w:rPr>
          <w:sz w:val="16"/>
          <w:szCs w:val="16"/>
        </w:rPr>
        <w:t xml:space="preserve">, y </w:t>
      </w:r>
      <w:r w:rsidR="00793F68" w:rsidRPr="00F131CD">
        <w:rPr>
          <w:rFonts w:cs="Arial"/>
          <w:i/>
          <w:iCs/>
          <w:sz w:val="16"/>
          <w:szCs w:val="16"/>
          <w:shd w:val="clear" w:color="auto" w:fill="FFFFFF"/>
        </w:rPr>
        <w:t xml:space="preserve">Caso Sales Pimienta Vs. Brasil, supra, </w:t>
      </w:r>
      <w:r w:rsidR="00793F68" w:rsidRPr="00F232F6">
        <w:rPr>
          <w:rFonts w:cs="Arial"/>
          <w:sz w:val="16"/>
          <w:szCs w:val="16"/>
          <w:shd w:val="clear" w:color="auto" w:fill="FFFFFF"/>
        </w:rPr>
        <w:t>párr. 107.</w:t>
      </w:r>
    </w:p>
  </w:footnote>
  <w:footnote w:id="198">
    <w:p w14:paraId="4265B1A7" w14:textId="3541EDFC" w:rsidR="00B0535B" w:rsidRPr="00065F63" w:rsidRDefault="00B0535B" w:rsidP="00DF7FF5">
      <w:pPr>
        <w:pStyle w:val="Textonotapie"/>
        <w:spacing w:before="40" w:after="40"/>
        <w:rPr>
          <w:sz w:val="16"/>
          <w:szCs w:val="16"/>
          <w:lang w:val="es-MX"/>
        </w:rPr>
      </w:pPr>
      <w:r w:rsidRPr="00065F63">
        <w:rPr>
          <w:rStyle w:val="Refdenotaalpie"/>
          <w:rFonts w:eastAsia="MS Mincho"/>
          <w:sz w:val="16"/>
          <w:szCs w:val="16"/>
        </w:rPr>
        <w:footnoteRef/>
      </w:r>
      <w:r w:rsidRPr="00065F63">
        <w:rPr>
          <w:sz w:val="16"/>
          <w:szCs w:val="16"/>
        </w:rPr>
        <w:t xml:space="preserve"> </w:t>
      </w:r>
      <w:r w:rsidRPr="00065F63">
        <w:rPr>
          <w:sz w:val="16"/>
          <w:szCs w:val="16"/>
          <w:lang w:val="es-MX"/>
        </w:rPr>
        <w:tab/>
      </w:r>
      <w:r w:rsidR="00793F68" w:rsidRPr="00065F63">
        <w:rPr>
          <w:i/>
          <w:sz w:val="16"/>
          <w:szCs w:val="16"/>
        </w:rPr>
        <w:t>Cfr.</w:t>
      </w:r>
      <w:r w:rsidR="00793F68" w:rsidRPr="00065F63">
        <w:rPr>
          <w:sz w:val="16"/>
          <w:szCs w:val="16"/>
        </w:rPr>
        <w:t xml:space="preserve"> </w:t>
      </w:r>
      <w:r w:rsidR="00793F68" w:rsidRPr="00065F63">
        <w:rPr>
          <w:i/>
          <w:sz w:val="16"/>
          <w:szCs w:val="16"/>
        </w:rPr>
        <w:t xml:space="preserve">Caso Anzualdo Castro Vs. Perú. </w:t>
      </w:r>
      <w:r w:rsidR="00793F68" w:rsidRPr="00065F63">
        <w:rPr>
          <w:bCs/>
          <w:i/>
          <w:sz w:val="16"/>
          <w:szCs w:val="16"/>
        </w:rPr>
        <w:t>Excepción Preliminar, Fondo, Reparaciones y Costas</w:t>
      </w:r>
      <w:r w:rsidR="00793F68" w:rsidRPr="00065F63">
        <w:rPr>
          <w:bCs/>
          <w:sz w:val="16"/>
          <w:szCs w:val="16"/>
        </w:rPr>
        <w:t xml:space="preserve">. Sentencia de 22 de septiembre de 2009. Serie C No. 202, párr. 156, </w:t>
      </w:r>
      <w:r w:rsidR="00793F68" w:rsidRPr="00065F63">
        <w:rPr>
          <w:sz w:val="16"/>
          <w:szCs w:val="16"/>
        </w:rPr>
        <w:t xml:space="preserve">y </w:t>
      </w:r>
      <w:r w:rsidR="00793F68" w:rsidRPr="00643523">
        <w:rPr>
          <w:rFonts w:cs="Arial"/>
          <w:i/>
          <w:iCs/>
          <w:sz w:val="16"/>
          <w:szCs w:val="16"/>
          <w:shd w:val="clear" w:color="auto" w:fill="FFFFFF"/>
        </w:rPr>
        <w:t xml:space="preserve">Caso Sales Pimienta Vs. Brasil, supra, </w:t>
      </w:r>
      <w:r w:rsidR="00793F68" w:rsidRPr="00F232F6">
        <w:rPr>
          <w:rFonts w:cs="Arial"/>
          <w:sz w:val="16"/>
          <w:szCs w:val="16"/>
          <w:shd w:val="clear" w:color="auto" w:fill="FFFFFF"/>
        </w:rPr>
        <w:t>párr. 107.</w:t>
      </w:r>
    </w:p>
  </w:footnote>
  <w:footnote w:id="199">
    <w:p w14:paraId="525D1A79" w14:textId="188ED309" w:rsidR="00B0535B" w:rsidRPr="00065F63" w:rsidRDefault="00B0535B" w:rsidP="00DF7FF5">
      <w:pPr>
        <w:pStyle w:val="Textonotapie"/>
        <w:spacing w:before="40" w:after="40"/>
        <w:rPr>
          <w:sz w:val="16"/>
          <w:szCs w:val="16"/>
          <w:lang w:val="es-MX"/>
        </w:rPr>
      </w:pPr>
      <w:r w:rsidRPr="00065F63">
        <w:rPr>
          <w:rStyle w:val="Refdenotaalpie"/>
          <w:rFonts w:eastAsia="MS Mincho"/>
          <w:sz w:val="16"/>
          <w:szCs w:val="16"/>
        </w:rPr>
        <w:footnoteRef/>
      </w:r>
      <w:r w:rsidRPr="00065F63">
        <w:rPr>
          <w:sz w:val="16"/>
          <w:szCs w:val="16"/>
        </w:rPr>
        <w:t xml:space="preserve"> </w:t>
      </w:r>
      <w:r w:rsidRPr="00065F63">
        <w:rPr>
          <w:sz w:val="16"/>
          <w:szCs w:val="16"/>
          <w:lang w:val="es-MX"/>
        </w:rPr>
        <w:tab/>
      </w:r>
      <w:r w:rsidR="00793F68" w:rsidRPr="00065F63">
        <w:rPr>
          <w:i/>
          <w:sz w:val="16"/>
          <w:szCs w:val="16"/>
        </w:rPr>
        <w:t>Cfr.</w:t>
      </w:r>
      <w:r w:rsidR="00793F68" w:rsidRPr="00065F63">
        <w:rPr>
          <w:sz w:val="16"/>
          <w:szCs w:val="16"/>
        </w:rPr>
        <w:t xml:space="preserve"> </w:t>
      </w:r>
      <w:r w:rsidR="00793F68" w:rsidRPr="00065F63">
        <w:rPr>
          <w:i/>
          <w:sz w:val="16"/>
          <w:szCs w:val="16"/>
        </w:rPr>
        <w:t>Caso Suárez Rosero Vs. Ecuador. Reparaciones y Costas</w:t>
      </w:r>
      <w:r w:rsidR="00793F68" w:rsidRPr="00065F63">
        <w:rPr>
          <w:sz w:val="16"/>
          <w:szCs w:val="16"/>
        </w:rPr>
        <w:t xml:space="preserve">. Sentencia de 20 de enero de 1999. Serie C No. 44, párr. 71, y </w:t>
      </w:r>
      <w:r w:rsidR="00793F68">
        <w:rPr>
          <w:rFonts w:cs="Arial"/>
          <w:i/>
          <w:iCs/>
          <w:sz w:val="16"/>
          <w:szCs w:val="16"/>
          <w:shd w:val="clear" w:color="auto" w:fill="FFFFFF"/>
        </w:rPr>
        <w:t xml:space="preserve">Caso Sales Pimienta Vs. Brasil, supra, </w:t>
      </w:r>
      <w:r w:rsidR="00793F68">
        <w:rPr>
          <w:rFonts w:cs="Arial"/>
          <w:sz w:val="16"/>
          <w:szCs w:val="16"/>
          <w:shd w:val="clear" w:color="auto" w:fill="FFFFFF"/>
        </w:rPr>
        <w:t>párr. 107.</w:t>
      </w:r>
    </w:p>
  </w:footnote>
  <w:footnote w:id="200">
    <w:p w14:paraId="0815E819" w14:textId="1748AB03" w:rsidR="003A7436" w:rsidRPr="00065F63" w:rsidRDefault="003A7436" w:rsidP="00DF7FF5">
      <w:pPr>
        <w:pStyle w:val="Textonotapie"/>
        <w:spacing w:before="40" w:after="40"/>
        <w:rPr>
          <w:sz w:val="16"/>
          <w:szCs w:val="16"/>
          <w:lang w:eastAsia="es-PE"/>
        </w:rPr>
      </w:pPr>
      <w:r w:rsidRPr="00065F63">
        <w:rPr>
          <w:rStyle w:val="Refdenotaalpie"/>
          <w:rFonts w:eastAsia="Calibri"/>
          <w:sz w:val="16"/>
          <w:szCs w:val="16"/>
        </w:rPr>
        <w:footnoteRef/>
      </w:r>
      <w:r w:rsidRPr="00065F63">
        <w:rPr>
          <w:sz w:val="16"/>
          <w:szCs w:val="16"/>
        </w:rPr>
        <w:t xml:space="preserve"> </w:t>
      </w:r>
      <w:r w:rsidRPr="00065F63">
        <w:rPr>
          <w:sz w:val="16"/>
          <w:szCs w:val="16"/>
        </w:rPr>
        <w:tab/>
      </w:r>
      <w:r w:rsidR="00793F68" w:rsidRPr="00065F63">
        <w:rPr>
          <w:i/>
          <w:sz w:val="16"/>
          <w:szCs w:val="16"/>
          <w:lang w:eastAsia="es-PE"/>
        </w:rPr>
        <w:t>Cfr. Caso Velásquez Rodríguez Vs. Honduras. Reparaciones y Costas</w:t>
      </w:r>
      <w:r w:rsidR="00793F68" w:rsidRPr="00065F63">
        <w:rPr>
          <w:sz w:val="16"/>
          <w:szCs w:val="16"/>
          <w:lang w:eastAsia="es-PE"/>
        </w:rPr>
        <w:t xml:space="preserve">. Sentencia de 21 de julio de 1989. Serie C No. 7, párr. 25, y </w:t>
      </w:r>
      <w:r w:rsidR="00793F68">
        <w:rPr>
          <w:rFonts w:cs="Open Sans"/>
          <w:i/>
          <w:iCs/>
          <w:sz w:val="16"/>
          <w:szCs w:val="16"/>
          <w:shd w:val="clear" w:color="auto" w:fill="FFFFFF"/>
        </w:rPr>
        <w:t xml:space="preserve">Caso Nissen Pessolani Vs. Paraguay. Fondo, Reparaciones y Costas. </w:t>
      </w:r>
      <w:r w:rsidR="00793F68">
        <w:rPr>
          <w:rFonts w:cs="Open Sans"/>
          <w:sz w:val="16"/>
          <w:szCs w:val="16"/>
          <w:shd w:val="clear" w:color="auto" w:fill="FFFFFF"/>
        </w:rPr>
        <w:t>Sentencia de 21 de noviembre de 2022. Serie C No. 477</w:t>
      </w:r>
      <w:r w:rsidR="00793F68">
        <w:rPr>
          <w:sz w:val="16"/>
          <w:szCs w:val="16"/>
          <w:lang w:eastAsia="es-PE"/>
        </w:rPr>
        <w:t>,</w:t>
      </w:r>
      <w:r w:rsidR="00793F68">
        <w:rPr>
          <w:i/>
          <w:sz w:val="16"/>
          <w:szCs w:val="16"/>
          <w:lang w:eastAsia="es-PE"/>
        </w:rPr>
        <w:t xml:space="preserve"> </w:t>
      </w:r>
      <w:r w:rsidR="00793F68">
        <w:rPr>
          <w:sz w:val="16"/>
          <w:szCs w:val="16"/>
          <w:lang w:eastAsia="es-PE"/>
        </w:rPr>
        <w:t>párr. 105.</w:t>
      </w:r>
    </w:p>
  </w:footnote>
  <w:footnote w:id="201">
    <w:p w14:paraId="4B75B217" w14:textId="6C1CD248" w:rsidR="003A7436" w:rsidRPr="00065F63" w:rsidRDefault="003A7436" w:rsidP="00DF7FF5">
      <w:pPr>
        <w:pStyle w:val="Textonotapie"/>
        <w:spacing w:before="40" w:after="40"/>
        <w:rPr>
          <w:sz w:val="16"/>
          <w:szCs w:val="16"/>
          <w:lang w:eastAsia="es-PE"/>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i/>
          <w:sz w:val="16"/>
          <w:szCs w:val="16"/>
          <w:lang w:eastAsia="es-PE"/>
        </w:rPr>
        <w:t>Cfr. Caso Velásquez Rodríguez Vs. Honduras</w:t>
      </w:r>
      <w:r w:rsidR="00793F68" w:rsidRPr="00065F63">
        <w:rPr>
          <w:sz w:val="16"/>
          <w:szCs w:val="16"/>
          <w:lang w:eastAsia="es-PE"/>
        </w:rPr>
        <w:t xml:space="preserve">. Reparaciones y Costas, </w:t>
      </w:r>
      <w:r w:rsidR="00793F68" w:rsidRPr="00065F63">
        <w:rPr>
          <w:i/>
          <w:sz w:val="16"/>
          <w:szCs w:val="16"/>
          <w:lang w:eastAsia="es-PE"/>
        </w:rPr>
        <w:t>supra</w:t>
      </w:r>
      <w:r w:rsidR="00793F68" w:rsidRPr="00065F63">
        <w:rPr>
          <w:sz w:val="16"/>
          <w:szCs w:val="16"/>
          <w:lang w:eastAsia="es-PE"/>
        </w:rPr>
        <w:t xml:space="preserve">, párrs. 25 y 2, y </w:t>
      </w:r>
      <w:r w:rsidR="00793F68" w:rsidRPr="00C13F67">
        <w:rPr>
          <w:rFonts w:cs="Open Sans"/>
          <w:i/>
          <w:iCs/>
          <w:sz w:val="16"/>
          <w:szCs w:val="16"/>
          <w:shd w:val="clear" w:color="auto" w:fill="FFFFFF"/>
        </w:rPr>
        <w:t>Caso Nissen Pessolani Vs. Paraguay</w:t>
      </w:r>
      <w:r w:rsidR="00793F68" w:rsidRPr="00065F63">
        <w:rPr>
          <w:rFonts w:cs="Open Sans"/>
          <w:i/>
          <w:iCs/>
          <w:sz w:val="16"/>
          <w:szCs w:val="16"/>
          <w:shd w:val="clear" w:color="auto" w:fill="FFFFFF"/>
        </w:rPr>
        <w:t>, supra</w:t>
      </w:r>
      <w:r w:rsidR="00793F68" w:rsidRPr="00065F63">
        <w:rPr>
          <w:sz w:val="16"/>
          <w:szCs w:val="16"/>
          <w:lang w:eastAsia="es-PE"/>
        </w:rPr>
        <w:t>,</w:t>
      </w:r>
      <w:r w:rsidR="00793F68" w:rsidRPr="00065F63">
        <w:rPr>
          <w:i/>
          <w:sz w:val="16"/>
          <w:szCs w:val="16"/>
          <w:lang w:eastAsia="es-PE"/>
        </w:rPr>
        <w:t xml:space="preserve"> </w:t>
      </w:r>
      <w:r w:rsidR="00793F68" w:rsidRPr="00065F63">
        <w:rPr>
          <w:sz w:val="16"/>
          <w:szCs w:val="16"/>
          <w:lang w:eastAsia="es-PE"/>
        </w:rPr>
        <w:t xml:space="preserve">párr. </w:t>
      </w:r>
      <w:r w:rsidR="00793F68">
        <w:rPr>
          <w:sz w:val="16"/>
          <w:szCs w:val="16"/>
          <w:lang w:eastAsia="es-PE"/>
        </w:rPr>
        <w:t>106</w:t>
      </w:r>
      <w:r w:rsidR="00793F68" w:rsidRPr="00065F63">
        <w:rPr>
          <w:sz w:val="16"/>
          <w:szCs w:val="16"/>
          <w:lang w:eastAsia="es-PE"/>
        </w:rPr>
        <w:t>.</w:t>
      </w:r>
    </w:p>
  </w:footnote>
  <w:footnote w:id="202">
    <w:p w14:paraId="7D3E003B" w14:textId="66579FD5" w:rsidR="003A7436" w:rsidRPr="00065F63" w:rsidRDefault="003A7436" w:rsidP="00DF7FF5">
      <w:pPr>
        <w:pStyle w:val="Textonotapie"/>
        <w:spacing w:before="40" w:after="40"/>
        <w:rPr>
          <w:sz w:val="16"/>
          <w:szCs w:val="16"/>
          <w:lang w:eastAsia="es-PE"/>
        </w:rPr>
      </w:pPr>
      <w:r w:rsidRPr="00065F63">
        <w:rPr>
          <w:rStyle w:val="Refdenotaalpie"/>
          <w:rFonts w:eastAsia="Calibri"/>
          <w:sz w:val="16"/>
          <w:szCs w:val="16"/>
        </w:rPr>
        <w:footnoteRef/>
      </w:r>
      <w:r w:rsidRPr="00065F63">
        <w:rPr>
          <w:sz w:val="16"/>
          <w:szCs w:val="16"/>
        </w:rPr>
        <w:t xml:space="preserve"> </w:t>
      </w:r>
      <w:r w:rsidRPr="00065F63">
        <w:rPr>
          <w:sz w:val="16"/>
          <w:szCs w:val="16"/>
        </w:rPr>
        <w:tab/>
      </w:r>
      <w:r w:rsidR="00793F68" w:rsidRPr="00065F63">
        <w:rPr>
          <w:i/>
          <w:sz w:val="16"/>
          <w:szCs w:val="16"/>
        </w:rPr>
        <w:t>Cfr.</w:t>
      </w:r>
      <w:r w:rsidR="00793F68" w:rsidRPr="00065F63">
        <w:rPr>
          <w:bCs/>
          <w:i/>
          <w:sz w:val="16"/>
          <w:szCs w:val="16"/>
        </w:rPr>
        <w:t xml:space="preserve"> Caso de la Masacre de Las Dos Erres Vs. Guatemala. Excepción Preliminar, Fondo, Reparaciones y Costas. </w:t>
      </w:r>
      <w:r w:rsidR="00793F68" w:rsidRPr="00065F63">
        <w:rPr>
          <w:bCs/>
          <w:sz w:val="16"/>
          <w:szCs w:val="16"/>
        </w:rPr>
        <w:t>Sentencia de 24 de noviembre de 2009. Serie C No. 211</w:t>
      </w:r>
      <w:r w:rsidR="00793F68" w:rsidRPr="00065F63">
        <w:rPr>
          <w:sz w:val="16"/>
          <w:szCs w:val="16"/>
        </w:rPr>
        <w:t xml:space="preserve">, párr. 226, y </w:t>
      </w:r>
      <w:r w:rsidR="00793F68" w:rsidRPr="00C13F67">
        <w:rPr>
          <w:rFonts w:cs="Open Sans"/>
          <w:i/>
          <w:iCs/>
          <w:sz w:val="16"/>
          <w:szCs w:val="16"/>
          <w:shd w:val="clear" w:color="auto" w:fill="FFFFFF"/>
        </w:rPr>
        <w:t>Caso Nissen Pessolani Vs. Paraguay</w:t>
      </w:r>
      <w:r w:rsidR="00793F68" w:rsidRPr="00065F63">
        <w:rPr>
          <w:rFonts w:cs="Open Sans"/>
          <w:i/>
          <w:iCs/>
          <w:sz w:val="16"/>
          <w:szCs w:val="16"/>
          <w:shd w:val="clear" w:color="auto" w:fill="FFFFFF"/>
        </w:rPr>
        <w:t>, supra</w:t>
      </w:r>
      <w:r w:rsidR="00793F68" w:rsidRPr="00065F63">
        <w:rPr>
          <w:sz w:val="16"/>
          <w:szCs w:val="16"/>
          <w:lang w:eastAsia="es-PE"/>
        </w:rPr>
        <w:t>,</w:t>
      </w:r>
      <w:r w:rsidR="00793F68" w:rsidRPr="00065F63">
        <w:rPr>
          <w:i/>
          <w:sz w:val="16"/>
          <w:szCs w:val="16"/>
          <w:lang w:eastAsia="es-PE"/>
        </w:rPr>
        <w:t xml:space="preserve"> </w:t>
      </w:r>
      <w:r w:rsidR="00793F68" w:rsidRPr="00065F63">
        <w:rPr>
          <w:sz w:val="16"/>
          <w:szCs w:val="16"/>
          <w:lang w:eastAsia="es-PE"/>
        </w:rPr>
        <w:t xml:space="preserve">párr. </w:t>
      </w:r>
      <w:r w:rsidR="00793F68">
        <w:rPr>
          <w:sz w:val="16"/>
          <w:szCs w:val="16"/>
          <w:lang w:eastAsia="es-PE"/>
        </w:rPr>
        <w:t>92</w:t>
      </w:r>
      <w:r w:rsidR="00793F68" w:rsidRPr="00065F63">
        <w:rPr>
          <w:sz w:val="16"/>
          <w:szCs w:val="16"/>
          <w:lang w:eastAsia="es-PE"/>
        </w:rPr>
        <w:t>.</w:t>
      </w:r>
    </w:p>
  </w:footnote>
  <w:footnote w:id="203">
    <w:p w14:paraId="4E9BDC81" w14:textId="22580010" w:rsidR="003A7436" w:rsidRPr="00065F63" w:rsidRDefault="003A7436" w:rsidP="00DF7FF5">
      <w:pPr>
        <w:pStyle w:val="Textonotapie"/>
        <w:spacing w:before="40" w:after="40"/>
        <w:rPr>
          <w:rFonts w:cstheme="minorBidi"/>
          <w:bCs/>
          <w:sz w:val="16"/>
          <w:szCs w:val="16"/>
        </w:rPr>
      </w:pPr>
      <w:r w:rsidRPr="00065F63">
        <w:rPr>
          <w:rStyle w:val="Refdenotaalpie"/>
          <w:rFonts w:eastAsia="Calibri"/>
          <w:sz w:val="16"/>
          <w:szCs w:val="16"/>
        </w:rPr>
        <w:footnoteRef/>
      </w:r>
      <w:r w:rsidRPr="00065F63">
        <w:rPr>
          <w:sz w:val="16"/>
          <w:szCs w:val="16"/>
        </w:rPr>
        <w:t xml:space="preserve"> </w:t>
      </w:r>
      <w:r w:rsidRPr="00065F63">
        <w:rPr>
          <w:sz w:val="16"/>
          <w:szCs w:val="16"/>
        </w:rPr>
        <w:tab/>
      </w:r>
      <w:r w:rsidR="00793F68" w:rsidRPr="00065F63">
        <w:rPr>
          <w:i/>
          <w:sz w:val="16"/>
          <w:szCs w:val="16"/>
        </w:rPr>
        <w:t>Cfr. Caso Ticona Estrada Vs. Bolivia. Fondo, Reparaciones y Costas</w:t>
      </w:r>
      <w:r w:rsidR="00793F68" w:rsidRPr="00065F63">
        <w:rPr>
          <w:sz w:val="16"/>
          <w:szCs w:val="16"/>
        </w:rPr>
        <w:t xml:space="preserve">. Sentencia de 27 de noviembre de 2008. Serie C No. 191, párr. 110, y </w:t>
      </w:r>
      <w:r w:rsidR="00793F68" w:rsidRPr="00C13F67">
        <w:rPr>
          <w:rFonts w:cs="Open Sans"/>
          <w:i/>
          <w:iCs/>
          <w:sz w:val="16"/>
          <w:szCs w:val="16"/>
          <w:shd w:val="clear" w:color="auto" w:fill="FFFFFF"/>
        </w:rPr>
        <w:t>Caso Nissen Pessolani Vs. Paraguay</w:t>
      </w:r>
      <w:r w:rsidR="00793F68" w:rsidRPr="00065F63">
        <w:rPr>
          <w:rFonts w:cs="Open Sans"/>
          <w:i/>
          <w:iCs/>
          <w:sz w:val="16"/>
          <w:szCs w:val="16"/>
          <w:shd w:val="clear" w:color="auto" w:fill="FFFFFF"/>
        </w:rPr>
        <w:t>, supra</w:t>
      </w:r>
      <w:r w:rsidR="00793F68" w:rsidRPr="00065F63">
        <w:rPr>
          <w:sz w:val="16"/>
          <w:szCs w:val="16"/>
          <w:lang w:eastAsia="es-PE"/>
        </w:rPr>
        <w:t>,</w:t>
      </w:r>
      <w:r w:rsidR="00793F68" w:rsidRPr="00065F63">
        <w:rPr>
          <w:i/>
          <w:sz w:val="16"/>
          <w:szCs w:val="16"/>
          <w:lang w:eastAsia="es-PE"/>
        </w:rPr>
        <w:t xml:space="preserve"> </w:t>
      </w:r>
      <w:r w:rsidR="00793F68" w:rsidRPr="00065F63">
        <w:rPr>
          <w:sz w:val="16"/>
          <w:szCs w:val="16"/>
          <w:lang w:eastAsia="es-PE"/>
        </w:rPr>
        <w:t xml:space="preserve">párr. </w:t>
      </w:r>
      <w:r w:rsidR="00793F68">
        <w:rPr>
          <w:sz w:val="16"/>
          <w:szCs w:val="16"/>
          <w:lang w:eastAsia="es-PE"/>
        </w:rPr>
        <w:t>107</w:t>
      </w:r>
      <w:r w:rsidR="00793F68" w:rsidRPr="00065F63">
        <w:rPr>
          <w:sz w:val="16"/>
          <w:szCs w:val="16"/>
          <w:lang w:eastAsia="es-PE"/>
        </w:rPr>
        <w:t>.</w:t>
      </w:r>
    </w:p>
  </w:footnote>
  <w:footnote w:id="204">
    <w:p w14:paraId="4C67317B" w14:textId="126DCEE7" w:rsidR="003A7436" w:rsidRPr="00065F63" w:rsidRDefault="003A7436" w:rsidP="00DF7FF5">
      <w:pPr>
        <w:pStyle w:val="Textonotapie"/>
        <w:spacing w:before="40" w:after="40"/>
        <w:rPr>
          <w:sz w:val="16"/>
          <w:szCs w:val="16"/>
          <w:lang w:eastAsia="es-PE"/>
        </w:rPr>
      </w:pPr>
      <w:r w:rsidRPr="00065F63">
        <w:rPr>
          <w:rStyle w:val="Refdenotaalpie"/>
          <w:rFonts w:eastAsia="Calibri"/>
          <w:sz w:val="16"/>
          <w:szCs w:val="16"/>
        </w:rPr>
        <w:footnoteRef/>
      </w:r>
      <w:r w:rsidRPr="00065F63">
        <w:rPr>
          <w:rFonts w:cs="Verdana"/>
          <w:bCs/>
          <w:sz w:val="16"/>
          <w:szCs w:val="16"/>
        </w:rPr>
        <w:tab/>
      </w:r>
      <w:r w:rsidR="00793F68" w:rsidRPr="00065F63">
        <w:rPr>
          <w:i/>
          <w:sz w:val="16"/>
          <w:szCs w:val="16"/>
        </w:rPr>
        <w:t>Cfr.</w:t>
      </w:r>
      <w:r w:rsidR="00793F68" w:rsidRPr="00065F63">
        <w:rPr>
          <w:bCs/>
          <w:i/>
          <w:sz w:val="16"/>
          <w:szCs w:val="16"/>
        </w:rPr>
        <w:t xml:space="preserve"> Caso Velásquez Rodríguez Vs. Honduras. </w:t>
      </w:r>
      <w:r w:rsidR="00793F68" w:rsidRPr="00065F63">
        <w:rPr>
          <w:i/>
          <w:sz w:val="16"/>
          <w:szCs w:val="16"/>
        </w:rPr>
        <w:t>Reparaciones y Costas, supra</w:t>
      </w:r>
      <w:r w:rsidR="00793F68" w:rsidRPr="00065F63">
        <w:rPr>
          <w:sz w:val="16"/>
          <w:szCs w:val="16"/>
        </w:rPr>
        <w:t xml:space="preserve">, párrs. 25 a 27, </w:t>
      </w:r>
      <w:r w:rsidR="00793F68">
        <w:rPr>
          <w:sz w:val="16"/>
          <w:szCs w:val="16"/>
        </w:rPr>
        <w:t xml:space="preserve">y </w:t>
      </w:r>
      <w:r w:rsidR="00793F68" w:rsidRPr="003B1A79">
        <w:rPr>
          <w:i/>
          <w:iCs/>
          <w:sz w:val="16"/>
          <w:szCs w:val="16"/>
        </w:rPr>
        <w:t>Caso Nissen Pessolani Vs. Paraguay, supra</w:t>
      </w:r>
      <w:r w:rsidR="00793F68" w:rsidRPr="003B1A79">
        <w:rPr>
          <w:sz w:val="16"/>
          <w:szCs w:val="16"/>
        </w:rPr>
        <w:t>,</w:t>
      </w:r>
      <w:r w:rsidR="00793F68" w:rsidRPr="003B1A79">
        <w:rPr>
          <w:i/>
          <w:sz w:val="16"/>
          <w:szCs w:val="16"/>
        </w:rPr>
        <w:t xml:space="preserve"> </w:t>
      </w:r>
      <w:r w:rsidR="00793F68" w:rsidRPr="003B1A79">
        <w:rPr>
          <w:sz w:val="16"/>
          <w:szCs w:val="16"/>
        </w:rPr>
        <w:t>párr. 10</w:t>
      </w:r>
      <w:r w:rsidR="00793F68">
        <w:rPr>
          <w:sz w:val="16"/>
          <w:szCs w:val="16"/>
        </w:rPr>
        <w:t>8</w:t>
      </w:r>
      <w:r w:rsidR="00793F68" w:rsidRPr="003B1A79">
        <w:rPr>
          <w:sz w:val="16"/>
          <w:szCs w:val="16"/>
        </w:rPr>
        <w:t>.</w:t>
      </w:r>
    </w:p>
  </w:footnote>
  <w:footnote w:id="205">
    <w:p w14:paraId="55FB6AA0" w14:textId="1E4191E2" w:rsidR="007B25FB" w:rsidRPr="00065F63" w:rsidRDefault="007B25FB"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Cfr</w:t>
      </w:r>
      <w:r w:rsidRPr="00065F63">
        <w:rPr>
          <w:sz w:val="16"/>
          <w:szCs w:val="16"/>
        </w:rPr>
        <w:t>. Declaración del señor Crissthian Manuel Olivera Fuentes rendida en la audiencia pública celebrada el día 24 de agosto de 2022 en el marco del 150 Período Ordinario de Sesiones</w:t>
      </w:r>
      <w:r w:rsidR="00EE15AE">
        <w:rPr>
          <w:sz w:val="16"/>
          <w:szCs w:val="16"/>
        </w:rPr>
        <w:t>.</w:t>
      </w:r>
    </w:p>
  </w:footnote>
  <w:footnote w:id="206">
    <w:p w14:paraId="5473C10A" w14:textId="34289BF8" w:rsidR="007B25FB" w:rsidRPr="00065F63" w:rsidRDefault="007B25FB"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793F68" w:rsidRPr="00065F63">
        <w:rPr>
          <w:i/>
          <w:sz w:val="16"/>
          <w:szCs w:val="16"/>
        </w:rPr>
        <w:t>Cfr. Caso Poblete Vilches y otros Vs. Chile. Fondo, Reparaciones y Costas</w:t>
      </w:r>
      <w:r w:rsidR="00793F68" w:rsidRPr="00065F63">
        <w:rPr>
          <w:sz w:val="16"/>
          <w:szCs w:val="16"/>
        </w:rPr>
        <w:t xml:space="preserve">. Sentencia de 8 de marzo de 2018. Serie C No. 349, párr. 231, y </w:t>
      </w:r>
      <w:r w:rsidR="00793F68" w:rsidRPr="0072077F">
        <w:rPr>
          <w:i/>
          <w:iCs/>
          <w:sz w:val="16"/>
          <w:szCs w:val="16"/>
          <w:lang w:eastAsia="es-PE"/>
        </w:rPr>
        <w:t>Caso Aroca Palma y otro Vs. Ecuador</w:t>
      </w:r>
      <w:r w:rsidR="00793F68">
        <w:rPr>
          <w:i/>
          <w:iCs/>
          <w:sz w:val="16"/>
          <w:szCs w:val="16"/>
          <w:lang w:eastAsia="es-PE"/>
        </w:rPr>
        <w:t xml:space="preserve">, supra, </w:t>
      </w:r>
      <w:r w:rsidR="00793F68" w:rsidRPr="0072077F">
        <w:rPr>
          <w:sz w:val="16"/>
          <w:szCs w:val="16"/>
          <w:lang w:eastAsia="es-PE"/>
        </w:rPr>
        <w:t>párr.</w:t>
      </w:r>
      <w:r w:rsidR="00793F68">
        <w:rPr>
          <w:rFonts w:cs="Open Sans"/>
          <w:i/>
          <w:iCs/>
          <w:sz w:val="16"/>
          <w:szCs w:val="16"/>
          <w:shd w:val="clear" w:color="auto" w:fill="FFFFFF"/>
        </w:rPr>
        <w:t xml:space="preserve"> </w:t>
      </w:r>
      <w:r w:rsidR="00793F68" w:rsidRPr="0072077F">
        <w:rPr>
          <w:rFonts w:cs="Open Sans"/>
          <w:sz w:val="16"/>
          <w:szCs w:val="16"/>
          <w:shd w:val="clear" w:color="auto" w:fill="FFFFFF"/>
        </w:rPr>
        <w:t>1</w:t>
      </w:r>
      <w:r w:rsidR="00793F68">
        <w:rPr>
          <w:rFonts w:cs="Open Sans"/>
          <w:sz w:val="16"/>
          <w:szCs w:val="16"/>
          <w:shd w:val="clear" w:color="auto" w:fill="FFFFFF"/>
        </w:rPr>
        <w:t>32</w:t>
      </w:r>
      <w:r w:rsidR="00793F68" w:rsidRPr="0072077F">
        <w:rPr>
          <w:rFonts w:cs="Open Sans"/>
          <w:sz w:val="16"/>
          <w:szCs w:val="16"/>
          <w:shd w:val="clear" w:color="auto" w:fill="FFFFFF"/>
        </w:rPr>
        <w:t>.</w:t>
      </w:r>
    </w:p>
  </w:footnote>
  <w:footnote w:id="207">
    <w:p w14:paraId="69AC51C8" w14:textId="7B18DEA9" w:rsidR="00304DC9" w:rsidRPr="00065F63" w:rsidRDefault="00304DC9" w:rsidP="00DF7FF5">
      <w:pPr>
        <w:pStyle w:val="Textonotapie"/>
        <w:spacing w:before="40" w:after="40"/>
        <w:rPr>
          <w:sz w:val="16"/>
          <w:szCs w:val="16"/>
          <w:lang w:val="es-ES"/>
        </w:rPr>
      </w:pPr>
      <w:r w:rsidRPr="00065F63">
        <w:rPr>
          <w:rStyle w:val="Refdenotaalpie"/>
          <w:sz w:val="16"/>
          <w:szCs w:val="16"/>
        </w:rPr>
        <w:footnoteRef/>
      </w:r>
      <w:r w:rsidRPr="00065F63">
        <w:rPr>
          <w:sz w:val="16"/>
          <w:szCs w:val="16"/>
        </w:rPr>
        <w:t xml:space="preserve"> </w:t>
      </w:r>
      <w:r w:rsidRPr="00065F63">
        <w:rPr>
          <w:sz w:val="16"/>
          <w:szCs w:val="16"/>
        </w:rPr>
        <w:tab/>
      </w:r>
      <w:r w:rsidR="00793F68" w:rsidRPr="00065F63">
        <w:rPr>
          <w:i/>
          <w:iCs/>
          <w:sz w:val="16"/>
          <w:szCs w:val="16"/>
        </w:rPr>
        <w:t>Cfr. Caso de la Masacre de Las Dos Erres Vs. Guatemala. Excepción Preliminar, Fondo, Reparaciones y Costa</w:t>
      </w:r>
      <w:r w:rsidR="00793F68" w:rsidRPr="00065F63">
        <w:rPr>
          <w:sz w:val="16"/>
          <w:szCs w:val="16"/>
        </w:rPr>
        <w:t>s,</w:t>
      </w:r>
      <w:r w:rsidR="00793F68">
        <w:rPr>
          <w:sz w:val="16"/>
          <w:szCs w:val="16"/>
        </w:rPr>
        <w:t xml:space="preserve"> Serie C No. 211,</w:t>
      </w:r>
      <w:r w:rsidR="00793F68" w:rsidRPr="00065F63">
        <w:rPr>
          <w:sz w:val="16"/>
          <w:szCs w:val="16"/>
        </w:rPr>
        <w:t xml:space="preserve"> párr. 270, y </w:t>
      </w:r>
      <w:r w:rsidR="00793F68" w:rsidRPr="0072077F">
        <w:rPr>
          <w:i/>
          <w:iCs/>
          <w:sz w:val="16"/>
          <w:szCs w:val="16"/>
          <w:lang w:eastAsia="es-PE"/>
        </w:rPr>
        <w:t>Caso Aroca Palma y otro Vs. Ecuador</w:t>
      </w:r>
      <w:r w:rsidR="00793F68">
        <w:rPr>
          <w:i/>
          <w:iCs/>
          <w:sz w:val="16"/>
          <w:szCs w:val="16"/>
          <w:lang w:eastAsia="es-PE"/>
        </w:rPr>
        <w:t xml:space="preserve">, supra, </w:t>
      </w:r>
      <w:r w:rsidR="00793F68" w:rsidRPr="0072077F">
        <w:rPr>
          <w:sz w:val="16"/>
          <w:szCs w:val="16"/>
          <w:lang w:eastAsia="es-PE"/>
        </w:rPr>
        <w:t>párr.</w:t>
      </w:r>
      <w:r w:rsidR="00793F68">
        <w:rPr>
          <w:rFonts w:cs="Open Sans"/>
          <w:i/>
          <w:iCs/>
          <w:sz w:val="16"/>
          <w:szCs w:val="16"/>
          <w:shd w:val="clear" w:color="auto" w:fill="FFFFFF"/>
        </w:rPr>
        <w:t xml:space="preserve"> </w:t>
      </w:r>
      <w:r w:rsidR="00793F68" w:rsidRPr="0072077F">
        <w:rPr>
          <w:rFonts w:cs="Open Sans"/>
          <w:sz w:val="16"/>
          <w:szCs w:val="16"/>
          <w:shd w:val="clear" w:color="auto" w:fill="FFFFFF"/>
        </w:rPr>
        <w:t>1</w:t>
      </w:r>
      <w:r w:rsidR="00793F68">
        <w:rPr>
          <w:rFonts w:cs="Open Sans"/>
          <w:sz w:val="16"/>
          <w:szCs w:val="16"/>
          <w:shd w:val="clear" w:color="auto" w:fill="FFFFFF"/>
        </w:rPr>
        <w:t>32</w:t>
      </w:r>
      <w:r w:rsidR="00793F68" w:rsidRPr="0072077F">
        <w:rPr>
          <w:rFonts w:cs="Open Sans"/>
          <w:sz w:val="16"/>
          <w:szCs w:val="16"/>
          <w:shd w:val="clear" w:color="auto" w:fill="FFFFFF"/>
        </w:rPr>
        <w:t>.</w:t>
      </w:r>
    </w:p>
  </w:footnote>
  <w:footnote w:id="208">
    <w:p w14:paraId="540339C6" w14:textId="247E57C5" w:rsidR="00872F37" w:rsidRPr="00793F68" w:rsidRDefault="00872F37" w:rsidP="00793F68">
      <w:pPr>
        <w:pStyle w:val="Textonotapie"/>
        <w:spacing w:before="20" w:after="20"/>
        <w:rPr>
          <w:i/>
          <w:iCs/>
          <w:sz w:val="16"/>
          <w:szCs w:val="16"/>
          <w:lang w:eastAsia="es-PE"/>
        </w:rPr>
      </w:pPr>
      <w:r w:rsidRPr="00065F63">
        <w:rPr>
          <w:rStyle w:val="Refdenotaalpie"/>
          <w:rFonts w:eastAsia="MS Mincho"/>
          <w:sz w:val="16"/>
          <w:szCs w:val="16"/>
        </w:rPr>
        <w:footnoteRef/>
      </w:r>
      <w:r w:rsidRPr="00065F63">
        <w:rPr>
          <w:sz w:val="16"/>
          <w:szCs w:val="16"/>
        </w:rPr>
        <w:t xml:space="preserve"> </w:t>
      </w:r>
      <w:r w:rsidRPr="00065F63">
        <w:rPr>
          <w:sz w:val="16"/>
          <w:szCs w:val="16"/>
        </w:rPr>
        <w:tab/>
      </w:r>
      <w:r w:rsidR="00793F68" w:rsidRPr="00065F63">
        <w:rPr>
          <w:i/>
          <w:sz w:val="16"/>
          <w:szCs w:val="16"/>
        </w:rPr>
        <w:t xml:space="preserve">Cfr. </w:t>
      </w:r>
      <w:r w:rsidR="00793F68" w:rsidRPr="00C13F67">
        <w:rPr>
          <w:i/>
          <w:sz w:val="16"/>
          <w:szCs w:val="16"/>
        </w:rPr>
        <w:t xml:space="preserve">Caso Cantoral Benavides Vs. Perú. Reparaciones y Costas. </w:t>
      </w:r>
      <w:r w:rsidR="00793F68" w:rsidRPr="00B100C9">
        <w:rPr>
          <w:iCs/>
          <w:sz w:val="16"/>
          <w:szCs w:val="16"/>
        </w:rPr>
        <w:t>Sentencia de 3 de diciembre de 2001. Serie C No. 88</w:t>
      </w:r>
      <w:r w:rsidR="00793F68" w:rsidRPr="00065F63">
        <w:rPr>
          <w:iCs/>
          <w:sz w:val="16"/>
          <w:szCs w:val="16"/>
        </w:rPr>
        <w:t xml:space="preserve">, párr. </w:t>
      </w:r>
      <w:r w:rsidR="00793F68">
        <w:rPr>
          <w:iCs/>
          <w:sz w:val="16"/>
          <w:szCs w:val="16"/>
        </w:rPr>
        <w:t>79</w:t>
      </w:r>
      <w:r w:rsidR="00793F68" w:rsidRPr="00065F63">
        <w:rPr>
          <w:iCs/>
          <w:sz w:val="16"/>
          <w:szCs w:val="16"/>
        </w:rPr>
        <w:t>,</w:t>
      </w:r>
      <w:r w:rsidR="00793F68" w:rsidRPr="00065F63">
        <w:rPr>
          <w:sz w:val="16"/>
          <w:szCs w:val="16"/>
        </w:rPr>
        <w:t xml:space="preserve"> y </w:t>
      </w:r>
      <w:r w:rsidR="00793F68" w:rsidRPr="00C13F67">
        <w:rPr>
          <w:rFonts w:cs="Open Sans"/>
          <w:i/>
          <w:iCs/>
          <w:sz w:val="16"/>
          <w:szCs w:val="16"/>
          <w:shd w:val="clear" w:color="auto" w:fill="FFFFFF"/>
        </w:rPr>
        <w:t>Caso Nissen Pessolani Vs. Paraguay</w:t>
      </w:r>
      <w:r w:rsidR="00793F68" w:rsidRPr="00065F63">
        <w:rPr>
          <w:rFonts w:cs="Open Sans"/>
          <w:i/>
          <w:iCs/>
          <w:sz w:val="16"/>
          <w:szCs w:val="16"/>
          <w:shd w:val="clear" w:color="auto" w:fill="FFFFFF"/>
        </w:rPr>
        <w:t>, supra</w:t>
      </w:r>
      <w:r w:rsidR="00793F68" w:rsidRPr="00065F63">
        <w:rPr>
          <w:sz w:val="16"/>
          <w:szCs w:val="16"/>
          <w:lang w:eastAsia="es-PE"/>
        </w:rPr>
        <w:t>,</w:t>
      </w:r>
      <w:r w:rsidR="00793F68" w:rsidRPr="00065F63">
        <w:rPr>
          <w:i/>
          <w:sz w:val="16"/>
          <w:szCs w:val="16"/>
          <w:lang w:eastAsia="es-PE"/>
        </w:rPr>
        <w:t xml:space="preserve"> </w:t>
      </w:r>
      <w:r w:rsidR="00793F68" w:rsidRPr="00065F63">
        <w:rPr>
          <w:sz w:val="16"/>
          <w:szCs w:val="16"/>
          <w:lang w:eastAsia="es-PE"/>
        </w:rPr>
        <w:t>párr. 1</w:t>
      </w:r>
      <w:r w:rsidR="00793F68">
        <w:rPr>
          <w:sz w:val="16"/>
          <w:szCs w:val="16"/>
          <w:lang w:eastAsia="es-PE"/>
        </w:rPr>
        <w:t>15</w:t>
      </w:r>
      <w:r w:rsidR="00793F68" w:rsidRPr="00065F63">
        <w:rPr>
          <w:sz w:val="16"/>
          <w:szCs w:val="16"/>
          <w:lang w:eastAsia="es-PE"/>
        </w:rPr>
        <w:t>.</w:t>
      </w:r>
    </w:p>
  </w:footnote>
  <w:footnote w:id="209">
    <w:p w14:paraId="462FDC16" w14:textId="61A0494C" w:rsidR="004968B9" w:rsidRPr="00065F63" w:rsidRDefault="004968B9"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Tales como: a) Manual de Derechos Humanos Aplicados a la Función Policial de fecha 18 de agosto de 2018, emitido por el Ministerio del Interior; b) Libro publicado por </w:t>
      </w:r>
      <w:r w:rsidR="003337B8" w:rsidRPr="00065F63">
        <w:rPr>
          <w:sz w:val="16"/>
          <w:szCs w:val="16"/>
        </w:rPr>
        <w:t>Indecopi</w:t>
      </w:r>
      <w:r w:rsidRPr="00065F63">
        <w:rPr>
          <w:sz w:val="16"/>
          <w:szCs w:val="16"/>
        </w:rPr>
        <w:t xml:space="preserve"> denominado “Una Mirada Global a la Discriminación en el Consumo. Jurisprudencia del Indecopi”, publicado con el 9 de marzo de 2020; c) Documento denominado “Diagnóstico sobre los estereotipos de género en el consumo y la publicidad en el Perú”, de 9 de diciembre de 2020, elaborado por el </w:t>
      </w:r>
      <w:r w:rsidR="003337B8" w:rsidRPr="00065F63">
        <w:rPr>
          <w:sz w:val="16"/>
          <w:szCs w:val="16"/>
        </w:rPr>
        <w:t>Indecopi</w:t>
      </w:r>
      <w:r w:rsidRPr="00065F63">
        <w:rPr>
          <w:sz w:val="16"/>
          <w:szCs w:val="16"/>
        </w:rPr>
        <w:t>, en su calidad de Autoridad Nacional de Protección del Consumidor, en alianza estratégica con el Programa de Naciones Unidas para el Desarrollo (PNUD) y el Ministerio de la Mujer y Poblaciones Vulnerables (MIMP); d) Ocho módulos correspondientes al programa de formación “Atención y protección a las víctimas de violencia basada en género en el marco de la Ley N</w:t>
      </w:r>
      <w:r w:rsidR="004E3922" w:rsidRPr="00065F63">
        <w:rPr>
          <w:sz w:val="16"/>
          <w:szCs w:val="16"/>
        </w:rPr>
        <w:t>.</w:t>
      </w:r>
      <w:r w:rsidRPr="00065F63">
        <w:rPr>
          <w:sz w:val="16"/>
          <w:szCs w:val="16"/>
        </w:rPr>
        <w:t>° 30364 y normas conexas”, elaborada por la Escuela Nacional de Administración Pública (ENAP) de SERVIR y el MIMP, y e) Módulo denominado “Marco Jurídico del Derecho a la Vida libre de violencia y discriminación de las personas LGBTI”, elaborado por el Ministerio Público para la capacitación de su personal.</w:t>
      </w:r>
    </w:p>
  </w:footnote>
  <w:footnote w:id="210">
    <w:p w14:paraId="5031D80C" w14:textId="3EB5B561" w:rsidR="00A57425" w:rsidRPr="00065F63" w:rsidRDefault="00A57425"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00635C11" w:rsidRPr="00065F63">
        <w:rPr>
          <w:i/>
          <w:iCs/>
          <w:sz w:val="16"/>
          <w:szCs w:val="16"/>
        </w:rPr>
        <w:t>Cfr. Caso Azul Rojas Marín y otra Vs. Perú</w:t>
      </w:r>
      <w:r w:rsidR="00635C11">
        <w:rPr>
          <w:i/>
          <w:iCs/>
          <w:sz w:val="16"/>
          <w:szCs w:val="16"/>
        </w:rPr>
        <w:t>, supra</w:t>
      </w:r>
      <w:r w:rsidR="00635C11" w:rsidRPr="00065F63">
        <w:rPr>
          <w:sz w:val="16"/>
          <w:szCs w:val="16"/>
        </w:rPr>
        <w:t>, párr. 248.</w:t>
      </w:r>
    </w:p>
  </w:footnote>
  <w:footnote w:id="211">
    <w:p w14:paraId="7CA651EE" w14:textId="77777777" w:rsidR="007469C6" w:rsidRPr="00065F63" w:rsidRDefault="007469C6"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t xml:space="preserve">A este respecto, el Tribunal identifica como una buena práctica el “Protocolo para juzgar con perspectiva de orientación sexual, identidad y expresión de género, y características sexuales”, elaborado por la Suprema Corte de Justicia de la Nación de México. </w:t>
      </w:r>
    </w:p>
  </w:footnote>
  <w:footnote w:id="212">
    <w:p w14:paraId="212DF6A4" w14:textId="2B383B84" w:rsidR="00A2377B" w:rsidRPr="00D044D6" w:rsidRDefault="00A2377B" w:rsidP="00DF7FF5">
      <w:pPr>
        <w:pStyle w:val="Textonotapie"/>
        <w:spacing w:before="40" w:after="40"/>
        <w:rPr>
          <w:sz w:val="16"/>
          <w:szCs w:val="16"/>
          <w:lang w:val="pt-BR"/>
        </w:rPr>
      </w:pPr>
      <w:r w:rsidRPr="00065F63">
        <w:rPr>
          <w:rStyle w:val="Refdenotaalpie"/>
          <w:sz w:val="16"/>
          <w:szCs w:val="16"/>
        </w:rPr>
        <w:footnoteRef/>
      </w:r>
      <w:r w:rsidRPr="00065F63">
        <w:rPr>
          <w:sz w:val="16"/>
          <w:szCs w:val="16"/>
        </w:rPr>
        <w:t xml:space="preserve"> </w:t>
      </w:r>
      <w:r w:rsidRPr="00065F63">
        <w:rPr>
          <w:sz w:val="16"/>
          <w:szCs w:val="16"/>
        </w:rPr>
        <w:tab/>
      </w:r>
      <w:r w:rsidRPr="00065F63">
        <w:rPr>
          <w:i/>
          <w:iCs/>
          <w:sz w:val="16"/>
          <w:szCs w:val="16"/>
        </w:rPr>
        <w:t xml:space="preserve">Cfr. Caso Azul Rojas Marín y otra Vs. </w:t>
      </w:r>
      <w:r w:rsidRPr="00D044D6">
        <w:rPr>
          <w:i/>
          <w:iCs/>
          <w:sz w:val="16"/>
          <w:szCs w:val="16"/>
          <w:lang w:val="pt-BR"/>
        </w:rPr>
        <w:t>Perú, supra</w:t>
      </w:r>
      <w:r w:rsidRPr="00D044D6">
        <w:rPr>
          <w:sz w:val="16"/>
          <w:szCs w:val="16"/>
          <w:lang w:val="pt-BR"/>
        </w:rPr>
        <w:t>, párr. 252.</w:t>
      </w:r>
    </w:p>
  </w:footnote>
  <w:footnote w:id="213">
    <w:p w14:paraId="36BC861E" w14:textId="77777777" w:rsidR="00635C11" w:rsidRPr="00F232F6" w:rsidRDefault="00635C11" w:rsidP="00635C11">
      <w:pPr>
        <w:pStyle w:val="Textonotapie"/>
        <w:spacing w:before="40" w:after="40"/>
        <w:rPr>
          <w:bCs/>
          <w:i/>
          <w:iCs/>
          <w:sz w:val="16"/>
          <w:szCs w:val="16"/>
          <w:lang w:val="es-MX"/>
        </w:rPr>
      </w:pPr>
      <w:r w:rsidRPr="00065F63">
        <w:rPr>
          <w:rStyle w:val="Refdenotaalpie"/>
          <w:sz w:val="16"/>
          <w:szCs w:val="16"/>
        </w:rPr>
        <w:footnoteRef/>
      </w:r>
      <w:r w:rsidRPr="00F232F6">
        <w:rPr>
          <w:sz w:val="16"/>
          <w:szCs w:val="16"/>
          <w:lang w:val="pt-BR"/>
        </w:rPr>
        <w:t xml:space="preserve"> </w:t>
      </w:r>
      <w:r w:rsidRPr="00F232F6">
        <w:rPr>
          <w:sz w:val="16"/>
          <w:szCs w:val="16"/>
          <w:lang w:val="pt-BR"/>
        </w:rPr>
        <w:tab/>
      </w:r>
      <w:r w:rsidRPr="00F232F6">
        <w:rPr>
          <w:i/>
          <w:iCs/>
          <w:sz w:val="16"/>
          <w:szCs w:val="16"/>
          <w:lang w:val="pt-BR"/>
        </w:rPr>
        <w:t xml:space="preserve">Cfr. Caso Sales Pimenta Vs. </w:t>
      </w:r>
      <w:r w:rsidRPr="00635C11">
        <w:rPr>
          <w:i/>
          <w:iCs/>
          <w:sz w:val="16"/>
          <w:szCs w:val="16"/>
          <w:lang w:val="pt-BR"/>
        </w:rPr>
        <w:t>Brasil, supra</w:t>
      </w:r>
      <w:r w:rsidRPr="00635C11">
        <w:rPr>
          <w:sz w:val="16"/>
          <w:szCs w:val="16"/>
          <w:lang w:val="pt-BR"/>
        </w:rPr>
        <w:t xml:space="preserve">, párr. 165 y </w:t>
      </w:r>
      <w:r w:rsidRPr="00635C11">
        <w:rPr>
          <w:i/>
          <w:iCs/>
          <w:sz w:val="16"/>
          <w:szCs w:val="16"/>
          <w:lang w:val="pt-BR"/>
        </w:rPr>
        <w:t>Caso Nissen Pessolani Vs. Paraguay, supra,</w:t>
      </w:r>
      <w:r w:rsidRPr="00635C11">
        <w:rPr>
          <w:sz w:val="16"/>
          <w:szCs w:val="16"/>
          <w:lang w:val="pt-BR"/>
        </w:rPr>
        <w:t xml:space="preserve"> párr. </w:t>
      </w:r>
      <w:r w:rsidRPr="00F232F6">
        <w:rPr>
          <w:sz w:val="16"/>
          <w:szCs w:val="16"/>
          <w:lang w:val="es-MX"/>
        </w:rPr>
        <w:t>128.</w:t>
      </w:r>
    </w:p>
  </w:footnote>
  <w:footnote w:id="214">
    <w:p w14:paraId="4C2D13DD" w14:textId="029DF8EC" w:rsidR="007312D4" w:rsidRPr="00065F63" w:rsidRDefault="007312D4" w:rsidP="00DF7FF5">
      <w:pPr>
        <w:pStyle w:val="Textonotapie"/>
        <w:spacing w:before="40" w:after="40"/>
        <w:rPr>
          <w:sz w:val="16"/>
          <w:szCs w:val="16"/>
        </w:rPr>
      </w:pPr>
      <w:r w:rsidRPr="00065F63">
        <w:rPr>
          <w:rStyle w:val="Refdenotaalpie"/>
          <w:rFonts w:eastAsia="Calibri"/>
          <w:sz w:val="16"/>
          <w:szCs w:val="16"/>
        </w:rPr>
        <w:footnoteRef/>
      </w:r>
      <w:r w:rsidRPr="00065F63">
        <w:rPr>
          <w:sz w:val="16"/>
          <w:szCs w:val="16"/>
        </w:rPr>
        <w:t xml:space="preserve"> </w:t>
      </w:r>
      <w:r w:rsidRPr="00065F63">
        <w:rPr>
          <w:sz w:val="16"/>
          <w:szCs w:val="16"/>
        </w:rPr>
        <w:tab/>
      </w:r>
      <w:r w:rsidR="00635C11" w:rsidRPr="00065F63">
        <w:rPr>
          <w:i/>
          <w:sz w:val="16"/>
          <w:szCs w:val="16"/>
        </w:rPr>
        <w:t>Cfr. Caso de los “Niños de la Calle” (Villagrán Morales y otros) Vs. Guatemala</w:t>
      </w:r>
      <w:r w:rsidR="00635C11" w:rsidRPr="00065F63">
        <w:rPr>
          <w:sz w:val="16"/>
          <w:szCs w:val="16"/>
        </w:rPr>
        <w:t xml:space="preserve">. </w:t>
      </w:r>
      <w:r w:rsidR="00635C11" w:rsidRPr="00065F63">
        <w:rPr>
          <w:i/>
          <w:sz w:val="16"/>
          <w:szCs w:val="16"/>
        </w:rPr>
        <w:t xml:space="preserve">Reparaciones y Costas, supra, </w:t>
      </w:r>
      <w:r w:rsidR="00635C11" w:rsidRPr="00065F63">
        <w:rPr>
          <w:sz w:val="16"/>
          <w:szCs w:val="16"/>
        </w:rPr>
        <w:t xml:space="preserve">párr. 84, y </w:t>
      </w:r>
      <w:r w:rsidR="00635C11" w:rsidRPr="00983C02">
        <w:rPr>
          <w:rStyle w:val="Textoennegrita"/>
          <w:b w:val="0"/>
          <w:bCs w:val="0"/>
          <w:i/>
          <w:iCs/>
          <w:sz w:val="16"/>
          <w:szCs w:val="16"/>
          <w:shd w:val="clear" w:color="auto" w:fill="FFFFFF"/>
        </w:rPr>
        <w:t xml:space="preserve">Caso Dial y otro Vs. Trinidad y Tobago. Fondo y Reparaciones. </w:t>
      </w:r>
      <w:r w:rsidR="00635C11" w:rsidRPr="00B100C9">
        <w:rPr>
          <w:rStyle w:val="Textoennegrita"/>
          <w:b w:val="0"/>
          <w:bCs w:val="0"/>
          <w:sz w:val="16"/>
          <w:szCs w:val="16"/>
          <w:shd w:val="clear" w:color="auto" w:fill="FFFFFF"/>
        </w:rPr>
        <w:t>Sentencia de 21 de noviembre de 2022. Serie C No. 476</w:t>
      </w:r>
      <w:r w:rsidR="00635C11" w:rsidRPr="00065F63">
        <w:rPr>
          <w:rStyle w:val="Textoennegrita"/>
          <w:b w:val="0"/>
          <w:bCs w:val="0"/>
          <w:sz w:val="16"/>
          <w:szCs w:val="16"/>
          <w:shd w:val="clear" w:color="auto" w:fill="FFFFFF"/>
        </w:rPr>
        <w:t xml:space="preserve">, párr. </w:t>
      </w:r>
      <w:r w:rsidR="00635C11">
        <w:rPr>
          <w:rStyle w:val="Textoennegrita"/>
          <w:b w:val="0"/>
          <w:bCs w:val="0"/>
          <w:sz w:val="16"/>
          <w:szCs w:val="16"/>
          <w:shd w:val="clear" w:color="auto" w:fill="FFFFFF"/>
        </w:rPr>
        <w:t>99</w:t>
      </w:r>
      <w:r w:rsidR="00635C11" w:rsidRPr="00635C11">
        <w:rPr>
          <w:rStyle w:val="Textoennegrita"/>
          <w:b w:val="0"/>
          <w:bCs w:val="0"/>
          <w:sz w:val="16"/>
          <w:szCs w:val="16"/>
          <w:shd w:val="clear" w:color="auto" w:fill="FFFFFF"/>
        </w:rPr>
        <w:t>.</w:t>
      </w:r>
    </w:p>
  </w:footnote>
  <w:footnote w:id="215">
    <w:p w14:paraId="4DE63D8F" w14:textId="511F353F" w:rsidR="00124848" w:rsidRPr="00065F63" w:rsidRDefault="00124848" w:rsidP="00DF7FF5">
      <w:pPr>
        <w:widowControl/>
        <w:adjustRightInd/>
        <w:spacing w:before="40" w:after="40" w:line="240" w:lineRule="auto"/>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Declaración de Crissthian Manuel Olivera Fuentes rendida en la audiencia pública celebrada el 24 de agosto de 2022 en el marco del 1</w:t>
      </w:r>
      <w:r w:rsidR="00635C11" w:rsidRPr="00065F63">
        <w:rPr>
          <w:rFonts w:cs="Calibri"/>
          <w:color w:val="000000"/>
          <w:sz w:val="16"/>
          <w:szCs w:val="16"/>
        </w:rPr>
        <w:t>50</w:t>
      </w:r>
      <w:r w:rsidR="00635C11" w:rsidRPr="00F232F6">
        <w:rPr>
          <w:rFonts w:cs="Calibri"/>
          <w:color w:val="000000"/>
          <w:sz w:val="16"/>
          <w:szCs w:val="16"/>
          <w:vertAlign w:val="superscript"/>
        </w:rPr>
        <w:t>o</w:t>
      </w:r>
      <w:r w:rsidRPr="00065F63">
        <w:rPr>
          <w:rFonts w:cs="Calibri"/>
          <w:color w:val="000000"/>
          <w:sz w:val="16"/>
          <w:szCs w:val="16"/>
        </w:rPr>
        <w:t xml:space="preserve"> Período Ordinario de Sesiones.</w:t>
      </w:r>
    </w:p>
  </w:footnote>
  <w:footnote w:id="216">
    <w:p w14:paraId="5284D67B" w14:textId="567F2DF4" w:rsidR="00A7610D" w:rsidRPr="00065F63" w:rsidRDefault="00A7610D" w:rsidP="00DF7FF5">
      <w:pPr>
        <w:pStyle w:val="Textonotapie"/>
        <w:spacing w:before="40" w:after="40"/>
        <w:rPr>
          <w:sz w:val="16"/>
          <w:szCs w:val="16"/>
        </w:rPr>
      </w:pPr>
      <w:r w:rsidRPr="00065F63">
        <w:rPr>
          <w:rStyle w:val="Refdenotaalpie"/>
          <w:sz w:val="16"/>
          <w:szCs w:val="16"/>
        </w:rPr>
        <w:footnoteRef/>
      </w:r>
      <w:r w:rsidRPr="00065F63">
        <w:rPr>
          <w:sz w:val="16"/>
          <w:szCs w:val="16"/>
        </w:rPr>
        <w:t xml:space="preserve"> </w:t>
      </w:r>
      <w:r w:rsidRPr="00065F63">
        <w:rPr>
          <w:sz w:val="16"/>
          <w:szCs w:val="16"/>
        </w:rPr>
        <w:tab/>
      </w:r>
      <w:r w:rsidRPr="00065F63">
        <w:rPr>
          <w:rFonts w:cs="Calibri"/>
          <w:i/>
          <w:iCs/>
          <w:color w:val="000000"/>
          <w:sz w:val="16"/>
          <w:szCs w:val="16"/>
        </w:rPr>
        <w:t>Cfr</w:t>
      </w:r>
      <w:r w:rsidRPr="00065F63">
        <w:rPr>
          <w:rFonts w:cs="Calibri"/>
          <w:color w:val="000000"/>
          <w:sz w:val="16"/>
          <w:szCs w:val="16"/>
        </w:rPr>
        <w:t>. Declaración de Crissthian Manuel Olivera Fuentes rendida en la audiencia pública celebrada el 24 de agosto de 2022 en el marco del 1</w:t>
      </w:r>
      <w:r w:rsidR="00635C11" w:rsidRPr="00065F63">
        <w:rPr>
          <w:rFonts w:cs="Calibri"/>
          <w:color w:val="000000"/>
          <w:sz w:val="16"/>
          <w:szCs w:val="16"/>
        </w:rPr>
        <w:t>50</w:t>
      </w:r>
      <w:r w:rsidR="00635C11" w:rsidRPr="00F232F6">
        <w:rPr>
          <w:rFonts w:cs="Calibri"/>
          <w:color w:val="000000"/>
          <w:sz w:val="16"/>
          <w:szCs w:val="16"/>
          <w:vertAlign w:val="superscript"/>
        </w:rPr>
        <w:t>o</w:t>
      </w:r>
      <w:r w:rsidRPr="00065F63">
        <w:rPr>
          <w:rFonts w:cs="Calibri"/>
          <w:color w:val="000000"/>
          <w:sz w:val="16"/>
          <w:szCs w:val="16"/>
        </w:rPr>
        <w:t xml:space="preserve"> Período Ordinario de Sesiones.</w:t>
      </w:r>
    </w:p>
  </w:footnote>
  <w:footnote w:id="217">
    <w:p w14:paraId="4E6EF6C2" w14:textId="0E4A7AD4" w:rsidR="007312D4" w:rsidRPr="00065F63" w:rsidRDefault="007312D4" w:rsidP="00DF7FF5">
      <w:pPr>
        <w:pStyle w:val="Textonotapie"/>
        <w:tabs>
          <w:tab w:val="left" w:pos="426"/>
        </w:tabs>
        <w:spacing w:before="40" w:after="40"/>
        <w:rPr>
          <w:sz w:val="16"/>
          <w:szCs w:val="16"/>
          <w:lang w:val="es-ES"/>
        </w:rPr>
      </w:pPr>
      <w:r w:rsidRPr="00065F63">
        <w:rPr>
          <w:rStyle w:val="Refdenotaalpie"/>
          <w:rFonts w:eastAsia="MS Mincho"/>
          <w:sz w:val="16"/>
          <w:szCs w:val="16"/>
          <w:lang w:val="es-ES"/>
        </w:rPr>
        <w:footnoteRef/>
      </w:r>
      <w:r w:rsidRPr="00065F63">
        <w:rPr>
          <w:sz w:val="16"/>
          <w:szCs w:val="16"/>
          <w:lang w:val="es-ES"/>
        </w:rPr>
        <w:t xml:space="preserve"> </w:t>
      </w:r>
      <w:r w:rsidRPr="00065F63">
        <w:rPr>
          <w:sz w:val="16"/>
          <w:szCs w:val="16"/>
          <w:lang w:val="es-ES"/>
        </w:rPr>
        <w:tab/>
      </w:r>
      <w:r w:rsidRPr="00065F63">
        <w:rPr>
          <w:sz w:val="16"/>
          <w:szCs w:val="16"/>
          <w:lang w:val="es-ES"/>
        </w:rPr>
        <w:tab/>
      </w:r>
      <w:r w:rsidR="00635C11" w:rsidRPr="00065F63">
        <w:rPr>
          <w:i/>
          <w:sz w:val="16"/>
          <w:szCs w:val="16"/>
          <w:lang w:val="es-ES"/>
        </w:rPr>
        <w:t xml:space="preserve">Cfr. Caso Garrido y Baigorria Vs. Argentina. Reparaciones y Costas. </w:t>
      </w:r>
      <w:r w:rsidR="00635C11" w:rsidRPr="00065F63">
        <w:rPr>
          <w:iCs/>
          <w:sz w:val="16"/>
          <w:szCs w:val="16"/>
          <w:lang w:val="es-ES"/>
        </w:rPr>
        <w:t xml:space="preserve">Sentencia de 27 de agosto de 1998. Serie C No. 39, párr. 82, y </w:t>
      </w:r>
      <w:r w:rsidR="00635C11" w:rsidRPr="00000176">
        <w:rPr>
          <w:i/>
          <w:sz w:val="16"/>
          <w:szCs w:val="16"/>
          <w:lang w:val="es-ES"/>
        </w:rPr>
        <w:t>Caso Nissen Pessolani Vs. Paraguay</w:t>
      </w:r>
      <w:r w:rsidR="00635C11" w:rsidRPr="00065F63">
        <w:rPr>
          <w:i/>
          <w:sz w:val="16"/>
          <w:szCs w:val="16"/>
          <w:lang w:val="es-ES"/>
        </w:rPr>
        <w:t xml:space="preserve">, supra, </w:t>
      </w:r>
      <w:r w:rsidR="00635C11" w:rsidRPr="00065F63">
        <w:rPr>
          <w:iCs/>
          <w:sz w:val="16"/>
          <w:szCs w:val="16"/>
          <w:lang w:val="es-ES"/>
        </w:rPr>
        <w:t xml:space="preserve">párr. </w:t>
      </w:r>
      <w:r w:rsidR="00635C11">
        <w:rPr>
          <w:iCs/>
          <w:sz w:val="16"/>
          <w:szCs w:val="16"/>
          <w:lang w:val="es-ES"/>
        </w:rPr>
        <w:t>133</w:t>
      </w:r>
      <w:r w:rsidR="00635C11" w:rsidRPr="00065F63">
        <w:rPr>
          <w:bCs/>
          <w:iCs/>
          <w:sz w:val="16"/>
          <w:szCs w:val="16"/>
        </w:rPr>
        <w:t>.</w:t>
      </w:r>
    </w:p>
  </w:footnote>
  <w:footnote w:id="218">
    <w:p w14:paraId="11FD46DF" w14:textId="25EFD5C8" w:rsidR="007312D4" w:rsidRPr="00065F63" w:rsidRDefault="007312D4" w:rsidP="00DF7FF5">
      <w:pPr>
        <w:pStyle w:val="Textonotapie"/>
        <w:tabs>
          <w:tab w:val="left" w:pos="426"/>
        </w:tabs>
        <w:spacing w:before="40" w:after="40"/>
        <w:rPr>
          <w:bCs/>
          <w:iCs/>
          <w:sz w:val="16"/>
          <w:szCs w:val="16"/>
        </w:rPr>
      </w:pPr>
      <w:r w:rsidRPr="00065F63">
        <w:rPr>
          <w:rStyle w:val="Refdenotaalpie"/>
          <w:rFonts w:eastAsia="MS Mincho"/>
          <w:sz w:val="16"/>
          <w:szCs w:val="16"/>
          <w:lang w:val="es-ES"/>
        </w:rPr>
        <w:footnoteRef/>
      </w:r>
      <w:r w:rsidRPr="00065F63">
        <w:rPr>
          <w:sz w:val="16"/>
          <w:szCs w:val="16"/>
          <w:lang w:val="es-ES"/>
        </w:rPr>
        <w:t xml:space="preserve"> </w:t>
      </w:r>
      <w:r w:rsidRPr="00065F63">
        <w:rPr>
          <w:sz w:val="16"/>
          <w:szCs w:val="16"/>
          <w:lang w:val="es-ES"/>
        </w:rPr>
        <w:tab/>
      </w:r>
      <w:r w:rsidRPr="00065F63">
        <w:rPr>
          <w:sz w:val="16"/>
          <w:szCs w:val="16"/>
          <w:lang w:val="es-ES"/>
        </w:rPr>
        <w:tab/>
      </w:r>
      <w:r w:rsidRPr="00065F63">
        <w:rPr>
          <w:i/>
          <w:sz w:val="16"/>
          <w:szCs w:val="16"/>
          <w:lang w:val="es-ES"/>
        </w:rPr>
        <w:t>Cfr</w:t>
      </w:r>
      <w:r w:rsidR="00635C11">
        <w:rPr>
          <w:i/>
          <w:sz w:val="16"/>
          <w:szCs w:val="16"/>
          <w:lang w:val="es-ES"/>
        </w:rPr>
        <w:t xml:space="preserve">. </w:t>
      </w:r>
      <w:r w:rsidR="00635C11" w:rsidRPr="00065F63">
        <w:rPr>
          <w:i/>
          <w:sz w:val="16"/>
          <w:szCs w:val="16"/>
          <w:lang w:val="es-ES"/>
        </w:rPr>
        <w:t xml:space="preserve">Caso Garrido y Baigorria Vs. Argentina, supra, </w:t>
      </w:r>
      <w:r w:rsidR="00635C11" w:rsidRPr="00065F63">
        <w:rPr>
          <w:iCs/>
          <w:sz w:val="16"/>
          <w:szCs w:val="16"/>
          <w:lang w:val="es-ES"/>
        </w:rPr>
        <w:t>párr. 82, y</w:t>
      </w:r>
      <w:r w:rsidR="00635C11" w:rsidRPr="00065F63">
        <w:rPr>
          <w:i/>
          <w:sz w:val="16"/>
          <w:szCs w:val="16"/>
          <w:lang w:val="es-ES"/>
        </w:rPr>
        <w:t xml:space="preserve"> </w:t>
      </w:r>
      <w:r w:rsidR="00635C11" w:rsidRPr="00561FB0">
        <w:rPr>
          <w:i/>
          <w:sz w:val="16"/>
          <w:szCs w:val="16"/>
          <w:lang w:val="es-ES"/>
        </w:rPr>
        <w:t xml:space="preserve">Caso Nissen Pessolani Vs. Paraguay, supra, </w:t>
      </w:r>
      <w:r w:rsidR="00635C11" w:rsidRPr="00F232F6">
        <w:rPr>
          <w:sz w:val="16"/>
          <w:szCs w:val="16"/>
          <w:lang w:val="es-ES"/>
        </w:rPr>
        <w:t>párr. 133</w:t>
      </w:r>
      <w:r w:rsidR="00635C11" w:rsidRPr="00F232F6">
        <w:rPr>
          <w:bCs/>
          <w:sz w:val="16"/>
          <w:szCs w:val="16"/>
          <w:lang w:val="es-MX"/>
        </w:rPr>
        <w:t>.</w:t>
      </w:r>
    </w:p>
  </w:footnote>
  <w:footnote w:id="219">
    <w:p w14:paraId="528E5AB9" w14:textId="77777777" w:rsidR="00111230" w:rsidRPr="00065F63" w:rsidRDefault="00111230" w:rsidP="00111230">
      <w:pPr>
        <w:pStyle w:val="Textonotapie"/>
        <w:tabs>
          <w:tab w:val="left" w:pos="567"/>
        </w:tabs>
        <w:spacing w:before="40" w:after="40"/>
        <w:rPr>
          <w:sz w:val="16"/>
          <w:szCs w:val="16"/>
          <w:u w:val="single"/>
        </w:rPr>
      </w:pPr>
      <w:r w:rsidRPr="00065F63">
        <w:rPr>
          <w:rStyle w:val="Refdenotaalpie"/>
          <w:rFonts w:eastAsia="Calibri"/>
          <w:sz w:val="16"/>
          <w:szCs w:val="16"/>
        </w:rPr>
        <w:footnoteRef/>
      </w:r>
      <w:r w:rsidRPr="00065F63">
        <w:rPr>
          <w:sz w:val="16"/>
          <w:szCs w:val="16"/>
        </w:rPr>
        <w:t xml:space="preserve"> </w:t>
      </w:r>
      <w:r w:rsidRPr="00065F63">
        <w:rPr>
          <w:sz w:val="16"/>
          <w:szCs w:val="16"/>
        </w:rPr>
        <w:tab/>
      </w:r>
      <w:r w:rsidRPr="00065F63">
        <w:rPr>
          <w:bCs/>
          <w:sz w:val="16"/>
          <w:szCs w:val="16"/>
        </w:rPr>
        <w:t>AG/RES. 2426 (XXXVIII-O/08),</w:t>
      </w:r>
      <w:r w:rsidRPr="00065F63">
        <w:rPr>
          <w:rFonts w:cs="Verdana"/>
          <w:sz w:val="16"/>
          <w:szCs w:val="16"/>
        </w:rPr>
        <w:t xml:space="preserve"> </w:t>
      </w:r>
      <w:r w:rsidRPr="00065F63">
        <w:rPr>
          <w:sz w:val="16"/>
          <w:szCs w:val="16"/>
        </w:rPr>
        <w:t xml:space="preserve">Resolución adoptada por la Asamblea General de la OEA </w:t>
      </w:r>
      <w:r w:rsidRPr="00065F63">
        <w:rPr>
          <w:rFonts w:cs="Verdana"/>
          <w:sz w:val="16"/>
          <w:szCs w:val="16"/>
        </w:rPr>
        <w:t>durante la celebración del XXXVIII Período Ordinario de Sesiones de la OEA,</w:t>
      </w:r>
      <w:r w:rsidRPr="00065F63">
        <w:rPr>
          <w:bCs/>
          <w:sz w:val="16"/>
          <w:szCs w:val="16"/>
        </w:rPr>
        <w:t xml:space="preserve"> </w:t>
      </w:r>
      <w:r w:rsidRPr="00065F63">
        <w:rPr>
          <w:sz w:val="16"/>
          <w:szCs w:val="16"/>
        </w:rPr>
        <w:t>en la cuarta sesión plenaria,</w:t>
      </w:r>
      <w:r w:rsidRPr="00065F63">
        <w:rPr>
          <w:bCs/>
          <w:sz w:val="16"/>
          <w:szCs w:val="16"/>
        </w:rPr>
        <w:t xml:space="preserve"> </w:t>
      </w:r>
      <w:r w:rsidRPr="00065F63">
        <w:rPr>
          <w:sz w:val="16"/>
          <w:szCs w:val="16"/>
        </w:rPr>
        <w:t xml:space="preserve">celebrada el 3 de junio de 2008, </w:t>
      </w:r>
      <w:r w:rsidRPr="00065F63">
        <w:rPr>
          <w:i/>
          <w:sz w:val="16"/>
          <w:szCs w:val="16"/>
        </w:rPr>
        <w:t>“Creación del Fondo de Asistencia Legal del Sistema Interamericano de Derechos Humanos</w:t>
      </w:r>
      <w:r w:rsidRPr="00065F63">
        <w:rPr>
          <w:sz w:val="16"/>
          <w:szCs w:val="16"/>
        </w:rPr>
        <w:t>”, Punto Resolutivo 2.a</w:t>
      </w:r>
      <w:r w:rsidRPr="00065F63">
        <w:rPr>
          <w:rFonts w:cs="Verdana"/>
          <w:sz w:val="16"/>
          <w:szCs w:val="16"/>
        </w:rPr>
        <w:t xml:space="preserve">), y </w:t>
      </w:r>
      <w:r w:rsidRPr="00065F63">
        <w:rPr>
          <w:sz w:val="16"/>
          <w:szCs w:val="16"/>
        </w:rPr>
        <w:t>CP/RES. 963 (1728/09), Resolución adoptada el 11 de noviembre de 2009 por el Consejo Permanente de la OEA, “</w:t>
      </w:r>
      <w:r w:rsidRPr="00065F63">
        <w:rPr>
          <w:i/>
          <w:iCs/>
          <w:sz w:val="16"/>
          <w:szCs w:val="16"/>
        </w:rPr>
        <w:t xml:space="preserve">Reglamento para el Funcionamiento del Fondo de Asistencia </w:t>
      </w:r>
      <w:r w:rsidRPr="00065F63">
        <w:rPr>
          <w:iCs/>
          <w:sz w:val="16"/>
          <w:szCs w:val="16"/>
        </w:rPr>
        <w:t>Legal</w:t>
      </w:r>
      <w:r w:rsidRPr="00065F63">
        <w:rPr>
          <w:i/>
          <w:iCs/>
          <w:sz w:val="16"/>
          <w:szCs w:val="16"/>
        </w:rPr>
        <w:t xml:space="preserve"> del Sistema Interamericano de Derechos Humanos</w:t>
      </w:r>
      <w:r w:rsidRPr="00065F63">
        <w:rPr>
          <w:sz w:val="16"/>
          <w:szCs w:val="16"/>
        </w:rPr>
        <w:t>”, artículo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D1E" w14:textId="7063FCED" w:rsidR="006E0712" w:rsidRDefault="00B44A6C" w:rsidP="00914995">
    <w:pPr>
      <w:pStyle w:val="Encabezado"/>
      <w:ind w:left="720"/>
      <w:jc w:val="right"/>
    </w:pPr>
    <w:r w:rsidRPr="00B44A6C">
      <w:rPr>
        <w:i/>
        <w:iCs/>
        <w:sz w:val="16"/>
        <w:szCs w:val="16"/>
      </w:rPr>
      <w:t xml:space="preserve"> </w:t>
    </w:r>
  </w:p>
  <w:p w14:paraId="6983AD26" w14:textId="77777777" w:rsidR="005147E8" w:rsidRDefault="005147E8" w:rsidP="00EA3CBB">
    <w:pPr>
      <w:jc w:val="right"/>
    </w:pPr>
  </w:p>
  <w:p w14:paraId="1D85D3E9" w14:textId="57F21438" w:rsidR="00424188" w:rsidRDefault="00CA3886" w:rsidP="00CA3886">
    <w:pPr>
      <w:tabs>
        <w:tab w:val="left" w:pos="80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F42"/>
    <w:multiLevelType w:val="hybridMultilevel"/>
    <w:tmpl w:val="0C2AEC5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1E76FE2"/>
    <w:multiLevelType w:val="hybridMultilevel"/>
    <w:tmpl w:val="9E862444"/>
    <w:lvl w:ilvl="0" w:tplc="1B5E3DC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F00672"/>
    <w:multiLevelType w:val="hybridMultilevel"/>
    <w:tmpl w:val="06F41120"/>
    <w:lvl w:ilvl="0" w:tplc="A8B8430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E5B3E0D"/>
    <w:multiLevelType w:val="hybridMultilevel"/>
    <w:tmpl w:val="4FB4414C"/>
    <w:lvl w:ilvl="0" w:tplc="FFFFFFFF">
      <w:start w:val="1"/>
      <w:numFmt w:val="lowerRoman"/>
      <w:lvlText w:val="(%1)"/>
      <w:lvlJc w:val="left"/>
      <w:pPr>
        <w:ind w:left="1080" w:hanging="72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color w:val="auto"/>
        <w:sz w:val="20"/>
        <w:vertAlign w:val="baseline"/>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rFonts w:hint="default"/>
        <w:b w:val="0"/>
        <w:i w:val="0"/>
      </w:rPr>
    </w:lvl>
    <w:lvl w:ilvl="5" w:tplc="726C26BC">
      <w:start w:val="1"/>
      <w:numFmt w:val="lowerRoman"/>
      <w:pStyle w:val="Estilo8"/>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8C05B06"/>
    <w:multiLevelType w:val="hybridMultilevel"/>
    <w:tmpl w:val="E2D24F04"/>
    <w:lvl w:ilvl="0" w:tplc="F1BE891E">
      <w:start w:val="1"/>
      <w:numFmt w:val="decimal"/>
      <w:lvlText w:val="A.%1"/>
      <w:lvlJc w:val="left"/>
      <w:pPr>
        <w:ind w:left="1080" w:hanging="360"/>
      </w:pPr>
      <w:rPr>
        <w:rFonts w:hint="default"/>
        <w:b w:val="0"/>
        <w:i/>
      </w:rPr>
    </w:lvl>
    <w:lvl w:ilvl="1" w:tplc="D8E67496">
      <w:start w:val="1"/>
      <w:numFmt w:val="decimal"/>
      <w:pStyle w:val="Ttulo5"/>
      <w:lvlText w:val="A.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D3C2673C">
      <w:start w:val="1"/>
      <w:numFmt w:val="upperLetter"/>
      <w:lvlText w:val="%3."/>
      <w:lvlJc w:val="left"/>
      <w:pPr>
        <w:ind w:left="1070" w:hanging="360"/>
      </w:pPr>
      <w:rPr>
        <w:rFont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3A8C5AAE"/>
    <w:multiLevelType w:val="hybridMultilevel"/>
    <w:tmpl w:val="C32E5DF8"/>
    <w:lvl w:ilvl="0" w:tplc="722EF180">
      <w:start w:val="1"/>
      <w:numFmt w:val="upperLetter"/>
      <w:pStyle w:val="Ttulo"/>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D0DF0"/>
    <w:multiLevelType w:val="hybridMultilevel"/>
    <w:tmpl w:val="4FB4414C"/>
    <w:lvl w:ilvl="0" w:tplc="613A5A1E">
      <w:start w:val="1"/>
      <w:numFmt w:val="lowerRoman"/>
      <w:lvlText w:val="(%1)"/>
      <w:lvlJc w:val="left"/>
      <w:pPr>
        <w:ind w:left="1080" w:hanging="720"/>
      </w:pPr>
      <w:rPr>
        <w:rFonts w:hint="default"/>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15:restartNumberingAfterBreak="0">
    <w:nsid w:val="5BAC18C7"/>
    <w:multiLevelType w:val="hybridMultilevel"/>
    <w:tmpl w:val="5092894A"/>
    <w:lvl w:ilvl="0" w:tplc="EA2C5AB6">
      <w:start w:val="1"/>
      <w:numFmt w:val="upperLetter"/>
      <w:lvlText w:val="%1."/>
      <w:lvlJc w:val="left"/>
      <w:pPr>
        <w:ind w:left="928" w:hanging="360"/>
      </w:pPr>
      <w:rPr>
        <w:rFonts w:hint="default"/>
      </w:rPr>
    </w:lvl>
    <w:lvl w:ilvl="1" w:tplc="140A0019" w:tentative="1">
      <w:start w:val="1"/>
      <w:numFmt w:val="lowerLetter"/>
      <w:lvlText w:val="%2."/>
      <w:lvlJc w:val="left"/>
      <w:pPr>
        <w:ind w:left="1648" w:hanging="360"/>
      </w:p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12" w15:restartNumberingAfterBreak="0">
    <w:nsid w:val="79354707"/>
    <w:multiLevelType w:val="hybridMultilevel"/>
    <w:tmpl w:val="FC26EA0A"/>
    <w:lvl w:ilvl="0" w:tplc="147C3A6C">
      <w:start w:val="1"/>
      <w:numFmt w:val="decimal"/>
      <w:lvlText w:val="%1."/>
      <w:lvlJc w:val="left"/>
      <w:pPr>
        <w:ind w:left="825" w:hanging="825"/>
      </w:pPr>
      <w:rPr>
        <w:rFonts w:ascii="Verdana" w:eastAsia="Verdana" w:hAnsi="Verdana" w:cs="Verdana" w:hint="default"/>
        <w:b w:val="0"/>
        <w:bCs/>
        <w:i w:val="0"/>
        <w:color w:val="auto"/>
        <w:sz w:val="20"/>
        <w:szCs w:val="20"/>
        <w:vertAlign w:val="baseli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7DC37EC8"/>
    <w:multiLevelType w:val="hybridMultilevel"/>
    <w:tmpl w:val="C47AEF66"/>
    <w:lvl w:ilvl="0" w:tplc="B66E389A">
      <w:start w:val="4"/>
      <w:numFmt w:val="bullet"/>
      <w:lvlText w:val="-"/>
      <w:lvlJc w:val="left"/>
      <w:pPr>
        <w:ind w:left="720" w:hanging="360"/>
      </w:pPr>
      <w:rPr>
        <w:rFonts w:ascii="Verdana" w:eastAsia="Calibri"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760294118">
    <w:abstractNumId w:val="8"/>
  </w:num>
  <w:num w:numId="2" w16cid:durableId="936328785">
    <w:abstractNumId w:val="4"/>
  </w:num>
  <w:num w:numId="3" w16cid:durableId="389768878">
    <w:abstractNumId w:val="5"/>
  </w:num>
  <w:num w:numId="4" w16cid:durableId="1741050619">
    <w:abstractNumId w:val="6"/>
  </w:num>
  <w:num w:numId="5" w16cid:durableId="852378692">
    <w:abstractNumId w:val="7"/>
  </w:num>
  <w:num w:numId="6" w16cid:durableId="343170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15134">
    <w:abstractNumId w:val="12"/>
  </w:num>
  <w:num w:numId="8" w16cid:durableId="1783302576">
    <w:abstractNumId w:val="13"/>
  </w:num>
  <w:num w:numId="9" w16cid:durableId="22287736">
    <w:abstractNumId w:val="2"/>
  </w:num>
  <w:num w:numId="10" w16cid:durableId="1773823112">
    <w:abstractNumId w:val="1"/>
  </w:num>
  <w:num w:numId="11" w16cid:durableId="1493642189">
    <w:abstractNumId w:val="9"/>
  </w:num>
  <w:num w:numId="12" w16cid:durableId="963851613">
    <w:abstractNumId w:val="3"/>
  </w:num>
  <w:num w:numId="13" w16cid:durableId="1822653174">
    <w:abstractNumId w:val="11"/>
  </w:num>
  <w:num w:numId="14" w16cid:durableId="688176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5E"/>
    <w:rsid w:val="00000619"/>
    <w:rsid w:val="000010E8"/>
    <w:rsid w:val="00005DC2"/>
    <w:rsid w:val="000062BE"/>
    <w:rsid w:val="00007253"/>
    <w:rsid w:val="0000765E"/>
    <w:rsid w:val="00010266"/>
    <w:rsid w:val="00010364"/>
    <w:rsid w:val="000111BC"/>
    <w:rsid w:val="0001146C"/>
    <w:rsid w:val="00011B3B"/>
    <w:rsid w:val="00012E32"/>
    <w:rsid w:val="000133E3"/>
    <w:rsid w:val="000148B4"/>
    <w:rsid w:val="000148D2"/>
    <w:rsid w:val="00014AAD"/>
    <w:rsid w:val="000151AE"/>
    <w:rsid w:val="00015BF8"/>
    <w:rsid w:val="000223D2"/>
    <w:rsid w:val="00022879"/>
    <w:rsid w:val="00022B13"/>
    <w:rsid w:val="0002303A"/>
    <w:rsid w:val="000231E5"/>
    <w:rsid w:val="00023969"/>
    <w:rsid w:val="00025977"/>
    <w:rsid w:val="00026CF0"/>
    <w:rsid w:val="00027360"/>
    <w:rsid w:val="000273BC"/>
    <w:rsid w:val="00027426"/>
    <w:rsid w:val="000276F9"/>
    <w:rsid w:val="00030C03"/>
    <w:rsid w:val="00030CB8"/>
    <w:rsid w:val="00031881"/>
    <w:rsid w:val="00031EF8"/>
    <w:rsid w:val="0003259F"/>
    <w:rsid w:val="00033A9E"/>
    <w:rsid w:val="00033F1F"/>
    <w:rsid w:val="000350B2"/>
    <w:rsid w:val="000354DE"/>
    <w:rsid w:val="00035B3C"/>
    <w:rsid w:val="0003605F"/>
    <w:rsid w:val="00040103"/>
    <w:rsid w:val="000401C2"/>
    <w:rsid w:val="00040A94"/>
    <w:rsid w:val="00041FC8"/>
    <w:rsid w:val="00043702"/>
    <w:rsid w:val="00044703"/>
    <w:rsid w:val="00045A9D"/>
    <w:rsid w:val="00046248"/>
    <w:rsid w:val="00046E27"/>
    <w:rsid w:val="00050614"/>
    <w:rsid w:val="00050891"/>
    <w:rsid w:val="00051311"/>
    <w:rsid w:val="0005188C"/>
    <w:rsid w:val="00051D09"/>
    <w:rsid w:val="00053820"/>
    <w:rsid w:val="00053F27"/>
    <w:rsid w:val="00055C97"/>
    <w:rsid w:val="00055D03"/>
    <w:rsid w:val="000563FD"/>
    <w:rsid w:val="000566F2"/>
    <w:rsid w:val="0006053A"/>
    <w:rsid w:val="00061556"/>
    <w:rsid w:val="00061EC6"/>
    <w:rsid w:val="0006208E"/>
    <w:rsid w:val="0006289F"/>
    <w:rsid w:val="000633C6"/>
    <w:rsid w:val="000647D9"/>
    <w:rsid w:val="00064BDD"/>
    <w:rsid w:val="00065181"/>
    <w:rsid w:val="00065F28"/>
    <w:rsid w:val="00065F63"/>
    <w:rsid w:val="0006652F"/>
    <w:rsid w:val="00066F73"/>
    <w:rsid w:val="00067CCE"/>
    <w:rsid w:val="00072A45"/>
    <w:rsid w:val="000732E6"/>
    <w:rsid w:val="0007361A"/>
    <w:rsid w:val="00073F49"/>
    <w:rsid w:val="00074081"/>
    <w:rsid w:val="00074C51"/>
    <w:rsid w:val="00074CC5"/>
    <w:rsid w:val="00074CFE"/>
    <w:rsid w:val="000759B1"/>
    <w:rsid w:val="00076226"/>
    <w:rsid w:val="0007662C"/>
    <w:rsid w:val="0007696B"/>
    <w:rsid w:val="00076C78"/>
    <w:rsid w:val="000801CC"/>
    <w:rsid w:val="00082328"/>
    <w:rsid w:val="00082A24"/>
    <w:rsid w:val="00082C55"/>
    <w:rsid w:val="00084697"/>
    <w:rsid w:val="00085442"/>
    <w:rsid w:val="000855E3"/>
    <w:rsid w:val="000858A1"/>
    <w:rsid w:val="00085C41"/>
    <w:rsid w:val="00091BFD"/>
    <w:rsid w:val="00092FC8"/>
    <w:rsid w:val="00093568"/>
    <w:rsid w:val="00093DBB"/>
    <w:rsid w:val="00094027"/>
    <w:rsid w:val="0009406C"/>
    <w:rsid w:val="00094A78"/>
    <w:rsid w:val="00095DF6"/>
    <w:rsid w:val="000965CA"/>
    <w:rsid w:val="000965DB"/>
    <w:rsid w:val="00096DC0"/>
    <w:rsid w:val="00097D56"/>
    <w:rsid w:val="000A0013"/>
    <w:rsid w:val="000A00B5"/>
    <w:rsid w:val="000A032D"/>
    <w:rsid w:val="000A0F56"/>
    <w:rsid w:val="000A130C"/>
    <w:rsid w:val="000A1B98"/>
    <w:rsid w:val="000A1F45"/>
    <w:rsid w:val="000A257A"/>
    <w:rsid w:val="000A28A3"/>
    <w:rsid w:val="000A29FF"/>
    <w:rsid w:val="000A442B"/>
    <w:rsid w:val="000A506C"/>
    <w:rsid w:val="000A60D8"/>
    <w:rsid w:val="000A6824"/>
    <w:rsid w:val="000B06FE"/>
    <w:rsid w:val="000B156D"/>
    <w:rsid w:val="000B1E12"/>
    <w:rsid w:val="000B1FAE"/>
    <w:rsid w:val="000B21AD"/>
    <w:rsid w:val="000B24AE"/>
    <w:rsid w:val="000B3423"/>
    <w:rsid w:val="000B3BF5"/>
    <w:rsid w:val="000B4B59"/>
    <w:rsid w:val="000B506A"/>
    <w:rsid w:val="000B5E86"/>
    <w:rsid w:val="000B61C3"/>
    <w:rsid w:val="000B6579"/>
    <w:rsid w:val="000B7590"/>
    <w:rsid w:val="000C08E9"/>
    <w:rsid w:val="000C2108"/>
    <w:rsid w:val="000C2AF9"/>
    <w:rsid w:val="000C2FF3"/>
    <w:rsid w:val="000C30BE"/>
    <w:rsid w:val="000C3BAC"/>
    <w:rsid w:val="000C6114"/>
    <w:rsid w:val="000C6AE5"/>
    <w:rsid w:val="000D07AE"/>
    <w:rsid w:val="000D0B20"/>
    <w:rsid w:val="000D265C"/>
    <w:rsid w:val="000D29FD"/>
    <w:rsid w:val="000D3E99"/>
    <w:rsid w:val="000D3FFF"/>
    <w:rsid w:val="000D4220"/>
    <w:rsid w:val="000D4233"/>
    <w:rsid w:val="000D6477"/>
    <w:rsid w:val="000D7428"/>
    <w:rsid w:val="000D7738"/>
    <w:rsid w:val="000D7913"/>
    <w:rsid w:val="000E04F2"/>
    <w:rsid w:val="000E1DDF"/>
    <w:rsid w:val="000E1F91"/>
    <w:rsid w:val="000E2054"/>
    <w:rsid w:val="000E2841"/>
    <w:rsid w:val="000E2994"/>
    <w:rsid w:val="000E479E"/>
    <w:rsid w:val="000E4D7A"/>
    <w:rsid w:val="000E5101"/>
    <w:rsid w:val="000F04C8"/>
    <w:rsid w:val="000F0874"/>
    <w:rsid w:val="000F20F2"/>
    <w:rsid w:val="000F254F"/>
    <w:rsid w:val="000F4892"/>
    <w:rsid w:val="000F5416"/>
    <w:rsid w:val="000F55EC"/>
    <w:rsid w:val="000F5FBB"/>
    <w:rsid w:val="0010022D"/>
    <w:rsid w:val="0010056D"/>
    <w:rsid w:val="00100883"/>
    <w:rsid w:val="00100A9E"/>
    <w:rsid w:val="00100BA7"/>
    <w:rsid w:val="001015C6"/>
    <w:rsid w:val="00104B82"/>
    <w:rsid w:val="00104C40"/>
    <w:rsid w:val="00105978"/>
    <w:rsid w:val="00107899"/>
    <w:rsid w:val="00110622"/>
    <w:rsid w:val="0011088B"/>
    <w:rsid w:val="00110F9A"/>
    <w:rsid w:val="00111230"/>
    <w:rsid w:val="00111A08"/>
    <w:rsid w:val="00111BC0"/>
    <w:rsid w:val="00111C65"/>
    <w:rsid w:val="00112374"/>
    <w:rsid w:val="001148D2"/>
    <w:rsid w:val="00114AF4"/>
    <w:rsid w:val="00114B97"/>
    <w:rsid w:val="00114F3E"/>
    <w:rsid w:val="00114FE6"/>
    <w:rsid w:val="0011544E"/>
    <w:rsid w:val="001154E9"/>
    <w:rsid w:val="00115999"/>
    <w:rsid w:val="0011641D"/>
    <w:rsid w:val="001213E7"/>
    <w:rsid w:val="0012203D"/>
    <w:rsid w:val="00122F0C"/>
    <w:rsid w:val="00123DA5"/>
    <w:rsid w:val="0012430C"/>
    <w:rsid w:val="00124848"/>
    <w:rsid w:val="00124874"/>
    <w:rsid w:val="00124DED"/>
    <w:rsid w:val="00126948"/>
    <w:rsid w:val="00126F5D"/>
    <w:rsid w:val="001274E2"/>
    <w:rsid w:val="00127A6B"/>
    <w:rsid w:val="00127B93"/>
    <w:rsid w:val="0013026A"/>
    <w:rsid w:val="00130E53"/>
    <w:rsid w:val="00131A48"/>
    <w:rsid w:val="00131CC3"/>
    <w:rsid w:val="00132FAC"/>
    <w:rsid w:val="0013315F"/>
    <w:rsid w:val="001332C5"/>
    <w:rsid w:val="001335BB"/>
    <w:rsid w:val="00134A1E"/>
    <w:rsid w:val="00135044"/>
    <w:rsid w:val="00136B96"/>
    <w:rsid w:val="00140873"/>
    <w:rsid w:val="0014287C"/>
    <w:rsid w:val="00142F6F"/>
    <w:rsid w:val="00142FEF"/>
    <w:rsid w:val="00143184"/>
    <w:rsid w:val="0014328B"/>
    <w:rsid w:val="001432B8"/>
    <w:rsid w:val="00143D71"/>
    <w:rsid w:val="00144826"/>
    <w:rsid w:val="001458BC"/>
    <w:rsid w:val="001461AD"/>
    <w:rsid w:val="00146B28"/>
    <w:rsid w:val="00147945"/>
    <w:rsid w:val="00150AB5"/>
    <w:rsid w:val="00150F5C"/>
    <w:rsid w:val="001515D5"/>
    <w:rsid w:val="00153455"/>
    <w:rsid w:val="001537B2"/>
    <w:rsid w:val="00153A91"/>
    <w:rsid w:val="00153F87"/>
    <w:rsid w:val="00154A01"/>
    <w:rsid w:val="00154AB3"/>
    <w:rsid w:val="001563D9"/>
    <w:rsid w:val="001563E2"/>
    <w:rsid w:val="00157BDB"/>
    <w:rsid w:val="00157E6E"/>
    <w:rsid w:val="001618BE"/>
    <w:rsid w:val="00162201"/>
    <w:rsid w:val="00163FC9"/>
    <w:rsid w:val="00164A5E"/>
    <w:rsid w:val="001651D3"/>
    <w:rsid w:val="0016552B"/>
    <w:rsid w:val="00166066"/>
    <w:rsid w:val="00166BD9"/>
    <w:rsid w:val="00167600"/>
    <w:rsid w:val="00167FB2"/>
    <w:rsid w:val="001706A6"/>
    <w:rsid w:val="0017117E"/>
    <w:rsid w:val="00171C8C"/>
    <w:rsid w:val="00171FBE"/>
    <w:rsid w:val="001726F8"/>
    <w:rsid w:val="00172C60"/>
    <w:rsid w:val="0017301D"/>
    <w:rsid w:val="00173D74"/>
    <w:rsid w:val="001744E7"/>
    <w:rsid w:val="00174611"/>
    <w:rsid w:val="00175171"/>
    <w:rsid w:val="001759EC"/>
    <w:rsid w:val="00175F68"/>
    <w:rsid w:val="00176C92"/>
    <w:rsid w:val="0017730D"/>
    <w:rsid w:val="00180AB7"/>
    <w:rsid w:val="00180BD9"/>
    <w:rsid w:val="00180EC6"/>
    <w:rsid w:val="0018263D"/>
    <w:rsid w:val="00183053"/>
    <w:rsid w:val="00183FA1"/>
    <w:rsid w:val="0018421F"/>
    <w:rsid w:val="00184EDA"/>
    <w:rsid w:val="00186C14"/>
    <w:rsid w:val="00187A16"/>
    <w:rsid w:val="001900C6"/>
    <w:rsid w:val="00191B23"/>
    <w:rsid w:val="00192374"/>
    <w:rsid w:val="00193767"/>
    <w:rsid w:val="00194A8F"/>
    <w:rsid w:val="00195A71"/>
    <w:rsid w:val="0019614B"/>
    <w:rsid w:val="00197F8B"/>
    <w:rsid w:val="001A0DFE"/>
    <w:rsid w:val="001A1796"/>
    <w:rsid w:val="001A18BA"/>
    <w:rsid w:val="001A2139"/>
    <w:rsid w:val="001A30DA"/>
    <w:rsid w:val="001A5721"/>
    <w:rsid w:val="001A603F"/>
    <w:rsid w:val="001A621C"/>
    <w:rsid w:val="001A6919"/>
    <w:rsid w:val="001A6CA2"/>
    <w:rsid w:val="001A6E21"/>
    <w:rsid w:val="001B02F0"/>
    <w:rsid w:val="001B0951"/>
    <w:rsid w:val="001B0BA5"/>
    <w:rsid w:val="001B1376"/>
    <w:rsid w:val="001B564D"/>
    <w:rsid w:val="001B587E"/>
    <w:rsid w:val="001B79AC"/>
    <w:rsid w:val="001C03A2"/>
    <w:rsid w:val="001C054A"/>
    <w:rsid w:val="001C1409"/>
    <w:rsid w:val="001C1459"/>
    <w:rsid w:val="001C1699"/>
    <w:rsid w:val="001C1D86"/>
    <w:rsid w:val="001C25C8"/>
    <w:rsid w:val="001C3988"/>
    <w:rsid w:val="001C4438"/>
    <w:rsid w:val="001C45CA"/>
    <w:rsid w:val="001C4C72"/>
    <w:rsid w:val="001C5225"/>
    <w:rsid w:val="001C552F"/>
    <w:rsid w:val="001C6320"/>
    <w:rsid w:val="001C667A"/>
    <w:rsid w:val="001C6731"/>
    <w:rsid w:val="001C6C75"/>
    <w:rsid w:val="001C6D58"/>
    <w:rsid w:val="001C74E2"/>
    <w:rsid w:val="001C79F2"/>
    <w:rsid w:val="001C7DAA"/>
    <w:rsid w:val="001D0D31"/>
    <w:rsid w:val="001D0EDB"/>
    <w:rsid w:val="001D0F20"/>
    <w:rsid w:val="001D29F9"/>
    <w:rsid w:val="001D2DA8"/>
    <w:rsid w:val="001D5A51"/>
    <w:rsid w:val="001D5D2C"/>
    <w:rsid w:val="001D6192"/>
    <w:rsid w:val="001D6390"/>
    <w:rsid w:val="001E047E"/>
    <w:rsid w:val="001E0A59"/>
    <w:rsid w:val="001E13D1"/>
    <w:rsid w:val="001E16D3"/>
    <w:rsid w:val="001E1D94"/>
    <w:rsid w:val="001E1FD0"/>
    <w:rsid w:val="001E2225"/>
    <w:rsid w:val="001E46A5"/>
    <w:rsid w:val="001E4770"/>
    <w:rsid w:val="001E48F0"/>
    <w:rsid w:val="001E763F"/>
    <w:rsid w:val="001E78C2"/>
    <w:rsid w:val="001E7A45"/>
    <w:rsid w:val="001F0B7F"/>
    <w:rsid w:val="001F18A0"/>
    <w:rsid w:val="001F1C9A"/>
    <w:rsid w:val="001F2960"/>
    <w:rsid w:val="001F2CC1"/>
    <w:rsid w:val="001F432F"/>
    <w:rsid w:val="001F4D31"/>
    <w:rsid w:val="001F5CF1"/>
    <w:rsid w:val="001F62DF"/>
    <w:rsid w:val="001F6526"/>
    <w:rsid w:val="00201236"/>
    <w:rsid w:val="002015D6"/>
    <w:rsid w:val="00201B71"/>
    <w:rsid w:val="00201E23"/>
    <w:rsid w:val="00201E93"/>
    <w:rsid w:val="0020455E"/>
    <w:rsid w:val="00204689"/>
    <w:rsid w:val="00204937"/>
    <w:rsid w:val="00204F2B"/>
    <w:rsid w:val="00205562"/>
    <w:rsid w:val="002056A6"/>
    <w:rsid w:val="00205ED7"/>
    <w:rsid w:val="002062CA"/>
    <w:rsid w:val="002075C7"/>
    <w:rsid w:val="00211C10"/>
    <w:rsid w:val="00211F66"/>
    <w:rsid w:val="002128F8"/>
    <w:rsid w:val="00213169"/>
    <w:rsid w:val="002136C9"/>
    <w:rsid w:val="00214E86"/>
    <w:rsid w:val="00215873"/>
    <w:rsid w:val="002159D5"/>
    <w:rsid w:val="0021625A"/>
    <w:rsid w:val="00216EF3"/>
    <w:rsid w:val="002172FA"/>
    <w:rsid w:val="002175CF"/>
    <w:rsid w:val="002178D7"/>
    <w:rsid w:val="002179B8"/>
    <w:rsid w:val="00217AFE"/>
    <w:rsid w:val="002206A9"/>
    <w:rsid w:val="00220954"/>
    <w:rsid w:val="00220C19"/>
    <w:rsid w:val="00221A43"/>
    <w:rsid w:val="0022226B"/>
    <w:rsid w:val="002225D9"/>
    <w:rsid w:val="00225552"/>
    <w:rsid w:val="0022594F"/>
    <w:rsid w:val="00227A49"/>
    <w:rsid w:val="00227C61"/>
    <w:rsid w:val="00227DCD"/>
    <w:rsid w:val="00231367"/>
    <w:rsid w:val="0023155C"/>
    <w:rsid w:val="0023186C"/>
    <w:rsid w:val="00231DBE"/>
    <w:rsid w:val="00232C3B"/>
    <w:rsid w:val="00232D24"/>
    <w:rsid w:val="00232D68"/>
    <w:rsid w:val="002331DD"/>
    <w:rsid w:val="00233216"/>
    <w:rsid w:val="0023393A"/>
    <w:rsid w:val="00234F50"/>
    <w:rsid w:val="002351A0"/>
    <w:rsid w:val="0023534D"/>
    <w:rsid w:val="00235643"/>
    <w:rsid w:val="00236FFD"/>
    <w:rsid w:val="00237CD0"/>
    <w:rsid w:val="00240062"/>
    <w:rsid w:val="00240961"/>
    <w:rsid w:val="0024195F"/>
    <w:rsid w:val="002419EC"/>
    <w:rsid w:val="00242ED9"/>
    <w:rsid w:val="0024424E"/>
    <w:rsid w:val="00244275"/>
    <w:rsid w:val="002442EF"/>
    <w:rsid w:val="00244E81"/>
    <w:rsid w:val="00245C75"/>
    <w:rsid w:val="00245FA7"/>
    <w:rsid w:val="002460A8"/>
    <w:rsid w:val="00246EFB"/>
    <w:rsid w:val="00251088"/>
    <w:rsid w:val="0025109A"/>
    <w:rsid w:val="002511ED"/>
    <w:rsid w:val="00251FE9"/>
    <w:rsid w:val="002538F7"/>
    <w:rsid w:val="00253B62"/>
    <w:rsid w:val="00254D6C"/>
    <w:rsid w:val="00255258"/>
    <w:rsid w:val="00255AA0"/>
    <w:rsid w:val="00256313"/>
    <w:rsid w:val="002571B4"/>
    <w:rsid w:val="00257E1E"/>
    <w:rsid w:val="00260F22"/>
    <w:rsid w:val="00261A42"/>
    <w:rsid w:val="002627A0"/>
    <w:rsid w:val="00262D09"/>
    <w:rsid w:val="0026342C"/>
    <w:rsid w:val="0026405E"/>
    <w:rsid w:val="0026473A"/>
    <w:rsid w:val="00265574"/>
    <w:rsid w:val="00265DEF"/>
    <w:rsid w:val="00266A49"/>
    <w:rsid w:val="0026715B"/>
    <w:rsid w:val="00267353"/>
    <w:rsid w:val="0027141D"/>
    <w:rsid w:val="0027189C"/>
    <w:rsid w:val="00271AC8"/>
    <w:rsid w:val="00271E3A"/>
    <w:rsid w:val="0027224D"/>
    <w:rsid w:val="00272381"/>
    <w:rsid w:val="0027362B"/>
    <w:rsid w:val="00274654"/>
    <w:rsid w:val="00274AD4"/>
    <w:rsid w:val="00275E64"/>
    <w:rsid w:val="002770B5"/>
    <w:rsid w:val="00277194"/>
    <w:rsid w:val="0027771F"/>
    <w:rsid w:val="00277B9D"/>
    <w:rsid w:val="00280798"/>
    <w:rsid w:val="002811D6"/>
    <w:rsid w:val="0028163E"/>
    <w:rsid w:val="00282929"/>
    <w:rsid w:val="002833AF"/>
    <w:rsid w:val="0028587B"/>
    <w:rsid w:val="002874D5"/>
    <w:rsid w:val="0029008B"/>
    <w:rsid w:val="00293A54"/>
    <w:rsid w:val="00293D90"/>
    <w:rsid w:val="00294EA2"/>
    <w:rsid w:val="00295F92"/>
    <w:rsid w:val="0029634B"/>
    <w:rsid w:val="002977FF"/>
    <w:rsid w:val="002979AB"/>
    <w:rsid w:val="00297DDB"/>
    <w:rsid w:val="002A19C0"/>
    <w:rsid w:val="002A1E26"/>
    <w:rsid w:val="002A21EF"/>
    <w:rsid w:val="002A24BC"/>
    <w:rsid w:val="002A2FA3"/>
    <w:rsid w:val="002A2FD1"/>
    <w:rsid w:val="002A3B86"/>
    <w:rsid w:val="002A3F5D"/>
    <w:rsid w:val="002A45C2"/>
    <w:rsid w:val="002A5419"/>
    <w:rsid w:val="002A7559"/>
    <w:rsid w:val="002A777D"/>
    <w:rsid w:val="002A78F5"/>
    <w:rsid w:val="002B02D8"/>
    <w:rsid w:val="002B04A6"/>
    <w:rsid w:val="002B0C05"/>
    <w:rsid w:val="002B100A"/>
    <w:rsid w:val="002B13EE"/>
    <w:rsid w:val="002B2B51"/>
    <w:rsid w:val="002B3C7C"/>
    <w:rsid w:val="002B4741"/>
    <w:rsid w:val="002B5E79"/>
    <w:rsid w:val="002B7D04"/>
    <w:rsid w:val="002B7E6D"/>
    <w:rsid w:val="002C1405"/>
    <w:rsid w:val="002C1915"/>
    <w:rsid w:val="002C27C6"/>
    <w:rsid w:val="002C684F"/>
    <w:rsid w:val="002C6A3E"/>
    <w:rsid w:val="002C70B6"/>
    <w:rsid w:val="002C7E2F"/>
    <w:rsid w:val="002D0B39"/>
    <w:rsid w:val="002D100F"/>
    <w:rsid w:val="002D11FE"/>
    <w:rsid w:val="002D123C"/>
    <w:rsid w:val="002D2425"/>
    <w:rsid w:val="002D2AB9"/>
    <w:rsid w:val="002D2DCD"/>
    <w:rsid w:val="002D3EF3"/>
    <w:rsid w:val="002D44FB"/>
    <w:rsid w:val="002D530D"/>
    <w:rsid w:val="002D6234"/>
    <w:rsid w:val="002D6817"/>
    <w:rsid w:val="002D780B"/>
    <w:rsid w:val="002E28D7"/>
    <w:rsid w:val="002E2B63"/>
    <w:rsid w:val="002E36E2"/>
    <w:rsid w:val="002E401E"/>
    <w:rsid w:val="002E42B1"/>
    <w:rsid w:val="002E5C66"/>
    <w:rsid w:val="002E6AA1"/>
    <w:rsid w:val="002E7D35"/>
    <w:rsid w:val="002F0153"/>
    <w:rsid w:val="002F0641"/>
    <w:rsid w:val="002F12A7"/>
    <w:rsid w:val="002F1FF8"/>
    <w:rsid w:val="002F3AED"/>
    <w:rsid w:val="002F432B"/>
    <w:rsid w:val="002F4353"/>
    <w:rsid w:val="002F4E15"/>
    <w:rsid w:val="002F58B7"/>
    <w:rsid w:val="002F6AF0"/>
    <w:rsid w:val="002F7F98"/>
    <w:rsid w:val="003003C2"/>
    <w:rsid w:val="003004C1"/>
    <w:rsid w:val="003007F0"/>
    <w:rsid w:val="00301709"/>
    <w:rsid w:val="003021E0"/>
    <w:rsid w:val="003023B0"/>
    <w:rsid w:val="003025E9"/>
    <w:rsid w:val="00302A63"/>
    <w:rsid w:val="003039AA"/>
    <w:rsid w:val="0030459C"/>
    <w:rsid w:val="003045BB"/>
    <w:rsid w:val="00304DC9"/>
    <w:rsid w:val="00305AEA"/>
    <w:rsid w:val="00307725"/>
    <w:rsid w:val="00307E76"/>
    <w:rsid w:val="003115A5"/>
    <w:rsid w:val="00313820"/>
    <w:rsid w:val="0031387A"/>
    <w:rsid w:val="0031440F"/>
    <w:rsid w:val="003153DF"/>
    <w:rsid w:val="00315754"/>
    <w:rsid w:val="003167A5"/>
    <w:rsid w:val="00316B48"/>
    <w:rsid w:val="003176D4"/>
    <w:rsid w:val="003203CE"/>
    <w:rsid w:val="003206C9"/>
    <w:rsid w:val="00321C68"/>
    <w:rsid w:val="0032213D"/>
    <w:rsid w:val="00322F8A"/>
    <w:rsid w:val="003231BB"/>
    <w:rsid w:val="0032327B"/>
    <w:rsid w:val="003235B1"/>
    <w:rsid w:val="00323659"/>
    <w:rsid w:val="00324E8B"/>
    <w:rsid w:val="0032502D"/>
    <w:rsid w:val="00325E0D"/>
    <w:rsid w:val="00326118"/>
    <w:rsid w:val="0032670B"/>
    <w:rsid w:val="003279A1"/>
    <w:rsid w:val="003310C9"/>
    <w:rsid w:val="003321C7"/>
    <w:rsid w:val="003337B8"/>
    <w:rsid w:val="003355A8"/>
    <w:rsid w:val="003355BB"/>
    <w:rsid w:val="00336C98"/>
    <w:rsid w:val="00336F78"/>
    <w:rsid w:val="00340258"/>
    <w:rsid w:val="00340615"/>
    <w:rsid w:val="00340724"/>
    <w:rsid w:val="00340807"/>
    <w:rsid w:val="003411E6"/>
    <w:rsid w:val="00342181"/>
    <w:rsid w:val="00342F0B"/>
    <w:rsid w:val="003444A4"/>
    <w:rsid w:val="003445D5"/>
    <w:rsid w:val="00345D14"/>
    <w:rsid w:val="00346233"/>
    <w:rsid w:val="00347DF1"/>
    <w:rsid w:val="003510CF"/>
    <w:rsid w:val="00351F74"/>
    <w:rsid w:val="00353C9A"/>
    <w:rsid w:val="003555CB"/>
    <w:rsid w:val="00355834"/>
    <w:rsid w:val="00355F20"/>
    <w:rsid w:val="003565CD"/>
    <w:rsid w:val="00356A70"/>
    <w:rsid w:val="00361579"/>
    <w:rsid w:val="0036347E"/>
    <w:rsid w:val="003656CC"/>
    <w:rsid w:val="00371B86"/>
    <w:rsid w:val="0037225F"/>
    <w:rsid w:val="00373637"/>
    <w:rsid w:val="003736F4"/>
    <w:rsid w:val="00373EFD"/>
    <w:rsid w:val="00377AE4"/>
    <w:rsid w:val="003804FF"/>
    <w:rsid w:val="00380F72"/>
    <w:rsid w:val="00382508"/>
    <w:rsid w:val="0038258D"/>
    <w:rsid w:val="003831D3"/>
    <w:rsid w:val="00383589"/>
    <w:rsid w:val="00384652"/>
    <w:rsid w:val="00384A1D"/>
    <w:rsid w:val="00385875"/>
    <w:rsid w:val="003858E9"/>
    <w:rsid w:val="00385A01"/>
    <w:rsid w:val="00385AB7"/>
    <w:rsid w:val="00385CB9"/>
    <w:rsid w:val="003862F1"/>
    <w:rsid w:val="00386874"/>
    <w:rsid w:val="00387005"/>
    <w:rsid w:val="0038757F"/>
    <w:rsid w:val="00387ED5"/>
    <w:rsid w:val="003909F4"/>
    <w:rsid w:val="00392D50"/>
    <w:rsid w:val="003930BB"/>
    <w:rsid w:val="003938E6"/>
    <w:rsid w:val="00393D35"/>
    <w:rsid w:val="00395490"/>
    <w:rsid w:val="00396182"/>
    <w:rsid w:val="003968B1"/>
    <w:rsid w:val="003A0A09"/>
    <w:rsid w:val="003A0A20"/>
    <w:rsid w:val="003A0F7B"/>
    <w:rsid w:val="003A11C3"/>
    <w:rsid w:val="003A208E"/>
    <w:rsid w:val="003A2511"/>
    <w:rsid w:val="003A2831"/>
    <w:rsid w:val="003A2846"/>
    <w:rsid w:val="003A2B47"/>
    <w:rsid w:val="003A34AD"/>
    <w:rsid w:val="003A4013"/>
    <w:rsid w:val="003A4FBB"/>
    <w:rsid w:val="003A5040"/>
    <w:rsid w:val="003A57F5"/>
    <w:rsid w:val="003A7436"/>
    <w:rsid w:val="003A7463"/>
    <w:rsid w:val="003A798C"/>
    <w:rsid w:val="003A7F05"/>
    <w:rsid w:val="003B03C3"/>
    <w:rsid w:val="003B4014"/>
    <w:rsid w:val="003B4E57"/>
    <w:rsid w:val="003B5A2D"/>
    <w:rsid w:val="003B5FA2"/>
    <w:rsid w:val="003B63C2"/>
    <w:rsid w:val="003B6A5F"/>
    <w:rsid w:val="003B76A9"/>
    <w:rsid w:val="003B7B98"/>
    <w:rsid w:val="003C04C2"/>
    <w:rsid w:val="003C04FC"/>
    <w:rsid w:val="003C0AA3"/>
    <w:rsid w:val="003C103B"/>
    <w:rsid w:val="003C1168"/>
    <w:rsid w:val="003C2E14"/>
    <w:rsid w:val="003C32C6"/>
    <w:rsid w:val="003C3570"/>
    <w:rsid w:val="003C4CCF"/>
    <w:rsid w:val="003C6185"/>
    <w:rsid w:val="003C65BF"/>
    <w:rsid w:val="003C761E"/>
    <w:rsid w:val="003C7C2E"/>
    <w:rsid w:val="003D023F"/>
    <w:rsid w:val="003D065D"/>
    <w:rsid w:val="003D0C7C"/>
    <w:rsid w:val="003D27A8"/>
    <w:rsid w:val="003D3AF8"/>
    <w:rsid w:val="003D4656"/>
    <w:rsid w:val="003D4A21"/>
    <w:rsid w:val="003D5381"/>
    <w:rsid w:val="003D5554"/>
    <w:rsid w:val="003D68E1"/>
    <w:rsid w:val="003D6E0E"/>
    <w:rsid w:val="003D7A5B"/>
    <w:rsid w:val="003D7A92"/>
    <w:rsid w:val="003E1170"/>
    <w:rsid w:val="003E15FD"/>
    <w:rsid w:val="003E16C1"/>
    <w:rsid w:val="003E1B00"/>
    <w:rsid w:val="003E334B"/>
    <w:rsid w:val="003E44B9"/>
    <w:rsid w:val="003E513E"/>
    <w:rsid w:val="003E60B4"/>
    <w:rsid w:val="003E7734"/>
    <w:rsid w:val="003E78F7"/>
    <w:rsid w:val="003E7E25"/>
    <w:rsid w:val="003F0316"/>
    <w:rsid w:val="003F1469"/>
    <w:rsid w:val="003F1C67"/>
    <w:rsid w:val="003F2B5B"/>
    <w:rsid w:val="003F2EC1"/>
    <w:rsid w:val="003F3BC0"/>
    <w:rsid w:val="003F4839"/>
    <w:rsid w:val="003F4997"/>
    <w:rsid w:val="003F4C81"/>
    <w:rsid w:val="003F56AC"/>
    <w:rsid w:val="003F64AA"/>
    <w:rsid w:val="003F671E"/>
    <w:rsid w:val="003F7306"/>
    <w:rsid w:val="00400D97"/>
    <w:rsid w:val="004032C5"/>
    <w:rsid w:val="00405BFA"/>
    <w:rsid w:val="0041083E"/>
    <w:rsid w:val="00410C2D"/>
    <w:rsid w:val="00410F67"/>
    <w:rsid w:val="00412C11"/>
    <w:rsid w:val="00413C81"/>
    <w:rsid w:val="00413D77"/>
    <w:rsid w:val="00413D86"/>
    <w:rsid w:val="004159EC"/>
    <w:rsid w:val="0041662E"/>
    <w:rsid w:val="00420621"/>
    <w:rsid w:val="0042148F"/>
    <w:rsid w:val="004216FD"/>
    <w:rsid w:val="00421CDF"/>
    <w:rsid w:val="00421F4E"/>
    <w:rsid w:val="0042361E"/>
    <w:rsid w:val="00423E8F"/>
    <w:rsid w:val="00424188"/>
    <w:rsid w:val="00424B78"/>
    <w:rsid w:val="0042618B"/>
    <w:rsid w:val="00426A68"/>
    <w:rsid w:val="00426DFC"/>
    <w:rsid w:val="00427318"/>
    <w:rsid w:val="004278B5"/>
    <w:rsid w:val="0043066E"/>
    <w:rsid w:val="00431D6B"/>
    <w:rsid w:val="00434231"/>
    <w:rsid w:val="00434804"/>
    <w:rsid w:val="004348C3"/>
    <w:rsid w:val="00436796"/>
    <w:rsid w:val="00436E0B"/>
    <w:rsid w:val="004378C3"/>
    <w:rsid w:val="0044050B"/>
    <w:rsid w:val="00441A16"/>
    <w:rsid w:val="00442966"/>
    <w:rsid w:val="00442A56"/>
    <w:rsid w:val="00442F84"/>
    <w:rsid w:val="00444ECF"/>
    <w:rsid w:val="004478DB"/>
    <w:rsid w:val="004479CE"/>
    <w:rsid w:val="004504B0"/>
    <w:rsid w:val="004513CC"/>
    <w:rsid w:val="00452B0B"/>
    <w:rsid w:val="00454DBE"/>
    <w:rsid w:val="00455154"/>
    <w:rsid w:val="00455528"/>
    <w:rsid w:val="004572A8"/>
    <w:rsid w:val="004579C7"/>
    <w:rsid w:val="00457FA0"/>
    <w:rsid w:val="004605FE"/>
    <w:rsid w:val="0046149F"/>
    <w:rsid w:val="0046188A"/>
    <w:rsid w:val="00462D99"/>
    <w:rsid w:val="00464C8D"/>
    <w:rsid w:val="00465747"/>
    <w:rsid w:val="0046619F"/>
    <w:rsid w:val="004662FF"/>
    <w:rsid w:val="004665A6"/>
    <w:rsid w:val="004668B8"/>
    <w:rsid w:val="00466E4F"/>
    <w:rsid w:val="00467C50"/>
    <w:rsid w:val="00470573"/>
    <w:rsid w:val="0047143B"/>
    <w:rsid w:val="004734FF"/>
    <w:rsid w:val="00473FD3"/>
    <w:rsid w:val="00474262"/>
    <w:rsid w:val="0047469F"/>
    <w:rsid w:val="00474F83"/>
    <w:rsid w:val="00475E9E"/>
    <w:rsid w:val="0047627D"/>
    <w:rsid w:val="0047672B"/>
    <w:rsid w:val="00476BA7"/>
    <w:rsid w:val="00480061"/>
    <w:rsid w:val="00481AC2"/>
    <w:rsid w:val="00482B93"/>
    <w:rsid w:val="004835F1"/>
    <w:rsid w:val="00486F8D"/>
    <w:rsid w:val="0048747E"/>
    <w:rsid w:val="004902B5"/>
    <w:rsid w:val="00492D5A"/>
    <w:rsid w:val="004944AB"/>
    <w:rsid w:val="00494937"/>
    <w:rsid w:val="0049579D"/>
    <w:rsid w:val="004968B9"/>
    <w:rsid w:val="00497264"/>
    <w:rsid w:val="00497D21"/>
    <w:rsid w:val="004A046A"/>
    <w:rsid w:val="004A161D"/>
    <w:rsid w:val="004A1938"/>
    <w:rsid w:val="004A30A8"/>
    <w:rsid w:val="004A353B"/>
    <w:rsid w:val="004A42BB"/>
    <w:rsid w:val="004A5156"/>
    <w:rsid w:val="004A6EA1"/>
    <w:rsid w:val="004A6F85"/>
    <w:rsid w:val="004A7F5B"/>
    <w:rsid w:val="004B1A13"/>
    <w:rsid w:val="004B2C4B"/>
    <w:rsid w:val="004B3687"/>
    <w:rsid w:val="004B37C3"/>
    <w:rsid w:val="004B3EE9"/>
    <w:rsid w:val="004B42F2"/>
    <w:rsid w:val="004B5719"/>
    <w:rsid w:val="004B70DD"/>
    <w:rsid w:val="004B7895"/>
    <w:rsid w:val="004C0A2C"/>
    <w:rsid w:val="004C14A3"/>
    <w:rsid w:val="004C1A4B"/>
    <w:rsid w:val="004C1BFE"/>
    <w:rsid w:val="004C287C"/>
    <w:rsid w:val="004C2E70"/>
    <w:rsid w:val="004C4DC6"/>
    <w:rsid w:val="004C5740"/>
    <w:rsid w:val="004C7EA0"/>
    <w:rsid w:val="004D0B81"/>
    <w:rsid w:val="004D0B91"/>
    <w:rsid w:val="004D0C76"/>
    <w:rsid w:val="004D0D1E"/>
    <w:rsid w:val="004D13B4"/>
    <w:rsid w:val="004D210F"/>
    <w:rsid w:val="004D39DB"/>
    <w:rsid w:val="004D46DE"/>
    <w:rsid w:val="004D47A3"/>
    <w:rsid w:val="004D6721"/>
    <w:rsid w:val="004D6C74"/>
    <w:rsid w:val="004D6D41"/>
    <w:rsid w:val="004D75F7"/>
    <w:rsid w:val="004D7A12"/>
    <w:rsid w:val="004D7A2A"/>
    <w:rsid w:val="004D7D43"/>
    <w:rsid w:val="004E0A7C"/>
    <w:rsid w:val="004E1002"/>
    <w:rsid w:val="004E14CA"/>
    <w:rsid w:val="004E37BE"/>
    <w:rsid w:val="004E3922"/>
    <w:rsid w:val="004E3B68"/>
    <w:rsid w:val="004E3FB2"/>
    <w:rsid w:val="004E4C04"/>
    <w:rsid w:val="004E5C43"/>
    <w:rsid w:val="004E5ED8"/>
    <w:rsid w:val="004E65C8"/>
    <w:rsid w:val="004E751C"/>
    <w:rsid w:val="004E7A46"/>
    <w:rsid w:val="004F048A"/>
    <w:rsid w:val="004F0F74"/>
    <w:rsid w:val="004F24B3"/>
    <w:rsid w:val="004F2D4A"/>
    <w:rsid w:val="004F3C3E"/>
    <w:rsid w:val="004F441A"/>
    <w:rsid w:val="004F5C43"/>
    <w:rsid w:val="004F622C"/>
    <w:rsid w:val="004F6F45"/>
    <w:rsid w:val="004F6F7F"/>
    <w:rsid w:val="004F79AF"/>
    <w:rsid w:val="005009BC"/>
    <w:rsid w:val="00500FA3"/>
    <w:rsid w:val="00501160"/>
    <w:rsid w:val="00501846"/>
    <w:rsid w:val="00501943"/>
    <w:rsid w:val="00503E4C"/>
    <w:rsid w:val="00505637"/>
    <w:rsid w:val="00506C98"/>
    <w:rsid w:val="00510C67"/>
    <w:rsid w:val="00511EC0"/>
    <w:rsid w:val="00513552"/>
    <w:rsid w:val="005147E8"/>
    <w:rsid w:val="00514D14"/>
    <w:rsid w:val="005176C3"/>
    <w:rsid w:val="005177B9"/>
    <w:rsid w:val="00520E4F"/>
    <w:rsid w:val="0052146E"/>
    <w:rsid w:val="0052159B"/>
    <w:rsid w:val="00527832"/>
    <w:rsid w:val="00527B62"/>
    <w:rsid w:val="005308AF"/>
    <w:rsid w:val="00531229"/>
    <w:rsid w:val="00531B51"/>
    <w:rsid w:val="00532852"/>
    <w:rsid w:val="005343DB"/>
    <w:rsid w:val="00535235"/>
    <w:rsid w:val="00535E28"/>
    <w:rsid w:val="005368F1"/>
    <w:rsid w:val="00537372"/>
    <w:rsid w:val="00540021"/>
    <w:rsid w:val="0054057E"/>
    <w:rsid w:val="00540AE8"/>
    <w:rsid w:val="005418E0"/>
    <w:rsid w:val="00546A53"/>
    <w:rsid w:val="00546BB2"/>
    <w:rsid w:val="00547206"/>
    <w:rsid w:val="005502F5"/>
    <w:rsid w:val="005508DD"/>
    <w:rsid w:val="005509A5"/>
    <w:rsid w:val="0055127D"/>
    <w:rsid w:val="00553160"/>
    <w:rsid w:val="0055376B"/>
    <w:rsid w:val="005537AD"/>
    <w:rsid w:val="00554A06"/>
    <w:rsid w:val="00554BD6"/>
    <w:rsid w:val="005551E3"/>
    <w:rsid w:val="00555E09"/>
    <w:rsid w:val="00556587"/>
    <w:rsid w:val="00557428"/>
    <w:rsid w:val="005606E1"/>
    <w:rsid w:val="005626EE"/>
    <w:rsid w:val="0056398E"/>
    <w:rsid w:val="005650D0"/>
    <w:rsid w:val="00566191"/>
    <w:rsid w:val="00566F17"/>
    <w:rsid w:val="00567900"/>
    <w:rsid w:val="00567F82"/>
    <w:rsid w:val="00570522"/>
    <w:rsid w:val="00571288"/>
    <w:rsid w:val="00571749"/>
    <w:rsid w:val="00571A24"/>
    <w:rsid w:val="00572333"/>
    <w:rsid w:val="005737CB"/>
    <w:rsid w:val="00573C90"/>
    <w:rsid w:val="00573E2F"/>
    <w:rsid w:val="00575DA4"/>
    <w:rsid w:val="00575F54"/>
    <w:rsid w:val="00575FC8"/>
    <w:rsid w:val="005773F7"/>
    <w:rsid w:val="00577779"/>
    <w:rsid w:val="0057786A"/>
    <w:rsid w:val="00577E8A"/>
    <w:rsid w:val="00577F99"/>
    <w:rsid w:val="00580010"/>
    <w:rsid w:val="005809A6"/>
    <w:rsid w:val="00580F8F"/>
    <w:rsid w:val="00581DC8"/>
    <w:rsid w:val="0058205E"/>
    <w:rsid w:val="0058283F"/>
    <w:rsid w:val="00582A84"/>
    <w:rsid w:val="00583DBD"/>
    <w:rsid w:val="005847F0"/>
    <w:rsid w:val="00585A7E"/>
    <w:rsid w:val="00586D93"/>
    <w:rsid w:val="00586E01"/>
    <w:rsid w:val="00587290"/>
    <w:rsid w:val="00587EA2"/>
    <w:rsid w:val="00591866"/>
    <w:rsid w:val="00591D45"/>
    <w:rsid w:val="00592F0E"/>
    <w:rsid w:val="005947CB"/>
    <w:rsid w:val="00594901"/>
    <w:rsid w:val="005949D6"/>
    <w:rsid w:val="005A09BD"/>
    <w:rsid w:val="005A0F1F"/>
    <w:rsid w:val="005A1039"/>
    <w:rsid w:val="005A1628"/>
    <w:rsid w:val="005A208C"/>
    <w:rsid w:val="005A22F4"/>
    <w:rsid w:val="005A2D27"/>
    <w:rsid w:val="005A4566"/>
    <w:rsid w:val="005A4D97"/>
    <w:rsid w:val="005A5B8F"/>
    <w:rsid w:val="005A5E28"/>
    <w:rsid w:val="005A769B"/>
    <w:rsid w:val="005A7845"/>
    <w:rsid w:val="005A794E"/>
    <w:rsid w:val="005A7DC6"/>
    <w:rsid w:val="005B0651"/>
    <w:rsid w:val="005B08A5"/>
    <w:rsid w:val="005B0A5F"/>
    <w:rsid w:val="005B1275"/>
    <w:rsid w:val="005B134A"/>
    <w:rsid w:val="005B222F"/>
    <w:rsid w:val="005B282F"/>
    <w:rsid w:val="005B366F"/>
    <w:rsid w:val="005B4268"/>
    <w:rsid w:val="005B46DB"/>
    <w:rsid w:val="005B49A0"/>
    <w:rsid w:val="005B62D8"/>
    <w:rsid w:val="005C0657"/>
    <w:rsid w:val="005C0D3E"/>
    <w:rsid w:val="005C0E06"/>
    <w:rsid w:val="005C146D"/>
    <w:rsid w:val="005C168E"/>
    <w:rsid w:val="005C1A7E"/>
    <w:rsid w:val="005C2A4C"/>
    <w:rsid w:val="005C48AF"/>
    <w:rsid w:val="005C4AB4"/>
    <w:rsid w:val="005C5064"/>
    <w:rsid w:val="005C553C"/>
    <w:rsid w:val="005C68DB"/>
    <w:rsid w:val="005D1D64"/>
    <w:rsid w:val="005D2297"/>
    <w:rsid w:val="005D2972"/>
    <w:rsid w:val="005D2EAB"/>
    <w:rsid w:val="005D312B"/>
    <w:rsid w:val="005D3B22"/>
    <w:rsid w:val="005D48AD"/>
    <w:rsid w:val="005D4CE3"/>
    <w:rsid w:val="005D50F6"/>
    <w:rsid w:val="005D72C6"/>
    <w:rsid w:val="005D7B62"/>
    <w:rsid w:val="005E05D9"/>
    <w:rsid w:val="005E171A"/>
    <w:rsid w:val="005E2A35"/>
    <w:rsid w:val="005E332D"/>
    <w:rsid w:val="005E367F"/>
    <w:rsid w:val="005E38B5"/>
    <w:rsid w:val="005E43B4"/>
    <w:rsid w:val="005E6705"/>
    <w:rsid w:val="005E72A4"/>
    <w:rsid w:val="005E7550"/>
    <w:rsid w:val="005E7EF0"/>
    <w:rsid w:val="005F0BBE"/>
    <w:rsid w:val="005F28A8"/>
    <w:rsid w:val="005F3AF5"/>
    <w:rsid w:val="005F3BDF"/>
    <w:rsid w:val="005F3CAB"/>
    <w:rsid w:val="005F4016"/>
    <w:rsid w:val="005F40AB"/>
    <w:rsid w:val="005F498B"/>
    <w:rsid w:val="005F4D0E"/>
    <w:rsid w:val="005F63C5"/>
    <w:rsid w:val="005F7088"/>
    <w:rsid w:val="005F7A1D"/>
    <w:rsid w:val="00600413"/>
    <w:rsid w:val="00602760"/>
    <w:rsid w:val="00604713"/>
    <w:rsid w:val="00605BB3"/>
    <w:rsid w:val="00605F8C"/>
    <w:rsid w:val="006062FC"/>
    <w:rsid w:val="00606B1F"/>
    <w:rsid w:val="00610AF9"/>
    <w:rsid w:val="006130BB"/>
    <w:rsid w:val="00613182"/>
    <w:rsid w:val="006131DC"/>
    <w:rsid w:val="00613D36"/>
    <w:rsid w:val="00616543"/>
    <w:rsid w:val="00621F8D"/>
    <w:rsid w:val="00622002"/>
    <w:rsid w:val="0062258F"/>
    <w:rsid w:val="00622D1A"/>
    <w:rsid w:val="0062388D"/>
    <w:rsid w:val="00623B25"/>
    <w:rsid w:val="00624216"/>
    <w:rsid w:val="00624C0F"/>
    <w:rsid w:val="0062544F"/>
    <w:rsid w:val="00630E58"/>
    <w:rsid w:val="00632258"/>
    <w:rsid w:val="00633039"/>
    <w:rsid w:val="00633146"/>
    <w:rsid w:val="00633852"/>
    <w:rsid w:val="006350E8"/>
    <w:rsid w:val="00635C11"/>
    <w:rsid w:val="00636A8E"/>
    <w:rsid w:val="00640883"/>
    <w:rsid w:val="00641194"/>
    <w:rsid w:val="00642395"/>
    <w:rsid w:val="00642BCA"/>
    <w:rsid w:val="00642F62"/>
    <w:rsid w:val="006433FD"/>
    <w:rsid w:val="00643834"/>
    <w:rsid w:val="0064388D"/>
    <w:rsid w:val="00644A18"/>
    <w:rsid w:val="00646F73"/>
    <w:rsid w:val="00647399"/>
    <w:rsid w:val="006476EB"/>
    <w:rsid w:val="00647E2E"/>
    <w:rsid w:val="00650220"/>
    <w:rsid w:val="00650C91"/>
    <w:rsid w:val="0065285A"/>
    <w:rsid w:val="0065295C"/>
    <w:rsid w:val="00654118"/>
    <w:rsid w:val="0065422B"/>
    <w:rsid w:val="00654792"/>
    <w:rsid w:val="00656218"/>
    <w:rsid w:val="00657FF9"/>
    <w:rsid w:val="0066024B"/>
    <w:rsid w:val="006603E6"/>
    <w:rsid w:val="00661464"/>
    <w:rsid w:val="00661DE2"/>
    <w:rsid w:val="0066289A"/>
    <w:rsid w:val="00663141"/>
    <w:rsid w:val="00663868"/>
    <w:rsid w:val="00663EF6"/>
    <w:rsid w:val="00665509"/>
    <w:rsid w:val="006662DD"/>
    <w:rsid w:val="00666B06"/>
    <w:rsid w:val="00667F68"/>
    <w:rsid w:val="00671390"/>
    <w:rsid w:val="0067153A"/>
    <w:rsid w:val="006716E9"/>
    <w:rsid w:val="00671E65"/>
    <w:rsid w:val="0067353E"/>
    <w:rsid w:val="00674038"/>
    <w:rsid w:val="006740BE"/>
    <w:rsid w:val="00674251"/>
    <w:rsid w:val="00674711"/>
    <w:rsid w:val="0067534D"/>
    <w:rsid w:val="00675D0F"/>
    <w:rsid w:val="006765FB"/>
    <w:rsid w:val="00676A4D"/>
    <w:rsid w:val="00677604"/>
    <w:rsid w:val="0067769A"/>
    <w:rsid w:val="00680AF6"/>
    <w:rsid w:val="00680AFB"/>
    <w:rsid w:val="00681659"/>
    <w:rsid w:val="00682075"/>
    <w:rsid w:val="00682269"/>
    <w:rsid w:val="006838B1"/>
    <w:rsid w:val="00686D0E"/>
    <w:rsid w:val="006873A6"/>
    <w:rsid w:val="0069003E"/>
    <w:rsid w:val="00690295"/>
    <w:rsid w:val="00690E40"/>
    <w:rsid w:val="00692222"/>
    <w:rsid w:val="00693F8F"/>
    <w:rsid w:val="00694641"/>
    <w:rsid w:val="00694F52"/>
    <w:rsid w:val="00695904"/>
    <w:rsid w:val="006960E8"/>
    <w:rsid w:val="00697025"/>
    <w:rsid w:val="006A0778"/>
    <w:rsid w:val="006A1057"/>
    <w:rsid w:val="006A1D73"/>
    <w:rsid w:val="006A2057"/>
    <w:rsid w:val="006A3A7C"/>
    <w:rsid w:val="006A586C"/>
    <w:rsid w:val="006A5A36"/>
    <w:rsid w:val="006A61DA"/>
    <w:rsid w:val="006A7E02"/>
    <w:rsid w:val="006B02B7"/>
    <w:rsid w:val="006B179E"/>
    <w:rsid w:val="006B1F32"/>
    <w:rsid w:val="006B2006"/>
    <w:rsid w:val="006B498D"/>
    <w:rsid w:val="006B4A7D"/>
    <w:rsid w:val="006B4ED1"/>
    <w:rsid w:val="006B5441"/>
    <w:rsid w:val="006B74C3"/>
    <w:rsid w:val="006B74E7"/>
    <w:rsid w:val="006C1CDB"/>
    <w:rsid w:val="006C1DC4"/>
    <w:rsid w:val="006C2C84"/>
    <w:rsid w:val="006C2EF5"/>
    <w:rsid w:val="006C3D96"/>
    <w:rsid w:val="006C443A"/>
    <w:rsid w:val="006C6446"/>
    <w:rsid w:val="006C6CD5"/>
    <w:rsid w:val="006C7194"/>
    <w:rsid w:val="006C743B"/>
    <w:rsid w:val="006C7A24"/>
    <w:rsid w:val="006C7ABF"/>
    <w:rsid w:val="006D00F5"/>
    <w:rsid w:val="006D0F02"/>
    <w:rsid w:val="006D122F"/>
    <w:rsid w:val="006D1C3B"/>
    <w:rsid w:val="006D1E27"/>
    <w:rsid w:val="006D2715"/>
    <w:rsid w:val="006D2D79"/>
    <w:rsid w:val="006D2F63"/>
    <w:rsid w:val="006D3407"/>
    <w:rsid w:val="006D3433"/>
    <w:rsid w:val="006D38EB"/>
    <w:rsid w:val="006D4552"/>
    <w:rsid w:val="006D484A"/>
    <w:rsid w:val="006D4ED0"/>
    <w:rsid w:val="006D59CD"/>
    <w:rsid w:val="006D6657"/>
    <w:rsid w:val="006D6D0B"/>
    <w:rsid w:val="006D75AB"/>
    <w:rsid w:val="006D76D6"/>
    <w:rsid w:val="006D799B"/>
    <w:rsid w:val="006D7B7D"/>
    <w:rsid w:val="006E03BC"/>
    <w:rsid w:val="006E0453"/>
    <w:rsid w:val="006E0599"/>
    <w:rsid w:val="006E0712"/>
    <w:rsid w:val="006E179A"/>
    <w:rsid w:val="006E2C1C"/>
    <w:rsid w:val="006E3074"/>
    <w:rsid w:val="006E3556"/>
    <w:rsid w:val="006E384C"/>
    <w:rsid w:val="006E3C80"/>
    <w:rsid w:val="006E4194"/>
    <w:rsid w:val="006F130A"/>
    <w:rsid w:val="006F2B06"/>
    <w:rsid w:val="006F3696"/>
    <w:rsid w:val="006F3DA1"/>
    <w:rsid w:val="006F3F1F"/>
    <w:rsid w:val="006F428C"/>
    <w:rsid w:val="006F4F0A"/>
    <w:rsid w:val="006F53E0"/>
    <w:rsid w:val="006F61C2"/>
    <w:rsid w:val="006F6FC4"/>
    <w:rsid w:val="007003C2"/>
    <w:rsid w:val="00700A4C"/>
    <w:rsid w:val="0070151C"/>
    <w:rsid w:val="00701FF5"/>
    <w:rsid w:val="007029AC"/>
    <w:rsid w:val="00703616"/>
    <w:rsid w:val="00703AE7"/>
    <w:rsid w:val="00703CE6"/>
    <w:rsid w:val="00705CBF"/>
    <w:rsid w:val="0070750B"/>
    <w:rsid w:val="00707E9B"/>
    <w:rsid w:val="00707FF1"/>
    <w:rsid w:val="007108ED"/>
    <w:rsid w:val="00711566"/>
    <w:rsid w:val="00712466"/>
    <w:rsid w:val="00713416"/>
    <w:rsid w:val="0071446D"/>
    <w:rsid w:val="007157B6"/>
    <w:rsid w:val="00715AF2"/>
    <w:rsid w:val="00716E29"/>
    <w:rsid w:val="007177AA"/>
    <w:rsid w:val="007200EC"/>
    <w:rsid w:val="00720CA5"/>
    <w:rsid w:val="007212B6"/>
    <w:rsid w:val="00721B81"/>
    <w:rsid w:val="00721C76"/>
    <w:rsid w:val="00721CE4"/>
    <w:rsid w:val="007226A0"/>
    <w:rsid w:val="0072272E"/>
    <w:rsid w:val="0072332F"/>
    <w:rsid w:val="0072341F"/>
    <w:rsid w:val="00723B37"/>
    <w:rsid w:val="007243BC"/>
    <w:rsid w:val="00727055"/>
    <w:rsid w:val="00730418"/>
    <w:rsid w:val="00730802"/>
    <w:rsid w:val="007312D4"/>
    <w:rsid w:val="007332BE"/>
    <w:rsid w:val="00733812"/>
    <w:rsid w:val="00733EE6"/>
    <w:rsid w:val="00734DD5"/>
    <w:rsid w:val="00735912"/>
    <w:rsid w:val="00735ACF"/>
    <w:rsid w:val="00736893"/>
    <w:rsid w:val="00736946"/>
    <w:rsid w:val="007370F3"/>
    <w:rsid w:val="00740E04"/>
    <w:rsid w:val="00740E8A"/>
    <w:rsid w:val="00742DC4"/>
    <w:rsid w:val="00742EE8"/>
    <w:rsid w:val="00743BEB"/>
    <w:rsid w:val="00744280"/>
    <w:rsid w:val="00745254"/>
    <w:rsid w:val="0074527D"/>
    <w:rsid w:val="00745B44"/>
    <w:rsid w:val="007469C6"/>
    <w:rsid w:val="007478EC"/>
    <w:rsid w:val="00750199"/>
    <w:rsid w:val="00750FC5"/>
    <w:rsid w:val="007520D5"/>
    <w:rsid w:val="00752DA0"/>
    <w:rsid w:val="007542AF"/>
    <w:rsid w:val="007548CC"/>
    <w:rsid w:val="00754943"/>
    <w:rsid w:val="00754A30"/>
    <w:rsid w:val="007554A0"/>
    <w:rsid w:val="007555DF"/>
    <w:rsid w:val="00755A04"/>
    <w:rsid w:val="00761846"/>
    <w:rsid w:val="00763D35"/>
    <w:rsid w:val="00763D83"/>
    <w:rsid w:val="00763F45"/>
    <w:rsid w:val="00764193"/>
    <w:rsid w:val="007653FE"/>
    <w:rsid w:val="00765499"/>
    <w:rsid w:val="0076610D"/>
    <w:rsid w:val="0076672E"/>
    <w:rsid w:val="00767128"/>
    <w:rsid w:val="007675EE"/>
    <w:rsid w:val="00767924"/>
    <w:rsid w:val="00772507"/>
    <w:rsid w:val="00773CFA"/>
    <w:rsid w:val="00774853"/>
    <w:rsid w:val="00774B5A"/>
    <w:rsid w:val="007751AB"/>
    <w:rsid w:val="007752FD"/>
    <w:rsid w:val="0077588A"/>
    <w:rsid w:val="00775B5B"/>
    <w:rsid w:val="00775FC0"/>
    <w:rsid w:val="00776709"/>
    <w:rsid w:val="00776C41"/>
    <w:rsid w:val="00780325"/>
    <w:rsid w:val="00780583"/>
    <w:rsid w:val="00780D1B"/>
    <w:rsid w:val="00780DEB"/>
    <w:rsid w:val="00780EB4"/>
    <w:rsid w:val="00781220"/>
    <w:rsid w:val="00781939"/>
    <w:rsid w:val="00781AA7"/>
    <w:rsid w:val="00782418"/>
    <w:rsid w:val="00782C9F"/>
    <w:rsid w:val="00782DA5"/>
    <w:rsid w:val="007834A4"/>
    <w:rsid w:val="0078369A"/>
    <w:rsid w:val="00783A6F"/>
    <w:rsid w:val="007853E6"/>
    <w:rsid w:val="00785CC6"/>
    <w:rsid w:val="00785D8E"/>
    <w:rsid w:val="00785F46"/>
    <w:rsid w:val="0078646F"/>
    <w:rsid w:val="00786717"/>
    <w:rsid w:val="00786863"/>
    <w:rsid w:val="007872AA"/>
    <w:rsid w:val="00787CBF"/>
    <w:rsid w:val="0079117C"/>
    <w:rsid w:val="00791845"/>
    <w:rsid w:val="007918BA"/>
    <w:rsid w:val="0079200D"/>
    <w:rsid w:val="0079280F"/>
    <w:rsid w:val="007934BE"/>
    <w:rsid w:val="0079390F"/>
    <w:rsid w:val="00793F68"/>
    <w:rsid w:val="00795F47"/>
    <w:rsid w:val="007963D6"/>
    <w:rsid w:val="00797163"/>
    <w:rsid w:val="00797E9B"/>
    <w:rsid w:val="007A198B"/>
    <w:rsid w:val="007A2093"/>
    <w:rsid w:val="007A2422"/>
    <w:rsid w:val="007A3462"/>
    <w:rsid w:val="007A465B"/>
    <w:rsid w:val="007A4C67"/>
    <w:rsid w:val="007A5087"/>
    <w:rsid w:val="007A514D"/>
    <w:rsid w:val="007A7D03"/>
    <w:rsid w:val="007B048F"/>
    <w:rsid w:val="007B249B"/>
    <w:rsid w:val="007B24B3"/>
    <w:rsid w:val="007B25FB"/>
    <w:rsid w:val="007B287C"/>
    <w:rsid w:val="007B2A71"/>
    <w:rsid w:val="007B3B66"/>
    <w:rsid w:val="007B3D40"/>
    <w:rsid w:val="007B4771"/>
    <w:rsid w:val="007B494B"/>
    <w:rsid w:val="007B4A64"/>
    <w:rsid w:val="007B5A58"/>
    <w:rsid w:val="007B719B"/>
    <w:rsid w:val="007B7976"/>
    <w:rsid w:val="007C0FCB"/>
    <w:rsid w:val="007C123A"/>
    <w:rsid w:val="007C17A0"/>
    <w:rsid w:val="007C280A"/>
    <w:rsid w:val="007C29EA"/>
    <w:rsid w:val="007C3733"/>
    <w:rsid w:val="007C56D2"/>
    <w:rsid w:val="007C573A"/>
    <w:rsid w:val="007C5A65"/>
    <w:rsid w:val="007C6D99"/>
    <w:rsid w:val="007D0BAD"/>
    <w:rsid w:val="007D123A"/>
    <w:rsid w:val="007D1F08"/>
    <w:rsid w:val="007D3706"/>
    <w:rsid w:val="007D3873"/>
    <w:rsid w:val="007D4AD9"/>
    <w:rsid w:val="007D4B92"/>
    <w:rsid w:val="007D56CB"/>
    <w:rsid w:val="007D5AA6"/>
    <w:rsid w:val="007D6253"/>
    <w:rsid w:val="007D6683"/>
    <w:rsid w:val="007D6C9F"/>
    <w:rsid w:val="007E1E72"/>
    <w:rsid w:val="007E1E94"/>
    <w:rsid w:val="007E2A56"/>
    <w:rsid w:val="007E3330"/>
    <w:rsid w:val="007E4270"/>
    <w:rsid w:val="007E4382"/>
    <w:rsid w:val="007E4577"/>
    <w:rsid w:val="007E4705"/>
    <w:rsid w:val="007E49FF"/>
    <w:rsid w:val="007E4ADB"/>
    <w:rsid w:val="007E6A32"/>
    <w:rsid w:val="007E7707"/>
    <w:rsid w:val="007E78DC"/>
    <w:rsid w:val="007E7E0A"/>
    <w:rsid w:val="007F01C0"/>
    <w:rsid w:val="007F11AE"/>
    <w:rsid w:val="007F1409"/>
    <w:rsid w:val="007F1666"/>
    <w:rsid w:val="007F2145"/>
    <w:rsid w:val="007F2416"/>
    <w:rsid w:val="007F3357"/>
    <w:rsid w:val="007F4AA4"/>
    <w:rsid w:val="007F5000"/>
    <w:rsid w:val="007F6799"/>
    <w:rsid w:val="007F7136"/>
    <w:rsid w:val="00800528"/>
    <w:rsid w:val="0080120E"/>
    <w:rsid w:val="0080199D"/>
    <w:rsid w:val="00801DDA"/>
    <w:rsid w:val="00801E25"/>
    <w:rsid w:val="008022B8"/>
    <w:rsid w:val="00802827"/>
    <w:rsid w:val="00802ABE"/>
    <w:rsid w:val="008031AE"/>
    <w:rsid w:val="00804223"/>
    <w:rsid w:val="0080429D"/>
    <w:rsid w:val="008044C5"/>
    <w:rsid w:val="00804D3A"/>
    <w:rsid w:val="0080636E"/>
    <w:rsid w:val="00810708"/>
    <w:rsid w:val="008114A4"/>
    <w:rsid w:val="00812047"/>
    <w:rsid w:val="008122E2"/>
    <w:rsid w:val="0081319D"/>
    <w:rsid w:val="00813365"/>
    <w:rsid w:val="0081391E"/>
    <w:rsid w:val="008139D8"/>
    <w:rsid w:val="00815B76"/>
    <w:rsid w:val="00816C68"/>
    <w:rsid w:val="008178C5"/>
    <w:rsid w:val="00817946"/>
    <w:rsid w:val="00817F50"/>
    <w:rsid w:val="00820705"/>
    <w:rsid w:val="00823A58"/>
    <w:rsid w:val="00824C85"/>
    <w:rsid w:val="008252CA"/>
    <w:rsid w:val="00825986"/>
    <w:rsid w:val="00825F09"/>
    <w:rsid w:val="008261D9"/>
    <w:rsid w:val="00826320"/>
    <w:rsid w:val="008269B8"/>
    <w:rsid w:val="008270E3"/>
    <w:rsid w:val="00830164"/>
    <w:rsid w:val="008305A3"/>
    <w:rsid w:val="00830792"/>
    <w:rsid w:val="00830D38"/>
    <w:rsid w:val="008318A1"/>
    <w:rsid w:val="00831C9B"/>
    <w:rsid w:val="008321C6"/>
    <w:rsid w:val="00832704"/>
    <w:rsid w:val="00832EC0"/>
    <w:rsid w:val="00833BE8"/>
    <w:rsid w:val="008345EC"/>
    <w:rsid w:val="0083544F"/>
    <w:rsid w:val="00840A99"/>
    <w:rsid w:val="00843200"/>
    <w:rsid w:val="00844D85"/>
    <w:rsid w:val="00845172"/>
    <w:rsid w:val="008452D3"/>
    <w:rsid w:val="00847E16"/>
    <w:rsid w:val="008501B8"/>
    <w:rsid w:val="00851339"/>
    <w:rsid w:val="00852749"/>
    <w:rsid w:val="00852E3E"/>
    <w:rsid w:val="00854BEC"/>
    <w:rsid w:val="00855373"/>
    <w:rsid w:val="008556B7"/>
    <w:rsid w:val="00856E64"/>
    <w:rsid w:val="00857367"/>
    <w:rsid w:val="00857492"/>
    <w:rsid w:val="00857C2E"/>
    <w:rsid w:val="00860399"/>
    <w:rsid w:val="0086041A"/>
    <w:rsid w:val="00860442"/>
    <w:rsid w:val="00861372"/>
    <w:rsid w:val="00861ACF"/>
    <w:rsid w:val="00862444"/>
    <w:rsid w:val="00862CAC"/>
    <w:rsid w:val="00863211"/>
    <w:rsid w:val="008640B0"/>
    <w:rsid w:val="00865E35"/>
    <w:rsid w:val="008667CF"/>
    <w:rsid w:val="008716E5"/>
    <w:rsid w:val="008719CD"/>
    <w:rsid w:val="00871F34"/>
    <w:rsid w:val="00872041"/>
    <w:rsid w:val="008729D0"/>
    <w:rsid w:val="00872A0C"/>
    <w:rsid w:val="00872F37"/>
    <w:rsid w:val="008732CD"/>
    <w:rsid w:val="00874D23"/>
    <w:rsid w:val="0087506F"/>
    <w:rsid w:val="008762BF"/>
    <w:rsid w:val="008764DC"/>
    <w:rsid w:val="00876CA2"/>
    <w:rsid w:val="0087783C"/>
    <w:rsid w:val="008803E3"/>
    <w:rsid w:val="00880D4E"/>
    <w:rsid w:val="00881A78"/>
    <w:rsid w:val="00881E78"/>
    <w:rsid w:val="008821E6"/>
    <w:rsid w:val="008822C3"/>
    <w:rsid w:val="008829A4"/>
    <w:rsid w:val="008831E7"/>
    <w:rsid w:val="00883735"/>
    <w:rsid w:val="00883744"/>
    <w:rsid w:val="00883755"/>
    <w:rsid w:val="00884779"/>
    <w:rsid w:val="008848DA"/>
    <w:rsid w:val="00884C82"/>
    <w:rsid w:val="008851C6"/>
    <w:rsid w:val="00887003"/>
    <w:rsid w:val="0088737D"/>
    <w:rsid w:val="008903C5"/>
    <w:rsid w:val="00891061"/>
    <w:rsid w:val="008911EA"/>
    <w:rsid w:val="00891E21"/>
    <w:rsid w:val="00891F73"/>
    <w:rsid w:val="008926D9"/>
    <w:rsid w:val="00892FD9"/>
    <w:rsid w:val="0089317B"/>
    <w:rsid w:val="00893E90"/>
    <w:rsid w:val="0089634C"/>
    <w:rsid w:val="008A0176"/>
    <w:rsid w:val="008A08DF"/>
    <w:rsid w:val="008A1598"/>
    <w:rsid w:val="008A2E3A"/>
    <w:rsid w:val="008A3477"/>
    <w:rsid w:val="008A3DD9"/>
    <w:rsid w:val="008A43D6"/>
    <w:rsid w:val="008A497C"/>
    <w:rsid w:val="008A4F46"/>
    <w:rsid w:val="008A7740"/>
    <w:rsid w:val="008B096D"/>
    <w:rsid w:val="008B0EB9"/>
    <w:rsid w:val="008B2DFA"/>
    <w:rsid w:val="008B2EFE"/>
    <w:rsid w:val="008B48CE"/>
    <w:rsid w:val="008B7A1C"/>
    <w:rsid w:val="008C0720"/>
    <w:rsid w:val="008C08D0"/>
    <w:rsid w:val="008C10BC"/>
    <w:rsid w:val="008C145B"/>
    <w:rsid w:val="008C190D"/>
    <w:rsid w:val="008C1DD4"/>
    <w:rsid w:val="008C22E3"/>
    <w:rsid w:val="008C25BB"/>
    <w:rsid w:val="008C314C"/>
    <w:rsid w:val="008C33DA"/>
    <w:rsid w:val="008C36BB"/>
    <w:rsid w:val="008C3D0E"/>
    <w:rsid w:val="008C43CD"/>
    <w:rsid w:val="008C502B"/>
    <w:rsid w:val="008C5123"/>
    <w:rsid w:val="008C598C"/>
    <w:rsid w:val="008D0BB7"/>
    <w:rsid w:val="008D1CFF"/>
    <w:rsid w:val="008D2DED"/>
    <w:rsid w:val="008D3853"/>
    <w:rsid w:val="008D52F6"/>
    <w:rsid w:val="008D5A5A"/>
    <w:rsid w:val="008D6571"/>
    <w:rsid w:val="008D66EE"/>
    <w:rsid w:val="008D6756"/>
    <w:rsid w:val="008D6D62"/>
    <w:rsid w:val="008D7A05"/>
    <w:rsid w:val="008E0D76"/>
    <w:rsid w:val="008E252C"/>
    <w:rsid w:val="008E2C5D"/>
    <w:rsid w:val="008E2D3F"/>
    <w:rsid w:val="008E3BED"/>
    <w:rsid w:val="008E4097"/>
    <w:rsid w:val="008E43E5"/>
    <w:rsid w:val="008E4478"/>
    <w:rsid w:val="008E4958"/>
    <w:rsid w:val="008E4A60"/>
    <w:rsid w:val="008E4B36"/>
    <w:rsid w:val="008E64F6"/>
    <w:rsid w:val="008E6633"/>
    <w:rsid w:val="008E6E49"/>
    <w:rsid w:val="008E700A"/>
    <w:rsid w:val="008E790C"/>
    <w:rsid w:val="008F06CD"/>
    <w:rsid w:val="008F0810"/>
    <w:rsid w:val="008F18E1"/>
    <w:rsid w:val="008F1F6A"/>
    <w:rsid w:val="008F2C85"/>
    <w:rsid w:val="008F2D66"/>
    <w:rsid w:val="008F2F6F"/>
    <w:rsid w:val="008F30C5"/>
    <w:rsid w:val="008F3426"/>
    <w:rsid w:val="008F3D2A"/>
    <w:rsid w:val="008F4FAA"/>
    <w:rsid w:val="008F507D"/>
    <w:rsid w:val="008F5DF5"/>
    <w:rsid w:val="008F6CBF"/>
    <w:rsid w:val="0090068F"/>
    <w:rsid w:val="00900BB1"/>
    <w:rsid w:val="00900E01"/>
    <w:rsid w:val="0090298F"/>
    <w:rsid w:val="00903E75"/>
    <w:rsid w:val="00904511"/>
    <w:rsid w:val="009045B4"/>
    <w:rsid w:val="00904FD6"/>
    <w:rsid w:val="00911038"/>
    <w:rsid w:val="00911095"/>
    <w:rsid w:val="009117FF"/>
    <w:rsid w:val="00913234"/>
    <w:rsid w:val="00914995"/>
    <w:rsid w:val="00915862"/>
    <w:rsid w:val="00915D06"/>
    <w:rsid w:val="00916A58"/>
    <w:rsid w:val="00917010"/>
    <w:rsid w:val="00921DBD"/>
    <w:rsid w:val="00921E3B"/>
    <w:rsid w:val="00922B03"/>
    <w:rsid w:val="00923EE5"/>
    <w:rsid w:val="00924812"/>
    <w:rsid w:val="00930383"/>
    <w:rsid w:val="0093075A"/>
    <w:rsid w:val="00930822"/>
    <w:rsid w:val="00930BAF"/>
    <w:rsid w:val="0093173B"/>
    <w:rsid w:val="009319A7"/>
    <w:rsid w:val="00931A4D"/>
    <w:rsid w:val="00931DE0"/>
    <w:rsid w:val="00932687"/>
    <w:rsid w:val="0093269E"/>
    <w:rsid w:val="00935048"/>
    <w:rsid w:val="00936B52"/>
    <w:rsid w:val="00937673"/>
    <w:rsid w:val="00937FD8"/>
    <w:rsid w:val="00937FF3"/>
    <w:rsid w:val="00940F9F"/>
    <w:rsid w:val="00941B16"/>
    <w:rsid w:val="00942C67"/>
    <w:rsid w:val="00942D5F"/>
    <w:rsid w:val="009435D8"/>
    <w:rsid w:val="009435E7"/>
    <w:rsid w:val="00943DA0"/>
    <w:rsid w:val="00943F91"/>
    <w:rsid w:val="00944120"/>
    <w:rsid w:val="009447CC"/>
    <w:rsid w:val="009467EC"/>
    <w:rsid w:val="00946976"/>
    <w:rsid w:val="00947391"/>
    <w:rsid w:val="009500C1"/>
    <w:rsid w:val="00952254"/>
    <w:rsid w:val="009558C1"/>
    <w:rsid w:val="009571F8"/>
    <w:rsid w:val="009607E1"/>
    <w:rsid w:val="00960AC7"/>
    <w:rsid w:val="0096103E"/>
    <w:rsid w:val="009616FC"/>
    <w:rsid w:val="00961CD5"/>
    <w:rsid w:val="009628BF"/>
    <w:rsid w:val="00962A72"/>
    <w:rsid w:val="00963400"/>
    <w:rsid w:val="00963C03"/>
    <w:rsid w:val="00964828"/>
    <w:rsid w:val="009648E1"/>
    <w:rsid w:val="00964F4F"/>
    <w:rsid w:val="009650C0"/>
    <w:rsid w:val="0096543B"/>
    <w:rsid w:val="00965788"/>
    <w:rsid w:val="00966A5A"/>
    <w:rsid w:val="00966CB2"/>
    <w:rsid w:val="0096718B"/>
    <w:rsid w:val="00967E4E"/>
    <w:rsid w:val="00970793"/>
    <w:rsid w:val="00970ECE"/>
    <w:rsid w:val="00971AB7"/>
    <w:rsid w:val="009720C4"/>
    <w:rsid w:val="009720FC"/>
    <w:rsid w:val="00972B50"/>
    <w:rsid w:val="009731A7"/>
    <w:rsid w:val="009745EC"/>
    <w:rsid w:val="00974771"/>
    <w:rsid w:val="00974EBF"/>
    <w:rsid w:val="00975219"/>
    <w:rsid w:val="0097528C"/>
    <w:rsid w:val="009754A8"/>
    <w:rsid w:val="00976BF9"/>
    <w:rsid w:val="00977BFD"/>
    <w:rsid w:val="00981413"/>
    <w:rsid w:val="00982995"/>
    <w:rsid w:val="00982D8B"/>
    <w:rsid w:val="009831CD"/>
    <w:rsid w:val="009841E5"/>
    <w:rsid w:val="009848D7"/>
    <w:rsid w:val="00984BD1"/>
    <w:rsid w:val="009851E1"/>
    <w:rsid w:val="00987058"/>
    <w:rsid w:val="009872A3"/>
    <w:rsid w:val="00987AD2"/>
    <w:rsid w:val="00987E6E"/>
    <w:rsid w:val="00987E7C"/>
    <w:rsid w:val="00990D05"/>
    <w:rsid w:val="00990F3C"/>
    <w:rsid w:val="009923B8"/>
    <w:rsid w:val="00994092"/>
    <w:rsid w:val="00995AC0"/>
    <w:rsid w:val="00996C4D"/>
    <w:rsid w:val="00997549"/>
    <w:rsid w:val="009A00D5"/>
    <w:rsid w:val="009A03FF"/>
    <w:rsid w:val="009A19C2"/>
    <w:rsid w:val="009A1B12"/>
    <w:rsid w:val="009A1C1B"/>
    <w:rsid w:val="009A1C95"/>
    <w:rsid w:val="009A1F05"/>
    <w:rsid w:val="009A3EC0"/>
    <w:rsid w:val="009A3EFE"/>
    <w:rsid w:val="009A47ED"/>
    <w:rsid w:val="009A5BF6"/>
    <w:rsid w:val="009A5D6D"/>
    <w:rsid w:val="009A5DBC"/>
    <w:rsid w:val="009B04F5"/>
    <w:rsid w:val="009B0B8E"/>
    <w:rsid w:val="009B18B8"/>
    <w:rsid w:val="009B28FB"/>
    <w:rsid w:val="009B290D"/>
    <w:rsid w:val="009B2B9A"/>
    <w:rsid w:val="009B2C68"/>
    <w:rsid w:val="009B3FBE"/>
    <w:rsid w:val="009B5E31"/>
    <w:rsid w:val="009B66FE"/>
    <w:rsid w:val="009C0014"/>
    <w:rsid w:val="009C0D8F"/>
    <w:rsid w:val="009C10F6"/>
    <w:rsid w:val="009C1381"/>
    <w:rsid w:val="009C2165"/>
    <w:rsid w:val="009C241A"/>
    <w:rsid w:val="009C281A"/>
    <w:rsid w:val="009C37EC"/>
    <w:rsid w:val="009C389D"/>
    <w:rsid w:val="009C3E37"/>
    <w:rsid w:val="009C3EA7"/>
    <w:rsid w:val="009C61E6"/>
    <w:rsid w:val="009C61F1"/>
    <w:rsid w:val="009C635F"/>
    <w:rsid w:val="009C66EB"/>
    <w:rsid w:val="009C687D"/>
    <w:rsid w:val="009C6A79"/>
    <w:rsid w:val="009D0994"/>
    <w:rsid w:val="009D11F4"/>
    <w:rsid w:val="009D1B94"/>
    <w:rsid w:val="009D2139"/>
    <w:rsid w:val="009D26AE"/>
    <w:rsid w:val="009D3ED0"/>
    <w:rsid w:val="009D6B40"/>
    <w:rsid w:val="009D7246"/>
    <w:rsid w:val="009D72D5"/>
    <w:rsid w:val="009D7311"/>
    <w:rsid w:val="009D7354"/>
    <w:rsid w:val="009E0154"/>
    <w:rsid w:val="009E09A1"/>
    <w:rsid w:val="009E15EC"/>
    <w:rsid w:val="009E1948"/>
    <w:rsid w:val="009E28D0"/>
    <w:rsid w:val="009E29E9"/>
    <w:rsid w:val="009E40F2"/>
    <w:rsid w:val="009E44D9"/>
    <w:rsid w:val="009E487C"/>
    <w:rsid w:val="009E60A5"/>
    <w:rsid w:val="009E6114"/>
    <w:rsid w:val="009E7942"/>
    <w:rsid w:val="009F0D1F"/>
    <w:rsid w:val="009F0ED4"/>
    <w:rsid w:val="009F278E"/>
    <w:rsid w:val="009F2F46"/>
    <w:rsid w:val="009F3C26"/>
    <w:rsid w:val="009F3D13"/>
    <w:rsid w:val="009F6E7C"/>
    <w:rsid w:val="009F733B"/>
    <w:rsid w:val="009F76C5"/>
    <w:rsid w:val="009F78AD"/>
    <w:rsid w:val="009F7D7A"/>
    <w:rsid w:val="009F7FA2"/>
    <w:rsid w:val="00A008AF"/>
    <w:rsid w:val="00A01664"/>
    <w:rsid w:val="00A016D9"/>
    <w:rsid w:val="00A03F06"/>
    <w:rsid w:val="00A046EB"/>
    <w:rsid w:val="00A07BC3"/>
    <w:rsid w:val="00A11019"/>
    <w:rsid w:val="00A12F67"/>
    <w:rsid w:val="00A1382F"/>
    <w:rsid w:val="00A139B1"/>
    <w:rsid w:val="00A13F6F"/>
    <w:rsid w:val="00A140E7"/>
    <w:rsid w:val="00A14A3E"/>
    <w:rsid w:val="00A1501D"/>
    <w:rsid w:val="00A15405"/>
    <w:rsid w:val="00A21680"/>
    <w:rsid w:val="00A218CC"/>
    <w:rsid w:val="00A219B6"/>
    <w:rsid w:val="00A21A1F"/>
    <w:rsid w:val="00A21AEA"/>
    <w:rsid w:val="00A22307"/>
    <w:rsid w:val="00A228CB"/>
    <w:rsid w:val="00A22A7C"/>
    <w:rsid w:val="00A2377B"/>
    <w:rsid w:val="00A2548B"/>
    <w:rsid w:val="00A258D3"/>
    <w:rsid w:val="00A25EC8"/>
    <w:rsid w:val="00A263A0"/>
    <w:rsid w:val="00A30496"/>
    <w:rsid w:val="00A30C32"/>
    <w:rsid w:val="00A3102F"/>
    <w:rsid w:val="00A319A8"/>
    <w:rsid w:val="00A31E41"/>
    <w:rsid w:val="00A3301D"/>
    <w:rsid w:val="00A34572"/>
    <w:rsid w:val="00A34598"/>
    <w:rsid w:val="00A34BB7"/>
    <w:rsid w:val="00A34F79"/>
    <w:rsid w:val="00A35DDC"/>
    <w:rsid w:val="00A36049"/>
    <w:rsid w:val="00A3634F"/>
    <w:rsid w:val="00A36AA6"/>
    <w:rsid w:val="00A3753B"/>
    <w:rsid w:val="00A37C3F"/>
    <w:rsid w:val="00A37D19"/>
    <w:rsid w:val="00A37F8D"/>
    <w:rsid w:val="00A40152"/>
    <w:rsid w:val="00A41FDF"/>
    <w:rsid w:val="00A42CA7"/>
    <w:rsid w:val="00A4307E"/>
    <w:rsid w:val="00A4357D"/>
    <w:rsid w:val="00A43865"/>
    <w:rsid w:val="00A438D1"/>
    <w:rsid w:val="00A44979"/>
    <w:rsid w:val="00A449A6"/>
    <w:rsid w:val="00A44B38"/>
    <w:rsid w:val="00A4547B"/>
    <w:rsid w:val="00A45847"/>
    <w:rsid w:val="00A46477"/>
    <w:rsid w:val="00A46A47"/>
    <w:rsid w:val="00A46ECF"/>
    <w:rsid w:val="00A476E9"/>
    <w:rsid w:val="00A47A50"/>
    <w:rsid w:val="00A47BA2"/>
    <w:rsid w:val="00A50440"/>
    <w:rsid w:val="00A504FE"/>
    <w:rsid w:val="00A50BD3"/>
    <w:rsid w:val="00A511FD"/>
    <w:rsid w:val="00A51964"/>
    <w:rsid w:val="00A54031"/>
    <w:rsid w:val="00A54197"/>
    <w:rsid w:val="00A54A1B"/>
    <w:rsid w:val="00A54F9C"/>
    <w:rsid w:val="00A5555F"/>
    <w:rsid w:val="00A5590A"/>
    <w:rsid w:val="00A5633B"/>
    <w:rsid w:val="00A5685A"/>
    <w:rsid w:val="00A57425"/>
    <w:rsid w:val="00A57FB8"/>
    <w:rsid w:val="00A6052A"/>
    <w:rsid w:val="00A608D2"/>
    <w:rsid w:val="00A60EC5"/>
    <w:rsid w:val="00A617A0"/>
    <w:rsid w:val="00A61EC3"/>
    <w:rsid w:val="00A61FCB"/>
    <w:rsid w:val="00A632C5"/>
    <w:rsid w:val="00A63C2F"/>
    <w:rsid w:val="00A6428B"/>
    <w:rsid w:val="00A64A40"/>
    <w:rsid w:val="00A64D32"/>
    <w:rsid w:val="00A65B40"/>
    <w:rsid w:val="00A6756B"/>
    <w:rsid w:val="00A67A99"/>
    <w:rsid w:val="00A70692"/>
    <w:rsid w:val="00A7100D"/>
    <w:rsid w:val="00A72707"/>
    <w:rsid w:val="00A7288A"/>
    <w:rsid w:val="00A72FB3"/>
    <w:rsid w:val="00A72FC5"/>
    <w:rsid w:val="00A735E8"/>
    <w:rsid w:val="00A74F42"/>
    <w:rsid w:val="00A753C9"/>
    <w:rsid w:val="00A75760"/>
    <w:rsid w:val="00A75AC9"/>
    <w:rsid w:val="00A75BE9"/>
    <w:rsid w:val="00A7610D"/>
    <w:rsid w:val="00A76213"/>
    <w:rsid w:val="00A76698"/>
    <w:rsid w:val="00A7697F"/>
    <w:rsid w:val="00A76CFC"/>
    <w:rsid w:val="00A76E48"/>
    <w:rsid w:val="00A77259"/>
    <w:rsid w:val="00A77464"/>
    <w:rsid w:val="00A775B3"/>
    <w:rsid w:val="00A779BE"/>
    <w:rsid w:val="00A835E7"/>
    <w:rsid w:val="00A85DC2"/>
    <w:rsid w:val="00A86C12"/>
    <w:rsid w:val="00A86C35"/>
    <w:rsid w:val="00A86CB4"/>
    <w:rsid w:val="00A87B7E"/>
    <w:rsid w:val="00A90468"/>
    <w:rsid w:val="00A9087D"/>
    <w:rsid w:val="00A91358"/>
    <w:rsid w:val="00A91FDD"/>
    <w:rsid w:val="00A9311C"/>
    <w:rsid w:val="00A938B9"/>
    <w:rsid w:val="00A95274"/>
    <w:rsid w:val="00A952C7"/>
    <w:rsid w:val="00A969EF"/>
    <w:rsid w:val="00A97466"/>
    <w:rsid w:val="00AA17F1"/>
    <w:rsid w:val="00AA1958"/>
    <w:rsid w:val="00AA1A94"/>
    <w:rsid w:val="00AA1B4E"/>
    <w:rsid w:val="00AA2825"/>
    <w:rsid w:val="00AA2A8B"/>
    <w:rsid w:val="00AA3356"/>
    <w:rsid w:val="00AA48A4"/>
    <w:rsid w:val="00AA4EF2"/>
    <w:rsid w:val="00AA5A50"/>
    <w:rsid w:val="00AA5C7B"/>
    <w:rsid w:val="00AA6AC4"/>
    <w:rsid w:val="00AB0105"/>
    <w:rsid w:val="00AB03D6"/>
    <w:rsid w:val="00AB0791"/>
    <w:rsid w:val="00AB1551"/>
    <w:rsid w:val="00AB16DE"/>
    <w:rsid w:val="00AB1ADA"/>
    <w:rsid w:val="00AB315B"/>
    <w:rsid w:val="00AB31FA"/>
    <w:rsid w:val="00AB3730"/>
    <w:rsid w:val="00AB3737"/>
    <w:rsid w:val="00AB3B2E"/>
    <w:rsid w:val="00AB407E"/>
    <w:rsid w:val="00AB6FF9"/>
    <w:rsid w:val="00AC098E"/>
    <w:rsid w:val="00AC47A7"/>
    <w:rsid w:val="00AC4C19"/>
    <w:rsid w:val="00AC608D"/>
    <w:rsid w:val="00AC72DE"/>
    <w:rsid w:val="00AC7321"/>
    <w:rsid w:val="00AC7ADA"/>
    <w:rsid w:val="00AC7DDF"/>
    <w:rsid w:val="00AD2CB1"/>
    <w:rsid w:val="00AD3516"/>
    <w:rsid w:val="00AD4890"/>
    <w:rsid w:val="00AD611D"/>
    <w:rsid w:val="00AD7BDE"/>
    <w:rsid w:val="00AE034D"/>
    <w:rsid w:val="00AE074C"/>
    <w:rsid w:val="00AE3923"/>
    <w:rsid w:val="00AE72EE"/>
    <w:rsid w:val="00AF0042"/>
    <w:rsid w:val="00AF068F"/>
    <w:rsid w:val="00AF0AD3"/>
    <w:rsid w:val="00AF1723"/>
    <w:rsid w:val="00AF1CAE"/>
    <w:rsid w:val="00AF3C39"/>
    <w:rsid w:val="00AF3FD5"/>
    <w:rsid w:val="00AF5351"/>
    <w:rsid w:val="00AF5A71"/>
    <w:rsid w:val="00AF5B45"/>
    <w:rsid w:val="00AF5D6A"/>
    <w:rsid w:val="00AF631E"/>
    <w:rsid w:val="00AF7A5D"/>
    <w:rsid w:val="00B00AFE"/>
    <w:rsid w:val="00B01962"/>
    <w:rsid w:val="00B01B35"/>
    <w:rsid w:val="00B01C81"/>
    <w:rsid w:val="00B0222D"/>
    <w:rsid w:val="00B0535B"/>
    <w:rsid w:val="00B054BF"/>
    <w:rsid w:val="00B05B1C"/>
    <w:rsid w:val="00B06E6D"/>
    <w:rsid w:val="00B073F2"/>
    <w:rsid w:val="00B074FC"/>
    <w:rsid w:val="00B07B4D"/>
    <w:rsid w:val="00B07C08"/>
    <w:rsid w:val="00B10419"/>
    <w:rsid w:val="00B10DA1"/>
    <w:rsid w:val="00B1161F"/>
    <w:rsid w:val="00B12333"/>
    <w:rsid w:val="00B1314B"/>
    <w:rsid w:val="00B13192"/>
    <w:rsid w:val="00B135D7"/>
    <w:rsid w:val="00B1427B"/>
    <w:rsid w:val="00B15201"/>
    <w:rsid w:val="00B16354"/>
    <w:rsid w:val="00B16847"/>
    <w:rsid w:val="00B179F4"/>
    <w:rsid w:val="00B17FB0"/>
    <w:rsid w:val="00B21FDD"/>
    <w:rsid w:val="00B231FA"/>
    <w:rsid w:val="00B23BB4"/>
    <w:rsid w:val="00B24CD9"/>
    <w:rsid w:val="00B250EA"/>
    <w:rsid w:val="00B25898"/>
    <w:rsid w:val="00B266AF"/>
    <w:rsid w:val="00B26D78"/>
    <w:rsid w:val="00B2797F"/>
    <w:rsid w:val="00B3489E"/>
    <w:rsid w:val="00B34E5C"/>
    <w:rsid w:val="00B35CC8"/>
    <w:rsid w:val="00B367DD"/>
    <w:rsid w:val="00B37538"/>
    <w:rsid w:val="00B401BC"/>
    <w:rsid w:val="00B4043D"/>
    <w:rsid w:val="00B40535"/>
    <w:rsid w:val="00B41C13"/>
    <w:rsid w:val="00B424FC"/>
    <w:rsid w:val="00B4369A"/>
    <w:rsid w:val="00B437D9"/>
    <w:rsid w:val="00B43A4A"/>
    <w:rsid w:val="00B44A6C"/>
    <w:rsid w:val="00B451E1"/>
    <w:rsid w:val="00B45225"/>
    <w:rsid w:val="00B45CFF"/>
    <w:rsid w:val="00B462A5"/>
    <w:rsid w:val="00B4668D"/>
    <w:rsid w:val="00B46F55"/>
    <w:rsid w:val="00B501B7"/>
    <w:rsid w:val="00B51251"/>
    <w:rsid w:val="00B516FA"/>
    <w:rsid w:val="00B518BF"/>
    <w:rsid w:val="00B52047"/>
    <w:rsid w:val="00B520C5"/>
    <w:rsid w:val="00B528DE"/>
    <w:rsid w:val="00B534DB"/>
    <w:rsid w:val="00B535F3"/>
    <w:rsid w:val="00B54B2A"/>
    <w:rsid w:val="00B54ED3"/>
    <w:rsid w:val="00B554C2"/>
    <w:rsid w:val="00B57118"/>
    <w:rsid w:val="00B5768E"/>
    <w:rsid w:val="00B60379"/>
    <w:rsid w:val="00B61D94"/>
    <w:rsid w:val="00B6200E"/>
    <w:rsid w:val="00B62884"/>
    <w:rsid w:val="00B62FB4"/>
    <w:rsid w:val="00B63C71"/>
    <w:rsid w:val="00B63D11"/>
    <w:rsid w:val="00B64588"/>
    <w:rsid w:val="00B65B93"/>
    <w:rsid w:val="00B67364"/>
    <w:rsid w:val="00B71FF0"/>
    <w:rsid w:val="00B72876"/>
    <w:rsid w:val="00B72C2B"/>
    <w:rsid w:val="00B736A3"/>
    <w:rsid w:val="00B73901"/>
    <w:rsid w:val="00B7397F"/>
    <w:rsid w:val="00B73E81"/>
    <w:rsid w:val="00B7418D"/>
    <w:rsid w:val="00B750CB"/>
    <w:rsid w:val="00B753EA"/>
    <w:rsid w:val="00B7543D"/>
    <w:rsid w:val="00B76097"/>
    <w:rsid w:val="00B7698F"/>
    <w:rsid w:val="00B77556"/>
    <w:rsid w:val="00B77ED7"/>
    <w:rsid w:val="00B808B6"/>
    <w:rsid w:val="00B80E34"/>
    <w:rsid w:val="00B81761"/>
    <w:rsid w:val="00B82B10"/>
    <w:rsid w:val="00B83125"/>
    <w:rsid w:val="00B83B57"/>
    <w:rsid w:val="00B84BDB"/>
    <w:rsid w:val="00B85407"/>
    <w:rsid w:val="00B864C1"/>
    <w:rsid w:val="00B86655"/>
    <w:rsid w:val="00B8716D"/>
    <w:rsid w:val="00B90C05"/>
    <w:rsid w:val="00B90C6D"/>
    <w:rsid w:val="00B92502"/>
    <w:rsid w:val="00B92A57"/>
    <w:rsid w:val="00B92CF7"/>
    <w:rsid w:val="00B935E3"/>
    <w:rsid w:val="00B954F9"/>
    <w:rsid w:val="00B95662"/>
    <w:rsid w:val="00B96875"/>
    <w:rsid w:val="00B97947"/>
    <w:rsid w:val="00BA02B9"/>
    <w:rsid w:val="00BA0C9F"/>
    <w:rsid w:val="00BA1C3D"/>
    <w:rsid w:val="00BA2D74"/>
    <w:rsid w:val="00BA30D7"/>
    <w:rsid w:val="00BA3550"/>
    <w:rsid w:val="00BA3D4D"/>
    <w:rsid w:val="00BA470C"/>
    <w:rsid w:val="00BA5281"/>
    <w:rsid w:val="00BA53B2"/>
    <w:rsid w:val="00BA5ACF"/>
    <w:rsid w:val="00BA6299"/>
    <w:rsid w:val="00BA68A0"/>
    <w:rsid w:val="00BA69DA"/>
    <w:rsid w:val="00BA726C"/>
    <w:rsid w:val="00BA7343"/>
    <w:rsid w:val="00BB0215"/>
    <w:rsid w:val="00BB12C5"/>
    <w:rsid w:val="00BB183D"/>
    <w:rsid w:val="00BB24D5"/>
    <w:rsid w:val="00BB3578"/>
    <w:rsid w:val="00BB3E0A"/>
    <w:rsid w:val="00BB3F08"/>
    <w:rsid w:val="00BB5CEA"/>
    <w:rsid w:val="00BB67AE"/>
    <w:rsid w:val="00BB74B5"/>
    <w:rsid w:val="00BB7BE5"/>
    <w:rsid w:val="00BC15D1"/>
    <w:rsid w:val="00BC1F81"/>
    <w:rsid w:val="00BC2D8A"/>
    <w:rsid w:val="00BC3A70"/>
    <w:rsid w:val="00BC3D3B"/>
    <w:rsid w:val="00BC3FE6"/>
    <w:rsid w:val="00BC6A26"/>
    <w:rsid w:val="00BC6E30"/>
    <w:rsid w:val="00BC7680"/>
    <w:rsid w:val="00BC7A2A"/>
    <w:rsid w:val="00BD12A9"/>
    <w:rsid w:val="00BD1897"/>
    <w:rsid w:val="00BD2786"/>
    <w:rsid w:val="00BD44E8"/>
    <w:rsid w:val="00BD47E1"/>
    <w:rsid w:val="00BD7503"/>
    <w:rsid w:val="00BD7AF4"/>
    <w:rsid w:val="00BD7E53"/>
    <w:rsid w:val="00BE0241"/>
    <w:rsid w:val="00BE12B8"/>
    <w:rsid w:val="00BE1A81"/>
    <w:rsid w:val="00BE3287"/>
    <w:rsid w:val="00BE32B8"/>
    <w:rsid w:val="00BE4116"/>
    <w:rsid w:val="00BE4192"/>
    <w:rsid w:val="00BE46FB"/>
    <w:rsid w:val="00BE4893"/>
    <w:rsid w:val="00BE4F73"/>
    <w:rsid w:val="00BE5EF5"/>
    <w:rsid w:val="00BE614A"/>
    <w:rsid w:val="00BE66C6"/>
    <w:rsid w:val="00BE6D81"/>
    <w:rsid w:val="00BE79C0"/>
    <w:rsid w:val="00BE7B3D"/>
    <w:rsid w:val="00BF00DE"/>
    <w:rsid w:val="00BF01A9"/>
    <w:rsid w:val="00BF0A3C"/>
    <w:rsid w:val="00BF2650"/>
    <w:rsid w:val="00BF2A37"/>
    <w:rsid w:val="00BF4249"/>
    <w:rsid w:val="00BF440F"/>
    <w:rsid w:val="00BF4C5F"/>
    <w:rsid w:val="00BF5F0D"/>
    <w:rsid w:val="00BF6112"/>
    <w:rsid w:val="00BF7A14"/>
    <w:rsid w:val="00C005A3"/>
    <w:rsid w:val="00C00B4D"/>
    <w:rsid w:val="00C00DE2"/>
    <w:rsid w:val="00C01676"/>
    <w:rsid w:val="00C01F56"/>
    <w:rsid w:val="00C029A9"/>
    <w:rsid w:val="00C02EEE"/>
    <w:rsid w:val="00C030DC"/>
    <w:rsid w:val="00C0504D"/>
    <w:rsid w:val="00C05896"/>
    <w:rsid w:val="00C05F54"/>
    <w:rsid w:val="00C062DA"/>
    <w:rsid w:val="00C10911"/>
    <w:rsid w:val="00C114D1"/>
    <w:rsid w:val="00C11760"/>
    <w:rsid w:val="00C13432"/>
    <w:rsid w:val="00C13905"/>
    <w:rsid w:val="00C14757"/>
    <w:rsid w:val="00C1660A"/>
    <w:rsid w:val="00C16AF3"/>
    <w:rsid w:val="00C16FB2"/>
    <w:rsid w:val="00C1739C"/>
    <w:rsid w:val="00C1742E"/>
    <w:rsid w:val="00C1753A"/>
    <w:rsid w:val="00C20D6A"/>
    <w:rsid w:val="00C216D3"/>
    <w:rsid w:val="00C218BD"/>
    <w:rsid w:val="00C21B72"/>
    <w:rsid w:val="00C22AE4"/>
    <w:rsid w:val="00C239CA"/>
    <w:rsid w:val="00C24A4D"/>
    <w:rsid w:val="00C24AAC"/>
    <w:rsid w:val="00C250B8"/>
    <w:rsid w:val="00C25168"/>
    <w:rsid w:val="00C26E06"/>
    <w:rsid w:val="00C26EC3"/>
    <w:rsid w:val="00C2738F"/>
    <w:rsid w:val="00C27EB7"/>
    <w:rsid w:val="00C30788"/>
    <w:rsid w:val="00C30FD9"/>
    <w:rsid w:val="00C3151E"/>
    <w:rsid w:val="00C31AFC"/>
    <w:rsid w:val="00C3214F"/>
    <w:rsid w:val="00C32D68"/>
    <w:rsid w:val="00C339C2"/>
    <w:rsid w:val="00C33D00"/>
    <w:rsid w:val="00C33D11"/>
    <w:rsid w:val="00C346B9"/>
    <w:rsid w:val="00C348C5"/>
    <w:rsid w:val="00C34A0C"/>
    <w:rsid w:val="00C34EA4"/>
    <w:rsid w:val="00C36BF2"/>
    <w:rsid w:val="00C37931"/>
    <w:rsid w:val="00C37ACE"/>
    <w:rsid w:val="00C40447"/>
    <w:rsid w:val="00C40668"/>
    <w:rsid w:val="00C40690"/>
    <w:rsid w:val="00C40934"/>
    <w:rsid w:val="00C40935"/>
    <w:rsid w:val="00C41096"/>
    <w:rsid w:val="00C412D8"/>
    <w:rsid w:val="00C42214"/>
    <w:rsid w:val="00C42C04"/>
    <w:rsid w:val="00C43040"/>
    <w:rsid w:val="00C43649"/>
    <w:rsid w:val="00C436F9"/>
    <w:rsid w:val="00C43C42"/>
    <w:rsid w:val="00C4483C"/>
    <w:rsid w:val="00C44B1F"/>
    <w:rsid w:val="00C46C2C"/>
    <w:rsid w:val="00C47AB3"/>
    <w:rsid w:val="00C47E87"/>
    <w:rsid w:val="00C5187D"/>
    <w:rsid w:val="00C53BD4"/>
    <w:rsid w:val="00C54378"/>
    <w:rsid w:val="00C55226"/>
    <w:rsid w:val="00C55691"/>
    <w:rsid w:val="00C56E91"/>
    <w:rsid w:val="00C579B8"/>
    <w:rsid w:val="00C606CA"/>
    <w:rsid w:val="00C62A6C"/>
    <w:rsid w:val="00C63410"/>
    <w:rsid w:val="00C63D0B"/>
    <w:rsid w:val="00C63DB9"/>
    <w:rsid w:val="00C644C8"/>
    <w:rsid w:val="00C644E0"/>
    <w:rsid w:val="00C6520D"/>
    <w:rsid w:val="00C656E4"/>
    <w:rsid w:val="00C667DD"/>
    <w:rsid w:val="00C6687E"/>
    <w:rsid w:val="00C66EA7"/>
    <w:rsid w:val="00C670B8"/>
    <w:rsid w:val="00C679C3"/>
    <w:rsid w:val="00C703DD"/>
    <w:rsid w:val="00C735CD"/>
    <w:rsid w:val="00C74D96"/>
    <w:rsid w:val="00C81427"/>
    <w:rsid w:val="00C832BD"/>
    <w:rsid w:val="00C84331"/>
    <w:rsid w:val="00C8509D"/>
    <w:rsid w:val="00C853B7"/>
    <w:rsid w:val="00C86604"/>
    <w:rsid w:val="00C901BF"/>
    <w:rsid w:val="00C90265"/>
    <w:rsid w:val="00C90697"/>
    <w:rsid w:val="00C90823"/>
    <w:rsid w:val="00C91148"/>
    <w:rsid w:val="00C9121D"/>
    <w:rsid w:val="00C91858"/>
    <w:rsid w:val="00C9192D"/>
    <w:rsid w:val="00C920C1"/>
    <w:rsid w:val="00C92808"/>
    <w:rsid w:val="00C93C6F"/>
    <w:rsid w:val="00C93CE1"/>
    <w:rsid w:val="00C9445A"/>
    <w:rsid w:val="00C955CA"/>
    <w:rsid w:val="00C956BE"/>
    <w:rsid w:val="00C96789"/>
    <w:rsid w:val="00C967EC"/>
    <w:rsid w:val="00C967EF"/>
    <w:rsid w:val="00C96D36"/>
    <w:rsid w:val="00C973B1"/>
    <w:rsid w:val="00CA0034"/>
    <w:rsid w:val="00CA05BD"/>
    <w:rsid w:val="00CA109B"/>
    <w:rsid w:val="00CA11D5"/>
    <w:rsid w:val="00CA19DE"/>
    <w:rsid w:val="00CA1F36"/>
    <w:rsid w:val="00CA2023"/>
    <w:rsid w:val="00CA24E4"/>
    <w:rsid w:val="00CA2620"/>
    <w:rsid w:val="00CA329C"/>
    <w:rsid w:val="00CA362A"/>
    <w:rsid w:val="00CA3743"/>
    <w:rsid w:val="00CA3886"/>
    <w:rsid w:val="00CA4D5B"/>
    <w:rsid w:val="00CA537B"/>
    <w:rsid w:val="00CA6347"/>
    <w:rsid w:val="00CA64A9"/>
    <w:rsid w:val="00CA651C"/>
    <w:rsid w:val="00CA706B"/>
    <w:rsid w:val="00CA72D6"/>
    <w:rsid w:val="00CB0026"/>
    <w:rsid w:val="00CB0C6C"/>
    <w:rsid w:val="00CB1233"/>
    <w:rsid w:val="00CB18E9"/>
    <w:rsid w:val="00CB3B9A"/>
    <w:rsid w:val="00CB3FAC"/>
    <w:rsid w:val="00CB4963"/>
    <w:rsid w:val="00CB5C45"/>
    <w:rsid w:val="00CB5F2C"/>
    <w:rsid w:val="00CB6747"/>
    <w:rsid w:val="00CB7056"/>
    <w:rsid w:val="00CB7450"/>
    <w:rsid w:val="00CC014D"/>
    <w:rsid w:val="00CC199B"/>
    <w:rsid w:val="00CC2A9A"/>
    <w:rsid w:val="00CC32D4"/>
    <w:rsid w:val="00CC4F81"/>
    <w:rsid w:val="00CC50F4"/>
    <w:rsid w:val="00CC5DFD"/>
    <w:rsid w:val="00CC6DB9"/>
    <w:rsid w:val="00CC739B"/>
    <w:rsid w:val="00CC77CB"/>
    <w:rsid w:val="00CD0B2A"/>
    <w:rsid w:val="00CD1BFA"/>
    <w:rsid w:val="00CD1C33"/>
    <w:rsid w:val="00CD1F47"/>
    <w:rsid w:val="00CD1F7F"/>
    <w:rsid w:val="00CD2F7F"/>
    <w:rsid w:val="00CD2FA0"/>
    <w:rsid w:val="00CD58D3"/>
    <w:rsid w:val="00CD5D9A"/>
    <w:rsid w:val="00CD62AE"/>
    <w:rsid w:val="00CD6490"/>
    <w:rsid w:val="00CD69FC"/>
    <w:rsid w:val="00CE05E5"/>
    <w:rsid w:val="00CE0A5F"/>
    <w:rsid w:val="00CE2FD6"/>
    <w:rsid w:val="00CE3C41"/>
    <w:rsid w:val="00CE3D44"/>
    <w:rsid w:val="00CE3E98"/>
    <w:rsid w:val="00CE3EDF"/>
    <w:rsid w:val="00CE4C89"/>
    <w:rsid w:val="00CE4FE9"/>
    <w:rsid w:val="00CE5758"/>
    <w:rsid w:val="00CE6128"/>
    <w:rsid w:val="00CE621F"/>
    <w:rsid w:val="00CE6D3F"/>
    <w:rsid w:val="00CE6DA9"/>
    <w:rsid w:val="00CE7126"/>
    <w:rsid w:val="00CE74D9"/>
    <w:rsid w:val="00CE7775"/>
    <w:rsid w:val="00CE7DBD"/>
    <w:rsid w:val="00CF1241"/>
    <w:rsid w:val="00CF1A64"/>
    <w:rsid w:val="00CF248E"/>
    <w:rsid w:val="00CF2AA9"/>
    <w:rsid w:val="00CF3D0C"/>
    <w:rsid w:val="00CF40F4"/>
    <w:rsid w:val="00CF41F9"/>
    <w:rsid w:val="00CF4B1C"/>
    <w:rsid w:val="00CF549F"/>
    <w:rsid w:val="00CF59D5"/>
    <w:rsid w:val="00CF59FC"/>
    <w:rsid w:val="00CF688D"/>
    <w:rsid w:val="00CF70CC"/>
    <w:rsid w:val="00CF77FB"/>
    <w:rsid w:val="00CF7A7F"/>
    <w:rsid w:val="00D0090E"/>
    <w:rsid w:val="00D0149F"/>
    <w:rsid w:val="00D01CF7"/>
    <w:rsid w:val="00D030F8"/>
    <w:rsid w:val="00D03F10"/>
    <w:rsid w:val="00D03FD4"/>
    <w:rsid w:val="00D044D6"/>
    <w:rsid w:val="00D04DCF"/>
    <w:rsid w:val="00D06CA8"/>
    <w:rsid w:val="00D07472"/>
    <w:rsid w:val="00D07523"/>
    <w:rsid w:val="00D0791D"/>
    <w:rsid w:val="00D07BE7"/>
    <w:rsid w:val="00D105F4"/>
    <w:rsid w:val="00D106E4"/>
    <w:rsid w:val="00D10FF3"/>
    <w:rsid w:val="00D13151"/>
    <w:rsid w:val="00D1396E"/>
    <w:rsid w:val="00D13BCC"/>
    <w:rsid w:val="00D145C8"/>
    <w:rsid w:val="00D146C5"/>
    <w:rsid w:val="00D14B73"/>
    <w:rsid w:val="00D14D7C"/>
    <w:rsid w:val="00D14DC2"/>
    <w:rsid w:val="00D1519F"/>
    <w:rsid w:val="00D15431"/>
    <w:rsid w:val="00D2047E"/>
    <w:rsid w:val="00D205A6"/>
    <w:rsid w:val="00D20D7A"/>
    <w:rsid w:val="00D20DDF"/>
    <w:rsid w:val="00D2123E"/>
    <w:rsid w:val="00D215EF"/>
    <w:rsid w:val="00D21907"/>
    <w:rsid w:val="00D21B89"/>
    <w:rsid w:val="00D22197"/>
    <w:rsid w:val="00D22B49"/>
    <w:rsid w:val="00D22E4A"/>
    <w:rsid w:val="00D2308B"/>
    <w:rsid w:val="00D23B3A"/>
    <w:rsid w:val="00D249F8"/>
    <w:rsid w:val="00D25DA3"/>
    <w:rsid w:val="00D2609F"/>
    <w:rsid w:val="00D26901"/>
    <w:rsid w:val="00D2702B"/>
    <w:rsid w:val="00D303F5"/>
    <w:rsid w:val="00D30425"/>
    <w:rsid w:val="00D30E71"/>
    <w:rsid w:val="00D315B8"/>
    <w:rsid w:val="00D31B73"/>
    <w:rsid w:val="00D31EAC"/>
    <w:rsid w:val="00D32864"/>
    <w:rsid w:val="00D33777"/>
    <w:rsid w:val="00D338DA"/>
    <w:rsid w:val="00D33D4F"/>
    <w:rsid w:val="00D3411D"/>
    <w:rsid w:val="00D34309"/>
    <w:rsid w:val="00D344EE"/>
    <w:rsid w:val="00D3481C"/>
    <w:rsid w:val="00D35372"/>
    <w:rsid w:val="00D369FE"/>
    <w:rsid w:val="00D36C10"/>
    <w:rsid w:val="00D37036"/>
    <w:rsid w:val="00D40A3A"/>
    <w:rsid w:val="00D427FC"/>
    <w:rsid w:val="00D43033"/>
    <w:rsid w:val="00D43896"/>
    <w:rsid w:val="00D43F2E"/>
    <w:rsid w:val="00D44EEC"/>
    <w:rsid w:val="00D459B4"/>
    <w:rsid w:val="00D509BD"/>
    <w:rsid w:val="00D52C9A"/>
    <w:rsid w:val="00D53E1F"/>
    <w:rsid w:val="00D55D39"/>
    <w:rsid w:val="00D57583"/>
    <w:rsid w:val="00D57B2B"/>
    <w:rsid w:val="00D57BF2"/>
    <w:rsid w:val="00D57C94"/>
    <w:rsid w:val="00D60B48"/>
    <w:rsid w:val="00D63B2A"/>
    <w:rsid w:val="00D63EFE"/>
    <w:rsid w:val="00D65FD5"/>
    <w:rsid w:val="00D6643E"/>
    <w:rsid w:val="00D67195"/>
    <w:rsid w:val="00D674A5"/>
    <w:rsid w:val="00D67D5C"/>
    <w:rsid w:val="00D71665"/>
    <w:rsid w:val="00D7176D"/>
    <w:rsid w:val="00D71C84"/>
    <w:rsid w:val="00D71DE6"/>
    <w:rsid w:val="00D72063"/>
    <w:rsid w:val="00D72781"/>
    <w:rsid w:val="00D733B5"/>
    <w:rsid w:val="00D73C90"/>
    <w:rsid w:val="00D749C1"/>
    <w:rsid w:val="00D74ED6"/>
    <w:rsid w:val="00D7580F"/>
    <w:rsid w:val="00D764B5"/>
    <w:rsid w:val="00D76571"/>
    <w:rsid w:val="00D765EF"/>
    <w:rsid w:val="00D76B3D"/>
    <w:rsid w:val="00D7726D"/>
    <w:rsid w:val="00D8025B"/>
    <w:rsid w:val="00D80918"/>
    <w:rsid w:val="00D81190"/>
    <w:rsid w:val="00D82812"/>
    <w:rsid w:val="00D82FD5"/>
    <w:rsid w:val="00D84F59"/>
    <w:rsid w:val="00D85349"/>
    <w:rsid w:val="00D85AFE"/>
    <w:rsid w:val="00D86584"/>
    <w:rsid w:val="00D86A6C"/>
    <w:rsid w:val="00D87076"/>
    <w:rsid w:val="00D87CB3"/>
    <w:rsid w:val="00D90201"/>
    <w:rsid w:val="00D90C24"/>
    <w:rsid w:val="00D914E5"/>
    <w:rsid w:val="00D92F05"/>
    <w:rsid w:val="00D93E1C"/>
    <w:rsid w:val="00D96047"/>
    <w:rsid w:val="00D962D0"/>
    <w:rsid w:val="00D96795"/>
    <w:rsid w:val="00D96B76"/>
    <w:rsid w:val="00D971F7"/>
    <w:rsid w:val="00DA0034"/>
    <w:rsid w:val="00DA04E2"/>
    <w:rsid w:val="00DA0B2C"/>
    <w:rsid w:val="00DA1455"/>
    <w:rsid w:val="00DA1E54"/>
    <w:rsid w:val="00DA1EBC"/>
    <w:rsid w:val="00DA1FB9"/>
    <w:rsid w:val="00DA3054"/>
    <w:rsid w:val="00DA30AF"/>
    <w:rsid w:val="00DA33A1"/>
    <w:rsid w:val="00DA35AD"/>
    <w:rsid w:val="00DA35D5"/>
    <w:rsid w:val="00DA3AD7"/>
    <w:rsid w:val="00DA4BD5"/>
    <w:rsid w:val="00DA53B9"/>
    <w:rsid w:val="00DA573F"/>
    <w:rsid w:val="00DA656A"/>
    <w:rsid w:val="00DA682E"/>
    <w:rsid w:val="00DA696F"/>
    <w:rsid w:val="00DA6A8A"/>
    <w:rsid w:val="00DA717D"/>
    <w:rsid w:val="00DA7ADF"/>
    <w:rsid w:val="00DA7CB3"/>
    <w:rsid w:val="00DB0E67"/>
    <w:rsid w:val="00DB12C8"/>
    <w:rsid w:val="00DB16AB"/>
    <w:rsid w:val="00DB1E4F"/>
    <w:rsid w:val="00DB3192"/>
    <w:rsid w:val="00DB3367"/>
    <w:rsid w:val="00DB4C98"/>
    <w:rsid w:val="00DB4E0F"/>
    <w:rsid w:val="00DB607F"/>
    <w:rsid w:val="00DC0406"/>
    <w:rsid w:val="00DC0677"/>
    <w:rsid w:val="00DC0863"/>
    <w:rsid w:val="00DC0C67"/>
    <w:rsid w:val="00DC1B6B"/>
    <w:rsid w:val="00DC39D2"/>
    <w:rsid w:val="00DC47E6"/>
    <w:rsid w:val="00DC6311"/>
    <w:rsid w:val="00DC708F"/>
    <w:rsid w:val="00DD0CCC"/>
    <w:rsid w:val="00DD0D9E"/>
    <w:rsid w:val="00DD1316"/>
    <w:rsid w:val="00DD20CA"/>
    <w:rsid w:val="00DD23FD"/>
    <w:rsid w:val="00DD399E"/>
    <w:rsid w:val="00DD3A65"/>
    <w:rsid w:val="00DD4397"/>
    <w:rsid w:val="00DD69A8"/>
    <w:rsid w:val="00DD705D"/>
    <w:rsid w:val="00DD7DEF"/>
    <w:rsid w:val="00DE1421"/>
    <w:rsid w:val="00DE1D79"/>
    <w:rsid w:val="00DE2354"/>
    <w:rsid w:val="00DE26E4"/>
    <w:rsid w:val="00DE38A2"/>
    <w:rsid w:val="00DE3D50"/>
    <w:rsid w:val="00DE3E91"/>
    <w:rsid w:val="00DE3F75"/>
    <w:rsid w:val="00DE45D5"/>
    <w:rsid w:val="00DE6972"/>
    <w:rsid w:val="00DE72BF"/>
    <w:rsid w:val="00DF05D4"/>
    <w:rsid w:val="00DF0E1E"/>
    <w:rsid w:val="00DF0E44"/>
    <w:rsid w:val="00DF17D3"/>
    <w:rsid w:val="00DF2CF0"/>
    <w:rsid w:val="00DF3B4D"/>
    <w:rsid w:val="00DF4AC9"/>
    <w:rsid w:val="00DF4EDA"/>
    <w:rsid w:val="00DF569B"/>
    <w:rsid w:val="00DF61A9"/>
    <w:rsid w:val="00DF63B2"/>
    <w:rsid w:val="00DF63FC"/>
    <w:rsid w:val="00DF6C95"/>
    <w:rsid w:val="00DF6E67"/>
    <w:rsid w:val="00DF6F23"/>
    <w:rsid w:val="00DF7B11"/>
    <w:rsid w:val="00DF7FF5"/>
    <w:rsid w:val="00E0003B"/>
    <w:rsid w:val="00E02315"/>
    <w:rsid w:val="00E04801"/>
    <w:rsid w:val="00E04AB1"/>
    <w:rsid w:val="00E056D6"/>
    <w:rsid w:val="00E05864"/>
    <w:rsid w:val="00E06289"/>
    <w:rsid w:val="00E0705E"/>
    <w:rsid w:val="00E07DAA"/>
    <w:rsid w:val="00E07EF5"/>
    <w:rsid w:val="00E1020E"/>
    <w:rsid w:val="00E11259"/>
    <w:rsid w:val="00E12101"/>
    <w:rsid w:val="00E138A2"/>
    <w:rsid w:val="00E13D75"/>
    <w:rsid w:val="00E13E66"/>
    <w:rsid w:val="00E15F1D"/>
    <w:rsid w:val="00E162DA"/>
    <w:rsid w:val="00E169C8"/>
    <w:rsid w:val="00E179C4"/>
    <w:rsid w:val="00E2130A"/>
    <w:rsid w:val="00E22E1B"/>
    <w:rsid w:val="00E23913"/>
    <w:rsid w:val="00E23C8F"/>
    <w:rsid w:val="00E247B3"/>
    <w:rsid w:val="00E2562F"/>
    <w:rsid w:val="00E25BF5"/>
    <w:rsid w:val="00E26DB1"/>
    <w:rsid w:val="00E2788E"/>
    <w:rsid w:val="00E27C17"/>
    <w:rsid w:val="00E30E71"/>
    <w:rsid w:val="00E31D9C"/>
    <w:rsid w:val="00E325C2"/>
    <w:rsid w:val="00E32A2C"/>
    <w:rsid w:val="00E33030"/>
    <w:rsid w:val="00E3461D"/>
    <w:rsid w:val="00E35DB2"/>
    <w:rsid w:val="00E35E24"/>
    <w:rsid w:val="00E35F54"/>
    <w:rsid w:val="00E371BB"/>
    <w:rsid w:val="00E372E3"/>
    <w:rsid w:val="00E42A7D"/>
    <w:rsid w:val="00E43622"/>
    <w:rsid w:val="00E44DA2"/>
    <w:rsid w:val="00E452A2"/>
    <w:rsid w:val="00E46293"/>
    <w:rsid w:val="00E46AB9"/>
    <w:rsid w:val="00E46FD2"/>
    <w:rsid w:val="00E47275"/>
    <w:rsid w:val="00E47FBC"/>
    <w:rsid w:val="00E50BF8"/>
    <w:rsid w:val="00E514CD"/>
    <w:rsid w:val="00E516C3"/>
    <w:rsid w:val="00E548D8"/>
    <w:rsid w:val="00E54C84"/>
    <w:rsid w:val="00E557CA"/>
    <w:rsid w:val="00E55887"/>
    <w:rsid w:val="00E56540"/>
    <w:rsid w:val="00E565C2"/>
    <w:rsid w:val="00E608D0"/>
    <w:rsid w:val="00E6178C"/>
    <w:rsid w:val="00E622A0"/>
    <w:rsid w:val="00E63D4C"/>
    <w:rsid w:val="00E6486E"/>
    <w:rsid w:val="00E65533"/>
    <w:rsid w:val="00E6662A"/>
    <w:rsid w:val="00E66F41"/>
    <w:rsid w:val="00E702B3"/>
    <w:rsid w:val="00E70494"/>
    <w:rsid w:val="00E70E4D"/>
    <w:rsid w:val="00E723F3"/>
    <w:rsid w:val="00E72998"/>
    <w:rsid w:val="00E74030"/>
    <w:rsid w:val="00E7537C"/>
    <w:rsid w:val="00E75A5B"/>
    <w:rsid w:val="00E75F60"/>
    <w:rsid w:val="00E76538"/>
    <w:rsid w:val="00E76558"/>
    <w:rsid w:val="00E770B5"/>
    <w:rsid w:val="00E7792D"/>
    <w:rsid w:val="00E81FBD"/>
    <w:rsid w:val="00E8269E"/>
    <w:rsid w:val="00E82AB3"/>
    <w:rsid w:val="00E82B1B"/>
    <w:rsid w:val="00E82B57"/>
    <w:rsid w:val="00E830D6"/>
    <w:rsid w:val="00E83D03"/>
    <w:rsid w:val="00E83DFA"/>
    <w:rsid w:val="00E905C3"/>
    <w:rsid w:val="00E91E84"/>
    <w:rsid w:val="00E92E5D"/>
    <w:rsid w:val="00E93288"/>
    <w:rsid w:val="00E942F9"/>
    <w:rsid w:val="00E94321"/>
    <w:rsid w:val="00E9507C"/>
    <w:rsid w:val="00E95AD7"/>
    <w:rsid w:val="00E96694"/>
    <w:rsid w:val="00E9709D"/>
    <w:rsid w:val="00EA00A2"/>
    <w:rsid w:val="00EA03C5"/>
    <w:rsid w:val="00EA06D0"/>
    <w:rsid w:val="00EA082D"/>
    <w:rsid w:val="00EA1CB4"/>
    <w:rsid w:val="00EA25C1"/>
    <w:rsid w:val="00EA2830"/>
    <w:rsid w:val="00EA2E08"/>
    <w:rsid w:val="00EA3CBB"/>
    <w:rsid w:val="00EA414D"/>
    <w:rsid w:val="00EA635B"/>
    <w:rsid w:val="00EA7858"/>
    <w:rsid w:val="00EB10ED"/>
    <w:rsid w:val="00EB2635"/>
    <w:rsid w:val="00EB2BF2"/>
    <w:rsid w:val="00EB300F"/>
    <w:rsid w:val="00EB32D7"/>
    <w:rsid w:val="00EB40B4"/>
    <w:rsid w:val="00EB4D6C"/>
    <w:rsid w:val="00EB556E"/>
    <w:rsid w:val="00EB6924"/>
    <w:rsid w:val="00EB7097"/>
    <w:rsid w:val="00EB7DCC"/>
    <w:rsid w:val="00EC0440"/>
    <w:rsid w:val="00EC05B2"/>
    <w:rsid w:val="00EC0649"/>
    <w:rsid w:val="00EC0EDF"/>
    <w:rsid w:val="00EC136F"/>
    <w:rsid w:val="00EC1CFA"/>
    <w:rsid w:val="00EC2086"/>
    <w:rsid w:val="00EC2288"/>
    <w:rsid w:val="00EC2645"/>
    <w:rsid w:val="00EC27FC"/>
    <w:rsid w:val="00EC47DF"/>
    <w:rsid w:val="00EC48C1"/>
    <w:rsid w:val="00EC55E5"/>
    <w:rsid w:val="00EC5644"/>
    <w:rsid w:val="00EC6831"/>
    <w:rsid w:val="00EC748B"/>
    <w:rsid w:val="00EC75FC"/>
    <w:rsid w:val="00EC7BEC"/>
    <w:rsid w:val="00EC7D5E"/>
    <w:rsid w:val="00ED0246"/>
    <w:rsid w:val="00ED0581"/>
    <w:rsid w:val="00ED0BA9"/>
    <w:rsid w:val="00ED27FA"/>
    <w:rsid w:val="00ED47FB"/>
    <w:rsid w:val="00ED4AEC"/>
    <w:rsid w:val="00ED4E01"/>
    <w:rsid w:val="00ED54F8"/>
    <w:rsid w:val="00ED604B"/>
    <w:rsid w:val="00ED645A"/>
    <w:rsid w:val="00ED6689"/>
    <w:rsid w:val="00ED6699"/>
    <w:rsid w:val="00ED6A94"/>
    <w:rsid w:val="00ED7409"/>
    <w:rsid w:val="00ED756F"/>
    <w:rsid w:val="00ED7CFA"/>
    <w:rsid w:val="00EE045D"/>
    <w:rsid w:val="00EE0802"/>
    <w:rsid w:val="00EE15AE"/>
    <w:rsid w:val="00EE1B03"/>
    <w:rsid w:val="00EE1BC6"/>
    <w:rsid w:val="00EE2250"/>
    <w:rsid w:val="00EE232A"/>
    <w:rsid w:val="00EE25E6"/>
    <w:rsid w:val="00EE2A8A"/>
    <w:rsid w:val="00EE2CA9"/>
    <w:rsid w:val="00EE3464"/>
    <w:rsid w:val="00EE61D0"/>
    <w:rsid w:val="00EE690B"/>
    <w:rsid w:val="00EE751A"/>
    <w:rsid w:val="00EF021A"/>
    <w:rsid w:val="00EF1DD0"/>
    <w:rsid w:val="00EF1FBB"/>
    <w:rsid w:val="00EF23F6"/>
    <w:rsid w:val="00EF31FF"/>
    <w:rsid w:val="00EF355B"/>
    <w:rsid w:val="00EF3B8D"/>
    <w:rsid w:val="00EF3EA2"/>
    <w:rsid w:val="00EF4A50"/>
    <w:rsid w:val="00EF5F68"/>
    <w:rsid w:val="00EF73B8"/>
    <w:rsid w:val="00EF7F4F"/>
    <w:rsid w:val="00F005B0"/>
    <w:rsid w:val="00F00DB4"/>
    <w:rsid w:val="00F00DE6"/>
    <w:rsid w:val="00F01578"/>
    <w:rsid w:val="00F0215B"/>
    <w:rsid w:val="00F028A6"/>
    <w:rsid w:val="00F028CA"/>
    <w:rsid w:val="00F02FC5"/>
    <w:rsid w:val="00F045E1"/>
    <w:rsid w:val="00F04FB3"/>
    <w:rsid w:val="00F05F87"/>
    <w:rsid w:val="00F0678F"/>
    <w:rsid w:val="00F074DA"/>
    <w:rsid w:val="00F107AD"/>
    <w:rsid w:val="00F119F9"/>
    <w:rsid w:val="00F12E62"/>
    <w:rsid w:val="00F134C5"/>
    <w:rsid w:val="00F1352F"/>
    <w:rsid w:val="00F1374F"/>
    <w:rsid w:val="00F14FA9"/>
    <w:rsid w:val="00F1531B"/>
    <w:rsid w:val="00F169E4"/>
    <w:rsid w:val="00F17C00"/>
    <w:rsid w:val="00F20348"/>
    <w:rsid w:val="00F20440"/>
    <w:rsid w:val="00F2294B"/>
    <w:rsid w:val="00F23AE0"/>
    <w:rsid w:val="00F24282"/>
    <w:rsid w:val="00F25E39"/>
    <w:rsid w:val="00F263F3"/>
    <w:rsid w:val="00F2642B"/>
    <w:rsid w:val="00F27E6D"/>
    <w:rsid w:val="00F30917"/>
    <w:rsid w:val="00F3182D"/>
    <w:rsid w:val="00F327F2"/>
    <w:rsid w:val="00F32D1B"/>
    <w:rsid w:val="00F3320B"/>
    <w:rsid w:val="00F363E0"/>
    <w:rsid w:val="00F37967"/>
    <w:rsid w:val="00F40AEA"/>
    <w:rsid w:val="00F40CC6"/>
    <w:rsid w:val="00F40CD2"/>
    <w:rsid w:val="00F40E7D"/>
    <w:rsid w:val="00F41172"/>
    <w:rsid w:val="00F417CE"/>
    <w:rsid w:val="00F42247"/>
    <w:rsid w:val="00F42853"/>
    <w:rsid w:val="00F4419B"/>
    <w:rsid w:val="00F4534E"/>
    <w:rsid w:val="00F46385"/>
    <w:rsid w:val="00F46B7C"/>
    <w:rsid w:val="00F46CB8"/>
    <w:rsid w:val="00F478F0"/>
    <w:rsid w:val="00F5040C"/>
    <w:rsid w:val="00F51192"/>
    <w:rsid w:val="00F524B6"/>
    <w:rsid w:val="00F529AD"/>
    <w:rsid w:val="00F554FF"/>
    <w:rsid w:val="00F557FD"/>
    <w:rsid w:val="00F55DED"/>
    <w:rsid w:val="00F55ED0"/>
    <w:rsid w:val="00F57845"/>
    <w:rsid w:val="00F60211"/>
    <w:rsid w:val="00F6032F"/>
    <w:rsid w:val="00F61771"/>
    <w:rsid w:val="00F61E4E"/>
    <w:rsid w:val="00F62724"/>
    <w:rsid w:val="00F62D1D"/>
    <w:rsid w:val="00F630DF"/>
    <w:rsid w:val="00F6315D"/>
    <w:rsid w:val="00F631F3"/>
    <w:rsid w:val="00F63B97"/>
    <w:rsid w:val="00F63E20"/>
    <w:rsid w:val="00F6406D"/>
    <w:rsid w:val="00F64B44"/>
    <w:rsid w:val="00F64CD7"/>
    <w:rsid w:val="00F64EAB"/>
    <w:rsid w:val="00F658F2"/>
    <w:rsid w:val="00F665C2"/>
    <w:rsid w:val="00F67AB4"/>
    <w:rsid w:val="00F71316"/>
    <w:rsid w:val="00F73D00"/>
    <w:rsid w:val="00F73F09"/>
    <w:rsid w:val="00F742CE"/>
    <w:rsid w:val="00F74828"/>
    <w:rsid w:val="00F75917"/>
    <w:rsid w:val="00F75ABA"/>
    <w:rsid w:val="00F75AEC"/>
    <w:rsid w:val="00F75C23"/>
    <w:rsid w:val="00F776FC"/>
    <w:rsid w:val="00F778C2"/>
    <w:rsid w:val="00F77C7D"/>
    <w:rsid w:val="00F81A92"/>
    <w:rsid w:val="00F81D24"/>
    <w:rsid w:val="00F83BB6"/>
    <w:rsid w:val="00F842A6"/>
    <w:rsid w:val="00F8550A"/>
    <w:rsid w:val="00F855EC"/>
    <w:rsid w:val="00F85CD2"/>
    <w:rsid w:val="00F8675F"/>
    <w:rsid w:val="00F86E76"/>
    <w:rsid w:val="00F90F6B"/>
    <w:rsid w:val="00F9157E"/>
    <w:rsid w:val="00F9191A"/>
    <w:rsid w:val="00F91BBE"/>
    <w:rsid w:val="00F92236"/>
    <w:rsid w:val="00F9257A"/>
    <w:rsid w:val="00F944FB"/>
    <w:rsid w:val="00F953D0"/>
    <w:rsid w:val="00F960C3"/>
    <w:rsid w:val="00F96A2B"/>
    <w:rsid w:val="00F9797A"/>
    <w:rsid w:val="00FA00DA"/>
    <w:rsid w:val="00FA070C"/>
    <w:rsid w:val="00FA0839"/>
    <w:rsid w:val="00FA0C87"/>
    <w:rsid w:val="00FA0E12"/>
    <w:rsid w:val="00FA0FA3"/>
    <w:rsid w:val="00FA1336"/>
    <w:rsid w:val="00FA2623"/>
    <w:rsid w:val="00FA2C81"/>
    <w:rsid w:val="00FA2F20"/>
    <w:rsid w:val="00FA3053"/>
    <w:rsid w:val="00FA3BBC"/>
    <w:rsid w:val="00FA557F"/>
    <w:rsid w:val="00FA5625"/>
    <w:rsid w:val="00FA7F5F"/>
    <w:rsid w:val="00FB0C16"/>
    <w:rsid w:val="00FB137B"/>
    <w:rsid w:val="00FB2BB7"/>
    <w:rsid w:val="00FB30D6"/>
    <w:rsid w:val="00FB3BE1"/>
    <w:rsid w:val="00FB3C06"/>
    <w:rsid w:val="00FB4D66"/>
    <w:rsid w:val="00FB5A60"/>
    <w:rsid w:val="00FB645B"/>
    <w:rsid w:val="00FB6BAE"/>
    <w:rsid w:val="00FB6D60"/>
    <w:rsid w:val="00FB7288"/>
    <w:rsid w:val="00FC0EF4"/>
    <w:rsid w:val="00FC1908"/>
    <w:rsid w:val="00FC19DE"/>
    <w:rsid w:val="00FC1F1E"/>
    <w:rsid w:val="00FC354F"/>
    <w:rsid w:val="00FC3A2E"/>
    <w:rsid w:val="00FC3FDA"/>
    <w:rsid w:val="00FC530B"/>
    <w:rsid w:val="00FC6660"/>
    <w:rsid w:val="00FC71EB"/>
    <w:rsid w:val="00FD2465"/>
    <w:rsid w:val="00FD2AF6"/>
    <w:rsid w:val="00FD4C6E"/>
    <w:rsid w:val="00FD4C73"/>
    <w:rsid w:val="00FD4FD6"/>
    <w:rsid w:val="00FD5020"/>
    <w:rsid w:val="00FD51C1"/>
    <w:rsid w:val="00FD61D7"/>
    <w:rsid w:val="00FD6C87"/>
    <w:rsid w:val="00FD74B7"/>
    <w:rsid w:val="00FD7727"/>
    <w:rsid w:val="00FE341C"/>
    <w:rsid w:val="00FE46B6"/>
    <w:rsid w:val="00FE53D4"/>
    <w:rsid w:val="00FE5876"/>
    <w:rsid w:val="00FE5A3C"/>
    <w:rsid w:val="00FE5EC3"/>
    <w:rsid w:val="00FE6D1B"/>
    <w:rsid w:val="00FE7BCF"/>
    <w:rsid w:val="00FF0AE7"/>
    <w:rsid w:val="00FF16D7"/>
    <w:rsid w:val="00FF1754"/>
    <w:rsid w:val="00FF227E"/>
    <w:rsid w:val="00FF2697"/>
    <w:rsid w:val="00FF2F3C"/>
    <w:rsid w:val="00FF2FED"/>
    <w:rsid w:val="00FF3340"/>
    <w:rsid w:val="00FF3FF5"/>
    <w:rsid w:val="00FF4FAE"/>
    <w:rsid w:val="00FF51AC"/>
    <w:rsid w:val="00FF5BBA"/>
    <w:rsid w:val="00FF6770"/>
    <w:rsid w:val="00FF699A"/>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07BF8"/>
  <w15:docId w15:val="{8FA431EE-AEE9-4E46-B989-7A453915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5E"/>
    <w:pPr>
      <w:widowControl w:val="0"/>
      <w:adjustRightInd w:val="0"/>
      <w:spacing w:after="0" w:line="360" w:lineRule="atLeast"/>
      <w:jc w:val="both"/>
    </w:pPr>
    <w:rPr>
      <w:rFonts w:ascii="Verdana" w:eastAsia="Times New Roman" w:hAnsi="Verdana" w:cs="Times New Roman"/>
      <w:sz w:val="20"/>
      <w:szCs w:val="20"/>
      <w:lang w:eastAsia="es-CR"/>
    </w:rPr>
  </w:style>
  <w:style w:type="paragraph" w:styleId="Ttulo1">
    <w:name w:val="heading 1"/>
    <w:aliases w:val="Título Verdana"/>
    <w:basedOn w:val="Normal"/>
    <w:next w:val="Normal"/>
    <w:link w:val="Ttulo1Car"/>
    <w:uiPriority w:val="9"/>
    <w:qFormat/>
    <w:rsid w:val="00B52047"/>
    <w:pPr>
      <w:spacing w:before="120" w:after="120" w:line="240" w:lineRule="auto"/>
      <w:ind w:right="6"/>
      <w:jc w:val="center"/>
      <w:outlineLvl w:val="0"/>
    </w:pPr>
    <w:rPr>
      <w:b/>
      <w:lang w:val="es-ES"/>
    </w:rPr>
  </w:style>
  <w:style w:type="paragraph" w:styleId="Ttulo2">
    <w:name w:val="heading 2"/>
    <w:basedOn w:val="Normal"/>
    <w:next w:val="Normal"/>
    <w:link w:val="Ttulo2Car"/>
    <w:uiPriority w:val="9"/>
    <w:unhideWhenUsed/>
    <w:qFormat/>
    <w:rsid w:val="00880D4E"/>
    <w:pPr>
      <w:keepNext/>
      <w:keepLines/>
      <w:spacing w:line="240" w:lineRule="auto"/>
      <w:textAlignment w:val="baseline"/>
      <w:outlineLvl w:val="1"/>
    </w:pPr>
    <w:rPr>
      <w:rFonts w:eastAsia="MS Mincho" w:cs="Verdana"/>
      <w:b/>
      <w:i/>
    </w:rPr>
  </w:style>
  <w:style w:type="paragraph" w:styleId="Ttulo3">
    <w:name w:val="heading 3"/>
    <w:basedOn w:val="Prrafodelista"/>
    <w:next w:val="Normal"/>
    <w:link w:val="Ttulo3Car"/>
    <w:uiPriority w:val="9"/>
    <w:unhideWhenUsed/>
    <w:qFormat/>
    <w:rsid w:val="00880D4E"/>
    <w:pPr>
      <w:tabs>
        <w:tab w:val="left" w:pos="1276"/>
      </w:tabs>
      <w:spacing w:line="240" w:lineRule="auto"/>
      <w:ind w:left="0"/>
      <w:outlineLvl w:val="2"/>
    </w:pPr>
    <w:rPr>
      <w:b/>
      <w:i/>
    </w:rPr>
  </w:style>
  <w:style w:type="paragraph" w:styleId="Ttulo4">
    <w:name w:val="heading 4"/>
    <w:basedOn w:val="Prrafodelista"/>
    <w:next w:val="Normal"/>
    <w:link w:val="Ttulo4Car"/>
    <w:uiPriority w:val="9"/>
    <w:unhideWhenUsed/>
    <w:qFormat/>
    <w:rsid w:val="00721B81"/>
    <w:pPr>
      <w:tabs>
        <w:tab w:val="left" w:pos="1418"/>
      </w:tabs>
      <w:spacing w:before="240" w:after="240" w:line="240" w:lineRule="auto"/>
      <w:ind w:left="1066"/>
      <w:contextualSpacing w:val="0"/>
      <w:outlineLvl w:val="3"/>
    </w:pPr>
    <w:rPr>
      <w:i/>
      <w:iCs/>
      <w:lang w:val="es-ES"/>
    </w:rPr>
  </w:style>
  <w:style w:type="paragraph" w:styleId="Ttulo5">
    <w:name w:val="heading 5"/>
    <w:basedOn w:val="Prrafodelista"/>
    <w:link w:val="Ttulo5Car"/>
    <w:uiPriority w:val="9"/>
    <w:qFormat/>
    <w:rsid w:val="00880D4E"/>
    <w:pPr>
      <w:numPr>
        <w:ilvl w:val="1"/>
        <w:numId w:val="3"/>
      </w:numPr>
      <w:tabs>
        <w:tab w:val="left" w:pos="1418"/>
      </w:tabs>
      <w:spacing w:line="240" w:lineRule="auto"/>
      <w:outlineLvl w:val="4"/>
    </w:pPr>
    <w:rPr>
      <w:i/>
    </w:rPr>
  </w:style>
  <w:style w:type="paragraph" w:styleId="Ttulo6">
    <w:name w:val="heading 6"/>
    <w:basedOn w:val="Ttulo5"/>
    <w:next w:val="Normal"/>
    <w:link w:val="Ttulo6Car"/>
    <w:uiPriority w:val="9"/>
    <w:unhideWhenUsed/>
    <w:rsid w:val="009C37EC"/>
    <w:pPr>
      <w:tabs>
        <w:tab w:val="num" w:pos="3600"/>
      </w:tabs>
      <w:ind w:left="3600"/>
      <w:outlineLvl w:val="5"/>
    </w:pPr>
    <w:rPr>
      <w:spacing w:val="-2"/>
      <w:lang w:val="es-ES_tradnl"/>
    </w:rPr>
  </w:style>
  <w:style w:type="paragraph" w:styleId="Ttulo7">
    <w:name w:val="heading 7"/>
    <w:basedOn w:val="Normal"/>
    <w:next w:val="Normal"/>
    <w:link w:val="Ttulo7Car"/>
    <w:uiPriority w:val="9"/>
    <w:semiHidden/>
    <w:unhideWhenUsed/>
    <w:rsid w:val="002D681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rsid w:val="002D68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rsid w:val="005650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 Car,2. Footnote Text Car2,Footnote Tesina Car2,FA Fu Car,Footnote Text Char Char Char Char Char Car,Footnote Text Char Char Char Char Car,Footnote reference Car,Footnote Text Char Char Char Car,Footnote Text Cha Car,C Car2,ft Car"/>
    <w:basedOn w:val="Fuentedeprrafopredeter"/>
    <w:link w:val="Textonotapie"/>
    <w:uiPriority w:val="99"/>
    <w:qFormat/>
    <w:rsid w:val="00880D4E"/>
    <w:rPr>
      <w:rFonts w:eastAsia="Batang"/>
      <w:sz w:val="20"/>
      <w:szCs w:val="20"/>
      <w:lang w:val="es-MX"/>
    </w:rPr>
  </w:style>
  <w:style w:type="paragraph" w:customStyle="1" w:styleId="Estilo1">
    <w:name w:val="Estilo1"/>
    <w:basedOn w:val="Normal"/>
    <w:link w:val="Estilo1Car"/>
    <w:qFormat/>
    <w:rsid w:val="00880D4E"/>
    <w:pPr>
      <w:tabs>
        <w:tab w:val="left" w:pos="567"/>
        <w:tab w:val="left" w:pos="1134"/>
        <w:tab w:val="num" w:pos="6042"/>
      </w:tabs>
      <w:spacing w:after="120" w:line="240" w:lineRule="auto"/>
    </w:pPr>
    <w:rPr>
      <w:rFonts w:eastAsiaTheme="minorHAnsi"/>
      <w:lang w:val="en-US"/>
    </w:rPr>
  </w:style>
  <w:style w:type="character" w:customStyle="1" w:styleId="Estilo1Car">
    <w:name w:val="Estilo1 Car"/>
    <w:link w:val="Estilo1"/>
    <w:rsid w:val="00880D4E"/>
    <w:rPr>
      <w:rFonts w:ascii="Verdana" w:hAnsi="Verdana"/>
      <w:lang w:val="en-US"/>
    </w:rPr>
  </w:style>
  <w:style w:type="paragraph" w:customStyle="1" w:styleId="Footnotes">
    <w:name w:val="**. Footnotes"/>
    <w:basedOn w:val="Textonotapie"/>
    <w:link w:val="FootnotesChar"/>
    <w:autoRedefine/>
    <w:qFormat/>
    <w:rsid w:val="00880D4E"/>
    <w:pPr>
      <w:tabs>
        <w:tab w:val="left" w:pos="567"/>
      </w:tabs>
      <w:spacing w:before="120" w:after="40"/>
    </w:pPr>
    <w:rPr>
      <w:rFonts w:cs="Palatino-Italic"/>
      <w:i/>
      <w:iCs/>
      <w:sz w:val="16"/>
      <w:szCs w:val="16"/>
      <w:lang w:val="en-US"/>
    </w:rPr>
  </w:style>
  <w:style w:type="character" w:customStyle="1" w:styleId="FootnotesChar">
    <w:name w:val="**. Footnotes Char"/>
    <w:basedOn w:val="Fuentedeprrafopredeter"/>
    <w:link w:val="Footnotes"/>
    <w:rsid w:val="00880D4E"/>
    <w:rPr>
      <w:rFonts w:ascii="Verdana" w:eastAsia="Batang" w:hAnsi="Verdana" w:cs="Palatino-Italic"/>
      <w:i/>
      <w:iCs/>
      <w:sz w:val="16"/>
      <w:szCs w:val="16"/>
      <w:lang w:val="en-US"/>
    </w:rPr>
  </w:style>
  <w:style w:type="paragraph" w:styleId="Textonotapie">
    <w:name w:val="footnote text"/>
    <w:aliases w:val="Ca,2. Footnote Text,Footnote Tesina,FA Fu,Footnote Text Char Char Char Char Char,Footnote Text Char Char Char Char,Footnote reference,Footnote Text Char Char Char,Footnote Text Cha,FA Fußnotentext,FA Fuﬂnotentext,C,ft,5,footnote text,Car"/>
    <w:basedOn w:val="Normal"/>
    <w:link w:val="TextonotapieCar"/>
    <w:unhideWhenUsed/>
    <w:qFormat/>
    <w:rsid w:val="00880D4E"/>
    <w:pPr>
      <w:spacing w:line="240" w:lineRule="auto"/>
    </w:pPr>
  </w:style>
  <w:style w:type="character" w:customStyle="1" w:styleId="TextonotapieCar1">
    <w:name w:val="Texto nota pie Car1"/>
    <w:aliases w:val="2. Footnote Text Car,Footnote Tesina Car,FA Fu Car1,Footnote Text Char Char Char Char Char Car1,Footnote Text Char Char Char Char Car1,Footnote reference Car1,Footnote Text Char Char Char Car1,Footnote Text Cha Car1,Ca Car1,C Car"/>
    <w:basedOn w:val="Fuentedeprrafopredeter"/>
    <w:qFormat/>
    <w:rsid w:val="00880D4E"/>
    <w:rPr>
      <w:rFonts w:ascii="Verdana" w:eastAsia="MS Mincho" w:hAnsi="Verdana" w:cs="Times"/>
      <w:sz w:val="16"/>
      <w:szCs w:val="24"/>
      <w:lang w:val="es-ES_tradnl"/>
    </w:rPr>
  </w:style>
  <w:style w:type="paragraph" w:customStyle="1" w:styleId="2Footnotes">
    <w:name w:val="2. Footnotes"/>
    <w:basedOn w:val="Textonotapie"/>
    <w:link w:val="2FootnotesChar"/>
    <w:autoRedefine/>
    <w:qFormat/>
    <w:rsid w:val="00880D4E"/>
    <w:pPr>
      <w:spacing w:before="120" w:after="40"/>
    </w:pPr>
    <w:rPr>
      <w:rFonts w:cs="Palatino-Italic"/>
      <w:iCs/>
      <w:noProof/>
      <w:sz w:val="16"/>
      <w:szCs w:val="18"/>
      <w:lang w:val="en-US"/>
    </w:rPr>
  </w:style>
  <w:style w:type="character" w:customStyle="1" w:styleId="2FootnotesChar">
    <w:name w:val="2. Footnotes Char"/>
    <w:link w:val="2Footnotes"/>
    <w:rsid w:val="00880D4E"/>
    <w:rPr>
      <w:rFonts w:ascii="Verdana" w:eastAsia="Times New Roman" w:hAnsi="Verdana" w:cs="Palatino-Italic"/>
      <w:iCs/>
      <w:noProof/>
      <w:sz w:val="16"/>
      <w:szCs w:val="18"/>
      <w:lang w:val="en-US"/>
    </w:rPr>
  </w:style>
  <w:style w:type="paragraph" w:customStyle="1" w:styleId="PrrafodeSentencia">
    <w:name w:val="*. Párrafo de Sentencia"/>
    <w:basedOn w:val="Normal"/>
    <w:next w:val="Normal"/>
    <w:link w:val="PrrafodeSentenciaChar"/>
    <w:qFormat/>
    <w:rsid w:val="00880D4E"/>
    <w:pPr>
      <w:tabs>
        <w:tab w:val="left" w:pos="567"/>
      </w:tabs>
      <w:spacing w:line="240" w:lineRule="auto"/>
    </w:pPr>
    <w:rPr>
      <w:spacing w:val="-4"/>
      <w:lang w:val="en-US" w:eastAsia="es-MX"/>
    </w:rPr>
  </w:style>
  <w:style w:type="character" w:customStyle="1" w:styleId="PrrafodeSentenciaChar">
    <w:name w:val="*. Párrafo de Sentencia Char"/>
    <w:link w:val="PrrafodeSentencia"/>
    <w:locked/>
    <w:rsid w:val="00880D4E"/>
    <w:rPr>
      <w:rFonts w:ascii="Verdana" w:eastAsia="Batang" w:hAnsi="Verdana"/>
      <w:spacing w:val="-4"/>
      <w:sz w:val="20"/>
      <w:lang w:val="en-US" w:eastAsia="es-MX"/>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Fuentedeprrafopredeter"/>
    <w:locked/>
    <w:rsid w:val="002D6817"/>
    <w:rPr>
      <w:rFonts w:ascii="Verdana" w:hAnsi="Verdana"/>
    </w:rPr>
  </w:style>
  <w:style w:type="paragraph" w:customStyle="1" w:styleId="Estilo4">
    <w:name w:val="Estilo4"/>
    <w:basedOn w:val="Prrafodelista"/>
    <w:link w:val="Estilo4Car"/>
    <w:rsid w:val="009C37EC"/>
    <w:pPr>
      <w:numPr>
        <w:ilvl w:val="1"/>
        <w:numId w:val="1"/>
      </w:numPr>
      <w:spacing w:after="120" w:line="240" w:lineRule="auto"/>
    </w:pPr>
    <w:rPr>
      <w:rFonts w:eastAsiaTheme="minorHAnsi"/>
      <w:spacing w:val="-2"/>
    </w:rPr>
  </w:style>
  <w:style w:type="character" w:customStyle="1" w:styleId="Estilo4Car">
    <w:name w:val="Estilo4 Car"/>
    <w:basedOn w:val="Fuentedeprrafopredeter"/>
    <w:link w:val="Estilo4"/>
    <w:rsid w:val="002D6817"/>
    <w:rPr>
      <w:rFonts w:ascii="Verdana" w:hAnsi="Verdana" w:cs="Times New Roman"/>
      <w:spacing w:val="-2"/>
      <w:sz w:val="20"/>
      <w:szCs w:val="20"/>
      <w:lang w:eastAsia="es-CR"/>
    </w:rPr>
  </w:style>
  <w:style w:type="character" w:customStyle="1" w:styleId="Ttulo1Car">
    <w:name w:val="Título 1 Car"/>
    <w:aliases w:val="Título Verdana Car"/>
    <w:basedOn w:val="Fuentedeprrafopredeter"/>
    <w:link w:val="Ttulo1"/>
    <w:uiPriority w:val="9"/>
    <w:rsid w:val="00B52047"/>
    <w:rPr>
      <w:rFonts w:ascii="Verdana" w:eastAsia="Times New Roman" w:hAnsi="Verdana" w:cs="Times New Roman"/>
      <w:b/>
      <w:sz w:val="20"/>
      <w:szCs w:val="20"/>
      <w:lang w:val="es-ES" w:eastAsia="es-CR"/>
    </w:rPr>
  </w:style>
  <w:style w:type="character" w:customStyle="1" w:styleId="Ttulo2Car">
    <w:name w:val="Título 2 Car"/>
    <w:basedOn w:val="Fuentedeprrafopredeter"/>
    <w:link w:val="Ttulo2"/>
    <w:uiPriority w:val="9"/>
    <w:rsid w:val="00880D4E"/>
    <w:rPr>
      <w:rFonts w:ascii="Verdana" w:eastAsia="MS Mincho" w:hAnsi="Verdana" w:cs="Verdana"/>
      <w:b/>
      <w:i/>
      <w:sz w:val="20"/>
      <w:szCs w:val="20"/>
      <w:lang w:eastAsia="es-CR"/>
    </w:rPr>
  </w:style>
  <w:style w:type="character" w:customStyle="1" w:styleId="Ttulo3Car">
    <w:name w:val="Título 3 Car"/>
    <w:basedOn w:val="Fuentedeprrafopredeter"/>
    <w:link w:val="Ttulo3"/>
    <w:uiPriority w:val="9"/>
    <w:rsid w:val="00880D4E"/>
    <w:rPr>
      <w:rFonts w:ascii="Verdana" w:eastAsia="Batang" w:hAnsi="Verdana"/>
      <w:b/>
      <w:i/>
      <w:sz w:val="20"/>
      <w:szCs w:val="20"/>
      <w:lang w:val="es-MX"/>
    </w:rPr>
  </w:style>
  <w:style w:type="character" w:customStyle="1" w:styleId="Ttulo4Car">
    <w:name w:val="Título 4 Car"/>
    <w:basedOn w:val="Fuentedeprrafopredeter"/>
    <w:link w:val="Ttulo4"/>
    <w:uiPriority w:val="9"/>
    <w:rsid w:val="00721B81"/>
    <w:rPr>
      <w:rFonts w:ascii="Verdana" w:eastAsia="Times New Roman" w:hAnsi="Verdana" w:cs="Times New Roman"/>
      <w:i/>
      <w:iCs/>
      <w:sz w:val="20"/>
      <w:szCs w:val="20"/>
      <w:lang w:val="es-ES" w:eastAsia="es-CR"/>
    </w:rPr>
  </w:style>
  <w:style w:type="character" w:customStyle="1" w:styleId="Ttulo5Car">
    <w:name w:val="Título 5 Car"/>
    <w:basedOn w:val="Fuentedeprrafopredeter"/>
    <w:link w:val="Ttulo5"/>
    <w:uiPriority w:val="9"/>
    <w:rsid w:val="00880D4E"/>
    <w:rPr>
      <w:rFonts w:ascii="Verdana" w:eastAsia="Times New Roman" w:hAnsi="Verdana" w:cs="Times New Roman"/>
      <w:i/>
      <w:sz w:val="20"/>
      <w:szCs w:val="20"/>
      <w:lang w:eastAsia="es-CR"/>
    </w:rPr>
  </w:style>
  <w:style w:type="character" w:customStyle="1" w:styleId="Ttulo6Car">
    <w:name w:val="Título 6 Car"/>
    <w:basedOn w:val="Fuentedeprrafopredeter"/>
    <w:link w:val="Ttulo6"/>
    <w:uiPriority w:val="9"/>
    <w:rsid w:val="009C37EC"/>
    <w:rPr>
      <w:rFonts w:ascii="Verdana" w:eastAsia="Times New Roman" w:hAnsi="Verdana" w:cs="Times New Roman"/>
      <w:i/>
      <w:spacing w:val="-2"/>
      <w:sz w:val="20"/>
      <w:szCs w:val="20"/>
      <w:lang w:val="es-ES_tradnl" w:eastAsia="es-CR"/>
    </w:rPr>
  </w:style>
  <w:style w:type="character" w:customStyle="1" w:styleId="Ttulo7Car">
    <w:name w:val="Título 7 Car"/>
    <w:basedOn w:val="Fuentedeprrafopredeter"/>
    <w:link w:val="Ttulo7"/>
    <w:uiPriority w:val="9"/>
    <w:semiHidden/>
    <w:rsid w:val="002D6817"/>
    <w:rPr>
      <w:rFonts w:asciiTheme="majorHAnsi" w:eastAsiaTheme="majorEastAsia" w:hAnsiTheme="majorHAnsi" w:cstheme="majorBidi"/>
      <w:i/>
      <w:iCs/>
      <w:color w:val="243F60" w:themeColor="accent1" w:themeShade="7F"/>
      <w:sz w:val="24"/>
      <w:szCs w:val="24"/>
      <w:lang w:eastAsia="es-CR"/>
    </w:rPr>
  </w:style>
  <w:style w:type="character" w:customStyle="1" w:styleId="Ttulo8Car">
    <w:name w:val="Título 8 Car"/>
    <w:basedOn w:val="Fuentedeprrafopredeter"/>
    <w:link w:val="Ttulo8"/>
    <w:uiPriority w:val="9"/>
    <w:semiHidden/>
    <w:rsid w:val="002D6817"/>
    <w:rPr>
      <w:rFonts w:asciiTheme="majorHAnsi" w:eastAsiaTheme="majorEastAsia" w:hAnsiTheme="majorHAnsi" w:cstheme="majorBidi"/>
      <w:color w:val="272727" w:themeColor="text1" w:themeTint="D8"/>
      <w:sz w:val="21"/>
      <w:szCs w:val="21"/>
      <w:lang w:eastAsia="es-CR"/>
    </w:rPr>
  </w:style>
  <w:style w:type="character" w:customStyle="1" w:styleId="Ttulo9Car">
    <w:name w:val="Título 9 Car"/>
    <w:basedOn w:val="Fuentedeprrafopredeter"/>
    <w:link w:val="Ttulo9"/>
    <w:uiPriority w:val="9"/>
    <w:semiHidden/>
    <w:rsid w:val="005650D0"/>
    <w:rPr>
      <w:rFonts w:asciiTheme="majorHAnsi" w:eastAsiaTheme="majorEastAsia" w:hAnsiTheme="majorHAnsi" w:cstheme="majorBidi"/>
      <w:i/>
      <w:iCs/>
      <w:color w:val="272727" w:themeColor="text1" w:themeTint="D8"/>
      <w:sz w:val="21"/>
      <w:szCs w:val="21"/>
      <w:lang w:eastAsia="es-CR"/>
    </w:rPr>
  </w:style>
  <w:style w:type="paragraph" w:styleId="Ttulo">
    <w:name w:val="Title"/>
    <w:basedOn w:val="Prrafodelista"/>
    <w:next w:val="Normal"/>
    <w:link w:val="TtuloCar"/>
    <w:uiPriority w:val="10"/>
    <w:qFormat/>
    <w:rsid w:val="00880D4E"/>
    <w:pPr>
      <w:keepNext/>
      <w:keepLines/>
      <w:numPr>
        <w:numId w:val="4"/>
      </w:numPr>
      <w:spacing w:before="120" w:after="120" w:line="240" w:lineRule="auto"/>
      <w:textAlignment w:val="baseline"/>
      <w:outlineLvl w:val="1"/>
    </w:pPr>
    <w:rPr>
      <w:b/>
      <w:i/>
    </w:rPr>
  </w:style>
  <w:style w:type="character" w:customStyle="1" w:styleId="TtuloCar">
    <w:name w:val="Título Car"/>
    <w:basedOn w:val="Fuentedeprrafopredeter"/>
    <w:link w:val="Ttulo"/>
    <w:uiPriority w:val="10"/>
    <w:rsid w:val="00880D4E"/>
    <w:rPr>
      <w:rFonts w:ascii="Verdana" w:eastAsia="Times New Roman" w:hAnsi="Verdana" w:cs="Times New Roman"/>
      <w:b/>
      <w:i/>
      <w:sz w:val="20"/>
      <w:szCs w:val="20"/>
      <w:lang w:eastAsia="es-CR"/>
    </w:rPr>
  </w:style>
  <w:style w:type="paragraph" w:styleId="Subttulo">
    <w:name w:val="Subtitle"/>
    <w:basedOn w:val="Ttulo"/>
    <w:next w:val="Normal"/>
    <w:link w:val="SubttuloCar"/>
    <w:uiPriority w:val="11"/>
    <w:qFormat/>
    <w:rsid w:val="00880D4E"/>
    <w:pPr>
      <w:numPr>
        <w:numId w:val="0"/>
      </w:numPr>
    </w:pPr>
  </w:style>
  <w:style w:type="character" w:customStyle="1" w:styleId="SubttuloCar">
    <w:name w:val="Subtítulo Car"/>
    <w:basedOn w:val="Fuentedeprrafopredeter"/>
    <w:link w:val="Subttulo"/>
    <w:uiPriority w:val="11"/>
    <w:rsid w:val="00880D4E"/>
    <w:rPr>
      <w:rFonts w:ascii="Verdana" w:eastAsia="Batang" w:hAnsi="Verdana"/>
      <w:b/>
      <w:i/>
      <w:sz w:val="20"/>
      <w:szCs w:val="20"/>
      <w:lang w:val="es-MX"/>
    </w:rPr>
  </w:style>
  <w:style w:type="character" w:styleId="Textoennegrita">
    <w:name w:val="Strong"/>
    <w:aliases w:val="Heading 2.1"/>
    <w:basedOn w:val="Fuentedeprrafopredeter"/>
    <w:uiPriority w:val="22"/>
    <w:qFormat/>
    <w:rsid w:val="00880D4E"/>
    <w:rPr>
      <w:b/>
      <w:bCs/>
    </w:rPr>
  </w:style>
  <w:style w:type="character" w:styleId="nfasis">
    <w:name w:val="Emphasis"/>
    <w:basedOn w:val="nfasissutil"/>
    <w:uiPriority w:val="20"/>
    <w:qFormat/>
    <w:rsid w:val="00880D4E"/>
    <w:rPr>
      <w:i/>
      <w:iCs/>
    </w:rPr>
  </w:style>
  <w:style w:type="paragraph" w:styleId="Sinespaciado">
    <w:name w:val="No Spacing"/>
    <w:link w:val="SinespaciadoCar"/>
    <w:uiPriority w:val="1"/>
    <w:qFormat/>
    <w:rsid w:val="00880D4E"/>
    <w:pPr>
      <w:spacing w:after="0" w:line="240" w:lineRule="auto"/>
    </w:pPr>
  </w:style>
  <w:style w:type="paragraph" w:styleId="Prrafodelista">
    <w:name w:val="List Paragraph"/>
    <w:aliases w:val="List Paragraph2,Lista vistosa - Énfasis 11,Párrafo de lista1,Footnote,List Paragraph1,Colorful List - Accent 11,Parrafos,Subtle Emphasis1,Footnote1,List Paragraph11,Cuadrícula clara - Énfasis 31,Lista clara - Énfasis 51"/>
    <w:basedOn w:val="Normal"/>
    <w:link w:val="PrrafodelistaCar"/>
    <w:uiPriority w:val="34"/>
    <w:qFormat/>
    <w:rsid w:val="00880D4E"/>
    <w:pPr>
      <w:ind w:left="720"/>
      <w:contextualSpacing/>
    </w:pPr>
  </w:style>
  <w:style w:type="character" w:customStyle="1" w:styleId="PrrafodelistaCar">
    <w:name w:val="Párrafo de lista Car"/>
    <w:aliases w:val="List Paragraph2 Car,Lista vistosa - Énfasis 11 Car,Párrafo de lista1 Car,Footnote Car,List Paragraph1 Car,Colorful List - Accent 11 Car,Parrafos Car,Subtle Emphasis1 Car,Footnote1 Car,List Paragraph11 Car"/>
    <w:basedOn w:val="Fuentedeprrafopredeter"/>
    <w:link w:val="Prrafodelista"/>
    <w:uiPriority w:val="34"/>
    <w:locked/>
    <w:rsid w:val="00880D4E"/>
    <w:rPr>
      <w:rFonts w:eastAsia="Batang"/>
      <w:lang w:val="es-MX"/>
    </w:rPr>
  </w:style>
  <w:style w:type="character" w:styleId="Ttulodellibro">
    <w:name w:val="Book Title"/>
    <w:basedOn w:val="Fuentedeprrafopredeter"/>
    <w:uiPriority w:val="33"/>
    <w:qFormat/>
    <w:rsid w:val="002D6817"/>
    <w:rPr>
      <w:b/>
      <w:bCs/>
      <w:i/>
      <w:iCs/>
      <w:spacing w:val="5"/>
    </w:rPr>
  </w:style>
  <w:style w:type="paragraph" w:styleId="TtuloTDC">
    <w:name w:val="TOC Heading"/>
    <w:basedOn w:val="Ttulo1"/>
    <w:next w:val="Normal"/>
    <w:uiPriority w:val="39"/>
    <w:unhideWhenUsed/>
    <w:qFormat/>
    <w:rsid w:val="00880D4E"/>
    <w:pPr>
      <w:spacing w:line="276" w:lineRule="auto"/>
      <w:outlineLvl w:val="9"/>
    </w:pPr>
    <w:rPr>
      <w:lang w:val="en-US" w:eastAsia="ja-JP"/>
    </w:rPr>
  </w:style>
  <w:style w:type="paragraph" w:customStyle="1" w:styleId="Prrafodelista2">
    <w:name w:val="Párrafo de lista2"/>
    <w:basedOn w:val="Normal"/>
    <w:uiPriority w:val="34"/>
    <w:rsid w:val="005650D0"/>
    <w:pPr>
      <w:ind w:left="720"/>
    </w:pPr>
  </w:style>
  <w:style w:type="paragraph" w:customStyle="1" w:styleId="PargrafodaLista">
    <w:name w:val="Parágrafo da Lista"/>
    <w:basedOn w:val="Normal"/>
    <w:rsid w:val="005650D0"/>
    <w:pPr>
      <w:ind w:left="708"/>
    </w:pPr>
    <w:rPr>
      <w:sz w:val="16"/>
    </w:rPr>
  </w:style>
  <w:style w:type="paragraph" w:customStyle="1" w:styleId="Sinespaciado1">
    <w:name w:val="Sin espaciado1"/>
    <w:uiPriority w:val="1"/>
    <w:rsid w:val="005650D0"/>
    <w:pPr>
      <w:spacing w:after="0" w:line="240" w:lineRule="auto"/>
    </w:pPr>
    <w:rPr>
      <w:rFonts w:ascii="Calibri" w:eastAsia="Times New Roman" w:hAnsi="Calibri" w:cs="Times New Roman"/>
      <w:lang w:val="en-US" w:eastAsia="es-CR"/>
    </w:rPr>
  </w:style>
  <w:style w:type="character" w:customStyle="1" w:styleId="SinespaciadoCar">
    <w:name w:val="Sin espaciado Car"/>
    <w:basedOn w:val="Fuentedeprrafopredeter"/>
    <w:link w:val="Sinespaciado"/>
    <w:uiPriority w:val="1"/>
    <w:rsid w:val="009C37EC"/>
  </w:style>
  <w:style w:type="character" w:customStyle="1" w:styleId="TextonotapieCar2">
    <w:name w:val="Texto nota pie Car2"/>
    <w:aliases w:val="Ca Car2,2. Footnote Text Car1,Footnote Tesina Car1,FA Fu Car2,Footnote Text Char Char Char Char Char Car2,Footnote Text Char Char Char Char Car2,Footnote reference Car2,Footnote Text Char Char Char Car2,Footnote Text Cha Car2,C Car1"/>
    <w:basedOn w:val="Fuentedeprrafopredeter"/>
    <w:rsid w:val="005650D0"/>
    <w:rPr>
      <w:rFonts w:ascii="Verdana" w:eastAsia="Times" w:hAnsi="Verdana" w:cs="Times"/>
      <w:sz w:val="16"/>
      <w:szCs w:val="20"/>
      <w:lang w:val="es-ES_tradnl" w:eastAsia="x-none"/>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basedOn w:val="Fuentedeprrafopredeter"/>
    <w:link w:val="4GChar"/>
    <w:uiPriority w:val="99"/>
    <w:unhideWhenUsed/>
    <w:qFormat/>
    <w:rsid w:val="00880D4E"/>
    <w:rPr>
      <w:vertAlign w:val="superscript"/>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80D4E"/>
    <w:pPr>
      <w:spacing w:line="240" w:lineRule="auto"/>
    </w:pPr>
    <w:rPr>
      <w:rFonts w:eastAsiaTheme="minorHAnsi"/>
      <w:vertAlign w:val="superscript"/>
      <w:lang w:val="en-US"/>
    </w:rPr>
  </w:style>
  <w:style w:type="paragraph" w:customStyle="1" w:styleId="Numberedparagraphs">
    <w:name w:val="Numbered paragraphs"/>
    <w:basedOn w:val="Normal"/>
    <w:rsid w:val="009C37EC"/>
    <w:pPr>
      <w:spacing w:line="240" w:lineRule="auto"/>
    </w:pPr>
    <w:rPr>
      <w:rFonts w:eastAsia="MS Mincho"/>
      <w:color w:val="000000"/>
      <w:lang w:val="es-ES_tradnl"/>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Fuentedeprrafopredeter"/>
    <w:rsid w:val="009C37EC"/>
    <w:rPr>
      <w:sz w:val="20"/>
      <w:szCs w:val="20"/>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9C37EC"/>
    <w:pPr>
      <w:spacing w:after="160" w:line="240" w:lineRule="exact"/>
    </w:pPr>
    <w:rPr>
      <w:rFonts w:eastAsiaTheme="minorHAnsi"/>
      <w:vertAlign w:val="superscript"/>
    </w:rPr>
  </w:style>
  <w:style w:type="paragraph" w:customStyle="1" w:styleId="Estilo3">
    <w:name w:val="Estilo3"/>
    <w:basedOn w:val="Prrafodelista"/>
    <w:rsid w:val="009C37EC"/>
    <w:pPr>
      <w:numPr>
        <w:ilvl w:val="4"/>
        <w:numId w:val="2"/>
      </w:numPr>
      <w:spacing w:after="120" w:line="216" w:lineRule="auto"/>
      <w:ind w:right="17"/>
    </w:pPr>
    <w:rPr>
      <w:rFonts w:eastAsia="Calibri"/>
      <w:spacing w:val="-2"/>
      <w:lang w:eastAsia="x-none"/>
    </w:rPr>
  </w:style>
  <w:style w:type="paragraph" w:customStyle="1" w:styleId="Estilo5">
    <w:name w:val="Estilo5"/>
    <w:basedOn w:val="Prrafodelista"/>
    <w:link w:val="Estilo5Car"/>
    <w:rsid w:val="009C37EC"/>
    <w:pPr>
      <w:numPr>
        <w:numId w:val="2"/>
      </w:numPr>
      <w:spacing w:after="120" w:line="216" w:lineRule="auto"/>
      <w:ind w:right="18"/>
    </w:pPr>
    <w:rPr>
      <w:rFonts w:eastAsia="Calibri"/>
      <w:spacing w:val="-2"/>
      <w:lang w:eastAsia="x-none"/>
    </w:rPr>
  </w:style>
  <w:style w:type="character" w:customStyle="1" w:styleId="Estilo5Car">
    <w:name w:val="Estilo5 Car"/>
    <w:link w:val="Estilo5"/>
    <w:rsid w:val="009C37EC"/>
    <w:rPr>
      <w:rFonts w:ascii="Verdana" w:eastAsia="Calibri" w:hAnsi="Verdana" w:cs="Times New Roman"/>
      <w:spacing w:val="-2"/>
      <w:sz w:val="20"/>
      <w:szCs w:val="20"/>
      <w:lang w:eastAsia="x-none"/>
    </w:rPr>
  </w:style>
  <w:style w:type="paragraph" w:customStyle="1" w:styleId="Estilo8">
    <w:name w:val="Estilo8"/>
    <w:basedOn w:val="Estilo3"/>
    <w:rsid w:val="009C37EC"/>
    <w:pPr>
      <w:numPr>
        <w:ilvl w:val="5"/>
      </w:numPr>
    </w:pPr>
  </w:style>
  <w:style w:type="paragraph" w:customStyle="1" w:styleId="Estilo2">
    <w:name w:val="Estilo2"/>
    <w:basedOn w:val="Normal"/>
    <w:qFormat/>
    <w:rsid w:val="00880D4E"/>
    <w:pPr>
      <w:tabs>
        <w:tab w:val="left" w:pos="567"/>
        <w:tab w:val="left" w:pos="1134"/>
        <w:tab w:val="num" w:pos="4767"/>
      </w:tabs>
      <w:spacing w:after="120" w:line="240" w:lineRule="auto"/>
      <w:ind w:left="4767" w:hanging="360"/>
    </w:pPr>
    <w:rPr>
      <w:rFonts w:eastAsia="Calibri"/>
      <w:lang w:val="es-ES"/>
    </w:rPr>
  </w:style>
  <w:style w:type="paragraph" w:customStyle="1" w:styleId="Estilo7">
    <w:name w:val="Estilo7"/>
    <w:basedOn w:val="Normal"/>
    <w:qFormat/>
    <w:rsid w:val="00880D4E"/>
    <w:pPr>
      <w:tabs>
        <w:tab w:val="left" w:pos="567"/>
        <w:tab w:val="left" w:pos="851"/>
        <w:tab w:val="num" w:pos="2160"/>
      </w:tabs>
      <w:spacing w:before="120" w:after="120" w:line="240" w:lineRule="auto"/>
      <w:ind w:left="2160" w:hanging="180"/>
    </w:pPr>
    <w:rPr>
      <w:b/>
      <w:i/>
      <w:lang w:val="es-ES_tradnl" w:eastAsia="es-MX"/>
    </w:rPr>
  </w:style>
  <w:style w:type="paragraph" w:customStyle="1" w:styleId="NormalNumbered">
    <w:name w:val="Normal Numbered"/>
    <w:basedOn w:val="Normal"/>
    <w:qFormat/>
    <w:rsid w:val="00880D4E"/>
    <w:pPr>
      <w:numPr>
        <w:numId w:val="5"/>
      </w:numPr>
      <w:spacing w:line="240" w:lineRule="auto"/>
    </w:pPr>
    <w:rPr>
      <w:lang w:val="x-none" w:eastAsia="x-none"/>
    </w:rPr>
  </w:style>
  <w:style w:type="paragraph" w:styleId="TDC1">
    <w:name w:val="toc 1"/>
    <w:basedOn w:val="Normal"/>
    <w:next w:val="Normal"/>
    <w:autoRedefine/>
    <w:uiPriority w:val="39"/>
    <w:unhideWhenUsed/>
    <w:qFormat/>
    <w:rsid w:val="00EA3CBB"/>
    <w:pPr>
      <w:tabs>
        <w:tab w:val="right" w:leader="dot" w:pos="8828"/>
      </w:tabs>
      <w:spacing w:before="120" w:after="120" w:line="240" w:lineRule="auto"/>
    </w:pPr>
    <w:rPr>
      <w:b/>
      <w:bCs/>
      <w:caps/>
    </w:rPr>
  </w:style>
  <w:style w:type="paragraph" w:styleId="TDC2">
    <w:name w:val="toc 2"/>
    <w:basedOn w:val="Normal"/>
    <w:next w:val="Normal"/>
    <w:autoRedefine/>
    <w:uiPriority w:val="39"/>
    <w:unhideWhenUsed/>
    <w:qFormat/>
    <w:rsid w:val="00EA3CBB"/>
    <w:pPr>
      <w:tabs>
        <w:tab w:val="left" w:pos="880"/>
        <w:tab w:val="right" w:leader="dot" w:pos="8828"/>
        <w:tab w:val="right" w:leader="dot" w:pos="9792"/>
      </w:tabs>
      <w:spacing w:before="20" w:after="20" w:line="240" w:lineRule="auto"/>
      <w:ind w:left="221"/>
    </w:pPr>
    <w:rPr>
      <w:bCs/>
      <w:i/>
      <w:noProof/>
      <w:lang w:val="es-ES_tradnl"/>
    </w:rPr>
  </w:style>
  <w:style w:type="paragraph" w:styleId="TDC3">
    <w:name w:val="toc 3"/>
    <w:basedOn w:val="Normal"/>
    <w:next w:val="Normal"/>
    <w:autoRedefine/>
    <w:uiPriority w:val="39"/>
    <w:unhideWhenUsed/>
    <w:qFormat/>
    <w:rsid w:val="00EA3CBB"/>
    <w:pPr>
      <w:tabs>
        <w:tab w:val="right" w:leader="dot" w:pos="8828"/>
      </w:tabs>
      <w:spacing w:before="20" w:after="20" w:line="240" w:lineRule="auto"/>
      <w:ind w:left="442"/>
    </w:pPr>
    <w:rPr>
      <w:i/>
      <w:iCs/>
    </w:rPr>
  </w:style>
  <w:style w:type="character" w:styleId="nfasissutil">
    <w:name w:val="Subtle Emphasis"/>
    <w:uiPriority w:val="19"/>
    <w:qFormat/>
    <w:rsid w:val="00880D4E"/>
  </w:style>
  <w:style w:type="character" w:styleId="Hipervnculo">
    <w:name w:val="Hyperlink"/>
    <w:basedOn w:val="Fuentedeprrafopredeter"/>
    <w:uiPriority w:val="99"/>
    <w:unhideWhenUsed/>
    <w:rsid w:val="00E0705E"/>
    <w:rPr>
      <w:color w:val="0000FF" w:themeColor="hyperlink"/>
      <w:u w:val="single"/>
    </w:rPr>
  </w:style>
  <w:style w:type="paragraph" w:styleId="Textodebloque">
    <w:name w:val="Block Text"/>
    <w:basedOn w:val="Normal"/>
    <w:semiHidden/>
    <w:unhideWhenUsed/>
    <w:rsid w:val="00E0705E"/>
    <w:pPr>
      <w:widowControl/>
      <w:tabs>
        <w:tab w:val="left" w:pos="720"/>
      </w:tabs>
      <w:adjustRightInd/>
      <w:spacing w:line="240" w:lineRule="auto"/>
      <w:ind w:left="720" w:right="720"/>
    </w:pPr>
    <w:rPr>
      <w:rFonts w:ascii="Garamond" w:hAnsi="Garamond"/>
      <w:sz w:val="22"/>
      <w:lang w:val="en-GB" w:eastAsia="en-US"/>
    </w:rPr>
  </w:style>
  <w:style w:type="character" w:customStyle="1" w:styleId="highlight">
    <w:name w:val="highlight"/>
    <w:basedOn w:val="Fuentedeprrafopredeter"/>
    <w:rsid w:val="00E0705E"/>
  </w:style>
  <w:style w:type="paragraph" w:styleId="Encabezado">
    <w:name w:val="header"/>
    <w:aliases w:val="encabezado"/>
    <w:basedOn w:val="Normal"/>
    <w:link w:val="EncabezadoCar"/>
    <w:uiPriority w:val="99"/>
    <w:unhideWhenUsed/>
    <w:rsid w:val="006E0712"/>
    <w:pPr>
      <w:tabs>
        <w:tab w:val="center" w:pos="4419"/>
        <w:tab w:val="right" w:pos="8838"/>
      </w:tabs>
      <w:spacing w:line="240" w:lineRule="auto"/>
    </w:pPr>
  </w:style>
  <w:style w:type="character" w:customStyle="1" w:styleId="EncabezadoCar">
    <w:name w:val="Encabezado Car"/>
    <w:aliases w:val="encabezado Car"/>
    <w:basedOn w:val="Fuentedeprrafopredeter"/>
    <w:link w:val="Encabezado"/>
    <w:uiPriority w:val="99"/>
    <w:rsid w:val="006E0712"/>
    <w:rPr>
      <w:rFonts w:ascii="Verdana" w:eastAsia="Times New Roman" w:hAnsi="Verdana" w:cs="Times New Roman"/>
      <w:sz w:val="20"/>
      <w:szCs w:val="20"/>
      <w:lang w:eastAsia="es-CR"/>
    </w:rPr>
  </w:style>
  <w:style w:type="paragraph" w:styleId="Piedepgina">
    <w:name w:val="footer"/>
    <w:basedOn w:val="Normal"/>
    <w:link w:val="PiedepginaCar"/>
    <w:uiPriority w:val="99"/>
    <w:unhideWhenUsed/>
    <w:rsid w:val="006E071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E0712"/>
    <w:rPr>
      <w:rFonts w:ascii="Verdana" w:eastAsia="Times New Roman" w:hAnsi="Verdana" w:cs="Times New Roman"/>
      <w:sz w:val="20"/>
      <w:szCs w:val="20"/>
      <w:lang w:eastAsia="es-CR"/>
    </w:rPr>
  </w:style>
  <w:style w:type="character" w:styleId="Nmerodelnea">
    <w:name w:val="line number"/>
    <w:basedOn w:val="Fuentedeprrafopredeter"/>
    <w:uiPriority w:val="99"/>
    <w:semiHidden/>
    <w:unhideWhenUsed/>
    <w:rsid w:val="00DA682E"/>
  </w:style>
  <w:style w:type="character" w:styleId="Mencinsinresolver">
    <w:name w:val="Unresolved Mention"/>
    <w:basedOn w:val="Fuentedeprrafopredeter"/>
    <w:uiPriority w:val="99"/>
    <w:semiHidden/>
    <w:unhideWhenUsed/>
    <w:rsid w:val="005C4AB4"/>
    <w:rPr>
      <w:color w:val="605E5C"/>
      <w:shd w:val="clear" w:color="auto" w:fill="E1DFDD"/>
    </w:rPr>
  </w:style>
  <w:style w:type="paragraph" w:customStyle="1" w:styleId="Default">
    <w:name w:val="Default"/>
    <w:rsid w:val="00CA24E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C32D68"/>
    <w:rPr>
      <w:sz w:val="16"/>
      <w:szCs w:val="16"/>
    </w:rPr>
  </w:style>
  <w:style w:type="paragraph" w:styleId="Textocomentario">
    <w:name w:val="annotation text"/>
    <w:basedOn w:val="Normal"/>
    <w:link w:val="TextocomentarioCar"/>
    <w:uiPriority w:val="99"/>
    <w:unhideWhenUsed/>
    <w:rsid w:val="00C32D68"/>
    <w:pPr>
      <w:spacing w:line="240" w:lineRule="auto"/>
    </w:pPr>
  </w:style>
  <w:style w:type="character" w:customStyle="1" w:styleId="TextocomentarioCar">
    <w:name w:val="Texto comentario Car"/>
    <w:basedOn w:val="Fuentedeprrafopredeter"/>
    <w:link w:val="Textocomentario"/>
    <w:uiPriority w:val="99"/>
    <w:rsid w:val="00C32D68"/>
    <w:rPr>
      <w:rFonts w:ascii="Verdana" w:eastAsia="Times New Roman" w:hAnsi="Verdana" w:cs="Times New Roman"/>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32D68"/>
    <w:rPr>
      <w:b/>
      <w:bCs/>
    </w:rPr>
  </w:style>
  <w:style w:type="character" w:customStyle="1" w:styleId="AsuntodelcomentarioCar">
    <w:name w:val="Asunto del comentario Car"/>
    <w:basedOn w:val="TextocomentarioCar"/>
    <w:link w:val="Asuntodelcomentario"/>
    <w:uiPriority w:val="99"/>
    <w:semiHidden/>
    <w:rsid w:val="00C32D68"/>
    <w:rPr>
      <w:rFonts w:ascii="Verdana" w:eastAsia="Times New Roman" w:hAnsi="Verdana" w:cs="Times New Roman"/>
      <w:b/>
      <w:bCs/>
      <w:sz w:val="20"/>
      <w:szCs w:val="20"/>
      <w:lang w:eastAsia="es-CR"/>
    </w:rPr>
  </w:style>
  <w:style w:type="paragraph" w:styleId="Revisin">
    <w:name w:val="Revision"/>
    <w:hidden/>
    <w:uiPriority w:val="99"/>
    <w:semiHidden/>
    <w:rsid w:val="001C03A2"/>
    <w:pPr>
      <w:spacing w:after="0" w:line="240" w:lineRule="auto"/>
    </w:pPr>
    <w:rPr>
      <w:rFonts w:ascii="Verdana" w:eastAsia="Times New Roman" w:hAnsi="Verdana" w:cs="Times New Roman"/>
      <w:sz w:val="20"/>
      <w:szCs w:val="20"/>
      <w:lang w:eastAsia="es-CR"/>
    </w:rPr>
  </w:style>
  <w:style w:type="paragraph" w:customStyle="1" w:styleId="Normal1">
    <w:name w:val="Normal1"/>
    <w:rsid w:val="003A7436"/>
    <w:pPr>
      <w:widowControl w:val="0"/>
      <w:spacing w:after="0" w:line="240" w:lineRule="auto"/>
    </w:pPr>
    <w:rPr>
      <w:rFonts w:ascii="Times New Roman" w:eastAsia="Times New Roman" w:hAnsi="Times New Roman" w:cs="Times New Roman"/>
      <w:sz w:val="24"/>
      <w:szCs w:val="24"/>
    </w:rPr>
  </w:style>
  <w:style w:type="table" w:styleId="Tablaconcuadrcula4-nfasis5">
    <w:name w:val="Grid Table 4 Accent 5"/>
    <w:basedOn w:val="Tablanormal"/>
    <w:uiPriority w:val="49"/>
    <w:rsid w:val="00832704"/>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ipervnculovisitado">
    <w:name w:val="FollowedHyperlink"/>
    <w:basedOn w:val="Fuentedeprrafopredeter"/>
    <w:uiPriority w:val="99"/>
    <w:semiHidden/>
    <w:unhideWhenUsed/>
    <w:rsid w:val="005B49A0"/>
    <w:rPr>
      <w:color w:val="800080" w:themeColor="followedHyperlink"/>
      <w:u w:val="single"/>
    </w:rPr>
  </w:style>
  <w:style w:type="character" w:customStyle="1" w:styleId="markedcontent">
    <w:name w:val="markedcontent"/>
    <w:basedOn w:val="Fuentedeprrafopredeter"/>
    <w:rsid w:val="002A24BC"/>
  </w:style>
  <w:style w:type="table" w:styleId="Tablaconcuadrcula">
    <w:name w:val="Table Grid"/>
    <w:basedOn w:val="Tablanormal"/>
    <w:uiPriority w:val="39"/>
    <w:rsid w:val="0085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char"/>
    <w:basedOn w:val="Fuentedeprrafopredeter"/>
    <w:uiPriority w:val="99"/>
    <w:rsid w:val="00424B78"/>
  </w:style>
  <w:style w:type="paragraph" w:customStyle="1" w:styleId="ju-005fpara">
    <w:name w:val="ju-005fpara"/>
    <w:basedOn w:val="Normal"/>
    <w:rsid w:val="00424B78"/>
    <w:pPr>
      <w:widowControl/>
      <w:adjustRightInd/>
      <w:spacing w:before="100" w:beforeAutospacing="1" w:after="100" w:afterAutospacing="1" w:line="240" w:lineRule="auto"/>
      <w:jc w:val="left"/>
    </w:pPr>
    <w:rPr>
      <w:rFonts w:ascii="Times New Roman" w:hAnsi="Times New Roman"/>
      <w:sz w:val="24"/>
      <w:szCs w:val="24"/>
      <w:lang w:val="es-ES" w:eastAsia="es-ES"/>
    </w:rPr>
  </w:style>
  <w:style w:type="character" w:customStyle="1" w:styleId="ju-005fpara--char">
    <w:name w:val="ju-005fpara--char"/>
    <w:basedOn w:val="Fuentedeprrafopredeter"/>
    <w:rsid w:val="00424B78"/>
  </w:style>
  <w:style w:type="paragraph" w:styleId="Textoindependiente">
    <w:name w:val="Body Text"/>
    <w:basedOn w:val="Normal"/>
    <w:link w:val="TextoindependienteCar"/>
    <w:uiPriority w:val="1"/>
    <w:qFormat/>
    <w:rsid w:val="00FD2465"/>
    <w:pPr>
      <w:autoSpaceDE w:val="0"/>
      <w:autoSpaceDN w:val="0"/>
      <w:adjustRightInd/>
      <w:spacing w:line="240" w:lineRule="auto"/>
      <w:jc w:val="left"/>
    </w:pPr>
    <w:rPr>
      <w:rFonts w:eastAsia="Verdana" w:cs="Verdana"/>
      <w:lang w:val="en-US" w:eastAsia="en-US"/>
    </w:rPr>
  </w:style>
  <w:style w:type="character" w:customStyle="1" w:styleId="TextoindependienteCar">
    <w:name w:val="Texto independiente Car"/>
    <w:basedOn w:val="Fuentedeprrafopredeter"/>
    <w:link w:val="Textoindependiente"/>
    <w:uiPriority w:val="1"/>
    <w:rsid w:val="00FD2465"/>
    <w:rPr>
      <w:rFonts w:ascii="Verdana" w:eastAsia="Verdana" w:hAnsi="Verdana" w:cs="Verdana"/>
      <w:sz w:val="20"/>
      <w:szCs w:val="20"/>
      <w:lang w:val="en-US"/>
    </w:rPr>
  </w:style>
  <w:style w:type="paragraph" w:customStyle="1" w:styleId="pf0">
    <w:name w:val="pf0"/>
    <w:basedOn w:val="Normal"/>
    <w:rsid w:val="00157BDB"/>
    <w:pPr>
      <w:widowControl/>
      <w:adjustRightInd/>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Fuentedeprrafopredeter"/>
    <w:rsid w:val="00157BDB"/>
    <w:rPr>
      <w:rFonts w:ascii="Segoe UI" w:hAnsi="Segoe UI" w:cs="Segoe UI" w:hint="default"/>
      <w:sz w:val="18"/>
      <w:szCs w:val="18"/>
    </w:rPr>
  </w:style>
  <w:style w:type="paragraph" w:styleId="Textonotaalfinal">
    <w:name w:val="endnote text"/>
    <w:basedOn w:val="Normal"/>
    <w:link w:val="TextonotaalfinalCar"/>
    <w:uiPriority w:val="99"/>
    <w:semiHidden/>
    <w:unhideWhenUsed/>
    <w:rsid w:val="00600413"/>
    <w:pPr>
      <w:spacing w:line="240" w:lineRule="auto"/>
    </w:pPr>
  </w:style>
  <w:style w:type="character" w:customStyle="1" w:styleId="TextonotaalfinalCar">
    <w:name w:val="Texto nota al final Car"/>
    <w:basedOn w:val="Fuentedeprrafopredeter"/>
    <w:link w:val="Textonotaalfinal"/>
    <w:uiPriority w:val="99"/>
    <w:semiHidden/>
    <w:rsid w:val="00600413"/>
    <w:rPr>
      <w:rFonts w:ascii="Verdana" w:eastAsia="Times New Roman" w:hAnsi="Verdana" w:cs="Times New Roman"/>
      <w:sz w:val="20"/>
      <w:szCs w:val="20"/>
      <w:lang w:eastAsia="es-CR"/>
    </w:rPr>
  </w:style>
  <w:style w:type="character" w:styleId="Refdenotaalfinal">
    <w:name w:val="endnote reference"/>
    <w:basedOn w:val="Fuentedeprrafopredeter"/>
    <w:uiPriority w:val="99"/>
    <w:semiHidden/>
    <w:unhideWhenUsed/>
    <w:rsid w:val="00600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21">
      <w:bodyDiv w:val="1"/>
      <w:marLeft w:val="0"/>
      <w:marRight w:val="0"/>
      <w:marTop w:val="0"/>
      <w:marBottom w:val="0"/>
      <w:divBdr>
        <w:top w:val="none" w:sz="0" w:space="0" w:color="auto"/>
        <w:left w:val="none" w:sz="0" w:space="0" w:color="auto"/>
        <w:bottom w:val="none" w:sz="0" w:space="0" w:color="auto"/>
        <w:right w:val="none" w:sz="0" w:space="0" w:color="auto"/>
      </w:divBdr>
    </w:div>
    <w:div w:id="96221144">
      <w:bodyDiv w:val="1"/>
      <w:marLeft w:val="0"/>
      <w:marRight w:val="0"/>
      <w:marTop w:val="0"/>
      <w:marBottom w:val="0"/>
      <w:divBdr>
        <w:top w:val="none" w:sz="0" w:space="0" w:color="auto"/>
        <w:left w:val="none" w:sz="0" w:space="0" w:color="auto"/>
        <w:bottom w:val="none" w:sz="0" w:space="0" w:color="auto"/>
        <w:right w:val="none" w:sz="0" w:space="0" w:color="auto"/>
      </w:divBdr>
    </w:div>
    <w:div w:id="96675556">
      <w:bodyDiv w:val="1"/>
      <w:marLeft w:val="0"/>
      <w:marRight w:val="0"/>
      <w:marTop w:val="0"/>
      <w:marBottom w:val="0"/>
      <w:divBdr>
        <w:top w:val="none" w:sz="0" w:space="0" w:color="auto"/>
        <w:left w:val="none" w:sz="0" w:space="0" w:color="auto"/>
        <w:bottom w:val="none" w:sz="0" w:space="0" w:color="auto"/>
        <w:right w:val="none" w:sz="0" w:space="0" w:color="auto"/>
      </w:divBdr>
    </w:div>
    <w:div w:id="130754480">
      <w:bodyDiv w:val="1"/>
      <w:marLeft w:val="0"/>
      <w:marRight w:val="0"/>
      <w:marTop w:val="0"/>
      <w:marBottom w:val="0"/>
      <w:divBdr>
        <w:top w:val="none" w:sz="0" w:space="0" w:color="auto"/>
        <w:left w:val="none" w:sz="0" w:space="0" w:color="auto"/>
        <w:bottom w:val="none" w:sz="0" w:space="0" w:color="auto"/>
        <w:right w:val="none" w:sz="0" w:space="0" w:color="auto"/>
      </w:divBdr>
    </w:div>
    <w:div w:id="138228714">
      <w:bodyDiv w:val="1"/>
      <w:marLeft w:val="0"/>
      <w:marRight w:val="0"/>
      <w:marTop w:val="0"/>
      <w:marBottom w:val="0"/>
      <w:divBdr>
        <w:top w:val="none" w:sz="0" w:space="0" w:color="auto"/>
        <w:left w:val="none" w:sz="0" w:space="0" w:color="auto"/>
        <w:bottom w:val="none" w:sz="0" w:space="0" w:color="auto"/>
        <w:right w:val="none" w:sz="0" w:space="0" w:color="auto"/>
      </w:divBdr>
    </w:div>
    <w:div w:id="204298109">
      <w:bodyDiv w:val="1"/>
      <w:marLeft w:val="0"/>
      <w:marRight w:val="0"/>
      <w:marTop w:val="0"/>
      <w:marBottom w:val="0"/>
      <w:divBdr>
        <w:top w:val="none" w:sz="0" w:space="0" w:color="auto"/>
        <w:left w:val="none" w:sz="0" w:space="0" w:color="auto"/>
        <w:bottom w:val="none" w:sz="0" w:space="0" w:color="auto"/>
        <w:right w:val="none" w:sz="0" w:space="0" w:color="auto"/>
      </w:divBdr>
    </w:div>
    <w:div w:id="248662904">
      <w:bodyDiv w:val="1"/>
      <w:marLeft w:val="0"/>
      <w:marRight w:val="0"/>
      <w:marTop w:val="0"/>
      <w:marBottom w:val="0"/>
      <w:divBdr>
        <w:top w:val="none" w:sz="0" w:space="0" w:color="auto"/>
        <w:left w:val="none" w:sz="0" w:space="0" w:color="auto"/>
        <w:bottom w:val="none" w:sz="0" w:space="0" w:color="auto"/>
        <w:right w:val="none" w:sz="0" w:space="0" w:color="auto"/>
      </w:divBdr>
    </w:div>
    <w:div w:id="357320183">
      <w:bodyDiv w:val="1"/>
      <w:marLeft w:val="0"/>
      <w:marRight w:val="0"/>
      <w:marTop w:val="0"/>
      <w:marBottom w:val="0"/>
      <w:divBdr>
        <w:top w:val="none" w:sz="0" w:space="0" w:color="auto"/>
        <w:left w:val="none" w:sz="0" w:space="0" w:color="auto"/>
        <w:bottom w:val="none" w:sz="0" w:space="0" w:color="auto"/>
        <w:right w:val="none" w:sz="0" w:space="0" w:color="auto"/>
      </w:divBdr>
    </w:div>
    <w:div w:id="422607598">
      <w:bodyDiv w:val="1"/>
      <w:marLeft w:val="0"/>
      <w:marRight w:val="0"/>
      <w:marTop w:val="0"/>
      <w:marBottom w:val="0"/>
      <w:divBdr>
        <w:top w:val="none" w:sz="0" w:space="0" w:color="auto"/>
        <w:left w:val="none" w:sz="0" w:space="0" w:color="auto"/>
        <w:bottom w:val="none" w:sz="0" w:space="0" w:color="auto"/>
        <w:right w:val="none" w:sz="0" w:space="0" w:color="auto"/>
      </w:divBdr>
    </w:div>
    <w:div w:id="565608372">
      <w:bodyDiv w:val="1"/>
      <w:marLeft w:val="0"/>
      <w:marRight w:val="0"/>
      <w:marTop w:val="0"/>
      <w:marBottom w:val="0"/>
      <w:divBdr>
        <w:top w:val="none" w:sz="0" w:space="0" w:color="auto"/>
        <w:left w:val="none" w:sz="0" w:space="0" w:color="auto"/>
        <w:bottom w:val="none" w:sz="0" w:space="0" w:color="auto"/>
        <w:right w:val="none" w:sz="0" w:space="0" w:color="auto"/>
      </w:divBdr>
    </w:div>
    <w:div w:id="611205746">
      <w:bodyDiv w:val="1"/>
      <w:marLeft w:val="0"/>
      <w:marRight w:val="0"/>
      <w:marTop w:val="0"/>
      <w:marBottom w:val="0"/>
      <w:divBdr>
        <w:top w:val="none" w:sz="0" w:space="0" w:color="auto"/>
        <w:left w:val="none" w:sz="0" w:space="0" w:color="auto"/>
        <w:bottom w:val="none" w:sz="0" w:space="0" w:color="auto"/>
        <w:right w:val="none" w:sz="0" w:space="0" w:color="auto"/>
      </w:divBdr>
    </w:div>
    <w:div w:id="612782085">
      <w:bodyDiv w:val="1"/>
      <w:marLeft w:val="0"/>
      <w:marRight w:val="0"/>
      <w:marTop w:val="0"/>
      <w:marBottom w:val="0"/>
      <w:divBdr>
        <w:top w:val="none" w:sz="0" w:space="0" w:color="auto"/>
        <w:left w:val="none" w:sz="0" w:space="0" w:color="auto"/>
        <w:bottom w:val="none" w:sz="0" w:space="0" w:color="auto"/>
        <w:right w:val="none" w:sz="0" w:space="0" w:color="auto"/>
      </w:divBdr>
    </w:div>
    <w:div w:id="660427650">
      <w:bodyDiv w:val="1"/>
      <w:marLeft w:val="0"/>
      <w:marRight w:val="0"/>
      <w:marTop w:val="0"/>
      <w:marBottom w:val="0"/>
      <w:divBdr>
        <w:top w:val="none" w:sz="0" w:space="0" w:color="auto"/>
        <w:left w:val="none" w:sz="0" w:space="0" w:color="auto"/>
        <w:bottom w:val="none" w:sz="0" w:space="0" w:color="auto"/>
        <w:right w:val="none" w:sz="0" w:space="0" w:color="auto"/>
      </w:divBdr>
    </w:div>
    <w:div w:id="793064010">
      <w:bodyDiv w:val="1"/>
      <w:marLeft w:val="0"/>
      <w:marRight w:val="0"/>
      <w:marTop w:val="0"/>
      <w:marBottom w:val="0"/>
      <w:divBdr>
        <w:top w:val="none" w:sz="0" w:space="0" w:color="auto"/>
        <w:left w:val="none" w:sz="0" w:space="0" w:color="auto"/>
        <w:bottom w:val="none" w:sz="0" w:space="0" w:color="auto"/>
        <w:right w:val="none" w:sz="0" w:space="0" w:color="auto"/>
      </w:divBdr>
    </w:div>
    <w:div w:id="998457572">
      <w:bodyDiv w:val="1"/>
      <w:marLeft w:val="0"/>
      <w:marRight w:val="0"/>
      <w:marTop w:val="0"/>
      <w:marBottom w:val="0"/>
      <w:divBdr>
        <w:top w:val="none" w:sz="0" w:space="0" w:color="auto"/>
        <w:left w:val="none" w:sz="0" w:space="0" w:color="auto"/>
        <w:bottom w:val="none" w:sz="0" w:space="0" w:color="auto"/>
        <w:right w:val="none" w:sz="0" w:space="0" w:color="auto"/>
      </w:divBdr>
    </w:div>
    <w:div w:id="1121652372">
      <w:bodyDiv w:val="1"/>
      <w:marLeft w:val="0"/>
      <w:marRight w:val="0"/>
      <w:marTop w:val="0"/>
      <w:marBottom w:val="0"/>
      <w:divBdr>
        <w:top w:val="none" w:sz="0" w:space="0" w:color="auto"/>
        <w:left w:val="none" w:sz="0" w:space="0" w:color="auto"/>
        <w:bottom w:val="none" w:sz="0" w:space="0" w:color="auto"/>
        <w:right w:val="none" w:sz="0" w:space="0" w:color="auto"/>
      </w:divBdr>
    </w:div>
    <w:div w:id="1157069910">
      <w:bodyDiv w:val="1"/>
      <w:marLeft w:val="0"/>
      <w:marRight w:val="0"/>
      <w:marTop w:val="0"/>
      <w:marBottom w:val="0"/>
      <w:divBdr>
        <w:top w:val="none" w:sz="0" w:space="0" w:color="auto"/>
        <w:left w:val="none" w:sz="0" w:space="0" w:color="auto"/>
        <w:bottom w:val="none" w:sz="0" w:space="0" w:color="auto"/>
        <w:right w:val="none" w:sz="0" w:space="0" w:color="auto"/>
      </w:divBdr>
    </w:div>
    <w:div w:id="1208449136">
      <w:bodyDiv w:val="1"/>
      <w:marLeft w:val="0"/>
      <w:marRight w:val="0"/>
      <w:marTop w:val="0"/>
      <w:marBottom w:val="0"/>
      <w:divBdr>
        <w:top w:val="none" w:sz="0" w:space="0" w:color="auto"/>
        <w:left w:val="none" w:sz="0" w:space="0" w:color="auto"/>
        <w:bottom w:val="none" w:sz="0" w:space="0" w:color="auto"/>
        <w:right w:val="none" w:sz="0" w:space="0" w:color="auto"/>
      </w:divBdr>
    </w:div>
    <w:div w:id="1215506732">
      <w:bodyDiv w:val="1"/>
      <w:marLeft w:val="0"/>
      <w:marRight w:val="0"/>
      <w:marTop w:val="0"/>
      <w:marBottom w:val="0"/>
      <w:divBdr>
        <w:top w:val="none" w:sz="0" w:space="0" w:color="auto"/>
        <w:left w:val="none" w:sz="0" w:space="0" w:color="auto"/>
        <w:bottom w:val="none" w:sz="0" w:space="0" w:color="auto"/>
        <w:right w:val="none" w:sz="0" w:space="0" w:color="auto"/>
      </w:divBdr>
    </w:div>
    <w:div w:id="1242987650">
      <w:bodyDiv w:val="1"/>
      <w:marLeft w:val="0"/>
      <w:marRight w:val="0"/>
      <w:marTop w:val="0"/>
      <w:marBottom w:val="0"/>
      <w:divBdr>
        <w:top w:val="none" w:sz="0" w:space="0" w:color="auto"/>
        <w:left w:val="none" w:sz="0" w:space="0" w:color="auto"/>
        <w:bottom w:val="none" w:sz="0" w:space="0" w:color="auto"/>
        <w:right w:val="none" w:sz="0" w:space="0" w:color="auto"/>
      </w:divBdr>
    </w:div>
    <w:div w:id="1283927049">
      <w:bodyDiv w:val="1"/>
      <w:marLeft w:val="0"/>
      <w:marRight w:val="0"/>
      <w:marTop w:val="0"/>
      <w:marBottom w:val="0"/>
      <w:divBdr>
        <w:top w:val="none" w:sz="0" w:space="0" w:color="auto"/>
        <w:left w:val="none" w:sz="0" w:space="0" w:color="auto"/>
        <w:bottom w:val="none" w:sz="0" w:space="0" w:color="auto"/>
        <w:right w:val="none" w:sz="0" w:space="0" w:color="auto"/>
      </w:divBdr>
    </w:div>
    <w:div w:id="1330645042">
      <w:bodyDiv w:val="1"/>
      <w:marLeft w:val="0"/>
      <w:marRight w:val="0"/>
      <w:marTop w:val="0"/>
      <w:marBottom w:val="0"/>
      <w:divBdr>
        <w:top w:val="none" w:sz="0" w:space="0" w:color="auto"/>
        <w:left w:val="none" w:sz="0" w:space="0" w:color="auto"/>
        <w:bottom w:val="none" w:sz="0" w:space="0" w:color="auto"/>
        <w:right w:val="none" w:sz="0" w:space="0" w:color="auto"/>
      </w:divBdr>
    </w:div>
    <w:div w:id="1343043346">
      <w:bodyDiv w:val="1"/>
      <w:marLeft w:val="0"/>
      <w:marRight w:val="0"/>
      <w:marTop w:val="0"/>
      <w:marBottom w:val="0"/>
      <w:divBdr>
        <w:top w:val="none" w:sz="0" w:space="0" w:color="auto"/>
        <w:left w:val="none" w:sz="0" w:space="0" w:color="auto"/>
        <w:bottom w:val="none" w:sz="0" w:space="0" w:color="auto"/>
        <w:right w:val="none" w:sz="0" w:space="0" w:color="auto"/>
      </w:divBdr>
    </w:div>
    <w:div w:id="1366560771">
      <w:bodyDiv w:val="1"/>
      <w:marLeft w:val="0"/>
      <w:marRight w:val="0"/>
      <w:marTop w:val="0"/>
      <w:marBottom w:val="0"/>
      <w:divBdr>
        <w:top w:val="none" w:sz="0" w:space="0" w:color="auto"/>
        <w:left w:val="none" w:sz="0" w:space="0" w:color="auto"/>
        <w:bottom w:val="none" w:sz="0" w:space="0" w:color="auto"/>
        <w:right w:val="none" w:sz="0" w:space="0" w:color="auto"/>
      </w:divBdr>
    </w:div>
    <w:div w:id="1430812649">
      <w:bodyDiv w:val="1"/>
      <w:marLeft w:val="0"/>
      <w:marRight w:val="0"/>
      <w:marTop w:val="0"/>
      <w:marBottom w:val="0"/>
      <w:divBdr>
        <w:top w:val="none" w:sz="0" w:space="0" w:color="auto"/>
        <w:left w:val="none" w:sz="0" w:space="0" w:color="auto"/>
        <w:bottom w:val="none" w:sz="0" w:space="0" w:color="auto"/>
        <w:right w:val="none" w:sz="0" w:space="0" w:color="auto"/>
      </w:divBdr>
    </w:div>
    <w:div w:id="1495098458">
      <w:bodyDiv w:val="1"/>
      <w:marLeft w:val="0"/>
      <w:marRight w:val="0"/>
      <w:marTop w:val="0"/>
      <w:marBottom w:val="0"/>
      <w:divBdr>
        <w:top w:val="none" w:sz="0" w:space="0" w:color="auto"/>
        <w:left w:val="none" w:sz="0" w:space="0" w:color="auto"/>
        <w:bottom w:val="none" w:sz="0" w:space="0" w:color="auto"/>
        <w:right w:val="none" w:sz="0" w:space="0" w:color="auto"/>
      </w:divBdr>
    </w:div>
    <w:div w:id="1604418232">
      <w:bodyDiv w:val="1"/>
      <w:marLeft w:val="0"/>
      <w:marRight w:val="0"/>
      <w:marTop w:val="0"/>
      <w:marBottom w:val="0"/>
      <w:divBdr>
        <w:top w:val="none" w:sz="0" w:space="0" w:color="auto"/>
        <w:left w:val="none" w:sz="0" w:space="0" w:color="auto"/>
        <w:bottom w:val="none" w:sz="0" w:space="0" w:color="auto"/>
        <w:right w:val="none" w:sz="0" w:space="0" w:color="auto"/>
      </w:divBdr>
    </w:div>
    <w:div w:id="1641880326">
      <w:bodyDiv w:val="1"/>
      <w:marLeft w:val="0"/>
      <w:marRight w:val="0"/>
      <w:marTop w:val="0"/>
      <w:marBottom w:val="0"/>
      <w:divBdr>
        <w:top w:val="none" w:sz="0" w:space="0" w:color="auto"/>
        <w:left w:val="none" w:sz="0" w:space="0" w:color="auto"/>
        <w:bottom w:val="none" w:sz="0" w:space="0" w:color="auto"/>
        <w:right w:val="none" w:sz="0" w:space="0" w:color="auto"/>
      </w:divBdr>
    </w:div>
    <w:div w:id="1825317623">
      <w:bodyDiv w:val="1"/>
      <w:marLeft w:val="0"/>
      <w:marRight w:val="0"/>
      <w:marTop w:val="0"/>
      <w:marBottom w:val="0"/>
      <w:divBdr>
        <w:top w:val="none" w:sz="0" w:space="0" w:color="auto"/>
        <w:left w:val="none" w:sz="0" w:space="0" w:color="auto"/>
        <w:bottom w:val="none" w:sz="0" w:space="0" w:color="auto"/>
        <w:right w:val="none" w:sz="0" w:space="0" w:color="auto"/>
      </w:divBdr>
    </w:div>
    <w:div w:id="1874807851">
      <w:bodyDiv w:val="1"/>
      <w:marLeft w:val="0"/>
      <w:marRight w:val="0"/>
      <w:marTop w:val="0"/>
      <w:marBottom w:val="0"/>
      <w:divBdr>
        <w:top w:val="none" w:sz="0" w:space="0" w:color="auto"/>
        <w:left w:val="none" w:sz="0" w:space="0" w:color="auto"/>
        <w:bottom w:val="none" w:sz="0" w:space="0" w:color="auto"/>
        <w:right w:val="none" w:sz="0" w:space="0" w:color="auto"/>
      </w:divBdr>
    </w:div>
    <w:div w:id="2002196913">
      <w:bodyDiv w:val="1"/>
      <w:marLeft w:val="0"/>
      <w:marRight w:val="0"/>
      <w:marTop w:val="0"/>
      <w:marBottom w:val="0"/>
      <w:divBdr>
        <w:top w:val="none" w:sz="0" w:space="0" w:color="auto"/>
        <w:left w:val="none" w:sz="0" w:space="0" w:color="auto"/>
        <w:bottom w:val="none" w:sz="0" w:space="0" w:color="auto"/>
        <w:right w:val="none" w:sz="0" w:space="0" w:color="auto"/>
      </w:divBdr>
    </w:div>
    <w:div w:id="200573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nei.gob.pe/media/MenuRecursivo/boletines/lgbti.pdf" TargetMode="External"/><Relationship Id="rId13" Type="http://schemas.openxmlformats.org/officeDocument/2006/relationships/hyperlink" Target="https://www.unfe.org/wp-content/uploads/2018/04/Principios-mundiales-para-las-empresas.pdf" TargetMode="External"/><Relationship Id="rId3" Type="http://schemas.openxmlformats.org/officeDocument/2006/relationships/hyperlink" Target="http://www.corteidh.or.cr/docs/asuntos/olivera_fuentes_30_06_22.pdf" TargetMode="External"/><Relationship Id="rId7" Type="http://schemas.openxmlformats.org/officeDocument/2006/relationships/hyperlink" Target="https://www.inei.gob.pe/media/MenuRecursivo/boletines/lgbti.pdf" TargetMode="External"/><Relationship Id="rId12" Type="http://schemas.openxmlformats.org/officeDocument/2006/relationships/hyperlink" Target="http://repositorio.pucp.edu.pe/index/bitstream/handle/123456789/47040/Cuadernos%20de%20investigaci%C3%B3n%2011.pdf?sequence=4" TargetMode="External"/><Relationship Id="rId2" Type="http://schemas.openxmlformats.org/officeDocument/2006/relationships/hyperlink" Target="https://www.corteidh.or.cr/docs/asuntos/olivera_fuentes_22_08_22.pdf" TargetMode="External"/><Relationship Id="rId1" Type="http://schemas.openxmlformats.org/officeDocument/2006/relationships/hyperlink" Target="http://www.corteidh.or.cr/docs/asuntos/olivera_fuentes_30_06_22.pdf" TargetMode="External"/><Relationship Id="rId6" Type="http://schemas.openxmlformats.org/officeDocument/2006/relationships/hyperlink" Target="https://www.inei.gob.pe/media/MenuRecursivo/boletines/lgbti.pdf" TargetMode="External"/><Relationship Id="rId11" Type="http://schemas.openxmlformats.org/officeDocument/2006/relationships/hyperlink" Target="http://repositorio.pucp.edu.pe/index/bitstream/handle/123456789/47040/Cuadernos%20de%20investigaci%C3%B3n%2011.pdf?sequence=4" TargetMode="External"/><Relationship Id="rId5" Type="http://schemas.openxmlformats.org/officeDocument/2006/relationships/hyperlink" Target="https://www.unhcr.org/handbooks/ih/age-gender-diversity/lgbtiq-refugees" TargetMode="External"/><Relationship Id="rId15" Type="http://schemas.openxmlformats.org/officeDocument/2006/relationships/hyperlink" Target="https://www.canlii.org/en/ca/scc/doc/2015/2015scc39/2015scc39.html" TargetMode="External"/><Relationship Id="rId10" Type="http://schemas.openxmlformats.org/officeDocument/2006/relationships/hyperlink" Target="https://defensoria.gob.pe/modules/Downloads/informes/defensoriales/Informe-175--Derechos-humanos-de-personas-LGBTI.pdf" TargetMode="External"/><Relationship Id="rId4" Type="http://schemas.openxmlformats.org/officeDocument/2006/relationships/hyperlink" Target="https://www.ilo.org/global/publications/books/WCMS_852977/lang--es/index.htm" TargetMode="External"/><Relationship Id="rId9" Type="http://schemas.openxmlformats.org/officeDocument/2006/relationships/hyperlink" Target="https://www.inei.gob.pe/media/MenuRecursivo/boletines/lgbti.pdf" TargetMode="External"/><Relationship Id="rId14" Type="http://schemas.openxmlformats.org/officeDocument/2006/relationships/hyperlink" Target="https://scc-csc.lexum.com/scc-csc/scc-csc/en/item/12680/index.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D7C5-2926-48BC-B9CE-5C2ED057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24511</Words>
  <Characters>134812</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2023-09-13T16:03:00Z</cp:lastPrinted>
  <dcterms:created xsi:type="dcterms:W3CDTF">2023-09-13T16:02:00Z</dcterms:created>
  <dcterms:modified xsi:type="dcterms:W3CDTF">2023-09-13T16:06:00Z</dcterms:modified>
</cp:coreProperties>
</file>