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9B9D3" w14:textId="77777777" w:rsidR="009A3827" w:rsidRDefault="009A3827" w:rsidP="0099178B">
      <w:pPr>
        <w:spacing w:after="200" w:line="276" w:lineRule="auto"/>
        <w:jc w:val="center"/>
        <w:rPr>
          <w:rFonts w:eastAsia="Verdana" w:cs="Verdana"/>
          <w:b/>
          <w:bCs/>
          <w:szCs w:val="20"/>
          <w:lang w:val="es-CR"/>
        </w:rPr>
      </w:pPr>
    </w:p>
    <w:p w14:paraId="306A8C60" w14:textId="77777777" w:rsidR="009A3827" w:rsidRDefault="009A3827" w:rsidP="0099178B">
      <w:pPr>
        <w:spacing w:after="200" w:line="276" w:lineRule="auto"/>
        <w:jc w:val="center"/>
        <w:rPr>
          <w:rFonts w:eastAsia="Verdana" w:cs="Verdana"/>
          <w:b/>
          <w:bCs/>
          <w:szCs w:val="20"/>
          <w:lang w:val="es-CR"/>
        </w:rPr>
      </w:pPr>
    </w:p>
    <w:p w14:paraId="0298059D" w14:textId="77777777" w:rsidR="009A3827" w:rsidRDefault="009A3827" w:rsidP="0099178B">
      <w:pPr>
        <w:spacing w:after="200" w:line="276" w:lineRule="auto"/>
        <w:jc w:val="center"/>
        <w:rPr>
          <w:rFonts w:eastAsia="Verdana" w:cs="Verdana"/>
          <w:b/>
          <w:bCs/>
          <w:szCs w:val="20"/>
          <w:lang w:val="es-CR"/>
        </w:rPr>
      </w:pPr>
    </w:p>
    <w:p w14:paraId="1D1BF722" w14:textId="77777777" w:rsidR="009A3827" w:rsidRDefault="009A3827" w:rsidP="0099178B">
      <w:pPr>
        <w:spacing w:after="200" w:line="276" w:lineRule="auto"/>
        <w:jc w:val="center"/>
        <w:rPr>
          <w:rFonts w:eastAsia="Verdana" w:cs="Verdana"/>
          <w:b/>
          <w:bCs/>
          <w:szCs w:val="20"/>
          <w:lang w:val="es-CR"/>
        </w:rPr>
      </w:pPr>
    </w:p>
    <w:p w14:paraId="54E49571" w14:textId="77777777" w:rsidR="009A3827" w:rsidRDefault="009A3827" w:rsidP="0099178B">
      <w:pPr>
        <w:spacing w:after="200" w:line="276" w:lineRule="auto"/>
        <w:jc w:val="center"/>
        <w:rPr>
          <w:rFonts w:eastAsia="Verdana" w:cs="Verdana"/>
          <w:b/>
          <w:bCs/>
          <w:szCs w:val="20"/>
          <w:lang w:val="es-CR"/>
        </w:rPr>
      </w:pPr>
    </w:p>
    <w:p w14:paraId="6D50DCD6" w14:textId="015A6495" w:rsidR="0099178B" w:rsidRPr="001A44B7" w:rsidRDefault="0099178B" w:rsidP="0099178B">
      <w:pPr>
        <w:spacing w:after="200" w:line="276" w:lineRule="auto"/>
        <w:jc w:val="center"/>
        <w:rPr>
          <w:szCs w:val="20"/>
          <w:lang w:val="es-CR"/>
        </w:rPr>
      </w:pPr>
      <w:r w:rsidRPr="001A44B7">
        <w:rPr>
          <w:rFonts w:eastAsia="Verdana" w:cs="Verdana"/>
          <w:b/>
          <w:bCs/>
          <w:szCs w:val="20"/>
          <w:lang w:val="es-CR"/>
        </w:rPr>
        <w:t xml:space="preserve">VOTO </w:t>
      </w:r>
      <w:r w:rsidR="004803D0">
        <w:rPr>
          <w:rFonts w:eastAsia="Verdana" w:cs="Verdana"/>
          <w:b/>
          <w:bCs/>
          <w:szCs w:val="20"/>
          <w:lang w:val="es-CR"/>
        </w:rPr>
        <w:t>RAZONADO</w:t>
      </w:r>
      <w:r w:rsidRPr="001A44B7">
        <w:rPr>
          <w:rFonts w:eastAsia="Verdana" w:cs="Verdana"/>
          <w:b/>
          <w:bCs/>
          <w:szCs w:val="20"/>
          <w:lang w:val="es-CR"/>
        </w:rPr>
        <w:t xml:space="preserve"> DEL JUEZ ROBERTO F. CALDAS</w:t>
      </w:r>
    </w:p>
    <w:p w14:paraId="5234E345" w14:textId="77777777" w:rsidR="0099178B" w:rsidRPr="001A44B7" w:rsidRDefault="0099178B" w:rsidP="0099178B">
      <w:pPr>
        <w:spacing w:after="200" w:line="276" w:lineRule="auto"/>
        <w:jc w:val="center"/>
        <w:rPr>
          <w:szCs w:val="20"/>
          <w:lang w:val="es-CR"/>
        </w:rPr>
      </w:pPr>
      <w:r w:rsidRPr="001A44B7">
        <w:rPr>
          <w:rFonts w:eastAsia="Verdana" w:cs="Verdana"/>
          <w:b/>
          <w:bCs/>
          <w:szCs w:val="20"/>
          <w:lang w:val="es-CR"/>
        </w:rPr>
        <w:t>CORTE INTERAMERICANA DE DERECHOS HUMANOS</w:t>
      </w:r>
    </w:p>
    <w:p w14:paraId="51FFACB3" w14:textId="77777777" w:rsidR="0099178B" w:rsidRPr="001A44B7" w:rsidRDefault="0099178B" w:rsidP="0099178B">
      <w:pPr>
        <w:ind w:left="1418" w:hanging="1418"/>
        <w:jc w:val="center"/>
        <w:rPr>
          <w:lang w:val="es-CR"/>
        </w:rPr>
      </w:pPr>
      <w:r w:rsidRPr="001A44B7">
        <w:rPr>
          <w:b/>
          <w:bCs/>
          <w:szCs w:val="20"/>
          <w:lang w:val="es-CR"/>
        </w:rPr>
        <w:t>CASO CHINCHILLA SANDOVAL VS. GUATEMALA</w:t>
      </w:r>
    </w:p>
    <w:p w14:paraId="589138AD" w14:textId="77777777" w:rsidR="0099178B" w:rsidRPr="001A44B7" w:rsidRDefault="0099178B" w:rsidP="0099178B">
      <w:pPr>
        <w:ind w:left="1418" w:hanging="1418"/>
        <w:jc w:val="center"/>
        <w:rPr>
          <w:rFonts w:cs="Verdana"/>
          <w:b/>
          <w:bCs/>
          <w:caps/>
          <w:highlight w:val="yellow"/>
          <w:lang w:val="es-CR"/>
        </w:rPr>
      </w:pPr>
    </w:p>
    <w:p w14:paraId="56382308" w14:textId="77777777" w:rsidR="0099178B" w:rsidRPr="001A44B7" w:rsidRDefault="0099178B" w:rsidP="0099178B">
      <w:pPr>
        <w:ind w:left="1418" w:hanging="1418"/>
        <w:jc w:val="center"/>
        <w:rPr>
          <w:b/>
          <w:lang w:val="es-CR"/>
        </w:rPr>
      </w:pPr>
      <w:r w:rsidRPr="001A44B7">
        <w:rPr>
          <w:b/>
          <w:lang w:val="es-CR"/>
        </w:rPr>
        <w:t>SENTENCIA DE 29 DE FEBRERO DE 2016</w:t>
      </w:r>
    </w:p>
    <w:p w14:paraId="42A4D01C" w14:textId="77777777" w:rsidR="0099178B" w:rsidRPr="001A44B7" w:rsidRDefault="0099178B" w:rsidP="0099178B">
      <w:pPr>
        <w:ind w:left="1418" w:hanging="1418"/>
        <w:jc w:val="center"/>
        <w:rPr>
          <w:b/>
          <w:lang w:val="es-CR"/>
        </w:rPr>
      </w:pPr>
    </w:p>
    <w:p w14:paraId="47D092B8" w14:textId="77777777" w:rsidR="0099178B" w:rsidRPr="001A44B7" w:rsidRDefault="0099178B" w:rsidP="0099178B">
      <w:pPr>
        <w:ind w:left="1418" w:hanging="1418"/>
        <w:jc w:val="center"/>
        <w:rPr>
          <w:lang w:val="es-CR"/>
        </w:rPr>
      </w:pPr>
      <w:r w:rsidRPr="001A44B7">
        <w:rPr>
          <w:b/>
          <w:i/>
          <w:lang w:val="es-CR"/>
        </w:rPr>
        <w:t>(Excepción preliminar, Fondo, Reparaciones y Costas</w:t>
      </w:r>
      <w:r w:rsidRPr="001A44B7">
        <w:rPr>
          <w:b/>
          <w:i/>
          <w:caps/>
          <w:lang w:val="es-CR"/>
        </w:rPr>
        <w:t>)</w:t>
      </w:r>
    </w:p>
    <w:p w14:paraId="279980CD" w14:textId="77777777" w:rsidR="0099178B" w:rsidRPr="001A44B7" w:rsidRDefault="0099178B" w:rsidP="0099178B">
      <w:pPr>
        <w:rPr>
          <w:smallCaps/>
          <w:highlight w:val="yellow"/>
          <w:lang w:val="es-CR"/>
        </w:rPr>
      </w:pPr>
    </w:p>
    <w:p w14:paraId="46EEF7C9" w14:textId="77777777" w:rsidR="00093F36" w:rsidRPr="001A44B7" w:rsidRDefault="00093F36" w:rsidP="0099178B">
      <w:pPr>
        <w:rPr>
          <w:smallCaps/>
          <w:highlight w:val="yellow"/>
          <w:lang w:val="es-CR"/>
        </w:rPr>
      </w:pPr>
    </w:p>
    <w:p w14:paraId="58A4C684" w14:textId="77777777" w:rsidR="0099178B" w:rsidRPr="001A44B7" w:rsidRDefault="0099178B" w:rsidP="005D2870">
      <w:pPr>
        <w:rPr>
          <w:lang w:val="es-CR"/>
        </w:rPr>
      </w:pPr>
    </w:p>
    <w:p w14:paraId="44609064" w14:textId="77777777" w:rsidR="00093F36" w:rsidRPr="001A44B7" w:rsidRDefault="00093F36" w:rsidP="004E61B2">
      <w:pPr>
        <w:pStyle w:val="ListParagraph"/>
        <w:numPr>
          <w:ilvl w:val="0"/>
          <w:numId w:val="13"/>
        </w:numPr>
        <w:spacing w:after="160" w:line="259" w:lineRule="auto"/>
        <w:ind w:hanging="229"/>
        <w:jc w:val="center"/>
        <w:rPr>
          <w:rFonts w:ascii="Verdana" w:hAnsi="Verdana"/>
          <w:b/>
          <w:sz w:val="20"/>
          <w:szCs w:val="20"/>
          <w:u w:val="single"/>
          <w:lang w:val="es-CR"/>
        </w:rPr>
      </w:pPr>
      <w:r w:rsidRPr="001A44B7">
        <w:rPr>
          <w:rFonts w:ascii="Verdana" w:hAnsi="Verdana"/>
          <w:b/>
          <w:sz w:val="20"/>
          <w:szCs w:val="20"/>
          <w:u w:val="single"/>
          <w:lang w:val="es-CR"/>
        </w:rPr>
        <w:t>Introducción</w:t>
      </w:r>
    </w:p>
    <w:p w14:paraId="47902F62" w14:textId="11975C47" w:rsidR="00C17438" w:rsidRPr="001A44B7" w:rsidRDefault="00C17438" w:rsidP="00C17438">
      <w:pPr>
        <w:pStyle w:val="PrrafodeSentencia"/>
        <w:rPr>
          <w:lang w:val="es-CR"/>
        </w:rPr>
      </w:pPr>
      <w:r w:rsidRPr="001A44B7">
        <w:rPr>
          <w:lang w:val="es-CR"/>
        </w:rPr>
        <w:t>Inicialmente, resalto mi adhesión a la Sentencia</w:t>
      </w:r>
      <w:r w:rsidR="00167CC9">
        <w:rPr>
          <w:lang w:val="es-CR"/>
        </w:rPr>
        <w:t>,</w:t>
      </w:r>
      <w:r w:rsidRPr="001A44B7">
        <w:rPr>
          <w:lang w:val="es-CR"/>
        </w:rPr>
        <w:t xml:space="preserve"> a las conclusiones a las que llegó esta Corte y a las reparaciones de ellas resultantes. Solo difiero </w:t>
      </w:r>
      <w:r w:rsidR="00167CC9">
        <w:rPr>
          <w:lang w:val="es-CR"/>
        </w:rPr>
        <w:t xml:space="preserve">en cuanto a la fundamentación </w:t>
      </w:r>
      <w:r w:rsidRPr="001A44B7">
        <w:rPr>
          <w:lang w:val="es-CR"/>
        </w:rPr>
        <w:t xml:space="preserve">porque entiendo que también queda configurada ofensa al derecho condensado en el </w:t>
      </w:r>
      <w:r w:rsidR="0024746D" w:rsidRPr="001A44B7">
        <w:rPr>
          <w:lang w:val="es-CR"/>
        </w:rPr>
        <w:t xml:space="preserve">artículo 26 de la Convención Americana, en el punto en que aborda el derecho a la salud, y, por ende, el </w:t>
      </w:r>
      <w:r w:rsidRPr="001A44B7">
        <w:rPr>
          <w:lang w:val="es-CR"/>
        </w:rPr>
        <w:t>artículo 10.1 del Protocolo Adicional a la Convención Americana sobre Derechos Humanos en materia de Derechos Económicos, Sociales y Culturales</w:t>
      </w:r>
      <w:r w:rsidR="00A65D17" w:rsidRPr="001A44B7">
        <w:rPr>
          <w:lang w:val="es-CR"/>
        </w:rPr>
        <w:t xml:space="preserve"> </w:t>
      </w:r>
      <w:r w:rsidR="00680517" w:rsidRPr="001A44B7">
        <w:rPr>
          <w:lang w:val="es-CR"/>
        </w:rPr>
        <w:t>(</w:t>
      </w:r>
      <w:r w:rsidR="00E03230" w:rsidRPr="001A44B7">
        <w:rPr>
          <w:lang w:val="es-CR"/>
        </w:rPr>
        <w:t>Protocolo de San</w:t>
      </w:r>
      <w:r w:rsidR="00B843EC" w:rsidRPr="001A44B7">
        <w:rPr>
          <w:lang w:val="es-CR"/>
        </w:rPr>
        <w:t xml:space="preserve"> Salvador).</w:t>
      </w:r>
    </w:p>
    <w:p w14:paraId="0176A164" w14:textId="77777777" w:rsidR="004E61B2" w:rsidRPr="001A44B7" w:rsidRDefault="0024746D" w:rsidP="0099615E">
      <w:pPr>
        <w:pStyle w:val="PrrafodeSentencia"/>
        <w:rPr>
          <w:lang w:val="es-CR"/>
        </w:rPr>
      </w:pPr>
      <w:r w:rsidRPr="001A44B7">
        <w:rPr>
          <w:lang w:val="es-CR"/>
        </w:rPr>
        <w:t>Así, e</w:t>
      </w:r>
      <w:r w:rsidR="00093F36" w:rsidRPr="001A44B7">
        <w:rPr>
          <w:lang w:val="es-CR"/>
        </w:rPr>
        <w:t xml:space="preserve">ste voto expresa </w:t>
      </w:r>
      <w:r w:rsidR="00C17438" w:rsidRPr="001A44B7">
        <w:rPr>
          <w:lang w:val="es-CR"/>
        </w:rPr>
        <w:t xml:space="preserve">mi entendimiento de que debería ser añadida </w:t>
      </w:r>
      <w:r w:rsidR="00027B14" w:rsidRPr="001A44B7">
        <w:rPr>
          <w:lang w:val="es-CR"/>
        </w:rPr>
        <w:t xml:space="preserve">a la </w:t>
      </w:r>
      <w:r w:rsidR="00D13420" w:rsidRPr="001A44B7">
        <w:rPr>
          <w:lang w:val="es-CR"/>
        </w:rPr>
        <w:t>fundamentació</w:t>
      </w:r>
      <w:r w:rsidR="00027B14" w:rsidRPr="001A44B7">
        <w:rPr>
          <w:lang w:val="es-CR"/>
        </w:rPr>
        <w:t xml:space="preserve">n </w:t>
      </w:r>
      <w:r w:rsidR="004B7742" w:rsidRPr="001A44B7">
        <w:rPr>
          <w:lang w:val="es-CR"/>
        </w:rPr>
        <w:t xml:space="preserve">de la sentencia </w:t>
      </w:r>
      <w:r w:rsidR="00C17438" w:rsidRPr="001A44B7">
        <w:rPr>
          <w:lang w:val="es-CR"/>
        </w:rPr>
        <w:t xml:space="preserve">la </w:t>
      </w:r>
      <w:r w:rsidR="00D13420" w:rsidRPr="001A44B7">
        <w:rPr>
          <w:lang w:val="es-CR"/>
        </w:rPr>
        <w:t>violación directa</w:t>
      </w:r>
      <w:r w:rsidR="00C17438" w:rsidRPr="001A44B7">
        <w:rPr>
          <w:lang w:val="es-CR"/>
        </w:rPr>
        <w:t xml:space="preserve"> a</w:t>
      </w:r>
      <w:r w:rsidR="00830B15" w:rsidRPr="001A44B7">
        <w:rPr>
          <w:lang w:val="es-CR"/>
        </w:rPr>
        <w:t xml:space="preserve"> los</w:t>
      </w:r>
      <w:r w:rsidR="00C17438" w:rsidRPr="001A44B7">
        <w:rPr>
          <w:lang w:val="es-CR"/>
        </w:rPr>
        <w:t xml:space="preserve"> </w:t>
      </w:r>
      <w:r w:rsidR="000B0FE9" w:rsidRPr="001A44B7">
        <w:rPr>
          <w:lang w:val="es-CR"/>
        </w:rPr>
        <w:t>artículos referidos</w:t>
      </w:r>
      <w:r w:rsidR="00C17438" w:rsidRPr="001A44B7">
        <w:rPr>
          <w:lang w:val="es-CR"/>
        </w:rPr>
        <w:t xml:space="preserve">, sin retirar o relativizar </w:t>
      </w:r>
      <w:r w:rsidR="00093F36" w:rsidRPr="001A44B7">
        <w:rPr>
          <w:lang w:val="es-CR"/>
        </w:rPr>
        <w:t>mi posición</w:t>
      </w:r>
      <w:r w:rsidR="00C17438" w:rsidRPr="001A44B7">
        <w:rPr>
          <w:lang w:val="es-CR"/>
        </w:rPr>
        <w:t xml:space="preserve"> </w:t>
      </w:r>
      <w:r w:rsidR="001A2DF6">
        <w:rPr>
          <w:lang w:val="es-CR"/>
        </w:rPr>
        <w:t xml:space="preserve">respecto de la </w:t>
      </w:r>
      <w:r w:rsidR="00C17438" w:rsidRPr="001A44B7">
        <w:rPr>
          <w:lang w:val="es-CR"/>
        </w:rPr>
        <w:t>expresa</w:t>
      </w:r>
      <w:r w:rsidR="001A2DF6">
        <w:rPr>
          <w:lang w:val="es-CR"/>
        </w:rPr>
        <w:t>da</w:t>
      </w:r>
      <w:r w:rsidR="00C17438" w:rsidRPr="001A44B7">
        <w:rPr>
          <w:lang w:val="es-CR"/>
        </w:rPr>
        <w:t xml:space="preserve"> en la Sentencia, adoptada por unanimidad de los votos</w:t>
      </w:r>
      <w:r w:rsidR="00093F36" w:rsidRPr="001A44B7">
        <w:rPr>
          <w:lang w:val="es-CR"/>
        </w:rPr>
        <w:t xml:space="preserve"> de los honorables jueces de esta Corte Interamericana</w:t>
      </w:r>
      <w:r w:rsidR="004E61B2" w:rsidRPr="001A44B7">
        <w:rPr>
          <w:lang w:val="es-CR"/>
        </w:rPr>
        <w:t>.</w:t>
      </w:r>
    </w:p>
    <w:p w14:paraId="3F1A2430" w14:textId="2D7E47E5" w:rsidR="004E61B2" w:rsidRPr="001A44B7" w:rsidRDefault="005E3D3D" w:rsidP="0099615E">
      <w:pPr>
        <w:pStyle w:val="PrrafodeSentencia"/>
        <w:rPr>
          <w:lang w:val="es-CR"/>
        </w:rPr>
      </w:pPr>
      <w:r w:rsidRPr="001A44B7">
        <w:rPr>
          <w:lang w:val="es-CR"/>
        </w:rPr>
        <w:t>Presento</w:t>
      </w:r>
      <w:r w:rsidR="0024746D" w:rsidRPr="001A44B7">
        <w:rPr>
          <w:lang w:val="es-CR"/>
        </w:rPr>
        <w:t xml:space="preserve"> mi voto </w:t>
      </w:r>
      <w:r w:rsidR="00167CC9">
        <w:rPr>
          <w:lang w:val="es-CR"/>
        </w:rPr>
        <w:t>razonado</w:t>
      </w:r>
      <w:r w:rsidR="0024746D" w:rsidRPr="001A44B7">
        <w:rPr>
          <w:lang w:val="es-CR"/>
        </w:rPr>
        <w:t xml:space="preserve"> porque entiendo que la </w:t>
      </w:r>
      <w:r w:rsidR="004E61B2" w:rsidRPr="001A44B7">
        <w:rPr>
          <w:lang w:val="es-CR"/>
        </w:rPr>
        <w:t xml:space="preserve">progresiva evolución de la protección a los derechos humanos en la región autoriza reconocer que el derecho a la salud, además de ser un </w:t>
      </w:r>
      <w:r w:rsidR="00093F36" w:rsidRPr="001A44B7">
        <w:rPr>
          <w:lang w:val="es-CR"/>
        </w:rPr>
        <w:t>antecedente necesario para la garantía de los derechos a la integridad física y a la vida</w:t>
      </w:r>
      <w:r w:rsidR="00C17438" w:rsidRPr="001A44B7">
        <w:rPr>
          <w:lang w:val="es-CR"/>
        </w:rPr>
        <w:t xml:space="preserve">, </w:t>
      </w:r>
      <w:r w:rsidR="004E61B2" w:rsidRPr="001A44B7">
        <w:rPr>
          <w:lang w:val="es-CR"/>
        </w:rPr>
        <w:t>es también un derecho autónomo</w:t>
      </w:r>
      <w:r w:rsidR="00580708">
        <w:rPr>
          <w:lang w:val="es-CR"/>
        </w:rPr>
        <w:t xml:space="preserve"> de </w:t>
      </w:r>
      <w:r w:rsidR="00C17438" w:rsidRPr="001A44B7">
        <w:rPr>
          <w:lang w:val="es-CR"/>
        </w:rPr>
        <w:t>la víctima</w:t>
      </w:r>
      <w:r w:rsidR="004E61B2" w:rsidRPr="001A44B7">
        <w:rPr>
          <w:lang w:val="es-CR"/>
        </w:rPr>
        <w:t xml:space="preserve"> y </w:t>
      </w:r>
      <w:r w:rsidR="00B451FA" w:rsidRPr="001A44B7">
        <w:rPr>
          <w:lang w:val="es-CR"/>
        </w:rPr>
        <w:t>verificable por</w:t>
      </w:r>
      <w:r w:rsidR="004E61B2" w:rsidRPr="001A44B7">
        <w:rPr>
          <w:lang w:val="es-CR"/>
        </w:rPr>
        <w:t xml:space="preserve"> esta Corte</w:t>
      </w:r>
      <w:r w:rsidR="00093F36" w:rsidRPr="001A44B7">
        <w:rPr>
          <w:lang w:val="es-CR"/>
        </w:rPr>
        <w:t xml:space="preserve">. </w:t>
      </w:r>
    </w:p>
    <w:p w14:paraId="68EB1B61" w14:textId="77777777" w:rsidR="00144180" w:rsidRPr="001A44B7" w:rsidRDefault="00144180" w:rsidP="00144180">
      <w:pPr>
        <w:pStyle w:val="ListParagraph"/>
        <w:rPr>
          <w:lang w:val="es-CR"/>
        </w:rPr>
      </w:pPr>
    </w:p>
    <w:p w14:paraId="1E864AA8" w14:textId="6098F08F" w:rsidR="00144180" w:rsidRPr="001A44B7" w:rsidRDefault="004E61B2" w:rsidP="004E61B2">
      <w:pPr>
        <w:pStyle w:val="ListParagraph"/>
        <w:numPr>
          <w:ilvl w:val="0"/>
          <w:numId w:val="13"/>
        </w:numPr>
        <w:spacing w:after="160" w:line="259" w:lineRule="auto"/>
        <w:ind w:hanging="371"/>
        <w:jc w:val="center"/>
        <w:rPr>
          <w:rFonts w:ascii="Verdana" w:hAnsi="Verdana"/>
          <w:b/>
          <w:sz w:val="20"/>
          <w:szCs w:val="20"/>
          <w:u w:val="single"/>
          <w:lang w:val="es-CR"/>
        </w:rPr>
      </w:pPr>
      <w:r w:rsidRPr="001A44B7">
        <w:rPr>
          <w:rFonts w:ascii="Verdana" w:hAnsi="Verdana"/>
          <w:b/>
          <w:sz w:val="20"/>
          <w:szCs w:val="20"/>
          <w:u w:val="single"/>
          <w:lang w:val="es-CR"/>
        </w:rPr>
        <w:t>D</w:t>
      </w:r>
      <w:r w:rsidR="000D6AB5" w:rsidRPr="001A44B7">
        <w:rPr>
          <w:rFonts w:ascii="Verdana" w:hAnsi="Verdana"/>
          <w:b/>
          <w:sz w:val="20"/>
          <w:szCs w:val="20"/>
          <w:u w:val="single"/>
          <w:lang w:val="es-CR"/>
        </w:rPr>
        <w:t>erecho a la s</w:t>
      </w:r>
      <w:r w:rsidR="00144180" w:rsidRPr="001A44B7">
        <w:rPr>
          <w:rFonts w:ascii="Verdana" w:hAnsi="Verdana"/>
          <w:b/>
          <w:sz w:val="20"/>
          <w:szCs w:val="20"/>
          <w:u w:val="single"/>
          <w:lang w:val="es-CR"/>
        </w:rPr>
        <w:t>alud</w:t>
      </w:r>
      <w:r w:rsidR="000D6AB5" w:rsidRPr="001A44B7">
        <w:rPr>
          <w:rFonts w:ascii="Verdana" w:hAnsi="Verdana"/>
          <w:b/>
          <w:sz w:val="20"/>
          <w:szCs w:val="20"/>
          <w:u w:val="single"/>
          <w:lang w:val="es-CR"/>
        </w:rPr>
        <w:t xml:space="preserve"> </w:t>
      </w:r>
      <w:r w:rsidRPr="001A44B7">
        <w:rPr>
          <w:rFonts w:ascii="Verdana" w:hAnsi="Verdana"/>
          <w:b/>
          <w:sz w:val="20"/>
          <w:szCs w:val="20"/>
          <w:u w:val="single"/>
          <w:lang w:val="es-CR"/>
        </w:rPr>
        <w:t>(artículo 10</w:t>
      </w:r>
      <w:r w:rsidR="0085450E" w:rsidRPr="001A44B7">
        <w:rPr>
          <w:rFonts w:ascii="Verdana" w:hAnsi="Verdana"/>
          <w:b/>
          <w:sz w:val="20"/>
          <w:szCs w:val="20"/>
          <w:u w:val="single"/>
          <w:lang w:val="es-CR"/>
        </w:rPr>
        <w:t>.1</w:t>
      </w:r>
      <w:r w:rsidRPr="001A44B7">
        <w:rPr>
          <w:rFonts w:ascii="Verdana" w:hAnsi="Verdana"/>
          <w:b/>
          <w:sz w:val="20"/>
          <w:szCs w:val="20"/>
          <w:u w:val="single"/>
          <w:lang w:val="es-CR"/>
        </w:rPr>
        <w:t xml:space="preserve"> del Protocolo </w:t>
      </w:r>
      <w:r w:rsidR="00580708">
        <w:rPr>
          <w:rFonts w:ascii="Verdana" w:hAnsi="Verdana"/>
          <w:b/>
          <w:sz w:val="20"/>
          <w:szCs w:val="20"/>
          <w:u w:val="single"/>
          <w:lang w:val="es-CR"/>
        </w:rPr>
        <w:t>de San Salvador</w:t>
      </w:r>
      <w:r w:rsidRPr="001A44B7">
        <w:rPr>
          <w:rFonts w:ascii="Verdana" w:hAnsi="Verdana"/>
          <w:b/>
          <w:sz w:val="20"/>
          <w:szCs w:val="20"/>
          <w:u w:val="single"/>
          <w:lang w:val="es-CR"/>
        </w:rPr>
        <w:t xml:space="preserve"> y artículo 26 de la Convención)</w:t>
      </w:r>
    </w:p>
    <w:p w14:paraId="20EAD085" w14:textId="77777777" w:rsidR="0099178B" w:rsidRPr="001A44B7" w:rsidRDefault="0099178B" w:rsidP="005D2870">
      <w:pPr>
        <w:rPr>
          <w:lang w:val="es-CR"/>
        </w:rPr>
      </w:pPr>
    </w:p>
    <w:p w14:paraId="6B4E4EB6" w14:textId="77777777" w:rsidR="007A166E" w:rsidRPr="001A44B7" w:rsidRDefault="00144180" w:rsidP="003501A9">
      <w:pPr>
        <w:pStyle w:val="PrrafodeSentencia"/>
        <w:rPr>
          <w:lang w:val="es-CR"/>
        </w:rPr>
      </w:pPr>
      <w:r w:rsidRPr="001A44B7">
        <w:rPr>
          <w:lang w:val="es-CR"/>
        </w:rPr>
        <w:t xml:space="preserve">Quedó plenamente probado que la víctima fue privada de libertad y cumplía su pena en un centro penitenciario para mujeres en Guatemala, donde su estado de salud se deterioró progresivamente, generando, por sus complicaciones, discapacidad y, finalmente, su fallecimiento, antecedido por atención </w:t>
      </w:r>
      <w:r w:rsidR="000D6AB5" w:rsidRPr="001A44B7">
        <w:rPr>
          <w:lang w:val="es-CR"/>
        </w:rPr>
        <w:t>médica y de emergencia insuficiente</w:t>
      </w:r>
      <w:r w:rsidR="007A166E" w:rsidRPr="001A44B7">
        <w:rPr>
          <w:lang w:val="es-CR"/>
        </w:rPr>
        <w:t xml:space="preserve">s para impedir estos daños. </w:t>
      </w:r>
    </w:p>
    <w:p w14:paraId="362E9880" w14:textId="4590A544" w:rsidR="00072918" w:rsidRPr="001A44B7" w:rsidRDefault="004B7D54" w:rsidP="00072918">
      <w:pPr>
        <w:pStyle w:val="PrrafodeSentencia"/>
        <w:rPr>
          <w:lang w:val="es-CR"/>
        </w:rPr>
      </w:pPr>
      <w:r>
        <w:rPr>
          <w:lang w:val="es-CR"/>
        </w:rPr>
        <w:lastRenderedPageBreak/>
        <w:t>Por tan evidente el fuerte contenido del debate referirse a salud de la víctima, f</w:t>
      </w:r>
      <w:r w:rsidRPr="001A44B7">
        <w:rPr>
          <w:lang w:val="es-CR"/>
        </w:rPr>
        <w:t xml:space="preserve">ue </w:t>
      </w:r>
      <w:r w:rsidR="007A166E" w:rsidRPr="001A44B7">
        <w:rPr>
          <w:lang w:val="es-CR"/>
        </w:rPr>
        <w:t xml:space="preserve">lesionado, por lo tanto, </w:t>
      </w:r>
      <w:r w:rsidR="004E61B2" w:rsidRPr="001A44B7">
        <w:rPr>
          <w:lang w:val="es-CR"/>
        </w:rPr>
        <w:t>su derecho a la salud</w:t>
      </w:r>
      <w:r w:rsidR="006C0E0C" w:rsidRPr="001A44B7">
        <w:rPr>
          <w:lang w:val="es-CR"/>
        </w:rPr>
        <w:t xml:space="preserve">, previsto en el Protocolo Adicional a la Convención Americana sobre Derechos Humanos en materia de Derechos Económicos, Sociales y Culturales </w:t>
      </w:r>
      <w:r>
        <w:rPr>
          <w:lang w:val="es-CR"/>
        </w:rPr>
        <w:t xml:space="preserve">y </w:t>
      </w:r>
      <w:r w:rsidR="006C0E0C" w:rsidRPr="001A44B7">
        <w:rPr>
          <w:lang w:val="es-CR"/>
        </w:rPr>
        <w:t>que</w:t>
      </w:r>
      <w:r w:rsidR="00BF19F7">
        <w:rPr>
          <w:lang w:val="es-CR"/>
        </w:rPr>
        <w:t xml:space="preserve"> </w:t>
      </w:r>
      <w:r w:rsidR="006C0E0C" w:rsidRPr="001A44B7">
        <w:rPr>
          <w:lang w:val="es-CR"/>
        </w:rPr>
        <w:t>integra el patrimonio jurídico de todas las ciudadan</w:t>
      </w:r>
      <w:r w:rsidR="00566421" w:rsidRPr="001A44B7">
        <w:rPr>
          <w:lang w:val="es-CR"/>
        </w:rPr>
        <w:t>as y los ciudadanos de nuestro C</w:t>
      </w:r>
      <w:r w:rsidR="006C0E0C" w:rsidRPr="001A44B7">
        <w:rPr>
          <w:lang w:val="es-CR"/>
        </w:rPr>
        <w:t xml:space="preserve">ontinente. </w:t>
      </w:r>
      <w:r w:rsidR="00072918" w:rsidRPr="001A44B7">
        <w:rPr>
          <w:bCs/>
          <w:lang w:val="es-CR"/>
        </w:rPr>
        <w:t xml:space="preserve">Es importante esclarecer que </w:t>
      </w:r>
      <w:r w:rsidR="00072918" w:rsidRPr="001A44B7">
        <w:rPr>
          <w:lang w:val="es-CR"/>
        </w:rPr>
        <w:t>Guatemala es parte en el</w:t>
      </w:r>
      <w:r>
        <w:rPr>
          <w:lang w:val="es-CR"/>
        </w:rPr>
        <w:t xml:space="preserve"> Protocolo de San Salvador y tamb</w:t>
      </w:r>
      <w:r w:rsidR="00BF19F7">
        <w:rPr>
          <w:lang w:val="es-CR"/>
        </w:rPr>
        <w:t xml:space="preserve">ién en </w:t>
      </w:r>
      <w:r>
        <w:rPr>
          <w:lang w:val="es-CR"/>
        </w:rPr>
        <w:t>el</w:t>
      </w:r>
      <w:r w:rsidR="00072918" w:rsidRPr="001A44B7">
        <w:rPr>
          <w:lang w:val="es-CR"/>
        </w:rPr>
        <w:t xml:space="preserve"> Pacto Internacional de Derechos Económicos, Sociales y Culturales </w:t>
      </w:r>
      <w:r>
        <w:rPr>
          <w:lang w:val="es-CR"/>
        </w:rPr>
        <w:t xml:space="preserve">(PIDESC) </w:t>
      </w:r>
      <w:r w:rsidR="00072918" w:rsidRPr="001A44B7">
        <w:rPr>
          <w:lang w:val="es-CR"/>
        </w:rPr>
        <w:t>desde el 19 de mayo de 1988</w:t>
      </w:r>
      <w:r w:rsidR="00071595">
        <w:rPr>
          <w:rStyle w:val="FootnoteReference"/>
          <w:lang w:val="es-CR"/>
        </w:rPr>
        <w:footnoteReference w:id="1"/>
      </w:r>
      <w:r w:rsidR="00072918" w:rsidRPr="001A44B7">
        <w:rPr>
          <w:lang w:val="es-CR"/>
        </w:rPr>
        <w:t>, y que, por lo tanto, estos derechos fueron reconocidos a la víctima en gran medida gracias a</w:t>
      </w:r>
      <w:r w:rsidR="00D00CFA">
        <w:rPr>
          <w:lang w:val="es-CR"/>
        </w:rPr>
        <w:t>l</w:t>
      </w:r>
      <w:r w:rsidR="00072918" w:rsidRPr="001A44B7">
        <w:rPr>
          <w:lang w:val="es-CR"/>
        </w:rPr>
        <w:t xml:space="preserve"> esfuerzo diplomático y legislativo del Estado aquí condenado.</w:t>
      </w:r>
    </w:p>
    <w:p w14:paraId="349D2E0F" w14:textId="1BC81312" w:rsidR="00072918" w:rsidRPr="001A44B7" w:rsidRDefault="006C0E0C" w:rsidP="002172E8">
      <w:pPr>
        <w:pStyle w:val="PrrafodeSentencia"/>
        <w:rPr>
          <w:lang w:val="es-CR"/>
        </w:rPr>
      </w:pPr>
      <w:r w:rsidRPr="001A44B7">
        <w:rPr>
          <w:lang w:val="es-CR"/>
        </w:rPr>
        <w:t xml:space="preserve">Sucede que la Sentencia, en sus conclusiones y puntos resolutivos, específicamente en relación </w:t>
      </w:r>
      <w:r w:rsidR="00D00CFA">
        <w:rPr>
          <w:lang w:val="es-CR"/>
        </w:rPr>
        <w:t>con e</w:t>
      </w:r>
      <w:r w:rsidRPr="001A44B7">
        <w:rPr>
          <w:lang w:val="es-CR"/>
        </w:rPr>
        <w:t xml:space="preserve">l deterioro de la salud de la víctima, declara que el Estado es responsable por el incumplimiento de la obligación de garantizar los derechos a la integridad personal y a la vida, reconocidos en los artículos 5.1 y 4.1 de la Convención Americana sobre Derechos Humanos, en relación con el artículo 1.1 de la misma. </w:t>
      </w:r>
      <w:r w:rsidR="00072918" w:rsidRPr="001A44B7">
        <w:rPr>
          <w:lang w:val="es-CR"/>
        </w:rPr>
        <w:t xml:space="preserve">Además, la situación de encarcelamiento de la víctima y sus discapacidades </w:t>
      </w:r>
      <w:r w:rsidR="004B7D54" w:rsidRPr="003B378B">
        <w:rPr>
          <w:lang w:val="es-CR"/>
        </w:rPr>
        <w:t>han permitido conclu</w:t>
      </w:r>
      <w:r w:rsidR="004B7D54">
        <w:rPr>
          <w:lang w:val="es-CR"/>
        </w:rPr>
        <w:t xml:space="preserve">ir que el Estado es responsable también </w:t>
      </w:r>
      <w:r w:rsidR="009A54F7" w:rsidRPr="001A44B7">
        <w:rPr>
          <w:lang w:val="es-CR"/>
        </w:rPr>
        <w:t xml:space="preserve">por violación al </w:t>
      </w:r>
      <w:r w:rsidR="00072918" w:rsidRPr="001A44B7">
        <w:rPr>
          <w:lang w:val="es-CR"/>
        </w:rPr>
        <w:t xml:space="preserve">derecho a la no discriminación. </w:t>
      </w:r>
    </w:p>
    <w:p w14:paraId="0CFCBAD6" w14:textId="3F95BCF9" w:rsidR="006C0E0C" w:rsidRPr="001A44B7" w:rsidRDefault="006C0E0C" w:rsidP="002172E8">
      <w:pPr>
        <w:pStyle w:val="PrrafodeSentencia"/>
        <w:rPr>
          <w:lang w:val="es-CR"/>
        </w:rPr>
      </w:pPr>
      <w:r w:rsidRPr="001A44B7">
        <w:rPr>
          <w:lang w:val="es-CR"/>
        </w:rPr>
        <w:t xml:space="preserve">Diferentemente de lo que pueda parecer a primera vista, el silencio de la Sentencia en las conclusiones y en los puntos resolutivos sobre el derecho a la salud es apenas aparente. </w:t>
      </w:r>
    </w:p>
    <w:p w14:paraId="56985EDC" w14:textId="538ACBDC" w:rsidR="003B14BF" w:rsidRPr="001A44B7" w:rsidRDefault="003B14BF" w:rsidP="003B14BF">
      <w:pPr>
        <w:pStyle w:val="PrrafodeSentencia"/>
        <w:rPr>
          <w:lang w:val="es-CR"/>
        </w:rPr>
      </w:pPr>
      <w:r w:rsidRPr="001A44B7">
        <w:rPr>
          <w:lang w:val="es-CR"/>
        </w:rPr>
        <w:t>El párrafo 165 de la Sentencia anuncia que se verificará si el Estado cumplió con sus obligaciones de garantizar los derechos a la integridad personal y a la vida de la presunta víctima,</w:t>
      </w:r>
      <w:r w:rsidR="00C848C6">
        <w:rPr>
          <w:lang w:val="es-CR"/>
        </w:rPr>
        <w:t xml:space="preserve"> haciendo análisis detenido sobre</w:t>
      </w:r>
      <w:r w:rsidRPr="001A44B7">
        <w:rPr>
          <w:lang w:val="es-CR"/>
        </w:rPr>
        <w:t>: 1) las obligaciones del Estado de proveer atención y tratamiento médico a las personas privadas de libertad; 2) el deber de proveer un tratamiento adecuado respecto de la condición de diabetes y padecimientos relacionados de la señora Chinchilla; 3) el deber de garantizar la accesibilidad de las condiciones de detención a la situación de discapacidad de la señora Chinchilla; y 4) la respuesta de las autoridades administrativas el día de la muerte de la señora Chinchilla.</w:t>
      </w:r>
    </w:p>
    <w:p w14:paraId="2E7C03D3" w14:textId="05F0F28A" w:rsidR="000D6AB5" w:rsidRPr="001A44B7" w:rsidRDefault="004E61B2" w:rsidP="00030D77">
      <w:pPr>
        <w:pStyle w:val="PrrafodeSentencia"/>
        <w:rPr>
          <w:lang w:val="es-CR"/>
        </w:rPr>
      </w:pPr>
      <w:r w:rsidRPr="001A44B7">
        <w:rPr>
          <w:lang w:val="es-CR"/>
        </w:rPr>
        <w:t>E</w:t>
      </w:r>
      <w:r w:rsidR="003B14BF" w:rsidRPr="001A44B7">
        <w:rPr>
          <w:lang w:val="es-CR"/>
        </w:rPr>
        <w:t>l derecho a la salud</w:t>
      </w:r>
      <w:r w:rsidRPr="001A44B7">
        <w:rPr>
          <w:lang w:val="es-CR"/>
        </w:rPr>
        <w:t xml:space="preserve"> </w:t>
      </w:r>
      <w:r w:rsidR="000D6AB5" w:rsidRPr="001A44B7">
        <w:rPr>
          <w:lang w:val="es-CR"/>
        </w:rPr>
        <w:t>aparece</w:t>
      </w:r>
      <w:r w:rsidR="003B14BF" w:rsidRPr="001A44B7">
        <w:rPr>
          <w:lang w:val="es-CR"/>
        </w:rPr>
        <w:t>, por lo tanto,</w:t>
      </w:r>
      <w:r w:rsidR="000D6AB5" w:rsidRPr="001A44B7">
        <w:rPr>
          <w:lang w:val="es-CR"/>
        </w:rPr>
        <w:t xml:space="preserve"> </w:t>
      </w:r>
      <w:r w:rsidR="007A166E" w:rsidRPr="001A44B7">
        <w:rPr>
          <w:lang w:val="es-CR"/>
        </w:rPr>
        <w:t xml:space="preserve">en la fundamentación de </w:t>
      </w:r>
      <w:r w:rsidR="000D6AB5" w:rsidRPr="001A44B7">
        <w:rPr>
          <w:lang w:val="es-CR"/>
        </w:rPr>
        <w:t>la Sentencia</w:t>
      </w:r>
      <w:r w:rsidR="003B14BF" w:rsidRPr="001A44B7">
        <w:rPr>
          <w:lang w:val="es-CR"/>
        </w:rPr>
        <w:t>,</w:t>
      </w:r>
      <w:r w:rsidR="005D2870" w:rsidRPr="001A44B7">
        <w:rPr>
          <w:lang w:val="es-CR"/>
        </w:rPr>
        <w:t xml:space="preserve"> como antecedente </w:t>
      </w:r>
      <w:r w:rsidR="000D6AB5" w:rsidRPr="001A44B7">
        <w:rPr>
          <w:lang w:val="es-CR"/>
        </w:rPr>
        <w:t xml:space="preserve">necesario para el pleno cumplimiento de las obligaciones correspondientes al derecho a la </w:t>
      </w:r>
      <w:r w:rsidR="005D2870" w:rsidRPr="001A44B7">
        <w:rPr>
          <w:lang w:val="es-CR"/>
        </w:rPr>
        <w:t xml:space="preserve">vida y </w:t>
      </w:r>
      <w:r w:rsidR="000D6AB5" w:rsidRPr="001A44B7">
        <w:rPr>
          <w:lang w:val="es-CR"/>
        </w:rPr>
        <w:t xml:space="preserve">a </w:t>
      </w:r>
      <w:r w:rsidR="005D2870" w:rsidRPr="001A44B7">
        <w:rPr>
          <w:lang w:val="es-CR"/>
        </w:rPr>
        <w:t>la integridad personal</w:t>
      </w:r>
      <w:r w:rsidR="003B14BF" w:rsidRPr="001A44B7">
        <w:rPr>
          <w:lang w:val="es-CR"/>
        </w:rPr>
        <w:t>.</w:t>
      </w:r>
      <w:r w:rsidR="00072918" w:rsidRPr="001A44B7">
        <w:rPr>
          <w:lang w:val="es-CR"/>
        </w:rPr>
        <w:t xml:space="preserve"> </w:t>
      </w:r>
      <w:r w:rsidR="003B14BF" w:rsidRPr="001A44B7">
        <w:rPr>
          <w:lang w:val="es-CR"/>
        </w:rPr>
        <w:t>L</w:t>
      </w:r>
      <w:r w:rsidR="00072918" w:rsidRPr="001A44B7">
        <w:rPr>
          <w:lang w:val="es-CR"/>
        </w:rPr>
        <w:t xml:space="preserve">a </w:t>
      </w:r>
      <w:r w:rsidR="0085450E" w:rsidRPr="001A44B7">
        <w:rPr>
          <w:lang w:val="es-CR"/>
        </w:rPr>
        <w:t xml:space="preserve">condena por </w:t>
      </w:r>
      <w:r w:rsidR="00072918" w:rsidRPr="001A44B7">
        <w:rPr>
          <w:lang w:val="es-CR"/>
        </w:rPr>
        <w:t xml:space="preserve">violación </w:t>
      </w:r>
      <w:r w:rsidR="0085450E" w:rsidRPr="001A44B7">
        <w:rPr>
          <w:lang w:val="es-CR"/>
        </w:rPr>
        <w:t>a los artículo</w:t>
      </w:r>
      <w:r w:rsidR="00025CC8">
        <w:rPr>
          <w:lang w:val="es-CR"/>
        </w:rPr>
        <w:t>s</w:t>
      </w:r>
      <w:r w:rsidR="0085450E" w:rsidRPr="001A44B7">
        <w:rPr>
          <w:lang w:val="es-CR"/>
        </w:rPr>
        <w:t xml:space="preserve"> 4.1 y 5.1 de la Convención </w:t>
      </w:r>
      <w:r w:rsidR="00072918" w:rsidRPr="001A44B7">
        <w:rPr>
          <w:lang w:val="es-CR"/>
        </w:rPr>
        <w:t>depende</w:t>
      </w:r>
      <w:r w:rsidR="0085450E" w:rsidRPr="001A44B7">
        <w:rPr>
          <w:lang w:val="es-CR"/>
        </w:rPr>
        <w:t xml:space="preserve">, </w:t>
      </w:r>
      <w:r w:rsidR="00C848C6" w:rsidRPr="004803D0">
        <w:rPr>
          <w:lang w:val="es-CR"/>
        </w:rPr>
        <w:t>en definitiva</w:t>
      </w:r>
      <w:r w:rsidR="0085450E" w:rsidRPr="001A44B7">
        <w:rPr>
          <w:lang w:val="es-CR"/>
        </w:rPr>
        <w:t>,</w:t>
      </w:r>
      <w:r w:rsidR="00072918" w:rsidRPr="001A44B7">
        <w:rPr>
          <w:lang w:val="es-CR"/>
        </w:rPr>
        <w:t xml:space="preserve"> </w:t>
      </w:r>
      <w:r w:rsidR="00C848C6" w:rsidRPr="004803D0">
        <w:rPr>
          <w:lang w:val="es-CR"/>
        </w:rPr>
        <w:t>del previo</w:t>
      </w:r>
      <w:r w:rsidR="00C848C6" w:rsidRPr="001A44B7" w:rsidDel="00C848C6">
        <w:rPr>
          <w:lang w:val="es-CR"/>
        </w:rPr>
        <w:t xml:space="preserve"> </w:t>
      </w:r>
      <w:r w:rsidR="00072918" w:rsidRPr="001A44B7">
        <w:rPr>
          <w:lang w:val="es-CR"/>
        </w:rPr>
        <w:t xml:space="preserve">análisis </w:t>
      </w:r>
      <w:r w:rsidR="003B14BF" w:rsidRPr="001A44B7">
        <w:rPr>
          <w:lang w:val="es-CR"/>
        </w:rPr>
        <w:t xml:space="preserve">y confirmación </w:t>
      </w:r>
      <w:r w:rsidR="00072918" w:rsidRPr="001A44B7">
        <w:rPr>
          <w:lang w:val="es-CR"/>
        </w:rPr>
        <w:t>del incumplimiento de</w:t>
      </w:r>
      <w:r w:rsidR="0085450E" w:rsidRPr="001A44B7">
        <w:rPr>
          <w:lang w:val="es-CR"/>
        </w:rPr>
        <w:t xml:space="preserve">l derecho a la salud, previsto en el artículo 26 de la Convención y </w:t>
      </w:r>
      <w:r w:rsidR="00072918" w:rsidRPr="001A44B7">
        <w:rPr>
          <w:lang w:val="es-CR"/>
        </w:rPr>
        <w:t>artículo 10</w:t>
      </w:r>
      <w:r w:rsidR="0085450E" w:rsidRPr="001A44B7">
        <w:rPr>
          <w:lang w:val="es-CR"/>
        </w:rPr>
        <w:t>.1</w:t>
      </w:r>
      <w:r w:rsidR="00072918" w:rsidRPr="001A44B7">
        <w:rPr>
          <w:lang w:val="es-CR"/>
        </w:rPr>
        <w:t xml:space="preserve"> del Protocolo Adicional. </w:t>
      </w:r>
    </w:p>
    <w:p w14:paraId="66AB90B0" w14:textId="07955EB8" w:rsidR="00304A83" w:rsidRPr="001A44B7" w:rsidRDefault="006C0E0C" w:rsidP="009A3E69">
      <w:pPr>
        <w:pStyle w:val="PrrafodeSentencia"/>
        <w:rPr>
          <w:lang w:val="es-CR"/>
        </w:rPr>
      </w:pPr>
      <w:r w:rsidRPr="001A44B7">
        <w:rPr>
          <w:lang w:val="es-CR"/>
        </w:rPr>
        <w:t xml:space="preserve">En </w:t>
      </w:r>
      <w:r w:rsidR="003B14BF" w:rsidRPr="001A44B7">
        <w:rPr>
          <w:lang w:val="es-CR"/>
        </w:rPr>
        <w:t xml:space="preserve">ese sentido, </w:t>
      </w:r>
      <w:r w:rsidR="0085450E" w:rsidRPr="001A44B7">
        <w:rPr>
          <w:lang w:val="es-CR"/>
        </w:rPr>
        <w:t xml:space="preserve">el derecho a la salud está </w:t>
      </w:r>
      <w:r w:rsidR="003B14BF" w:rsidRPr="001A44B7">
        <w:rPr>
          <w:lang w:val="es-CR"/>
        </w:rPr>
        <w:t>presente</w:t>
      </w:r>
      <w:r w:rsidR="0085450E" w:rsidRPr="001A44B7">
        <w:rPr>
          <w:lang w:val="es-CR"/>
        </w:rPr>
        <w:t xml:space="preserve"> </w:t>
      </w:r>
      <w:r w:rsidRPr="001A44B7">
        <w:rPr>
          <w:lang w:val="es-CR"/>
        </w:rPr>
        <w:t>en las conclusiones y puntos resolutivos, pero con naturaleza desvirtuada. Pierde su status de derecho y se convierte en presupuesto fático para la aplicación al caso de los derechos previstos en los artículo</w:t>
      </w:r>
      <w:r w:rsidR="003B14BF" w:rsidRPr="001A44B7">
        <w:rPr>
          <w:lang w:val="es-CR"/>
        </w:rPr>
        <w:t>s</w:t>
      </w:r>
      <w:r w:rsidRPr="001A44B7">
        <w:rPr>
          <w:lang w:val="es-CR"/>
        </w:rPr>
        <w:t xml:space="preserve"> 4.1 y 5.1 da la Convención Americana</w:t>
      </w:r>
      <w:r w:rsidR="003B14BF" w:rsidRPr="001A44B7">
        <w:rPr>
          <w:lang w:val="es-CR"/>
        </w:rPr>
        <w:t>.</w:t>
      </w:r>
      <w:r w:rsidRPr="001A44B7">
        <w:rPr>
          <w:lang w:val="es-CR"/>
        </w:rPr>
        <w:t xml:space="preserve"> </w:t>
      </w:r>
      <w:r w:rsidR="0066673E" w:rsidRPr="001A44B7">
        <w:rPr>
          <w:lang w:val="es-CR"/>
        </w:rPr>
        <w:t xml:space="preserve">La violación </w:t>
      </w:r>
      <w:r w:rsidR="00304A83" w:rsidRPr="001A44B7">
        <w:rPr>
          <w:lang w:val="es-CR"/>
        </w:rPr>
        <w:t xml:space="preserve">del derecho a la salud, por lo tanto, </w:t>
      </w:r>
      <w:r w:rsidR="0066673E" w:rsidRPr="001A44B7">
        <w:rPr>
          <w:lang w:val="es-CR"/>
        </w:rPr>
        <w:t xml:space="preserve">fundamenta </w:t>
      </w:r>
      <w:r w:rsidR="00304A83" w:rsidRPr="001A44B7">
        <w:rPr>
          <w:lang w:val="es-CR"/>
        </w:rPr>
        <w:t xml:space="preserve">la condena </w:t>
      </w:r>
      <w:r w:rsidR="003B14BF" w:rsidRPr="001A44B7">
        <w:rPr>
          <w:lang w:val="es-CR"/>
        </w:rPr>
        <w:t>de</w:t>
      </w:r>
      <w:r w:rsidR="0066673E" w:rsidRPr="001A44B7">
        <w:rPr>
          <w:lang w:val="es-CR"/>
        </w:rPr>
        <w:t xml:space="preserve"> la actuación estatal, aunque no de forma autónoma, sino como escalón o etapa necesaria para concluir por la violación directa a la Convención.</w:t>
      </w:r>
      <w:r w:rsidR="00304A83" w:rsidRPr="001A44B7">
        <w:rPr>
          <w:lang w:val="es-CR"/>
        </w:rPr>
        <w:t xml:space="preserve"> </w:t>
      </w:r>
    </w:p>
    <w:p w14:paraId="5EDAA460" w14:textId="77777777" w:rsidR="00304A83" w:rsidRPr="001A44B7" w:rsidRDefault="00072918" w:rsidP="00304A83">
      <w:pPr>
        <w:pStyle w:val="PrrafodeSentencia"/>
        <w:rPr>
          <w:lang w:val="es-CR"/>
        </w:rPr>
      </w:pPr>
      <w:r w:rsidRPr="001A44B7">
        <w:rPr>
          <w:lang w:val="es-CR"/>
        </w:rPr>
        <w:lastRenderedPageBreak/>
        <w:t>La apreciación del derecho a la salud, aunque apenas en su interfaz con el derecho a la integridad personal y a la vida, no es novedad en la jurisprudencia de esta Corte</w:t>
      </w:r>
      <w:r w:rsidR="00CF215B" w:rsidRPr="001A44B7">
        <w:rPr>
          <w:vertAlign w:val="superscript"/>
          <w:lang w:val="es-CR"/>
        </w:rPr>
        <w:footnoteReference w:id="2"/>
      </w:r>
      <w:r w:rsidRPr="001A44B7">
        <w:rPr>
          <w:lang w:val="es-CR"/>
        </w:rPr>
        <w:t xml:space="preserve">, </w:t>
      </w:r>
      <w:r w:rsidR="00304A83" w:rsidRPr="001A44B7">
        <w:rPr>
          <w:lang w:val="es-CR"/>
        </w:rPr>
        <w:t>que entiende que tales derechos se hallan directa e inmediatamente vinculados con la atención a la salud humana</w:t>
      </w:r>
      <w:r w:rsidR="00304A83" w:rsidRPr="001A44B7">
        <w:rPr>
          <w:vertAlign w:val="superscript"/>
          <w:lang w:val="es-CR"/>
        </w:rPr>
        <w:footnoteReference w:id="3"/>
      </w:r>
      <w:r w:rsidR="00304A83" w:rsidRPr="001A44B7">
        <w:rPr>
          <w:lang w:val="es-CR"/>
        </w:rPr>
        <w:t>. Además, como</w:t>
      </w:r>
      <w:r w:rsidR="009942AF">
        <w:rPr>
          <w:lang w:val="es-CR"/>
        </w:rPr>
        <w:t xml:space="preserve"> fue</w:t>
      </w:r>
      <w:r w:rsidR="00304A83" w:rsidRPr="001A44B7">
        <w:rPr>
          <w:lang w:val="es-CR"/>
        </w:rPr>
        <w:t xml:space="preserve"> afirmado en el párrafo 170, la protección del derecho a la integridad personal supone la regulación de los servicios de salud en el ámbito interno, así como la implementación de una serie de mecanismos tendientes a tutelar la efectividad de dicha regulación</w:t>
      </w:r>
      <w:r w:rsidR="00304A83" w:rsidRPr="001A44B7">
        <w:rPr>
          <w:vertAlign w:val="superscript"/>
          <w:lang w:val="es-CR"/>
        </w:rPr>
        <w:footnoteReference w:id="4"/>
      </w:r>
      <w:r w:rsidR="00304A83" w:rsidRPr="001A44B7">
        <w:rPr>
          <w:lang w:val="es-CR"/>
        </w:rPr>
        <w:t xml:space="preserve">. </w:t>
      </w:r>
    </w:p>
    <w:p w14:paraId="04E0DB0F" w14:textId="3BE8663C" w:rsidR="00304A83" w:rsidRPr="001A44B7" w:rsidRDefault="00353DD4" w:rsidP="00C8736D">
      <w:pPr>
        <w:pStyle w:val="PrrafodeSentencia"/>
        <w:rPr>
          <w:lang w:val="es-CR"/>
        </w:rPr>
      </w:pPr>
      <w:r>
        <w:rPr>
          <w:lang w:val="es-CR"/>
        </w:rPr>
        <w:t>Por lo tanto,</w:t>
      </w:r>
      <w:r w:rsidR="00CF215B" w:rsidRPr="001A44B7">
        <w:rPr>
          <w:lang w:val="es-CR"/>
        </w:rPr>
        <w:t xml:space="preserve"> </w:t>
      </w:r>
      <w:r w:rsidR="00304A83" w:rsidRPr="001A44B7">
        <w:rPr>
          <w:lang w:val="es-CR"/>
        </w:rPr>
        <w:t xml:space="preserve">más que un indicativo de respeto </w:t>
      </w:r>
      <w:r w:rsidR="001A44B7" w:rsidRPr="001A44B7">
        <w:rPr>
          <w:lang w:val="es-CR"/>
        </w:rPr>
        <w:t xml:space="preserve">a </w:t>
      </w:r>
      <w:r w:rsidR="00304A83" w:rsidRPr="001A44B7">
        <w:rPr>
          <w:lang w:val="es-CR"/>
        </w:rPr>
        <w:t xml:space="preserve">los derechos a la vida y a la integridad personal, </w:t>
      </w:r>
      <w:r w:rsidR="007419D0" w:rsidRPr="001A44B7">
        <w:rPr>
          <w:lang w:val="es-CR"/>
        </w:rPr>
        <w:t>el derecho a la salud es un derecho autónomo</w:t>
      </w:r>
      <w:r w:rsidR="00304A83" w:rsidRPr="001A44B7">
        <w:rPr>
          <w:lang w:val="es-CR"/>
        </w:rPr>
        <w:t>.</w:t>
      </w:r>
    </w:p>
    <w:p w14:paraId="41407C4E" w14:textId="5DA6D081" w:rsidR="00F2469D" w:rsidRPr="001A44B7" w:rsidRDefault="00304A83" w:rsidP="00C8736D">
      <w:pPr>
        <w:pStyle w:val="PrrafodeSentencia"/>
        <w:rPr>
          <w:lang w:val="es-CR"/>
        </w:rPr>
      </w:pPr>
      <w:r w:rsidRPr="001A44B7">
        <w:rPr>
          <w:lang w:val="es-CR"/>
        </w:rPr>
        <w:t>L</w:t>
      </w:r>
      <w:r w:rsidR="00F2469D" w:rsidRPr="001A44B7">
        <w:rPr>
          <w:lang w:val="es-CR"/>
        </w:rPr>
        <w:t xml:space="preserve">a constatación, durante los procedimientos ante la Corte, de que </w:t>
      </w:r>
      <w:r w:rsidR="00CF215B" w:rsidRPr="001A44B7">
        <w:rPr>
          <w:lang w:val="es-CR"/>
        </w:rPr>
        <w:t>fue violado, recomienda</w:t>
      </w:r>
      <w:r w:rsidR="009942AF">
        <w:rPr>
          <w:lang w:val="es-CR"/>
        </w:rPr>
        <w:t xml:space="preserve"> una</w:t>
      </w:r>
      <w:r w:rsidR="00CF215B" w:rsidRPr="001A44B7">
        <w:rPr>
          <w:lang w:val="es-CR"/>
        </w:rPr>
        <w:t xml:space="preserve"> </w:t>
      </w:r>
      <w:r w:rsidR="00F2469D" w:rsidRPr="001A44B7">
        <w:rPr>
          <w:lang w:val="es-CR"/>
        </w:rPr>
        <w:t>acción jurisdiccional específica</w:t>
      </w:r>
      <w:r w:rsidR="007419D0" w:rsidRPr="001A44B7">
        <w:rPr>
          <w:lang w:val="es-CR"/>
        </w:rPr>
        <w:t xml:space="preserve">, </w:t>
      </w:r>
      <w:r w:rsidR="0066673E" w:rsidRPr="001A44B7">
        <w:rPr>
          <w:lang w:val="es-CR"/>
        </w:rPr>
        <w:t xml:space="preserve">una vez que está </w:t>
      </w:r>
      <w:r w:rsidR="007419D0" w:rsidRPr="001A44B7">
        <w:rPr>
          <w:lang w:val="es-CR"/>
        </w:rPr>
        <w:t xml:space="preserve">previsto en </w:t>
      </w:r>
      <w:r w:rsidR="009942AF">
        <w:rPr>
          <w:lang w:val="es-CR"/>
        </w:rPr>
        <w:t>los</w:t>
      </w:r>
      <w:r w:rsidR="009942AF" w:rsidRPr="001A44B7">
        <w:rPr>
          <w:lang w:val="es-CR"/>
        </w:rPr>
        <w:t xml:space="preserve"> </w:t>
      </w:r>
      <w:r w:rsidR="007419D0" w:rsidRPr="001A44B7">
        <w:rPr>
          <w:lang w:val="es-CR"/>
        </w:rPr>
        <w:t>artículo</w:t>
      </w:r>
      <w:r w:rsidR="009942AF">
        <w:rPr>
          <w:lang w:val="es-CR"/>
        </w:rPr>
        <w:t>s</w:t>
      </w:r>
      <w:r w:rsidR="007419D0" w:rsidRPr="001A44B7">
        <w:rPr>
          <w:lang w:val="es-CR"/>
        </w:rPr>
        <w:t xml:space="preserve"> </w:t>
      </w:r>
      <w:r w:rsidR="0066673E" w:rsidRPr="001A44B7">
        <w:rPr>
          <w:lang w:val="es-CR"/>
        </w:rPr>
        <w:t xml:space="preserve">10.1 del Protocolo de San Salvador y </w:t>
      </w:r>
      <w:r w:rsidR="007419D0" w:rsidRPr="001A44B7">
        <w:rPr>
          <w:lang w:val="es-CR"/>
        </w:rPr>
        <w:t>26 de la Convención</w:t>
      </w:r>
      <w:r w:rsidR="001A44B7">
        <w:rPr>
          <w:lang w:val="es-CR"/>
        </w:rPr>
        <w:t>. Entiendo que es</w:t>
      </w:r>
      <w:r w:rsidR="00E73CCB">
        <w:rPr>
          <w:lang w:val="es-CR"/>
        </w:rPr>
        <w:t>o</w:t>
      </w:r>
      <w:r w:rsidR="001A44B7" w:rsidRPr="001A44B7">
        <w:rPr>
          <w:lang w:val="es-CR"/>
        </w:rPr>
        <w:t>s</w:t>
      </w:r>
      <w:r w:rsidR="0066673E" w:rsidRPr="001A44B7">
        <w:rPr>
          <w:lang w:val="es-CR"/>
        </w:rPr>
        <w:t xml:space="preserve"> artículo</w:t>
      </w:r>
      <w:r w:rsidR="001A44B7" w:rsidRPr="001A44B7">
        <w:rPr>
          <w:lang w:val="es-CR"/>
        </w:rPr>
        <w:t>s</w:t>
      </w:r>
      <w:r w:rsidR="0066673E" w:rsidRPr="001A44B7">
        <w:rPr>
          <w:lang w:val="es-CR"/>
        </w:rPr>
        <w:t>, que contiene</w:t>
      </w:r>
      <w:r w:rsidR="001A44B7" w:rsidRPr="001A44B7">
        <w:rPr>
          <w:lang w:val="es-CR"/>
        </w:rPr>
        <w:t>n</w:t>
      </w:r>
      <w:r w:rsidR="0066673E" w:rsidRPr="001A44B7">
        <w:rPr>
          <w:lang w:val="es-CR"/>
        </w:rPr>
        <w:t xml:space="preserve"> claros compromisos relativos a los </w:t>
      </w:r>
      <w:r w:rsidR="009942AF">
        <w:rPr>
          <w:lang w:val="es-CR"/>
        </w:rPr>
        <w:t>derechos económicos, sociales y culturales (</w:t>
      </w:r>
      <w:r w:rsidR="0066673E" w:rsidRPr="001A44B7">
        <w:rPr>
          <w:lang w:val="es-CR"/>
        </w:rPr>
        <w:t>DESC</w:t>
      </w:r>
      <w:r w:rsidR="009942AF">
        <w:rPr>
          <w:lang w:val="es-CR"/>
        </w:rPr>
        <w:t>)</w:t>
      </w:r>
      <w:r w:rsidR="0066673E" w:rsidRPr="001A44B7">
        <w:rPr>
          <w:lang w:val="es-CR"/>
        </w:rPr>
        <w:t xml:space="preserve">, </w:t>
      </w:r>
      <w:r w:rsidR="001A44B7" w:rsidRPr="001A44B7">
        <w:rPr>
          <w:lang w:val="es-CR"/>
        </w:rPr>
        <w:t>p</w:t>
      </w:r>
      <w:r w:rsidR="001A44B7">
        <w:rPr>
          <w:lang w:val="es-CR"/>
        </w:rPr>
        <w:t>e</w:t>
      </w:r>
      <w:r w:rsidR="001A44B7" w:rsidRPr="001A44B7">
        <w:rPr>
          <w:lang w:val="es-CR"/>
        </w:rPr>
        <w:t>rmite</w:t>
      </w:r>
      <w:r w:rsidR="0066673E" w:rsidRPr="001A44B7">
        <w:rPr>
          <w:lang w:val="es-CR"/>
        </w:rPr>
        <w:t xml:space="preserve"> que </w:t>
      </w:r>
      <w:r w:rsidR="001A44B7">
        <w:rPr>
          <w:lang w:val="es-CR"/>
        </w:rPr>
        <w:t>l</w:t>
      </w:r>
      <w:r w:rsidR="0066673E" w:rsidRPr="001A44B7">
        <w:rPr>
          <w:lang w:val="es-CR"/>
        </w:rPr>
        <w:t xml:space="preserve">a Corte examine la compatibilidad de la conducta del Estado con relación a estas obligaciones. </w:t>
      </w:r>
    </w:p>
    <w:p w14:paraId="61ED9C78" w14:textId="614927F5" w:rsidR="00304A83" w:rsidRPr="001A44B7" w:rsidRDefault="00566421" w:rsidP="00CF215B">
      <w:pPr>
        <w:pStyle w:val="PrrafodeSentencia"/>
        <w:rPr>
          <w:lang w:val="es-CR"/>
        </w:rPr>
      </w:pPr>
      <w:r w:rsidRPr="001A44B7">
        <w:rPr>
          <w:lang w:val="es-CR"/>
        </w:rPr>
        <w:t>L</w:t>
      </w:r>
      <w:r w:rsidR="00CF215B" w:rsidRPr="001A44B7">
        <w:rPr>
          <w:lang w:val="es-CR"/>
        </w:rPr>
        <w:t xml:space="preserve">a Corte y </w:t>
      </w:r>
      <w:r w:rsidRPr="001A44B7">
        <w:rPr>
          <w:lang w:val="es-CR"/>
        </w:rPr>
        <w:t>A</w:t>
      </w:r>
      <w:r w:rsidR="00CF215B" w:rsidRPr="001A44B7">
        <w:rPr>
          <w:lang w:val="es-CR"/>
        </w:rPr>
        <w:t xml:space="preserve">mérica están </w:t>
      </w:r>
      <w:r w:rsidR="00353DD4">
        <w:rPr>
          <w:lang w:val="es-CR"/>
        </w:rPr>
        <w:t>listas</w:t>
      </w:r>
      <w:r w:rsidR="00353DD4" w:rsidRPr="001A44B7">
        <w:rPr>
          <w:lang w:val="es-CR"/>
        </w:rPr>
        <w:t xml:space="preserve"> </w:t>
      </w:r>
      <w:r w:rsidR="00CF215B" w:rsidRPr="001A44B7">
        <w:rPr>
          <w:lang w:val="es-CR"/>
        </w:rPr>
        <w:t xml:space="preserve">para dar </w:t>
      </w:r>
      <w:r w:rsidR="00E36639" w:rsidRPr="001A44B7">
        <w:rPr>
          <w:lang w:val="es-CR"/>
        </w:rPr>
        <w:t>este</w:t>
      </w:r>
      <w:r w:rsidR="00CF215B" w:rsidRPr="001A44B7">
        <w:rPr>
          <w:lang w:val="es-CR"/>
        </w:rPr>
        <w:t xml:space="preserve"> paso importante en el sistema de protección a los derechos humanos en nuestro continente. </w:t>
      </w:r>
      <w:r w:rsidR="00304A83" w:rsidRPr="001A44B7">
        <w:rPr>
          <w:lang w:val="es-CR"/>
        </w:rPr>
        <w:t xml:space="preserve">Especialmente en este caso, en que </w:t>
      </w:r>
      <w:r w:rsidR="00E36639" w:rsidRPr="001A44B7">
        <w:rPr>
          <w:lang w:val="es-CR"/>
        </w:rPr>
        <w:t xml:space="preserve">ya </w:t>
      </w:r>
      <w:r w:rsidR="00353DD4" w:rsidRPr="004803D0">
        <w:rPr>
          <w:lang w:val="es-CR"/>
        </w:rPr>
        <w:t>fue establecido</w:t>
      </w:r>
      <w:r w:rsidR="00353DD4" w:rsidRPr="001A44B7" w:rsidDel="00353DD4">
        <w:rPr>
          <w:lang w:val="es-CR"/>
        </w:rPr>
        <w:t xml:space="preserve"> </w:t>
      </w:r>
      <w:r w:rsidR="00E36639" w:rsidRPr="001A44B7">
        <w:rPr>
          <w:lang w:val="es-CR"/>
        </w:rPr>
        <w:t xml:space="preserve">que no garantizar la salud de la </w:t>
      </w:r>
      <w:r w:rsidR="00353DD4" w:rsidRPr="004803D0">
        <w:rPr>
          <w:lang w:val="es-CR"/>
        </w:rPr>
        <w:t>persona detenida</w:t>
      </w:r>
      <w:r w:rsidR="00353DD4" w:rsidRPr="001A44B7" w:rsidDel="00353DD4">
        <w:rPr>
          <w:lang w:val="es-CR"/>
        </w:rPr>
        <w:t xml:space="preserve"> </w:t>
      </w:r>
      <w:r w:rsidR="00304A83" w:rsidRPr="001A44B7">
        <w:rPr>
          <w:lang w:val="es-CR"/>
        </w:rPr>
        <w:t>es conducta estatal con repercusión concre</w:t>
      </w:r>
      <w:r w:rsidR="00E36639" w:rsidRPr="001A44B7">
        <w:rPr>
          <w:lang w:val="es-CR"/>
        </w:rPr>
        <w:t xml:space="preserve">ta en el </w:t>
      </w:r>
      <w:r w:rsidR="009942AF">
        <w:rPr>
          <w:lang w:val="es-CR"/>
        </w:rPr>
        <w:t>S</w:t>
      </w:r>
      <w:r w:rsidR="00E36639" w:rsidRPr="001A44B7">
        <w:rPr>
          <w:lang w:val="es-CR"/>
        </w:rPr>
        <w:t xml:space="preserve">istema </w:t>
      </w:r>
      <w:r w:rsidR="009942AF">
        <w:rPr>
          <w:lang w:val="es-CR"/>
        </w:rPr>
        <w:t>I</w:t>
      </w:r>
      <w:r w:rsidR="00E36639" w:rsidRPr="001A44B7">
        <w:rPr>
          <w:lang w:val="es-CR"/>
        </w:rPr>
        <w:t>nteramericano.</w:t>
      </w:r>
      <w:r w:rsidR="00304A83" w:rsidRPr="001A44B7">
        <w:rPr>
          <w:lang w:val="es-CR"/>
        </w:rPr>
        <w:t xml:space="preserve"> </w:t>
      </w:r>
      <w:r w:rsidR="00E36639" w:rsidRPr="001A44B7">
        <w:rPr>
          <w:lang w:val="es-CR"/>
        </w:rPr>
        <w:t>U</w:t>
      </w:r>
      <w:r w:rsidR="00304A83" w:rsidRPr="001A44B7">
        <w:rPr>
          <w:lang w:val="es-CR"/>
        </w:rPr>
        <w:t>na condena por la vía directa</w:t>
      </w:r>
      <w:r w:rsidR="00E36639" w:rsidRPr="001A44B7">
        <w:rPr>
          <w:lang w:val="es-CR"/>
        </w:rPr>
        <w:t>, considerando el artículo 26 de la Convención,</w:t>
      </w:r>
      <w:r w:rsidR="00304A83" w:rsidRPr="001A44B7">
        <w:rPr>
          <w:lang w:val="es-CR"/>
        </w:rPr>
        <w:t xml:space="preserve"> se encaja en la evolución de los derechos humanos sin generar quiebras</w:t>
      </w:r>
      <w:r w:rsidRPr="001A44B7">
        <w:rPr>
          <w:lang w:val="es-CR"/>
        </w:rPr>
        <w:t xml:space="preserve">, siquiera alteración en el monto de la indemnización, por ejemplo. Pero es importante para que las posibles víctimas puedan comprender que sí, el Sistema Interamericano es </w:t>
      </w:r>
      <w:r w:rsidR="001A44B7" w:rsidRPr="001A44B7">
        <w:rPr>
          <w:lang w:val="es-CR"/>
        </w:rPr>
        <w:t>una</w:t>
      </w:r>
      <w:r w:rsidRPr="001A44B7">
        <w:rPr>
          <w:lang w:val="es-CR"/>
        </w:rPr>
        <w:t xml:space="preserve"> </w:t>
      </w:r>
      <w:r w:rsidR="001A44B7" w:rsidRPr="001A44B7">
        <w:rPr>
          <w:lang w:val="es-CR"/>
        </w:rPr>
        <w:t>vía</w:t>
      </w:r>
      <w:r w:rsidRPr="001A44B7">
        <w:rPr>
          <w:lang w:val="es-CR"/>
        </w:rPr>
        <w:t xml:space="preserve"> abierta para las personas que necesitan buscarlo para </w:t>
      </w:r>
      <w:r w:rsidR="00353DD4" w:rsidRPr="004803D0">
        <w:rPr>
          <w:lang w:val="es-CR"/>
        </w:rPr>
        <w:t>hacer efectivos</w:t>
      </w:r>
      <w:r w:rsidR="00353DD4" w:rsidRPr="001A44B7" w:rsidDel="00353DD4">
        <w:rPr>
          <w:lang w:val="es-CR"/>
        </w:rPr>
        <w:t xml:space="preserve"> </w:t>
      </w:r>
      <w:r w:rsidRPr="001A44B7">
        <w:rPr>
          <w:lang w:val="es-CR"/>
        </w:rPr>
        <w:t>es</w:t>
      </w:r>
      <w:r w:rsidR="00E73CCB">
        <w:rPr>
          <w:lang w:val="es-CR"/>
        </w:rPr>
        <w:t>o</w:t>
      </w:r>
      <w:r w:rsidRPr="001A44B7">
        <w:rPr>
          <w:lang w:val="es-CR"/>
        </w:rPr>
        <w:t>s derechos.</w:t>
      </w:r>
    </w:p>
    <w:p w14:paraId="73988327" w14:textId="77777777" w:rsidR="00CF215B" w:rsidRPr="001A44B7" w:rsidRDefault="00304A83" w:rsidP="00CF215B">
      <w:pPr>
        <w:pStyle w:val="PrrafodeSentencia"/>
        <w:rPr>
          <w:lang w:val="es-CR"/>
        </w:rPr>
      </w:pPr>
      <w:r w:rsidRPr="001A44B7">
        <w:rPr>
          <w:lang w:val="es-CR"/>
        </w:rPr>
        <w:t xml:space="preserve"> </w:t>
      </w:r>
      <w:r w:rsidR="00CF215B" w:rsidRPr="001A44B7">
        <w:rPr>
          <w:lang w:val="es-CR"/>
        </w:rPr>
        <w:t xml:space="preserve">Más que simplemente reiterar la protección a la salud por la refleja vía de los derechos a la vida e integridad personal, la tutela jurisdiccional del derecho </w:t>
      </w:r>
      <w:r w:rsidR="00E36639" w:rsidRPr="001A44B7">
        <w:rPr>
          <w:lang w:val="es-CR"/>
        </w:rPr>
        <w:t xml:space="preserve">puede y debe </w:t>
      </w:r>
      <w:r w:rsidR="00CF215B" w:rsidRPr="001A44B7">
        <w:rPr>
          <w:lang w:val="es-CR"/>
        </w:rPr>
        <w:t>ser más explícita y directa.</w:t>
      </w:r>
    </w:p>
    <w:p w14:paraId="3CEC6E06" w14:textId="59388C0E" w:rsidR="003807D4" w:rsidRPr="001A44B7" w:rsidRDefault="00CF215B" w:rsidP="00566421">
      <w:pPr>
        <w:pStyle w:val="PrrafodeSentencia"/>
        <w:rPr>
          <w:lang w:val="es-CR"/>
        </w:rPr>
      </w:pPr>
      <w:r w:rsidRPr="001A44B7">
        <w:rPr>
          <w:lang w:val="es-CR"/>
        </w:rPr>
        <w:t xml:space="preserve">El debate sobre la justiciabilidad </w:t>
      </w:r>
      <w:r w:rsidR="00566421" w:rsidRPr="001A44B7">
        <w:rPr>
          <w:lang w:val="es-CR"/>
        </w:rPr>
        <w:t xml:space="preserve">directa </w:t>
      </w:r>
      <w:r w:rsidRPr="001A44B7">
        <w:rPr>
          <w:lang w:val="es-CR"/>
        </w:rPr>
        <w:t>de los</w:t>
      </w:r>
      <w:r w:rsidR="00566421" w:rsidRPr="001A44B7">
        <w:rPr>
          <w:lang w:val="es-CR"/>
        </w:rPr>
        <w:t xml:space="preserve"> derechos económicos, sociales y culturales (</w:t>
      </w:r>
      <w:r w:rsidRPr="001A44B7">
        <w:rPr>
          <w:lang w:val="es-CR"/>
        </w:rPr>
        <w:t>DESC</w:t>
      </w:r>
      <w:r w:rsidR="00566421" w:rsidRPr="001A44B7">
        <w:rPr>
          <w:lang w:val="es-CR"/>
        </w:rPr>
        <w:t>)</w:t>
      </w:r>
      <w:r w:rsidRPr="001A44B7">
        <w:rPr>
          <w:lang w:val="es-CR"/>
        </w:rPr>
        <w:t xml:space="preserve"> no es nuevo, y hace </w:t>
      </w:r>
      <w:r w:rsidR="00566421" w:rsidRPr="001A44B7">
        <w:rPr>
          <w:lang w:val="es-CR"/>
        </w:rPr>
        <w:t>muchos años</w:t>
      </w:r>
      <w:r w:rsidRPr="001A44B7">
        <w:rPr>
          <w:lang w:val="es-CR"/>
        </w:rPr>
        <w:t xml:space="preserve"> la Corte viene caminando hacia la justiciabilidad</w:t>
      </w:r>
      <w:r w:rsidR="00566421" w:rsidRPr="001A44B7">
        <w:rPr>
          <w:lang w:val="es-CR"/>
        </w:rPr>
        <w:t xml:space="preserve"> integral</w:t>
      </w:r>
      <w:r w:rsidRPr="001A44B7">
        <w:rPr>
          <w:lang w:val="es-CR"/>
        </w:rPr>
        <w:t xml:space="preserve">. Desde el final de los años noventa, con </w:t>
      </w:r>
      <w:r w:rsidRPr="001A44B7">
        <w:rPr>
          <w:lang w:val="es-CR"/>
        </w:rPr>
        <w:lastRenderedPageBreak/>
        <w:t>el emblemático Caso Baena Ricardo y Otros vs. Panamá</w:t>
      </w:r>
      <w:r w:rsidR="00566421" w:rsidRPr="001A44B7">
        <w:rPr>
          <w:lang w:val="es-CR"/>
        </w:rPr>
        <w:t>, venimos construyendo</w:t>
      </w:r>
      <w:r w:rsidR="003807D4" w:rsidRPr="001A44B7">
        <w:rPr>
          <w:lang w:val="es-CR"/>
        </w:rPr>
        <w:t xml:space="preserve"> formas de protección </w:t>
      </w:r>
      <w:r w:rsidRPr="001A44B7">
        <w:rPr>
          <w:lang w:val="es-CR"/>
        </w:rPr>
        <w:t xml:space="preserve">de </w:t>
      </w:r>
      <w:r w:rsidR="00566421" w:rsidRPr="001A44B7">
        <w:rPr>
          <w:lang w:val="es-CR"/>
        </w:rPr>
        <w:t>los DESC</w:t>
      </w:r>
      <w:r w:rsidRPr="001A44B7">
        <w:rPr>
          <w:lang w:val="es-CR"/>
        </w:rPr>
        <w:t xml:space="preserve">, </w:t>
      </w:r>
      <w:r w:rsidR="003807D4" w:rsidRPr="001A44B7">
        <w:rPr>
          <w:lang w:val="es-CR"/>
        </w:rPr>
        <w:t>aunque inicialmente por la vía indirecta</w:t>
      </w:r>
      <w:r w:rsidR="007B1FB1" w:rsidRPr="001A44B7">
        <w:rPr>
          <w:rStyle w:val="FootnoteReference"/>
          <w:lang w:val="es-CR"/>
        </w:rPr>
        <w:footnoteReference w:id="5"/>
      </w:r>
      <w:r w:rsidR="00566421" w:rsidRPr="001A44B7">
        <w:rPr>
          <w:lang w:val="es-CR"/>
        </w:rPr>
        <w:t xml:space="preserve">, </w:t>
      </w:r>
      <w:r w:rsidR="00353DD4">
        <w:rPr>
          <w:lang w:val="es-CR"/>
        </w:rPr>
        <w:t xml:space="preserve">gracias al </w:t>
      </w:r>
      <w:r w:rsidR="00566421" w:rsidRPr="001A44B7">
        <w:rPr>
          <w:lang w:val="es-CR"/>
        </w:rPr>
        <w:t xml:space="preserve">notable </w:t>
      </w:r>
      <w:r w:rsidR="0017289D" w:rsidRPr="001A44B7">
        <w:rPr>
          <w:lang w:val="es-CR"/>
        </w:rPr>
        <w:t>pa</w:t>
      </w:r>
      <w:r w:rsidR="0017289D">
        <w:rPr>
          <w:lang w:val="es-CR"/>
        </w:rPr>
        <w:t>s</w:t>
      </w:r>
      <w:r w:rsidR="0017289D" w:rsidRPr="001A44B7">
        <w:rPr>
          <w:lang w:val="es-CR"/>
        </w:rPr>
        <w:t>o</w:t>
      </w:r>
      <w:r w:rsidR="00566421" w:rsidRPr="001A44B7">
        <w:rPr>
          <w:lang w:val="es-CR"/>
        </w:rPr>
        <w:t xml:space="preserve"> de los jueces y juezas de entonces, al hacer </w:t>
      </w:r>
      <w:r w:rsidR="00353DD4">
        <w:rPr>
          <w:lang w:val="es-CR"/>
        </w:rPr>
        <w:t>lo</w:t>
      </w:r>
      <w:r w:rsidR="00353DD4" w:rsidRPr="001A44B7">
        <w:rPr>
          <w:lang w:val="es-CR"/>
        </w:rPr>
        <w:t xml:space="preserve"> </w:t>
      </w:r>
      <w:r w:rsidR="00566421" w:rsidRPr="001A44B7">
        <w:rPr>
          <w:lang w:val="es-CR"/>
        </w:rPr>
        <w:t>más difícil: explicar tales derechos dentro de otros más amplios y genéricos. Con la consagración de</w:t>
      </w:r>
      <w:r w:rsidR="00646EE4">
        <w:rPr>
          <w:lang w:val="es-CR"/>
        </w:rPr>
        <w:t xml:space="preserve"> e</w:t>
      </w:r>
      <w:r w:rsidR="00566421" w:rsidRPr="001A44B7">
        <w:rPr>
          <w:lang w:val="es-CR"/>
        </w:rPr>
        <w:t xml:space="preserve">sa línea jurisprudencial y </w:t>
      </w:r>
      <w:r w:rsidR="0003298E">
        <w:rPr>
          <w:lang w:val="es-CR"/>
        </w:rPr>
        <w:t xml:space="preserve">el </w:t>
      </w:r>
      <w:r w:rsidR="00566421" w:rsidRPr="001A44B7">
        <w:rPr>
          <w:lang w:val="es-CR"/>
        </w:rPr>
        <w:t xml:space="preserve">efectivo cumplimiento por los Estados, el desafío de los jueces actuales es mucho más sencillo y natural. </w:t>
      </w:r>
    </w:p>
    <w:p w14:paraId="5545A396" w14:textId="77777777" w:rsidR="00CF215B" w:rsidRPr="001A44B7" w:rsidRDefault="003807D4" w:rsidP="00CF215B">
      <w:pPr>
        <w:pStyle w:val="PrrafodeSentencia"/>
        <w:rPr>
          <w:lang w:val="es-CR"/>
        </w:rPr>
      </w:pPr>
      <w:r w:rsidRPr="001A44B7">
        <w:rPr>
          <w:lang w:val="es-CR"/>
        </w:rPr>
        <w:t xml:space="preserve">La presente Sentencia </w:t>
      </w:r>
      <w:r w:rsidR="00E36639" w:rsidRPr="001A44B7">
        <w:rPr>
          <w:lang w:val="es-CR"/>
        </w:rPr>
        <w:t xml:space="preserve">reproduce ese entendimiento, integrándose sin sobresalir </w:t>
      </w:r>
      <w:r w:rsidRPr="001A44B7">
        <w:rPr>
          <w:lang w:val="es-CR"/>
        </w:rPr>
        <w:t xml:space="preserve">a esa tradición. El </w:t>
      </w:r>
      <w:r w:rsidR="00CF215B" w:rsidRPr="001A44B7">
        <w:rPr>
          <w:lang w:val="es-CR"/>
        </w:rPr>
        <w:t>derecho a la salud es efectivamente tutelado, aunque como elemento integrante de los artíc</w:t>
      </w:r>
      <w:r w:rsidRPr="001A44B7">
        <w:rPr>
          <w:lang w:val="es-CR"/>
        </w:rPr>
        <w:t xml:space="preserve">ulos 4.1 y 5.1 de la Convención, </w:t>
      </w:r>
      <w:r w:rsidR="00E36639" w:rsidRPr="001A44B7">
        <w:rPr>
          <w:lang w:val="es-CR"/>
        </w:rPr>
        <w:t xml:space="preserve">pero la Sentencia deja de condenar al Estado por su quiebra, aunque esté previsto </w:t>
      </w:r>
      <w:r w:rsidRPr="001A44B7">
        <w:rPr>
          <w:lang w:val="es-CR"/>
        </w:rPr>
        <w:t>en el artículo 26 del mismo instrumento.</w:t>
      </w:r>
      <w:r w:rsidR="00E36639" w:rsidRPr="001A44B7">
        <w:rPr>
          <w:lang w:val="es-CR"/>
        </w:rPr>
        <w:t xml:space="preserve"> </w:t>
      </w:r>
    </w:p>
    <w:p w14:paraId="6BA18F4D" w14:textId="6961E447" w:rsidR="003807D4" w:rsidRPr="001A44B7" w:rsidRDefault="00CF215B" w:rsidP="00BD0F2E">
      <w:pPr>
        <w:pStyle w:val="PrrafodeSentencia"/>
        <w:rPr>
          <w:lang w:val="es-CR"/>
        </w:rPr>
      </w:pPr>
      <w:r w:rsidRPr="001A44B7">
        <w:rPr>
          <w:lang w:val="es-CR"/>
        </w:rPr>
        <w:t>Es importante hacer un rescate histórico, para situar los motivos que llevaron a la división de los derechos humanos e</w:t>
      </w:r>
      <w:r w:rsidR="003807D4" w:rsidRPr="001A44B7">
        <w:rPr>
          <w:lang w:val="es-CR"/>
        </w:rPr>
        <w:t>n</w:t>
      </w:r>
      <w:r w:rsidRPr="001A44B7">
        <w:rPr>
          <w:lang w:val="es-CR"/>
        </w:rPr>
        <w:t xml:space="preserve"> Derechos Civiles y Políticos y Derechos Económicos, Sociales y Culturales,</w:t>
      </w:r>
      <w:r w:rsidR="003807D4" w:rsidRPr="001A44B7">
        <w:rPr>
          <w:lang w:val="es-CR"/>
        </w:rPr>
        <w:t xml:space="preserve"> determinando que aquellos son directamente judicializables, en cuanto que </w:t>
      </w:r>
      <w:r w:rsidR="0003298E">
        <w:rPr>
          <w:lang w:val="es-CR"/>
        </w:rPr>
        <w:t>é</w:t>
      </w:r>
      <w:r w:rsidR="003807D4" w:rsidRPr="001A44B7">
        <w:rPr>
          <w:lang w:val="es-CR"/>
        </w:rPr>
        <w:t xml:space="preserve">stos no lo </w:t>
      </w:r>
      <w:r w:rsidR="00566421" w:rsidRPr="001A44B7">
        <w:rPr>
          <w:lang w:val="es-CR"/>
        </w:rPr>
        <w:t>serían</w:t>
      </w:r>
      <w:r w:rsidR="003807D4" w:rsidRPr="001A44B7">
        <w:rPr>
          <w:lang w:val="es-CR"/>
        </w:rPr>
        <w:t xml:space="preserve">. </w:t>
      </w:r>
      <w:r w:rsidRPr="001A44B7">
        <w:rPr>
          <w:lang w:val="es-CR"/>
        </w:rPr>
        <w:t xml:space="preserve"> </w:t>
      </w:r>
    </w:p>
    <w:p w14:paraId="300366B3" w14:textId="70A51D17" w:rsidR="00CF215B" w:rsidRPr="001A44B7" w:rsidRDefault="00CF215B" w:rsidP="00BD0F2E">
      <w:pPr>
        <w:pStyle w:val="PrrafodeSentencia"/>
        <w:rPr>
          <w:lang w:val="es-CR"/>
        </w:rPr>
      </w:pPr>
      <w:r w:rsidRPr="001A44B7">
        <w:rPr>
          <w:lang w:val="es-CR"/>
        </w:rPr>
        <w:t>En 1966</w:t>
      </w:r>
      <w:r w:rsidR="001F0CD3" w:rsidRPr="001A44B7">
        <w:rPr>
          <w:lang w:val="es-CR"/>
        </w:rPr>
        <w:t xml:space="preserve">, cuando fueron firmados </w:t>
      </w:r>
      <w:r w:rsidR="0003298E">
        <w:rPr>
          <w:lang w:val="es-CR"/>
        </w:rPr>
        <w:t>el</w:t>
      </w:r>
      <w:r w:rsidR="0003298E" w:rsidRPr="001A44B7">
        <w:rPr>
          <w:lang w:val="es-CR"/>
        </w:rPr>
        <w:t xml:space="preserve"> </w:t>
      </w:r>
      <w:r w:rsidR="00013C5B" w:rsidRPr="001A44B7">
        <w:rPr>
          <w:lang w:val="es-CR"/>
        </w:rPr>
        <w:t xml:space="preserve">Pacto de Derechos Civiles y Políticos y </w:t>
      </w:r>
      <w:r w:rsidR="0003298E">
        <w:rPr>
          <w:lang w:val="es-CR"/>
        </w:rPr>
        <w:t xml:space="preserve">el </w:t>
      </w:r>
      <w:r w:rsidR="00013C5B" w:rsidRPr="001A44B7">
        <w:rPr>
          <w:lang w:val="es-CR"/>
        </w:rPr>
        <w:t>Pacto de Derechos Económicos, Sociales y Culturales</w:t>
      </w:r>
      <w:r w:rsidR="001F0CD3" w:rsidRPr="001A44B7">
        <w:rPr>
          <w:lang w:val="es-CR"/>
        </w:rPr>
        <w:t>,</w:t>
      </w:r>
      <w:r w:rsidRPr="001A44B7">
        <w:rPr>
          <w:lang w:val="es-CR"/>
        </w:rPr>
        <w:t xml:space="preserve"> estábamos en plena Guerra Fría y era políticamente adecuado adoptar una visión más occidental e individualista de los derechos humanos. En ese clima de división ideológica fueron firmados los</w:t>
      </w:r>
      <w:r w:rsidR="00566421" w:rsidRPr="001A44B7">
        <w:rPr>
          <w:lang w:val="es-CR"/>
        </w:rPr>
        <w:t xml:space="preserve"> dos</w:t>
      </w:r>
      <w:r w:rsidRPr="001A44B7">
        <w:rPr>
          <w:lang w:val="es-CR"/>
        </w:rPr>
        <w:t xml:space="preserve"> Pactos</w:t>
      </w:r>
      <w:r w:rsidR="0003298E">
        <w:rPr>
          <w:lang w:val="es-CR"/>
        </w:rPr>
        <w:t>,</w:t>
      </w:r>
      <w:r w:rsidRPr="001A44B7">
        <w:rPr>
          <w:lang w:val="es-CR"/>
        </w:rPr>
        <w:t xml:space="preserve"> quebrando la lógica de la indivisibilidad de los derechos humanos para permitir que los Estados </w:t>
      </w:r>
      <w:r w:rsidR="003807D4" w:rsidRPr="001A44B7">
        <w:rPr>
          <w:lang w:val="es-CR"/>
        </w:rPr>
        <w:t>adhi</w:t>
      </w:r>
      <w:r w:rsidR="0003298E">
        <w:rPr>
          <w:lang w:val="es-CR"/>
        </w:rPr>
        <w:t>ri</w:t>
      </w:r>
      <w:r w:rsidR="003807D4" w:rsidRPr="001A44B7">
        <w:rPr>
          <w:lang w:val="es-CR"/>
        </w:rPr>
        <w:t>eran a uno o ambos.</w:t>
      </w:r>
      <w:r w:rsidRPr="001A44B7">
        <w:rPr>
          <w:lang w:val="es-CR"/>
        </w:rPr>
        <w:t xml:space="preserve"> </w:t>
      </w:r>
      <w:r w:rsidR="003807D4" w:rsidRPr="001A44B7">
        <w:rPr>
          <w:lang w:val="es-CR"/>
        </w:rPr>
        <w:t>L</w:t>
      </w:r>
      <w:r w:rsidRPr="001A44B7">
        <w:rPr>
          <w:lang w:val="es-CR"/>
        </w:rPr>
        <w:t xml:space="preserve">a prioridad de los Derechos Civiles y Políticos </w:t>
      </w:r>
      <w:r w:rsidR="003807D4" w:rsidRPr="001A44B7">
        <w:rPr>
          <w:lang w:val="es-CR"/>
        </w:rPr>
        <w:t>qued</w:t>
      </w:r>
      <w:r w:rsidR="00013C5B" w:rsidRPr="001A44B7">
        <w:rPr>
          <w:lang w:val="es-CR"/>
        </w:rPr>
        <w:t>ó</w:t>
      </w:r>
      <w:r w:rsidR="003807D4" w:rsidRPr="001A44B7">
        <w:rPr>
          <w:lang w:val="es-CR"/>
        </w:rPr>
        <w:t xml:space="preserve"> evidente por la opción que se hizo de manifestar su </w:t>
      </w:r>
      <w:r w:rsidRPr="001A44B7">
        <w:rPr>
          <w:lang w:val="es-CR"/>
        </w:rPr>
        <w:t xml:space="preserve">justiciabilidad </w:t>
      </w:r>
      <w:r w:rsidR="00013C5B" w:rsidRPr="001A44B7">
        <w:rPr>
          <w:lang w:val="es-CR"/>
        </w:rPr>
        <w:t>directa</w:t>
      </w:r>
      <w:r w:rsidRPr="001A44B7">
        <w:rPr>
          <w:lang w:val="es-CR"/>
        </w:rPr>
        <w:t>. E</w:t>
      </w:r>
      <w:r w:rsidR="003807D4" w:rsidRPr="001A44B7">
        <w:rPr>
          <w:lang w:val="es-CR"/>
        </w:rPr>
        <w:t>n aquel momento histórico, e</w:t>
      </w:r>
      <w:r w:rsidRPr="001A44B7">
        <w:rPr>
          <w:lang w:val="es-CR"/>
        </w:rPr>
        <w:t xml:space="preserve">l foco estaba en el individuo y no en la estructura socioeconómica en que está </w:t>
      </w:r>
      <w:r w:rsidR="00353DD4" w:rsidRPr="001A44B7">
        <w:rPr>
          <w:lang w:val="es-CR"/>
        </w:rPr>
        <w:t>inser</w:t>
      </w:r>
      <w:r w:rsidR="00353DD4">
        <w:rPr>
          <w:lang w:val="es-CR"/>
        </w:rPr>
        <w:t>t</w:t>
      </w:r>
      <w:r w:rsidR="00353DD4" w:rsidRPr="001A44B7">
        <w:rPr>
          <w:lang w:val="es-CR"/>
        </w:rPr>
        <w:t>o</w:t>
      </w:r>
      <w:r w:rsidRPr="001A44B7">
        <w:rPr>
          <w:lang w:val="es-CR"/>
        </w:rPr>
        <w:t>.</w:t>
      </w:r>
    </w:p>
    <w:p w14:paraId="0D879FE5" w14:textId="37095B8B" w:rsidR="007419D0" w:rsidRPr="001A44B7" w:rsidRDefault="00447B0A" w:rsidP="007419D0">
      <w:pPr>
        <w:pStyle w:val="PrrafodeSentencia"/>
        <w:rPr>
          <w:lang w:val="es-CR"/>
        </w:rPr>
      </w:pPr>
      <w:r w:rsidRPr="001A44B7">
        <w:rPr>
          <w:lang w:val="es-CR"/>
        </w:rPr>
        <w:t xml:space="preserve">Debemos tener presente que esa división no encuentra eco en todos los instrumentos que </w:t>
      </w:r>
      <w:r w:rsidR="0003298E">
        <w:rPr>
          <w:lang w:val="es-CR"/>
        </w:rPr>
        <w:t>les</w:t>
      </w:r>
      <w:r w:rsidR="0003298E" w:rsidRPr="001A44B7">
        <w:rPr>
          <w:lang w:val="es-CR"/>
        </w:rPr>
        <w:t xml:space="preserve"> </w:t>
      </w:r>
      <w:r w:rsidRPr="001A44B7">
        <w:rPr>
          <w:lang w:val="es-CR"/>
        </w:rPr>
        <w:t>siguieron.</w:t>
      </w:r>
      <w:r w:rsidR="00CF215B" w:rsidRPr="001A44B7">
        <w:rPr>
          <w:lang w:val="es-CR"/>
        </w:rPr>
        <w:t xml:space="preserve"> </w:t>
      </w:r>
      <w:r w:rsidRPr="001A44B7">
        <w:rPr>
          <w:lang w:val="es-CR"/>
        </w:rPr>
        <w:t>E</w:t>
      </w:r>
      <w:r w:rsidR="00CF215B" w:rsidRPr="001A44B7">
        <w:rPr>
          <w:lang w:val="es-CR"/>
        </w:rPr>
        <w:t>l Protocolo Adicional sobre Derechos Humanos en Materia de DESC, adoptado en San Salvador el 17 de noviembre de 1988, en su preámbulo, reafirma que los derechos humanos forman un todo indisoluble</w:t>
      </w:r>
      <w:r w:rsidR="00CF215B" w:rsidRPr="001A44B7">
        <w:rPr>
          <w:rStyle w:val="FootnoteReference"/>
          <w:lang w:val="es-CR"/>
        </w:rPr>
        <w:footnoteReference w:id="6"/>
      </w:r>
      <w:r w:rsidR="00CF215B" w:rsidRPr="001A44B7">
        <w:rPr>
          <w:lang w:val="es-CR"/>
        </w:rPr>
        <w:t>, empezando así el proceso de lenta desconstrucción de la base doctrinaria que autorizaba el tratamiento radicalmente diferente a las dos categorías de derechos humanos.</w:t>
      </w:r>
      <w:r w:rsidR="007419D0" w:rsidRPr="001A44B7">
        <w:rPr>
          <w:lang w:val="es-CR"/>
        </w:rPr>
        <w:t xml:space="preserve"> Desde entonces, la Corte viene, progresivamente, garantizando con más firmeza y frecuencia</w:t>
      </w:r>
      <w:r w:rsidR="00605141" w:rsidRPr="001A44B7">
        <w:rPr>
          <w:lang w:val="es-CR"/>
        </w:rPr>
        <w:t>,</w:t>
      </w:r>
      <w:r w:rsidR="007419D0" w:rsidRPr="001A44B7">
        <w:rPr>
          <w:lang w:val="es-CR"/>
        </w:rPr>
        <w:t xml:space="preserve"> los </w:t>
      </w:r>
      <w:r w:rsidR="00566421" w:rsidRPr="001A44B7">
        <w:rPr>
          <w:lang w:val="es-CR"/>
        </w:rPr>
        <w:t>DESC</w:t>
      </w:r>
      <w:r w:rsidR="007419D0" w:rsidRPr="001A44B7">
        <w:rPr>
          <w:lang w:val="es-CR"/>
        </w:rPr>
        <w:t xml:space="preserve">, </w:t>
      </w:r>
      <w:r w:rsidR="00E36639" w:rsidRPr="001A44B7">
        <w:rPr>
          <w:lang w:val="es-CR"/>
        </w:rPr>
        <w:t>aunque siempre en el punto en que se comunican con derechos tradicionalmente justiciables</w:t>
      </w:r>
      <w:r w:rsidR="00E36639" w:rsidRPr="001A44B7">
        <w:rPr>
          <w:vertAlign w:val="superscript"/>
          <w:lang w:val="es-CR"/>
        </w:rPr>
        <w:footnoteReference w:id="7"/>
      </w:r>
      <w:r w:rsidR="00E36639" w:rsidRPr="001A44B7">
        <w:rPr>
          <w:lang w:val="es-CR"/>
        </w:rPr>
        <w:t>.</w:t>
      </w:r>
    </w:p>
    <w:p w14:paraId="270DD6E1" w14:textId="77777777" w:rsidR="00CF215B" w:rsidRPr="001A44B7" w:rsidRDefault="00CF215B" w:rsidP="00CF215B">
      <w:pPr>
        <w:pStyle w:val="PrrafodeSentencia"/>
        <w:rPr>
          <w:lang w:val="es-CR"/>
        </w:rPr>
      </w:pPr>
      <w:r w:rsidRPr="001A44B7">
        <w:rPr>
          <w:lang w:val="es-CR"/>
        </w:rPr>
        <w:lastRenderedPageBreak/>
        <w:t>La posibilidad jurídica y doctrinal de proteger la salud, aunque vinculada a los artículos 4.1 y 5.1 de la Convención habla muy elocuentemente de la real interdependencia e indivisibilidad de los derechos humanos</w:t>
      </w:r>
      <w:r w:rsidR="00E36639" w:rsidRPr="001A44B7">
        <w:rPr>
          <w:lang w:val="es-CR"/>
        </w:rPr>
        <w:t>.</w:t>
      </w:r>
      <w:r w:rsidRPr="001A44B7">
        <w:rPr>
          <w:lang w:val="es-CR"/>
        </w:rPr>
        <w:t xml:space="preserve"> </w:t>
      </w:r>
      <w:r w:rsidR="00E36639" w:rsidRPr="001A44B7">
        <w:rPr>
          <w:lang w:val="es-CR"/>
        </w:rPr>
        <w:t>L</w:t>
      </w:r>
      <w:r w:rsidRPr="001A44B7">
        <w:rPr>
          <w:lang w:val="es-CR"/>
        </w:rPr>
        <w:t xml:space="preserve">a demora en dar más este paso, el de reconocer el derecho a la salud directamente violado, fragiliza hasta el propio discurso de que este es un sistema de integral protección a los derechos humanos, </w:t>
      </w:r>
      <w:r w:rsidR="00E36639" w:rsidRPr="001A44B7">
        <w:rPr>
          <w:lang w:val="es-CR"/>
        </w:rPr>
        <w:t xml:space="preserve">una vez que la </w:t>
      </w:r>
      <w:r w:rsidRPr="001A44B7">
        <w:rPr>
          <w:lang w:val="es-CR"/>
        </w:rPr>
        <w:t xml:space="preserve">protección </w:t>
      </w:r>
      <w:r w:rsidR="00E36639" w:rsidRPr="001A44B7">
        <w:rPr>
          <w:lang w:val="es-CR"/>
        </w:rPr>
        <w:t xml:space="preserve">jurisdiccional interamericana </w:t>
      </w:r>
      <w:r w:rsidRPr="001A44B7">
        <w:rPr>
          <w:lang w:val="es-CR"/>
        </w:rPr>
        <w:t xml:space="preserve">solamente es brindada a determinados derechos humanos y negada a otros </w:t>
      </w:r>
      <w:r w:rsidR="00566421" w:rsidRPr="001A44B7">
        <w:rPr>
          <w:lang w:val="es-CR"/>
        </w:rPr>
        <w:t>tantos</w:t>
      </w:r>
      <w:r w:rsidRPr="001A44B7">
        <w:rPr>
          <w:lang w:val="es-CR"/>
        </w:rPr>
        <w:t>, igualmente reconocidos en instrumentos internacionales ratificados por Guatemala.</w:t>
      </w:r>
    </w:p>
    <w:p w14:paraId="58F9428A" w14:textId="77777777" w:rsidR="001677D4" w:rsidRPr="001A44B7" w:rsidRDefault="001677D4" w:rsidP="00B14EA9">
      <w:pPr>
        <w:pStyle w:val="PrrafodeSentencia"/>
        <w:rPr>
          <w:lang w:val="es-CR"/>
        </w:rPr>
      </w:pPr>
      <w:r w:rsidRPr="001A44B7">
        <w:rPr>
          <w:lang w:val="es-CR"/>
        </w:rPr>
        <w:t>Añado, por todo lo que hasta aquí expuse, que el Estado, además de ser responsable por el incumplimiento de la obligación de garantizar los derechos a la integridad personal y a la vida (artículos 5.1 y 4.1 de la Convención Americana sobre Derechos Humanos), en relación con el artículo 1.1 de la misma, en perjuicio de</w:t>
      </w:r>
      <w:r w:rsidR="00C17438" w:rsidRPr="001A44B7">
        <w:rPr>
          <w:lang w:val="es-CR"/>
        </w:rPr>
        <w:t xml:space="preserve"> la víctima</w:t>
      </w:r>
      <w:r w:rsidRPr="001A44B7">
        <w:rPr>
          <w:lang w:val="es-CR"/>
        </w:rPr>
        <w:t xml:space="preserve">, dejó de cumplir con el artículo 26 del mismo instrumento, una vez que la conducta estatal menoscabó el derecho a la salud titularizado por </w:t>
      </w:r>
      <w:r w:rsidR="00C17438" w:rsidRPr="001A44B7">
        <w:rPr>
          <w:lang w:val="es-CR"/>
        </w:rPr>
        <w:t>María Inés Chinchilla Sandoval</w:t>
      </w:r>
      <w:r w:rsidRPr="001A44B7">
        <w:rPr>
          <w:lang w:val="es-CR"/>
        </w:rPr>
        <w:t>.</w:t>
      </w:r>
    </w:p>
    <w:p w14:paraId="6D7A88F0" w14:textId="77777777" w:rsidR="00144180" w:rsidRPr="001A44B7" w:rsidRDefault="00144180" w:rsidP="005D2870">
      <w:pPr>
        <w:rPr>
          <w:lang w:val="es-CR"/>
        </w:rPr>
      </w:pPr>
    </w:p>
    <w:p w14:paraId="10E4531B" w14:textId="77777777" w:rsidR="00144180" w:rsidRPr="001A44B7" w:rsidRDefault="00144180" w:rsidP="00144180">
      <w:pPr>
        <w:pStyle w:val="ListParagraph"/>
        <w:numPr>
          <w:ilvl w:val="0"/>
          <w:numId w:val="13"/>
        </w:numPr>
        <w:spacing w:after="160" w:line="259" w:lineRule="auto"/>
        <w:jc w:val="both"/>
        <w:rPr>
          <w:rFonts w:ascii="Verdana" w:hAnsi="Verdana"/>
          <w:b/>
          <w:sz w:val="20"/>
          <w:szCs w:val="20"/>
          <w:lang w:val="es-CR"/>
        </w:rPr>
      </w:pPr>
      <w:r w:rsidRPr="001A44B7">
        <w:rPr>
          <w:rFonts w:ascii="Verdana" w:hAnsi="Verdana"/>
          <w:b/>
          <w:sz w:val="20"/>
          <w:szCs w:val="20"/>
          <w:lang w:val="es-CR"/>
        </w:rPr>
        <w:t xml:space="preserve">Consideraciones Finales </w:t>
      </w:r>
    </w:p>
    <w:p w14:paraId="2254E649" w14:textId="77777777" w:rsidR="00144180" w:rsidRPr="001A44B7" w:rsidRDefault="00144180" w:rsidP="000D6AB5">
      <w:pPr>
        <w:pStyle w:val="PrrafodeSentencia"/>
        <w:numPr>
          <w:ilvl w:val="0"/>
          <w:numId w:val="0"/>
        </w:numPr>
        <w:rPr>
          <w:lang w:val="es-CR"/>
        </w:rPr>
      </w:pPr>
    </w:p>
    <w:p w14:paraId="2E135031" w14:textId="2AF058B8" w:rsidR="00144180" w:rsidRDefault="00144180" w:rsidP="00C17438">
      <w:pPr>
        <w:pStyle w:val="PrrafodeSentencia"/>
        <w:rPr>
          <w:lang w:val="es-CR"/>
        </w:rPr>
      </w:pPr>
      <w:r w:rsidRPr="001A44B7">
        <w:rPr>
          <w:lang w:val="es-CR"/>
        </w:rPr>
        <w:t xml:space="preserve">A pesar de mi posición concordante con todo lo dispuesto en la Sentencia </w:t>
      </w:r>
      <w:r w:rsidR="00C17438" w:rsidRPr="001A44B7">
        <w:rPr>
          <w:lang w:val="es-CR"/>
        </w:rPr>
        <w:t xml:space="preserve"> </w:t>
      </w:r>
      <w:r w:rsidRPr="001A44B7">
        <w:rPr>
          <w:lang w:val="es-CR"/>
        </w:rPr>
        <w:t xml:space="preserve">y mi convicción personal de que cuando sea posible se debe evitar divergencias meramente conceptuales, lo </w:t>
      </w:r>
      <w:r w:rsidR="00566421" w:rsidRPr="001A44B7">
        <w:rPr>
          <w:lang w:val="es-CR"/>
        </w:rPr>
        <w:t>cual no sucede en este caso,</w:t>
      </w:r>
      <w:r w:rsidRPr="001A44B7">
        <w:rPr>
          <w:lang w:val="es-CR"/>
        </w:rPr>
        <w:t xml:space="preserve"> </w:t>
      </w:r>
      <w:r w:rsidR="00C17438" w:rsidRPr="001A44B7">
        <w:rPr>
          <w:lang w:val="es-CR"/>
        </w:rPr>
        <w:t xml:space="preserve">emito este </w:t>
      </w:r>
      <w:r w:rsidR="00566421" w:rsidRPr="001A44B7">
        <w:rPr>
          <w:lang w:val="es-CR"/>
        </w:rPr>
        <w:t>voto en la esperanza de que el Sistema de Protección</w:t>
      </w:r>
      <w:r w:rsidR="00C17438" w:rsidRPr="001A44B7">
        <w:rPr>
          <w:lang w:val="es-CR"/>
        </w:rPr>
        <w:t xml:space="preserve"> a los </w:t>
      </w:r>
      <w:r w:rsidR="00566421" w:rsidRPr="001A44B7">
        <w:rPr>
          <w:lang w:val="es-CR"/>
        </w:rPr>
        <w:t>Derechos Humanos en América pueda</w:t>
      </w:r>
      <w:r w:rsidR="00C17438" w:rsidRPr="001A44B7">
        <w:rPr>
          <w:lang w:val="es-CR"/>
        </w:rPr>
        <w:t xml:space="preserve"> </w:t>
      </w:r>
      <w:r w:rsidR="00566421" w:rsidRPr="001A44B7">
        <w:rPr>
          <w:lang w:val="es-CR"/>
        </w:rPr>
        <w:t>avanzar</w:t>
      </w:r>
      <w:r w:rsidR="00C17438" w:rsidRPr="001A44B7">
        <w:rPr>
          <w:lang w:val="es-CR"/>
        </w:rPr>
        <w:t xml:space="preserve">, </w:t>
      </w:r>
      <w:r w:rsidR="00566421" w:rsidRPr="001A44B7">
        <w:rPr>
          <w:lang w:val="es-CR"/>
        </w:rPr>
        <w:t xml:space="preserve">aún </w:t>
      </w:r>
      <w:r w:rsidR="00C17438" w:rsidRPr="001A44B7">
        <w:rPr>
          <w:lang w:val="es-CR"/>
        </w:rPr>
        <w:t>más, en dirección a la protección plena de todos los derechos</w:t>
      </w:r>
      <w:r w:rsidR="00E36639" w:rsidRPr="001A44B7">
        <w:rPr>
          <w:lang w:val="es-CR"/>
        </w:rPr>
        <w:t xml:space="preserve"> humanos, </w:t>
      </w:r>
      <w:r w:rsidR="00566421" w:rsidRPr="001A44B7">
        <w:rPr>
          <w:lang w:val="es-CR"/>
        </w:rPr>
        <w:t>interdependientes</w:t>
      </w:r>
      <w:r w:rsidR="00E36639" w:rsidRPr="001A44B7">
        <w:rPr>
          <w:lang w:val="es-CR"/>
        </w:rPr>
        <w:t xml:space="preserve"> e indivisibles,</w:t>
      </w:r>
      <w:r w:rsidR="00C17438" w:rsidRPr="001A44B7">
        <w:rPr>
          <w:lang w:val="es-CR"/>
        </w:rPr>
        <w:t xml:space="preserve"> que vengan a ser reconocidos en los instrumentos internacionales existentes y futuros, independientemente de la separación artificialmente impuesta.</w:t>
      </w:r>
    </w:p>
    <w:p w14:paraId="3C0D5424" w14:textId="3D581210" w:rsidR="00D33E03" w:rsidRDefault="00D33E03" w:rsidP="00D33E03">
      <w:pPr>
        <w:pStyle w:val="PrrafodeSentencia"/>
        <w:numPr>
          <w:ilvl w:val="0"/>
          <w:numId w:val="0"/>
        </w:numPr>
        <w:rPr>
          <w:lang w:val="es-CR"/>
        </w:rPr>
      </w:pPr>
    </w:p>
    <w:p w14:paraId="6661CD2E" w14:textId="77777777" w:rsidR="00D33E03" w:rsidRDefault="00D33E03" w:rsidP="00D33E03">
      <w:pPr>
        <w:pStyle w:val="PrrafodeSentencia"/>
        <w:numPr>
          <w:ilvl w:val="0"/>
          <w:numId w:val="0"/>
        </w:numPr>
        <w:rPr>
          <w:lang w:val="es-CR"/>
        </w:rPr>
      </w:pPr>
    </w:p>
    <w:p w14:paraId="0A749B0D" w14:textId="77777777" w:rsidR="00D33E03" w:rsidRDefault="00D33E03" w:rsidP="00D33E03">
      <w:pPr>
        <w:pStyle w:val="NormalWeb"/>
        <w:rPr>
          <w:rFonts w:ascii="Verdana" w:hAnsi="Verdana"/>
          <w:lang w:val="es-ES_tradnl"/>
        </w:rPr>
      </w:pPr>
    </w:p>
    <w:p w14:paraId="366CE9A9" w14:textId="48DD97BF" w:rsidR="00D33E03" w:rsidRDefault="00D33E03" w:rsidP="00D33E03">
      <w:pPr>
        <w:tabs>
          <w:tab w:val="left" w:pos="709"/>
          <w:tab w:val="left" w:pos="9356"/>
        </w:tabs>
        <w:ind w:left="5041" w:right="6"/>
        <w:jc w:val="center"/>
        <w:rPr>
          <w:szCs w:val="20"/>
          <w:lang w:val="es-ES"/>
        </w:rPr>
      </w:pPr>
      <w:bookmarkStart w:id="0" w:name="_GoBack"/>
      <w:bookmarkEnd w:id="0"/>
    </w:p>
    <w:p w14:paraId="0B4CD97F" w14:textId="62974786" w:rsidR="00D33E03" w:rsidRDefault="00D33E03" w:rsidP="00D33E03">
      <w:pPr>
        <w:tabs>
          <w:tab w:val="left" w:pos="709"/>
          <w:tab w:val="left" w:pos="9356"/>
        </w:tabs>
        <w:ind w:left="5041" w:right="6"/>
        <w:jc w:val="center"/>
        <w:rPr>
          <w:szCs w:val="20"/>
          <w:lang w:val="pt-BR"/>
        </w:rPr>
      </w:pPr>
      <w:r>
        <w:rPr>
          <w:szCs w:val="20"/>
          <w:lang w:val="pt-BR"/>
        </w:rPr>
        <w:t>Roberto F. Caldas</w:t>
      </w:r>
    </w:p>
    <w:p w14:paraId="1E4090EA" w14:textId="77777777" w:rsidR="00D33E03" w:rsidRDefault="00D33E03" w:rsidP="00D33E03">
      <w:pPr>
        <w:tabs>
          <w:tab w:val="left" w:pos="709"/>
          <w:tab w:val="left" w:pos="9356"/>
        </w:tabs>
        <w:ind w:left="5041" w:right="6"/>
        <w:jc w:val="center"/>
        <w:rPr>
          <w:i/>
          <w:szCs w:val="20"/>
          <w:lang w:val="pt-BR"/>
        </w:rPr>
      </w:pPr>
      <w:r>
        <w:rPr>
          <w:szCs w:val="20"/>
          <w:lang w:val="pt-BR"/>
        </w:rPr>
        <w:t>Juez</w:t>
      </w:r>
    </w:p>
    <w:p w14:paraId="2E042831" w14:textId="77777777" w:rsidR="00D33E03" w:rsidRDefault="00D33E03" w:rsidP="00D33E03">
      <w:pPr>
        <w:tabs>
          <w:tab w:val="left" w:pos="709"/>
          <w:tab w:val="left" w:pos="9356"/>
        </w:tabs>
        <w:ind w:right="6"/>
        <w:rPr>
          <w:rFonts w:cs="Verdana"/>
          <w:szCs w:val="20"/>
          <w:lang w:val="pt-BR"/>
        </w:rPr>
      </w:pPr>
    </w:p>
    <w:p w14:paraId="7086A8B4" w14:textId="4AD8B7A9" w:rsidR="00D33E03" w:rsidRDefault="00D33E03" w:rsidP="00D33E03">
      <w:pPr>
        <w:tabs>
          <w:tab w:val="left" w:pos="709"/>
          <w:tab w:val="left" w:pos="9356"/>
        </w:tabs>
        <w:ind w:right="6"/>
        <w:rPr>
          <w:rFonts w:cs="Verdana"/>
          <w:szCs w:val="20"/>
          <w:lang w:val="pt-BR"/>
        </w:rPr>
      </w:pPr>
    </w:p>
    <w:p w14:paraId="7902F779" w14:textId="77777777" w:rsidR="00D33E03" w:rsidRDefault="00D33E03" w:rsidP="00D33E03">
      <w:pPr>
        <w:tabs>
          <w:tab w:val="left" w:pos="709"/>
          <w:tab w:val="left" w:pos="9356"/>
        </w:tabs>
        <w:ind w:right="6"/>
        <w:rPr>
          <w:rFonts w:cs="Verdana"/>
          <w:szCs w:val="20"/>
          <w:lang w:val="pt-BR"/>
        </w:rPr>
      </w:pPr>
    </w:p>
    <w:p w14:paraId="01DCE75B" w14:textId="77777777" w:rsidR="00D33E03" w:rsidRDefault="00D33E03" w:rsidP="00D33E03">
      <w:pPr>
        <w:tabs>
          <w:tab w:val="left" w:pos="709"/>
          <w:tab w:val="left" w:pos="9356"/>
        </w:tabs>
        <w:ind w:right="6"/>
        <w:rPr>
          <w:rFonts w:cs="Verdana"/>
          <w:szCs w:val="20"/>
          <w:lang w:val="pt-BR"/>
        </w:rPr>
      </w:pPr>
    </w:p>
    <w:p w14:paraId="12A42E0E" w14:textId="77777777" w:rsidR="00D33E03" w:rsidRDefault="00D33E03" w:rsidP="00D33E03">
      <w:pPr>
        <w:tabs>
          <w:tab w:val="left" w:pos="709"/>
          <w:tab w:val="left" w:pos="9356"/>
        </w:tabs>
        <w:ind w:right="6"/>
        <w:rPr>
          <w:rFonts w:cs="Verdana"/>
          <w:szCs w:val="20"/>
          <w:lang w:val="es-ES_tradnl"/>
        </w:rPr>
      </w:pPr>
      <w:r w:rsidRPr="00D33E03">
        <w:rPr>
          <w:rFonts w:cs="Verdana"/>
          <w:szCs w:val="20"/>
          <w:lang w:val="es-CR"/>
        </w:rPr>
        <w:t>Pablo Saavedra Alessandri</w:t>
      </w:r>
    </w:p>
    <w:p w14:paraId="3F879812" w14:textId="77777777" w:rsidR="00D33E03" w:rsidRDefault="00D33E03" w:rsidP="00D33E03">
      <w:pPr>
        <w:tabs>
          <w:tab w:val="left" w:pos="709"/>
          <w:tab w:val="left" w:pos="9356"/>
        </w:tabs>
        <w:ind w:right="6"/>
        <w:rPr>
          <w:rFonts w:cstheme="minorBidi"/>
          <w:b/>
          <w:szCs w:val="20"/>
        </w:rPr>
      </w:pPr>
      <w:r w:rsidRPr="00D33E03">
        <w:rPr>
          <w:rFonts w:cs="Verdana"/>
          <w:szCs w:val="20"/>
          <w:lang w:val="es-CR"/>
        </w:rPr>
        <w:tab/>
      </w:r>
      <w:r>
        <w:rPr>
          <w:rFonts w:cs="Verdana"/>
          <w:szCs w:val="20"/>
        </w:rPr>
        <w:t>Secretario</w:t>
      </w:r>
    </w:p>
    <w:p w14:paraId="51095153" w14:textId="77777777" w:rsidR="00D33E03" w:rsidRPr="001A44B7" w:rsidRDefault="00D33E03" w:rsidP="00D33E03">
      <w:pPr>
        <w:pStyle w:val="PrrafodeSentencia"/>
        <w:numPr>
          <w:ilvl w:val="0"/>
          <w:numId w:val="0"/>
        </w:numPr>
        <w:rPr>
          <w:lang w:val="es-CR"/>
        </w:rPr>
      </w:pPr>
    </w:p>
    <w:p w14:paraId="35F84131" w14:textId="77777777" w:rsidR="00144180" w:rsidRPr="001A44B7" w:rsidRDefault="00144180" w:rsidP="000D6AB5">
      <w:pPr>
        <w:pStyle w:val="PrrafodeSentencia"/>
        <w:numPr>
          <w:ilvl w:val="0"/>
          <w:numId w:val="0"/>
        </w:numPr>
        <w:ind w:left="360"/>
        <w:rPr>
          <w:lang w:val="es-CR"/>
        </w:rPr>
      </w:pPr>
    </w:p>
    <w:p w14:paraId="0FE9C307" w14:textId="77777777" w:rsidR="00144180" w:rsidRPr="001A44B7" w:rsidRDefault="00144180" w:rsidP="005D2870">
      <w:pPr>
        <w:rPr>
          <w:lang w:val="es-CR"/>
        </w:rPr>
      </w:pPr>
    </w:p>
    <w:sectPr w:rsidR="00144180" w:rsidRPr="001A44B7" w:rsidSect="009A3827">
      <w:headerReference w:type="default" r:id="rId9"/>
      <w:pgSz w:w="11906" w:h="16838"/>
      <w:pgMar w:top="1417" w:right="1701" w:bottom="1417"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B0C297" w15:done="0"/>
  <w15:commentEx w15:paraId="5125D560" w15:done="0"/>
  <w15:commentEx w15:paraId="33779865" w15:done="0"/>
  <w15:commentEx w15:paraId="0E1E3056" w15:done="0"/>
  <w15:commentEx w15:paraId="37311E52" w15:done="0"/>
  <w15:commentEx w15:paraId="726509C6" w15:done="0"/>
  <w15:commentEx w15:paraId="2934F6E7" w15:done="0"/>
  <w15:commentEx w15:paraId="6FF0CD10" w15:done="0"/>
  <w15:commentEx w15:paraId="03F7D427" w15:done="0"/>
  <w15:commentEx w15:paraId="5592A107" w15:done="0"/>
  <w15:commentEx w15:paraId="7538609B" w15:done="0"/>
  <w15:commentEx w15:paraId="0EDF1D10" w15:done="0"/>
  <w15:commentEx w15:paraId="206AA0F1" w15:done="0"/>
  <w15:commentEx w15:paraId="35AD04E2" w15:done="0"/>
  <w15:commentEx w15:paraId="49A128F1" w15:done="0"/>
  <w15:commentEx w15:paraId="46AC9365" w15:done="0"/>
  <w15:commentEx w15:paraId="659F6E78" w15:done="0"/>
  <w15:commentEx w15:paraId="305DD733" w15:done="0"/>
  <w15:commentEx w15:paraId="1B157EB2" w15:done="0"/>
  <w15:commentEx w15:paraId="22AA2ADD" w15:done="0"/>
  <w15:commentEx w15:paraId="753B1C99" w15:done="0"/>
  <w15:commentEx w15:paraId="77C522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56D08" w14:textId="77777777" w:rsidR="00471EA3" w:rsidRDefault="00471EA3" w:rsidP="005D2870">
      <w:r>
        <w:separator/>
      </w:r>
    </w:p>
  </w:endnote>
  <w:endnote w:type="continuationSeparator" w:id="0">
    <w:p w14:paraId="0BA53AA2" w14:textId="77777777" w:rsidR="00471EA3" w:rsidRDefault="00471EA3" w:rsidP="005D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e Sans UI">
    <w:altName w:val="Arial Unicode MS"/>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C2AFA" w14:textId="77777777" w:rsidR="00471EA3" w:rsidRDefault="00471EA3" w:rsidP="005D2870">
      <w:r>
        <w:separator/>
      </w:r>
    </w:p>
  </w:footnote>
  <w:footnote w:type="continuationSeparator" w:id="0">
    <w:p w14:paraId="36327BBE" w14:textId="77777777" w:rsidR="00471EA3" w:rsidRDefault="00471EA3" w:rsidP="005D2870">
      <w:r>
        <w:continuationSeparator/>
      </w:r>
    </w:p>
  </w:footnote>
  <w:footnote w:id="1">
    <w:p w14:paraId="592105E2" w14:textId="55B4B957" w:rsidR="00071595" w:rsidRPr="00071595" w:rsidRDefault="00071595">
      <w:pPr>
        <w:pStyle w:val="FootnoteText"/>
        <w:rPr>
          <w:lang w:val="es-CR"/>
        </w:rPr>
      </w:pPr>
      <w:r>
        <w:rPr>
          <w:rStyle w:val="FootnoteReference"/>
        </w:rPr>
        <w:footnoteRef/>
      </w:r>
      <w:r w:rsidRPr="00071595">
        <w:rPr>
          <w:lang w:val="es-CR"/>
        </w:rPr>
        <w:t xml:space="preserve"> </w:t>
      </w:r>
      <w:r>
        <w:rPr>
          <w:lang w:val="es-CR"/>
        </w:rPr>
        <w:tab/>
      </w:r>
      <w:hyperlink r:id="rId1" w:history="1">
        <w:r w:rsidRPr="0069066C">
          <w:rPr>
            <w:rStyle w:val="Hyperlink"/>
            <w:lang w:val="es-CR"/>
          </w:rPr>
          <w:t>https://treaties.un.org/Pages/ViewDetails.aspx?src=TREATY&amp;mtdsg_no=IV-3&amp;chapter=4&amp;clang=_en</w:t>
        </w:r>
      </w:hyperlink>
      <w:r>
        <w:rPr>
          <w:lang w:val="es-CR"/>
        </w:rPr>
        <w:t xml:space="preserve"> </w:t>
      </w:r>
    </w:p>
  </w:footnote>
  <w:footnote w:id="2">
    <w:p w14:paraId="5CCEB463" w14:textId="785767F8" w:rsidR="00CF215B" w:rsidRPr="001A44B7" w:rsidRDefault="00CF215B" w:rsidP="00CF215B">
      <w:pPr>
        <w:pStyle w:val="FootnoteText"/>
        <w:rPr>
          <w:lang w:val="es-CR"/>
        </w:rPr>
      </w:pPr>
      <w:r w:rsidRPr="00071595">
        <w:rPr>
          <w:rStyle w:val="FootnoteReference"/>
        </w:rPr>
        <w:footnoteRef/>
      </w:r>
      <w:r w:rsidR="009942AF">
        <w:rPr>
          <w:i/>
          <w:szCs w:val="16"/>
          <w:lang w:val="es-MX"/>
        </w:rPr>
        <w:t xml:space="preserve"> </w:t>
      </w:r>
      <w:r w:rsidR="009942AF">
        <w:rPr>
          <w:i/>
          <w:szCs w:val="16"/>
          <w:lang w:val="es-MX"/>
        </w:rPr>
        <w:tab/>
      </w:r>
      <w:r>
        <w:rPr>
          <w:i/>
          <w:szCs w:val="16"/>
          <w:lang w:val="es-MX"/>
        </w:rPr>
        <w:t xml:space="preserve">Cfr. Caso Albán Cornejo y otros Vs. Ecuador. Fondo, Reparaciones y Costas. </w:t>
      </w:r>
      <w:r>
        <w:rPr>
          <w:szCs w:val="16"/>
          <w:lang w:val="es-MX"/>
        </w:rPr>
        <w:t xml:space="preserve">Sentencia de 22 de noviembre de 2007. Serie C No. 171, párr. 117. </w:t>
      </w:r>
      <w:r w:rsidRPr="001A44B7">
        <w:rPr>
          <w:rFonts w:cs="Arial"/>
          <w:szCs w:val="16"/>
          <w:lang w:val="es-CR"/>
        </w:rPr>
        <w:t xml:space="preserve">Véase además, </w:t>
      </w:r>
      <w:r w:rsidRPr="001A44B7">
        <w:rPr>
          <w:szCs w:val="16"/>
          <w:lang w:val="es-CR"/>
        </w:rPr>
        <w:t>el artículo 25.1 de la</w:t>
      </w:r>
      <w:r w:rsidRPr="001A44B7">
        <w:rPr>
          <w:rFonts w:cs="Arial"/>
          <w:szCs w:val="16"/>
          <w:lang w:val="es-CR"/>
        </w:rPr>
        <w:t xml:space="preserve"> Declaración Universal de Derechos Humanos, e</w:t>
      </w:r>
      <w:r w:rsidRPr="001A44B7">
        <w:rPr>
          <w:rFonts w:cs="Arial"/>
          <w:color w:val="000000"/>
          <w:szCs w:val="16"/>
          <w:lang w:val="es-CR" w:eastAsia="es-CR"/>
        </w:rPr>
        <w:t>l artículo XI de la Declaración Americana de los Derechos y Deberes del Hombre</w:t>
      </w:r>
      <w:r>
        <w:rPr>
          <w:rFonts w:cs="Arial"/>
          <w:i/>
          <w:color w:val="000000"/>
          <w:szCs w:val="16"/>
          <w:lang w:val="es-CR" w:eastAsia="es-CR"/>
        </w:rPr>
        <w:t>, e</w:t>
      </w:r>
      <w:r w:rsidRPr="001A44B7">
        <w:rPr>
          <w:szCs w:val="16"/>
          <w:lang w:val="es-CR"/>
        </w:rPr>
        <w:t>l artículo 10.1 del Pacto Internacional de Derechos Civiles y Políticos, e</w:t>
      </w:r>
      <w:r w:rsidRPr="001A44B7">
        <w:rPr>
          <w:rFonts w:cs="Arial"/>
          <w:szCs w:val="16"/>
          <w:lang w:val="es-CR"/>
        </w:rPr>
        <w:t xml:space="preserve">l artículo </w:t>
      </w:r>
      <w:r>
        <w:rPr>
          <w:szCs w:val="16"/>
          <w:lang w:val="es-CR"/>
        </w:rPr>
        <w:t>12.1 y 2 del Pacto Internacional de Derechos Económicos, Sociales y Culturales. Además,</w:t>
      </w:r>
      <w:r w:rsidRPr="001A44B7">
        <w:rPr>
          <w:rFonts w:cs="Arial"/>
          <w:szCs w:val="16"/>
          <w:lang w:val="es-CR"/>
        </w:rPr>
        <w:t xml:space="preserve"> ver Observación General 14 del Comité de Derechos Económicos, Sociales y Culturales. “</w:t>
      </w:r>
      <w:r>
        <w:rPr>
          <w:rFonts w:cs="Arial"/>
          <w:bCs/>
          <w:szCs w:val="16"/>
          <w:lang w:val="es-ES"/>
        </w:rPr>
        <w:t>El derecho al disfrute del más alto nivel posible de salud (artículo 12 del Pacto Internacional de Derechos Económicos, Sociales y Culturales)”. 22º período de sesiones, 2000, U.N. Doc. E/C.12/2000/4 (2000)</w:t>
      </w:r>
      <w:r>
        <w:rPr>
          <w:rFonts w:cs="Arial"/>
          <w:szCs w:val="16"/>
          <w:lang w:val="es-ES"/>
        </w:rPr>
        <w:t xml:space="preserve">, párr. 34. </w:t>
      </w:r>
    </w:p>
  </w:footnote>
  <w:footnote w:id="3">
    <w:p w14:paraId="00EB1DA0" w14:textId="77777777" w:rsidR="00304A83" w:rsidRPr="00696705" w:rsidRDefault="00304A83" w:rsidP="00304A83">
      <w:pPr>
        <w:pStyle w:val="FootnoteText"/>
        <w:rPr>
          <w:lang w:val="es-CR"/>
        </w:rPr>
      </w:pPr>
      <w:r w:rsidRPr="00FA4F23">
        <w:rPr>
          <w:rStyle w:val="FootnoteReference"/>
        </w:rPr>
        <w:footnoteRef/>
      </w:r>
      <w:r w:rsidR="009942AF">
        <w:rPr>
          <w:lang w:val="es-ES"/>
        </w:rPr>
        <w:t xml:space="preserve"> </w:t>
      </w:r>
      <w:r w:rsidR="009942AF">
        <w:rPr>
          <w:lang w:val="es-ES"/>
        </w:rPr>
        <w:tab/>
      </w:r>
      <w:r w:rsidRPr="00FC46C0">
        <w:rPr>
          <w:lang w:val="es-ES"/>
        </w:rPr>
        <w:t>Cfr.</w:t>
      </w:r>
      <w:r w:rsidRPr="00696705">
        <w:rPr>
          <w:lang w:val="es-ES"/>
        </w:rPr>
        <w:t xml:space="preserve"> </w:t>
      </w:r>
      <w:r w:rsidRPr="00696705">
        <w:rPr>
          <w:rStyle w:val="Strong"/>
          <w:b w:val="0"/>
          <w:i/>
          <w:color w:val="000000"/>
          <w:szCs w:val="16"/>
          <w:highlight w:val="white"/>
          <w:lang w:val="es-CR"/>
        </w:rPr>
        <w:t>Caso Albán Cornejo y otros. Vs. Ecuador. Fondo Reparaciones y Costas</w:t>
      </w:r>
      <w:r w:rsidRPr="00696705">
        <w:rPr>
          <w:rStyle w:val="Strong"/>
          <w:b w:val="0"/>
          <w:color w:val="000000"/>
          <w:szCs w:val="16"/>
          <w:highlight w:val="white"/>
          <w:lang w:val="es-CR"/>
        </w:rPr>
        <w:t>. Sentencia de 22 de noviembre de 2007. Serie C No. 171,</w:t>
      </w:r>
      <w:r w:rsidRPr="00696705">
        <w:rPr>
          <w:rStyle w:val="Strong"/>
          <w:color w:val="000000"/>
          <w:szCs w:val="16"/>
          <w:highlight w:val="white"/>
          <w:lang w:val="es-CR"/>
        </w:rPr>
        <w:t xml:space="preserve"> </w:t>
      </w:r>
      <w:r w:rsidRPr="00696705">
        <w:rPr>
          <w:lang w:val="es-ES"/>
        </w:rPr>
        <w:t xml:space="preserve">párr. 117, y </w:t>
      </w:r>
      <w:r w:rsidRPr="006A2C85">
        <w:rPr>
          <w:bCs/>
          <w:i/>
          <w:lang w:val="es-CR"/>
        </w:rPr>
        <w:t>Caso Suárez Peralta Vs. Ecuador</w:t>
      </w:r>
      <w:r>
        <w:rPr>
          <w:bCs/>
          <w:lang w:val="es-CR"/>
        </w:rPr>
        <w:t xml:space="preserve">, </w:t>
      </w:r>
      <w:r w:rsidRPr="006A2C85">
        <w:rPr>
          <w:bCs/>
          <w:i/>
          <w:lang w:val="es-CR"/>
        </w:rPr>
        <w:t>supra</w:t>
      </w:r>
      <w:r w:rsidRPr="00696705">
        <w:rPr>
          <w:bCs/>
          <w:lang w:val="es-CR"/>
        </w:rPr>
        <w:t>, párr. 130.</w:t>
      </w:r>
    </w:p>
  </w:footnote>
  <w:footnote w:id="4">
    <w:p w14:paraId="56DC2691" w14:textId="6ABCEB4B" w:rsidR="00304A83" w:rsidRPr="00696705" w:rsidRDefault="00304A83" w:rsidP="00304A83">
      <w:pPr>
        <w:pStyle w:val="FootnoteText"/>
        <w:rPr>
          <w:lang w:val="es-CR"/>
        </w:rPr>
      </w:pPr>
      <w:r w:rsidRPr="00FA4F23">
        <w:rPr>
          <w:rStyle w:val="FootnoteReference"/>
        </w:rPr>
        <w:footnoteRef/>
      </w:r>
      <w:r w:rsidR="009942AF">
        <w:rPr>
          <w:i/>
          <w:lang w:val="es-CR"/>
        </w:rPr>
        <w:t xml:space="preserve"> </w:t>
      </w:r>
      <w:r w:rsidR="009942AF">
        <w:rPr>
          <w:i/>
          <w:lang w:val="es-CR"/>
        </w:rPr>
        <w:tab/>
      </w:r>
      <w:r w:rsidRPr="00FC46C0">
        <w:rPr>
          <w:i/>
          <w:lang w:val="es-CR"/>
        </w:rPr>
        <w:t>Cfr.</w:t>
      </w:r>
      <w:r w:rsidRPr="00696705">
        <w:rPr>
          <w:i/>
          <w:lang w:val="es-CR"/>
        </w:rPr>
        <w:t xml:space="preserve"> Caso Suárez Peralta Vs. Ecuador</w:t>
      </w:r>
      <w:r w:rsidR="009942AF">
        <w:rPr>
          <w:i/>
          <w:lang w:val="es-CR"/>
        </w:rPr>
        <w:t>. Excepciones Preliminares, Fondo, Reparaciones y Costas.</w:t>
      </w:r>
      <w:r w:rsidR="009942AF">
        <w:rPr>
          <w:lang w:val="es-CR"/>
        </w:rPr>
        <w:t xml:space="preserve"> Sentencia de 21 de mayo de 2013. Serie C No. 261</w:t>
      </w:r>
      <w:r w:rsidRPr="00696705">
        <w:rPr>
          <w:lang w:val="es-CR"/>
        </w:rPr>
        <w:t>, párr. 130. Además, la Corte ha considerado que “los Estados tienen el deber de regular y fiscalizar toda la asistencia de salud prestada a las personas bajo su jurisdicción, como deber especial de protección a la vida y a la integridad personal, independientemente de si la entidad que presta tales servicios es de carácter público o privado” (</w:t>
      </w:r>
      <w:r w:rsidRPr="00FC46C0">
        <w:rPr>
          <w:rStyle w:val="Strong"/>
          <w:b w:val="0"/>
          <w:i/>
          <w:color w:val="000000"/>
          <w:szCs w:val="16"/>
          <w:lang w:val="es-CR"/>
        </w:rPr>
        <w:t>Cfr.</w:t>
      </w:r>
      <w:r w:rsidRPr="00696705">
        <w:rPr>
          <w:rStyle w:val="Strong"/>
          <w:b w:val="0"/>
          <w:i/>
          <w:color w:val="000000"/>
          <w:szCs w:val="16"/>
          <w:highlight w:val="white"/>
          <w:lang w:val="es-CR"/>
        </w:rPr>
        <w:t xml:space="preserve"> Caso Ximenes Lopes Vs. Brasil</w:t>
      </w:r>
      <w:r w:rsidRPr="00696705">
        <w:rPr>
          <w:rStyle w:val="Strong"/>
          <w:b w:val="0"/>
          <w:color w:val="000000"/>
          <w:szCs w:val="16"/>
          <w:highlight w:val="white"/>
          <w:lang w:val="es-CR"/>
        </w:rPr>
        <w:t xml:space="preserve">. </w:t>
      </w:r>
      <w:r w:rsidRPr="00696705">
        <w:rPr>
          <w:lang w:val="es-CR"/>
        </w:rPr>
        <w:t xml:space="preserve">Sentencia de 4 de julio de 2006. Serie C No. 149, párr. 89. </w:t>
      </w:r>
      <w:r w:rsidRPr="00696705">
        <w:rPr>
          <w:lang w:val="es-ES"/>
        </w:rPr>
        <w:t xml:space="preserve">Véase también: TEDH, </w:t>
      </w:r>
      <w:r w:rsidRPr="00696705">
        <w:rPr>
          <w:i/>
          <w:lang w:val="es-ES"/>
        </w:rPr>
        <w:t xml:space="preserve">Caso Lazar Vs. Rumania, </w:t>
      </w:r>
      <w:r w:rsidRPr="00696705">
        <w:rPr>
          <w:lang w:val="es-ES"/>
        </w:rPr>
        <w:t xml:space="preserve">No. 32146/05. Sección Tercera. Sentencia de 16 de mayo de 2010, párr. 66; </w:t>
      </w:r>
      <w:r w:rsidRPr="00696705">
        <w:rPr>
          <w:i/>
          <w:lang w:val="es-ES"/>
        </w:rPr>
        <w:t>Caso Z Vs. Polonia</w:t>
      </w:r>
      <w:r w:rsidRPr="00696705">
        <w:rPr>
          <w:lang w:val="es-ES"/>
        </w:rPr>
        <w:t xml:space="preserve">, No. 46132/08. Sección Cuarta. Sentencia de 13 de noviembre de 2012, </w:t>
      </w:r>
      <w:r w:rsidRPr="00696705">
        <w:rPr>
          <w:rFonts w:cs="Lucida Grande"/>
          <w:lang w:val="es-CR"/>
        </w:rPr>
        <w:t>párr.</w:t>
      </w:r>
      <w:r w:rsidRPr="00696705">
        <w:rPr>
          <w:lang w:val="es-ES"/>
        </w:rPr>
        <w:t xml:space="preserve"> 76</w:t>
      </w:r>
      <w:r w:rsidR="009942AF">
        <w:rPr>
          <w:lang w:val="es-ES"/>
        </w:rPr>
        <w:t>;</w:t>
      </w:r>
      <w:r w:rsidRPr="00696705">
        <w:rPr>
          <w:lang w:val="es-ES"/>
        </w:rPr>
        <w:t xml:space="preserve"> y Naciones Unidas, Consejo Económico y Social, Comité de Derechos Económicos, Sociales y Culturales. Observación General Número 14, E/C.12/2000/4, 11 de agosto de 2000, párrs. 12, 33, 35, 36 y 51. </w:t>
      </w:r>
    </w:p>
  </w:footnote>
  <w:footnote w:id="5">
    <w:p w14:paraId="56C05F4B" w14:textId="77777777" w:rsidR="007B1FB1" w:rsidRPr="00071595" w:rsidRDefault="007B1FB1" w:rsidP="007B1FB1">
      <w:pPr>
        <w:pStyle w:val="FootnoteText"/>
        <w:rPr>
          <w:lang w:val="es-CR"/>
        </w:rPr>
      </w:pPr>
      <w:r>
        <w:rPr>
          <w:rStyle w:val="FootnoteReference"/>
        </w:rPr>
        <w:footnoteRef/>
      </w:r>
      <w:r w:rsidRPr="00071595">
        <w:rPr>
          <w:lang w:val="es-CR"/>
        </w:rPr>
        <w:t xml:space="preserve"> </w:t>
      </w:r>
      <w:r w:rsidR="0003298E" w:rsidRPr="00071595">
        <w:rPr>
          <w:lang w:val="es-CR"/>
        </w:rPr>
        <w:tab/>
      </w:r>
      <w:r w:rsidR="003C3FA5" w:rsidRPr="003C3FA5">
        <w:rPr>
          <w:lang w:val="es-UY"/>
        </w:rPr>
        <w:t xml:space="preserve">Véase: </w:t>
      </w:r>
      <w:r w:rsidR="003C3FA5" w:rsidRPr="003C3FA5">
        <w:rPr>
          <w:i/>
          <w:iCs/>
          <w:lang w:val="es-UY"/>
        </w:rPr>
        <w:t>Caso “Cinco Pensionistas” Vs. Perú, Sentencia de 28 de febrero de 2003; Caso Ximenes Lopes Vs. Brasil, Sentencia de 4 de julio de 2006; Caso Acevedo Buendía y Otros (“</w:t>
      </w:r>
      <w:r w:rsidR="00F77555">
        <w:rPr>
          <w:i/>
          <w:iCs/>
          <w:lang w:val="es-UY"/>
        </w:rPr>
        <w:t>C</w:t>
      </w:r>
      <w:r w:rsidR="003C3FA5" w:rsidRPr="00071595">
        <w:rPr>
          <w:i/>
          <w:iCs/>
          <w:lang w:val="es-CR"/>
        </w:rPr>
        <w:t xml:space="preserve">esantes y </w:t>
      </w:r>
      <w:r w:rsidR="00F77555" w:rsidRPr="00071595">
        <w:rPr>
          <w:i/>
          <w:iCs/>
          <w:lang w:val="es-CR"/>
        </w:rPr>
        <w:t>J</w:t>
      </w:r>
      <w:r w:rsidR="003C3FA5" w:rsidRPr="00071595">
        <w:rPr>
          <w:i/>
          <w:iCs/>
          <w:lang w:val="es-CR"/>
        </w:rPr>
        <w:t>ubilados de la Contraloría</w:t>
      </w:r>
      <w:r w:rsidR="003C3FA5" w:rsidRPr="003C3FA5">
        <w:rPr>
          <w:i/>
          <w:iCs/>
          <w:lang w:val="es-UY"/>
        </w:rPr>
        <w:t>”) Vs. Perú, Sentencia de 1º de julio de 2009; Caso González y Otras (“Campo Algodonero”) Vs. México, Sentencia de 16 de noviembre de 2009; Caso de la Comunidad Indígena Xákmok Kásek Vs. Paraguay, Sentencia de 24 de agosto de 2010; Caso Atala Riffo y Niñas Vs. Chile, Sentencia de 24 de febrero de 2012; Caso Artavia Murillo y Otros (“Fecundación In Vitro”) Vs. Costa Rica, Sentencia de 28 de noviembre de 2012</w:t>
      </w:r>
    </w:p>
  </w:footnote>
  <w:footnote w:id="6">
    <w:p w14:paraId="2D14A4A7" w14:textId="77777777" w:rsidR="00CF215B" w:rsidRPr="001A44B7" w:rsidRDefault="00CF215B" w:rsidP="00CF215B">
      <w:pPr>
        <w:pStyle w:val="FootnoteText"/>
        <w:rPr>
          <w:lang w:val="es-CR"/>
        </w:rPr>
      </w:pPr>
      <w:r>
        <w:rPr>
          <w:rStyle w:val="FootnoteReference"/>
        </w:rPr>
        <w:footnoteRef/>
      </w:r>
      <w:r w:rsidRPr="001A44B7">
        <w:rPr>
          <w:lang w:val="es-CR"/>
        </w:rPr>
        <w:t xml:space="preserve"> </w:t>
      </w:r>
      <w:r w:rsidR="0003298E">
        <w:rPr>
          <w:lang w:val="es-CR"/>
        </w:rPr>
        <w:tab/>
      </w:r>
      <w:r w:rsidRPr="001A44B7">
        <w:rPr>
          <w:lang w:val="es-CR"/>
        </w:rPr>
        <w:t>Dice, en el Preámbulo: “</w:t>
      </w:r>
      <w:r w:rsidRPr="001A44B7">
        <w:rPr>
          <w:color w:val="000000"/>
          <w:lang w:val="es-CR"/>
        </w:rPr>
        <w:t>Considerando la estrecha relación que existe entre la vigencia de los derechos económicos, sociales y culturales y la de los derechos civiles y políticos, por cuanto las diferentes categorías de derechos constituyen un todo indisoluble que encuentra su base en el reconocimiento de la dignidad de la persona humana, por lo cual exigen una tutela y promoción permanente con el objeto de lograr su vigencia plena, sin que jamás pueda justificarse la violación de unos en aras de la realización de otros;”</w:t>
      </w:r>
    </w:p>
  </w:footnote>
  <w:footnote w:id="7">
    <w:p w14:paraId="0BFD5D6F" w14:textId="11BD767F" w:rsidR="00E36639" w:rsidRPr="00071595" w:rsidRDefault="00E36639" w:rsidP="00E36639">
      <w:pPr>
        <w:pStyle w:val="FootnoteText"/>
        <w:tabs>
          <w:tab w:val="left" w:pos="709"/>
          <w:tab w:val="left" w:pos="9356"/>
        </w:tabs>
        <w:ind w:right="6"/>
        <w:rPr>
          <w:szCs w:val="16"/>
          <w:lang w:val="es-CR"/>
        </w:rPr>
      </w:pPr>
      <w:r w:rsidRPr="0090337C">
        <w:rPr>
          <w:rStyle w:val="FootnoteReference"/>
          <w:szCs w:val="16"/>
        </w:rPr>
        <w:footnoteRef/>
      </w:r>
      <w:r w:rsidRPr="001A44B7">
        <w:rPr>
          <w:szCs w:val="16"/>
          <w:lang w:val="es-CR"/>
        </w:rPr>
        <w:t xml:space="preserve"> </w:t>
      </w:r>
      <w:r w:rsidR="0003298E">
        <w:rPr>
          <w:szCs w:val="16"/>
          <w:lang w:val="es-CR"/>
        </w:rPr>
        <w:tab/>
      </w:r>
      <w:r w:rsidRPr="001A44B7">
        <w:rPr>
          <w:szCs w:val="16"/>
          <w:lang w:val="es-CR"/>
        </w:rPr>
        <w:t xml:space="preserve">En algunos casos el Tribunal ha analizado los alcances del artículo 26 de la Convención Americana, limitándose en general a interpretar ciertas porciones normativas de dicho dispositivo convencional: </w:t>
      </w:r>
      <w:r w:rsidRPr="001A44B7">
        <w:rPr>
          <w:i/>
          <w:szCs w:val="16"/>
          <w:lang w:val="es-CR"/>
        </w:rPr>
        <w:t>Caso Acevedo Buendía y Otros (“Cesantes y Jubilados de la Contraloría</w:t>
      </w:r>
      <w:r w:rsidRPr="00071595">
        <w:rPr>
          <w:i/>
          <w:color w:val="000000"/>
          <w:lang w:val="es-CR"/>
        </w:rPr>
        <w:t>”)</w:t>
      </w:r>
      <w:r w:rsidR="00BB09FE" w:rsidRPr="00071595">
        <w:rPr>
          <w:i/>
          <w:color w:val="000000"/>
          <w:lang w:val="es-CR"/>
        </w:rPr>
        <w:t>. Excepción Preliminar, Fondo, Reparaciones y Costas</w:t>
      </w:r>
      <w:r w:rsidR="00BB09FE" w:rsidRPr="00071595">
        <w:rPr>
          <w:color w:val="000000"/>
          <w:lang w:val="es-CR"/>
        </w:rPr>
        <w:t>. Sentencia de 1 de julio de 2009 Serie C No. 198</w:t>
      </w:r>
      <w:r w:rsidRPr="001A44B7">
        <w:rPr>
          <w:szCs w:val="16"/>
          <w:lang w:val="es-CR"/>
        </w:rPr>
        <w:t xml:space="preserve">, párrs. 99 a 103; </w:t>
      </w:r>
      <w:r w:rsidRPr="001A44B7">
        <w:rPr>
          <w:i/>
          <w:szCs w:val="16"/>
          <w:lang w:val="es-CR"/>
        </w:rPr>
        <w:t xml:space="preserve">Caso de las Niñas Yean y Bosico Vs. República Dominicana. </w:t>
      </w:r>
      <w:r w:rsidRPr="001A44B7">
        <w:rPr>
          <w:szCs w:val="16"/>
          <w:lang w:val="es-CR"/>
        </w:rPr>
        <w:t>Sentencia de 8 de septiembre de 2005. Serie C no. 130, párr. 158</w:t>
      </w:r>
      <w:r w:rsidR="00BB09FE">
        <w:rPr>
          <w:szCs w:val="16"/>
          <w:lang w:val="es-CR"/>
        </w:rPr>
        <w:t>;</w:t>
      </w:r>
      <w:r w:rsidRPr="001A44B7">
        <w:rPr>
          <w:szCs w:val="16"/>
          <w:lang w:val="es-CR"/>
        </w:rPr>
        <w:t xml:space="preserve"> </w:t>
      </w:r>
      <w:r w:rsidRPr="001A44B7">
        <w:rPr>
          <w:i/>
          <w:szCs w:val="16"/>
          <w:lang w:val="es-CR"/>
        </w:rPr>
        <w:t xml:space="preserve">Caso “Cinco Pensionistas” Vs. </w:t>
      </w:r>
      <w:r w:rsidRPr="001A2DF6">
        <w:rPr>
          <w:i/>
          <w:szCs w:val="16"/>
          <w:lang w:val="es-CR"/>
        </w:rPr>
        <w:t xml:space="preserve">Perú. </w:t>
      </w:r>
      <w:r w:rsidRPr="001A44B7">
        <w:rPr>
          <w:i/>
          <w:szCs w:val="16"/>
          <w:lang w:val="es-CR"/>
        </w:rPr>
        <w:t xml:space="preserve">Fondo, Reparaciones y Costas. </w:t>
      </w:r>
      <w:r w:rsidRPr="001A44B7">
        <w:rPr>
          <w:szCs w:val="16"/>
          <w:lang w:val="es-CR"/>
        </w:rPr>
        <w:t>Sentencia de 28 de febrero de 2003</w:t>
      </w:r>
      <w:r w:rsidR="00BB09FE">
        <w:rPr>
          <w:szCs w:val="16"/>
          <w:lang w:val="es-CR"/>
        </w:rPr>
        <w:t>.</w:t>
      </w:r>
      <w:r w:rsidRPr="001A44B7">
        <w:rPr>
          <w:szCs w:val="16"/>
          <w:lang w:val="es-CR"/>
        </w:rPr>
        <w:t xml:space="preserve"> Serie C No. 98, párrs. 147 y 148; </w:t>
      </w:r>
      <w:r w:rsidRPr="001A44B7">
        <w:rPr>
          <w:i/>
          <w:szCs w:val="16"/>
          <w:lang w:val="es-CR"/>
        </w:rPr>
        <w:t>Caso Comunidad Indígena Yakye Axa</w:t>
      </w:r>
      <w:r w:rsidRPr="001A44B7">
        <w:rPr>
          <w:szCs w:val="16"/>
          <w:lang w:val="es-CR"/>
        </w:rPr>
        <w:t xml:space="preserve">, </w:t>
      </w:r>
      <w:r w:rsidRPr="001A44B7">
        <w:rPr>
          <w:i/>
          <w:szCs w:val="16"/>
          <w:lang w:val="es-CR"/>
        </w:rPr>
        <w:t>supra</w:t>
      </w:r>
      <w:r w:rsidRPr="001A44B7">
        <w:rPr>
          <w:szCs w:val="16"/>
          <w:lang w:val="es-CR"/>
        </w:rPr>
        <w:t>, párr. 163 (en este último caso, el Estado se allanó a su responsabilidad por la violación del artículo 26, pero la Corte sólo involucró dicho artículo en su narrativa sobre la violación del derecho a la vida)</w:t>
      </w:r>
      <w:r w:rsidRPr="00071595">
        <w:rPr>
          <w:szCs w:val="16"/>
          <w:lang w:val="es-C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152229"/>
      <w:docPartObj>
        <w:docPartGallery w:val="Page Numbers (Top of Page)"/>
        <w:docPartUnique/>
      </w:docPartObj>
    </w:sdtPr>
    <w:sdtEndPr>
      <w:rPr>
        <w:noProof/>
      </w:rPr>
    </w:sdtEndPr>
    <w:sdtContent>
      <w:p w14:paraId="4849282C" w14:textId="704B61B3" w:rsidR="00DE5B0D" w:rsidRDefault="00DE5B0D">
        <w:pPr>
          <w:pStyle w:val="Header"/>
          <w:jc w:val="center"/>
        </w:pPr>
        <w:r>
          <w:fldChar w:fldCharType="begin"/>
        </w:r>
        <w:r>
          <w:instrText xml:space="preserve"> PAGE   \* MERGEFORMAT </w:instrText>
        </w:r>
        <w:r>
          <w:fldChar w:fldCharType="separate"/>
        </w:r>
        <w:r w:rsidR="00155857">
          <w:rPr>
            <w:noProof/>
          </w:rPr>
          <w:t>5</w:t>
        </w:r>
        <w:r>
          <w:rPr>
            <w:noProof/>
          </w:rPr>
          <w:fldChar w:fldCharType="end"/>
        </w:r>
      </w:p>
    </w:sdtContent>
  </w:sdt>
  <w:p w14:paraId="48D1CD4A" w14:textId="77777777" w:rsidR="00DE5B0D" w:rsidRDefault="00DE5B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589E3082"/>
    <w:name w:val="WW8Num3"/>
    <w:lvl w:ilvl="0">
      <w:start w:val="1"/>
      <w:numFmt w:val="upperRoman"/>
      <w:lvlText w:val="%1."/>
      <w:lvlJc w:val="center"/>
      <w:pPr>
        <w:tabs>
          <w:tab w:val="num" w:pos="720"/>
        </w:tabs>
        <w:ind w:left="720" w:hanging="360"/>
      </w:pPr>
    </w:lvl>
    <w:lvl w:ilvl="1">
      <w:start w:val="1"/>
      <w:numFmt w:val="upperRoman"/>
      <w:lvlText w:val="%2."/>
      <w:lvlJc w:val="center"/>
      <w:pPr>
        <w:tabs>
          <w:tab w:val="num" w:pos="1080"/>
        </w:tabs>
        <w:ind w:left="1080" w:hanging="360"/>
      </w:pPr>
    </w:lvl>
    <w:lvl w:ilvl="2">
      <w:start w:val="1"/>
      <w:numFmt w:val="upperRoman"/>
      <w:lvlText w:val="%3."/>
      <w:lvlJc w:val="center"/>
      <w:pPr>
        <w:tabs>
          <w:tab w:val="num" w:pos="1440"/>
        </w:tabs>
        <w:ind w:left="1440" w:hanging="360"/>
      </w:pPr>
    </w:lvl>
    <w:lvl w:ilvl="3">
      <w:start w:val="1"/>
      <w:numFmt w:val="upperRoman"/>
      <w:lvlText w:val="%4."/>
      <w:lvlJc w:val="center"/>
      <w:pPr>
        <w:tabs>
          <w:tab w:val="num" w:pos="1800"/>
        </w:tabs>
        <w:ind w:left="1800" w:hanging="360"/>
      </w:pPr>
    </w:lvl>
    <w:lvl w:ilvl="4">
      <w:start w:val="1"/>
      <w:numFmt w:val="upperRoman"/>
      <w:lvlText w:val="%5."/>
      <w:lvlJc w:val="center"/>
      <w:pPr>
        <w:tabs>
          <w:tab w:val="num" w:pos="2160"/>
        </w:tabs>
        <w:ind w:left="2160" w:hanging="360"/>
      </w:pPr>
    </w:lvl>
    <w:lvl w:ilvl="5">
      <w:start w:val="1"/>
      <w:numFmt w:val="upperRoman"/>
      <w:lvlText w:val="%6."/>
      <w:lvlJc w:val="center"/>
      <w:pPr>
        <w:tabs>
          <w:tab w:val="num" w:pos="2520"/>
        </w:tabs>
        <w:ind w:left="2520" w:hanging="360"/>
      </w:pPr>
    </w:lvl>
    <w:lvl w:ilvl="6">
      <w:start w:val="1"/>
      <w:numFmt w:val="upperRoman"/>
      <w:lvlText w:val="%7."/>
      <w:lvlJc w:val="center"/>
      <w:pPr>
        <w:tabs>
          <w:tab w:val="num" w:pos="2880"/>
        </w:tabs>
        <w:ind w:left="2880" w:hanging="360"/>
      </w:pPr>
    </w:lvl>
    <w:lvl w:ilvl="7">
      <w:start w:val="1"/>
      <w:numFmt w:val="upperRoman"/>
      <w:lvlText w:val="%8."/>
      <w:lvlJc w:val="center"/>
      <w:pPr>
        <w:tabs>
          <w:tab w:val="num" w:pos="3240"/>
        </w:tabs>
        <w:ind w:left="3240" w:hanging="360"/>
      </w:pPr>
    </w:lvl>
    <w:lvl w:ilvl="8">
      <w:start w:val="1"/>
      <w:numFmt w:val="upperRoman"/>
      <w:lvlText w:val="%9."/>
      <w:lvlJc w:val="center"/>
      <w:pPr>
        <w:tabs>
          <w:tab w:val="num" w:pos="3600"/>
        </w:tabs>
        <w:ind w:left="3600" w:hanging="360"/>
      </w:pPr>
    </w:lvl>
  </w:abstractNum>
  <w:abstractNum w:abstractNumId="1">
    <w:nsid w:val="05B06068"/>
    <w:multiLevelType w:val="multilevel"/>
    <w:tmpl w:val="79D69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4E7427"/>
    <w:multiLevelType w:val="hybridMultilevel"/>
    <w:tmpl w:val="B8A4F9EC"/>
    <w:lvl w:ilvl="0" w:tplc="5F548F5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08608B"/>
    <w:multiLevelType w:val="multilevel"/>
    <w:tmpl w:val="EDD225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53369E"/>
    <w:multiLevelType w:val="multilevel"/>
    <w:tmpl w:val="F8267062"/>
    <w:lvl w:ilvl="0">
      <w:start w:val="1"/>
      <w:numFmt w:val="decimal"/>
      <w:lvlText w:val="%1."/>
      <w:lvlJc w:val="left"/>
      <w:pPr>
        <w:tabs>
          <w:tab w:val="num" w:pos="1247"/>
        </w:tabs>
        <w:ind w:left="0" w:firstLine="0"/>
      </w:pPr>
      <w:rPr>
        <w:rFonts w:ascii="Verdana" w:eastAsia="Times" w:hAnsi="Verdana" w:cs="Times New Roman"/>
        <w:b w:val="0"/>
        <w:i w:val="0"/>
        <w:sz w:val="20"/>
        <w:lang w:val="es-CR"/>
      </w:rPr>
    </w:lvl>
    <w:lvl w:ilvl="1">
      <w:start w:val="1"/>
      <w:numFmt w:val="lowerLetter"/>
      <w:lvlText w:val="%2)"/>
      <w:lvlJc w:val="left"/>
      <w:pPr>
        <w:tabs>
          <w:tab w:val="num" w:pos="1080"/>
        </w:tabs>
        <w:ind w:left="1080" w:hanging="360"/>
      </w:pPr>
      <w:rPr>
        <w:b w:val="0"/>
        <w:i w:val="0"/>
        <w:sz w:val="18"/>
        <w:szCs w:val="18"/>
      </w:rPr>
    </w:lvl>
    <w:lvl w:ilvl="2">
      <w:start w:val="1"/>
      <w:numFmt w:val="lowerRoman"/>
      <w:lvlText w:val="%3."/>
      <w:lvlJc w:val="right"/>
      <w:pPr>
        <w:tabs>
          <w:tab w:val="num" w:pos="2160"/>
        </w:tabs>
        <w:ind w:left="2160" w:hanging="180"/>
      </w:pPr>
      <w:rPr>
        <w:b/>
      </w:rPr>
    </w:lvl>
    <w:lvl w:ilvl="3">
      <w:start w:val="1"/>
      <w:numFmt w:val="upp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B9B03A1"/>
    <w:multiLevelType w:val="hybridMultilevel"/>
    <w:tmpl w:val="94A64996"/>
    <w:lvl w:ilvl="0" w:tplc="61486B72">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88F0429"/>
    <w:multiLevelType w:val="multilevel"/>
    <w:tmpl w:val="9EE09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39332B7"/>
    <w:multiLevelType w:val="hybridMultilevel"/>
    <w:tmpl w:val="8BC0CDDE"/>
    <w:lvl w:ilvl="0" w:tplc="B3C8AD28">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441A575C"/>
    <w:multiLevelType w:val="multilevel"/>
    <w:tmpl w:val="3552FAEA"/>
    <w:lvl w:ilvl="0">
      <w:start w:val="1"/>
      <w:numFmt w:val="decimal"/>
      <w:pStyle w:val="Tpic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7727599"/>
    <w:multiLevelType w:val="hybridMultilevel"/>
    <w:tmpl w:val="C23870B2"/>
    <w:lvl w:ilvl="0" w:tplc="CF906F82">
      <w:start w:val="1"/>
      <w:numFmt w:val="decimal"/>
      <w:pStyle w:val="PrrafodeSentencia"/>
      <w:lvlText w:val="%1."/>
      <w:lvlJc w:val="left"/>
      <w:pPr>
        <w:ind w:left="360" w:hanging="360"/>
      </w:pPr>
      <w:rPr>
        <w:rFonts w:ascii="Verdana" w:eastAsia="Times New Roman" w:hAnsi="Verdana" w:cs="Times New Roman" w:hint="default"/>
        <w:b w:val="0"/>
        <w:i w:val="0"/>
        <w:color w:val="auto"/>
        <w:w w:val="100"/>
        <w:sz w:val="20"/>
        <w:szCs w:val="2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671028A5"/>
    <w:multiLevelType w:val="multilevel"/>
    <w:tmpl w:val="E56A9824"/>
    <w:lvl w:ilvl="0">
      <w:start w:val="1"/>
      <w:numFmt w:val="decimal"/>
      <w:lvlText w:val="%1."/>
      <w:lvlJc w:val="left"/>
      <w:pPr>
        <w:tabs>
          <w:tab w:val="num" w:pos="1247"/>
        </w:tabs>
        <w:ind w:left="0" w:firstLine="0"/>
      </w:pPr>
      <w:rPr>
        <w:rFonts w:ascii="Times New Roman" w:eastAsia="Times" w:hAnsi="Times New Roman" w:cs="Times New Roman"/>
        <w:b/>
        <w:i w:val="0"/>
        <w:sz w:val="18"/>
        <w:lang w:val="en-US"/>
      </w:rPr>
    </w:lvl>
    <w:lvl w:ilvl="1">
      <w:start w:val="1"/>
      <w:numFmt w:val="lowerLetter"/>
      <w:lvlText w:val="%2)"/>
      <w:lvlJc w:val="left"/>
      <w:pPr>
        <w:tabs>
          <w:tab w:val="num" w:pos="1080"/>
        </w:tabs>
        <w:ind w:left="1080" w:hanging="360"/>
      </w:pPr>
      <w:rPr>
        <w:b/>
        <w:i w:val="0"/>
        <w:sz w:val="16"/>
        <w:szCs w:val="18"/>
      </w:rPr>
    </w:lvl>
    <w:lvl w:ilvl="2">
      <w:start w:val="1"/>
      <w:numFmt w:val="lowerRoman"/>
      <w:lvlText w:val="%3."/>
      <w:lvlJc w:val="right"/>
      <w:pPr>
        <w:tabs>
          <w:tab w:val="num" w:pos="2160"/>
        </w:tabs>
        <w:ind w:left="2160" w:hanging="180"/>
      </w:pPr>
      <w:rPr>
        <w:b/>
      </w:rPr>
    </w:lvl>
    <w:lvl w:ilvl="3">
      <w:start w:val="1"/>
      <w:numFmt w:val="upp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3E30B36"/>
    <w:multiLevelType w:val="hybridMultilevel"/>
    <w:tmpl w:val="74BCBDC2"/>
    <w:lvl w:ilvl="0" w:tplc="77BCE15A">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7"/>
  </w:num>
  <w:num w:numId="5">
    <w:abstractNumId w:val="6"/>
  </w:num>
  <w:num w:numId="6">
    <w:abstractNumId w:val="0"/>
  </w:num>
  <w:num w:numId="7">
    <w:abstractNumId w:val="8"/>
  </w:num>
  <w:num w:numId="8">
    <w:abstractNumId w:val="11"/>
  </w:num>
  <w:num w:numId="9">
    <w:abstractNumId w:val="4"/>
  </w:num>
  <w:num w:numId="10">
    <w:abstractNumId w:val="1"/>
  </w:num>
  <w:num w:numId="11">
    <w:abstractNumId w:val="3"/>
  </w:num>
  <w:num w:numId="12">
    <w:abstractNumId w:val="9"/>
  </w:num>
  <w:num w:numId="13">
    <w:abstractNumId w:val="2"/>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10"/>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o Caldas">
    <w15:presenceInfo w15:providerId="None" w15:userId="Roberto Cald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54"/>
    <w:rsid w:val="00013C5B"/>
    <w:rsid w:val="00025CC8"/>
    <w:rsid w:val="00027B14"/>
    <w:rsid w:val="0003298E"/>
    <w:rsid w:val="00040E0D"/>
    <w:rsid w:val="00071595"/>
    <w:rsid w:val="00072918"/>
    <w:rsid w:val="00076A7E"/>
    <w:rsid w:val="00093F36"/>
    <w:rsid w:val="000B0FE9"/>
    <w:rsid w:val="000D6AB5"/>
    <w:rsid w:val="000F1248"/>
    <w:rsid w:val="00114A01"/>
    <w:rsid w:val="00144180"/>
    <w:rsid w:val="00155857"/>
    <w:rsid w:val="001677D4"/>
    <w:rsid w:val="00167CC9"/>
    <w:rsid w:val="0017289D"/>
    <w:rsid w:val="001A2DF6"/>
    <w:rsid w:val="001A44B7"/>
    <w:rsid w:val="001E653A"/>
    <w:rsid w:val="001E761B"/>
    <w:rsid w:val="001F0CD3"/>
    <w:rsid w:val="001F0F1F"/>
    <w:rsid w:val="00200318"/>
    <w:rsid w:val="00243551"/>
    <w:rsid w:val="0024746D"/>
    <w:rsid w:val="00281B58"/>
    <w:rsid w:val="002A2513"/>
    <w:rsid w:val="002A3A08"/>
    <w:rsid w:val="002B7BCE"/>
    <w:rsid w:val="002C0B8A"/>
    <w:rsid w:val="00304A83"/>
    <w:rsid w:val="0031397F"/>
    <w:rsid w:val="003501A9"/>
    <w:rsid w:val="00353DD4"/>
    <w:rsid w:val="003807D4"/>
    <w:rsid w:val="003B14BF"/>
    <w:rsid w:val="003B378B"/>
    <w:rsid w:val="003C3FA5"/>
    <w:rsid w:val="00447B0A"/>
    <w:rsid w:val="00471EA3"/>
    <w:rsid w:val="004803D0"/>
    <w:rsid w:val="004905F6"/>
    <w:rsid w:val="004B7742"/>
    <w:rsid w:val="004B7D54"/>
    <w:rsid w:val="004C0B48"/>
    <w:rsid w:val="004E61B2"/>
    <w:rsid w:val="00531DAD"/>
    <w:rsid w:val="00566421"/>
    <w:rsid w:val="00580708"/>
    <w:rsid w:val="0059050E"/>
    <w:rsid w:val="005C24FF"/>
    <w:rsid w:val="005D2870"/>
    <w:rsid w:val="005E3D3D"/>
    <w:rsid w:val="00605141"/>
    <w:rsid w:val="00643B05"/>
    <w:rsid w:val="00646EE4"/>
    <w:rsid w:val="00650E8C"/>
    <w:rsid w:val="0066673E"/>
    <w:rsid w:val="00666A09"/>
    <w:rsid w:val="00673F28"/>
    <w:rsid w:val="00680517"/>
    <w:rsid w:val="006C0E0C"/>
    <w:rsid w:val="006C353F"/>
    <w:rsid w:val="006C6512"/>
    <w:rsid w:val="007419D0"/>
    <w:rsid w:val="00796924"/>
    <w:rsid w:val="007A166E"/>
    <w:rsid w:val="007B1FB1"/>
    <w:rsid w:val="007C42D2"/>
    <w:rsid w:val="00830B15"/>
    <w:rsid w:val="0085450E"/>
    <w:rsid w:val="008E7FD1"/>
    <w:rsid w:val="00970C64"/>
    <w:rsid w:val="0099178B"/>
    <w:rsid w:val="009942AF"/>
    <w:rsid w:val="009A3827"/>
    <w:rsid w:val="009A54F7"/>
    <w:rsid w:val="009B6974"/>
    <w:rsid w:val="009E4335"/>
    <w:rsid w:val="00A65D17"/>
    <w:rsid w:val="00AC45A0"/>
    <w:rsid w:val="00AE2354"/>
    <w:rsid w:val="00B451FA"/>
    <w:rsid w:val="00B51C22"/>
    <w:rsid w:val="00B843EC"/>
    <w:rsid w:val="00BB09FE"/>
    <w:rsid w:val="00BD4B15"/>
    <w:rsid w:val="00BF19F7"/>
    <w:rsid w:val="00BF2706"/>
    <w:rsid w:val="00C17438"/>
    <w:rsid w:val="00C848C6"/>
    <w:rsid w:val="00CA1F77"/>
    <w:rsid w:val="00CD1169"/>
    <w:rsid w:val="00CF215B"/>
    <w:rsid w:val="00D00CFA"/>
    <w:rsid w:val="00D0269A"/>
    <w:rsid w:val="00D13420"/>
    <w:rsid w:val="00D33E03"/>
    <w:rsid w:val="00D63FD7"/>
    <w:rsid w:val="00D95817"/>
    <w:rsid w:val="00DA3A02"/>
    <w:rsid w:val="00DC2FE3"/>
    <w:rsid w:val="00DE5B0D"/>
    <w:rsid w:val="00DF6FC6"/>
    <w:rsid w:val="00E03230"/>
    <w:rsid w:val="00E36639"/>
    <w:rsid w:val="00E455A6"/>
    <w:rsid w:val="00E73CCB"/>
    <w:rsid w:val="00E849DD"/>
    <w:rsid w:val="00F00203"/>
    <w:rsid w:val="00F179D8"/>
    <w:rsid w:val="00F2469D"/>
    <w:rsid w:val="00F27259"/>
    <w:rsid w:val="00F46605"/>
    <w:rsid w:val="00F54900"/>
    <w:rsid w:val="00F77555"/>
    <w:rsid w:val="00FB327B"/>
    <w:rsid w:val="00FB6C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ndale Sans U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70"/>
    <w:pPr>
      <w:spacing w:after="0" w:line="240" w:lineRule="auto"/>
      <w:jc w:val="both"/>
    </w:pPr>
    <w:rPr>
      <w:rFonts w:ascii="Verdana" w:eastAsia="Times New Roman" w:hAnsi="Verdana" w:cs="Times New Roman"/>
      <w:sz w:val="20"/>
      <w:szCs w:val="24"/>
      <w:lang w:val="en-US"/>
    </w:rPr>
  </w:style>
  <w:style w:type="paragraph" w:styleId="Heading2">
    <w:name w:val="heading 2"/>
    <w:basedOn w:val="Normal"/>
    <w:next w:val="Normal"/>
    <w:link w:val="Heading2Char"/>
    <w:qFormat/>
    <w:rsid w:val="005D2870"/>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risprudncia">
    <w:name w:val="jurisprudência"/>
    <w:basedOn w:val="Normal"/>
    <w:link w:val="jurisprudnciaChar"/>
    <w:autoRedefine/>
    <w:qFormat/>
    <w:rsid w:val="00CA1F77"/>
    <w:pPr>
      <w:ind w:left="1701"/>
    </w:pPr>
    <w:rPr>
      <w:rFonts w:asciiTheme="minorHAnsi" w:hAnsiTheme="minorHAnsi" w:cstheme="minorBidi"/>
      <w:sz w:val="22"/>
      <w:szCs w:val="22"/>
    </w:rPr>
  </w:style>
  <w:style w:type="character" w:customStyle="1" w:styleId="jurisprudnciaChar">
    <w:name w:val="jurisprudência Char"/>
    <w:basedOn w:val="DefaultParagraphFont"/>
    <w:link w:val="jurisprudncia"/>
    <w:rsid w:val="00CA1F77"/>
  </w:style>
  <w:style w:type="paragraph" w:customStyle="1" w:styleId="Tpico">
    <w:name w:val="Tópico"/>
    <w:link w:val="TpicoChar"/>
    <w:autoRedefine/>
    <w:qFormat/>
    <w:rsid w:val="00DF6FC6"/>
    <w:pPr>
      <w:widowControl w:val="0"/>
      <w:numPr>
        <w:numId w:val="7"/>
      </w:numPr>
      <w:suppressAutoHyphens/>
      <w:spacing w:before="240" w:after="240" w:line="100" w:lineRule="atLeast"/>
      <w:ind w:left="714" w:hanging="357"/>
      <w:jc w:val="center"/>
    </w:pPr>
    <w:rPr>
      <w:rFonts w:eastAsia="Times New Roman" w:cs="Times New Roman"/>
      <w:b/>
      <w:bCs/>
      <w:sz w:val="26"/>
      <w:szCs w:val="26"/>
      <w:u w:val="single"/>
      <w:lang w:eastAsia="pt-BR"/>
    </w:rPr>
  </w:style>
  <w:style w:type="character" w:customStyle="1" w:styleId="TpicoChar">
    <w:name w:val="Tópico Char"/>
    <w:basedOn w:val="DefaultParagraphFont"/>
    <w:link w:val="Tpico"/>
    <w:rsid w:val="00DF6FC6"/>
    <w:rPr>
      <w:rFonts w:eastAsia="Times New Roman" w:cs="Times New Roman"/>
      <w:b/>
      <w:bCs/>
      <w:sz w:val="26"/>
      <w:szCs w:val="26"/>
      <w:u w:val="single"/>
      <w:lang w:eastAsia="pt-BR"/>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qFormat/>
    <w:rsid w:val="005D2870"/>
    <w:rPr>
      <w:rFonts w:ascii="Verdana" w:hAnsi="Verdana"/>
      <w:sz w:val="16"/>
      <w:vertAlign w:val="superscript"/>
    </w:rPr>
  </w:style>
  <w:style w:type="character" w:customStyle="1" w:styleId="FootnoteAnchor">
    <w:name w:val="Footnote Anchor"/>
    <w:rsid w:val="005D2870"/>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C,ft"/>
    <w:basedOn w:val="Normal"/>
    <w:link w:val="FootnoteTextChar"/>
    <w:autoRedefine/>
    <w:qFormat/>
    <w:rsid w:val="005D2870"/>
    <w:pPr>
      <w:spacing w:before="120" w:after="120"/>
    </w:pPr>
    <w:rPr>
      <w:rFonts w:eastAsia="Times"/>
      <w:sz w:val="16"/>
      <w:szCs w:val="20"/>
      <w:lang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5D2870"/>
    <w:rPr>
      <w:rFonts w:ascii="Verdana" w:eastAsia="Times" w:hAnsi="Verdana" w:cs="Times New Roman"/>
      <w:sz w:val="16"/>
      <w:szCs w:val="20"/>
      <w:lang w:val="en-US" w:eastAsia="x-none"/>
    </w:rPr>
  </w:style>
  <w:style w:type="character" w:customStyle="1" w:styleId="Heading2Char">
    <w:name w:val="Heading 2 Char"/>
    <w:basedOn w:val="DefaultParagraphFont"/>
    <w:link w:val="Heading2"/>
    <w:rsid w:val="005D2870"/>
    <w:rPr>
      <w:rFonts w:ascii="Verdana" w:eastAsia="Times New Roman" w:hAnsi="Verdana" w:cs="Times New Roman"/>
      <w:b/>
      <w:bCs/>
      <w:iCs/>
      <w:sz w:val="20"/>
      <w:szCs w:val="28"/>
      <w:lang w:val="en-US"/>
    </w:rPr>
  </w:style>
  <w:style w:type="paragraph" w:customStyle="1" w:styleId="ColorfulList-Accent12">
    <w:name w:val="Colorful List - Accent 12"/>
    <w:basedOn w:val="Normal"/>
    <w:uiPriority w:val="34"/>
    <w:qFormat/>
    <w:rsid w:val="005D2870"/>
    <w:pPr>
      <w:ind w:left="708"/>
    </w:pPr>
  </w:style>
  <w:style w:type="paragraph" w:customStyle="1" w:styleId="Textonotapie1">
    <w:name w:val="Texto nota pie1"/>
    <w:basedOn w:val="Normal"/>
    <w:qFormat/>
    <w:rsid w:val="005D2870"/>
    <w:pPr>
      <w:jc w:val="left"/>
    </w:pPr>
    <w:rPr>
      <w:rFonts w:ascii="Times New Roman" w:hAnsi="Times New Roman"/>
      <w:szCs w:val="20"/>
      <w:lang w:eastAsia="es-ES"/>
    </w:rPr>
  </w:style>
  <w:style w:type="character" w:customStyle="1" w:styleId="InternetLink">
    <w:name w:val="Internet Link"/>
    <w:rsid w:val="005D2870"/>
    <w:rPr>
      <w:color w:val="0000FF"/>
      <w:u w:val="single"/>
    </w:rPr>
  </w:style>
  <w:style w:type="paragraph" w:styleId="EndnoteText">
    <w:name w:val="endnote text"/>
    <w:basedOn w:val="Normal"/>
    <w:link w:val="EndnoteTextChar"/>
    <w:qFormat/>
    <w:rsid w:val="00F27259"/>
    <w:rPr>
      <w:szCs w:val="20"/>
    </w:rPr>
  </w:style>
  <w:style w:type="character" w:customStyle="1" w:styleId="EndnoteTextChar">
    <w:name w:val="Endnote Text Char"/>
    <w:basedOn w:val="DefaultParagraphFont"/>
    <w:link w:val="EndnoteText"/>
    <w:rsid w:val="00F27259"/>
    <w:rPr>
      <w:rFonts w:ascii="Verdana" w:eastAsia="Times New Roman" w:hAnsi="Verdana" w:cs="Times New Roman"/>
      <w:sz w:val="20"/>
      <w:szCs w:val="20"/>
      <w:lang w:val="en-US"/>
    </w:rPr>
  </w:style>
  <w:style w:type="paragraph" w:styleId="ListParagraph">
    <w:name w:val="List Paragraph"/>
    <w:basedOn w:val="Normal"/>
    <w:link w:val="ListParagraphChar"/>
    <w:qFormat/>
    <w:rsid w:val="00093F36"/>
    <w:pPr>
      <w:spacing w:after="200" w:line="276" w:lineRule="auto"/>
      <w:ind w:left="720"/>
      <w:contextualSpacing/>
      <w:jc w:val="left"/>
    </w:pPr>
    <w:rPr>
      <w:rFonts w:ascii="Calibri" w:hAnsi="Calibri"/>
      <w:sz w:val="22"/>
      <w:szCs w:val="22"/>
      <w:lang w:val="es-ES"/>
    </w:rPr>
  </w:style>
  <w:style w:type="character" w:customStyle="1" w:styleId="ListParagraphChar">
    <w:name w:val="List Paragraph Char"/>
    <w:link w:val="ListParagraph"/>
    <w:uiPriority w:val="34"/>
    <w:locked/>
    <w:rsid w:val="00093F36"/>
    <w:rPr>
      <w:rFonts w:ascii="Calibri" w:eastAsia="Times New Roman" w:hAnsi="Calibri" w:cs="Times New Roman"/>
      <w:lang w:val="es-ES"/>
    </w:rPr>
  </w:style>
  <w:style w:type="paragraph" w:customStyle="1" w:styleId="PrrafodeSentencia">
    <w:name w:val="*. Párrafo de Sentencia"/>
    <w:link w:val="PrrafodeSentenciaChar"/>
    <w:autoRedefine/>
    <w:qFormat/>
    <w:rsid w:val="003501A9"/>
    <w:pPr>
      <w:numPr>
        <w:numId w:val="12"/>
      </w:numPr>
      <w:spacing w:after="240"/>
      <w:ind w:left="0" w:firstLine="0"/>
      <w:jc w:val="both"/>
    </w:pPr>
    <w:rPr>
      <w:rFonts w:ascii="Verdana" w:eastAsia="Batang" w:hAnsi="Verdana" w:cs="Arial"/>
      <w:sz w:val="20"/>
      <w:szCs w:val="20"/>
      <w:shd w:val="clear" w:color="auto" w:fill="FFFFFF"/>
      <w:lang w:val="es-UY" w:eastAsia="es-MX"/>
    </w:rPr>
  </w:style>
  <w:style w:type="character" w:customStyle="1" w:styleId="PrrafodeSentenciaChar">
    <w:name w:val="*. Párrafo de Sentencia Char"/>
    <w:link w:val="PrrafodeSentencia"/>
    <w:locked/>
    <w:rsid w:val="003501A9"/>
    <w:rPr>
      <w:rFonts w:ascii="Verdana" w:eastAsia="Batang" w:hAnsi="Verdana" w:cs="Arial"/>
      <w:sz w:val="20"/>
      <w:szCs w:val="20"/>
      <w:lang w:val="es-UY" w:eastAsia="es-MX"/>
    </w:rPr>
  </w:style>
  <w:style w:type="table" w:styleId="ColorfulList-Accent1">
    <w:name w:val="Colorful List Accent 1"/>
    <w:basedOn w:val="TableNormal"/>
    <w:uiPriority w:val="72"/>
    <w:semiHidden/>
    <w:unhideWhenUsed/>
    <w:rsid w:val="00093F36"/>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Strong">
    <w:name w:val="Strong"/>
    <w:uiPriority w:val="22"/>
    <w:qFormat/>
    <w:rsid w:val="00200318"/>
    <w:rPr>
      <w:b/>
    </w:rPr>
  </w:style>
  <w:style w:type="character" w:styleId="Hyperlink">
    <w:name w:val="Hyperlink"/>
    <w:basedOn w:val="DefaultParagraphFont"/>
    <w:uiPriority w:val="99"/>
    <w:unhideWhenUsed/>
    <w:rsid w:val="002A2513"/>
    <w:rPr>
      <w:color w:val="0563C1" w:themeColor="hyperlink"/>
      <w:u w:val="single"/>
    </w:rPr>
  </w:style>
  <w:style w:type="paragraph" w:styleId="Header">
    <w:name w:val="header"/>
    <w:basedOn w:val="Normal"/>
    <w:link w:val="HeaderChar"/>
    <w:uiPriority w:val="99"/>
    <w:unhideWhenUsed/>
    <w:rsid w:val="00566421"/>
    <w:pPr>
      <w:tabs>
        <w:tab w:val="center" w:pos="4252"/>
        <w:tab w:val="right" w:pos="8504"/>
      </w:tabs>
    </w:pPr>
  </w:style>
  <w:style w:type="character" w:customStyle="1" w:styleId="HeaderChar">
    <w:name w:val="Header Char"/>
    <w:basedOn w:val="DefaultParagraphFont"/>
    <w:link w:val="Header"/>
    <w:uiPriority w:val="99"/>
    <w:rsid w:val="00566421"/>
    <w:rPr>
      <w:rFonts w:ascii="Verdana" w:eastAsia="Times New Roman" w:hAnsi="Verdana" w:cs="Times New Roman"/>
      <w:sz w:val="20"/>
      <w:szCs w:val="24"/>
      <w:lang w:val="en-US"/>
    </w:rPr>
  </w:style>
  <w:style w:type="paragraph" w:styleId="Footer">
    <w:name w:val="footer"/>
    <w:basedOn w:val="Normal"/>
    <w:link w:val="FooterChar"/>
    <w:uiPriority w:val="99"/>
    <w:unhideWhenUsed/>
    <w:rsid w:val="00566421"/>
    <w:pPr>
      <w:tabs>
        <w:tab w:val="center" w:pos="4252"/>
        <w:tab w:val="right" w:pos="8504"/>
      </w:tabs>
    </w:pPr>
  </w:style>
  <w:style w:type="character" w:customStyle="1" w:styleId="FooterChar">
    <w:name w:val="Footer Char"/>
    <w:basedOn w:val="DefaultParagraphFont"/>
    <w:link w:val="Footer"/>
    <w:uiPriority w:val="99"/>
    <w:rsid w:val="00566421"/>
    <w:rPr>
      <w:rFonts w:ascii="Verdana" w:eastAsia="Times New Roman" w:hAnsi="Verdana" w:cs="Times New Roman"/>
      <w:sz w:val="20"/>
      <w:szCs w:val="24"/>
      <w:lang w:val="en-US"/>
    </w:rPr>
  </w:style>
  <w:style w:type="paragraph" w:styleId="NormalWeb">
    <w:name w:val="Normal (Web)"/>
    <w:basedOn w:val="Normal"/>
    <w:uiPriority w:val="99"/>
    <w:semiHidden/>
    <w:unhideWhenUsed/>
    <w:rsid w:val="003C3FA5"/>
    <w:rPr>
      <w:rFonts w:ascii="Times New Roman" w:hAnsi="Times New Roman"/>
      <w:sz w:val="24"/>
    </w:rPr>
  </w:style>
  <w:style w:type="character" w:styleId="CommentReference">
    <w:name w:val="annotation reference"/>
    <w:basedOn w:val="DefaultParagraphFont"/>
    <w:uiPriority w:val="99"/>
    <w:semiHidden/>
    <w:unhideWhenUsed/>
    <w:rsid w:val="001A2DF6"/>
    <w:rPr>
      <w:sz w:val="16"/>
      <w:szCs w:val="16"/>
    </w:rPr>
  </w:style>
  <w:style w:type="paragraph" w:styleId="CommentText">
    <w:name w:val="annotation text"/>
    <w:basedOn w:val="Normal"/>
    <w:link w:val="CommentTextChar"/>
    <w:uiPriority w:val="99"/>
    <w:semiHidden/>
    <w:unhideWhenUsed/>
    <w:rsid w:val="001A2DF6"/>
    <w:rPr>
      <w:szCs w:val="20"/>
    </w:rPr>
  </w:style>
  <w:style w:type="character" w:customStyle="1" w:styleId="CommentTextChar">
    <w:name w:val="Comment Text Char"/>
    <w:basedOn w:val="DefaultParagraphFont"/>
    <w:link w:val="CommentText"/>
    <w:uiPriority w:val="99"/>
    <w:semiHidden/>
    <w:rsid w:val="001A2DF6"/>
    <w:rPr>
      <w:rFonts w:ascii="Verdana" w:eastAsia="Times New Roman"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A2DF6"/>
    <w:rPr>
      <w:b/>
      <w:bCs/>
    </w:rPr>
  </w:style>
  <w:style w:type="character" w:customStyle="1" w:styleId="CommentSubjectChar">
    <w:name w:val="Comment Subject Char"/>
    <w:basedOn w:val="CommentTextChar"/>
    <w:link w:val="CommentSubject"/>
    <w:uiPriority w:val="99"/>
    <w:semiHidden/>
    <w:rsid w:val="001A2DF6"/>
    <w:rPr>
      <w:rFonts w:ascii="Verdana" w:eastAsia="Times New Roman" w:hAnsi="Verdana" w:cs="Times New Roman"/>
      <w:b/>
      <w:bCs/>
      <w:sz w:val="20"/>
      <w:szCs w:val="20"/>
      <w:lang w:val="en-US"/>
    </w:rPr>
  </w:style>
  <w:style w:type="paragraph" w:styleId="BalloonText">
    <w:name w:val="Balloon Text"/>
    <w:basedOn w:val="Normal"/>
    <w:link w:val="BalloonTextChar"/>
    <w:uiPriority w:val="99"/>
    <w:semiHidden/>
    <w:unhideWhenUsed/>
    <w:rsid w:val="001A2DF6"/>
    <w:rPr>
      <w:rFonts w:ascii="Tahoma" w:hAnsi="Tahoma" w:cs="Tahoma"/>
      <w:sz w:val="16"/>
      <w:szCs w:val="16"/>
    </w:rPr>
  </w:style>
  <w:style w:type="character" w:customStyle="1" w:styleId="BalloonTextChar">
    <w:name w:val="Balloon Text Char"/>
    <w:basedOn w:val="DefaultParagraphFont"/>
    <w:link w:val="BalloonText"/>
    <w:uiPriority w:val="99"/>
    <w:semiHidden/>
    <w:rsid w:val="001A2DF6"/>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4B7D5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ndale Sans U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70"/>
    <w:pPr>
      <w:spacing w:after="0" w:line="240" w:lineRule="auto"/>
      <w:jc w:val="both"/>
    </w:pPr>
    <w:rPr>
      <w:rFonts w:ascii="Verdana" w:eastAsia="Times New Roman" w:hAnsi="Verdana" w:cs="Times New Roman"/>
      <w:sz w:val="20"/>
      <w:szCs w:val="24"/>
      <w:lang w:val="en-US"/>
    </w:rPr>
  </w:style>
  <w:style w:type="paragraph" w:styleId="Heading2">
    <w:name w:val="heading 2"/>
    <w:basedOn w:val="Normal"/>
    <w:next w:val="Normal"/>
    <w:link w:val="Heading2Char"/>
    <w:qFormat/>
    <w:rsid w:val="005D2870"/>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risprudncia">
    <w:name w:val="jurisprudência"/>
    <w:basedOn w:val="Normal"/>
    <w:link w:val="jurisprudnciaChar"/>
    <w:autoRedefine/>
    <w:qFormat/>
    <w:rsid w:val="00CA1F77"/>
    <w:pPr>
      <w:ind w:left="1701"/>
    </w:pPr>
    <w:rPr>
      <w:rFonts w:asciiTheme="minorHAnsi" w:hAnsiTheme="minorHAnsi" w:cstheme="minorBidi"/>
      <w:sz w:val="22"/>
      <w:szCs w:val="22"/>
    </w:rPr>
  </w:style>
  <w:style w:type="character" w:customStyle="1" w:styleId="jurisprudnciaChar">
    <w:name w:val="jurisprudência Char"/>
    <w:basedOn w:val="DefaultParagraphFont"/>
    <w:link w:val="jurisprudncia"/>
    <w:rsid w:val="00CA1F77"/>
  </w:style>
  <w:style w:type="paragraph" w:customStyle="1" w:styleId="Tpico">
    <w:name w:val="Tópico"/>
    <w:link w:val="TpicoChar"/>
    <w:autoRedefine/>
    <w:qFormat/>
    <w:rsid w:val="00DF6FC6"/>
    <w:pPr>
      <w:widowControl w:val="0"/>
      <w:numPr>
        <w:numId w:val="7"/>
      </w:numPr>
      <w:suppressAutoHyphens/>
      <w:spacing w:before="240" w:after="240" w:line="100" w:lineRule="atLeast"/>
      <w:ind w:left="714" w:hanging="357"/>
      <w:jc w:val="center"/>
    </w:pPr>
    <w:rPr>
      <w:rFonts w:eastAsia="Times New Roman" w:cs="Times New Roman"/>
      <w:b/>
      <w:bCs/>
      <w:sz w:val="26"/>
      <w:szCs w:val="26"/>
      <w:u w:val="single"/>
      <w:lang w:eastAsia="pt-BR"/>
    </w:rPr>
  </w:style>
  <w:style w:type="character" w:customStyle="1" w:styleId="TpicoChar">
    <w:name w:val="Tópico Char"/>
    <w:basedOn w:val="DefaultParagraphFont"/>
    <w:link w:val="Tpico"/>
    <w:rsid w:val="00DF6FC6"/>
    <w:rPr>
      <w:rFonts w:eastAsia="Times New Roman" w:cs="Times New Roman"/>
      <w:b/>
      <w:bCs/>
      <w:sz w:val="26"/>
      <w:szCs w:val="26"/>
      <w:u w:val="single"/>
      <w:lang w:eastAsia="pt-BR"/>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qFormat/>
    <w:rsid w:val="005D2870"/>
    <w:rPr>
      <w:rFonts w:ascii="Verdana" w:hAnsi="Verdana"/>
      <w:sz w:val="16"/>
      <w:vertAlign w:val="superscript"/>
    </w:rPr>
  </w:style>
  <w:style w:type="character" w:customStyle="1" w:styleId="FootnoteAnchor">
    <w:name w:val="Footnote Anchor"/>
    <w:rsid w:val="005D2870"/>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C,ft"/>
    <w:basedOn w:val="Normal"/>
    <w:link w:val="FootnoteTextChar"/>
    <w:autoRedefine/>
    <w:qFormat/>
    <w:rsid w:val="005D2870"/>
    <w:pPr>
      <w:spacing w:before="120" w:after="120"/>
    </w:pPr>
    <w:rPr>
      <w:rFonts w:eastAsia="Times"/>
      <w:sz w:val="16"/>
      <w:szCs w:val="20"/>
      <w:lang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5D2870"/>
    <w:rPr>
      <w:rFonts w:ascii="Verdana" w:eastAsia="Times" w:hAnsi="Verdana" w:cs="Times New Roman"/>
      <w:sz w:val="16"/>
      <w:szCs w:val="20"/>
      <w:lang w:val="en-US" w:eastAsia="x-none"/>
    </w:rPr>
  </w:style>
  <w:style w:type="character" w:customStyle="1" w:styleId="Heading2Char">
    <w:name w:val="Heading 2 Char"/>
    <w:basedOn w:val="DefaultParagraphFont"/>
    <w:link w:val="Heading2"/>
    <w:rsid w:val="005D2870"/>
    <w:rPr>
      <w:rFonts w:ascii="Verdana" w:eastAsia="Times New Roman" w:hAnsi="Verdana" w:cs="Times New Roman"/>
      <w:b/>
      <w:bCs/>
      <w:iCs/>
      <w:sz w:val="20"/>
      <w:szCs w:val="28"/>
      <w:lang w:val="en-US"/>
    </w:rPr>
  </w:style>
  <w:style w:type="paragraph" w:customStyle="1" w:styleId="ColorfulList-Accent12">
    <w:name w:val="Colorful List - Accent 12"/>
    <w:basedOn w:val="Normal"/>
    <w:uiPriority w:val="34"/>
    <w:qFormat/>
    <w:rsid w:val="005D2870"/>
    <w:pPr>
      <w:ind w:left="708"/>
    </w:pPr>
  </w:style>
  <w:style w:type="paragraph" w:customStyle="1" w:styleId="Textonotapie1">
    <w:name w:val="Texto nota pie1"/>
    <w:basedOn w:val="Normal"/>
    <w:qFormat/>
    <w:rsid w:val="005D2870"/>
    <w:pPr>
      <w:jc w:val="left"/>
    </w:pPr>
    <w:rPr>
      <w:rFonts w:ascii="Times New Roman" w:hAnsi="Times New Roman"/>
      <w:szCs w:val="20"/>
      <w:lang w:eastAsia="es-ES"/>
    </w:rPr>
  </w:style>
  <w:style w:type="character" w:customStyle="1" w:styleId="InternetLink">
    <w:name w:val="Internet Link"/>
    <w:rsid w:val="005D2870"/>
    <w:rPr>
      <w:color w:val="0000FF"/>
      <w:u w:val="single"/>
    </w:rPr>
  </w:style>
  <w:style w:type="paragraph" w:styleId="EndnoteText">
    <w:name w:val="endnote text"/>
    <w:basedOn w:val="Normal"/>
    <w:link w:val="EndnoteTextChar"/>
    <w:qFormat/>
    <w:rsid w:val="00F27259"/>
    <w:rPr>
      <w:szCs w:val="20"/>
    </w:rPr>
  </w:style>
  <w:style w:type="character" w:customStyle="1" w:styleId="EndnoteTextChar">
    <w:name w:val="Endnote Text Char"/>
    <w:basedOn w:val="DefaultParagraphFont"/>
    <w:link w:val="EndnoteText"/>
    <w:rsid w:val="00F27259"/>
    <w:rPr>
      <w:rFonts w:ascii="Verdana" w:eastAsia="Times New Roman" w:hAnsi="Verdana" w:cs="Times New Roman"/>
      <w:sz w:val="20"/>
      <w:szCs w:val="20"/>
      <w:lang w:val="en-US"/>
    </w:rPr>
  </w:style>
  <w:style w:type="paragraph" w:styleId="ListParagraph">
    <w:name w:val="List Paragraph"/>
    <w:basedOn w:val="Normal"/>
    <w:link w:val="ListParagraphChar"/>
    <w:qFormat/>
    <w:rsid w:val="00093F36"/>
    <w:pPr>
      <w:spacing w:after="200" w:line="276" w:lineRule="auto"/>
      <w:ind w:left="720"/>
      <w:contextualSpacing/>
      <w:jc w:val="left"/>
    </w:pPr>
    <w:rPr>
      <w:rFonts w:ascii="Calibri" w:hAnsi="Calibri"/>
      <w:sz w:val="22"/>
      <w:szCs w:val="22"/>
      <w:lang w:val="es-ES"/>
    </w:rPr>
  </w:style>
  <w:style w:type="character" w:customStyle="1" w:styleId="ListParagraphChar">
    <w:name w:val="List Paragraph Char"/>
    <w:link w:val="ListParagraph"/>
    <w:uiPriority w:val="34"/>
    <w:locked/>
    <w:rsid w:val="00093F36"/>
    <w:rPr>
      <w:rFonts w:ascii="Calibri" w:eastAsia="Times New Roman" w:hAnsi="Calibri" w:cs="Times New Roman"/>
      <w:lang w:val="es-ES"/>
    </w:rPr>
  </w:style>
  <w:style w:type="paragraph" w:customStyle="1" w:styleId="PrrafodeSentencia">
    <w:name w:val="*. Párrafo de Sentencia"/>
    <w:link w:val="PrrafodeSentenciaChar"/>
    <w:autoRedefine/>
    <w:qFormat/>
    <w:rsid w:val="003501A9"/>
    <w:pPr>
      <w:numPr>
        <w:numId w:val="12"/>
      </w:numPr>
      <w:spacing w:after="240"/>
      <w:ind w:left="0" w:firstLine="0"/>
      <w:jc w:val="both"/>
    </w:pPr>
    <w:rPr>
      <w:rFonts w:ascii="Verdana" w:eastAsia="Batang" w:hAnsi="Verdana" w:cs="Arial"/>
      <w:sz w:val="20"/>
      <w:szCs w:val="20"/>
      <w:shd w:val="clear" w:color="auto" w:fill="FFFFFF"/>
      <w:lang w:val="es-UY" w:eastAsia="es-MX"/>
    </w:rPr>
  </w:style>
  <w:style w:type="character" w:customStyle="1" w:styleId="PrrafodeSentenciaChar">
    <w:name w:val="*. Párrafo de Sentencia Char"/>
    <w:link w:val="PrrafodeSentencia"/>
    <w:locked/>
    <w:rsid w:val="003501A9"/>
    <w:rPr>
      <w:rFonts w:ascii="Verdana" w:eastAsia="Batang" w:hAnsi="Verdana" w:cs="Arial"/>
      <w:sz w:val="20"/>
      <w:szCs w:val="20"/>
      <w:lang w:val="es-UY" w:eastAsia="es-MX"/>
    </w:rPr>
  </w:style>
  <w:style w:type="table" w:styleId="ColorfulList-Accent1">
    <w:name w:val="Colorful List Accent 1"/>
    <w:basedOn w:val="TableNormal"/>
    <w:uiPriority w:val="72"/>
    <w:semiHidden/>
    <w:unhideWhenUsed/>
    <w:rsid w:val="00093F36"/>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Strong">
    <w:name w:val="Strong"/>
    <w:uiPriority w:val="22"/>
    <w:qFormat/>
    <w:rsid w:val="00200318"/>
    <w:rPr>
      <w:b/>
    </w:rPr>
  </w:style>
  <w:style w:type="character" w:styleId="Hyperlink">
    <w:name w:val="Hyperlink"/>
    <w:basedOn w:val="DefaultParagraphFont"/>
    <w:uiPriority w:val="99"/>
    <w:unhideWhenUsed/>
    <w:rsid w:val="002A2513"/>
    <w:rPr>
      <w:color w:val="0563C1" w:themeColor="hyperlink"/>
      <w:u w:val="single"/>
    </w:rPr>
  </w:style>
  <w:style w:type="paragraph" w:styleId="Header">
    <w:name w:val="header"/>
    <w:basedOn w:val="Normal"/>
    <w:link w:val="HeaderChar"/>
    <w:uiPriority w:val="99"/>
    <w:unhideWhenUsed/>
    <w:rsid w:val="00566421"/>
    <w:pPr>
      <w:tabs>
        <w:tab w:val="center" w:pos="4252"/>
        <w:tab w:val="right" w:pos="8504"/>
      </w:tabs>
    </w:pPr>
  </w:style>
  <w:style w:type="character" w:customStyle="1" w:styleId="HeaderChar">
    <w:name w:val="Header Char"/>
    <w:basedOn w:val="DefaultParagraphFont"/>
    <w:link w:val="Header"/>
    <w:uiPriority w:val="99"/>
    <w:rsid w:val="00566421"/>
    <w:rPr>
      <w:rFonts w:ascii="Verdana" w:eastAsia="Times New Roman" w:hAnsi="Verdana" w:cs="Times New Roman"/>
      <w:sz w:val="20"/>
      <w:szCs w:val="24"/>
      <w:lang w:val="en-US"/>
    </w:rPr>
  </w:style>
  <w:style w:type="paragraph" w:styleId="Footer">
    <w:name w:val="footer"/>
    <w:basedOn w:val="Normal"/>
    <w:link w:val="FooterChar"/>
    <w:uiPriority w:val="99"/>
    <w:unhideWhenUsed/>
    <w:rsid w:val="00566421"/>
    <w:pPr>
      <w:tabs>
        <w:tab w:val="center" w:pos="4252"/>
        <w:tab w:val="right" w:pos="8504"/>
      </w:tabs>
    </w:pPr>
  </w:style>
  <w:style w:type="character" w:customStyle="1" w:styleId="FooterChar">
    <w:name w:val="Footer Char"/>
    <w:basedOn w:val="DefaultParagraphFont"/>
    <w:link w:val="Footer"/>
    <w:uiPriority w:val="99"/>
    <w:rsid w:val="00566421"/>
    <w:rPr>
      <w:rFonts w:ascii="Verdana" w:eastAsia="Times New Roman" w:hAnsi="Verdana" w:cs="Times New Roman"/>
      <w:sz w:val="20"/>
      <w:szCs w:val="24"/>
      <w:lang w:val="en-US"/>
    </w:rPr>
  </w:style>
  <w:style w:type="paragraph" w:styleId="NormalWeb">
    <w:name w:val="Normal (Web)"/>
    <w:basedOn w:val="Normal"/>
    <w:uiPriority w:val="99"/>
    <w:semiHidden/>
    <w:unhideWhenUsed/>
    <w:rsid w:val="003C3FA5"/>
    <w:rPr>
      <w:rFonts w:ascii="Times New Roman" w:hAnsi="Times New Roman"/>
      <w:sz w:val="24"/>
    </w:rPr>
  </w:style>
  <w:style w:type="character" w:styleId="CommentReference">
    <w:name w:val="annotation reference"/>
    <w:basedOn w:val="DefaultParagraphFont"/>
    <w:uiPriority w:val="99"/>
    <w:semiHidden/>
    <w:unhideWhenUsed/>
    <w:rsid w:val="001A2DF6"/>
    <w:rPr>
      <w:sz w:val="16"/>
      <w:szCs w:val="16"/>
    </w:rPr>
  </w:style>
  <w:style w:type="paragraph" w:styleId="CommentText">
    <w:name w:val="annotation text"/>
    <w:basedOn w:val="Normal"/>
    <w:link w:val="CommentTextChar"/>
    <w:uiPriority w:val="99"/>
    <w:semiHidden/>
    <w:unhideWhenUsed/>
    <w:rsid w:val="001A2DF6"/>
    <w:rPr>
      <w:szCs w:val="20"/>
    </w:rPr>
  </w:style>
  <w:style w:type="character" w:customStyle="1" w:styleId="CommentTextChar">
    <w:name w:val="Comment Text Char"/>
    <w:basedOn w:val="DefaultParagraphFont"/>
    <w:link w:val="CommentText"/>
    <w:uiPriority w:val="99"/>
    <w:semiHidden/>
    <w:rsid w:val="001A2DF6"/>
    <w:rPr>
      <w:rFonts w:ascii="Verdana" w:eastAsia="Times New Roman"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A2DF6"/>
    <w:rPr>
      <w:b/>
      <w:bCs/>
    </w:rPr>
  </w:style>
  <w:style w:type="character" w:customStyle="1" w:styleId="CommentSubjectChar">
    <w:name w:val="Comment Subject Char"/>
    <w:basedOn w:val="CommentTextChar"/>
    <w:link w:val="CommentSubject"/>
    <w:uiPriority w:val="99"/>
    <w:semiHidden/>
    <w:rsid w:val="001A2DF6"/>
    <w:rPr>
      <w:rFonts w:ascii="Verdana" w:eastAsia="Times New Roman" w:hAnsi="Verdana" w:cs="Times New Roman"/>
      <w:b/>
      <w:bCs/>
      <w:sz w:val="20"/>
      <w:szCs w:val="20"/>
      <w:lang w:val="en-US"/>
    </w:rPr>
  </w:style>
  <w:style w:type="paragraph" w:styleId="BalloonText">
    <w:name w:val="Balloon Text"/>
    <w:basedOn w:val="Normal"/>
    <w:link w:val="BalloonTextChar"/>
    <w:uiPriority w:val="99"/>
    <w:semiHidden/>
    <w:unhideWhenUsed/>
    <w:rsid w:val="001A2DF6"/>
    <w:rPr>
      <w:rFonts w:ascii="Tahoma" w:hAnsi="Tahoma" w:cs="Tahoma"/>
      <w:sz w:val="16"/>
      <w:szCs w:val="16"/>
    </w:rPr>
  </w:style>
  <w:style w:type="character" w:customStyle="1" w:styleId="BalloonTextChar">
    <w:name w:val="Balloon Text Char"/>
    <w:basedOn w:val="DefaultParagraphFont"/>
    <w:link w:val="BalloonText"/>
    <w:uiPriority w:val="99"/>
    <w:semiHidden/>
    <w:rsid w:val="001A2DF6"/>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4B7D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785675">
      <w:bodyDiv w:val="1"/>
      <w:marLeft w:val="0"/>
      <w:marRight w:val="0"/>
      <w:marTop w:val="0"/>
      <w:marBottom w:val="0"/>
      <w:divBdr>
        <w:top w:val="none" w:sz="0" w:space="0" w:color="auto"/>
        <w:left w:val="none" w:sz="0" w:space="0" w:color="auto"/>
        <w:bottom w:val="none" w:sz="0" w:space="0" w:color="auto"/>
        <w:right w:val="none" w:sz="0" w:space="0" w:color="auto"/>
      </w:divBdr>
    </w:div>
    <w:div w:id="1716731629">
      <w:bodyDiv w:val="1"/>
      <w:marLeft w:val="0"/>
      <w:marRight w:val="0"/>
      <w:marTop w:val="0"/>
      <w:marBottom w:val="0"/>
      <w:divBdr>
        <w:top w:val="none" w:sz="0" w:space="0" w:color="auto"/>
        <w:left w:val="none" w:sz="0" w:space="0" w:color="auto"/>
        <w:bottom w:val="none" w:sz="0" w:space="0" w:color="auto"/>
        <w:right w:val="none" w:sz="0" w:space="0" w:color="auto"/>
      </w:divBdr>
    </w:div>
    <w:div w:id="192120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treaties.un.org/Pages/ViewDetails.aspx?src=TREATY&amp;mtdsg_no=IV-3&amp;chapter=4&amp;clang=_en"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5517A-5660-454E-8E35-30E34EC4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1805</Words>
  <Characters>9933</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dcterms:created xsi:type="dcterms:W3CDTF">2016-10-28T20:43:00Z</dcterms:created>
  <dcterms:modified xsi:type="dcterms:W3CDTF">2016-10-28T20:43:00Z</dcterms:modified>
</cp:coreProperties>
</file>