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0C27" w14:textId="77777777" w:rsidR="00913000" w:rsidRDefault="00913000" w:rsidP="00E85D82">
      <w:pPr>
        <w:outlineLvl w:val="0"/>
        <w:rPr>
          <w:rFonts w:eastAsia="Verdana" w:cs="Verdana"/>
          <w:b/>
          <w:bCs/>
          <w:szCs w:val="20"/>
          <w:lang w:val="es-CR"/>
        </w:rPr>
      </w:pPr>
    </w:p>
    <w:p w14:paraId="61A43877" w14:textId="77777777" w:rsidR="00601067" w:rsidRDefault="00601067" w:rsidP="00913000">
      <w:pPr>
        <w:outlineLvl w:val="0"/>
        <w:rPr>
          <w:rFonts w:eastAsia="Verdana" w:cs="Verdana"/>
          <w:b/>
          <w:bCs/>
          <w:szCs w:val="20"/>
          <w:lang w:val="es-CR"/>
        </w:rPr>
      </w:pPr>
    </w:p>
    <w:p w14:paraId="2D384F9E" w14:textId="77777777" w:rsidR="00D367A7" w:rsidRPr="001932BE" w:rsidRDefault="00D367A7" w:rsidP="001932BE">
      <w:pPr>
        <w:jc w:val="center"/>
        <w:outlineLvl w:val="0"/>
        <w:rPr>
          <w:rFonts w:eastAsia="Verdana" w:cs="Verdana"/>
          <w:b/>
          <w:bCs/>
          <w:szCs w:val="20"/>
          <w:lang w:val="es-CR"/>
        </w:rPr>
      </w:pPr>
      <w:r w:rsidRPr="001932BE">
        <w:rPr>
          <w:rFonts w:eastAsia="Verdana" w:cs="Verdana"/>
          <w:b/>
          <w:bCs/>
          <w:szCs w:val="20"/>
          <w:lang w:val="es-CR"/>
        </w:rPr>
        <w:t>VOTO RAZONADO DEL JUEZ ROBERTO F. CALDAS</w:t>
      </w:r>
    </w:p>
    <w:p w14:paraId="56E981BC" w14:textId="77777777" w:rsidR="005537F4" w:rsidRPr="001932BE" w:rsidRDefault="005537F4" w:rsidP="001932BE">
      <w:pPr>
        <w:jc w:val="center"/>
        <w:outlineLvl w:val="0"/>
        <w:rPr>
          <w:szCs w:val="20"/>
          <w:lang w:val="es-CR"/>
        </w:rPr>
      </w:pPr>
    </w:p>
    <w:p w14:paraId="64533524" w14:textId="77777777" w:rsidR="00D367A7" w:rsidRPr="001932BE" w:rsidRDefault="00D367A7" w:rsidP="001932BE">
      <w:pPr>
        <w:jc w:val="center"/>
        <w:outlineLvl w:val="0"/>
        <w:rPr>
          <w:rFonts w:eastAsia="Verdana" w:cs="Verdana"/>
          <w:b/>
          <w:bCs/>
          <w:szCs w:val="20"/>
          <w:lang w:val="es-CR"/>
        </w:rPr>
      </w:pPr>
      <w:r w:rsidRPr="001932BE">
        <w:rPr>
          <w:rFonts w:eastAsia="Verdana" w:cs="Verdana"/>
          <w:b/>
          <w:bCs/>
          <w:szCs w:val="20"/>
          <w:lang w:val="es-CR"/>
        </w:rPr>
        <w:t>CORTE INTERAMERICANA DE DERECHOS HUMANOS</w:t>
      </w:r>
    </w:p>
    <w:p w14:paraId="5722EDED" w14:textId="77777777" w:rsidR="005537F4" w:rsidRPr="001932BE" w:rsidRDefault="005537F4" w:rsidP="001932BE">
      <w:pPr>
        <w:jc w:val="center"/>
        <w:outlineLvl w:val="0"/>
        <w:rPr>
          <w:szCs w:val="20"/>
          <w:lang w:val="es-CR"/>
        </w:rPr>
      </w:pPr>
    </w:p>
    <w:p w14:paraId="672A90A0" w14:textId="77777777" w:rsidR="00D367A7" w:rsidRPr="001932BE" w:rsidRDefault="00D367A7" w:rsidP="001932BE">
      <w:pPr>
        <w:ind w:hanging="1418"/>
        <w:jc w:val="center"/>
        <w:outlineLvl w:val="0"/>
        <w:rPr>
          <w:szCs w:val="20"/>
          <w:lang w:val="es-CR"/>
        </w:rPr>
      </w:pPr>
      <w:r w:rsidRPr="001932BE">
        <w:rPr>
          <w:b/>
          <w:bCs/>
          <w:szCs w:val="20"/>
          <w:lang w:val="es-CR"/>
        </w:rPr>
        <w:t>CASO LAGOS DEL CAMPO VS. PERU</w:t>
      </w:r>
    </w:p>
    <w:p w14:paraId="66FB2F34" w14:textId="77777777" w:rsidR="00D367A7" w:rsidRPr="001932BE" w:rsidRDefault="00D367A7" w:rsidP="001932BE">
      <w:pPr>
        <w:tabs>
          <w:tab w:val="left" w:pos="5580"/>
          <w:tab w:val="left" w:pos="6750"/>
        </w:tabs>
        <w:jc w:val="center"/>
        <w:rPr>
          <w:b/>
          <w:szCs w:val="20"/>
          <w:lang w:val="es-MX"/>
        </w:rPr>
      </w:pPr>
    </w:p>
    <w:p w14:paraId="4D4EB901" w14:textId="77777777" w:rsidR="00D367A7" w:rsidRPr="001932BE" w:rsidRDefault="00D367A7" w:rsidP="001932BE">
      <w:pPr>
        <w:jc w:val="center"/>
        <w:outlineLvl w:val="0"/>
        <w:rPr>
          <w:b/>
          <w:szCs w:val="20"/>
          <w:lang w:val="es-MX"/>
        </w:rPr>
      </w:pPr>
      <w:r w:rsidRPr="001932BE">
        <w:rPr>
          <w:b/>
          <w:szCs w:val="20"/>
          <w:lang w:val="es-MX"/>
        </w:rPr>
        <w:t>SENTENCIA DE 31 DE AGOSTO DE 2017</w:t>
      </w:r>
    </w:p>
    <w:p w14:paraId="3479E5D7" w14:textId="2FA24A9C" w:rsidR="00D367A7" w:rsidRPr="001932BE" w:rsidRDefault="00D367A7" w:rsidP="001932BE">
      <w:pPr>
        <w:jc w:val="center"/>
        <w:rPr>
          <w:b/>
          <w:i/>
          <w:szCs w:val="20"/>
          <w:lang w:val="es-MX"/>
        </w:rPr>
      </w:pPr>
      <w:r w:rsidRPr="001932BE">
        <w:rPr>
          <w:b/>
          <w:i/>
          <w:szCs w:val="20"/>
          <w:lang w:val="es-MX"/>
        </w:rPr>
        <w:t>(Excepciones Preliminares, Fondo, Reparaciones y Costas)</w:t>
      </w:r>
    </w:p>
    <w:p w14:paraId="4A48517E" w14:textId="77777777" w:rsidR="002F0569" w:rsidRPr="001932BE" w:rsidRDefault="002F0569" w:rsidP="001932BE">
      <w:pPr>
        <w:jc w:val="center"/>
        <w:rPr>
          <w:b/>
          <w:i/>
          <w:szCs w:val="20"/>
          <w:lang w:val="es-MX"/>
        </w:rPr>
      </w:pPr>
    </w:p>
    <w:p w14:paraId="43733DB3" w14:textId="77777777" w:rsidR="00D367A7" w:rsidRPr="001932BE" w:rsidRDefault="00D367A7" w:rsidP="001932BE">
      <w:pPr>
        <w:rPr>
          <w:vanish/>
          <w:szCs w:val="20"/>
          <w:lang w:val="es-CR"/>
        </w:rPr>
      </w:pPr>
    </w:p>
    <w:p w14:paraId="690DD288" w14:textId="77777777" w:rsidR="000F35A6" w:rsidRPr="001932BE" w:rsidRDefault="00513F2B" w:rsidP="001932BE">
      <w:pPr>
        <w:pStyle w:val="ListParagraph"/>
        <w:numPr>
          <w:ilvl w:val="0"/>
          <w:numId w:val="1"/>
        </w:numPr>
        <w:spacing w:after="0" w:line="240" w:lineRule="auto"/>
        <w:ind w:left="0"/>
        <w:jc w:val="center"/>
        <w:rPr>
          <w:rFonts w:ascii="Verdana" w:hAnsi="Verdana"/>
          <w:b/>
          <w:sz w:val="20"/>
          <w:szCs w:val="20"/>
          <w:u w:val="single"/>
          <w:lang w:val="es-CR"/>
        </w:rPr>
      </w:pPr>
      <w:r w:rsidRPr="001932BE">
        <w:rPr>
          <w:rFonts w:ascii="Verdana" w:hAnsi="Verdana"/>
          <w:b/>
          <w:sz w:val="20"/>
          <w:szCs w:val="20"/>
          <w:u w:val="single"/>
          <w:lang w:val="es-CR"/>
        </w:rPr>
        <w:t>Int</w:t>
      </w:r>
      <w:r w:rsidR="009E2FC9" w:rsidRPr="001932BE">
        <w:rPr>
          <w:rFonts w:ascii="Verdana" w:hAnsi="Verdana"/>
          <w:b/>
          <w:sz w:val="20"/>
          <w:szCs w:val="20"/>
          <w:u w:val="single"/>
          <w:lang w:val="es-CR"/>
        </w:rPr>
        <w:t>roducción y</w:t>
      </w:r>
      <w:r w:rsidR="003E3121" w:rsidRPr="001932BE">
        <w:rPr>
          <w:rFonts w:ascii="Verdana" w:hAnsi="Verdana"/>
          <w:b/>
          <w:sz w:val="20"/>
          <w:szCs w:val="20"/>
          <w:u w:val="single"/>
          <w:lang w:val="es-CR"/>
        </w:rPr>
        <w:t xml:space="preserve"> relevancia de la Sentencia</w:t>
      </w:r>
    </w:p>
    <w:p w14:paraId="3B2600D0" w14:textId="77777777" w:rsidR="00E84FD0" w:rsidRPr="001932BE" w:rsidRDefault="00E84FD0" w:rsidP="001932BE">
      <w:pPr>
        <w:pStyle w:val="ListParagraph"/>
        <w:spacing w:after="0" w:line="240" w:lineRule="auto"/>
        <w:ind w:left="0"/>
        <w:rPr>
          <w:rFonts w:ascii="Verdana" w:hAnsi="Verdana"/>
          <w:b/>
          <w:sz w:val="20"/>
          <w:szCs w:val="20"/>
          <w:u w:val="single"/>
          <w:lang w:val="es-CR"/>
        </w:rPr>
      </w:pPr>
    </w:p>
    <w:p w14:paraId="24DF1439" w14:textId="0BC94F1C" w:rsidR="003540F6" w:rsidRPr="001932BE" w:rsidRDefault="005A5235"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CR"/>
        </w:rPr>
        <w:t>Es</w:t>
      </w:r>
      <w:r w:rsidR="003540F6" w:rsidRPr="001932BE">
        <w:rPr>
          <w:rFonts w:ascii="Verdana" w:hAnsi="Verdana"/>
          <w:sz w:val="20"/>
          <w:szCs w:val="20"/>
          <w:lang w:val="es-CR"/>
        </w:rPr>
        <w:t xml:space="preserve">ta es una decisión histórica, </w:t>
      </w:r>
      <w:r w:rsidR="00C00310" w:rsidRPr="001932BE">
        <w:rPr>
          <w:rFonts w:ascii="Verdana" w:hAnsi="Verdana"/>
          <w:sz w:val="20"/>
          <w:szCs w:val="20"/>
          <w:lang w:val="es-CR"/>
        </w:rPr>
        <w:t xml:space="preserve">que representa </w:t>
      </w:r>
      <w:r w:rsidR="003540F6" w:rsidRPr="001932BE">
        <w:rPr>
          <w:rFonts w:ascii="Verdana" w:hAnsi="Verdana"/>
          <w:sz w:val="20"/>
          <w:szCs w:val="20"/>
          <w:lang w:val="es-CR"/>
        </w:rPr>
        <w:t xml:space="preserve">un </w:t>
      </w:r>
      <w:r w:rsidR="001D7E98" w:rsidRPr="001932BE">
        <w:rPr>
          <w:rFonts w:ascii="Verdana" w:hAnsi="Verdana"/>
          <w:sz w:val="20"/>
          <w:szCs w:val="20"/>
          <w:lang w:val="es-CR"/>
        </w:rPr>
        <w:t>gran</w:t>
      </w:r>
      <w:r w:rsidR="003540F6" w:rsidRPr="001932BE">
        <w:rPr>
          <w:rFonts w:ascii="Verdana" w:hAnsi="Verdana"/>
          <w:sz w:val="20"/>
          <w:szCs w:val="20"/>
          <w:lang w:val="es-CR"/>
        </w:rPr>
        <w:t xml:space="preserve"> paso</w:t>
      </w:r>
      <w:r w:rsidR="001B58C7" w:rsidRPr="001932BE">
        <w:rPr>
          <w:rFonts w:ascii="Verdana" w:hAnsi="Verdana"/>
          <w:sz w:val="20"/>
          <w:szCs w:val="20"/>
          <w:lang w:val="es-CR"/>
        </w:rPr>
        <w:t xml:space="preserve"> jurisprudencial. </w:t>
      </w:r>
      <w:r w:rsidR="00C00310" w:rsidRPr="001932BE">
        <w:rPr>
          <w:rFonts w:ascii="Verdana" w:hAnsi="Verdana"/>
          <w:sz w:val="20"/>
          <w:szCs w:val="20"/>
          <w:lang w:val="es-CR"/>
        </w:rPr>
        <w:t>Si bien, u</w:t>
      </w:r>
      <w:r w:rsidR="001B58C7" w:rsidRPr="001932BE">
        <w:rPr>
          <w:rFonts w:ascii="Verdana" w:hAnsi="Verdana"/>
          <w:sz w:val="20"/>
          <w:szCs w:val="20"/>
          <w:lang w:val="es-CR"/>
        </w:rPr>
        <w:t xml:space="preserve">n </w:t>
      </w:r>
      <w:r w:rsidR="0044708D" w:rsidRPr="001932BE">
        <w:rPr>
          <w:rFonts w:ascii="Verdana" w:hAnsi="Verdana"/>
          <w:sz w:val="20"/>
          <w:szCs w:val="20"/>
          <w:lang w:val="es-CR"/>
        </w:rPr>
        <w:t xml:space="preserve">demorado </w:t>
      </w:r>
      <w:r w:rsidR="00673333" w:rsidRPr="001932BE">
        <w:rPr>
          <w:rFonts w:ascii="Verdana" w:hAnsi="Verdana"/>
          <w:sz w:val="20"/>
          <w:szCs w:val="20"/>
          <w:lang w:val="es-CR"/>
        </w:rPr>
        <w:t>trayecto</w:t>
      </w:r>
      <w:r w:rsidR="001B58C7" w:rsidRPr="001932BE">
        <w:rPr>
          <w:rFonts w:ascii="Verdana" w:hAnsi="Verdana"/>
          <w:sz w:val="20"/>
          <w:szCs w:val="20"/>
          <w:lang w:val="es-CR"/>
        </w:rPr>
        <w:t xml:space="preserve"> </w:t>
      </w:r>
      <w:r w:rsidR="00C00310" w:rsidRPr="001932BE">
        <w:rPr>
          <w:rFonts w:ascii="Verdana" w:hAnsi="Verdana"/>
          <w:sz w:val="20"/>
          <w:szCs w:val="20"/>
          <w:lang w:val="es-CR"/>
        </w:rPr>
        <w:t xml:space="preserve">pero debidamente </w:t>
      </w:r>
      <w:r w:rsidR="001B58C7" w:rsidRPr="001932BE">
        <w:rPr>
          <w:rFonts w:ascii="Verdana" w:hAnsi="Verdana"/>
          <w:sz w:val="20"/>
          <w:szCs w:val="20"/>
          <w:lang w:val="es-CR"/>
        </w:rPr>
        <w:t>estud</w:t>
      </w:r>
      <w:r w:rsidR="0044708D" w:rsidRPr="001932BE">
        <w:rPr>
          <w:rFonts w:ascii="Verdana" w:hAnsi="Verdana"/>
          <w:sz w:val="20"/>
          <w:szCs w:val="20"/>
          <w:lang w:val="es-CR"/>
        </w:rPr>
        <w:t>i</w:t>
      </w:r>
      <w:r w:rsidR="001B58C7" w:rsidRPr="001932BE">
        <w:rPr>
          <w:rFonts w:ascii="Verdana" w:hAnsi="Verdana"/>
          <w:sz w:val="20"/>
          <w:szCs w:val="20"/>
          <w:lang w:val="es-CR"/>
        </w:rPr>
        <w:t xml:space="preserve">ado, </w:t>
      </w:r>
      <w:r w:rsidR="003540F6" w:rsidRPr="001932BE">
        <w:rPr>
          <w:rFonts w:ascii="Verdana" w:hAnsi="Verdana"/>
          <w:sz w:val="20"/>
          <w:szCs w:val="20"/>
          <w:lang w:val="es-CR"/>
        </w:rPr>
        <w:t>reflexionado</w:t>
      </w:r>
      <w:r w:rsidR="001B58C7" w:rsidRPr="001932BE">
        <w:rPr>
          <w:rFonts w:ascii="Verdana" w:hAnsi="Verdana"/>
          <w:sz w:val="20"/>
          <w:szCs w:val="20"/>
          <w:lang w:val="es-CR"/>
        </w:rPr>
        <w:t xml:space="preserve">, </w:t>
      </w:r>
      <w:r w:rsidR="00763F4A" w:rsidRPr="001932BE">
        <w:rPr>
          <w:rFonts w:ascii="Verdana" w:hAnsi="Verdana"/>
          <w:sz w:val="20"/>
          <w:szCs w:val="20"/>
          <w:lang w:val="es-CR"/>
        </w:rPr>
        <w:t>ponder</w:t>
      </w:r>
      <w:r w:rsidR="001B58C7" w:rsidRPr="001932BE">
        <w:rPr>
          <w:rFonts w:ascii="Verdana" w:hAnsi="Verdana"/>
          <w:sz w:val="20"/>
          <w:szCs w:val="20"/>
          <w:lang w:val="es-CR"/>
        </w:rPr>
        <w:t>ado</w:t>
      </w:r>
      <w:r w:rsidR="003540F6" w:rsidRPr="001932BE">
        <w:rPr>
          <w:rFonts w:ascii="Verdana" w:hAnsi="Verdana"/>
          <w:sz w:val="20"/>
          <w:szCs w:val="20"/>
          <w:lang w:val="es-CR"/>
        </w:rPr>
        <w:t xml:space="preserve"> y trabajado a</w:t>
      </w:r>
      <w:r w:rsidR="001D7E98" w:rsidRPr="001932BE">
        <w:rPr>
          <w:rFonts w:ascii="Verdana" w:hAnsi="Verdana"/>
          <w:sz w:val="20"/>
          <w:szCs w:val="20"/>
          <w:lang w:val="es-CR"/>
        </w:rPr>
        <w:t xml:space="preserve"> lo</w:t>
      </w:r>
      <w:r w:rsidR="003540F6" w:rsidRPr="001932BE">
        <w:rPr>
          <w:rFonts w:ascii="Verdana" w:hAnsi="Verdana"/>
          <w:sz w:val="20"/>
          <w:szCs w:val="20"/>
          <w:lang w:val="es-CR"/>
        </w:rPr>
        <w:t xml:space="preserve"> largo de muchos años sobre la </w:t>
      </w:r>
      <w:proofErr w:type="spellStart"/>
      <w:r w:rsidR="003540F6" w:rsidRPr="001932BE">
        <w:rPr>
          <w:rFonts w:ascii="Verdana" w:hAnsi="Verdana"/>
          <w:sz w:val="20"/>
          <w:szCs w:val="20"/>
          <w:lang w:val="es-CR"/>
        </w:rPr>
        <w:t>justiciabilidad</w:t>
      </w:r>
      <w:proofErr w:type="spellEnd"/>
      <w:r w:rsidR="003540F6" w:rsidRPr="001932BE">
        <w:rPr>
          <w:rFonts w:ascii="Verdana" w:hAnsi="Verdana"/>
          <w:sz w:val="20"/>
          <w:szCs w:val="20"/>
          <w:lang w:val="es-CR"/>
        </w:rPr>
        <w:t xml:space="preserve"> de los </w:t>
      </w:r>
      <w:r w:rsidR="003540F6" w:rsidRPr="001932BE">
        <w:rPr>
          <w:rFonts w:ascii="Verdana" w:hAnsi="Verdana"/>
          <w:sz w:val="20"/>
          <w:szCs w:val="20"/>
          <w:lang w:val="es-MX"/>
        </w:rPr>
        <w:t>Derechos Económicos, Sociales, Culturales y Ambientales (en adelante “DESCA”)</w:t>
      </w:r>
      <w:r w:rsidR="003540F6" w:rsidRPr="001932BE">
        <w:rPr>
          <w:rStyle w:val="FootnoteReference"/>
          <w:rFonts w:ascii="Verdana" w:hAnsi="Verdana"/>
          <w:sz w:val="20"/>
          <w:lang w:val="es-MX"/>
        </w:rPr>
        <w:footnoteReference w:id="1"/>
      </w:r>
      <w:r w:rsidR="0044708D" w:rsidRPr="001932BE">
        <w:rPr>
          <w:rFonts w:ascii="Verdana" w:hAnsi="Verdana"/>
          <w:sz w:val="20"/>
          <w:szCs w:val="20"/>
          <w:lang w:val="es-MX"/>
        </w:rPr>
        <w:t xml:space="preserve"> por diversas composiciones </w:t>
      </w:r>
      <w:r w:rsidR="00673333" w:rsidRPr="001932BE">
        <w:rPr>
          <w:rFonts w:ascii="Verdana" w:hAnsi="Verdana"/>
          <w:sz w:val="20"/>
          <w:szCs w:val="20"/>
          <w:lang w:val="es-MX"/>
        </w:rPr>
        <w:t xml:space="preserve">judiciales </w:t>
      </w:r>
      <w:r w:rsidR="0044708D" w:rsidRPr="001932BE">
        <w:rPr>
          <w:rFonts w:ascii="Verdana" w:hAnsi="Verdana"/>
          <w:sz w:val="20"/>
          <w:szCs w:val="20"/>
          <w:lang w:val="es-MX"/>
        </w:rPr>
        <w:t>de este Tribunal de San José</w:t>
      </w:r>
      <w:r w:rsidR="00C00310" w:rsidRPr="001932BE">
        <w:rPr>
          <w:rFonts w:ascii="Verdana" w:hAnsi="Verdana"/>
          <w:sz w:val="20"/>
          <w:szCs w:val="20"/>
          <w:lang w:val="es-MX"/>
        </w:rPr>
        <w:t>, y con ello</w:t>
      </w:r>
      <w:r w:rsidR="0044708D" w:rsidRPr="001932BE">
        <w:rPr>
          <w:rFonts w:ascii="Verdana" w:hAnsi="Verdana"/>
          <w:sz w:val="20"/>
          <w:szCs w:val="20"/>
          <w:lang w:val="es-MX"/>
        </w:rPr>
        <w:t xml:space="preserve"> </w:t>
      </w:r>
      <w:r w:rsidR="00C00310" w:rsidRPr="001932BE">
        <w:rPr>
          <w:rFonts w:ascii="Verdana" w:hAnsi="Verdana"/>
          <w:sz w:val="20"/>
          <w:szCs w:val="20"/>
          <w:lang w:val="es-MX"/>
        </w:rPr>
        <w:t>l</w:t>
      </w:r>
      <w:r w:rsidR="0044708D" w:rsidRPr="001932BE">
        <w:rPr>
          <w:rFonts w:ascii="Verdana" w:hAnsi="Verdana"/>
          <w:sz w:val="20"/>
          <w:szCs w:val="20"/>
          <w:lang w:val="es-MX"/>
        </w:rPr>
        <w:t xml:space="preserve">a decisión </w:t>
      </w:r>
      <w:r w:rsidR="00673333" w:rsidRPr="001932BE">
        <w:rPr>
          <w:rFonts w:ascii="Verdana" w:hAnsi="Verdana"/>
          <w:sz w:val="20"/>
          <w:szCs w:val="20"/>
          <w:lang w:val="es-MX"/>
        </w:rPr>
        <w:t>de declarar violado por primera vez</w:t>
      </w:r>
      <w:r w:rsidR="00C00310" w:rsidRPr="001932BE">
        <w:rPr>
          <w:rFonts w:ascii="Verdana" w:hAnsi="Verdana"/>
          <w:sz w:val="20"/>
          <w:szCs w:val="20"/>
          <w:lang w:val="es-MX"/>
        </w:rPr>
        <w:t>,</w:t>
      </w:r>
      <w:r w:rsidR="00673333" w:rsidRPr="001932BE">
        <w:rPr>
          <w:rFonts w:ascii="Verdana" w:hAnsi="Verdana"/>
          <w:sz w:val="20"/>
          <w:szCs w:val="20"/>
          <w:lang w:val="es-MX"/>
        </w:rPr>
        <w:t xml:space="preserve"> en su historia jurisprudencial, el artículo 26 de la </w:t>
      </w:r>
      <w:r w:rsidR="00673333" w:rsidRPr="001932BE">
        <w:rPr>
          <w:rFonts w:ascii="Verdana" w:hAnsi="Verdana" w:cs="System Font Regular"/>
          <w:sz w:val="20"/>
          <w:szCs w:val="20"/>
          <w:lang w:val="es-MX"/>
        </w:rPr>
        <w:t xml:space="preserve">Convención Americana sobre Derechos Humanos </w:t>
      </w:r>
      <w:r w:rsidR="00673333" w:rsidRPr="001932BE">
        <w:rPr>
          <w:rFonts w:ascii="Verdana" w:hAnsi="Verdana"/>
          <w:sz w:val="20"/>
          <w:szCs w:val="20"/>
          <w:lang w:val="es-MX"/>
        </w:rPr>
        <w:t>(en adelante “la Convención” o “CADH”)</w:t>
      </w:r>
      <w:r w:rsidR="00F605CD" w:rsidRPr="001932BE">
        <w:rPr>
          <w:rFonts w:ascii="Verdana" w:hAnsi="Verdana"/>
          <w:sz w:val="20"/>
          <w:szCs w:val="20"/>
          <w:lang w:val="es-MX"/>
        </w:rPr>
        <w:t>.</w:t>
      </w:r>
      <w:r w:rsidR="00673333" w:rsidRPr="001932BE">
        <w:rPr>
          <w:rFonts w:ascii="Verdana" w:hAnsi="Verdana"/>
          <w:sz w:val="20"/>
          <w:szCs w:val="20"/>
          <w:lang w:val="es-MX"/>
        </w:rPr>
        <w:t xml:space="preserve"> </w:t>
      </w:r>
      <w:r w:rsidR="00F605CD" w:rsidRPr="001932BE">
        <w:rPr>
          <w:rFonts w:ascii="Verdana" w:hAnsi="Verdana"/>
          <w:sz w:val="20"/>
          <w:szCs w:val="20"/>
          <w:lang w:val="es-MX"/>
        </w:rPr>
        <w:t>Esta decisión s</w:t>
      </w:r>
      <w:r w:rsidR="00C02258" w:rsidRPr="001932BE">
        <w:rPr>
          <w:rFonts w:ascii="Verdana" w:hAnsi="Verdana"/>
          <w:sz w:val="20"/>
          <w:szCs w:val="20"/>
          <w:lang w:val="es-MX"/>
        </w:rPr>
        <w:t>e</w:t>
      </w:r>
      <w:r w:rsidR="0044708D" w:rsidRPr="001932BE">
        <w:rPr>
          <w:rFonts w:ascii="Verdana" w:hAnsi="Verdana"/>
          <w:sz w:val="20"/>
          <w:szCs w:val="20"/>
          <w:lang w:val="es-MX"/>
        </w:rPr>
        <w:t xml:space="preserve"> adoptó de manera tan consciente y madura </w:t>
      </w:r>
      <w:r w:rsidR="002E46CF" w:rsidRPr="001932BE">
        <w:rPr>
          <w:rFonts w:ascii="Verdana" w:hAnsi="Verdana"/>
          <w:sz w:val="20"/>
          <w:szCs w:val="20"/>
          <w:lang w:val="es-MX"/>
        </w:rPr>
        <w:t xml:space="preserve">que me parece </w:t>
      </w:r>
      <w:r w:rsidR="00C00310" w:rsidRPr="001932BE">
        <w:rPr>
          <w:rFonts w:ascii="Verdana" w:hAnsi="Verdana"/>
          <w:sz w:val="20"/>
          <w:szCs w:val="20"/>
          <w:lang w:val="es-MX"/>
        </w:rPr>
        <w:t xml:space="preserve">importante </w:t>
      </w:r>
      <w:r w:rsidR="002E46CF" w:rsidRPr="001932BE">
        <w:rPr>
          <w:rFonts w:ascii="Verdana" w:hAnsi="Verdana"/>
          <w:sz w:val="20"/>
          <w:szCs w:val="20"/>
          <w:lang w:val="es-MX"/>
        </w:rPr>
        <w:t>refle</w:t>
      </w:r>
      <w:r w:rsidR="00C02258" w:rsidRPr="001932BE">
        <w:rPr>
          <w:rFonts w:ascii="Verdana" w:hAnsi="Verdana"/>
          <w:sz w:val="20"/>
          <w:szCs w:val="20"/>
          <w:lang w:val="es-MX"/>
        </w:rPr>
        <w:t>j</w:t>
      </w:r>
      <w:r w:rsidR="002E46CF" w:rsidRPr="001932BE">
        <w:rPr>
          <w:rFonts w:ascii="Verdana" w:hAnsi="Verdana"/>
          <w:sz w:val="20"/>
          <w:szCs w:val="20"/>
          <w:lang w:val="es-MX"/>
        </w:rPr>
        <w:t>ar la</w:t>
      </w:r>
      <w:r w:rsidR="0044708D" w:rsidRPr="001932BE">
        <w:rPr>
          <w:rFonts w:ascii="Verdana" w:hAnsi="Verdana"/>
          <w:sz w:val="20"/>
          <w:szCs w:val="20"/>
          <w:lang w:val="es-MX"/>
        </w:rPr>
        <w:t xml:space="preserve"> fuerza conjunta de todas las composiciones que en ese momento llegasen a la misma conclusión</w:t>
      </w:r>
      <w:r w:rsidR="002E46CF" w:rsidRPr="001932BE">
        <w:rPr>
          <w:rFonts w:ascii="Verdana" w:hAnsi="Verdana"/>
          <w:sz w:val="20"/>
          <w:szCs w:val="20"/>
          <w:lang w:val="es-MX"/>
        </w:rPr>
        <w:t>. A</w:t>
      </w:r>
      <w:r w:rsidR="0044708D" w:rsidRPr="001932BE">
        <w:rPr>
          <w:rFonts w:ascii="Verdana" w:hAnsi="Verdana"/>
          <w:sz w:val="20"/>
          <w:szCs w:val="20"/>
          <w:lang w:val="es-MX"/>
        </w:rPr>
        <w:t xml:space="preserve">unque </w:t>
      </w:r>
      <w:r w:rsidR="002E46CF" w:rsidRPr="001932BE">
        <w:rPr>
          <w:rFonts w:ascii="Verdana" w:hAnsi="Verdana"/>
          <w:sz w:val="20"/>
          <w:szCs w:val="20"/>
          <w:lang w:val="es-MX"/>
        </w:rPr>
        <w:t xml:space="preserve">ampliamente </w:t>
      </w:r>
      <w:r w:rsidR="0044708D" w:rsidRPr="001932BE">
        <w:rPr>
          <w:rFonts w:ascii="Verdana" w:hAnsi="Verdana"/>
          <w:sz w:val="20"/>
          <w:szCs w:val="20"/>
          <w:lang w:val="es-MX"/>
        </w:rPr>
        <w:t>mayoritaria</w:t>
      </w:r>
      <w:r w:rsidR="002E46CF" w:rsidRPr="001932BE">
        <w:rPr>
          <w:rFonts w:ascii="Verdana" w:hAnsi="Verdana"/>
          <w:sz w:val="20"/>
          <w:szCs w:val="20"/>
          <w:lang w:val="es-MX"/>
        </w:rPr>
        <w:t xml:space="preserve"> la votación (cinco votos </w:t>
      </w:r>
      <w:r w:rsidR="00F605CD" w:rsidRPr="001932BE">
        <w:rPr>
          <w:rFonts w:ascii="Verdana" w:hAnsi="Verdana"/>
          <w:sz w:val="20"/>
          <w:szCs w:val="20"/>
          <w:lang w:val="es-MX"/>
        </w:rPr>
        <w:t>contra</w:t>
      </w:r>
      <w:r w:rsidR="002E46CF" w:rsidRPr="001932BE">
        <w:rPr>
          <w:rFonts w:ascii="Verdana" w:hAnsi="Verdana"/>
          <w:sz w:val="20"/>
          <w:szCs w:val="20"/>
          <w:lang w:val="es-MX"/>
        </w:rPr>
        <w:t xml:space="preserve"> dos), </w:t>
      </w:r>
      <w:r w:rsidR="00C00310" w:rsidRPr="001932BE">
        <w:rPr>
          <w:rFonts w:ascii="Verdana" w:hAnsi="Verdana"/>
          <w:sz w:val="20"/>
          <w:szCs w:val="20"/>
          <w:lang w:val="es-MX"/>
        </w:rPr>
        <w:t xml:space="preserve">creemos que </w:t>
      </w:r>
      <w:r w:rsidR="002E46CF" w:rsidRPr="001932BE">
        <w:rPr>
          <w:rFonts w:ascii="Verdana" w:hAnsi="Verdana"/>
          <w:sz w:val="20"/>
          <w:szCs w:val="20"/>
          <w:lang w:val="es-MX"/>
        </w:rPr>
        <w:t xml:space="preserve">la siempre deseable unanimidad llevará algún tiempo </w:t>
      </w:r>
      <w:r w:rsidR="00C00310" w:rsidRPr="001932BE">
        <w:rPr>
          <w:rFonts w:ascii="Verdana" w:hAnsi="Verdana"/>
          <w:sz w:val="20"/>
          <w:szCs w:val="20"/>
          <w:lang w:val="es-MX"/>
        </w:rPr>
        <w:t xml:space="preserve">alcanzar </w:t>
      </w:r>
      <w:r w:rsidR="001E0DAB" w:rsidRPr="001932BE">
        <w:rPr>
          <w:rFonts w:ascii="Verdana" w:hAnsi="Verdana"/>
          <w:sz w:val="20"/>
          <w:szCs w:val="20"/>
          <w:lang w:val="es-MX"/>
        </w:rPr>
        <w:t>debido a</w:t>
      </w:r>
      <w:r w:rsidR="002E46CF" w:rsidRPr="001932BE">
        <w:rPr>
          <w:rFonts w:ascii="Verdana" w:hAnsi="Verdana"/>
          <w:sz w:val="20"/>
          <w:szCs w:val="20"/>
          <w:lang w:val="es-MX"/>
        </w:rPr>
        <w:t xml:space="preserve"> las distintas formaciones o experiencias nacionales</w:t>
      </w:r>
      <w:r w:rsidR="0044708D" w:rsidRPr="001932BE">
        <w:rPr>
          <w:rFonts w:ascii="Verdana" w:hAnsi="Verdana"/>
          <w:sz w:val="20"/>
          <w:szCs w:val="20"/>
          <w:lang w:val="es-MX"/>
        </w:rPr>
        <w:t>.</w:t>
      </w:r>
    </w:p>
    <w:p w14:paraId="2971AF57" w14:textId="77777777" w:rsidR="00E84FD0" w:rsidRPr="001932BE" w:rsidRDefault="00E84FD0" w:rsidP="001932BE">
      <w:pPr>
        <w:pStyle w:val="ListParagraph"/>
        <w:spacing w:after="0" w:line="240" w:lineRule="auto"/>
        <w:ind w:left="0"/>
        <w:jc w:val="both"/>
        <w:rPr>
          <w:rFonts w:ascii="Verdana" w:hAnsi="Verdana"/>
          <w:sz w:val="20"/>
          <w:szCs w:val="20"/>
          <w:lang w:val="es-MX"/>
        </w:rPr>
      </w:pPr>
    </w:p>
    <w:p w14:paraId="2C39F934" w14:textId="420ED92F" w:rsidR="00C01459" w:rsidRPr="001932BE" w:rsidRDefault="00C01459" w:rsidP="001932BE">
      <w:pPr>
        <w:pStyle w:val="ListParagraph"/>
        <w:numPr>
          <w:ilvl w:val="0"/>
          <w:numId w:val="11"/>
        </w:numPr>
        <w:spacing w:after="0" w:line="240" w:lineRule="auto"/>
        <w:ind w:left="0" w:firstLine="0"/>
        <w:jc w:val="both"/>
        <w:rPr>
          <w:rFonts w:ascii="Verdana" w:hAnsi="Verdana"/>
          <w:sz w:val="20"/>
          <w:szCs w:val="20"/>
          <w:lang w:val="es-CR"/>
        </w:rPr>
      </w:pPr>
      <w:r w:rsidRPr="001932BE">
        <w:rPr>
          <w:rFonts w:ascii="Verdana" w:hAnsi="Verdana"/>
          <w:sz w:val="20"/>
          <w:szCs w:val="20"/>
          <w:lang w:val="es-MX"/>
        </w:rPr>
        <w:t xml:space="preserve">Que quede claro que la Corte Interamericana hace mucho </w:t>
      </w:r>
      <w:r w:rsidR="00C02258" w:rsidRPr="001932BE">
        <w:rPr>
          <w:rFonts w:ascii="Verdana" w:hAnsi="Verdana"/>
          <w:sz w:val="20"/>
          <w:szCs w:val="20"/>
          <w:lang w:val="es-MX"/>
        </w:rPr>
        <w:t xml:space="preserve">tiempo </w:t>
      </w:r>
      <w:r w:rsidRPr="001932BE">
        <w:rPr>
          <w:rFonts w:ascii="Verdana" w:hAnsi="Verdana"/>
          <w:sz w:val="20"/>
          <w:szCs w:val="20"/>
          <w:lang w:val="es-MX"/>
        </w:rPr>
        <w:t xml:space="preserve">protege también los DESCA. </w:t>
      </w:r>
      <w:r w:rsidR="00C00310" w:rsidRPr="001932BE">
        <w:rPr>
          <w:rFonts w:ascii="Verdana" w:hAnsi="Verdana"/>
          <w:sz w:val="20"/>
          <w:szCs w:val="20"/>
          <w:lang w:val="es-MX"/>
        </w:rPr>
        <w:t>El Tribunal</w:t>
      </w:r>
      <w:r w:rsidRPr="001932BE">
        <w:rPr>
          <w:rFonts w:ascii="Verdana" w:hAnsi="Verdana"/>
          <w:sz w:val="20"/>
          <w:szCs w:val="20"/>
          <w:lang w:val="es-MX"/>
        </w:rPr>
        <w:t xml:space="preserve"> lo </w:t>
      </w:r>
      <w:r w:rsidR="00C00310" w:rsidRPr="001932BE">
        <w:rPr>
          <w:rFonts w:ascii="Verdana" w:hAnsi="Verdana"/>
          <w:sz w:val="20"/>
          <w:szCs w:val="20"/>
          <w:lang w:val="es-MX"/>
        </w:rPr>
        <w:t xml:space="preserve">venía </w:t>
      </w:r>
      <w:r w:rsidRPr="001932BE">
        <w:rPr>
          <w:rFonts w:ascii="Verdana" w:hAnsi="Verdana"/>
          <w:sz w:val="20"/>
          <w:szCs w:val="20"/>
          <w:lang w:val="es-MX"/>
        </w:rPr>
        <w:t>hac</w:t>
      </w:r>
      <w:r w:rsidR="00C00310" w:rsidRPr="001932BE">
        <w:rPr>
          <w:rFonts w:ascii="Verdana" w:hAnsi="Verdana"/>
          <w:sz w:val="20"/>
          <w:szCs w:val="20"/>
          <w:lang w:val="es-MX"/>
        </w:rPr>
        <w:t>iendo</w:t>
      </w:r>
      <w:r w:rsidRPr="001932BE">
        <w:rPr>
          <w:rFonts w:ascii="Verdana" w:hAnsi="Verdana"/>
          <w:sz w:val="20"/>
          <w:szCs w:val="20"/>
          <w:lang w:val="es-MX"/>
        </w:rPr>
        <w:t xml:space="preserve"> como derecho secundario </w:t>
      </w:r>
      <w:r w:rsidR="00C00310" w:rsidRPr="001932BE">
        <w:rPr>
          <w:rFonts w:ascii="Verdana" w:hAnsi="Verdana"/>
          <w:sz w:val="20"/>
          <w:szCs w:val="20"/>
          <w:lang w:val="es-MX"/>
        </w:rPr>
        <w:t xml:space="preserve">o indirecto </w:t>
      </w:r>
      <w:r w:rsidRPr="001932BE">
        <w:rPr>
          <w:rFonts w:ascii="Verdana" w:hAnsi="Verdana"/>
          <w:sz w:val="20"/>
          <w:szCs w:val="20"/>
          <w:lang w:val="es-MX"/>
        </w:rPr>
        <w:t xml:space="preserve">de un derecho civil o político, cuando </w:t>
      </w:r>
      <w:r w:rsidR="00F605CD" w:rsidRPr="001932BE">
        <w:rPr>
          <w:rFonts w:ascii="Verdana" w:hAnsi="Verdana"/>
          <w:sz w:val="20"/>
          <w:szCs w:val="20"/>
          <w:lang w:val="es-MX"/>
        </w:rPr>
        <w:t xml:space="preserve">en muchos casos, </w:t>
      </w:r>
      <w:r w:rsidRPr="001932BE">
        <w:rPr>
          <w:rFonts w:ascii="Verdana" w:hAnsi="Verdana"/>
          <w:sz w:val="20"/>
          <w:szCs w:val="20"/>
          <w:lang w:val="es-MX"/>
        </w:rPr>
        <w:t>en verdad</w:t>
      </w:r>
      <w:r w:rsidR="00F605CD" w:rsidRPr="001932BE">
        <w:rPr>
          <w:rFonts w:ascii="Verdana" w:hAnsi="Verdana"/>
          <w:sz w:val="20"/>
          <w:szCs w:val="20"/>
          <w:lang w:val="es-MX"/>
        </w:rPr>
        <w:t>,</w:t>
      </w:r>
      <w:r w:rsidRPr="001932BE">
        <w:rPr>
          <w:rFonts w:ascii="Verdana" w:hAnsi="Verdana"/>
          <w:sz w:val="20"/>
          <w:szCs w:val="20"/>
          <w:lang w:val="es-MX"/>
        </w:rPr>
        <w:t xml:space="preserve"> era el principal</w:t>
      </w:r>
      <w:r w:rsidR="00474FBE" w:rsidRPr="001932BE">
        <w:rPr>
          <w:rFonts w:ascii="Verdana" w:hAnsi="Verdana"/>
          <w:sz w:val="20"/>
          <w:szCs w:val="20"/>
          <w:lang w:val="es-MX"/>
        </w:rPr>
        <w:t xml:space="preserve"> derecho reivindicado</w:t>
      </w:r>
      <w:r w:rsidRPr="001932BE">
        <w:rPr>
          <w:rFonts w:ascii="Verdana" w:hAnsi="Verdana"/>
          <w:sz w:val="20"/>
          <w:szCs w:val="20"/>
          <w:lang w:val="es-MX"/>
        </w:rPr>
        <w:t xml:space="preserve">. </w:t>
      </w:r>
      <w:r w:rsidR="00F605CD" w:rsidRPr="001932BE">
        <w:rPr>
          <w:rFonts w:ascii="Verdana" w:hAnsi="Verdana"/>
          <w:sz w:val="20"/>
          <w:szCs w:val="20"/>
          <w:lang w:val="es-MX"/>
        </w:rPr>
        <w:t>Por</w:t>
      </w:r>
      <w:r w:rsidRPr="001932BE">
        <w:rPr>
          <w:rFonts w:ascii="Verdana" w:hAnsi="Verdana"/>
          <w:sz w:val="20"/>
          <w:szCs w:val="20"/>
          <w:lang w:val="es-MX"/>
        </w:rPr>
        <w:t xml:space="preserve"> e</w:t>
      </w:r>
      <w:r w:rsidR="00F605CD" w:rsidRPr="001932BE">
        <w:rPr>
          <w:rFonts w:ascii="Verdana" w:hAnsi="Verdana"/>
          <w:sz w:val="20"/>
          <w:szCs w:val="20"/>
          <w:lang w:val="es-MX"/>
        </w:rPr>
        <w:t>llo</w:t>
      </w:r>
      <w:r w:rsidRPr="001932BE">
        <w:rPr>
          <w:rFonts w:ascii="Verdana" w:hAnsi="Verdana"/>
          <w:sz w:val="20"/>
          <w:szCs w:val="20"/>
          <w:lang w:val="es-MX"/>
        </w:rPr>
        <w:t xml:space="preserve"> hasta </w:t>
      </w:r>
      <w:r w:rsidR="00C00310" w:rsidRPr="001932BE">
        <w:rPr>
          <w:rFonts w:ascii="Verdana" w:hAnsi="Verdana"/>
          <w:sz w:val="20"/>
          <w:szCs w:val="20"/>
          <w:lang w:val="es-MX"/>
        </w:rPr>
        <w:t xml:space="preserve">el día de </w:t>
      </w:r>
      <w:r w:rsidRPr="001932BE">
        <w:rPr>
          <w:rFonts w:ascii="Verdana" w:hAnsi="Verdana"/>
          <w:sz w:val="20"/>
          <w:szCs w:val="20"/>
          <w:lang w:val="es-MX"/>
        </w:rPr>
        <w:t xml:space="preserve">hoy muchos </w:t>
      </w:r>
      <w:r w:rsidR="00C00310" w:rsidRPr="001932BE">
        <w:rPr>
          <w:rFonts w:ascii="Verdana" w:hAnsi="Verdana"/>
          <w:sz w:val="20"/>
          <w:szCs w:val="20"/>
          <w:lang w:val="es-MX"/>
        </w:rPr>
        <w:t>consideran</w:t>
      </w:r>
      <w:r w:rsidRPr="001932BE">
        <w:rPr>
          <w:rFonts w:ascii="Verdana" w:hAnsi="Verdana"/>
          <w:sz w:val="20"/>
          <w:szCs w:val="20"/>
          <w:lang w:val="es-MX"/>
        </w:rPr>
        <w:t>, incluso juristas, que no cab</w:t>
      </w:r>
      <w:r w:rsidR="00C00310" w:rsidRPr="001932BE">
        <w:rPr>
          <w:rFonts w:ascii="Verdana" w:hAnsi="Verdana"/>
          <w:sz w:val="20"/>
          <w:szCs w:val="20"/>
          <w:lang w:val="es-MX"/>
        </w:rPr>
        <w:t>ía</w:t>
      </w:r>
      <w:r w:rsidRPr="001932BE">
        <w:rPr>
          <w:rFonts w:ascii="Verdana" w:hAnsi="Verdana"/>
          <w:sz w:val="20"/>
          <w:szCs w:val="20"/>
          <w:lang w:val="es-MX"/>
        </w:rPr>
        <w:t xml:space="preserve"> </w:t>
      </w:r>
      <w:r w:rsidR="00C02258" w:rsidRPr="001932BE">
        <w:rPr>
          <w:rFonts w:ascii="Verdana" w:hAnsi="Verdana"/>
          <w:sz w:val="20"/>
          <w:szCs w:val="20"/>
          <w:lang w:val="es-MX"/>
        </w:rPr>
        <w:t xml:space="preserve">encausar una </w:t>
      </w:r>
      <w:r w:rsidRPr="001932BE">
        <w:rPr>
          <w:rFonts w:ascii="Verdana" w:hAnsi="Verdana"/>
          <w:sz w:val="20"/>
          <w:szCs w:val="20"/>
          <w:lang w:val="es-MX"/>
        </w:rPr>
        <w:t xml:space="preserve">petición </w:t>
      </w:r>
      <w:r w:rsidR="00C00310" w:rsidRPr="001932BE">
        <w:rPr>
          <w:rFonts w:ascii="Verdana" w:hAnsi="Verdana"/>
          <w:sz w:val="20"/>
          <w:szCs w:val="20"/>
          <w:lang w:val="es-MX"/>
        </w:rPr>
        <w:t xml:space="preserve">directa </w:t>
      </w:r>
      <w:r w:rsidRPr="001932BE">
        <w:rPr>
          <w:rFonts w:ascii="Verdana" w:hAnsi="Verdana"/>
          <w:sz w:val="20"/>
          <w:szCs w:val="20"/>
          <w:lang w:val="es-MX"/>
        </w:rPr>
        <w:t xml:space="preserve">sobre DESCA en el Sistema Interamericano. </w:t>
      </w:r>
    </w:p>
    <w:p w14:paraId="2187613C" w14:textId="77777777" w:rsidR="006831B9" w:rsidRPr="001932BE" w:rsidRDefault="006831B9" w:rsidP="001932BE">
      <w:pPr>
        <w:pStyle w:val="ListParagraph"/>
        <w:spacing w:after="0" w:line="240" w:lineRule="auto"/>
        <w:ind w:left="0"/>
        <w:jc w:val="both"/>
        <w:rPr>
          <w:rFonts w:ascii="Verdana" w:hAnsi="Verdana"/>
          <w:sz w:val="20"/>
          <w:szCs w:val="20"/>
          <w:lang w:val="es-CR"/>
        </w:rPr>
      </w:pPr>
    </w:p>
    <w:p w14:paraId="09585265" w14:textId="002C60E4" w:rsidR="00840962" w:rsidRPr="001932BE" w:rsidRDefault="00673090" w:rsidP="001932BE">
      <w:pPr>
        <w:pStyle w:val="ListParagraph"/>
        <w:numPr>
          <w:ilvl w:val="0"/>
          <w:numId w:val="11"/>
        </w:numPr>
        <w:spacing w:after="0" w:line="240" w:lineRule="auto"/>
        <w:ind w:left="0" w:firstLine="0"/>
        <w:jc w:val="both"/>
        <w:rPr>
          <w:rFonts w:ascii="Verdana" w:hAnsi="Verdana"/>
          <w:sz w:val="20"/>
          <w:szCs w:val="20"/>
          <w:lang w:val="es-CR"/>
        </w:rPr>
      </w:pPr>
      <w:r w:rsidRPr="001932BE">
        <w:rPr>
          <w:rFonts w:ascii="Verdana" w:hAnsi="Verdana"/>
          <w:sz w:val="20"/>
          <w:szCs w:val="20"/>
          <w:lang w:val="es-CR"/>
        </w:rPr>
        <w:t>Por medio de este voto razonado</w:t>
      </w:r>
      <w:r w:rsidR="004A73F4" w:rsidRPr="001932BE">
        <w:rPr>
          <w:rFonts w:ascii="Verdana" w:hAnsi="Verdana"/>
          <w:sz w:val="20"/>
          <w:szCs w:val="20"/>
          <w:lang w:val="es-CR"/>
        </w:rPr>
        <w:t>,</w:t>
      </w:r>
      <w:r w:rsidR="002E46CF" w:rsidRPr="001932BE">
        <w:rPr>
          <w:rFonts w:ascii="Verdana" w:hAnsi="Verdana"/>
          <w:sz w:val="20"/>
          <w:szCs w:val="20"/>
          <w:lang w:val="es-CR"/>
        </w:rPr>
        <w:t xml:space="preserve"> de</w:t>
      </w:r>
      <w:r w:rsidR="004A73F4" w:rsidRPr="001932BE">
        <w:rPr>
          <w:rFonts w:ascii="Verdana" w:hAnsi="Verdana"/>
          <w:sz w:val="20"/>
          <w:szCs w:val="20"/>
          <w:lang w:val="es-CR"/>
        </w:rPr>
        <w:t xml:space="preserve"> lo cual </w:t>
      </w:r>
      <w:r w:rsidR="00C00310" w:rsidRPr="001932BE">
        <w:rPr>
          <w:rFonts w:ascii="Verdana" w:hAnsi="Verdana"/>
          <w:sz w:val="20"/>
          <w:szCs w:val="20"/>
          <w:lang w:val="es-CR"/>
        </w:rPr>
        <w:t>comparto plenamente</w:t>
      </w:r>
      <w:r w:rsidR="004A73F4" w:rsidRPr="001932BE">
        <w:rPr>
          <w:rFonts w:ascii="Verdana" w:hAnsi="Verdana"/>
          <w:sz w:val="20"/>
          <w:szCs w:val="20"/>
          <w:lang w:val="es-CR"/>
        </w:rPr>
        <w:t xml:space="preserve"> las conclusiones a las que llegó esta Corte </w:t>
      </w:r>
      <w:r w:rsidR="004A73F4" w:rsidRPr="001932BE">
        <w:rPr>
          <w:rFonts w:ascii="Verdana" w:hAnsi="Verdana"/>
          <w:sz w:val="20"/>
          <w:szCs w:val="20"/>
          <w:lang w:val="es-MX"/>
        </w:rPr>
        <w:t xml:space="preserve">Interamericana de Derechos Humanos (en adelante “Corte” o “Tribunal”) </w:t>
      </w:r>
      <w:r w:rsidR="004A73F4" w:rsidRPr="001932BE">
        <w:rPr>
          <w:rFonts w:ascii="Verdana" w:hAnsi="Verdana"/>
          <w:sz w:val="20"/>
          <w:szCs w:val="20"/>
          <w:lang w:val="es-CR"/>
        </w:rPr>
        <w:t>y a las reparaciones de ellas resultantes,</w:t>
      </w:r>
      <w:r w:rsidRPr="001932BE">
        <w:rPr>
          <w:rFonts w:ascii="Verdana" w:hAnsi="Verdana"/>
          <w:sz w:val="20"/>
          <w:szCs w:val="20"/>
          <w:lang w:val="es-CR"/>
        </w:rPr>
        <w:t xml:space="preserve"> expreso</w:t>
      </w:r>
      <w:r w:rsidR="00D367A7" w:rsidRPr="001932BE">
        <w:rPr>
          <w:rFonts w:ascii="Verdana" w:hAnsi="Verdana"/>
          <w:sz w:val="20"/>
          <w:szCs w:val="20"/>
          <w:lang w:val="es-CR"/>
        </w:rPr>
        <w:t xml:space="preserve"> mi adhesión a la </w:t>
      </w:r>
      <w:r w:rsidR="006168F0" w:rsidRPr="001932BE">
        <w:rPr>
          <w:rFonts w:ascii="Verdana" w:hAnsi="Verdana"/>
          <w:sz w:val="20"/>
          <w:szCs w:val="20"/>
          <w:lang w:val="es-CR"/>
        </w:rPr>
        <w:t xml:space="preserve">presente </w:t>
      </w:r>
      <w:r w:rsidR="00D367A7" w:rsidRPr="001932BE">
        <w:rPr>
          <w:rFonts w:ascii="Verdana" w:hAnsi="Verdana"/>
          <w:sz w:val="20"/>
          <w:szCs w:val="20"/>
          <w:lang w:val="es-CR"/>
        </w:rPr>
        <w:t>Sentencia</w:t>
      </w:r>
      <w:r w:rsidR="00840962" w:rsidRPr="001932BE">
        <w:rPr>
          <w:rFonts w:ascii="Verdana" w:hAnsi="Verdana"/>
          <w:sz w:val="20"/>
          <w:szCs w:val="20"/>
          <w:lang w:val="es-CR"/>
        </w:rPr>
        <w:t xml:space="preserve">, solamente </w:t>
      </w:r>
      <w:r w:rsidR="003F382F" w:rsidRPr="001932BE">
        <w:rPr>
          <w:rFonts w:ascii="Verdana" w:hAnsi="Verdana"/>
          <w:sz w:val="20"/>
          <w:szCs w:val="20"/>
          <w:lang w:val="es-CR"/>
        </w:rPr>
        <w:t>discrepando en la amplitud de</w:t>
      </w:r>
      <w:r w:rsidR="00840962" w:rsidRPr="001932BE">
        <w:rPr>
          <w:rFonts w:ascii="Verdana" w:hAnsi="Verdana"/>
          <w:sz w:val="20"/>
          <w:szCs w:val="20"/>
          <w:lang w:val="es-CR"/>
        </w:rPr>
        <w:t xml:space="preserve"> una sencilla</w:t>
      </w:r>
      <w:r w:rsidR="003F382F" w:rsidRPr="001932BE">
        <w:rPr>
          <w:rFonts w:ascii="Verdana" w:hAnsi="Verdana"/>
          <w:sz w:val="20"/>
          <w:szCs w:val="20"/>
          <w:lang w:val="es-CR"/>
        </w:rPr>
        <w:t xml:space="preserve"> –</w:t>
      </w:r>
      <w:r w:rsidR="00C00310" w:rsidRPr="001932BE">
        <w:rPr>
          <w:rFonts w:ascii="Verdana" w:hAnsi="Verdana"/>
          <w:sz w:val="20"/>
          <w:szCs w:val="20"/>
          <w:lang w:val="es-CR"/>
        </w:rPr>
        <w:t xml:space="preserve">pero </w:t>
      </w:r>
      <w:r w:rsidR="003F382F" w:rsidRPr="001932BE">
        <w:rPr>
          <w:rFonts w:ascii="Verdana" w:hAnsi="Verdana"/>
          <w:sz w:val="20"/>
          <w:szCs w:val="20"/>
          <w:lang w:val="es-CR"/>
        </w:rPr>
        <w:t xml:space="preserve">todavía importante– </w:t>
      </w:r>
      <w:r w:rsidR="00840962" w:rsidRPr="001932BE">
        <w:rPr>
          <w:rFonts w:ascii="Verdana" w:hAnsi="Verdana"/>
          <w:sz w:val="20"/>
          <w:szCs w:val="20"/>
          <w:lang w:val="es-CR"/>
        </w:rPr>
        <w:t xml:space="preserve">cuestión procesal sobre </w:t>
      </w:r>
      <w:r w:rsidR="003F382F" w:rsidRPr="001932BE">
        <w:rPr>
          <w:rFonts w:ascii="Verdana" w:hAnsi="Verdana"/>
          <w:sz w:val="20"/>
          <w:szCs w:val="20"/>
          <w:lang w:val="es-CR"/>
        </w:rPr>
        <w:t>la aplicación d</w:t>
      </w:r>
      <w:r w:rsidR="00840962" w:rsidRPr="001932BE">
        <w:rPr>
          <w:rFonts w:ascii="Verdana" w:hAnsi="Verdana"/>
          <w:sz w:val="20"/>
          <w:szCs w:val="20"/>
          <w:lang w:val="es-CR"/>
        </w:rPr>
        <w:t xml:space="preserve">el principio </w:t>
      </w:r>
      <w:proofErr w:type="spellStart"/>
      <w:r w:rsidR="003F382F" w:rsidRPr="001932BE">
        <w:rPr>
          <w:rFonts w:ascii="Verdana" w:hAnsi="Verdana"/>
          <w:i/>
          <w:sz w:val="20"/>
          <w:szCs w:val="20"/>
          <w:lang w:val="es-CR"/>
        </w:rPr>
        <w:t>iura</w:t>
      </w:r>
      <w:proofErr w:type="spellEnd"/>
      <w:r w:rsidR="003F382F" w:rsidRPr="001932BE">
        <w:rPr>
          <w:rFonts w:ascii="Verdana" w:hAnsi="Verdana"/>
          <w:i/>
          <w:sz w:val="20"/>
          <w:szCs w:val="20"/>
          <w:lang w:val="es-CR"/>
        </w:rPr>
        <w:t xml:space="preserve"> </w:t>
      </w:r>
      <w:proofErr w:type="spellStart"/>
      <w:r w:rsidR="003F382F" w:rsidRPr="001932BE">
        <w:rPr>
          <w:rFonts w:ascii="Verdana" w:hAnsi="Verdana"/>
          <w:i/>
          <w:sz w:val="20"/>
          <w:szCs w:val="20"/>
          <w:lang w:val="es-CR"/>
        </w:rPr>
        <w:t>novit</w:t>
      </w:r>
      <w:proofErr w:type="spellEnd"/>
      <w:r w:rsidR="003F382F" w:rsidRPr="001932BE">
        <w:rPr>
          <w:rFonts w:ascii="Verdana" w:hAnsi="Verdana"/>
          <w:i/>
          <w:sz w:val="20"/>
          <w:szCs w:val="20"/>
          <w:lang w:val="es-CR"/>
        </w:rPr>
        <w:t xml:space="preserve"> curi</w:t>
      </w:r>
      <w:r w:rsidR="003F382F" w:rsidRPr="001932BE">
        <w:rPr>
          <w:rFonts w:ascii="Verdana" w:hAnsi="Verdana"/>
          <w:sz w:val="20"/>
          <w:szCs w:val="20"/>
          <w:lang w:val="es-CR"/>
        </w:rPr>
        <w:t>a</w:t>
      </w:r>
      <w:r w:rsidR="00840962" w:rsidRPr="001932BE">
        <w:rPr>
          <w:rFonts w:ascii="Verdana" w:hAnsi="Verdana"/>
          <w:sz w:val="20"/>
          <w:szCs w:val="20"/>
          <w:lang w:val="es-CR"/>
        </w:rPr>
        <w:t xml:space="preserve">. </w:t>
      </w:r>
    </w:p>
    <w:p w14:paraId="7B264455" w14:textId="77777777" w:rsidR="005A7DAE" w:rsidRPr="001932BE" w:rsidRDefault="005A7DAE" w:rsidP="001932BE">
      <w:pPr>
        <w:pStyle w:val="ListParagraph"/>
        <w:spacing w:after="0" w:line="240" w:lineRule="auto"/>
        <w:ind w:left="0"/>
        <w:jc w:val="both"/>
        <w:rPr>
          <w:rFonts w:ascii="Verdana" w:hAnsi="Verdana"/>
          <w:sz w:val="20"/>
          <w:szCs w:val="20"/>
          <w:lang w:val="es-CR"/>
        </w:rPr>
      </w:pPr>
    </w:p>
    <w:p w14:paraId="3BE2B21D" w14:textId="6C1C6F4F" w:rsidR="00805EFC" w:rsidRDefault="00567078"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CR"/>
        </w:rPr>
        <w:t xml:space="preserve">Sin perjuicio de </w:t>
      </w:r>
      <w:r w:rsidR="00673333" w:rsidRPr="001932BE">
        <w:rPr>
          <w:rFonts w:ascii="Verdana" w:hAnsi="Verdana"/>
          <w:sz w:val="20"/>
          <w:szCs w:val="20"/>
          <w:lang w:val="es-CR"/>
        </w:rPr>
        <w:t>otros</w:t>
      </w:r>
      <w:r w:rsidRPr="001932BE">
        <w:rPr>
          <w:rFonts w:ascii="Verdana" w:hAnsi="Verdana"/>
          <w:sz w:val="20"/>
          <w:szCs w:val="20"/>
          <w:lang w:val="es-CR"/>
        </w:rPr>
        <w:t xml:space="preserve"> avances</w:t>
      </w:r>
      <w:r w:rsidR="00673333" w:rsidRPr="001932BE">
        <w:rPr>
          <w:rFonts w:ascii="Verdana" w:hAnsi="Verdana"/>
          <w:sz w:val="20"/>
          <w:szCs w:val="20"/>
          <w:lang w:val="es-CR"/>
        </w:rPr>
        <w:t xml:space="preserve"> a seguir descritos</w:t>
      </w:r>
      <w:r w:rsidRPr="001932BE">
        <w:rPr>
          <w:rFonts w:ascii="Verdana" w:hAnsi="Verdana"/>
          <w:sz w:val="20"/>
          <w:szCs w:val="20"/>
          <w:lang w:val="es-CR"/>
        </w:rPr>
        <w:t xml:space="preserve">, </w:t>
      </w:r>
      <w:r w:rsidR="00673090" w:rsidRPr="001932BE">
        <w:rPr>
          <w:rFonts w:ascii="Verdana" w:hAnsi="Verdana"/>
          <w:sz w:val="20"/>
          <w:szCs w:val="20"/>
          <w:lang w:val="es-CR"/>
        </w:rPr>
        <w:t xml:space="preserve">resalto </w:t>
      </w:r>
      <w:r w:rsidRPr="001932BE">
        <w:rPr>
          <w:rFonts w:ascii="Verdana" w:hAnsi="Verdana"/>
          <w:sz w:val="20"/>
          <w:szCs w:val="20"/>
          <w:lang w:val="es-CR"/>
        </w:rPr>
        <w:t>que con esta S</w:t>
      </w:r>
      <w:r w:rsidR="00673090" w:rsidRPr="001932BE">
        <w:rPr>
          <w:rFonts w:ascii="Verdana" w:hAnsi="Verdana"/>
          <w:sz w:val="20"/>
          <w:szCs w:val="20"/>
          <w:lang w:val="es-CR"/>
        </w:rPr>
        <w:t xml:space="preserve">entencia hito </w:t>
      </w:r>
      <w:r w:rsidR="004C1D22" w:rsidRPr="001932BE">
        <w:rPr>
          <w:rFonts w:ascii="Verdana" w:hAnsi="Verdana"/>
          <w:sz w:val="20"/>
          <w:szCs w:val="20"/>
          <w:lang w:val="es-CR"/>
        </w:rPr>
        <w:t xml:space="preserve">se reconoce como autónomo, el </w:t>
      </w:r>
      <w:r w:rsidR="00673333" w:rsidRPr="001932BE">
        <w:rPr>
          <w:rFonts w:ascii="Verdana" w:hAnsi="Verdana"/>
          <w:sz w:val="20"/>
          <w:szCs w:val="20"/>
          <w:lang w:val="es-CR"/>
        </w:rPr>
        <w:t xml:space="preserve">Derecho del Trabajo </w:t>
      </w:r>
      <w:r w:rsidR="004C1D22" w:rsidRPr="001932BE">
        <w:rPr>
          <w:rFonts w:ascii="Verdana" w:hAnsi="Verdana"/>
          <w:sz w:val="20"/>
          <w:szCs w:val="20"/>
          <w:lang w:val="es-CR"/>
        </w:rPr>
        <w:t xml:space="preserve">y particularmente la estabilidad laboral, siendo entonces </w:t>
      </w:r>
      <w:r w:rsidR="00C336CA" w:rsidRPr="001932BE">
        <w:rPr>
          <w:rFonts w:ascii="Verdana" w:hAnsi="Verdana"/>
          <w:sz w:val="20"/>
          <w:szCs w:val="20"/>
          <w:lang w:val="es-MX"/>
        </w:rPr>
        <w:t xml:space="preserve">la primera ocasión en que la Corte </w:t>
      </w:r>
      <w:r w:rsidR="004C1D22" w:rsidRPr="001932BE">
        <w:rPr>
          <w:rFonts w:ascii="Verdana" w:hAnsi="Verdana"/>
          <w:sz w:val="20"/>
          <w:szCs w:val="20"/>
          <w:lang w:val="es-MX"/>
        </w:rPr>
        <w:t xml:space="preserve">IDH </w:t>
      </w:r>
      <w:r w:rsidR="00C336CA" w:rsidRPr="001932BE">
        <w:rPr>
          <w:rFonts w:ascii="Verdana" w:hAnsi="Verdana"/>
          <w:sz w:val="20"/>
          <w:szCs w:val="20"/>
          <w:lang w:val="es-MX"/>
        </w:rPr>
        <w:t xml:space="preserve">declara que el artículo 26 </w:t>
      </w:r>
      <w:r w:rsidR="009A6386" w:rsidRPr="001932BE">
        <w:rPr>
          <w:rFonts w:ascii="Verdana" w:hAnsi="Verdana"/>
          <w:sz w:val="20"/>
          <w:szCs w:val="20"/>
          <w:lang w:val="es-MX"/>
        </w:rPr>
        <w:t xml:space="preserve">de la </w:t>
      </w:r>
      <w:r w:rsidR="009A6386" w:rsidRPr="001932BE">
        <w:rPr>
          <w:rFonts w:ascii="Verdana" w:hAnsi="Verdana" w:cs="System Font Regular"/>
          <w:sz w:val="20"/>
          <w:szCs w:val="20"/>
          <w:lang w:val="es-MX"/>
        </w:rPr>
        <w:t xml:space="preserve">Convención Americana </w:t>
      </w:r>
      <w:r w:rsidR="00C336CA" w:rsidRPr="001932BE">
        <w:rPr>
          <w:rFonts w:ascii="Verdana" w:hAnsi="Verdana"/>
          <w:sz w:val="20"/>
          <w:szCs w:val="20"/>
          <w:lang w:val="es-MX"/>
        </w:rPr>
        <w:t xml:space="preserve">y </w:t>
      </w:r>
      <w:r w:rsidR="009A6386" w:rsidRPr="001932BE">
        <w:rPr>
          <w:rFonts w:ascii="Verdana" w:hAnsi="Verdana"/>
          <w:sz w:val="20"/>
          <w:szCs w:val="20"/>
          <w:lang w:val="es-MX"/>
        </w:rPr>
        <w:t xml:space="preserve">los derechos </w:t>
      </w:r>
      <w:r w:rsidR="00673090" w:rsidRPr="001932BE">
        <w:rPr>
          <w:rFonts w:ascii="Verdana" w:hAnsi="Verdana"/>
          <w:sz w:val="20"/>
          <w:szCs w:val="20"/>
          <w:lang w:val="es-MX"/>
        </w:rPr>
        <w:t>derivados del mismo</w:t>
      </w:r>
      <w:r w:rsidR="00C336CA" w:rsidRPr="001932BE">
        <w:rPr>
          <w:rFonts w:ascii="Verdana" w:hAnsi="Verdana"/>
          <w:sz w:val="20"/>
          <w:szCs w:val="20"/>
          <w:lang w:val="es-MX"/>
        </w:rPr>
        <w:t xml:space="preserve"> son</w:t>
      </w:r>
      <w:r w:rsidR="009A6386" w:rsidRPr="001932BE">
        <w:rPr>
          <w:rFonts w:ascii="Verdana" w:hAnsi="Verdana"/>
          <w:sz w:val="20"/>
          <w:szCs w:val="20"/>
          <w:lang w:val="es-MX"/>
        </w:rPr>
        <w:t xml:space="preserve"> justiciables.</w:t>
      </w:r>
    </w:p>
    <w:p w14:paraId="5478D214" w14:textId="77777777" w:rsidR="00913000" w:rsidRPr="00913000" w:rsidRDefault="00913000" w:rsidP="00913000">
      <w:pPr>
        <w:pStyle w:val="ListParagraph"/>
        <w:rPr>
          <w:rFonts w:ascii="Verdana" w:hAnsi="Verdana"/>
          <w:sz w:val="20"/>
          <w:szCs w:val="20"/>
          <w:lang w:val="es-MX"/>
        </w:rPr>
      </w:pPr>
    </w:p>
    <w:p w14:paraId="2950EB41" w14:textId="77777777" w:rsidR="00071B8B" w:rsidRPr="001932BE" w:rsidRDefault="00071B8B" w:rsidP="001932BE">
      <w:pPr>
        <w:pStyle w:val="ListParagraph"/>
        <w:spacing w:after="0" w:line="240" w:lineRule="auto"/>
        <w:ind w:left="0"/>
        <w:jc w:val="both"/>
        <w:rPr>
          <w:rFonts w:ascii="Verdana" w:hAnsi="Verdana"/>
          <w:sz w:val="20"/>
          <w:szCs w:val="20"/>
          <w:lang w:val="es-MX"/>
        </w:rPr>
      </w:pPr>
    </w:p>
    <w:p w14:paraId="52E1DEAF" w14:textId="6E2C0625" w:rsidR="00E84FD0" w:rsidRPr="001932BE" w:rsidRDefault="00114E58"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CR"/>
        </w:rPr>
        <w:t>Asimismo, d</w:t>
      </w:r>
      <w:r w:rsidR="00805EFC" w:rsidRPr="001932BE">
        <w:rPr>
          <w:rFonts w:ascii="Verdana" w:hAnsi="Verdana"/>
          <w:sz w:val="20"/>
          <w:szCs w:val="20"/>
          <w:lang w:val="es-CR"/>
        </w:rPr>
        <w:t xml:space="preserve">estaco el tratamiento novedoso que esta Sentencia ha dado a las diferentes temáticas abordadas, tales como las libertades de expresión y asociación, así </w:t>
      </w:r>
      <w:r w:rsidR="00805EFC" w:rsidRPr="001932BE">
        <w:rPr>
          <w:rFonts w:ascii="Verdana" w:hAnsi="Verdana"/>
          <w:sz w:val="20"/>
          <w:szCs w:val="20"/>
          <w:lang w:val="es-CR"/>
        </w:rPr>
        <w:lastRenderedPageBreak/>
        <w:t>como el acceso a la justicia a fin de garantizar los derechos de las personas trabajadoras</w:t>
      </w:r>
      <w:r w:rsidRPr="001932BE">
        <w:rPr>
          <w:rFonts w:ascii="Verdana" w:hAnsi="Verdana"/>
          <w:sz w:val="20"/>
          <w:szCs w:val="20"/>
          <w:lang w:val="es-CR"/>
        </w:rPr>
        <w:t>;</w:t>
      </w:r>
      <w:r w:rsidR="00805EFC" w:rsidRPr="001932BE">
        <w:rPr>
          <w:rFonts w:ascii="Verdana" w:hAnsi="Verdana"/>
          <w:sz w:val="20"/>
          <w:szCs w:val="20"/>
          <w:lang w:val="es-CR"/>
        </w:rPr>
        <w:t xml:space="preserve"> particularmente en un caso que se originó entre particulares, y</w:t>
      </w:r>
      <w:r w:rsidRPr="001932BE">
        <w:rPr>
          <w:rFonts w:ascii="Verdana" w:hAnsi="Verdana"/>
          <w:sz w:val="20"/>
          <w:szCs w:val="20"/>
          <w:lang w:val="es-CR"/>
        </w:rPr>
        <w:t xml:space="preserve"> así la</w:t>
      </w:r>
      <w:r w:rsidR="00805EFC" w:rsidRPr="001932BE">
        <w:rPr>
          <w:rFonts w:ascii="Verdana" w:hAnsi="Verdana"/>
          <w:sz w:val="20"/>
          <w:szCs w:val="20"/>
          <w:lang w:val="es-CR"/>
        </w:rPr>
        <w:t xml:space="preserve"> protección judicial efectiva de tales derechos, lo cual vulnera a su vez los deberes de garantía de los derechos sustantivos</w:t>
      </w:r>
      <w:r w:rsidRPr="001932BE">
        <w:rPr>
          <w:rFonts w:ascii="Verdana" w:hAnsi="Verdana"/>
          <w:sz w:val="20"/>
          <w:szCs w:val="20"/>
          <w:lang w:val="es-CR"/>
        </w:rPr>
        <w:t xml:space="preserve"> abordados en la Sentencia</w:t>
      </w:r>
      <w:r w:rsidR="00805EFC" w:rsidRPr="001932BE">
        <w:rPr>
          <w:rFonts w:ascii="Verdana" w:hAnsi="Verdana"/>
          <w:sz w:val="20"/>
          <w:szCs w:val="20"/>
          <w:lang w:val="es-CR"/>
        </w:rPr>
        <w:t>.</w:t>
      </w:r>
    </w:p>
    <w:p w14:paraId="48A27070" w14:textId="2AF8F255" w:rsidR="00673090" w:rsidRPr="001932BE" w:rsidRDefault="00673090" w:rsidP="001932BE">
      <w:pPr>
        <w:pStyle w:val="ListParagraph"/>
        <w:spacing w:after="0" w:line="240" w:lineRule="auto"/>
        <w:ind w:left="0"/>
        <w:jc w:val="both"/>
        <w:rPr>
          <w:rFonts w:ascii="Verdana" w:hAnsi="Verdana"/>
          <w:sz w:val="20"/>
          <w:szCs w:val="20"/>
          <w:lang w:val="es-MX"/>
        </w:rPr>
      </w:pPr>
    </w:p>
    <w:p w14:paraId="3C5AAFCB" w14:textId="3137DF0A" w:rsidR="00E84FD0" w:rsidRPr="001932BE" w:rsidRDefault="00114E58"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Pero sobretodo, e</w:t>
      </w:r>
      <w:r w:rsidR="009E2FC9" w:rsidRPr="001932BE">
        <w:rPr>
          <w:rFonts w:ascii="Verdana" w:hAnsi="Verdana"/>
          <w:sz w:val="20"/>
          <w:szCs w:val="20"/>
          <w:lang w:val="es-MX"/>
        </w:rPr>
        <w:t xml:space="preserve">stimo que </w:t>
      </w:r>
      <w:r w:rsidR="006168F0" w:rsidRPr="001932BE">
        <w:rPr>
          <w:rFonts w:ascii="Verdana" w:hAnsi="Verdana"/>
          <w:sz w:val="20"/>
          <w:szCs w:val="20"/>
          <w:lang w:val="es-MX"/>
        </w:rPr>
        <w:t xml:space="preserve">resulta de </w:t>
      </w:r>
      <w:r w:rsidR="00351E4F" w:rsidRPr="001932BE">
        <w:rPr>
          <w:rFonts w:ascii="Verdana" w:hAnsi="Verdana"/>
          <w:sz w:val="20"/>
          <w:szCs w:val="20"/>
          <w:lang w:val="es-MX"/>
        </w:rPr>
        <w:t xml:space="preserve">gran </w:t>
      </w:r>
      <w:r w:rsidR="006168F0" w:rsidRPr="001932BE">
        <w:rPr>
          <w:rFonts w:ascii="Verdana" w:hAnsi="Verdana"/>
          <w:sz w:val="20"/>
          <w:szCs w:val="20"/>
          <w:lang w:val="es-MX"/>
        </w:rPr>
        <w:t>relevancia</w:t>
      </w:r>
      <w:r w:rsidR="003E3121" w:rsidRPr="001932BE">
        <w:rPr>
          <w:rFonts w:ascii="Verdana" w:hAnsi="Verdana"/>
          <w:sz w:val="20"/>
          <w:szCs w:val="20"/>
          <w:lang w:val="es-MX"/>
        </w:rPr>
        <w:t xml:space="preserve"> hacer hincapié en la decisión históric</w:t>
      </w:r>
      <w:r w:rsidR="004C1D22" w:rsidRPr="001932BE">
        <w:rPr>
          <w:rFonts w:ascii="Verdana" w:hAnsi="Verdana"/>
          <w:sz w:val="20"/>
          <w:szCs w:val="20"/>
          <w:lang w:val="es-MX"/>
        </w:rPr>
        <w:t>a tomada por la Corte,</w:t>
      </w:r>
      <w:r w:rsidR="003E3121" w:rsidRPr="001932BE">
        <w:rPr>
          <w:rFonts w:ascii="Verdana" w:hAnsi="Verdana"/>
          <w:sz w:val="20"/>
          <w:szCs w:val="20"/>
          <w:lang w:val="es-MX"/>
        </w:rPr>
        <w:t xml:space="preserve"> al declarar la </w:t>
      </w:r>
      <w:proofErr w:type="spellStart"/>
      <w:r w:rsidR="003E3121" w:rsidRPr="001932BE">
        <w:rPr>
          <w:rFonts w:ascii="Verdana" w:hAnsi="Verdana"/>
          <w:sz w:val="20"/>
          <w:szCs w:val="20"/>
          <w:lang w:val="es-MX"/>
        </w:rPr>
        <w:t>justiciabilidad</w:t>
      </w:r>
      <w:proofErr w:type="spellEnd"/>
      <w:r w:rsidR="003E3121" w:rsidRPr="001932BE">
        <w:rPr>
          <w:rFonts w:ascii="Verdana" w:hAnsi="Verdana"/>
          <w:sz w:val="20"/>
          <w:szCs w:val="20"/>
          <w:lang w:val="es-MX"/>
        </w:rPr>
        <w:t xml:space="preserve"> de los </w:t>
      </w:r>
      <w:r w:rsidR="009E71B6" w:rsidRPr="001932BE">
        <w:rPr>
          <w:rFonts w:ascii="Verdana" w:hAnsi="Verdana"/>
          <w:sz w:val="20"/>
          <w:szCs w:val="20"/>
          <w:lang w:val="es-MX"/>
        </w:rPr>
        <w:t xml:space="preserve">DESCA </w:t>
      </w:r>
      <w:r w:rsidR="004C1D22" w:rsidRPr="001932BE">
        <w:rPr>
          <w:rFonts w:ascii="Verdana" w:hAnsi="Verdana"/>
          <w:sz w:val="20"/>
          <w:szCs w:val="20"/>
          <w:lang w:val="es-MX"/>
        </w:rPr>
        <w:t xml:space="preserve">de conformidad con </w:t>
      </w:r>
      <w:r w:rsidR="003E3121" w:rsidRPr="001932BE">
        <w:rPr>
          <w:rFonts w:ascii="Verdana" w:hAnsi="Verdana"/>
          <w:sz w:val="20"/>
          <w:szCs w:val="20"/>
          <w:lang w:val="es-MX"/>
        </w:rPr>
        <w:t xml:space="preserve">el artículo 26 en relación </w:t>
      </w:r>
      <w:r w:rsidR="004C1D22" w:rsidRPr="001932BE">
        <w:rPr>
          <w:rFonts w:ascii="Verdana" w:hAnsi="Verdana"/>
          <w:sz w:val="20"/>
          <w:szCs w:val="20"/>
          <w:lang w:val="es-MX"/>
        </w:rPr>
        <w:t xml:space="preserve">con </w:t>
      </w:r>
      <w:r w:rsidR="003E3121" w:rsidRPr="001932BE">
        <w:rPr>
          <w:rFonts w:ascii="Verdana" w:hAnsi="Verdana"/>
          <w:sz w:val="20"/>
          <w:szCs w:val="20"/>
          <w:lang w:val="es-MX"/>
        </w:rPr>
        <w:t>las obligaciones</w:t>
      </w:r>
      <w:r w:rsidR="00292EBB" w:rsidRPr="001932BE">
        <w:rPr>
          <w:rFonts w:ascii="Verdana" w:hAnsi="Verdana"/>
          <w:sz w:val="20"/>
          <w:szCs w:val="20"/>
          <w:lang w:val="es-MX"/>
        </w:rPr>
        <w:t xml:space="preserve"> contenidas en los artículos 1.1</w:t>
      </w:r>
      <w:r w:rsidR="003E3121" w:rsidRPr="001932BE">
        <w:rPr>
          <w:rFonts w:ascii="Verdana" w:hAnsi="Verdana"/>
          <w:sz w:val="20"/>
          <w:szCs w:val="20"/>
          <w:lang w:val="es-MX"/>
        </w:rPr>
        <w:t xml:space="preserve"> y 2 de la Convención</w:t>
      </w:r>
      <w:r w:rsidR="004C1D22" w:rsidRPr="001932BE">
        <w:rPr>
          <w:rFonts w:ascii="Verdana" w:hAnsi="Verdana"/>
          <w:sz w:val="20"/>
          <w:szCs w:val="20"/>
          <w:lang w:val="es-MX"/>
        </w:rPr>
        <w:t xml:space="preserve"> Americana</w:t>
      </w:r>
      <w:r w:rsidR="003E3121" w:rsidRPr="001932BE">
        <w:rPr>
          <w:rFonts w:ascii="Verdana" w:hAnsi="Verdana"/>
          <w:sz w:val="20"/>
          <w:szCs w:val="20"/>
          <w:lang w:val="es-MX"/>
        </w:rPr>
        <w:t xml:space="preserve">. Cómo bien fue mencionado en el párrafo </w:t>
      </w:r>
      <w:r w:rsidR="00C7184F" w:rsidRPr="001932BE">
        <w:rPr>
          <w:rFonts w:ascii="Verdana" w:hAnsi="Verdana"/>
          <w:sz w:val="20"/>
          <w:szCs w:val="20"/>
          <w:lang w:val="es-MX"/>
        </w:rPr>
        <w:t xml:space="preserve">154 </w:t>
      </w:r>
      <w:r w:rsidR="003E3121" w:rsidRPr="001932BE">
        <w:rPr>
          <w:rFonts w:ascii="Verdana" w:hAnsi="Verdana"/>
          <w:sz w:val="20"/>
          <w:szCs w:val="20"/>
          <w:lang w:val="es-MX"/>
        </w:rPr>
        <w:t xml:space="preserve">de la Sentencia, con este precedente se concreta y desarrolla el primer precedente en la materia y </w:t>
      </w:r>
      <w:r w:rsidR="004C1D22" w:rsidRPr="001932BE">
        <w:rPr>
          <w:rFonts w:ascii="Verdana" w:hAnsi="Verdana"/>
          <w:sz w:val="20"/>
          <w:szCs w:val="20"/>
          <w:lang w:val="es-MX"/>
        </w:rPr>
        <w:t xml:space="preserve">con ellos se </w:t>
      </w:r>
      <w:r w:rsidR="003E3121" w:rsidRPr="001932BE">
        <w:rPr>
          <w:rFonts w:ascii="Verdana" w:hAnsi="Verdana"/>
          <w:sz w:val="20"/>
          <w:szCs w:val="20"/>
          <w:lang w:val="es-MX"/>
        </w:rPr>
        <w:t>abre la puerta a la interpretación de otros derechos derivados del artículo 26</w:t>
      </w:r>
      <w:r w:rsidR="004C1D22" w:rsidRPr="001932BE">
        <w:rPr>
          <w:rFonts w:ascii="Verdana" w:hAnsi="Verdana"/>
          <w:sz w:val="20"/>
          <w:szCs w:val="20"/>
          <w:lang w:val="es-MX"/>
        </w:rPr>
        <w:t xml:space="preserve"> de la Convención</w:t>
      </w:r>
      <w:r w:rsidR="003E3121" w:rsidRPr="001932BE">
        <w:rPr>
          <w:rFonts w:ascii="Verdana" w:hAnsi="Verdana"/>
          <w:sz w:val="20"/>
          <w:szCs w:val="20"/>
          <w:lang w:val="es-MX"/>
        </w:rPr>
        <w:t xml:space="preserve">. Si bien </w:t>
      </w:r>
      <w:r w:rsidR="00351E4F" w:rsidRPr="001932BE">
        <w:rPr>
          <w:rFonts w:ascii="Verdana" w:hAnsi="Verdana"/>
          <w:sz w:val="20"/>
          <w:szCs w:val="20"/>
          <w:lang w:val="es-MX"/>
        </w:rPr>
        <w:t>la Convención Americana</w:t>
      </w:r>
      <w:r w:rsidR="003E3121" w:rsidRPr="001932BE">
        <w:rPr>
          <w:rFonts w:ascii="Verdana" w:hAnsi="Verdana"/>
          <w:sz w:val="20"/>
          <w:szCs w:val="20"/>
          <w:lang w:val="es-MX"/>
        </w:rPr>
        <w:t xml:space="preserve"> que nos compete interpretar es de 1969, la posibilidad que </w:t>
      </w:r>
      <w:r w:rsidR="004C1D22" w:rsidRPr="001932BE">
        <w:rPr>
          <w:rFonts w:ascii="Verdana" w:hAnsi="Verdana"/>
          <w:sz w:val="20"/>
          <w:szCs w:val="20"/>
          <w:lang w:val="es-MX"/>
        </w:rPr>
        <w:t>esbozó</w:t>
      </w:r>
      <w:r w:rsidR="003E3121" w:rsidRPr="001932BE">
        <w:rPr>
          <w:rFonts w:ascii="Verdana" w:hAnsi="Verdana"/>
          <w:sz w:val="20"/>
          <w:szCs w:val="20"/>
          <w:lang w:val="es-MX"/>
        </w:rPr>
        <w:t xml:space="preserve"> </w:t>
      </w:r>
      <w:r w:rsidR="00635AD7" w:rsidRPr="001932BE">
        <w:rPr>
          <w:rFonts w:ascii="Verdana" w:hAnsi="Verdana"/>
          <w:sz w:val="20"/>
          <w:szCs w:val="20"/>
          <w:lang w:val="es-MX"/>
        </w:rPr>
        <w:t xml:space="preserve">en su texto </w:t>
      </w:r>
      <w:r w:rsidR="003E3121" w:rsidRPr="001932BE">
        <w:rPr>
          <w:rFonts w:ascii="Verdana" w:hAnsi="Verdana"/>
          <w:sz w:val="20"/>
          <w:szCs w:val="20"/>
          <w:lang w:val="es-MX"/>
        </w:rPr>
        <w:t>para ser interpretad</w:t>
      </w:r>
      <w:r w:rsidR="00AB24AA" w:rsidRPr="001932BE">
        <w:rPr>
          <w:rFonts w:ascii="Verdana" w:hAnsi="Verdana"/>
          <w:sz w:val="20"/>
          <w:szCs w:val="20"/>
          <w:lang w:val="es-MX"/>
        </w:rPr>
        <w:t>a</w:t>
      </w:r>
      <w:r w:rsidR="003E3121" w:rsidRPr="001932BE">
        <w:rPr>
          <w:rFonts w:ascii="Verdana" w:hAnsi="Verdana"/>
          <w:sz w:val="20"/>
          <w:szCs w:val="20"/>
          <w:lang w:val="es-MX"/>
        </w:rPr>
        <w:t xml:space="preserve"> </w:t>
      </w:r>
      <w:r w:rsidR="004C1D22" w:rsidRPr="001932BE">
        <w:rPr>
          <w:rFonts w:ascii="Verdana" w:hAnsi="Verdana"/>
          <w:sz w:val="20"/>
          <w:szCs w:val="20"/>
          <w:lang w:val="es-MX"/>
        </w:rPr>
        <w:t xml:space="preserve">de manera evolutiva </w:t>
      </w:r>
      <w:r w:rsidR="003E3121" w:rsidRPr="001932BE">
        <w:rPr>
          <w:rFonts w:ascii="Verdana" w:hAnsi="Verdana"/>
          <w:sz w:val="20"/>
          <w:szCs w:val="20"/>
          <w:lang w:val="es-MX"/>
        </w:rPr>
        <w:t>respecto de las normas</w:t>
      </w:r>
      <w:r w:rsidR="00292EBB" w:rsidRPr="001932BE">
        <w:rPr>
          <w:rFonts w:ascii="Verdana" w:hAnsi="Verdana"/>
          <w:sz w:val="20"/>
          <w:szCs w:val="20"/>
          <w:lang w:val="es-MX"/>
        </w:rPr>
        <w:t xml:space="preserve"> económicas, sociales y sobre educación, ciencia</w:t>
      </w:r>
      <w:r w:rsidR="00927FF2" w:rsidRPr="001932BE">
        <w:rPr>
          <w:rFonts w:ascii="Verdana" w:hAnsi="Verdana"/>
          <w:sz w:val="20"/>
          <w:szCs w:val="20"/>
          <w:lang w:val="es-MX"/>
        </w:rPr>
        <w:t>,</w:t>
      </w:r>
      <w:r w:rsidR="00D71F83" w:rsidRPr="001932BE">
        <w:rPr>
          <w:rFonts w:ascii="Verdana" w:hAnsi="Verdana"/>
          <w:sz w:val="20"/>
          <w:szCs w:val="20"/>
          <w:lang w:val="es-MX"/>
        </w:rPr>
        <w:t xml:space="preserve"> </w:t>
      </w:r>
      <w:r w:rsidR="00292EBB" w:rsidRPr="001932BE">
        <w:rPr>
          <w:rFonts w:ascii="Verdana" w:hAnsi="Verdana"/>
          <w:sz w:val="20"/>
          <w:szCs w:val="20"/>
          <w:lang w:val="es-MX"/>
        </w:rPr>
        <w:t>cultura</w:t>
      </w:r>
      <w:r w:rsidR="00927FF2" w:rsidRPr="001932BE">
        <w:rPr>
          <w:rFonts w:ascii="Verdana" w:hAnsi="Verdana"/>
          <w:sz w:val="20"/>
          <w:szCs w:val="20"/>
          <w:lang w:val="es-MX"/>
        </w:rPr>
        <w:t xml:space="preserve"> y medio ambiente</w:t>
      </w:r>
      <w:r w:rsidR="00292EBB" w:rsidRPr="001932BE">
        <w:rPr>
          <w:rFonts w:ascii="Verdana" w:hAnsi="Verdana"/>
          <w:sz w:val="20"/>
          <w:szCs w:val="20"/>
          <w:lang w:val="es-MX"/>
        </w:rPr>
        <w:t>, contenidas en la Carta de la OEA a la luz del artículo 29 convencional,</w:t>
      </w:r>
      <w:r w:rsidR="003E3121" w:rsidRPr="001932BE">
        <w:rPr>
          <w:rFonts w:ascii="Verdana" w:hAnsi="Verdana"/>
          <w:sz w:val="20"/>
          <w:szCs w:val="20"/>
          <w:lang w:val="es-MX"/>
        </w:rPr>
        <w:t xml:space="preserve"> fu</w:t>
      </w:r>
      <w:r w:rsidR="00292EBB" w:rsidRPr="001932BE">
        <w:rPr>
          <w:rFonts w:ascii="Verdana" w:hAnsi="Verdana"/>
          <w:sz w:val="20"/>
          <w:szCs w:val="20"/>
          <w:lang w:val="es-MX"/>
        </w:rPr>
        <w:t>e de gran relevancia para que hoy en</w:t>
      </w:r>
      <w:r w:rsidR="003E3121" w:rsidRPr="001932BE">
        <w:rPr>
          <w:rFonts w:ascii="Verdana" w:hAnsi="Verdana"/>
          <w:sz w:val="20"/>
          <w:szCs w:val="20"/>
          <w:lang w:val="es-MX"/>
        </w:rPr>
        <w:t xml:space="preserve"> día podamos estar dando finalmente un paso más en la consolidación de la interdependencia </w:t>
      </w:r>
      <w:r w:rsidR="00567078" w:rsidRPr="001932BE">
        <w:rPr>
          <w:rFonts w:ascii="Verdana" w:hAnsi="Verdana"/>
          <w:sz w:val="20"/>
          <w:szCs w:val="20"/>
          <w:lang w:val="es-MX"/>
        </w:rPr>
        <w:t xml:space="preserve">e integralidad </w:t>
      </w:r>
      <w:r w:rsidR="004C1D22" w:rsidRPr="001932BE">
        <w:rPr>
          <w:rFonts w:ascii="Verdana" w:hAnsi="Verdana"/>
          <w:sz w:val="20"/>
          <w:szCs w:val="20"/>
          <w:lang w:val="es-MX"/>
        </w:rPr>
        <w:t>de los derechos humanos.</w:t>
      </w:r>
      <w:r w:rsidR="00566BDD" w:rsidRPr="001932BE">
        <w:rPr>
          <w:rFonts w:ascii="Verdana" w:hAnsi="Verdana"/>
          <w:sz w:val="20"/>
          <w:szCs w:val="20"/>
          <w:lang w:val="es-MX"/>
        </w:rPr>
        <w:t xml:space="preserve"> </w:t>
      </w:r>
    </w:p>
    <w:p w14:paraId="4D8B43A5" w14:textId="77777777" w:rsidR="00E84FD0" w:rsidRPr="001932BE" w:rsidRDefault="00E84FD0" w:rsidP="001932BE">
      <w:pPr>
        <w:pStyle w:val="ListParagraph"/>
        <w:spacing w:after="0" w:line="240" w:lineRule="auto"/>
        <w:ind w:left="0"/>
        <w:jc w:val="both"/>
        <w:rPr>
          <w:rFonts w:ascii="Verdana" w:hAnsi="Verdana"/>
          <w:sz w:val="20"/>
          <w:szCs w:val="20"/>
          <w:lang w:val="es-MX"/>
        </w:rPr>
      </w:pPr>
    </w:p>
    <w:p w14:paraId="00EC609A" w14:textId="1CA3409D" w:rsidR="00983A81" w:rsidRPr="001932BE" w:rsidRDefault="00983A81"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 xml:space="preserve">Es </w:t>
      </w:r>
      <w:r w:rsidR="00A2097C" w:rsidRPr="001932BE">
        <w:rPr>
          <w:rFonts w:ascii="Verdana" w:hAnsi="Verdana"/>
          <w:sz w:val="20"/>
          <w:szCs w:val="20"/>
          <w:lang w:val="es-MX"/>
        </w:rPr>
        <w:t>fundamental</w:t>
      </w:r>
      <w:r w:rsidRPr="001932BE">
        <w:rPr>
          <w:rFonts w:ascii="Verdana" w:hAnsi="Verdana"/>
          <w:sz w:val="20"/>
          <w:szCs w:val="20"/>
          <w:lang w:val="es-MX"/>
        </w:rPr>
        <w:t xml:space="preserve"> resaltar la importancia de este precedente ya que se extiende más allá del Sistema Interamericano</w:t>
      </w:r>
      <w:r w:rsidR="003C5D59" w:rsidRPr="001932BE">
        <w:rPr>
          <w:rFonts w:ascii="Verdana" w:hAnsi="Verdana"/>
          <w:sz w:val="20"/>
          <w:szCs w:val="20"/>
          <w:lang w:val="es-MX"/>
        </w:rPr>
        <w:t>; es un</w:t>
      </w:r>
      <w:r w:rsidR="00383C6C" w:rsidRPr="001932BE">
        <w:rPr>
          <w:rFonts w:ascii="Verdana" w:hAnsi="Verdana"/>
          <w:sz w:val="20"/>
          <w:szCs w:val="20"/>
          <w:lang w:val="es-MX"/>
        </w:rPr>
        <w:t xml:space="preserve"> excelente</w:t>
      </w:r>
      <w:r w:rsidR="003C5D59" w:rsidRPr="001932BE">
        <w:rPr>
          <w:rFonts w:ascii="Verdana" w:hAnsi="Verdana"/>
          <w:sz w:val="20"/>
          <w:szCs w:val="20"/>
          <w:lang w:val="es-MX"/>
        </w:rPr>
        <w:t xml:space="preserve"> ejemplo de diálogo judici</w:t>
      </w:r>
      <w:r w:rsidR="00A4797B" w:rsidRPr="001932BE">
        <w:rPr>
          <w:rFonts w:ascii="Verdana" w:hAnsi="Verdana"/>
          <w:sz w:val="20"/>
          <w:szCs w:val="20"/>
          <w:lang w:val="es-MX"/>
        </w:rPr>
        <w:t>al</w:t>
      </w:r>
      <w:r w:rsidR="003C5D59" w:rsidRPr="001932BE">
        <w:rPr>
          <w:rFonts w:ascii="Verdana" w:hAnsi="Verdana"/>
          <w:sz w:val="20"/>
          <w:szCs w:val="20"/>
          <w:lang w:val="es-MX"/>
        </w:rPr>
        <w:t xml:space="preserve"> </w:t>
      </w:r>
      <w:r w:rsidR="00383C6C" w:rsidRPr="001932BE">
        <w:rPr>
          <w:rFonts w:ascii="Verdana" w:hAnsi="Verdana"/>
          <w:sz w:val="20"/>
          <w:szCs w:val="20"/>
          <w:lang w:val="es-MX"/>
        </w:rPr>
        <w:t xml:space="preserve">donde </w:t>
      </w:r>
      <w:r w:rsidR="003C5D59" w:rsidRPr="001932BE">
        <w:rPr>
          <w:rFonts w:ascii="Verdana" w:hAnsi="Verdana"/>
          <w:sz w:val="20"/>
          <w:szCs w:val="20"/>
          <w:lang w:val="es-MX"/>
        </w:rPr>
        <w:t xml:space="preserve">se suman decisiones judiciales de nivel interno que </w:t>
      </w:r>
      <w:r w:rsidR="00A2097C" w:rsidRPr="001932BE">
        <w:rPr>
          <w:rFonts w:ascii="Verdana" w:hAnsi="Verdana"/>
          <w:sz w:val="20"/>
          <w:szCs w:val="20"/>
          <w:lang w:val="es-MX"/>
        </w:rPr>
        <w:t xml:space="preserve">han </w:t>
      </w:r>
      <w:r w:rsidR="003C5D59" w:rsidRPr="001932BE">
        <w:rPr>
          <w:rFonts w:ascii="Verdana" w:hAnsi="Verdana"/>
          <w:sz w:val="20"/>
          <w:szCs w:val="20"/>
          <w:lang w:val="es-MX"/>
        </w:rPr>
        <w:t>reconoci</w:t>
      </w:r>
      <w:r w:rsidR="00A2097C" w:rsidRPr="001932BE">
        <w:rPr>
          <w:rFonts w:ascii="Verdana" w:hAnsi="Verdana"/>
          <w:sz w:val="20"/>
          <w:szCs w:val="20"/>
          <w:lang w:val="es-MX"/>
        </w:rPr>
        <w:t>do ya</w:t>
      </w:r>
      <w:r w:rsidR="003C5D59" w:rsidRPr="001932BE">
        <w:rPr>
          <w:rFonts w:ascii="Verdana" w:hAnsi="Verdana"/>
          <w:sz w:val="20"/>
          <w:szCs w:val="20"/>
          <w:lang w:val="es-MX"/>
        </w:rPr>
        <w:t xml:space="preserve"> la </w:t>
      </w:r>
      <w:proofErr w:type="spellStart"/>
      <w:r w:rsidR="003C5D59" w:rsidRPr="001932BE">
        <w:rPr>
          <w:rFonts w:ascii="Verdana" w:hAnsi="Verdana"/>
          <w:sz w:val="20"/>
          <w:szCs w:val="20"/>
          <w:lang w:val="es-MX"/>
        </w:rPr>
        <w:t>justiciabilidad</w:t>
      </w:r>
      <w:proofErr w:type="spellEnd"/>
      <w:r w:rsidR="003C5D59" w:rsidRPr="001932BE">
        <w:rPr>
          <w:rFonts w:ascii="Verdana" w:hAnsi="Verdana"/>
          <w:sz w:val="20"/>
          <w:szCs w:val="20"/>
          <w:lang w:val="es-MX"/>
        </w:rPr>
        <w:t xml:space="preserve"> de los DESCA</w:t>
      </w:r>
      <w:r w:rsidR="003C5D59" w:rsidRPr="001932BE">
        <w:rPr>
          <w:rStyle w:val="FootnoteReference"/>
          <w:rFonts w:ascii="Verdana" w:hAnsi="Verdana"/>
          <w:sz w:val="20"/>
          <w:lang w:val="es-MX"/>
        </w:rPr>
        <w:footnoteReference w:id="2"/>
      </w:r>
      <w:r w:rsidR="003C5D59" w:rsidRPr="001932BE">
        <w:rPr>
          <w:rFonts w:ascii="Verdana" w:hAnsi="Verdana"/>
          <w:sz w:val="20"/>
          <w:szCs w:val="20"/>
          <w:lang w:val="es-MX"/>
        </w:rPr>
        <w:t xml:space="preserve"> con aquellas </w:t>
      </w:r>
      <w:r w:rsidR="00A2097C" w:rsidRPr="001932BE">
        <w:rPr>
          <w:rFonts w:ascii="Verdana" w:hAnsi="Verdana"/>
          <w:sz w:val="20"/>
          <w:szCs w:val="20"/>
          <w:lang w:val="es-MX"/>
        </w:rPr>
        <w:t xml:space="preserve">realizadas </w:t>
      </w:r>
      <w:r w:rsidR="00474FBE" w:rsidRPr="001932BE">
        <w:rPr>
          <w:rFonts w:ascii="Verdana" w:hAnsi="Verdana"/>
          <w:sz w:val="20"/>
          <w:szCs w:val="20"/>
          <w:lang w:val="es-MX"/>
        </w:rPr>
        <w:t>en el ámbito</w:t>
      </w:r>
      <w:r w:rsidR="003C5D59" w:rsidRPr="001932BE">
        <w:rPr>
          <w:rFonts w:ascii="Verdana" w:hAnsi="Verdana"/>
          <w:sz w:val="20"/>
          <w:szCs w:val="20"/>
          <w:lang w:val="es-MX"/>
        </w:rPr>
        <w:t xml:space="preserve"> internacional.</w:t>
      </w:r>
      <w:r w:rsidR="00383C6C" w:rsidRPr="001932BE">
        <w:rPr>
          <w:rFonts w:ascii="Verdana" w:hAnsi="Verdana"/>
          <w:sz w:val="20"/>
          <w:szCs w:val="20"/>
          <w:lang w:val="es-MX"/>
        </w:rPr>
        <w:t xml:space="preserve"> Al hacerlo, la Corte Interamericana demuestra observar las jurisdicciones constitucionales y nacionales y eleva ese necesario reconocimiento al ámbito del Derecho Internacional de los Derechos Humanos.</w:t>
      </w:r>
    </w:p>
    <w:p w14:paraId="58C121F3" w14:textId="77777777" w:rsidR="00E84FD0" w:rsidRPr="001932BE" w:rsidRDefault="00E84FD0" w:rsidP="001932BE">
      <w:pPr>
        <w:pStyle w:val="ListParagraph"/>
        <w:spacing w:after="0" w:line="240" w:lineRule="auto"/>
        <w:ind w:left="0"/>
        <w:jc w:val="both"/>
        <w:rPr>
          <w:rFonts w:ascii="Verdana" w:hAnsi="Verdana"/>
          <w:sz w:val="20"/>
          <w:szCs w:val="20"/>
          <w:lang w:val="es-MX"/>
        </w:rPr>
      </w:pPr>
    </w:p>
    <w:p w14:paraId="28C410A4" w14:textId="1D832089" w:rsidR="00977B9C" w:rsidRPr="001932BE" w:rsidRDefault="00977B9C" w:rsidP="001932BE">
      <w:pPr>
        <w:pStyle w:val="ListParagraph"/>
        <w:numPr>
          <w:ilvl w:val="0"/>
          <w:numId w:val="11"/>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 xml:space="preserve">Desarrollaré </w:t>
      </w:r>
      <w:r w:rsidR="007318D2" w:rsidRPr="001932BE">
        <w:rPr>
          <w:rFonts w:ascii="Verdana" w:hAnsi="Verdana"/>
          <w:sz w:val="20"/>
          <w:szCs w:val="20"/>
          <w:lang w:val="es-MX"/>
        </w:rPr>
        <w:t xml:space="preserve">a continuación </w:t>
      </w:r>
      <w:r w:rsidRPr="001932BE">
        <w:rPr>
          <w:rFonts w:ascii="Verdana" w:hAnsi="Verdana"/>
          <w:sz w:val="20"/>
          <w:szCs w:val="20"/>
          <w:lang w:val="es-MX"/>
        </w:rPr>
        <w:t>los siguientes puntos a</w:t>
      </w:r>
      <w:r w:rsidR="00567078" w:rsidRPr="001932BE">
        <w:rPr>
          <w:rFonts w:ascii="Verdana" w:hAnsi="Verdana"/>
          <w:sz w:val="20"/>
          <w:szCs w:val="20"/>
          <w:lang w:val="es-MX"/>
        </w:rPr>
        <w:t>dicionales a</w:t>
      </w:r>
      <w:r w:rsidRPr="001932BE">
        <w:rPr>
          <w:rFonts w:ascii="Verdana" w:hAnsi="Verdana"/>
          <w:sz w:val="20"/>
          <w:szCs w:val="20"/>
          <w:lang w:val="es-MX"/>
        </w:rPr>
        <w:t xml:space="preserve"> considerar: </w:t>
      </w:r>
      <w:proofErr w:type="spellStart"/>
      <w:r w:rsidR="007F25D8" w:rsidRPr="001932BE">
        <w:rPr>
          <w:rFonts w:ascii="Verdana" w:hAnsi="Verdana"/>
          <w:i/>
          <w:sz w:val="20"/>
          <w:szCs w:val="20"/>
          <w:lang w:val="es-MX"/>
        </w:rPr>
        <w:t>Iura</w:t>
      </w:r>
      <w:proofErr w:type="spellEnd"/>
      <w:r w:rsidR="007F25D8" w:rsidRPr="001932BE">
        <w:rPr>
          <w:rFonts w:ascii="Verdana" w:hAnsi="Verdana"/>
          <w:i/>
          <w:sz w:val="20"/>
          <w:szCs w:val="20"/>
          <w:lang w:val="es-MX"/>
        </w:rPr>
        <w:t xml:space="preserve"> </w:t>
      </w:r>
      <w:proofErr w:type="spellStart"/>
      <w:r w:rsidR="007F25D8" w:rsidRPr="001932BE">
        <w:rPr>
          <w:rFonts w:ascii="Verdana" w:hAnsi="Verdana"/>
          <w:i/>
          <w:sz w:val="20"/>
          <w:szCs w:val="20"/>
          <w:lang w:val="es-MX"/>
        </w:rPr>
        <w:t>novit</w:t>
      </w:r>
      <w:proofErr w:type="spellEnd"/>
      <w:r w:rsidR="007F25D8" w:rsidRPr="001932BE">
        <w:rPr>
          <w:rFonts w:ascii="Verdana" w:hAnsi="Verdana"/>
          <w:i/>
          <w:sz w:val="20"/>
          <w:szCs w:val="20"/>
          <w:lang w:val="es-MX"/>
        </w:rPr>
        <w:t xml:space="preserve"> curia</w:t>
      </w:r>
      <w:r w:rsidR="007F25D8" w:rsidRPr="001932BE">
        <w:rPr>
          <w:rFonts w:ascii="Verdana" w:hAnsi="Verdana"/>
          <w:sz w:val="20"/>
          <w:szCs w:val="20"/>
          <w:lang w:val="es-MX"/>
        </w:rPr>
        <w:t xml:space="preserve"> y El derecho al trabajo protegido por los artículos 26 y 25 de la Convención</w:t>
      </w:r>
      <w:r w:rsidR="00CD124E" w:rsidRPr="001932BE">
        <w:rPr>
          <w:rFonts w:ascii="Verdana" w:hAnsi="Verdana"/>
          <w:sz w:val="20"/>
          <w:szCs w:val="20"/>
          <w:lang w:val="es-MX"/>
        </w:rPr>
        <w:t>.</w:t>
      </w:r>
      <w:r w:rsidRPr="001932BE">
        <w:rPr>
          <w:rFonts w:ascii="Verdana" w:hAnsi="Verdana"/>
          <w:sz w:val="20"/>
          <w:szCs w:val="20"/>
          <w:lang w:val="es-MX"/>
        </w:rPr>
        <w:t xml:space="preserve"> </w:t>
      </w:r>
    </w:p>
    <w:p w14:paraId="37CB91FE" w14:textId="77777777" w:rsidR="006831B9" w:rsidRPr="001932BE" w:rsidRDefault="006831B9" w:rsidP="001932BE">
      <w:pPr>
        <w:pStyle w:val="ListParagraph"/>
        <w:spacing w:after="0" w:line="240" w:lineRule="auto"/>
        <w:ind w:left="0"/>
        <w:jc w:val="both"/>
        <w:rPr>
          <w:rFonts w:ascii="Verdana" w:hAnsi="Verdana"/>
          <w:sz w:val="20"/>
          <w:szCs w:val="20"/>
          <w:lang w:val="es-MX"/>
        </w:rPr>
      </w:pPr>
    </w:p>
    <w:p w14:paraId="2C9A9A1F" w14:textId="77777777" w:rsidR="00DA7512" w:rsidRPr="001932BE" w:rsidRDefault="006666D0" w:rsidP="001932BE">
      <w:pPr>
        <w:pStyle w:val="Style1"/>
        <w:spacing w:after="0" w:line="240" w:lineRule="auto"/>
        <w:ind w:left="0"/>
        <w:rPr>
          <w:i/>
          <w:lang w:val="es-CR"/>
        </w:rPr>
      </w:pPr>
      <w:proofErr w:type="spellStart"/>
      <w:r w:rsidRPr="001932BE">
        <w:rPr>
          <w:i/>
        </w:rPr>
        <w:t>Iura</w:t>
      </w:r>
      <w:proofErr w:type="spellEnd"/>
      <w:r w:rsidRPr="001932BE">
        <w:rPr>
          <w:i/>
        </w:rPr>
        <w:t xml:space="preserve"> </w:t>
      </w:r>
      <w:proofErr w:type="spellStart"/>
      <w:r w:rsidRPr="001932BE">
        <w:rPr>
          <w:i/>
        </w:rPr>
        <w:t>novit</w:t>
      </w:r>
      <w:proofErr w:type="spellEnd"/>
      <w:r w:rsidRPr="001932BE">
        <w:rPr>
          <w:i/>
        </w:rPr>
        <w:t xml:space="preserve"> curia</w:t>
      </w:r>
    </w:p>
    <w:p w14:paraId="7B605EE9" w14:textId="77777777" w:rsidR="00E84FD0" w:rsidRPr="001932BE" w:rsidRDefault="00E84FD0" w:rsidP="001932BE">
      <w:pPr>
        <w:pStyle w:val="Style1"/>
        <w:numPr>
          <w:ilvl w:val="0"/>
          <w:numId w:val="0"/>
        </w:numPr>
        <w:spacing w:after="0" w:line="240" w:lineRule="auto"/>
        <w:jc w:val="both"/>
        <w:rPr>
          <w:i/>
          <w:lang w:val="es-CR"/>
        </w:rPr>
      </w:pPr>
    </w:p>
    <w:p w14:paraId="42175753" w14:textId="4E9F0E7D" w:rsidR="00673090" w:rsidRPr="001932BE" w:rsidRDefault="00673090" w:rsidP="001932BE">
      <w:pPr>
        <w:pStyle w:val="Style1"/>
        <w:numPr>
          <w:ilvl w:val="0"/>
          <w:numId w:val="11"/>
        </w:numPr>
        <w:spacing w:after="0" w:line="240" w:lineRule="auto"/>
        <w:ind w:left="0" w:firstLine="0"/>
        <w:jc w:val="both"/>
      </w:pPr>
      <w:r w:rsidRPr="001932BE">
        <w:rPr>
          <w:b w:val="0"/>
          <w:u w:val="none"/>
        </w:rPr>
        <w:t>Deseo hacer notar un punto que</w:t>
      </w:r>
      <w:r w:rsidR="00081FF8" w:rsidRPr="001932BE">
        <w:rPr>
          <w:b w:val="0"/>
          <w:u w:val="none"/>
        </w:rPr>
        <w:t>,</w:t>
      </w:r>
      <w:r w:rsidRPr="001932BE">
        <w:rPr>
          <w:b w:val="0"/>
          <w:u w:val="none"/>
        </w:rPr>
        <w:t xml:space="preserve"> en mi parecer, resulta medular, en cuanto a la aplicación del principio </w:t>
      </w:r>
      <w:proofErr w:type="spellStart"/>
      <w:r w:rsidRPr="001932BE">
        <w:rPr>
          <w:b w:val="0"/>
          <w:i/>
          <w:u w:val="none"/>
        </w:rPr>
        <w:t>iuria</w:t>
      </w:r>
      <w:proofErr w:type="spellEnd"/>
      <w:r w:rsidRPr="001932BE">
        <w:rPr>
          <w:b w:val="0"/>
          <w:i/>
          <w:u w:val="none"/>
        </w:rPr>
        <w:t xml:space="preserve"> </w:t>
      </w:r>
      <w:proofErr w:type="spellStart"/>
      <w:r w:rsidRPr="001932BE">
        <w:rPr>
          <w:b w:val="0"/>
          <w:i/>
          <w:u w:val="none"/>
        </w:rPr>
        <w:t>novit</w:t>
      </w:r>
      <w:proofErr w:type="spellEnd"/>
      <w:r w:rsidRPr="001932BE">
        <w:rPr>
          <w:b w:val="0"/>
          <w:i/>
          <w:u w:val="none"/>
        </w:rPr>
        <w:t xml:space="preserve"> curia</w:t>
      </w:r>
      <w:r w:rsidRPr="001932BE">
        <w:rPr>
          <w:b w:val="0"/>
          <w:u w:val="none"/>
        </w:rPr>
        <w:t xml:space="preserve"> en el caso concreto, respecto de</w:t>
      </w:r>
      <w:r w:rsidR="007318D2" w:rsidRPr="001932BE">
        <w:rPr>
          <w:b w:val="0"/>
          <w:u w:val="none"/>
        </w:rPr>
        <w:t>l</w:t>
      </w:r>
      <w:r w:rsidRPr="001932BE">
        <w:rPr>
          <w:b w:val="0"/>
          <w:u w:val="none"/>
        </w:rPr>
        <w:t xml:space="preserve"> cual difiero</w:t>
      </w:r>
      <w:r w:rsidR="004C1D22" w:rsidRPr="001932BE">
        <w:rPr>
          <w:b w:val="0"/>
          <w:u w:val="none"/>
        </w:rPr>
        <w:t xml:space="preserve"> </w:t>
      </w:r>
      <w:r w:rsidR="00292EBB" w:rsidRPr="001932BE">
        <w:rPr>
          <w:b w:val="0"/>
          <w:u w:val="none"/>
        </w:rPr>
        <w:t xml:space="preserve">su </w:t>
      </w:r>
      <w:r w:rsidR="00073ECE" w:rsidRPr="001932BE">
        <w:rPr>
          <w:b w:val="0"/>
          <w:u w:val="none"/>
        </w:rPr>
        <w:t xml:space="preserve">necesidad </w:t>
      </w:r>
      <w:r w:rsidR="00292EBB" w:rsidRPr="001932BE">
        <w:rPr>
          <w:b w:val="0"/>
          <w:u w:val="none"/>
        </w:rPr>
        <w:t>en el presente caso</w:t>
      </w:r>
      <w:r w:rsidRPr="001932BE">
        <w:rPr>
          <w:b w:val="0"/>
          <w:u w:val="none"/>
        </w:rPr>
        <w:t xml:space="preserve">. </w:t>
      </w:r>
      <w:r w:rsidR="00073ECE" w:rsidRPr="001932BE">
        <w:rPr>
          <w:b w:val="0"/>
          <w:u w:val="none"/>
        </w:rPr>
        <w:t xml:space="preserve">Me he sumado a la </w:t>
      </w:r>
      <w:r w:rsidR="007C73D6" w:rsidRPr="001932BE">
        <w:rPr>
          <w:b w:val="0"/>
          <w:u w:val="none"/>
        </w:rPr>
        <w:t>mayoría formada por</w:t>
      </w:r>
      <w:r w:rsidR="00073ECE" w:rsidRPr="001932BE">
        <w:rPr>
          <w:b w:val="0"/>
          <w:u w:val="none"/>
        </w:rPr>
        <w:t xml:space="preserve"> </w:t>
      </w:r>
      <w:r w:rsidR="004D178A" w:rsidRPr="001932BE">
        <w:rPr>
          <w:b w:val="0"/>
          <w:u w:val="none"/>
        </w:rPr>
        <w:t xml:space="preserve">mis </w:t>
      </w:r>
      <w:r w:rsidR="00073ECE" w:rsidRPr="001932BE">
        <w:rPr>
          <w:b w:val="0"/>
          <w:u w:val="none"/>
        </w:rPr>
        <w:t xml:space="preserve">colegas </w:t>
      </w:r>
      <w:r w:rsidR="00B27D2C" w:rsidRPr="001932BE">
        <w:rPr>
          <w:b w:val="0"/>
          <w:u w:val="none"/>
        </w:rPr>
        <w:t xml:space="preserve">que </w:t>
      </w:r>
      <w:r w:rsidR="00A4797B" w:rsidRPr="001932BE">
        <w:rPr>
          <w:b w:val="0"/>
          <w:u w:val="none"/>
        </w:rPr>
        <w:t>decidieron hacer uso</w:t>
      </w:r>
      <w:r w:rsidR="00B27D2C" w:rsidRPr="001932BE">
        <w:rPr>
          <w:b w:val="0"/>
          <w:u w:val="none"/>
        </w:rPr>
        <w:t xml:space="preserve"> del principio </w:t>
      </w:r>
      <w:proofErr w:type="spellStart"/>
      <w:r w:rsidR="00B27D2C" w:rsidRPr="001932BE">
        <w:rPr>
          <w:b w:val="0"/>
          <w:i/>
          <w:u w:val="none"/>
          <w:lang w:val="es-UY"/>
        </w:rPr>
        <w:t>iura</w:t>
      </w:r>
      <w:proofErr w:type="spellEnd"/>
      <w:r w:rsidR="00B27D2C" w:rsidRPr="001932BE">
        <w:rPr>
          <w:b w:val="0"/>
          <w:i/>
          <w:u w:val="none"/>
          <w:lang w:val="es-UY"/>
        </w:rPr>
        <w:t xml:space="preserve"> </w:t>
      </w:r>
      <w:proofErr w:type="spellStart"/>
      <w:r w:rsidR="00B27D2C" w:rsidRPr="001932BE">
        <w:rPr>
          <w:b w:val="0"/>
          <w:i/>
          <w:u w:val="none"/>
          <w:lang w:val="es-UY"/>
        </w:rPr>
        <w:t>novi</w:t>
      </w:r>
      <w:proofErr w:type="spellEnd"/>
      <w:r w:rsidR="00B27D2C" w:rsidRPr="001932BE">
        <w:rPr>
          <w:b w:val="0"/>
          <w:i/>
          <w:u w:val="none"/>
        </w:rPr>
        <w:t>t</w:t>
      </w:r>
      <w:r w:rsidR="00B27D2C" w:rsidRPr="001932BE">
        <w:rPr>
          <w:b w:val="0"/>
          <w:i/>
          <w:u w:val="none"/>
          <w:lang w:val="es-UY"/>
        </w:rPr>
        <w:t xml:space="preserve"> curia</w:t>
      </w:r>
      <w:r w:rsidR="00B27D2C" w:rsidRPr="001932BE">
        <w:rPr>
          <w:b w:val="0"/>
          <w:u w:val="none"/>
        </w:rPr>
        <w:t xml:space="preserve"> para conocer de la cuestión. Resolví acompañarlos </w:t>
      </w:r>
      <w:r w:rsidR="00A4797B" w:rsidRPr="001932BE">
        <w:rPr>
          <w:b w:val="0"/>
          <w:u w:val="none"/>
        </w:rPr>
        <w:t xml:space="preserve">en la votación </w:t>
      </w:r>
      <w:r w:rsidR="00B27D2C" w:rsidRPr="001932BE">
        <w:rPr>
          <w:b w:val="0"/>
          <w:u w:val="none"/>
        </w:rPr>
        <w:t xml:space="preserve">porque </w:t>
      </w:r>
      <w:r w:rsidR="00AA657A" w:rsidRPr="001932BE">
        <w:rPr>
          <w:b w:val="0"/>
          <w:u w:val="none"/>
        </w:rPr>
        <w:t xml:space="preserve">de cualquier manera </w:t>
      </w:r>
      <w:r w:rsidR="00B27D2C" w:rsidRPr="001932BE">
        <w:rPr>
          <w:b w:val="0"/>
          <w:u w:val="none"/>
        </w:rPr>
        <w:t>yo</w:t>
      </w:r>
      <w:r w:rsidR="00AA657A" w:rsidRPr="001932BE">
        <w:rPr>
          <w:b w:val="0"/>
          <w:u w:val="none"/>
        </w:rPr>
        <w:t xml:space="preserve"> reconocía el alegato y </w:t>
      </w:r>
      <w:r w:rsidR="00A4797B" w:rsidRPr="001932BE">
        <w:rPr>
          <w:b w:val="0"/>
          <w:u w:val="none"/>
        </w:rPr>
        <w:t xml:space="preserve">consideraba </w:t>
      </w:r>
      <w:r w:rsidR="00AA657A" w:rsidRPr="001932BE">
        <w:rPr>
          <w:b w:val="0"/>
          <w:u w:val="none"/>
        </w:rPr>
        <w:t xml:space="preserve">la violación al derecho laboral, incluso porque </w:t>
      </w:r>
      <w:r w:rsidR="00B27D2C" w:rsidRPr="001932BE">
        <w:rPr>
          <w:b w:val="0"/>
          <w:u w:val="none"/>
        </w:rPr>
        <w:t xml:space="preserve">entiendo que </w:t>
      </w:r>
      <w:r w:rsidR="00F605CD" w:rsidRPr="001932BE">
        <w:rPr>
          <w:b w:val="0"/>
          <w:u w:val="none"/>
        </w:rPr>
        <w:t>ni siquiera</w:t>
      </w:r>
      <w:r w:rsidR="00B27D2C" w:rsidRPr="001932BE">
        <w:rPr>
          <w:b w:val="0"/>
          <w:u w:val="none"/>
        </w:rPr>
        <w:t xml:space="preserve"> sería necesario aplicar dicho principio</w:t>
      </w:r>
      <w:r w:rsidR="00AA657A" w:rsidRPr="001932BE">
        <w:rPr>
          <w:b w:val="0"/>
          <w:u w:val="none"/>
        </w:rPr>
        <w:t>.</w:t>
      </w:r>
      <w:r w:rsidR="000F2657" w:rsidRPr="001932BE">
        <w:rPr>
          <w:b w:val="0"/>
          <w:u w:val="none"/>
        </w:rPr>
        <w:t xml:space="preserve"> </w:t>
      </w:r>
      <w:r w:rsidR="00AA657A" w:rsidRPr="001932BE">
        <w:rPr>
          <w:b w:val="0"/>
          <w:u w:val="none"/>
        </w:rPr>
        <w:t xml:space="preserve">En </w:t>
      </w:r>
      <w:r w:rsidR="004D178A" w:rsidRPr="001932BE">
        <w:rPr>
          <w:b w:val="0"/>
          <w:u w:val="none"/>
        </w:rPr>
        <w:t>el presente</w:t>
      </w:r>
      <w:r w:rsidR="00AA657A" w:rsidRPr="001932BE">
        <w:rPr>
          <w:b w:val="0"/>
          <w:u w:val="none"/>
        </w:rPr>
        <w:t xml:space="preserve"> caso no </w:t>
      </w:r>
      <w:r w:rsidR="004D178A" w:rsidRPr="001932BE">
        <w:rPr>
          <w:b w:val="0"/>
          <w:u w:val="none"/>
        </w:rPr>
        <w:t>era</w:t>
      </w:r>
      <w:r w:rsidR="00AA657A" w:rsidRPr="001932BE">
        <w:rPr>
          <w:b w:val="0"/>
          <w:u w:val="none"/>
        </w:rPr>
        <w:t xml:space="preserve"> necesario aplicar el principio </w:t>
      </w:r>
      <w:r w:rsidR="00B27D2C" w:rsidRPr="001932BE">
        <w:rPr>
          <w:b w:val="0"/>
          <w:u w:val="none"/>
        </w:rPr>
        <w:t>para conocer y declarar violado el derecho al trabajo, pues la victima ya había alegado violación al derecho del trabajo y estabilidad laboral</w:t>
      </w:r>
      <w:r w:rsidR="00A4797B" w:rsidRPr="001932BE">
        <w:rPr>
          <w:b w:val="0"/>
          <w:u w:val="none"/>
        </w:rPr>
        <w:t xml:space="preserve"> </w:t>
      </w:r>
      <w:r w:rsidR="00B27D2C" w:rsidRPr="001932BE">
        <w:rPr>
          <w:b w:val="0"/>
          <w:u w:val="none"/>
        </w:rPr>
        <w:t xml:space="preserve">sin </w:t>
      </w:r>
      <w:r w:rsidR="00A4797B" w:rsidRPr="001932BE">
        <w:rPr>
          <w:b w:val="0"/>
          <w:u w:val="none"/>
        </w:rPr>
        <w:t>haber</w:t>
      </w:r>
      <w:r w:rsidR="00B27D2C" w:rsidRPr="001932BE">
        <w:rPr>
          <w:b w:val="0"/>
          <w:u w:val="none"/>
        </w:rPr>
        <w:t xml:space="preserve"> indica</w:t>
      </w:r>
      <w:r w:rsidR="00A4797B" w:rsidRPr="001932BE">
        <w:rPr>
          <w:b w:val="0"/>
          <w:u w:val="none"/>
        </w:rPr>
        <w:t>do</w:t>
      </w:r>
      <w:r w:rsidR="00B27D2C" w:rsidRPr="001932BE">
        <w:rPr>
          <w:b w:val="0"/>
          <w:u w:val="none"/>
        </w:rPr>
        <w:t xml:space="preserve"> el dispositivo </w:t>
      </w:r>
      <w:r w:rsidR="00A4797B" w:rsidRPr="001932BE">
        <w:rPr>
          <w:b w:val="0"/>
          <w:u w:val="none"/>
        </w:rPr>
        <w:t xml:space="preserve">específico </w:t>
      </w:r>
      <w:r w:rsidR="00B27D2C" w:rsidRPr="001932BE">
        <w:rPr>
          <w:b w:val="0"/>
          <w:u w:val="none"/>
        </w:rPr>
        <w:t>violado de la Convención Americana.</w:t>
      </w:r>
    </w:p>
    <w:p w14:paraId="2105C4F6" w14:textId="77777777" w:rsidR="00A72AB1" w:rsidRPr="001932BE" w:rsidRDefault="00A72AB1" w:rsidP="001932BE">
      <w:pPr>
        <w:rPr>
          <w:szCs w:val="20"/>
          <w:lang w:val="es-MX"/>
        </w:rPr>
      </w:pPr>
    </w:p>
    <w:p w14:paraId="10505946" w14:textId="46FBB13E" w:rsidR="0056340F" w:rsidRPr="001932BE" w:rsidRDefault="0056340F" w:rsidP="001932BE">
      <w:pPr>
        <w:pStyle w:val="Style1"/>
        <w:numPr>
          <w:ilvl w:val="0"/>
          <w:numId w:val="11"/>
        </w:numPr>
        <w:spacing w:after="0" w:line="240" w:lineRule="auto"/>
        <w:ind w:left="0" w:firstLine="0"/>
        <w:jc w:val="both"/>
        <w:rPr>
          <w:u w:val="none"/>
        </w:rPr>
      </w:pPr>
      <w:r w:rsidRPr="001932BE">
        <w:rPr>
          <w:b w:val="0"/>
          <w:i/>
          <w:u w:val="none"/>
        </w:rPr>
        <w:t>“</w:t>
      </w:r>
      <w:proofErr w:type="spellStart"/>
      <w:r w:rsidRPr="001932BE">
        <w:rPr>
          <w:b w:val="0"/>
          <w:i/>
          <w:u w:val="none"/>
          <w:lang w:val="es-UY"/>
        </w:rPr>
        <w:t>Iura</w:t>
      </w:r>
      <w:proofErr w:type="spellEnd"/>
      <w:r w:rsidRPr="001932BE">
        <w:rPr>
          <w:b w:val="0"/>
          <w:i/>
          <w:u w:val="none"/>
          <w:lang w:val="es-UY"/>
        </w:rPr>
        <w:t xml:space="preserve"> </w:t>
      </w:r>
      <w:proofErr w:type="spellStart"/>
      <w:r w:rsidRPr="001932BE">
        <w:rPr>
          <w:b w:val="0"/>
          <w:i/>
          <w:u w:val="none"/>
          <w:lang w:val="es-UY"/>
        </w:rPr>
        <w:t>novit</w:t>
      </w:r>
      <w:proofErr w:type="spellEnd"/>
      <w:r w:rsidRPr="001932BE">
        <w:rPr>
          <w:b w:val="0"/>
          <w:i/>
          <w:u w:val="none"/>
          <w:lang w:val="es-UY"/>
        </w:rPr>
        <w:t xml:space="preserve"> curia</w:t>
      </w:r>
      <w:r w:rsidRPr="001932BE">
        <w:rPr>
          <w:b w:val="0"/>
          <w:i/>
          <w:u w:val="none"/>
        </w:rPr>
        <w:t>”</w:t>
      </w:r>
      <w:r w:rsidRPr="001932BE">
        <w:rPr>
          <w:b w:val="0"/>
          <w:u w:val="none"/>
        </w:rPr>
        <w:t xml:space="preserve"> proviene del latín y significa “el tribunal conoce el derecho”. Es decir, la parte que </w:t>
      </w:r>
      <w:r w:rsidR="003178A2" w:rsidRPr="001932BE">
        <w:rPr>
          <w:b w:val="0"/>
          <w:u w:val="none"/>
        </w:rPr>
        <w:t xml:space="preserve">venga a juicio </w:t>
      </w:r>
      <w:r w:rsidR="00A4797B" w:rsidRPr="001932BE">
        <w:rPr>
          <w:b w:val="0"/>
          <w:u w:val="none"/>
        </w:rPr>
        <w:t xml:space="preserve">a </w:t>
      </w:r>
      <w:r w:rsidR="003178A2" w:rsidRPr="001932BE">
        <w:rPr>
          <w:b w:val="0"/>
          <w:u w:val="none"/>
        </w:rPr>
        <w:t xml:space="preserve">pedir algo y </w:t>
      </w:r>
      <w:r w:rsidRPr="001932BE">
        <w:rPr>
          <w:b w:val="0"/>
          <w:u w:val="none"/>
        </w:rPr>
        <w:t>traiga los hechos</w:t>
      </w:r>
      <w:r w:rsidR="003178A2" w:rsidRPr="001932BE">
        <w:rPr>
          <w:b w:val="0"/>
          <w:u w:val="none"/>
        </w:rPr>
        <w:t>, sencillamente los hechos,</w:t>
      </w:r>
      <w:r w:rsidRPr="001932BE">
        <w:rPr>
          <w:b w:val="0"/>
          <w:u w:val="none"/>
        </w:rPr>
        <w:t xml:space="preserve"> tiene la legitima expectativa de que el juez o tribunal</w:t>
      </w:r>
      <w:r w:rsidR="003178A2" w:rsidRPr="001932BE">
        <w:rPr>
          <w:b w:val="0"/>
          <w:u w:val="none"/>
        </w:rPr>
        <w:t xml:space="preserve"> conozca la cuestión y</w:t>
      </w:r>
      <w:r w:rsidRPr="001932BE">
        <w:rPr>
          <w:b w:val="0"/>
          <w:u w:val="none"/>
        </w:rPr>
        <w:t xml:space="preserve"> le aplique el derecho. </w:t>
      </w:r>
      <w:r w:rsidR="003178A2" w:rsidRPr="001932BE">
        <w:rPr>
          <w:b w:val="0"/>
          <w:u w:val="none"/>
        </w:rPr>
        <w:t>Es la misma lógica jurídica de otr</w:t>
      </w:r>
      <w:r w:rsidR="00E44B6C" w:rsidRPr="001932BE">
        <w:rPr>
          <w:b w:val="0"/>
          <w:u w:val="none"/>
        </w:rPr>
        <w:t>o</w:t>
      </w:r>
      <w:r w:rsidR="003178A2" w:rsidRPr="001932BE">
        <w:rPr>
          <w:b w:val="0"/>
          <w:u w:val="none"/>
        </w:rPr>
        <w:t xml:space="preserve"> principio similar “</w:t>
      </w:r>
      <w:r w:rsidR="003178A2" w:rsidRPr="001932BE">
        <w:rPr>
          <w:b w:val="0"/>
          <w:i/>
          <w:u w:val="none"/>
          <w:lang w:val="es-UY"/>
        </w:rPr>
        <w:t xml:space="preserve">da </w:t>
      </w:r>
      <w:proofErr w:type="spellStart"/>
      <w:r w:rsidR="003178A2" w:rsidRPr="001932BE">
        <w:rPr>
          <w:b w:val="0"/>
          <w:i/>
          <w:u w:val="none"/>
          <w:lang w:val="es-UY"/>
        </w:rPr>
        <w:t>mihi</w:t>
      </w:r>
      <w:proofErr w:type="spellEnd"/>
      <w:r w:rsidR="003178A2" w:rsidRPr="001932BE">
        <w:rPr>
          <w:b w:val="0"/>
          <w:i/>
          <w:u w:val="none"/>
          <w:lang w:val="es-UY"/>
        </w:rPr>
        <w:t xml:space="preserve"> </w:t>
      </w:r>
      <w:proofErr w:type="spellStart"/>
      <w:r w:rsidR="003178A2" w:rsidRPr="001932BE">
        <w:rPr>
          <w:b w:val="0"/>
          <w:i/>
          <w:u w:val="none"/>
          <w:lang w:val="es-UY"/>
        </w:rPr>
        <w:t>factum</w:t>
      </w:r>
      <w:proofErr w:type="spellEnd"/>
      <w:r w:rsidR="003178A2" w:rsidRPr="001932BE">
        <w:rPr>
          <w:b w:val="0"/>
          <w:i/>
          <w:u w:val="none"/>
          <w:lang w:val="es-UY"/>
        </w:rPr>
        <w:t xml:space="preserve">, </w:t>
      </w:r>
      <w:proofErr w:type="spellStart"/>
      <w:r w:rsidR="00E44B6C" w:rsidRPr="001932BE">
        <w:rPr>
          <w:b w:val="0"/>
          <w:i/>
          <w:u w:val="none"/>
          <w:lang w:val="es-UY"/>
        </w:rPr>
        <w:t>dabo</w:t>
      </w:r>
      <w:proofErr w:type="spellEnd"/>
      <w:r w:rsidR="00E44B6C" w:rsidRPr="001932BE">
        <w:rPr>
          <w:b w:val="0"/>
          <w:i/>
          <w:u w:val="none"/>
          <w:lang w:val="es-UY"/>
        </w:rPr>
        <w:t xml:space="preserve"> tibi </w:t>
      </w:r>
      <w:proofErr w:type="spellStart"/>
      <w:r w:rsidR="00E44B6C" w:rsidRPr="001932BE">
        <w:rPr>
          <w:b w:val="0"/>
          <w:i/>
          <w:u w:val="none"/>
          <w:lang w:val="es-UY"/>
        </w:rPr>
        <w:t>ius</w:t>
      </w:r>
      <w:proofErr w:type="spellEnd"/>
      <w:r w:rsidR="00E44B6C" w:rsidRPr="001932BE">
        <w:rPr>
          <w:b w:val="0"/>
          <w:u w:val="none"/>
        </w:rPr>
        <w:t xml:space="preserve">” </w:t>
      </w:r>
      <w:r w:rsidR="00E44B6C" w:rsidRPr="001932BE">
        <w:rPr>
          <w:b w:val="0"/>
          <w:u w:val="none"/>
        </w:rPr>
        <w:lastRenderedPageBreak/>
        <w:t>(dame el hecho</w:t>
      </w:r>
      <w:r w:rsidR="00A4797B" w:rsidRPr="001932BE">
        <w:rPr>
          <w:b w:val="0"/>
          <w:u w:val="none"/>
        </w:rPr>
        <w:t xml:space="preserve"> y te </w:t>
      </w:r>
      <w:r w:rsidR="00E44B6C" w:rsidRPr="001932BE">
        <w:rPr>
          <w:b w:val="0"/>
          <w:u w:val="none"/>
        </w:rPr>
        <w:t>daré el derecho). Son principios coherentes con la amplia tutela judicial, especialmente valida y aplicable en un Tribunal de derechos humanos.</w:t>
      </w:r>
    </w:p>
    <w:p w14:paraId="4666FA7F" w14:textId="77777777" w:rsidR="00A72AB1" w:rsidRPr="001932BE" w:rsidRDefault="00A72AB1" w:rsidP="001932BE">
      <w:pPr>
        <w:rPr>
          <w:szCs w:val="20"/>
          <w:lang w:val="es-MX"/>
        </w:rPr>
      </w:pPr>
    </w:p>
    <w:p w14:paraId="225512AC" w14:textId="7F76A88D" w:rsidR="00071B8B" w:rsidRPr="001932BE" w:rsidRDefault="00021172" w:rsidP="001932BE">
      <w:pPr>
        <w:pStyle w:val="Style1"/>
        <w:numPr>
          <w:ilvl w:val="0"/>
          <w:numId w:val="0"/>
        </w:numPr>
        <w:spacing w:after="0" w:line="240" w:lineRule="auto"/>
        <w:jc w:val="both"/>
        <w:rPr>
          <w:u w:val="none"/>
        </w:rPr>
      </w:pPr>
      <w:r w:rsidRPr="001932BE">
        <w:rPr>
          <w:b w:val="0"/>
          <w:u w:val="none"/>
        </w:rPr>
        <w:t>11</w:t>
      </w:r>
      <w:r w:rsidR="00D556A7" w:rsidRPr="001932BE">
        <w:rPr>
          <w:b w:val="0"/>
          <w:u w:val="none"/>
        </w:rPr>
        <w:t>.</w:t>
      </w:r>
      <w:r w:rsidR="00D556A7" w:rsidRPr="001932BE">
        <w:rPr>
          <w:b w:val="0"/>
          <w:u w:val="none"/>
        </w:rPr>
        <w:tab/>
      </w:r>
      <w:r w:rsidR="00E44B6C" w:rsidRPr="001932BE">
        <w:rPr>
          <w:b w:val="0"/>
          <w:u w:val="none"/>
        </w:rPr>
        <w:t xml:space="preserve">En otras palabras, en ciertas </w:t>
      </w:r>
      <w:r w:rsidR="00A4797B" w:rsidRPr="001932BE">
        <w:rPr>
          <w:b w:val="0"/>
          <w:u w:val="none"/>
        </w:rPr>
        <w:t>circunstancias</w:t>
      </w:r>
      <w:r w:rsidR="00090A8C" w:rsidRPr="001932BE">
        <w:rPr>
          <w:b w:val="0"/>
          <w:u w:val="none"/>
        </w:rPr>
        <w:t xml:space="preserve"> </w:t>
      </w:r>
      <w:r w:rsidR="00E44B6C" w:rsidRPr="001932BE">
        <w:rPr>
          <w:b w:val="0"/>
          <w:u w:val="none"/>
        </w:rPr>
        <w:t>el Tribunal debe aceptar los hechos como suficiente</w:t>
      </w:r>
      <w:r w:rsidR="00090A8C" w:rsidRPr="001932BE">
        <w:rPr>
          <w:b w:val="0"/>
          <w:u w:val="none"/>
        </w:rPr>
        <w:t>s</w:t>
      </w:r>
      <w:r w:rsidR="00E44B6C" w:rsidRPr="001932BE">
        <w:rPr>
          <w:b w:val="0"/>
          <w:u w:val="none"/>
        </w:rPr>
        <w:t xml:space="preserve"> para basar el pedi</w:t>
      </w:r>
      <w:r w:rsidR="00A4797B" w:rsidRPr="001932BE">
        <w:rPr>
          <w:b w:val="0"/>
          <w:u w:val="none"/>
        </w:rPr>
        <w:t>do</w:t>
      </w:r>
      <w:r w:rsidR="00E44B6C" w:rsidRPr="001932BE">
        <w:rPr>
          <w:b w:val="0"/>
          <w:u w:val="none"/>
        </w:rPr>
        <w:t xml:space="preserve"> sin que la parte interesada ha</w:t>
      </w:r>
      <w:r w:rsidR="004D178A" w:rsidRPr="001932BE">
        <w:rPr>
          <w:b w:val="0"/>
          <w:u w:val="none"/>
        </w:rPr>
        <w:t>y</w:t>
      </w:r>
      <w:r w:rsidR="00E44B6C" w:rsidRPr="001932BE">
        <w:rPr>
          <w:b w:val="0"/>
          <w:u w:val="none"/>
        </w:rPr>
        <w:t xml:space="preserve">a expresamente alegado </w:t>
      </w:r>
      <w:r w:rsidR="00A4797B" w:rsidRPr="001932BE">
        <w:rPr>
          <w:b w:val="0"/>
          <w:u w:val="none"/>
        </w:rPr>
        <w:t xml:space="preserve">la </w:t>
      </w:r>
      <w:r w:rsidR="00E44B6C" w:rsidRPr="001932BE">
        <w:rPr>
          <w:b w:val="0"/>
          <w:u w:val="none"/>
        </w:rPr>
        <w:t xml:space="preserve">violación a determinado artículo de </w:t>
      </w:r>
      <w:r w:rsidR="00A4797B" w:rsidRPr="001932BE">
        <w:rPr>
          <w:b w:val="0"/>
          <w:u w:val="none"/>
        </w:rPr>
        <w:t xml:space="preserve">la </w:t>
      </w:r>
      <w:r w:rsidR="00E44B6C" w:rsidRPr="001932BE">
        <w:rPr>
          <w:b w:val="0"/>
          <w:u w:val="none"/>
        </w:rPr>
        <w:t xml:space="preserve">ley o </w:t>
      </w:r>
      <w:r w:rsidR="00A4797B" w:rsidRPr="001932BE">
        <w:rPr>
          <w:b w:val="0"/>
          <w:u w:val="none"/>
        </w:rPr>
        <w:t xml:space="preserve">la </w:t>
      </w:r>
      <w:r w:rsidR="00E44B6C" w:rsidRPr="001932BE">
        <w:rPr>
          <w:b w:val="0"/>
          <w:u w:val="none"/>
        </w:rPr>
        <w:t>norma.</w:t>
      </w:r>
      <w:r w:rsidR="00090A8C" w:rsidRPr="001932BE">
        <w:rPr>
          <w:b w:val="0"/>
          <w:u w:val="none"/>
        </w:rPr>
        <w:t xml:space="preserve"> Más aún </w:t>
      </w:r>
      <w:r w:rsidR="00E44B6C" w:rsidRPr="001932BE">
        <w:rPr>
          <w:b w:val="0"/>
          <w:u w:val="none"/>
        </w:rPr>
        <w:t xml:space="preserve">cuando la </w:t>
      </w:r>
      <w:r w:rsidR="00A4797B" w:rsidRPr="001932BE">
        <w:rPr>
          <w:b w:val="0"/>
          <w:u w:val="none"/>
        </w:rPr>
        <w:t>contraparte</w:t>
      </w:r>
      <w:r w:rsidR="00E44B6C" w:rsidRPr="001932BE">
        <w:rPr>
          <w:b w:val="0"/>
          <w:u w:val="none"/>
        </w:rPr>
        <w:t xml:space="preserve"> </w:t>
      </w:r>
      <w:r w:rsidR="00C04CA0" w:rsidRPr="001932BE">
        <w:rPr>
          <w:b w:val="0"/>
          <w:u w:val="none"/>
        </w:rPr>
        <w:t>(</w:t>
      </w:r>
      <w:r w:rsidR="00A4797B" w:rsidRPr="001932BE">
        <w:rPr>
          <w:b w:val="0"/>
          <w:u w:val="none"/>
        </w:rPr>
        <w:t xml:space="preserve">en este caso </w:t>
      </w:r>
      <w:r w:rsidR="00C04CA0" w:rsidRPr="001932BE">
        <w:rPr>
          <w:b w:val="0"/>
          <w:u w:val="none"/>
        </w:rPr>
        <w:t xml:space="preserve">el Estado) </w:t>
      </w:r>
      <w:r w:rsidR="00E44B6C" w:rsidRPr="001932BE">
        <w:rPr>
          <w:b w:val="0"/>
          <w:u w:val="none"/>
        </w:rPr>
        <w:t>ha</w:t>
      </w:r>
      <w:r w:rsidR="004D178A" w:rsidRPr="001932BE">
        <w:rPr>
          <w:b w:val="0"/>
          <w:u w:val="none"/>
        </w:rPr>
        <w:t>y</w:t>
      </w:r>
      <w:r w:rsidR="00E44B6C" w:rsidRPr="001932BE">
        <w:rPr>
          <w:b w:val="0"/>
          <w:u w:val="none"/>
        </w:rPr>
        <w:t>a tenido la oportunidad de responder o controvertir el alegato</w:t>
      </w:r>
      <w:r w:rsidR="00A4797B" w:rsidRPr="001932BE">
        <w:rPr>
          <w:b w:val="0"/>
          <w:u w:val="none"/>
        </w:rPr>
        <w:t>, respetando así el principio del contradictorio</w:t>
      </w:r>
      <w:r w:rsidR="00E44B6C" w:rsidRPr="001932BE">
        <w:rPr>
          <w:b w:val="0"/>
          <w:u w:val="none"/>
        </w:rPr>
        <w:t xml:space="preserve">. </w:t>
      </w:r>
    </w:p>
    <w:p w14:paraId="77A4C342" w14:textId="77777777" w:rsidR="00A72AB1" w:rsidRPr="001932BE" w:rsidRDefault="00A72AB1" w:rsidP="001932BE">
      <w:pPr>
        <w:pStyle w:val="Style1"/>
        <w:numPr>
          <w:ilvl w:val="0"/>
          <w:numId w:val="0"/>
        </w:numPr>
        <w:spacing w:after="0" w:line="240" w:lineRule="auto"/>
        <w:jc w:val="both"/>
        <w:rPr>
          <w:lang w:val="es-CR"/>
        </w:rPr>
      </w:pPr>
    </w:p>
    <w:p w14:paraId="147DF09C" w14:textId="1C75B097" w:rsidR="0041736A" w:rsidRPr="001932BE" w:rsidRDefault="009E0014" w:rsidP="001932BE">
      <w:pPr>
        <w:pStyle w:val="Style1"/>
        <w:numPr>
          <w:ilvl w:val="0"/>
          <w:numId w:val="17"/>
        </w:numPr>
        <w:spacing w:after="0" w:line="240" w:lineRule="auto"/>
        <w:ind w:left="0" w:firstLine="0"/>
        <w:jc w:val="both"/>
      </w:pPr>
      <w:r w:rsidRPr="001932BE">
        <w:rPr>
          <w:b w:val="0"/>
          <w:u w:val="none"/>
          <w:lang w:val="es-CR"/>
        </w:rPr>
        <w:t xml:space="preserve">Como se menciona en el párrafo 133 de la </w:t>
      </w:r>
      <w:r w:rsidR="00673090" w:rsidRPr="001932BE">
        <w:rPr>
          <w:b w:val="0"/>
          <w:u w:val="none"/>
          <w:lang w:val="es-CR"/>
        </w:rPr>
        <w:t>S</w:t>
      </w:r>
      <w:r w:rsidRPr="001932BE">
        <w:rPr>
          <w:b w:val="0"/>
          <w:u w:val="none"/>
          <w:lang w:val="es-CR"/>
        </w:rPr>
        <w:t xml:space="preserve">entencia, la Corte </w:t>
      </w:r>
      <w:r w:rsidR="004C1D22" w:rsidRPr="001932BE">
        <w:rPr>
          <w:b w:val="0"/>
          <w:u w:val="none"/>
          <w:lang w:val="es-CR"/>
        </w:rPr>
        <w:t>señ</w:t>
      </w:r>
      <w:r w:rsidR="00673090" w:rsidRPr="001932BE">
        <w:rPr>
          <w:b w:val="0"/>
          <w:u w:val="none"/>
          <w:lang w:val="es-CR"/>
        </w:rPr>
        <w:t>a</w:t>
      </w:r>
      <w:r w:rsidR="004C1D22" w:rsidRPr="001932BE">
        <w:rPr>
          <w:b w:val="0"/>
          <w:u w:val="none"/>
          <w:lang w:val="es-CR"/>
        </w:rPr>
        <w:t>l</w:t>
      </w:r>
      <w:r w:rsidR="00673090" w:rsidRPr="001932BE">
        <w:rPr>
          <w:b w:val="0"/>
          <w:u w:val="none"/>
          <w:lang w:val="es-CR"/>
        </w:rPr>
        <w:t>ó</w:t>
      </w:r>
      <w:r w:rsidR="001F529B" w:rsidRPr="001932BE">
        <w:rPr>
          <w:b w:val="0"/>
          <w:u w:val="none"/>
        </w:rPr>
        <w:t xml:space="preserve"> que en </w:t>
      </w:r>
      <w:r w:rsidR="00292EBB" w:rsidRPr="001932BE">
        <w:rPr>
          <w:b w:val="0"/>
          <w:u w:val="none"/>
        </w:rPr>
        <w:t xml:space="preserve">este </w:t>
      </w:r>
      <w:r w:rsidR="001F529B" w:rsidRPr="001932BE">
        <w:rPr>
          <w:b w:val="0"/>
          <w:u w:val="none"/>
        </w:rPr>
        <w:t xml:space="preserve">caso ninguna de las partes hizo alusión expresa a la violación al derecho laboral en relación </w:t>
      </w:r>
      <w:r w:rsidR="00B27D2C" w:rsidRPr="001932BE">
        <w:rPr>
          <w:b w:val="0"/>
          <w:u w:val="none"/>
        </w:rPr>
        <w:t xml:space="preserve">con </w:t>
      </w:r>
      <w:r w:rsidR="001F529B" w:rsidRPr="001932BE">
        <w:rPr>
          <w:b w:val="0"/>
          <w:u w:val="none"/>
        </w:rPr>
        <w:t xml:space="preserve">los artículos de la Convención. No obstante, </w:t>
      </w:r>
      <w:r w:rsidRPr="001932BE">
        <w:rPr>
          <w:b w:val="0"/>
          <w:u w:val="none"/>
        </w:rPr>
        <w:t>se resaltó</w:t>
      </w:r>
      <w:r w:rsidR="001F529B" w:rsidRPr="001932BE">
        <w:rPr>
          <w:b w:val="0"/>
          <w:u w:val="none"/>
        </w:rPr>
        <w:t xml:space="preserve"> que la víctima alegó</w:t>
      </w:r>
      <w:r w:rsidR="00423DF2" w:rsidRPr="001932BE">
        <w:rPr>
          <w:b w:val="0"/>
          <w:u w:val="none"/>
        </w:rPr>
        <w:t xml:space="preserve"> </w:t>
      </w:r>
      <w:r w:rsidR="001F529B" w:rsidRPr="001932BE">
        <w:rPr>
          <w:b w:val="0"/>
          <w:u w:val="none"/>
        </w:rPr>
        <w:t xml:space="preserve">reiteradamente </w:t>
      </w:r>
      <w:r w:rsidR="00423DF2" w:rsidRPr="001932BE">
        <w:rPr>
          <w:b w:val="0"/>
          <w:u w:val="none"/>
        </w:rPr>
        <w:t xml:space="preserve">en las instancias internas y ante la Comisión Interamericana de Derechos Humanos (en adelante “Comisión” o “CIDH”) </w:t>
      </w:r>
      <w:r w:rsidR="001F529B" w:rsidRPr="001932BE">
        <w:rPr>
          <w:b w:val="0"/>
          <w:u w:val="none"/>
        </w:rPr>
        <w:t>la violación a sus derechos laborales, particularmente a la estabilidad laboral</w:t>
      </w:r>
      <w:r w:rsidR="00423DF2" w:rsidRPr="001932BE">
        <w:rPr>
          <w:b w:val="0"/>
          <w:u w:val="none"/>
        </w:rPr>
        <w:t>, así como las cons</w:t>
      </w:r>
      <w:r w:rsidR="0041736A" w:rsidRPr="001932BE">
        <w:rPr>
          <w:b w:val="0"/>
          <w:u w:val="none"/>
        </w:rPr>
        <w:t>ecuencias derivadas del despido.</w:t>
      </w:r>
    </w:p>
    <w:p w14:paraId="06E3B51D" w14:textId="77777777" w:rsidR="00A72AB1" w:rsidRPr="001932BE" w:rsidRDefault="00A72AB1" w:rsidP="001932BE">
      <w:pPr>
        <w:rPr>
          <w:szCs w:val="20"/>
          <w:lang w:val="es-MX"/>
        </w:rPr>
      </w:pPr>
    </w:p>
    <w:p w14:paraId="3E8441E6" w14:textId="286D77A7" w:rsidR="000C5840" w:rsidRPr="001932BE" w:rsidRDefault="00673090" w:rsidP="001932BE">
      <w:pPr>
        <w:pStyle w:val="Style1"/>
        <w:numPr>
          <w:ilvl w:val="0"/>
          <w:numId w:val="17"/>
        </w:numPr>
        <w:spacing w:after="0" w:line="240" w:lineRule="auto"/>
        <w:ind w:left="0" w:firstLine="0"/>
        <w:jc w:val="both"/>
      </w:pPr>
      <w:r w:rsidRPr="001932BE">
        <w:rPr>
          <w:b w:val="0"/>
          <w:u w:val="none"/>
        </w:rPr>
        <w:t>Al respecto, l</w:t>
      </w:r>
      <w:r w:rsidR="000C5840" w:rsidRPr="001932BE">
        <w:rPr>
          <w:b w:val="0"/>
          <w:u w:val="none"/>
        </w:rPr>
        <w:t xml:space="preserve">a víctima mencionó </w:t>
      </w:r>
      <w:r w:rsidR="00E55696" w:rsidRPr="001932BE">
        <w:rPr>
          <w:b w:val="0"/>
          <w:u w:val="none"/>
        </w:rPr>
        <w:t>en al</w:t>
      </w:r>
      <w:r w:rsidR="000C5840" w:rsidRPr="001932BE">
        <w:rPr>
          <w:b w:val="0"/>
          <w:u w:val="none"/>
        </w:rPr>
        <w:t xml:space="preserve"> menos siete </w:t>
      </w:r>
      <w:r w:rsidR="00E55696" w:rsidRPr="001932BE">
        <w:rPr>
          <w:b w:val="0"/>
          <w:u w:val="none"/>
        </w:rPr>
        <w:t xml:space="preserve">diferentes escritos en el fuero interno </w:t>
      </w:r>
      <w:r w:rsidR="000C5840" w:rsidRPr="001932BE">
        <w:rPr>
          <w:b w:val="0"/>
          <w:u w:val="none"/>
        </w:rPr>
        <w:t xml:space="preserve">la violación a su derecho al trabajo y </w:t>
      </w:r>
      <w:r w:rsidRPr="001932BE">
        <w:rPr>
          <w:b w:val="0"/>
          <w:u w:val="none"/>
        </w:rPr>
        <w:t xml:space="preserve">a </w:t>
      </w:r>
      <w:r w:rsidR="000C5840" w:rsidRPr="001932BE">
        <w:rPr>
          <w:b w:val="0"/>
          <w:u w:val="none"/>
        </w:rPr>
        <w:t>la esta</w:t>
      </w:r>
      <w:r w:rsidR="00E55696" w:rsidRPr="001932BE">
        <w:rPr>
          <w:b w:val="0"/>
          <w:u w:val="none"/>
        </w:rPr>
        <w:t xml:space="preserve">bilidad laboral. </w:t>
      </w:r>
      <w:r w:rsidR="0041736A" w:rsidRPr="001932BE">
        <w:rPr>
          <w:b w:val="0"/>
          <w:u w:val="none"/>
        </w:rPr>
        <w:t xml:space="preserve">En cuanto a los </w:t>
      </w:r>
      <w:r w:rsidR="000C5840" w:rsidRPr="001932BE">
        <w:rPr>
          <w:b w:val="0"/>
          <w:u w:val="none"/>
        </w:rPr>
        <w:t>escritos presentados ante la Com</w:t>
      </w:r>
      <w:r w:rsidR="00E55696" w:rsidRPr="001932BE">
        <w:rPr>
          <w:b w:val="0"/>
          <w:u w:val="none"/>
        </w:rPr>
        <w:t>isi</w:t>
      </w:r>
      <w:r w:rsidR="0041736A" w:rsidRPr="001932BE">
        <w:rPr>
          <w:b w:val="0"/>
          <w:u w:val="none"/>
        </w:rPr>
        <w:t xml:space="preserve">ón, se mencionó </w:t>
      </w:r>
      <w:r w:rsidR="00E55696" w:rsidRPr="001932BE">
        <w:rPr>
          <w:b w:val="0"/>
          <w:u w:val="none"/>
        </w:rPr>
        <w:t>en nueve difer</w:t>
      </w:r>
      <w:r w:rsidR="0041736A" w:rsidRPr="001932BE">
        <w:rPr>
          <w:b w:val="0"/>
          <w:u w:val="none"/>
        </w:rPr>
        <w:t xml:space="preserve">entes ocasiones la violación a </w:t>
      </w:r>
      <w:r w:rsidR="00E55696" w:rsidRPr="001932BE">
        <w:rPr>
          <w:b w:val="0"/>
          <w:u w:val="none"/>
        </w:rPr>
        <w:t>sus derechos como trabajador</w:t>
      </w:r>
      <w:r w:rsidRPr="001932BE">
        <w:rPr>
          <w:b w:val="0"/>
          <w:u w:val="none"/>
        </w:rPr>
        <w:t xml:space="preserve"> (</w:t>
      </w:r>
      <w:r w:rsidR="0006750E" w:rsidRPr="001932BE">
        <w:rPr>
          <w:b w:val="0"/>
          <w:u w:val="none"/>
        </w:rPr>
        <w:t>p</w:t>
      </w:r>
      <w:r w:rsidRPr="001932BE">
        <w:rPr>
          <w:b w:val="0"/>
          <w:u w:val="none"/>
        </w:rPr>
        <w:t>árr</w:t>
      </w:r>
      <w:r w:rsidR="00B27D2C" w:rsidRPr="001932BE">
        <w:rPr>
          <w:b w:val="0"/>
          <w:u w:val="none"/>
        </w:rPr>
        <w:t>afo</w:t>
      </w:r>
      <w:r w:rsidRPr="001932BE">
        <w:rPr>
          <w:b w:val="0"/>
          <w:u w:val="none"/>
        </w:rPr>
        <w:t xml:space="preserve">s </w:t>
      </w:r>
      <w:r w:rsidR="002117A4" w:rsidRPr="001932BE">
        <w:rPr>
          <w:b w:val="0"/>
          <w:u w:val="none"/>
        </w:rPr>
        <w:t>133</w:t>
      </w:r>
      <w:r w:rsidR="00C7184F" w:rsidRPr="001932BE">
        <w:rPr>
          <w:b w:val="0"/>
          <w:u w:val="none"/>
        </w:rPr>
        <w:t xml:space="preserve"> a</w:t>
      </w:r>
      <w:r w:rsidR="002117A4" w:rsidRPr="001932BE">
        <w:rPr>
          <w:b w:val="0"/>
          <w:u w:val="none"/>
        </w:rPr>
        <w:t xml:space="preserve"> 135</w:t>
      </w:r>
      <w:r w:rsidR="00977B9C" w:rsidRPr="001932BE">
        <w:rPr>
          <w:b w:val="0"/>
          <w:u w:val="none"/>
        </w:rPr>
        <w:t xml:space="preserve"> de la Sentencia</w:t>
      </w:r>
      <w:r w:rsidRPr="001932BE">
        <w:rPr>
          <w:b w:val="0"/>
          <w:u w:val="none"/>
        </w:rPr>
        <w:t xml:space="preserve">). </w:t>
      </w:r>
      <w:r w:rsidR="00584A8B" w:rsidRPr="001932BE">
        <w:rPr>
          <w:b w:val="0"/>
          <w:u w:val="none"/>
        </w:rPr>
        <w:t xml:space="preserve">Por ende, </w:t>
      </w:r>
      <w:r w:rsidR="009E0014" w:rsidRPr="001932BE">
        <w:rPr>
          <w:b w:val="0"/>
          <w:u w:val="none"/>
        </w:rPr>
        <w:t xml:space="preserve">la Corte </w:t>
      </w:r>
      <w:r w:rsidR="00584A8B" w:rsidRPr="001932BE">
        <w:rPr>
          <w:b w:val="0"/>
          <w:u w:val="none"/>
        </w:rPr>
        <w:t>consideró que los hechos correspondientes al despido fueron expuestos en todo momento ante los tribunales de Perú y ante la CIDH</w:t>
      </w:r>
      <w:r w:rsidRPr="001932BE">
        <w:rPr>
          <w:b w:val="0"/>
          <w:u w:val="none"/>
        </w:rPr>
        <w:t xml:space="preserve"> (</w:t>
      </w:r>
      <w:r w:rsidR="002117A4" w:rsidRPr="001932BE">
        <w:rPr>
          <w:b w:val="0"/>
          <w:u w:val="none"/>
        </w:rPr>
        <w:t xml:space="preserve">párr. 137 de la </w:t>
      </w:r>
      <w:r w:rsidR="002032CA" w:rsidRPr="001932BE">
        <w:rPr>
          <w:b w:val="0"/>
          <w:u w:val="none"/>
        </w:rPr>
        <w:t>Sentencia</w:t>
      </w:r>
      <w:r w:rsidRPr="001932BE">
        <w:rPr>
          <w:b w:val="0"/>
          <w:u w:val="none"/>
        </w:rPr>
        <w:t>).</w:t>
      </w:r>
    </w:p>
    <w:p w14:paraId="68A7CFDB" w14:textId="77777777" w:rsidR="00A72AB1" w:rsidRPr="001932BE" w:rsidRDefault="00A72AB1" w:rsidP="001932BE">
      <w:pPr>
        <w:rPr>
          <w:szCs w:val="20"/>
          <w:lang w:val="es-MX"/>
        </w:rPr>
      </w:pPr>
    </w:p>
    <w:p w14:paraId="17505898" w14:textId="513DDCD6" w:rsidR="00C04CA0" w:rsidRPr="001932BE" w:rsidRDefault="00041488" w:rsidP="001932BE">
      <w:pPr>
        <w:pStyle w:val="Style1"/>
        <w:numPr>
          <w:ilvl w:val="0"/>
          <w:numId w:val="17"/>
        </w:numPr>
        <w:spacing w:after="0" w:line="240" w:lineRule="auto"/>
        <w:ind w:left="0" w:firstLine="0"/>
        <w:jc w:val="both"/>
        <w:rPr>
          <w:b w:val="0"/>
          <w:u w:val="none"/>
        </w:rPr>
      </w:pPr>
      <w:r w:rsidRPr="001932BE">
        <w:rPr>
          <w:b w:val="0"/>
          <w:u w:val="none"/>
        </w:rPr>
        <w:t xml:space="preserve">El Tribunal decidió que </w:t>
      </w:r>
      <w:r w:rsidR="00977B9C" w:rsidRPr="001932BE">
        <w:rPr>
          <w:b w:val="0"/>
          <w:u w:val="none"/>
        </w:rPr>
        <w:t xml:space="preserve">debía invocar el principio </w:t>
      </w:r>
      <w:proofErr w:type="spellStart"/>
      <w:r w:rsidR="00977B9C" w:rsidRPr="001932BE">
        <w:rPr>
          <w:b w:val="0"/>
          <w:u w:val="none"/>
        </w:rPr>
        <w:t>iura</w:t>
      </w:r>
      <w:proofErr w:type="spellEnd"/>
      <w:r w:rsidR="00977B9C" w:rsidRPr="001932BE">
        <w:rPr>
          <w:b w:val="0"/>
          <w:u w:val="none"/>
        </w:rPr>
        <w:t xml:space="preserve"> </w:t>
      </w:r>
      <w:proofErr w:type="spellStart"/>
      <w:r w:rsidR="00977B9C" w:rsidRPr="001932BE">
        <w:rPr>
          <w:b w:val="0"/>
          <w:u w:val="none"/>
        </w:rPr>
        <w:t>novit</w:t>
      </w:r>
      <w:proofErr w:type="spellEnd"/>
      <w:r w:rsidR="00977B9C" w:rsidRPr="001932BE">
        <w:rPr>
          <w:b w:val="0"/>
          <w:u w:val="none"/>
        </w:rPr>
        <w:t xml:space="preserve"> curia, a fin de </w:t>
      </w:r>
      <w:r w:rsidRPr="001932BE">
        <w:rPr>
          <w:b w:val="0"/>
          <w:u w:val="none"/>
        </w:rPr>
        <w:t xml:space="preserve">pronunciarse conforme a la violación </w:t>
      </w:r>
      <w:r w:rsidR="00977B9C" w:rsidRPr="001932BE">
        <w:rPr>
          <w:b w:val="0"/>
          <w:u w:val="none"/>
        </w:rPr>
        <w:t>del</w:t>
      </w:r>
      <w:r w:rsidRPr="001932BE">
        <w:rPr>
          <w:b w:val="0"/>
          <w:u w:val="none"/>
        </w:rPr>
        <w:t xml:space="preserve"> derecho al trabajo y </w:t>
      </w:r>
      <w:r w:rsidR="00FA49C4" w:rsidRPr="001932BE">
        <w:rPr>
          <w:b w:val="0"/>
          <w:u w:val="none"/>
        </w:rPr>
        <w:t xml:space="preserve">a </w:t>
      </w:r>
      <w:r w:rsidRPr="001932BE">
        <w:rPr>
          <w:b w:val="0"/>
          <w:u w:val="none"/>
        </w:rPr>
        <w:t>la estabilidad laboral con</w:t>
      </w:r>
      <w:r w:rsidR="00977B9C" w:rsidRPr="001932BE">
        <w:rPr>
          <w:b w:val="0"/>
          <w:u w:val="none"/>
        </w:rPr>
        <w:t xml:space="preserve"> base en el artículo 26 de la Convención. Sin embargo, difiero de est</w:t>
      </w:r>
      <w:r w:rsidR="00311829" w:rsidRPr="001932BE">
        <w:rPr>
          <w:b w:val="0"/>
          <w:u w:val="none"/>
        </w:rPr>
        <w:t>e pronunciamiento</w:t>
      </w:r>
      <w:r w:rsidR="00A4797B" w:rsidRPr="001932BE">
        <w:rPr>
          <w:b w:val="0"/>
          <w:u w:val="none"/>
        </w:rPr>
        <w:t>,</w:t>
      </w:r>
      <w:r w:rsidR="00311829" w:rsidRPr="001932BE">
        <w:rPr>
          <w:b w:val="0"/>
          <w:u w:val="none"/>
        </w:rPr>
        <w:t xml:space="preserve"> </w:t>
      </w:r>
      <w:r w:rsidR="00C04CA0" w:rsidRPr="001932BE">
        <w:rPr>
          <w:b w:val="0"/>
          <w:u w:val="none"/>
        </w:rPr>
        <w:t>por</w:t>
      </w:r>
      <w:r w:rsidR="00A4797B" w:rsidRPr="001932BE">
        <w:rPr>
          <w:b w:val="0"/>
          <w:u w:val="none"/>
        </w:rPr>
        <w:t xml:space="preserve"> considerarlo</w:t>
      </w:r>
      <w:r w:rsidR="00C04CA0" w:rsidRPr="001932BE">
        <w:rPr>
          <w:b w:val="0"/>
          <w:u w:val="none"/>
        </w:rPr>
        <w:t xml:space="preserve"> innecesari</w:t>
      </w:r>
      <w:r w:rsidR="00311829" w:rsidRPr="001932BE">
        <w:rPr>
          <w:b w:val="0"/>
          <w:u w:val="none"/>
        </w:rPr>
        <w:t>o</w:t>
      </w:r>
      <w:r w:rsidR="00C04CA0" w:rsidRPr="001932BE">
        <w:rPr>
          <w:b w:val="0"/>
          <w:u w:val="none"/>
        </w:rPr>
        <w:t xml:space="preserve">, </w:t>
      </w:r>
      <w:r w:rsidR="00A4797B" w:rsidRPr="001932BE">
        <w:rPr>
          <w:b w:val="0"/>
          <w:u w:val="none"/>
        </w:rPr>
        <w:t>ya que</w:t>
      </w:r>
      <w:r w:rsidR="00C04CA0" w:rsidRPr="001932BE">
        <w:rPr>
          <w:b w:val="0"/>
          <w:u w:val="none"/>
        </w:rPr>
        <w:t xml:space="preserve"> el principio </w:t>
      </w:r>
      <w:proofErr w:type="spellStart"/>
      <w:r w:rsidR="00C04CA0" w:rsidRPr="001932BE">
        <w:rPr>
          <w:b w:val="0"/>
          <w:u w:val="none"/>
        </w:rPr>
        <w:t>iura</w:t>
      </w:r>
      <w:proofErr w:type="spellEnd"/>
      <w:r w:rsidR="00C04CA0" w:rsidRPr="001932BE">
        <w:rPr>
          <w:b w:val="0"/>
          <w:u w:val="none"/>
        </w:rPr>
        <w:t xml:space="preserve"> </w:t>
      </w:r>
      <w:proofErr w:type="spellStart"/>
      <w:r w:rsidR="00C04CA0" w:rsidRPr="001932BE">
        <w:rPr>
          <w:b w:val="0"/>
          <w:u w:val="none"/>
        </w:rPr>
        <w:t>novit</w:t>
      </w:r>
      <w:proofErr w:type="spellEnd"/>
      <w:r w:rsidR="00C04CA0" w:rsidRPr="001932BE">
        <w:rPr>
          <w:b w:val="0"/>
          <w:u w:val="none"/>
        </w:rPr>
        <w:t xml:space="preserve"> curia se aplica solamente cuando se alega </w:t>
      </w:r>
      <w:r w:rsidR="00A4797B" w:rsidRPr="001932BE">
        <w:rPr>
          <w:b w:val="0"/>
          <w:u w:val="none"/>
        </w:rPr>
        <w:t xml:space="preserve">el </w:t>
      </w:r>
      <w:r w:rsidR="00C04CA0" w:rsidRPr="001932BE">
        <w:rPr>
          <w:b w:val="0"/>
          <w:u w:val="none"/>
        </w:rPr>
        <w:t xml:space="preserve">hecho y no </w:t>
      </w:r>
      <w:r w:rsidR="00D34990" w:rsidRPr="001932BE">
        <w:rPr>
          <w:b w:val="0"/>
          <w:u w:val="none"/>
        </w:rPr>
        <w:t xml:space="preserve">se alega </w:t>
      </w:r>
      <w:r w:rsidR="00A4797B" w:rsidRPr="001932BE">
        <w:rPr>
          <w:b w:val="0"/>
          <w:u w:val="none"/>
        </w:rPr>
        <w:t xml:space="preserve">el </w:t>
      </w:r>
      <w:r w:rsidR="00D34990" w:rsidRPr="001932BE">
        <w:rPr>
          <w:b w:val="0"/>
          <w:u w:val="none"/>
        </w:rPr>
        <w:t>derecho,</w:t>
      </w:r>
      <w:r w:rsidR="00C04CA0" w:rsidRPr="001932BE">
        <w:rPr>
          <w:b w:val="0"/>
          <w:u w:val="none"/>
        </w:rPr>
        <w:t xml:space="preserve"> pero </w:t>
      </w:r>
      <w:r w:rsidR="006B12CC" w:rsidRPr="001932BE">
        <w:rPr>
          <w:b w:val="0"/>
          <w:u w:val="none"/>
        </w:rPr>
        <w:t xml:space="preserve">en el presente caso </w:t>
      </w:r>
      <w:r w:rsidR="00C04CA0" w:rsidRPr="001932BE">
        <w:rPr>
          <w:b w:val="0"/>
          <w:u w:val="none"/>
        </w:rPr>
        <w:t xml:space="preserve">se alegó </w:t>
      </w:r>
      <w:r w:rsidR="00A4797B" w:rsidRPr="001932BE">
        <w:rPr>
          <w:b w:val="0"/>
          <w:u w:val="none"/>
        </w:rPr>
        <w:t xml:space="preserve">el </w:t>
      </w:r>
      <w:r w:rsidR="00C04CA0" w:rsidRPr="001932BE">
        <w:rPr>
          <w:b w:val="0"/>
          <w:u w:val="none"/>
        </w:rPr>
        <w:t>derecho</w:t>
      </w:r>
      <w:r w:rsidR="00D34990" w:rsidRPr="001932BE">
        <w:rPr>
          <w:b w:val="0"/>
          <w:u w:val="none"/>
        </w:rPr>
        <w:t>, razón por la cual</w:t>
      </w:r>
      <w:r w:rsidR="00966265" w:rsidRPr="001932BE">
        <w:rPr>
          <w:b w:val="0"/>
          <w:u w:val="none"/>
        </w:rPr>
        <w:t xml:space="preserve"> </w:t>
      </w:r>
      <w:r w:rsidR="00A4797B" w:rsidRPr="001932BE">
        <w:rPr>
          <w:b w:val="0"/>
          <w:u w:val="none"/>
        </w:rPr>
        <w:t>resulta</w:t>
      </w:r>
      <w:r w:rsidR="00D34990" w:rsidRPr="001932BE">
        <w:rPr>
          <w:b w:val="0"/>
          <w:u w:val="none"/>
        </w:rPr>
        <w:t xml:space="preserve"> absolutamente regular e</w:t>
      </w:r>
      <w:r w:rsidR="00A4797B" w:rsidRPr="001932BE">
        <w:rPr>
          <w:b w:val="0"/>
          <w:u w:val="none"/>
        </w:rPr>
        <w:t>l</w:t>
      </w:r>
      <w:r w:rsidR="00D34990" w:rsidRPr="001932BE">
        <w:rPr>
          <w:b w:val="0"/>
          <w:u w:val="none"/>
        </w:rPr>
        <w:t xml:space="preserve"> pedi</w:t>
      </w:r>
      <w:r w:rsidR="006B12CC" w:rsidRPr="001932BE">
        <w:rPr>
          <w:b w:val="0"/>
          <w:u w:val="none"/>
        </w:rPr>
        <w:t>mento</w:t>
      </w:r>
      <w:r w:rsidR="00D34990" w:rsidRPr="001932BE">
        <w:rPr>
          <w:b w:val="0"/>
          <w:u w:val="none"/>
        </w:rPr>
        <w:t xml:space="preserve"> y su forma</w:t>
      </w:r>
      <w:r w:rsidR="00C04CA0" w:rsidRPr="001932BE">
        <w:rPr>
          <w:b w:val="0"/>
          <w:u w:val="none"/>
        </w:rPr>
        <w:t>.</w:t>
      </w:r>
    </w:p>
    <w:p w14:paraId="46A07313" w14:textId="77777777" w:rsidR="00A72AB1" w:rsidRPr="001932BE" w:rsidRDefault="00A72AB1" w:rsidP="001932BE">
      <w:pPr>
        <w:rPr>
          <w:szCs w:val="20"/>
          <w:highlight w:val="cyan"/>
          <w:lang w:val="es-MX"/>
        </w:rPr>
      </w:pPr>
    </w:p>
    <w:p w14:paraId="2A7F8F66" w14:textId="470E79E2" w:rsidR="00734687" w:rsidRPr="001932BE" w:rsidRDefault="000C4450" w:rsidP="001932BE">
      <w:pPr>
        <w:pStyle w:val="Style1"/>
        <w:numPr>
          <w:ilvl w:val="0"/>
          <w:numId w:val="17"/>
        </w:numPr>
        <w:spacing w:after="0" w:line="240" w:lineRule="auto"/>
        <w:ind w:left="0" w:firstLine="0"/>
        <w:jc w:val="both"/>
      </w:pPr>
      <w:r w:rsidRPr="001932BE">
        <w:rPr>
          <w:b w:val="0"/>
          <w:u w:val="none"/>
        </w:rPr>
        <w:t xml:space="preserve">Resulta irrazonable exigir que </w:t>
      </w:r>
      <w:r w:rsidR="005B2EFF" w:rsidRPr="001932BE">
        <w:rPr>
          <w:b w:val="0"/>
          <w:u w:val="none"/>
        </w:rPr>
        <w:t xml:space="preserve">las </w:t>
      </w:r>
      <w:r w:rsidR="00734687" w:rsidRPr="001932BE">
        <w:rPr>
          <w:b w:val="0"/>
          <w:u w:val="none"/>
        </w:rPr>
        <w:t>parte</w:t>
      </w:r>
      <w:r w:rsidR="005B2EFF" w:rsidRPr="001932BE">
        <w:rPr>
          <w:b w:val="0"/>
          <w:u w:val="none"/>
        </w:rPr>
        <w:t>s</w:t>
      </w:r>
      <w:r w:rsidR="00734687" w:rsidRPr="001932BE">
        <w:rPr>
          <w:b w:val="0"/>
          <w:u w:val="none"/>
        </w:rPr>
        <w:t xml:space="preserve"> </w:t>
      </w:r>
      <w:r w:rsidRPr="001932BE">
        <w:rPr>
          <w:b w:val="0"/>
          <w:u w:val="none"/>
        </w:rPr>
        <w:t xml:space="preserve">deban </w:t>
      </w:r>
      <w:r w:rsidR="0011708A" w:rsidRPr="001932BE">
        <w:rPr>
          <w:b w:val="0"/>
          <w:u w:val="none"/>
        </w:rPr>
        <w:t>alega</w:t>
      </w:r>
      <w:r w:rsidRPr="001932BE">
        <w:rPr>
          <w:b w:val="0"/>
          <w:u w:val="none"/>
        </w:rPr>
        <w:t>r</w:t>
      </w:r>
      <w:r w:rsidR="0011708A" w:rsidRPr="001932BE">
        <w:rPr>
          <w:b w:val="0"/>
          <w:u w:val="none"/>
        </w:rPr>
        <w:t xml:space="preserve"> </w:t>
      </w:r>
      <w:r w:rsidRPr="001932BE">
        <w:rPr>
          <w:b w:val="0"/>
          <w:u w:val="none"/>
        </w:rPr>
        <w:t>ante un órgano no judicial o cuasi judicial como la Comisión</w:t>
      </w:r>
      <w:r w:rsidR="0007755E" w:rsidRPr="001932BE">
        <w:rPr>
          <w:b w:val="0"/>
          <w:u w:val="none"/>
        </w:rPr>
        <w:t xml:space="preserve"> Interamericana</w:t>
      </w:r>
      <w:r w:rsidRPr="001932BE">
        <w:rPr>
          <w:b w:val="0"/>
          <w:u w:val="none"/>
        </w:rPr>
        <w:t xml:space="preserve"> de manera concurrente los </w:t>
      </w:r>
      <w:r w:rsidR="0011708A" w:rsidRPr="001932BE">
        <w:rPr>
          <w:b w:val="0"/>
          <w:u w:val="none"/>
        </w:rPr>
        <w:t xml:space="preserve">hechos, </w:t>
      </w:r>
      <w:r w:rsidRPr="001932BE">
        <w:rPr>
          <w:b w:val="0"/>
          <w:u w:val="none"/>
        </w:rPr>
        <w:t xml:space="preserve">los </w:t>
      </w:r>
      <w:r w:rsidR="0011708A" w:rsidRPr="001932BE">
        <w:rPr>
          <w:b w:val="0"/>
          <w:u w:val="none"/>
        </w:rPr>
        <w:t xml:space="preserve">derechos y </w:t>
      </w:r>
      <w:r w:rsidRPr="001932BE">
        <w:rPr>
          <w:b w:val="0"/>
          <w:u w:val="none"/>
        </w:rPr>
        <w:t xml:space="preserve">así como </w:t>
      </w:r>
      <w:r w:rsidR="0011708A" w:rsidRPr="001932BE">
        <w:rPr>
          <w:b w:val="0"/>
          <w:u w:val="none"/>
        </w:rPr>
        <w:t xml:space="preserve">también el artículo </w:t>
      </w:r>
      <w:r w:rsidRPr="001932BE">
        <w:rPr>
          <w:b w:val="0"/>
          <w:u w:val="none"/>
        </w:rPr>
        <w:t xml:space="preserve">especifico </w:t>
      </w:r>
      <w:r w:rsidR="0011708A" w:rsidRPr="001932BE">
        <w:rPr>
          <w:b w:val="0"/>
          <w:u w:val="none"/>
        </w:rPr>
        <w:t xml:space="preserve">de la ley o norma internacional, </w:t>
      </w:r>
      <w:r w:rsidRPr="001932BE">
        <w:rPr>
          <w:b w:val="0"/>
          <w:u w:val="none"/>
        </w:rPr>
        <w:t>lo cual</w:t>
      </w:r>
      <w:r w:rsidR="0011708A" w:rsidRPr="001932BE">
        <w:rPr>
          <w:b w:val="0"/>
          <w:u w:val="none"/>
        </w:rPr>
        <w:t xml:space="preserve"> </w:t>
      </w:r>
      <w:r w:rsidRPr="001932BE">
        <w:rPr>
          <w:b w:val="0"/>
          <w:u w:val="none"/>
        </w:rPr>
        <w:t xml:space="preserve">podría derivar en afectar </w:t>
      </w:r>
      <w:r w:rsidR="0011708A" w:rsidRPr="001932BE">
        <w:rPr>
          <w:b w:val="0"/>
          <w:u w:val="none"/>
        </w:rPr>
        <w:t>el derecho a un recurso sencillo y rápido consagrado en el artículo 25 de la Convención.</w:t>
      </w:r>
    </w:p>
    <w:p w14:paraId="146B7C5E" w14:textId="77777777" w:rsidR="00A72AB1" w:rsidRPr="001932BE" w:rsidRDefault="00A72AB1" w:rsidP="001932BE">
      <w:pPr>
        <w:rPr>
          <w:szCs w:val="20"/>
          <w:lang w:val="es-MX"/>
        </w:rPr>
      </w:pPr>
    </w:p>
    <w:p w14:paraId="00A752BB" w14:textId="7CB8EFB2" w:rsidR="00F51439" w:rsidRPr="001932BE" w:rsidRDefault="00C04CA0" w:rsidP="001932BE">
      <w:pPr>
        <w:pStyle w:val="Style1"/>
        <w:numPr>
          <w:ilvl w:val="0"/>
          <w:numId w:val="17"/>
        </w:numPr>
        <w:spacing w:after="0" w:line="240" w:lineRule="auto"/>
        <w:ind w:left="0" w:firstLine="0"/>
        <w:jc w:val="both"/>
      </w:pPr>
      <w:r w:rsidRPr="001932BE">
        <w:rPr>
          <w:b w:val="0"/>
          <w:u w:val="none"/>
        </w:rPr>
        <w:t xml:space="preserve">En </w:t>
      </w:r>
      <w:r w:rsidR="00977B9C" w:rsidRPr="001932BE">
        <w:rPr>
          <w:b w:val="0"/>
          <w:u w:val="none"/>
        </w:rPr>
        <w:t>el caso particular fue la propia víctima quien en reiteradas oportunidades invocó estos derechos</w:t>
      </w:r>
      <w:r w:rsidR="00F51439" w:rsidRPr="001932BE">
        <w:rPr>
          <w:b w:val="0"/>
          <w:u w:val="none"/>
        </w:rPr>
        <w:t xml:space="preserve"> (y no solamente hechos)</w:t>
      </w:r>
      <w:r w:rsidR="00977B9C" w:rsidRPr="001932BE">
        <w:rPr>
          <w:b w:val="0"/>
          <w:u w:val="none"/>
        </w:rPr>
        <w:t>, los cuales fueron ignorados por la Comisión</w:t>
      </w:r>
      <w:r w:rsidR="003D0681" w:rsidRPr="001932BE">
        <w:rPr>
          <w:rStyle w:val="FootnoteReference"/>
          <w:b w:val="0"/>
          <w:u w:val="none"/>
        </w:rPr>
        <w:footnoteReference w:id="3"/>
      </w:r>
      <w:r w:rsidR="00977B9C" w:rsidRPr="001932BE">
        <w:rPr>
          <w:b w:val="0"/>
          <w:u w:val="none"/>
        </w:rPr>
        <w:t>. Resulta entonces que de acuerdo con una interpretación sistemática y de efecto útil del tratado y sus órganos de aplicación, la Cor</w:t>
      </w:r>
      <w:r w:rsidR="00A3147D" w:rsidRPr="001932BE">
        <w:rPr>
          <w:b w:val="0"/>
          <w:u w:val="none"/>
        </w:rPr>
        <w:t>te tiene la facultad de valorar</w:t>
      </w:r>
      <w:r w:rsidR="00977B9C" w:rsidRPr="001932BE">
        <w:rPr>
          <w:b w:val="0"/>
          <w:u w:val="none"/>
        </w:rPr>
        <w:t xml:space="preserve"> y dar sentido a la petición </w:t>
      </w:r>
      <w:r w:rsidR="007318D2" w:rsidRPr="001932BE">
        <w:rPr>
          <w:b w:val="0"/>
          <w:u w:val="none"/>
        </w:rPr>
        <w:t xml:space="preserve">inicial </w:t>
      </w:r>
      <w:r w:rsidR="00977B9C" w:rsidRPr="001932BE">
        <w:rPr>
          <w:b w:val="0"/>
          <w:u w:val="none"/>
        </w:rPr>
        <w:t xml:space="preserve">que </w:t>
      </w:r>
      <w:r w:rsidR="007318D2" w:rsidRPr="001932BE">
        <w:rPr>
          <w:b w:val="0"/>
          <w:u w:val="none"/>
        </w:rPr>
        <w:t xml:space="preserve">contiene </w:t>
      </w:r>
      <w:r w:rsidR="00977B9C" w:rsidRPr="001932BE">
        <w:rPr>
          <w:b w:val="0"/>
          <w:u w:val="none"/>
        </w:rPr>
        <w:t>la demanda de justicia de la víctima que acude al Sistema Interamericano.</w:t>
      </w:r>
    </w:p>
    <w:p w14:paraId="557AE33A" w14:textId="77777777" w:rsidR="00A72AB1" w:rsidRPr="001932BE" w:rsidRDefault="00A72AB1" w:rsidP="001932BE">
      <w:pPr>
        <w:rPr>
          <w:szCs w:val="20"/>
          <w:lang w:val="es-MX"/>
        </w:rPr>
      </w:pPr>
    </w:p>
    <w:p w14:paraId="72E0FB5B" w14:textId="3E668BD7" w:rsidR="00977B9C" w:rsidRPr="001932BE" w:rsidRDefault="000C4450" w:rsidP="001932BE">
      <w:pPr>
        <w:pStyle w:val="Style1"/>
        <w:numPr>
          <w:ilvl w:val="0"/>
          <w:numId w:val="17"/>
        </w:numPr>
        <w:spacing w:after="0" w:line="240" w:lineRule="auto"/>
        <w:ind w:left="0" w:firstLine="0"/>
        <w:jc w:val="both"/>
      </w:pPr>
      <w:r w:rsidRPr="001932BE">
        <w:rPr>
          <w:b w:val="0"/>
          <w:u w:val="none"/>
        </w:rPr>
        <w:t>Los</w:t>
      </w:r>
      <w:r w:rsidR="0011708A" w:rsidRPr="001932BE">
        <w:rPr>
          <w:b w:val="0"/>
          <w:u w:val="none"/>
        </w:rPr>
        <w:t xml:space="preserve"> derecho</w:t>
      </w:r>
      <w:r w:rsidRPr="001932BE">
        <w:rPr>
          <w:b w:val="0"/>
          <w:u w:val="none"/>
        </w:rPr>
        <w:t>s</w:t>
      </w:r>
      <w:r w:rsidR="0011708A" w:rsidRPr="001932BE">
        <w:rPr>
          <w:b w:val="0"/>
          <w:u w:val="none"/>
        </w:rPr>
        <w:t xml:space="preserve"> alegado</w:t>
      </w:r>
      <w:r w:rsidRPr="001932BE">
        <w:rPr>
          <w:b w:val="0"/>
          <w:u w:val="none"/>
        </w:rPr>
        <w:t>s</w:t>
      </w:r>
      <w:r w:rsidR="0011708A" w:rsidRPr="001932BE">
        <w:rPr>
          <w:b w:val="0"/>
          <w:u w:val="none"/>
        </w:rPr>
        <w:t xml:space="preserve"> por la victima</w:t>
      </w:r>
      <w:r w:rsidR="004D4C87" w:rsidRPr="001932BE">
        <w:rPr>
          <w:b w:val="0"/>
          <w:u w:val="none"/>
        </w:rPr>
        <w:t xml:space="preserve"> debe</w:t>
      </w:r>
      <w:r w:rsidRPr="001932BE">
        <w:rPr>
          <w:b w:val="0"/>
          <w:u w:val="none"/>
        </w:rPr>
        <w:t>n</w:t>
      </w:r>
      <w:r w:rsidR="004D4C87" w:rsidRPr="001932BE">
        <w:rPr>
          <w:b w:val="0"/>
          <w:u w:val="none"/>
        </w:rPr>
        <w:t xml:space="preserve"> ser</w:t>
      </w:r>
      <w:r w:rsidRPr="001932BE">
        <w:rPr>
          <w:b w:val="0"/>
          <w:u w:val="none"/>
        </w:rPr>
        <w:t xml:space="preserve"> entonces,</w:t>
      </w:r>
      <w:r w:rsidR="004D4C87" w:rsidRPr="001932BE">
        <w:rPr>
          <w:b w:val="0"/>
          <w:u w:val="none"/>
        </w:rPr>
        <w:t xml:space="preserve"> valorado</w:t>
      </w:r>
      <w:r w:rsidRPr="001932BE">
        <w:rPr>
          <w:b w:val="0"/>
          <w:u w:val="none"/>
        </w:rPr>
        <w:t>s</w:t>
      </w:r>
      <w:r w:rsidR="004D4C87" w:rsidRPr="001932BE">
        <w:rPr>
          <w:b w:val="0"/>
          <w:u w:val="none"/>
        </w:rPr>
        <w:t xml:space="preserve"> </w:t>
      </w:r>
      <w:r w:rsidRPr="001932BE">
        <w:rPr>
          <w:b w:val="0"/>
          <w:u w:val="none"/>
        </w:rPr>
        <w:t xml:space="preserve">también </w:t>
      </w:r>
      <w:r w:rsidR="004D4C87" w:rsidRPr="001932BE">
        <w:rPr>
          <w:b w:val="0"/>
          <w:u w:val="none"/>
        </w:rPr>
        <w:t>por la Corte, sin que eso signifique romper los límites procesales</w:t>
      </w:r>
      <w:r w:rsidRPr="001932BE">
        <w:rPr>
          <w:b w:val="0"/>
          <w:u w:val="none"/>
        </w:rPr>
        <w:t>.</w:t>
      </w:r>
      <w:r w:rsidR="004D4C87" w:rsidRPr="001932BE">
        <w:rPr>
          <w:b w:val="0"/>
          <w:u w:val="none"/>
        </w:rPr>
        <w:t xml:space="preserve"> </w:t>
      </w:r>
      <w:r w:rsidRPr="001932BE">
        <w:rPr>
          <w:b w:val="0"/>
          <w:u w:val="none"/>
        </w:rPr>
        <w:t xml:space="preserve">Lo anterior, siendo que </w:t>
      </w:r>
      <w:r w:rsidR="004D4C87" w:rsidRPr="001932BE">
        <w:rPr>
          <w:b w:val="0"/>
          <w:u w:val="none"/>
        </w:rPr>
        <w:t xml:space="preserve">la petición inicial es la representación </w:t>
      </w:r>
      <w:r w:rsidRPr="001932BE">
        <w:rPr>
          <w:b w:val="0"/>
          <w:u w:val="none"/>
        </w:rPr>
        <w:t xml:space="preserve">más inmediata </w:t>
      </w:r>
      <w:r w:rsidR="004D4C87" w:rsidRPr="001932BE">
        <w:rPr>
          <w:b w:val="0"/>
          <w:u w:val="none"/>
        </w:rPr>
        <w:t>de la voz del peticionario.</w:t>
      </w:r>
    </w:p>
    <w:p w14:paraId="666C0368" w14:textId="77777777" w:rsidR="00A72AB1" w:rsidRPr="001932BE" w:rsidRDefault="00A72AB1" w:rsidP="001932BE">
      <w:pPr>
        <w:rPr>
          <w:szCs w:val="20"/>
          <w:lang w:val="es-MX"/>
        </w:rPr>
      </w:pPr>
    </w:p>
    <w:p w14:paraId="3C17B3FE" w14:textId="2C4D07AE" w:rsidR="00DB6501" w:rsidRPr="001932BE" w:rsidRDefault="00977B9C" w:rsidP="001932BE">
      <w:pPr>
        <w:pStyle w:val="Style1"/>
        <w:numPr>
          <w:ilvl w:val="0"/>
          <w:numId w:val="17"/>
        </w:numPr>
        <w:spacing w:after="0" w:line="240" w:lineRule="auto"/>
        <w:ind w:left="0" w:firstLine="0"/>
        <w:jc w:val="both"/>
        <w:rPr>
          <w:lang w:val="es-CR"/>
        </w:rPr>
      </w:pPr>
      <w:r w:rsidRPr="001932BE">
        <w:rPr>
          <w:b w:val="0"/>
          <w:u w:val="none"/>
        </w:rPr>
        <w:t xml:space="preserve">En este sentido, otros órganos internacionales han atendido el alegato esencial de las víctimas a través de una calificación expresamente dada por el órgano o Tribunal, sin </w:t>
      </w:r>
      <w:r w:rsidR="00321CB6" w:rsidRPr="001932BE">
        <w:rPr>
          <w:b w:val="0"/>
          <w:u w:val="none"/>
        </w:rPr>
        <w:t xml:space="preserve">que </w:t>
      </w:r>
      <w:r w:rsidR="000C4450" w:rsidRPr="001932BE">
        <w:rPr>
          <w:b w:val="0"/>
          <w:u w:val="none"/>
        </w:rPr>
        <w:lastRenderedPageBreak/>
        <w:t xml:space="preserve">necesariamente </w:t>
      </w:r>
      <w:r w:rsidR="00321CB6" w:rsidRPr="001932BE">
        <w:rPr>
          <w:b w:val="0"/>
          <w:u w:val="none"/>
        </w:rPr>
        <w:t>s</w:t>
      </w:r>
      <w:r w:rsidR="00C02258" w:rsidRPr="001932BE">
        <w:rPr>
          <w:b w:val="0"/>
          <w:u w:val="none"/>
        </w:rPr>
        <w:t>e</w:t>
      </w:r>
      <w:r w:rsidR="00321CB6" w:rsidRPr="001932BE">
        <w:rPr>
          <w:b w:val="0"/>
          <w:u w:val="none"/>
        </w:rPr>
        <w:t xml:space="preserve"> ha</w:t>
      </w:r>
      <w:r w:rsidR="00C02258" w:rsidRPr="001932BE">
        <w:rPr>
          <w:b w:val="0"/>
          <w:u w:val="none"/>
        </w:rPr>
        <w:t>y</w:t>
      </w:r>
      <w:r w:rsidR="00321CB6" w:rsidRPr="001932BE">
        <w:rPr>
          <w:b w:val="0"/>
          <w:u w:val="none"/>
        </w:rPr>
        <w:t xml:space="preserve">a </w:t>
      </w:r>
      <w:r w:rsidR="00A9048F" w:rsidRPr="001932BE">
        <w:rPr>
          <w:b w:val="0"/>
          <w:u w:val="none"/>
        </w:rPr>
        <w:t>invocado el</w:t>
      </w:r>
      <w:r w:rsidR="00321CB6" w:rsidRPr="001932BE">
        <w:rPr>
          <w:b w:val="0"/>
          <w:u w:val="none"/>
        </w:rPr>
        <w:t xml:space="preserve"> derecho</w:t>
      </w:r>
      <w:r w:rsidR="00A9048F" w:rsidRPr="001932BE">
        <w:rPr>
          <w:b w:val="0"/>
          <w:u w:val="none"/>
        </w:rPr>
        <w:t xml:space="preserve"> específico</w:t>
      </w:r>
      <w:r w:rsidR="00321CB6" w:rsidRPr="001932BE">
        <w:rPr>
          <w:b w:val="0"/>
          <w:u w:val="none"/>
        </w:rPr>
        <w:t xml:space="preserve">, </w:t>
      </w:r>
      <w:r w:rsidR="00A9048F" w:rsidRPr="001932BE">
        <w:rPr>
          <w:b w:val="0"/>
          <w:u w:val="none"/>
        </w:rPr>
        <w:t xml:space="preserve">y </w:t>
      </w:r>
      <w:r w:rsidR="00321CB6" w:rsidRPr="001932BE">
        <w:rPr>
          <w:b w:val="0"/>
          <w:u w:val="none"/>
        </w:rPr>
        <w:t xml:space="preserve">sin </w:t>
      </w:r>
      <w:r w:rsidR="00A9048F" w:rsidRPr="001932BE">
        <w:rPr>
          <w:b w:val="0"/>
          <w:u w:val="none"/>
        </w:rPr>
        <w:t xml:space="preserve">hacer </w:t>
      </w:r>
      <w:r w:rsidRPr="001932BE">
        <w:rPr>
          <w:b w:val="0"/>
          <w:u w:val="none"/>
        </w:rPr>
        <w:t>alusión</w:t>
      </w:r>
      <w:r w:rsidR="00A9048F" w:rsidRPr="001932BE">
        <w:rPr>
          <w:b w:val="0"/>
          <w:u w:val="none"/>
        </w:rPr>
        <w:t xml:space="preserve"> expresa</w:t>
      </w:r>
      <w:r w:rsidRPr="001932BE">
        <w:rPr>
          <w:b w:val="0"/>
          <w:u w:val="none"/>
        </w:rPr>
        <w:t xml:space="preserve"> al principio </w:t>
      </w:r>
      <w:proofErr w:type="spellStart"/>
      <w:r w:rsidRPr="001932BE">
        <w:rPr>
          <w:b w:val="0"/>
          <w:i/>
          <w:u w:val="none"/>
        </w:rPr>
        <w:t>iura</w:t>
      </w:r>
      <w:proofErr w:type="spellEnd"/>
      <w:r w:rsidRPr="001932BE">
        <w:rPr>
          <w:b w:val="0"/>
          <w:i/>
          <w:u w:val="none"/>
        </w:rPr>
        <w:t xml:space="preserve"> </w:t>
      </w:r>
      <w:proofErr w:type="spellStart"/>
      <w:r w:rsidRPr="001932BE">
        <w:rPr>
          <w:b w:val="0"/>
          <w:i/>
          <w:u w:val="none"/>
        </w:rPr>
        <w:t>novit</w:t>
      </w:r>
      <w:proofErr w:type="spellEnd"/>
      <w:r w:rsidRPr="001932BE">
        <w:rPr>
          <w:b w:val="0"/>
          <w:i/>
          <w:u w:val="none"/>
        </w:rPr>
        <w:t xml:space="preserve"> curia</w:t>
      </w:r>
      <w:r w:rsidR="00A3147D" w:rsidRPr="001932BE">
        <w:rPr>
          <w:rStyle w:val="FootnoteReference"/>
          <w:b w:val="0"/>
          <w:i/>
          <w:u w:val="none"/>
        </w:rPr>
        <w:footnoteReference w:id="4"/>
      </w:r>
      <w:r w:rsidRPr="001932BE">
        <w:rPr>
          <w:b w:val="0"/>
          <w:i/>
          <w:u w:val="none"/>
        </w:rPr>
        <w:t>.</w:t>
      </w:r>
      <w:r w:rsidR="00A3147D" w:rsidRPr="001932BE">
        <w:rPr>
          <w:b w:val="0"/>
          <w:u w:val="none"/>
        </w:rPr>
        <w:t xml:space="preserve"> </w:t>
      </w:r>
    </w:p>
    <w:p w14:paraId="14C1A5BA" w14:textId="77777777" w:rsidR="00A4003D" w:rsidRPr="001932BE" w:rsidRDefault="00A4003D" w:rsidP="001932BE">
      <w:pPr>
        <w:pStyle w:val="Style1"/>
        <w:numPr>
          <w:ilvl w:val="0"/>
          <w:numId w:val="0"/>
        </w:numPr>
        <w:spacing w:after="0" w:line="240" w:lineRule="auto"/>
        <w:jc w:val="both"/>
        <w:rPr>
          <w:lang w:val="es-CR"/>
        </w:rPr>
      </w:pPr>
    </w:p>
    <w:p w14:paraId="58CB96BB" w14:textId="222C6911" w:rsidR="00A72AB1" w:rsidRPr="001932BE" w:rsidRDefault="00A3147D" w:rsidP="001932BE">
      <w:pPr>
        <w:pStyle w:val="Style1"/>
        <w:numPr>
          <w:ilvl w:val="0"/>
          <w:numId w:val="17"/>
        </w:numPr>
        <w:spacing w:after="0" w:line="240" w:lineRule="auto"/>
        <w:ind w:left="0" w:firstLine="0"/>
        <w:jc w:val="both"/>
      </w:pPr>
      <w:r w:rsidRPr="001932BE">
        <w:rPr>
          <w:b w:val="0"/>
          <w:u w:val="none"/>
        </w:rPr>
        <w:t>De esta manera</w:t>
      </w:r>
      <w:r w:rsidR="007318D2" w:rsidRPr="001932BE">
        <w:rPr>
          <w:b w:val="0"/>
          <w:u w:val="none"/>
        </w:rPr>
        <w:t>, quedó</w:t>
      </w:r>
      <w:r w:rsidRPr="001932BE">
        <w:rPr>
          <w:b w:val="0"/>
          <w:u w:val="none"/>
        </w:rPr>
        <w:t xml:space="preserve"> evidenciado que a todas luces </w:t>
      </w:r>
      <w:r w:rsidR="004C1D22" w:rsidRPr="001932BE">
        <w:rPr>
          <w:b w:val="0"/>
          <w:u w:val="none"/>
        </w:rPr>
        <w:t>el objetivo principal del peticionario</w:t>
      </w:r>
      <w:r w:rsidRPr="001932BE">
        <w:rPr>
          <w:b w:val="0"/>
          <w:u w:val="none"/>
        </w:rPr>
        <w:t xml:space="preserve"> Lagos del Campo</w:t>
      </w:r>
      <w:r w:rsidR="004C1D22" w:rsidRPr="001932BE">
        <w:rPr>
          <w:b w:val="0"/>
          <w:u w:val="none"/>
        </w:rPr>
        <w:t xml:space="preserve"> fue siempre la tutela de sus derechos laborales, con la consecuencia de ser resarcido en estos derechos. </w:t>
      </w:r>
    </w:p>
    <w:p w14:paraId="7460DA55" w14:textId="5E4D5FE9" w:rsidR="00FA0937" w:rsidRPr="001932BE" w:rsidRDefault="00FA0937" w:rsidP="001932BE">
      <w:pPr>
        <w:rPr>
          <w:szCs w:val="20"/>
          <w:highlight w:val="yellow"/>
          <w:lang w:val="es-MX"/>
        </w:rPr>
      </w:pPr>
    </w:p>
    <w:p w14:paraId="42A4DE86" w14:textId="77777777" w:rsidR="003E3121" w:rsidRPr="001932BE" w:rsidRDefault="002C7E9A" w:rsidP="00267C93">
      <w:pPr>
        <w:pStyle w:val="Style1"/>
        <w:spacing w:after="0" w:line="240" w:lineRule="auto"/>
        <w:ind w:left="0" w:firstLine="0"/>
      </w:pPr>
      <w:r w:rsidRPr="001932BE">
        <w:t xml:space="preserve">El derecho al trabajo </w:t>
      </w:r>
      <w:r w:rsidR="00CA01C6" w:rsidRPr="001932BE">
        <w:t xml:space="preserve">protegido por los </w:t>
      </w:r>
      <w:r w:rsidRPr="001932BE">
        <w:t>artículo</w:t>
      </w:r>
      <w:r w:rsidR="00CA01C6" w:rsidRPr="001932BE">
        <w:t>s</w:t>
      </w:r>
      <w:r w:rsidRPr="001932BE">
        <w:t xml:space="preserve"> 26</w:t>
      </w:r>
      <w:r w:rsidR="00A770D3" w:rsidRPr="001932BE">
        <w:t xml:space="preserve"> y 25</w:t>
      </w:r>
      <w:r w:rsidRPr="001932BE">
        <w:t xml:space="preserve"> de la Convención</w:t>
      </w:r>
    </w:p>
    <w:p w14:paraId="4B5FEE83" w14:textId="77777777" w:rsidR="00293079" w:rsidRPr="001932BE" w:rsidRDefault="00293079" w:rsidP="001932BE">
      <w:pPr>
        <w:pStyle w:val="Style1"/>
        <w:numPr>
          <w:ilvl w:val="0"/>
          <w:numId w:val="0"/>
        </w:numPr>
        <w:spacing w:after="0" w:line="240" w:lineRule="auto"/>
        <w:ind w:hanging="720"/>
        <w:jc w:val="both"/>
      </w:pPr>
    </w:p>
    <w:p w14:paraId="49F98708" w14:textId="4885A7C1" w:rsidR="00A3147D" w:rsidRPr="001932BE" w:rsidRDefault="003E3121" w:rsidP="001932BE">
      <w:pPr>
        <w:pStyle w:val="ListParagraph"/>
        <w:numPr>
          <w:ilvl w:val="0"/>
          <w:numId w:val="17"/>
        </w:numPr>
        <w:spacing w:after="0" w:line="240" w:lineRule="auto"/>
        <w:ind w:left="0" w:firstLine="0"/>
        <w:jc w:val="both"/>
        <w:rPr>
          <w:rFonts w:ascii="Verdana" w:hAnsi="Verdana"/>
          <w:sz w:val="20"/>
          <w:szCs w:val="20"/>
          <w:lang w:val="es-CR"/>
        </w:rPr>
      </w:pPr>
      <w:r w:rsidRPr="001932BE">
        <w:rPr>
          <w:rFonts w:ascii="Verdana" w:hAnsi="Verdana"/>
          <w:sz w:val="20"/>
          <w:szCs w:val="20"/>
          <w:lang w:val="es-MX"/>
        </w:rPr>
        <w:t xml:space="preserve">Hago notar que en los </w:t>
      </w:r>
      <w:r w:rsidRPr="001932BE">
        <w:rPr>
          <w:rFonts w:ascii="Verdana" w:hAnsi="Verdana"/>
          <w:i/>
          <w:sz w:val="20"/>
          <w:szCs w:val="20"/>
          <w:lang w:val="es-MX"/>
        </w:rPr>
        <w:t xml:space="preserve">Casos </w:t>
      </w:r>
      <w:r w:rsidR="00A3147D" w:rsidRPr="001932BE">
        <w:rPr>
          <w:rFonts w:ascii="Verdana" w:hAnsi="Verdana"/>
          <w:i/>
          <w:sz w:val="20"/>
          <w:szCs w:val="20"/>
          <w:lang w:val="es-MX"/>
        </w:rPr>
        <w:t>Canales Huapaya y o</w:t>
      </w:r>
      <w:r w:rsidRPr="001932BE">
        <w:rPr>
          <w:rFonts w:ascii="Verdana" w:hAnsi="Verdana"/>
          <w:i/>
          <w:sz w:val="20"/>
          <w:szCs w:val="20"/>
          <w:lang w:val="es-MX"/>
        </w:rPr>
        <w:t>tros Vs. Perú y Chinchilla Sandoval y otros Vs. Guatemala,</w:t>
      </w:r>
      <w:r w:rsidRPr="001932BE">
        <w:rPr>
          <w:rFonts w:ascii="Verdana" w:hAnsi="Verdana"/>
          <w:sz w:val="20"/>
          <w:szCs w:val="20"/>
          <w:lang w:val="es-MX"/>
        </w:rPr>
        <w:t xml:space="preserve"> </w:t>
      </w:r>
      <w:r w:rsidR="006C757E" w:rsidRPr="001932BE">
        <w:rPr>
          <w:rFonts w:ascii="Verdana" w:hAnsi="Verdana"/>
          <w:sz w:val="20"/>
          <w:szCs w:val="20"/>
          <w:lang w:val="es-MX"/>
        </w:rPr>
        <w:t>manifesté</w:t>
      </w:r>
      <w:r w:rsidRPr="001932BE">
        <w:rPr>
          <w:rFonts w:ascii="Verdana" w:hAnsi="Verdana"/>
          <w:sz w:val="20"/>
          <w:szCs w:val="20"/>
          <w:lang w:val="es-MX"/>
        </w:rPr>
        <w:t xml:space="preserve"> mi opinión sobre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 los derechos que se de</w:t>
      </w:r>
      <w:r w:rsidR="006C757E" w:rsidRPr="001932BE">
        <w:rPr>
          <w:rFonts w:ascii="Verdana" w:hAnsi="Verdana"/>
          <w:sz w:val="20"/>
          <w:szCs w:val="20"/>
          <w:lang w:val="es-MX"/>
        </w:rPr>
        <w:t>rivan</w:t>
      </w:r>
      <w:r w:rsidR="00A3147D" w:rsidRPr="001932BE">
        <w:rPr>
          <w:rFonts w:ascii="Verdana" w:hAnsi="Verdana"/>
          <w:sz w:val="20"/>
          <w:szCs w:val="20"/>
          <w:lang w:val="es-MX"/>
        </w:rPr>
        <w:t xml:space="preserve"> </w:t>
      </w:r>
      <w:r w:rsidRPr="001932BE">
        <w:rPr>
          <w:rFonts w:ascii="Verdana" w:hAnsi="Verdana"/>
          <w:sz w:val="20"/>
          <w:szCs w:val="20"/>
          <w:lang w:val="es-MX"/>
        </w:rPr>
        <w:t xml:space="preserve">del artículo 26 de la Convención. </w:t>
      </w:r>
      <w:r w:rsidR="00A3147D" w:rsidRPr="001932BE">
        <w:rPr>
          <w:rFonts w:ascii="Verdana" w:hAnsi="Verdana"/>
          <w:sz w:val="20"/>
          <w:szCs w:val="20"/>
          <w:lang w:val="es-MX"/>
        </w:rPr>
        <w:t>En particular, e</w:t>
      </w:r>
      <w:r w:rsidRPr="001932BE">
        <w:rPr>
          <w:rFonts w:ascii="Verdana" w:hAnsi="Verdana"/>
          <w:sz w:val="20"/>
          <w:szCs w:val="20"/>
          <w:lang w:val="es-MX"/>
        </w:rPr>
        <w:t>n el voto disidente que realic</w:t>
      </w:r>
      <w:r w:rsidR="00922169" w:rsidRPr="001932BE">
        <w:rPr>
          <w:rFonts w:ascii="Verdana" w:hAnsi="Verdana"/>
          <w:sz w:val="20"/>
          <w:szCs w:val="20"/>
          <w:lang w:val="es-MX"/>
        </w:rPr>
        <w:t>é</w:t>
      </w:r>
      <w:r w:rsidRPr="001932BE">
        <w:rPr>
          <w:rFonts w:ascii="Verdana" w:hAnsi="Verdana"/>
          <w:sz w:val="20"/>
          <w:szCs w:val="20"/>
          <w:lang w:val="es-MX"/>
        </w:rPr>
        <w:t xml:space="preserve"> junto con el Juez Ferrer Mac-Gregor Poisot en el </w:t>
      </w:r>
      <w:r w:rsidRPr="001932BE">
        <w:rPr>
          <w:rFonts w:ascii="Verdana" w:hAnsi="Verdana"/>
          <w:i/>
          <w:sz w:val="20"/>
          <w:szCs w:val="20"/>
          <w:lang w:val="es-MX"/>
        </w:rPr>
        <w:t>Caso Canales Huapaya y Otros Vs. Perú</w:t>
      </w:r>
      <w:r w:rsidRPr="001932BE">
        <w:rPr>
          <w:rFonts w:ascii="Verdana" w:hAnsi="Verdana"/>
          <w:sz w:val="20"/>
          <w:szCs w:val="20"/>
          <w:lang w:val="es-MX"/>
        </w:rPr>
        <w:t xml:space="preserve"> resaltamos la necesidad de efectuar una interpretación evolutiva respecto al alcance de los derechos consagrados en el artículo 26 de la CADH, y la diligencia de profundizar en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del derecho al trabajo. Asimismo, se hizo notar que el derecho al trabajo está regulado en la mayoría de las Constituciones de los países miembros de la Organización de los Estados Americanos</w:t>
      </w:r>
      <w:r w:rsidR="00734687" w:rsidRPr="001932BE">
        <w:rPr>
          <w:rFonts w:ascii="Verdana" w:hAnsi="Verdana"/>
          <w:sz w:val="20"/>
          <w:szCs w:val="20"/>
          <w:lang w:val="es-MX"/>
        </w:rPr>
        <w:t>. A</w:t>
      </w:r>
      <w:r w:rsidRPr="001932BE">
        <w:rPr>
          <w:rFonts w:ascii="Verdana" w:hAnsi="Verdana"/>
          <w:sz w:val="20"/>
          <w:szCs w:val="20"/>
          <w:lang w:val="es-MX"/>
        </w:rPr>
        <w:t xml:space="preserve">demás, se resaltó que el derecho al trabajo no implica un derecho absoluto, por ende puede llegar a tener límites. </w:t>
      </w:r>
      <w:r w:rsidRPr="001932BE">
        <w:rPr>
          <w:rFonts w:ascii="Verdana" w:hAnsi="Verdana"/>
          <w:sz w:val="20"/>
          <w:szCs w:val="20"/>
          <w:lang w:val="es-CR"/>
        </w:rPr>
        <w:t>Desde dicho voto estimamos que Perú había violado el derecho al trabajo de las víctimas y nos pronunciamos sobre el derecho al trabajo como derecho autónomo en el derecho comparado</w:t>
      </w:r>
      <w:r w:rsidR="00A3147D" w:rsidRPr="001932BE">
        <w:rPr>
          <w:rFonts w:ascii="Verdana" w:hAnsi="Verdana"/>
          <w:sz w:val="20"/>
          <w:szCs w:val="20"/>
          <w:lang w:val="es-CR"/>
        </w:rPr>
        <w:t>.</w:t>
      </w:r>
    </w:p>
    <w:p w14:paraId="12B07EC5" w14:textId="77777777" w:rsidR="00A8740E" w:rsidRPr="001932BE" w:rsidRDefault="00A8740E" w:rsidP="001932BE">
      <w:pPr>
        <w:rPr>
          <w:szCs w:val="20"/>
          <w:lang w:val="es-MX"/>
        </w:rPr>
      </w:pPr>
    </w:p>
    <w:p w14:paraId="0C28E5FC" w14:textId="21A923AA" w:rsidR="003E3121" w:rsidRPr="001932BE" w:rsidRDefault="00CA01C6" w:rsidP="001932BE">
      <w:pPr>
        <w:pStyle w:val="ListParagraph"/>
        <w:numPr>
          <w:ilvl w:val="0"/>
          <w:numId w:val="17"/>
        </w:numPr>
        <w:spacing w:after="0" w:line="240" w:lineRule="auto"/>
        <w:ind w:left="0" w:firstLine="0"/>
        <w:jc w:val="both"/>
        <w:rPr>
          <w:rFonts w:ascii="Verdana" w:hAnsi="Verdana"/>
          <w:sz w:val="20"/>
          <w:szCs w:val="20"/>
          <w:lang w:val="es-CR"/>
        </w:rPr>
      </w:pPr>
      <w:r w:rsidRPr="001932BE">
        <w:rPr>
          <w:rFonts w:ascii="Verdana" w:hAnsi="Verdana"/>
          <w:sz w:val="20"/>
          <w:szCs w:val="20"/>
        </w:rPr>
        <w:t>Por su parte, e</w:t>
      </w:r>
      <w:r w:rsidR="003E3121" w:rsidRPr="001932BE">
        <w:rPr>
          <w:rFonts w:ascii="Verdana" w:hAnsi="Verdana"/>
          <w:sz w:val="20"/>
          <w:szCs w:val="20"/>
        </w:rPr>
        <w:t xml:space="preserve">n el voto </w:t>
      </w:r>
      <w:r w:rsidR="003E3121" w:rsidRPr="001932BE">
        <w:rPr>
          <w:rFonts w:ascii="Verdana" w:hAnsi="Verdana"/>
          <w:sz w:val="20"/>
          <w:szCs w:val="20"/>
          <w:lang w:val="es-MX"/>
        </w:rPr>
        <w:t xml:space="preserve">razonado del caso </w:t>
      </w:r>
      <w:r w:rsidR="003E3121" w:rsidRPr="001932BE">
        <w:rPr>
          <w:rFonts w:ascii="Verdana" w:hAnsi="Verdana"/>
          <w:i/>
          <w:sz w:val="20"/>
          <w:szCs w:val="20"/>
          <w:lang w:val="es-MX"/>
        </w:rPr>
        <w:t>Chinchilla Sandoval y otros Vs. Guatemala</w:t>
      </w:r>
      <w:r w:rsidR="003E3121" w:rsidRPr="001932BE">
        <w:rPr>
          <w:rFonts w:ascii="Verdana" w:hAnsi="Verdana"/>
          <w:sz w:val="20"/>
          <w:szCs w:val="20"/>
          <w:lang w:val="es-MX"/>
        </w:rPr>
        <w:t xml:space="preserve">, manifesté que la tutela jurisdiccional al derecho a la salud debe ser más </w:t>
      </w:r>
      <w:r w:rsidR="003E3121" w:rsidRPr="001932BE">
        <w:rPr>
          <w:rFonts w:ascii="Verdana" w:hAnsi="Verdana"/>
          <w:sz w:val="20"/>
          <w:szCs w:val="20"/>
          <w:lang w:val="es-MX"/>
        </w:rPr>
        <w:lastRenderedPageBreak/>
        <w:t xml:space="preserve">explícita y directa, más que solamente reiterar su protección en relación con los derechos a la vida e integridad personal. Además, mencioné que la Corte y el Continente Americano estaban preparados para dar el paso de </w:t>
      </w:r>
      <w:proofErr w:type="spellStart"/>
      <w:r w:rsidR="003E3121" w:rsidRPr="001932BE">
        <w:rPr>
          <w:rFonts w:ascii="Verdana" w:hAnsi="Verdana"/>
          <w:sz w:val="20"/>
          <w:szCs w:val="20"/>
          <w:lang w:val="es-MX"/>
        </w:rPr>
        <w:t>justiciabilizar</w:t>
      </w:r>
      <w:proofErr w:type="spellEnd"/>
      <w:r w:rsidR="003E3121" w:rsidRPr="001932BE">
        <w:rPr>
          <w:rFonts w:ascii="Verdana" w:hAnsi="Verdana"/>
          <w:sz w:val="20"/>
          <w:szCs w:val="20"/>
          <w:lang w:val="es-MX"/>
        </w:rPr>
        <w:t xml:space="preserve"> los DESC</w:t>
      </w:r>
      <w:r w:rsidR="009E71B6" w:rsidRPr="001932BE">
        <w:rPr>
          <w:rFonts w:ascii="Verdana" w:hAnsi="Verdana"/>
          <w:sz w:val="20"/>
          <w:szCs w:val="20"/>
          <w:lang w:val="es-MX"/>
        </w:rPr>
        <w:t>A</w:t>
      </w:r>
      <w:r w:rsidR="003E3121" w:rsidRPr="001932BE">
        <w:rPr>
          <w:rFonts w:ascii="Verdana" w:hAnsi="Verdana"/>
          <w:sz w:val="20"/>
          <w:szCs w:val="20"/>
          <w:lang w:val="es-MX"/>
        </w:rPr>
        <w:t xml:space="preserve"> y así </w:t>
      </w:r>
      <w:r w:rsidR="003E3121" w:rsidRPr="001932BE">
        <w:rPr>
          <w:rFonts w:ascii="Verdana" w:hAnsi="Verdana"/>
          <w:sz w:val="20"/>
          <w:szCs w:val="20"/>
          <w:lang w:val="es-CR"/>
        </w:rPr>
        <w:t>las posibles víctimas pudieran comprender que el Sistema Interamericano es una vía abierta para las personas que necesitan hacer efectivos</w:t>
      </w:r>
      <w:r w:rsidR="003E3121" w:rsidRPr="001932BE" w:rsidDel="00353DD4">
        <w:rPr>
          <w:rFonts w:ascii="Verdana" w:hAnsi="Verdana"/>
          <w:sz w:val="20"/>
          <w:szCs w:val="20"/>
          <w:lang w:val="es-CR"/>
        </w:rPr>
        <w:t xml:space="preserve"> </w:t>
      </w:r>
      <w:r w:rsidR="003E3121" w:rsidRPr="001932BE">
        <w:rPr>
          <w:rFonts w:ascii="Verdana" w:hAnsi="Verdana"/>
          <w:sz w:val="20"/>
          <w:szCs w:val="20"/>
          <w:lang w:val="es-CR"/>
        </w:rPr>
        <w:t>esos derechos.</w:t>
      </w:r>
    </w:p>
    <w:p w14:paraId="17FC13EA" w14:textId="77777777" w:rsidR="00A8740E" w:rsidRPr="001932BE" w:rsidRDefault="00A8740E" w:rsidP="001932BE">
      <w:pPr>
        <w:rPr>
          <w:szCs w:val="20"/>
          <w:lang w:val="es-MX"/>
        </w:rPr>
      </w:pPr>
    </w:p>
    <w:p w14:paraId="180BA5B4" w14:textId="77777777" w:rsidR="00601C64" w:rsidRPr="001932BE" w:rsidRDefault="006C757E"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Así, r</w:t>
      </w:r>
      <w:r w:rsidR="003E3121" w:rsidRPr="001932BE">
        <w:rPr>
          <w:rFonts w:ascii="Verdana" w:hAnsi="Verdana"/>
          <w:sz w:val="20"/>
          <w:szCs w:val="20"/>
          <w:lang w:val="es-MX"/>
        </w:rPr>
        <w:t xml:space="preserve">esulta de mayor relevancia </w:t>
      </w:r>
      <w:r w:rsidR="0095504F" w:rsidRPr="001932BE">
        <w:rPr>
          <w:rFonts w:ascii="Verdana" w:hAnsi="Verdana"/>
          <w:sz w:val="20"/>
          <w:szCs w:val="20"/>
          <w:lang w:val="es-MX"/>
        </w:rPr>
        <w:t>reiterar</w:t>
      </w:r>
      <w:r w:rsidR="00922169" w:rsidRPr="001932BE">
        <w:rPr>
          <w:rFonts w:ascii="Verdana" w:hAnsi="Verdana"/>
          <w:sz w:val="20"/>
          <w:szCs w:val="20"/>
          <w:lang w:val="es-MX"/>
        </w:rPr>
        <w:t xml:space="preserve"> que </w:t>
      </w:r>
      <w:r w:rsidR="003E3121" w:rsidRPr="001932BE">
        <w:rPr>
          <w:rFonts w:ascii="Verdana" w:hAnsi="Verdana"/>
          <w:sz w:val="20"/>
          <w:szCs w:val="20"/>
          <w:lang w:val="es-MX"/>
        </w:rPr>
        <w:t>e</w:t>
      </w:r>
      <w:r w:rsidR="00D02FA5" w:rsidRPr="001932BE">
        <w:rPr>
          <w:rFonts w:ascii="Verdana" w:hAnsi="Verdana"/>
          <w:sz w:val="20"/>
          <w:szCs w:val="20"/>
          <w:lang w:val="es-MX"/>
        </w:rPr>
        <w:t xml:space="preserve">l derecho al trabajo es un derecho que está regulado </w:t>
      </w:r>
      <w:r w:rsidR="000E03AD" w:rsidRPr="001932BE">
        <w:rPr>
          <w:rFonts w:ascii="Verdana" w:hAnsi="Verdana"/>
          <w:sz w:val="20"/>
          <w:szCs w:val="20"/>
          <w:lang w:val="es-MX"/>
        </w:rPr>
        <w:t>por la mayoría de las constituciones de los países miembros de la Organización de los Estados Americanos ya sea de manera explícita, implícita con otros preceptos o a través de la incorporación de tratados internacionales</w:t>
      </w:r>
      <w:r w:rsidRPr="001932BE">
        <w:rPr>
          <w:rFonts w:ascii="Verdana" w:hAnsi="Verdana"/>
          <w:sz w:val="20"/>
          <w:szCs w:val="20"/>
          <w:lang w:val="es-MX"/>
        </w:rPr>
        <w:t>.</w:t>
      </w:r>
      <w:r w:rsidR="000E03AD" w:rsidRPr="001932BE">
        <w:rPr>
          <w:rFonts w:ascii="Verdana" w:hAnsi="Verdana"/>
          <w:sz w:val="20"/>
          <w:szCs w:val="20"/>
          <w:lang w:val="es-MX"/>
        </w:rPr>
        <w:t xml:space="preserve"> </w:t>
      </w:r>
      <w:r w:rsidRPr="001932BE">
        <w:rPr>
          <w:rFonts w:ascii="Verdana" w:hAnsi="Verdana"/>
          <w:sz w:val="20"/>
          <w:szCs w:val="20"/>
          <w:lang w:val="es-MX"/>
        </w:rPr>
        <w:t>E</w:t>
      </w:r>
      <w:r w:rsidR="00601C64" w:rsidRPr="001932BE">
        <w:rPr>
          <w:rFonts w:ascii="Verdana" w:hAnsi="Verdana"/>
          <w:sz w:val="20"/>
          <w:szCs w:val="20"/>
          <w:lang w:val="es-MX"/>
        </w:rPr>
        <w:t>n el caso de</w:t>
      </w:r>
      <w:r w:rsidR="000E03AD" w:rsidRPr="001932BE">
        <w:rPr>
          <w:rFonts w:ascii="Verdana" w:hAnsi="Verdana"/>
          <w:sz w:val="20"/>
          <w:szCs w:val="20"/>
          <w:lang w:val="es-MX"/>
        </w:rPr>
        <w:t xml:space="preserve"> Perú</w:t>
      </w:r>
      <w:r w:rsidR="00601C64" w:rsidRPr="001932BE">
        <w:rPr>
          <w:rFonts w:ascii="Verdana" w:hAnsi="Verdana"/>
          <w:sz w:val="20"/>
          <w:szCs w:val="20"/>
          <w:lang w:val="es-MX"/>
        </w:rPr>
        <w:t xml:space="preserve"> </w:t>
      </w:r>
      <w:r w:rsidR="00351E4F" w:rsidRPr="001932BE">
        <w:rPr>
          <w:rFonts w:ascii="Verdana" w:hAnsi="Verdana"/>
          <w:sz w:val="20"/>
          <w:szCs w:val="20"/>
          <w:lang w:val="es-MX"/>
        </w:rPr>
        <w:t xml:space="preserve">el derecho a la estabilidad laboral </w:t>
      </w:r>
      <w:r w:rsidR="00601C64" w:rsidRPr="001932BE">
        <w:rPr>
          <w:rFonts w:ascii="Verdana" w:hAnsi="Verdana"/>
          <w:sz w:val="20"/>
          <w:szCs w:val="20"/>
          <w:lang w:val="es-MX"/>
        </w:rPr>
        <w:t>est</w:t>
      </w:r>
      <w:r w:rsidR="00351E4F" w:rsidRPr="001932BE">
        <w:rPr>
          <w:rFonts w:ascii="Verdana" w:hAnsi="Verdana"/>
          <w:sz w:val="20"/>
          <w:szCs w:val="20"/>
          <w:lang w:val="es-MX"/>
        </w:rPr>
        <w:t>aba</w:t>
      </w:r>
      <w:r w:rsidR="00601C64" w:rsidRPr="001932BE">
        <w:rPr>
          <w:rFonts w:ascii="Verdana" w:hAnsi="Verdana"/>
          <w:sz w:val="20"/>
          <w:szCs w:val="20"/>
          <w:lang w:val="es-MX"/>
        </w:rPr>
        <w:t xml:space="preserve"> regulado en su Constitución </w:t>
      </w:r>
      <w:r w:rsidR="00351E4F" w:rsidRPr="001932BE">
        <w:rPr>
          <w:rFonts w:ascii="Verdana" w:hAnsi="Verdana"/>
          <w:sz w:val="20"/>
          <w:szCs w:val="20"/>
          <w:lang w:val="es-MX"/>
        </w:rPr>
        <w:t xml:space="preserve">al momento de los hechos y en la actualidad </w:t>
      </w:r>
      <w:r w:rsidR="0095504F" w:rsidRPr="001932BE">
        <w:rPr>
          <w:rFonts w:ascii="Verdana" w:hAnsi="Verdana"/>
          <w:sz w:val="20"/>
          <w:szCs w:val="20"/>
          <w:lang w:val="es-MX"/>
        </w:rPr>
        <w:t>(</w:t>
      </w:r>
      <w:r w:rsidR="00351E4F" w:rsidRPr="001932BE">
        <w:rPr>
          <w:rFonts w:ascii="Verdana" w:hAnsi="Verdana"/>
          <w:sz w:val="20"/>
          <w:szCs w:val="20"/>
          <w:lang w:val="es-MX"/>
        </w:rPr>
        <w:t>párr.</w:t>
      </w:r>
      <w:r w:rsidR="0095504F" w:rsidRPr="001932BE">
        <w:rPr>
          <w:rFonts w:ascii="Verdana" w:hAnsi="Verdana"/>
          <w:sz w:val="20"/>
          <w:szCs w:val="20"/>
          <w:lang w:val="es-MX"/>
        </w:rPr>
        <w:t xml:space="preserve"> </w:t>
      </w:r>
      <w:r w:rsidR="00351E4F" w:rsidRPr="001932BE">
        <w:rPr>
          <w:rFonts w:ascii="Verdana" w:hAnsi="Verdana"/>
          <w:sz w:val="20"/>
          <w:szCs w:val="20"/>
          <w:lang w:val="es-MX"/>
        </w:rPr>
        <w:t>138 de la Sentencia</w:t>
      </w:r>
      <w:r w:rsidR="0095504F" w:rsidRPr="001932BE">
        <w:rPr>
          <w:rFonts w:ascii="Verdana" w:hAnsi="Verdana"/>
          <w:sz w:val="20"/>
          <w:szCs w:val="20"/>
          <w:lang w:val="es-MX"/>
        </w:rPr>
        <w:t xml:space="preserve">). </w:t>
      </w:r>
    </w:p>
    <w:p w14:paraId="3C94A6A7" w14:textId="77777777" w:rsidR="00A8740E" w:rsidRPr="001932BE" w:rsidRDefault="00A8740E" w:rsidP="001932BE">
      <w:pPr>
        <w:rPr>
          <w:szCs w:val="20"/>
          <w:lang w:val="es-MX"/>
        </w:rPr>
      </w:pPr>
    </w:p>
    <w:p w14:paraId="11E0A3DD" w14:textId="613EE4AD" w:rsidR="00601C64" w:rsidRPr="001932BE" w:rsidRDefault="00601C64"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Tomando en cuenta lo anterior, e</w:t>
      </w:r>
      <w:r w:rsidR="000E03AD" w:rsidRPr="001932BE">
        <w:rPr>
          <w:rFonts w:ascii="Verdana" w:hAnsi="Verdana"/>
          <w:sz w:val="20"/>
          <w:szCs w:val="20"/>
          <w:lang w:val="es-MX"/>
        </w:rPr>
        <w:t xml:space="preserve">s pertinente mencionar </w:t>
      </w:r>
      <w:r w:rsidRPr="001932BE">
        <w:rPr>
          <w:rFonts w:ascii="Verdana" w:hAnsi="Verdana"/>
          <w:sz w:val="20"/>
          <w:szCs w:val="20"/>
          <w:lang w:val="es-MX"/>
        </w:rPr>
        <w:t xml:space="preserve">que el derecho al trabajo no </w:t>
      </w:r>
      <w:r w:rsidR="00A770D3" w:rsidRPr="001932BE">
        <w:rPr>
          <w:rFonts w:ascii="Verdana" w:hAnsi="Verdana"/>
          <w:sz w:val="20"/>
          <w:szCs w:val="20"/>
          <w:lang w:val="es-MX"/>
        </w:rPr>
        <w:t xml:space="preserve">resulta un derecho </w:t>
      </w:r>
      <w:r w:rsidR="000E03AD" w:rsidRPr="001932BE">
        <w:rPr>
          <w:rFonts w:ascii="Verdana" w:hAnsi="Verdana"/>
          <w:sz w:val="20"/>
          <w:szCs w:val="20"/>
          <w:lang w:val="es-MX"/>
        </w:rPr>
        <w:t>nuevo</w:t>
      </w:r>
      <w:r w:rsidR="00A770D3" w:rsidRPr="001932BE">
        <w:rPr>
          <w:rFonts w:ascii="Verdana" w:hAnsi="Verdana"/>
          <w:sz w:val="20"/>
          <w:szCs w:val="20"/>
          <w:lang w:val="es-MX"/>
        </w:rPr>
        <w:t xml:space="preserve"> o emergente</w:t>
      </w:r>
      <w:r w:rsidRPr="001932BE">
        <w:rPr>
          <w:rFonts w:ascii="Verdana" w:hAnsi="Verdana"/>
          <w:sz w:val="20"/>
          <w:szCs w:val="20"/>
          <w:lang w:val="es-MX"/>
        </w:rPr>
        <w:t>,</w:t>
      </w:r>
      <w:r w:rsidR="008C117F" w:rsidRPr="001932BE">
        <w:rPr>
          <w:rFonts w:ascii="Verdana" w:hAnsi="Verdana"/>
          <w:sz w:val="20"/>
          <w:szCs w:val="20"/>
          <w:lang w:val="es-MX"/>
        </w:rPr>
        <w:t xml:space="preserve"> </w:t>
      </w:r>
      <w:r w:rsidR="00CA01C6" w:rsidRPr="001932BE">
        <w:rPr>
          <w:rFonts w:ascii="Verdana" w:hAnsi="Verdana"/>
          <w:sz w:val="20"/>
          <w:szCs w:val="20"/>
          <w:lang w:val="es-MX"/>
        </w:rPr>
        <w:t xml:space="preserve">por el contrario, </w:t>
      </w:r>
      <w:r w:rsidR="00A770D3" w:rsidRPr="001932BE">
        <w:rPr>
          <w:rFonts w:ascii="Verdana" w:hAnsi="Verdana"/>
          <w:sz w:val="20"/>
          <w:szCs w:val="20"/>
          <w:lang w:val="es-MX"/>
        </w:rPr>
        <w:t xml:space="preserve">consiste en un derecho sólidamente </w:t>
      </w:r>
      <w:r w:rsidR="003E3121" w:rsidRPr="001932BE">
        <w:rPr>
          <w:rFonts w:ascii="Verdana" w:hAnsi="Verdana"/>
          <w:sz w:val="20"/>
          <w:szCs w:val="20"/>
          <w:lang w:val="es-MX"/>
        </w:rPr>
        <w:t>conso</w:t>
      </w:r>
      <w:r w:rsidR="00A770D3" w:rsidRPr="001932BE">
        <w:rPr>
          <w:rFonts w:ascii="Verdana" w:hAnsi="Verdana"/>
          <w:sz w:val="20"/>
          <w:szCs w:val="20"/>
          <w:lang w:val="es-MX"/>
        </w:rPr>
        <w:t xml:space="preserve">lidado y reconocido desde hace </w:t>
      </w:r>
      <w:r w:rsidR="008C117F" w:rsidRPr="001932BE">
        <w:rPr>
          <w:rFonts w:ascii="Verdana" w:hAnsi="Verdana"/>
          <w:sz w:val="20"/>
          <w:szCs w:val="20"/>
          <w:lang w:val="es-MX"/>
        </w:rPr>
        <w:t>mucho</w:t>
      </w:r>
      <w:r w:rsidR="00512690" w:rsidRPr="001932BE">
        <w:rPr>
          <w:rFonts w:ascii="Verdana" w:hAnsi="Verdana"/>
          <w:sz w:val="20"/>
          <w:szCs w:val="20"/>
          <w:lang w:val="es-MX"/>
        </w:rPr>
        <w:t xml:space="preserve"> tiempo</w:t>
      </w:r>
      <w:r w:rsidR="008C117F" w:rsidRPr="001932BE">
        <w:rPr>
          <w:rFonts w:ascii="Verdana" w:hAnsi="Verdana"/>
          <w:sz w:val="20"/>
          <w:szCs w:val="20"/>
          <w:lang w:val="es-MX"/>
        </w:rPr>
        <w:t xml:space="preserve"> </w:t>
      </w:r>
      <w:r w:rsidR="00A770D3" w:rsidRPr="001932BE">
        <w:rPr>
          <w:rFonts w:ascii="Verdana" w:hAnsi="Verdana"/>
          <w:sz w:val="20"/>
          <w:szCs w:val="20"/>
          <w:lang w:val="es-MX"/>
        </w:rPr>
        <w:t xml:space="preserve">en </w:t>
      </w:r>
      <w:r w:rsidR="008C117F" w:rsidRPr="001932BE">
        <w:rPr>
          <w:rFonts w:ascii="Verdana" w:hAnsi="Verdana"/>
          <w:sz w:val="20"/>
          <w:szCs w:val="20"/>
          <w:lang w:val="es-MX"/>
        </w:rPr>
        <w:t xml:space="preserve">los países </w:t>
      </w:r>
      <w:r w:rsidR="00A770D3" w:rsidRPr="001932BE">
        <w:rPr>
          <w:rFonts w:ascii="Verdana" w:hAnsi="Verdana"/>
          <w:sz w:val="20"/>
          <w:szCs w:val="20"/>
          <w:lang w:val="es-MX"/>
        </w:rPr>
        <w:t xml:space="preserve">de la región, como bien fue establecido en el párrafo </w:t>
      </w:r>
      <w:r w:rsidR="00DB6501" w:rsidRPr="001932BE">
        <w:rPr>
          <w:rFonts w:ascii="Verdana" w:hAnsi="Verdana"/>
          <w:sz w:val="20"/>
          <w:szCs w:val="20"/>
          <w:lang w:val="es-MX"/>
        </w:rPr>
        <w:t>145</w:t>
      </w:r>
      <w:r w:rsidR="00A770D3" w:rsidRPr="001932BE">
        <w:rPr>
          <w:rFonts w:ascii="Verdana" w:hAnsi="Verdana"/>
          <w:sz w:val="20"/>
          <w:szCs w:val="20"/>
          <w:lang w:val="es-MX"/>
        </w:rPr>
        <w:t xml:space="preserve"> de la Sentencia. En </w:t>
      </w:r>
      <w:r w:rsidR="00F9597F" w:rsidRPr="001932BE">
        <w:rPr>
          <w:rFonts w:ascii="Verdana" w:hAnsi="Verdana"/>
          <w:sz w:val="20"/>
          <w:szCs w:val="20"/>
          <w:lang w:val="es-MX"/>
        </w:rPr>
        <w:t xml:space="preserve">igual </w:t>
      </w:r>
      <w:r w:rsidR="00A770D3" w:rsidRPr="001932BE">
        <w:rPr>
          <w:rFonts w:ascii="Verdana" w:hAnsi="Verdana"/>
          <w:sz w:val="20"/>
          <w:szCs w:val="20"/>
          <w:lang w:val="es-MX"/>
        </w:rPr>
        <w:t xml:space="preserve">sentido, los diversos Estados </w:t>
      </w:r>
      <w:r w:rsidR="00F9597F" w:rsidRPr="001932BE">
        <w:rPr>
          <w:rFonts w:ascii="Verdana" w:hAnsi="Verdana"/>
          <w:sz w:val="20"/>
          <w:szCs w:val="20"/>
          <w:lang w:val="es-MX"/>
        </w:rPr>
        <w:t xml:space="preserve">americanos </w:t>
      </w:r>
      <w:r w:rsidR="00A770D3" w:rsidRPr="001932BE">
        <w:rPr>
          <w:rFonts w:ascii="Verdana" w:hAnsi="Verdana"/>
          <w:sz w:val="20"/>
          <w:szCs w:val="20"/>
          <w:lang w:val="es-MX"/>
        </w:rPr>
        <w:t xml:space="preserve">han establecido </w:t>
      </w:r>
      <w:r w:rsidR="008C117F" w:rsidRPr="001932BE">
        <w:rPr>
          <w:rFonts w:ascii="Verdana" w:hAnsi="Verdana"/>
          <w:sz w:val="20"/>
          <w:szCs w:val="20"/>
          <w:lang w:val="es-MX"/>
        </w:rPr>
        <w:t>tribunales de fuero interno</w:t>
      </w:r>
      <w:r w:rsidRPr="001932BE">
        <w:rPr>
          <w:rFonts w:ascii="Verdana" w:hAnsi="Verdana"/>
          <w:sz w:val="20"/>
          <w:szCs w:val="20"/>
          <w:lang w:val="es-MX"/>
        </w:rPr>
        <w:t xml:space="preserve"> </w:t>
      </w:r>
      <w:r w:rsidR="008C117F" w:rsidRPr="001932BE">
        <w:rPr>
          <w:rFonts w:ascii="Verdana" w:hAnsi="Verdana"/>
          <w:sz w:val="20"/>
          <w:szCs w:val="20"/>
          <w:lang w:val="es-MX"/>
        </w:rPr>
        <w:t xml:space="preserve">especializados en la materia para proteger los derechos de los </w:t>
      </w:r>
      <w:r w:rsidR="00A770D3" w:rsidRPr="001932BE">
        <w:rPr>
          <w:rFonts w:ascii="Verdana" w:hAnsi="Verdana"/>
          <w:sz w:val="20"/>
          <w:szCs w:val="20"/>
          <w:lang w:val="es-MX"/>
        </w:rPr>
        <w:t>trabajadores</w:t>
      </w:r>
      <w:r w:rsidR="006C757E" w:rsidRPr="001932BE">
        <w:rPr>
          <w:rFonts w:ascii="Verdana" w:hAnsi="Verdana"/>
          <w:sz w:val="20"/>
          <w:szCs w:val="20"/>
          <w:lang w:val="es-MX"/>
        </w:rPr>
        <w:t>,</w:t>
      </w:r>
      <w:r w:rsidR="00A770D3" w:rsidRPr="001932BE">
        <w:rPr>
          <w:rFonts w:ascii="Verdana" w:hAnsi="Verdana"/>
          <w:sz w:val="20"/>
          <w:szCs w:val="20"/>
          <w:lang w:val="es-MX"/>
        </w:rPr>
        <w:t xml:space="preserve"> lo cual puede derivar en un cause procesal</w:t>
      </w:r>
      <w:r w:rsidR="0095504F" w:rsidRPr="001932BE">
        <w:rPr>
          <w:rFonts w:ascii="Verdana" w:hAnsi="Verdana"/>
          <w:sz w:val="20"/>
          <w:szCs w:val="20"/>
          <w:lang w:val="es-MX"/>
        </w:rPr>
        <w:t>, en muchos casos,</w:t>
      </w:r>
      <w:r w:rsidR="006C757E" w:rsidRPr="001932BE">
        <w:rPr>
          <w:rFonts w:ascii="Verdana" w:hAnsi="Verdana"/>
          <w:sz w:val="20"/>
          <w:szCs w:val="20"/>
          <w:lang w:val="es-MX"/>
        </w:rPr>
        <w:t xml:space="preserve"> inclusive hasta</w:t>
      </w:r>
      <w:r w:rsidR="00A770D3" w:rsidRPr="001932BE">
        <w:rPr>
          <w:rFonts w:ascii="Verdana" w:hAnsi="Verdana"/>
          <w:sz w:val="20"/>
          <w:szCs w:val="20"/>
          <w:lang w:val="es-MX"/>
        </w:rPr>
        <w:t xml:space="preserve"> las más altas instancias </w:t>
      </w:r>
      <w:r w:rsidR="0095504F" w:rsidRPr="001932BE">
        <w:rPr>
          <w:rFonts w:ascii="Verdana" w:hAnsi="Verdana"/>
          <w:sz w:val="20"/>
          <w:szCs w:val="20"/>
          <w:lang w:val="es-MX"/>
        </w:rPr>
        <w:t xml:space="preserve">judiciales </w:t>
      </w:r>
      <w:r w:rsidR="00A770D3" w:rsidRPr="001932BE">
        <w:rPr>
          <w:rFonts w:ascii="Verdana" w:hAnsi="Verdana"/>
          <w:sz w:val="20"/>
          <w:szCs w:val="20"/>
          <w:lang w:val="es-MX"/>
        </w:rPr>
        <w:t>de</w:t>
      </w:r>
      <w:r w:rsidR="0095504F" w:rsidRPr="001932BE">
        <w:rPr>
          <w:rFonts w:ascii="Verdana" w:hAnsi="Verdana"/>
          <w:sz w:val="20"/>
          <w:szCs w:val="20"/>
          <w:lang w:val="es-MX"/>
        </w:rPr>
        <w:t>l</w:t>
      </w:r>
      <w:r w:rsidR="00A770D3" w:rsidRPr="001932BE">
        <w:rPr>
          <w:rFonts w:ascii="Verdana" w:hAnsi="Verdana"/>
          <w:sz w:val="20"/>
          <w:szCs w:val="20"/>
          <w:lang w:val="es-MX"/>
        </w:rPr>
        <w:t xml:space="preserve"> país. </w:t>
      </w:r>
      <w:r w:rsidR="008C117F" w:rsidRPr="001932BE">
        <w:rPr>
          <w:rFonts w:ascii="Verdana" w:hAnsi="Verdana"/>
          <w:sz w:val="20"/>
          <w:szCs w:val="20"/>
          <w:lang w:val="es-MX"/>
        </w:rPr>
        <w:t>Por consecuencia</w:t>
      </w:r>
      <w:r w:rsidR="009867D6" w:rsidRPr="001932BE">
        <w:rPr>
          <w:rFonts w:ascii="Verdana" w:hAnsi="Verdana"/>
          <w:sz w:val="20"/>
          <w:szCs w:val="20"/>
          <w:lang w:val="es-MX"/>
        </w:rPr>
        <w:t>,</w:t>
      </w:r>
      <w:r w:rsidR="008C117F" w:rsidRPr="001932BE">
        <w:rPr>
          <w:rFonts w:ascii="Verdana" w:hAnsi="Verdana"/>
          <w:sz w:val="20"/>
          <w:szCs w:val="20"/>
          <w:lang w:val="es-MX"/>
        </w:rPr>
        <w:t xml:space="preserve"> el </w:t>
      </w:r>
      <w:r w:rsidR="00A770D3" w:rsidRPr="001932BE">
        <w:rPr>
          <w:rFonts w:ascii="Verdana" w:hAnsi="Verdana"/>
          <w:sz w:val="20"/>
          <w:szCs w:val="20"/>
          <w:lang w:val="es-MX"/>
        </w:rPr>
        <w:t>reconocimiento de la autonomía del derecho al trabajo como derecho humano autónomo bajo la protec</w:t>
      </w:r>
      <w:r w:rsidR="0095504F" w:rsidRPr="001932BE">
        <w:rPr>
          <w:rFonts w:ascii="Verdana" w:hAnsi="Verdana"/>
          <w:sz w:val="20"/>
          <w:szCs w:val="20"/>
          <w:lang w:val="es-MX"/>
        </w:rPr>
        <w:t>ción de la Convención Americana</w:t>
      </w:r>
      <w:r w:rsidR="00A770D3" w:rsidRPr="001932BE">
        <w:rPr>
          <w:rFonts w:ascii="Verdana" w:hAnsi="Verdana"/>
          <w:sz w:val="20"/>
          <w:szCs w:val="20"/>
          <w:lang w:val="es-MX"/>
        </w:rPr>
        <w:t xml:space="preserve"> </w:t>
      </w:r>
      <w:r w:rsidRPr="001932BE">
        <w:rPr>
          <w:rFonts w:ascii="Verdana" w:hAnsi="Verdana"/>
          <w:sz w:val="20"/>
          <w:szCs w:val="20"/>
          <w:lang w:val="es-MX"/>
        </w:rPr>
        <w:t xml:space="preserve">no </w:t>
      </w:r>
      <w:r w:rsidR="006C757E" w:rsidRPr="001932BE">
        <w:rPr>
          <w:rFonts w:ascii="Verdana" w:hAnsi="Verdana"/>
          <w:sz w:val="20"/>
          <w:szCs w:val="20"/>
          <w:lang w:val="es-MX"/>
        </w:rPr>
        <w:t>debe repercutir</w:t>
      </w:r>
      <w:r w:rsidR="00A770D3" w:rsidRPr="001932BE">
        <w:rPr>
          <w:rFonts w:ascii="Verdana" w:hAnsi="Verdana"/>
          <w:sz w:val="20"/>
          <w:szCs w:val="20"/>
          <w:lang w:val="es-MX"/>
        </w:rPr>
        <w:t xml:space="preserve"> en mayor medida en la esfera interna de los países que desde hace décadas han dado protección interna a este derecho</w:t>
      </w:r>
      <w:r w:rsidR="006C757E" w:rsidRPr="001932BE">
        <w:rPr>
          <w:rFonts w:ascii="Verdana" w:hAnsi="Verdana"/>
          <w:sz w:val="20"/>
          <w:szCs w:val="20"/>
          <w:lang w:val="es-MX"/>
        </w:rPr>
        <w:t xml:space="preserve">, sino más bien contribuye a fortalecer las vías para garantizar su efectividad. Lo anterior, </w:t>
      </w:r>
      <w:r w:rsidR="00A770D3" w:rsidRPr="001932BE">
        <w:rPr>
          <w:rFonts w:ascii="Verdana" w:hAnsi="Verdana"/>
          <w:sz w:val="20"/>
          <w:szCs w:val="20"/>
          <w:lang w:val="es-MX"/>
        </w:rPr>
        <w:t xml:space="preserve">resulta </w:t>
      </w:r>
      <w:r w:rsidR="006C757E" w:rsidRPr="001932BE">
        <w:rPr>
          <w:rFonts w:ascii="Verdana" w:hAnsi="Verdana"/>
          <w:sz w:val="20"/>
          <w:szCs w:val="20"/>
          <w:lang w:val="es-MX"/>
        </w:rPr>
        <w:t xml:space="preserve">evidente además de </w:t>
      </w:r>
      <w:r w:rsidR="00A770D3" w:rsidRPr="001932BE">
        <w:rPr>
          <w:rFonts w:ascii="Verdana" w:hAnsi="Verdana"/>
          <w:sz w:val="20"/>
          <w:szCs w:val="20"/>
          <w:lang w:val="es-MX"/>
        </w:rPr>
        <w:t xml:space="preserve">la </w:t>
      </w:r>
      <w:r w:rsidR="006C757E" w:rsidRPr="001932BE">
        <w:rPr>
          <w:rFonts w:ascii="Verdana" w:hAnsi="Verdana"/>
          <w:sz w:val="20"/>
          <w:szCs w:val="20"/>
          <w:lang w:val="es-MX"/>
        </w:rPr>
        <w:t xml:space="preserve">necesidad de garantizar una </w:t>
      </w:r>
      <w:r w:rsidR="00A770D3" w:rsidRPr="001932BE">
        <w:rPr>
          <w:rFonts w:ascii="Verdana" w:hAnsi="Verdana"/>
          <w:sz w:val="20"/>
          <w:szCs w:val="20"/>
          <w:lang w:val="es-MX"/>
        </w:rPr>
        <w:t xml:space="preserve">protección </w:t>
      </w:r>
      <w:r w:rsidR="006C757E" w:rsidRPr="001932BE">
        <w:rPr>
          <w:rFonts w:ascii="Verdana" w:hAnsi="Verdana"/>
          <w:sz w:val="20"/>
          <w:szCs w:val="20"/>
          <w:lang w:val="es-MX"/>
        </w:rPr>
        <w:t xml:space="preserve">judicial </w:t>
      </w:r>
      <w:r w:rsidR="00635AD7" w:rsidRPr="001932BE">
        <w:rPr>
          <w:rFonts w:ascii="Verdana" w:hAnsi="Verdana"/>
          <w:sz w:val="20"/>
          <w:szCs w:val="20"/>
          <w:lang w:val="es-MX"/>
        </w:rPr>
        <w:t xml:space="preserve">(acceso a la justicia) </w:t>
      </w:r>
      <w:r w:rsidR="00A770D3" w:rsidRPr="001932BE">
        <w:rPr>
          <w:rFonts w:ascii="Verdana" w:hAnsi="Verdana"/>
          <w:sz w:val="20"/>
          <w:szCs w:val="20"/>
          <w:lang w:val="es-MX"/>
        </w:rPr>
        <w:t>a los derechos reconocidos en la legislación interna</w:t>
      </w:r>
      <w:r w:rsidR="006C757E" w:rsidRPr="001932BE">
        <w:rPr>
          <w:rFonts w:ascii="Verdana" w:hAnsi="Verdana"/>
          <w:sz w:val="20"/>
          <w:szCs w:val="20"/>
          <w:lang w:val="es-MX"/>
        </w:rPr>
        <w:t xml:space="preserve">, según lo establecen </w:t>
      </w:r>
      <w:r w:rsidR="00904512" w:rsidRPr="001932BE">
        <w:rPr>
          <w:rFonts w:ascii="Verdana" w:hAnsi="Verdana"/>
          <w:sz w:val="20"/>
          <w:szCs w:val="20"/>
          <w:lang w:val="es-MX"/>
        </w:rPr>
        <w:t>los</w:t>
      </w:r>
      <w:r w:rsidR="00A770D3" w:rsidRPr="001932BE">
        <w:rPr>
          <w:rFonts w:ascii="Verdana" w:hAnsi="Verdana"/>
          <w:sz w:val="20"/>
          <w:szCs w:val="20"/>
          <w:lang w:val="es-MX"/>
        </w:rPr>
        <w:t xml:space="preserve"> artículo</w:t>
      </w:r>
      <w:r w:rsidR="00904512" w:rsidRPr="001932BE">
        <w:rPr>
          <w:rFonts w:ascii="Verdana" w:hAnsi="Verdana"/>
          <w:sz w:val="20"/>
          <w:szCs w:val="20"/>
          <w:lang w:val="es-MX"/>
        </w:rPr>
        <w:t>s</w:t>
      </w:r>
      <w:r w:rsidR="00A770D3" w:rsidRPr="001932BE">
        <w:rPr>
          <w:rFonts w:ascii="Verdana" w:hAnsi="Verdana"/>
          <w:sz w:val="20"/>
          <w:szCs w:val="20"/>
          <w:lang w:val="es-MX"/>
        </w:rPr>
        <w:t xml:space="preserve"> 25 y 29 de la </w:t>
      </w:r>
      <w:r w:rsidR="003E3121" w:rsidRPr="001932BE">
        <w:rPr>
          <w:rFonts w:ascii="Verdana" w:hAnsi="Verdana"/>
          <w:sz w:val="20"/>
          <w:szCs w:val="20"/>
          <w:lang w:val="es-MX"/>
        </w:rPr>
        <w:t>propia Convención Americana</w:t>
      </w:r>
      <w:r w:rsidR="00904512" w:rsidRPr="001932BE">
        <w:rPr>
          <w:rFonts w:ascii="Verdana" w:hAnsi="Verdana"/>
          <w:sz w:val="20"/>
          <w:szCs w:val="20"/>
          <w:lang w:val="es-MX"/>
        </w:rPr>
        <w:t xml:space="preserve"> </w:t>
      </w:r>
      <w:r w:rsidR="003E3121" w:rsidRPr="001932BE">
        <w:rPr>
          <w:rFonts w:ascii="Verdana" w:hAnsi="Verdana"/>
          <w:sz w:val="20"/>
          <w:szCs w:val="20"/>
          <w:lang w:val="es-MX"/>
        </w:rPr>
        <w:t>(</w:t>
      </w:r>
      <w:proofErr w:type="spellStart"/>
      <w:r w:rsidR="0006750E" w:rsidRPr="001932BE">
        <w:rPr>
          <w:rFonts w:ascii="Verdana" w:hAnsi="Verdana"/>
          <w:sz w:val="20"/>
          <w:szCs w:val="20"/>
          <w:lang w:val="es-MX"/>
        </w:rPr>
        <w:t>p</w:t>
      </w:r>
      <w:r w:rsidR="003E3121" w:rsidRPr="001932BE">
        <w:rPr>
          <w:rFonts w:ascii="Verdana" w:hAnsi="Verdana"/>
          <w:sz w:val="20"/>
          <w:szCs w:val="20"/>
          <w:lang w:val="es-MX"/>
        </w:rPr>
        <w:t>árr</w:t>
      </w:r>
      <w:r w:rsidR="00655EC4" w:rsidRPr="001932BE">
        <w:rPr>
          <w:rFonts w:ascii="Verdana" w:hAnsi="Verdana"/>
          <w:sz w:val="20"/>
          <w:szCs w:val="20"/>
          <w:lang w:val="es-MX"/>
        </w:rPr>
        <w:t>s</w:t>
      </w:r>
      <w:proofErr w:type="spellEnd"/>
      <w:r w:rsidR="003E3121" w:rsidRPr="001932BE">
        <w:rPr>
          <w:rFonts w:ascii="Verdana" w:hAnsi="Verdana"/>
          <w:sz w:val="20"/>
          <w:szCs w:val="20"/>
          <w:lang w:val="es-MX"/>
        </w:rPr>
        <w:t>.</w:t>
      </w:r>
      <w:r w:rsidR="00655EC4" w:rsidRPr="001932BE">
        <w:rPr>
          <w:rFonts w:ascii="Verdana" w:hAnsi="Verdana"/>
          <w:sz w:val="20"/>
          <w:szCs w:val="20"/>
          <w:lang w:val="es-MX"/>
        </w:rPr>
        <w:t xml:space="preserve"> </w:t>
      </w:r>
      <w:r w:rsidR="00351E4F" w:rsidRPr="001932BE">
        <w:rPr>
          <w:rFonts w:ascii="Verdana" w:hAnsi="Verdana"/>
          <w:sz w:val="20"/>
          <w:szCs w:val="20"/>
          <w:lang w:val="es-MX"/>
        </w:rPr>
        <w:t>173 a</w:t>
      </w:r>
      <w:r w:rsidR="00655EC4" w:rsidRPr="001932BE">
        <w:rPr>
          <w:rFonts w:ascii="Verdana" w:hAnsi="Verdana"/>
          <w:sz w:val="20"/>
          <w:szCs w:val="20"/>
          <w:lang w:val="es-MX"/>
        </w:rPr>
        <w:t xml:space="preserve"> 1</w:t>
      </w:r>
      <w:r w:rsidR="00351E4F" w:rsidRPr="001932BE">
        <w:rPr>
          <w:rFonts w:ascii="Verdana" w:hAnsi="Verdana"/>
          <w:sz w:val="20"/>
          <w:szCs w:val="20"/>
          <w:lang w:val="es-MX"/>
        </w:rPr>
        <w:t>76 de la Sentencia</w:t>
      </w:r>
      <w:r w:rsidR="003E3121" w:rsidRPr="001932BE">
        <w:rPr>
          <w:rFonts w:ascii="Verdana" w:hAnsi="Verdana"/>
          <w:sz w:val="20"/>
          <w:szCs w:val="20"/>
          <w:lang w:val="es-MX"/>
        </w:rPr>
        <w:t>)</w:t>
      </w:r>
      <w:r w:rsidR="00904512" w:rsidRPr="001932BE">
        <w:rPr>
          <w:rFonts w:ascii="Verdana" w:hAnsi="Verdana"/>
          <w:sz w:val="20"/>
          <w:szCs w:val="20"/>
          <w:lang w:val="es-MX"/>
        </w:rPr>
        <w:t>.</w:t>
      </w:r>
    </w:p>
    <w:p w14:paraId="2DCA1E10" w14:textId="77777777" w:rsidR="00A8740E" w:rsidRPr="001932BE" w:rsidRDefault="00A8740E" w:rsidP="001932BE">
      <w:pPr>
        <w:pStyle w:val="ListParagraph"/>
        <w:spacing w:after="0" w:line="240" w:lineRule="auto"/>
        <w:ind w:left="0"/>
        <w:jc w:val="both"/>
        <w:rPr>
          <w:rFonts w:ascii="Verdana" w:hAnsi="Verdana"/>
          <w:sz w:val="20"/>
          <w:szCs w:val="20"/>
          <w:lang w:val="es-MX"/>
        </w:rPr>
      </w:pPr>
    </w:p>
    <w:p w14:paraId="1B0E0357" w14:textId="289660AB" w:rsidR="00071B8B" w:rsidRPr="001932BE" w:rsidRDefault="00071B8B"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 xml:space="preserve">En este sentido el Preámbulo de la Convención Americana </w:t>
      </w:r>
      <w:r w:rsidR="00A4003D" w:rsidRPr="001932BE">
        <w:rPr>
          <w:rFonts w:ascii="Verdana" w:hAnsi="Verdana"/>
          <w:sz w:val="20"/>
          <w:szCs w:val="20"/>
          <w:lang w:val="es-MX"/>
        </w:rPr>
        <w:t xml:space="preserve">(de 1969) </w:t>
      </w:r>
      <w:r w:rsidRPr="001932BE">
        <w:rPr>
          <w:rFonts w:ascii="Verdana" w:hAnsi="Verdana"/>
          <w:sz w:val="20"/>
          <w:szCs w:val="20"/>
          <w:lang w:val="es-MX"/>
        </w:rPr>
        <w:t xml:space="preserve">es claro en establecer el espíritu integrador y de vigencia de los DESCA: </w:t>
      </w:r>
    </w:p>
    <w:p w14:paraId="792C6738" w14:textId="77777777" w:rsidR="00071B8B" w:rsidRPr="001932BE" w:rsidRDefault="00071B8B" w:rsidP="001932BE">
      <w:pPr>
        <w:pStyle w:val="ListParagraph"/>
        <w:spacing w:after="0" w:line="240" w:lineRule="auto"/>
        <w:ind w:left="0"/>
        <w:rPr>
          <w:rFonts w:ascii="Verdana" w:hAnsi="Verdana"/>
          <w:sz w:val="20"/>
          <w:szCs w:val="20"/>
          <w:lang w:val="es-MX"/>
        </w:rPr>
      </w:pPr>
    </w:p>
    <w:p w14:paraId="5B1AB509" w14:textId="672243F8" w:rsidR="00071B8B" w:rsidRPr="00267C93" w:rsidRDefault="00A4003D" w:rsidP="00267C93">
      <w:pPr>
        <w:pStyle w:val="ListParagraph"/>
        <w:spacing w:after="0" w:line="240" w:lineRule="auto"/>
        <w:ind w:right="720"/>
        <w:jc w:val="both"/>
        <w:rPr>
          <w:rFonts w:ascii="Verdana" w:hAnsi="Verdana"/>
          <w:sz w:val="16"/>
          <w:szCs w:val="16"/>
          <w:lang w:val="es-MX"/>
        </w:rPr>
      </w:pPr>
      <w:r w:rsidRPr="00267C93">
        <w:rPr>
          <w:rFonts w:ascii="Verdana" w:hAnsi="Verdana"/>
          <w:sz w:val="16"/>
          <w:szCs w:val="16"/>
          <w:lang w:val="es-MX"/>
        </w:rPr>
        <w:t xml:space="preserve">“[…] </w:t>
      </w:r>
      <w:r w:rsidR="00071B8B" w:rsidRPr="00267C93">
        <w:rPr>
          <w:rFonts w:ascii="Verdana" w:hAnsi="Verdana"/>
          <w:sz w:val="16"/>
          <w:szCs w:val="16"/>
          <w:lang w:val="es-CR"/>
        </w:rPr>
        <w:t xml:space="preserve">Reiterando que, con arreglo a la Declaración Universal de los Derechos Humanos, sólo puede realizarse el ideal del ser humano libre, exento del temor y de la miseria, si se crean condiciones que permitan a cada persona </w:t>
      </w:r>
      <w:r w:rsidR="00071B8B" w:rsidRPr="00267C93">
        <w:rPr>
          <w:rFonts w:ascii="Verdana" w:hAnsi="Verdana"/>
          <w:b/>
          <w:i/>
          <w:sz w:val="16"/>
          <w:szCs w:val="16"/>
          <w:lang w:val="es-CR"/>
        </w:rPr>
        <w:t>gozar de sus derechos económicos, sociales y culturales, tanto como de sus derechos civiles y políticos</w:t>
      </w:r>
      <w:r w:rsidR="00071B8B" w:rsidRPr="00267C93">
        <w:rPr>
          <w:rFonts w:ascii="Verdana" w:hAnsi="Verdana"/>
          <w:sz w:val="16"/>
          <w:szCs w:val="16"/>
          <w:lang w:val="es-CR"/>
        </w:rPr>
        <w:t xml:space="preserve">, y </w:t>
      </w:r>
    </w:p>
    <w:p w14:paraId="2AA00412" w14:textId="77777777" w:rsidR="00071B8B" w:rsidRPr="00267C93" w:rsidRDefault="00071B8B" w:rsidP="00267C93">
      <w:pPr>
        <w:pStyle w:val="ListParagraph"/>
        <w:spacing w:after="0" w:line="240" w:lineRule="auto"/>
        <w:ind w:right="720"/>
        <w:jc w:val="both"/>
        <w:rPr>
          <w:rFonts w:ascii="Verdana" w:hAnsi="Verdana"/>
          <w:sz w:val="16"/>
          <w:szCs w:val="16"/>
          <w:lang w:val="es-CR"/>
        </w:rPr>
      </w:pPr>
    </w:p>
    <w:p w14:paraId="7379F640" w14:textId="7CD83226" w:rsidR="00071B8B" w:rsidRPr="00267C93" w:rsidRDefault="00071B8B" w:rsidP="00267C93">
      <w:pPr>
        <w:pStyle w:val="ListParagraph"/>
        <w:spacing w:after="0" w:line="240" w:lineRule="auto"/>
        <w:ind w:right="720"/>
        <w:jc w:val="both"/>
        <w:rPr>
          <w:rFonts w:ascii="Verdana" w:hAnsi="Verdana"/>
          <w:sz w:val="16"/>
          <w:szCs w:val="16"/>
          <w:lang w:val="es-CR"/>
        </w:rPr>
      </w:pPr>
      <w:r w:rsidRPr="00267C93">
        <w:rPr>
          <w:rFonts w:ascii="Verdana" w:hAnsi="Verdana"/>
          <w:sz w:val="16"/>
          <w:szCs w:val="16"/>
          <w:lang w:val="es-CR"/>
        </w:rPr>
        <w:t xml:space="preserve">Considerando que la Tercera Conferencia Interamericana Extraordinaria (Buenos Aires, 1967) aprobó la incorporación a la propia Carta de la Organización </w:t>
      </w:r>
      <w:r w:rsidRPr="00267C93">
        <w:rPr>
          <w:rFonts w:ascii="Verdana" w:hAnsi="Verdana"/>
          <w:b/>
          <w:i/>
          <w:sz w:val="16"/>
          <w:szCs w:val="16"/>
          <w:lang w:val="es-CR"/>
        </w:rPr>
        <w:t>de normas más amplias sobre derechos económicos, sociales y educacionales</w:t>
      </w:r>
      <w:r w:rsidRPr="00267C93">
        <w:rPr>
          <w:rFonts w:ascii="Verdana" w:hAnsi="Verdana"/>
          <w:sz w:val="16"/>
          <w:szCs w:val="16"/>
          <w:lang w:val="es-CR"/>
        </w:rPr>
        <w:t xml:space="preserve"> y resolvió que una convención interamericana sobre derechos humanos determinara la estructura, competencia y procedimiento de los órganos encargados de esa materia […]”</w:t>
      </w:r>
      <w:r w:rsidR="005C52D2" w:rsidRPr="00267C93">
        <w:rPr>
          <w:rStyle w:val="FootnoteReference"/>
          <w:rFonts w:ascii="Verdana" w:hAnsi="Verdana"/>
          <w:sz w:val="16"/>
          <w:szCs w:val="16"/>
          <w:lang w:val="es-CR"/>
        </w:rPr>
        <w:footnoteReference w:id="5"/>
      </w:r>
      <w:r w:rsidRPr="00267C93">
        <w:rPr>
          <w:rFonts w:ascii="Verdana" w:hAnsi="Verdana"/>
          <w:sz w:val="16"/>
          <w:szCs w:val="16"/>
          <w:lang w:val="es-CR"/>
        </w:rPr>
        <w:t>.</w:t>
      </w:r>
    </w:p>
    <w:p w14:paraId="52C3A9FE" w14:textId="77777777" w:rsidR="006831B9" w:rsidRPr="001932BE" w:rsidRDefault="006831B9" w:rsidP="001932BE">
      <w:pPr>
        <w:pStyle w:val="ListParagraph"/>
        <w:spacing w:after="0" w:line="240" w:lineRule="auto"/>
        <w:ind w:left="0"/>
        <w:jc w:val="both"/>
        <w:rPr>
          <w:rFonts w:ascii="Verdana" w:hAnsi="Verdana"/>
          <w:sz w:val="20"/>
          <w:szCs w:val="20"/>
          <w:lang w:val="es-MX"/>
        </w:rPr>
      </w:pPr>
    </w:p>
    <w:p w14:paraId="22F25157" w14:textId="777EBA23" w:rsidR="008346DB" w:rsidRPr="001932BE" w:rsidRDefault="005C52D2"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Adicionalmente a lo establecido en la propia Convención Americana, y reafirmando este objetivo,</w:t>
      </w:r>
      <w:r w:rsidR="008346DB" w:rsidRPr="001932BE">
        <w:rPr>
          <w:rFonts w:ascii="Verdana" w:hAnsi="Verdana"/>
          <w:sz w:val="20"/>
          <w:szCs w:val="20"/>
          <w:lang w:val="es-MX"/>
        </w:rPr>
        <w:t xml:space="preserve"> en </w:t>
      </w:r>
      <w:r w:rsidR="00071B8B" w:rsidRPr="001932BE">
        <w:rPr>
          <w:rFonts w:ascii="Verdana" w:hAnsi="Verdana"/>
          <w:sz w:val="20"/>
          <w:szCs w:val="20"/>
          <w:lang w:val="es-MX"/>
        </w:rPr>
        <w:t xml:space="preserve">el año </w:t>
      </w:r>
      <w:r w:rsidR="008346DB" w:rsidRPr="001932BE">
        <w:rPr>
          <w:rFonts w:ascii="Verdana" w:hAnsi="Verdana"/>
          <w:sz w:val="20"/>
          <w:szCs w:val="20"/>
          <w:lang w:val="es-MX"/>
        </w:rPr>
        <w:t>2012 los Estados americanos aprobaron, sin votos</w:t>
      </w:r>
      <w:r w:rsidR="007B4535" w:rsidRPr="001932BE">
        <w:rPr>
          <w:rFonts w:ascii="Verdana" w:hAnsi="Verdana"/>
          <w:sz w:val="20"/>
          <w:szCs w:val="20"/>
          <w:lang w:val="es-MX"/>
        </w:rPr>
        <w:t xml:space="preserve"> en </w:t>
      </w:r>
      <w:r w:rsidR="008346DB" w:rsidRPr="001932BE">
        <w:rPr>
          <w:rFonts w:ascii="Verdana" w:hAnsi="Verdana"/>
          <w:sz w:val="20"/>
          <w:szCs w:val="20"/>
          <w:lang w:val="es-MX"/>
        </w:rPr>
        <w:t>contrario, la Carta Social de las Américas con claro objetivo establecido en su preámbulo:</w:t>
      </w:r>
    </w:p>
    <w:p w14:paraId="3A4DF7E0" w14:textId="77777777" w:rsidR="00293079" w:rsidRPr="001932BE" w:rsidRDefault="00293079" w:rsidP="001932BE">
      <w:pPr>
        <w:pStyle w:val="ListParagraph"/>
        <w:spacing w:after="0" w:line="240" w:lineRule="auto"/>
        <w:ind w:left="0"/>
        <w:jc w:val="both"/>
        <w:rPr>
          <w:rFonts w:ascii="Verdana" w:hAnsi="Verdana"/>
          <w:sz w:val="20"/>
          <w:szCs w:val="20"/>
          <w:lang w:val="es-MX"/>
        </w:rPr>
      </w:pPr>
    </w:p>
    <w:p w14:paraId="12FAA838" w14:textId="53B7D26A" w:rsidR="008346DB" w:rsidRPr="00267C93" w:rsidRDefault="008346DB" w:rsidP="00267C93">
      <w:pPr>
        <w:pStyle w:val="Quote"/>
        <w:spacing w:before="0" w:after="0"/>
        <w:ind w:left="720" w:right="720"/>
        <w:jc w:val="both"/>
        <w:rPr>
          <w:sz w:val="16"/>
          <w:szCs w:val="16"/>
          <w:lang w:val="es-CR"/>
        </w:rPr>
      </w:pPr>
      <w:r w:rsidRPr="00267C93">
        <w:rPr>
          <w:b/>
          <w:sz w:val="16"/>
          <w:szCs w:val="16"/>
          <w:lang w:val="es-ES_tradnl"/>
        </w:rPr>
        <w:t>“fortalecer el sistema interamericano con un instrumento que oriente la acción y la cooperación solidaria hacia la promoción del desarrollo integral y la observancia de los derechos económicos, sociales y culturales, así como la eliminación de la pobreza y la inequidad”.</w:t>
      </w:r>
    </w:p>
    <w:p w14:paraId="696EAB04" w14:textId="77777777" w:rsidR="00A8740E" w:rsidRPr="001932BE" w:rsidRDefault="00A8740E" w:rsidP="001932BE">
      <w:pPr>
        <w:rPr>
          <w:szCs w:val="20"/>
          <w:lang w:val="es-MX"/>
        </w:rPr>
      </w:pPr>
    </w:p>
    <w:p w14:paraId="3283BD88" w14:textId="15CCBEBB" w:rsidR="008346DB" w:rsidRPr="001932BE" w:rsidRDefault="008346DB"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lastRenderedPageBreak/>
        <w:t xml:space="preserve">Por lo tanto, no </w:t>
      </w:r>
      <w:r w:rsidR="007B4535" w:rsidRPr="001932BE">
        <w:rPr>
          <w:rFonts w:ascii="Verdana" w:hAnsi="Verdana"/>
          <w:sz w:val="20"/>
          <w:szCs w:val="20"/>
          <w:lang w:val="es-MX"/>
        </w:rPr>
        <w:t>serían</w:t>
      </w:r>
      <w:r w:rsidRPr="001932BE">
        <w:rPr>
          <w:rFonts w:ascii="Verdana" w:hAnsi="Verdana"/>
          <w:sz w:val="20"/>
          <w:szCs w:val="20"/>
          <w:lang w:val="es-MX"/>
        </w:rPr>
        <w:t xml:space="preserve"> </w:t>
      </w:r>
      <w:r w:rsidR="007B4535" w:rsidRPr="001932BE">
        <w:rPr>
          <w:rFonts w:ascii="Verdana" w:hAnsi="Verdana"/>
          <w:sz w:val="20"/>
          <w:szCs w:val="20"/>
          <w:lang w:val="es-MX"/>
        </w:rPr>
        <w:t>razonables</w:t>
      </w:r>
      <w:r w:rsidRPr="001932BE">
        <w:rPr>
          <w:rFonts w:ascii="Verdana" w:hAnsi="Verdana"/>
          <w:sz w:val="20"/>
          <w:szCs w:val="20"/>
          <w:lang w:val="es-MX"/>
        </w:rPr>
        <w:t xml:space="preserve"> tantos esfuerzos sociales y estatales en la dirección de </w:t>
      </w:r>
      <w:r w:rsidR="004C6515" w:rsidRPr="001932BE">
        <w:rPr>
          <w:rFonts w:ascii="Verdana" w:hAnsi="Verdana"/>
          <w:sz w:val="20"/>
          <w:szCs w:val="20"/>
          <w:lang w:val="es-MX"/>
        </w:rPr>
        <w:t xml:space="preserve">fortalecer la vigencia de </w:t>
      </w:r>
      <w:r w:rsidRPr="001932BE">
        <w:rPr>
          <w:rFonts w:ascii="Verdana" w:hAnsi="Verdana"/>
          <w:sz w:val="20"/>
          <w:szCs w:val="20"/>
          <w:lang w:val="es-MX"/>
        </w:rPr>
        <w:t xml:space="preserve">los DESCA y mantener </w:t>
      </w:r>
      <w:r w:rsidR="004C6515" w:rsidRPr="001932BE">
        <w:rPr>
          <w:rFonts w:ascii="Verdana" w:hAnsi="Verdana"/>
          <w:sz w:val="20"/>
          <w:szCs w:val="20"/>
          <w:lang w:val="es-MX"/>
        </w:rPr>
        <w:t xml:space="preserve">a </w:t>
      </w:r>
      <w:r w:rsidRPr="001932BE">
        <w:rPr>
          <w:rFonts w:ascii="Verdana" w:hAnsi="Verdana"/>
          <w:sz w:val="20"/>
          <w:szCs w:val="20"/>
          <w:lang w:val="es-MX"/>
        </w:rPr>
        <w:t>la Corte Interamericana conociendo es</w:t>
      </w:r>
      <w:r w:rsidR="007B4535" w:rsidRPr="001932BE">
        <w:rPr>
          <w:rFonts w:ascii="Verdana" w:hAnsi="Verdana"/>
          <w:sz w:val="20"/>
          <w:szCs w:val="20"/>
          <w:lang w:val="es-MX"/>
        </w:rPr>
        <w:t>o</w:t>
      </w:r>
      <w:r w:rsidRPr="001932BE">
        <w:rPr>
          <w:rFonts w:ascii="Verdana" w:hAnsi="Verdana"/>
          <w:sz w:val="20"/>
          <w:szCs w:val="20"/>
          <w:lang w:val="es-MX"/>
        </w:rPr>
        <w:t>s derechos solamente de una forma indirecta, aun</w:t>
      </w:r>
      <w:r w:rsidR="004C6515" w:rsidRPr="001932BE">
        <w:rPr>
          <w:rFonts w:ascii="Verdana" w:hAnsi="Verdana"/>
          <w:sz w:val="20"/>
          <w:szCs w:val="20"/>
          <w:lang w:val="es-MX"/>
        </w:rPr>
        <w:t xml:space="preserve"> y cuando</w:t>
      </w:r>
      <w:r w:rsidRPr="001932BE">
        <w:rPr>
          <w:rFonts w:ascii="Verdana" w:hAnsi="Verdana"/>
          <w:sz w:val="20"/>
          <w:szCs w:val="20"/>
          <w:lang w:val="es-MX"/>
        </w:rPr>
        <w:t xml:space="preserve"> sea la temática principal de</w:t>
      </w:r>
      <w:r w:rsidR="00DB47CE" w:rsidRPr="001932BE">
        <w:rPr>
          <w:rFonts w:ascii="Verdana" w:hAnsi="Verdana"/>
          <w:sz w:val="20"/>
          <w:szCs w:val="20"/>
          <w:lang w:val="es-MX"/>
        </w:rPr>
        <w:t xml:space="preserve"> </w:t>
      </w:r>
      <w:r w:rsidRPr="001932BE">
        <w:rPr>
          <w:rFonts w:ascii="Verdana" w:hAnsi="Verdana"/>
          <w:sz w:val="20"/>
          <w:szCs w:val="20"/>
          <w:lang w:val="es-MX"/>
        </w:rPr>
        <w:t>l</w:t>
      </w:r>
      <w:r w:rsidR="00DB47CE" w:rsidRPr="001932BE">
        <w:rPr>
          <w:rFonts w:ascii="Verdana" w:hAnsi="Verdana"/>
          <w:sz w:val="20"/>
          <w:szCs w:val="20"/>
          <w:lang w:val="es-MX"/>
        </w:rPr>
        <w:t>a</w:t>
      </w:r>
      <w:r w:rsidRPr="001932BE">
        <w:rPr>
          <w:rFonts w:ascii="Verdana" w:hAnsi="Verdana"/>
          <w:sz w:val="20"/>
          <w:szCs w:val="20"/>
          <w:lang w:val="es-MX"/>
        </w:rPr>
        <w:t xml:space="preserve"> pe</w:t>
      </w:r>
      <w:r w:rsidR="004C6515" w:rsidRPr="001932BE">
        <w:rPr>
          <w:rFonts w:ascii="Verdana" w:hAnsi="Verdana"/>
          <w:sz w:val="20"/>
          <w:szCs w:val="20"/>
          <w:lang w:val="es-MX"/>
        </w:rPr>
        <w:t>tición de la víctima</w:t>
      </w:r>
      <w:r w:rsidRPr="001932BE">
        <w:rPr>
          <w:rFonts w:ascii="Verdana" w:hAnsi="Verdana"/>
          <w:sz w:val="20"/>
          <w:szCs w:val="20"/>
          <w:lang w:val="es-MX"/>
        </w:rPr>
        <w:t xml:space="preserve"> y de</w:t>
      </w:r>
      <w:r w:rsidR="004C6515" w:rsidRPr="001932BE">
        <w:rPr>
          <w:rFonts w:ascii="Verdana" w:hAnsi="Verdana"/>
          <w:sz w:val="20"/>
          <w:szCs w:val="20"/>
          <w:lang w:val="es-MX"/>
        </w:rPr>
        <w:t xml:space="preserve"> todo el</w:t>
      </w:r>
      <w:r w:rsidRPr="001932BE">
        <w:rPr>
          <w:rFonts w:ascii="Verdana" w:hAnsi="Verdana"/>
          <w:sz w:val="20"/>
          <w:szCs w:val="20"/>
          <w:lang w:val="es-MX"/>
        </w:rPr>
        <w:t xml:space="preserve"> proceso, como </w:t>
      </w:r>
      <w:r w:rsidR="004C6515" w:rsidRPr="001932BE">
        <w:rPr>
          <w:rFonts w:ascii="Verdana" w:hAnsi="Verdana"/>
          <w:sz w:val="20"/>
          <w:szCs w:val="20"/>
          <w:lang w:val="es-MX"/>
        </w:rPr>
        <w:t xml:space="preserve">resulta </w:t>
      </w:r>
      <w:r w:rsidRPr="001932BE">
        <w:rPr>
          <w:rFonts w:ascii="Verdana" w:hAnsi="Verdana"/>
          <w:sz w:val="20"/>
          <w:szCs w:val="20"/>
          <w:lang w:val="es-MX"/>
        </w:rPr>
        <w:t>en el present</w:t>
      </w:r>
      <w:r w:rsidR="007B4535" w:rsidRPr="001932BE">
        <w:rPr>
          <w:rFonts w:ascii="Verdana" w:hAnsi="Verdana"/>
          <w:sz w:val="20"/>
          <w:szCs w:val="20"/>
          <w:lang w:val="es-MX"/>
        </w:rPr>
        <w:t>e</w:t>
      </w:r>
      <w:r w:rsidRPr="001932BE">
        <w:rPr>
          <w:rFonts w:ascii="Verdana" w:hAnsi="Verdana"/>
          <w:sz w:val="20"/>
          <w:szCs w:val="20"/>
          <w:lang w:val="es-MX"/>
        </w:rPr>
        <w:t xml:space="preserve"> caso. </w:t>
      </w:r>
    </w:p>
    <w:p w14:paraId="375D4DB1" w14:textId="77777777" w:rsidR="006831B9" w:rsidRPr="001932BE" w:rsidRDefault="006831B9" w:rsidP="001932BE">
      <w:pPr>
        <w:rPr>
          <w:szCs w:val="20"/>
          <w:lang w:val="es-MX"/>
        </w:rPr>
      </w:pPr>
    </w:p>
    <w:p w14:paraId="043344FE" w14:textId="31DC505F" w:rsidR="00464213" w:rsidRPr="001932BE" w:rsidRDefault="00196545" w:rsidP="001932BE">
      <w:pPr>
        <w:pStyle w:val="ListParagraph"/>
        <w:numPr>
          <w:ilvl w:val="0"/>
          <w:numId w:val="17"/>
        </w:numPr>
        <w:spacing w:after="0" w:line="240" w:lineRule="auto"/>
        <w:ind w:left="0" w:firstLine="0"/>
        <w:jc w:val="both"/>
        <w:rPr>
          <w:rFonts w:ascii="Verdana" w:hAnsi="Verdana"/>
          <w:sz w:val="20"/>
          <w:szCs w:val="20"/>
        </w:rPr>
      </w:pPr>
      <w:r w:rsidRPr="001932BE">
        <w:rPr>
          <w:rFonts w:ascii="Verdana" w:hAnsi="Verdana"/>
          <w:sz w:val="20"/>
          <w:szCs w:val="20"/>
          <w:lang w:val="es-MX"/>
        </w:rPr>
        <w:t xml:space="preserve">En efecto, el </w:t>
      </w:r>
      <w:r w:rsidRPr="001932BE">
        <w:rPr>
          <w:rFonts w:ascii="Verdana" w:hAnsi="Verdana"/>
          <w:sz w:val="20"/>
          <w:szCs w:val="20"/>
          <w:lang w:val="es-UY"/>
        </w:rPr>
        <w:t>derecho al trabajo ha sido reconocido</w:t>
      </w:r>
      <w:r w:rsidR="00242FD7" w:rsidRPr="001932BE">
        <w:rPr>
          <w:rFonts w:ascii="Verdana" w:hAnsi="Verdana"/>
          <w:sz w:val="20"/>
          <w:szCs w:val="20"/>
          <w:lang w:val="es-UY"/>
        </w:rPr>
        <w:t xml:space="preserve">, en los diversos instrumentos internacionales y en los textos constitucionales </w:t>
      </w:r>
      <w:r w:rsidR="00563C9E" w:rsidRPr="001932BE">
        <w:rPr>
          <w:rFonts w:ascii="Verdana" w:hAnsi="Verdana"/>
          <w:sz w:val="20"/>
          <w:szCs w:val="20"/>
          <w:lang w:val="es-MX"/>
        </w:rPr>
        <w:t>contemporáneos</w:t>
      </w:r>
      <w:r w:rsidR="00242FD7" w:rsidRPr="001932BE">
        <w:rPr>
          <w:rFonts w:ascii="Verdana" w:hAnsi="Verdana"/>
          <w:sz w:val="20"/>
          <w:szCs w:val="20"/>
          <w:lang w:val="es-UY"/>
        </w:rPr>
        <w:t xml:space="preserve">, como uno de los </w:t>
      </w:r>
      <w:r w:rsidR="00563C9E" w:rsidRPr="001932BE">
        <w:rPr>
          <w:rFonts w:ascii="Verdana" w:hAnsi="Verdana"/>
          <w:sz w:val="20"/>
          <w:szCs w:val="20"/>
          <w:lang w:val="es-MX"/>
        </w:rPr>
        <w:t>elementos</w:t>
      </w:r>
      <w:r w:rsidR="00242FD7" w:rsidRPr="001932BE">
        <w:rPr>
          <w:rFonts w:ascii="Verdana" w:hAnsi="Verdana"/>
          <w:sz w:val="20"/>
          <w:szCs w:val="20"/>
          <w:lang w:val="es-UY"/>
        </w:rPr>
        <w:t xml:space="preserve"> fundamentales para la plena </w:t>
      </w:r>
      <w:r w:rsidR="004C6515" w:rsidRPr="001932BE">
        <w:rPr>
          <w:rFonts w:ascii="Verdana" w:hAnsi="Verdana"/>
          <w:sz w:val="20"/>
          <w:szCs w:val="20"/>
          <w:lang w:val="es-MX"/>
        </w:rPr>
        <w:t>vigencia</w:t>
      </w:r>
      <w:r w:rsidR="00242FD7" w:rsidRPr="001932BE">
        <w:rPr>
          <w:rFonts w:ascii="Verdana" w:hAnsi="Verdana"/>
          <w:sz w:val="20"/>
          <w:szCs w:val="20"/>
          <w:lang w:val="es-UY"/>
        </w:rPr>
        <w:t xml:space="preserve"> de los derechos humanos, en sus dos dimensiones: aquella de los llamados derechos c</w:t>
      </w:r>
      <w:proofErr w:type="spellStart"/>
      <w:r w:rsidR="00242FD7" w:rsidRPr="001932BE">
        <w:rPr>
          <w:rFonts w:ascii="Verdana" w:hAnsi="Verdana"/>
          <w:sz w:val="20"/>
          <w:szCs w:val="20"/>
          <w:lang w:val="es-MX"/>
        </w:rPr>
        <w:t>iviles</w:t>
      </w:r>
      <w:proofErr w:type="spellEnd"/>
      <w:r w:rsidR="00242FD7" w:rsidRPr="001932BE">
        <w:rPr>
          <w:rFonts w:ascii="Verdana" w:hAnsi="Verdana"/>
          <w:sz w:val="20"/>
          <w:szCs w:val="20"/>
          <w:lang w:val="es-MX"/>
        </w:rPr>
        <w:t xml:space="preserve"> y políticos, y aquella de los derechos sociales, económicos</w:t>
      </w:r>
      <w:r w:rsidR="008346DB" w:rsidRPr="001932BE">
        <w:rPr>
          <w:rFonts w:ascii="Verdana" w:hAnsi="Verdana"/>
          <w:sz w:val="20"/>
          <w:szCs w:val="20"/>
          <w:lang w:val="es-MX"/>
        </w:rPr>
        <w:t xml:space="preserve">, </w:t>
      </w:r>
      <w:r w:rsidR="00242FD7" w:rsidRPr="001932BE">
        <w:rPr>
          <w:rFonts w:ascii="Verdana" w:hAnsi="Verdana"/>
          <w:sz w:val="20"/>
          <w:szCs w:val="20"/>
          <w:lang w:val="es-MX"/>
        </w:rPr>
        <w:t>culturales</w:t>
      </w:r>
      <w:r w:rsidR="008346DB" w:rsidRPr="001932BE">
        <w:rPr>
          <w:rFonts w:ascii="Verdana" w:hAnsi="Verdana"/>
          <w:sz w:val="20"/>
          <w:szCs w:val="20"/>
          <w:lang w:val="es-MX"/>
        </w:rPr>
        <w:t xml:space="preserve"> y ambientales</w:t>
      </w:r>
      <w:r w:rsidR="00242FD7" w:rsidRPr="001932BE">
        <w:rPr>
          <w:rFonts w:ascii="Verdana" w:hAnsi="Verdana"/>
          <w:sz w:val="20"/>
          <w:szCs w:val="20"/>
          <w:lang w:val="es-MX"/>
        </w:rPr>
        <w:t xml:space="preserve">. </w:t>
      </w:r>
      <w:r w:rsidR="00242FD7" w:rsidRPr="001932BE">
        <w:rPr>
          <w:rFonts w:ascii="Verdana" w:hAnsi="Verdana"/>
          <w:sz w:val="20"/>
          <w:szCs w:val="20"/>
        </w:rPr>
        <w:t xml:space="preserve">Como elemento </w:t>
      </w:r>
      <w:r w:rsidR="00563C9E" w:rsidRPr="001932BE">
        <w:rPr>
          <w:rFonts w:ascii="Verdana" w:hAnsi="Verdana"/>
          <w:sz w:val="20"/>
          <w:szCs w:val="20"/>
        </w:rPr>
        <w:t>indispensable</w:t>
      </w:r>
      <w:r w:rsidR="00242FD7" w:rsidRPr="001932BE">
        <w:rPr>
          <w:rFonts w:ascii="Verdana" w:hAnsi="Verdana"/>
          <w:sz w:val="20"/>
          <w:szCs w:val="20"/>
        </w:rPr>
        <w:t xml:space="preserve"> de integración social y presupuesto material para la </w:t>
      </w:r>
      <w:r w:rsidR="00563C9E" w:rsidRPr="001932BE">
        <w:rPr>
          <w:rFonts w:ascii="Verdana" w:hAnsi="Verdana"/>
          <w:sz w:val="20"/>
          <w:szCs w:val="20"/>
        </w:rPr>
        <w:t>existencia</w:t>
      </w:r>
      <w:r w:rsidR="00242FD7" w:rsidRPr="001932BE">
        <w:rPr>
          <w:rFonts w:ascii="Verdana" w:hAnsi="Verdana"/>
          <w:sz w:val="20"/>
          <w:szCs w:val="20"/>
        </w:rPr>
        <w:t xml:space="preserve"> de esos derechos, el trabajo debe ser, </w:t>
      </w:r>
      <w:r w:rsidR="004C6515" w:rsidRPr="001932BE">
        <w:rPr>
          <w:rFonts w:ascii="Verdana" w:hAnsi="Verdana"/>
          <w:sz w:val="20"/>
          <w:szCs w:val="20"/>
        </w:rPr>
        <w:t>por sí mismo</w:t>
      </w:r>
      <w:r w:rsidR="00242FD7" w:rsidRPr="001932BE">
        <w:rPr>
          <w:rFonts w:ascii="Verdana" w:hAnsi="Verdana"/>
          <w:sz w:val="20"/>
          <w:szCs w:val="20"/>
        </w:rPr>
        <w:t xml:space="preserve">, </w:t>
      </w:r>
      <w:r w:rsidR="008346DB" w:rsidRPr="001932BE">
        <w:rPr>
          <w:rFonts w:ascii="Verdana" w:hAnsi="Verdana"/>
          <w:sz w:val="20"/>
          <w:szCs w:val="20"/>
        </w:rPr>
        <w:t xml:space="preserve">definitivamente </w:t>
      </w:r>
      <w:r w:rsidR="0080333D" w:rsidRPr="001932BE">
        <w:rPr>
          <w:rFonts w:ascii="Verdana" w:hAnsi="Verdana"/>
          <w:sz w:val="20"/>
          <w:szCs w:val="20"/>
        </w:rPr>
        <w:t>incorporado</w:t>
      </w:r>
      <w:r w:rsidR="00242FD7" w:rsidRPr="001932BE">
        <w:rPr>
          <w:rFonts w:ascii="Verdana" w:hAnsi="Verdana"/>
          <w:sz w:val="20"/>
          <w:szCs w:val="20"/>
        </w:rPr>
        <w:t xml:space="preserve"> en la lógica normativa de los derechos</w:t>
      </w:r>
      <w:r w:rsidR="00563C9E" w:rsidRPr="001932BE">
        <w:rPr>
          <w:rFonts w:ascii="Verdana" w:hAnsi="Verdana"/>
          <w:sz w:val="20"/>
          <w:szCs w:val="20"/>
        </w:rPr>
        <w:t xml:space="preserve"> humanos. </w:t>
      </w:r>
    </w:p>
    <w:p w14:paraId="3FD02494" w14:textId="77777777" w:rsidR="00A8740E" w:rsidRPr="001932BE" w:rsidRDefault="00A8740E" w:rsidP="001932BE">
      <w:pPr>
        <w:rPr>
          <w:szCs w:val="20"/>
          <w:lang w:val="es-ES"/>
        </w:rPr>
      </w:pPr>
    </w:p>
    <w:p w14:paraId="15B4AFB8" w14:textId="458C6611" w:rsidR="002A4B9C" w:rsidRPr="001932BE" w:rsidRDefault="0080333D" w:rsidP="001932BE">
      <w:pPr>
        <w:pStyle w:val="ListParagraph"/>
        <w:numPr>
          <w:ilvl w:val="0"/>
          <w:numId w:val="17"/>
        </w:numPr>
        <w:spacing w:after="0" w:line="240" w:lineRule="auto"/>
        <w:ind w:left="0" w:firstLine="0"/>
        <w:jc w:val="both"/>
        <w:rPr>
          <w:rFonts w:ascii="Verdana" w:hAnsi="Verdana"/>
          <w:sz w:val="20"/>
          <w:szCs w:val="20"/>
        </w:rPr>
      </w:pPr>
      <w:r w:rsidRPr="001932BE">
        <w:rPr>
          <w:rFonts w:ascii="Verdana" w:hAnsi="Verdana"/>
          <w:sz w:val="20"/>
          <w:szCs w:val="20"/>
        </w:rPr>
        <w:t>Sin perjuicio de lo anterior</w:t>
      </w:r>
      <w:r w:rsidRPr="001932BE">
        <w:rPr>
          <w:rFonts w:ascii="Verdana" w:hAnsi="Verdana"/>
          <w:sz w:val="20"/>
          <w:szCs w:val="20"/>
          <w:lang w:val="es-MX"/>
        </w:rPr>
        <w:t>, e</w:t>
      </w:r>
      <w:r w:rsidR="00186FF0" w:rsidRPr="001932BE">
        <w:rPr>
          <w:rFonts w:ascii="Verdana" w:hAnsi="Verdana"/>
          <w:sz w:val="20"/>
          <w:szCs w:val="20"/>
          <w:lang w:val="es-MX"/>
        </w:rPr>
        <w:t>s conveniente recordar</w:t>
      </w:r>
      <w:r w:rsidR="00563C9E" w:rsidRPr="001932BE">
        <w:rPr>
          <w:rFonts w:ascii="Verdana" w:hAnsi="Verdana"/>
          <w:sz w:val="20"/>
          <w:szCs w:val="20"/>
          <w:lang w:val="es-MX"/>
        </w:rPr>
        <w:t xml:space="preserve"> </w:t>
      </w:r>
      <w:r w:rsidR="00186FF0" w:rsidRPr="001932BE">
        <w:rPr>
          <w:rFonts w:ascii="Verdana" w:hAnsi="Verdana"/>
          <w:sz w:val="20"/>
          <w:szCs w:val="20"/>
          <w:lang w:val="es-MX"/>
        </w:rPr>
        <w:t xml:space="preserve">lo mencionado en </w:t>
      </w:r>
      <w:r w:rsidR="0020342F" w:rsidRPr="001932BE">
        <w:rPr>
          <w:rFonts w:ascii="Verdana" w:hAnsi="Verdana"/>
          <w:sz w:val="20"/>
          <w:szCs w:val="20"/>
          <w:lang w:val="es-MX"/>
        </w:rPr>
        <w:t xml:space="preserve">nuestro </w:t>
      </w:r>
      <w:r w:rsidR="00186FF0" w:rsidRPr="001932BE">
        <w:rPr>
          <w:rFonts w:ascii="Verdana" w:hAnsi="Verdana"/>
          <w:sz w:val="20"/>
          <w:szCs w:val="20"/>
          <w:lang w:val="es-MX"/>
        </w:rPr>
        <w:t xml:space="preserve">voto del </w:t>
      </w:r>
      <w:r w:rsidR="00186FF0" w:rsidRPr="001932BE">
        <w:rPr>
          <w:rFonts w:ascii="Verdana" w:hAnsi="Verdana"/>
          <w:i/>
          <w:sz w:val="20"/>
          <w:szCs w:val="20"/>
          <w:lang w:val="es-MX"/>
        </w:rPr>
        <w:t xml:space="preserve">Caso Canales Huapaya y Otros Vs. Perú </w:t>
      </w:r>
      <w:r w:rsidR="00186FF0" w:rsidRPr="001932BE">
        <w:rPr>
          <w:rFonts w:ascii="Verdana" w:hAnsi="Verdana"/>
          <w:sz w:val="20"/>
          <w:szCs w:val="20"/>
          <w:lang w:val="es-MX"/>
        </w:rPr>
        <w:t>sobre el alcance del derecho al trabajo a la luz de la Convención</w:t>
      </w:r>
      <w:r w:rsidRPr="001932BE">
        <w:rPr>
          <w:rFonts w:ascii="Verdana" w:hAnsi="Verdana"/>
          <w:sz w:val="20"/>
          <w:szCs w:val="20"/>
          <w:lang w:val="es-MX"/>
        </w:rPr>
        <w:t>, respecto de que</w:t>
      </w:r>
      <w:r w:rsidR="00186FF0" w:rsidRPr="001932BE">
        <w:rPr>
          <w:rFonts w:ascii="Verdana" w:hAnsi="Verdana"/>
          <w:sz w:val="20"/>
          <w:szCs w:val="20"/>
          <w:lang w:val="es-MX"/>
        </w:rPr>
        <w:t xml:space="preserve"> “</w:t>
      </w:r>
      <w:r w:rsidR="00186FF0" w:rsidRPr="001932BE">
        <w:rPr>
          <w:rFonts w:ascii="Verdana" w:hAnsi="Verdana"/>
          <w:sz w:val="20"/>
          <w:szCs w:val="20"/>
        </w:rPr>
        <w:t xml:space="preserve">este entendimiento del derecho al trabajo como directamente fundamental en los Estados nacionales, o de la </w:t>
      </w:r>
      <w:proofErr w:type="spellStart"/>
      <w:r w:rsidR="00186FF0" w:rsidRPr="001932BE">
        <w:rPr>
          <w:rFonts w:ascii="Verdana" w:hAnsi="Verdana"/>
          <w:sz w:val="20"/>
          <w:szCs w:val="20"/>
        </w:rPr>
        <w:t>justiciabilidad</w:t>
      </w:r>
      <w:proofErr w:type="spellEnd"/>
      <w:r w:rsidR="00186FF0" w:rsidRPr="001932BE">
        <w:rPr>
          <w:rFonts w:ascii="Verdana" w:hAnsi="Verdana"/>
          <w:sz w:val="20"/>
          <w:szCs w:val="20"/>
        </w:rPr>
        <w:t xml:space="preserve"> directa del derecho al trabajo en el marco de la Convención Americana, no implica un entendimiento del derecho al trabajo como un derecho absoluto, como un derecho que no tiene límites o que se debe proteger en toda ocasión que se invoque”</w:t>
      </w:r>
      <w:r w:rsidR="00967514" w:rsidRPr="001932BE">
        <w:rPr>
          <w:rFonts w:ascii="Verdana" w:hAnsi="Verdana"/>
          <w:sz w:val="20"/>
          <w:szCs w:val="20"/>
        </w:rPr>
        <w:t>.</w:t>
      </w:r>
      <w:r w:rsidR="008B0CD8" w:rsidRPr="001932BE">
        <w:rPr>
          <w:rFonts w:ascii="Verdana" w:hAnsi="Verdana"/>
          <w:sz w:val="20"/>
          <w:szCs w:val="20"/>
        </w:rPr>
        <w:t xml:space="preserve"> Además</w:t>
      </w:r>
      <w:r w:rsidR="006C757E" w:rsidRPr="001932BE">
        <w:rPr>
          <w:rFonts w:ascii="Verdana" w:hAnsi="Verdana"/>
          <w:sz w:val="20"/>
          <w:szCs w:val="20"/>
        </w:rPr>
        <w:t>,</w:t>
      </w:r>
      <w:r w:rsidR="008B0CD8" w:rsidRPr="001932BE">
        <w:rPr>
          <w:rFonts w:ascii="Verdana" w:hAnsi="Verdana"/>
          <w:sz w:val="20"/>
          <w:szCs w:val="20"/>
        </w:rPr>
        <w:t xml:space="preserve"> c</w:t>
      </w:r>
      <w:r w:rsidR="00186FF0" w:rsidRPr="001932BE">
        <w:rPr>
          <w:rFonts w:ascii="Verdana" w:hAnsi="Verdana"/>
          <w:sz w:val="20"/>
          <w:szCs w:val="20"/>
        </w:rPr>
        <w:t>ada vez que un d</w:t>
      </w:r>
      <w:r w:rsidR="008B0CD8" w:rsidRPr="001932BE">
        <w:rPr>
          <w:rFonts w:ascii="Verdana" w:hAnsi="Verdana"/>
          <w:sz w:val="20"/>
          <w:szCs w:val="20"/>
        </w:rPr>
        <w:t>erecho sea alegado como violado, la Corte realizará un análisis de las obligaciones que tienen los Estados de garantía y respeto en cada caso en específico.</w:t>
      </w:r>
    </w:p>
    <w:p w14:paraId="34A0AA42" w14:textId="77777777" w:rsidR="00A8740E" w:rsidRPr="001932BE" w:rsidRDefault="00A8740E" w:rsidP="001932BE">
      <w:pPr>
        <w:pStyle w:val="ListParagraph"/>
        <w:spacing w:after="0" w:line="240" w:lineRule="auto"/>
        <w:ind w:left="0"/>
        <w:jc w:val="both"/>
        <w:rPr>
          <w:rFonts w:ascii="Verdana" w:hAnsi="Verdana"/>
          <w:sz w:val="20"/>
          <w:szCs w:val="20"/>
        </w:rPr>
      </w:pPr>
    </w:p>
    <w:p w14:paraId="69D330B5" w14:textId="00E27B3D" w:rsidR="00293079" w:rsidRPr="001932BE" w:rsidRDefault="0020342F" w:rsidP="001932BE">
      <w:pPr>
        <w:pStyle w:val="Style1"/>
        <w:spacing w:after="0" w:line="240" w:lineRule="auto"/>
        <w:ind w:left="0"/>
      </w:pPr>
      <w:r w:rsidRPr="001932BE">
        <w:t>Con</w:t>
      </w:r>
      <w:r w:rsidR="004A476E" w:rsidRPr="001932BE">
        <w:t>sideraciones finales</w:t>
      </w:r>
    </w:p>
    <w:p w14:paraId="2B342EB6" w14:textId="77777777" w:rsidR="005A7DAE" w:rsidRPr="001932BE" w:rsidRDefault="005A7DAE" w:rsidP="001932BE">
      <w:pPr>
        <w:pStyle w:val="Style1"/>
        <w:numPr>
          <w:ilvl w:val="0"/>
          <w:numId w:val="0"/>
        </w:numPr>
        <w:spacing w:after="0" w:line="240" w:lineRule="auto"/>
        <w:jc w:val="both"/>
      </w:pPr>
    </w:p>
    <w:p w14:paraId="0B0DB6CB" w14:textId="34AD5059" w:rsidR="0072013D" w:rsidRPr="001932BE" w:rsidRDefault="0072013D" w:rsidP="001932BE">
      <w:pPr>
        <w:pStyle w:val="ListParagraph"/>
        <w:numPr>
          <w:ilvl w:val="0"/>
          <w:numId w:val="17"/>
        </w:numPr>
        <w:spacing w:after="0" w:line="240" w:lineRule="auto"/>
        <w:ind w:left="0" w:firstLine="0"/>
        <w:jc w:val="both"/>
        <w:rPr>
          <w:rFonts w:ascii="Verdana" w:hAnsi="Verdana"/>
          <w:sz w:val="20"/>
          <w:szCs w:val="20"/>
          <w:lang w:val="es-MX"/>
        </w:rPr>
      </w:pPr>
      <w:r w:rsidRPr="001932BE">
        <w:rPr>
          <w:rFonts w:ascii="Verdana" w:hAnsi="Verdana"/>
          <w:sz w:val="20"/>
          <w:szCs w:val="20"/>
          <w:lang w:val="es-MX"/>
        </w:rPr>
        <w:t xml:space="preserve">Por todo lo anterior, reafirmo mi adhesión a esta importante Sentencia, con la sencilla excepción procesal que, a mi criterio, en el presente caso no resulta necesaria la aplicación del principio de </w:t>
      </w:r>
      <w:proofErr w:type="spellStart"/>
      <w:r w:rsidRPr="001932BE">
        <w:rPr>
          <w:rFonts w:ascii="Verdana" w:hAnsi="Verdana"/>
          <w:i/>
          <w:sz w:val="20"/>
          <w:szCs w:val="20"/>
          <w:lang w:val="es-MX"/>
        </w:rPr>
        <w:t>iura</w:t>
      </w:r>
      <w:proofErr w:type="spellEnd"/>
      <w:r w:rsidRPr="001932BE">
        <w:rPr>
          <w:rFonts w:ascii="Verdana" w:hAnsi="Verdana"/>
          <w:i/>
          <w:sz w:val="20"/>
          <w:szCs w:val="20"/>
          <w:lang w:val="es-MX"/>
        </w:rPr>
        <w:t xml:space="preserve"> </w:t>
      </w:r>
      <w:proofErr w:type="spellStart"/>
      <w:r w:rsidRPr="001932BE">
        <w:rPr>
          <w:rFonts w:ascii="Verdana" w:hAnsi="Verdana"/>
          <w:i/>
          <w:sz w:val="20"/>
          <w:szCs w:val="20"/>
          <w:lang w:val="es-MX"/>
        </w:rPr>
        <w:t>novit</w:t>
      </w:r>
      <w:proofErr w:type="spellEnd"/>
      <w:r w:rsidRPr="001932BE">
        <w:rPr>
          <w:rFonts w:ascii="Verdana" w:hAnsi="Verdana"/>
          <w:i/>
          <w:sz w:val="20"/>
          <w:szCs w:val="20"/>
          <w:lang w:val="es-MX"/>
        </w:rPr>
        <w:t xml:space="preserve"> curia </w:t>
      </w:r>
      <w:r w:rsidRPr="001932BE">
        <w:rPr>
          <w:rFonts w:ascii="Verdana" w:hAnsi="Verdana"/>
          <w:sz w:val="20"/>
          <w:szCs w:val="20"/>
          <w:lang w:val="es-MX"/>
        </w:rPr>
        <w:t>para poder declarar la violación del artículo 26 convencional. El resultado no cambia con este detalle</w:t>
      </w:r>
      <w:r w:rsidRPr="001932BE">
        <w:rPr>
          <w:rFonts w:ascii="Verdana" w:hAnsi="Verdana"/>
          <w:i/>
          <w:sz w:val="20"/>
          <w:szCs w:val="20"/>
          <w:lang w:val="es-MX"/>
        </w:rPr>
        <w:t xml:space="preserve">. </w:t>
      </w:r>
      <w:r w:rsidRPr="001932BE">
        <w:rPr>
          <w:rFonts w:ascii="Verdana" w:hAnsi="Verdana"/>
          <w:sz w:val="20"/>
          <w:szCs w:val="20"/>
          <w:lang w:val="es-MX"/>
        </w:rPr>
        <w:t xml:space="preserve">Reitero el gran paso histórico que ha tomado este Tribunal de declarar la </w:t>
      </w:r>
      <w:proofErr w:type="spellStart"/>
      <w:r w:rsidRPr="001932BE">
        <w:rPr>
          <w:rFonts w:ascii="Verdana" w:hAnsi="Verdana"/>
          <w:sz w:val="20"/>
          <w:szCs w:val="20"/>
          <w:lang w:val="es-MX"/>
        </w:rPr>
        <w:t>justiciabilidad</w:t>
      </w:r>
      <w:proofErr w:type="spellEnd"/>
      <w:r w:rsidRPr="001932BE">
        <w:rPr>
          <w:rFonts w:ascii="Verdana" w:hAnsi="Verdana"/>
          <w:sz w:val="20"/>
          <w:szCs w:val="20"/>
          <w:lang w:val="es-MX"/>
        </w:rPr>
        <w:t xml:space="preserve"> del derecho del trabajo y de la estabilidad laboral, y con ello una nueva época para la protección </w:t>
      </w:r>
      <w:r w:rsidRPr="001932BE">
        <w:rPr>
          <w:rFonts w:ascii="Verdana" w:hAnsi="Verdana"/>
          <w:sz w:val="20"/>
          <w:szCs w:val="20"/>
          <w:lang w:val="es-CR"/>
        </w:rPr>
        <w:t>de todos</w:t>
      </w:r>
      <w:r w:rsidRPr="001932BE">
        <w:rPr>
          <w:rFonts w:ascii="Verdana" w:hAnsi="Verdana"/>
          <w:sz w:val="20"/>
          <w:szCs w:val="20"/>
          <w:lang w:val="es-MX"/>
        </w:rPr>
        <w:t xml:space="preserve"> los derechos humanos, </w:t>
      </w:r>
      <w:r w:rsidRPr="001932BE">
        <w:rPr>
          <w:rFonts w:ascii="Verdana" w:hAnsi="Verdana"/>
          <w:sz w:val="20"/>
          <w:szCs w:val="20"/>
          <w:lang w:val="es-CR"/>
        </w:rPr>
        <w:t>interdependientes e indivisibles,</w:t>
      </w:r>
      <w:r w:rsidRPr="001932BE">
        <w:rPr>
          <w:rFonts w:ascii="Verdana" w:hAnsi="Verdana"/>
          <w:sz w:val="20"/>
          <w:szCs w:val="20"/>
          <w:lang w:val="es-MX"/>
        </w:rPr>
        <w:t xml:space="preserve"> y de manera aún más integral.</w:t>
      </w:r>
    </w:p>
    <w:p w14:paraId="55A3A3F9" w14:textId="46DC431A" w:rsidR="00A8740E" w:rsidRPr="001932BE" w:rsidRDefault="00A8740E" w:rsidP="001932BE">
      <w:pPr>
        <w:rPr>
          <w:szCs w:val="20"/>
          <w:lang w:val="es-MX"/>
        </w:rPr>
      </w:pPr>
    </w:p>
    <w:p w14:paraId="4DFA48D4" w14:textId="42DC7303" w:rsidR="00280A69" w:rsidRPr="001932BE" w:rsidRDefault="00280A69" w:rsidP="001932BE">
      <w:pPr>
        <w:rPr>
          <w:szCs w:val="20"/>
          <w:lang w:val="es-MX"/>
        </w:rPr>
      </w:pPr>
    </w:p>
    <w:p w14:paraId="0D5621AC" w14:textId="77777777" w:rsidR="004F42E3" w:rsidRPr="001932BE" w:rsidRDefault="004F42E3" w:rsidP="001932BE">
      <w:pPr>
        <w:rPr>
          <w:szCs w:val="20"/>
          <w:lang w:val="es-MX"/>
        </w:rPr>
      </w:pPr>
    </w:p>
    <w:p w14:paraId="3C56741D" w14:textId="77F0409E" w:rsidR="004F42E3" w:rsidRPr="001932BE" w:rsidRDefault="004F42E3" w:rsidP="001932BE">
      <w:pPr>
        <w:rPr>
          <w:szCs w:val="20"/>
          <w:lang w:val="es-MX"/>
        </w:rPr>
      </w:pPr>
      <w:bookmarkStart w:id="0" w:name="_GoBack"/>
      <w:bookmarkEnd w:id="0"/>
    </w:p>
    <w:p w14:paraId="4A1D1F12" w14:textId="226AEA16" w:rsidR="00280A69" w:rsidRPr="001932BE" w:rsidRDefault="00280A69" w:rsidP="00267C93">
      <w:pPr>
        <w:pStyle w:val="NormalWeb"/>
        <w:spacing w:before="0" w:beforeAutospacing="0" w:after="0" w:afterAutospacing="0"/>
        <w:ind w:right="720"/>
        <w:jc w:val="right"/>
        <w:rPr>
          <w:rFonts w:ascii="Verdana" w:eastAsia="Calibri" w:hAnsi="Verdana"/>
          <w:sz w:val="20"/>
          <w:szCs w:val="20"/>
          <w:lang w:val="pt-BR" w:eastAsia="en-US"/>
        </w:rPr>
      </w:pPr>
      <w:r w:rsidRPr="001932BE">
        <w:rPr>
          <w:rFonts w:ascii="Verdana" w:eastAsia="Calibri" w:hAnsi="Verdana"/>
          <w:sz w:val="20"/>
          <w:szCs w:val="20"/>
          <w:lang w:val="pt-BR" w:eastAsia="en-US"/>
        </w:rPr>
        <w:t>Roberto F. Caldas</w:t>
      </w:r>
    </w:p>
    <w:p w14:paraId="5A3DDEBD" w14:textId="63A0C582" w:rsidR="00280A69" w:rsidRPr="001932BE" w:rsidRDefault="00280A69" w:rsidP="00267C93">
      <w:pPr>
        <w:pStyle w:val="NormalWeb"/>
        <w:spacing w:before="0" w:beforeAutospacing="0" w:after="0" w:afterAutospacing="0"/>
        <w:ind w:right="990"/>
        <w:jc w:val="right"/>
        <w:rPr>
          <w:rFonts w:ascii="Verdana" w:eastAsia="Calibri" w:hAnsi="Verdana"/>
          <w:sz w:val="20"/>
          <w:szCs w:val="20"/>
          <w:lang w:val="pt-BR" w:eastAsia="en-US"/>
        </w:rPr>
      </w:pPr>
      <w:r w:rsidRPr="001932BE">
        <w:rPr>
          <w:rFonts w:ascii="Verdana" w:eastAsia="Calibri" w:hAnsi="Verdana"/>
          <w:sz w:val="20"/>
          <w:szCs w:val="20"/>
          <w:lang w:val="pt-BR" w:eastAsia="en-US"/>
        </w:rPr>
        <w:t>Presidente</w:t>
      </w:r>
    </w:p>
    <w:p w14:paraId="3C828205" w14:textId="77777777" w:rsidR="00A8740E" w:rsidRPr="001932BE" w:rsidRDefault="00A8740E" w:rsidP="001932BE">
      <w:pPr>
        <w:rPr>
          <w:szCs w:val="20"/>
          <w:lang w:val="pt-BR"/>
        </w:rPr>
      </w:pPr>
    </w:p>
    <w:p w14:paraId="75C2DAB2" w14:textId="77777777" w:rsidR="00A8740E" w:rsidRPr="001932BE" w:rsidRDefault="00A8740E" w:rsidP="001932BE">
      <w:pPr>
        <w:rPr>
          <w:szCs w:val="20"/>
          <w:lang w:val="pt-BR"/>
        </w:rPr>
      </w:pPr>
    </w:p>
    <w:p w14:paraId="4F4CD98C" w14:textId="77777777" w:rsidR="00A8740E" w:rsidRPr="001932BE" w:rsidRDefault="00A8740E" w:rsidP="001932BE">
      <w:pPr>
        <w:rPr>
          <w:szCs w:val="20"/>
          <w:lang w:val="pt-BR"/>
        </w:rPr>
      </w:pPr>
    </w:p>
    <w:p w14:paraId="10419AE1" w14:textId="5B6321C7" w:rsidR="006806F7" w:rsidRPr="001932BE" w:rsidRDefault="006806F7" w:rsidP="001932BE">
      <w:pPr>
        <w:rPr>
          <w:szCs w:val="20"/>
          <w:lang w:val="pt-BR"/>
        </w:rPr>
      </w:pPr>
    </w:p>
    <w:p w14:paraId="2EA71A89" w14:textId="77777777" w:rsidR="00280A69" w:rsidRPr="001932BE" w:rsidRDefault="00280A69" w:rsidP="001932BE">
      <w:pPr>
        <w:jc w:val="left"/>
        <w:rPr>
          <w:szCs w:val="20"/>
          <w:lang w:val="pt-BR"/>
        </w:rPr>
      </w:pPr>
      <w:r w:rsidRPr="001932BE">
        <w:rPr>
          <w:szCs w:val="20"/>
          <w:lang w:val="pt-BR"/>
        </w:rPr>
        <w:t>Pablo Saavedra Alessandri</w:t>
      </w:r>
    </w:p>
    <w:p w14:paraId="227F1D3E" w14:textId="4119942C" w:rsidR="006B3905" w:rsidRPr="001932BE" w:rsidRDefault="004F42E3" w:rsidP="001932BE">
      <w:pPr>
        <w:ind w:firstLine="720"/>
        <w:jc w:val="left"/>
        <w:rPr>
          <w:szCs w:val="20"/>
          <w:lang w:val="es-CR"/>
        </w:rPr>
      </w:pPr>
      <w:r w:rsidRPr="001932BE">
        <w:rPr>
          <w:szCs w:val="20"/>
          <w:lang w:val="es-CR"/>
        </w:rPr>
        <w:t xml:space="preserve">  </w:t>
      </w:r>
      <w:r w:rsidR="00280A69" w:rsidRPr="001932BE">
        <w:rPr>
          <w:szCs w:val="20"/>
          <w:lang w:val="es-CR"/>
        </w:rPr>
        <w:t>Secretario</w:t>
      </w:r>
    </w:p>
    <w:p w14:paraId="30FE00F8" w14:textId="77777777" w:rsidR="00B2705B" w:rsidRPr="001932BE" w:rsidRDefault="00B2705B" w:rsidP="001932BE">
      <w:pPr>
        <w:ind w:firstLine="720"/>
        <w:jc w:val="left"/>
        <w:rPr>
          <w:szCs w:val="20"/>
          <w:lang w:val="es-CR"/>
        </w:rPr>
      </w:pPr>
    </w:p>
    <w:p w14:paraId="1B77FA58" w14:textId="77777777" w:rsidR="00B2705B" w:rsidRPr="001932BE" w:rsidRDefault="00B2705B" w:rsidP="001932BE">
      <w:pPr>
        <w:ind w:firstLine="720"/>
        <w:jc w:val="left"/>
        <w:rPr>
          <w:szCs w:val="20"/>
          <w:lang w:val="es-CR"/>
        </w:rPr>
      </w:pPr>
    </w:p>
    <w:p w14:paraId="6E6CED50" w14:textId="77777777" w:rsidR="00B2705B" w:rsidRPr="001932BE" w:rsidRDefault="00B2705B" w:rsidP="001932BE">
      <w:pPr>
        <w:ind w:firstLine="720"/>
        <w:jc w:val="left"/>
        <w:rPr>
          <w:rFonts w:cs="Arial"/>
          <w:szCs w:val="20"/>
        </w:rPr>
      </w:pPr>
    </w:p>
    <w:p w14:paraId="623AB053" w14:textId="77777777" w:rsidR="001932BE" w:rsidRPr="001932BE" w:rsidRDefault="001932BE">
      <w:pPr>
        <w:ind w:firstLine="720"/>
        <w:jc w:val="left"/>
        <w:rPr>
          <w:rFonts w:cs="Arial"/>
          <w:szCs w:val="20"/>
        </w:rPr>
      </w:pPr>
    </w:p>
    <w:sectPr w:rsidR="001932BE" w:rsidRPr="001932BE" w:rsidSect="00E85D8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8F2BA" w14:textId="77777777" w:rsidR="00BC5307" w:rsidRDefault="00BC5307" w:rsidP="00BB4CBA">
      <w:r>
        <w:separator/>
      </w:r>
    </w:p>
  </w:endnote>
  <w:endnote w:type="continuationSeparator" w:id="0">
    <w:p w14:paraId="7CA520F3" w14:textId="77777777" w:rsidR="00BC5307" w:rsidRDefault="00BC5307" w:rsidP="00B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Font Regular">
    <w:charset w:val="00"/>
    <w:family w:val="auto"/>
    <w:pitch w:val="variable"/>
    <w:sig w:usb0="2000028F"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79249"/>
      <w:docPartObj>
        <w:docPartGallery w:val="Page Numbers (Bottom of Page)"/>
        <w:docPartUnique/>
      </w:docPartObj>
    </w:sdtPr>
    <w:sdtEndPr>
      <w:rPr>
        <w:noProof/>
      </w:rPr>
    </w:sdtEndPr>
    <w:sdtContent>
      <w:p w14:paraId="21FC1D55" w14:textId="2FCC4D48" w:rsidR="004F42E3" w:rsidRDefault="004F42E3">
        <w:pPr>
          <w:pStyle w:val="Footer"/>
          <w:jc w:val="center"/>
        </w:pPr>
        <w:r>
          <w:fldChar w:fldCharType="begin"/>
        </w:r>
        <w:r>
          <w:instrText xml:space="preserve"> PAGE   \* MERGEFORMAT </w:instrText>
        </w:r>
        <w:r>
          <w:fldChar w:fldCharType="separate"/>
        </w:r>
        <w:r w:rsidR="00E85D82">
          <w:rPr>
            <w:noProof/>
          </w:rPr>
          <w:t>6</w:t>
        </w:r>
        <w:r>
          <w:rPr>
            <w:noProof/>
          </w:rPr>
          <w:fldChar w:fldCharType="end"/>
        </w:r>
      </w:p>
    </w:sdtContent>
  </w:sdt>
  <w:p w14:paraId="2287A4E5" w14:textId="390222C1" w:rsidR="00280A69" w:rsidRDefault="00280A69" w:rsidP="004F4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48A2A" w14:textId="77777777" w:rsidR="00BC5307" w:rsidRDefault="00BC5307" w:rsidP="00BB4CBA">
      <w:r>
        <w:separator/>
      </w:r>
    </w:p>
  </w:footnote>
  <w:footnote w:type="continuationSeparator" w:id="0">
    <w:p w14:paraId="74BBECFE" w14:textId="77777777" w:rsidR="00BC5307" w:rsidRDefault="00BC5307" w:rsidP="00BB4CBA">
      <w:r>
        <w:continuationSeparator/>
      </w:r>
    </w:p>
  </w:footnote>
  <w:footnote w:id="1">
    <w:p w14:paraId="2A46299D" w14:textId="4A79CE38" w:rsidR="00280A69" w:rsidRPr="0082528A" w:rsidRDefault="00280A69" w:rsidP="0082528A">
      <w:pPr>
        <w:pStyle w:val="FootnoteText"/>
        <w:spacing w:before="0" w:after="0"/>
        <w:rPr>
          <w:noProof w:val="0"/>
          <w:szCs w:val="16"/>
          <w:lang w:val="es-ES"/>
        </w:rPr>
      </w:pPr>
      <w:r w:rsidRPr="0082528A">
        <w:rPr>
          <w:rStyle w:val="FootnoteReference"/>
          <w:noProof w:val="0"/>
          <w:szCs w:val="16"/>
        </w:rPr>
        <w:footnoteRef/>
      </w:r>
      <w:r w:rsidRPr="0082528A">
        <w:rPr>
          <w:noProof w:val="0"/>
          <w:szCs w:val="16"/>
          <w:lang w:val="es-ES"/>
        </w:rPr>
        <w:t xml:space="preserve"> El término “Derechos Económicos, Sociales y Culturales – DESC” pasó recién a ter agregada la palabra “ambiental”, o sea, pasa a ser “Derechos Económicos, Sociales, Culturales y Ambientales – DESCA”, ante la emergencia del enfoque y protección del Derecho Ambiental como Derecho Humano. Parte de la doctrina y de la sociedad civil hace algún tiempo lo reivindicaba. Eso también tiene mucho sentido ante el diálogo fluido que desarrollan Corte y Comisión Interamericana, y ésta ha creado una nueva relatoría agregando el término: Relatoría Especial de los Derechos Económicos, Sociales, Culturales y Ambientales – REDESCA. Por lo tanto, he pasado a utilizar la misma nomenclatura agregada, entendiendo que el derecho ambiental es parte fundamental e interdependiente de los Derechos Sociales. </w:t>
      </w:r>
    </w:p>
  </w:footnote>
  <w:footnote w:id="2">
    <w:p w14:paraId="1B1983B8" w14:textId="3DE90BDE" w:rsidR="00280A69" w:rsidRPr="00AD4B67" w:rsidRDefault="00280A69" w:rsidP="0082528A">
      <w:pPr>
        <w:pStyle w:val="FootnoteText"/>
        <w:spacing w:before="0" w:after="0"/>
        <w:rPr>
          <w:noProof w:val="0"/>
        </w:rPr>
      </w:pPr>
      <w:r w:rsidRPr="00AD4B67">
        <w:rPr>
          <w:rStyle w:val="FootnoteReference"/>
          <w:noProof w:val="0"/>
        </w:rPr>
        <w:footnoteRef/>
      </w:r>
      <w:r w:rsidRPr="00AD4B67">
        <w:rPr>
          <w:noProof w:val="0"/>
        </w:rPr>
        <w:t xml:space="preserve"> Por ejemplo, la Corte Suprema </w:t>
      </w:r>
      <w:r>
        <w:rPr>
          <w:noProof w:val="0"/>
        </w:rPr>
        <w:t>de la India</w:t>
      </w:r>
      <w:r w:rsidRPr="00AD4B67">
        <w:rPr>
          <w:noProof w:val="0"/>
        </w:rPr>
        <w:t xml:space="preserve"> fue pionera, en los años 1980, en interpretar el derecho a la vida de forma amplia, incluyendo una </w:t>
      </w:r>
      <w:r w:rsidRPr="00700B4B">
        <w:rPr>
          <w:noProof w:val="0"/>
        </w:rPr>
        <w:t>serie</w:t>
      </w:r>
      <w:r w:rsidRPr="00AD4B67">
        <w:rPr>
          <w:noProof w:val="0"/>
        </w:rPr>
        <w:t xml:space="preserve"> de derechos económicos y sociales. La Corte Constitucional Sudafricana, en el </w:t>
      </w:r>
      <w:r w:rsidRPr="00700B4B">
        <w:rPr>
          <w:noProof w:val="0"/>
        </w:rPr>
        <w:t>paradigmático</w:t>
      </w:r>
      <w:r w:rsidRPr="00AD4B67">
        <w:rPr>
          <w:noProof w:val="0"/>
        </w:rPr>
        <w:t xml:space="preserve"> caso </w:t>
      </w:r>
      <w:proofErr w:type="spellStart"/>
      <w:r w:rsidRPr="00AD4B67">
        <w:rPr>
          <w:i/>
          <w:noProof w:val="0"/>
        </w:rPr>
        <w:t>Grootboom</w:t>
      </w:r>
      <w:proofErr w:type="spellEnd"/>
      <w:r w:rsidRPr="00AD4B67">
        <w:rPr>
          <w:noProof w:val="0"/>
        </w:rPr>
        <w:t xml:space="preserve">, juzgado en 2000, examinó la situación de un grupo de personas que, desalojadas de vivienda irregular, pasaron a vivir en tiendas localizadas en un centro </w:t>
      </w:r>
      <w:r w:rsidRPr="00700B4B">
        <w:rPr>
          <w:noProof w:val="0"/>
        </w:rPr>
        <w:t>deportivo</w:t>
      </w:r>
      <w:r w:rsidRPr="00AD4B67">
        <w:rPr>
          <w:noProof w:val="0"/>
        </w:rPr>
        <w:t xml:space="preserve">. La Corte consideró que esas personas tuvieron su derecho a vivienda adecuada violado y determinaron a varios </w:t>
      </w:r>
      <w:r w:rsidRPr="00700B4B">
        <w:rPr>
          <w:noProof w:val="0"/>
        </w:rPr>
        <w:t>órganos</w:t>
      </w:r>
      <w:r w:rsidRPr="00AD4B67">
        <w:rPr>
          <w:noProof w:val="0"/>
        </w:rPr>
        <w:t xml:space="preserve"> del gobierno desarrollar medidas efectivas en su favor.</w:t>
      </w:r>
      <w:r>
        <w:rPr>
          <w:noProof w:val="0"/>
        </w:rPr>
        <w:t xml:space="preserve"> En nuestro continente, la Corte Constitucional de Colombia desarrolló la doctrina de la situación inconstitucional para responder a violaciones de derechos económicos e sociales. </w:t>
      </w:r>
    </w:p>
  </w:footnote>
  <w:footnote w:id="3">
    <w:p w14:paraId="44018B81" w14:textId="2BB77A6D" w:rsidR="00280A69" w:rsidRPr="003D0681" w:rsidRDefault="00280A69" w:rsidP="0082528A">
      <w:pPr>
        <w:pStyle w:val="FootnoteText"/>
        <w:spacing w:before="0" w:after="0"/>
      </w:pPr>
      <w:r>
        <w:rPr>
          <w:rStyle w:val="FootnoteReference"/>
        </w:rPr>
        <w:footnoteRef/>
      </w:r>
      <w:r>
        <w:t xml:space="preserve"> Aquí no hay ninguna conotación de culpar a la Comisión por esa omisión pues en ese momento la própia jurisprudencia de la Corte Interamericana no había reconocido el derecho laboral como tal ni de los otros derechos sociales.</w:t>
      </w:r>
    </w:p>
  </w:footnote>
  <w:footnote w:id="4">
    <w:p w14:paraId="6A812133" w14:textId="53CEA9A8" w:rsidR="00280A69" w:rsidRPr="006B3905" w:rsidRDefault="00280A69" w:rsidP="0082528A">
      <w:pPr>
        <w:pStyle w:val="FootnoteText"/>
        <w:spacing w:before="0" w:after="0"/>
        <w:rPr>
          <w:sz w:val="18"/>
          <w:lang w:val="es-MX"/>
        </w:rPr>
      </w:pPr>
      <w:r w:rsidRPr="006B3905">
        <w:rPr>
          <w:rStyle w:val="FootnoteReference"/>
          <w:noProof w:val="0"/>
        </w:rPr>
        <w:footnoteRef/>
      </w:r>
      <w:r w:rsidRPr="006B3905">
        <w:rPr>
          <w:noProof w:val="0"/>
        </w:rPr>
        <w:t xml:space="preserve"> </w:t>
      </w:r>
      <w:r>
        <w:rPr>
          <w:noProof w:val="0"/>
          <w:szCs w:val="16"/>
        </w:rPr>
        <w:t>A manera de ejemplo</w:t>
      </w:r>
      <w:r w:rsidRPr="006B3905">
        <w:rPr>
          <w:i/>
          <w:noProof w:val="0"/>
          <w:szCs w:val="16"/>
        </w:rPr>
        <w:t xml:space="preserve">: </w:t>
      </w:r>
      <w:r w:rsidRPr="006B3905">
        <w:rPr>
          <w:noProof w:val="0"/>
          <w:szCs w:val="16"/>
        </w:rPr>
        <w:t xml:space="preserve">en el </w:t>
      </w:r>
      <w:r w:rsidRPr="006B3905">
        <w:rPr>
          <w:i/>
          <w:noProof w:val="0"/>
          <w:szCs w:val="16"/>
        </w:rPr>
        <w:t>Caso</w:t>
      </w:r>
      <w:r w:rsidRPr="006B3905">
        <w:rPr>
          <w:noProof w:val="0"/>
          <w:szCs w:val="16"/>
        </w:rPr>
        <w:t xml:space="preserve"> </w:t>
      </w:r>
      <w:r w:rsidRPr="006B3905">
        <w:rPr>
          <w:i/>
          <w:noProof w:val="0"/>
          <w:szCs w:val="16"/>
        </w:rPr>
        <w:t xml:space="preserve">de </w:t>
      </w:r>
      <w:proofErr w:type="spellStart"/>
      <w:r w:rsidRPr="006B3905">
        <w:rPr>
          <w:i/>
          <w:noProof w:val="0"/>
          <w:szCs w:val="16"/>
        </w:rPr>
        <w:t>Antoine</w:t>
      </w:r>
      <w:proofErr w:type="spellEnd"/>
      <w:r w:rsidRPr="006B3905">
        <w:rPr>
          <w:i/>
          <w:noProof w:val="0"/>
          <w:szCs w:val="16"/>
        </w:rPr>
        <w:t xml:space="preserve"> </w:t>
      </w:r>
      <w:proofErr w:type="spellStart"/>
      <w:r w:rsidRPr="006B3905">
        <w:rPr>
          <w:i/>
          <w:noProof w:val="0"/>
          <w:szCs w:val="16"/>
        </w:rPr>
        <w:t>Bissangou</w:t>
      </w:r>
      <w:proofErr w:type="spellEnd"/>
      <w:r w:rsidRPr="006B3905">
        <w:rPr>
          <w:i/>
          <w:noProof w:val="0"/>
          <w:szCs w:val="16"/>
        </w:rPr>
        <w:t xml:space="preserve"> Vs. La República del Congo</w:t>
      </w:r>
      <w:r w:rsidRPr="006B3905">
        <w:rPr>
          <w:noProof w:val="0"/>
          <w:szCs w:val="16"/>
        </w:rPr>
        <w:t xml:space="preserve">, la Comisión Africana encontró violaciones de los artículos 3, 7 y 14 de la Carta Africana de Derechos Humanos y de los Pueblos cuando el peticionario había alegado violaciones de los artículos 2, 3 y 21 (2). Comisión Africana de Derechos Humanos y de los Pueblos, Comunicación No. 253/2002. Sentencia de noviembre de 2006, </w:t>
      </w:r>
      <w:proofErr w:type="spellStart"/>
      <w:r w:rsidRPr="006B3905">
        <w:rPr>
          <w:noProof w:val="0"/>
          <w:szCs w:val="16"/>
        </w:rPr>
        <w:t>párrs</w:t>
      </w:r>
      <w:proofErr w:type="spellEnd"/>
      <w:r w:rsidRPr="006B3905">
        <w:rPr>
          <w:noProof w:val="0"/>
          <w:szCs w:val="16"/>
        </w:rPr>
        <w:t>. 5, 73 a 76.</w:t>
      </w:r>
      <w:r w:rsidRPr="006B3905">
        <w:rPr>
          <w:i/>
          <w:noProof w:val="0"/>
          <w:szCs w:val="16"/>
        </w:rPr>
        <w:t xml:space="preserve"> Ver</w:t>
      </w:r>
      <w:r w:rsidR="00A41FEC">
        <w:rPr>
          <w:i/>
          <w:noProof w:val="0"/>
          <w:szCs w:val="16"/>
        </w:rPr>
        <w:t xml:space="preserve"> también casos del Comité de Derechos Humanos de la ONU: </w:t>
      </w:r>
      <w:r w:rsidRPr="006B3905">
        <w:rPr>
          <w:i/>
          <w:lang w:val="es-CR"/>
        </w:rPr>
        <w:t xml:space="preserve">Caso de Olimzhon Eshonov Vs. </w:t>
      </w:r>
      <w:r w:rsidRPr="006B3905">
        <w:rPr>
          <w:i/>
          <w:lang w:val="en-US"/>
        </w:rPr>
        <w:t>Uzbekistán</w:t>
      </w:r>
      <w:r w:rsidRPr="006B3905">
        <w:rPr>
          <w:lang w:val="en-US"/>
        </w:rPr>
        <w:t>: The State party contested the admissibility of the communication, arguing that the author has failed to substantiate his claims under article 2 and article 7 of the Covenant. The Committee considers, however, that the arguments advanced by the State party are closely linked to the merits of the communication and should be taken up when the merits of the communication are examined. The Committee considers that the author has sufficiently substantiated his claims, for purposes of admissibility, in that they appear to raise issues under article 2; article 6, paragraph 1; and article 7 of the Covenant, and declares them admissible</w:t>
      </w:r>
      <w:r>
        <w:rPr>
          <w:lang w:val="en-US"/>
        </w:rPr>
        <w:t>.</w:t>
      </w:r>
      <w:r w:rsidRPr="006B3905">
        <w:rPr>
          <w:lang w:val="en-US"/>
        </w:rPr>
        <w:t xml:space="preserve"> </w:t>
      </w:r>
      <w:r w:rsidRPr="006B3905">
        <w:rPr>
          <w:lang w:val="es-MX"/>
        </w:rPr>
        <w:t>Comité de Derechos Humanos Comunicación No. 1225/2003, U.N. Doc.</w:t>
      </w:r>
      <w:r>
        <w:rPr>
          <w:lang w:val="es-MX"/>
        </w:rPr>
        <w:t>(</w:t>
      </w:r>
      <w:r w:rsidRPr="006B3905">
        <w:rPr>
          <w:lang w:val="es-MX"/>
        </w:rPr>
        <w:t xml:space="preserve"> CCPR/C/99/D/1225/2003</w:t>
      </w:r>
      <w:r>
        <w:rPr>
          <w:lang w:val="es-MX"/>
        </w:rPr>
        <w:t>)</w:t>
      </w:r>
      <w:r w:rsidRPr="006B3905">
        <w:rPr>
          <w:lang w:val="es-MX"/>
        </w:rPr>
        <w:t xml:space="preserve"> </w:t>
      </w:r>
      <w:r>
        <w:rPr>
          <w:lang w:val="es-MX"/>
        </w:rPr>
        <w:t>18 de agosto de 2010,</w:t>
      </w:r>
      <w:r w:rsidRPr="006B3905">
        <w:rPr>
          <w:lang w:val="es-MX"/>
        </w:rPr>
        <w:t xml:space="preserve"> párrs.1.1 3.3, 8.3, 9.7, 9.9 y 10</w:t>
      </w:r>
      <w:r>
        <w:rPr>
          <w:lang w:val="es-MX"/>
        </w:rPr>
        <w:t xml:space="preserve">; </w:t>
      </w:r>
      <w:r>
        <w:t xml:space="preserve">Caso </w:t>
      </w:r>
      <w:r w:rsidRPr="006B3905">
        <w:t xml:space="preserve">Mariano Pimentel y otros Vs. </w:t>
      </w:r>
      <w:r w:rsidRPr="006B3905">
        <w:rPr>
          <w:lang w:val="en-US"/>
        </w:rPr>
        <w:t xml:space="preserve">Filipinas: The authors claim that their proceedings in the Philippines on the enforcement of the US judgement have been unreasonably prolonged and that the exorbitant filing fee amounts to a de facto denial of their right to an effective remedy to obtain compensation for their injuries, under article 2 of the Covenant. They argue that they are not required to exhaust domestic remedies, as the proceedings before the Philippine courts have been unreasonably prolonged. The communication also appears to raise issues under article 14, paragraph 1, of the Covenant. […]The Committee observes that since the authors brought their action before the Regional Trial Court in 1997, the same Court and the Supreme Court considered the issue of the required filing fee arising from the authors claim on three subsequent occasions (9 September 1998, 28 July 1999 and 15 April 2005) and over a period of eight years before reaching a conclusion in favour of the authors. The Committee considers that the length of time taken to resolve this issue raises an admissible issue under article 14, paragraph 1, as well as article 2, paragraph 3, and should be considered on the merits. </w:t>
      </w:r>
      <w:r w:rsidRPr="00280A69">
        <w:t>Comité de Derechos Humanos Comunicación</w:t>
      </w:r>
      <w:r w:rsidRPr="00930699">
        <w:t xml:space="preserve"> No. 1320/2004, U.N. Doc. </w:t>
      </w:r>
      <w:r>
        <w:t>(</w:t>
      </w:r>
      <w:r w:rsidRPr="00280A69">
        <w:t>CCPR/C/89/D/1320/2004</w:t>
      </w:r>
      <w:r>
        <w:t>) 3 de abril 2007</w:t>
      </w:r>
      <w:r w:rsidRPr="00280A69">
        <w:t>, párr</w:t>
      </w:r>
      <w:r w:rsidRPr="00930699">
        <w:t>s</w:t>
      </w:r>
      <w:r w:rsidRPr="00280A69">
        <w:t>,1, 3, 8.3, 9.2 y 10</w:t>
      </w:r>
      <w:r>
        <w:t xml:space="preserve">; </w:t>
      </w:r>
      <w:r w:rsidRPr="006B3905">
        <w:rPr>
          <w:i/>
          <w:lang w:val="pt-BR"/>
        </w:rPr>
        <w:t xml:space="preserve">Caso de Davlatbibi Shukurova Vs. </w:t>
      </w:r>
      <w:r w:rsidRPr="006B3905">
        <w:rPr>
          <w:i/>
          <w:lang w:val="en-US"/>
        </w:rPr>
        <w:t>Tayikistán</w:t>
      </w:r>
      <w:r w:rsidRPr="006B3905">
        <w:rPr>
          <w:lang w:val="en-US"/>
        </w:rPr>
        <w:t>: The author claims that the facts set out above amount to a violation of the rights of Sherali and Dovud Nazriev under articles 6; 7; 9; and 14, paragraphs 1, 3 (b), (d), (e), (f), (g), and 5 of the Covenant. Although the author does not specifically invoke article 7 in her own respect, the communication also appears to raise issues under this provision.</w:t>
      </w:r>
      <w:r w:rsidRPr="006B3905">
        <w:rPr>
          <w:sz w:val="18"/>
          <w:lang w:val="en-US"/>
        </w:rPr>
        <w:t xml:space="preserve"> </w:t>
      </w:r>
      <w:r w:rsidRPr="00930699">
        <w:rPr>
          <w:lang w:val="es-MX"/>
        </w:rPr>
        <w:t xml:space="preserve">Comité de Derechos Humanos Comunicación </w:t>
      </w:r>
      <w:r w:rsidRPr="006B3905">
        <w:rPr>
          <w:lang w:val="es-MX"/>
        </w:rPr>
        <w:t>No. 1044/2002, U</w:t>
      </w:r>
      <w:r>
        <w:rPr>
          <w:lang w:val="es-MX"/>
        </w:rPr>
        <w:t>.N. Doc. (CCPR/C/86/D/1044/2002) marzo de 2006</w:t>
      </w:r>
      <w:r w:rsidRPr="00930699">
        <w:rPr>
          <w:lang w:val="es-MX"/>
        </w:rPr>
        <w:t>, párrs.1.1, 3, 8.2, 8.7 y</w:t>
      </w:r>
      <w:r>
        <w:rPr>
          <w:lang w:val="es-MX"/>
        </w:rPr>
        <w:t xml:space="preserve"> </w:t>
      </w:r>
      <w:r w:rsidRPr="00930699">
        <w:rPr>
          <w:lang w:val="es-MX"/>
        </w:rPr>
        <w:t>9</w:t>
      </w:r>
      <w:r>
        <w:rPr>
          <w:lang w:val="es-MX"/>
        </w:rPr>
        <w:t xml:space="preserve">. </w:t>
      </w:r>
      <w:r w:rsidR="00A41FEC" w:rsidRPr="006B3905">
        <w:rPr>
          <w:i/>
          <w:lang w:val="es-MX"/>
        </w:rPr>
        <w:t>Cfr.</w:t>
      </w:r>
      <w:r w:rsidR="00A41FEC">
        <w:rPr>
          <w:lang w:val="es-MX"/>
        </w:rPr>
        <w:t xml:space="preserve"> </w:t>
      </w:r>
      <w:r w:rsidR="00A41FEC" w:rsidRPr="006B3905">
        <w:rPr>
          <w:i/>
          <w:noProof w:val="0"/>
          <w:szCs w:val="16"/>
        </w:rPr>
        <w:t>Caso</w:t>
      </w:r>
      <w:r w:rsidR="00A41FEC" w:rsidRPr="006B3905">
        <w:rPr>
          <w:noProof w:val="0"/>
          <w:szCs w:val="16"/>
        </w:rPr>
        <w:t xml:space="preserve"> </w:t>
      </w:r>
      <w:proofErr w:type="spellStart"/>
      <w:r w:rsidR="00A41FEC" w:rsidRPr="006B3905">
        <w:rPr>
          <w:i/>
          <w:noProof w:val="0"/>
          <w:szCs w:val="16"/>
        </w:rPr>
        <w:t>Weerawansa</w:t>
      </w:r>
      <w:proofErr w:type="spellEnd"/>
      <w:r w:rsidR="00A41FEC" w:rsidRPr="006B3905">
        <w:rPr>
          <w:i/>
          <w:noProof w:val="0"/>
          <w:szCs w:val="16"/>
        </w:rPr>
        <w:t xml:space="preserve"> Vs. Sri Lanka</w:t>
      </w:r>
      <w:r w:rsidR="00A41FEC" w:rsidRPr="006B3905">
        <w:rPr>
          <w:noProof w:val="0"/>
          <w:szCs w:val="16"/>
        </w:rPr>
        <w:t xml:space="preserve">, Comité de Derechos Humanos Comunicación No. 1406/2005 (UN </w:t>
      </w:r>
      <w:proofErr w:type="spellStart"/>
      <w:r w:rsidR="00A41FEC" w:rsidRPr="006B3905">
        <w:rPr>
          <w:noProof w:val="0"/>
          <w:szCs w:val="16"/>
        </w:rPr>
        <w:t>Doc</w:t>
      </w:r>
      <w:proofErr w:type="spellEnd"/>
      <w:r w:rsidR="00A41FEC" w:rsidRPr="006B3905">
        <w:rPr>
          <w:noProof w:val="0"/>
          <w:szCs w:val="16"/>
        </w:rPr>
        <w:t xml:space="preserve"> CCPR/C/95/D/1406/2005) de 14 de mayo de 2009, </w:t>
      </w:r>
      <w:proofErr w:type="spellStart"/>
      <w:r w:rsidR="00A41FEC" w:rsidRPr="006B3905">
        <w:rPr>
          <w:noProof w:val="0"/>
          <w:szCs w:val="16"/>
        </w:rPr>
        <w:t>párrs</w:t>
      </w:r>
      <w:proofErr w:type="spellEnd"/>
      <w:r w:rsidR="00A41FEC" w:rsidRPr="006B3905">
        <w:rPr>
          <w:noProof w:val="0"/>
          <w:szCs w:val="16"/>
        </w:rPr>
        <w:t xml:space="preserve">, 1, 3.3, 7.4 y 8; </w:t>
      </w:r>
      <w:r w:rsidR="00A41FEC" w:rsidRPr="006B3905">
        <w:rPr>
          <w:i/>
          <w:noProof w:val="0"/>
          <w:szCs w:val="16"/>
        </w:rPr>
        <w:t xml:space="preserve">Caso </w:t>
      </w:r>
      <w:proofErr w:type="spellStart"/>
      <w:r w:rsidR="00A41FEC" w:rsidRPr="006B3905">
        <w:rPr>
          <w:i/>
          <w:noProof w:val="0"/>
          <w:szCs w:val="16"/>
          <w:lang w:val="es-CR"/>
        </w:rPr>
        <w:t>Boudjemai</w:t>
      </w:r>
      <w:proofErr w:type="spellEnd"/>
      <w:r w:rsidR="00A41FEC" w:rsidRPr="006B3905">
        <w:rPr>
          <w:i/>
          <w:noProof w:val="0"/>
          <w:szCs w:val="16"/>
          <w:lang w:val="es-CR"/>
        </w:rPr>
        <w:t xml:space="preserve"> Vs. </w:t>
      </w:r>
      <w:r w:rsidR="00A41FEC" w:rsidRPr="006B3905">
        <w:rPr>
          <w:i/>
          <w:noProof w:val="0"/>
          <w:szCs w:val="16"/>
        </w:rPr>
        <w:t>Argelia</w:t>
      </w:r>
      <w:r w:rsidR="00A41FEC" w:rsidRPr="006B3905">
        <w:rPr>
          <w:noProof w:val="0"/>
          <w:szCs w:val="16"/>
        </w:rPr>
        <w:t xml:space="preserve">, Comité de Derechos Humanos Comunicación No. 1791/2008 (UN </w:t>
      </w:r>
      <w:proofErr w:type="spellStart"/>
      <w:r w:rsidR="00A41FEC" w:rsidRPr="006B3905">
        <w:rPr>
          <w:noProof w:val="0"/>
          <w:szCs w:val="16"/>
        </w:rPr>
        <w:t>Doc</w:t>
      </w:r>
      <w:proofErr w:type="spellEnd"/>
      <w:r w:rsidR="00A41FEC" w:rsidRPr="006B3905">
        <w:rPr>
          <w:noProof w:val="0"/>
          <w:szCs w:val="16"/>
        </w:rPr>
        <w:t xml:space="preserve"> CCPR/C/107/D/1791/2008) 5 de junio de 2013, párr. 8.11 y 9. </w:t>
      </w:r>
      <w:r w:rsidR="00A41FEC" w:rsidRPr="006B3905">
        <w:rPr>
          <w:i/>
          <w:noProof w:val="0"/>
          <w:szCs w:val="16"/>
        </w:rPr>
        <w:t>Caso</w:t>
      </w:r>
      <w:r w:rsidR="00A41FEC" w:rsidRPr="006B3905">
        <w:rPr>
          <w:noProof w:val="0"/>
          <w:szCs w:val="16"/>
        </w:rPr>
        <w:t xml:space="preserve"> </w:t>
      </w:r>
      <w:proofErr w:type="spellStart"/>
      <w:r w:rsidR="00A41FEC" w:rsidRPr="006B3905">
        <w:rPr>
          <w:i/>
          <w:noProof w:val="0"/>
          <w:szCs w:val="16"/>
          <w:lang w:val="es-CR"/>
        </w:rPr>
        <w:t>Benaziza</w:t>
      </w:r>
      <w:proofErr w:type="spellEnd"/>
      <w:r w:rsidR="00A41FEC" w:rsidRPr="006B3905">
        <w:rPr>
          <w:i/>
          <w:noProof w:val="0"/>
          <w:szCs w:val="16"/>
          <w:lang w:val="es-CR"/>
        </w:rPr>
        <w:t xml:space="preserve"> Vs. </w:t>
      </w:r>
      <w:r w:rsidR="00A41FEC" w:rsidRPr="006B3905">
        <w:rPr>
          <w:i/>
          <w:noProof w:val="0"/>
          <w:szCs w:val="16"/>
          <w:lang w:val="es-MX"/>
        </w:rPr>
        <w:t>Argelia</w:t>
      </w:r>
      <w:r w:rsidR="00A41FEC" w:rsidRPr="006B3905">
        <w:rPr>
          <w:noProof w:val="0"/>
          <w:szCs w:val="16"/>
          <w:lang w:val="es-MX"/>
        </w:rPr>
        <w:t>,</w:t>
      </w:r>
      <w:r w:rsidR="00A41FEC" w:rsidRPr="006B3905">
        <w:rPr>
          <w:noProof w:val="0"/>
          <w:szCs w:val="16"/>
        </w:rPr>
        <w:t xml:space="preserve"> Comité de Derechos Humanos</w:t>
      </w:r>
      <w:r w:rsidR="00A41FEC" w:rsidRPr="006B3905">
        <w:rPr>
          <w:noProof w:val="0"/>
          <w:szCs w:val="16"/>
          <w:lang w:val="es-MX"/>
        </w:rPr>
        <w:t xml:space="preserve"> Comunicación No. 1588/2007 (CCPR/C/99/D/1588/2007) 16 de septiembre de 2010</w:t>
      </w:r>
      <w:proofErr w:type="gramStart"/>
      <w:r w:rsidR="00A41FEC" w:rsidRPr="006B3905">
        <w:rPr>
          <w:noProof w:val="0"/>
          <w:szCs w:val="16"/>
          <w:lang w:val="es-MX"/>
        </w:rPr>
        <w:t>,párrs</w:t>
      </w:r>
      <w:proofErr w:type="gramEnd"/>
      <w:r w:rsidR="00A41FEC" w:rsidRPr="006B3905">
        <w:rPr>
          <w:noProof w:val="0"/>
          <w:szCs w:val="16"/>
          <w:lang w:val="es-MX"/>
        </w:rPr>
        <w:t xml:space="preserve">. </w:t>
      </w:r>
      <w:r w:rsidR="00A41FEC" w:rsidRPr="006B3905">
        <w:rPr>
          <w:noProof w:val="0"/>
          <w:szCs w:val="16"/>
        </w:rPr>
        <w:t xml:space="preserve">9.9 y 10; </w:t>
      </w:r>
      <w:r w:rsidRPr="006B3905">
        <w:rPr>
          <w:i/>
          <w:lang w:val="es-MX"/>
        </w:rPr>
        <w:t>Cfr.</w:t>
      </w:r>
      <w:r>
        <w:rPr>
          <w:lang w:val="es-MX"/>
        </w:rPr>
        <w:t xml:space="preserve"> </w:t>
      </w:r>
      <w:r w:rsidRPr="00F0165D">
        <w:t xml:space="preserve">(UN Doc. </w:t>
      </w:r>
      <w:r>
        <w:t>CCPR/C/107/D/1917,1918,1925/2009&amp;1953/2010</w:t>
      </w:r>
      <w:r w:rsidRPr="0061070A">
        <w:t>)</w:t>
      </w:r>
      <w:r>
        <w:t xml:space="preserve"> (2013)</w:t>
      </w:r>
      <w:r w:rsidRPr="0061070A">
        <w:t>, Opinión independiente del Sr. Fabián Omar Salvioli</w:t>
      </w:r>
      <w:r w:rsidR="00A41FEC">
        <w:t>, miembro del Comité</w:t>
      </w:r>
      <w:r>
        <w:t xml:space="preserve">. </w:t>
      </w:r>
    </w:p>
  </w:footnote>
  <w:footnote w:id="5">
    <w:p w14:paraId="47F49036" w14:textId="14A9C908" w:rsidR="005C52D2" w:rsidRPr="006B3905" w:rsidRDefault="005C52D2" w:rsidP="0082528A">
      <w:pPr>
        <w:pStyle w:val="FootnoteText"/>
        <w:spacing w:before="0" w:after="0"/>
        <w:rPr>
          <w:lang w:val="es-CR"/>
        </w:rPr>
      </w:pPr>
      <w:r>
        <w:rPr>
          <w:rStyle w:val="FootnoteReference"/>
        </w:rPr>
        <w:footnoteRef/>
      </w:r>
      <w:r>
        <w:t xml:space="preserve"> </w:t>
      </w:r>
      <w:r>
        <w:rPr>
          <w:lang w:val="es-CR"/>
        </w:rPr>
        <w:t xml:space="preserve">Ver también artículos 112 y 150 del Protocolo de Reformas a la Carta de la 0rganizacion de los Estados Americanos </w:t>
      </w:r>
      <w:r w:rsidRPr="005C52D2">
        <w:rPr>
          <w:lang w:val="es-CR"/>
        </w:rPr>
        <w:t>(B-31)</w:t>
      </w:r>
      <w:r>
        <w:rPr>
          <w:lang w:val="es-CR"/>
        </w:rPr>
        <w:t xml:space="preserve"> "Protocolo de Buenos Aires", </w:t>
      </w:r>
      <w:r w:rsidRPr="005C52D2">
        <w:rPr>
          <w:lang w:val="es-CR"/>
        </w:rPr>
        <w:t>Suscrito en la Tercera Conferencia</w:t>
      </w:r>
      <w:r>
        <w:rPr>
          <w:lang w:val="es-CR"/>
        </w:rPr>
        <w:t xml:space="preserve"> Interamericana Extraordinaria. Buenos Aires, </w:t>
      </w:r>
      <w:r w:rsidRPr="005C52D2">
        <w:rPr>
          <w:lang w:val="es-CR"/>
        </w:rPr>
        <w:t>27 de febrero de 1967</w:t>
      </w:r>
      <w:r>
        <w:rPr>
          <w:lang w:val="es-C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4073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E7427"/>
    <w:multiLevelType w:val="hybridMultilevel"/>
    <w:tmpl w:val="6A4C77B4"/>
    <w:lvl w:ilvl="0" w:tplc="B4E8DDE4">
      <w:start w:val="1"/>
      <w:numFmt w:val="upperRoman"/>
      <w:pStyle w:val="Style1"/>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6852EF5"/>
    <w:multiLevelType w:val="hybridMultilevel"/>
    <w:tmpl w:val="862CA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297A49"/>
    <w:multiLevelType w:val="hybridMultilevel"/>
    <w:tmpl w:val="77A0AE3E"/>
    <w:lvl w:ilvl="0" w:tplc="2C5ADC88">
      <w:start w:val="1"/>
      <w:numFmt w:val="decimal"/>
      <w:lvlText w:val="%1."/>
      <w:lvlJc w:val="left"/>
      <w:pPr>
        <w:ind w:left="72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381F"/>
    <w:multiLevelType w:val="hybridMultilevel"/>
    <w:tmpl w:val="5CBE46E0"/>
    <w:lvl w:ilvl="0" w:tplc="2C5ADC88">
      <w:start w:val="1"/>
      <w:numFmt w:val="decimal"/>
      <w:lvlText w:val="%1."/>
      <w:lvlJc w:val="left"/>
      <w:pPr>
        <w:ind w:left="72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34B33"/>
    <w:multiLevelType w:val="hybridMultilevel"/>
    <w:tmpl w:val="12F8F2AA"/>
    <w:lvl w:ilvl="0" w:tplc="2C5ADC88">
      <w:start w:val="1"/>
      <w:numFmt w:val="decimal"/>
      <w:lvlText w:val="%1."/>
      <w:lvlJc w:val="left"/>
      <w:pPr>
        <w:ind w:left="54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610EB"/>
    <w:multiLevelType w:val="hybridMultilevel"/>
    <w:tmpl w:val="9B8CEB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8D3370"/>
    <w:multiLevelType w:val="hybridMultilevel"/>
    <w:tmpl w:val="112E8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727599"/>
    <w:multiLevelType w:val="hybridMultilevel"/>
    <w:tmpl w:val="C23870B2"/>
    <w:lvl w:ilvl="0" w:tplc="CF906F82">
      <w:start w:val="1"/>
      <w:numFmt w:val="decimal"/>
      <w:lvlText w:val="%1."/>
      <w:lvlJc w:val="left"/>
      <w:pPr>
        <w:ind w:left="360" w:hanging="360"/>
      </w:pPr>
      <w:rPr>
        <w:rFonts w:ascii="Verdana" w:eastAsia="Times New Roman" w:hAnsi="Verdana" w:cs="Times New Roman" w:hint="default"/>
        <w:b w:val="0"/>
        <w:i w:val="0"/>
        <w:color w:val="auto"/>
        <w:w w:val="10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DC170AD"/>
    <w:multiLevelType w:val="hybridMultilevel"/>
    <w:tmpl w:val="18F27358"/>
    <w:lvl w:ilvl="0" w:tplc="5F548F54">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62983BC2"/>
    <w:multiLevelType w:val="hybridMultilevel"/>
    <w:tmpl w:val="9AA663BC"/>
    <w:lvl w:ilvl="0" w:tplc="2C5ADC88">
      <w:start w:val="1"/>
      <w:numFmt w:val="decimal"/>
      <w:lvlText w:val="%1."/>
      <w:lvlJc w:val="left"/>
      <w:pPr>
        <w:ind w:left="72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342D4"/>
    <w:multiLevelType w:val="hybridMultilevel"/>
    <w:tmpl w:val="4E023912"/>
    <w:lvl w:ilvl="0" w:tplc="C6928D1E">
      <w:start w:val="1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3">
    <w:nsid w:val="7DFC7639"/>
    <w:multiLevelType w:val="hybridMultilevel"/>
    <w:tmpl w:val="94AC0070"/>
    <w:lvl w:ilvl="0" w:tplc="2C5ADC88">
      <w:start w:val="1"/>
      <w:numFmt w:val="decimal"/>
      <w:lvlText w:val="%1."/>
      <w:lvlJc w:val="left"/>
      <w:pPr>
        <w:ind w:left="72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12"/>
  </w:num>
  <w:num w:numId="5">
    <w:abstractNumId w:val="2"/>
  </w:num>
  <w:num w:numId="6">
    <w:abstractNumId w:val="9"/>
  </w:num>
  <w:num w:numId="7">
    <w:abstractNumId w:val="8"/>
  </w:num>
  <w:num w:numId="8">
    <w:abstractNumId w:val="7"/>
  </w:num>
  <w:num w:numId="9">
    <w:abstractNumId w:val="0"/>
  </w:num>
  <w:num w:numId="10">
    <w:abstractNumId w:val="1"/>
    <w:lvlOverride w:ilvl="0">
      <w:startOverride w:val="1"/>
    </w:lvlOverride>
  </w:num>
  <w:num w:numId="11">
    <w:abstractNumId w:val="5"/>
  </w:num>
  <w:num w:numId="12">
    <w:abstractNumId w:val="4"/>
  </w:num>
  <w:num w:numId="13">
    <w:abstractNumId w:val="13"/>
  </w:num>
  <w:num w:numId="14">
    <w:abstractNumId w:val="10"/>
  </w:num>
  <w:num w:numId="15">
    <w:abstractNumId w:val="3"/>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None" w15:userId="Roberto Caldas"/>
  </w15:person>
  <w15:person w15:author="Roberto de Figueiredo Caldas">
    <w15:presenceInfo w15:providerId="Windows Live" w15:userId="3ecbfbd815c9b80f"/>
  </w15:person>
  <w15:person w15:author="Mariana Prandini">
    <w15:presenceInfo w15:providerId="AD" w15:userId="S-1-5-21-2379405003-412669727-1085212029-18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UY" w:vendorID="64" w:dllVersion="6" w:nlCheck="1" w:checkStyle="1"/>
  <w:activeWritingStyle w:appName="MSWord" w:lang="es-ES" w:vendorID="64" w:dllVersion="6" w:nlCheck="1" w:checkStyle="1"/>
  <w:activeWritingStyle w:appName="MSWord" w:lang="es-CR" w:vendorID="64" w:dllVersion="0" w:nlCheck="1" w:checkStyle="0"/>
  <w:activeWritingStyle w:appName="MSWord" w:lang="es-MX" w:vendorID="64" w:dllVersion="0" w:nlCheck="1" w:checkStyle="0"/>
  <w:activeWritingStyle w:appName="MSWord" w:lang="es-UY"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_tradnl" w:vendorID="64" w:dllVersion="131078" w:nlCheck="1" w:checkStyle="1"/>
  <w:activeWritingStyle w:appName="MSWord" w:lang="es-MX"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00"/>
    <w:rsid w:val="00021172"/>
    <w:rsid w:val="0003098E"/>
    <w:rsid w:val="00032003"/>
    <w:rsid w:val="00041488"/>
    <w:rsid w:val="00041870"/>
    <w:rsid w:val="0006750E"/>
    <w:rsid w:val="00071B8B"/>
    <w:rsid w:val="00073ECE"/>
    <w:rsid w:val="00075933"/>
    <w:rsid w:val="0007755E"/>
    <w:rsid w:val="00081FF8"/>
    <w:rsid w:val="00090A8C"/>
    <w:rsid w:val="000C4450"/>
    <w:rsid w:val="000C5840"/>
    <w:rsid w:val="000D2716"/>
    <w:rsid w:val="000E03AD"/>
    <w:rsid w:val="000F2657"/>
    <w:rsid w:val="000F35A6"/>
    <w:rsid w:val="000F72A9"/>
    <w:rsid w:val="000F778B"/>
    <w:rsid w:val="00101C60"/>
    <w:rsid w:val="00112AF1"/>
    <w:rsid w:val="001142CB"/>
    <w:rsid w:val="00114E58"/>
    <w:rsid w:val="0011708A"/>
    <w:rsid w:val="00127CA7"/>
    <w:rsid w:val="00143A62"/>
    <w:rsid w:val="001509E7"/>
    <w:rsid w:val="00182036"/>
    <w:rsid w:val="001828F7"/>
    <w:rsid w:val="00186528"/>
    <w:rsid w:val="00186FF0"/>
    <w:rsid w:val="001932BE"/>
    <w:rsid w:val="00196545"/>
    <w:rsid w:val="001B4A46"/>
    <w:rsid w:val="001B58C7"/>
    <w:rsid w:val="001C469A"/>
    <w:rsid w:val="001D7E98"/>
    <w:rsid w:val="001E0DAB"/>
    <w:rsid w:val="001F529B"/>
    <w:rsid w:val="001F6F3A"/>
    <w:rsid w:val="00201669"/>
    <w:rsid w:val="002032CA"/>
    <w:rsid w:val="0020342F"/>
    <w:rsid w:val="00203701"/>
    <w:rsid w:val="002117A4"/>
    <w:rsid w:val="002179C5"/>
    <w:rsid w:val="0022277F"/>
    <w:rsid w:val="002273BE"/>
    <w:rsid w:val="00231682"/>
    <w:rsid w:val="00242FD7"/>
    <w:rsid w:val="00266E0D"/>
    <w:rsid w:val="00267C93"/>
    <w:rsid w:val="00280A69"/>
    <w:rsid w:val="00292EBB"/>
    <w:rsid w:val="00293079"/>
    <w:rsid w:val="002934BD"/>
    <w:rsid w:val="002A4B9C"/>
    <w:rsid w:val="002B2A3F"/>
    <w:rsid w:val="002C137D"/>
    <w:rsid w:val="002C7E9A"/>
    <w:rsid w:val="002D6E42"/>
    <w:rsid w:val="002E1E83"/>
    <w:rsid w:val="002E394D"/>
    <w:rsid w:val="002E46CF"/>
    <w:rsid w:val="002F0286"/>
    <w:rsid w:val="002F0569"/>
    <w:rsid w:val="00311829"/>
    <w:rsid w:val="003178A2"/>
    <w:rsid w:val="00321CB6"/>
    <w:rsid w:val="0033402A"/>
    <w:rsid w:val="00351E4F"/>
    <w:rsid w:val="0035371B"/>
    <w:rsid w:val="003540F6"/>
    <w:rsid w:val="0036073A"/>
    <w:rsid w:val="00383B27"/>
    <w:rsid w:val="00383C6C"/>
    <w:rsid w:val="00387EF0"/>
    <w:rsid w:val="003B265B"/>
    <w:rsid w:val="003C5D59"/>
    <w:rsid w:val="003D0681"/>
    <w:rsid w:val="003E0D48"/>
    <w:rsid w:val="003E3121"/>
    <w:rsid w:val="003F382F"/>
    <w:rsid w:val="003F3F31"/>
    <w:rsid w:val="004067CF"/>
    <w:rsid w:val="00414C4C"/>
    <w:rsid w:val="0041736A"/>
    <w:rsid w:val="00423DF2"/>
    <w:rsid w:val="0044708D"/>
    <w:rsid w:val="00456712"/>
    <w:rsid w:val="0046289C"/>
    <w:rsid w:val="00463388"/>
    <w:rsid w:val="00464213"/>
    <w:rsid w:val="00470E44"/>
    <w:rsid w:val="00474FBE"/>
    <w:rsid w:val="00493032"/>
    <w:rsid w:val="00496B7F"/>
    <w:rsid w:val="004A476E"/>
    <w:rsid w:val="004A73F4"/>
    <w:rsid w:val="004C1D22"/>
    <w:rsid w:val="004C6515"/>
    <w:rsid w:val="004D178A"/>
    <w:rsid w:val="004D4C87"/>
    <w:rsid w:val="004D5C10"/>
    <w:rsid w:val="004D5ECA"/>
    <w:rsid w:val="004F42E3"/>
    <w:rsid w:val="005109DF"/>
    <w:rsid w:val="00512690"/>
    <w:rsid w:val="00513F2B"/>
    <w:rsid w:val="005144EE"/>
    <w:rsid w:val="00516F9D"/>
    <w:rsid w:val="005374F5"/>
    <w:rsid w:val="005537F4"/>
    <w:rsid w:val="0056340F"/>
    <w:rsid w:val="00563C9E"/>
    <w:rsid w:val="00566BDD"/>
    <w:rsid w:val="00567078"/>
    <w:rsid w:val="00584A8B"/>
    <w:rsid w:val="0059417A"/>
    <w:rsid w:val="005A18AF"/>
    <w:rsid w:val="005A5235"/>
    <w:rsid w:val="005A739A"/>
    <w:rsid w:val="005A7DAE"/>
    <w:rsid w:val="005B10E5"/>
    <w:rsid w:val="005B2EFF"/>
    <w:rsid w:val="005C52D2"/>
    <w:rsid w:val="005D2762"/>
    <w:rsid w:val="005D4788"/>
    <w:rsid w:val="005E1025"/>
    <w:rsid w:val="00601067"/>
    <w:rsid w:val="00601C64"/>
    <w:rsid w:val="0060779E"/>
    <w:rsid w:val="006168F0"/>
    <w:rsid w:val="00617E95"/>
    <w:rsid w:val="00620000"/>
    <w:rsid w:val="006327E4"/>
    <w:rsid w:val="00635AD7"/>
    <w:rsid w:val="00655EC4"/>
    <w:rsid w:val="00665741"/>
    <w:rsid w:val="00665AB8"/>
    <w:rsid w:val="006666D0"/>
    <w:rsid w:val="006670D8"/>
    <w:rsid w:val="00673090"/>
    <w:rsid w:val="00673333"/>
    <w:rsid w:val="006806F7"/>
    <w:rsid w:val="00681D25"/>
    <w:rsid w:val="006831B9"/>
    <w:rsid w:val="006A5EAF"/>
    <w:rsid w:val="006B12CC"/>
    <w:rsid w:val="006B3905"/>
    <w:rsid w:val="006C0A63"/>
    <w:rsid w:val="006C757E"/>
    <w:rsid w:val="006E1ECA"/>
    <w:rsid w:val="006F5574"/>
    <w:rsid w:val="006F6B46"/>
    <w:rsid w:val="00700B4B"/>
    <w:rsid w:val="007020DC"/>
    <w:rsid w:val="00710F9E"/>
    <w:rsid w:val="007119BF"/>
    <w:rsid w:val="0072013D"/>
    <w:rsid w:val="007318D2"/>
    <w:rsid w:val="00734687"/>
    <w:rsid w:val="007449F8"/>
    <w:rsid w:val="0075568F"/>
    <w:rsid w:val="00760D5E"/>
    <w:rsid w:val="00763F4A"/>
    <w:rsid w:val="00765EC7"/>
    <w:rsid w:val="00783009"/>
    <w:rsid w:val="007B1ACB"/>
    <w:rsid w:val="007B4535"/>
    <w:rsid w:val="007C73D6"/>
    <w:rsid w:val="007F25D8"/>
    <w:rsid w:val="00801075"/>
    <w:rsid w:val="00801E79"/>
    <w:rsid w:val="00802C0F"/>
    <w:rsid w:val="0080333D"/>
    <w:rsid w:val="00805EFC"/>
    <w:rsid w:val="008061A9"/>
    <w:rsid w:val="00815999"/>
    <w:rsid w:val="0082528A"/>
    <w:rsid w:val="008346DB"/>
    <w:rsid w:val="00840962"/>
    <w:rsid w:val="00862DD9"/>
    <w:rsid w:val="0086488D"/>
    <w:rsid w:val="00880C49"/>
    <w:rsid w:val="008915C4"/>
    <w:rsid w:val="00892513"/>
    <w:rsid w:val="008B0CD8"/>
    <w:rsid w:val="008C117F"/>
    <w:rsid w:val="008D6528"/>
    <w:rsid w:val="008D73F2"/>
    <w:rsid w:val="008F1300"/>
    <w:rsid w:val="00900BB3"/>
    <w:rsid w:val="00904512"/>
    <w:rsid w:val="00907D43"/>
    <w:rsid w:val="00913000"/>
    <w:rsid w:val="00922169"/>
    <w:rsid w:val="00926A1B"/>
    <w:rsid w:val="0092735B"/>
    <w:rsid w:val="00927FF2"/>
    <w:rsid w:val="00930699"/>
    <w:rsid w:val="009439C4"/>
    <w:rsid w:val="00952F6E"/>
    <w:rsid w:val="0095504F"/>
    <w:rsid w:val="00966265"/>
    <w:rsid w:val="00967514"/>
    <w:rsid w:val="00977B9C"/>
    <w:rsid w:val="009804AE"/>
    <w:rsid w:val="00983A81"/>
    <w:rsid w:val="009867D6"/>
    <w:rsid w:val="0099010A"/>
    <w:rsid w:val="00996BCF"/>
    <w:rsid w:val="009A6386"/>
    <w:rsid w:val="009B12C5"/>
    <w:rsid w:val="009B2270"/>
    <w:rsid w:val="009D6C7E"/>
    <w:rsid w:val="009E0014"/>
    <w:rsid w:val="009E2FC9"/>
    <w:rsid w:val="009E55AF"/>
    <w:rsid w:val="009E7056"/>
    <w:rsid w:val="009E71B6"/>
    <w:rsid w:val="009F570F"/>
    <w:rsid w:val="00A00FFD"/>
    <w:rsid w:val="00A05907"/>
    <w:rsid w:val="00A129E8"/>
    <w:rsid w:val="00A1762B"/>
    <w:rsid w:val="00A2097C"/>
    <w:rsid w:val="00A3147D"/>
    <w:rsid w:val="00A34838"/>
    <w:rsid w:val="00A36264"/>
    <w:rsid w:val="00A4003D"/>
    <w:rsid w:val="00A41FEC"/>
    <w:rsid w:val="00A4797B"/>
    <w:rsid w:val="00A61057"/>
    <w:rsid w:val="00A65325"/>
    <w:rsid w:val="00A660C1"/>
    <w:rsid w:val="00A72AB1"/>
    <w:rsid w:val="00A770D3"/>
    <w:rsid w:val="00A8740E"/>
    <w:rsid w:val="00A9048F"/>
    <w:rsid w:val="00A91389"/>
    <w:rsid w:val="00AA657A"/>
    <w:rsid w:val="00AB24AA"/>
    <w:rsid w:val="00B112D5"/>
    <w:rsid w:val="00B1130D"/>
    <w:rsid w:val="00B220F3"/>
    <w:rsid w:val="00B2705B"/>
    <w:rsid w:val="00B27D2C"/>
    <w:rsid w:val="00B41DEA"/>
    <w:rsid w:val="00B54858"/>
    <w:rsid w:val="00B55FD7"/>
    <w:rsid w:val="00B56ECE"/>
    <w:rsid w:val="00B66DE0"/>
    <w:rsid w:val="00B9568D"/>
    <w:rsid w:val="00BA19E8"/>
    <w:rsid w:val="00BB49C4"/>
    <w:rsid w:val="00BB4CBA"/>
    <w:rsid w:val="00BC5307"/>
    <w:rsid w:val="00BC7F66"/>
    <w:rsid w:val="00BE0338"/>
    <w:rsid w:val="00BF20AC"/>
    <w:rsid w:val="00BF2746"/>
    <w:rsid w:val="00BF76D0"/>
    <w:rsid w:val="00C00310"/>
    <w:rsid w:val="00C01459"/>
    <w:rsid w:val="00C02258"/>
    <w:rsid w:val="00C04CA0"/>
    <w:rsid w:val="00C06201"/>
    <w:rsid w:val="00C24E4B"/>
    <w:rsid w:val="00C26DD4"/>
    <w:rsid w:val="00C336CA"/>
    <w:rsid w:val="00C41C05"/>
    <w:rsid w:val="00C647BB"/>
    <w:rsid w:val="00C7184F"/>
    <w:rsid w:val="00C93831"/>
    <w:rsid w:val="00C96D6B"/>
    <w:rsid w:val="00CA01C6"/>
    <w:rsid w:val="00CB04F6"/>
    <w:rsid w:val="00CB3FE5"/>
    <w:rsid w:val="00CD0592"/>
    <w:rsid w:val="00CD124E"/>
    <w:rsid w:val="00CD2A5E"/>
    <w:rsid w:val="00CF3B07"/>
    <w:rsid w:val="00D01589"/>
    <w:rsid w:val="00D02FA5"/>
    <w:rsid w:val="00D07299"/>
    <w:rsid w:val="00D33C83"/>
    <w:rsid w:val="00D34990"/>
    <w:rsid w:val="00D367A7"/>
    <w:rsid w:val="00D37B19"/>
    <w:rsid w:val="00D556A7"/>
    <w:rsid w:val="00D67B83"/>
    <w:rsid w:val="00D71F83"/>
    <w:rsid w:val="00D732E8"/>
    <w:rsid w:val="00D77B43"/>
    <w:rsid w:val="00DA00DF"/>
    <w:rsid w:val="00DA13C3"/>
    <w:rsid w:val="00DA5706"/>
    <w:rsid w:val="00DA7512"/>
    <w:rsid w:val="00DB47CE"/>
    <w:rsid w:val="00DB6501"/>
    <w:rsid w:val="00DD49A6"/>
    <w:rsid w:val="00E03CBA"/>
    <w:rsid w:val="00E1241F"/>
    <w:rsid w:val="00E125EC"/>
    <w:rsid w:val="00E27A2B"/>
    <w:rsid w:val="00E27F74"/>
    <w:rsid w:val="00E35350"/>
    <w:rsid w:val="00E44B6C"/>
    <w:rsid w:val="00E55696"/>
    <w:rsid w:val="00E56D41"/>
    <w:rsid w:val="00E61C51"/>
    <w:rsid w:val="00E64DA7"/>
    <w:rsid w:val="00E84FD0"/>
    <w:rsid w:val="00E85D82"/>
    <w:rsid w:val="00E85F95"/>
    <w:rsid w:val="00EB6C79"/>
    <w:rsid w:val="00F075C3"/>
    <w:rsid w:val="00F371BA"/>
    <w:rsid w:val="00F51439"/>
    <w:rsid w:val="00F605CD"/>
    <w:rsid w:val="00F63AC6"/>
    <w:rsid w:val="00F72859"/>
    <w:rsid w:val="00F86E30"/>
    <w:rsid w:val="00F9597F"/>
    <w:rsid w:val="00F9613E"/>
    <w:rsid w:val="00FA0937"/>
    <w:rsid w:val="00FA25F6"/>
    <w:rsid w:val="00FA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A7"/>
    <w:pPr>
      <w:spacing w:after="0" w:line="240" w:lineRule="auto"/>
      <w:jc w:val="both"/>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ootnote Char,List Paragraph1 Char,Colorful List - Accent 11 Char"/>
    <w:link w:val="ListParagraph"/>
    <w:uiPriority w:val="99"/>
    <w:locked/>
    <w:rsid w:val="00D367A7"/>
    <w:rPr>
      <w:rFonts w:ascii="Calibri" w:eastAsia="Times New Roman" w:hAnsi="Calibri" w:cs="Times New Roman"/>
      <w:lang w:val="es-ES"/>
    </w:rPr>
  </w:style>
  <w:style w:type="paragraph" w:styleId="ListParagraph">
    <w:name w:val="List Paragraph"/>
    <w:aliases w:val="Footnote,List Paragraph1,Colorful List - Accent 11"/>
    <w:basedOn w:val="Normal"/>
    <w:link w:val="ListParagraphChar"/>
    <w:uiPriority w:val="99"/>
    <w:qFormat/>
    <w:rsid w:val="00D367A7"/>
    <w:pPr>
      <w:spacing w:after="200" w:line="276" w:lineRule="auto"/>
      <w:ind w:left="720"/>
      <w:contextualSpacing/>
      <w:jc w:val="left"/>
    </w:pPr>
    <w:rPr>
      <w:rFonts w:ascii="Calibri" w:hAnsi="Calibri"/>
      <w:sz w:val="22"/>
      <w:szCs w:val="22"/>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qFormat/>
    <w:rsid w:val="00BB4CBA"/>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
    <w:basedOn w:val="Normal"/>
    <w:link w:val="FootnoteTextChar1"/>
    <w:unhideWhenUsed/>
    <w:qFormat/>
    <w:rsid w:val="00BB4CBA"/>
    <w:pPr>
      <w:spacing w:before="120" w:after="120"/>
    </w:pPr>
    <w:rPr>
      <w:rFonts w:eastAsia="Batang" w:cs="Times"/>
      <w:noProof/>
      <w:sz w:val="16"/>
      <w:szCs w:val="20"/>
      <w:lang w:val="es-ES_tradnl"/>
    </w:rPr>
  </w:style>
  <w:style w:type="character" w:customStyle="1" w:styleId="FootnoteTextChar">
    <w:name w:val="Footnote Text Char"/>
    <w:aliases w:val="FA Fußnotentext Char,FA Fuﬂnotentext Char,C Char"/>
    <w:basedOn w:val="DefaultParagraphFont"/>
    <w:rsid w:val="00BB4CBA"/>
    <w:rPr>
      <w:rFonts w:ascii="Verdana" w:eastAsia="Times New Roman" w:hAnsi="Verdana"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
    <w:basedOn w:val="DefaultParagraphFont"/>
    <w:link w:val="FootnoteText"/>
    <w:uiPriority w:val="99"/>
    <w:rsid w:val="00BB4CBA"/>
    <w:rPr>
      <w:rFonts w:ascii="Verdana" w:eastAsia="Batang" w:hAnsi="Verdana" w:cs="Times"/>
      <w:noProof/>
      <w:sz w:val="16"/>
      <w:szCs w:val="20"/>
      <w:lang w:val="es-ES_tradnl"/>
    </w:rPr>
  </w:style>
  <w:style w:type="character" w:customStyle="1" w:styleId="PrrafodeSentenciaChar">
    <w:name w:val="*. Párrafo de Sentencia Char"/>
    <w:locked/>
    <w:rsid w:val="0020342F"/>
    <w:rPr>
      <w:rFonts w:ascii="Verdana" w:eastAsia="Batang" w:hAnsi="Verdana" w:cs="Arial"/>
      <w:sz w:val="20"/>
      <w:szCs w:val="20"/>
      <w:lang w:val="es-UY" w:eastAsia="es-MX"/>
    </w:rPr>
  </w:style>
  <w:style w:type="paragraph" w:customStyle="1" w:styleId="Style1">
    <w:name w:val="Style1"/>
    <w:basedOn w:val="ListParagraph"/>
    <w:link w:val="Style1Char"/>
    <w:qFormat/>
    <w:rsid w:val="006666D0"/>
    <w:pPr>
      <w:numPr>
        <w:numId w:val="1"/>
      </w:numPr>
      <w:spacing w:after="160" w:line="256" w:lineRule="auto"/>
      <w:jc w:val="center"/>
    </w:pPr>
    <w:rPr>
      <w:rFonts w:ascii="Verdana" w:hAnsi="Verdana"/>
      <w:b/>
      <w:sz w:val="20"/>
      <w:szCs w:val="20"/>
      <w:u w:val="single"/>
      <w:lang w:val="es-MX"/>
    </w:rPr>
  </w:style>
  <w:style w:type="character" w:styleId="CommentReference">
    <w:name w:val="annotation reference"/>
    <w:basedOn w:val="DefaultParagraphFont"/>
    <w:uiPriority w:val="99"/>
    <w:semiHidden/>
    <w:unhideWhenUsed/>
    <w:rsid w:val="00C06201"/>
    <w:rPr>
      <w:sz w:val="16"/>
      <w:szCs w:val="16"/>
    </w:rPr>
  </w:style>
  <w:style w:type="character" w:customStyle="1" w:styleId="Style1Char">
    <w:name w:val="Style1 Char"/>
    <w:basedOn w:val="ListParagraphChar"/>
    <w:link w:val="Style1"/>
    <w:rsid w:val="006666D0"/>
    <w:rPr>
      <w:rFonts w:ascii="Verdana" w:eastAsia="Times New Roman" w:hAnsi="Verdana" w:cs="Times New Roman"/>
      <w:b/>
      <w:sz w:val="20"/>
      <w:szCs w:val="20"/>
      <w:u w:val="single"/>
      <w:lang w:val="es-MX"/>
    </w:rPr>
  </w:style>
  <w:style w:type="paragraph" w:styleId="CommentText">
    <w:name w:val="annotation text"/>
    <w:basedOn w:val="Normal"/>
    <w:link w:val="CommentTextChar"/>
    <w:uiPriority w:val="99"/>
    <w:semiHidden/>
    <w:unhideWhenUsed/>
    <w:rsid w:val="00C06201"/>
    <w:rPr>
      <w:szCs w:val="20"/>
    </w:rPr>
  </w:style>
  <w:style w:type="character" w:customStyle="1" w:styleId="CommentTextChar">
    <w:name w:val="Comment Text Char"/>
    <w:basedOn w:val="DefaultParagraphFont"/>
    <w:link w:val="CommentText"/>
    <w:uiPriority w:val="99"/>
    <w:semiHidden/>
    <w:rsid w:val="00C0620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06201"/>
    <w:rPr>
      <w:b/>
      <w:bCs/>
    </w:rPr>
  </w:style>
  <w:style w:type="character" w:customStyle="1" w:styleId="CommentSubjectChar">
    <w:name w:val="Comment Subject Char"/>
    <w:basedOn w:val="CommentTextChar"/>
    <w:link w:val="CommentSubject"/>
    <w:uiPriority w:val="99"/>
    <w:semiHidden/>
    <w:rsid w:val="00C0620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C06201"/>
    <w:rPr>
      <w:rFonts w:ascii="Tahoma" w:hAnsi="Tahoma" w:cs="Tahoma"/>
      <w:sz w:val="16"/>
      <w:szCs w:val="16"/>
    </w:rPr>
  </w:style>
  <w:style w:type="character" w:customStyle="1" w:styleId="BalloonTextChar">
    <w:name w:val="Balloon Text Char"/>
    <w:basedOn w:val="DefaultParagraphFont"/>
    <w:link w:val="BalloonText"/>
    <w:uiPriority w:val="99"/>
    <w:semiHidden/>
    <w:rsid w:val="00C06201"/>
    <w:rPr>
      <w:rFonts w:ascii="Tahoma" w:eastAsia="Times New Roman"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43A62"/>
    <w:pPr>
      <w:ind w:firstLine="720"/>
    </w:pPr>
    <w:rPr>
      <w:rFonts w:asciiTheme="minorHAnsi" w:eastAsiaTheme="minorHAnsi" w:hAnsiTheme="minorHAnsi"/>
      <w:sz w:val="22"/>
      <w:szCs w:val="20"/>
      <w:vertAlign w:val="superscript"/>
    </w:rPr>
  </w:style>
  <w:style w:type="paragraph" w:styleId="Revision">
    <w:name w:val="Revision"/>
    <w:hidden/>
    <w:uiPriority w:val="99"/>
    <w:semiHidden/>
    <w:rsid w:val="001828F7"/>
    <w:pPr>
      <w:spacing w:after="0" w:line="240" w:lineRule="auto"/>
    </w:pPr>
    <w:rPr>
      <w:rFonts w:ascii="Verdana" w:eastAsia="Times New Roman" w:hAnsi="Verdana" w:cs="Times New Roman"/>
      <w:sz w:val="20"/>
      <w:szCs w:val="24"/>
    </w:rPr>
  </w:style>
  <w:style w:type="paragraph" w:styleId="Header">
    <w:name w:val="header"/>
    <w:basedOn w:val="Normal"/>
    <w:link w:val="HeaderChar"/>
    <w:uiPriority w:val="99"/>
    <w:unhideWhenUsed/>
    <w:rsid w:val="00C7184F"/>
    <w:pPr>
      <w:tabs>
        <w:tab w:val="center" w:pos="4419"/>
        <w:tab w:val="right" w:pos="8838"/>
      </w:tabs>
    </w:pPr>
  </w:style>
  <w:style w:type="character" w:customStyle="1" w:styleId="HeaderChar">
    <w:name w:val="Header Char"/>
    <w:basedOn w:val="DefaultParagraphFont"/>
    <w:link w:val="Header"/>
    <w:uiPriority w:val="99"/>
    <w:rsid w:val="00C7184F"/>
    <w:rPr>
      <w:rFonts w:ascii="Verdana" w:eastAsia="Times New Roman" w:hAnsi="Verdana" w:cs="Times New Roman"/>
      <w:sz w:val="20"/>
      <w:szCs w:val="24"/>
    </w:rPr>
  </w:style>
  <w:style w:type="paragraph" w:styleId="Footer">
    <w:name w:val="footer"/>
    <w:basedOn w:val="Normal"/>
    <w:link w:val="FooterChar"/>
    <w:uiPriority w:val="99"/>
    <w:unhideWhenUsed/>
    <w:rsid w:val="00C7184F"/>
    <w:pPr>
      <w:tabs>
        <w:tab w:val="center" w:pos="4419"/>
        <w:tab w:val="right" w:pos="8838"/>
      </w:tabs>
    </w:pPr>
  </w:style>
  <w:style w:type="character" w:customStyle="1" w:styleId="FooterChar">
    <w:name w:val="Footer Char"/>
    <w:basedOn w:val="DefaultParagraphFont"/>
    <w:link w:val="Footer"/>
    <w:uiPriority w:val="99"/>
    <w:rsid w:val="00C7184F"/>
    <w:rPr>
      <w:rFonts w:ascii="Verdana" w:eastAsia="Times New Roman" w:hAnsi="Verdana" w:cs="Times New Roman"/>
      <w:sz w:val="20"/>
      <w:szCs w:val="24"/>
    </w:rPr>
  </w:style>
  <w:style w:type="paragraph" w:styleId="ListBullet">
    <w:name w:val="List Bullet"/>
    <w:basedOn w:val="Normal"/>
    <w:uiPriority w:val="99"/>
    <w:unhideWhenUsed/>
    <w:rsid w:val="00926A1B"/>
    <w:pPr>
      <w:numPr>
        <w:numId w:val="9"/>
      </w:numPr>
      <w:contextualSpacing/>
    </w:pPr>
  </w:style>
  <w:style w:type="paragraph" w:styleId="Quote">
    <w:name w:val="Quote"/>
    <w:basedOn w:val="Normal"/>
    <w:next w:val="Normal"/>
    <w:link w:val="QuoteChar"/>
    <w:uiPriority w:val="29"/>
    <w:qFormat/>
    <w:rsid w:val="008346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46DB"/>
    <w:rPr>
      <w:rFonts w:ascii="Verdana" w:eastAsia="Times New Roman" w:hAnsi="Verdana" w:cs="Times New Roman"/>
      <w:i/>
      <w:iCs/>
      <w:color w:val="404040" w:themeColor="text1" w:themeTint="BF"/>
      <w:sz w:val="20"/>
      <w:szCs w:val="24"/>
    </w:rPr>
  </w:style>
  <w:style w:type="character" w:styleId="LineNumber">
    <w:name w:val="line number"/>
    <w:basedOn w:val="DefaultParagraphFont"/>
    <w:uiPriority w:val="99"/>
    <w:semiHidden/>
    <w:unhideWhenUsed/>
    <w:rsid w:val="00620000"/>
  </w:style>
  <w:style w:type="paragraph" w:styleId="NormalWeb">
    <w:name w:val="Normal (Web)"/>
    <w:aliases w:val="Normal (Web) Char1,Normal (Web) Char Char,Normal (Web) Char1 Char,Normal (Web) Char Char Char"/>
    <w:basedOn w:val="Normal"/>
    <w:uiPriority w:val="99"/>
    <w:unhideWhenUsed/>
    <w:rsid w:val="00280A69"/>
    <w:pPr>
      <w:spacing w:before="100" w:beforeAutospacing="1" w:after="100" w:afterAutospacing="1"/>
      <w:jc w:val="left"/>
    </w:pPr>
    <w:rPr>
      <w:rFonts w:ascii="Times New Roman" w:hAnsi="Times New Roman"/>
      <w:sz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A7"/>
    <w:pPr>
      <w:spacing w:after="0" w:line="240" w:lineRule="auto"/>
      <w:jc w:val="both"/>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ootnote Char,List Paragraph1 Char,Colorful List - Accent 11 Char"/>
    <w:link w:val="ListParagraph"/>
    <w:uiPriority w:val="99"/>
    <w:locked/>
    <w:rsid w:val="00D367A7"/>
    <w:rPr>
      <w:rFonts w:ascii="Calibri" w:eastAsia="Times New Roman" w:hAnsi="Calibri" w:cs="Times New Roman"/>
      <w:lang w:val="es-ES"/>
    </w:rPr>
  </w:style>
  <w:style w:type="paragraph" w:styleId="ListParagraph">
    <w:name w:val="List Paragraph"/>
    <w:aliases w:val="Footnote,List Paragraph1,Colorful List - Accent 11"/>
    <w:basedOn w:val="Normal"/>
    <w:link w:val="ListParagraphChar"/>
    <w:uiPriority w:val="99"/>
    <w:qFormat/>
    <w:rsid w:val="00D367A7"/>
    <w:pPr>
      <w:spacing w:after="200" w:line="276" w:lineRule="auto"/>
      <w:ind w:left="720"/>
      <w:contextualSpacing/>
      <w:jc w:val="left"/>
    </w:pPr>
    <w:rPr>
      <w:rFonts w:ascii="Calibri" w:hAnsi="Calibri"/>
      <w:sz w:val="22"/>
      <w:szCs w:val="22"/>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qFormat/>
    <w:rsid w:val="00BB4CBA"/>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
    <w:basedOn w:val="Normal"/>
    <w:link w:val="FootnoteTextChar1"/>
    <w:unhideWhenUsed/>
    <w:qFormat/>
    <w:rsid w:val="00BB4CBA"/>
    <w:pPr>
      <w:spacing w:before="120" w:after="120"/>
    </w:pPr>
    <w:rPr>
      <w:rFonts w:eastAsia="Batang" w:cs="Times"/>
      <w:noProof/>
      <w:sz w:val="16"/>
      <w:szCs w:val="20"/>
      <w:lang w:val="es-ES_tradnl"/>
    </w:rPr>
  </w:style>
  <w:style w:type="character" w:customStyle="1" w:styleId="FootnoteTextChar">
    <w:name w:val="Footnote Text Char"/>
    <w:aliases w:val="FA Fußnotentext Char,FA Fuﬂnotentext Char,C Char"/>
    <w:basedOn w:val="DefaultParagraphFont"/>
    <w:rsid w:val="00BB4CBA"/>
    <w:rPr>
      <w:rFonts w:ascii="Verdana" w:eastAsia="Times New Roman" w:hAnsi="Verdana"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
    <w:basedOn w:val="DefaultParagraphFont"/>
    <w:link w:val="FootnoteText"/>
    <w:uiPriority w:val="99"/>
    <w:rsid w:val="00BB4CBA"/>
    <w:rPr>
      <w:rFonts w:ascii="Verdana" w:eastAsia="Batang" w:hAnsi="Verdana" w:cs="Times"/>
      <w:noProof/>
      <w:sz w:val="16"/>
      <w:szCs w:val="20"/>
      <w:lang w:val="es-ES_tradnl"/>
    </w:rPr>
  </w:style>
  <w:style w:type="character" w:customStyle="1" w:styleId="PrrafodeSentenciaChar">
    <w:name w:val="*. Párrafo de Sentencia Char"/>
    <w:locked/>
    <w:rsid w:val="0020342F"/>
    <w:rPr>
      <w:rFonts w:ascii="Verdana" w:eastAsia="Batang" w:hAnsi="Verdana" w:cs="Arial"/>
      <w:sz w:val="20"/>
      <w:szCs w:val="20"/>
      <w:lang w:val="es-UY" w:eastAsia="es-MX"/>
    </w:rPr>
  </w:style>
  <w:style w:type="paragraph" w:customStyle="1" w:styleId="Style1">
    <w:name w:val="Style1"/>
    <w:basedOn w:val="ListParagraph"/>
    <w:link w:val="Style1Char"/>
    <w:qFormat/>
    <w:rsid w:val="006666D0"/>
    <w:pPr>
      <w:numPr>
        <w:numId w:val="1"/>
      </w:numPr>
      <w:spacing w:after="160" w:line="256" w:lineRule="auto"/>
      <w:jc w:val="center"/>
    </w:pPr>
    <w:rPr>
      <w:rFonts w:ascii="Verdana" w:hAnsi="Verdana"/>
      <w:b/>
      <w:sz w:val="20"/>
      <w:szCs w:val="20"/>
      <w:u w:val="single"/>
      <w:lang w:val="es-MX"/>
    </w:rPr>
  </w:style>
  <w:style w:type="character" w:styleId="CommentReference">
    <w:name w:val="annotation reference"/>
    <w:basedOn w:val="DefaultParagraphFont"/>
    <w:uiPriority w:val="99"/>
    <w:semiHidden/>
    <w:unhideWhenUsed/>
    <w:rsid w:val="00C06201"/>
    <w:rPr>
      <w:sz w:val="16"/>
      <w:szCs w:val="16"/>
    </w:rPr>
  </w:style>
  <w:style w:type="character" w:customStyle="1" w:styleId="Style1Char">
    <w:name w:val="Style1 Char"/>
    <w:basedOn w:val="ListParagraphChar"/>
    <w:link w:val="Style1"/>
    <w:rsid w:val="006666D0"/>
    <w:rPr>
      <w:rFonts w:ascii="Verdana" w:eastAsia="Times New Roman" w:hAnsi="Verdana" w:cs="Times New Roman"/>
      <w:b/>
      <w:sz w:val="20"/>
      <w:szCs w:val="20"/>
      <w:u w:val="single"/>
      <w:lang w:val="es-MX"/>
    </w:rPr>
  </w:style>
  <w:style w:type="paragraph" w:styleId="CommentText">
    <w:name w:val="annotation text"/>
    <w:basedOn w:val="Normal"/>
    <w:link w:val="CommentTextChar"/>
    <w:uiPriority w:val="99"/>
    <w:semiHidden/>
    <w:unhideWhenUsed/>
    <w:rsid w:val="00C06201"/>
    <w:rPr>
      <w:szCs w:val="20"/>
    </w:rPr>
  </w:style>
  <w:style w:type="character" w:customStyle="1" w:styleId="CommentTextChar">
    <w:name w:val="Comment Text Char"/>
    <w:basedOn w:val="DefaultParagraphFont"/>
    <w:link w:val="CommentText"/>
    <w:uiPriority w:val="99"/>
    <w:semiHidden/>
    <w:rsid w:val="00C0620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06201"/>
    <w:rPr>
      <w:b/>
      <w:bCs/>
    </w:rPr>
  </w:style>
  <w:style w:type="character" w:customStyle="1" w:styleId="CommentSubjectChar">
    <w:name w:val="Comment Subject Char"/>
    <w:basedOn w:val="CommentTextChar"/>
    <w:link w:val="CommentSubject"/>
    <w:uiPriority w:val="99"/>
    <w:semiHidden/>
    <w:rsid w:val="00C0620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C06201"/>
    <w:rPr>
      <w:rFonts w:ascii="Tahoma" w:hAnsi="Tahoma" w:cs="Tahoma"/>
      <w:sz w:val="16"/>
      <w:szCs w:val="16"/>
    </w:rPr>
  </w:style>
  <w:style w:type="character" w:customStyle="1" w:styleId="BalloonTextChar">
    <w:name w:val="Balloon Text Char"/>
    <w:basedOn w:val="DefaultParagraphFont"/>
    <w:link w:val="BalloonText"/>
    <w:uiPriority w:val="99"/>
    <w:semiHidden/>
    <w:rsid w:val="00C06201"/>
    <w:rPr>
      <w:rFonts w:ascii="Tahoma" w:eastAsia="Times New Roman"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43A62"/>
    <w:pPr>
      <w:ind w:firstLine="720"/>
    </w:pPr>
    <w:rPr>
      <w:rFonts w:asciiTheme="minorHAnsi" w:eastAsiaTheme="minorHAnsi" w:hAnsiTheme="minorHAnsi"/>
      <w:sz w:val="22"/>
      <w:szCs w:val="20"/>
      <w:vertAlign w:val="superscript"/>
    </w:rPr>
  </w:style>
  <w:style w:type="paragraph" w:styleId="Revision">
    <w:name w:val="Revision"/>
    <w:hidden/>
    <w:uiPriority w:val="99"/>
    <w:semiHidden/>
    <w:rsid w:val="001828F7"/>
    <w:pPr>
      <w:spacing w:after="0" w:line="240" w:lineRule="auto"/>
    </w:pPr>
    <w:rPr>
      <w:rFonts w:ascii="Verdana" w:eastAsia="Times New Roman" w:hAnsi="Verdana" w:cs="Times New Roman"/>
      <w:sz w:val="20"/>
      <w:szCs w:val="24"/>
    </w:rPr>
  </w:style>
  <w:style w:type="paragraph" w:styleId="Header">
    <w:name w:val="header"/>
    <w:basedOn w:val="Normal"/>
    <w:link w:val="HeaderChar"/>
    <w:uiPriority w:val="99"/>
    <w:unhideWhenUsed/>
    <w:rsid w:val="00C7184F"/>
    <w:pPr>
      <w:tabs>
        <w:tab w:val="center" w:pos="4419"/>
        <w:tab w:val="right" w:pos="8838"/>
      </w:tabs>
    </w:pPr>
  </w:style>
  <w:style w:type="character" w:customStyle="1" w:styleId="HeaderChar">
    <w:name w:val="Header Char"/>
    <w:basedOn w:val="DefaultParagraphFont"/>
    <w:link w:val="Header"/>
    <w:uiPriority w:val="99"/>
    <w:rsid w:val="00C7184F"/>
    <w:rPr>
      <w:rFonts w:ascii="Verdana" w:eastAsia="Times New Roman" w:hAnsi="Verdana" w:cs="Times New Roman"/>
      <w:sz w:val="20"/>
      <w:szCs w:val="24"/>
    </w:rPr>
  </w:style>
  <w:style w:type="paragraph" w:styleId="Footer">
    <w:name w:val="footer"/>
    <w:basedOn w:val="Normal"/>
    <w:link w:val="FooterChar"/>
    <w:uiPriority w:val="99"/>
    <w:unhideWhenUsed/>
    <w:rsid w:val="00C7184F"/>
    <w:pPr>
      <w:tabs>
        <w:tab w:val="center" w:pos="4419"/>
        <w:tab w:val="right" w:pos="8838"/>
      </w:tabs>
    </w:pPr>
  </w:style>
  <w:style w:type="character" w:customStyle="1" w:styleId="FooterChar">
    <w:name w:val="Footer Char"/>
    <w:basedOn w:val="DefaultParagraphFont"/>
    <w:link w:val="Footer"/>
    <w:uiPriority w:val="99"/>
    <w:rsid w:val="00C7184F"/>
    <w:rPr>
      <w:rFonts w:ascii="Verdana" w:eastAsia="Times New Roman" w:hAnsi="Verdana" w:cs="Times New Roman"/>
      <w:sz w:val="20"/>
      <w:szCs w:val="24"/>
    </w:rPr>
  </w:style>
  <w:style w:type="paragraph" w:styleId="ListBullet">
    <w:name w:val="List Bullet"/>
    <w:basedOn w:val="Normal"/>
    <w:uiPriority w:val="99"/>
    <w:unhideWhenUsed/>
    <w:rsid w:val="00926A1B"/>
    <w:pPr>
      <w:numPr>
        <w:numId w:val="9"/>
      </w:numPr>
      <w:contextualSpacing/>
    </w:pPr>
  </w:style>
  <w:style w:type="paragraph" w:styleId="Quote">
    <w:name w:val="Quote"/>
    <w:basedOn w:val="Normal"/>
    <w:next w:val="Normal"/>
    <w:link w:val="QuoteChar"/>
    <w:uiPriority w:val="29"/>
    <w:qFormat/>
    <w:rsid w:val="008346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46DB"/>
    <w:rPr>
      <w:rFonts w:ascii="Verdana" w:eastAsia="Times New Roman" w:hAnsi="Verdana" w:cs="Times New Roman"/>
      <w:i/>
      <w:iCs/>
      <w:color w:val="404040" w:themeColor="text1" w:themeTint="BF"/>
      <w:sz w:val="20"/>
      <w:szCs w:val="24"/>
    </w:rPr>
  </w:style>
  <w:style w:type="character" w:styleId="LineNumber">
    <w:name w:val="line number"/>
    <w:basedOn w:val="DefaultParagraphFont"/>
    <w:uiPriority w:val="99"/>
    <w:semiHidden/>
    <w:unhideWhenUsed/>
    <w:rsid w:val="00620000"/>
  </w:style>
  <w:style w:type="paragraph" w:styleId="NormalWeb">
    <w:name w:val="Normal (Web)"/>
    <w:aliases w:val="Normal (Web) Char1,Normal (Web) Char Char,Normal (Web) Char1 Char,Normal (Web) Char Char Char"/>
    <w:basedOn w:val="Normal"/>
    <w:uiPriority w:val="99"/>
    <w:unhideWhenUsed/>
    <w:rsid w:val="00280A69"/>
    <w:pPr>
      <w:spacing w:before="100" w:beforeAutospacing="1" w:after="100" w:afterAutospacing="1"/>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6198">
      <w:bodyDiv w:val="1"/>
      <w:marLeft w:val="0"/>
      <w:marRight w:val="0"/>
      <w:marTop w:val="0"/>
      <w:marBottom w:val="0"/>
      <w:divBdr>
        <w:top w:val="none" w:sz="0" w:space="0" w:color="auto"/>
        <w:left w:val="none" w:sz="0" w:space="0" w:color="auto"/>
        <w:bottom w:val="none" w:sz="0" w:space="0" w:color="auto"/>
        <w:right w:val="none" w:sz="0" w:space="0" w:color="auto"/>
      </w:divBdr>
    </w:div>
    <w:div w:id="548497091">
      <w:bodyDiv w:val="1"/>
      <w:marLeft w:val="0"/>
      <w:marRight w:val="0"/>
      <w:marTop w:val="0"/>
      <w:marBottom w:val="0"/>
      <w:divBdr>
        <w:top w:val="none" w:sz="0" w:space="0" w:color="auto"/>
        <w:left w:val="none" w:sz="0" w:space="0" w:color="auto"/>
        <w:bottom w:val="none" w:sz="0" w:space="0" w:color="auto"/>
        <w:right w:val="none" w:sz="0" w:space="0" w:color="auto"/>
      </w:divBdr>
    </w:div>
    <w:div w:id="1100417325">
      <w:bodyDiv w:val="1"/>
      <w:marLeft w:val="0"/>
      <w:marRight w:val="0"/>
      <w:marTop w:val="0"/>
      <w:marBottom w:val="0"/>
      <w:divBdr>
        <w:top w:val="none" w:sz="0" w:space="0" w:color="auto"/>
        <w:left w:val="none" w:sz="0" w:space="0" w:color="auto"/>
        <w:bottom w:val="none" w:sz="0" w:space="0" w:color="auto"/>
        <w:right w:val="none" w:sz="0" w:space="0" w:color="auto"/>
      </w:divBdr>
    </w:div>
    <w:div w:id="204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BD9F-2090-41AD-89FD-F7C037D03C6F}">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A32DDE4-083E-4E4E-B59A-4A6CBCAC207C}">
  <ds:schemaRefs>
    <ds:schemaRef ds:uri="http://schemas.microsoft.com/sharepoint/v3/contenttype/forms"/>
  </ds:schemaRefs>
</ds:datastoreItem>
</file>

<file path=customXml/itemProps3.xml><?xml version="1.0" encoding="utf-8"?>
<ds:datastoreItem xmlns:ds="http://schemas.openxmlformats.org/officeDocument/2006/customXml" ds:itemID="{4904786A-62D5-4F1F-83C8-B48DC4A7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35B5B0-BB21-48C3-916E-499F7A0C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14278</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JorgeCalderon@corteidh.or.cr</dc:creator>
  <cp:lastModifiedBy>Patricia Calderon</cp:lastModifiedBy>
  <cp:revision>3</cp:revision>
  <cp:lastPrinted>2017-11-13T21:01:00Z</cp:lastPrinted>
  <dcterms:created xsi:type="dcterms:W3CDTF">2017-11-14T21:04:00Z</dcterms:created>
  <dcterms:modified xsi:type="dcterms:W3CDTF">2017-11-14T21:08:00Z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