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8B" w:rsidRDefault="00F06F8B" w:rsidP="00603CAD">
      <w:pPr>
        <w:ind w:right="96"/>
        <w:jc w:val="center"/>
        <w:rPr>
          <w:rFonts w:ascii="Verdana" w:hAnsi="Verdana"/>
          <w:b/>
          <w:sz w:val="20"/>
          <w:szCs w:val="20"/>
          <w:lang w:val="es-CR"/>
        </w:rPr>
      </w:pPr>
      <w:bookmarkStart w:id="0" w:name="_GoBack"/>
      <w:bookmarkEnd w:id="0"/>
    </w:p>
    <w:p w:rsidR="00F06F8B" w:rsidRDefault="00F06F8B" w:rsidP="00603CAD">
      <w:pPr>
        <w:ind w:right="96"/>
        <w:jc w:val="center"/>
        <w:rPr>
          <w:rFonts w:ascii="Verdana" w:hAnsi="Verdana"/>
          <w:b/>
          <w:sz w:val="20"/>
          <w:szCs w:val="20"/>
          <w:lang w:val="es-CR"/>
        </w:rPr>
      </w:pPr>
    </w:p>
    <w:p w:rsidR="00752E8A" w:rsidRPr="00752E8A" w:rsidRDefault="00125A4D" w:rsidP="00603CAD">
      <w:pPr>
        <w:ind w:right="96"/>
        <w:jc w:val="center"/>
        <w:rPr>
          <w:rFonts w:ascii="Verdana" w:hAnsi="Verdana"/>
          <w:b/>
          <w:sz w:val="20"/>
          <w:szCs w:val="20"/>
          <w:lang w:val="es-CR"/>
        </w:rPr>
      </w:pPr>
      <w:r w:rsidRPr="00752E8A">
        <w:rPr>
          <w:rFonts w:ascii="Verdana" w:hAnsi="Verdana"/>
          <w:b/>
          <w:sz w:val="20"/>
          <w:szCs w:val="20"/>
          <w:lang w:val="es-CR"/>
        </w:rPr>
        <w:t>VOTO PARCIALMENTE DISIDENTE</w:t>
      </w:r>
    </w:p>
    <w:p w:rsidR="00752E8A" w:rsidRDefault="00125A4D" w:rsidP="00603CAD">
      <w:pPr>
        <w:ind w:right="96"/>
        <w:jc w:val="center"/>
        <w:rPr>
          <w:rFonts w:ascii="Verdana" w:hAnsi="Verdana"/>
          <w:b/>
          <w:sz w:val="20"/>
          <w:szCs w:val="20"/>
          <w:lang w:val="es-CR"/>
        </w:rPr>
      </w:pPr>
      <w:r w:rsidRPr="00752E8A">
        <w:rPr>
          <w:rFonts w:ascii="Verdana" w:hAnsi="Verdana"/>
          <w:b/>
          <w:sz w:val="20"/>
          <w:szCs w:val="20"/>
          <w:lang w:val="es-CR"/>
        </w:rPr>
        <w:t>DEL JUEZ EDUARDO FERRER MAC-GREGOR POISOT</w:t>
      </w:r>
      <w:r w:rsidR="00C077D4" w:rsidRPr="00752E8A">
        <w:rPr>
          <w:rFonts w:ascii="Verdana" w:hAnsi="Verdana"/>
          <w:b/>
          <w:sz w:val="20"/>
          <w:szCs w:val="20"/>
          <w:lang w:val="es-CR"/>
        </w:rPr>
        <w:t xml:space="preserve"> </w:t>
      </w:r>
    </w:p>
    <w:p w:rsidR="00603CAD" w:rsidRDefault="00603CAD" w:rsidP="00603CAD">
      <w:pPr>
        <w:ind w:right="96"/>
        <w:jc w:val="center"/>
        <w:rPr>
          <w:rFonts w:ascii="Verdana" w:hAnsi="Verdana"/>
          <w:b/>
          <w:sz w:val="20"/>
          <w:szCs w:val="20"/>
          <w:lang w:val="es-CR"/>
        </w:rPr>
      </w:pPr>
    </w:p>
    <w:p w:rsidR="00752E8A" w:rsidRDefault="00125A4D" w:rsidP="00603CAD">
      <w:pPr>
        <w:ind w:right="96"/>
        <w:jc w:val="center"/>
        <w:rPr>
          <w:rFonts w:ascii="Verdana" w:hAnsi="Verdana"/>
          <w:b/>
          <w:i/>
          <w:smallCaps/>
          <w:sz w:val="20"/>
          <w:szCs w:val="20"/>
          <w:u w:val="single"/>
        </w:rPr>
      </w:pPr>
      <w:r w:rsidRPr="00752E8A">
        <w:rPr>
          <w:rFonts w:ascii="Verdana" w:hAnsi="Verdana"/>
          <w:b/>
          <w:smallCaps/>
          <w:sz w:val="20"/>
          <w:szCs w:val="20"/>
          <w:u w:val="single"/>
        </w:rPr>
        <w:t>CASO DE LOS</w:t>
      </w:r>
      <w:r w:rsidRPr="00D5125A">
        <w:rPr>
          <w:rFonts w:ascii="Verdana" w:hAnsi="Verdana"/>
          <w:b/>
          <w:i/>
          <w:smallCaps/>
          <w:sz w:val="20"/>
          <w:szCs w:val="20"/>
          <w:u w:val="single"/>
        </w:rPr>
        <w:t xml:space="preserve"> PUEBLOS INDÍGENAS KUNA DE MADUNGANDÍ </w:t>
      </w:r>
    </w:p>
    <w:p w:rsidR="00125A4D" w:rsidRPr="00810047" w:rsidRDefault="00125A4D" w:rsidP="00603CAD">
      <w:pPr>
        <w:ind w:right="96"/>
        <w:jc w:val="center"/>
        <w:rPr>
          <w:rFonts w:ascii="Verdana" w:hAnsi="Verdana"/>
          <w:b/>
          <w:sz w:val="20"/>
          <w:szCs w:val="20"/>
          <w:u w:val="single"/>
          <w:lang w:val="es-CR"/>
        </w:rPr>
      </w:pPr>
      <w:r w:rsidRPr="00D5125A">
        <w:rPr>
          <w:rFonts w:ascii="Verdana" w:hAnsi="Verdana"/>
          <w:b/>
          <w:i/>
          <w:smallCaps/>
          <w:sz w:val="20"/>
          <w:szCs w:val="20"/>
          <w:u w:val="single"/>
        </w:rPr>
        <w:t>Y EMBERÁ DE BAYANO Y SUS MIEMBROS VS. PANAMÁ</w:t>
      </w:r>
    </w:p>
    <w:p w:rsidR="00603CAD" w:rsidRDefault="00603CAD" w:rsidP="00125A4D">
      <w:pPr>
        <w:ind w:left="2160" w:right="96" w:hanging="2160"/>
        <w:jc w:val="center"/>
        <w:rPr>
          <w:rFonts w:ascii="Verdana" w:hAnsi="Verdana"/>
          <w:b/>
          <w:sz w:val="18"/>
          <w:szCs w:val="18"/>
          <w:lang w:val="es-CR"/>
        </w:rPr>
      </w:pPr>
    </w:p>
    <w:p w:rsidR="00125A4D" w:rsidRPr="003C3A5E" w:rsidRDefault="00125A4D" w:rsidP="00125A4D">
      <w:pPr>
        <w:ind w:left="2160" w:right="96" w:hanging="2160"/>
        <w:jc w:val="center"/>
        <w:rPr>
          <w:rFonts w:ascii="Verdana" w:hAnsi="Verdana"/>
          <w:b/>
          <w:sz w:val="18"/>
          <w:szCs w:val="18"/>
          <w:lang w:val="es-CR"/>
        </w:rPr>
      </w:pPr>
      <w:r w:rsidRPr="003C3A5E">
        <w:rPr>
          <w:rFonts w:ascii="Verdana" w:hAnsi="Verdana"/>
          <w:b/>
          <w:sz w:val="18"/>
          <w:szCs w:val="18"/>
          <w:lang w:val="es-CR"/>
        </w:rPr>
        <w:t>SENTENCIA DE 14 DE OCTUBRE DE 2014</w:t>
      </w:r>
    </w:p>
    <w:p w:rsidR="00FB2F2C" w:rsidRPr="00125A4D" w:rsidRDefault="00125A4D" w:rsidP="00125A4D">
      <w:pPr>
        <w:ind w:left="2160" w:right="96" w:hanging="2160"/>
        <w:jc w:val="center"/>
        <w:rPr>
          <w:rFonts w:ascii="Verdana" w:hAnsi="Verdana"/>
          <w:b/>
          <w:i/>
          <w:sz w:val="18"/>
          <w:szCs w:val="18"/>
          <w:lang w:val="es-CR"/>
        </w:rPr>
      </w:pPr>
      <w:r w:rsidRPr="003C3A5E">
        <w:rPr>
          <w:rFonts w:ascii="Verdana" w:hAnsi="Verdana"/>
          <w:b/>
          <w:sz w:val="18"/>
          <w:szCs w:val="18"/>
          <w:lang w:val="es-CR"/>
        </w:rPr>
        <w:t>(</w:t>
      </w:r>
      <w:r w:rsidRPr="003C3A5E">
        <w:rPr>
          <w:rFonts w:ascii="Verdana" w:hAnsi="Verdana"/>
          <w:b/>
          <w:i/>
          <w:sz w:val="18"/>
          <w:szCs w:val="18"/>
          <w:lang w:val="es-CR"/>
        </w:rPr>
        <w:t>EXCEPCIONES PRELIMINARES, FONDO, REPARACIONES Y COSTAS)</w:t>
      </w:r>
    </w:p>
    <w:p w:rsidR="000E7846" w:rsidRDefault="000E7846" w:rsidP="004811A8">
      <w:pPr>
        <w:spacing w:line="360" w:lineRule="auto"/>
        <w:jc w:val="center"/>
        <w:rPr>
          <w:rFonts w:ascii="Verdana" w:hAnsi="Verdana"/>
          <w:b/>
          <w:sz w:val="20"/>
          <w:szCs w:val="20"/>
        </w:rPr>
      </w:pPr>
    </w:p>
    <w:p w:rsidR="000E7846" w:rsidRPr="004B014D" w:rsidRDefault="000E7846" w:rsidP="000E7846">
      <w:pPr>
        <w:spacing w:line="480" w:lineRule="auto"/>
        <w:jc w:val="center"/>
        <w:rPr>
          <w:rFonts w:ascii="Verdana" w:hAnsi="Verdana"/>
          <w:b/>
          <w:sz w:val="20"/>
          <w:szCs w:val="20"/>
        </w:rPr>
      </w:pPr>
      <w:r w:rsidRPr="004B014D">
        <w:rPr>
          <w:rFonts w:ascii="Verdana" w:hAnsi="Verdana"/>
          <w:b/>
          <w:sz w:val="20"/>
          <w:szCs w:val="20"/>
        </w:rPr>
        <w:t>INTRODUCCIÓN</w:t>
      </w:r>
    </w:p>
    <w:p w:rsidR="00C51971" w:rsidRPr="00681C89" w:rsidRDefault="00984C8A" w:rsidP="007A7AFA">
      <w:pPr>
        <w:pStyle w:val="ListParagraph"/>
        <w:numPr>
          <w:ilvl w:val="0"/>
          <w:numId w:val="2"/>
        </w:numPr>
        <w:ind w:left="0" w:firstLine="0"/>
        <w:jc w:val="both"/>
        <w:rPr>
          <w:rFonts w:ascii="Verdana" w:hAnsi="Verdana"/>
          <w:sz w:val="20"/>
          <w:szCs w:val="20"/>
        </w:rPr>
      </w:pPr>
      <w:r>
        <w:rPr>
          <w:rFonts w:ascii="Verdana" w:hAnsi="Verdana"/>
          <w:sz w:val="20"/>
          <w:szCs w:val="20"/>
        </w:rPr>
        <w:t xml:space="preserve">Se </w:t>
      </w:r>
      <w:r w:rsidR="002D718F">
        <w:rPr>
          <w:rFonts w:ascii="Verdana" w:hAnsi="Verdana"/>
          <w:sz w:val="20"/>
          <w:szCs w:val="20"/>
        </w:rPr>
        <w:t>emite el presente voto</w:t>
      </w:r>
      <w:r w:rsidR="00C51971" w:rsidRPr="00681C89">
        <w:rPr>
          <w:rFonts w:ascii="Verdana" w:hAnsi="Verdana"/>
          <w:sz w:val="20"/>
          <w:szCs w:val="20"/>
        </w:rPr>
        <w:t xml:space="preserve"> en el caso de los </w:t>
      </w:r>
      <w:r w:rsidR="00C51971" w:rsidRPr="009D1109">
        <w:rPr>
          <w:rFonts w:ascii="Verdana" w:hAnsi="Verdana"/>
          <w:i/>
          <w:sz w:val="20"/>
          <w:szCs w:val="20"/>
        </w:rPr>
        <w:t>Pueblos Indígenas Kuna de Madungandí y Emberá de Bayano y sus miembros Vs. Panamá</w:t>
      </w:r>
      <w:r w:rsidR="00C51971" w:rsidRPr="00681C89">
        <w:rPr>
          <w:rFonts w:ascii="Verdana" w:hAnsi="Verdana"/>
          <w:sz w:val="20"/>
          <w:szCs w:val="20"/>
        </w:rPr>
        <w:t xml:space="preserve">, </w:t>
      </w:r>
      <w:r w:rsidR="00F31AAF">
        <w:rPr>
          <w:rFonts w:ascii="Verdana" w:hAnsi="Verdana"/>
          <w:sz w:val="20"/>
          <w:szCs w:val="20"/>
        </w:rPr>
        <w:t>en el cual</w:t>
      </w:r>
      <w:r w:rsidR="00C51971" w:rsidRPr="00681C89">
        <w:rPr>
          <w:rFonts w:ascii="Verdana" w:hAnsi="Verdana"/>
          <w:sz w:val="20"/>
          <w:szCs w:val="20"/>
        </w:rPr>
        <w:t xml:space="preserve"> la Corte  Interamericana de Derechos Humanos (en adelante “la Corte” o “el Tribunal  Interamericano”) acoge la excepción preliminar interpuesta por el Estado relativa a la falta de competencia </w:t>
      </w:r>
      <w:r w:rsidR="00C51971" w:rsidRPr="00681C89">
        <w:rPr>
          <w:rFonts w:ascii="Verdana" w:hAnsi="Verdana"/>
          <w:i/>
          <w:sz w:val="20"/>
          <w:szCs w:val="20"/>
        </w:rPr>
        <w:t>ratione tempori</w:t>
      </w:r>
      <w:r w:rsidR="00C51971" w:rsidRPr="00681C89">
        <w:rPr>
          <w:rFonts w:ascii="Verdana" w:hAnsi="Verdana"/>
          <w:sz w:val="20"/>
          <w:szCs w:val="20"/>
        </w:rPr>
        <w:t>s y, por tanto, dispo</w:t>
      </w:r>
      <w:r w:rsidR="00916C54">
        <w:rPr>
          <w:rFonts w:ascii="Verdana" w:hAnsi="Verdana"/>
          <w:sz w:val="20"/>
          <w:szCs w:val="20"/>
        </w:rPr>
        <w:t>ne que no entrará al estudio de</w:t>
      </w:r>
      <w:r w:rsidR="000E7846">
        <w:rPr>
          <w:rFonts w:ascii="Verdana" w:hAnsi="Verdana"/>
          <w:sz w:val="20"/>
          <w:szCs w:val="20"/>
        </w:rPr>
        <w:t xml:space="preserve"> fondo del caso</w:t>
      </w:r>
      <w:r w:rsidR="00C51971" w:rsidRPr="00681C89">
        <w:rPr>
          <w:rFonts w:ascii="Verdana" w:hAnsi="Verdana"/>
          <w:sz w:val="20"/>
          <w:szCs w:val="20"/>
        </w:rPr>
        <w:t xml:space="preserve"> en lo relativo a</w:t>
      </w:r>
      <w:r w:rsidR="000542AE" w:rsidRPr="00681C89">
        <w:rPr>
          <w:rFonts w:ascii="Verdana" w:hAnsi="Verdana"/>
          <w:sz w:val="20"/>
          <w:szCs w:val="20"/>
        </w:rPr>
        <w:t>l pago de</w:t>
      </w:r>
      <w:r w:rsidR="00C51971" w:rsidRPr="00681C89">
        <w:rPr>
          <w:rFonts w:ascii="Verdana" w:hAnsi="Verdana"/>
          <w:sz w:val="20"/>
          <w:szCs w:val="20"/>
        </w:rPr>
        <w:t xml:space="preserve"> las indemnizaciones que el Estado debió de realizar. </w:t>
      </w:r>
    </w:p>
    <w:p w:rsidR="00C51971" w:rsidRPr="00681C89" w:rsidRDefault="00C51971" w:rsidP="007A7AFA">
      <w:pPr>
        <w:jc w:val="both"/>
        <w:rPr>
          <w:rFonts w:ascii="Verdana" w:hAnsi="Verdana"/>
          <w:sz w:val="20"/>
          <w:szCs w:val="20"/>
        </w:rPr>
      </w:pPr>
    </w:p>
    <w:p w:rsidR="002D718F" w:rsidRDefault="00125A4D" w:rsidP="002D718F">
      <w:pPr>
        <w:jc w:val="both"/>
        <w:rPr>
          <w:rFonts w:ascii="Verdana" w:hAnsi="Verdana"/>
          <w:sz w:val="20"/>
          <w:szCs w:val="20"/>
        </w:rPr>
      </w:pPr>
      <w:r w:rsidRPr="00125A4D">
        <w:rPr>
          <w:rFonts w:ascii="Verdana" w:hAnsi="Verdana"/>
          <w:sz w:val="20"/>
          <w:szCs w:val="20"/>
        </w:rPr>
        <w:t xml:space="preserve">2. </w:t>
      </w:r>
      <w:r w:rsidRPr="00125A4D">
        <w:rPr>
          <w:rFonts w:ascii="Verdana" w:hAnsi="Verdana"/>
          <w:sz w:val="20"/>
          <w:szCs w:val="20"/>
        </w:rPr>
        <w:tab/>
      </w:r>
      <w:r w:rsidR="00D8510E">
        <w:rPr>
          <w:rFonts w:ascii="Verdana" w:hAnsi="Verdana"/>
          <w:sz w:val="20"/>
          <w:szCs w:val="20"/>
        </w:rPr>
        <w:t>En cuanto a esta</w:t>
      </w:r>
      <w:r w:rsidR="00D8510E" w:rsidRPr="00681C89">
        <w:rPr>
          <w:rFonts w:ascii="Verdana" w:hAnsi="Verdana"/>
          <w:sz w:val="20"/>
          <w:szCs w:val="20"/>
        </w:rPr>
        <w:t xml:space="preserve"> excepción preliminar, la controversia radica en los hechos relacionados con el desplazamiento de las comunidades que tuvieron lugar entre 1973 y 1975, y el compromiso por parte del Estado de pagar indemnizaciones por tales </w:t>
      </w:r>
      <w:r w:rsidR="00D8510E">
        <w:rPr>
          <w:rFonts w:ascii="Verdana" w:hAnsi="Verdana"/>
          <w:sz w:val="20"/>
          <w:szCs w:val="20"/>
        </w:rPr>
        <w:t>desplazamientos.</w:t>
      </w:r>
      <w:r w:rsidR="002D718F">
        <w:rPr>
          <w:rFonts w:ascii="Verdana" w:hAnsi="Verdana"/>
          <w:sz w:val="20"/>
          <w:szCs w:val="20"/>
        </w:rPr>
        <w:t xml:space="preserve"> </w:t>
      </w:r>
    </w:p>
    <w:p w:rsidR="002D718F" w:rsidRDefault="002D718F" w:rsidP="002D718F">
      <w:pPr>
        <w:jc w:val="both"/>
        <w:rPr>
          <w:rFonts w:ascii="Verdana" w:hAnsi="Verdana"/>
          <w:sz w:val="20"/>
          <w:szCs w:val="20"/>
        </w:rPr>
      </w:pPr>
    </w:p>
    <w:p w:rsidR="002D718F" w:rsidRPr="002D718F" w:rsidRDefault="002D718F" w:rsidP="002D718F">
      <w:pPr>
        <w:jc w:val="both"/>
        <w:rPr>
          <w:rFonts w:ascii="Verdana" w:hAnsi="Verdana"/>
          <w:sz w:val="20"/>
          <w:szCs w:val="20"/>
        </w:rPr>
      </w:pPr>
      <w:r>
        <w:rPr>
          <w:rFonts w:ascii="Verdana" w:hAnsi="Verdana"/>
          <w:sz w:val="20"/>
          <w:szCs w:val="20"/>
        </w:rPr>
        <w:t xml:space="preserve">3. </w:t>
      </w:r>
      <w:r>
        <w:rPr>
          <w:rFonts w:ascii="Verdana" w:hAnsi="Verdana"/>
          <w:sz w:val="20"/>
          <w:szCs w:val="20"/>
        </w:rPr>
        <w:tab/>
        <w:t>El criterio mayoritario</w:t>
      </w:r>
      <w:r w:rsidRPr="00735C8D">
        <w:rPr>
          <w:rFonts w:ascii="Verdana" w:hAnsi="Verdana"/>
          <w:b/>
          <w:sz w:val="20"/>
          <w:szCs w:val="20"/>
        </w:rPr>
        <w:t xml:space="preserve"> </w:t>
      </w:r>
      <w:r w:rsidRPr="00735C8D">
        <w:rPr>
          <w:rFonts w:ascii="Verdana" w:hAnsi="Verdana"/>
          <w:sz w:val="20"/>
          <w:szCs w:val="20"/>
        </w:rPr>
        <w:t xml:space="preserve">consideró que </w:t>
      </w:r>
      <w:r>
        <w:rPr>
          <w:rFonts w:ascii="Verdana" w:hAnsi="Verdana"/>
          <w:sz w:val="20"/>
          <w:szCs w:val="20"/>
        </w:rPr>
        <w:t xml:space="preserve">la Corte </w:t>
      </w:r>
      <w:r w:rsidRPr="00735C8D">
        <w:rPr>
          <w:rFonts w:ascii="Verdana" w:hAnsi="Verdana"/>
          <w:sz w:val="20"/>
          <w:szCs w:val="20"/>
        </w:rPr>
        <w:t xml:space="preserve">no tenía competencia para pronunciarse sobre la alegada falta de pago de las indemnizaciones a las comunidades Kuna de Madungandí y Emberá de Bayano, ya que el Estado panameño reconoció la competencia </w:t>
      </w:r>
      <w:r w:rsidR="00586A0C">
        <w:rPr>
          <w:rFonts w:ascii="Verdana" w:hAnsi="Verdana"/>
          <w:sz w:val="20"/>
          <w:szCs w:val="20"/>
        </w:rPr>
        <w:t xml:space="preserve">contenciosa </w:t>
      </w:r>
      <w:r w:rsidRPr="00735C8D">
        <w:rPr>
          <w:rFonts w:ascii="Verdana" w:hAnsi="Verdana"/>
          <w:sz w:val="20"/>
          <w:szCs w:val="20"/>
        </w:rPr>
        <w:t>de la Corte el 9 de mayo de 1990, y los hechos relativos a la falta de pago habían sido an</w:t>
      </w:r>
      <w:r>
        <w:rPr>
          <w:rFonts w:ascii="Verdana" w:hAnsi="Verdana"/>
          <w:sz w:val="20"/>
          <w:szCs w:val="20"/>
        </w:rPr>
        <w:t>teriores al reconocimiento de dicha</w:t>
      </w:r>
      <w:r w:rsidRPr="00735C8D">
        <w:rPr>
          <w:rFonts w:ascii="Verdana" w:hAnsi="Verdana"/>
          <w:sz w:val="20"/>
          <w:szCs w:val="20"/>
        </w:rPr>
        <w:t xml:space="preserve"> competencia. De esta forma, la Corte estimó admisible la excepción preliminar por falta de competencia en razón de tiempo y determinó que carecía de competencia para conocer </w:t>
      </w:r>
      <w:r w:rsidR="00CC6BC5" w:rsidRPr="005F24F8">
        <w:rPr>
          <w:rFonts w:ascii="Verdana" w:hAnsi="Verdana"/>
          <w:sz w:val="20"/>
          <w:szCs w:val="20"/>
        </w:rPr>
        <w:t>d</w:t>
      </w:r>
      <w:r w:rsidRPr="00735C8D">
        <w:rPr>
          <w:rFonts w:ascii="Verdana" w:hAnsi="Verdana"/>
          <w:sz w:val="20"/>
          <w:szCs w:val="20"/>
        </w:rPr>
        <w:t xml:space="preserve">el contenido de los acuerdos de 1976, 1977 y 1980 y el alegado incumplimiento de esos acuerdos. </w:t>
      </w:r>
    </w:p>
    <w:p w:rsidR="002D718F" w:rsidRPr="00681C89" w:rsidRDefault="002D718F" w:rsidP="002D718F">
      <w:pPr>
        <w:jc w:val="both"/>
        <w:rPr>
          <w:rFonts w:ascii="Verdana" w:hAnsi="Verdana"/>
          <w:b/>
          <w:sz w:val="20"/>
          <w:szCs w:val="20"/>
        </w:rPr>
      </w:pPr>
    </w:p>
    <w:p w:rsidR="00C077D4" w:rsidRPr="00F80860" w:rsidRDefault="002D718F" w:rsidP="00F80860">
      <w:pPr>
        <w:pStyle w:val="ListParagraph"/>
        <w:numPr>
          <w:ilvl w:val="0"/>
          <w:numId w:val="30"/>
        </w:numPr>
        <w:ind w:left="0" w:firstLine="0"/>
        <w:jc w:val="both"/>
        <w:rPr>
          <w:rFonts w:ascii="Verdana" w:hAnsi="Verdana"/>
          <w:sz w:val="20"/>
          <w:szCs w:val="20"/>
        </w:rPr>
      </w:pPr>
      <w:r w:rsidRPr="004811A8">
        <w:rPr>
          <w:rFonts w:ascii="Verdana" w:hAnsi="Verdana"/>
          <w:sz w:val="20"/>
          <w:szCs w:val="20"/>
        </w:rPr>
        <w:t>Disiento d</w:t>
      </w:r>
      <w:r w:rsidR="0090703C">
        <w:rPr>
          <w:rFonts w:ascii="Verdana" w:hAnsi="Verdana"/>
          <w:sz w:val="20"/>
          <w:szCs w:val="20"/>
        </w:rPr>
        <w:t>e la mayoría debido a que considero</w:t>
      </w:r>
      <w:r w:rsidRPr="004811A8">
        <w:rPr>
          <w:rFonts w:ascii="Verdana" w:hAnsi="Verdana"/>
          <w:sz w:val="20"/>
          <w:szCs w:val="20"/>
        </w:rPr>
        <w:t xml:space="preserve"> que la Corte debió desest</w:t>
      </w:r>
      <w:r w:rsidR="004811A8">
        <w:rPr>
          <w:rFonts w:ascii="Verdana" w:hAnsi="Verdana"/>
          <w:sz w:val="20"/>
          <w:szCs w:val="20"/>
        </w:rPr>
        <w:t xml:space="preserve">imar dicha excepción preliminar </w:t>
      </w:r>
      <w:r w:rsidR="00C077D4">
        <w:rPr>
          <w:rFonts w:ascii="Verdana" w:hAnsi="Verdana"/>
          <w:sz w:val="20"/>
          <w:szCs w:val="20"/>
        </w:rPr>
        <w:t xml:space="preserve">presentada por el Estado </w:t>
      </w:r>
      <w:r w:rsidR="00F80860">
        <w:rPr>
          <w:rFonts w:ascii="Verdana" w:hAnsi="Verdana"/>
          <w:sz w:val="20"/>
          <w:szCs w:val="20"/>
        </w:rPr>
        <w:t xml:space="preserve">y entrar al fondo de la controversia, </w:t>
      </w:r>
      <w:r w:rsidR="004811A8">
        <w:rPr>
          <w:rFonts w:ascii="Verdana" w:hAnsi="Verdana"/>
          <w:sz w:val="20"/>
          <w:szCs w:val="20"/>
        </w:rPr>
        <w:t xml:space="preserve">teniendo en cuenta </w:t>
      </w:r>
      <w:r w:rsidR="00F80860">
        <w:rPr>
          <w:rFonts w:ascii="Verdana" w:hAnsi="Verdana"/>
          <w:sz w:val="20"/>
          <w:szCs w:val="20"/>
        </w:rPr>
        <w:t xml:space="preserve">que en el presente caso </w:t>
      </w:r>
      <w:r w:rsidR="00F80860" w:rsidRPr="000E7846">
        <w:rPr>
          <w:rFonts w:ascii="Verdana" w:hAnsi="Verdana"/>
          <w:i/>
          <w:sz w:val="20"/>
          <w:szCs w:val="20"/>
        </w:rPr>
        <w:t>no estamos ante hechos aislados de consumación instantánea sino ante una situación continuada</w:t>
      </w:r>
      <w:r w:rsidR="00255548">
        <w:rPr>
          <w:rFonts w:ascii="Verdana" w:hAnsi="Verdana"/>
          <w:i/>
          <w:sz w:val="20"/>
          <w:szCs w:val="20"/>
        </w:rPr>
        <w:t xml:space="preserve"> (por un</w:t>
      </w:r>
      <w:r w:rsidR="002432C9">
        <w:rPr>
          <w:rFonts w:ascii="Verdana" w:hAnsi="Verdana"/>
          <w:i/>
          <w:sz w:val="20"/>
          <w:szCs w:val="20"/>
        </w:rPr>
        <w:t xml:space="preserve"> hecho compuesto</w:t>
      </w:r>
      <w:r w:rsidR="009A4529">
        <w:rPr>
          <w:rFonts w:ascii="Verdana" w:hAnsi="Verdana"/>
          <w:i/>
          <w:sz w:val="20"/>
          <w:szCs w:val="20"/>
        </w:rPr>
        <w:t>)</w:t>
      </w:r>
      <w:r w:rsidR="00F80860" w:rsidRPr="000E7846">
        <w:rPr>
          <w:rFonts w:ascii="Verdana" w:hAnsi="Verdana"/>
          <w:i/>
          <w:sz w:val="20"/>
          <w:szCs w:val="20"/>
        </w:rPr>
        <w:t xml:space="preserve"> </w:t>
      </w:r>
      <w:r w:rsidR="002432C9">
        <w:rPr>
          <w:rFonts w:ascii="Verdana" w:hAnsi="Verdana"/>
          <w:i/>
          <w:sz w:val="20"/>
          <w:szCs w:val="20"/>
        </w:rPr>
        <w:t>relativa al</w:t>
      </w:r>
      <w:r w:rsidRPr="000E7846">
        <w:rPr>
          <w:rFonts w:ascii="Verdana" w:hAnsi="Verdana"/>
          <w:i/>
          <w:sz w:val="20"/>
          <w:szCs w:val="20"/>
        </w:rPr>
        <w:t xml:space="preserve"> incumplimien</w:t>
      </w:r>
      <w:r w:rsidR="009A4529">
        <w:rPr>
          <w:rFonts w:ascii="Verdana" w:hAnsi="Verdana"/>
          <w:i/>
          <w:sz w:val="20"/>
          <w:szCs w:val="20"/>
        </w:rPr>
        <w:t>to de</w:t>
      </w:r>
      <w:r w:rsidR="00255548">
        <w:rPr>
          <w:rFonts w:ascii="Verdana" w:hAnsi="Verdana"/>
          <w:i/>
          <w:sz w:val="20"/>
          <w:szCs w:val="20"/>
        </w:rPr>
        <w:t>l</w:t>
      </w:r>
      <w:r w:rsidR="004811A8" w:rsidRPr="000E7846">
        <w:rPr>
          <w:rFonts w:ascii="Verdana" w:hAnsi="Verdana"/>
          <w:i/>
          <w:sz w:val="20"/>
          <w:szCs w:val="20"/>
        </w:rPr>
        <w:t xml:space="preserve"> pago de la indemnización</w:t>
      </w:r>
      <w:r w:rsidR="004811A8" w:rsidRPr="00F80860">
        <w:rPr>
          <w:rFonts w:ascii="Verdana" w:hAnsi="Verdana"/>
          <w:sz w:val="20"/>
          <w:szCs w:val="20"/>
        </w:rPr>
        <w:t>, por las razones que a continuación expondré. Cabe destacar que de haber entrado al fondo, sería</w:t>
      </w:r>
      <w:r w:rsidRPr="00F80860">
        <w:rPr>
          <w:rFonts w:ascii="Verdana" w:hAnsi="Verdana"/>
          <w:sz w:val="20"/>
          <w:szCs w:val="20"/>
        </w:rPr>
        <w:t xml:space="preserve"> la primera que vez que</w:t>
      </w:r>
      <w:r w:rsidR="00916C54" w:rsidRPr="00F80860">
        <w:rPr>
          <w:rFonts w:ascii="Verdana" w:hAnsi="Verdana"/>
          <w:sz w:val="20"/>
          <w:szCs w:val="20"/>
        </w:rPr>
        <w:t xml:space="preserve"> la Corte Interamericana hubiese</w:t>
      </w:r>
      <w:r w:rsidRPr="00F80860">
        <w:rPr>
          <w:rFonts w:ascii="Verdana" w:hAnsi="Verdana"/>
          <w:sz w:val="20"/>
          <w:szCs w:val="20"/>
        </w:rPr>
        <w:t xml:space="preserve"> podido analizar </w:t>
      </w:r>
      <w:r w:rsidR="000E7846">
        <w:rPr>
          <w:rFonts w:ascii="Verdana" w:hAnsi="Verdana"/>
          <w:sz w:val="20"/>
          <w:szCs w:val="20"/>
        </w:rPr>
        <w:t xml:space="preserve">el incumplimiento de </w:t>
      </w:r>
      <w:r w:rsidRPr="00F80860">
        <w:rPr>
          <w:rFonts w:ascii="Verdana" w:hAnsi="Verdana"/>
          <w:sz w:val="20"/>
          <w:szCs w:val="20"/>
        </w:rPr>
        <w:t xml:space="preserve">la indemnización como </w:t>
      </w:r>
      <w:r w:rsidR="009A4529">
        <w:rPr>
          <w:rFonts w:ascii="Verdana" w:hAnsi="Verdana"/>
          <w:sz w:val="20"/>
          <w:szCs w:val="20"/>
        </w:rPr>
        <w:t>parte de las garantías contenidas en</w:t>
      </w:r>
      <w:r w:rsidRPr="00F80860">
        <w:rPr>
          <w:rFonts w:ascii="Verdana" w:hAnsi="Verdana"/>
          <w:sz w:val="20"/>
          <w:szCs w:val="20"/>
        </w:rPr>
        <w:t xml:space="preserve"> el artículo 21 de la C</w:t>
      </w:r>
      <w:r w:rsidR="004811A8" w:rsidRPr="00F80860">
        <w:rPr>
          <w:rFonts w:ascii="Verdana" w:hAnsi="Verdana"/>
          <w:sz w:val="20"/>
          <w:szCs w:val="20"/>
        </w:rPr>
        <w:t>onvención Americana</w:t>
      </w:r>
      <w:r w:rsidRPr="00F80860">
        <w:rPr>
          <w:rFonts w:ascii="Verdana" w:hAnsi="Verdana"/>
          <w:sz w:val="20"/>
          <w:szCs w:val="20"/>
        </w:rPr>
        <w:t xml:space="preserve"> a los pueblos indígenas</w:t>
      </w:r>
      <w:r w:rsidR="00C077D4" w:rsidRPr="00F80860">
        <w:rPr>
          <w:rFonts w:ascii="Verdana" w:hAnsi="Verdana"/>
          <w:sz w:val="20"/>
          <w:szCs w:val="20"/>
        </w:rPr>
        <w:t xml:space="preserve">, teniendo en cuenta que lo reclamado en el presente caso consistía, precisamente, en “la supuesta violación continuada del derecho a la propiedad colectiva de los pueblos indígenas Kuna de Madungandí (“Kuna”) y Emberá de Bayano (“Emberá”) y sus miembros, por el </w:t>
      </w:r>
      <w:r w:rsidR="00C077D4" w:rsidRPr="00F80860">
        <w:rPr>
          <w:rFonts w:ascii="Verdana" w:hAnsi="Verdana"/>
          <w:sz w:val="20"/>
          <w:szCs w:val="20"/>
          <w:u w:val="single"/>
        </w:rPr>
        <w:t>alegado incumplimiento del pago de indemnizaciones</w:t>
      </w:r>
      <w:r w:rsidR="00C077D4" w:rsidRPr="009A4529">
        <w:rPr>
          <w:rFonts w:ascii="Verdana" w:hAnsi="Verdana"/>
          <w:sz w:val="20"/>
          <w:szCs w:val="20"/>
          <w:u w:val="single"/>
        </w:rPr>
        <w:t xml:space="preserve"> relacionadas con el despojo e inundación de sus territorios ancestrales</w:t>
      </w:r>
      <w:r w:rsidR="00C077D4" w:rsidRPr="00F80860">
        <w:rPr>
          <w:rFonts w:ascii="Verdana" w:hAnsi="Verdana"/>
          <w:sz w:val="20"/>
          <w:szCs w:val="20"/>
        </w:rPr>
        <w:t>, como consecuencia de la construcción de la Represa Hidroeléctrica del Bayano entre los años 1972 y 1976”</w:t>
      </w:r>
      <w:r w:rsidR="00C077D4">
        <w:rPr>
          <w:rStyle w:val="FootnoteReference"/>
          <w:rFonts w:ascii="Verdana" w:hAnsi="Verdana"/>
          <w:sz w:val="20"/>
          <w:szCs w:val="20"/>
        </w:rPr>
        <w:footnoteReference w:id="1"/>
      </w:r>
      <w:r w:rsidR="00C077D4" w:rsidRPr="00F80860">
        <w:rPr>
          <w:rFonts w:ascii="Verdana" w:hAnsi="Verdana"/>
          <w:sz w:val="20"/>
          <w:szCs w:val="20"/>
        </w:rPr>
        <w:t xml:space="preserve"> (subrayado añadido).</w:t>
      </w:r>
    </w:p>
    <w:p w:rsidR="00125A4D" w:rsidRPr="002D718F" w:rsidRDefault="00C51971" w:rsidP="00125A4D">
      <w:pPr>
        <w:pStyle w:val="ListParagraph"/>
        <w:numPr>
          <w:ilvl w:val="0"/>
          <w:numId w:val="30"/>
        </w:numPr>
        <w:ind w:left="0" w:firstLine="0"/>
        <w:jc w:val="both"/>
        <w:rPr>
          <w:rFonts w:ascii="Verdana" w:hAnsi="Verdana"/>
          <w:sz w:val="20"/>
          <w:szCs w:val="20"/>
        </w:rPr>
      </w:pPr>
      <w:r w:rsidRPr="002D718F">
        <w:rPr>
          <w:rFonts w:ascii="Verdana" w:hAnsi="Verdana"/>
          <w:sz w:val="20"/>
          <w:szCs w:val="20"/>
        </w:rPr>
        <w:lastRenderedPageBreak/>
        <w:t xml:space="preserve">Para una mayor claridad </w:t>
      </w:r>
      <w:r w:rsidR="003B3700">
        <w:rPr>
          <w:rFonts w:ascii="Verdana" w:hAnsi="Verdana"/>
          <w:sz w:val="20"/>
          <w:szCs w:val="20"/>
        </w:rPr>
        <w:t>se divide</w:t>
      </w:r>
      <w:r w:rsidRPr="002D718F">
        <w:rPr>
          <w:rFonts w:ascii="Verdana" w:hAnsi="Verdana"/>
          <w:sz w:val="20"/>
          <w:szCs w:val="20"/>
        </w:rPr>
        <w:t xml:space="preserve"> el presente voto en los sigu</w:t>
      </w:r>
      <w:r w:rsidR="0034750F">
        <w:rPr>
          <w:rFonts w:ascii="Verdana" w:hAnsi="Verdana"/>
          <w:sz w:val="20"/>
          <w:szCs w:val="20"/>
        </w:rPr>
        <w:t>ientes apartados: (i</w:t>
      </w:r>
      <w:r w:rsidR="00692A3B">
        <w:rPr>
          <w:rFonts w:ascii="Verdana" w:hAnsi="Verdana"/>
          <w:sz w:val="20"/>
          <w:szCs w:val="20"/>
        </w:rPr>
        <w:t xml:space="preserve">) </w:t>
      </w:r>
      <w:r w:rsidR="00BF2679" w:rsidRPr="002D718F">
        <w:rPr>
          <w:rFonts w:ascii="Verdana" w:hAnsi="Verdana"/>
          <w:sz w:val="20"/>
          <w:szCs w:val="20"/>
        </w:rPr>
        <w:t>Desarrollo jurisprudencial del artículo 21 de la Convención Americana</w:t>
      </w:r>
      <w:r w:rsidR="002D766C" w:rsidRPr="002D718F">
        <w:rPr>
          <w:rFonts w:ascii="Verdana" w:hAnsi="Verdana"/>
          <w:sz w:val="20"/>
          <w:szCs w:val="20"/>
        </w:rPr>
        <w:t xml:space="preserve"> desde la perspectiva de la propiedad colectiva de los pueblos indígenas </w:t>
      </w:r>
      <w:r w:rsidR="004811A8">
        <w:rPr>
          <w:rFonts w:ascii="Verdana" w:hAnsi="Verdana"/>
          <w:sz w:val="20"/>
          <w:szCs w:val="20"/>
        </w:rPr>
        <w:t>(párrs. 6 a 19</w:t>
      </w:r>
      <w:r w:rsidR="00125A4D" w:rsidRPr="002D718F">
        <w:rPr>
          <w:rFonts w:ascii="Verdana" w:hAnsi="Verdana"/>
          <w:sz w:val="20"/>
          <w:szCs w:val="20"/>
        </w:rPr>
        <w:t>);</w:t>
      </w:r>
      <w:r w:rsidR="0034750F">
        <w:rPr>
          <w:rFonts w:ascii="Verdana" w:hAnsi="Verdana"/>
          <w:sz w:val="20"/>
          <w:szCs w:val="20"/>
        </w:rPr>
        <w:t xml:space="preserve"> (ii</w:t>
      </w:r>
      <w:r w:rsidRPr="002D718F">
        <w:rPr>
          <w:rFonts w:ascii="Verdana" w:hAnsi="Verdana"/>
          <w:sz w:val="20"/>
          <w:szCs w:val="20"/>
        </w:rPr>
        <w:t xml:space="preserve">) </w:t>
      </w:r>
      <w:r w:rsidR="00125A4D" w:rsidRPr="002D718F">
        <w:rPr>
          <w:rFonts w:ascii="Verdana" w:hAnsi="Verdana"/>
          <w:sz w:val="20"/>
          <w:szCs w:val="20"/>
          <w:lang w:val="es-MX"/>
        </w:rPr>
        <w:t>Los límites del derecho a la propiedad colectiva de los pueblos indígenas en el sistema int</w:t>
      </w:r>
      <w:r w:rsidR="00692A3B">
        <w:rPr>
          <w:rFonts w:ascii="Verdana" w:hAnsi="Verdana"/>
          <w:sz w:val="20"/>
          <w:szCs w:val="20"/>
          <w:lang w:val="es-MX"/>
        </w:rPr>
        <w:t>er</w:t>
      </w:r>
      <w:r w:rsidR="0034750F">
        <w:rPr>
          <w:rFonts w:ascii="Verdana" w:hAnsi="Verdana"/>
          <w:sz w:val="20"/>
          <w:szCs w:val="20"/>
          <w:lang w:val="es-MX"/>
        </w:rPr>
        <w:t>americano (párrs. 20 a 30); (iii</w:t>
      </w:r>
      <w:r w:rsidR="00125A4D" w:rsidRPr="002D718F">
        <w:rPr>
          <w:rFonts w:ascii="Verdana" w:hAnsi="Verdana"/>
          <w:sz w:val="20"/>
          <w:szCs w:val="20"/>
          <w:lang w:val="es-MX"/>
        </w:rPr>
        <w:t xml:space="preserve">) </w:t>
      </w:r>
      <w:r w:rsidR="00125A4D" w:rsidRPr="002D718F">
        <w:rPr>
          <w:rFonts w:ascii="Verdana" w:hAnsi="Verdana"/>
          <w:sz w:val="20"/>
          <w:szCs w:val="20"/>
        </w:rPr>
        <w:t>El derecho al pago de una justa indemnización en casos de expropiación como una violación</w:t>
      </w:r>
      <w:r w:rsidR="00692A3B">
        <w:rPr>
          <w:rFonts w:ascii="Verdana" w:hAnsi="Verdana"/>
          <w:sz w:val="20"/>
          <w:szCs w:val="20"/>
        </w:rPr>
        <w:t xml:space="preserve"> conti</w:t>
      </w:r>
      <w:r w:rsidR="009A4529">
        <w:rPr>
          <w:rFonts w:ascii="Verdana" w:hAnsi="Verdana"/>
          <w:sz w:val="20"/>
          <w:szCs w:val="20"/>
        </w:rPr>
        <w:t xml:space="preserve">nuada (párrs. 31 a </w:t>
      </w:r>
      <w:r w:rsidR="0034750F">
        <w:rPr>
          <w:rFonts w:ascii="Verdana" w:hAnsi="Verdana"/>
          <w:sz w:val="20"/>
          <w:szCs w:val="20"/>
        </w:rPr>
        <w:t>51); y (iv</w:t>
      </w:r>
      <w:r w:rsidR="00125A4D" w:rsidRPr="002D718F">
        <w:rPr>
          <w:rFonts w:ascii="Verdana" w:hAnsi="Verdana"/>
          <w:sz w:val="20"/>
          <w:szCs w:val="20"/>
        </w:rPr>
        <w:t xml:space="preserve">) </w:t>
      </w:r>
      <w:r w:rsidR="00125A4D" w:rsidRPr="002D718F">
        <w:rPr>
          <w:rFonts w:ascii="Verdana" w:hAnsi="Verdana"/>
          <w:sz w:val="20"/>
          <w:szCs w:val="20"/>
          <w:lang w:val="es-MX"/>
        </w:rPr>
        <w:t xml:space="preserve">El no pago de indemnizaciones como violación continuada en el caso </w:t>
      </w:r>
      <w:r w:rsidR="00125A4D" w:rsidRPr="002D718F">
        <w:rPr>
          <w:rFonts w:ascii="Verdana" w:hAnsi="Verdana"/>
          <w:sz w:val="20"/>
          <w:szCs w:val="20"/>
          <w:lang w:val="es-ES_tradnl"/>
        </w:rPr>
        <w:t xml:space="preserve">de las comunidades indígenas Kuna de Madungandí y Emberá del Bayano (párrs. </w:t>
      </w:r>
      <w:r w:rsidR="00EE7750">
        <w:rPr>
          <w:rFonts w:ascii="Verdana" w:hAnsi="Verdana"/>
          <w:sz w:val="20"/>
          <w:szCs w:val="20"/>
          <w:lang w:val="es-ES_tradnl"/>
        </w:rPr>
        <w:t>52 a 78</w:t>
      </w:r>
      <w:r w:rsidR="00125A4D" w:rsidRPr="002D718F">
        <w:rPr>
          <w:rFonts w:ascii="Verdana" w:hAnsi="Verdana"/>
          <w:sz w:val="20"/>
          <w:szCs w:val="20"/>
          <w:lang w:val="es-ES_tradnl"/>
        </w:rPr>
        <w:t>).</w:t>
      </w:r>
    </w:p>
    <w:p w:rsidR="003B7942" w:rsidRPr="00681C89" w:rsidRDefault="003B7942" w:rsidP="007A7AFA">
      <w:pPr>
        <w:jc w:val="both"/>
        <w:rPr>
          <w:rFonts w:ascii="Verdana" w:hAnsi="Verdana"/>
          <w:b/>
          <w:sz w:val="20"/>
          <w:szCs w:val="20"/>
        </w:rPr>
      </w:pPr>
    </w:p>
    <w:p w:rsidR="002D766C" w:rsidRPr="00681C89" w:rsidRDefault="002D766C" w:rsidP="007A7AFA">
      <w:pPr>
        <w:pStyle w:val="ListParagraph"/>
        <w:ind w:left="0"/>
        <w:jc w:val="both"/>
        <w:rPr>
          <w:rFonts w:ascii="Verdana" w:hAnsi="Verdana"/>
          <w:sz w:val="20"/>
          <w:szCs w:val="20"/>
        </w:rPr>
      </w:pPr>
    </w:p>
    <w:p w:rsidR="002D766C" w:rsidRPr="004B014D" w:rsidRDefault="00D6179B" w:rsidP="005F24F8">
      <w:pPr>
        <w:pStyle w:val="ListParagraph"/>
        <w:ind w:left="0"/>
        <w:jc w:val="center"/>
        <w:rPr>
          <w:rFonts w:ascii="Verdana" w:hAnsi="Verdana"/>
          <w:b/>
          <w:caps/>
          <w:sz w:val="20"/>
          <w:szCs w:val="20"/>
        </w:rPr>
      </w:pPr>
      <w:r w:rsidRPr="004B014D">
        <w:rPr>
          <w:rFonts w:ascii="Verdana" w:hAnsi="Verdana"/>
          <w:b/>
          <w:caps/>
          <w:sz w:val="20"/>
          <w:szCs w:val="20"/>
        </w:rPr>
        <w:t>I.</w:t>
      </w:r>
      <w:r w:rsidR="002D766C" w:rsidRPr="004B014D">
        <w:rPr>
          <w:rFonts w:ascii="Verdana" w:hAnsi="Verdana"/>
          <w:b/>
          <w:caps/>
          <w:sz w:val="20"/>
          <w:szCs w:val="20"/>
        </w:rPr>
        <w:t xml:space="preserve"> Desarrollo jurisprudencial del artículo 21 de la Convención Americana desde la perspectiva</w:t>
      </w:r>
      <w:r w:rsidR="00692A3B" w:rsidRPr="004B014D">
        <w:rPr>
          <w:rFonts w:ascii="Verdana" w:hAnsi="Verdana"/>
          <w:b/>
          <w:caps/>
          <w:sz w:val="20"/>
          <w:szCs w:val="20"/>
        </w:rPr>
        <w:t xml:space="preserve"> de la</w:t>
      </w:r>
      <w:r w:rsidR="002D766C" w:rsidRPr="004B014D">
        <w:rPr>
          <w:rFonts w:ascii="Verdana" w:hAnsi="Verdana"/>
          <w:b/>
          <w:caps/>
          <w:sz w:val="20"/>
          <w:szCs w:val="20"/>
        </w:rPr>
        <w:t xml:space="preserve"> propiedad colectiva </w:t>
      </w:r>
      <w:r w:rsidR="00735C8D" w:rsidRPr="004B014D">
        <w:rPr>
          <w:rFonts w:ascii="Verdana" w:hAnsi="Verdana"/>
          <w:b/>
          <w:caps/>
          <w:sz w:val="20"/>
          <w:szCs w:val="20"/>
        </w:rPr>
        <w:t>de los pueblos indígenas</w:t>
      </w:r>
    </w:p>
    <w:p w:rsidR="008F5959" w:rsidRPr="00681C89" w:rsidRDefault="008F5959" w:rsidP="007A7AFA">
      <w:pPr>
        <w:jc w:val="both"/>
        <w:rPr>
          <w:rFonts w:ascii="Verdana" w:hAnsi="Verdana"/>
          <w:b/>
          <w:sz w:val="20"/>
          <w:szCs w:val="20"/>
        </w:rPr>
      </w:pPr>
    </w:p>
    <w:p w:rsidR="00915E18" w:rsidRPr="00681C89" w:rsidRDefault="002E6DDF" w:rsidP="00D8510E">
      <w:pPr>
        <w:pStyle w:val="ListParagraph"/>
        <w:numPr>
          <w:ilvl w:val="0"/>
          <w:numId w:val="30"/>
        </w:numPr>
        <w:ind w:left="0" w:firstLine="0"/>
        <w:jc w:val="both"/>
        <w:rPr>
          <w:rFonts w:ascii="Verdana" w:hAnsi="Verdana"/>
          <w:b/>
          <w:sz w:val="20"/>
          <w:szCs w:val="20"/>
        </w:rPr>
      </w:pPr>
      <w:r w:rsidRPr="00681C89">
        <w:rPr>
          <w:rFonts w:ascii="Verdana" w:hAnsi="Verdana"/>
          <w:sz w:val="20"/>
          <w:szCs w:val="20"/>
          <w:lang w:val="es-ES_tradnl"/>
        </w:rPr>
        <w:t xml:space="preserve">Durante el estudio y consideración de los trabajos preparatorios de la Convención Americana sobre Derechos Humanos se reemplazó la frase “[t]oda persona tiene el derecho a la </w:t>
      </w:r>
      <w:r w:rsidRPr="00681C89">
        <w:rPr>
          <w:rFonts w:ascii="Verdana" w:hAnsi="Verdana"/>
          <w:i/>
          <w:sz w:val="20"/>
          <w:szCs w:val="20"/>
          <w:lang w:val="es-ES_tradnl"/>
        </w:rPr>
        <w:t>propiedad privada</w:t>
      </w:r>
      <w:r w:rsidRPr="00681C89">
        <w:rPr>
          <w:rFonts w:ascii="Verdana" w:hAnsi="Verdana"/>
          <w:sz w:val="20"/>
          <w:szCs w:val="20"/>
          <w:lang w:val="es-ES_tradnl"/>
        </w:rPr>
        <w:t xml:space="preserve">, pero la ley puede subordinar su uso y goce al interés público” por la de “[t]oda persona tiene derecho al </w:t>
      </w:r>
      <w:r w:rsidRPr="00681C89">
        <w:rPr>
          <w:rFonts w:ascii="Verdana" w:hAnsi="Verdana"/>
          <w:i/>
          <w:sz w:val="20"/>
          <w:szCs w:val="20"/>
          <w:lang w:val="es-ES_tradnl"/>
        </w:rPr>
        <w:t>uso y goce</w:t>
      </w:r>
      <w:r w:rsidRPr="00681C89">
        <w:rPr>
          <w:rFonts w:ascii="Verdana" w:hAnsi="Verdana"/>
          <w:sz w:val="20"/>
          <w:szCs w:val="20"/>
          <w:lang w:val="es-ES_tradnl"/>
        </w:rPr>
        <w:t xml:space="preserve"> de sus bienes.  La Ley puede subordinar tal uso y goce al interés social”.  Es decir, se optó por hacer referencia al “uso y goce de los </w:t>
      </w:r>
      <w:r w:rsidRPr="00681C89">
        <w:rPr>
          <w:rFonts w:ascii="Verdana" w:hAnsi="Verdana"/>
          <w:i/>
          <w:sz w:val="20"/>
          <w:szCs w:val="20"/>
          <w:lang w:val="es-ES_tradnl"/>
        </w:rPr>
        <w:t>bienes</w:t>
      </w:r>
      <w:r w:rsidRPr="00681C89">
        <w:rPr>
          <w:rFonts w:ascii="Verdana" w:hAnsi="Verdana"/>
          <w:sz w:val="20"/>
          <w:szCs w:val="20"/>
          <w:lang w:val="es-ES_tradnl"/>
        </w:rPr>
        <w:t>” en lugar de “propiedad privada”.</w:t>
      </w:r>
      <w:r w:rsidRPr="00681C89">
        <w:rPr>
          <w:rStyle w:val="FootnoteReference"/>
          <w:rFonts w:ascii="Verdana" w:hAnsi="Verdana"/>
          <w:sz w:val="20"/>
          <w:szCs w:val="20"/>
          <w:lang w:val="es-ES_tradnl"/>
        </w:rPr>
        <w:footnoteReference w:id="2"/>
      </w:r>
      <w:r w:rsidR="008F5959" w:rsidRPr="00681C89">
        <w:rPr>
          <w:rFonts w:ascii="Verdana" w:hAnsi="Verdana"/>
          <w:b/>
          <w:sz w:val="20"/>
          <w:szCs w:val="20"/>
        </w:rPr>
        <w:t xml:space="preserve"> </w:t>
      </w:r>
    </w:p>
    <w:p w:rsidR="002E6DDF" w:rsidRPr="00681C89" w:rsidRDefault="002E6DDF" w:rsidP="007A7AFA">
      <w:pPr>
        <w:jc w:val="both"/>
        <w:rPr>
          <w:rFonts w:ascii="Verdana" w:hAnsi="Verdana"/>
          <w:b/>
          <w:sz w:val="20"/>
          <w:szCs w:val="20"/>
        </w:rPr>
      </w:pPr>
    </w:p>
    <w:p w:rsidR="002E6DDF" w:rsidRPr="00681C89" w:rsidRDefault="002E6DDF" w:rsidP="00D8510E">
      <w:pPr>
        <w:pStyle w:val="ListParagraph"/>
        <w:numPr>
          <w:ilvl w:val="0"/>
          <w:numId w:val="30"/>
        </w:numPr>
        <w:ind w:left="0" w:firstLine="0"/>
        <w:jc w:val="both"/>
        <w:rPr>
          <w:rFonts w:ascii="Verdana" w:hAnsi="Verdana"/>
          <w:b/>
          <w:sz w:val="20"/>
          <w:szCs w:val="20"/>
        </w:rPr>
      </w:pPr>
      <w:r w:rsidRPr="00681C89">
        <w:rPr>
          <w:rFonts w:ascii="Verdana" w:hAnsi="Verdana"/>
          <w:sz w:val="20"/>
          <w:szCs w:val="20"/>
          <w:lang w:val="es-ES_tradnl"/>
        </w:rPr>
        <w:t xml:space="preserve">El artículo 21 de la Convención Americana reconoce el derecho a la propiedad privada.  A este respecto establece: </w:t>
      </w:r>
      <w:r w:rsidRPr="00681C89">
        <w:rPr>
          <w:rFonts w:ascii="Verdana" w:hAnsi="Verdana"/>
          <w:sz w:val="20"/>
          <w:szCs w:val="20"/>
          <w:u w:val="single"/>
          <w:lang w:val="es-ES_tradnl"/>
        </w:rPr>
        <w:t>a) que “[t]oda persona tiene derecho al uso y goce de sus bienes”</w:t>
      </w:r>
      <w:r w:rsidRPr="00681C89">
        <w:rPr>
          <w:rFonts w:ascii="Verdana" w:hAnsi="Verdana"/>
          <w:sz w:val="20"/>
          <w:szCs w:val="20"/>
          <w:lang w:val="es-ES_tradnl"/>
        </w:rPr>
        <w:t xml:space="preserve">;  b) que tales uso y goce se pueden subordinar, por mandato de una ley, al “interés social”;  </w:t>
      </w:r>
      <w:r w:rsidRPr="00681C89">
        <w:rPr>
          <w:rFonts w:ascii="Verdana" w:hAnsi="Verdana"/>
          <w:sz w:val="20"/>
          <w:szCs w:val="20"/>
          <w:u w:val="single"/>
          <w:lang w:val="es-ES_tradnl"/>
        </w:rPr>
        <w:t xml:space="preserve">c) que se puede privar a una persona de sus bienes por razones de “utilidad pública o de interés social y en los casos y según las formas establecidas por la ley”; </w:t>
      </w:r>
      <w:r w:rsidRPr="00681C89">
        <w:rPr>
          <w:rFonts w:ascii="Verdana" w:hAnsi="Verdana"/>
          <w:sz w:val="20"/>
          <w:szCs w:val="20"/>
          <w:lang w:val="es-ES_tradnl"/>
        </w:rPr>
        <w:t xml:space="preserve">y d) </w:t>
      </w:r>
      <w:r w:rsidRPr="00681C89">
        <w:rPr>
          <w:rFonts w:ascii="Verdana" w:hAnsi="Verdana"/>
          <w:sz w:val="20"/>
          <w:szCs w:val="20"/>
          <w:u w:val="single"/>
          <w:lang w:val="es-ES_tradnl"/>
        </w:rPr>
        <w:t>que dicha privación se hará mediante el pago de una justa indemnización</w:t>
      </w:r>
      <w:r w:rsidRPr="00681C89">
        <w:rPr>
          <w:rStyle w:val="FootnoteReference"/>
          <w:rFonts w:ascii="Verdana" w:hAnsi="Verdana"/>
          <w:sz w:val="20"/>
          <w:szCs w:val="20"/>
          <w:u w:val="single"/>
          <w:lang w:val="es-ES_tradnl"/>
        </w:rPr>
        <w:footnoteReference w:id="3"/>
      </w:r>
      <w:r w:rsidRPr="00681C89">
        <w:rPr>
          <w:rFonts w:ascii="Verdana" w:hAnsi="Verdana"/>
          <w:sz w:val="20"/>
          <w:szCs w:val="20"/>
          <w:u w:val="single"/>
          <w:lang w:val="es-ES_tradnl"/>
        </w:rPr>
        <w:t>.</w:t>
      </w:r>
      <w:r w:rsidRPr="00681C89">
        <w:rPr>
          <w:rFonts w:ascii="Verdana" w:hAnsi="Verdana"/>
          <w:sz w:val="20"/>
          <w:szCs w:val="20"/>
          <w:lang w:val="es-ES_tradnl"/>
        </w:rPr>
        <w:t xml:space="preserve"> (Énfasis añadido)</w:t>
      </w:r>
    </w:p>
    <w:p w:rsidR="002E6DDF" w:rsidRPr="00681C89" w:rsidRDefault="002E6DDF" w:rsidP="007A7AFA">
      <w:pPr>
        <w:pStyle w:val="ListParagraph"/>
        <w:ind w:left="0"/>
        <w:jc w:val="both"/>
        <w:rPr>
          <w:rFonts w:ascii="Verdana" w:hAnsi="Verdana"/>
          <w:b/>
          <w:sz w:val="20"/>
          <w:szCs w:val="20"/>
        </w:rPr>
      </w:pPr>
    </w:p>
    <w:p w:rsidR="002E6DDF" w:rsidRPr="003F2AEA" w:rsidRDefault="003F2AEA" w:rsidP="00D8510E">
      <w:pPr>
        <w:pStyle w:val="ListParagraph"/>
        <w:numPr>
          <w:ilvl w:val="0"/>
          <w:numId w:val="30"/>
        </w:numPr>
        <w:autoSpaceDE w:val="0"/>
        <w:autoSpaceDN w:val="0"/>
        <w:adjustRightInd w:val="0"/>
        <w:ind w:left="0" w:right="49" w:firstLine="0"/>
        <w:jc w:val="both"/>
        <w:rPr>
          <w:rFonts w:ascii="Verdana" w:eastAsiaTheme="minorHAnsi" w:hAnsi="Verdana" w:cs="Verdana"/>
          <w:sz w:val="20"/>
          <w:szCs w:val="20"/>
          <w:lang w:val="es-MX" w:eastAsia="en-US"/>
        </w:rPr>
      </w:pPr>
      <w:r w:rsidRPr="003F2AEA">
        <w:rPr>
          <w:rFonts w:ascii="Verdana" w:eastAsiaTheme="minorHAnsi" w:hAnsi="Verdana" w:cs="Verdana"/>
          <w:sz w:val="20"/>
          <w:szCs w:val="20"/>
          <w:lang w:val="es-MX" w:eastAsia="en-US"/>
        </w:rPr>
        <w:t>La Corte ha desarrollado en su jurisprudencia un concepto amplio de propiedad, el cual abarca, entre otros, el uso y goce de los bienes, definidos como cosas materiales apropiables, así como todo derecho que pueda formar parte del patrimonio de una persona. Dicho concepto comprende todos los muebles e inmuebles, los elementos corporales e incorporales y cualquier otro objeto inmaterial susceptible de valor</w:t>
      </w:r>
      <w:r w:rsidR="002E6DDF" w:rsidRPr="00681C89">
        <w:rPr>
          <w:rStyle w:val="FootnoteReference"/>
          <w:rFonts w:ascii="Verdana" w:hAnsi="Verdana"/>
          <w:sz w:val="20"/>
          <w:szCs w:val="20"/>
          <w:lang w:val="es-ES_tradnl"/>
        </w:rPr>
        <w:footnoteReference w:id="4"/>
      </w:r>
      <w:r w:rsidR="002E6DDF" w:rsidRPr="003F2AEA">
        <w:rPr>
          <w:rFonts w:ascii="Verdana" w:hAnsi="Verdana"/>
          <w:sz w:val="20"/>
          <w:szCs w:val="20"/>
          <w:lang w:val="es-ES_tradnl"/>
        </w:rPr>
        <w:t>.</w:t>
      </w:r>
    </w:p>
    <w:p w:rsidR="003F2AEA" w:rsidRPr="003F2AEA" w:rsidRDefault="003F2AEA" w:rsidP="007A7AFA">
      <w:pPr>
        <w:pStyle w:val="ListParagraph"/>
        <w:jc w:val="both"/>
        <w:rPr>
          <w:rFonts w:ascii="Verdana" w:hAnsi="Verdana"/>
          <w:b/>
          <w:sz w:val="20"/>
          <w:szCs w:val="20"/>
        </w:rPr>
      </w:pPr>
    </w:p>
    <w:p w:rsidR="002E6DDF" w:rsidRPr="00933F5A" w:rsidRDefault="002E6DDF" w:rsidP="00D8510E">
      <w:pPr>
        <w:pStyle w:val="ListParagraph"/>
        <w:numPr>
          <w:ilvl w:val="0"/>
          <w:numId w:val="30"/>
        </w:numPr>
        <w:ind w:left="0" w:firstLine="0"/>
        <w:jc w:val="both"/>
        <w:rPr>
          <w:rFonts w:ascii="Verdana" w:hAnsi="Verdana"/>
          <w:b/>
          <w:sz w:val="20"/>
          <w:szCs w:val="20"/>
        </w:rPr>
      </w:pPr>
      <w:r w:rsidRPr="00933F5A">
        <w:rPr>
          <w:rFonts w:ascii="Verdana" w:hAnsi="Verdana"/>
          <w:sz w:val="20"/>
          <w:szCs w:val="20"/>
        </w:rPr>
        <w:t>El artículo 21 de la Convención tiene un amplio espectro de protección</w:t>
      </w:r>
      <w:r w:rsidR="0090703C">
        <w:rPr>
          <w:rFonts w:ascii="Verdana" w:hAnsi="Verdana"/>
          <w:sz w:val="20"/>
          <w:szCs w:val="20"/>
        </w:rPr>
        <w:t>. El T</w:t>
      </w:r>
      <w:r w:rsidR="008F73DC" w:rsidRPr="00933F5A">
        <w:rPr>
          <w:rFonts w:ascii="Verdana" w:hAnsi="Verdana"/>
          <w:sz w:val="20"/>
          <w:szCs w:val="20"/>
        </w:rPr>
        <w:t>ribunal</w:t>
      </w:r>
      <w:r w:rsidR="0090703C">
        <w:rPr>
          <w:rFonts w:ascii="Verdana" w:hAnsi="Verdana"/>
          <w:sz w:val="20"/>
          <w:szCs w:val="20"/>
        </w:rPr>
        <w:t xml:space="preserve"> Interamericano</w:t>
      </w:r>
      <w:r w:rsidR="008F73DC" w:rsidRPr="00933F5A">
        <w:rPr>
          <w:rFonts w:ascii="Verdana" w:hAnsi="Verdana"/>
          <w:sz w:val="20"/>
          <w:szCs w:val="20"/>
        </w:rPr>
        <w:t xml:space="preserve">, a </w:t>
      </w:r>
      <w:r w:rsidR="0090703C">
        <w:rPr>
          <w:rFonts w:ascii="Verdana" w:hAnsi="Verdana"/>
          <w:sz w:val="20"/>
          <w:szCs w:val="20"/>
        </w:rPr>
        <w:t>la luz de e</w:t>
      </w:r>
      <w:r w:rsidR="008F73DC" w:rsidRPr="00933F5A">
        <w:rPr>
          <w:rFonts w:ascii="Verdana" w:hAnsi="Verdana"/>
          <w:sz w:val="20"/>
          <w:szCs w:val="20"/>
        </w:rPr>
        <w:t>ste</w:t>
      </w:r>
      <w:r w:rsidR="00C85A32" w:rsidRPr="00933F5A">
        <w:rPr>
          <w:rFonts w:ascii="Verdana" w:hAnsi="Verdana"/>
          <w:sz w:val="20"/>
          <w:szCs w:val="20"/>
        </w:rPr>
        <w:t xml:space="preserve"> precepto convencional</w:t>
      </w:r>
      <w:r w:rsidR="0090703C">
        <w:rPr>
          <w:rFonts w:ascii="Verdana" w:hAnsi="Verdana"/>
          <w:sz w:val="20"/>
          <w:szCs w:val="20"/>
        </w:rPr>
        <w:t>,</w:t>
      </w:r>
      <w:r w:rsidRPr="00933F5A">
        <w:rPr>
          <w:rFonts w:ascii="Verdana" w:hAnsi="Verdana"/>
          <w:sz w:val="20"/>
          <w:szCs w:val="20"/>
        </w:rPr>
        <w:t xml:space="preserve"> ha conocido casos sobre </w:t>
      </w:r>
      <w:r w:rsidR="00C85A32" w:rsidRPr="00933F5A">
        <w:rPr>
          <w:rFonts w:ascii="Verdana" w:hAnsi="Verdana"/>
          <w:sz w:val="20"/>
          <w:szCs w:val="20"/>
        </w:rPr>
        <w:t>pensiones</w:t>
      </w:r>
      <w:r w:rsidR="00C85A32" w:rsidRPr="00933F5A">
        <w:rPr>
          <w:rStyle w:val="FootnoteReference"/>
          <w:rFonts w:ascii="Verdana" w:hAnsi="Verdana"/>
          <w:sz w:val="20"/>
          <w:szCs w:val="20"/>
        </w:rPr>
        <w:footnoteReference w:id="5"/>
      </w:r>
      <w:r w:rsidR="00C85A32" w:rsidRPr="00933F5A">
        <w:rPr>
          <w:rFonts w:ascii="Verdana" w:hAnsi="Verdana"/>
          <w:sz w:val="20"/>
          <w:szCs w:val="20"/>
        </w:rPr>
        <w:t>, bienes incautados al momento de la detección</w:t>
      </w:r>
      <w:r w:rsidR="00C85A32" w:rsidRPr="00933F5A">
        <w:rPr>
          <w:rStyle w:val="FootnoteReference"/>
          <w:rFonts w:ascii="Verdana" w:hAnsi="Verdana"/>
          <w:sz w:val="20"/>
          <w:szCs w:val="20"/>
        </w:rPr>
        <w:footnoteReference w:id="6"/>
      </w:r>
      <w:r w:rsidR="00C85A32" w:rsidRPr="00933F5A">
        <w:rPr>
          <w:rFonts w:ascii="Verdana" w:hAnsi="Verdana"/>
          <w:sz w:val="20"/>
          <w:szCs w:val="20"/>
        </w:rPr>
        <w:t>, derechos de autor</w:t>
      </w:r>
      <w:r w:rsidR="00C85A32" w:rsidRPr="00933F5A">
        <w:rPr>
          <w:rStyle w:val="FootnoteReference"/>
          <w:rFonts w:ascii="Verdana" w:hAnsi="Verdana"/>
          <w:sz w:val="20"/>
          <w:szCs w:val="20"/>
        </w:rPr>
        <w:footnoteReference w:id="7"/>
      </w:r>
      <w:r w:rsidR="00C85A32" w:rsidRPr="00933F5A">
        <w:rPr>
          <w:rFonts w:ascii="Verdana" w:hAnsi="Verdana"/>
          <w:sz w:val="20"/>
          <w:szCs w:val="20"/>
        </w:rPr>
        <w:t>,  restitución de bienes</w:t>
      </w:r>
      <w:r w:rsidR="00C85A32" w:rsidRPr="00933F5A">
        <w:rPr>
          <w:rStyle w:val="FootnoteReference"/>
          <w:rFonts w:ascii="Verdana" w:hAnsi="Verdana"/>
          <w:sz w:val="20"/>
          <w:szCs w:val="20"/>
        </w:rPr>
        <w:footnoteReference w:id="8"/>
      </w:r>
      <w:r w:rsidR="00C85A32" w:rsidRPr="00933F5A">
        <w:rPr>
          <w:rFonts w:ascii="Verdana" w:hAnsi="Verdana"/>
          <w:sz w:val="20"/>
          <w:szCs w:val="20"/>
        </w:rPr>
        <w:t>,</w:t>
      </w:r>
      <w:r w:rsidR="0035536F" w:rsidRPr="00933F5A">
        <w:rPr>
          <w:rFonts w:ascii="Verdana" w:hAnsi="Verdana"/>
          <w:sz w:val="20"/>
          <w:szCs w:val="20"/>
        </w:rPr>
        <w:t xml:space="preserve"> expropiaciones</w:t>
      </w:r>
      <w:r w:rsidR="0035536F" w:rsidRPr="00933F5A">
        <w:rPr>
          <w:rStyle w:val="FootnoteReference"/>
          <w:rFonts w:ascii="Verdana" w:hAnsi="Verdana"/>
          <w:sz w:val="20"/>
          <w:szCs w:val="20"/>
        </w:rPr>
        <w:footnoteReference w:id="9"/>
      </w:r>
      <w:r w:rsidR="0035536F" w:rsidRPr="00933F5A">
        <w:rPr>
          <w:rFonts w:ascii="Verdana" w:hAnsi="Verdana"/>
          <w:sz w:val="20"/>
          <w:szCs w:val="20"/>
        </w:rPr>
        <w:t xml:space="preserve">, </w:t>
      </w:r>
      <w:r w:rsidR="0035536F" w:rsidRPr="00933F5A">
        <w:rPr>
          <w:rFonts w:ascii="Verdana" w:hAnsi="Verdana"/>
          <w:i/>
          <w:sz w:val="20"/>
          <w:szCs w:val="20"/>
        </w:rPr>
        <w:t>ratios</w:t>
      </w:r>
      <w:r w:rsidR="0035536F" w:rsidRPr="00933F5A">
        <w:rPr>
          <w:rFonts w:ascii="Verdana" w:hAnsi="Verdana"/>
          <w:sz w:val="20"/>
          <w:szCs w:val="20"/>
        </w:rPr>
        <w:t xml:space="preserve"> salariales</w:t>
      </w:r>
      <w:r w:rsidR="0035536F" w:rsidRPr="00933F5A">
        <w:rPr>
          <w:rStyle w:val="FootnoteReference"/>
          <w:rFonts w:ascii="Verdana" w:hAnsi="Verdana"/>
          <w:sz w:val="20"/>
          <w:szCs w:val="20"/>
        </w:rPr>
        <w:footnoteReference w:id="10"/>
      </w:r>
      <w:r w:rsidR="0035536F" w:rsidRPr="00933F5A">
        <w:rPr>
          <w:rFonts w:ascii="Verdana" w:hAnsi="Verdana"/>
          <w:sz w:val="20"/>
          <w:szCs w:val="20"/>
        </w:rPr>
        <w:t>, sustracción y destrucción de bienes</w:t>
      </w:r>
      <w:r w:rsidR="0035536F" w:rsidRPr="00933F5A">
        <w:rPr>
          <w:rStyle w:val="FootnoteReference"/>
          <w:rFonts w:ascii="Verdana" w:hAnsi="Verdana"/>
          <w:sz w:val="20"/>
          <w:szCs w:val="20"/>
        </w:rPr>
        <w:footnoteReference w:id="11"/>
      </w:r>
      <w:r w:rsidR="00472BB8">
        <w:rPr>
          <w:rFonts w:ascii="Verdana" w:hAnsi="Verdana"/>
          <w:sz w:val="20"/>
          <w:szCs w:val="20"/>
        </w:rPr>
        <w:t>,</w:t>
      </w:r>
      <w:r w:rsidR="00F15F56">
        <w:rPr>
          <w:rFonts w:ascii="Verdana" w:hAnsi="Verdana"/>
          <w:sz w:val="20"/>
          <w:szCs w:val="20"/>
        </w:rPr>
        <w:t xml:space="preserve"> </w:t>
      </w:r>
      <w:r w:rsidR="00B515B2" w:rsidRPr="00933F5A">
        <w:rPr>
          <w:rFonts w:ascii="Verdana" w:hAnsi="Verdana"/>
          <w:sz w:val="20"/>
          <w:szCs w:val="20"/>
        </w:rPr>
        <w:t>pago de indemnizaciones</w:t>
      </w:r>
      <w:r w:rsidR="00B515B2" w:rsidRPr="00933F5A">
        <w:rPr>
          <w:rStyle w:val="FootnoteReference"/>
          <w:rFonts w:ascii="Verdana" w:hAnsi="Verdana"/>
          <w:sz w:val="20"/>
          <w:szCs w:val="20"/>
        </w:rPr>
        <w:footnoteReference w:id="12"/>
      </w:r>
      <w:r w:rsidR="006E2FE9">
        <w:rPr>
          <w:rFonts w:ascii="Verdana" w:hAnsi="Verdana"/>
          <w:sz w:val="20"/>
          <w:szCs w:val="20"/>
        </w:rPr>
        <w:t xml:space="preserve">, </w:t>
      </w:r>
      <w:r w:rsidR="00B515B2" w:rsidRPr="00933F5A">
        <w:rPr>
          <w:rFonts w:ascii="Verdana" w:hAnsi="Verdana"/>
          <w:sz w:val="20"/>
          <w:szCs w:val="20"/>
        </w:rPr>
        <w:t>perdida de la propiedad por los desplazamientos</w:t>
      </w:r>
      <w:r w:rsidR="00B515B2" w:rsidRPr="00933F5A">
        <w:rPr>
          <w:rStyle w:val="FootnoteReference"/>
          <w:rFonts w:ascii="Verdana" w:hAnsi="Verdana"/>
          <w:sz w:val="20"/>
          <w:szCs w:val="20"/>
        </w:rPr>
        <w:footnoteReference w:id="13"/>
      </w:r>
      <w:r w:rsidR="00B515B2" w:rsidRPr="00933F5A">
        <w:rPr>
          <w:rFonts w:ascii="Verdana" w:hAnsi="Verdana"/>
          <w:sz w:val="20"/>
          <w:szCs w:val="20"/>
        </w:rPr>
        <w:t xml:space="preserve">, </w:t>
      </w:r>
      <w:r w:rsidR="00817C0A" w:rsidRPr="00933F5A">
        <w:rPr>
          <w:rFonts w:ascii="Verdana" w:hAnsi="Verdana"/>
          <w:sz w:val="20"/>
          <w:szCs w:val="20"/>
        </w:rPr>
        <w:t>embargo de bienes</w:t>
      </w:r>
      <w:r w:rsidR="00817C0A" w:rsidRPr="00933F5A">
        <w:rPr>
          <w:rStyle w:val="FootnoteReference"/>
          <w:rFonts w:ascii="Verdana" w:hAnsi="Verdana"/>
          <w:sz w:val="20"/>
          <w:szCs w:val="20"/>
        </w:rPr>
        <w:footnoteReference w:id="14"/>
      </w:r>
      <w:r w:rsidR="00933F5A" w:rsidRPr="00933F5A">
        <w:rPr>
          <w:rFonts w:ascii="Verdana" w:hAnsi="Verdana"/>
          <w:sz w:val="20"/>
          <w:szCs w:val="20"/>
        </w:rPr>
        <w:t xml:space="preserve"> </w:t>
      </w:r>
      <w:r w:rsidR="00C85A32" w:rsidRPr="00933F5A">
        <w:rPr>
          <w:rFonts w:ascii="Verdana" w:hAnsi="Verdana"/>
          <w:sz w:val="20"/>
          <w:szCs w:val="20"/>
        </w:rPr>
        <w:t>y la propiedad colectiva de los pueblos indígenas y tribales</w:t>
      </w:r>
      <w:r w:rsidR="00C85A32" w:rsidRPr="00933F5A">
        <w:rPr>
          <w:rStyle w:val="FootnoteReference"/>
          <w:rFonts w:ascii="Verdana" w:hAnsi="Verdana"/>
          <w:sz w:val="20"/>
          <w:szCs w:val="20"/>
        </w:rPr>
        <w:footnoteReference w:id="15"/>
      </w:r>
      <w:r w:rsidR="00C85A32" w:rsidRPr="00933F5A">
        <w:rPr>
          <w:rFonts w:ascii="Verdana" w:hAnsi="Verdana"/>
          <w:sz w:val="20"/>
          <w:szCs w:val="20"/>
        </w:rPr>
        <w:t xml:space="preserve">. </w:t>
      </w:r>
    </w:p>
    <w:p w:rsidR="00C23DC6" w:rsidRPr="00681C89" w:rsidRDefault="00C23DC6" w:rsidP="007A7AFA">
      <w:pPr>
        <w:pStyle w:val="ListParagraph"/>
        <w:ind w:hanging="720"/>
        <w:jc w:val="both"/>
        <w:rPr>
          <w:rFonts w:ascii="Verdana" w:hAnsi="Verdana"/>
          <w:b/>
          <w:color w:val="FF0000"/>
          <w:sz w:val="20"/>
          <w:szCs w:val="20"/>
        </w:rPr>
      </w:pPr>
    </w:p>
    <w:p w:rsidR="00C23DC6" w:rsidRPr="00681C89" w:rsidRDefault="0090703C" w:rsidP="00D8510E">
      <w:pPr>
        <w:pStyle w:val="ListParagraph"/>
        <w:numPr>
          <w:ilvl w:val="0"/>
          <w:numId w:val="30"/>
        </w:numPr>
        <w:ind w:left="0" w:firstLine="0"/>
        <w:jc w:val="both"/>
        <w:rPr>
          <w:rFonts w:ascii="Verdana" w:hAnsi="Verdana"/>
          <w:b/>
          <w:color w:val="FF0000"/>
          <w:sz w:val="20"/>
          <w:szCs w:val="20"/>
        </w:rPr>
      </w:pPr>
      <w:r>
        <w:rPr>
          <w:rFonts w:ascii="Verdana" w:hAnsi="Verdana"/>
          <w:sz w:val="20"/>
          <w:szCs w:val="20"/>
        </w:rPr>
        <w:lastRenderedPageBreak/>
        <w:t>Sobre e</w:t>
      </w:r>
      <w:r w:rsidR="00C23DC6" w:rsidRPr="00681C89">
        <w:rPr>
          <w:rFonts w:ascii="Verdana" w:hAnsi="Verdana"/>
          <w:sz w:val="20"/>
          <w:szCs w:val="20"/>
        </w:rPr>
        <w:t>sta última línea, la jurisprudencia de la Corte ha sido ampliamente desarrollada en el marco del sistema interamericano.</w:t>
      </w:r>
      <w:r w:rsidR="007A7AFA">
        <w:rPr>
          <w:rFonts w:ascii="Verdana" w:hAnsi="Verdana"/>
          <w:b/>
          <w:color w:val="FF0000"/>
          <w:sz w:val="20"/>
          <w:szCs w:val="20"/>
        </w:rPr>
        <w:t xml:space="preserve"> </w:t>
      </w:r>
      <w:r w:rsidR="007A7AFA">
        <w:rPr>
          <w:rFonts w:ascii="Verdana" w:hAnsi="Verdana"/>
          <w:sz w:val="20"/>
          <w:szCs w:val="20"/>
        </w:rPr>
        <w:t>E</w:t>
      </w:r>
      <w:r w:rsidR="00C23DC6" w:rsidRPr="00681C89">
        <w:rPr>
          <w:rFonts w:ascii="Verdana" w:hAnsi="Verdana"/>
          <w:sz w:val="20"/>
          <w:szCs w:val="20"/>
        </w:rPr>
        <w:t xml:space="preserve">ste Tribunal </w:t>
      </w:r>
      <w:r>
        <w:rPr>
          <w:rFonts w:ascii="Verdana" w:hAnsi="Verdana"/>
          <w:sz w:val="20"/>
          <w:szCs w:val="20"/>
        </w:rPr>
        <w:t xml:space="preserve">Interamericano </w:t>
      </w:r>
      <w:r w:rsidR="00C23DC6" w:rsidRPr="00681C89">
        <w:rPr>
          <w:rFonts w:ascii="Verdana" w:hAnsi="Verdana"/>
          <w:sz w:val="20"/>
          <w:szCs w:val="20"/>
        </w:rPr>
        <w:t xml:space="preserve">se vio en la necesidad de hacer algunas precisiones sobre el concepto de </w:t>
      </w:r>
      <w:r w:rsidR="002F515B" w:rsidRPr="00681C89">
        <w:rPr>
          <w:rFonts w:ascii="Verdana" w:hAnsi="Verdana"/>
          <w:sz w:val="20"/>
          <w:szCs w:val="20"/>
        </w:rPr>
        <w:t>“</w:t>
      </w:r>
      <w:r w:rsidR="00C23DC6" w:rsidRPr="00681C89">
        <w:rPr>
          <w:rFonts w:ascii="Verdana" w:hAnsi="Verdana"/>
          <w:sz w:val="20"/>
          <w:szCs w:val="20"/>
        </w:rPr>
        <w:t>propiedad</w:t>
      </w:r>
      <w:r w:rsidR="002F515B" w:rsidRPr="00681C89">
        <w:rPr>
          <w:rFonts w:ascii="Verdana" w:hAnsi="Verdana"/>
          <w:sz w:val="20"/>
          <w:szCs w:val="20"/>
        </w:rPr>
        <w:t>” cuando se está en presencia</w:t>
      </w:r>
      <w:r w:rsidR="00C23DC6" w:rsidRPr="00681C89">
        <w:rPr>
          <w:rFonts w:ascii="Verdana" w:hAnsi="Verdana"/>
          <w:sz w:val="20"/>
          <w:szCs w:val="20"/>
        </w:rPr>
        <w:t xml:space="preserve"> </w:t>
      </w:r>
      <w:r>
        <w:rPr>
          <w:rFonts w:ascii="Verdana" w:hAnsi="Verdana"/>
          <w:sz w:val="20"/>
          <w:szCs w:val="20"/>
        </w:rPr>
        <w:t>de comunidades indígenas. De</w:t>
      </w:r>
      <w:r w:rsidR="002F515B" w:rsidRPr="00681C89">
        <w:rPr>
          <w:rFonts w:ascii="Verdana" w:hAnsi="Verdana"/>
          <w:sz w:val="20"/>
          <w:szCs w:val="20"/>
        </w:rPr>
        <w:t xml:space="preserve"> este modo </w:t>
      </w:r>
      <w:r w:rsidR="00C23DC6" w:rsidRPr="00681C89">
        <w:rPr>
          <w:rFonts w:ascii="Verdana" w:hAnsi="Verdana"/>
          <w:sz w:val="20"/>
          <w:szCs w:val="20"/>
        </w:rPr>
        <w:t xml:space="preserve">consideró que: </w:t>
      </w:r>
    </w:p>
    <w:p w:rsidR="00C23DC6" w:rsidRPr="00681C89" w:rsidRDefault="00C23DC6" w:rsidP="007A7AFA">
      <w:pPr>
        <w:pStyle w:val="ListParagraph"/>
        <w:jc w:val="both"/>
        <w:rPr>
          <w:rFonts w:ascii="Verdana" w:hAnsi="Verdana"/>
          <w:b/>
          <w:color w:val="FF0000"/>
          <w:sz w:val="20"/>
          <w:szCs w:val="20"/>
        </w:rPr>
      </w:pPr>
    </w:p>
    <w:p w:rsidR="00925BF1" w:rsidRPr="00752E8A" w:rsidRDefault="00C23DC6" w:rsidP="007A7AFA">
      <w:pPr>
        <w:ind w:left="709" w:right="900"/>
        <w:jc w:val="both"/>
        <w:rPr>
          <w:rFonts w:ascii="Verdana" w:hAnsi="Verdana"/>
          <w:i/>
          <w:sz w:val="18"/>
          <w:szCs w:val="18"/>
          <w:lang w:val="es-ES_tradnl"/>
        </w:rPr>
      </w:pPr>
      <w:r w:rsidRPr="00752E8A">
        <w:rPr>
          <w:rFonts w:ascii="Verdana" w:hAnsi="Verdana"/>
          <w:i/>
          <w:sz w:val="18"/>
          <w:szCs w:val="18"/>
          <w:lang w:val="es-ES_tradnl"/>
        </w:rPr>
        <w:t xml:space="preserve">“[…].Entre los indígenas existe una tradición comunitaria sobre una forma comunal de la propiedad colectiva de la tierra, en el sentido de que la pertenencia de ésta no se centra en un individuo sino en el grupo y su </w:t>
      </w:r>
      <w:r w:rsidR="00925BF1" w:rsidRPr="00752E8A">
        <w:rPr>
          <w:rFonts w:ascii="Verdana" w:hAnsi="Verdana"/>
          <w:i/>
          <w:sz w:val="18"/>
          <w:szCs w:val="18"/>
          <w:lang w:val="es-ES_tradnl"/>
        </w:rPr>
        <w:t>comunidad […]”</w:t>
      </w:r>
      <w:r w:rsidR="00925BF1" w:rsidRPr="00752E8A">
        <w:rPr>
          <w:rStyle w:val="FootnoteReference"/>
          <w:rFonts w:ascii="Verdana" w:hAnsi="Verdana"/>
          <w:i/>
          <w:sz w:val="18"/>
          <w:szCs w:val="18"/>
          <w:lang w:val="es-ES_tradnl"/>
        </w:rPr>
        <w:footnoteReference w:id="16"/>
      </w:r>
      <w:r w:rsidRPr="00752E8A">
        <w:rPr>
          <w:rFonts w:ascii="Verdana" w:hAnsi="Verdana"/>
          <w:i/>
          <w:sz w:val="18"/>
          <w:szCs w:val="18"/>
          <w:lang w:val="es-ES_tradnl"/>
        </w:rPr>
        <w:t xml:space="preserve">. </w:t>
      </w:r>
    </w:p>
    <w:p w:rsidR="00C23DC6" w:rsidRPr="00681C89" w:rsidRDefault="00C23DC6" w:rsidP="007A7AFA">
      <w:pPr>
        <w:jc w:val="both"/>
        <w:rPr>
          <w:rFonts w:ascii="Verdana" w:hAnsi="Verdana"/>
          <w:b/>
          <w:i/>
          <w:color w:val="FF0000"/>
          <w:sz w:val="20"/>
          <w:szCs w:val="20"/>
        </w:rPr>
      </w:pPr>
    </w:p>
    <w:p w:rsidR="00356051" w:rsidRPr="00681C89" w:rsidRDefault="001C66C5" w:rsidP="00D8510E">
      <w:pPr>
        <w:pStyle w:val="BodyText"/>
        <w:widowControl/>
        <w:numPr>
          <w:ilvl w:val="0"/>
          <w:numId w:val="30"/>
        </w:numPr>
        <w:ind w:left="0" w:firstLine="0"/>
        <w:rPr>
          <w:rFonts w:ascii="Verdana" w:hAnsi="Verdana"/>
          <w:sz w:val="20"/>
          <w:lang w:val="es-ES_tradnl"/>
        </w:rPr>
      </w:pPr>
      <w:r w:rsidRPr="00681C89">
        <w:rPr>
          <w:rFonts w:ascii="Verdana" w:hAnsi="Verdana"/>
          <w:sz w:val="20"/>
        </w:rPr>
        <w:t>A través de una interpre</w:t>
      </w:r>
      <w:r w:rsidR="0090703C">
        <w:rPr>
          <w:rFonts w:ascii="Verdana" w:hAnsi="Verdana"/>
          <w:sz w:val="20"/>
        </w:rPr>
        <w:t xml:space="preserve">tación evolutiva, la Corte </w:t>
      </w:r>
      <w:r w:rsidR="00C03FB5" w:rsidRPr="00681C89">
        <w:rPr>
          <w:rFonts w:ascii="Verdana" w:hAnsi="Verdana"/>
          <w:sz w:val="20"/>
        </w:rPr>
        <w:t xml:space="preserve">sostuvo </w:t>
      </w:r>
      <w:r w:rsidRPr="00681C89">
        <w:rPr>
          <w:rFonts w:ascii="Verdana" w:hAnsi="Verdana"/>
          <w:sz w:val="20"/>
        </w:rPr>
        <w:t xml:space="preserve">que </w:t>
      </w:r>
      <w:r w:rsidRPr="00681C89">
        <w:rPr>
          <w:rFonts w:ascii="Verdana" w:hAnsi="Verdana"/>
          <w:sz w:val="20"/>
          <w:lang w:val="es-ES_tradnl"/>
        </w:rPr>
        <w:t>“[l]os términos de un tratado internacional de derechos humanos tienen sentido autónomo, por lo que no pueden ser equiparados al sentido que se les atribuye en el derecho interno.  Además, dichos tratados de derechos humanos son instrumentos vivos cuya interpretación tiene que adecuarse a la evolución de los tiempos y, en particular, a las condiciones de vida actuales”</w:t>
      </w:r>
      <w:r w:rsidRPr="00681C89">
        <w:rPr>
          <w:rStyle w:val="FootnoteReference"/>
          <w:rFonts w:ascii="Verdana" w:hAnsi="Verdana"/>
          <w:sz w:val="20"/>
          <w:lang w:val="es-ES_tradnl"/>
        </w:rPr>
        <w:footnoteReference w:id="17"/>
      </w:r>
      <w:r w:rsidRPr="00681C89">
        <w:rPr>
          <w:rFonts w:ascii="Verdana" w:hAnsi="Verdana"/>
          <w:sz w:val="20"/>
          <w:lang w:val="es-ES_tradnl"/>
        </w:rPr>
        <w:t>.</w:t>
      </w:r>
      <w:r w:rsidRPr="00681C89">
        <w:rPr>
          <w:rFonts w:ascii="Verdana" w:hAnsi="Verdana"/>
          <w:sz w:val="20"/>
        </w:rPr>
        <w:t xml:space="preserve"> Además, </w:t>
      </w:r>
      <w:r w:rsidR="0090703C">
        <w:rPr>
          <w:rFonts w:ascii="Verdana" w:hAnsi="Verdana"/>
          <w:sz w:val="20"/>
        </w:rPr>
        <w:t xml:space="preserve">el </w:t>
      </w:r>
      <w:r w:rsidRPr="00681C89">
        <w:rPr>
          <w:rFonts w:ascii="Verdana" w:hAnsi="Verdana"/>
          <w:sz w:val="20"/>
        </w:rPr>
        <w:t>“</w:t>
      </w:r>
      <w:r w:rsidRPr="00681C89">
        <w:rPr>
          <w:rFonts w:ascii="Verdana" w:hAnsi="Verdana"/>
          <w:sz w:val="20"/>
          <w:lang w:val="es-ES_tradnl"/>
        </w:rPr>
        <w:t>artículo 29.b de la Convención establece que ninguna disposición puede ser</w:t>
      </w:r>
      <w:r w:rsidR="00F31AAF">
        <w:rPr>
          <w:rFonts w:ascii="Verdana" w:hAnsi="Verdana"/>
          <w:sz w:val="20"/>
          <w:lang w:val="es-ES_tradnl"/>
        </w:rPr>
        <w:t xml:space="preserve"> interpretada en el sentido de `</w:t>
      </w:r>
      <w:r w:rsidRPr="00681C89">
        <w:rPr>
          <w:rFonts w:ascii="Verdana" w:hAnsi="Verdana"/>
          <w:sz w:val="20"/>
          <w:lang w:val="es-ES_tradnl"/>
        </w:rPr>
        <w:t>limitar el goce y ejercicio de cualquier derecho o libertad que pueda estar reconocido de acuerdo con las leyes de cualquiera de los Estados partes o de acuerdo con otra convención en que sea parte uno de dichos Estados</w:t>
      </w:r>
      <w:r w:rsidR="00F31AAF">
        <w:rPr>
          <w:rFonts w:ascii="Verdana" w:hAnsi="Verdana"/>
          <w:sz w:val="20"/>
          <w:lang w:val="es-ES_tradnl"/>
        </w:rPr>
        <w:t>´</w:t>
      </w:r>
      <w:r w:rsidRPr="00681C89">
        <w:rPr>
          <w:rFonts w:ascii="Verdana" w:hAnsi="Verdana"/>
          <w:sz w:val="20"/>
          <w:lang w:val="es-ES_tradnl"/>
        </w:rPr>
        <w:t>”</w:t>
      </w:r>
      <w:r w:rsidRPr="00681C89">
        <w:rPr>
          <w:rStyle w:val="FootnoteReference"/>
          <w:rFonts w:ascii="Verdana" w:hAnsi="Verdana"/>
          <w:sz w:val="20"/>
          <w:lang w:val="es-ES_tradnl"/>
        </w:rPr>
        <w:footnoteReference w:id="18"/>
      </w:r>
      <w:r w:rsidRPr="00681C89">
        <w:rPr>
          <w:rFonts w:ascii="Verdana" w:hAnsi="Verdana"/>
          <w:sz w:val="20"/>
          <w:lang w:val="es-ES_tradnl"/>
        </w:rPr>
        <w:t xml:space="preserve">. En suma, la </w:t>
      </w:r>
      <w:r w:rsidR="00A96514">
        <w:rPr>
          <w:rFonts w:ascii="Verdana" w:hAnsi="Verdana"/>
          <w:sz w:val="20"/>
          <w:lang w:val="es-ES_tradnl"/>
        </w:rPr>
        <w:t>Corte llegó</w:t>
      </w:r>
      <w:r w:rsidR="00356051" w:rsidRPr="00681C89">
        <w:rPr>
          <w:rFonts w:ascii="Verdana" w:hAnsi="Verdana"/>
          <w:sz w:val="20"/>
          <w:lang w:val="es-ES_tradnl"/>
        </w:rPr>
        <w:t xml:space="preserve"> a la conclusión sobre la cual “el</w:t>
      </w:r>
      <w:r w:rsidRPr="00681C89">
        <w:rPr>
          <w:rFonts w:ascii="Verdana" w:hAnsi="Verdana"/>
          <w:sz w:val="20"/>
          <w:lang w:val="es-ES_tradnl"/>
        </w:rPr>
        <w:t xml:space="preserve"> artículo 21 de la Convención protege el derecho a la propiedad en un sentido que comprende, entre otros, los derechos de los miembros de las comunidades indígenas en el marco de la propiedad comunal</w:t>
      </w:r>
      <w:r w:rsidR="00356051" w:rsidRPr="00681C89">
        <w:rPr>
          <w:rFonts w:ascii="Verdana" w:hAnsi="Verdana"/>
          <w:sz w:val="20"/>
          <w:lang w:val="es-ES_tradnl"/>
        </w:rPr>
        <w:t>”</w:t>
      </w:r>
      <w:r w:rsidR="00356051" w:rsidRPr="00681C89">
        <w:rPr>
          <w:rStyle w:val="FootnoteReference"/>
          <w:rFonts w:ascii="Verdana" w:hAnsi="Verdana"/>
          <w:sz w:val="20"/>
          <w:lang w:val="es-ES_tradnl"/>
        </w:rPr>
        <w:footnoteReference w:id="19"/>
      </w:r>
      <w:r w:rsidR="00356051" w:rsidRPr="00681C89">
        <w:rPr>
          <w:rFonts w:ascii="Verdana" w:hAnsi="Verdana"/>
          <w:sz w:val="20"/>
          <w:lang w:val="es-ES_tradnl"/>
        </w:rPr>
        <w:t>.</w:t>
      </w:r>
      <w:r w:rsidRPr="00681C89">
        <w:rPr>
          <w:rFonts w:ascii="Verdana" w:hAnsi="Verdana"/>
          <w:sz w:val="20"/>
          <w:lang w:val="es-ES_tradnl"/>
        </w:rPr>
        <w:t xml:space="preserve"> </w:t>
      </w:r>
    </w:p>
    <w:p w:rsidR="00356051" w:rsidRPr="00681C89" w:rsidRDefault="00356051" w:rsidP="007A7AFA">
      <w:pPr>
        <w:pStyle w:val="BodyText"/>
        <w:widowControl/>
        <w:rPr>
          <w:rFonts w:ascii="Verdana" w:hAnsi="Verdana"/>
          <w:sz w:val="20"/>
          <w:lang w:val="es-ES_tradnl"/>
        </w:rPr>
      </w:pPr>
    </w:p>
    <w:p w:rsidR="008F18DE" w:rsidRPr="00681C89" w:rsidRDefault="009010A9" w:rsidP="00D8510E">
      <w:pPr>
        <w:pStyle w:val="BodyText"/>
        <w:widowControl/>
        <w:numPr>
          <w:ilvl w:val="0"/>
          <w:numId w:val="30"/>
        </w:numPr>
        <w:ind w:left="0" w:firstLine="0"/>
        <w:rPr>
          <w:rFonts w:ascii="Verdana" w:hAnsi="Verdana"/>
          <w:sz w:val="20"/>
          <w:lang w:val="es-ES_tradnl"/>
        </w:rPr>
      </w:pPr>
      <w:r w:rsidRPr="00681C89">
        <w:rPr>
          <w:rFonts w:ascii="Verdana" w:hAnsi="Verdana"/>
          <w:sz w:val="20"/>
          <w:lang w:val="es-ES_tradnl"/>
        </w:rPr>
        <w:t xml:space="preserve">El artículo 21 </w:t>
      </w:r>
      <w:r w:rsidR="0090703C">
        <w:rPr>
          <w:rFonts w:ascii="Verdana" w:hAnsi="Verdana"/>
          <w:sz w:val="20"/>
          <w:lang w:val="es-ES_tradnl"/>
        </w:rPr>
        <w:t>de la Convención Americana</w:t>
      </w:r>
      <w:r w:rsidR="00A96514">
        <w:rPr>
          <w:rFonts w:ascii="Verdana" w:hAnsi="Verdana"/>
          <w:sz w:val="20"/>
          <w:lang w:val="es-ES_tradnl"/>
        </w:rPr>
        <w:t xml:space="preserve"> </w:t>
      </w:r>
      <w:r w:rsidRPr="00681C89">
        <w:rPr>
          <w:rFonts w:ascii="Verdana" w:hAnsi="Verdana"/>
          <w:sz w:val="20"/>
          <w:lang w:val="es-ES_tradnl"/>
        </w:rPr>
        <w:t>no hace mención expresa de la propiedad colectiva y mucho menos alusión a la propiedad indígena; en este entendido, a</w:t>
      </w:r>
      <w:r w:rsidR="00356051" w:rsidRPr="00681C89">
        <w:rPr>
          <w:rFonts w:ascii="Verdana" w:hAnsi="Verdana"/>
          <w:sz w:val="20"/>
          <w:lang w:val="es-ES_tradnl"/>
        </w:rPr>
        <w:t xml:space="preserve">l analizar los alcances </w:t>
      </w:r>
      <w:r w:rsidR="00356051" w:rsidRPr="00681C89">
        <w:rPr>
          <w:rFonts w:ascii="Verdana" w:hAnsi="Verdana"/>
          <w:sz w:val="20"/>
          <w:lang w:val="es-MX"/>
        </w:rPr>
        <w:t>del artículo 21 de</w:t>
      </w:r>
      <w:r w:rsidR="0090703C">
        <w:rPr>
          <w:rFonts w:ascii="Verdana" w:hAnsi="Verdana"/>
          <w:sz w:val="20"/>
          <w:lang w:val="es-MX"/>
        </w:rPr>
        <w:t>l Pacto de San José</w:t>
      </w:r>
      <w:r w:rsidR="00356051" w:rsidRPr="00681C89">
        <w:rPr>
          <w:rFonts w:ascii="Verdana" w:hAnsi="Verdana"/>
          <w:sz w:val="20"/>
          <w:lang w:val="es-MX"/>
        </w:rPr>
        <w:t>, ha considerado útil y apropiado utilizar otros t</w:t>
      </w:r>
      <w:r w:rsidRPr="00681C89">
        <w:rPr>
          <w:rFonts w:ascii="Verdana" w:hAnsi="Verdana"/>
          <w:sz w:val="20"/>
          <w:lang w:val="es-MX"/>
        </w:rPr>
        <w:t>ratados internacionales distin</w:t>
      </w:r>
      <w:r w:rsidR="00356051" w:rsidRPr="00681C89">
        <w:rPr>
          <w:rFonts w:ascii="Verdana" w:hAnsi="Verdana"/>
          <w:sz w:val="20"/>
          <w:lang w:val="es-MX"/>
        </w:rPr>
        <w:t>tos a la Convención Americana, tales como el Convenio No. 169 de la Organización Internacional del Trabajo (en adelante “el Convenio 169 de la OIT”)</w:t>
      </w:r>
      <w:r w:rsidRPr="00681C89">
        <w:rPr>
          <w:rStyle w:val="FootnoteReference"/>
          <w:rFonts w:ascii="Verdana" w:hAnsi="Verdana"/>
          <w:sz w:val="20"/>
          <w:lang w:val="es-MX"/>
        </w:rPr>
        <w:footnoteReference w:id="20"/>
      </w:r>
      <w:r w:rsidRPr="00681C89">
        <w:rPr>
          <w:rFonts w:ascii="Verdana" w:hAnsi="Verdana"/>
          <w:sz w:val="20"/>
          <w:lang w:val="es-MX"/>
        </w:rPr>
        <w:t xml:space="preserve">, el Pacto Internacional de Derechos Civiles y Políticos y el Pacto Internacional de Derechos </w:t>
      </w:r>
      <w:r w:rsidRPr="00681C89">
        <w:rPr>
          <w:rFonts w:ascii="Verdana" w:hAnsi="Verdana"/>
          <w:sz w:val="20"/>
          <w:lang w:val="es-MX"/>
        </w:rPr>
        <w:lastRenderedPageBreak/>
        <w:t>Económicos, Sociales y Culturales</w:t>
      </w:r>
      <w:r w:rsidRPr="00681C89">
        <w:rPr>
          <w:rStyle w:val="FootnoteReference"/>
          <w:rFonts w:ascii="Verdana" w:hAnsi="Verdana"/>
          <w:sz w:val="20"/>
          <w:lang w:val="es-MX"/>
        </w:rPr>
        <w:footnoteReference w:id="21"/>
      </w:r>
      <w:r w:rsidR="00356051" w:rsidRPr="00681C89">
        <w:rPr>
          <w:rFonts w:ascii="Verdana" w:hAnsi="Verdana"/>
          <w:sz w:val="20"/>
          <w:lang w:val="es-MX"/>
        </w:rPr>
        <w:t>, para interpretar sus disposiciones de acuerdo a la evolución del sistema interamericano</w:t>
      </w:r>
      <w:r w:rsidRPr="00681C89">
        <w:rPr>
          <w:rFonts w:ascii="Verdana" w:hAnsi="Verdana"/>
          <w:sz w:val="20"/>
          <w:lang w:val="es-MX"/>
        </w:rPr>
        <w:t xml:space="preserve">. </w:t>
      </w:r>
    </w:p>
    <w:p w:rsidR="00FB2F2C" w:rsidRDefault="00FB2F2C" w:rsidP="007A7AFA">
      <w:pPr>
        <w:pStyle w:val="BodyText"/>
        <w:widowControl/>
        <w:rPr>
          <w:rFonts w:ascii="Verdana" w:hAnsi="Verdana"/>
          <w:sz w:val="20"/>
          <w:lang w:val="es-MX"/>
        </w:rPr>
      </w:pPr>
    </w:p>
    <w:p w:rsidR="008C6B1E" w:rsidRPr="00681C89" w:rsidRDefault="00FB2F2C" w:rsidP="00D8510E">
      <w:pPr>
        <w:pStyle w:val="BodyText"/>
        <w:widowControl/>
        <w:numPr>
          <w:ilvl w:val="0"/>
          <w:numId w:val="30"/>
        </w:numPr>
        <w:ind w:left="0" w:firstLine="0"/>
        <w:rPr>
          <w:rFonts w:ascii="Verdana" w:hAnsi="Verdana"/>
          <w:sz w:val="20"/>
          <w:lang w:val="es-MX"/>
        </w:rPr>
      </w:pPr>
      <w:r w:rsidRPr="00681C89">
        <w:rPr>
          <w:rFonts w:ascii="Verdana" w:hAnsi="Verdana"/>
          <w:sz w:val="20"/>
          <w:lang w:val="es-MX"/>
        </w:rPr>
        <w:t>L</w:t>
      </w:r>
      <w:r w:rsidR="000B1A3F" w:rsidRPr="00681C89">
        <w:rPr>
          <w:rFonts w:ascii="Verdana" w:hAnsi="Verdana"/>
          <w:sz w:val="20"/>
          <w:lang w:val="es-MX"/>
        </w:rPr>
        <w:t>a Corte consideró “que los conceptos de propiedad y posesión en las comunidades indígenas pueden tener una significación colectiva, en el sentido de que la pertenencia</w:t>
      </w:r>
      <w:r w:rsidR="0090703C">
        <w:rPr>
          <w:rFonts w:ascii="Verdana" w:hAnsi="Verdana"/>
          <w:sz w:val="20"/>
          <w:lang w:val="es-MX"/>
        </w:rPr>
        <w:t xml:space="preserve"> de ésta “</w:t>
      </w:r>
      <w:r w:rsidR="000B1A3F" w:rsidRPr="00681C89">
        <w:rPr>
          <w:rFonts w:ascii="Verdana" w:hAnsi="Verdana"/>
          <w:sz w:val="20"/>
          <w:lang w:val="es-MX"/>
        </w:rPr>
        <w:t>no se centra en un individuo sino en el grupo y su comunidad’”</w:t>
      </w:r>
      <w:r w:rsidR="000B1A3F" w:rsidRPr="00681C89">
        <w:rPr>
          <w:rStyle w:val="FootnoteReference"/>
          <w:rFonts w:ascii="Verdana" w:hAnsi="Verdana"/>
          <w:sz w:val="20"/>
        </w:rPr>
        <w:footnoteReference w:id="22"/>
      </w:r>
      <w:r w:rsidR="000B1A3F" w:rsidRPr="00681C89">
        <w:rPr>
          <w:rFonts w:ascii="Verdana" w:hAnsi="Verdana"/>
          <w:sz w:val="20"/>
          <w:lang w:val="es-MX"/>
        </w:rPr>
        <w:t xml:space="preserve">.  Además, el Tribunal </w:t>
      </w:r>
      <w:r w:rsidR="0090703C">
        <w:rPr>
          <w:rFonts w:ascii="Verdana" w:hAnsi="Verdana"/>
          <w:sz w:val="20"/>
          <w:lang w:val="es-MX"/>
        </w:rPr>
        <w:t xml:space="preserve">Interamericano </w:t>
      </w:r>
      <w:r w:rsidR="000B1A3F" w:rsidRPr="00681C89">
        <w:rPr>
          <w:rFonts w:ascii="Verdana" w:hAnsi="Verdana"/>
          <w:sz w:val="20"/>
          <w:lang w:val="es-MX"/>
        </w:rPr>
        <w:t xml:space="preserve">señaló </w:t>
      </w:r>
      <w:r>
        <w:rPr>
          <w:rFonts w:ascii="Verdana" w:hAnsi="Verdana"/>
          <w:sz w:val="20"/>
          <w:lang w:val="es-MX"/>
        </w:rPr>
        <w:t xml:space="preserve">que </w:t>
      </w:r>
      <w:r w:rsidR="000B1A3F" w:rsidRPr="00681C89">
        <w:rPr>
          <w:rFonts w:ascii="Verdana" w:hAnsi="Verdana"/>
          <w:sz w:val="20"/>
          <w:lang w:val="es-MX"/>
        </w:rPr>
        <w:t>“tanto la propiedad privada de los particulares como la propiedad comunitaria de los miembros de las comunidades indígenas tienen la protección convencional que les otorga el artículo 21 de la Convención Americana”</w:t>
      </w:r>
      <w:r w:rsidR="000B1A3F" w:rsidRPr="00681C89">
        <w:rPr>
          <w:rStyle w:val="FootnoteReference"/>
          <w:rFonts w:ascii="Verdana" w:hAnsi="Verdana"/>
          <w:sz w:val="20"/>
        </w:rPr>
        <w:footnoteReference w:id="23"/>
      </w:r>
      <w:r w:rsidR="000B1A3F" w:rsidRPr="00681C89">
        <w:rPr>
          <w:rFonts w:ascii="Verdana" w:hAnsi="Verdana"/>
          <w:sz w:val="20"/>
          <w:lang w:val="es-MX"/>
        </w:rPr>
        <w:t xml:space="preserve">.  </w:t>
      </w:r>
      <w:r w:rsidR="008C6B1E" w:rsidRPr="00681C89">
        <w:rPr>
          <w:rFonts w:ascii="Verdana" w:hAnsi="Verdana"/>
          <w:sz w:val="20"/>
        </w:rPr>
        <w:t>Estas nociones del dominio y de la posesión sobre las tierras no necesariamente corresponden a la concepción clásica de propiedad, pero merecen igual protección del artículo 21 de la Convención Americana.</w:t>
      </w:r>
      <w:r w:rsidR="008C6B1E" w:rsidRPr="00681C89">
        <w:rPr>
          <w:rFonts w:ascii="Verdana" w:hAnsi="Verdana"/>
          <w:i/>
          <w:sz w:val="20"/>
        </w:rPr>
        <w:t xml:space="preserve"> </w:t>
      </w:r>
      <w:r w:rsidR="008C6B1E" w:rsidRPr="00681C89">
        <w:rPr>
          <w:rFonts w:ascii="Verdana" w:hAnsi="Verdana"/>
          <w:sz w:val="20"/>
        </w:rPr>
        <w:t>Desconocer las versiones específicas del derecho al uso y goce de los bienes, dadas por la cultura, usos, costumbres y creencias de cada pueblo, equivaldría a sostener que sólo existe una forma de usar y disponer de los bienes, lo que a su vez significaría hacer ilusoria la protección de tal disposición para millones de personas</w:t>
      </w:r>
      <w:r w:rsidR="008C6B1E" w:rsidRPr="00681C89">
        <w:rPr>
          <w:rStyle w:val="FootnoteReference"/>
          <w:rFonts w:ascii="Verdana" w:hAnsi="Verdana"/>
          <w:sz w:val="20"/>
        </w:rPr>
        <w:footnoteReference w:id="24"/>
      </w:r>
      <w:r w:rsidR="008C6B1E" w:rsidRPr="00681C89">
        <w:rPr>
          <w:rFonts w:ascii="Verdana" w:hAnsi="Verdana"/>
          <w:sz w:val="20"/>
        </w:rPr>
        <w:t>.</w:t>
      </w:r>
    </w:p>
    <w:p w:rsidR="008C6B1E" w:rsidRPr="00681C89" w:rsidRDefault="008C6B1E" w:rsidP="007A7AFA">
      <w:pPr>
        <w:pStyle w:val="BodyText"/>
        <w:widowControl/>
        <w:rPr>
          <w:rFonts w:ascii="Verdana" w:hAnsi="Verdana"/>
          <w:sz w:val="20"/>
          <w:lang w:val="es-MX"/>
        </w:rPr>
      </w:pPr>
    </w:p>
    <w:p w:rsidR="00C03FB5" w:rsidRPr="00681C89" w:rsidRDefault="00C03FB5" w:rsidP="00D8510E">
      <w:pPr>
        <w:pStyle w:val="BodyText"/>
        <w:widowControl/>
        <w:numPr>
          <w:ilvl w:val="0"/>
          <w:numId w:val="30"/>
        </w:numPr>
        <w:ind w:left="0" w:firstLine="0"/>
        <w:rPr>
          <w:rFonts w:ascii="Verdana" w:hAnsi="Verdana"/>
          <w:sz w:val="20"/>
          <w:lang w:val="es-ES_tradnl"/>
        </w:rPr>
      </w:pPr>
      <w:r w:rsidRPr="00681C89">
        <w:rPr>
          <w:rFonts w:ascii="Verdana" w:hAnsi="Verdana"/>
          <w:sz w:val="20"/>
          <w:lang w:val="es-MX"/>
        </w:rPr>
        <w:t xml:space="preserve">Haciendo uso de los criterios señalados, </w:t>
      </w:r>
      <w:r w:rsidR="0090703C">
        <w:rPr>
          <w:rFonts w:ascii="Verdana" w:hAnsi="Verdana"/>
          <w:sz w:val="20"/>
          <w:lang w:val="es-MX"/>
        </w:rPr>
        <w:t xml:space="preserve">la Corte </w:t>
      </w:r>
      <w:r w:rsidRPr="00681C89">
        <w:rPr>
          <w:rFonts w:ascii="Verdana" w:hAnsi="Verdana"/>
          <w:sz w:val="20"/>
          <w:lang w:val="es-MX"/>
        </w:rPr>
        <w:t>ha resaltado que la estrecha relación que los indígenas mantienen con la tierra debe de ser reconocida y comprendida como la base fundamental de su cultura, vida espiritual, integridad, supervivencia económica y su preservación y transmisión a las generaciones futuras</w:t>
      </w:r>
      <w:r w:rsidRPr="00681C89">
        <w:rPr>
          <w:rStyle w:val="FootnoteReference"/>
          <w:rFonts w:ascii="Verdana" w:hAnsi="Verdana"/>
          <w:sz w:val="20"/>
        </w:rPr>
        <w:footnoteReference w:id="25"/>
      </w:r>
      <w:r w:rsidRPr="00681C89">
        <w:rPr>
          <w:rFonts w:ascii="Verdana" w:hAnsi="Verdana"/>
          <w:sz w:val="20"/>
          <w:lang w:val="es-MX"/>
        </w:rPr>
        <w:t>.</w:t>
      </w:r>
    </w:p>
    <w:p w:rsidR="00CB4E68" w:rsidRPr="00681C89" w:rsidRDefault="00CB4E68" w:rsidP="007A7AFA">
      <w:pPr>
        <w:pStyle w:val="ListParagraph"/>
        <w:jc w:val="both"/>
        <w:rPr>
          <w:rFonts w:ascii="Verdana" w:hAnsi="Verdana"/>
          <w:sz w:val="20"/>
          <w:szCs w:val="20"/>
          <w:lang w:val="es-ES_tradnl"/>
        </w:rPr>
      </w:pPr>
    </w:p>
    <w:p w:rsidR="00921B94" w:rsidRPr="00681C89" w:rsidRDefault="00CB4E68"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jc w:val="both"/>
        <w:rPr>
          <w:rFonts w:ascii="Verdana" w:hAnsi="Verdana"/>
          <w:sz w:val="20"/>
          <w:szCs w:val="20"/>
          <w:lang w:val="es-MX"/>
        </w:rPr>
      </w:pPr>
      <w:r w:rsidRPr="00681C89">
        <w:rPr>
          <w:rFonts w:ascii="Verdana" w:hAnsi="Verdana"/>
          <w:sz w:val="20"/>
          <w:szCs w:val="20"/>
          <w:lang w:val="es-MX"/>
        </w:rPr>
        <w:t>Lo anterior guarda relación con lo expresado en el artículo 13 del Convenio No. 169 de la OIT, en el sentido de que los Estados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w:t>
      </w:r>
      <w:r w:rsidRPr="00681C89">
        <w:rPr>
          <w:rStyle w:val="FootnoteReference"/>
          <w:rFonts w:ascii="Verdana" w:hAnsi="Verdana"/>
          <w:sz w:val="20"/>
          <w:szCs w:val="20"/>
          <w:lang w:val="es-MX"/>
        </w:rPr>
        <w:footnoteReference w:id="26"/>
      </w:r>
      <w:r w:rsidRPr="00681C89">
        <w:rPr>
          <w:rFonts w:ascii="Verdana" w:hAnsi="Verdana"/>
          <w:sz w:val="20"/>
          <w:szCs w:val="20"/>
          <w:lang w:val="es-MX"/>
        </w:rPr>
        <w:t>.</w:t>
      </w:r>
    </w:p>
    <w:p w:rsidR="00921B94" w:rsidRPr="00681C89" w:rsidRDefault="00921B94" w:rsidP="007A7AFA">
      <w:pPr>
        <w:pStyle w:val="ListParagraph"/>
        <w:jc w:val="both"/>
        <w:rPr>
          <w:rFonts w:ascii="Verdana" w:hAnsi="Verdana" w:cs="Arial"/>
          <w:sz w:val="20"/>
          <w:szCs w:val="20"/>
          <w:lang w:eastAsia="es-MX"/>
        </w:rPr>
      </w:pPr>
    </w:p>
    <w:p w:rsidR="00BE4E47" w:rsidRPr="00681C89" w:rsidRDefault="00921B94"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51" w:firstLine="0"/>
        <w:jc w:val="both"/>
        <w:rPr>
          <w:rFonts w:ascii="Verdana" w:hAnsi="Verdana"/>
          <w:sz w:val="20"/>
          <w:szCs w:val="20"/>
          <w:lang w:val="es-MX"/>
        </w:rPr>
      </w:pPr>
      <w:r w:rsidRPr="00681C89">
        <w:rPr>
          <w:rFonts w:ascii="Verdana" w:hAnsi="Verdana" w:cs="Arial"/>
          <w:sz w:val="20"/>
          <w:szCs w:val="20"/>
          <w:lang w:eastAsia="es-MX"/>
        </w:rPr>
        <w:t xml:space="preserve">El principal mecanismo de garantía del derecho de propiedad territorial indígena que ha sido identificado por los órganos del sistema interamericano es la </w:t>
      </w:r>
      <w:r w:rsidRPr="00681C89">
        <w:rPr>
          <w:rFonts w:ascii="Verdana" w:hAnsi="Verdana" w:cs="Arial"/>
          <w:sz w:val="20"/>
          <w:szCs w:val="20"/>
          <w:lang w:eastAsia="es-MX"/>
        </w:rPr>
        <w:lastRenderedPageBreak/>
        <w:t>delimitación y demarcación de las tierras pertenecientes a los pueblos indígena</w:t>
      </w:r>
      <w:bookmarkStart w:id="1" w:name="_ftnref5"/>
      <w:r w:rsidRPr="00681C89">
        <w:rPr>
          <w:rFonts w:ascii="Verdana" w:hAnsi="Verdana" w:cs="Arial"/>
          <w:sz w:val="20"/>
          <w:szCs w:val="20"/>
          <w:lang w:eastAsia="es-MX"/>
        </w:rPr>
        <w:t>s</w:t>
      </w:r>
      <w:bookmarkEnd w:id="1"/>
      <w:r w:rsidRPr="00681C89">
        <w:rPr>
          <w:rFonts w:ascii="Verdana" w:hAnsi="Verdana" w:cs="Arial"/>
          <w:sz w:val="20"/>
          <w:szCs w:val="20"/>
          <w:lang w:eastAsia="es-MX"/>
        </w:rPr>
        <w:t xml:space="preserve">. </w:t>
      </w:r>
      <w:r w:rsidRPr="00681C89">
        <w:rPr>
          <w:rFonts w:ascii="Verdana" w:hAnsi="Verdana" w:cs="Arial"/>
          <w:sz w:val="20"/>
          <w:szCs w:val="20"/>
        </w:rPr>
        <w:t>S</w:t>
      </w:r>
      <w:r w:rsidR="00BE4E47" w:rsidRPr="00681C89">
        <w:rPr>
          <w:rFonts w:ascii="Verdana" w:hAnsi="Verdana" w:cs="Arial"/>
          <w:sz w:val="20"/>
          <w:szCs w:val="20"/>
          <w:lang w:val="es-ES_tradnl"/>
        </w:rPr>
        <w:t>egún</w:t>
      </w:r>
      <w:r w:rsidR="00A96514">
        <w:rPr>
          <w:rFonts w:ascii="Verdana" w:hAnsi="Verdana" w:cs="Arial"/>
          <w:sz w:val="20"/>
          <w:szCs w:val="20"/>
          <w:lang w:val="es-ES_tradnl"/>
        </w:rPr>
        <w:t xml:space="preserve"> ha explicado la Corte</w:t>
      </w:r>
      <w:r w:rsidR="00A96514">
        <w:rPr>
          <w:rFonts w:ascii="Verdana" w:hAnsi="Verdana" w:cs="Arial"/>
          <w:sz w:val="20"/>
          <w:szCs w:val="20"/>
        </w:rPr>
        <w:t xml:space="preserve"> “[a]</w:t>
      </w:r>
      <w:r w:rsidRPr="00681C89">
        <w:rPr>
          <w:rFonts w:ascii="Verdana" w:hAnsi="Verdana" w:cs="Arial"/>
          <w:sz w:val="20"/>
          <w:szCs w:val="20"/>
        </w:rPr>
        <w:t xml:space="preserve"> fin de obtener dicho título, el territorio que los miembros del pueblo [respectivo] han usado y ocupado tradicionalmente debe ser primero demarcado y delimitado, a través de consultas realizadas con dicho pueblo y con los pueblos vecinos”</w:t>
      </w:r>
      <w:r w:rsidRPr="00681C89">
        <w:rPr>
          <w:rStyle w:val="FootnoteReference"/>
          <w:rFonts w:ascii="Verdana" w:hAnsi="Verdana" w:cs="Arial"/>
          <w:sz w:val="20"/>
          <w:szCs w:val="20"/>
          <w:lang w:eastAsia="es-MX"/>
        </w:rPr>
        <w:t xml:space="preserve"> </w:t>
      </w:r>
      <w:r w:rsidRPr="00681C89">
        <w:rPr>
          <w:rStyle w:val="FootnoteReference"/>
          <w:rFonts w:ascii="Verdana" w:hAnsi="Verdana" w:cs="Arial"/>
          <w:sz w:val="20"/>
          <w:szCs w:val="20"/>
          <w:lang w:eastAsia="es-MX"/>
        </w:rPr>
        <w:footnoteReference w:id="27"/>
      </w:r>
      <w:r w:rsidRPr="00681C89">
        <w:rPr>
          <w:rFonts w:ascii="Verdana" w:hAnsi="Verdana" w:cs="Arial"/>
          <w:sz w:val="20"/>
          <w:szCs w:val="20"/>
        </w:rPr>
        <w:t xml:space="preserve">. </w:t>
      </w:r>
      <w:r w:rsidR="00BE4E47" w:rsidRPr="00681C89">
        <w:rPr>
          <w:rFonts w:ascii="Verdana" w:hAnsi="Verdana" w:cs="Arial"/>
          <w:sz w:val="20"/>
          <w:szCs w:val="20"/>
        </w:rPr>
        <w:t>Además, la Corte ha establecido que uno de los derechos básicos relacionados con el derecho a la propiedad colectiva de los pueblos indígenas es el goce permanente de su territorio ancestral, para lo cual se debe de tener el titulo del territorio</w:t>
      </w:r>
      <w:r w:rsidR="00BE4E47" w:rsidRPr="00681C89">
        <w:rPr>
          <w:rStyle w:val="FootnoteReference"/>
          <w:rFonts w:ascii="Verdana" w:hAnsi="Verdana" w:cs="Arial"/>
          <w:sz w:val="20"/>
          <w:szCs w:val="20"/>
        </w:rPr>
        <w:footnoteReference w:id="28"/>
      </w:r>
      <w:r w:rsidR="00BE4E47" w:rsidRPr="00681C89">
        <w:rPr>
          <w:rFonts w:ascii="Verdana" w:hAnsi="Verdana" w:cs="Arial"/>
          <w:sz w:val="20"/>
          <w:szCs w:val="20"/>
        </w:rPr>
        <w:t xml:space="preserve">. </w:t>
      </w:r>
    </w:p>
    <w:p w:rsidR="00921B94" w:rsidRPr="00681C89" w:rsidRDefault="00921B94" w:rsidP="007A7AFA">
      <w:pPr>
        <w:jc w:val="both"/>
        <w:rPr>
          <w:rFonts w:ascii="Verdana" w:hAnsi="Verdana"/>
          <w:sz w:val="20"/>
          <w:szCs w:val="20"/>
          <w:lang w:val="es-MX"/>
        </w:rPr>
      </w:pPr>
    </w:p>
    <w:p w:rsidR="00E668AD" w:rsidRPr="00681C89" w:rsidRDefault="00CB4E68"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jc w:val="both"/>
        <w:rPr>
          <w:rFonts w:ascii="Verdana" w:hAnsi="Verdana"/>
          <w:sz w:val="20"/>
          <w:szCs w:val="20"/>
          <w:lang w:val="es-MX"/>
        </w:rPr>
      </w:pPr>
      <w:r w:rsidRPr="00681C89">
        <w:rPr>
          <w:rFonts w:ascii="Verdana" w:hAnsi="Verdana"/>
          <w:sz w:val="20"/>
          <w:szCs w:val="20"/>
          <w:lang w:val="es-MX"/>
        </w:rPr>
        <w:t>La cultura de los miembros de las comunidades indígenas corresponde a una forma de vida particular de ser, ver y actuar en el mundo, constituido a partir de su estrecha relación con sus territorios tradicionales y los recursos que allí se encuentran, no sólo por ser estos su principal medio de subsistencia, sino además porque constituyen un elemento integrante de su cosmovisión, religiosidad y, por ende, de su identidad cultural</w:t>
      </w:r>
      <w:r w:rsidRPr="00681C89">
        <w:rPr>
          <w:rStyle w:val="FootnoteReference"/>
          <w:rFonts w:ascii="Verdana" w:hAnsi="Verdana"/>
          <w:sz w:val="20"/>
          <w:szCs w:val="20"/>
          <w:lang w:val="es-MX"/>
        </w:rPr>
        <w:footnoteReference w:id="29"/>
      </w:r>
      <w:r w:rsidRPr="00681C89">
        <w:rPr>
          <w:rFonts w:ascii="Verdana" w:hAnsi="Verdana"/>
          <w:sz w:val="20"/>
          <w:szCs w:val="20"/>
          <w:lang w:val="es-MX"/>
        </w:rPr>
        <w:t>. En consecuencia, la estrecha vinculación de los pueblos indígenas sobre sus territorios tradicionales y los recursos naturales ligados a su cultura que ahí se encuentren, así como los elementos incorporales que se desprendan de ellos, deben ser salvaguardados por el artículo 21 de la Convención Americana</w:t>
      </w:r>
      <w:r w:rsidRPr="00681C89">
        <w:rPr>
          <w:rStyle w:val="FootnoteReference"/>
          <w:rFonts w:ascii="Verdana" w:hAnsi="Verdana"/>
          <w:sz w:val="20"/>
          <w:szCs w:val="20"/>
          <w:lang w:val="es-MX"/>
        </w:rPr>
        <w:footnoteReference w:id="30"/>
      </w:r>
      <w:r w:rsidRPr="00681C89">
        <w:rPr>
          <w:rFonts w:ascii="Verdana" w:hAnsi="Verdana"/>
          <w:sz w:val="20"/>
          <w:szCs w:val="20"/>
          <w:lang w:val="es-MX"/>
        </w:rPr>
        <w:t xml:space="preserve">. </w:t>
      </w:r>
    </w:p>
    <w:p w:rsidR="00E668AD" w:rsidRPr="00681C89" w:rsidRDefault="00E668AD" w:rsidP="007A7AFA">
      <w:pPr>
        <w:pStyle w:val="ListParagraph"/>
        <w:jc w:val="both"/>
        <w:rPr>
          <w:rFonts w:ascii="Verdana" w:hAnsi="Verdana"/>
          <w:sz w:val="20"/>
          <w:szCs w:val="20"/>
          <w:lang w:val="es-MX"/>
        </w:rPr>
      </w:pPr>
    </w:p>
    <w:p w:rsidR="00E668AD" w:rsidRPr="00681C89" w:rsidRDefault="00E668AD"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jc w:val="both"/>
        <w:rPr>
          <w:rFonts w:ascii="Verdana" w:hAnsi="Verdana"/>
          <w:sz w:val="20"/>
          <w:szCs w:val="20"/>
          <w:lang w:val="es-MX"/>
        </w:rPr>
      </w:pPr>
      <w:r w:rsidRPr="00681C89">
        <w:rPr>
          <w:rFonts w:ascii="Verdana" w:hAnsi="Verdana"/>
          <w:sz w:val="20"/>
          <w:szCs w:val="20"/>
          <w:lang w:val="es-MX"/>
        </w:rPr>
        <w:t>Al desconocerse el derecho ancestral de los miembros de las comunidades indígenas sobre sus territorios, se podría estar afectando otros derechos básicos, como el derecho a la identidad cultural y la supervivencia misma de las comunidades indígenas y sus miembros</w:t>
      </w:r>
      <w:r w:rsidRPr="00681C89">
        <w:rPr>
          <w:rStyle w:val="FootnoteReference"/>
          <w:rFonts w:ascii="Verdana" w:hAnsi="Verdana"/>
          <w:sz w:val="20"/>
          <w:szCs w:val="20"/>
          <w:lang w:val="es-MX"/>
        </w:rPr>
        <w:footnoteReference w:id="31"/>
      </w:r>
      <w:r w:rsidRPr="00681C89">
        <w:rPr>
          <w:rFonts w:ascii="Verdana" w:hAnsi="Verdana"/>
          <w:sz w:val="20"/>
          <w:szCs w:val="20"/>
          <w:lang w:val="es-MX"/>
        </w:rPr>
        <w:t>.</w:t>
      </w:r>
    </w:p>
    <w:p w:rsidR="009966FE" w:rsidRPr="00681C89" w:rsidRDefault="009966FE" w:rsidP="007A7AFA">
      <w:pPr>
        <w:pStyle w:val="ListParagraph"/>
        <w:jc w:val="both"/>
        <w:rPr>
          <w:rFonts w:ascii="Verdana" w:hAnsi="Verdana"/>
          <w:sz w:val="20"/>
          <w:szCs w:val="20"/>
          <w:lang w:val="es-MX"/>
        </w:rPr>
      </w:pPr>
    </w:p>
    <w:p w:rsidR="009966FE" w:rsidRPr="00692A3B" w:rsidRDefault="009966FE"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jc w:val="both"/>
        <w:rPr>
          <w:rFonts w:ascii="Verdana" w:hAnsi="Verdana"/>
          <w:sz w:val="20"/>
          <w:szCs w:val="20"/>
          <w:lang w:val="es-MX"/>
        </w:rPr>
      </w:pPr>
      <w:r w:rsidRPr="00681C89">
        <w:rPr>
          <w:rFonts w:ascii="Verdana" w:hAnsi="Verdana"/>
          <w:sz w:val="20"/>
          <w:szCs w:val="20"/>
          <w:lang w:val="es-MX"/>
        </w:rPr>
        <w:t>Este Tribunal ha determinado que “[l]</w:t>
      </w:r>
      <w:r w:rsidRPr="00681C89">
        <w:rPr>
          <w:rFonts w:ascii="Verdana" w:hAnsi="Verdana"/>
          <w:sz w:val="20"/>
          <w:szCs w:val="20"/>
          <w:lang w:val="es-ES_tradnl"/>
        </w:rPr>
        <w:t xml:space="preserve">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  Para las comunidades indígenas la relación con la tierra no es meramente una cuestión de posesión y producción sino un elemento material y espiritual del que deben gozar plenamente, inclusive para </w:t>
      </w:r>
      <w:r w:rsidRPr="00681C89">
        <w:rPr>
          <w:rFonts w:ascii="Verdana" w:hAnsi="Verdana"/>
          <w:sz w:val="20"/>
          <w:szCs w:val="20"/>
          <w:lang w:val="es-ES_tradnl"/>
        </w:rPr>
        <w:lastRenderedPageBreak/>
        <w:t>preservar su legado cultural y transmitirlo a las generaciones futuras”</w:t>
      </w:r>
      <w:r w:rsidRPr="00681C89">
        <w:rPr>
          <w:rStyle w:val="FootnoteReference"/>
          <w:rFonts w:ascii="Verdana" w:hAnsi="Verdana"/>
          <w:sz w:val="20"/>
          <w:szCs w:val="20"/>
          <w:lang w:val="es-ES_tradnl"/>
        </w:rPr>
        <w:footnoteReference w:id="32"/>
      </w:r>
      <w:r w:rsidRPr="00681C89">
        <w:rPr>
          <w:rFonts w:ascii="Verdana" w:hAnsi="Verdana"/>
          <w:sz w:val="20"/>
          <w:szCs w:val="20"/>
          <w:lang w:val="es-ES_tradnl"/>
        </w:rPr>
        <w:t>.</w:t>
      </w:r>
    </w:p>
    <w:p w:rsidR="003622C0" w:rsidRDefault="003622C0" w:rsidP="00D5125A">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51"/>
        <w:rPr>
          <w:rFonts w:ascii="Verdana" w:hAnsi="Verdana"/>
          <w:b/>
          <w:i/>
          <w:sz w:val="20"/>
          <w:szCs w:val="20"/>
          <w:lang w:val="es-MX"/>
        </w:rPr>
      </w:pPr>
    </w:p>
    <w:p w:rsidR="006E2FE9" w:rsidRPr="004B014D" w:rsidRDefault="00D6179B" w:rsidP="005F24F8">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51"/>
        <w:jc w:val="center"/>
        <w:rPr>
          <w:rFonts w:ascii="Verdana" w:hAnsi="Verdana"/>
          <w:b/>
          <w:bCs/>
          <w:caps/>
          <w:sz w:val="20"/>
          <w:szCs w:val="20"/>
          <w:lang w:val="es-MX"/>
        </w:rPr>
      </w:pPr>
      <w:r w:rsidRPr="004B014D">
        <w:rPr>
          <w:rFonts w:ascii="Verdana" w:hAnsi="Verdana"/>
          <w:b/>
          <w:bCs/>
          <w:caps/>
          <w:sz w:val="20"/>
          <w:szCs w:val="20"/>
          <w:lang w:val="es-MX"/>
        </w:rPr>
        <w:t>II.</w:t>
      </w:r>
      <w:r w:rsidR="00A96514" w:rsidRPr="004B014D">
        <w:rPr>
          <w:rFonts w:ascii="Verdana" w:hAnsi="Verdana"/>
          <w:b/>
          <w:bCs/>
          <w:caps/>
          <w:sz w:val="20"/>
          <w:szCs w:val="20"/>
          <w:lang w:val="es-MX"/>
        </w:rPr>
        <w:t xml:space="preserve"> </w:t>
      </w:r>
      <w:r w:rsidR="006E2FE9" w:rsidRPr="004B014D">
        <w:rPr>
          <w:rFonts w:ascii="Verdana" w:hAnsi="Verdana"/>
          <w:b/>
          <w:bCs/>
          <w:caps/>
          <w:sz w:val="20"/>
          <w:szCs w:val="20"/>
          <w:lang w:val="es-MX"/>
        </w:rPr>
        <w:t xml:space="preserve">Los </w:t>
      </w:r>
      <w:r w:rsidR="00A96514" w:rsidRPr="004B014D">
        <w:rPr>
          <w:rFonts w:ascii="Verdana" w:hAnsi="Verdana"/>
          <w:b/>
          <w:bCs/>
          <w:caps/>
          <w:sz w:val="20"/>
          <w:szCs w:val="20"/>
          <w:lang w:val="es-MX"/>
        </w:rPr>
        <w:t>límites</w:t>
      </w:r>
      <w:r w:rsidR="006E2FE9" w:rsidRPr="004B014D">
        <w:rPr>
          <w:rFonts w:ascii="Verdana" w:hAnsi="Verdana"/>
          <w:b/>
          <w:bCs/>
          <w:caps/>
          <w:sz w:val="20"/>
          <w:szCs w:val="20"/>
          <w:lang w:val="es-MX"/>
        </w:rPr>
        <w:t xml:space="preserve"> del derecho a la propiedad colectiva de los pueblos indígen</w:t>
      </w:r>
      <w:r w:rsidR="00735C8D" w:rsidRPr="004B014D">
        <w:rPr>
          <w:rFonts w:ascii="Verdana" w:hAnsi="Verdana"/>
          <w:b/>
          <w:bCs/>
          <w:caps/>
          <w:sz w:val="20"/>
          <w:szCs w:val="20"/>
          <w:lang w:val="es-MX"/>
        </w:rPr>
        <w:t>as en el sistema interamericano</w:t>
      </w:r>
    </w:p>
    <w:p w:rsidR="00E668AD" w:rsidRPr="00681C89" w:rsidRDefault="00E668AD" w:rsidP="007A7AFA">
      <w:pPr>
        <w:pStyle w:val="ListParagraph"/>
        <w:jc w:val="both"/>
        <w:rPr>
          <w:rFonts w:ascii="Verdana" w:hAnsi="Verdana"/>
          <w:sz w:val="20"/>
          <w:szCs w:val="20"/>
          <w:lang w:val="es-MX"/>
        </w:rPr>
      </w:pPr>
    </w:p>
    <w:p w:rsidR="00E668AD" w:rsidRPr="00681C89" w:rsidRDefault="001D3147"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jc w:val="both"/>
        <w:rPr>
          <w:rFonts w:ascii="Verdana" w:hAnsi="Verdana"/>
          <w:sz w:val="20"/>
          <w:szCs w:val="20"/>
          <w:lang w:val="es-MX"/>
        </w:rPr>
      </w:pPr>
      <w:r w:rsidRPr="00681C89">
        <w:rPr>
          <w:rFonts w:ascii="Verdana" w:hAnsi="Verdana"/>
          <w:sz w:val="20"/>
          <w:szCs w:val="20"/>
          <w:lang w:val="es-MX"/>
        </w:rPr>
        <w:t xml:space="preserve">Cuando la propiedad comunal indígena y la propiedad privada particular entran en contradicciones reales o aparentes, la propia Convención Americana y la jurisprudencia del Tribunal </w:t>
      </w:r>
      <w:r w:rsidR="003622C0">
        <w:rPr>
          <w:rFonts w:ascii="Verdana" w:hAnsi="Verdana"/>
          <w:sz w:val="20"/>
          <w:szCs w:val="20"/>
          <w:lang w:val="es-MX"/>
        </w:rPr>
        <w:t xml:space="preserve">Interamericano </w:t>
      </w:r>
      <w:r w:rsidRPr="00681C89">
        <w:rPr>
          <w:rFonts w:ascii="Verdana" w:hAnsi="Verdana"/>
          <w:sz w:val="20"/>
          <w:szCs w:val="20"/>
          <w:lang w:val="es-MX"/>
        </w:rPr>
        <w:t>proveen las pautas para definir las restricciones admisibles al goce y ejercicio de estos derechos, a saber: a) deben estar establecidas por ley; b) deben ser necesarias; c) deben ser proporcionales, y d) deben hacerse con el fin de lograr un objetivo legítimo en una sociedad democrática</w:t>
      </w:r>
      <w:r w:rsidRPr="00681C89">
        <w:rPr>
          <w:rStyle w:val="FootnoteReference"/>
          <w:rFonts w:ascii="Verdana" w:hAnsi="Verdana"/>
          <w:sz w:val="20"/>
          <w:szCs w:val="20"/>
          <w:lang w:val="es-MX"/>
        </w:rPr>
        <w:footnoteReference w:id="33"/>
      </w:r>
      <w:r w:rsidRPr="00681C89">
        <w:rPr>
          <w:rFonts w:ascii="Verdana" w:hAnsi="Verdana"/>
          <w:sz w:val="20"/>
          <w:szCs w:val="20"/>
          <w:lang w:val="es-MX"/>
        </w:rPr>
        <w:t>.</w:t>
      </w:r>
    </w:p>
    <w:p w:rsidR="00E668AD" w:rsidRPr="00681C89" w:rsidRDefault="00E668AD" w:rsidP="007A7AFA">
      <w:pPr>
        <w:pStyle w:val="ListParagraph"/>
        <w:jc w:val="both"/>
        <w:rPr>
          <w:rFonts w:ascii="Verdana" w:hAnsi="Verdana"/>
          <w:sz w:val="20"/>
          <w:szCs w:val="20"/>
          <w:lang w:val="es-MX"/>
        </w:rPr>
      </w:pPr>
    </w:p>
    <w:p w:rsidR="00C34050" w:rsidRDefault="001D3147"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jc w:val="both"/>
        <w:rPr>
          <w:rFonts w:ascii="Verdana" w:hAnsi="Verdana"/>
          <w:sz w:val="20"/>
          <w:szCs w:val="20"/>
          <w:lang w:val="es-MX"/>
        </w:rPr>
      </w:pPr>
      <w:r w:rsidRPr="00681C89">
        <w:rPr>
          <w:rFonts w:ascii="Verdana" w:hAnsi="Verdana"/>
          <w:sz w:val="20"/>
          <w:szCs w:val="20"/>
          <w:lang w:val="es-MX"/>
        </w:rPr>
        <w:t>El artículo 21.1 de la Convención dispone que “[l]a ley puede subordinar [el] uso y goce [de los bienes] al interés social.” La necesidad de las restricciones legalmente contempladas dependerá de que estén orientadas a satisfacer un interés público imperativo, siendo insuficiente que se demuestre, por ejemplo, que la ley cumple un propósito útil u oportuno. La proporcionalidad radica en que la restricción debe ajustarse estrechamente al logro de un legítimo objetivo, interfiriendo en la menor medida posible en el efectivo ejercicio del derecho restringido. Finalmente, para que sean compatibles con la Convención las restricciones deben justificarse según objetivos colectivos que, por su importancia, preponderen claramente sobre la necesidad del pleno goce del derecho restringido</w:t>
      </w:r>
      <w:r w:rsidRPr="00681C89">
        <w:rPr>
          <w:rStyle w:val="FootnoteReference"/>
          <w:rFonts w:ascii="Verdana" w:hAnsi="Verdana"/>
          <w:sz w:val="20"/>
          <w:szCs w:val="20"/>
          <w:lang w:val="es-MX"/>
        </w:rPr>
        <w:footnoteReference w:id="34"/>
      </w:r>
      <w:r w:rsidRPr="00681C89">
        <w:rPr>
          <w:rFonts w:ascii="Verdana" w:hAnsi="Verdana"/>
          <w:sz w:val="20"/>
          <w:szCs w:val="20"/>
          <w:lang w:val="es-MX"/>
        </w:rPr>
        <w:t xml:space="preserve">. </w:t>
      </w:r>
    </w:p>
    <w:p w:rsidR="00C34050" w:rsidRPr="00C34050" w:rsidRDefault="00C34050" w:rsidP="007A7AFA">
      <w:pPr>
        <w:pStyle w:val="ListParagraph"/>
        <w:jc w:val="both"/>
        <w:rPr>
          <w:rFonts w:ascii="Verdana" w:hAnsi="Verdana"/>
          <w:sz w:val="20"/>
          <w:szCs w:val="20"/>
          <w:lang w:val="es-MX"/>
        </w:rPr>
      </w:pPr>
    </w:p>
    <w:p w:rsidR="00D438C4" w:rsidRDefault="001D3147"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jc w:val="both"/>
        <w:rPr>
          <w:rFonts w:ascii="Verdana" w:hAnsi="Verdana"/>
          <w:sz w:val="20"/>
          <w:szCs w:val="20"/>
          <w:lang w:val="es-MX"/>
        </w:rPr>
      </w:pPr>
      <w:r w:rsidRPr="00C34050">
        <w:rPr>
          <w:rFonts w:ascii="Verdana" w:hAnsi="Verdana"/>
          <w:sz w:val="20"/>
          <w:szCs w:val="20"/>
          <w:lang w:val="es-MX"/>
        </w:rPr>
        <w:t>La Corte ha observado que el derecho a la prop</w:t>
      </w:r>
      <w:r w:rsidR="003622C0">
        <w:rPr>
          <w:rFonts w:ascii="Verdana" w:hAnsi="Verdana"/>
          <w:sz w:val="20"/>
          <w:szCs w:val="20"/>
          <w:lang w:val="es-MX"/>
        </w:rPr>
        <w:t>iedad no es un derecho absoluto</w:t>
      </w:r>
      <w:r w:rsidR="00C34050" w:rsidRPr="00C34050">
        <w:rPr>
          <w:rFonts w:ascii="Verdana" w:hAnsi="Verdana"/>
          <w:sz w:val="20"/>
          <w:szCs w:val="20"/>
          <w:lang w:val="es-MX"/>
        </w:rPr>
        <w:t xml:space="preserve"> y</w:t>
      </w:r>
      <w:r w:rsidR="003622C0">
        <w:rPr>
          <w:rFonts w:ascii="Verdana" w:hAnsi="Verdana"/>
          <w:sz w:val="20"/>
          <w:szCs w:val="20"/>
          <w:lang w:val="es-MX"/>
        </w:rPr>
        <w:t>,</w:t>
      </w:r>
      <w:r w:rsidR="00C34050" w:rsidRPr="00C34050">
        <w:rPr>
          <w:rFonts w:ascii="Verdana" w:hAnsi="Verdana"/>
          <w:sz w:val="20"/>
          <w:szCs w:val="20"/>
          <w:lang w:val="es-MX"/>
        </w:rPr>
        <w:t xml:space="preserve"> por lo tanto, </w:t>
      </w:r>
      <w:r w:rsidR="00C34050" w:rsidRPr="00C34050">
        <w:rPr>
          <w:rFonts w:ascii="Verdana" w:eastAsiaTheme="minorHAnsi" w:hAnsi="Verdana" w:cs="Verdana"/>
          <w:sz w:val="20"/>
          <w:szCs w:val="20"/>
          <w:lang w:val="es-MX" w:eastAsia="en-US"/>
        </w:rPr>
        <w:t>puede ser objeto de restricciones y limitaciones</w:t>
      </w:r>
      <w:r w:rsidR="00C34050">
        <w:rPr>
          <w:rStyle w:val="FootnoteReference"/>
          <w:rFonts w:ascii="Verdana" w:eastAsiaTheme="minorHAnsi" w:hAnsi="Verdana" w:cs="Verdana"/>
          <w:sz w:val="20"/>
          <w:szCs w:val="20"/>
          <w:lang w:val="es-MX" w:eastAsia="en-US"/>
        </w:rPr>
        <w:footnoteReference w:id="35"/>
      </w:r>
      <w:r w:rsidR="00C34050" w:rsidRPr="00C34050">
        <w:rPr>
          <w:rFonts w:ascii="Verdana" w:eastAsiaTheme="minorHAnsi" w:hAnsi="Verdana" w:cs="Verdana"/>
          <w:sz w:val="20"/>
          <w:szCs w:val="20"/>
          <w:lang w:val="es-MX" w:eastAsia="en-US"/>
        </w:rPr>
        <w:t>, siempre y cuando éstas se realicen por la vía legal adecuada y de conformidad con los parámetros establecidos en dicho artículo 21</w:t>
      </w:r>
      <w:r w:rsidR="003622C0">
        <w:rPr>
          <w:rFonts w:ascii="Verdana" w:eastAsiaTheme="minorHAnsi" w:hAnsi="Verdana" w:cs="Verdana"/>
          <w:sz w:val="20"/>
          <w:szCs w:val="20"/>
          <w:lang w:val="es-MX" w:eastAsia="en-US"/>
        </w:rPr>
        <w:t xml:space="preserve"> de la Convención</w:t>
      </w:r>
      <w:r w:rsidR="00C34050">
        <w:rPr>
          <w:rStyle w:val="FootnoteReference"/>
          <w:rFonts w:ascii="Verdana" w:eastAsiaTheme="minorHAnsi" w:hAnsi="Verdana" w:cs="Verdana"/>
          <w:sz w:val="20"/>
          <w:szCs w:val="20"/>
          <w:lang w:val="es-MX" w:eastAsia="en-US"/>
        </w:rPr>
        <w:footnoteReference w:id="36"/>
      </w:r>
      <w:r w:rsidR="00C34050" w:rsidRPr="00C34050">
        <w:rPr>
          <w:rFonts w:ascii="Verdana" w:eastAsiaTheme="minorHAnsi" w:hAnsi="Verdana" w:cs="Verdana"/>
          <w:sz w:val="20"/>
          <w:szCs w:val="20"/>
          <w:lang w:val="es-MX" w:eastAsia="en-US"/>
        </w:rPr>
        <w:t>.</w:t>
      </w:r>
      <w:r w:rsidR="00C34050" w:rsidRPr="00C34050">
        <w:rPr>
          <w:rFonts w:ascii="Verdana" w:hAnsi="Verdana"/>
          <w:sz w:val="20"/>
          <w:szCs w:val="20"/>
          <w:lang w:val="es-MX"/>
        </w:rPr>
        <w:t xml:space="preserve"> </w:t>
      </w:r>
      <w:r w:rsidR="00C34050" w:rsidRPr="00C34050">
        <w:rPr>
          <w:rFonts w:ascii="Verdana" w:eastAsiaTheme="minorHAnsi" w:hAnsi="Verdana" w:cs="Verdana"/>
          <w:sz w:val="20"/>
          <w:szCs w:val="20"/>
          <w:lang w:val="es-MX" w:eastAsia="en-US"/>
        </w:rPr>
        <w:t>Est</w:t>
      </w:r>
      <w:r w:rsidR="00D438C4">
        <w:rPr>
          <w:rFonts w:ascii="Verdana" w:eastAsiaTheme="minorHAnsi" w:hAnsi="Verdana" w:cs="Verdana"/>
          <w:sz w:val="20"/>
          <w:szCs w:val="20"/>
          <w:lang w:val="es-MX" w:eastAsia="en-US"/>
        </w:rPr>
        <w:t>e Tribunal</w:t>
      </w:r>
      <w:r w:rsidR="00C34050" w:rsidRPr="00C34050">
        <w:rPr>
          <w:rFonts w:ascii="Verdana" w:eastAsiaTheme="minorHAnsi" w:hAnsi="Verdana" w:cs="Verdana"/>
          <w:sz w:val="20"/>
          <w:szCs w:val="20"/>
          <w:lang w:val="es-MX" w:eastAsia="en-US"/>
        </w:rPr>
        <w:t xml:space="preserve"> </w:t>
      </w:r>
      <w:r w:rsidR="003622C0">
        <w:rPr>
          <w:rFonts w:ascii="Verdana" w:eastAsiaTheme="minorHAnsi" w:hAnsi="Verdana" w:cs="Verdana"/>
          <w:sz w:val="20"/>
          <w:szCs w:val="20"/>
          <w:lang w:val="es-MX" w:eastAsia="en-US"/>
        </w:rPr>
        <w:t xml:space="preserve">Interamericano </w:t>
      </w:r>
      <w:r w:rsidR="00C34050" w:rsidRPr="00C34050">
        <w:rPr>
          <w:rFonts w:ascii="Verdana" w:eastAsiaTheme="minorHAnsi" w:hAnsi="Verdana" w:cs="Verdana"/>
          <w:sz w:val="20"/>
          <w:szCs w:val="20"/>
          <w:lang w:val="es-MX" w:eastAsia="en-US"/>
        </w:rPr>
        <w:t xml:space="preserve">ha establecido que, al examinar una posible violación al derecho a la propiedad privada, no debe limitarse a examinar únicamente si se produjo una desposesión o una </w:t>
      </w:r>
      <w:r w:rsidR="00C34050" w:rsidRPr="00C34050">
        <w:rPr>
          <w:rFonts w:ascii="Verdana" w:eastAsiaTheme="minorHAnsi" w:hAnsi="Verdana" w:cs="Verdana"/>
          <w:sz w:val="20"/>
          <w:szCs w:val="20"/>
          <w:lang w:val="es-MX" w:eastAsia="en-US"/>
        </w:rPr>
        <w:lastRenderedPageBreak/>
        <w:t>expropiación formal, sino que debe además comprobar, más allá de la apariencia, cuál fue la situación real detrás de la situación denunciada</w:t>
      </w:r>
      <w:r w:rsidR="00C34050">
        <w:rPr>
          <w:rStyle w:val="FootnoteReference"/>
          <w:rFonts w:ascii="Verdana" w:eastAsiaTheme="minorHAnsi" w:hAnsi="Verdana" w:cs="Verdana"/>
          <w:sz w:val="20"/>
          <w:szCs w:val="20"/>
          <w:lang w:val="es-MX" w:eastAsia="en-US"/>
        </w:rPr>
        <w:footnoteReference w:id="37"/>
      </w:r>
      <w:r w:rsidR="00C34050">
        <w:rPr>
          <w:rFonts w:ascii="Verdana" w:hAnsi="Verdana"/>
          <w:sz w:val="20"/>
          <w:szCs w:val="20"/>
          <w:lang w:val="es-MX"/>
        </w:rPr>
        <w:t>.</w:t>
      </w:r>
    </w:p>
    <w:p w:rsidR="00D438C4" w:rsidRPr="00D438C4" w:rsidRDefault="00D438C4" w:rsidP="007A7AFA">
      <w:pPr>
        <w:pStyle w:val="ListParagraph"/>
        <w:jc w:val="both"/>
        <w:rPr>
          <w:rFonts w:ascii="Verdana" w:hAnsi="Verdana"/>
          <w:sz w:val="20"/>
          <w:szCs w:val="20"/>
          <w:lang w:val="es-MX"/>
        </w:rPr>
      </w:pPr>
    </w:p>
    <w:p w:rsidR="00E668AD" w:rsidRPr="00D438C4" w:rsidRDefault="00C34050"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jc w:val="both"/>
        <w:rPr>
          <w:rFonts w:ascii="Verdana" w:hAnsi="Verdana"/>
          <w:sz w:val="20"/>
          <w:szCs w:val="20"/>
          <w:lang w:val="es-MX"/>
        </w:rPr>
      </w:pPr>
      <w:r w:rsidRPr="00C34050">
        <w:rPr>
          <w:rFonts w:ascii="Verdana" w:hAnsi="Verdana"/>
          <w:sz w:val="20"/>
          <w:szCs w:val="20"/>
          <w:lang w:val="es-MX"/>
        </w:rPr>
        <w:t>E</w:t>
      </w:r>
      <w:r w:rsidR="001D3147" w:rsidRPr="00C34050">
        <w:rPr>
          <w:rFonts w:ascii="Verdana" w:hAnsi="Verdana"/>
          <w:sz w:val="20"/>
          <w:szCs w:val="20"/>
          <w:lang w:val="es-MX"/>
        </w:rPr>
        <w:t>l artículo 21.2 de la Convención establece que para que la privación de los bienes de una persona sea compatible con el derecho a la propiedad consagrado en la Convención, debe fundarse en razones de utilidad pública o de interés social, sujetarse al pago de una justa indemnización, limitarse a los casos y practicarse según las formas establece por la ley</w:t>
      </w:r>
      <w:r w:rsidR="001D3147" w:rsidRPr="00681C89">
        <w:rPr>
          <w:rStyle w:val="FootnoteReference"/>
          <w:rFonts w:ascii="Verdana" w:hAnsi="Verdana"/>
          <w:sz w:val="20"/>
          <w:szCs w:val="20"/>
          <w:lang w:val="es-MX"/>
        </w:rPr>
        <w:footnoteReference w:id="38"/>
      </w:r>
      <w:r w:rsidR="001D3147" w:rsidRPr="00C34050">
        <w:rPr>
          <w:rFonts w:ascii="Verdana" w:hAnsi="Verdana"/>
          <w:sz w:val="20"/>
          <w:szCs w:val="20"/>
          <w:lang w:val="es-MX"/>
        </w:rPr>
        <w:t xml:space="preserve">. </w:t>
      </w:r>
      <w:r w:rsidR="00E668AD" w:rsidRPr="00D438C4">
        <w:rPr>
          <w:rFonts w:ascii="Verdana" w:hAnsi="Verdana"/>
          <w:sz w:val="20"/>
          <w:szCs w:val="20"/>
          <w:lang w:val="es-MX"/>
        </w:rPr>
        <w:t>L</w:t>
      </w:r>
      <w:r w:rsidR="001D3147" w:rsidRPr="00D438C4">
        <w:rPr>
          <w:rFonts w:ascii="Verdana" w:hAnsi="Verdana"/>
          <w:sz w:val="20"/>
          <w:szCs w:val="20"/>
          <w:lang w:val="es-MX"/>
        </w:rPr>
        <w:t>a restricción que se haga al derecho a la propiedad privada de particulares pudiera ser necesaria para lograr el objetivo colectivo de preservar las identidades culturales en una sociedad democrática y pluralista en el sentido de la Convención Americana; y proporcional, si se hace el pago de una justa indemnización a los perjudicados, de conformidad con el artículo 21.2 de la Convención</w:t>
      </w:r>
      <w:r w:rsidR="00E668AD" w:rsidRPr="00681C89">
        <w:rPr>
          <w:rStyle w:val="FootnoteReference"/>
          <w:rFonts w:ascii="Verdana" w:hAnsi="Verdana"/>
          <w:sz w:val="20"/>
          <w:szCs w:val="20"/>
          <w:lang w:val="es-MX"/>
        </w:rPr>
        <w:footnoteReference w:id="39"/>
      </w:r>
      <w:r w:rsidR="00B139CD">
        <w:rPr>
          <w:rFonts w:ascii="Verdana" w:hAnsi="Verdana"/>
          <w:sz w:val="20"/>
          <w:szCs w:val="20"/>
          <w:lang w:val="es-MX"/>
        </w:rPr>
        <w:t>.</w:t>
      </w:r>
    </w:p>
    <w:p w:rsidR="00E668AD" w:rsidRPr="00681C89" w:rsidRDefault="00E668AD" w:rsidP="007A7AFA">
      <w:pPr>
        <w:pStyle w:val="ListParagraph"/>
        <w:jc w:val="both"/>
        <w:rPr>
          <w:rFonts w:ascii="Verdana" w:hAnsi="Verdana"/>
          <w:sz w:val="20"/>
          <w:szCs w:val="20"/>
          <w:lang w:val="es-MX"/>
        </w:rPr>
      </w:pPr>
    </w:p>
    <w:p w:rsidR="00E668AD" w:rsidRPr="00681C89" w:rsidRDefault="001D3147"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jc w:val="both"/>
        <w:rPr>
          <w:rFonts w:ascii="Verdana" w:hAnsi="Verdana"/>
          <w:sz w:val="20"/>
          <w:szCs w:val="20"/>
          <w:lang w:val="es-MX"/>
        </w:rPr>
      </w:pPr>
      <w:r w:rsidRPr="00681C89">
        <w:rPr>
          <w:rFonts w:ascii="Verdana" w:hAnsi="Verdana"/>
          <w:sz w:val="20"/>
          <w:szCs w:val="20"/>
          <w:lang w:val="es-MX"/>
        </w:rPr>
        <w:t>Esto no significa que siempre que estén en conflicto los intereses territoriales particulares o estatales y los intereses territoriales de los miembros de las comunidades indíge</w:t>
      </w:r>
      <w:r w:rsidR="003622C0">
        <w:rPr>
          <w:rFonts w:ascii="Verdana" w:hAnsi="Verdana"/>
          <w:sz w:val="20"/>
          <w:szCs w:val="20"/>
          <w:lang w:val="es-MX"/>
        </w:rPr>
        <w:t>nas, prevalezcan los últimos</w:t>
      </w:r>
      <w:r w:rsidRPr="00681C89">
        <w:rPr>
          <w:rFonts w:ascii="Verdana" w:hAnsi="Verdana"/>
          <w:sz w:val="20"/>
          <w:szCs w:val="20"/>
          <w:lang w:val="es-MX"/>
        </w:rPr>
        <w:t xml:space="preserve"> sobre los primeros.  </w:t>
      </w:r>
      <w:r w:rsidRPr="00681C89">
        <w:rPr>
          <w:rFonts w:ascii="Verdana" w:hAnsi="Verdana"/>
          <w:sz w:val="20"/>
          <w:szCs w:val="20"/>
          <w:u w:val="single"/>
          <w:lang w:val="es-MX"/>
        </w:rPr>
        <w:t>Cuando los Estados se vean imposibilitados, por razones concretas y justificadas, de adoptar medidas para devolver el territorio tradicional y los recursos comunales de las poblaciones indígenas, la compensación que se otorgue debe tener como orientación principal el significado que tiene la tierra para éstas</w:t>
      </w:r>
      <w:r w:rsidR="00E668AD" w:rsidRPr="00681C89">
        <w:rPr>
          <w:rStyle w:val="FootnoteReference"/>
          <w:rFonts w:ascii="Verdana" w:hAnsi="Verdana"/>
          <w:sz w:val="20"/>
          <w:szCs w:val="20"/>
          <w:lang w:val="es-MX"/>
        </w:rPr>
        <w:footnoteReference w:id="40"/>
      </w:r>
      <w:r w:rsidR="00E668AD" w:rsidRPr="00681C89">
        <w:rPr>
          <w:rFonts w:ascii="Verdana" w:hAnsi="Verdana"/>
          <w:sz w:val="20"/>
          <w:szCs w:val="20"/>
          <w:lang w:val="es-MX"/>
        </w:rPr>
        <w:t>.</w:t>
      </w:r>
      <w:r w:rsidR="00CA003B" w:rsidRPr="00681C89">
        <w:rPr>
          <w:rFonts w:ascii="Verdana" w:hAnsi="Verdana"/>
          <w:sz w:val="20"/>
          <w:szCs w:val="20"/>
          <w:lang w:val="es-MX"/>
        </w:rPr>
        <w:t xml:space="preserve"> (Subrayado añadido)</w:t>
      </w:r>
    </w:p>
    <w:p w:rsidR="00734F94" w:rsidRPr="00681C89" w:rsidRDefault="00734F94" w:rsidP="007A7AFA">
      <w:pPr>
        <w:pStyle w:val="ListParagraph"/>
        <w:jc w:val="both"/>
        <w:rPr>
          <w:rFonts w:ascii="Verdana" w:hAnsi="Verdana"/>
          <w:sz w:val="20"/>
          <w:szCs w:val="20"/>
          <w:lang w:val="es-MX"/>
        </w:rPr>
      </w:pPr>
    </w:p>
    <w:p w:rsidR="00E668AD" w:rsidRDefault="00734F94"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51" w:firstLine="0"/>
        <w:jc w:val="both"/>
        <w:rPr>
          <w:rFonts w:ascii="Verdana" w:hAnsi="Verdana"/>
          <w:sz w:val="20"/>
          <w:szCs w:val="20"/>
          <w:lang w:val="es-MX"/>
        </w:rPr>
      </w:pPr>
      <w:r w:rsidRPr="00681C89">
        <w:rPr>
          <w:rFonts w:ascii="Verdana" w:hAnsi="Verdana"/>
          <w:sz w:val="20"/>
          <w:szCs w:val="20"/>
          <w:lang w:val="es-MX"/>
        </w:rPr>
        <w:t xml:space="preserve">En el contexto de grandes proyectos de desarrollo o de exploración, extracción explotación de recursos y minerales, este Tribunal </w:t>
      </w:r>
      <w:r w:rsidR="003622C0">
        <w:rPr>
          <w:rFonts w:ascii="Verdana" w:hAnsi="Verdana"/>
          <w:sz w:val="20"/>
          <w:szCs w:val="20"/>
          <w:lang w:val="es-MX"/>
        </w:rPr>
        <w:t xml:space="preserve">Interamericano </w:t>
      </w:r>
      <w:r w:rsidRPr="00681C89">
        <w:rPr>
          <w:rFonts w:ascii="Verdana" w:hAnsi="Verdana"/>
          <w:sz w:val="20"/>
          <w:szCs w:val="20"/>
          <w:lang w:val="es-MX"/>
        </w:rPr>
        <w:t>ha de</w:t>
      </w:r>
      <w:r w:rsidR="003622C0">
        <w:rPr>
          <w:rFonts w:ascii="Verdana" w:hAnsi="Verdana"/>
          <w:sz w:val="20"/>
          <w:szCs w:val="20"/>
          <w:lang w:val="es-MX"/>
        </w:rPr>
        <w:t>terminado una serie de derechos</w:t>
      </w:r>
      <w:r w:rsidRPr="00681C89">
        <w:rPr>
          <w:rFonts w:ascii="Verdana" w:hAnsi="Verdana"/>
          <w:sz w:val="20"/>
          <w:szCs w:val="20"/>
          <w:lang w:val="es-MX"/>
        </w:rPr>
        <w:t xml:space="preserve"> contra las restricciones a la propiedad comunal de los pueblos indígenas y tribales: a) la participación del pueblo respectivo en la toma de deci</w:t>
      </w:r>
      <w:r w:rsidR="003622C0">
        <w:rPr>
          <w:rFonts w:ascii="Verdana" w:hAnsi="Verdana"/>
          <w:sz w:val="20"/>
          <w:szCs w:val="20"/>
          <w:lang w:val="es-MX"/>
        </w:rPr>
        <w:t>siones del proyecto que s</w:t>
      </w:r>
      <w:r w:rsidRPr="00681C89">
        <w:rPr>
          <w:rFonts w:ascii="Verdana" w:hAnsi="Verdana"/>
          <w:sz w:val="20"/>
          <w:szCs w:val="20"/>
          <w:lang w:val="es-MX"/>
        </w:rPr>
        <w:t>e desee desarrollar en su territorio ancestral; b) que el pueblo indígena o tribal se beneficie del plan que se pretende desarrollar en su territorio; y c) realización de estudios de impacto ambiental y social</w:t>
      </w:r>
      <w:r w:rsidRPr="00681C89">
        <w:rPr>
          <w:rStyle w:val="FootnoteReference"/>
          <w:rFonts w:ascii="Verdana" w:hAnsi="Verdana"/>
          <w:sz w:val="20"/>
          <w:szCs w:val="20"/>
          <w:lang w:val="es-MX"/>
        </w:rPr>
        <w:footnoteReference w:id="41"/>
      </w:r>
      <w:r w:rsidRPr="00681C89">
        <w:rPr>
          <w:rFonts w:ascii="Verdana" w:hAnsi="Verdana"/>
          <w:sz w:val="20"/>
          <w:szCs w:val="20"/>
          <w:lang w:val="es-MX"/>
        </w:rPr>
        <w:t xml:space="preserve">. </w:t>
      </w:r>
    </w:p>
    <w:p w:rsidR="00D6179B" w:rsidRPr="00D438C4" w:rsidRDefault="00D6179B" w:rsidP="00D6179B">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51"/>
        <w:jc w:val="both"/>
        <w:rPr>
          <w:rFonts w:ascii="Verdana" w:hAnsi="Verdana"/>
          <w:sz w:val="20"/>
          <w:szCs w:val="20"/>
          <w:lang w:val="es-MX"/>
        </w:rPr>
      </w:pPr>
    </w:p>
    <w:p w:rsidR="00E668AD" w:rsidRPr="00681C89" w:rsidRDefault="001D3147"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jc w:val="both"/>
        <w:rPr>
          <w:rFonts w:ascii="Verdana" w:hAnsi="Verdana"/>
          <w:sz w:val="20"/>
          <w:szCs w:val="20"/>
          <w:lang w:val="es-MX"/>
        </w:rPr>
      </w:pPr>
      <w:r w:rsidRPr="00681C89">
        <w:rPr>
          <w:rFonts w:ascii="Verdana" w:hAnsi="Verdana"/>
          <w:sz w:val="20"/>
          <w:szCs w:val="20"/>
          <w:lang w:val="es-MX"/>
        </w:rPr>
        <w:t>Al aplicar estos estándares a los conflictos que se presentan entre la propiedad privada y los reclamos de reivindicación de propiedad ancestral de los miembros de comunidades indígenas, los Estados deben valorar</w:t>
      </w:r>
      <w:r w:rsidR="003622C0">
        <w:rPr>
          <w:rFonts w:ascii="Verdana" w:hAnsi="Verdana"/>
          <w:sz w:val="20"/>
          <w:szCs w:val="20"/>
          <w:lang w:val="es-MX"/>
        </w:rPr>
        <w:t>,</w:t>
      </w:r>
      <w:r w:rsidRPr="00681C89">
        <w:rPr>
          <w:rFonts w:ascii="Verdana" w:hAnsi="Verdana"/>
          <w:sz w:val="20"/>
          <w:szCs w:val="20"/>
          <w:lang w:val="es-MX"/>
        </w:rPr>
        <w:t xml:space="preserve"> caso por caso</w:t>
      </w:r>
      <w:r w:rsidR="003622C0">
        <w:rPr>
          <w:rFonts w:ascii="Verdana" w:hAnsi="Verdana"/>
          <w:sz w:val="20"/>
          <w:szCs w:val="20"/>
          <w:lang w:val="es-MX"/>
        </w:rPr>
        <w:t>,</w:t>
      </w:r>
      <w:r w:rsidRPr="00681C89">
        <w:rPr>
          <w:rFonts w:ascii="Verdana" w:hAnsi="Verdana"/>
          <w:sz w:val="20"/>
          <w:szCs w:val="20"/>
          <w:lang w:val="es-MX"/>
        </w:rPr>
        <w:t xml:space="preserve"> las restricciones que resultarían del reconoci</w:t>
      </w:r>
      <w:r w:rsidR="003622C0">
        <w:rPr>
          <w:rFonts w:ascii="Verdana" w:hAnsi="Verdana"/>
          <w:sz w:val="20"/>
          <w:szCs w:val="20"/>
          <w:lang w:val="es-MX"/>
        </w:rPr>
        <w:t xml:space="preserve">miento de un derecho </w:t>
      </w:r>
      <w:r w:rsidRPr="00681C89">
        <w:rPr>
          <w:rFonts w:ascii="Verdana" w:hAnsi="Verdana"/>
          <w:sz w:val="20"/>
          <w:szCs w:val="20"/>
          <w:lang w:val="es-MX"/>
        </w:rPr>
        <w:t xml:space="preserve">sobre el otro. Así, por ejemplo, los Estados deben tener en cuenta que los derechos territoriales indígenas abarcan un concepto más amplio y diferente que está relacionado con el derecho colectivo a la supervivencia como pueblo organizado, con el control de su hábitat como una condición necesaria para la reproducción de su cultura, para su propio desarrollo y para llevar a cabo sus planes de vida. La propiedad sobre la tierra garantiza que los </w:t>
      </w:r>
      <w:r w:rsidRPr="00681C89">
        <w:rPr>
          <w:rFonts w:ascii="Verdana" w:hAnsi="Verdana"/>
          <w:sz w:val="20"/>
          <w:szCs w:val="20"/>
          <w:lang w:val="es-MX"/>
        </w:rPr>
        <w:lastRenderedPageBreak/>
        <w:t>miembros de las comunidades indígenas conserven su patrimonio cultural</w:t>
      </w:r>
      <w:r w:rsidRPr="00681C89">
        <w:rPr>
          <w:rStyle w:val="FootnoteReference"/>
          <w:rFonts w:ascii="Verdana" w:hAnsi="Verdana"/>
          <w:sz w:val="20"/>
          <w:szCs w:val="20"/>
          <w:lang w:val="es-MX"/>
        </w:rPr>
        <w:footnoteReference w:id="42"/>
      </w:r>
      <w:r w:rsidRPr="00681C89">
        <w:rPr>
          <w:rFonts w:ascii="Verdana" w:hAnsi="Verdana"/>
          <w:sz w:val="20"/>
          <w:szCs w:val="20"/>
          <w:lang w:val="es-MX"/>
        </w:rPr>
        <w:t xml:space="preserve">. </w:t>
      </w:r>
    </w:p>
    <w:p w:rsidR="00E668AD" w:rsidRPr="00681C89" w:rsidRDefault="00E668AD" w:rsidP="007A7AFA">
      <w:pPr>
        <w:pStyle w:val="ListParagraph"/>
        <w:jc w:val="both"/>
        <w:rPr>
          <w:rFonts w:ascii="Verdana" w:hAnsi="Verdana"/>
          <w:sz w:val="20"/>
          <w:szCs w:val="20"/>
          <w:lang w:val="es-MX"/>
        </w:rPr>
      </w:pPr>
    </w:p>
    <w:p w:rsidR="00E668AD" w:rsidRPr="00681C89" w:rsidRDefault="00E668AD" w:rsidP="00D8510E">
      <w:pPr>
        <w:pStyle w:val="ListParagraph"/>
        <w:widowControl w:val="0"/>
        <w:numPr>
          <w:ilvl w:val="0"/>
          <w:numId w:val="3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jc w:val="both"/>
        <w:rPr>
          <w:rFonts w:ascii="Verdana" w:hAnsi="Verdana"/>
          <w:sz w:val="20"/>
          <w:szCs w:val="20"/>
          <w:lang w:val="es-MX"/>
        </w:rPr>
      </w:pPr>
      <w:r w:rsidRPr="00681C89">
        <w:rPr>
          <w:rFonts w:ascii="Verdana" w:hAnsi="Verdana"/>
          <w:sz w:val="20"/>
          <w:szCs w:val="20"/>
          <w:lang w:val="es-MX"/>
        </w:rPr>
        <w:t>Al respecto, el artículo 16.4 del Convenio No. 169 de la OIT, al referirse al retorno de los pueblos indígenas a los territorios de los que han sido desplazados señala que</w:t>
      </w:r>
      <w:r w:rsidR="00CA003B" w:rsidRPr="00681C89">
        <w:rPr>
          <w:rFonts w:ascii="Verdana" w:hAnsi="Verdana"/>
          <w:sz w:val="20"/>
          <w:szCs w:val="20"/>
          <w:lang w:val="es-MX"/>
        </w:rPr>
        <w:t>:</w:t>
      </w:r>
    </w:p>
    <w:p w:rsidR="00E668AD" w:rsidRPr="00681C89" w:rsidRDefault="00E668AD" w:rsidP="007A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both"/>
        <w:rPr>
          <w:rFonts w:ascii="Verdana" w:hAnsi="Verdana"/>
          <w:sz w:val="20"/>
          <w:szCs w:val="20"/>
          <w:lang w:val="es-MX"/>
        </w:rPr>
      </w:pPr>
    </w:p>
    <w:p w:rsidR="00E668AD" w:rsidRPr="003622C0" w:rsidRDefault="00CA003B" w:rsidP="007A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58"/>
        <w:jc w:val="both"/>
        <w:rPr>
          <w:rFonts w:ascii="Verdana" w:hAnsi="Verdana"/>
          <w:sz w:val="18"/>
          <w:szCs w:val="18"/>
          <w:lang w:val="es-MX"/>
        </w:rPr>
      </w:pPr>
      <w:r w:rsidRPr="003622C0">
        <w:rPr>
          <w:rFonts w:ascii="Verdana" w:hAnsi="Verdana"/>
          <w:sz w:val="18"/>
          <w:szCs w:val="18"/>
          <w:lang w:val="es-MX"/>
        </w:rPr>
        <w:t>“</w:t>
      </w:r>
      <w:r w:rsidR="00BA783A" w:rsidRPr="003622C0">
        <w:rPr>
          <w:rFonts w:ascii="Verdana" w:hAnsi="Verdana"/>
          <w:sz w:val="18"/>
          <w:szCs w:val="18"/>
          <w:lang w:val="es-MX"/>
        </w:rPr>
        <w:t>[c]</w:t>
      </w:r>
      <w:r w:rsidR="00E668AD" w:rsidRPr="003622C0">
        <w:rPr>
          <w:rFonts w:ascii="Verdana" w:hAnsi="Verdana"/>
          <w:sz w:val="18"/>
          <w:szCs w:val="18"/>
          <w:lang w:val="es-MX"/>
        </w:rPr>
        <w:t>el retorno no sea posible, […] dichos pueblos deberán recibir, en todos los casos posibles, tierras cuya calidad y cuyo estatuto jurídico sean por lo menos iguales a los de las tierras que ocupaban anteriormente, y que les permitan subvenir a sus necesidades y garantizar su desarrollo futuro. Cuando los pueblos interesados prefieran recibir una indemnización en dinero o en especie, deberá concedérseles dicha indemnización, con las garantías apropiadas</w:t>
      </w:r>
      <w:r w:rsidRPr="003622C0">
        <w:rPr>
          <w:rFonts w:ascii="Verdana" w:hAnsi="Verdana"/>
          <w:sz w:val="18"/>
          <w:szCs w:val="18"/>
          <w:lang w:val="es-MX"/>
        </w:rPr>
        <w:t>”</w:t>
      </w:r>
      <w:r w:rsidR="00E668AD" w:rsidRPr="003622C0">
        <w:rPr>
          <w:rStyle w:val="FootnoteReference"/>
          <w:rFonts w:ascii="Verdana" w:hAnsi="Verdana"/>
          <w:sz w:val="18"/>
          <w:szCs w:val="18"/>
          <w:lang w:val="es-MX"/>
        </w:rPr>
        <w:footnoteReference w:id="43"/>
      </w:r>
      <w:r w:rsidR="00E668AD" w:rsidRPr="003622C0">
        <w:rPr>
          <w:rFonts w:ascii="Verdana" w:hAnsi="Verdana"/>
          <w:sz w:val="18"/>
          <w:szCs w:val="18"/>
          <w:lang w:val="es-MX"/>
        </w:rPr>
        <w:t>.</w:t>
      </w:r>
    </w:p>
    <w:p w:rsidR="00E668AD" w:rsidRPr="0018192E" w:rsidRDefault="00E668AD" w:rsidP="007A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both"/>
        <w:rPr>
          <w:rFonts w:ascii="Verdana" w:hAnsi="Verdana"/>
          <w:sz w:val="16"/>
          <w:szCs w:val="16"/>
          <w:lang w:val="es-MX"/>
        </w:rPr>
      </w:pPr>
    </w:p>
    <w:p w:rsidR="00E668AD" w:rsidRPr="00681C89" w:rsidRDefault="00E668AD" w:rsidP="00D8510E">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firstLine="0"/>
        <w:jc w:val="both"/>
        <w:rPr>
          <w:rFonts w:ascii="Verdana" w:hAnsi="Verdana"/>
          <w:sz w:val="20"/>
          <w:szCs w:val="20"/>
          <w:lang w:val="es-MX"/>
        </w:rPr>
      </w:pPr>
      <w:r w:rsidRPr="00681C89">
        <w:rPr>
          <w:rFonts w:ascii="Verdana" w:hAnsi="Verdana"/>
          <w:sz w:val="20"/>
          <w:szCs w:val="20"/>
          <w:lang w:val="es-MX"/>
        </w:rPr>
        <w:t>La elección y entrega de tierras alternativas, el pago de una justa indemnización o ambos no quedan sujetas a criterios meramente discrecionales del Estado, deben ser, conforme a una interpretación integral del Convenio No. 169 de la OIT y de la Convención Americana, consensuadas con los pueblos interesados, conforme a sus propios procedimientos de consulta, valores, usos y derecho consuetudinario</w:t>
      </w:r>
      <w:r w:rsidRPr="00681C89">
        <w:rPr>
          <w:rStyle w:val="FootnoteReference"/>
          <w:rFonts w:ascii="Verdana" w:hAnsi="Verdana"/>
          <w:sz w:val="20"/>
          <w:szCs w:val="20"/>
          <w:lang w:val="es-MX"/>
        </w:rPr>
        <w:footnoteReference w:id="44"/>
      </w:r>
      <w:r w:rsidRPr="00681C89">
        <w:rPr>
          <w:rFonts w:ascii="Verdana" w:hAnsi="Verdana"/>
          <w:sz w:val="20"/>
          <w:szCs w:val="20"/>
          <w:lang w:val="es-MX"/>
        </w:rPr>
        <w:t>.</w:t>
      </w:r>
    </w:p>
    <w:p w:rsidR="00E668AD" w:rsidRPr="00681C89" w:rsidRDefault="00E668AD" w:rsidP="007A7A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jc w:val="both"/>
        <w:rPr>
          <w:rFonts w:ascii="Verdana" w:hAnsi="Verdana"/>
          <w:sz w:val="20"/>
          <w:szCs w:val="20"/>
          <w:lang w:val="es-MX"/>
        </w:rPr>
      </w:pPr>
    </w:p>
    <w:p w:rsidR="00E668AD" w:rsidRPr="00681C89" w:rsidRDefault="00E668AD" w:rsidP="00D8510E">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firstLine="0"/>
        <w:jc w:val="both"/>
        <w:rPr>
          <w:rFonts w:ascii="Verdana" w:hAnsi="Verdana"/>
          <w:sz w:val="20"/>
          <w:szCs w:val="20"/>
          <w:lang w:val="es-MX"/>
        </w:rPr>
      </w:pPr>
      <w:r w:rsidRPr="00681C89">
        <w:rPr>
          <w:rFonts w:ascii="Verdana" w:hAnsi="Verdana"/>
          <w:sz w:val="20"/>
          <w:szCs w:val="20"/>
          <w:lang w:val="es-MX"/>
        </w:rPr>
        <w:t>Debe recordarse que, con fundamento al artículo 1.1 de la Convención, el Estado está obligado a respetar los derec</w:t>
      </w:r>
      <w:r w:rsidR="003622C0">
        <w:rPr>
          <w:rFonts w:ascii="Verdana" w:hAnsi="Verdana"/>
          <w:sz w:val="20"/>
          <w:szCs w:val="20"/>
          <w:lang w:val="es-MX"/>
        </w:rPr>
        <w:t>hos reconocidos en el Pacto de San José</w:t>
      </w:r>
      <w:r w:rsidRPr="00681C89">
        <w:rPr>
          <w:rFonts w:ascii="Verdana" w:hAnsi="Verdana"/>
          <w:sz w:val="20"/>
          <w:szCs w:val="20"/>
          <w:lang w:val="es-MX"/>
        </w:rPr>
        <w:t xml:space="preserve"> y a organizar el poder público para garantizar a las personas bajo su jurisdicción el libre y pleno ejercicio de los derechos humanos</w:t>
      </w:r>
      <w:r w:rsidRPr="00681C89">
        <w:rPr>
          <w:rStyle w:val="FootnoteReference"/>
          <w:rFonts w:ascii="Verdana" w:hAnsi="Verdana"/>
          <w:sz w:val="20"/>
          <w:szCs w:val="20"/>
        </w:rPr>
        <w:footnoteReference w:id="45"/>
      </w:r>
      <w:r w:rsidRPr="00681C89">
        <w:rPr>
          <w:rFonts w:ascii="Verdana" w:hAnsi="Verdana"/>
          <w:sz w:val="20"/>
          <w:szCs w:val="20"/>
          <w:lang w:val="es-MX"/>
        </w:rPr>
        <w:t xml:space="preserve">. </w:t>
      </w:r>
    </w:p>
    <w:p w:rsidR="00E668AD" w:rsidRPr="00681C89" w:rsidRDefault="00E668AD" w:rsidP="007A7AFA">
      <w:pPr>
        <w:pStyle w:val="ListParagraph"/>
        <w:jc w:val="both"/>
        <w:rPr>
          <w:rFonts w:ascii="Verdana" w:hAnsi="Verdana"/>
          <w:sz w:val="20"/>
          <w:szCs w:val="20"/>
          <w:lang w:val="es-MX"/>
        </w:rPr>
      </w:pPr>
    </w:p>
    <w:p w:rsidR="00E668AD" w:rsidRPr="00752E8A" w:rsidRDefault="00E668AD" w:rsidP="00752E8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firstLine="0"/>
        <w:jc w:val="both"/>
        <w:rPr>
          <w:rFonts w:ascii="Verdana" w:hAnsi="Verdana"/>
          <w:sz w:val="20"/>
          <w:szCs w:val="20"/>
          <w:lang w:val="es-MX"/>
        </w:rPr>
      </w:pPr>
      <w:r w:rsidRPr="00681C89">
        <w:rPr>
          <w:rFonts w:ascii="Verdana" w:hAnsi="Verdana"/>
          <w:sz w:val="20"/>
          <w:szCs w:val="20"/>
          <w:lang w:val="es-MX"/>
        </w:rPr>
        <w:t xml:space="preserve">La garantía del derecho a la propiedad comunitaria de </w:t>
      </w:r>
      <w:r w:rsidR="003622C0">
        <w:rPr>
          <w:rFonts w:ascii="Verdana" w:hAnsi="Verdana"/>
          <w:sz w:val="20"/>
          <w:szCs w:val="20"/>
          <w:lang w:val="es-MX"/>
        </w:rPr>
        <w:t>los pueblos indígenas debe tener</w:t>
      </w:r>
      <w:r w:rsidRPr="00681C89">
        <w:rPr>
          <w:rFonts w:ascii="Verdana" w:hAnsi="Verdana"/>
          <w:sz w:val="20"/>
          <w:szCs w:val="20"/>
          <w:lang w:val="es-MX"/>
        </w:rPr>
        <w:t xml:space="preserve"> en cuenta que la tierra está estrechamente relacionada con sus tradiciones y expresiones orales, sus costumbres y lenguas, sus artes y rituales, sus conocimientos y usos relacionados con la naturaleza, sus artes culinarias, el derecho consuetudinario, su vestimenta, filosofía y valores.  En función de su entorno, su integración con la naturaleza y su historia, los miembros de las comunidades indígenas transmiten de generación en generación este patrimonio cultural inmaterial, que es recreado constantemente por los miembros de las comunidades y grupos indígenas</w:t>
      </w:r>
      <w:r w:rsidR="00BA4C2E" w:rsidRPr="00681C89">
        <w:rPr>
          <w:rStyle w:val="FootnoteReference"/>
          <w:rFonts w:ascii="Verdana" w:hAnsi="Verdana"/>
          <w:sz w:val="20"/>
          <w:szCs w:val="20"/>
          <w:lang w:val="es-MX"/>
        </w:rPr>
        <w:footnoteReference w:id="46"/>
      </w:r>
      <w:r w:rsidRPr="00681C89">
        <w:rPr>
          <w:rFonts w:ascii="Verdana" w:hAnsi="Verdana"/>
          <w:sz w:val="20"/>
          <w:szCs w:val="20"/>
          <w:lang w:val="es-MX"/>
        </w:rPr>
        <w:t>.</w:t>
      </w:r>
    </w:p>
    <w:p w:rsidR="003622C0" w:rsidRDefault="003622C0" w:rsidP="007A7AFA">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jc w:val="both"/>
        <w:rPr>
          <w:rFonts w:ascii="Verdana" w:hAnsi="Verdana"/>
          <w:sz w:val="20"/>
          <w:szCs w:val="20"/>
          <w:lang w:val="es-MX"/>
        </w:rPr>
      </w:pPr>
    </w:p>
    <w:p w:rsidR="003622C0" w:rsidRDefault="003622C0" w:rsidP="007A7AFA">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jc w:val="both"/>
        <w:rPr>
          <w:rFonts w:ascii="Verdana" w:hAnsi="Verdana"/>
          <w:sz w:val="20"/>
          <w:szCs w:val="20"/>
          <w:lang w:val="es-MX"/>
        </w:rPr>
      </w:pPr>
    </w:p>
    <w:p w:rsidR="00752E8A" w:rsidRDefault="00752E8A" w:rsidP="0034750F">
      <w:pPr>
        <w:spacing w:line="360" w:lineRule="auto"/>
        <w:jc w:val="center"/>
        <w:rPr>
          <w:rFonts w:ascii="Verdana" w:hAnsi="Verdana"/>
          <w:i/>
          <w:sz w:val="20"/>
          <w:szCs w:val="20"/>
        </w:rPr>
      </w:pPr>
    </w:p>
    <w:p w:rsidR="00752E8A" w:rsidRDefault="00752E8A" w:rsidP="0034750F">
      <w:pPr>
        <w:spacing w:line="360" w:lineRule="auto"/>
        <w:jc w:val="center"/>
        <w:rPr>
          <w:rFonts w:ascii="Verdana" w:hAnsi="Verdana"/>
          <w:i/>
          <w:sz w:val="20"/>
          <w:szCs w:val="20"/>
        </w:rPr>
      </w:pPr>
    </w:p>
    <w:p w:rsidR="00752E8A" w:rsidRDefault="00752E8A" w:rsidP="0034750F">
      <w:pPr>
        <w:spacing w:line="360" w:lineRule="auto"/>
        <w:jc w:val="center"/>
        <w:rPr>
          <w:rFonts w:ascii="Verdana" w:hAnsi="Verdana"/>
          <w:i/>
          <w:sz w:val="20"/>
          <w:szCs w:val="20"/>
        </w:rPr>
      </w:pPr>
    </w:p>
    <w:p w:rsidR="00F16B9D" w:rsidRPr="004B014D" w:rsidRDefault="00D6179B" w:rsidP="005F24F8">
      <w:pPr>
        <w:jc w:val="center"/>
        <w:rPr>
          <w:rFonts w:ascii="Verdana" w:hAnsi="Verdana"/>
          <w:b/>
          <w:bCs/>
          <w:caps/>
          <w:sz w:val="20"/>
          <w:szCs w:val="20"/>
        </w:rPr>
      </w:pPr>
      <w:r w:rsidRPr="004B014D">
        <w:rPr>
          <w:rFonts w:ascii="Verdana" w:hAnsi="Verdana"/>
          <w:b/>
          <w:bCs/>
          <w:caps/>
          <w:sz w:val="20"/>
          <w:szCs w:val="20"/>
        </w:rPr>
        <w:lastRenderedPageBreak/>
        <w:t>III.</w:t>
      </w:r>
      <w:r w:rsidR="00F16B9D" w:rsidRPr="004B014D">
        <w:rPr>
          <w:rFonts w:ascii="Verdana" w:hAnsi="Verdana"/>
          <w:b/>
          <w:bCs/>
          <w:caps/>
          <w:sz w:val="20"/>
          <w:szCs w:val="20"/>
        </w:rPr>
        <w:t xml:space="preserve"> El derecho al pago de una justa indemnización en casos de expropiació</w:t>
      </w:r>
      <w:r w:rsidR="00752E8A" w:rsidRPr="004B014D">
        <w:rPr>
          <w:rFonts w:ascii="Verdana" w:hAnsi="Verdana"/>
          <w:b/>
          <w:bCs/>
          <w:caps/>
          <w:sz w:val="20"/>
          <w:szCs w:val="20"/>
        </w:rPr>
        <w:t>n como una violación continuada</w:t>
      </w:r>
    </w:p>
    <w:p w:rsidR="00F16B9D" w:rsidRDefault="00F16B9D" w:rsidP="00F16B9D">
      <w:pPr>
        <w:jc w:val="both"/>
        <w:rPr>
          <w:rFonts w:ascii="Verdana" w:hAnsi="Verdana"/>
          <w:b/>
          <w:sz w:val="20"/>
          <w:szCs w:val="20"/>
          <w:lang w:val="es-MX"/>
        </w:rPr>
      </w:pPr>
    </w:p>
    <w:p w:rsidR="00F16B9D" w:rsidRPr="00F16B9D" w:rsidRDefault="00D6179B" w:rsidP="00F16B9D">
      <w:pPr>
        <w:jc w:val="both"/>
        <w:rPr>
          <w:rFonts w:ascii="Verdana" w:hAnsi="Verdana"/>
          <w:sz w:val="20"/>
          <w:szCs w:val="20"/>
        </w:rPr>
      </w:pPr>
      <w:r>
        <w:rPr>
          <w:rFonts w:ascii="Verdana" w:hAnsi="Verdana"/>
          <w:sz w:val="20"/>
          <w:szCs w:val="20"/>
        </w:rPr>
        <w:t>31</w:t>
      </w:r>
      <w:r w:rsidR="00F16B9D" w:rsidRPr="00F16B9D">
        <w:rPr>
          <w:rFonts w:ascii="Verdana" w:hAnsi="Verdana"/>
          <w:sz w:val="20"/>
          <w:szCs w:val="20"/>
        </w:rPr>
        <w:t xml:space="preserve">. </w:t>
      </w:r>
      <w:r w:rsidR="00EA2519">
        <w:rPr>
          <w:rFonts w:ascii="Verdana" w:hAnsi="Verdana"/>
          <w:sz w:val="20"/>
          <w:szCs w:val="20"/>
        </w:rPr>
        <w:tab/>
      </w:r>
      <w:r w:rsidR="00F16B9D" w:rsidRPr="00F16B9D">
        <w:rPr>
          <w:rFonts w:ascii="Verdana" w:hAnsi="Verdana"/>
          <w:sz w:val="20"/>
          <w:szCs w:val="20"/>
        </w:rPr>
        <w:t>Es de destacar que el presente caso fue presentado por la Comisión Interamericana de Derechos Humanos con el fin de dirimir la alegada responsabilidad del Estado respecto a</w:t>
      </w:r>
      <w:r w:rsidR="003622C0">
        <w:rPr>
          <w:rFonts w:ascii="Verdana" w:hAnsi="Verdana"/>
          <w:sz w:val="20"/>
          <w:szCs w:val="20"/>
        </w:rPr>
        <w:t>,</w:t>
      </w:r>
      <w:r w:rsidR="00F16B9D" w:rsidRPr="00F16B9D">
        <w:rPr>
          <w:rFonts w:ascii="Verdana" w:hAnsi="Verdana"/>
          <w:sz w:val="20"/>
          <w:szCs w:val="20"/>
        </w:rPr>
        <w:t xml:space="preserve"> </w:t>
      </w:r>
      <w:r w:rsidR="00F16B9D" w:rsidRPr="00F16B9D">
        <w:rPr>
          <w:rFonts w:ascii="Verdana" w:hAnsi="Verdana"/>
          <w:i/>
          <w:sz w:val="20"/>
          <w:szCs w:val="20"/>
        </w:rPr>
        <w:t>inter alia</w:t>
      </w:r>
      <w:r w:rsidR="003622C0">
        <w:rPr>
          <w:rFonts w:ascii="Verdana" w:hAnsi="Verdana"/>
          <w:i/>
          <w:sz w:val="20"/>
          <w:szCs w:val="20"/>
        </w:rPr>
        <w:t>,</w:t>
      </w:r>
      <w:r w:rsidR="00F16B9D" w:rsidRPr="00F16B9D">
        <w:rPr>
          <w:rFonts w:ascii="Verdana" w:hAnsi="Verdana"/>
          <w:i/>
          <w:sz w:val="20"/>
          <w:szCs w:val="20"/>
        </w:rPr>
        <w:t xml:space="preserve"> </w:t>
      </w:r>
      <w:r w:rsidR="00F16B9D" w:rsidRPr="00F16B9D">
        <w:rPr>
          <w:rFonts w:ascii="Verdana" w:hAnsi="Verdana"/>
          <w:sz w:val="20"/>
          <w:szCs w:val="20"/>
        </w:rPr>
        <w:t>“la supuesta violación continuada del derecho a la propiedad colectiva de los pueblos indígenas Kuna de Madungandí y Emberá de Bayano y sus miembros por el alegado incumplimiento del pago de indemnizaciones relacionadas con el despojo e inundación de sus territorios ancestrales como consecuencia de la construcción de la Represa Hidroeléctrica del Bayano entre los años 1972 y 1976”</w:t>
      </w:r>
      <w:r w:rsidR="00F16B9D" w:rsidRPr="00F16B9D">
        <w:rPr>
          <w:rStyle w:val="FootnoteReference"/>
          <w:rFonts w:ascii="Verdana" w:hAnsi="Verdana"/>
          <w:sz w:val="20"/>
          <w:szCs w:val="20"/>
        </w:rPr>
        <w:footnoteReference w:id="47"/>
      </w:r>
      <w:r w:rsidR="009823FC">
        <w:rPr>
          <w:rFonts w:ascii="Verdana" w:hAnsi="Verdana"/>
          <w:sz w:val="20"/>
          <w:szCs w:val="20"/>
        </w:rPr>
        <w:t>.</w:t>
      </w:r>
      <w:r w:rsidR="00F16B9D" w:rsidRPr="00F16B9D">
        <w:rPr>
          <w:rFonts w:ascii="Verdana" w:hAnsi="Verdana"/>
          <w:sz w:val="20"/>
          <w:szCs w:val="20"/>
        </w:rPr>
        <w:t xml:space="preserve"> Sin embargo, la Corte en sus diversas consideraciones al decidir la excepción pre</w:t>
      </w:r>
      <w:r w:rsidR="003622C0">
        <w:rPr>
          <w:rFonts w:ascii="Verdana" w:hAnsi="Verdana"/>
          <w:sz w:val="20"/>
          <w:szCs w:val="20"/>
        </w:rPr>
        <w:t>liminar respecto a la alegada “f</w:t>
      </w:r>
      <w:r w:rsidR="00F16B9D" w:rsidRPr="00F16B9D">
        <w:rPr>
          <w:rFonts w:ascii="Verdana" w:hAnsi="Verdana"/>
          <w:sz w:val="20"/>
          <w:szCs w:val="20"/>
        </w:rPr>
        <w:t xml:space="preserve">alta de competencia </w:t>
      </w:r>
      <w:r w:rsidR="00F16B9D" w:rsidRPr="00F16B9D">
        <w:rPr>
          <w:rFonts w:ascii="Verdana" w:hAnsi="Verdana"/>
          <w:i/>
          <w:sz w:val="20"/>
          <w:szCs w:val="20"/>
        </w:rPr>
        <w:t>ratione temporis</w:t>
      </w:r>
      <w:r w:rsidR="00F16B9D" w:rsidRPr="00F16B9D">
        <w:rPr>
          <w:rFonts w:ascii="Verdana" w:hAnsi="Verdana"/>
          <w:sz w:val="20"/>
          <w:szCs w:val="20"/>
        </w:rPr>
        <w:t xml:space="preserve">” </w:t>
      </w:r>
      <w:r w:rsidR="00F16B9D" w:rsidRPr="00EA2519">
        <w:rPr>
          <w:rFonts w:ascii="Verdana" w:hAnsi="Verdana"/>
          <w:sz w:val="20"/>
          <w:szCs w:val="20"/>
          <w:u w:val="single"/>
        </w:rPr>
        <w:t xml:space="preserve">decide no entrar </w:t>
      </w:r>
      <w:r w:rsidR="003622C0" w:rsidRPr="00EA2519">
        <w:rPr>
          <w:rFonts w:ascii="Verdana" w:hAnsi="Verdana"/>
          <w:sz w:val="20"/>
          <w:szCs w:val="20"/>
          <w:u w:val="single"/>
        </w:rPr>
        <w:t xml:space="preserve">a </w:t>
      </w:r>
      <w:r w:rsidR="00F16B9D" w:rsidRPr="00EA2519">
        <w:rPr>
          <w:rFonts w:ascii="Verdana" w:hAnsi="Verdana"/>
          <w:sz w:val="20"/>
          <w:szCs w:val="20"/>
          <w:u w:val="single"/>
        </w:rPr>
        <w:t>la disc</w:t>
      </w:r>
      <w:r w:rsidR="003622C0" w:rsidRPr="00EA2519">
        <w:rPr>
          <w:rFonts w:ascii="Verdana" w:hAnsi="Verdana"/>
          <w:sz w:val="20"/>
          <w:szCs w:val="20"/>
          <w:u w:val="single"/>
        </w:rPr>
        <w:t>usión medular sobre dicho tema</w:t>
      </w:r>
      <w:r w:rsidR="003622C0">
        <w:rPr>
          <w:rFonts w:ascii="Verdana" w:hAnsi="Verdana"/>
          <w:sz w:val="20"/>
          <w:szCs w:val="20"/>
        </w:rPr>
        <w:t>,</w:t>
      </w:r>
      <w:r w:rsidR="003622C0" w:rsidRPr="00F16B9D">
        <w:rPr>
          <w:rFonts w:ascii="Verdana" w:hAnsi="Verdana"/>
          <w:sz w:val="20"/>
          <w:szCs w:val="20"/>
        </w:rPr>
        <w:t xml:space="preserve"> </w:t>
      </w:r>
      <w:r w:rsidR="003622C0">
        <w:rPr>
          <w:rFonts w:ascii="Verdana" w:hAnsi="Verdana"/>
          <w:sz w:val="20"/>
          <w:szCs w:val="20"/>
        </w:rPr>
        <w:t>e</w:t>
      </w:r>
      <w:r w:rsidR="00F16B9D" w:rsidRPr="00F16B9D">
        <w:rPr>
          <w:rFonts w:ascii="Verdana" w:hAnsi="Verdana"/>
          <w:sz w:val="20"/>
          <w:szCs w:val="20"/>
        </w:rPr>
        <w:t>n el sentido de definir el significado y alcances de los estándares internacionales de lo que es una violación continuada y cómo dichos estándares eran aplicables al presente caso</w:t>
      </w:r>
      <w:r w:rsidR="00F16B9D" w:rsidRPr="00F16B9D">
        <w:rPr>
          <w:rStyle w:val="FootnoteReference"/>
          <w:rFonts w:ascii="Verdana" w:hAnsi="Verdana"/>
          <w:sz w:val="20"/>
          <w:szCs w:val="20"/>
        </w:rPr>
        <w:footnoteReference w:id="48"/>
      </w:r>
      <w:r w:rsidR="009A4529">
        <w:rPr>
          <w:rFonts w:ascii="Verdana" w:hAnsi="Verdana"/>
          <w:sz w:val="20"/>
          <w:szCs w:val="20"/>
        </w:rPr>
        <w:t>.</w:t>
      </w:r>
    </w:p>
    <w:p w:rsidR="00F16B9D" w:rsidRPr="00F16B9D" w:rsidRDefault="00F16B9D" w:rsidP="00F16B9D">
      <w:pPr>
        <w:jc w:val="both"/>
        <w:rPr>
          <w:rFonts w:ascii="Verdana" w:hAnsi="Verdana"/>
          <w:sz w:val="20"/>
          <w:szCs w:val="20"/>
        </w:rPr>
      </w:pPr>
    </w:p>
    <w:p w:rsidR="00F16B9D" w:rsidRPr="00F16B9D" w:rsidRDefault="00D6179B" w:rsidP="00F16B9D">
      <w:pPr>
        <w:jc w:val="both"/>
        <w:rPr>
          <w:rFonts w:ascii="Verdana" w:hAnsi="Verdana"/>
          <w:sz w:val="20"/>
          <w:szCs w:val="20"/>
        </w:rPr>
      </w:pPr>
      <w:r>
        <w:rPr>
          <w:rFonts w:ascii="Verdana" w:hAnsi="Verdana"/>
          <w:sz w:val="20"/>
          <w:szCs w:val="20"/>
        </w:rPr>
        <w:t>32</w:t>
      </w:r>
      <w:r w:rsidR="00F16B9D">
        <w:rPr>
          <w:rFonts w:ascii="Verdana" w:hAnsi="Verdana"/>
          <w:sz w:val="20"/>
          <w:szCs w:val="20"/>
        </w:rPr>
        <w:t xml:space="preserve">. </w:t>
      </w:r>
      <w:r w:rsidR="00EA2519">
        <w:rPr>
          <w:rFonts w:ascii="Verdana" w:hAnsi="Verdana"/>
          <w:sz w:val="20"/>
          <w:szCs w:val="20"/>
        </w:rPr>
        <w:tab/>
      </w:r>
      <w:r w:rsidR="00F16B9D" w:rsidRPr="00F16B9D">
        <w:rPr>
          <w:rFonts w:ascii="Verdana" w:hAnsi="Verdana"/>
          <w:sz w:val="20"/>
          <w:szCs w:val="20"/>
        </w:rPr>
        <w:t>En la presente sección se explicará la definición de violación continuada</w:t>
      </w:r>
      <w:r w:rsidR="00EA2519">
        <w:rPr>
          <w:rFonts w:ascii="Verdana" w:hAnsi="Verdana"/>
          <w:sz w:val="20"/>
          <w:szCs w:val="20"/>
        </w:rPr>
        <w:t xml:space="preserve"> según el derecho internacional, considerando </w:t>
      </w:r>
      <w:r w:rsidR="009823FC">
        <w:rPr>
          <w:rFonts w:ascii="Verdana" w:hAnsi="Verdana"/>
          <w:sz w:val="20"/>
          <w:szCs w:val="20"/>
        </w:rPr>
        <w:t>(</w:t>
      </w:r>
      <w:r w:rsidR="00EA2519">
        <w:rPr>
          <w:rFonts w:ascii="Verdana" w:hAnsi="Verdana"/>
          <w:sz w:val="20"/>
          <w:szCs w:val="20"/>
        </w:rPr>
        <w:t>a)</w:t>
      </w:r>
      <w:r w:rsidR="00F16B9D" w:rsidRPr="00F16B9D">
        <w:rPr>
          <w:rFonts w:ascii="Verdana" w:hAnsi="Verdana"/>
          <w:sz w:val="20"/>
          <w:szCs w:val="20"/>
        </w:rPr>
        <w:t xml:space="preserve"> </w:t>
      </w:r>
      <w:r w:rsidR="00EA2519">
        <w:rPr>
          <w:rFonts w:ascii="Verdana" w:hAnsi="Verdana"/>
          <w:sz w:val="20"/>
          <w:szCs w:val="20"/>
        </w:rPr>
        <w:t>la def</w:t>
      </w:r>
      <w:r w:rsidR="009A4529">
        <w:rPr>
          <w:rFonts w:ascii="Verdana" w:hAnsi="Verdana"/>
          <w:sz w:val="20"/>
          <w:szCs w:val="20"/>
        </w:rPr>
        <w:t>inición de violación continuada,</w:t>
      </w:r>
      <w:r w:rsidR="00EA2519">
        <w:rPr>
          <w:rFonts w:ascii="Verdana" w:hAnsi="Verdana"/>
          <w:sz w:val="20"/>
          <w:szCs w:val="20"/>
        </w:rPr>
        <w:t xml:space="preserve"> y </w:t>
      </w:r>
      <w:r w:rsidR="009823FC">
        <w:rPr>
          <w:rFonts w:ascii="Verdana" w:hAnsi="Verdana"/>
          <w:sz w:val="20"/>
          <w:szCs w:val="20"/>
        </w:rPr>
        <w:t>(</w:t>
      </w:r>
      <w:r w:rsidR="00EA2519">
        <w:rPr>
          <w:rFonts w:ascii="Verdana" w:hAnsi="Verdana"/>
          <w:sz w:val="20"/>
          <w:szCs w:val="20"/>
        </w:rPr>
        <w:t xml:space="preserve">b) </w:t>
      </w:r>
      <w:r w:rsidR="00F16B9D" w:rsidRPr="00F16B9D">
        <w:rPr>
          <w:rFonts w:ascii="Verdana" w:hAnsi="Verdana"/>
          <w:sz w:val="20"/>
          <w:szCs w:val="20"/>
        </w:rPr>
        <w:t>los elementos de violaciones continuadas respecto al derecho de propiedad</w:t>
      </w:r>
      <w:r w:rsidR="00EA2519">
        <w:rPr>
          <w:rFonts w:ascii="Verdana" w:hAnsi="Verdana"/>
          <w:sz w:val="20"/>
          <w:szCs w:val="20"/>
        </w:rPr>
        <w:t>; para luego</w:t>
      </w:r>
      <w:r w:rsidR="009823FC">
        <w:rPr>
          <w:rFonts w:ascii="Verdana" w:hAnsi="Verdana"/>
          <w:sz w:val="20"/>
          <w:szCs w:val="20"/>
        </w:rPr>
        <w:t>,</w:t>
      </w:r>
      <w:r w:rsidR="00EA2519">
        <w:rPr>
          <w:rFonts w:ascii="Verdana" w:hAnsi="Verdana"/>
          <w:sz w:val="20"/>
          <w:szCs w:val="20"/>
        </w:rPr>
        <w:t xml:space="preserve"> en el último epígrafe</w:t>
      </w:r>
      <w:r w:rsidR="009823FC">
        <w:rPr>
          <w:rFonts w:ascii="Verdana" w:hAnsi="Verdana"/>
          <w:sz w:val="20"/>
          <w:szCs w:val="20"/>
        </w:rPr>
        <w:t>,</w:t>
      </w:r>
      <w:r w:rsidR="00EA2519">
        <w:rPr>
          <w:rFonts w:ascii="Verdana" w:hAnsi="Verdana"/>
          <w:sz w:val="20"/>
          <w:szCs w:val="20"/>
        </w:rPr>
        <w:t xml:space="preserve"> analizar</w:t>
      </w:r>
      <w:r w:rsidR="00F16B9D" w:rsidRPr="00F16B9D">
        <w:rPr>
          <w:rFonts w:ascii="Verdana" w:hAnsi="Verdana"/>
          <w:sz w:val="20"/>
          <w:szCs w:val="20"/>
        </w:rPr>
        <w:t xml:space="preserve"> </w:t>
      </w:r>
      <w:r w:rsidR="009823FC">
        <w:rPr>
          <w:rFonts w:ascii="Verdana" w:hAnsi="Verdana"/>
          <w:sz w:val="20"/>
          <w:szCs w:val="20"/>
        </w:rPr>
        <w:t xml:space="preserve">específicamente </w:t>
      </w:r>
      <w:r w:rsidR="00F16B9D" w:rsidRPr="00F16B9D">
        <w:rPr>
          <w:rFonts w:ascii="Verdana" w:hAnsi="Verdana"/>
          <w:sz w:val="20"/>
          <w:szCs w:val="20"/>
        </w:rPr>
        <w:t>el no pago de indemnizaciones como violación continuada en el caso de las comunidades indígenas Kuna de Ma</w:t>
      </w:r>
      <w:r w:rsidR="00EA2519">
        <w:rPr>
          <w:rFonts w:ascii="Verdana" w:hAnsi="Verdana"/>
          <w:sz w:val="20"/>
          <w:szCs w:val="20"/>
        </w:rPr>
        <w:t>dungandí y Emberá del Bayano.</w:t>
      </w:r>
    </w:p>
    <w:p w:rsidR="00F16B9D" w:rsidRDefault="00F16B9D" w:rsidP="00F16B9D">
      <w:pPr>
        <w:jc w:val="both"/>
        <w:rPr>
          <w:rFonts w:ascii="Verdana" w:hAnsi="Verdana"/>
          <w:b/>
          <w:sz w:val="20"/>
          <w:szCs w:val="20"/>
          <w:lang w:val="es-MX"/>
        </w:rPr>
      </w:pPr>
    </w:p>
    <w:p w:rsidR="00F16B9D" w:rsidRPr="009823FC" w:rsidRDefault="00F16B9D" w:rsidP="00F16B9D">
      <w:pPr>
        <w:pStyle w:val="ListParagraph"/>
        <w:numPr>
          <w:ilvl w:val="0"/>
          <w:numId w:val="25"/>
        </w:numPr>
        <w:jc w:val="both"/>
        <w:rPr>
          <w:rFonts w:ascii="Verdana" w:hAnsi="Verdana"/>
          <w:i/>
          <w:sz w:val="20"/>
          <w:szCs w:val="20"/>
          <w:lang w:val="es-MX"/>
        </w:rPr>
      </w:pPr>
      <w:r w:rsidRPr="009823FC">
        <w:rPr>
          <w:rFonts w:ascii="Verdana" w:hAnsi="Verdana"/>
          <w:i/>
          <w:sz w:val="20"/>
          <w:szCs w:val="20"/>
          <w:lang w:val="es-MX"/>
        </w:rPr>
        <w:t>Definición de violación continuada según el derecho internacional</w:t>
      </w:r>
    </w:p>
    <w:p w:rsidR="00F16B9D" w:rsidRDefault="00F16B9D" w:rsidP="00F16B9D">
      <w:pPr>
        <w:tabs>
          <w:tab w:val="left" w:pos="5147"/>
        </w:tabs>
        <w:jc w:val="both"/>
        <w:rPr>
          <w:rFonts w:ascii="Verdana" w:hAnsi="Verdana"/>
          <w:sz w:val="20"/>
          <w:szCs w:val="20"/>
          <w:lang w:val="es-MX"/>
        </w:rPr>
      </w:pPr>
    </w:p>
    <w:p w:rsidR="00F16B9D" w:rsidRDefault="00D6179B" w:rsidP="00F16B9D">
      <w:pPr>
        <w:jc w:val="both"/>
        <w:rPr>
          <w:rFonts w:ascii="Verdana" w:hAnsi="Verdana"/>
          <w:sz w:val="20"/>
          <w:szCs w:val="20"/>
          <w:lang w:val="es-MX"/>
        </w:rPr>
      </w:pPr>
      <w:r>
        <w:rPr>
          <w:rFonts w:ascii="Verdana" w:hAnsi="Verdana"/>
          <w:sz w:val="20"/>
          <w:szCs w:val="20"/>
          <w:lang w:val="es-MX"/>
        </w:rPr>
        <w:t>33</w:t>
      </w:r>
      <w:r w:rsidR="00F16B9D">
        <w:rPr>
          <w:rFonts w:ascii="Verdana" w:hAnsi="Verdana"/>
          <w:sz w:val="20"/>
          <w:szCs w:val="20"/>
          <w:lang w:val="es-MX"/>
        </w:rPr>
        <w:t xml:space="preserve">. </w:t>
      </w:r>
      <w:r w:rsidR="00EA2519">
        <w:rPr>
          <w:rFonts w:ascii="Verdana" w:hAnsi="Verdana"/>
          <w:sz w:val="20"/>
          <w:szCs w:val="20"/>
          <w:lang w:val="es-MX"/>
        </w:rPr>
        <w:tab/>
      </w:r>
      <w:r w:rsidR="00F16B9D">
        <w:rPr>
          <w:rFonts w:ascii="Verdana" w:hAnsi="Verdana"/>
          <w:sz w:val="20"/>
          <w:szCs w:val="20"/>
          <w:lang w:val="es-MX"/>
        </w:rPr>
        <w:t>A nivel internacional no hay una definición unificada de lo que es una violación continua o de naturaleza continuada. Sin embargo, en términos generales se ha identificado que “una violación continuada es la violación de una obligación internacional por medio de un acto de un sujeto de derecho internacional extendido en el tiempo y que causa una duración o continuación en el tiempo de dicha violación”</w:t>
      </w:r>
      <w:r w:rsidR="00F16B9D" w:rsidRPr="009823FC">
        <w:rPr>
          <w:rStyle w:val="FootnoteReference"/>
          <w:rFonts w:ascii="Verdana" w:hAnsi="Verdana"/>
          <w:sz w:val="20"/>
          <w:szCs w:val="20"/>
        </w:rPr>
        <w:footnoteReference w:id="49"/>
      </w:r>
      <w:r w:rsidR="00EA2519">
        <w:rPr>
          <w:rStyle w:val="BodyTextChar"/>
        </w:rPr>
        <w:t>.</w:t>
      </w:r>
      <w:r w:rsidR="00F16B9D">
        <w:rPr>
          <w:rStyle w:val="BodyTextChar"/>
        </w:rPr>
        <w:t xml:space="preserve"> </w:t>
      </w:r>
      <w:r w:rsidR="00F16B9D">
        <w:rPr>
          <w:rFonts w:ascii="Verdana" w:hAnsi="Verdana"/>
          <w:sz w:val="20"/>
          <w:szCs w:val="20"/>
          <w:lang w:val="es-MX"/>
        </w:rPr>
        <w:t>Asimismo, si el acto afecta el estatus legal de una persona durante cierto periodo de tiempo, debe ser considerada como un acto continuado</w:t>
      </w:r>
      <w:r w:rsidR="00F16B9D" w:rsidRPr="009823FC">
        <w:rPr>
          <w:rStyle w:val="FootnoteReference"/>
          <w:rFonts w:ascii="Verdana" w:hAnsi="Verdana"/>
          <w:sz w:val="20"/>
          <w:szCs w:val="20"/>
        </w:rPr>
        <w:footnoteReference w:id="50"/>
      </w:r>
      <w:r w:rsidR="009823FC" w:rsidRPr="009823FC">
        <w:rPr>
          <w:rFonts w:ascii="Verdana" w:hAnsi="Verdana"/>
          <w:sz w:val="20"/>
          <w:szCs w:val="20"/>
          <w:lang w:val="es-MX"/>
        </w:rPr>
        <w:t>.</w:t>
      </w:r>
      <w:r w:rsidR="00F16B9D">
        <w:rPr>
          <w:rFonts w:ascii="Verdana" w:hAnsi="Verdana"/>
          <w:sz w:val="20"/>
          <w:szCs w:val="20"/>
          <w:lang w:val="es-MX"/>
        </w:rPr>
        <w:t xml:space="preserve"> Por el contrario, si “la violación es completada de una vez por todas en un momento determinado en el tiempo sin </w:t>
      </w:r>
      <w:r w:rsidR="00F16B9D" w:rsidRPr="00EA2519">
        <w:rPr>
          <w:rFonts w:ascii="Verdana" w:hAnsi="Verdana"/>
          <w:sz w:val="20"/>
          <w:szCs w:val="20"/>
          <w:lang w:val="es-MX"/>
        </w:rPr>
        <w:t>efectos</w:t>
      </w:r>
      <w:r w:rsidR="00F16B9D">
        <w:rPr>
          <w:rFonts w:ascii="Verdana" w:hAnsi="Verdana"/>
          <w:sz w:val="20"/>
          <w:szCs w:val="20"/>
          <w:lang w:val="es-MX"/>
        </w:rPr>
        <w:t xml:space="preserve"> injuriosos continuados”</w:t>
      </w:r>
      <w:r w:rsidR="00F16B9D" w:rsidRPr="009823FC">
        <w:rPr>
          <w:rStyle w:val="FootnoteReference"/>
          <w:rFonts w:ascii="Verdana" w:hAnsi="Verdana"/>
          <w:sz w:val="20"/>
          <w:szCs w:val="20"/>
        </w:rPr>
        <w:footnoteReference w:id="51"/>
      </w:r>
      <w:r w:rsidR="00F16B9D">
        <w:rPr>
          <w:rFonts w:ascii="Verdana" w:hAnsi="Verdana"/>
          <w:sz w:val="20"/>
          <w:szCs w:val="20"/>
          <w:lang w:val="es-MX"/>
        </w:rPr>
        <w:t xml:space="preserve"> la misma no puede tener dicho carácter</w:t>
      </w:r>
      <w:r w:rsidR="00F16B9D" w:rsidRPr="009823FC">
        <w:rPr>
          <w:rStyle w:val="FootnoteReference"/>
          <w:rFonts w:ascii="Verdana" w:hAnsi="Verdana"/>
          <w:sz w:val="20"/>
          <w:szCs w:val="20"/>
        </w:rPr>
        <w:footnoteReference w:id="52"/>
      </w:r>
      <w:r w:rsidR="00EA2519">
        <w:rPr>
          <w:rFonts w:ascii="Verdana" w:hAnsi="Verdana"/>
          <w:sz w:val="20"/>
          <w:szCs w:val="20"/>
          <w:lang w:val="es-MX"/>
        </w:rPr>
        <w:t>.</w:t>
      </w:r>
    </w:p>
    <w:p w:rsidR="00F16B9D" w:rsidRDefault="00F16B9D" w:rsidP="00F16B9D">
      <w:pPr>
        <w:jc w:val="both"/>
        <w:rPr>
          <w:rFonts w:ascii="Verdana" w:hAnsi="Verdana"/>
          <w:sz w:val="20"/>
          <w:szCs w:val="20"/>
          <w:lang w:val="es-MX"/>
        </w:rPr>
      </w:pPr>
    </w:p>
    <w:p w:rsidR="00F16B9D" w:rsidRDefault="00D6179B" w:rsidP="00F16B9D">
      <w:pPr>
        <w:jc w:val="both"/>
        <w:rPr>
          <w:rFonts w:ascii="Verdana" w:hAnsi="Verdana"/>
          <w:sz w:val="20"/>
          <w:szCs w:val="20"/>
          <w:lang w:val="es-MX"/>
        </w:rPr>
      </w:pPr>
      <w:r>
        <w:rPr>
          <w:rFonts w:ascii="Verdana" w:hAnsi="Verdana"/>
          <w:sz w:val="20"/>
          <w:szCs w:val="20"/>
          <w:lang w:val="es-MX"/>
        </w:rPr>
        <w:t>34</w:t>
      </w:r>
      <w:r w:rsidR="00F16B9D">
        <w:rPr>
          <w:rFonts w:ascii="Verdana" w:hAnsi="Verdana"/>
          <w:sz w:val="20"/>
          <w:szCs w:val="20"/>
          <w:lang w:val="es-MX"/>
        </w:rPr>
        <w:t xml:space="preserve">. </w:t>
      </w:r>
      <w:r w:rsidR="00EA2519">
        <w:rPr>
          <w:rFonts w:ascii="Verdana" w:hAnsi="Verdana"/>
          <w:sz w:val="20"/>
          <w:szCs w:val="20"/>
          <w:lang w:val="es-MX"/>
        </w:rPr>
        <w:tab/>
      </w:r>
      <w:r w:rsidR="009823FC">
        <w:rPr>
          <w:rFonts w:ascii="Verdana" w:hAnsi="Verdana"/>
          <w:sz w:val="20"/>
          <w:szCs w:val="20"/>
          <w:lang w:val="es-MX"/>
        </w:rPr>
        <w:t>En los a</w:t>
      </w:r>
      <w:r w:rsidR="00F16B9D">
        <w:rPr>
          <w:rFonts w:ascii="Verdana" w:hAnsi="Verdana"/>
          <w:sz w:val="20"/>
          <w:szCs w:val="20"/>
          <w:lang w:val="es-MX"/>
        </w:rPr>
        <w:t>rtículos sobre r</w:t>
      </w:r>
      <w:r w:rsidR="00F16B9D" w:rsidRPr="00434403">
        <w:rPr>
          <w:rFonts w:ascii="Verdana" w:hAnsi="Verdana"/>
          <w:sz w:val="20"/>
          <w:szCs w:val="20"/>
          <w:lang w:val="es-MX"/>
        </w:rPr>
        <w:t>esponsabilidad del Estado por hechos internacionalmente ilícitos</w:t>
      </w:r>
      <w:r w:rsidR="00F16B9D">
        <w:rPr>
          <w:rFonts w:ascii="Verdana" w:hAnsi="Verdana"/>
          <w:sz w:val="20"/>
          <w:szCs w:val="20"/>
          <w:lang w:val="es-MX"/>
        </w:rPr>
        <w:t xml:space="preserve"> de la Comisión de Derecho Internacional se hace una distinción entre los actos instantáneos y los actos d</w:t>
      </w:r>
      <w:r w:rsidR="009823FC">
        <w:rPr>
          <w:rFonts w:ascii="Verdana" w:hAnsi="Verdana"/>
          <w:sz w:val="20"/>
          <w:szCs w:val="20"/>
          <w:lang w:val="es-MX"/>
        </w:rPr>
        <w:t>e carácter continuado. Así, el a</w:t>
      </w:r>
      <w:r w:rsidR="00F16B9D">
        <w:rPr>
          <w:rFonts w:ascii="Verdana" w:hAnsi="Verdana"/>
          <w:sz w:val="20"/>
          <w:szCs w:val="20"/>
          <w:lang w:val="es-MX"/>
        </w:rPr>
        <w:t>rtículo 14.1 dispone que “</w:t>
      </w:r>
      <w:r w:rsidR="00F16B9D" w:rsidRPr="00F45FC7">
        <w:rPr>
          <w:rFonts w:ascii="Verdana" w:hAnsi="Verdana"/>
          <w:i/>
          <w:sz w:val="20"/>
          <w:szCs w:val="20"/>
          <w:lang w:val="es-MX"/>
        </w:rPr>
        <w:t xml:space="preserve">La violación de una obligación internacional mediante un hecho del Estado que no tenga carácter continuo tiene lugar en el momento en que se produce el hecho, aunque sus </w:t>
      </w:r>
      <w:r w:rsidR="00F16B9D" w:rsidRPr="00EA2519">
        <w:rPr>
          <w:rFonts w:ascii="Verdana" w:hAnsi="Verdana"/>
          <w:i/>
          <w:sz w:val="20"/>
          <w:szCs w:val="20"/>
          <w:u w:val="single"/>
          <w:lang w:val="es-MX"/>
        </w:rPr>
        <w:lastRenderedPageBreak/>
        <w:t>efectos</w:t>
      </w:r>
      <w:r w:rsidR="00F16B9D" w:rsidRPr="00F45FC7">
        <w:rPr>
          <w:rFonts w:ascii="Verdana" w:hAnsi="Verdana"/>
          <w:i/>
          <w:sz w:val="20"/>
          <w:szCs w:val="20"/>
          <w:lang w:val="es-MX"/>
        </w:rPr>
        <w:t xml:space="preserve"> perduren</w:t>
      </w:r>
      <w:r w:rsidR="00F16B9D" w:rsidRPr="00434403">
        <w:rPr>
          <w:rFonts w:ascii="Verdana" w:hAnsi="Verdana"/>
          <w:sz w:val="20"/>
          <w:szCs w:val="20"/>
          <w:lang w:val="es-MX"/>
        </w:rPr>
        <w:t>.</w:t>
      </w:r>
      <w:r w:rsidR="009823FC">
        <w:rPr>
          <w:rFonts w:ascii="Verdana" w:hAnsi="Verdana"/>
          <w:sz w:val="20"/>
          <w:szCs w:val="20"/>
          <w:lang w:val="es-MX"/>
        </w:rPr>
        <w:t>” E</w:t>
      </w:r>
      <w:r w:rsidR="00F16B9D">
        <w:rPr>
          <w:rFonts w:ascii="Verdana" w:hAnsi="Verdana"/>
          <w:sz w:val="20"/>
          <w:szCs w:val="20"/>
          <w:lang w:val="es-MX"/>
        </w:rPr>
        <w:t>n el mismo artículo en su punto 2 dispone que “</w:t>
      </w:r>
      <w:r w:rsidR="00F16B9D" w:rsidRPr="00F45FC7">
        <w:rPr>
          <w:rFonts w:ascii="Verdana" w:hAnsi="Verdana"/>
          <w:i/>
          <w:sz w:val="20"/>
          <w:szCs w:val="20"/>
          <w:lang w:val="es-MX"/>
        </w:rPr>
        <w:t>La violación de una obligación internacional mediante un hecho del Estado que tiene carácter continuo se extiende durante todo el período en el cual el hecho continúa y se mantiene su falta de conformidad con la obligación internacional</w:t>
      </w:r>
      <w:r w:rsidR="00F16B9D" w:rsidRPr="00434403">
        <w:rPr>
          <w:rFonts w:ascii="Verdana" w:hAnsi="Verdana"/>
          <w:sz w:val="20"/>
          <w:szCs w:val="20"/>
          <w:lang w:val="es-MX"/>
        </w:rPr>
        <w:t>.</w:t>
      </w:r>
      <w:r w:rsidR="009823FC">
        <w:rPr>
          <w:rFonts w:ascii="Verdana" w:hAnsi="Verdana"/>
          <w:sz w:val="20"/>
          <w:szCs w:val="20"/>
          <w:lang w:val="es-MX"/>
        </w:rPr>
        <w:t>” Y finalmente, en el a</w:t>
      </w:r>
      <w:r w:rsidR="00F16B9D">
        <w:rPr>
          <w:rFonts w:ascii="Verdana" w:hAnsi="Verdana"/>
          <w:sz w:val="20"/>
          <w:szCs w:val="20"/>
          <w:lang w:val="es-MX"/>
        </w:rPr>
        <w:t>rtículo 14.3 se dispone que “</w:t>
      </w:r>
      <w:r w:rsidR="00F16B9D" w:rsidRPr="00F45FC7">
        <w:rPr>
          <w:rFonts w:ascii="Verdana" w:hAnsi="Verdana"/>
          <w:i/>
          <w:sz w:val="20"/>
          <w:szCs w:val="20"/>
          <w:lang w:val="es-MX"/>
        </w:rPr>
        <w:t>La violación de una obligación internacional en virtud de la cual el Estado debe prevenir un acontecimiento determinado tiene lugar cuando se produce el  acontecimiento y se extiende durante todo el período en el cual ese acontecimiento continúa y se mantiene su falta de conformidad con esa obligación</w:t>
      </w:r>
      <w:r w:rsidR="00F16B9D">
        <w:rPr>
          <w:rFonts w:ascii="Verdana" w:hAnsi="Verdana"/>
          <w:sz w:val="20"/>
          <w:szCs w:val="20"/>
          <w:lang w:val="es-MX"/>
        </w:rPr>
        <w:t>”.</w:t>
      </w:r>
    </w:p>
    <w:p w:rsidR="00F16B9D" w:rsidRDefault="00F16B9D" w:rsidP="00F16B9D">
      <w:pPr>
        <w:jc w:val="both"/>
        <w:rPr>
          <w:rFonts w:ascii="Verdana" w:hAnsi="Verdana"/>
          <w:sz w:val="20"/>
          <w:szCs w:val="20"/>
          <w:lang w:val="es-MX"/>
        </w:rPr>
      </w:pPr>
    </w:p>
    <w:p w:rsidR="00F16B9D" w:rsidRPr="001C65FC" w:rsidRDefault="00D6179B" w:rsidP="00F16B9D">
      <w:pPr>
        <w:jc w:val="both"/>
        <w:rPr>
          <w:rFonts w:ascii="Verdana" w:hAnsi="Verdana"/>
          <w:sz w:val="20"/>
          <w:szCs w:val="20"/>
          <w:lang w:val="es-MX"/>
        </w:rPr>
      </w:pPr>
      <w:r>
        <w:rPr>
          <w:rFonts w:ascii="Verdana" w:hAnsi="Verdana"/>
          <w:sz w:val="20"/>
          <w:szCs w:val="20"/>
          <w:lang w:val="es-MX"/>
        </w:rPr>
        <w:t>35</w:t>
      </w:r>
      <w:r w:rsidR="00F16B9D">
        <w:rPr>
          <w:rFonts w:ascii="Verdana" w:hAnsi="Verdana"/>
          <w:sz w:val="20"/>
          <w:szCs w:val="20"/>
          <w:lang w:val="es-MX"/>
        </w:rPr>
        <w:t xml:space="preserve">. </w:t>
      </w:r>
      <w:r w:rsidR="00EA2519">
        <w:rPr>
          <w:rFonts w:ascii="Verdana" w:hAnsi="Verdana"/>
          <w:sz w:val="20"/>
          <w:szCs w:val="20"/>
          <w:lang w:val="es-MX"/>
        </w:rPr>
        <w:tab/>
      </w:r>
      <w:r w:rsidR="00F16B9D">
        <w:rPr>
          <w:rFonts w:ascii="Verdana" w:hAnsi="Verdana"/>
          <w:sz w:val="20"/>
          <w:szCs w:val="20"/>
          <w:lang w:val="es-MX"/>
        </w:rPr>
        <w:t xml:space="preserve">Es importante señalar que bajo la lógica de análisis de la Comisión de Derecho Internacional existe la posibilidad de catalogar una violación a una obligación internacional en un </w:t>
      </w:r>
      <w:r w:rsidR="00F16B9D" w:rsidRPr="00EA2519">
        <w:rPr>
          <w:rFonts w:ascii="Verdana" w:hAnsi="Verdana"/>
          <w:i/>
          <w:sz w:val="20"/>
          <w:szCs w:val="20"/>
          <w:u w:val="single"/>
          <w:lang w:val="es-MX"/>
        </w:rPr>
        <w:t>hecho compuesto</w:t>
      </w:r>
      <w:r w:rsidR="00F16B9D">
        <w:rPr>
          <w:rFonts w:ascii="Verdana" w:hAnsi="Verdana"/>
          <w:sz w:val="20"/>
          <w:szCs w:val="20"/>
          <w:lang w:val="es-MX"/>
        </w:rPr>
        <w:t xml:space="preserve">. La cual se puede definir como </w:t>
      </w:r>
      <w:r w:rsidR="00F16B9D" w:rsidRPr="00F45FC7">
        <w:rPr>
          <w:rFonts w:ascii="Verdana" w:hAnsi="Verdana"/>
          <w:i/>
          <w:sz w:val="20"/>
          <w:szCs w:val="20"/>
          <w:lang w:val="es-MX"/>
        </w:rPr>
        <w:t xml:space="preserve">“[l]a violación por el Estado de una obligación internacional mediante una serie de acciones u omisiones, definida en su conjunto como ilícita, </w:t>
      </w:r>
      <w:r w:rsidR="00F16B9D">
        <w:rPr>
          <w:rFonts w:ascii="Verdana" w:hAnsi="Verdana"/>
          <w:i/>
          <w:sz w:val="20"/>
          <w:szCs w:val="20"/>
          <w:lang w:val="es-MX"/>
        </w:rPr>
        <w:t xml:space="preserve">[que] </w:t>
      </w:r>
      <w:r w:rsidR="00F16B9D" w:rsidRPr="00F45FC7">
        <w:rPr>
          <w:rFonts w:ascii="Verdana" w:hAnsi="Verdana"/>
          <w:i/>
          <w:sz w:val="20"/>
          <w:szCs w:val="20"/>
          <w:lang w:val="es-MX"/>
        </w:rPr>
        <w:t>tiene lugar cuando se produce la acción u omisión que, tomada con las demás acciones u omisiones, es suficiente para constituir el hecho ilícito</w:t>
      </w:r>
      <w:r w:rsidR="00F16B9D">
        <w:rPr>
          <w:rFonts w:ascii="Verdana" w:hAnsi="Verdana"/>
          <w:sz w:val="20"/>
          <w:szCs w:val="20"/>
          <w:lang w:val="es-MX"/>
        </w:rPr>
        <w:t>” (Artículo 15.1). Así, “</w:t>
      </w:r>
      <w:r w:rsidR="00F16B9D" w:rsidRPr="00F45FC7">
        <w:rPr>
          <w:rFonts w:ascii="Verdana" w:hAnsi="Verdana"/>
          <w:i/>
          <w:sz w:val="20"/>
          <w:szCs w:val="20"/>
          <w:lang w:val="es-MX"/>
        </w:rPr>
        <w:t>la violación se extiende durante todo el período que comienza con la primera de las acciones u omisiones de la serie y se prolonga mientras esas acciones u omisiones se repiten y se mantiene su falta de conformidad con la obligación internacional</w:t>
      </w:r>
      <w:r w:rsidR="00F16B9D" w:rsidRPr="00F45FC7">
        <w:rPr>
          <w:rFonts w:ascii="Verdana" w:hAnsi="Verdana"/>
          <w:sz w:val="20"/>
          <w:szCs w:val="20"/>
          <w:lang w:val="es-MX"/>
        </w:rPr>
        <w:t>.</w:t>
      </w:r>
      <w:r w:rsidR="00F16B9D">
        <w:rPr>
          <w:rFonts w:ascii="Verdana" w:hAnsi="Verdana"/>
          <w:sz w:val="20"/>
          <w:szCs w:val="20"/>
          <w:lang w:val="es-MX"/>
        </w:rPr>
        <w:t>” (Artículo 15.2) Los hechos compuestos siempre consisten en una serie de actos individuales del Estado que se suceden unos a otros en una secuencia separada de cursos de conducta, acciones u omisiones adoptadas en casos separados pero que en su conjunto contribuyen a la comisión del acto en su conjunto en cuestión</w:t>
      </w:r>
      <w:r w:rsidR="00F16B9D" w:rsidRPr="009823FC">
        <w:rPr>
          <w:rStyle w:val="FootnoteReference"/>
          <w:rFonts w:ascii="Verdana" w:hAnsi="Verdana"/>
          <w:sz w:val="20"/>
          <w:szCs w:val="20"/>
        </w:rPr>
        <w:footnoteReference w:id="53"/>
      </w:r>
      <w:r w:rsidR="00A94E2E">
        <w:rPr>
          <w:rFonts w:ascii="Verdana" w:hAnsi="Verdana"/>
          <w:sz w:val="20"/>
          <w:szCs w:val="20"/>
          <w:lang w:val="es-MX"/>
        </w:rPr>
        <w:t>.</w:t>
      </w:r>
      <w:r w:rsidR="00F16B9D">
        <w:rPr>
          <w:rFonts w:ascii="Verdana" w:hAnsi="Verdana"/>
          <w:sz w:val="20"/>
          <w:szCs w:val="20"/>
          <w:lang w:val="es-MX"/>
        </w:rPr>
        <w:t xml:space="preserve"> Considerados de forma separada, estos actos pueden ser lícitos o ilícitos, pero ellos se encuentran interrelacionados por tener la misma intención, contenido y </w:t>
      </w:r>
      <w:r w:rsidR="00F16B9D" w:rsidRPr="00A94E2E">
        <w:rPr>
          <w:rFonts w:ascii="Verdana" w:hAnsi="Verdana"/>
          <w:sz w:val="20"/>
          <w:szCs w:val="20"/>
          <w:u w:val="single"/>
          <w:lang w:val="es-MX"/>
        </w:rPr>
        <w:t>efectos</w:t>
      </w:r>
      <w:r w:rsidR="00F16B9D" w:rsidRPr="009823FC">
        <w:rPr>
          <w:rStyle w:val="FootnoteReference"/>
          <w:rFonts w:ascii="Verdana" w:hAnsi="Verdana"/>
          <w:sz w:val="20"/>
          <w:szCs w:val="20"/>
        </w:rPr>
        <w:footnoteReference w:id="54"/>
      </w:r>
      <w:r w:rsidR="00A94E2E">
        <w:rPr>
          <w:rFonts w:ascii="Verdana" w:hAnsi="Verdana"/>
          <w:sz w:val="20"/>
          <w:szCs w:val="20"/>
          <w:lang w:val="es-MX"/>
        </w:rPr>
        <w:t>.</w:t>
      </w:r>
    </w:p>
    <w:p w:rsidR="00F16B9D" w:rsidRDefault="00F16B9D" w:rsidP="00F16B9D">
      <w:pPr>
        <w:jc w:val="both"/>
        <w:rPr>
          <w:rFonts w:ascii="Verdana" w:hAnsi="Verdana"/>
          <w:sz w:val="20"/>
          <w:szCs w:val="20"/>
          <w:lang w:val="es-MX"/>
        </w:rPr>
      </w:pPr>
    </w:p>
    <w:p w:rsidR="00F16B9D" w:rsidRPr="003B3700" w:rsidRDefault="00D6179B" w:rsidP="00F16B9D">
      <w:pPr>
        <w:jc w:val="both"/>
        <w:rPr>
          <w:rFonts w:ascii="Verdana" w:hAnsi="Verdana"/>
          <w:sz w:val="20"/>
          <w:szCs w:val="20"/>
        </w:rPr>
      </w:pPr>
      <w:r>
        <w:rPr>
          <w:rFonts w:ascii="Verdana" w:hAnsi="Verdana"/>
          <w:sz w:val="20"/>
          <w:szCs w:val="20"/>
          <w:lang w:val="es-MX"/>
        </w:rPr>
        <w:t>36</w:t>
      </w:r>
      <w:r w:rsidR="00F16B9D">
        <w:rPr>
          <w:rFonts w:ascii="Verdana" w:hAnsi="Verdana"/>
          <w:sz w:val="20"/>
          <w:szCs w:val="20"/>
          <w:lang w:val="es-MX"/>
        </w:rPr>
        <w:t xml:space="preserve">. </w:t>
      </w:r>
      <w:r w:rsidR="00A94E2E">
        <w:rPr>
          <w:rFonts w:ascii="Verdana" w:hAnsi="Verdana"/>
          <w:sz w:val="20"/>
          <w:szCs w:val="20"/>
          <w:lang w:val="es-MX"/>
        </w:rPr>
        <w:tab/>
      </w:r>
      <w:r w:rsidR="00F16B9D">
        <w:rPr>
          <w:rFonts w:ascii="Verdana" w:hAnsi="Verdana"/>
          <w:sz w:val="20"/>
          <w:szCs w:val="20"/>
          <w:lang w:val="es-MX"/>
        </w:rPr>
        <w:t xml:space="preserve">En el Sistema Europeo de Derechos Humanos se ha adoptado una definición general de lo que es una violación continuada, primero, por la ya extinta Comisión Europea de Derechos Humanos y ratificada, después, por el Tribunal Europeo de Derechos Humanos. Así, una situación continuada se refiere a </w:t>
      </w:r>
      <w:r w:rsidR="00F16B9D" w:rsidRPr="00A94E2E">
        <w:rPr>
          <w:rFonts w:ascii="Verdana" w:hAnsi="Verdana"/>
          <w:sz w:val="20"/>
          <w:szCs w:val="20"/>
          <w:lang w:val="es-MX"/>
        </w:rPr>
        <w:t>“</w:t>
      </w:r>
      <w:r w:rsidR="00F16B9D" w:rsidRPr="00A94E2E">
        <w:rPr>
          <w:rFonts w:ascii="Verdana" w:hAnsi="Verdana"/>
          <w:i/>
          <w:sz w:val="20"/>
          <w:szCs w:val="20"/>
          <w:lang w:val="es-MX"/>
        </w:rPr>
        <w:t>la situación que opera por actividades continuas por o de parte del Estado hacia las víctimas</w:t>
      </w:r>
      <w:r w:rsidR="00F16B9D" w:rsidRPr="00A94E2E">
        <w:rPr>
          <w:rFonts w:ascii="Verdana" w:hAnsi="Verdana"/>
          <w:sz w:val="20"/>
          <w:szCs w:val="20"/>
          <w:lang w:val="es-MX"/>
        </w:rPr>
        <w:t>”</w:t>
      </w:r>
      <w:r w:rsidR="00F16B9D" w:rsidRPr="00A94E2E">
        <w:rPr>
          <w:rStyle w:val="FootnoteReference"/>
          <w:rFonts w:ascii="Verdana" w:hAnsi="Verdana"/>
          <w:sz w:val="20"/>
          <w:szCs w:val="20"/>
        </w:rPr>
        <w:footnoteReference w:id="55"/>
      </w:r>
      <w:r w:rsidR="00A94E2E" w:rsidRPr="00A94E2E">
        <w:rPr>
          <w:rFonts w:ascii="Verdana" w:hAnsi="Verdana"/>
          <w:sz w:val="20"/>
          <w:szCs w:val="20"/>
          <w:lang w:val="es-MX"/>
        </w:rPr>
        <w:t>.</w:t>
      </w:r>
      <w:r w:rsidR="00F16B9D" w:rsidRPr="00A94E2E">
        <w:rPr>
          <w:rStyle w:val="BodyTextChar"/>
          <w:rFonts w:ascii="Verdana" w:hAnsi="Verdana"/>
        </w:rPr>
        <w:t xml:space="preserve"> </w:t>
      </w:r>
      <w:r w:rsidR="00F16B9D" w:rsidRPr="003B3700">
        <w:rPr>
          <w:rStyle w:val="BodyTextChar"/>
          <w:rFonts w:ascii="Verdana" w:hAnsi="Verdana"/>
          <w:sz w:val="20"/>
        </w:rPr>
        <w:t>Asimismo, es importante señalar que no existe una diferenciación clara entre los términos de violación “continuada” o “continua”, llegándose a usar por parte del Tribunal Europeo de forma indistinta</w:t>
      </w:r>
      <w:r w:rsidR="00A94E2E" w:rsidRPr="003B3700">
        <w:rPr>
          <w:rStyle w:val="BodyTextChar"/>
          <w:rFonts w:ascii="Verdana" w:hAnsi="Verdana"/>
          <w:sz w:val="20"/>
        </w:rPr>
        <w:t xml:space="preserve"> ambas expresiones</w:t>
      </w:r>
      <w:r w:rsidR="00F16B9D" w:rsidRPr="003B3700">
        <w:rPr>
          <w:rStyle w:val="FootnoteReference"/>
          <w:rFonts w:ascii="Verdana" w:hAnsi="Verdana"/>
          <w:sz w:val="20"/>
          <w:szCs w:val="20"/>
        </w:rPr>
        <w:footnoteReference w:id="56"/>
      </w:r>
      <w:r w:rsidR="00A94E2E" w:rsidRPr="003B3700">
        <w:rPr>
          <w:rStyle w:val="BodyTextChar"/>
          <w:rFonts w:ascii="Verdana" w:hAnsi="Verdana"/>
          <w:sz w:val="20"/>
        </w:rPr>
        <w:t>.</w:t>
      </w:r>
    </w:p>
    <w:p w:rsidR="00F16B9D" w:rsidRPr="003B3700" w:rsidRDefault="00F16B9D" w:rsidP="00F16B9D">
      <w:pPr>
        <w:jc w:val="both"/>
        <w:rPr>
          <w:rFonts w:ascii="Verdana" w:hAnsi="Verdana"/>
          <w:sz w:val="20"/>
          <w:szCs w:val="20"/>
          <w:lang w:val="es-MX"/>
        </w:rPr>
      </w:pPr>
    </w:p>
    <w:p w:rsidR="00F16B9D" w:rsidRDefault="00D6179B" w:rsidP="00F16B9D">
      <w:pPr>
        <w:jc w:val="both"/>
        <w:rPr>
          <w:rFonts w:ascii="Verdana" w:hAnsi="Verdana"/>
          <w:sz w:val="20"/>
        </w:rPr>
      </w:pPr>
      <w:r>
        <w:rPr>
          <w:rFonts w:ascii="Verdana" w:hAnsi="Verdana"/>
          <w:sz w:val="20"/>
          <w:szCs w:val="20"/>
          <w:lang w:val="es-MX"/>
        </w:rPr>
        <w:t>37</w:t>
      </w:r>
      <w:r w:rsidR="00F16B9D">
        <w:rPr>
          <w:rFonts w:ascii="Verdana" w:hAnsi="Verdana"/>
          <w:sz w:val="20"/>
          <w:szCs w:val="20"/>
          <w:lang w:val="es-MX"/>
        </w:rPr>
        <w:t xml:space="preserve">. </w:t>
      </w:r>
      <w:r w:rsidR="009823FC">
        <w:rPr>
          <w:rFonts w:ascii="Verdana" w:hAnsi="Verdana"/>
          <w:sz w:val="20"/>
          <w:szCs w:val="20"/>
          <w:lang w:val="es-MX"/>
        </w:rPr>
        <w:tab/>
      </w:r>
      <w:r w:rsidR="00F16B9D">
        <w:rPr>
          <w:rFonts w:ascii="Verdana" w:hAnsi="Verdana"/>
          <w:sz w:val="20"/>
          <w:szCs w:val="20"/>
          <w:lang w:val="es-MX"/>
        </w:rPr>
        <w:t>En el marco del Sistema Interamericano de Derechos Humanos esta Corte ha señalado en diversas ocasiones la naturaleza continuada de diversas violacio</w:t>
      </w:r>
      <w:r w:rsidR="00F8296D">
        <w:rPr>
          <w:rFonts w:ascii="Verdana" w:hAnsi="Verdana"/>
          <w:sz w:val="20"/>
          <w:szCs w:val="20"/>
          <w:lang w:val="es-MX"/>
        </w:rPr>
        <w:t>nes a derechos humanos. Tal vez</w:t>
      </w:r>
      <w:r w:rsidR="00F16B9D">
        <w:rPr>
          <w:rFonts w:ascii="Verdana" w:hAnsi="Verdana"/>
          <w:sz w:val="20"/>
          <w:szCs w:val="20"/>
          <w:lang w:val="es-MX"/>
        </w:rPr>
        <w:t xml:space="preserve"> el caso más significativo sea el de la desaparición forzada de personas. Respecto a este tipo de violaciones a derechos humanos este Tribunal </w:t>
      </w:r>
      <w:r w:rsidR="00F8296D">
        <w:rPr>
          <w:rFonts w:ascii="Verdana" w:hAnsi="Verdana"/>
          <w:sz w:val="20"/>
          <w:szCs w:val="20"/>
          <w:lang w:val="es-MX"/>
        </w:rPr>
        <w:t xml:space="preserve">Interamericano </w:t>
      </w:r>
      <w:r w:rsidR="00F16B9D">
        <w:rPr>
          <w:rFonts w:ascii="Verdana" w:hAnsi="Verdana"/>
          <w:sz w:val="20"/>
          <w:szCs w:val="20"/>
          <w:lang w:val="es-MX"/>
        </w:rPr>
        <w:t xml:space="preserve">ha señalado reiteradamente que </w:t>
      </w:r>
      <w:r w:rsidR="00F16B9D" w:rsidRPr="00D85CAF">
        <w:rPr>
          <w:rFonts w:ascii="Verdana" w:hAnsi="Verdana"/>
          <w:i/>
          <w:sz w:val="20"/>
        </w:rPr>
        <w:t xml:space="preserve">“[l]a desaparición forzada de seres </w:t>
      </w:r>
      <w:r w:rsidR="00F16B9D" w:rsidRPr="00D85CAF">
        <w:rPr>
          <w:rFonts w:ascii="Verdana" w:hAnsi="Verdana"/>
          <w:i/>
          <w:sz w:val="20"/>
        </w:rPr>
        <w:lastRenderedPageBreak/>
        <w:t>humanos constituye una violación múltiple y continuada de numerosos derechos reconocidos en la Convención y que los Estados Partes están obligados a respetar y garantizar”</w:t>
      </w:r>
      <w:r w:rsidR="00F16B9D" w:rsidRPr="009823FC">
        <w:rPr>
          <w:rStyle w:val="FootnoteReference"/>
          <w:rFonts w:ascii="Verdana" w:hAnsi="Verdana"/>
          <w:sz w:val="20"/>
          <w:szCs w:val="20"/>
        </w:rPr>
        <w:footnoteReference w:id="57"/>
      </w:r>
      <w:r w:rsidR="00F8296D">
        <w:rPr>
          <w:rFonts w:ascii="Verdana" w:hAnsi="Verdana"/>
          <w:i/>
          <w:sz w:val="20"/>
        </w:rPr>
        <w:t>.</w:t>
      </w:r>
    </w:p>
    <w:p w:rsidR="00F16B9D" w:rsidRDefault="00F16B9D" w:rsidP="00F16B9D">
      <w:pPr>
        <w:jc w:val="both"/>
        <w:rPr>
          <w:rFonts w:ascii="Verdana" w:hAnsi="Verdana"/>
          <w:sz w:val="20"/>
        </w:rPr>
      </w:pPr>
    </w:p>
    <w:p w:rsidR="00F16B9D" w:rsidRDefault="00D6179B" w:rsidP="00F16B9D">
      <w:pPr>
        <w:jc w:val="both"/>
        <w:rPr>
          <w:rFonts w:ascii="Verdana" w:hAnsi="Verdana"/>
          <w:sz w:val="20"/>
          <w:szCs w:val="20"/>
          <w:lang w:val="es-MX"/>
        </w:rPr>
      </w:pPr>
      <w:r>
        <w:rPr>
          <w:rFonts w:ascii="Verdana" w:hAnsi="Verdana"/>
          <w:sz w:val="20"/>
        </w:rPr>
        <w:t>38</w:t>
      </w:r>
      <w:r w:rsidR="00F16B9D">
        <w:rPr>
          <w:rFonts w:ascii="Verdana" w:hAnsi="Verdana"/>
          <w:sz w:val="20"/>
        </w:rPr>
        <w:t>. Igualmente, la Corte ha reconocido reiteradamente el carácter continuado de diversas violaciones a derechos humanos como la falta de acceso a la justicia en relación con ejecuciones extrajudiciales y masacres</w:t>
      </w:r>
      <w:r w:rsidR="00F16B9D" w:rsidRPr="009823FC">
        <w:rPr>
          <w:rStyle w:val="FootnoteReference"/>
          <w:rFonts w:ascii="Verdana" w:hAnsi="Verdana"/>
          <w:sz w:val="20"/>
          <w:szCs w:val="20"/>
        </w:rPr>
        <w:footnoteReference w:id="58"/>
      </w:r>
      <w:r w:rsidR="009823FC">
        <w:rPr>
          <w:rFonts w:ascii="Verdana" w:hAnsi="Verdana"/>
          <w:sz w:val="20"/>
        </w:rPr>
        <w:t>,</w:t>
      </w:r>
      <w:r w:rsidR="00F16B9D">
        <w:rPr>
          <w:rFonts w:ascii="Verdana" w:hAnsi="Verdana"/>
          <w:sz w:val="20"/>
          <w:szCs w:val="20"/>
          <w:lang w:val="es-MX"/>
        </w:rPr>
        <w:t xml:space="preserve"> así como en relación con contextos de desplazamiento forzado y persecución, en relación con los derechos de los niños y el derecho a la familia y a la integridad personal</w:t>
      </w:r>
      <w:r w:rsidR="00F16B9D" w:rsidRPr="009823FC">
        <w:rPr>
          <w:rStyle w:val="FootnoteReference"/>
          <w:rFonts w:ascii="Verdana" w:hAnsi="Verdana"/>
          <w:sz w:val="20"/>
          <w:szCs w:val="20"/>
          <w:lang w:val="es-MX"/>
        </w:rPr>
        <w:footnoteReference w:id="59"/>
      </w:r>
      <w:r w:rsidR="009823FC">
        <w:rPr>
          <w:rFonts w:ascii="Verdana" w:hAnsi="Verdana"/>
          <w:sz w:val="20"/>
          <w:szCs w:val="20"/>
          <w:lang w:val="es-MX"/>
        </w:rPr>
        <w:t>.</w:t>
      </w:r>
      <w:r w:rsidR="00F16B9D">
        <w:rPr>
          <w:rFonts w:ascii="Verdana" w:hAnsi="Verdana"/>
          <w:sz w:val="20"/>
          <w:szCs w:val="20"/>
          <w:lang w:val="es-MX"/>
        </w:rPr>
        <w:t xml:space="preserve"> </w:t>
      </w:r>
    </w:p>
    <w:p w:rsidR="00F16B9D" w:rsidRDefault="00F16B9D" w:rsidP="00F16B9D">
      <w:pPr>
        <w:jc w:val="both"/>
        <w:rPr>
          <w:rFonts w:ascii="Verdana" w:hAnsi="Verdana"/>
          <w:sz w:val="20"/>
          <w:szCs w:val="20"/>
          <w:lang w:val="es-MX"/>
        </w:rPr>
      </w:pPr>
    </w:p>
    <w:p w:rsidR="001D54B3" w:rsidRDefault="00D6179B" w:rsidP="00F8296D">
      <w:pPr>
        <w:pStyle w:val="ListParagraph"/>
        <w:ind w:left="0"/>
        <w:contextualSpacing w:val="0"/>
        <w:jc w:val="both"/>
        <w:rPr>
          <w:rFonts w:ascii="Verdana" w:hAnsi="Verdana"/>
          <w:sz w:val="20"/>
        </w:rPr>
      </w:pPr>
      <w:r>
        <w:rPr>
          <w:rFonts w:ascii="Verdana" w:hAnsi="Verdana"/>
          <w:sz w:val="20"/>
          <w:szCs w:val="20"/>
          <w:lang w:val="es-MX"/>
        </w:rPr>
        <w:t>39</w:t>
      </w:r>
      <w:r w:rsidR="00F16B9D">
        <w:rPr>
          <w:rFonts w:ascii="Verdana" w:hAnsi="Verdana"/>
          <w:sz w:val="20"/>
          <w:szCs w:val="20"/>
          <w:lang w:val="es-MX"/>
        </w:rPr>
        <w:t xml:space="preserve">. </w:t>
      </w:r>
      <w:r w:rsidR="00F16B9D" w:rsidRPr="00FB594A">
        <w:rPr>
          <w:rFonts w:ascii="Verdana" w:hAnsi="Verdana"/>
          <w:sz w:val="20"/>
          <w:szCs w:val="20"/>
          <w:lang w:val="es-MX"/>
        </w:rPr>
        <w:t xml:space="preserve">Recientemente, en el </w:t>
      </w:r>
      <w:r w:rsidR="00F16B9D" w:rsidRPr="00F8296D">
        <w:rPr>
          <w:rFonts w:ascii="Verdana" w:hAnsi="Verdana"/>
          <w:i/>
          <w:sz w:val="20"/>
          <w:szCs w:val="20"/>
          <w:lang w:val="es-MX"/>
        </w:rPr>
        <w:t>Caso García Lucero Vs. Chile</w:t>
      </w:r>
      <w:r w:rsidR="00F16B9D" w:rsidRPr="00FB594A">
        <w:rPr>
          <w:rFonts w:ascii="Verdana" w:hAnsi="Verdana"/>
          <w:sz w:val="20"/>
          <w:szCs w:val="20"/>
          <w:lang w:val="es-MX"/>
        </w:rPr>
        <w:t xml:space="preserve"> la Corte Interamericana se refirió a violaciones de carácter no continuado y si los efectos de las mismas podían ser conocidos por la Corte cuando se encontraban fuera de su competencia temporal. Al respecto, en dicho caso se determinó que</w:t>
      </w:r>
      <w:r w:rsidR="00F16B9D" w:rsidRPr="00FB594A">
        <w:rPr>
          <w:rFonts w:ascii="Verdana" w:hAnsi="Verdana"/>
          <w:sz w:val="20"/>
        </w:rPr>
        <w:t xml:space="preserve"> </w:t>
      </w:r>
      <w:r w:rsidR="00F16B9D">
        <w:rPr>
          <w:rFonts w:ascii="Verdana" w:hAnsi="Verdana"/>
          <w:sz w:val="20"/>
        </w:rPr>
        <w:t>en cuanto</w:t>
      </w:r>
      <w:r w:rsidR="00F16B9D" w:rsidRPr="00FB594A">
        <w:rPr>
          <w:rFonts w:ascii="Verdana" w:hAnsi="Verdana"/>
          <w:sz w:val="20"/>
        </w:rPr>
        <w:t xml:space="preserve"> a los hechos de tortura que escapaban del conocimiento de la competencia temporal de la Corte “</w:t>
      </w:r>
      <w:r w:rsidR="00F16B9D" w:rsidRPr="00FB594A">
        <w:rPr>
          <w:rFonts w:ascii="Verdana" w:hAnsi="Verdana"/>
          <w:i/>
          <w:sz w:val="20"/>
        </w:rPr>
        <w:t>la integralidad o individualiza</w:t>
      </w:r>
      <w:r w:rsidR="00F16B9D">
        <w:rPr>
          <w:rFonts w:ascii="Verdana" w:hAnsi="Verdana"/>
          <w:i/>
          <w:sz w:val="20"/>
        </w:rPr>
        <w:t>ción de la reparación solo p[odía]</w:t>
      </w:r>
      <w:r w:rsidR="00F16B9D" w:rsidRPr="00FB594A">
        <w:rPr>
          <w:rFonts w:ascii="Verdana" w:hAnsi="Verdana"/>
          <w:i/>
          <w:sz w:val="20"/>
        </w:rPr>
        <w:t xml:space="preserve"> apreciarse a partir de un examen de los hechos generadores del daño y sus efectos, y los mismos están excluidos de la competencia temporal de la Corte</w:t>
      </w:r>
      <w:r w:rsidR="00F16B9D" w:rsidRPr="00FB594A">
        <w:rPr>
          <w:rFonts w:ascii="Verdana" w:hAnsi="Verdana"/>
          <w:sz w:val="20"/>
        </w:rPr>
        <w:t>.”</w:t>
      </w:r>
      <w:r w:rsidR="00F16B9D" w:rsidRPr="00DC66CD">
        <w:rPr>
          <w:rStyle w:val="FootnoteReference"/>
          <w:rFonts w:ascii="Verdana" w:hAnsi="Verdana"/>
          <w:sz w:val="20"/>
          <w:szCs w:val="20"/>
        </w:rPr>
        <w:footnoteReference w:id="60"/>
      </w:r>
      <w:r w:rsidR="00F16B9D">
        <w:rPr>
          <w:rFonts w:ascii="Verdana" w:hAnsi="Verdana"/>
          <w:sz w:val="20"/>
        </w:rPr>
        <w:t xml:space="preserve"> A</w:t>
      </w:r>
      <w:r w:rsidR="00DC66CD">
        <w:rPr>
          <w:rFonts w:ascii="Verdana" w:hAnsi="Verdana"/>
          <w:sz w:val="20"/>
        </w:rPr>
        <w:t>demás</w:t>
      </w:r>
      <w:r w:rsidR="00F8296D">
        <w:rPr>
          <w:rFonts w:ascii="Verdana" w:hAnsi="Verdana"/>
          <w:sz w:val="20"/>
        </w:rPr>
        <w:t>,</w:t>
      </w:r>
      <w:r w:rsidR="00F16B9D" w:rsidRPr="00FB594A">
        <w:rPr>
          <w:rFonts w:ascii="Verdana" w:hAnsi="Verdana"/>
          <w:sz w:val="20"/>
        </w:rPr>
        <w:t xml:space="preserve"> señaló que si bien no podría entrar a examinar la totalidad de los hechos, la Corte si podría “</w:t>
      </w:r>
      <w:r w:rsidR="00F16B9D" w:rsidRPr="00FB594A">
        <w:rPr>
          <w:rFonts w:ascii="Verdana" w:hAnsi="Verdana"/>
          <w:i/>
          <w:sz w:val="20"/>
        </w:rPr>
        <w:t>examinar si a partir de hechos autónomos ocurridos dentro de su competencia temporal, el Estado cumplió con el deber de investigar y si brindó los recursos aptos para efectuar reclamos sobre medidas de reparación, de conformidad con la Convención Americana, así como con la Convención Interamericana contra la Tortura</w:t>
      </w:r>
      <w:r w:rsidR="00F16B9D" w:rsidRPr="00FB594A">
        <w:rPr>
          <w:rFonts w:ascii="Verdana" w:hAnsi="Verdana"/>
          <w:sz w:val="20"/>
        </w:rPr>
        <w:t>”</w:t>
      </w:r>
      <w:r w:rsidR="00F16B9D" w:rsidRPr="00FB594A">
        <w:rPr>
          <w:rStyle w:val="FootnoteReference"/>
          <w:rFonts w:ascii="Verdana" w:hAnsi="Verdana"/>
        </w:rPr>
        <w:t xml:space="preserve"> </w:t>
      </w:r>
      <w:r w:rsidR="00F16B9D" w:rsidRPr="00DC66CD">
        <w:rPr>
          <w:rStyle w:val="FootnoteReference"/>
          <w:rFonts w:ascii="Verdana" w:hAnsi="Verdana"/>
          <w:sz w:val="20"/>
          <w:szCs w:val="20"/>
        </w:rPr>
        <w:footnoteReference w:id="61"/>
      </w:r>
      <w:r w:rsidR="00DC66CD">
        <w:rPr>
          <w:rFonts w:ascii="Verdana" w:hAnsi="Verdana"/>
          <w:sz w:val="20"/>
        </w:rPr>
        <w:t xml:space="preserve">. </w:t>
      </w:r>
      <w:r w:rsidR="00F16B9D">
        <w:rPr>
          <w:rFonts w:ascii="Verdana" w:hAnsi="Verdana"/>
          <w:sz w:val="20"/>
        </w:rPr>
        <w:t>Este precedente, en nada modifica la jurisprudencia de la Corte en relación con la naturaleza de las violaciones continuadas, ni presenta elementos adicionales para su análisis.</w:t>
      </w:r>
    </w:p>
    <w:p w:rsidR="000A5D26" w:rsidRDefault="000A5D26" w:rsidP="00D6179B">
      <w:pPr>
        <w:pStyle w:val="ListParagraph"/>
        <w:ind w:left="0"/>
        <w:contextualSpacing w:val="0"/>
        <w:jc w:val="both"/>
        <w:rPr>
          <w:rFonts w:ascii="Verdana" w:hAnsi="Verdana"/>
          <w:sz w:val="20"/>
        </w:rPr>
      </w:pPr>
    </w:p>
    <w:p w:rsidR="000A5D26" w:rsidRPr="00D6179B" w:rsidRDefault="000A5D26" w:rsidP="00D6179B">
      <w:pPr>
        <w:pStyle w:val="ListParagraph"/>
        <w:ind w:left="0"/>
        <w:contextualSpacing w:val="0"/>
        <w:jc w:val="both"/>
        <w:rPr>
          <w:rFonts w:ascii="Verdana" w:hAnsi="Verdana"/>
          <w:sz w:val="20"/>
        </w:rPr>
      </w:pPr>
    </w:p>
    <w:p w:rsidR="001D54B3" w:rsidRPr="00DC66CD" w:rsidRDefault="001D54B3" w:rsidP="001D54B3">
      <w:pPr>
        <w:pStyle w:val="ListParagraph"/>
        <w:numPr>
          <w:ilvl w:val="0"/>
          <w:numId w:val="27"/>
        </w:numPr>
        <w:jc w:val="both"/>
        <w:rPr>
          <w:rFonts w:ascii="Verdana" w:hAnsi="Verdana"/>
          <w:i/>
          <w:sz w:val="20"/>
          <w:szCs w:val="20"/>
          <w:lang w:val="es-MX"/>
        </w:rPr>
      </w:pPr>
      <w:r w:rsidRPr="00DC66CD">
        <w:rPr>
          <w:rFonts w:ascii="Verdana" w:hAnsi="Verdana"/>
          <w:i/>
          <w:sz w:val="20"/>
          <w:szCs w:val="20"/>
          <w:lang w:val="es-MX"/>
        </w:rPr>
        <w:t>Los elementos de violaciones continuadas respecto al derecho de propiedad</w:t>
      </w:r>
    </w:p>
    <w:p w:rsidR="00F8296D" w:rsidRDefault="00F8296D" w:rsidP="001D54B3">
      <w:pPr>
        <w:pStyle w:val="ListParagraph"/>
        <w:ind w:left="0"/>
        <w:jc w:val="both"/>
        <w:rPr>
          <w:rFonts w:ascii="Verdana" w:hAnsi="Verdana" w:cs="Arial"/>
          <w:sz w:val="20"/>
          <w:szCs w:val="20"/>
          <w:lang w:val="es-ES_tradnl" w:eastAsia="de-DE"/>
        </w:rPr>
      </w:pPr>
    </w:p>
    <w:p w:rsidR="001D54B3" w:rsidRPr="003D0AA2" w:rsidRDefault="00D6179B" w:rsidP="001D54B3">
      <w:pPr>
        <w:pStyle w:val="ListParagraph"/>
        <w:ind w:left="0"/>
        <w:jc w:val="both"/>
        <w:rPr>
          <w:rFonts w:ascii="Verdana" w:hAnsi="Verdana" w:cs="Arial"/>
          <w:sz w:val="20"/>
          <w:szCs w:val="20"/>
          <w:lang w:val="es-ES_tradnl" w:eastAsia="de-DE"/>
        </w:rPr>
      </w:pPr>
      <w:r>
        <w:rPr>
          <w:rFonts w:ascii="Verdana" w:hAnsi="Verdana" w:cs="Arial"/>
          <w:sz w:val="20"/>
          <w:szCs w:val="20"/>
          <w:lang w:val="es-ES_tradnl" w:eastAsia="de-DE"/>
        </w:rPr>
        <w:t>40</w:t>
      </w:r>
      <w:r w:rsidR="00EE4CA6" w:rsidRPr="003D0AA2">
        <w:rPr>
          <w:rFonts w:ascii="Verdana" w:hAnsi="Verdana" w:cs="Arial"/>
          <w:sz w:val="20"/>
          <w:szCs w:val="20"/>
          <w:lang w:val="es-ES_tradnl" w:eastAsia="de-DE"/>
        </w:rPr>
        <w:t>.</w:t>
      </w:r>
      <w:r w:rsidR="00EE4CA6" w:rsidRPr="003D0AA2">
        <w:rPr>
          <w:rFonts w:ascii="Verdana" w:hAnsi="Verdana" w:cs="Arial"/>
          <w:sz w:val="20"/>
          <w:szCs w:val="20"/>
          <w:lang w:val="es-ES_tradnl" w:eastAsia="de-DE"/>
        </w:rPr>
        <w:tab/>
      </w:r>
      <w:r w:rsidR="001D54B3" w:rsidRPr="003D0AA2">
        <w:rPr>
          <w:rFonts w:ascii="Verdana" w:hAnsi="Verdana" w:cs="Arial"/>
          <w:sz w:val="20"/>
          <w:szCs w:val="20"/>
          <w:lang w:val="es-ES_tradnl" w:eastAsia="de-DE"/>
        </w:rPr>
        <w:t>El Tribunal Europeo de Derechos Humanos ha determinado en su jurisprudencia que, en principio, el hecho de privar a una persona de su domicilio o propiedad mediante acto administrativo constituye, un “acto instantáneo” que no produce una situación continuada de “privación” de sus derechos.</w:t>
      </w:r>
      <w:r w:rsidR="001D54B3" w:rsidRPr="003D0AA2">
        <w:rPr>
          <w:rStyle w:val="FootnoteReference"/>
          <w:rFonts w:ascii="Verdana" w:hAnsi="Verdana" w:cs="Arial"/>
          <w:i/>
          <w:sz w:val="20"/>
          <w:szCs w:val="20"/>
          <w:lang w:val="es-ES_tradnl" w:eastAsia="de-DE"/>
        </w:rPr>
        <w:footnoteReference w:id="62"/>
      </w:r>
      <w:r w:rsidR="001D54B3" w:rsidRPr="003D0AA2">
        <w:rPr>
          <w:rFonts w:ascii="Verdana" w:hAnsi="Verdana" w:cs="Arial"/>
          <w:sz w:val="20"/>
          <w:szCs w:val="20"/>
          <w:lang w:val="es-ES_tradnl" w:eastAsia="de-DE"/>
        </w:rPr>
        <w:t xml:space="preserve"> Sin embargo, existen ocasiones </w:t>
      </w:r>
      <w:r w:rsidR="001D54B3" w:rsidRPr="003D0AA2">
        <w:rPr>
          <w:rFonts w:ascii="Verdana" w:hAnsi="Verdana" w:cs="Arial"/>
          <w:sz w:val="20"/>
          <w:szCs w:val="20"/>
          <w:lang w:val="es-ES_tradnl" w:eastAsia="de-DE"/>
        </w:rPr>
        <w:lastRenderedPageBreak/>
        <w:t xml:space="preserve">en donde una privación de propiedad puede considerarse como continuada, si es que existe una continuidad de actos u omisiones o si en su caso existen actos sucesivos o una serie de actos que le doten de tal carácter. </w:t>
      </w:r>
    </w:p>
    <w:p w:rsidR="001D54B3" w:rsidRPr="003D0AA2" w:rsidRDefault="001D54B3" w:rsidP="001D54B3">
      <w:pPr>
        <w:pStyle w:val="ListParagraph"/>
        <w:ind w:left="0"/>
        <w:jc w:val="both"/>
        <w:rPr>
          <w:rFonts w:ascii="Verdana" w:hAnsi="Verdana" w:cs="Arial"/>
          <w:sz w:val="20"/>
          <w:szCs w:val="20"/>
          <w:lang w:val="es-ES_tradnl" w:eastAsia="de-DE"/>
        </w:rPr>
      </w:pPr>
    </w:p>
    <w:p w:rsidR="001D54B3" w:rsidRPr="003D0AA2" w:rsidRDefault="00D6179B" w:rsidP="001D54B3">
      <w:pPr>
        <w:pStyle w:val="ListParagraph"/>
        <w:ind w:left="0"/>
        <w:jc w:val="both"/>
        <w:rPr>
          <w:rFonts w:ascii="Verdana" w:hAnsi="Verdana" w:cs="Arial"/>
          <w:sz w:val="20"/>
          <w:szCs w:val="20"/>
          <w:lang w:val="es-ES_tradnl" w:eastAsia="de-DE"/>
        </w:rPr>
      </w:pPr>
      <w:r>
        <w:rPr>
          <w:rFonts w:ascii="Verdana" w:hAnsi="Verdana" w:cs="Arial"/>
          <w:sz w:val="20"/>
          <w:szCs w:val="20"/>
          <w:lang w:val="es-ES_tradnl" w:eastAsia="de-DE"/>
        </w:rPr>
        <w:t>41</w:t>
      </w:r>
      <w:r w:rsidR="00EE4CA6" w:rsidRPr="003D0AA2">
        <w:rPr>
          <w:rFonts w:ascii="Verdana" w:hAnsi="Verdana" w:cs="Arial"/>
          <w:sz w:val="20"/>
          <w:szCs w:val="20"/>
          <w:lang w:val="es-ES_tradnl" w:eastAsia="de-DE"/>
        </w:rPr>
        <w:t>.</w:t>
      </w:r>
      <w:r w:rsidR="00EE4CA6" w:rsidRPr="003D0AA2">
        <w:rPr>
          <w:rFonts w:ascii="Verdana" w:hAnsi="Verdana" w:cs="Arial"/>
          <w:sz w:val="20"/>
          <w:szCs w:val="20"/>
          <w:lang w:val="es-ES_tradnl" w:eastAsia="de-DE"/>
        </w:rPr>
        <w:tab/>
      </w:r>
      <w:r w:rsidR="001D54B3" w:rsidRPr="003D0AA2">
        <w:rPr>
          <w:rFonts w:ascii="Verdana" w:hAnsi="Verdana" w:cs="Arial"/>
          <w:sz w:val="20"/>
          <w:szCs w:val="20"/>
          <w:lang w:val="es-ES_tradnl" w:eastAsia="de-DE"/>
        </w:rPr>
        <w:t>A partir de lo previsto en el Artículo 1 del Protocolo adicional al Convenio para la Protección de los Derechos Humanos y de las Libertades Fundamentales referente a la protección de la propiedad, el Tribunal Europeo de Derechos Humanos ha determinado la existencia de situaciones continuadas en casos en donde existen impedimentos para que el dueño de la propiedad pueda hacer uso y disponer de la propiedad</w:t>
      </w:r>
      <w:r w:rsidR="001D54B3" w:rsidRPr="003D0AA2">
        <w:rPr>
          <w:rStyle w:val="FootnoteReference"/>
          <w:rFonts w:ascii="Verdana" w:hAnsi="Verdana"/>
          <w:sz w:val="20"/>
          <w:szCs w:val="20"/>
        </w:rPr>
        <w:footnoteReference w:id="63"/>
      </w:r>
      <w:r w:rsidR="001D54B3" w:rsidRPr="003D0AA2">
        <w:rPr>
          <w:rFonts w:ascii="Verdana" w:hAnsi="Verdana" w:cs="Arial"/>
          <w:sz w:val="20"/>
          <w:szCs w:val="20"/>
          <w:lang w:val="es-ES_tradnl" w:eastAsia="de-DE"/>
        </w:rPr>
        <w:t>,  la falta de acceso a la propiedad</w:t>
      </w:r>
      <w:r w:rsidR="001D54B3" w:rsidRPr="003D0AA2">
        <w:rPr>
          <w:rStyle w:val="FootnoteReference"/>
          <w:rFonts w:ascii="Verdana" w:hAnsi="Verdana"/>
          <w:sz w:val="20"/>
          <w:szCs w:val="20"/>
        </w:rPr>
        <w:footnoteReference w:id="64"/>
      </w:r>
      <w:r w:rsidR="001D54B3" w:rsidRPr="003D0AA2">
        <w:rPr>
          <w:rFonts w:ascii="Verdana" w:hAnsi="Verdana" w:cs="Arial"/>
          <w:sz w:val="20"/>
          <w:szCs w:val="20"/>
          <w:lang w:val="es-ES_tradnl" w:eastAsia="de-DE"/>
        </w:rPr>
        <w:t>, la expropiación de facto</w:t>
      </w:r>
      <w:r w:rsidR="001D54B3" w:rsidRPr="003D0AA2">
        <w:rPr>
          <w:rStyle w:val="FootnoteReference"/>
          <w:rFonts w:ascii="Verdana" w:hAnsi="Verdana"/>
          <w:sz w:val="20"/>
          <w:szCs w:val="20"/>
        </w:rPr>
        <w:footnoteReference w:id="65"/>
      </w:r>
      <w:r w:rsidR="001D54B3" w:rsidRPr="003D0AA2">
        <w:rPr>
          <w:rFonts w:ascii="Verdana" w:hAnsi="Verdana" w:cs="Arial"/>
          <w:sz w:val="20"/>
          <w:szCs w:val="20"/>
          <w:lang w:val="es-ES_tradnl" w:eastAsia="de-DE"/>
        </w:rPr>
        <w:t>, la falta de pago de indemnización compensatoria debido a la perdida de propiedad cuando es así señalada por las leyes nacionales</w:t>
      </w:r>
      <w:r w:rsidR="001D54B3" w:rsidRPr="003D0AA2">
        <w:rPr>
          <w:rStyle w:val="FootnoteReference"/>
          <w:rFonts w:ascii="Verdana" w:hAnsi="Verdana"/>
          <w:sz w:val="20"/>
          <w:szCs w:val="20"/>
        </w:rPr>
        <w:footnoteReference w:id="66"/>
      </w:r>
      <w:r w:rsidR="00F8296D">
        <w:rPr>
          <w:rFonts w:ascii="Verdana" w:hAnsi="Verdana" w:cs="Arial"/>
          <w:sz w:val="20"/>
          <w:szCs w:val="20"/>
          <w:lang w:val="es-ES_tradnl" w:eastAsia="de-DE"/>
        </w:rPr>
        <w:t>. Al respecto, se debe tener</w:t>
      </w:r>
      <w:r w:rsidR="001D54B3" w:rsidRPr="003D0AA2">
        <w:rPr>
          <w:rFonts w:ascii="Verdana" w:hAnsi="Verdana" w:cs="Arial"/>
          <w:sz w:val="20"/>
          <w:szCs w:val="20"/>
          <w:lang w:val="es-ES_tradnl" w:eastAsia="de-DE"/>
        </w:rPr>
        <w:t xml:space="preserve"> en cuenta que existen actos instantáneos que a pesar de tener efectos subsecuentes en el tiempo, no crean una situación continuada según el derecho internacional, tal podría ser el caso, por ejemplo, de la destrucción física de la propiedad</w:t>
      </w:r>
      <w:r w:rsidR="001D54B3" w:rsidRPr="003D0AA2">
        <w:rPr>
          <w:rStyle w:val="FootnoteReference"/>
          <w:rFonts w:ascii="Verdana" w:hAnsi="Verdana"/>
          <w:sz w:val="20"/>
          <w:szCs w:val="20"/>
        </w:rPr>
        <w:footnoteReference w:id="67"/>
      </w:r>
      <w:r w:rsidR="001D54B3" w:rsidRPr="003D0AA2">
        <w:rPr>
          <w:rFonts w:ascii="Verdana" w:hAnsi="Verdana" w:cs="Arial"/>
          <w:sz w:val="20"/>
          <w:szCs w:val="20"/>
          <w:lang w:val="es-ES_tradnl" w:eastAsia="de-DE"/>
        </w:rPr>
        <w:t>. Sin embargo, dentro de esa misma situación si legalmente existe el deber de compensación, la falta de la misma si puede llegar a constituir una situación continuada.</w:t>
      </w:r>
      <w:r w:rsidR="001D54B3" w:rsidRPr="003D0AA2">
        <w:rPr>
          <w:rStyle w:val="FootnoteReference"/>
          <w:rFonts w:ascii="Verdana" w:hAnsi="Verdana" w:cs="Arial"/>
          <w:sz w:val="20"/>
          <w:szCs w:val="20"/>
          <w:lang w:val="es-ES_tradnl" w:eastAsia="de-DE"/>
        </w:rPr>
        <w:footnoteReference w:id="68"/>
      </w:r>
    </w:p>
    <w:p w:rsidR="001D54B3" w:rsidRPr="003D0AA2" w:rsidRDefault="001D54B3" w:rsidP="001D54B3">
      <w:pPr>
        <w:pStyle w:val="ListParagraph"/>
        <w:ind w:left="0"/>
        <w:jc w:val="both"/>
        <w:rPr>
          <w:rFonts w:ascii="Verdana" w:hAnsi="Verdana" w:cs="Arial"/>
          <w:sz w:val="20"/>
          <w:szCs w:val="20"/>
          <w:lang w:val="es-ES_tradnl" w:eastAsia="de-DE"/>
        </w:rPr>
      </w:pPr>
    </w:p>
    <w:p w:rsidR="001D54B3" w:rsidRPr="003D0AA2" w:rsidRDefault="00D6179B" w:rsidP="001D54B3">
      <w:pPr>
        <w:pStyle w:val="ListParagraph"/>
        <w:ind w:left="0"/>
        <w:jc w:val="both"/>
        <w:rPr>
          <w:rFonts w:ascii="Verdana" w:hAnsi="Verdana" w:cs="Arial"/>
          <w:sz w:val="20"/>
          <w:szCs w:val="20"/>
          <w:lang w:val="es-ES_tradnl" w:eastAsia="de-DE"/>
        </w:rPr>
      </w:pPr>
      <w:r>
        <w:rPr>
          <w:rFonts w:ascii="Verdana" w:hAnsi="Verdana" w:cs="Arial"/>
          <w:sz w:val="20"/>
          <w:szCs w:val="20"/>
          <w:lang w:val="es-ES_tradnl" w:eastAsia="de-DE"/>
        </w:rPr>
        <w:t>42</w:t>
      </w:r>
      <w:r w:rsidR="00EE4CA6" w:rsidRPr="003D0AA2">
        <w:rPr>
          <w:rFonts w:ascii="Verdana" w:hAnsi="Verdana" w:cs="Arial"/>
          <w:sz w:val="20"/>
          <w:szCs w:val="20"/>
          <w:lang w:val="es-ES_tradnl" w:eastAsia="de-DE"/>
        </w:rPr>
        <w:t>.</w:t>
      </w:r>
      <w:r w:rsidR="00EE4CA6" w:rsidRPr="003D0AA2">
        <w:rPr>
          <w:rFonts w:ascii="Verdana" w:hAnsi="Verdana" w:cs="Arial"/>
          <w:sz w:val="20"/>
          <w:szCs w:val="20"/>
          <w:lang w:val="es-ES_tradnl" w:eastAsia="de-DE"/>
        </w:rPr>
        <w:tab/>
      </w:r>
      <w:r w:rsidR="001D54B3" w:rsidRPr="003D0AA2">
        <w:rPr>
          <w:rFonts w:ascii="Verdana" w:hAnsi="Verdana" w:cs="Arial"/>
          <w:sz w:val="20"/>
          <w:szCs w:val="20"/>
          <w:lang w:val="es-ES_tradnl" w:eastAsia="de-DE"/>
        </w:rPr>
        <w:t xml:space="preserve">Probablemente los casos más conocidos en la materia -privación del derechos de propiedad como una situación continuada- son los casos </w:t>
      </w:r>
      <w:r w:rsidR="001D54B3" w:rsidRPr="003D0AA2">
        <w:rPr>
          <w:rFonts w:ascii="Verdana" w:hAnsi="Verdana" w:cs="Arial"/>
          <w:i/>
          <w:sz w:val="20"/>
          <w:szCs w:val="20"/>
          <w:lang w:val="es-ES_tradnl" w:eastAsia="de-DE"/>
        </w:rPr>
        <w:t>Loizidou v. Turquía</w:t>
      </w:r>
      <w:r w:rsidR="001D54B3" w:rsidRPr="003D0AA2">
        <w:rPr>
          <w:rFonts w:ascii="Verdana" w:hAnsi="Verdana" w:cs="Arial"/>
          <w:sz w:val="20"/>
          <w:szCs w:val="20"/>
          <w:lang w:val="es-ES_tradnl" w:eastAsia="de-DE"/>
        </w:rPr>
        <w:t xml:space="preserve"> y </w:t>
      </w:r>
      <w:r w:rsidR="001D54B3" w:rsidRPr="003D0AA2">
        <w:rPr>
          <w:rFonts w:ascii="Verdana" w:hAnsi="Verdana" w:cs="Arial"/>
          <w:i/>
          <w:sz w:val="20"/>
          <w:szCs w:val="20"/>
          <w:lang w:val="es-ES_tradnl" w:eastAsia="de-DE"/>
        </w:rPr>
        <w:t>Chipre v. Turquía</w:t>
      </w:r>
      <w:r w:rsidR="001D54B3" w:rsidRPr="003D0AA2">
        <w:rPr>
          <w:rFonts w:ascii="Verdana" w:hAnsi="Verdana" w:cs="Arial"/>
          <w:sz w:val="20"/>
          <w:szCs w:val="20"/>
          <w:lang w:val="es-ES_tradnl" w:eastAsia="de-DE"/>
        </w:rPr>
        <w:t xml:space="preserve">. </w:t>
      </w:r>
    </w:p>
    <w:p w:rsidR="001D54B3" w:rsidRPr="003D0AA2" w:rsidRDefault="001D54B3" w:rsidP="001D54B3">
      <w:pPr>
        <w:pStyle w:val="ListParagraph"/>
        <w:ind w:left="0"/>
        <w:jc w:val="both"/>
        <w:rPr>
          <w:rFonts w:ascii="Verdana" w:hAnsi="Verdana" w:cs="Arial"/>
          <w:sz w:val="20"/>
          <w:szCs w:val="20"/>
          <w:lang w:val="es-ES_tradnl" w:eastAsia="de-DE"/>
        </w:rPr>
      </w:pPr>
    </w:p>
    <w:p w:rsidR="001D54B3" w:rsidRPr="003D0AA2" w:rsidRDefault="00D6179B" w:rsidP="001D54B3">
      <w:pPr>
        <w:pStyle w:val="ListParagraph"/>
        <w:ind w:left="0"/>
        <w:jc w:val="both"/>
        <w:rPr>
          <w:rFonts w:ascii="Verdana" w:hAnsi="Verdana" w:cs="Arial"/>
          <w:sz w:val="20"/>
          <w:szCs w:val="20"/>
          <w:lang w:val="es-ES_tradnl" w:eastAsia="de-DE"/>
        </w:rPr>
      </w:pPr>
      <w:r>
        <w:rPr>
          <w:rFonts w:ascii="Verdana" w:hAnsi="Verdana"/>
          <w:sz w:val="20"/>
          <w:szCs w:val="20"/>
          <w:lang w:val="es-ES_tradnl"/>
        </w:rPr>
        <w:t>43</w:t>
      </w:r>
      <w:r w:rsidR="00EE4CA6" w:rsidRPr="003D0AA2">
        <w:rPr>
          <w:rFonts w:ascii="Verdana" w:hAnsi="Verdana"/>
          <w:sz w:val="20"/>
          <w:szCs w:val="20"/>
          <w:lang w:val="es-ES_tradnl"/>
        </w:rPr>
        <w:t>.</w:t>
      </w:r>
      <w:r w:rsidR="00EE4CA6" w:rsidRPr="003D0AA2">
        <w:rPr>
          <w:rFonts w:ascii="Verdana" w:hAnsi="Verdana"/>
          <w:sz w:val="20"/>
          <w:szCs w:val="20"/>
          <w:lang w:val="es-ES_tradnl"/>
        </w:rPr>
        <w:tab/>
      </w:r>
      <w:r w:rsidR="001D54B3" w:rsidRPr="003D0AA2">
        <w:rPr>
          <w:rFonts w:ascii="Verdana" w:hAnsi="Verdana"/>
          <w:sz w:val="20"/>
          <w:szCs w:val="20"/>
          <w:lang w:val="es-ES_tradnl"/>
        </w:rPr>
        <w:t xml:space="preserve">En el </w:t>
      </w:r>
      <w:r w:rsidR="001D54B3" w:rsidRPr="003D0AA2">
        <w:rPr>
          <w:rFonts w:ascii="Verdana" w:hAnsi="Verdana"/>
          <w:i/>
          <w:sz w:val="20"/>
          <w:szCs w:val="20"/>
          <w:lang w:val="es-ES_tradnl"/>
        </w:rPr>
        <w:t>Caso Loizidou Vs. Turquía</w:t>
      </w:r>
      <w:r w:rsidR="001D54B3" w:rsidRPr="003D0AA2">
        <w:rPr>
          <w:rStyle w:val="FootnoteReference"/>
          <w:rFonts w:ascii="Verdana" w:hAnsi="Verdana"/>
          <w:i/>
          <w:sz w:val="20"/>
          <w:szCs w:val="20"/>
          <w:lang w:val="es-ES_tradnl"/>
        </w:rPr>
        <w:footnoteReference w:id="69"/>
      </w:r>
      <w:r w:rsidR="00F8296D">
        <w:rPr>
          <w:rFonts w:ascii="Verdana" w:hAnsi="Verdana"/>
          <w:i/>
          <w:sz w:val="20"/>
          <w:szCs w:val="20"/>
          <w:lang w:val="es-ES_tradnl"/>
        </w:rPr>
        <w:t>,</w:t>
      </w:r>
      <w:r w:rsidR="001D54B3" w:rsidRPr="003D0AA2">
        <w:rPr>
          <w:rFonts w:ascii="Verdana" w:hAnsi="Verdana"/>
          <w:sz w:val="20"/>
          <w:szCs w:val="20"/>
          <w:lang w:val="es-ES_tradnl"/>
        </w:rPr>
        <w:t xml:space="preserve"> se relaciona con la invasión turca en el norte de Chipre en 1974, que resultó en la negación de acceso a la propiedad de la demandante. En su defensa, Turquía había argumentado que según el artículo 159 de la Constitución de la República Turca de Chipre de Norte, la propiedad había sido expropiada antes de la aceptación de la competencia del Tribunal Europeo de Derechos Humanos</w:t>
      </w:r>
      <w:r w:rsidR="001D54B3" w:rsidRPr="003D0AA2">
        <w:rPr>
          <w:rStyle w:val="FootnoteReference"/>
          <w:rFonts w:ascii="Verdana" w:hAnsi="Verdana"/>
          <w:sz w:val="20"/>
          <w:szCs w:val="20"/>
          <w:lang w:val="es-ES_tradnl"/>
        </w:rPr>
        <w:footnoteReference w:id="70"/>
      </w:r>
      <w:r w:rsidR="00DC66CD">
        <w:rPr>
          <w:rFonts w:ascii="Verdana" w:hAnsi="Verdana"/>
          <w:sz w:val="20"/>
          <w:szCs w:val="20"/>
          <w:lang w:val="es-ES_tradnl"/>
        </w:rPr>
        <w:t>.</w:t>
      </w:r>
      <w:r w:rsidR="001D54B3" w:rsidRPr="003D0AA2">
        <w:rPr>
          <w:rFonts w:ascii="Verdana" w:hAnsi="Verdana"/>
          <w:sz w:val="20"/>
          <w:szCs w:val="20"/>
          <w:lang w:val="es-ES_tradnl"/>
        </w:rPr>
        <w:t xml:space="preserve"> </w:t>
      </w:r>
      <w:r w:rsidR="001D54B3" w:rsidRPr="003D0AA2">
        <w:rPr>
          <w:rFonts w:ascii="Verdana" w:hAnsi="Verdana" w:cs="Arial"/>
          <w:sz w:val="20"/>
          <w:szCs w:val="20"/>
          <w:lang w:val="es-ES_tradnl" w:eastAsia="de-DE"/>
        </w:rPr>
        <w:t xml:space="preserve">En este caso la parte peticionaria se enfrentó ante la negación continua de acceso a su propiedad que se encontraba en territorio entonces ocupado por el ejército turco desde 1974. A raíz de esta situación la peticionaria no podía usar, controlar o disponer de su propiedad. </w:t>
      </w:r>
      <w:r w:rsidR="001D54B3" w:rsidRPr="003D0AA2">
        <w:rPr>
          <w:rFonts w:ascii="Verdana" w:hAnsi="Verdana"/>
          <w:sz w:val="20"/>
          <w:szCs w:val="20"/>
          <w:lang w:val="es-ES_tradnl"/>
        </w:rPr>
        <w:t>Al respecto, el Tribunal Europeo consideró que no era posible atribuir efectos jurídicos a tal Constitución</w:t>
      </w:r>
      <w:r w:rsidR="001D54B3" w:rsidRPr="003D0AA2">
        <w:rPr>
          <w:rStyle w:val="FootnoteReference"/>
          <w:rFonts w:ascii="Verdana" w:hAnsi="Verdana"/>
          <w:sz w:val="20"/>
          <w:szCs w:val="20"/>
          <w:lang w:val="es-ES_tradnl"/>
        </w:rPr>
        <w:footnoteReference w:id="71"/>
      </w:r>
      <w:r w:rsidR="00DC66CD">
        <w:rPr>
          <w:rFonts w:ascii="Verdana" w:hAnsi="Verdana"/>
          <w:sz w:val="20"/>
          <w:szCs w:val="20"/>
          <w:lang w:val="es-ES_tradnl"/>
        </w:rPr>
        <w:t>.</w:t>
      </w:r>
      <w:r w:rsidR="001D54B3" w:rsidRPr="003D0AA2">
        <w:rPr>
          <w:rFonts w:ascii="Verdana" w:hAnsi="Verdana"/>
          <w:sz w:val="20"/>
          <w:szCs w:val="20"/>
          <w:lang w:val="es-ES_tradnl"/>
        </w:rPr>
        <w:t xml:space="preserve"> La consecuencia de esto era, entonces, que no había existido expropiación directa y la propiedad continuaba perteneciendo a la demandante.</w:t>
      </w:r>
      <w:r w:rsidR="001D54B3" w:rsidRPr="003D0AA2">
        <w:rPr>
          <w:rStyle w:val="FootnoteReference"/>
          <w:rFonts w:ascii="Verdana" w:hAnsi="Verdana"/>
          <w:sz w:val="20"/>
          <w:szCs w:val="20"/>
          <w:lang w:val="es-ES_tradnl"/>
        </w:rPr>
        <w:footnoteReference w:id="72"/>
      </w:r>
      <w:r w:rsidR="001D54B3" w:rsidRPr="003D0AA2">
        <w:rPr>
          <w:rFonts w:ascii="Verdana" w:hAnsi="Verdana"/>
          <w:sz w:val="20"/>
          <w:szCs w:val="20"/>
          <w:lang w:val="es-ES_tradnl"/>
        </w:rPr>
        <w:t xml:space="preserve"> En consecuencia, respecto al concepto de una violación continuada del Convenio, los hechos del caso constituían violaciones de carácter continuados. </w:t>
      </w:r>
      <w:r w:rsidR="001D54B3" w:rsidRPr="003D0AA2">
        <w:rPr>
          <w:rFonts w:ascii="Verdana" w:hAnsi="Verdana" w:cs="Arial"/>
          <w:sz w:val="20"/>
          <w:szCs w:val="20"/>
          <w:lang w:val="es-ES_tradnl" w:eastAsia="de-DE"/>
        </w:rPr>
        <w:t xml:space="preserve">Este caso, dio pie eventualmente al caso </w:t>
      </w:r>
      <w:r w:rsidR="001D54B3" w:rsidRPr="003D0AA2">
        <w:rPr>
          <w:rFonts w:ascii="Verdana" w:hAnsi="Verdana" w:cs="Arial"/>
          <w:i/>
          <w:sz w:val="20"/>
          <w:szCs w:val="20"/>
          <w:lang w:val="es-ES_tradnl" w:eastAsia="de-DE"/>
        </w:rPr>
        <w:t>Chipre v. Turquí</w:t>
      </w:r>
      <w:r w:rsidR="001D54B3" w:rsidRPr="003D0AA2">
        <w:rPr>
          <w:rFonts w:ascii="Verdana" w:hAnsi="Verdana" w:cs="Arial"/>
          <w:sz w:val="20"/>
          <w:szCs w:val="20"/>
          <w:lang w:val="es-ES_tradnl" w:eastAsia="de-DE"/>
        </w:rPr>
        <w:t>a, en forma de una petición interestatal.</w:t>
      </w:r>
    </w:p>
    <w:p w:rsidR="001D54B3" w:rsidRPr="003D0AA2" w:rsidRDefault="001D54B3" w:rsidP="001D54B3">
      <w:pPr>
        <w:pStyle w:val="ListParagraph"/>
        <w:ind w:left="0"/>
        <w:rPr>
          <w:rFonts w:ascii="Verdana" w:hAnsi="Verdana"/>
          <w:sz w:val="20"/>
          <w:szCs w:val="20"/>
          <w:lang w:val="es-ES_tradnl"/>
        </w:rPr>
      </w:pPr>
    </w:p>
    <w:p w:rsidR="001D54B3" w:rsidRPr="003D0AA2" w:rsidRDefault="00D6179B" w:rsidP="001D54B3">
      <w:pPr>
        <w:pStyle w:val="ListParagraph"/>
        <w:ind w:left="0"/>
        <w:jc w:val="both"/>
        <w:rPr>
          <w:rFonts w:ascii="Verdana" w:hAnsi="Verdana" w:cs="Arial"/>
          <w:sz w:val="20"/>
          <w:szCs w:val="20"/>
          <w:lang w:val="es-ES_tradnl" w:eastAsia="de-DE"/>
        </w:rPr>
      </w:pPr>
      <w:r>
        <w:rPr>
          <w:rFonts w:ascii="Verdana" w:hAnsi="Verdana" w:cs="Arial"/>
          <w:sz w:val="20"/>
          <w:szCs w:val="20"/>
          <w:lang w:val="es-ES_tradnl" w:eastAsia="de-DE"/>
        </w:rPr>
        <w:t>44</w:t>
      </w:r>
      <w:r w:rsidR="00EE4CA6" w:rsidRPr="003D0AA2">
        <w:rPr>
          <w:rFonts w:ascii="Verdana" w:hAnsi="Verdana" w:cs="Arial"/>
          <w:sz w:val="20"/>
          <w:szCs w:val="20"/>
          <w:lang w:val="es-ES_tradnl" w:eastAsia="de-DE"/>
        </w:rPr>
        <w:t>.</w:t>
      </w:r>
      <w:r w:rsidR="00EE4CA6" w:rsidRPr="003D0AA2">
        <w:rPr>
          <w:rFonts w:ascii="Verdana" w:hAnsi="Verdana" w:cs="Arial"/>
          <w:sz w:val="20"/>
          <w:szCs w:val="20"/>
          <w:lang w:val="es-ES_tradnl" w:eastAsia="de-DE"/>
        </w:rPr>
        <w:tab/>
      </w:r>
      <w:r w:rsidR="001D54B3" w:rsidRPr="003D0AA2">
        <w:rPr>
          <w:rFonts w:ascii="Verdana" w:hAnsi="Verdana" w:cs="Arial"/>
          <w:sz w:val="20"/>
          <w:szCs w:val="20"/>
          <w:lang w:val="es-ES_tradnl" w:eastAsia="de-DE"/>
        </w:rPr>
        <w:t>E</w:t>
      </w:r>
      <w:r w:rsidR="001D54B3" w:rsidRPr="003D0AA2">
        <w:rPr>
          <w:rFonts w:ascii="Verdana" w:hAnsi="Verdana"/>
          <w:sz w:val="20"/>
          <w:szCs w:val="20"/>
          <w:lang w:val="es-ES_tradnl"/>
        </w:rPr>
        <w:t xml:space="preserve">n el </w:t>
      </w:r>
      <w:r w:rsidR="001D54B3" w:rsidRPr="003D0AA2">
        <w:rPr>
          <w:rFonts w:ascii="Verdana" w:hAnsi="Verdana"/>
          <w:i/>
          <w:sz w:val="20"/>
          <w:szCs w:val="20"/>
          <w:lang w:val="es-ES_tradnl"/>
        </w:rPr>
        <w:t>Caso Papamichalopoulos y otros Vs. Grecia</w:t>
      </w:r>
      <w:r w:rsidR="001D54B3" w:rsidRPr="003D0AA2">
        <w:rPr>
          <w:rStyle w:val="FootnoteReference"/>
          <w:rFonts w:ascii="Verdana" w:hAnsi="Verdana"/>
          <w:i/>
          <w:sz w:val="20"/>
          <w:szCs w:val="20"/>
          <w:lang w:val="es-ES_tradnl"/>
        </w:rPr>
        <w:footnoteReference w:id="73"/>
      </w:r>
      <w:r w:rsidR="001D54B3" w:rsidRPr="003D0AA2">
        <w:rPr>
          <w:rFonts w:ascii="Verdana" w:hAnsi="Verdana"/>
          <w:sz w:val="20"/>
          <w:szCs w:val="20"/>
          <w:lang w:val="es-ES_tradnl"/>
        </w:rPr>
        <w:t xml:space="preserve">, el Tribunal Europeo de Derechos Humanos señaló que la alegada violación inició en 1967 con la aprobación de la Ley No. 109/1967. Mediante esta ley, el gobierno militar de la época tomó posesión de los terrenos de los demandantes, sin transferir la propiedad de la tierra en cuestión al Estado. Esto fue considerado por el Tribunal Europeo como un acto de “expropiación </w:t>
      </w:r>
      <w:r w:rsidR="001D54B3" w:rsidRPr="003D0AA2">
        <w:rPr>
          <w:rFonts w:ascii="Verdana" w:hAnsi="Verdana"/>
          <w:i/>
          <w:sz w:val="20"/>
          <w:szCs w:val="20"/>
          <w:lang w:val="es-ES_tradnl"/>
        </w:rPr>
        <w:t>de facto</w:t>
      </w:r>
      <w:r w:rsidR="001D54B3" w:rsidRPr="003D0AA2">
        <w:rPr>
          <w:rFonts w:ascii="Verdana" w:hAnsi="Verdana"/>
          <w:sz w:val="20"/>
          <w:szCs w:val="20"/>
          <w:lang w:val="es-ES_tradnl"/>
        </w:rPr>
        <w:t>”</w:t>
      </w:r>
      <w:r w:rsidR="001D54B3" w:rsidRPr="003D0AA2">
        <w:rPr>
          <w:rStyle w:val="FootnoteReference"/>
          <w:rFonts w:ascii="Verdana" w:hAnsi="Verdana"/>
          <w:sz w:val="20"/>
          <w:szCs w:val="20"/>
          <w:lang w:val="es-ES_tradnl"/>
        </w:rPr>
        <w:footnoteReference w:id="74"/>
      </w:r>
      <w:r w:rsidR="001D54B3" w:rsidRPr="003D0AA2">
        <w:rPr>
          <w:rFonts w:ascii="Verdana" w:hAnsi="Verdana"/>
          <w:sz w:val="20"/>
          <w:szCs w:val="20"/>
          <w:lang w:val="es-ES_tradnl"/>
        </w:rPr>
        <w:t>. Después de la restauración de la democracia, el Estado buscando una forma de reparación del daño causado a los demandantes, promulgó la Ley No. 1341/1983, para resolver la situación creada en el año 1967. A pesar de que los tribunales nacionales ordenaron la asignación de nuevas tierras a los demandantes, estos esperaron sin éxito hasta 1992. Respecto a tal situación, el Tribunal Europeo de Derechos Humanos concluyó que “la pérdida de toda posibilidad de disponer de las tierras en cuestión, en conjunto con el fracaso de los intentos realizados hasta ahora para remediar la situación denunciada, produjo consecuencias suficientemente graves para los [demandantes] que han sido expropiados de manera incompatible con su derecho al disfrute pacífico de sus posesiones. En conclusión, ha habido y sigue existiendo una violación [del derecho a la propiedad privada]”.</w:t>
      </w:r>
      <w:r w:rsidR="001D54B3" w:rsidRPr="003D0AA2">
        <w:rPr>
          <w:rStyle w:val="FootnoteReference"/>
          <w:rFonts w:ascii="Verdana" w:hAnsi="Verdana"/>
          <w:sz w:val="20"/>
          <w:szCs w:val="20"/>
          <w:lang w:val="es-ES_tradnl"/>
        </w:rPr>
        <w:footnoteReference w:id="75"/>
      </w:r>
    </w:p>
    <w:p w:rsidR="001D54B3" w:rsidRPr="003D0AA2" w:rsidRDefault="001D54B3" w:rsidP="001D54B3">
      <w:pPr>
        <w:pStyle w:val="ListParagraph"/>
        <w:ind w:left="0"/>
        <w:jc w:val="both"/>
        <w:rPr>
          <w:rFonts w:ascii="Verdana" w:hAnsi="Verdana" w:cs="Arial"/>
          <w:sz w:val="20"/>
          <w:szCs w:val="20"/>
          <w:lang w:val="es-ES_tradnl" w:eastAsia="de-DE"/>
        </w:rPr>
      </w:pPr>
    </w:p>
    <w:p w:rsidR="001D54B3" w:rsidRPr="003D0AA2" w:rsidRDefault="00D6179B" w:rsidP="001D54B3">
      <w:pPr>
        <w:pStyle w:val="ju-005fpara"/>
        <w:spacing w:before="0" w:beforeAutospacing="0" w:after="0" w:afterAutospacing="0"/>
        <w:jc w:val="both"/>
        <w:rPr>
          <w:rFonts w:ascii="Verdana" w:hAnsi="Verdana" w:cs="Arial"/>
          <w:sz w:val="20"/>
          <w:szCs w:val="20"/>
          <w:lang w:val="es-ES_tradnl"/>
        </w:rPr>
      </w:pPr>
      <w:r>
        <w:rPr>
          <w:rFonts w:ascii="Verdana" w:hAnsi="Verdana"/>
          <w:sz w:val="20"/>
          <w:szCs w:val="20"/>
          <w:lang w:val="es-ES_tradnl"/>
        </w:rPr>
        <w:t>45</w:t>
      </w:r>
      <w:r w:rsidR="00EE4CA6" w:rsidRPr="003D0AA2">
        <w:rPr>
          <w:rFonts w:ascii="Verdana" w:hAnsi="Verdana"/>
          <w:sz w:val="20"/>
          <w:szCs w:val="20"/>
          <w:lang w:val="es-ES_tradnl"/>
        </w:rPr>
        <w:t>.</w:t>
      </w:r>
      <w:r w:rsidR="00EE4CA6" w:rsidRPr="003D0AA2">
        <w:rPr>
          <w:rFonts w:ascii="Verdana" w:hAnsi="Verdana"/>
          <w:sz w:val="20"/>
          <w:szCs w:val="20"/>
          <w:lang w:val="es-ES_tradnl"/>
        </w:rPr>
        <w:tab/>
      </w:r>
      <w:r w:rsidR="001D54B3" w:rsidRPr="003D0AA2">
        <w:rPr>
          <w:rFonts w:ascii="Verdana" w:hAnsi="Verdana"/>
          <w:sz w:val="20"/>
          <w:szCs w:val="20"/>
          <w:lang w:val="es-ES_tradnl"/>
        </w:rPr>
        <w:t xml:space="preserve">En el </w:t>
      </w:r>
      <w:r w:rsidR="001D54B3" w:rsidRPr="003D0AA2">
        <w:rPr>
          <w:rFonts w:ascii="Verdana" w:hAnsi="Verdana"/>
          <w:i/>
          <w:sz w:val="20"/>
          <w:szCs w:val="20"/>
          <w:lang w:val="es-ES_tradnl"/>
        </w:rPr>
        <w:t xml:space="preserve">Caso </w:t>
      </w:r>
      <w:r w:rsidR="001D54B3" w:rsidRPr="003D0AA2">
        <w:rPr>
          <w:rFonts w:ascii="Verdana" w:hAnsi="Verdana" w:cs="Arial"/>
          <w:i/>
          <w:sz w:val="20"/>
          <w:szCs w:val="20"/>
          <w:lang w:val="es-ES_tradnl"/>
        </w:rPr>
        <w:t>Almeida Garre</w:t>
      </w:r>
      <w:r w:rsidR="00DC66CD">
        <w:rPr>
          <w:rFonts w:ascii="Verdana" w:hAnsi="Verdana" w:cs="Arial"/>
          <w:i/>
          <w:sz w:val="20"/>
          <w:szCs w:val="20"/>
          <w:lang w:val="es-ES_tradnl"/>
        </w:rPr>
        <w:t>tt, Mascarenhas Falcão y otros Vs</w:t>
      </w:r>
      <w:r w:rsidR="001D54B3" w:rsidRPr="003D0AA2">
        <w:rPr>
          <w:rFonts w:ascii="Verdana" w:hAnsi="Verdana" w:cs="Arial"/>
          <w:i/>
          <w:sz w:val="20"/>
          <w:szCs w:val="20"/>
          <w:lang w:val="es-ES_tradnl"/>
        </w:rPr>
        <w:t>. Portugal</w:t>
      </w:r>
      <w:r w:rsidR="001D54B3" w:rsidRPr="003D0AA2">
        <w:rPr>
          <w:rFonts w:ascii="Verdana" w:hAnsi="Verdana" w:cs="Arial"/>
          <w:sz w:val="20"/>
          <w:szCs w:val="20"/>
          <w:lang w:val="es-ES_tradnl"/>
        </w:rPr>
        <w:t>, los hechos versan en torno a la nacionalización y formal expropiación de propiedades de los peticionarios por parte del Gobierno Portugués en 1975 y 1976</w:t>
      </w:r>
      <w:r w:rsidR="001D54B3" w:rsidRPr="003D0AA2">
        <w:rPr>
          <w:rStyle w:val="FootnoteReference"/>
          <w:rFonts w:ascii="Verdana" w:hAnsi="Verdana" w:cs="Arial"/>
          <w:i/>
          <w:sz w:val="20"/>
          <w:szCs w:val="20"/>
          <w:lang w:val="es-ES_tradnl"/>
        </w:rPr>
        <w:footnoteReference w:id="76"/>
      </w:r>
      <w:r w:rsidR="001D54B3" w:rsidRPr="003D0AA2">
        <w:rPr>
          <w:rFonts w:ascii="Verdana" w:hAnsi="Verdana" w:cs="Arial"/>
          <w:sz w:val="20"/>
          <w:szCs w:val="20"/>
          <w:lang w:val="es-ES_tradnl"/>
        </w:rPr>
        <w:t xml:space="preserve">. En dicho caso, el Estado no pagó las indemnizaciones previstas mediante un decreto aprobado después de la entrada en vigor del Convenio Europeo de Derechos Humanos y se determinó que si bien era cierto que el Tribunal no era competente para examinar las cuestiones vinculadas a la privación de la propiedad, encontrándose tales cuestiones fuera de su competencia </w:t>
      </w:r>
      <w:r w:rsidR="001D54B3" w:rsidRPr="003D0AA2">
        <w:rPr>
          <w:rFonts w:ascii="Verdana" w:hAnsi="Verdana" w:cs="Arial"/>
          <w:i/>
          <w:sz w:val="20"/>
          <w:szCs w:val="20"/>
          <w:lang w:val="es-ES_tradnl"/>
        </w:rPr>
        <w:t>rationae temporis</w:t>
      </w:r>
      <w:r w:rsidR="001D54B3" w:rsidRPr="003D0AA2">
        <w:rPr>
          <w:rFonts w:ascii="Verdana" w:hAnsi="Verdana" w:cs="Arial"/>
          <w:sz w:val="20"/>
          <w:szCs w:val="20"/>
          <w:lang w:val="es-ES_tradnl"/>
        </w:rPr>
        <w:t>, no aplicaba lo mismo para los retrasos en la asignación y el pago de la indemnización final, sobretodo tomando en consideración que el Gobierno siguió legislando sobre el tema después de la ratificación del Convenio Europeo, por lo que el derecho de propiedad se vulneraba por no proveer dicha compensación sin una demora injustificable.</w:t>
      </w:r>
      <w:r w:rsidR="001D54B3" w:rsidRPr="003D0AA2">
        <w:rPr>
          <w:rStyle w:val="FootnoteReference"/>
          <w:rFonts w:ascii="Verdana" w:hAnsi="Verdana" w:cs="Arial"/>
          <w:i/>
          <w:sz w:val="20"/>
          <w:szCs w:val="20"/>
          <w:lang w:val="es-ES_tradnl"/>
        </w:rPr>
        <w:footnoteReference w:id="77"/>
      </w:r>
    </w:p>
    <w:p w:rsidR="001D54B3" w:rsidRPr="003D0AA2" w:rsidRDefault="001D54B3" w:rsidP="001D54B3">
      <w:pPr>
        <w:pStyle w:val="ListParagraph"/>
        <w:ind w:left="0"/>
        <w:jc w:val="both"/>
        <w:rPr>
          <w:rFonts w:ascii="Verdana" w:hAnsi="Verdana" w:cs="Arial"/>
          <w:sz w:val="20"/>
          <w:szCs w:val="20"/>
          <w:lang w:val="es-ES_tradnl" w:eastAsia="de-DE"/>
        </w:rPr>
      </w:pPr>
    </w:p>
    <w:p w:rsidR="001D54B3" w:rsidRPr="003D0AA2" w:rsidRDefault="00D6179B" w:rsidP="001D54B3">
      <w:pPr>
        <w:pStyle w:val="ListParagraph"/>
        <w:ind w:left="0"/>
        <w:jc w:val="both"/>
        <w:rPr>
          <w:rFonts w:ascii="Verdana" w:hAnsi="Verdana"/>
          <w:sz w:val="20"/>
          <w:szCs w:val="20"/>
        </w:rPr>
      </w:pPr>
      <w:r>
        <w:rPr>
          <w:rFonts w:ascii="Verdana" w:hAnsi="Verdana" w:cs="Arial"/>
          <w:sz w:val="20"/>
          <w:szCs w:val="20"/>
          <w:lang w:val="es-ES_tradnl" w:eastAsia="de-DE"/>
        </w:rPr>
        <w:t>46</w:t>
      </w:r>
      <w:r w:rsidR="00EE4CA6" w:rsidRPr="003D0AA2">
        <w:rPr>
          <w:rFonts w:ascii="Verdana" w:hAnsi="Verdana" w:cs="Arial"/>
          <w:sz w:val="20"/>
          <w:szCs w:val="20"/>
          <w:lang w:val="es-ES_tradnl" w:eastAsia="de-DE"/>
        </w:rPr>
        <w:t>.</w:t>
      </w:r>
      <w:r w:rsidR="00EE4CA6" w:rsidRPr="003D0AA2">
        <w:rPr>
          <w:rFonts w:ascii="Verdana" w:hAnsi="Verdana" w:cs="Arial"/>
          <w:sz w:val="20"/>
          <w:szCs w:val="20"/>
          <w:lang w:val="es-ES_tradnl" w:eastAsia="de-DE"/>
        </w:rPr>
        <w:tab/>
      </w:r>
      <w:r w:rsidR="001D54B3" w:rsidRPr="003D0AA2">
        <w:rPr>
          <w:rFonts w:ascii="Verdana" w:hAnsi="Verdana" w:cs="Arial"/>
          <w:sz w:val="20"/>
          <w:szCs w:val="20"/>
          <w:lang w:val="es-ES_tradnl" w:eastAsia="de-DE"/>
        </w:rPr>
        <w:t xml:space="preserve">En el caso </w:t>
      </w:r>
      <w:r w:rsidR="00DC66CD">
        <w:rPr>
          <w:rFonts w:ascii="Verdana" w:hAnsi="Verdana" w:cs="Arial"/>
          <w:i/>
          <w:sz w:val="20"/>
          <w:szCs w:val="20"/>
          <w:lang w:val="es-ES_tradnl" w:eastAsia="de-DE"/>
        </w:rPr>
        <w:t>Broniowski Vs</w:t>
      </w:r>
      <w:r w:rsidR="001D54B3" w:rsidRPr="003D0AA2">
        <w:rPr>
          <w:rFonts w:ascii="Verdana" w:hAnsi="Verdana" w:cs="Arial"/>
          <w:i/>
          <w:sz w:val="20"/>
          <w:szCs w:val="20"/>
          <w:lang w:val="es-ES_tradnl" w:eastAsia="de-DE"/>
        </w:rPr>
        <w:t>. Polonia</w:t>
      </w:r>
      <w:r w:rsidR="001D54B3" w:rsidRPr="003D0AA2">
        <w:rPr>
          <w:rFonts w:ascii="Verdana" w:hAnsi="Verdana" w:cs="Arial"/>
          <w:sz w:val="20"/>
          <w:szCs w:val="20"/>
          <w:lang w:val="es-ES_tradnl" w:eastAsia="de-DE"/>
        </w:rPr>
        <w:t xml:space="preserve"> el Tribunal Europeo de Derechos Humanos reconoció que la falta de proveer una compensación adecuada de acuerdo con las leyes nacionales constituye una situación continuada.</w:t>
      </w:r>
      <w:r w:rsidR="001D54B3" w:rsidRPr="003D0AA2">
        <w:rPr>
          <w:rStyle w:val="BodyTextChar"/>
          <w:rFonts w:ascii="Verdana" w:hAnsi="Verdana"/>
          <w:sz w:val="20"/>
        </w:rPr>
        <w:t xml:space="preserve"> En este caso se estimó necesario ponderar el excesivo tiempo que tardó el Estado en proveer la compensación.</w:t>
      </w:r>
      <w:r w:rsidR="001D54B3" w:rsidRPr="003D0AA2">
        <w:rPr>
          <w:rStyle w:val="FootnoteReference"/>
          <w:rFonts w:ascii="Verdana" w:hAnsi="Verdana"/>
          <w:sz w:val="20"/>
          <w:szCs w:val="20"/>
        </w:rPr>
        <w:footnoteReference w:id="78"/>
      </w:r>
      <w:r w:rsidR="001D54B3" w:rsidRPr="003D0AA2">
        <w:rPr>
          <w:rStyle w:val="BodyTextChar"/>
          <w:rFonts w:ascii="Verdana" w:hAnsi="Verdana"/>
          <w:sz w:val="20"/>
        </w:rPr>
        <w:t xml:space="preserve"> En sentido similar, el Tribunal Europeo de Derechos Humanos ha reconocido consistentemente que diferentes actos legislativos, incluso imponiendo restricciones, pueden dar lugar a una situación de tipo continuada.</w:t>
      </w:r>
      <w:r w:rsidR="001D54B3" w:rsidRPr="003D0AA2">
        <w:rPr>
          <w:rStyle w:val="FootnoteReference"/>
          <w:rFonts w:ascii="Verdana" w:hAnsi="Verdana"/>
          <w:sz w:val="20"/>
          <w:szCs w:val="20"/>
        </w:rPr>
        <w:footnoteReference w:id="79"/>
      </w:r>
      <w:r w:rsidR="001D54B3" w:rsidRPr="003D0AA2">
        <w:rPr>
          <w:rStyle w:val="BodyTextChar"/>
          <w:rFonts w:ascii="Verdana" w:hAnsi="Verdana"/>
          <w:sz w:val="20"/>
        </w:rPr>
        <w:t xml:space="preserve"> </w:t>
      </w:r>
    </w:p>
    <w:p w:rsidR="001D54B3" w:rsidRPr="003D0AA2" w:rsidRDefault="001D54B3" w:rsidP="001D54B3">
      <w:pPr>
        <w:pStyle w:val="ListParagraph"/>
        <w:ind w:left="0"/>
        <w:jc w:val="both"/>
        <w:rPr>
          <w:rFonts w:ascii="Verdana" w:hAnsi="Verdana" w:cs="Arial"/>
          <w:sz w:val="20"/>
          <w:szCs w:val="20"/>
          <w:lang w:val="es-ES_tradnl" w:eastAsia="de-DE"/>
        </w:rPr>
      </w:pPr>
    </w:p>
    <w:p w:rsidR="001D54B3" w:rsidRPr="003D0AA2" w:rsidRDefault="00D6179B" w:rsidP="001D54B3">
      <w:pPr>
        <w:pStyle w:val="ListParagraph"/>
        <w:ind w:left="0"/>
        <w:jc w:val="both"/>
        <w:rPr>
          <w:rFonts w:ascii="Verdana" w:hAnsi="Verdana" w:cs="Arial"/>
          <w:sz w:val="20"/>
          <w:szCs w:val="20"/>
          <w:lang w:val="es-ES_tradnl" w:eastAsia="de-DE"/>
        </w:rPr>
      </w:pPr>
      <w:r>
        <w:rPr>
          <w:rFonts w:ascii="Verdana" w:hAnsi="Verdana" w:cs="Arial"/>
          <w:sz w:val="20"/>
          <w:szCs w:val="20"/>
          <w:lang w:val="es-ES_tradnl" w:eastAsia="de-DE"/>
        </w:rPr>
        <w:t>47</w:t>
      </w:r>
      <w:r w:rsidR="00EE4CA6" w:rsidRPr="003D0AA2">
        <w:rPr>
          <w:rFonts w:ascii="Verdana" w:hAnsi="Verdana" w:cs="Arial"/>
          <w:sz w:val="20"/>
          <w:szCs w:val="20"/>
          <w:lang w:val="es-ES_tradnl" w:eastAsia="de-DE"/>
        </w:rPr>
        <w:t>.</w:t>
      </w:r>
      <w:r w:rsidR="00EE4CA6" w:rsidRPr="003D0AA2">
        <w:rPr>
          <w:rFonts w:ascii="Verdana" w:hAnsi="Verdana" w:cs="Arial"/>
          <w:sz w:val="20"/>
          <w:szCs w:val="20"/>
          <w:lang w:val="es-ES_tradnl" w:eastAsia="de-DE"/>
        </w:rPr>
        <w:tab/>
      </w:r>
      <w:r w:rsidR="001D54B3" w:rsidRPr="003D0AA2">
        <w:rPr>
          <w:rFonts w:ascii="Verdana" w:hAnsi="Verdana" w:cs="Arial"/>
          <w:sz w:val="20"/>
          <w:szCs w:val="20"/>
          <w:lang w:val="es-ES_tradnl" w:eastAsia="de-DE"/>
        </w:rPr>
        <w:t>Igualmente, se ha determinado que una serie de actos pueden dar lugar a la creación d</w:t>
      </w:r>
      <w:r w:rsidR="00F8296D">
        <w:rPr>
          <w:rFonts w:ascii="Verdana" w:hAnsi="Verdana" w:cs="Arial"/>
          <w:sz w:val="20"/>
          <w:szCs w:val="20"/>
          <w:lang w:val="es-ES_tradnl" w:eastAsia="de-DE"/>
        </w:rPr>
        <w:t xml:space="preserve">e una situación continuada. Así, </w:t>
      </w:r>
      <w:r w:rsidR="001D54B3" w:rsidRPr="003D0AA2">
        <w:rPr>
          <w:rFonts w:ascii="Verdana" w:hAnsi="Verdana" w:cs="Arial"/>
          <w:sz w:val="20"/>
          <w:szCs w:val="20"/>
          <w:lang w:val="es-ES_tradnl" w:eastAsia="de-DE"/>
        </w:rPr>
        <w:t>por ejemplo</w:t>
      </w:r>
      <w:r w:rsidR="00F8296D">
        <w:rPr>
          <w:rFonts w:ascii="Verdana" w:hAnsi="Verdana" w:cs="Arial"/>
          <w:sz w:val="20"/>
          <w:szCs w:val="20"/>
          <w:lang w:val="es-ES_tradnl" w:eastAsia="de-DE"/>
        </w:rPr>
        <w:t>,</w:t>
      </w:r>
      <w:r w:rsidR="001D54B3" w:rsidRPr="003D0AA2">
        <w:rPr>
          <w:rFonts w:ascii="Verdana" w:hAnsi="Verdana" w:cs="Arial"/>
          <w:sz w:val="20"/>
          <w:szCs w:val="20"/>
          <w:lang w:val="es-ES_tradnl" w:eastAsia="de-DE"/>
        </w:rPr>
        <w:t xml:space="preserve"> en el caso </w:t>
      </w:r>
      <w:r w:rsidR="00DC66CD">
        <w:rPr>
          <w:rFonts w:ascii="Verdana" w:hAnsi="Verdana" w:cs="Arial"/>
          <w:i/>
          <w:sz w:val="20"/>
          <w:szCs w:val="20"/>
          <w:lang w:val="es-ES_tradnl" w:eastAsia="de-DE"/>
        </w:rPr>
        <w:t>McFeely y otros Vs</w:t>
      </w:r>
      <w:r w:rsidR="001D54B3" w:rsidRPr="003D0AA2">
        <w:rPr>
          <w:rFonts w:ascii="Verdana" w:hAnsi="Verdana" w:cs="Arial"/>
          <w:i/>
          <w:sz w:val="20"/>
          <w:szCs w:val="20"/>
          <w:lang w:val="es-ES_tradnl" w:eastAsia="de-DE"/>
        </w:rPr>
        <w:t>. Reino Unido</w:t>
      </w:r>
      <w:r w:rsidR="001D54B3" w:rsidRPr="003D0AA2">
        <w:rPr>
          <w:rFonts w:ascii="Verdana" w:hAnsi="Verdana" w:cs="Arial"/>
          <w:sz w:val="20"/>
          <w:szCs w:val="20"/>
          <w:lang w:val="es-ES_tradnl" w:eastAsia="de-DE"/>
        </w:rPr>
        <w:t xml:space="preserve"> la ya desaparecida Comisión Europea de Derechos Humanos determinó que diferentes actos relacionado</w:t>
      </w:r>
      <w:r w:rsidR="00DC66CD">
        <w:rPr>
          <w:rFonts w:ascii="Verdana" w:hAnsi="Verdana" w:cs="Arial"/>
          <w:sz w:val="20"/>
          <w:szCs w:val="20"/>
          <w:lang w:val="es-ES_tradnl" w:eastAsia="de-DE"/>
        </w:rPr>
        <w:t>s</w:t>
      </w:r>
      <w:r w:rsidR="001D54B3" w:rsidRPr="003D0AA2">
        <w:rPr>
          <w:rFonts w:ascii="Verdana" w:hAnsi="Verdana" w:cs="Arial"/>
          <w:sz w:val="20"/>
          <w:szCs w:val="20"/>
          <w:lang w:val="es-ES_tradnl" w:eastAsia="de-DE"/>
        </w:rPr>
        <w:t xml:space="preserve"> con condiciones de detención pueden dar lugar a un “</w:t>
      </w:r>
      <w:r w:rsidR="001D54B3" w:rsidRPr="003D0AA2">
        <w:rPr>
          <w:rFonts w:ascii="Verdana" w:hAnsi="Verdana" w:cs="Arial"/>
          <w:i/>
          <w:sz w:val="20"/>
          <w:szCs w:val="20"/>
          <w:lang w:val="es-ES_tradnl" w:eastAsia="de-DE"/>
        </w:rPr>
        <w:t>estado permanente de continuidad</w:t>
      </w:r>
      <w:r w:rsidR="001D54B3" w:rsidRPr="003D0AA2">
        <w:rPr>
          <w:rFonts w:ascii="Verdana" w:hAnsi="Verdana" w:cs="Arial"/>
          <w:sz w:val="20"/>
          <w:szCs w:val="20"/>
          <w:lang w:val="es-ES_tradnl" w:eastAsia="de-DE"/>
        </w:rPr>
        <w:t xml:space="preserve">”. A partir de este precedente, el Tribunal Europeo en el caso </w:t>
      </w:r>
      <w:r w:rsidR="00DC66CD">
        <w:rPr>
          <w:rFonts w:ascii="Verdana" w:hAnsi="Verdana" w:cs="Arial"/>
          <w:i/>
          <w:sz w:val="20"/>
          <w:szCs w:val="20"/>
          <w:lang w:val="es-ES_tradnl" w:eastAsia="de-DE"/>
        </w:rPr>
        <w:t>Agrotexim y otros Vs</w:t>
      </w:r>
      <w:r w:rsidR="001D54B3" w:rsidRPr="003D0AA2">
        <w:rPr>
          <w:rFonts w:ascii="Verdana" w:hAnsi="Verdana" w:cs="Arial"/>
          <w:i/>
          <w:sz w:val="20"/>
          <w:szCs w:val="20"/>
          <w:lang w:val="es-ES_tradnl" w:eastAsia="de-DE"/>
        </w:rPr>
        <w:t>. Grecia</w:t>
      </w:r>
      <w:r w:rsidR="001D54B3" w:rsidRPr="003D0AA2">
        <w:rPr>
          <w:rFonts w:ascii="Verdana" w:hAnsi="Verdana" w:cs="Arial"/>
          <w:sz w:val="20"/>
          <w:szCs w:val="20"/>
          <w:lang w:val="es-ES_tradnl" w:eastAsia="de-DE"/>
        </w:rPr>
        <w:t xml:space="preserve"> determinó que diferentes actos del Consejo Municipal de Atenas podían considerarse una serie de pasos que conformaban una situación continuada.</w:t>
      </w:r>
    </w:p>
    <w:p w:rsidR="001D54B3" w:rsidRPr="003D0AA2" w:rsidRDefault="001D54B3" w:rsidP="001D54B3">
      <w:pPr>
        <w:pStyle w:val="ListParagraph"/>
        <w:ind w:left="0"/>
        <w:jc w:val="both"/>
        <w:rPr>
          <w:rFonts w:ascii="Verdana" w:hAnsi="Verdana" w:cs="Arial"/>
          <w:sz w:val="20"/>
          <w:szCs w:val="20"/>
          <w:lang w:val="es-ES_tradnl" w:eastAsia="de-DE"/>
        </w:rPr>
      </w:pPr>
    </w:p>
    <w:p w:rsidR="001D54B3" w:rsidRPr="003D0AA2" w:rsidRDefault="00D6179B" w:rsidP="001D54B3">
      <w:pPr>
        <w:pStyle w:val="ListParagraph"/>
        <w:ind w:left="0"/>
        <w:jc w:val="both"/>
        <w:rPr>
          <w:rFonts w:ascii="Verdana" w:hAnsi="Verdana" w:cs="Arial"/>
          <w:sz w:val="20"/>
          <w:szCs w:val="20"/>
          <w:lang w:val="es-ES_tradnl" w:eastAsia="de-DE"/>
        </w:rPr>
      </w:pPr>
      <w:r>
        <w:rPr>
          <w:rFonts w:ascii="Verdana" w:hAnsi="Verdana" w:cs="Arial"/>
          <w:sz w:val="20"/>
          <w:szCs w:val="20"/>
          <w:lang w:val="es-ES_tradnl" w:eastAsia="de-DE"/>
        </w:rPr>
        <w:t>48</w:t>
      </w:r>
      <w:r w:rsidR="00EE4CA6" w:rsidRPr="003D0AA2">
        <w:rPr>
          <w:rFonts w:ascii="Verdana" w:hAnsi="Verdana" w:cs="Arial"/>
          <w:sz w:val="20"/>
          <w:szCs w:val="20"/>
          <w:lang w:val="es-ES_tradnl" w:eastAsia="de-DE"/>
        </w:rPr>
        <w:t>.</w:t>
      </w:r>
      <w:r w:rsidR="00EE4CA6" w:rsidRPr="003D0AA2">
        <w:rPr>
          <w:rFonts w:ascii="Verdana" w:hAnsi="Verdana" w:cs="Arial"/>
          <w:sz w:val="20"/>
          <w:szCs w:val="20"/>
          <w:lang w:val="es-ES_tradnl" w:eastAsia="de-DE"/>
        </w:rPr>
        <w:tab/>
      </w:r>
      <w:r w:rsidR="001D54B3" w:rsidRPr="003D0AA2">
        <w:rPr>
          <w:rFonts w:ascii="Verdana" w:hAnsi="Verdana" w:cs="Arial"/>
          <w:sz w:val="20"/>
          <w:szCs w:val="20"/>
          <w:lang w:val="es-ES_tradnl" w:eastAsia="de-DE"/>
        </w:rPr>
        <w:t xml:space="preserve">En el caso </w:t>
      </w:r>
      <w:r w:rsidR="001D54B3" w:rsidRPr="003D0AA2">
        <w:rPr>
          <w:rFonts w:ascii="Verdana" w:hAnsi="Verdana" w:cs="Arial"/>
          <w:i/>
          <w:sz w:val="20"/>
          <w:szCs w:val="20"/>
          <w:lang w:val="es-ES_tradnl" w:eastAsia="de-DE"/>
        </w:rPr>
        <w:t xml:space="preserve">Phocas </w:t>
      </w:r>
      <w:r w:rsidR="00DC66CD">
        <w:rPr>
          <w:rFonts w:ascii="Verdana" w:hAnsi="Verdana" w:cs="Arial"/>
          <w:i/>
          <w:sz w:val="20"/>
          <w:szCs w:val="20"/>
          <w:lang w:val="es-ES_tradnl" w:eastAsia="de-DE"/>
        </w:rPr>
        <w:t>Vs</w:t>
      </w:r>
      <w:r w:rsidR="001D54B3" w:rsidRPr="003D0AA2">
        <w:rPr>
          <w:rFonts w:ascii="Verdana" w:hAnsi="Verdana" w:cs="Arial"/>
          <w:i/>
          <w:sz w:val="20"/>
          <w:szCs w:val="20"/>
          <w:lang w:val="es-ES_tradnl" w:eastAsia="de-DE"/>
        </w:rPr>
        <w:t>. Francia</w:t>
      </w:r>
      <w:r w:rsidR="001D54B3" w:rsidRPr="003D0AA2">
        <w:rPr>
          <w:rFonts w:ascii="Verdana" w:hAnsi="Verdana" w:cs="Arial"/>
          <w:sz w:val="20"/>
          <w:szCs w:val="20"/>
          <w:lang w:val="es-ES_tradnl" w:eastAsia="de-DE"/>
        </w:rPr>
        <w:t>, el Tribunal Europeo examinó un caso en el que el peticionario alegaba una situación continuada a raíz de un proceso expropiatorio que duró desde el 31 de julio de 1965 al 22 de enero de 1982</w:t>
      </w:r>
      <w:r w:rsidR="001D54B3" w:rsidRPr="003D0AA2">
        <w:rPr>
          <w:rStyle w:val="FootnoteReference"/>
          <w:rFonts w:ascii="Verdana" w:hAnsi="Verdana"/>
          <w:sz w:val="20"/>
          <w:szCs w:val="20"/>
        </w:rPr>
        <w:footnoteReference w:id="80"/>
      </w:r>
      <w:r w:rsidR="001D54B3" w:rsidRPr="003D0AA2">
        <w:rPr>
          <w:rFonts w:ascii="Verdana" w:hAnsi="Verdana" w:cs="Arial"/>
          <w:sz w:val="20"/>
          <w:szCs w:val="20"/>
          <w:lang w:val="es-ES_tradnl" w:eastAsia="de-DE"/>
        </w:rPr>
        <w:t xml:space="preserve">. Esta continuidad en procesos expropiatorios también fue analizada por el Tribunal Europeo en los casos </w:t>
      </w:r>
      <w:r w:rsidR="00DC66CD">
        <w:rPr>
          <w:rFonts w:ascii="Verdana" w:hAnsi="Verdana" w:cs="Arial"/>
          <w:i/>
          <w:sz w:val="20"/>
          <w:szCs w:val="20"/>
          <w:lang w:val="es-ES_tradnl" w:eastAsia="de-DE"/>
        </w:rPr>
        <w:t>Cviject Vs</w:t>
      </w:r>
      <w:r w:rsidR="001D54B3" w:rsidRPr="003D0AA2">
        <w:rPr>
          <w:rFonts w:ascii="Verdana" w:hAnsi="Verdana" w:cs="Arial"/>
          <w:i/>
          <w:sz w:val="20"/>
          <w:szCs w:val="20"/>
          <w:lang w:val="es-ES_tradnl" w:eastAsia="de-DE"/>
        </w:rPr>
        <w:t>. Croacia</w:t>
      </w:r>
      <w:r w:rsidR="001D54B3" w:rsidRPr="003D0AA2">
        <w:rPr>
          <w:rStyle w:val="FootnoteReference"/>
          <w:rFonts w:ascii="Verdana" w:hAnsi="Verdana"/>
          <w:sz w:val="20"/>
          <w:szCs w:val="20"/>
        </w:rPr>
        <w:footnoteReference w:id="81"/>
      </w:r>
      <w:r w:rsidR="001D54B3" w:rsidRPr="003D0AA2">
        <w:rPr>
          <w:rFonts w:ascii="Verdana" w:hAnsi="Verdana" w:cs="Arial"/>
          <w:sz w:val="20"/>
          <w:szCs w:val="20"/>
          <w:lang w:val="es-ES_tradnl" w:eastAsia="de-DE"/>
        </w:rPr>
        <w:t xml:space="preserve"> y </w:t>
      </w:r>
      <w:r w:rsidR="00DC66CD">
        <w:rPr>
          <w:rFonts w:ascii="Verdana" w:hAnsi="Verdana" w:cs="Arial"/>
          <w:i/>
          <w:sz w:val="20"/>
          <w:szCs w:val="20"/>
          <w:lang w:val="es-ES_tradnl" w:eastAsia="de-DE"/>
        </w:rPr>
        <w:t>Crnojevic Vs</w:t>
      </w:r>
      <w:r w:rsidR="001D54B3" w:rsidRPr="003D0AA2">
        <w:rPr>
          <w:rFonts w:ascii="Verdana" w:hAnsi="Verdana" w:cs="Arial"/>
          <w:i/>
          <w:sz w:val="20"/>
          <w:szCs w:val="20"/>
          <w:lang w:val="es-ES_tradnl" w:eastAsia="de-DE"/>
        </w:rPr>
        <w:t>. Croacia</w:t>
      </w:r>
      <w:r w:rsidR="001D54B3" w:rsidRPr="003D0AA2">
        <w:rPr>
          <w:rStyle w:val="FootnoteReference"/>
          <w:rFonts w:ascii="Verdana" w:hAnsi="Verdana"/>
          <w:sz w:val="20"/>
          <w:szCs w:val="20"/>
        </w:rPr>
        <w:footnoteReference w:id="82"/>
      </w:r>
      <w:r w:rsidR="001D54B3" w:rsidRPr="003D0AA2">
        <w:rPr>
          <w:rFonts w:ascii="Verdana" w:hAnsi="Verdana" w:cs="Arial"/>
          <w:sz w:val="20"/>
          <w:szCs w:val="20"/>
          <w:lang w:val="es-ES_tradnl" w:eastAsia="de-DE"/>
        </w:rPr>
        <w:t>.</w:t>
      </w:r>
    </w:p>
    <w:p w:rsidR="000A5D26" w:rsidRDefault="000A5D26" w:rsidP="001D54B3">
      <w:pPr>
        <w:pStyle w:val="Default"/>
        <w:jc w:val="both"/>
        <w:rPr>
          <w:rFonts w:cs="Times New Roman"/>
          <w:sz w:val="20"/>
          <w:szCs w:val="20"/>
          <w:lang w:val="es-ES_tradnl" w:eastAsia="de-DE"/>
        </w:rPr>
      </w:pPr>
    </w:p>
    <w:p w:rsidR="001D54B3" w:rsidRPr="003D0AA2" w:rsidRDefault="00D6179B" w:rsidP="001D54B3">
      <w:pPr>
        <w:pStyle w:val="Default"/>
        <w:jc w:val="both"/>
        <w:rPr>
          <w:rFonts w:cs="Times New Roman"/>
          <w:bCs/>
          <w:color w:val="auto"/>
          <w:sz w:val="20"/>
          <w:szCs w:val="20"/>
          <w:lang w:val="es-CR"/>
        </w:rPr>
      </w:pPr>
      <w:r>
        <w:rPr>
          <w:rFonts w:cs="Times New Roman"/>
          <w:sz w:val="20"/>
          <w:szCs w:val="20"/>
          <w:lang w:val="es-ES_tradnl" w:eastAsia="de-DE"/>
        </w:rPr>
        <w:t>49</w:t>
      </w:r>
      <w:r w:rsidR="00EE4CA6" w:rsidRPr="003D0AA2">
        <w:rPr>
          <w:rFonts w:cs="Times New Roman"/>
          <w:sz w:val="20"/>
          <w:szCs w:val="20"/>
          <w:lang w:val="es-ES_tradnl" w:eastAsia="de-DE"/>
        </w:rPr>
        <w:t>.</w:t>
      </w:r>
      <w:r w:rsidR="00EE4CA6" w:rsidRPr="003D0AA2">
        <w:rPr>
          <w:rFonts w:cs="Times New Roman"/>
          <w:sz w:val="20"/>
          <w:szCs w:val="20"/>
          <w:lang w:val="es-ES_tradnl" w:eastAsia="de-DE"/>
        </w:rPr>
        <w:tab/>
      </w:r>
      <w:r w:rsidR="00752E8A">
        <w:rPr>
          <w:rFonts w:cs="Times New Roman"/>
          <w:sz w:val="20"/>
          <w:szCs w:val="20"/>
          <w:lang w:val="es-ES_tradnl" w:eastAsia="de-DE"/>
        </w:rPr>
        <w:t>En el sistema i</w:t>
      </w:r>
      <w:r w:rsidR="001D54B3" w:rsidRPr="003D0AA2">
        <w:rPr>
          <w:rFonts w:cs="Times New Roman"/>
          <w:sz w:val="20"/>
          <w:szCs w:val="20"/>
          <w:lang w:val="es-ES_tradnl" w:eastAsia="de-DE"/>
        </w:rPr>
        <w:t>nteramericano</w:t>
      </w:r>
      <w:r w:rsidR="00752E8A">
        <w:rPr>
          <w:rFonts w:cs="Times New Roman"/>
          <w:sz w:val="20"/>
          <w:szCs w:val="20"/>
          <w:lang w:val="es-ES_tradnl" w:eastAsia="de-DE"/>
        </w:rPr>
        <w:t>,</w:t>
      </w:r>
      <w:r w:rsidR="001D54B3" w:rsidRPr="003D0AA2">
        <w:rPr>
          <w:rFonts w:cs="Times New Roman"/>
          <w:sz w:val="20"/>
          <w:szCs w:val="20"/>
          <w:lang w:val="es-ES_tradnl" w:eastAsia="de-DE"/>
        </w:rPr>
        <w:t xml:space="preserve"> esta Corte en el </w:t>
      </w:r>
      <w:r w:rsidR="001D54B3" w:rsidRPr="003D0AA2">
        <w:rPr>
          <w:rFonts w:cs="Times New Roman"/>
          <w:i/>
          <w:sz w:val="20"/>
          <w:szCs w:val="20"/>
          <w:lang w:val="es-ES_tradnl" w:eastAsia="de-DE"/>
        </w:rPr>
        <w:t>Caso de la Comunidad</w:t>
      </w:r>
      <w:r w:rsidR="001D54B3" w:rsidRPr="003D0AA2">
        <w:rPr>
          <w:rFonts w:cs="Times New Roman"/>
          <w:sz w:val="20"/>
          <w:szCs w:val="20"/>
          <w:lang w:val="es-ES_tradnl" w:eastAsia="de-DE"/>
        </w:rPr>
        <w:t xml:space="preserve"> </w:t>
      </w:r>
      <w:r w:rsidR="001D54B3" w:rsidRPr="003D0AA2">
        <w:rPr>
          <w:rFonts w:cs="Times New Roman"/>
          <w:i/>
          <w:sz w:val="20"/>
          <w:szCs w:val="20"/>
          <w:lang w:val="es-ES_tradnl" w:eastAsia="de-DE"/>
        </w:rPr>
        <w:t>Moiwana v Suriname</w:t>
      </w:r>
      <w:r w:rsidR="001D54B3" w:rsidRPr="003D0AA2">
        <w:rPr>
          <w:rFonts w:cs="Times New Roman"/>
          <w:sz w:val="20"/>
          <w:szCs w:val="20"/>
          <w:lang w:val="es-ES_tradnl" w:eastAsia="de-DE"/>
        </w:rPr>
        <w:t xml:space="preserve"> reconoció la existencia de efectos continuados a partir de diversas violaciones a derechos humanos. Como se comenta en la presente sentencia</w:t>
      </w:r>
      <w:r w:rsidR="001D54B3" w:rsidRPr="003D0AA2">
        <w:rPr>
          <w:rStyle w:val="FootnoteReference"/>
          <w:sz w:val="20"/>
          <w:szCs w:val="20"/>
          <w:lang w:val="es-ES_tradnl" w:eastAsia="de-DE"/>
        </w:rPr>
        <w:footnoteReference w:id="83"/>
      </w:r>
      <w:r w:rsidR="001D54B3" w:rsidRPr="003D0AA2">
        <w:rPr>
          <w:rFonts w:cs="Times New Roman"/>
          <w:sz w:val="20"/>
          <w:szCs w:val="20"/>
          <w:lang w:val="es-ES_tradnl" w:eastAsia="de-DE"/>
        </w:rPr>
        <w:t xml:space="preserve">, el caso </w:t>
      </w:r>
      <w:r w:rsidR="001D54B3" w:rsidRPr="003D0AA2">
        <w:rPr>
          <w:rFonts w:cs="Times New Roman"/>
          <w:bCs/>
          <w:color w:val="auto"/>
          <w:sz w:val="20"/>
          <w:szCs w:val="20"/>
          <w:lang w:val="es-CR"/>
        </w:rPr>
        <w:t>trató de miembros de una comunidad tribal que habían tenido que desplazarse forzosamente de sus territorios sin poder regresar a los mismos por la situación de violencia que aún persistía. En ese caso, la Corte señaló que si bien los hechos del desplazamiento forzado se habían producido en un momento anterior al reconocimiento de la competencia contenciosa del Tribunal, “</w:t>
      </w:r>
      <w:r w:rsidR="001D54B3" w:rsidRPr="003D0AA2">
        <w:rPr>
          <w:rFonts w:cs="Times New Roman"/>
          <w:bCs/>
          <w:i/>
          <w:color w:val="auto"/>
          <w:sz w:val="20"/>
          <w:szCs w:val="20"/>
          <w:lang w:val="es-CR"/>
        </w:rPr>
        <w:t>la imposibilidad del retorno a estas tierras supuestamente ha subsistido</w:t>
      </w:r>
      <w:r w:rsidR="001D54B3" w:rsidRPr="003D0AA2">
        <w:rPr>
          <w:rFonts w:cs="Times New Roman"/>
          <w:bCs/>
          <w:color w:val="auto"/>
          <w:sz w:val="20"/>
          <w:szCs w:val="20"/>
          <w:lang w:val="es-CR"/>
        </w:rPr>
        <w:t>” motivo por el cual la Corte “</w:t>
      </w:r>
      <w:r w:rsidR="001D54B3" w:rsidRPr="003D0AA2">
        <w:rPr>
          <w:rFonts w:cs="Times New Roman"/>
          <w:bCs/>
          <w:i/>
          <w:color w:val="auto"/>
          <w:sz w:val="20"/>
          <w:szCs w:val="20"/>
          <w:lang w:val="es-CR"/>
        </w:rPr>
        <w:t>tiene también jurisdicción para decidir sobre estos presuntos hechos y sobre la calificación jurídica que a ellos corresponda</w:t>
      </w:r>
      <w:r w:rsidR="001D54B3" w:rsidRPr="003D0AA2">
        <w:rPr>
          <w:rFonts w:cs="Times New Roman"/>
          <w:bCs/>
          <w:color w:val="auto"/>
          <w:sz w:val="20"/>
          <w:szCs w:val="20"/>
          <w:lang w:val="es-CR"/>
        </w:rPr>
        <w:t>”</w:t>
      </w:r>
      <w:r w:rsidR="001D54B3" w:rsidRPr="003D0AA2">
        <w:rPr>
          <w:rStyle w:val="FootnoteReference"/>
          <w:bCs/>
          <w:color w:val="auto"/>
          <w:sz w:val="20"/>
          <w:szCs w:val="20"/>
          <w:lang w:val="es-CR"/>
        </w:rPr>
        <w:footnoteReference w:id="84"/>
      </w:r>
      <w:r w:rsidR="00DC66CD">
        <w:rPr>
          <w:rFonts w:cs="Times New Roman"/>
          <w:bCs/>
          <w:color w:val="auto"/>
          <w:sz w:val="20"/>
          <w:szCs w:val="20"/>
          <w:lang w:val="es-CR"/>
        </w:rPr>
        <w:t>.</w:t>
      </w:r>
      <w:r w:rsidR="001D54B3" w:rsidRPr="003D0AA2">
        <w:rPr>
          <w:rFonts w:cs="Times New Roman"/>
          <w:bCs/>
          <w:color w:val="auto"/>
          <w:sz w:val="20"/>
          <w:szCs w:val="20"/>
          <w:lang w:val="es-CR"/>
        </w:rPr>
        <w:t xml:space="preserve"> Asimismo, la Corte constató que ese caso se refería a una situación de desplazamiento forzado de una comunidad tribal en la cual dicha comunidad no había sido reubicada a tierras alternativas en una situación de violencia y de inseguridad respecto a la cual el Estado fue declarado responsable. En dicho caso, la Corte declaró la violación del derecho a la circulación y residencia contenido en el artículo 22 de la Convención y, como consecuencia de ello, también declaró una violación al derecho de la propiedad contenido en el artículo 21 de la misma</w:t>
      </w:r>
      <w:r w:rsidR="001D54B3" w:rsidRPr="003D0AA2">
        <w:rPr>
          <w:rFonts w:cs="Times New Roman"/>
          <w:sz w:val="20"/>
          <w:szCs w:val="20"/>
          <w:lang w:val="es-CR"/>
        </w:rPr>
        <w:t xml:space="preserve"> </w:t>
      </w:r>
      <w:r w:rsidR="001D54B3" w:rsidRPr="003D0AA2">
        <w:rPr>
          <w:rFonts w:cs="Times New Roman"/>
          <w:bCs/>
          <w:color w:val="auto"/>
          <w:sz w:val="20"/>
          <w:szCs w:val="20"/>
          <w:lang w:val="es-CR"/>
        </w:rPr>
        <w:t xml:space="preserve">porque la situación de violencia les privó del uso y goce comunal de su propiedad tradicional.  </w:t>
      </w:r>
    </w:p>
    <w:p w:rsidR="001D54B3" w:rsidRPr="003D0AA2" w:rsidRDefault="001D54B3" w:rsidP="001D54B3">
      <w:pPr>
        <w:pStyle w:val="Default"/>
        <w:jc w:val="both"/>
        <w:rPr>
          <w:rFonts w:cs="Times New Roman"/>
          <w:bCs/>
          <w:color w:val="auto"/>
          <w:sz w:val="20"/>
          <w:szCs w:val="20"/>
          <w:lang w:val="es-CR"/>
        </w:rPr>
      </w:pPr>
    </w:p>
    <w:p w:rsidR="001D54B3" w:rsidRPr="003D0AA2" w:rsidRDefault="00D6179B" w:rsidP="001D54B3">
      <w:pPr>
        <w:jc w:val="both"/>
        <w:rPr>
          <w:rFonts w:ascii="Verdana" w:hAnsi="Verdana"/>
          <w:sz w:val="20"/>
          <w:szCs w:val="20"/>
        </w:rPr>
      </w:pPr>
      <w:r>
        <w:rPr>
          <w:rFonts w:ascii="Verdana" w:hAnsi="Verdana"/>
          <w:sz w:val="20"/>
          <w:szCs w:val="20"/>
        </w:rPr>
        <w:t>50</w:t>
      </w:r>
      <w:r w:rsidR="00EE4CA6" w:rsidRPr="003D0AA2">
        <w:rPr>
          <w:rFonts w:ascii="Verdana" w:hAnsi="Verdana"/>
          <w:sz w:val="20"/>
          <w:szCs w:val="20"/>
        </w:rPr>
        <w:t>.</w:t>
      </w:r>
      <w:r w:rsidR="00EE4CA6" w:rsidRPr="003D0AA2">
        <w:rPr>
          <w:rFonts w:ascii="Verdana" w:hAnsi="Verdana"/>
          <w:sz w:val="20"/>
          <w:szCs w:val="20"/>
        </w:rPr>
        <w:tab/>
      </w:r>
      <w:r w:rsidR="001D54B3" w:rsidRPr="003D0AA2">
        <w:rPr>
          <w:rFonts w:ascii="Verdana" w:hAnsi="Verdana"/>
          <w:sz w:val="20"/>
          <w:szCs w:val="20"/>
        </w:rPr>
        <w:t>El punto medular para determinar si un hecho constitutivo de violaciones a derechos puede catalogarse como continuado o no, consiste en determinar, según lo ha dispuesto el Comité de Derechos Humanos, si es que dichas violaciones continúan o tienen efectos que en sí mismos constituyen violaciones</w:t>
      </w:r>
      <w:r w:rsidR="001D54B3" w:rsidRPr="003D0AA2">
        <w:rPr>
          <w:rStyle w:val="FootnoteReference"/>
          <w:rFonts w:ascii="Verdana" w:hAnsi="Verdana"/>
          <w:sz w:val="20"/>
          <w:szCs w:val="20"/>
          <w:lang w:val="en-US"/>
        </w:rPr>
        <w:footnoteReference w:id="85"/>
      </w:r>
      <w:r w:rsidR="001D54B3" w:rsidRPr="003D0AA2">
        <w:rPr>
          <w:rFonts w:ascii="Verdana" w:hAnsi="Verdana"/>
          <w:sz w:val="20"/>
          <w:szCs w:val="20"/>
        </w:rPr>
        <w:t xml:space="preserve">. </w:t>
      </w:r>
      <w:r w:rsidR="001D54B3" w:rsidRPr="003D0AA2">
        <w:rPr>
          <w:rFonts w:ascii="Verdana" w:hAnsi="Verdana"/>
          <w:sz w:val="20"/>
          <w:szCs w:val="20"/>
          <w:lang w:val="es-ES_tradnl"/>
        </w:rPr>
        <w:t>Así</w:t>
      </w:r>
      <w:r w:rsidR="000A5D26">
        <w:rPr>
          <w:rFonts w:ascii="Verdana" w:hAnsi="Verdana"/>
          <w:sz w:val="20"/>
          <w:szCs w:val="20"/>
          <w:lang w:val="es-ES_tradnl"/>
        </w:rPr>
        <w:t>,</w:t>
      </w:r>
      <w:r w:rsidR="001D54B3" w:rsidRPr="003D0AA2">
        <w:rPr>
          <w:rFonts w:ascii="Verdana" w:hAnsi="Verdana"/>
          <w:sz w:val="20"/>
          <w:szCs w:val="20"/>
          <w:lang w:val="es-ES_tradnl"/>
        </w:rPr>
        <w:t xml:space="preserve"> por ejemplo, en los casos anteriormente analizados la afectación del derecho a la propiedad privada de los peticionarios se dio de forma continuada en virtud de que no habían perdido </w:t>
      </w:r>
      <w:r w:rsidR="001D54B3" w:rsidRPr="003D0AA2">
        <w:rPr>
          <w:rFonts w:ascii="Verdana" w:hAnsi="Verdana"/>
          <w:sz w:val="20"/>
          <w:szCs w:val="20"/>
          <w:lang w:val="es-ES_tradnl"/>
        </w:rPr>
        <w:lastRenderedPageBreak/>
        <w:t>legalmente sus derechos como propietarios o en su caso como beneficiarios de una indemnización; por el contrario, estos habían sido víctimas de afectaciones continuadas en relación con la posibilidad de disponer fácticamente de sus propiedades o de recibir indemnización por las mismas.</w:t>
      </w:r>
    </w:p>
    <w:p w:rsidR="001D54B3" w:rsidRPr="003D0AA2" w:rsidRDefault="001D54B3" w:rsidP="001D54B3">
      <w:pPr>
        <w:pStyle w:val="ListParagraph"/>
        <w:ind w:left="0"/>
        <w:jc w:val="both"/>
        <w:rPr>
          <w:rFonts w:ascii="Verdana" w:hAnsi="Verdana"/>
          <w:sz w:val="20"/>
          <w:szCs w:val="20"/>
          <w:lang w:val="es-ES_tradnl" w:eastAsia="de-DE"/>
        </w:rPr>
      </w:pPr>
    </w:p>
    <w:p w:rsidR="001D54B3" w:rsidRPr="003D0AA2" w:rsidRDefault="00D6179B" w:rsidP="001D54B3">
      <w:pPr>
        <w:pStyle w:val="ListParagraph"/>
        <w:ind w:left="0"/>
        <w:jc w:val="both"/>
        <w:rPr>
          <w:rFonts w:ascii="Verdana" w:hAnsi="Verdana"/>
          <w:sz w:val="20"/>
          <w:szCs w:val="20"/>
          <w:lang w:val="es-ES_tradnl" w:eastAsia="de-DE"/>
        </w:rPr>
      </w:pPr>
      <w:r>
        <w:rPr>
          <w:rFonts w:ascii="Verdana" w:hAnsi="Verdana"/>
          <w:sz w:val="20"/>
          <w:szCs w:val="20"/>
          <w:lang w:val="es-ES_tradnl" w:eastAsia="de-DE"/>
        </w:rPr>
        <w:t>51</w:t>
      </w:r>
      <w:r w:rsidR="00EE4CA6" w:rsidRPr="003D0AA2">
        <w:rPr>
          <w:rFonts w:ascii="Verdana" w:hAnsi="Verdana"/>
          <w:sz w:val="20"/>
          <w:szCs w:val="20"/>
          <w:lang w:val="es-ES_tradnl" w:eastAsia="de-DE"/>
        </w:rPr>
        <w:t>.</w:t>
      </w:r>
      <w:r w:rsidR="00EE4CA6" w:rsidRPr="003D0AA2">
        <w:rPr>
          <w:rFonts w:ascii="Verdana" w:hAnsi="Verdana"/>
          <w:sz w:val="20"/>
          <w:szCs w:val="20"/>
          <w:lang w:val="es-ES_tradnl" w:eastAsia="de-DE"/>
        </w:rPr>
        <w:tab/>
      </w:r>
      <w:r w:rsidR="001D54B3" w:rsidRPr="003D0AA2">
        <w:rPr>
          <w:rFonts w:ascii="Verdana" w:hAnsi="Verdana"/>
          <w:sz w:val="20"/>
          <w:szCs w:val="20"/>
          <w:lang w:val="es-ES_tradnl" w:eastAsia="de-DE"/>
        </w:rPr>
        <w:t>Los precedentes anteriormente citados nos demues</w:t>
      </w:r>
      <w:r w:rsidR="00072A1E">
        <w:rPr>
          <w:rFonts w:ascii="Verdana" w:hAnsi="Verdana"/>
          <w:sz w:val="20"/>
          <w:szCs w:val="20"/>
          <w:lang w:val="es-ES_tradnl" w:eastAsia="de-DE"/>
        </w:rPr>
        <w:t>tran que la determinación de cuá</w:t>
      </w:r>
      <w:r w:rsidR="001D54B3" w:rsidRPr="003D0AA2">
        <w:rPr>
          <w:rFonts w:ascii="Verdana" w:hAnsi="Verdana"/>
          <w:sz w:val="20"/>
          <w:szCs w:val="20"/>
          <w:lang w:val="es-ES_tradnl" w:eastAsia="de-DE"/>
        </w:rPr>
        <w:t>ndo nos encontramos ante una situación continuada debe hacerse caso por caso. Para ello es importante considerar, entre otros aspectos: las normas jurídicas aplicables tanto a nivel internacional como nacional, la naturaleza de los hechos (tipo, duración, alcance, entre otros) y, por último, las afectaciones a los derechos que generan en los que acuden como presuntas víctimas al Sistema Interamericano de Derechos Humanos.</w:t>
      </w:r>
    </w:p>
    <w:p w:rsidR="001D54B3" w:rsidRDefault="001D54B3" w:rsidP="001D54B3">
      <w:pPr>
        <w:jc w:val="both"/>
        <w:rPr>
          <w:rFonts w:ascii="Verdana" w:hAnsi="Verdana"/>
          <w:b/>
          <w:sz w:val="20"/>
          <w:szCs w:val="20"/>
          <w:lang w:val="es-MX"/>
        </w:rPr>
      </w:pPr>
    </w:p>
    <w:p w:rsidR="000A5D26" w:rsidRPr="003D0AA2" w:rsidRDefault="000A5D26" w:rsidP="001D54B3">
      <w:pPr>
        <w:jc w:val="both"/>
        <w:rPr>
          <w:rFonts w:ascii="Verdana" w:hAnsi="Verdana"/>
          <w:b/>
          <w:sz w:val="20"/>
          <w:szCs w:val="20"/>
          <w:lang w:val="es-MX"/>
        </w:rPr>
      </w:pPr>
    </w:p>
    <w:p w:rsidR="001D54B3" w:rsidRPr="004B014D" w:rsidRDefault="00692A3B" w:rsidP="005F24F8">
      <w:pPr>
        <w:spacing w:after="120"/>
        <w:jc w:val="center"/>
        <w:rPr>
          <w:rFonts w:ascii="Verdana" w:hAnsi="Verdana"/>
          <w:b/>
          <w:caps/>
          <w:sz w:val="20"/>
          <w:szCs w:val="20"/>
          <w:lang w:val="es-MX"/>
        </w:rPr>
      </w:pPr>
      <w:r w:rsidRPr="004B014D">
        <w:rPr>
          <w:rFonts w:ascii="Verdana" w:hAnsi="Verdana"/>
          <w:b/>
          <w:caps/>
          <w:sz w:val="20"/>
          <w:szCs w:val="20"/>
          <w:lang w:val="es-MX"/>
        </w:rPr>
        <w:t xml:space="preserve">IV. </w:t>
      </w:r>
      <w:r w:rsidR="001D54B3" w:rsidRPr="004B014D">
        <w:rPr>
          <w:rFonts w:ascii="Verdana" w:hAnsi="Verdana"/>
          <w:b/>
          <w:caps/>
          <w:sz w:val="20"/>
          <w:szCs w:val="20"/>
          <w:lang w:val="es-MX"/>
        </w:rPr>
        <w:t xml:space="preserve">El no pago de indemnizaciones como violación continuada en el caso </w:t>
      </w:r>
      <w:r w:rsidR="001D54B3" w:rsidRPr="004B014D">
        <w:rPr>
          <w:rFonts w:ascii="Verdana" w:hAnsi="Verdana"/>
          <w:b/>
          <w:caps/>
          <w:sz w:val="20"/>
          <w:szCs w:val="20"/>
          <w:lang w:val="es-ES_tradnl"/>
        </w:rPr>
        <w:t>de las comunidades indígenas Kuna de Madungandí y Emberá del Bayano</w:t>
      </w:r>
    </w:p>
    <w:p w:rsidR="001D54B3" w:rsidRPr="003D0AA2" w:rsidRDefault="001D54B3" w:rsidP="001D54B3">
      <w:pPr>
        <w:pStyle w:val="ListParagraph"/>
        <w:ind w:left="0"/>
        <w:jc w:val="both"/>
        <w:rPr>
          <w:rFonts w:ascii="Verdana" w:hAnsi="Verdana"/>
          <w:b/>
          <w:sz w:val="20"/>
          <w:szCs w:val="20"/>
          <w:lang w:val="es-MX"/>
        </w:rPr>
      </w:pPr>
    </w:p>
    <w:p w:rsidR="001D54B3" w:rsidRPr="003D0AA2" w:rsidRDefault="00D6179B" w:rsidP="001D54B3">
      <w:pPr>
        <w:pStyle w:val="ListParagraph"/>
        <w:ind w:left="0"/>
        <w:jc w:val="both"/>
        <w:rPr>
          <w:rFonts w:ascii="Verdana" w:hAnsi="Verdana"/>
          <w:sz w:val="20"/>
          <w:szCs w:val="20"/>
          <w:lang w:val="es-ES_tradnl" w:eastAsia="de-DE"/>
        </w:rPr>
      </w:pPr>
      <w:r>
        <w:rPr>
          <w:rFonts w:ascii="Verdana" w:hAnsi="Verdana"/>
          <w:sz w:val="20"/>
          <w:szCs w:val="20"/>
          <w:lang w:val="es-MX"/>
        </w:rPr>
        <w:t>52</w:t>
      </w:r>
      <w:r w:rsidR="00EE4CA6" w:rsidRPr="003D0AA2">
        <w:rPr>
          <w:rFonts w:ascii="Verdana" w:hAnsi="Verdana"/>
          <w:sz w:val="20"/>
          <w:szCs w:val="20"/>
          <w:lang w:val="es-MX"/>
        </w:rPr>
        <w:t>.</w:t>
      </w:r>
      <w:r w:rsidR="00EE4CA6" w:rsidRPr="003D0AA2">
        <w:rPr>
          <w:rFonts w:ascii="Verdana" w:hAnsi="Verdana"/>
          <w:sz w:val="20"/>
          <w:szCs w:val="20"/>
          <w:lang w:val="es-MX"/>
        </w:rPr>
        <w:tab/>
      </w:r>
      <w:r w:rsidR="001D54B3" w:rsidRPr="003D0AA2">
        <w:rPr>
          <w:rFonts w:ascii="Verdana" w:hAnsi="Verdana"/>
          <w:sz w:val="20"/>
          <w:szCs w:val="20"/>
          <w:lang w:val="es-MX"/>
        </w:rPr>
        <w:t>Con el fin de determinar si la falta de pago de indemnizaciones en el presente caso constituye una vio</w:t>
      </w:r>
      <w:r w:rsidR="000A5D26">
        <w:rPr>
          <w:rFonts w:ascii="Verdana" w:hAnsi="Verdana"/>
          <w:sz w:val="20"/>
          <w:szCs w:val="20"/>
          <w:lang w:val="es-MX"/>
        </w:rPr>
        <w:t xml:space="preserve">lación continuada, se analizará </w:t>
      </w:r>
      <w:r w:rsidR="000A5D26" w:rsidRPr="000A5D26">
        <w:rPr>
          <w:rFonts w:ascii="Verdana" w:hAnsi="Verdana"/>
          <w:i/>
          <w:sz w:val="20"/>
          <w:szCs w:val="20"/>
          <w:lang w:val="es-MX"/>
        </w:rPr>
        <w:t>(ii)</w:t>
      </w:r>
      <w:r w:rsidR="001D54B3" w:rsidRPr="003D0AA2">
        <w:rPr>
          <w:rFonts w:ascii="Verdana" w:hAnsi="Verdana"/>
          <w:sz w:val="20"/>
          <w:szCs w:val="20"/>
          <w:lang w:val="es-MX"/>
        </w:rPr>
        <w:t xml:space="preserve"> el alcance del contenido del Artículo 21 de la Convención Americana sobre Derechos Humanos y su interpretación por este Tribunal </w:t>
      </w:r>
      <w:r w:rsidR="000A5D26">
        <w:rPr>
          <w:rFonts w:ascii="Verdana" w:hAnsi="Verdana"/>
          <w:sz w:val="20"/>
          <w:szCs w:val="20"/>
          <w:lang w:val="es-MX"/>
        </w:rPr>
        <w:t xml:space="preserve">Interamericano </w:t>
      </w:r>
      <w:r w:rsidR="001D54B3" w:rsidRPr="003D0AA2">
        <w:rPr>
          <w:rFonts w:ascii="Verdana" w:hAnsi="Verdana"/>
          <w:sz w:val="20"/>
          <w:szCs w:val="20"/>
          <w:lang w:val="es-MX"/>
        </w:rPr>
        <w:t>en casos de pueblos indígenas</w:t>
      </w:r>
      <w:r w:rsidR="000A5D26">
        <w:rPr>
          <w:rFonts w:ascii="Verdana" w:hAnsi="Verdana"/>
          <w:sz w:val="20"/>
          <w:szCs w:val="20"/>
          <w:lang w:val="es-MX"/>
        </w:rPr>
        <w:t>; y</w:t>
      </w:r>
      <w:r w:rsidR="001D54B3" w:rsidRPr="003D0AA2">
        <w:rPr>
          <w:rFonts w:ascii="Verdana" w:hAnsi="Verdana"/>
          <w:sz w:val="20"/>
          <w:szCs w:val="20"/>
          <w:lang w:val="es-MX"/>
        </w:rPr>
        <w:t xml:space="preserve"> </w:t>
      </w:r>
      <w:r w:rsidR="001D54B3" w:rsidRPr="003D0AA2">
        <w:rPr>
          <w:rFonts w:ascii="Verdana" w:hAnsi="Verdana"/>
          <w:i/>
          <w:sz w:val="20"/>
          <w:szCs w:val="20"/>
          <w:lang w:val="es-MX"/>
        </w:rPr>
        <w:t>(i)</w:t>
      </w:r>
      <w:r w:rsidR="001D54B3" w:rsidRPr="003D0AA2">
        <w:rPr>
          <w:rFonts w:ascii="Verdana" w:hAnsi="Verdana"/>
          <w:sz w:val="20"/>
          <w:szCs w:val="20"/>
          <w:lang w:val="es-MX"/>
        </w:rPr>
        <w:t xml:space="preserve"> </w:t>
      </w:r>
      <w:r w:rsidR="001D54B3" w:rsidRPr="003D0AA2">
        <w:rPr>
          <w:rFonts w:ascii="Verdana" w:hAnsi="Verdana"/>
          <w:sz w:val="20"/>
          <w:szCs w:val="20"/>
          <w:lang w:val="es-ES_tradnl" w:eastAsia="de-DE"/>
        </w:rPr>
        <w:t>los hechos del presente caso,</w:t>
      </w:r>
      <w:r w:rsidR="001D54B3" w:rsidRPr="003D0AA2">
        <w:rPr>
          <w:rFonts w:ascii="Verdana" w:hAnsi="Verdana"/>
          <w:sz w:val="20"/>
          <w:szCs w:val="20"/>
          <w:lang w:val="es-MX"/>
        </w:rPr>
        <w:t xml:space="preserve"> la legislación interna aplicable, </w:t>
      </w:r>
      <w:r w:rsidR="001D54B3" w:rsidRPr="003D0AA2">
        <w:rPr>
          <w:rFonts w:ascii="Verdana" w:hAnsi="Verdana"/>
          <w:sz w:val="20"/>
          <w:szCs w:val="20"/>
          <w:lang w:val="es-ES_tradnl" w:eastAsia="de-DE"/>
        </w:rPr>
        <w:t>así como las afectaciones a los derechos que se derivan de la situación de la falta de pago de indemnizaciones.</w:t>
      </w:r>
    </w:p>
    <w:p w:rsidR="001D54B3" w:rsidRPr="003D0AA2" w:rsidRDefault="001D54B3" w:rsidP="001D54B3">
      <w:pPr>
        <w:pStyle w:val="ListParagraph"/>
        <w:ind w:left="0"/>
        <w:jc w:val="both"/>
        <w:rPr>
          <w:rFonts w:ascii="Verdana" w:hAnsi="Verdana"/>
          <w:b/>
          <w:sz w:val="20"/>
          <w:szCs w:val="20"/>
          <w:lang w:val="es-MX"/>
        </w:rPr>
      </w:pPr>
    </w:p>
    <w:p w:rsidR="001D54B3" w:rsidRPr="003D0AA2" w:rsidRDefault="001D54B3" w:rsidP="001D54B3">
      <w:pPr>
        <w:pStyle w:val="ListParagraph"/>
        <w:numPr>
          <w:ilvl w:val="0"/>
          <w:numId w:val="28"/>
        </w:numPr>
        <w:jc w:val="both"/>
        <w:rPr>
          <w:rFonts w:ascii="Verdana" w:hAnsi="Verdana"/>
          <w:i/>
          <w:sz w:val="20"/>
          <w:szCs w:val="20"/>
          <w:lang w:val="es-MX"/>
        </w:rPr>
      </w:pPr>
      <w:r w:rsidRPr="003D0AA2">
        <w:rPr>
          <w:rFonts w:ascii="Verdana" w:hAnsi="Verdana"/>
          <w:i/>
          <w:sz w:val="20"/>
          <w:szCs w:val="20"/>
          <w:lang w:val="es-MX"/>
        </w:rPr>
        <w:t>El alcance del contenido del Artículo 21 de la Convención Americana sobre Derechos Humanos.</w:t>
      </w:r>
    </w:p>
    <w:p w:rsidR="001D54B3" w:rsidRPr="003D0AA2" w:rsidRDefault="001D54B3" w:rsidP="001D54B3">
      <w:pPr>
        <w:pStyle w:val="ListParagraph"/>
        <w:ind w:left="0"/>
        <w:jc w:val="both"/>
        <w:rPr>
          <w:rFonts w:ascii="Verdana" w:hAnsi="Verdana"/>
          <w:sz w:val="20"/>
          <w:szCs w:val="20"/>
          <w:lang w:val="es-MX"/>
        </w:rPr>
      </w:pPr>
    </w:p>
    <w:p w:rsidR="001D54B3" w:rsidRPr="003D0AA2" w:rsidRDefault="00D6179B" w:rsidP="001D54B3">
      <w:pPr>
        <w:pStyle w:val="ListParagraph"/>
        <w:ind w:left="0"/>
        <w:jc w:val="both"/>
        <w:rPr>
          <w:rFonts w:ascii="Verdana" w:hAnsi="Verdana"/>
          <w:sz w:val="20"/>
          <w:szCs w:val="20"/>
          <w:lang w:val="es-MX"/>
        </w:rPr>
      </w:pPr>
      <w:r>
        <w:rPr>
          <w:rFonts w:ascii="Verdana" w:hAnsi="Verdana"/>
          <w:bCs/>
          <w:color w:val="000000"/>
          <w:sz w:val="20"/>
          <w:szCs w:val="20"/>
          <w:lang w:val="de-DE" w:eastAsia="de-DE"/>
        </w:rPr>
        <w:t>53</w:t>
      </w:r>
      <w:r w:rsidR="00EE4CA6" w:rsidRPr="003D0AA2">
        <w:rPr>
          <w:rFonts w:ascii="Verdana" w:hAnsi="Verdana"/>
          <w:bCs/>
          <w:color w:val="000000"/>
          <w:sz w:val="20"/>
          <w:szCs w:val="20"/>
          <w:lang w:val="de-DE" w:eastAsia="de-DE"/>
        </w:rPr>
        <w:t>.</w:t>
      </w:r>
      <w:r w:rsidR="00EE4CA6" w:rsidRPr="003D0AA2">
        <w:rPr>
          <w:rFonts w:ascii="Verdana" w:hAnsi="Verdana"/>
          <w:bCs/>
          <w:color w:val="000000"/>
          <w:sz w:val="20"/>
          <w:szCs w:val="20"/>
          <w:lang w:val="de-DE" w:eastAsia="de-DE"/>
        </w:rPr>
        <w:tab/>
      </w:r>
      <w:r w:rsidR="001D54B3" w:rsidRPr="003D0AA2">
        <w:rPr>
          <w:rFonts w:ascii="Verdana" w:hAnsi="Verdana"/>
          <w:bCs/>
          <w:color w:val="000000"/>
          <w:sz w:val="20"/>
          <w:szCs w:val="20"/>
          <w:lang w:val="de-DE" w:eastAsia="de-DE"/>
        </w:rPr>
        <w:t>El Artículo 21 de la Convención Americana sobre</w:t>
      </w:r>
      <w:r w:rsidR="000A5D26">
        <w:rPr>
          <w:rFonts w:ascii="Verdana" w:hAnsi="Verdana"/>
          <w:bCs/>
          <w:color w:val="000000"/>
          <w:sz w:val="20"/>
          <w:szCs w:val="20"/>
          <w:lang w:val="de-DE" w:eastAsia="de-DE"/>
        </w:rPr>
        <w:t xml:space="preserve"> Derechos Humanos referente al derecho a la propiedad p</w:t>
      </w:r>
      <w:r w:rsidR="001D54B3" w:rsidRPr="003D0AA2">
        <w:rPr>
          <w:rFonts w:ascii="Verdana" w:hAnsi="Verdana"/>
          <w:bCs/>
          <w:color w:val="000000"/>
          <w:sz w:val="20"/>
          <w:szCs w:val="20"/>
          <w:lang w:val="de-DE" w:eastAsia="de-DE"/>
        </w:rPr>
        <w:t>rivada dispone en su segundo numeral que "</w:t>
      </w:r>
      <w:r w:rsidR="001D54B3" w:rsidRPr="003D0AA2">
        <w:rPr>
          <w:rFonts w:ascii="Verdana" w:hAnsi="Verdana"/>
          <w:bCs/>
          <w:i/>
          <w:color w:val="000000"/>
          <w:sz w:val="20"/>
          <w:szCs w:val="20"/>
          <w:lang w:val="de-DE" w:eastAsia="de-DE"/>
        </w:rPr>
        <w:t>Ninguna persona puede ser privada de sus bienes, excepto mediante el pago de indemnización justa, por razones de utilidad pública o de interés social y en los casos y según las formas establecidas por la ley</w:t>
      </w:r>
      <w:r w:rsidR="001D54B3" w:rsidRPr="003D0AA2">
        <w:rPr>
          <w:rFonts w:ascii="Verdana" w:hAnsi="Verdana"/>
          <w:bCs/>
          <w:color w:val="000000"/>
          <w:sz w:val="20"/>
          <w:szCs w:val="20"/>
          <w:lang w:val="de-DE" w:eastAsia="de-DE"/>
        </w:rPr>
        <w:t xml:space="preserve">". </w:t>
      </w:r>
      <w:r w:rsidR="001D54B3" w:rsidRPr="003D0AA2">
        <w:rPr>
          <w:rFonts w:ascii="Verdana" w:hAnsi="Verdana"/>
          <w:sz w:val="20"/>
          <w:szCs w:val="20"/>
          <w:lang w:val="es-MX"/>
        </w:rPr>
        <w:t xml:space="preserve">Esto trae como consecuencia que no sea posible que una expropiación, incluso respetando los principios de utilidad pública e interés social se dé sin que exista </w:t>
      </w:r>
      <w:r w:rsidR="000A5D26">
        <w:rPr>
          <w:rFonts w:ascii="Verdana" w:hAnsi="Verdana"/>
          <w:sz w:val="20"/>
          <w:szCs w:val="20"/>
          <w:lang w:val="es-MX"/>
        </w:rPr>
        <w:t xml:space="preserve">“el pago de </w:t>
      </w:r>
      <w:r w:rsidR="001D54B3" w:rsidRPr="003D0AA2">
        <w:rPr>
          <w:rFonts w:ascii="Verdana" w:hAnsi="Verdana"/>
          <w:sz w:val="20"/>
          <w:szCs w:val="20"/>
          <w:lang w:val="es-MX"/>
        </w:rPr>
        <w:t>indeminización</w:t>
      </w:r>
      <w:r w:rsidR="000A5D26">
        <w:rPr>
          <w:rFonts w:ascii="Verdana" w:hAnsi="Verdana"/>
          <w:sz w:val="20"/>
          <w:szCs w:val="20"/>
          <w:lang w:val="es-MX"/>
        </w:rPr>
        <w:t xml:space="preserve"> justa”</w:t>
      </w:r>
      <w:r w:rsidR="001D54B3" w:rsidRPr="003D0AA2">
        <w:rPr>
          <w:rFonts w:ascii="Verdana" w:hAnsi="Verdana"/>
          <w:sz w:val="20"/>
          <w:szCs w:val="20"/>
          <w:lang w:val="es-MX"/>
        </w:rPr>
        <w:t xml:space="preserve"> de por medio.</w:t>
      </w:r>
    </w:p>
    <w:p w:rsidR="001D54B3" w:rsidRPr="003D0AA2" w:rsidRDefault="001D54B3" w:rsidP="001D54B3">
      <w:pPr>
        <w:pStyle w:val="ListParagraph"/>
        <w:ind w:left="0"/>
        <w:jc w:val="both"/>
        <w:rPr>
          <w:rFonts w:ascii="Verdana" w:hAnsi="Verdana"/>
          <w:sz w:val="20"/>
          <w:szCs w:val="20"/>
          <w:lang w:val="es-MX"/>
        </w:rPr>
      </w:pPr>
    </w:p>
    <w:p w:rsidR="001D54B3" w:rsidRPr="003D0AA2" w:rsidRDefault="00D6179B" w:rsidP="001D54B3">
      <w:pPr>
        <w:pStyle w:val="ListParagraph"/>
        <w:ind w:left="0"/>
        <w:jc w:val="both"/>
        <w:rPr>
          <w:rFonts w:ascii="Verdana" w:hAnsi="Verdana"/>
          <w:sz w:val="20"/>
          <w:szCs w:val="20"/>
          <w:lang w:val="es-MX"/>
        </w:rPr>
      </w:pPr>
      <w:r>
        <w:rPr>
          <w:rFonts w:ascii="Verdana" w:hAnsi="Verdana"/>
          <w:sz w:val="20"/>
          <w:szCs w:val="20"/>
          <w:lang w:val="es-MX"/>
        </w:rPr>
        <w:t>54</w:t>
      </w:r>
      <w:r w:rsidR="00EE4CA6" w:rsidRPr="003D0AA2">
        <w:rPr>
          <w:rFonts w:ascii="Verdana" w:hAnsi="Verdana"/>
          <w:sz w:val="20"/>
          <w:szCs w:val="20"/>
          <w:lang w:val="es-MX"/>
        </w:rPr>
        <w:t>.</w:t>
      </w:r>
      <w:r w:rsidR="00EE4CA6" w:rsidRPr="003D0AA2">
        <w:rPr>
          <w:rFonts w:ascii="Verdana" w:hAnsi="Verdana"/>
          <w:sz w:val="20"/>
          <w:szCs w:val="20"/>
          <w:lang w:val="es-MX"/>
        </w:rPr>
        <w:tab/>
      </w:r>
      <w:r w:rsidR="001D54B3" w:rsidRPr="003D0AA2">
        <w:rPr>
          <w:rFonts w:ascii="Verdana" w:hAnsi="Verdana"/>
          <w:sz w:val="20"/>
          <w:szCs w:val="20"/>
          <w:lang w:val="es-MX"/>
        </w:rPr>
        <w:t xml:space="preserve">En el caso </w:t>
      </w:r>
      <w:r w:rsidR="001D54B3" w:rsidRPr="003D0AA2">
        <w:rPr>
          <w:rFonts w:ascii="Verdana" w:hAnsi="Verdana"/>
          <w:i/>
          <w:sz w:val="20"/>
          <w:szCs w:val="20"/>
          <w:lang w:val="es-MX"/>
        </w:rPr>
        <w:t>Salvador Chiriboga Vs. Ecuador</w:t>
      </w:r>
      <w:r w:rsidR="001D54B3" w:rsidRPr="003D0AA2">
        <w:rPr>
          <w:rFonts w:ascii="Verdana" w:hAnsi="Verdana"/>
          <w:sz w:val="20"/>
          <w:szCs w:val="20"/>
          <w:lang w:val="es-MX"/>
        </w:rPr>
        <w:t xml:space="preserve"> la Corte determinó que “</w:t>
      </w:r>
      <w:r w:rsidR="001D54B3" w:rsidRPr="003D0AA2">
        <w:rPr>
          <w:rFonts w:ascii="Verdana" w:hAnsi="Verdana"/>
          <w:sz w:val="20"/>
          <w:szCs w:val="20"/>
        </w:rPr>
        <w:t>[e]l artículo 21.2 de la Convención Americana expresamente señala como requisito para poder llevar a cabo una privación de la propiedad el pago de una justa indemnización”</w:t>
      </w:r>
      <w:r w:rsidR="001D54B3" w:rsidRPr="003D0AA2">
        <w:rPr>
          <w:rStyle w:val="FootnoteReference"/>
          <w:rFonts w:ascii="Verdana" w:hAnsi="Verdana"/>
          <w:sz w:val="20"/>
          <w:szCs w:val="20"/>
        </w:rPr>
        <w:footnoteReference w:id="86"/>
      </w:r>
      <w:r w:rsidR="001D54B3" w:rsidRPr="003D0AA2">
        <w:rPr>
          <w:rFonts w:ascii="Verdana" w:hAnsi="Verdana"/>
          <w:sz w:val="20"/>
          <w:szCs w:val="20"/>
        </w:rPr>
        <w:t xml:space="preserve">. Así, el Tribunal </w:t>
      </w:r>
      <w:r w:rsidR="000A5D26">
        <w:rPr>
          <w:rFonts w:ascii="Verdana" w:hAnsi="Verdana"/>
          <w:sz w:val="20"/>
          <w:szCs w:val="20"/>
        </w:rPr>
        <w:t>Interamericano determinó</w:t>
      </w:r>
      <w:r w:rsidR="001D54B3" w:rsidRPr="003D0AA2">
        <w:rPr>
          <w:rFonts w:ascii="Verdana" w:hAnsi="Verdana"/>
          <w:sz w:val="20"/>
          <w:szCs w:val="20"/>
        </w:rPr>
        <w:t xml:space="preserve"> que “en casos de expropiación el pago de una indemnización constituye un principio general del derecho internacional</w:t>
      </w:r>
      <w:r w:rsidR="001D54B3" w:rsidRPr="003D0AA2">
        <w:rPr>
          <w:rStyle w:val="FootnoteReference"/>
          <w:rFonts w:ascii="Verdana" w:hAnsi="Verdana"/>
          <w:sz w:val="20"/>
          <w:szCs w:val="20"/>
        </w:rPr>
        <w:footnoteReference w:id="87"/>
      </w:r>
      <w:r w:rsidR="001D54B3" w:rsidRPr="003D0AA2">
        <w:rPr>
          <w:rFonts w:ascii="Verdana" w:hAnsi="Verdana"/>
          <w:sz w:val="20"/>
          <w:szCs w:val="20"/>
        </w:rPr>
        <w:t>, el cual</w:t>
      </w:r>
      <w:r w:rsidR="001D54B3" w:rsidRPr="003D0AA2">
        <w:rPr>
          <w:rFonts w:ascii="Verdana" w:hAnsi="Verdana"/>
          <w:sz w:val="20"/>
          <w:szCs w:val="20"/>
          <w:lang w:val="es-ES_tradnl"/>
        </w:rPr>
        <w:t xml:space="preserve"> deriva de la necesidad de buscar un equilibrio entre el interés general y el del propietario. </w:t>
      </w:r>
      <w:r w:rsidR="001D54B3" w:rsidRPr="003D0AA2">
        <w:rPr>
          <w:rFonts w:ascii="Verdana" w:hAnsi="Verdana"/>
          <w:sz w:val="20"/>
          <w:szCs w:val="20"/>
        </w:rPr>
        <w:t>Dicho principio ha sido recogido en la Convención Americana en su artículo 21, al referirse al pago de una “justa indemnización” la cual debe ser “adecuada, pronta y efectiva”</w:t>
      </w:r>
      <w:r w:rsidR="001D54B3" w:rsidRPr="003D0AA2">
        <w:rPr>
          <w:rStyle w:val="FootnoteReference"/>
          <w:rFonts w:ascii="Verdana" w:hAnsi="Verdana"/>
          <w:sz w:val="20"/>
          <w:szCs w:val="20"/>
          <w:lang w:val="es-ES_tradnl"/>
        </w:rPr>
        <w:footnoteReference w:id="88"/>
      </w:r>
      <w:r w:rsidR="001D54B3" w:rsidRPr="003D0AA2">
        <w:rPr>
          <w:rFonts w:ascii="Verdana" w:hAnsi="Verdana"/>
          <w:sz w:val="20"/>
          <w:szCs w:val="20"/>
          <w:lang w:val="es-ES_tradnl"/>
        </w:rPr>
        <w:t>.</w:t>
      </w:r>
    </w:p>
    <w:p w:rsidR="001D54B3" w:rsidRPr="003D0AA2" w:rsidRDefault="001D54B3" w:rsidP="001D54B3">
      <w:pPr>
        <w:pStyle w:val="ListParagraph"/>
        <w:ind w:left="0"/>
        <w:jc w:val="both"/>
        <w:rPr>
          <w:rFonts w:ascii="Verdana" w:hAnsi="Verdana"/>
          <w:sz w:val="20"/>
          <w:szCs w:val="20"/>
          <w:lang w:val="es-MX"/>
        </w:rPr>
      </w:pPr>
    </w:p>
    <w:p w:rsidR="001D54B3" w:rsidRPr="003D0AA2" w:rsidRDefault="00D6179B" w:rsidP="001D54B3">
      <w:pPr>
        <w:pStyle w:val="BodyText"/>
        <w:tabs>
          <w:tab w:val="left" w:pos="709"/>
          <w:tab w:val="left" w:pos="851"/>
        </w:tabs>
        <w:rPr>
          <w:rFonts w:ascii="Verdana" w:hAnsi="Verdana"/>
          <w:sz w:val="20"/>
          <w:lang w:val="es-ES_tradnl"/>
        </w:rPr>
      </w:pPr>
      <w:r>
        <w:rPr>
          <w:rFonts w:ascii="Verdana" w:hAnsi="Verdana"/>
          <w:sz w:val="20"/>
          <w:lang w:val="es-ES_tradnl"/>
        </w:rPr>
        <w:t>55</w:t>
      </w:r>
      <w:r w:rsidR="00EE4CA6" w:rsidRPr="003D0AA2">
        <w:rPr>
          <w:rFonts w:ascii="Verdana" w:hAnsi="Verdana"/>
          <w:sz w:val="20"/>
          <w:lang w:val="es-ES_tradnl"/>
        </w:rPr>
        <w:t>.</w:t>
      </w:r>
      <w:r w:rsidR="00EE4CA6" w:rsidRPr="003D0AA2">
        <w:rPr>
          <w:rFonts w:ascii="Verdana" w:hAnsi="Verdana"/>
          <w:sz w:val="20"/>
          <w:lang w:val="es-ES_tradnl"/>
        </w:rPr>
        <w:tab/>
      </w:r>
      <w:r w:rsidR="001D54B3" w:rsidRPr="003D0AA2">
        <w:rPr>
          <w:rFonts w:ascii="Verdana" w:hAnsi="Verdana"/>
          <w:sz w:val="20"/>
          <w:lang w:val="es-ES_tradnl"/>
        </w:rPr>
        <w:t>En el mismo sentido, la Corte Europea de Derechos Humanos ha interpretado la norma contenida en el artículo 1º del Protocolo No. 1, considerando que existe un derecho intrínseco a recibir una indemnización por la privación de la propiedad</w:t>
      </w:r>
      <w:r w:rsidR="001D54B3" w:rsidRPr="003D0AA2">
        <w:rPr>
          <w:rStyle w:val="FootnoteReference"/>
          <w:rFonts w:ascii="Verdana" w:hAnsi="Verdana"/>
          <w:sz w:val="20"/>
          <w:lang w:val="es-ES_tradnl"/>
        </w:rPr>
        <w:footnoteReference w:id="89"/>
      </w:r>
      <w:r w:rsidR="001D54B3" w:rsidRPr="003D0AA2">
        <w:rPr>
          <w:rFonts w:ascii="Verdana" w:hAnsi="Verdana"/>
          <w:sz w:val="20"/>
          <w:lang w:val="es-ES_tradnl"/>
        </w:rPr>
        <w:t>. Asimismo, la Asamblea General de la Organización de las Naciones Unidas</w:t>
      </w:r>
      <w:r w:rsidR="001D54B3" w:rsidRPr="003D0AA2">
        <w:rPr>
          <w:rFonts w:ascii="Verdana" w:hAnsi="Verdana"/>
          <w:b/>
          <w:sz w:val="20"/>
          <w:lang w:val="es-ES_tradnl"/>
        </w:rPr>
        <w:t xml:space="preserve"> </w:t>
      </w:r>
      <w:r w:rsidR="001D54B3" w:rsidRPr="003D0AA2">
        <w:rPr>
          <w:rFonts w:ascii="Verdana" w:hAnsi="Verdana"/>
          <w:sz w:val="20"/>
          <w:lang w:val="es-ES_tradnl"/>
        </w:rPr>
        <w:t>mediante Resolución No. 1803 señaló que dentro del marco de la soberanía de un Estado para la expropiación por causas de utilidad pública se encuentra el deber de éste de pagar al dueño la compensación apropiada</w:t>
      </w:r>
      <w:r w:rsidR="001D54B3" w:rsidRPr="003D0AA2">
        <w:rPr>
          <w:rStyle w:val="FootnoteReference"/>
          <w:rFonts w:ascii="Verdana" w:hAnsi="Verdana"/>
          <w:noProof/>
          <w:sz w:val="20"/>
          <w:lang w:val="es-ES_tradnl"/>
        </w:rPr>
        <w:footnoteReference w:id="90"/>
      </w:r>
      <w:r w:rsidR="001D54B3" w:rsidRPr="003D0AA2">
        <w:rPr>
          <w:rFonts w:ascii="Verdana" w:hAnsi="Verdana"/>
          <w:sz w:val="20"/>
          <w:lang w:val="es-ES_tradnl"/>
        </w:rPr>
        <w:t>.</w:t>
      </w:r>
      <w:r w:rsidR="001D54B3" w:rsidRPr="003D0AA2">
        <w:rPr>
          <w:rFonts w:ascii="Verdana" w:hAnsi="Verdana"/>
          <w:noProof/>
          <w:sz w:val="20"/>
          <w:lang w:val="es-ES_tradnl"/>
        </w:rPr>
        <w:t xml:space="preserve">  Más aún, el principio según el cual es exigible la indemnización en caso de expropiación ha sido reafirmado por la jurisprudencia internacional</w:t>
      </w:r>
      <w:r w:rsidR="001D54B3" w:rsidRPr="003D0AA2">
        <w:rPr>
          <w:rStyle w:val="FootnoteReference"/>
          <w:rFonts w:ascii="Verdana" w:hAnsi="Verdana"/>
          <w:noProof/>
          <w:sz w:val="20"/>
          <w:lang w:val="es-ES_tradnl"/>
        </w:rPr>
        <w:footnoteReference w:id="91"/>
      </w:r>
      <w:r w:rsidR="001D54B3" w:rsidRPr="003D0AA2">
        <w:rPr>
          <w:rFonts w:ascii="Verdana" w:hAnsi="Verdana"/>
          <w:noProof/>
          <w:sz w:val="20"/>
          <w:lang w:val="es-ES_tradnl"/>
        </w:rPr>
        <w:t xml:space="preserve">. </w:t>
      </w:r>
    </w:p>
    <w:p w:rsidR="001D54B3" w:rsidRPr="003D0AA2" w:rsidRDefault="001D54B3" w:rsidP="001D54B3">
      <w:pPr>
        <w:pStyle w:val="ListParagraph"/>
        <w:ind w:left="0"/>
        <w:jc w:val="both"/>
        <w:rPr>
          <w:rFonts w:ascii="Verdana" w:hAnsi="Verdana"/>
          <w:sz w:val="20"/>
          <w:szCs w:val="20"/>
          <w:lang w:val="es-MX"/>
        </w:rPr>
      </w:pPr>
    </w:p>
    <w:p w:rsidR="001D54B3" w:rsidRPr="003D0AA2" w:rsidRDefault="00D6179B" w:rsidP="001D54B3">
      <w:pPr>
        <w:pStyle w:val="BodyText"/>
        <w:tabs>
          <w:tab w:val="left" w:pos="709"/>
          <w:tab w:val="left" w:pos="851"/>
        </w:tabs>
        <w:rPr>
          <w:rFonts w:ascii="Verdana" w:hAnsi="Verdana"/>
          <w:sz w:val="20"/>
          <w:lang w:val="es-ES_tradnl"/>
        </w:rPr>
      </w:pPr>
      <w:r>
        <w:rPr>
          <w:rFonts w:ascii="Verdana" w:hAnsi="Verdana"/>
          <w:sz w:val="20"/>
          <w:lang w:val="es-MX"/>
        </w:rPr>
        <w:t>56</w:t>
      </w:r>
      <w:r w:rsidR="00EE4CA6" w:rsidRPr="003D0AA2">
        <w:rPr>
          <w:rFonts w:ascii="Verdana" w:hAnsi="Verdana"/>
          <w:sz w:val="20"/>
          <w:lang w:val="es-MX"/>
        </w:rPr>
        <w:t>.</w:t>
      </w:r>
      <w:r w:rsidR="00EE4CA6" w:rsidRPr="003D0AA2">
        <w:rPr>
          <w:rFonts w:ascii="Verdana" w:hAnsi="Verdana"/>
          <w:sz w:val="20"/>
          <w:lang w:val="es-MX"/>
        </w:rPr>
        <w:tab/>
      </w:r>
      <w:r w:rsidR="001D54B3" w:rsidRPr="003D0AA2">
        <w:rPr>
          <w:rFonts w:ascii="Verdana" w:hAnsi="Verdana"/>
          <w:sz w:val="20"/>
          <w:lang w:val="es-MX"/>
        </w:rPr>
        <w:t xml:space="preserve">Asimismo, </w:t>
      </w:r>
      <w:r w:rsidR="001D54B3" w:rsidRPr="003D0AA2">
        <w:rPr>
          <w:rFonts w:ascii="Verdana" w:hAnsi="Verdana"/>
          <w:sz w:val="20"/>
          <w:lang w:val="es-ES_tradnl"/>
        </w:rPr>
        <w:t xml:space="preserve">en el caso de los pueblos indígenas y tribales, esta Corte en el caso del </w:t>
      </w:r>
      <w:r w:rsidR="001D54B3" w:rsidRPr="003D0AA2">
        <w:rPr>
          <w:rFonts w:ascii="Verdana" w:hAnsi="Verdana"/>
          <w:i/>
          <w:sz w:val="20"/>
          <w:lang w:val="es-ES_tradnl"/>
        </w:rPr>
        <w:t>Pueblo Saramaka Vs. Surinam</w:t>
      </w:r>
      <w:r w:rsidR="001D54B3" w:rsidRPr="003D0AA2">
        <w:rPr>
          <w:rFonts w:ascii="Verdana" w:hAnsi="Verdana"/>
          <w:sz w:val="20"/>
          <w:lang w:val="es-ES_tradnl"/>
        </w:rPr>
        <w:t xml:space="preserve"> consideró que “el</w:t>
      </w:r>
      <w:r w:rsidR="001D54B3" w:rsidRPr="003D0AA2">
        <w:rPr>
          <w:rFonts w:ascii="Verdana" w:hAnsi="Verdana"/>
          <w:sz w:val="20"/>
        </w:rPr>
        <w:t xml:space="preserve"> derecho a recibir el pago de una indemnización conforme al artículo 21.2 de la Convención se extiende no sólo a la total privación de un título de propiedad por medio de una expropiación por parte del Estado, por ejemplo, sino que también comprende la privación del uso y goce regular de dicha propiedad”</w:t>
      </w:r>
      <w:r w:rsidR="001D54B3" w:rsidRPr="003D0AA2">
        <w:rPr>
          <w:rStyle w:val="FootnoteReference"/>
          <w:rFonts w:ascii="Verdana" w:hAnsi="Verdana"/>
          <w:sz w:val="20"/>
        </w:rPr>
        <w:footnoteReference w:id="92"/>
      </w:r>
      <w:r w:rsidR="001D54B3" w:rsidRPr="003D0AA2">
        <w:rPr>
          <w:rFonts w:ascii="Verdana" w:hAnsi="Verdana"/>
          <w:sz w:val="20"/>
        </w:rPr>
        <w:t xml:space="preserve">.  </w:t>
      </w:r>
    </w:p>
    <w:p w:rsidR="001D54B3" w:rsidRPr="003D0AA2" w:rsidRDefault="001D54B3" w:rsidP="001D54B3">
      <w:pPr>
        <w:pStyle w:val="ListParagraph"/>
        <w:ind w:left="0"/>
        <w:jc w:val="both"/>
        <w:rPr>
          <w:rFonts w:ascii="Verdana" w:hAnsi="Verdana"/>
          <w:bCs/>
          <w:color w:val="000000"/>
          <w:sz w:val="20"/>
          <w:szCs w:val="20"/>
          <w:lang w:val="de-DE" w:eastAsia="de-DE"/>
        </w:rPr>
      </w:pPr>
    </w:p>
    <w:p w:rsidR="001D54B3" w:rsidRPr="003D0AA2" w:rsidRDefault="004748C4" w:rsidP="001D54B3">
      <w:pPr>
        <w:pStyle w:val="ListParagraph"/>
        <w:ind w:left="0"/>
        <w:jc w:val="both"/>
        <w:rPr>
          <w:rFonts w:ascii="Verdana" w:hAnsi="Verdana"/>
          <w:sz w:val="20"/>
          <w:szCs w:val="20"/>
          <w:lang w:val="es-MX"/>
        </w:rPr>
      </w:pPr>
      <w:r>
        <w:rPr>
          <w:rFonts w:ascii="Verdana" w:hAnsi="Verdana"/>
          <w:sz w:val="20"/>
          <w:szCs w:val="20"/>
          <w:lang w:val="es-MX"/>
        </w:rPr>
        <w:t>5</w:t>
      </w:r>
      <w:r w:rsidR="00D6179B">
        <w:rPr>
          <w:rFonts w:ascii="Verdana" w:hAnsi="Verdana"/>
          <w:sz w:val="20"/>
          <w:szCs w:val="20"/>
          <w:lang w:val="es-MX"/>
        </w:rPr>
        <w:t>7</w:t>
      </w:r>
      <w:r w:rsidR="00EE4CA6" w:rsidRPr="003D0AA2">
        <w:rPr>
          <w:rFonts w:ascii="Verdana" w:hAnsi="Verdana"/>
          <w:sz w:val="20"/>
          <w:szCs w:val="20"/>
          <w:lang w:val="es-MX"/>
        </w:rPr>
        <w:t>.</w:t>
      </w:r>
      <w:r w:rsidR="00EE4CA6" w:rsidRPr="003D0AA2">
        <w:rPr>
          <w:rFonts w:ascii="Verdana" w:hAnsi="Verdana"/>
          <w:sz w:val="20"/>
          <w:szCs w:val="20"/>
          <w:lang w:val="es-MX"/>
        </w:rPr>
        <w:tab/>
      </w:r>
      <w:r w:rsidR="001D54B3" w:rsidRPr="003D0AA2">
        <w:rPr>
          <w:rFonts w:ascii="Verdana" w:hAnsi="Verdana"/>
          <w:sz w:val="20"/>
          <w:szCs w:val="20"/>
          <w:lang w:val="es-MX"/>
        </w:rPr>
        <w:t xml:space="preserve">Al respecto el Juez Manuel Ventura Robles en su voto concurrente en el caso </w:t>
      </w:r>
      <w:r w:rsidR="001D54B3" w:rsidRPr="003D0AA2">
        <w:rPr>
          <w:rFonts w:ascii="Verdana" w:hAnsi="Verdana"/>
          <w:i/>
          <w:sz w:val="20"/>
          <w:szCs w:val="20"/>
          <w:lang w:val="es-MX"/>
        </w:rPr>
        <w:t>Salvador Chiriboga Vs. Ecuador</w:t>
      </w:r>
      <w:r w:rsidR="001D54B3" w:rsidRPr="003D0AA2">
        <w:rPr>
          <w:rFonts w:ascii="Verdana" w:hAnsi="Verdana"/>
          <w:sz w:val="20"/>
          <w:szCs w:val="20"/>
          <w:lang w:val="es-MX"/>
        </w:rPr>
        <w:t xml:space="preserve"> determinó que: </w:t>
      </w:r>
    </w:p>
    <w:p w:rsidR="001D54B3" w:rsidRPr="003D0AA2" w:rsidRDefault="001D54B3" w:rsidP="001D54B3">
      <w:pPr>
        <w:pStyle w:val="ListParagraph"/>
        <w:ind w:left="0" w:right="360"/>
        <w:jc w:val="both"/>
        <w:rPr>
          <w:rFonts w:ascii="Verdana" w:hAnsi="Verdana"/>
          <w:sz w:val="20"/>
          <w:szCs w:val="20"/>
          <w:u w:val="single"/>
        </w:rPr>
      </w:pPr>
    </w:p>
    <w:p w:rsidR="001D54B3" w:rsidRPr="000A5D26" w:rsidRDefault="001D54B3" w:rsidP="001D54B3">
      <w:pPr>
        <w:ind w:left="709" w:right="900"/>
        <w:jc w:val="both"/>
        <w:rPr>
          <w:rFonts w:ascii="Verdana" w:hAnsi="Verdana"/>
          <w:b/>
          <w:sz w:val="18"/>
          <w:szCs w:val="18"/>
        </w:rPr>
      </w:pPr>
      <w:r w:rsidRPr="000A5D26">
        <w:rPr>
          <w:rFonts w:ascii="Verdana" w:hAnsi="Verdana"/>
          <w:sz w:val="18"/>
          <w:szCs w:val="18"/>
        </w:rPr>
        <w:t xml:space="preserve">“[E]l artículo 21 de la Convención hace referencia al pago de una justa indemnización, la cual según este Tribunal deberá ser adecuada, pronta y efectiva, ya que ésta es una de las medidas mediante las cuales el Estado puede cumplir con el objetivo de lograr un justo equilibrio entre el interés general y el interés particular. </w:t>
      </w:r>
      <w:r w:rsidRPr="000A5D26">
        <w:rPr>
          <w:rFonts w:ascii="Verdana" w:hAnsi="Verdana"/>
          <w:sz w:val="18"/>
          <w:szCs w:val="18"/>
          <w:u w:val="single"/>
        </w:rPr>
        <w:t>De tal forma, que la Corte considera que para analizar la concurrencia de un justo equilibrio en el presente caso, es necesario observar tanto si se otorgó una justa indemnización</w:t>
      </w:r>
      <w:r w:rsidRPr="000A5D26">
        <w:rPr>
          <w:rFonts w:ascii="Verdana" w:hAnsi="Verdana"/>
          <w:sz w:val="18"/>
          <w:szCs w:val="18"/>
        </w:rPr>
        <w:t>, así como otros factores relevantes tales como la existencia de un excesivo tiempo transcurrido, cargas desproporcionadas o situaciones de incertidumbre de los derechos del propietario, las cuales contravienen el justo equilibrio que busca tutelar el artículo 21, así como el objeto y fin de la Convención”</w:t>
      </w:r>
      <w:r w:rsidRPr="000A5D26">
        <w:rPr>
          <w:rStyle w:val="FootnoteReference"/>
          <w:rFonts w:ascii="Verdana" w:hAnsi="Verdana"/>
          <w:sz w:val="18"/>
          <w:szCs w:val="18"/>
        </w:rPr>
        <w:footnoteReference w:id="93"/>
      </w:r>
      <w:r w:rsidRPr="000A5D26">
        <w:rPr>
          <w:rFonts w:ascii="Verdana" w:hAnsi="Verdana"/>
          <w:sz w:val="18"/>
          <w:szCs w:val="18"/>
        </w:rPr>
        <w:t>.</w:t>
      </w:r>
      <w:r w:rsidRPr="000A5D26">
        <w:rPr>
          <w:rFonts w:ascii="Verdana" w:hAnsi="Verdana"/>
          <w:b/>
          <w:sz w:val="18"/>
          <w:szCs w:val="18"/>
        </w:rPr>
        <w:t xml:space="preserve"> </w:t>
      </w:r>
    </w:p>
    <w:p w:rsidR="001D54B3" w:rsidRPr="003D0AA2" w:rsidRDefault="001D54B3" w:rsidP="001D54B3">
      <w:pPr>
        <w:pStyle w:val="ListParagraph"/>
        <w:ind w:left="0"/>
        <w:jc w:val="both"/>
        <w:rPr>
          <w:rFonts w:ascii="Verdana" w:hAnsi="Verdana"/>
          <w:bCs/>
          <w:color w:val="000000"/>
          <w:sz w:val="20"/>
          <w:szCs w:val="20"/>
          <w:lang w:val="de-DE" w:eastAsia="de-DE"/>
        </w:rPr>
      </w:pPr>
    </w:p>
    <w:p w:rsidR="001D54B3" w:rsidRPr="003D0AA2" w:rsidRDefault="00D6179B" w:rsidP="001D54B3">
      <w:pPr>
        <w:pStyle w:val="ListParagraph"/>
        <w:ind w:left="0"/>
        <w:jc w:val="both"/>
        <w:rPr>
          <w:rFonts w:ascii="Verdana" w:hAnsi="Verdana"/>
          <w:sz w:val="20"/>
          <w:szCs w:val="20"/>
          <w:lang w:val="es-MX"/>
        </w:rPr>
      </w:pPr>
      <w:r>
        <w:rPr>
          <w:rFonts w:ascii="Verdana" w:hAnsi="Verdana"/>
          <w:sz w:val="20"/>
          <w:szCs w:val="20"/>
          <w:lang w:val="es-MX"/>
        </w:rPr>
        <w:lastRenderedPageBreak/>
        <w:t>58</w:t>
      </w:r>
      <w:r w:rsidR="00EE4CA6" w:rsidRPr="003D0AA2">
        <w:rPr>
          <w:rFonts w:ascii="Verdana" w:hAnsi="Verdana"/>
          <w:sz w:val="20"/>
          <w:szCs w:val="20"/>
          <w:lang w:val="es-MX"/>
        </w:rPr>
        <w:t>.</w:t>
      </w:r>
      <w:r w:rsidR="00EE4CA6" w:rsidRPr="003D0AA2">
        <w:rPr>
          <w:rFonts w:ascii="Verdana" w:hAnsi="Verdana"/>
          <w:sz w:val="20"/>
          <w:szCs w:val="20"/>
          <w:lang w:val="es-MX"/>
        </w:rPr>
        <w:tab/>
      </w:r>
      <w:r w:rsidR="001D54B3" w:rsidRPr="003D0AA2">
        <w:rPr>
          <w:rFonts w:ascii="Verdana" w:hAnsi="Verdana"/>
          <w:sz w:val="20"/>
          <w:szCs w:val="20"/>
          <w:lang w:val="es-MX"/>
        </w:rPr>
        <w:t xml:space="preserve">En los casos </w:t>
      </w:r>
      <w:r w:rsidR="001D54B3" w:rsidRPr="003D0AA2">
        <w:rPr>
          <w:rFonts w:ascii="Verdana" w:hAnsi="Verdana"/>
          <w:i/>
          <w:sz w:val="20"/>
          <w:szCs w:val="20"/>
          <w:lang w:val="es-MX"/>
        </w:rPr>
        <w:t>Sawhoyamaxa</w:t>
      </w:r>
      <w:r w:rsidR="001D54B3" w:rsidRPr="003D0AA2">
        <w:rPr>
          <w:rFonts w:ascii="Verdana" w:hAnsi="Verdana"/>
          <w:sz w:val="20"/>
          <w:szCs w:val="20"/>
          <w:lang w:val="es-MX"/>
        </w:rPr>
        <w:t xml:space="preserve"> y </w:t>
      </w:r>
      <w:r w:rsidR="001D54B3" w:rsidRPr="003D0AA2">
        <w:rPr>
          <w:rFonts w:ascii="Verdana" w:hAnsi="Verdana"/>
          <w:i/>
          <w:sz w:val="20"/>
          <w:szCs w:val="20"/>
          <w:lang w:val="es-MX"/>
        </w:rPr>
        <w:t>Xakmók Kasek</w:t>
      </w:r>
      <w:r w:rsidR="001D54B3" w:rsidRPr="003D0AA2">
        <w:rPr>
          <w:rFonts w:ascii="Verdana" w:hAnsi="Verdana"/>
          <w:sz w:val="20"/>
          <w:szCs w:val="20"/>
          <w:lang w:val="es-MX"/>
        </w:rPr>
        <w:t xml:space="preserve"> ambos contra el Estado paraguayo, la Corte determinó como parte de la violación al artículo 21 la ausencia de reivindicación de los territorios ancestrales de dichas comunidades. </w:t>
      </w:r>
      <w:r w:rsidR="001D54B3" w:rsidRPr="003D0AA2">
        <w:rPr>
          <w:rFonts w:ascii="Verdana" w:hAnsi="Verdana"/>
          <w:sz w:val="20"/>
          <w:szCs w:val="20"/>
          <w:lang w:val="es-ES_tradnl"/>
        </w:rPr>
        <w:t xml:space="preserve">Para poder resolver estos asuntos, la Corte tomó en cuenta que “[l]a base espiritual y material de la identidad de los pueblos indígenas se sustenta principalmente en su relación única con sus tierras tradicionales. </w:t>
      </w:r>
      <w:r w:rsidR="001D54B3" w:rsidRPr="003D0AA2" w:rsidDel="002328E9">
        <w:rPr>
          <w:rFonts w:ascii="Verdana" w:hAnsi="Verdana"/>
          <w:sz w:val="20"/>
          <w:szCs w:val="20"/>
          <w:lang w:val="es-ES_tradnl"/>
        </w:rPr>
        <w:t>M</w:t>
      </w:r>
      <w:r w:rsidR="001D54B3" w:rsidRPr="003D0AA2">
        <w:rPr>
          <w:rFonts w:ascii="Verdana" w:hAnsi="Verdana"/>
          <w:sz w:val="20"/>
          <w:szCs w:val="20"/>
          <w:lang w:val="es-ES_tradnl"/>
        </w:rPr>
        <w:t>ientras esa relación exista, el derecho a la reivindicación permanecerá vigente, caso contrario, se extinguirá”</w:t>
      </w:r>
      <w:r w:rsidR="001D54B3" w:rsidRPr="003D0AA2">
        <w:rPr>
          <w:rStyle w:val="FootnoteReference"/>
          <w:rFonts w:ascii="Verdana" w:hAnsi="Verdana"/>
          <w:sz w:val="20"/>
          <w:szCs w:val="20"/>
          <w:lang w:val="es-ES_tradnl"/>
        </w:rPr>
        <w:footnoteReference w:id="94"/>
      </w:r>
      <w:r w:rsidR="001D54B3" w:rsidRPr="003D0AA2">
        <w:rPr>
          <w:rFonts w:ascii="Verdana" w:hAnsi="Verdana"/>
          <w:sz w:val="20"/>
          <w:szCs w:val="20"/>
          <w:lang w:val="es-ES_tradnl"/>
        </w:rPr>
        <w:t>. Además, agregó que “[d]icha relación puede expresarse de distintas maneras, según el pueblo indígena del que se trate y las circunstancias concretas en que se encuentre, y puede incluir el uso o presencia tradicional, ya sea a través de lazos espirituales o ceremoniales; asentamientos o cultivos esporádicos; caza, pesca o recolección estacional o nómada; uso de recursos naturales ligados a sus costumbres; y cualquier otro elemento característico de su cultura”</w:t>
      </w:r>
      <w:r w:rsidR="001D54B3" w:rsidRPr="003D0AA2">
        <w:rPr>
          <w:rStyle w:val="FootnoteReference"/>
          <w:rFonts w:ascii="Verdana" w:hAnsi="Verdana"/>
          <w:sz w:val="20"/>
          <w:szCs w:val="20"/>
          <w:lang w:val="es-ES_tradnl"/>
        </w:rPr>
        <w:footnoteReference w:id="95"/>
      </w:r>
      <w:r w:rsidR="001D54B3" w:rsidRPr="003D0AA2">
        <w:rPr>
          <w:rFonts w:ascii="Verdana" w:hAnsi="Verdana"/>
          <w:sz w:val="20"/>
          <w:szCs w:val="20"/>
          <w:lang w:val="es-ES_tradnl"/>
        </w:rPr>
        <w:t xml:space="preserve">. </w:t>
      </w:r>
    </w:p>
    <w:p w:rsidR="001D54B3" w:rsidRPr="003D0AA2" w:rsidRDefault="001D54B3" w:rsidP="001D54B3">
      <w:pPr>
        <w:pStyle w:val="ListParagraph"/>
        <w:ind w:left="0"/>
        <w:jc w:val="both"/>
        <w:rPr>
          <w:rFonts w:ascii="Verdana" w:hAnsi="Verdana"/>
          <w:sz w:val="20"/>
          <w:szCs w:val="20"/>
          <w:lang w:val="es-MX"/>
        </w:rPr>
      </w:pPr>
    </w:p>
    <w:p w:rsidR="00042460" w:rsidRDefault="00D6179B" w:rsidP="001D54B3">
      <w:pPr>
        <w:pStyle w:val="ListParagraph"/>
        <w:ind w:left="0"/>
        <w:jc w:val="both"/>
        <w:rPr>
          <w:rFonts w:ascii="Verdana" w:hAnsi="Verdana"/>
          <w:sz w:val="20"/>
          <w:szCs w:val="20"/>
          <w:lang w:val="es-MX"/>
        </w:rPr>
      </w:pPr>
      <w:r>
        <w:rPr>
          <w:rFonts w:ascii="Verdana" w:hAnsi="Verdana"/>
          <w:sz w:val="20"/>
          <w:szCs w:val="20"/>
          <w:lang w:val="es-MX"/>
        </w:rPr>
        <w:t>59</w:t>
      </w:r>
      <w:r w:rsidR="00EE4CA6" w:rsidRPr="003D0AA2">
        <w:rPr>
          <w:rFonts w:ascii="Verdana" w:hAnsi="Verdana"/>
          <w:sz w:val="20"/>
          <w:szCs w:val="20"/>
          <w:lang w:val="es-MX"/>
        </w:rPr>
        <w:t>.</w:t>
      </w:r>
      <w:r w:rsidR="00EE4CA6" w:rsidRPr="003D0AA2">
        <w:rPr>
          <w:rFonts w:ascii="Verdana" w:hAnsi="Verdana"/>
          <w:sz w:val="20"/>
          <w:szCs w:val="20"/>
          <w:lang w:val="es-MX"/>
        </w:rPr>
        <w:tab/>
      </w:r>
      <w:r w:rsidR="001D54B3" w:rsidRPr="003D0AA2">
        <w:rPr>
          <w:rFonts w:ascii="Verdana" w:hAnsi="Verdana"/>
          <w:sz w:val="20"/>
          <w:szCs w:val="20"/>
          <w:lang w:val="es-MX"/>
        </w:rPr>
        <w:t>Además,  la relación con las tierras debe ser posible</w:t>
      </w:r>
      <w:r w:rsidR="001D54B3" w:rsidRPr="003D0AA2">
        <w:rPr>
          <w:rFonts w:ascii="Verdana" w:hAnsi="Verdana"/>
          <w:sz w:val="20"/>
          <w:szCs w:val="20"/>
          <w:vertAlign w:val="superscript"/>
        </w:rPr>
        <w:footnoteReference w:id="96"/>
      </w:r>
      <w:r w:rsidR="001D54B3" w:rsidRPr="003D0AA2">
        <w:rPr>
          <w:rFonts w:ascii="Verdana" w:hAnsi="Verdana"/>
          <w:sz w:val="20"/>
          <w:szCs w:val="20"/>
          <w:lang w:val="es-MX"/>
        </w:rPr>
        <w:t>. Éste elemento implica que los miembros de la Comunidad no se vean impedidos, por causas ajenas a su voluntad, a realizar aquellas actividades que revelan la persistencia de la relación con sus tierras tradicionales</w:t>
      </w:r>
      <w:r w:rsidR="001D54B3" w:rsidRPr="003D0AA2">
        <w:rPr>
          <w:rStyle w:val="FootnoteReference"/>
          <w:rFonts w:ascii="Verdana" w:hAnsi="Verdana"/>
          <w:sz w:val="20"/>
          <w:szCs w:val="20"/>
        </w:rPr>
        <w:footnoteReference w:id="97"/>
      </w:r>
      <w:r w:rsidR="001D54B3" w:rsidRPr="003D0AA2">
        <w:rPr>
          <w:rFonts w:ascii="Verdana" w:hAnsi="Verdana"/>
          <w:sz w:val="20"/>
          <w:szCs w:val="20"/>
          <w:lang w:val="es-MX"/>
        </w:rPr>
        <w:t>.  En otras palabras, la Corte ya ha reconocido que las violaciones que tengan incidencia directa en el territorio de los pueblos indígenas a la luz de lo dispuesto por el Artículo 21 de la Convención deben ser analizadas considerando esta relación especial, que sin duda no existe en circunstancias ordinarias en personas o grupos de personas que no son indígenas.</w:t>
      </w:r>
    </w:p>
    <w:p w:rsidR="00042460" w:rsidRPr="003D0AA2" w:rsidRDefault="00042460" w:rsidP="001D54B3">
      <w:pPr>
        <w:pStyle w:val="ListParagraph"/>
        <w:ind w:left="0"/>
        <w:jc w:val="both"/>
        <w:rPr>
          <w:rFonts w:ascii="Verdana" w:hAnsi="Verdana"/>
          <w:sz w:val="20"/>
          <w:szCs w:val="20"/>
          <w:lang w:val="es-ES_tradnl"/>
        </w:rPr>
      </w:pPr>
    </w:p>
    <w:p w:rsidR="001D54B3" w:rsidRPr="003D0AA2" w:rsidRDefault="001D54B3" w:rsidP="001D54B3">
      <w:pPr>
        <w:pStyle w:val="ListParagraph"/>
        <w:ind w:left="0"/>
        <w:jc w:val="both"/>
        <w:rPr>
          <w:rFonts w:ascii="Verdana" w:hAnsi="Verdana"/>
          <w:sz w:val="20"/>
          <w:szCs w:val="20"/>
          <w:lang w:val="es-MX"/>
        </w:rPr>
      </w:pPr>
    </w:p>
    <w:p w:rsidR="005F24F8" w:rsidRDefault="001D54B3" w:rsidP="005F24F8">
      <w:pPr>
        <w:pStyle w:val="ListParagraph"/>
        <w:numPr>
          <w:ilvl w:val="0"/>
          <w:numId w:val="28"/>
        </w:numPr>
        <w:jc w:val="both"/>
        <w:rPr>
          <w:rFonts w:ascii="Verdana" w:hAnsi="Verdana"/>
          <w:i/>
          <w:sz w:val="20"/>
          <w:szCs w:val="20"/>
          <w:lang w:val="es-MX"/>
        </w:rPr>
      </w:pPr>
      <w:r w:rsidRPr="003D0AA2">
        <w:rPr>
          <w:rFonts w:ascii="Verdana" w:hAnsi="Verdana"/>
          <w:i/>
          <w:sz w:val="20"/>
          <w:szCs w:val="20"/>
          <w:lang w:val="es-MX"/>
        </w:rPr>
        <w:t>El no pago de indemnización como violación continuada en el caso de las comunidades indígenas Kuna de</w:t>
      </w:r>
      <w:r w:rsidR="00752E8A">
        <w:rPr>
          <w:rFonts w:ascii="Verdana" w:hAnsi="Verdana"/>
          <w:i/>
          <w:sz w:val="20"/>
          <w:szCs w:val="20"/>
          <w:lang w:val="es-MX"/>
        </w:rPr>
        <w:t xml:space="preserve"> Madungandí y Emberá del Bayano</w:t>
      </w:r>
    </w:p>
    <w:p w:rsidR="005F24F8" w:rsidRDefault="005F24F8" w:rsidP="005F24F8">
      <w:pPr>
        <w:ind w:left="360"/>
        <w:jc w:val="both"/>
      </w:pPr>
    </w:p>
    <w:p w:rsidR="001D54B3" w:rsidRPr="00EE7750" w:rsidRDefault="00D6179B" w:rsidP="005F24F8">
      <w:pPr>
        <w:jc w:val="both"/>
        <w:rPr>
          <w:rFonts w:ascii="Verdana" w:hAnsi="Verdana"/>
          <w:i/>
          <w:sz w:val="20"/>
          <w:szCs w:val="20"/>
          <w:lang w:val="es-MX"/>
        </w:rPr>
      </w:pPr>
      <w:r w:rsidRPr="00EE7750">
        <w:rPr>
          <w:rFonts w:ascii="Verdana" w:hAnsi="Verdana"/>
          <w:sz w:val="20"/>
          <w:szCs w:val="20"/>
        </w:rPr>
        <w:t>60</w:t>
      </w:r>
      <w:r w:rsidR="00EE4CA6" w:rsidRPr="00EE7750">
        <w:rPr>
          <w:rFonts w:ascii="Verdana" w:hAnsi="Verdana"/>
          <w:sz w:val="20"/>
          <w:szCs w:val="20"/>
        </w:rPr>
        <w:t>.</w:t>
      </w:r>
      <w:r w:rsidR="00EE4CA6" w:rsidRPr="00EE7750">
        <w:rPr>
          <w:rFonts w:ascii="Verdana" w:hAnsi="Verdana"/>
          <w:sz w:val="20"/>
          <w:szCs w:val="20"/>
        </w:rPr>
        <w:tab/>
      </w:r>
      <w:r w:rsidR="000A5D26" w:rsidRPr="00EE7750">
        <w:rPr>
          <w:rFonts w:ascii="Verdana" w:hAnsi="Verdana"/>
          <w:sz w:val="20"/>
          <w:szCs w:val="20"/>
        </w:rPr>
        <w:t>Tal y como consta en la S</w:t>
      </w:r>
      <w:r w:rsidR="001D54B3" w:rsidRPr="00EE7750">
        <w:rPr>
          <w:rFonts w:ascii="Verdana" w:hAnsi="Verdana"/>
          <w:sz w:val="20"/>
          <w:szCs w:val="20"/>
        </w:rPr>
        <w:t>enten</w:t>
      </w:r>
      <w:r w:rsidR="000A5D26" w:rsidRPr="00EE7750">
        <w:rPr>
          <w:rFonts w:ascii="Verdana" w:hAnsi="Verdana"/>
          <w:sz w:val="20"/>
          <w:szCs w:val="20"/>
        </w:rPr>
        <w:t>cia, el pueblo indígena Kuna ha</w:t>
      </w:r>
      <w:r w:rsidR="001D54B3" w:rsidRPr="00EE7750">
        <w:rPr>
          <w:rFonts w:ascii="Verdana" w:hAnsi="Verdana"/>
          <w:sz w:val="20"/>
          <w:szCs w:val="20"/>
        </w:rPr>
        <w:t xml:space="preserve"> habitado la región del Bayano al menos desde el siglo XVI. Los Kuna tradicionalmente practican la agricultura de corta y quema y dependen para su subsistencia casi exclusivamente de la agricultura y la caza</w:t>
      </w:r>
      <w:r w:rsidR="001D54B3" w:rsidRPr="00EE7750">
        <w:rPr>
          <w:rStyle w:val="FootnoteReference"/>
          <w:rFonts w:ascii="Verdana" w:hAnsi="Verdana"/>
          <w:sz w:val="20"/>
          <w:szCs w:val="20"/>
        </w:rPr>
        <w:footnoteReference w:id="98"/>
      </w:r>
      <w:r w:rsidR="001D54B3" w:rsidRPr="00EE7750">
        <w:rPr>
          <w:rFonts w:ascii="Verdana" w:hAnsi="Verdana"/>
          <w:sz w:val="20"/>
          <w:szCs w:val="20"/>
        </w:rPr>
        <w:t>. Por su parte, entre el siglo XVII y XVIII una parte del pueblo indígena Emberá migró desde la región del Chocó en Colombia a territorio que hoy es panameño, asentándose a orillas de los ríos de la actual Provincia de Darién. A principios del siglo XIX una parte del pueblo Emberá se trasladó a la región de Bayano</w:t>
      </w:r>
      <w:r w:rsidR="001D54B3" w:rsidRPr="00EE7750">
        <w:rPr>
          <w:rStyle w:val="FootnoteReference"/>
          <w:rFonts w:ascii="Verdana" w:hAnsi="Verdana"/>
          <w:sz w:val="20"/>
          <w:szCs w:val="20"/>
        </w:rPr>
        <w:t xml:space="preserve">. </w:t>
      </w:r>
      <w:r w:rsidR="001D54B3" w:rsidRPr="00EE7750">
        <w:rPr>
          <w:rFonts w:ascii="Verdana" w:hAnsi="Verdana"/>
          <w:sz w:val="20"/>
          <w:szCs w:val="20"/>
        </w:rPr>
        <w:t>El pueblo Emberá se dedica tradicionalmente a la  caza, pesca y artesanía</w:t>
      </w:r>
      <w:r w:rsidR="001D54B3" w:rsidRPr="00EE7750">
        <w:rPr>
          <w:rStyle w:val="FootnoteReference"/>
          <w:rFonts w:ascii="Verdana" w:hAnsi="Verdana"/>
          <w:sz w:val="20"/>
          <w:szCs w:val="20"/>
        </w:rPr>
        <w:footnoteReference w:id="99"/>
      </w:r>
      <w:r w:rsidR="000A5D26" w:rsidRPr="00EE7750">
        <w:rPr>
          <w:rFonts w:ascii="Verdana" w:hAnsi="Verdana"/>
          <w:sz w:val="20"/>
          <w:szCs w:val="20"/>
        </w:rPr>
        <w:t>.</w:t>
      </w:r>
      <w:r w:rsidR="001D54B3" w:rsidRPr="00EE7750">
        <w:rPr>
          <w:rFonts w:ascii="Verdana" w:hAnsi="Verdana"/>
          <w:sz w:val="20"/>
          <w:szCs w:val="20"/>
        </w:rPr>
        <w:t xml:space="preserve"> </w:t>
      </w:r>
    </w:p>
    <w:p w:rsidR="001D54B3" w:rsidRPr="003D0AA2" w:rsidRDefault="001D54B3" w:rsidP="001D54B3">
      <w:pPr>
        <w:rPr>
          <w:rFonts w:ascii="Verdana" w:hAnsi="Verdana"/>
          <w:sz w:val="20"/>
          <w:szCs w:val="20"/>
          <w:lang w:eastAsia="en-US"/>
        </w:rPr>
      </w:pPr>
    </w:p>
    <w:p w:rsidR="001D54B3" w:rsidRPr="003D0AA2" w:rsidRDefault="00D6179B" w:rsidP="001D54B3">
      <w:pPr>
        <w:pStyle w:val="ListParagraph"/>
        <w:ind w:left="0"/>
        <w:contextualSpacing w:val="0"/>
        <w:jc w:val="both"/>
        <w:rPr>
          <w:rFonts w:ascii="Verdana" w:hAnsi="Verdana"/>
          <w:sz w:val="20"/>
          <w:szCs w:val="20"/>
        </w:rPr>
      </w:pPr>
      <w:r>
        <w:rPr>
          <w:rFonts w:ascii="Verdana" w:hAnsi="Verdana"/>
          <w:sz w:val="20"/>
          <w:szCs w:val="20"/>
        </w:rPr>
        <w:lastRenderedPageBreak/>
        <w:t>61</w:t>
      </w:r>
      <w:r w:rsidR="00EE4CA6" w:rsidRPr="003D0AA2">
        <w:rPr>
          <w:rFonts w:ascii="Verdana" w:hAnsi="Verdana"/>
          <w:sz w:val="20"/>
          <w:szCs w:val="20"/>
        </w:rPr>
        <w:t>.</w:t>
      </w:r>
      <w:r w:rsidR="00EE4CA6" w:rsidRPr="003D0AA2">
        <w:rPr>
          <w:rFonts w:ascii="Verdana" w:hAnsi="Verdana"/>
          <w:sz w:val="20"/>
          <w:szCs w:val="20"/>
        </w:rPr>
        <w:tab/>
      </w:r>
      <w:r w:rsidR="001D54B3" w:rsidRPr="003D0AA2">
        <w:rPr>
          <w:rFonts w:ascii="Verdana" w:hAnsi="Verdana"/>
          <w:sz w:val="20"/>
          <w:szCs w:val="20"/>
        </w:rPr>
        <w:t>Asimismo, se señala</w:t>
      </w:r>
      <w:r w:rsidR="000A5D26">
        <w:rPr>
          <w:rFonts w:ascii="Verdana" w:hAnsi="Verdana"/>
          <w:sz w:val="20"/>
          <w:szCs w:val="20"/>
        </w:rPr>
        <w:t xml:space="preserve"> en la sección de hechos de la S</w:t>
      </w:r>
      <w:r w:rsidR="001D54B3" w:rsidRPr="003D0AA2">
        <w:rPr>
          <w:rFonts w:ascii="Verdana" w:hAnsi="Verdana"/>
          <w:sz w:val="20"/>
          <w:szCs w:val="20"/>
        </w:rPr>
        <w:t>entencia, que en 1963 el Estado propuso la construcción de una represa hidroeléctrica (llamada Hidroeléctrica Ascanio Villalaz o Complejo Hidroeléctrico de Bayano) en la región del Bayano, la cual suponía la creación de un lago artificial y un embalse que cubriría aproximadamente 350 km</w:t>
      </w:r>
      <w:r w:rsidR="001D54B3" w:rsidRPr="003D0AA2">
        <w:rPr>
          <w:rFonts w:ascii="Verdana" w:hAnsi="Verdana"/>
          <w:sz w:val="20"/>
          <w:szCs w:val="20"/>
          <w:vertAlign w:val="superscript"/>
        </w:rPr>
        <w:t>2</w:t>
      </w:r>
      <w:r w:rsidR="001D54B3" w:rsidRPr="003D0AA2">
        <w:rPr>
          <w:rFonts w:ascii="Verdana" w:hAnsi="Verdana"/>
          <w:sz w:val="20"/>
          <w:szCs w:val="20"/>
        </w:rPr>
        <w:t xml:space="preserve"> del área. Posteriormente, el 8 de mayo de 1969 el Estado adoptó el Decreto de Gabinete No. 123 el cual señaló que “con motivo de la construcción del Proyecto del Río Bayano parte de la actual Reserva Indígena, en el Alto Bayano, será inundada por la obra de embalse” y que era “deber del Estado proveer el área necesaria para la reubicación de los moradores de la reserva mencionada desalojados por la obra de embalse”. Como compensación del “área de la actual Reserva Indígena que será inundada” por dicho proyecto, se disponía el otorgamiento de nuevas tierras (adyacentes y ubicadas al Este de la reserva indígena) declaradas “inadjudicables”</w:t>
      </w:r>
      <w:r w:rsidR="001D54B3" w:rsidRPr="003D0AA2">
        <w:rPr>
          <w:rStyle w:val="FootnoteReference"/>
          <w:rFonts w:ascii="Verdana" w:hAnsi="Verdana"/>
          <w:sz w:val="20"/>
          <w:szCs w:val="20"/>
        </w:rPr>
        <w:footnoteReference w:id="100"/>
      </w:r>
      <w:r w:rsidR="000A5D26">
        <w:rPr>
          <w:rFonts w:ascii="Verdana" w:hAnsi="Verdana"/>
          <w:sz w:val="20"/>
          <w:szCs w:val="20"/>
        </w:rPr>
        <w:t>.</w:t>
      </w:r>
    </w:p>
    <w:p w:rsidR="001D54B3" w:rsidRPr="003D0AA2" w:rsidRDefault="001D54B3" w:rsidP="001D54B3">
      <w:pPr>
        <w:pStyle w:val="ListParagraph"/>
        <w:ind w:left="0"/>
        <w:contextualSpacing w:val="0"/>
        <w:jc w:val="both"/>
        <w:rPr>
          <w:rFonts w:ascii="Verdana" w:hAnsi="Verdana"/>
          <w:sz w:val="20"/>
          <w:szCs w:val="20"/>
        </w:rPr>
      </w:pPr>
    </w:p>
    <w:p w:rsidR="001D54B3" w:rsidRPr="003D0AA2" w:rsidRDefault="00D6179B" w:rsidP="001D54B3">
      <w:pPr>
        <w:pStyle w:val="ListParagraph"/>
        <w:ind w:left="0"/>
        <w:contextualSpacing w:val="0"/>
        <w:jc w:val="both"/>
        <w:rPr>
          <w:rFonts w:ascii="Verdana" w:hAnsi="Verdana"/>
          <w:sz w:val="20"/>
          <w:szCs w:val="20"/>
        </w:rPr>
      </w:pPr>
      <w:r>
        <w:rPr>
          <w:rFonts w:ascii="Verdana" w:hAnsi="Verdana"/>
          <w:sz w:val="20"/>
          <w:szCs w:val="20"/>
        </w:rPr>
        <w:t>62</w:t>
      </w:r>
      <w:r w:rsidR="00EE4CA6" w:rsidRPr="003D0AA2">
        <w:rPr>
          <w:rFonts w:ascii="Verdana" w:hAnsi="Verdana"/>
          <w:sz w:val="20"/>
          <w:szCs w:val="20"/>
        </w:rPr>
        <w:t>.</w:t>
      </w:r>
      <w:r w:rsidR="00EE4CA6" w:rsidRPr="003D0AA2">
        <w:rPr>
          <w:rFonts w:ascii="Verdana" w:hAnsi="Verdana"/>
          <w:sz w:val="20"/>
          <w:szCs w:val="20"/>
        </w:rPr>
        <w:tab/>
      </w:r>
      <w:r w:rsidR="001D54B3" w:rsidRPr="003D0AA2">
        <w:rPr>
          <w:rFonts w:ascii="Verdana" w:hAnsi="Verdana"/>
          <w:sz w:val="20"/>
          <w:szCs w:val="20"/>
        </w:rPr>
        <w:t xml:space="preserve">Igualmente, este Tribunal dio por probado que el 8 de julio de 1971 se promulgó el Decreto de Gabinete No. 156 por el cual se estableció un </w:t>
      </w:r>
      <w:r w:rsidR="001D54B3" w:rsidRPr="003D0AA2">
        <w:rPr>
          <w:rFonts w:ascii="Verdana" w:hAnsi="Verdana"/>
          <w:i/>
          <w:sz w:val="20"/>
          <w:szCs w:val="20"/>
        </w:rPr>
        <w:t>“Fondo Especial de Compensación de Ayuda para los Indígenas del Bayano</w:t>
      </w:r>
      <w:r w:rsidR="001D54B3" w:rsidRPr="003D0AA2">
        <w:rPr>
          <w:rFonts w:ascii="Verdana" w:hAnsi="Verdana"/>
          <w:sz w:val="20"/>
          <w:szCs w:val="20"/>
        </w:rPr>
        <w:t>”</w:t>
      </w:r>
      <w:r w:rsidR="001D54B3" w:rsidRPr="003D0AA2">
        <w:rPr>
          <w:rStyle w:val="FootnoteReference"/>
          <w:rFonts w:ascii="Verdana" w:hAnsi="Verdana"/>
          <w:sz w:val="20"/>
          <w:szCs w:val="20"/>
        </w:rPr>
        <w:t xml:space="preserve"> </w:t>
      </w:r>
      <w:r w:rsidR="001D54B3" w:rsidRPr="003D0AA2">
        <w:rPr>
          <w:rFonts w:ascii="Verdana" w:hAnsi="Verdana"/>
          <w:sz w:val="20"/>
          <w:szCs w:val="20"/>
        </w:rPr>
        <w:t>para los indígenas que habitaban la reserva indígena del Bayano dentro de las áreas declaradas inadjudicables por el Decreto de Gabinete No. 123. Dicho Decreto consideró que “</w:t>
      </w:r>
      <w:r w:rsidR="001D54B3" w:rsidRPr="003D0AA2">
        <w:rPr>
          <w:rFonts w:ascii="Verdana" w:hAnsi="Verdana"/>
          <w:i/>
          <w:sz w:val="20"/>
          <w:szCs w:val="20"/>
        </w:rPr>
        <w:t>los grupos indígenas que habitan en la actual Reserva Indígena del Bayano tendrán que abandonar las tierras que ocupan debido a la ejecución de las obras del Proyecto Hidroeléctrico del Bayano</w:t>
      </w:r>
      <w:r w:rsidR="001D54B3" w:rsidRPr="003D0AA2">
        <w:rPr>
          <w:rFonts w:ascii="Verdana" w:hAnsi="Verdana"/>
          <w:sz w:val="20"/>
          <w:szCs w:val="20"/>
        </w:rPr>
        <w:t>” y que “estos grupos tendrán que ubicarse en las áreas establecidas como inadjudicables por el Decreto de Gabinete No. 123”. Asimismo, ese Decreto reconoció que “</w:t>
      </w:r>
      <w:r w:rsidR="001D54B3" w:rsidRPr="003D0AA2">
        <w:rPr>
          <w:rFonts w:ascii="Verdana" w:hAnsi="Verdana"/>
          <w:i/>
          <w:sz w:val="20"/>
          <w:szCs w:val="20"/>
        </w:rPr>
        <w:t>la mudanza a nuevas áreas implica para los indígenas grandes esfuerzos, acompañados de erogaciones económicas considerables, todo lo cual justifica, por razones de humanidad, las ayudas que el Estado acuerde a su favor</w:t>
      </w:r>
      <w:r w:rsidR="001D54B3" w:rsidRPr="003D0AA2">
        <w:rPr>
          <w:rFonts w:ascii="Verdana" w:hAnsi="Verdana"/>
          <w:sz w:val="20"/>
          <w:szCs w:val="20"/>
        </w:rPr>
        <w:t>” y dispuso que el “Servicio Forestal del Ministerio de Agricultura y Ganadería entregará a los representantes oficialmente reconocidos de los indígenas el monto de los ingresos que en virtud del artículo [segundo] formen parte del fondo especial de compensación y ayuda de que trata este Decreto de Gabinete”</w:t>
      </w:r>
      <w:r w:rsidR="001D54B3" w:rsidRPr="003D0AA2">
        <w:rPr>
          <w:rStyle w:val="FootnoteReference"/>
          <w:rFonts w:ascii="Verdana" w:hAnsi="Verdana"/>
          <w:sz w:val="20"/>
          <w:szCs w:val="20"/>
        </w:rPr>
        <w:footnoteReference w:id="101"/>
      </w:r>
      <w:r w:rsidR="000A5D26">
        <w:rPr>
          <w:rFonts w:ascii="Verdana" w:hAnsi="Verdana"/>
          <w:sz w:val="20"/>
          <w:szCs w:val="20"/>
        </w:rPr>
        <w:t>.</w:t>
      </w:r>
    </w:p>
    <w:p w:rsidR="001D54B3" w:rsidRPr="003D0AA2" w:rsidRDefault="001D54B3" w:rsidP="001D54B3">
      <w:pPr>
        <w:pStyle w:val="ListParagraph"/>
        <w:ind w:left="0"/>
        <w:contextualSpacing w:val="0"/>
        <w:jc w:val="both"/>
        <w:rPr>
          <w:rFonts w:ascii="Verdana" w:hAnsi="Verdana"/>
          <w:sz w:val="20"/>
          <w:szCs w:val="20"/>
        </w:rPr>
      </w:pPr>
    </w:p>
    <w:p w:rsidR="001D54B3" w:rsidRPr="003D0AA2" w:rsidRDefault="00D6179B" w:rsidP="001D54B3">
      <w:pPr>
        <w:pStyle w:val="ListParagraph"/>
        <w:ind w:left="0"/>
        <w:contextualSpacing w:val="0"/>
        <w:jc w:val="both"/>
        <w:rPr>
          <w:rFonts w:ascii="Verdana" w:hAnsi="Verdana"/>
          <w:sz w:val="20"/>
          <w:szCs w:val="20"/>
          <w:lang w:val="es-ES_tradnl"/>
        </w:rPr>
      </w:pPr>
      <w:r>
        <w:rPr>
          <w:rFonts w:ascii="Verdana" w:hAnsi="Verdana"/>
          <w:sz w:val="20"/>
          <w:szCs w:val="20"/>
        </w:rPr>
        <w:t>63</w:t>
      </w:r>
      <w:r w:rsidR="00EE4CA6" w:rsidRPr="003D0AA2">
        <w:rPr>
          <w:rFonts w:ascii="Verdana" w:hAnsi="Verdana"/>
          <w:sz w:val="20"/>
          <w:szCs w:val="20"/>
        </w:rPr>
        <w:t>.</w:t>
      </w:r>
      <w:r w:rsidR="00EE4CA6" w:rsidRPr="003D0AA2">
        <w:rPr>
          <w:rFonts w:ascii="Verdana" w:hAnsi="Verdana"/>
          <w:sz w:val="20"/>
          <w:szCs w:val="20"/>
        </w:rPr>
        <w:tab/>
      </w:r>
      <w:r w:rsidR="001D54B3" w:rsidRPr="003D0AA2">
        <w:rPr>
          <w:rFonts w:ascii="Verdana" w:hAnsi="Verdana"/>
          <w:sz w:val="20"/>
          <w:szCs w:val="20"/>
        </w:rPr>
        <w:t>El Estado inició la construcción de la hidroeléctrica en 1972. Además, se creó el Proyecto de Desarrollo Integral del Bayano mediante el Decreto No. 112 de 15 de noviembre de 1973, el cual dispuso “[r]ealizar el traslado y reubicación de las comunidades ubicadas en las aéreas del embalse [y otras areas]”. De 1973 a 1975 se realizó el traslado de los pueblos Kuna y Emberá en el Alto Bayano. Las comunidades Emberá se trasladaron inicialmente a otros lugares que resultaron inadecuados por lo que se reubicaron nuevamente a las actuales tierras. La construcción de la hidroeléctrica terminó el 16 de marzo de 1976. Como consecuencia de la construcción, varias aldeas indígenas quedaron inundadas y sus habitantes fueron reubicados</w:t>
      </w:r>
      <w:r w:rsidR="001D54B3" w:rsidRPr="003D0AA2">
        <w:rPr>
          <w:rStyle w:val="FootnoteReference"/>
          <w:rFonts w:ascii="Verdana" w:hAnsi="Verdana"/>
          <w:sz w:val="20"/>
          <w:szCs w:val="20"/>
        </w:rPr>
        <w:footnoteReference w:id="102"/>
      </w:r>
      <w:r w:rsidR="000A5D26">
        <w:rPr>
          <w:rFonts w:ascii="Verdana" w:hAnsi="Verdana"/>
          <w:sz w:val="20"/>
          <w:szCs w:val="20"/>
        </w:rPr>
        <w:t>.</w:t>
      </w:r>
    </w:p>
    <w:p w:rsidR="001D54B3" w:rsidRPr="003D0AA2" w:rsidRDefault="001D54B3" w:rsidP="001D54B3">
      <w:pPr>
        <w:pStyle w:val="ListParagraph"/>
        <w:ind w:left="0"/>
        <w:contextualSpacing w:val="0"/>
        <w:jc w:val="both"/>
        <w:rPr>
          <w:rFonts w:ascii="Verdana" w:hAnsi="Verdana"/>
          <w:sz w:val="20"/>
          <w:szCs w:val="20"/>
        </w:rPr>
      </w:pPr>
      <w:bookmarkStart w:id="2" w:name="_Toc393988460"/>
      <w:bookmarkStart w:id="3" w:name="_Toc394003964"/>
      <w:bookmarkStart w:id="4" w:name="_Toc393988461"/>
      <w:bookmarkStart w:id="5" w:name="_Toc394003965"/>
      <w:bookmarkStart w:id="6" w:name="_Toc393988462"/>
      <w:bookmarkStart w:id="7" w:name="_Toc394003966"/>
      <w:bookmarkStart w:id="8" w:name="_Toc393988463"/>
      <w:bookmarkStart w:id="9" w:name="_Toc394003967"/>
      <w:bookmarkStart w:id="10" w:name="_Toc393988464"/>
      <w:bookmarkStart w:id="11" w:name="_Toc394003968"/>
      <w:bookmarkStart w:id="12" w:name="_Toc393988465"/>
      <w:bookmarkStart w:id="13" w:name="_Toc394003969"/>
      <w:bookmarkStart w:id="14" w:name="_Toc393988466"/>
      <w:bookmarkStart w:id="15" w:name="_Toc394003970"/>
      <w:bookmarkStart w:id="16" w:name="_Toc393988467"/>
      <w:bookmarkStart w:id="17" w:name="_Toc394003971"/>
      <w:bookmarkStart w:id="18" w:name="_Toc393988468"/>
      <w:bookmarkStart w:id="19" w:name="_Toc394003972"/>
      <w:bookmarkStart w:id="20" w:name="_Toc393988469"/>
      <w:bookmarkStart w:id="21" w:name="_Toc394003973"/>
      <w:bookmarkStart w:id="22" w:name="_Toc393988470"/>
      <w:bookmarkStart w:id="23" w:name="_Toc394003974"/>
      <w:bookmarkStart w:id="24" w:name="_Toc393988471"/>
      <w:bookmarkStart w:id="25" w:name="_Toc394003975"/>
      <w:bookmarkStart w:id="26" w:name="_Toc393988472"/>
      <w:bookmarkStart w:id="27" w:name="_Toc394003976"/>
      <w:bookmarkStart w:id="28" w:name="_Toc393988473"/>
      <w:bookmarkStart w:id="29" w:name="_Toc394003977"/>
      <w:bookmarkStart w:id="30" w:name="_Toc393988474"/>
      <w:bookmarkStart w:id="31" w:name="_Toc394003978"/>
      <w:bookmarkStart w:id="32" w:name="_Toc393988475"/>
      <w:bookmarkStart w:id="33" w:name="_Toc394003979"/>
      <w:bookmarkStart w:id="34" w:name="_Toc393988476"/>
      <w:bookmarkStart w:id="35" w:name="_Toc394003980"/>
      <w:bookmarkStart w:id="36" w:name="_Toc383161751"/>
      <w:bookmarkStart w:id="37" w:name="_Toc38318838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1D54B3" w:rsidRPr="003D0AA2" w:rsidRDefault="00D6179B" w:rsidP="001D54B3">
      <w:pPr>
        <w:pStyle w:val="ListParagraph"/>
        <w:ind w:left="0"/>
        <w:contextualSpacing w:val="0"/>
        <w:jc w:val="both"/>
        <w:rPr>
          <w:rFonts w:ascii="Verdana" w:hAnsi="Verdana"/>
          <w:bCs/>
          <w:sz w:val="20"/>
          <w:szCs w:val="20"/>
        </w:rPr>
      </w:pPr>
      <w:r>
        <w:rPr>
          <w:rFonts w:ascii="Verdana" w:hAnsi="Verdana"/>
          <w:sz w:val="20"/>
          <w:szCs w:val="20"/>
        </w:rPr>
        <w:t>64</w:t>
      </w:r>
      <w:r w:rsidR="00EE4CA6" w:rsidRPr="003D0AA2">
        <w:rPr>
          <w:rFonts w:ascii="Verdana" w:hAnsi="Verdana"/>
          <w:sz w:val="20"/>
          <w:szCs w:val="20"/>
        </w:rPr>
        <w:t>.</w:t>
      </w:r>
      <w:r w:rsidR="00EE4CA6" w:rsidRPr="003D0AA2">
        <w:rPr>
          <w:rFonts w:ascii="Verdana" w:hAnsi="Verdana"/>
          <w:sz w:val="20"/>
          <w:szCs w:val="20"/>
        </w:rPr>
        <w:tab/>
      </w:r>
      <w:r w:rsidR="001D54B3" w:rsidRPr="003D0AA2">
        <w:rPr>
          <w:rFonts w:ascii="Verdana" w:hAnsi="Verdana"/>
          <w:sz w:val="20"/>
          <w:szCs w:val="20"/>
        </w:rPr>
        <w:t xml:space="preserve">La Corte determinó que entre 1975 y 1980 las autoridades estatales firmaron cuatro acuerdos principales con los representantes indígenas. Primero el acuerdo de Majecito en 1975 con los Emberá que se refirió a los lineamientos generales de la reubicación de dicha Comunidad, y posteriormente los acuerdos de Farallón en 1976; de Fuerte Cimarrón en 1977, y de la Espriella en 1980 con los Kuna de Mandungandí los cuales se refirieron a las indemnizaciones supuestamente acordadas entre las partes, como compensación de la inundación de las tierras indígenas y su desplazamiento. </w:t>
      </w:r>
      <w:r w:rsidR="001D54B3" w:rsidRPr="003D0AA2">
        <w:rPr>
          <w:rFonts w:ascii="Verdana" w:hAnsi="Verdana"/>
          <w:bCs/>
          <w:sz w:val="20"/>
          <w:szCs w:val="20"/>
        </w:rPr>
        <w:t xml:space="preserve">En los </w:t>
      </w:r>
      <w:r w:rsidR="001D54B3" w:rsidRPr="003D0AA2">
        <w:rPr>
          <w:rFonts w:ascii="Verdana" w:hAnsi="Verdana"/>
          <w:sz w:val="20"/>
          <w:szCs w:val="20"/>
        </w:rPr>
        <w:t>años</w:t>
      </w:r>
      <w:r w:rsidR="001D54B3" w:rsidRPr="003D0AA2">
        <w:rPr>
          <w:rFonts w:ascii="Verdana" w:hAnsi="Verdana"/>
          <w:bCs/>
          <w:sz w:val="20"/>
          <w:szCs w:val="20"/>
        </w:rPr>
        <w:t xml:space="preserve"> posteriores a estos acuerdos, se realizaron varias </w:t>
      </w:r>
      <w:r w:rsidR="001D54B3" w:rsidRPr="003D0AA2">
        <w:rPr>
          <w:rFonts w:ascii="Verdana" w:hAnsi="Verdana"/>
          <w:bCs/>
          <w:sz w:val="20"/>
          <w:szCs w:val="20"/>
        </w:rPr>
        <w:lastRenderedPageBreak/>
        <w:t xml:space="preserve">reuniones entre dichas partes con el fin, </w:t>
      </w:r>
      <w:r w:rsidR="001D54B3" w:rsidRPr="003D0AA2">
        <w:rPr>
          <w:rFonts w:ascii="Verdana" w:hAnsi="Verdana"/>
          <w:sz w:val="20"/>
          <w:szCs w:val="20"/>
        </w:rPr>
        <w:t>principalmente</w:t>
      </w:r>
      <w:r w:rsidR="001D54B3" w:rsidRPr="003D0AA2">
        <w:rPr>
          <w:rFonts w:ascii="Verdana" w:hAnsi="Verdana"/>
          <w:bCs/>
          <w:sz w:val="20"/>
          <w:szCs w:val="20"/>
        </w:rPr>
        <w:t>, de buscar una solución al conflicto sobre las tierras entre los indígenas y los colonos, así como reconocer los derechos sobre las tierras de los indígenas Kuna y Emberá</w:t>
      </w:r>
      <w:r w:rsidR="001D54B3" w:rsidRPr="003D0AA2">
        <w:rPr>
          <w:rStyle w:val="FootnoteReference"/>
          <w:rFonts w:ascii="Verdana" w:hAnsi="Verdana"/>
          <w:bCs/>
          <w:sz w:val="20"/>
          <w:szCs w:val="20"/>
        </w:rPr>
        <w:footnoteReference w:id="103"/>
      </w:r>
      <w:r w:rsidR="000A5D26">
        <w:rPr>
          <w:rFonts w:ascii="Verdana" w:hAnsi="Verdana"/>
          <w:bCs/>
          <w:sz w:val="20"/>
          <w:szCs w:val="20"/>
        </w:rPr>
        <w:t>.</w:t>
      </w:r>
    </w:p>
    <w:p w:rsidR="001D54B3" w:rsidRPr="003D0AA2" w:rsidRDefault="001D54B3" w:rsidP="001D54B3">
      <w:pPr>
        <w:pStyle w:val="ListParagraph"/>
        <w:ind w:left="0"/>
        <w:contextualSpacing w:val="0"/>
        <w:jc w:val="both"/>
        <w:rPr>
          <w:rFonts w:ascii="Verdana" w:hAnsi="Verdana"/>
          <w:bCs/>
          <w:sz w:val="20"/>
          <w:szCs w:val="20"/>
        </w:rPr>
      </w:pPr>
    </w:p>
    <w:p w:rsidR="001D54B3" w:rsidRPr="003D0AA2" w:rsidRDefault="00D6179B" w:rsidP="001D54B3">
      <w:pPr>
        <w:pStyle w:val="ListParagraph"/>
        <w:ind w:left="0"/>
        <w:contextualSpacing w:val="0"/>
        <w:jc w:val="both"/>
        <w:rPr>
          <w:rFonts w:ascii="Verdana" w:hAnsi="Verdana"/>
          <w:sz w:val="20"/>
          <w:szCs w:val="20"/>
        </w:rPr>
      </w:pPr>
      <w:r>
        <w:rPr>
          <w:rFonts w:ascii="Verdana" w:hAnsi="Verdana"/>
          <w:bCs/>
          <w:sz w:val="20"/>
          <w:szCs w:val="20"/>
        </w:rPr>
        <w:t>65</w:t>
      </w:r>
      <w:r w:rsidR="00EE4CA6" w:rsidRPr="003D0AA2">
        <w:rPr>
          <w:rFonts w:ascii="Verdana" w:hAnsi="Verdana"/>
          <w:bCs/>
          <w:sz w:val="20"/>
          <w:szCs w:val="20"/>
        </w:rPr>
        <w:t>.</w:t>
      </w:r>
      <w:r w:rsidR="00EE4CA6" w:rsidRPr="003D0AA2">
        <w:rPr>
          <w:rFonts w:ascii="Verdana" w:hAnsi="Verdana"/>
          <w:bCs/>
          <w:sz w:val="20"/>
          <w:szCs w:val="20"/>
        </w:rPr>
        <w:tab/>
      </w:r>
      <w:r w:rsidR="001D54B3" w:rsidRPr="003D0AA2">
        <w:rPr>
          <w:rFonts w:ascii="Verdana" w:hAnsi="Verdana"/>
          <w:bCs/>
          <w:sz w:val="20"/>
          <w:szCs w:val="20"/>
        </w:rPr>
        <w:t xml:space="preserve">Así, al </w:t>
      </w:r>
      <w:r w:rsidR="001D54B3" w:rsidRPr="003D0AA2">
        <w:rPr>
          <w:rFonts w:ascii="Verdana" w:hAnsi="Verdana"/>
          <w:sz w:val="20"/>
          <w:szCs w:val="20"/>
        </w:rPr>
        <w:t>comienzo de los años 80, se constituyó una Comisión de carácter interinstitucional que se encargaría “del Ordenamiento y Manejo Integral de la Cuenca Hidrográfica de Alto Bayano” que se propuso como tarea, entre otros, hacer un primer estudio de la situación de tenencia de la tierra en algunas áreas que se consideraban conflictivas y entrar a definir los límites entre la Reserva de Madungandí y los colonos.</w:t>
      </w:r>
      <w:r w:rsidR="001D54B3" w:rsidRPr="003D0AA2">
        <w:rPr>
          <w:rFonts w:ascii="Verdana" w:hAnsi="Verdana"/>
          <w:bCs/>
          <w:i/>
          <w:sz w:val="20"/>
          <w:szCs w:val="20"/>
        </w:rPr>
        <w:t xml:space="preserve"> </w:t>
      </w:r>
      <w:r w:rsidR="001D54B3" w:rsidRPr="003D0AA2">
        <w:rPr>
          <w:rFonts w:ascii="Verdana" w:hAnsi="Verdana"/>
          <w:sz w:val="20"/>
          <w:szCs w:val="20"/>
        </w:rPr>
        <w:t xml:space="preserve">Del mismo modo, </w:t>
      </w:r>
      <w:bookmarkEnd w:id="36"/>
      <w:bookmarkEnd w:id="37"/>
      <w:r w:rsidR="001D54B3" w:rsidRPr="003D0AA2">
        <w:rPr>
          <w:rFonts w:ascii="Verdana" w:hAnsi="Verdana"/>
          <w:sz w:val="20"/>
          <w:szCs w:val="20"/>
        </w:rPr>
        <w:t xml:space="preserve">el 23 de abril de 1982, el Gobierno promulgó el Decreto No. 5-A que reglamentó la adjudicación de parcelas, a título de venta, a colonos y ocupantes de tierras rurales declaradas como propiedad estatal, excluyendo las áreas de las tierras de los indígenas Kuna y Emberá. Posteriormente, el 3 de agosto de 1984 representantes del Estado, del pueblo Kuna y de la Corporación Bayano firmaron un “Convenio de Acuerdo Mutuo” el cual estableció, </w:t>
      </w:r>
      <w:r w:rsidR="001D54B3" w:rsidRPr="003D0AA2">
        <w:rPr>
          <w:rFonts w:ascii="Verdana" w:hAnsi="Verdana"/>
          <w:i/>
          <w:sz w:val="20"/>
          <w:szCs w:val="20"/>
        </w:rPr>
        <w:t>inter alia</w:t>
      </w:r>
      <w:r w:rsidR="001D54B3" w:rsidRPr="003D0AA2">
        <w:rPr>
          <w:rFonts w:ascii="Verdana" w:hAnsi="Verdana"/>
          <w:sz w:val="20"/>
          <w:szCs w:val="20"/>
        </w:rPr>
        <w:t>, que “</w:t>
      </w:r>
      <w:r w:rsidR="001D54B3" w:rsidRPr="003D0AA2">
        <w:rPr>
          <w:rFonts w:ascii="Verdana" w:hAnsi="Verdana"/>
          <w:i/>
          <w:sz w:val="20"/>
          <w:szCs w:val="20"/>
        </w:rPr>
        <w:t>se h[izo] ineludible cumplir con las responsabilidades adquiridas por el Gobierno Nacional con las comunidades indígenas Kunas ubicadas en el área</w:t>
      </w:r>
      <w:r w:rsidR="001D54B3" w:rsidRPr="003D0AA2">
        <w:rPr>
          <w:rFonts w:ascii="Verdana" w:hAnsi="Verdana"/>
          <w:sz w:val="20"/>
          <w:szCs w:val="20"/>
        </w:rPr>
        <w:t>” y que “uno de los compromisos adquiridos se refiere a la creación de la Comarca Kuna de Madungandí”</w:t>
      </w:r>
      <w:r w:rsidR="001D54B3" w:rsidRPr="003D0AA2">
        <w:rPr>
          <w:rStyle w:val="FootnoteReference"/>
          <w:rFonts w:ascii="Verdana" w:hAnsi="Verdana"/>
          <w:sz w:val="20"/>
          <w:szCs w:val="20"/>
        </w:rPr>
        <w:footnoteReference w:id="104"/>
      </w:r>
      <w:r w:rsidR="000A5D26">
        <w:rPr>
          <w:rFonts w:ascii="Verdana" w:hAnsi="Verdana"/>
          <w:sz w:val="20"/>
          <w:szCs w:val="20"/>
        </w:rPr>
        <w:t>.</w:t>
      </w:r>
      <w:r w:rsidR="001D54B3" w:rsidRPr="003D0AA2">
        <w:rPr>
          <w:rFonts w:ascii="Verdana" w:hAnsi="Verdana"/>
          <w:sz w:val="20"/>
          <w:szCs w:val="20"/>
        </w:rPr>
        <w:t xml:space="preserve"> </w:t>
      </w:r>
    </w:p>
    <w:p w:rsidR="001D54B3" w:rsidRPr="003D0AA2" w:rsidRDefault="001D54B3" w:rsidP="001D54B3">
      <w:pPr>
        <w:jc w:val="both"/>
        <w:rPr>
          <w:rFonts w:ascii="Verdana" w:hAnsi="Verdana"/>
          <w:sz w:val="20"/>
          <w:szCs w:val="20"/>
        </w:rPr>
      </w:pPr>
    </w:p>
    <w:p w:rsidR="001D54B3" w:rsidRPr="003D0AA2" w:rsidRDefault="00D6179B" w:rsidP="001D54B3">
      <w:pPr>
        <w:jc w:val="both"/>
        <w:rPr>
          <w:rFonts w:ascii="Verdana" w:hAnsi="Verdana"/>
          <w:sz w:val="20"/>
          <w:szCs w:val="20"/>
        </w:rPr>
      </w:pPr>
      <w:r>
        <w:rPr>
          <w:rFonts w:ascii="Verdana" w:hAnsi="Verdana"/>
          <w:sz w:val="20"/>
          <w:szCs w:val="20"/>
        </w:rPr>
        <w:t>66</w:t>
      </w:r>
      <w:r w:rsidR="00EE4CA6" w:rsidRPr="003D0AA2">
        <w:rPr>
          <w:rFonts w:ascii="Verdana" w:hAnsi="Verdana"/>
          <w:sz w:val="20"/>
          <w:szCs w:val="20"/>
        </w:rPr>
        <w:t>.</w:t>
      </w:r>
      <w:r w:rsidR="00EE4CA6" w:rsidRPr="003D0AA2">
        <w:rPr>
          <w:rFonts w:ascii="Verdana" w:hAnsi="Verdana"/>
          <w:sz w:val="20"/>
          <w:szCs w:val="20"/>
        </w:rPr>
        <w:tab/>
      </w:r>
      <w:r w:rsidR="001D54B3" w:rsidRPr="003D0AA2">
        <w:rPr>
          <w:rFonts w:ascii="Verdana" w:hAnsi="Verdana"/>
          <w:sz w:val="20"/>
          <w:szCs w:val="20"/>
        </w:rPr>
        <w:t>Posteriormente, al comienzo de los años 90’ se incrementó la incursión de personas que no son indígenas a las tierras de las comunidades Kuna y Emberá, y se intensificó la conflictividad en la zona, que originó múltiples respuestas estatales como la creación de un “Equipo Interdisciplinario Gubernamental”, integrado por varias entidades estatales el cual elaboró un acuerdo firmado el 23 de marzo de 1990 por dichas entidades y dos comisionados indígenas del Bayano. Después, el 16 de julio de 1991 se firmó el “Acuerdo de Trabajo para el Reordenamiento Territorial de Alto Bayano”.</w:t>
      </w:r>
      <w:r w:rsidR="001D54B3" w:rsidRPr="003D0AA2">
        <w:rPr>
          <w:rStyle w:val="FootnoteReference"/>
          <w:rFonts w:ascii="Verdana" w:hAnsi="Verdana"/>
          <w:sz w:val="20"/>
          <w:szCs w:val="20"/>
        </w:rPr>
        <w:footnoteReference w:id="105"/>
      </w:r>
    </w:p>
    <w:p w:rsidR="001D54B3" w:rsidRPr="003D0AA2" w:rsidRDefault="001D54B3" w:rsidP="001D54B3">
      <w:pPr>
        <w:pStyle w:val="ListParagraph"/>
        <w:ind w:left="0"/>
        <w:contextualSpacing w:val="0"/>
        <w:jc w:val="both"/>
        <w:rPr>
          <w:rFonts w:ascii="Verdana" w:hAnsi="Verdana"/>
          <w:sz w:val="20"/>
          <w:szCs w:val="20"/>
        </w:rPr>
      </w:pPr>
    </w:p>
    <w:p w:rsidR="001D54B3" w:rsidRPr="003D0AA2" w:rsidRDefault="00D6179B" w:rsidP="001D54B3">
      <w:pPr>
        <w:pStyle w:val="ListParagraph"/>
        <w:ind w:left="0"/>
        <w:contextualSpacing w:val="0"/>
        <w:jc w:val="both"/>
        <w:rPr>
          <w:rFonts w:ascii="Verdana" w:hAnsi="Verdana"/>
          <w:sz w:val="20"/>
          <w:szCs w:val="20"/>
        </w:rPr>
      </w:pPr>
      <w:r>
        <w:rPr>
          <w:rFonts w:ascii="Verdana" w:hAnsi="Verdana"/>
          <w:sz w:val="20"/>
          <w:szCs w:val="20"/>
        </w:rPr>
        <w:t>67</w:t>
      </w:r>
      <w:r w:rsidR="00EE4CA6" w:rsidRPr="003D0AA2">
        <w:rPr>
          <w:rFonts w:ascii="Verdana" w:hAnsi="Verdana"/>
          <w:sz w:val="20"/>
          <w:szCs w:val="20"/>
        </w:rPr>
        <w:t>.</w:t>
      </w:r>
      <w:r w:rsidR="00EE4CA6" w:rsidRPr="003D0AA2">
        <w:rPr>
          <w:rFonts w:ascii="Verdana" w:hAnsi="Verdana"/>
          <w:sz w:val="20"/>
          <w:szCs w:val="20"/>
        </w:rPr>
        <w:tab/>
      </w:r>
      <w:r w:rsidR="001D54B3" w:rsidRPr="003D0AA2">
        <w:rPr>
          <w:rFonts w:ascii="Verdana" w:hAnsi="Verdana"/>
          <w:sz w:val="20"/>
          <w:szCs w:val="20"/>
        </w:rPr>
        <w:t>El 24 de enero de 1992 el Director General de la Corporación para el Desarrollo Integral del Bayano emitió la Resolución 002 resolviendo recuperar dichas tierras y “[e]stablecer un programa de ordenamiento territorial con el propósito de resolver de manera permanente los conflictos existentes”. El 17 de marzo de 1992 el Ministro de Gobierno y Justicia emitió la Resolución No. 63  la cual se refirió a la referida Resolución 002 y confirió a la Gobernación de la Provincia y la Alcaldía de Chepo las facultades necesarias para ordenar la reubicación de los “[C]olones invasores en las áreas de conflicto”</w:t>
      </w:r>
      <w:r w:rsidR="001D54B3" w:rsidRPr="003D0AA2">
        <w:rPr>
          <w:rStyle w:val="FootnoteReference"/>
          <w:rFonts w:ascii="Verdana" w:hAnsi="Verdana"/>
          <w:sz w:val="20"/>
          <w:szCs w:val="20"/>
        </w:rPr>
        <w:footnoteReference w:id="106"/>
      </w:r>
      <w:r w:rsidR="00DF7694">
        <w:rPr>
          <w:rFonts w:ascii="Verdana" w:hAnsi="Verdana"/>
          <w:sz w:val="20"/>
          <w:szCs w:val="20"/>
        </w:rPr>
        <w:t>.</w:t>
      </w:r>
    </w:p>
    <w:p w:rsidR="001D54B3" w:rsidRPr="003D0AA2" w:rsidRDefault="001D54B3" w:rsidP="001D54B3">
      <w:pPr>
        <w:jc w:val="both"/>
        <w:rPr>
          <w:rFonts w:ascii="Verdana" w:hAnsi="Verdana"/>
          <w:sz w:val="20"/>
          <w:szCs w:val="20"/>
        </w:rPr>
      </w:pPr>
    </w:p>
    <w:p w:rsidR="00EE4CA6" w:rsidRPr="003D0AA2" w:rsidRDefault="00D6179B" w:rsidP="001D54B3">
      <w:pPr>
        <w:jc w:val="both"/>
        <w:rPr>
          <w:rFonts w:ascii="Verdana" w:hAnsi="Verdana"/>
          <w:sz w:val="20"/>
          <w:szCs w:val="20"/>
        </w:rPr>
      </w:pPr>
      <w:r>
        <w:rPr>
          <w:rFonts w:ascii="Verdana" w:hAnsi="Verdana"/>
          <w:sz w:val="20"/>
          <w:szCs w:val="20"/>
        </w:rPr>
        <w:t>68</w:t>
      </w:r>
      <w:r w:rsidR="00EE4CA6" w:rsidRPr="003D0AA2">
        <w:rPr>
          <w:rFonts w:ascii="Verdana" w:hAnsi="Verdana"/>
          <w:sz w:val="20"/>
          <w:szCs w:val="20"/>
        </w:rPr>
        <w:t>.</w:t>
      </w:r>
      <w:r w:rsidR="00EE4CA6" w:rsidRPr="003D0AA2">
        <w:rPr>
          <w:rFonts w:ascii="Verdana" w:hAnsi="Verdana"/>
          <w:sz w:val="20"/>
          <w:szCs w:val="20"/>
        </w:rPr>
        <w:tab/>
      </w:r>
      <w:r w:rsidR="001D54B3" w:rsidRPr="003D0AA2">
        <w:rPr>
          <w:rFonts w:ascii="Verdana" w:hAnsi="Verdana"/>
          <w:sz w:val="20"/>
          <w:szCs w:val="20"/>
        </w:rPr>
        <w:t>En lo sucesivo se verificaron diversos actos estatales como la integración de una Comisión Mixta, integrada por representantes estatales e indígenas, la cual elaboró un estudio sobre la creación de una comarca para los Kuna y la demarcación de las tierras colectivas de las 42 comunidades Emberá,</w:t>
      </w:r>
      <w:r w:rsidR="001D54B3" w:rsidRPr="003D0AA2">
        <w:rPr>
          <w:rStyle w:val="FootnoteReference"/>
          <w:rFonts w:ascii="Verdana" w:hAnsi="Verdana"/>
          <w:sz w:val="20"/>
          <w:szCs w:val="20"/>
        </w:rPr>
        <w:footnoteReference w:id="107"/>
      </w:r>
      <w:r w:rsidR="001D54B3" w:rsidRPr="003D0AA2">
        <w:rPr>
          <w:rFonts w:ascii="Verdana" w:hAnsi="Verdana"/>
          <w:sz w:val="20"/>
          <w:szCs w:val="20"/>
        </w:rPr>
        <w:t xml:space="preserve"> el 31 de enero de 1995 fue celebrada una reuni</w:t>
      </w:r>
      <w:r w:rsidR="00DF7694">
        <w:rPr>
          <w:rFonts w:ascii="Verdana" w:hAnsi="Verdana"/>
          <w:sz w:val="20"/>
          <w:szCs w:val="20"/>
        </w:rPr>
        <w:t xml:space="preserve">ón entre autoridades estatales, </w:t>
      </w:r>
      <w:r w:rsidR="001D54B3" w:rsidRPr="003D0AA2">
        <w:rPr>
          <w:rFonts w:ascii="Verdana" w:hAnsi="Verdana"/>
          <w:sz w:val="20"/>
          <w:szCs w:val="20"/>
        </w:rPr>
        <w:t xml:space="preserve">el Cacique General de Madungandí y representantes de los campesinos de las diferentes comunidades en conflicto y fue suscrito un acuerdo. Asimismo el 29 de diciembre de 1995 se aprobó la ley creando la </w:t>
      </w:r>
      <w:r w:rsidR="001D54B3" w:rsidRPr="003D0AA2">
        <w:rPr>
          <w:rFonts w:ascii="Verdana" w:hAnsi="Verdana"/>
          <w:sz w:val="20"/>
          <w:szCs w:val="20"/>
        </w:rPr>
        <w:lastRenderedPageBreak/>
        <w:t>Comarca Kuna de una superficie aproximada de 1,800 km2, la cual fue refrendada como Ley No. 24 el 12 de enero de 1996</w:t>
      </w:r>
      <w:r w:rsidR="001D54B3" w:rsidRPr="003D0AA2">
        <w:rPr>
          <w:rStyle w:val="FootnoteReference"/>
          <w:rFonts w:ascii="Verdana" w:hAnsi="Verdana"/>
          <w:sz w:val="20"/>
          <w:szCs w:val="20"/>
        </w:rPr>
        <w:footnoteReference w:id="108"/>
      </w:r>
      <w:r w:rsidR="00DF7694">
        <w:rPr>
          <w:rFonts w:ascii="Verdana" w:hAnsi="Verdana"/>
          <w:sz w:val="20"/>
          <w:szCs w:val="20"/>
        </w:rPr>
        <w:t>.</w:t>
      </w:r>
      <w:r w:rsidR="001D54B3" w:rsidRPr="003D0AA2">
        <w:rPr>
          <w:rFonts w:ascii="Verdana" w:hAnsi="Verdana"/>
          <w:sz w:val="20"/>
          <w:szCs w:val="20"/>
        </w:rPr>
        <w:t xml:space="preserve"> </w:t>
      </w:r>
      <w:bookmarkStart w:id="38" w:name="_Toc383161753"/>
      <w:bookmarkStart w:id="39" w:name="_Toc383188382"/>
      <w:bookmarkStart w:id="40" w:name="_Toc401217439"/>
    </w:p>
    <w:p w:rsidR="00EE4CA6" w:rsidRPr="003D0AA2" w:rsidRDefault="00EE4CA6" w:rsidP="001D54B3">
      <w:pPr>
        <w:jc w:val="both"/>
        <w:rPr>
          <w:rFonts w:ascii="Verdana" w:hAnsi="Verdana"/>
          <w:sz w:val="20"/>
          <w:szCs w:val="20"/>
        </w:rPr>
      </w:pPr>
    </w:p>
    <w:p w:rsidR="001D54B3" w:rsidRPr="003D0AA2" w:rsidRDefault="00D6179B" w:rsidP="001D54B3">
      <w:pPr>
        <w:jc w:val="both"/>
        <w:rPr>
          <w:rFonts w:ascii="Verdana" w:hAnsi="Verdana"/>
          <w:sz w:val="20"/>
          <w:szCs w:val="20"/>
        </w:rPr>
      </w:pPr>
      <w:r>
        <w:rPr>
          <w:rFonts w:ascii="Verdana" w:hAnsi="Verdana"/>
          <w:sz w:val="20"/>
          <w:szCs w:val="20"/>
        </w:rPr>
        <w:t>69</w:t>
      </w:r>
      <w:r w:rsidR="00EE4CA6" w:rsidRPr="003D0AA2">
        <w:rPr>
          <w:rFonts w:ascii="Verdana" w:hAnsi="Verdana"/>
          <w:sz w:val="20"/>
          <w:szCs w:val="20"/>
        </w:rPr>
        <w:t>.</w:t>
      </w:r>
      <w:r w:rsidR="00EE4CA6" w:rsidRPr="003D0AA2">
        <w:rPr>
          <w:rFonts w:ascii="Verdana" w:hAnsi="Verdana"/>
          <w:sz w:val="20"/>
          <w:szCs w:val="20"/>
        </w:rPr>
        <w:tab/>
      </w:r>
      <w:r w:rsidR="001D54B3" w:rsidRPr="003D0AA2">
        <w:rPr>
          <w:rFonts w:ascii="Verdana" w:hAnsi="Verdana"/>
          <w:sz w:val="20"/>
          <w:szCs w:val="20"/>
        </w:rPr>
        <w:t>A raíz de diversos problemas surgidos por conflictos con “colonos” en la zona, según los hechos del caso, se crearon Mesas de Concertación en torno al Programa de Desarrollo Sostenible del Darién</w:t>
      </w:r>
      <w:bookmarkEnd w:id="38"/>
      <w:bookmarkEnd w:id="39"/>
      <w:bookmarkEnd w:id="40"/>
      <w:r w:rsidR="001D54B3" w:rsidRPr="003D0AA2">
        <w:rPr>
          <w:rFonts w:ascii="Verdana" w:hAnsi="Verdana"/>
          <w:sz w:val="20"/>
          <w:szCs w:val="20"/>
        </w:rPr>
        <w:t xml:space="preserve"> desde 1996 lo que originó que entre abril y junio de 2000 se llevara a cabo la demarcación física de la Comarca Kuna, proceso que fue realizado en coordinación con los representantes indígenas</w:t>
      </w:r>
      <w:r w:rsidR="001D54B3" w:rsidRPr="003D0AA2">
        <w:rPr>
          <w:rStyle w:val="FootnoteReference"/>
          <w:rFonts w:ascii="Verdana" w:hAnsi="Verdana"/>
          <w:sz w:val="20"/>
          <w:szCs w:val="20"/>
        </w:rPr>
        <w:footnoteReference w:id="109"/>
      </w:r>
      <w:r w:rsidR="00DF7694">
        <w:rPr>
          <w:rFonts w:ascii="Verdana" w:hAnsi="Verdana"/>
          <w:sz w:val="20"/>
          <w:szCs w:val="20"/>
        </w:rPr>
        <w:t>.</w:t>
      </w:r>
      <w:r w:rsidR="001D54B3" w:rsidRPr="003D0AA2">
        <w:rPr>
          <w:rFonts w:ascii="Verdana" w:hAnsi="Verdana"/>
          <w:sz w:val="20"/>
          <w:szCs w:val="20"/>
        </w:rPr>
        <w:t xml:space="preserve"> Sin contar los diversos esfuerzos en el sistema interamericano para buscar una solución amistosa a esta situación,</w:t>
      </w:r>
      <w:r w:rsidR="001D54B3" w:rsidRPr="003D0AA2">
        <w:rPr>
          <w:rStyle w:val="FootnoteReference"/>
          <w:rFonts w:ascii="Verdana" w:hAnsi="Verdana"/>
          <w:sz w:val="20"/>
          <w:szCs w:val="20"/>
        </w:rPr>
        <w:footnoteReference w:id="110"/>
      </w:r>
      <w:r w:rsidR="001D54B3" w:rsidRPr="003D0AA2">
        <w:rPr>
          <w:rFonts w:ascii="Verdana" w:hAnsi="Verdana"/>
          <w:sz w:val="20"/>
          <w:szCs w:val="20"/>
        </w:rPr>
        <w:t xml:space="preserve"> y la creación de una Comisión de Alto Nivel Presidencial, así como el establecimiento de un procedimiento para la adjudicación de propiedad colectiva de tierras indígenas y la delimitación de tierras Emberá</w:t>
      </w:r>
      <w:r w:rsidR="001D54B3" w:rsidRPr="003D0AA2">
        <w:rPr>
          <w:rStyle w:val="FootnoteReference"/>
          <w:rFonts w:ascii="Verdana" w:hAnsi="Verdana"/>
          <w:sz w:val="20"/>
          <w:szCs w:val="20"/>
        </w:rPr>
        <w:footnoteReference w:id="111"/>
      </w:r>
      <w:r w:rsidR="00DF7694">
        <w:rPr>
          <w:rFonts w:ascii="Verdana" w:hAnsi="Verdana"/>
          <w:sz w:val="20"/>
          <w:szCs w:val="20"/>
        </w:rPr>
        <w:t>.</w:t>
      </w:r>
    </w:p>
    <w:p w:rsidR="00EE4CA6" w:rsidRPr="003D0AA2" w:rsidRDefault="00EE4CA6" w:rsidP="001D54B3">
      <w:pPr>
        <w:jc w:val="both"/>
        <w:rPr>
          <w:rFonts w:ascii="Verdana" w:hAnsi="Verdana"/>
          <w:sz w:val="20"/>
          <w:szCs w:val="20"/>
        </w:rPr>
      </w:pPr>
    </w:p>
    <w:p w:rsidR="00DF7694" w:rsidRDefault="00D6179B" w:rsidP="001D54B3">
      <w:pPr>
        <w:jc w:val="both"/>
        <w:rPr>
          <w:rFonts w:ascii="Verdana" w:hAnsi="Verdana"/>
          <w:sz w:val="20"/>
          <w:szCs w:val="20"/>
          <w:lang w:val="es-MX"/>
        </w:rPr>
      </w:pPr>
      <w:r>
        <w:rPr>
          <w:rFonts w:ascii="Verdana" w:hAnsi="Verdana"/>
          <w:sz w:val="20"/>
          <w:szCs w:val="20"/>
        </w:rPr>
        <w:t>70</w:t>
      </w:r>
      <w:r w:rsidR="00EE4CA6" w:rsidRPr="003D0AA2">
        <w:rPr>
          <w:rFonts w:ascii="Verdana" w:hAnsi="Verdana"/>
          <w:sz w:val="20"/>
          <w:szCs w:val="20"/>
        </w:rPr>
        <w:t>.</w:t>
      </w:r>
      <w:r w:rsidR="00EE4CA6" w:rsidRPr="003D0AA2">
        <w:rPr>
          <w:rFonts w:ascii="Verdana" w:hAnsi="Verdana"/>
          <w:sz w:val="20"/>
          <w:szCs w:val="20"/>
        </w:rPr>
        <w:tab/>
      </w:r>
      <w:r w:rsidR="001D54B3" w:rsidRPr="003D0AA2">
        <w:rPr>
          <w:rFonts w:ascii="Verdana" w:hAnsi="Verdana"/>
          <w:sz w:val="20"/>
          <w:szCs w:val="20"/>
        </w:rPr>
        <w:t>Aquí cabe recordar que</w:t>
      </w:r>
      <w:r w:rsidR="001D54B3" w:rsidRPr="003D0AA2">
        <w:rPr>
          <w:rFonts w:ascii="Verdana" w:hAnsi="Verdana"/>
          <w:b/>
          <w:sz w:val="20"/>
          <w:szCs w:val="20"/>
        </w:rPr>
        <w:t xml:space="preserve"> </w:t>
      </w:r>
      <w:r w:rsidR="001D54B3" w:rsidRPr="003D0AA2">
        <w:rPr>
          <w:rFonts w:ascii="Verdana" w:hAnsi="Verdana"/>
          <w:sz w:val="20"/>
          <w:szCs w:val="20"/>
          <w:lang w:val="es-MX"/>
        </w:rPr>
        <w:t>una violación continuada “es la violación de una obligación internacional por medio de un acto de un sujeto de derecho internacional extendido en el tiempo y que causa una duración o continuación en el tiempo de dicha violación”</w:t>
      </w:r>
      <w:r w:rsidR="001D54B3" w:rsidRPr="003D0AA2">
        <w:rPr>
          <w:rStyle w:val="FootnoteReference"/>
          <w:rFonts w:ascii="Verdana" w:hAnsi="Verdana"/>
          <w:sz w:val="20"/>
          <w:szCs w:val="20"/>
        </w:rPr>
        <w:footnoteReference w:id="112"/>
      </w:r>
      <w:r w:rsidR="00DF7694">
        <w:rPr>
          <w:rFonts w:ascii="Verdana" w:hAnsi="Verdana"/>
          <w:sz w:val="20"/>
          <w:szCs w:val="20"/>
          <w:lang w:val="es-MX"/>
        </w:rPr>
        <w:t>.</w:t>
      </w:r>
      <w:r w:rsidR="001D54B3" w:rsidRPr="003D0AA2">
        <w:rPr>
          <w:rStyle w:val="BodyTextChar"/>
          <w:rFonts w:ascii="Verdana" w:hAnsi="Verdana"/>
          <w:sz w:val="20"/>
        </w:rPr>
        <w:t xml:space="preserve"> </w:t>
      </w:r>
      <w:r w:rsidR="001D54B3" w:rsidRPr="003D0AA2">
        <w:rPr>
          <w:rFonts w:ascii="Verdana" w:hAnsi="Verdana"/>
          <w:sz w:val="20"/>
          <w:szCs w:val="20"/>
          <w:lang w:val="es-MX"/>
        </w:rPr>
        <w:t xml:space="preserve"> Al respecto, la Comisión de Derecho Internacional ha dispuesto que </w:t>
      </w:r>
      <w:r w:rsidR="00EE7750">
        <w:rPr>
          <w:rFonts w:ascii="Verdana" w:hAnsi="Verdana"/>
          <w:sz w:val="20"/>
          <w:szCs w:val="20"/>
          <w:lang w:val="es-MX"/>
        </w:rPr>
        <w:t>“</w:t>
      </w:r>
      <w:r w:rsidR="001D54B3" w:rsidRPr="003D0AA2">
        <w:rPr>
          <w:rFonts w:ascii="Verdana" w:hAnsi="Verdana"/>
          <w:i/>
          <w:sz w:val="20"/>
          <w:szCs w:val="20"/>
          <w:lang w:val="es-MX"/>
        </w:rPr>
        <w:t>La violación de una obligación internacional mediante un hecho del Estado que tiene carácter continuo se extiende durante todo el período en el cual el hecho continúa y se mantiene su falta de conformidad con la obligación internacional</w:t>
      </w:r>
      <w:r w:rsidR="001D54B3" w:rsidRPr="003D0AA2">
        <w:rPr>
          <w:rFonts w:ascii="Verdana" w:hAnsi="Verdana"/>
          <w:sz w:val="20"/>
          <w:szCs w:val="20"/>
          <w:lang w:val="es-MX"/>
        </w:rPr>
        <w:t>”</w:t>
      </w:r>
      <w:r w:rsidR="00EE7750">
        <w:rPr>
          <w:rStyle w:val="FootnoteReference"/>
          <w:rFonts w:ascii="Verdana" w:hAnsi="Verdana"/>
          <w:sz w:val="20"/>
          <w:szCs w:val="20"/>
          <w:lang w:val="es-MX"/>
        </w:rPr>
        <w:footnoteReference w:id="113"/>
      </w:r>
      <w:r w:rsidR="00EE7750">
        <w:rPr>
          <w:rFonts w:ascii="Verdana" w:hAnsi="Verdana"/>
          <w:sz w:val="20"/>
          <w:szCs w:val="20"/>
          <w:lang w:val="es-MX"/>
        </w:rPr>
        <w:t>.</w:t>
      </w:r>
      <w:r w:rsidR="001D54B3" w:rsidRPr="003D0AA2">
        <w:rPr>
          <w:rFonts w:ascii="Verdana" w:hAnsi="Verdana"/>
          <w:sz w:val="20"/>
          <w:szCs w:val="20"/>
          <w:lang w:val="es-MX"/>
        </w:rPr>
        <w:t xml:space="preserve"> Asimismo, ha dispuesto que “</w:t>
      </w:r>
      <w:r w:rsidR="001D54B3" w:rsidRPr="003D0AA2">
        <w:rPr>
          <w:rFonts w:ascii="Verdana" w:hAnsi="Verdana"/>
          <w:i/>
          <w:sz w:val="20"/>
          <w:szCs w:val="20"/>
          <w:lang w:val="es-MX"/>
        </w:rPr>
        <w:t>La violación de una obligación internacional en virtud de la cual el Estado debe prevenir un acontecimiento determinado tiene lugar cuando se produce el  acontecimiento y se extiende durante todo el período en el cual ese acontecimiento continúa y se mantiene su falta de conformidad con esa obligación</w:t>
      </w:r>
      <w:r w:rsidR="001D54B3" w:rsidRPr="003D0AA2">
        <w:rPr>
          <w:rFonts w:ascii="Verdana" w:hAnsi="Verdana"/>
          <w:sz w:val="20"/>
          <w:szCs w:val="20"/>
          <w:lang w:val="es-MX"/>
        </w:rPr>
        <w:t>”</w:t>
      </w:r>
      <w:r w:rsidR="00EE7750">
        <w:rPr>
          <w:rStyle w:val="FootnoteReference"/>
          <w:rFonts w:ascii="Verdana" w:hAnsi="Verdana"/>
          <w:sz w:val="20"/>
          <w:szCs w:val="20"/>
          <w:lang w:val="es-MX"/>
        </w:rPr>
        <w:footnoteReference w:id="114"/>
      </w:r>
      <w:r w:rsidR="001D54B3" w:rsidRPr="003D0AA2">
        <w:rPr>
          <w:rFonts w:ascii="Verdana" w:hAnsi="Verdana"/>
          <w:sz w:val="20"/>
          <w:szCs w:val="20"/>
          <w:lang w:val="es-MX"/>
        </w:rPr>
        <w:t xml:space="preserve">. </w:t>
      </w:r>
    </w:p>
    <w:p w:rsidR="00DF7694" w:rsidRDefault="00DF7694" w:rsidP="001D54B3">
      <w:pPr>
        <w:jc w:val="both"/>
        <w:rPr>
          <w:rFonts w:ascii="Verdana" w:hAnsi="Verdana"/>
          <w:sz w:val="20"/>
          <w:szCs w:val="20"/>
          <w:lang w:val="es-MX"/>
        </w:rPr>
      </w:pPr>
    </w:p>
    <w:p w:rsidR="001D54B3" w:rsidRPr="003D0AA2" w:rsidRDefault="00DF7694" w:rsidP="001D54B3">
      <w:pPr>
        <w:jc w:val="both"/>
        <w:rPr>
          <w:rFonts w:ascii="Verdana" w:hAnsi="Verdana"/>
          <w:sz w:val="20"/>
          <w:szCs w:val="20"/>
          <w:lang w:val="es-MX"/>
        </w:rPr>
      </w:pPr>
      <w:r>
        <w:rPr>
          <w:rFonts w:ascii="Verdana" w:hAnsi="Verdana"/>
          <w:sz w:val="20"/>
          <w:szCs w:val="20"/>
          <w:lang w:val="es-MX"/>
        </w:rPr>
        <w:t xml:space="preserve">71. </w:t>
      </w:r>
      <w:r>
        <w:rPr>
          <w:rFonts w:ascii="Verdana" w:hAnsi="Verdana"/>
          <w:sz w:val="20"/>
          <w:szCs w:val="20"/>
          <w:lang w:val="es-MX"/>
        </w:rPr>
        <w:tab/>
      </w:r>
      <w:r w:rsidR="001D54B3" w:rsidRPr="003D0AA2">
        <w:rPr>
          <w:rFonts w:ascii="Verdana" w:hAnsi="Verdana"/>
          <w:sz w:val="20"/>
          <w:szCs w:val="20"/>
          <w:lang w:val="es-MX"/>
        </w:rPr>
        <w:t xml:space="preserve">En este caso, es claro que la obligación no cumplida es la presunta falta de indemnización, la cual se debió haber otorgado a partir de lo dispuesto por el Artículo 21.2 que prevé el pago de </w:t>
      </w:r>
      <w:r w:rsidR="001D54B3" w:rsidRPr="003D0AA2">
        <w:rPr>
          <w:rFonts w:ascii="Verdana" w:hAnsi="Verdana"/>
          <w:sz w:val="20"/>
          <w:szCs w:val="20"/>
        </w:rPr>
        <w:t>una “justa indemnización” la cual debe ser a criterio de este Tribunal “adecuada, pronta y efectiva”.</w:t>
      </w:r>
    </w:p>
    <w:p w:rsidR="001D54B3" w:rsidRPr="003D0AA2" w:rsidRDefault="001D54B3" w:rsidP="001D54B3">
      <w:pPr>
        <w:jc w:val="both"/>
        <w:rPr>
          <w:rFonts w:ascii="Verdana" w:hAnsi="Verdana"/>
          <w:sz w:val="20"/>
          <w:szCs w:val="20"/>
          <w:lang w:val="es-MX"/>
        </w:rPr>
      </w:pPr>
    </w:p>
    <w:p w:rsidR="001D54B3" w:rsidRPr="003D0AA2" w:rsidRDefault="00DF7694" w:rsidP="001D54B3">
      <w:pPr>
        <w:jc w:val="both"/>
        <w:rPr>
          <w:rFonts w:ascii="Verdana" w:hAnsi="Verdana"/>
          <w:sz w:val="20"/>
          <w:szCs w:val="20"/>
          <w:lang w:val="es-MX"/>
        </w:rPr>
      </w:pPr>
      <w:r>
        <w:rPr>
          <w:rFonts w:ascii="Verdana" w:hAnsi="Verdana"/>
          <w:sz w:val="20"/>
          <w:szCs w:val="20"/>
          <w:lang w:val="es-MX"/>
        </w:rPr>
        <w:t>72</w:t>
      </w:r>
      <w:r w:rsidR="00EE4CA6" w:rsidRPr="003D0AA2">
        <w:rPr>
          <w:rFonts w:ascii="Verdana" w:hAnsi="Verdana"/>
          <w:sz w:val="20"/>
          <w:szCs w:val="20"/>
          <w:lang w:val="es-MX"/>
        </w:rPr>
        <w:t>.</w:t>
      </w:r>
      <w:r w:rsidR="00EE4CA6" w:rsidRPr="003D0AA2">
        <w:rPr>
          <w:rFonts w:ascii="Verdana" w:hAnsi="Verdana"/>
          <w:sz w:val="20"/>
          <w:szCs w:val="20"/>
          <w:lang w:val="es-MX"/>
        </w:rPr>
        <w:tab/>
      </w:r>
      <w:r w:rsidR="001D54B3" w:rsidRPr="003D0AA2">
        <w:rPr>
          <w:rFonts w:ascii="Verdana" w:hAnsi="Verdana"/>
          <w:sz w:val="20"/>
          <w:szCs w:val="20"/>
          <w:lang w:val="es-MX"/>
        </w:rPr>
        <w:t xml:space="preserve">Adicionalmente, los diferentes hechos del presente caso, podrían catalogarse, a la luz del derecho internacional, como un </w:t>
      </w:r>
      <w:r w:rsidR="001D54B3" w:rsidRPr="003D0AA2">
        <w:rPr>
          <w:rFonts w:ascii="Verdana" w:hAnsi="Verdana"/>
          <w:i/>
          <w:sz w:val="20"/>
          <w:szCs w:val="20"/>
          <w:lang w:val="es-MX"/>
        </w:rPr>
        <w:t>hecho compuesto</w:t>
      </w:r>
      <w:r w:rsidR="001D54B3" w:rsidRPr="003D0AA2">
        <w:rPr>
          <w:rFonts w:ascii="Verdana" w:hAnsi="Verdana"/>
          <w:sz w:val="20"/>
          <w:szCs w:val="20"/>
          <w:lang w:val="es-MX"/>
        </w:rPr>
        <w:t xml:space="preserve">. El cual se puede definir como </w:t>
      </w:r>
      <w:r w:rsidR="001D54B3" w:rsidRPr="003D0AA2">
        <w:rPr>
          <w:rFonts w:ascii="Verdana" w:hAnsi="Verdana"/>
          <w:i/>
          <w:sz w:val="20"/>
          <w:szCs w:val="20"/>
          <w:lang w:val="es-MX"/>
        </w:rPr>
        <w:t>“[l]a violación por el Estado de una obligación internacional mediante una serie de acciones u omisiones, definida en su conjunto como ilícita, [que] tiene lugar cuando se produce la acción u omisión que, tomada con las demás acciones u omisiones, es suficiente para constituir el hecho ilícito</w:t>
      </w:r>
      <w:r w:rsidR="001D54B3" w:rsidRPr="003D0AA2">
        <w:rPr>
          <w:rFonts w:ascii="Verdana" w:hAnsi="Verdana"/>
          <w:sz w:val="20"/>
          <w:szCs w:val="20"/>
          <w:lang w:val="es-MX"/>
        </w:rPr>
        <w:t>”</w:t>
      </w:r>
      <w:r w:rsidR="001D54B3" w:rsidRPr="003D0AA2">
        <w:rPr>
          <w:rStyle w:val="FootnoteReference"/>
          <w:rFonts w:ascii="Verdana" w:hAnsi="Verdana"/>
          <w:sz w:val="20"/>
          <w:szCs w:val="20"/>
          <w:lang w:val="es-MX"/>
        </w:rPr>
        <w:footnoteReference w:id="115"/>
      </w:r>
      <w:r>
        <w:rPr>
          <w:rFonts w:ascii="Verdana" w:hAnsi="Verdana"/>
          <w:sz w:val="20"/>
          <w:szCs w:val="20"/>
          <w:lang w:val="es-MX"/>
        </w:rPr>
        <w:t>. Así,</w:t>
      </w:r>
      <w:r w:rsidR="001D54B3" w:rsidRPr="003D0AA2">
        <w:rPr>
          <w:rFonts w:ascii="Verdana" w:hAnsi="Verdana"/>
          <w:sz w:val="20"/>
          <w:szCs w:val="20"/>
          <w:lang w:val="es-MX"/>
        </w:rPr>
        <w:t xml:space="preserve"> “</w:t>
      </w:r>
      <w:r w:rsidR="001D54B3" w:rsidRPr="003D0AA2">
        <w:rPr>
          <w:rFonts w:ascii="Verdana" w:hAnsi="Verdana"/>
          <w:i/>
          <w:sz w:val="20"/>
          <w:szCs w:val="20"/>
          <w:lang w:val="es-MX"/>
        </w:rPr>
        <w:t xml:space="preserve">la violación se extiende durante todo el período que comienza con la primera de las acciones u omisiones de la serie y se prolonga mientras esas acciones u omisiones se repiten y se mantiene su falta de </w:t>
      </w:r>
      <w:r w:rsidR="001D54B3" w:rsidRPr="003D0AA2">
        <w:rPr>
          <w:rFonts w:ascii="Verdana" w:hAnsi="Verdana"/>
          <w:i/>
          <w:sz w:val="20"/>
          <w:szCs w:val="20"/>
          <w:lang w:val="es-MX"/>
        </w:rPr>
        <w:lastRenderedPageBreak/>
        <w:t>conformidad con la obligación internacional</w:t>
      </w:r>
      <w:r w:rsidR="001D54B3" w:rsidRPr="003D0AA2">
        <w:rPr>
          <w:rFonts w:ascii="Verdana" w:hAnsi="Verdana"/>
          <w:sz w:val="20"/>
          <w:szCs w:val="20"/>
          <w:lang w:val="es-MX"/>
        </w:rPr>
        <w:t>”</w:t>
      </w:r>
      <w:r w:rsidR="001D54B3" w:rsidRPr="003D0AA2">
        <w:rPr>
          <w:rStyle w:val="FootnoteReference"/>
          <w:rFonts w:ascii="Verdana" w:hAnsi="Verdana"/>
          <w:sz w:val="20"/>
          <w:szCs w:val="20"/>
          <w:lang w:val="es-MX"/>
        </w:rPr>
        <w:footnoteReference w:id="116"/>
      </w:r>
      <w:r>
        <w:rPr>
          <w:rFonts w:ascii="Verdana" w:hAnsi="Verdana"/>
          <w:sz w:val="20"/>
          <w:szCs w:val="20"/>
          <w:lang w:val="es-MX"/>
        </w:rPr>
        <w:t>.</w:t>
      </w:r>
      <w:r w:rsidR="001D54B3" w:rsidRPr="003D0AA2">
        <w:rPr>
          <w:rFonts w:ascii="Verdana" w:hAnsi="Verdana"/>
          <w:sz w:val="20"/>
          <w:szCs w:val="20"/>
          <w:lang w:val="es-MX"/>
        </w:rPr>
        <w:t xml:space="preserve"> Los hechos compuestos siempre consisten en una serie de actos individuales del Estado que se suceden unos a otros en una secuencia separada de cursos de conducta, acciones u omisiones adoptadas en casos separados pero que en su conjunto contribuyen a la comisión del acto en su conjunto en cuestión</w:t>
      </w:r>
      <w:r w:rsidR="001D54B3" w:rsidRPr="003D0AA2">
        <w:rPr>
          <w:rStyle w:val="FootnoteReference"/>
          <w:rFonts w:ascii="Verdana" w:hAnsi="Verdana"/>
          <w:sz w:val="20"/>
          <w:szCs w:val="20"/>
        </w:rPr>
        <w:footnoteReference w:id="117"/>
      </w:r>
      <w:r>
        <w:rPr>
          <w:rFonts w:ascii="Verdana" w:hAnsi="Verdana"/>
          <w:sz w:val="20"/>
          <w:szCs w:val="20"/>
          <w:lang w:val="es-MX"/>
        </w:rPr>
        <w:t>.</w:t>
      </w:r>
      <w:r w:rsidR="001D54B3" w:rsidRPr="003D0AA2">
        <w:rPr>
          <w:rFonts w:ascii="Verdana" w:hAnsi="Verdana"/>
          <w:sz w:val="20"/>
          <w:szCs w:val="20"/>
          <w:lang w:val="es-MX"/>
        </w:rPr>
        <w:t xml:space="preserve"> Considerados de forma separada, estos actos pueden ser lícitos o ilícitos, pero ellos se encuentran interrelacionados por tener la misma intención, contenido y efectos</w:t>
      </w:r>
      <w:r w:rsidR="001D54B3" w:rsidRPr="003D0AA2">
        <w:rPr>
          <w:rStyle w:val="FootnoteReference"/>
          <w:rFonts w:ascii="Verdana" w:hAnsi="Verdana"/>
          <w:sz w:val="20"/>
          <w:szCs w:val="20"/>
        </w:rPr>
        <w:footnoteReference w:id="118"/>
      </w:r>
      <w:r>
        <w:rPr>
          <w:rFonts w:ascii="Verdana" w:hAnsi="Verdana"/>
          <w:sz w:val="20"/>
          <w:szCs w:val="20"/>
          <w:lang w:val="es-MX"/>
        </w:rPr>
        <w:t>.</w:t>
      </w:r>
    </w:p>
    <w:p w:rsidR="001D54B3" w:rsidRPr="003D0AA2" w:rsidRDefault="001D54B3" w:rsidP="001D54B3">
      <w:pPr>
        <w:pStyle w:val="ListParagraph"/>
        <w:ind w:left="0"/>
        <w:jc w:val="both"/>
        <w:rPr>
          <w:rFonts w:ascii="Verdana" w:hAnsi="Verdana"/>
          <w:sz w:val="20"/>
          <w:szCs w:val="20"/>
          <w:lang w:val="es-ES_tradnl"/>
        </w:rPr>
      </w:pPr>
    </w:p>
    <w:p w:rsidR="001D54B3" w:rsidRPr="003D0AA2" w:rsidRDefault="00DF7694" w:rsidP="001D54B3">
      <w:pPr>
        <w:pStyle w:val="ListParagraph"/>
        <w:ind w:left="0"/>
        <w:jc w:val="both"/>
        <w:rPr>
          <w:rFonts w:ascii="Verdana" w:hAnsi="Verdana"/>
          <w:sz w:val="20"/>
          <w:szCs w:val="20"/>
          <w:lang w:val="es-ES_tradnl"/>
        </w:rPr>
      </w:pPr>
      <w:r>
        <w:rPr>
          <w:rFonts w:ascii="Verdana" w:hAnsi="Verdana"/>
          <w:sz w:val="20"/>
          <w:szCs w:val="20"/>
          <w:lang w:val="es-ES_tradnl"/>
        </w:rPr>
        <w:t>73</w:t>
      </w:r>
      <w:r w:rsidR="00EE4CA6" w:rsidRPr="003D0AA2">
        <w:rPr>
          <w:rFonts w:ascii="Verdana" w:hAnsi="Verdana"/>
          <w:sz w:val="20"/>
          <w:szCs w:val="20"/>
          <w:lang w:val="es-ES_tradnl"/>
        </w:rPr>
        <w:t>.</w:t>
      </w:r>
      <w:r w:rsidR="00EE4CA6" w:rsidRPr="003D0AA2">
        <w:rPr>
          <w:rFonts w:ascii="Verdana" w:hAnsi="Verdana"/>
          <w:sz w:val="20"/>
          <w:szCs w:val="20"/>
          <w:lang w:val="es-ES_tradnl"/>
        </w:rPr>
        <w:tab/>
      </w:r>
      <w:r w:rsidR="001D54B3" w:rsidRPr="003D0AA2">
        <w:rPr>
          <w:rFonts w:ascii="Verdana" w:hAnsi="Verdana"/>
          <w:sz w:val="20"/>
          <w:szCs w:val="20"/>
          <w:lang w:val="es-ES_tradnl"/>
        </w:rPr>
        <w:t xml:space="preserve">La problemática en torno al presente caso que ha afectado a </w:t>
      </w:r>
      <w:r w:rsidR="001D54B3" w:rsidRPr="003D0AA2">
        <w:rPr>
          <w:rFonts w:ascii="Verdana" w:hAnsi="Verdana"/>
          <w:sz w:val="20"/>
          <w:szCs w:val="20"/>
        </w:rPr>
        <w:t>las comunidades indígenas Kuna y Emberá</w:t>
      </w:r>
      <w:r w:rsidR="001D54B3" w:rsidRPr="003D0AA2">
        <w:rPr>
          <w:rFonts w:ascii="Verdana" w:hAnsi="Verdana"/>
          <w:sz w:val="20"/>
          <w:szCs w:val="20"/>
          <w:lang w:val="es-ES_tradnl"/>
        </w:rPr>
        <w:t xml:space="preserve"> ha sido consistentemente reconocida por el Estado tanto a nivel político, administrativo, así como materialmente legislativo, todo esto acompañada de una afirmación categórica en el Decreto de Gabinete 156 de </w:t>
      </w:r>
      <w:r w:rsidR="001D54B3" w:rsidRPr="003D0AA2">
        <w:rPr>
          <w:rFonts w:ascii="Verdana" w:hAnsi="Verdana"/>
          <w:sz w:val="20"/>
          <w:szCs w:val="20"/>
        </w:rPr>
        <w:t xml:space="preserve">8 de julio de 1971 </w:t>
      </w:r>
      <w:r w:rsidR="001D54B3" w:rsidRPr="003D0AA2">
        <w:rPr>
          <w:rFonts w:ascii="Verdana" w:hAnsi="Verdana"/>
          <w:sz w:val="20"/>
          <w:szCs w:val="20"/>
          <w:lang w:val="es-ES_tradnl"/>
        </w:rPr>
        <w:t xml:space="preserve">en el sentido de que </w:t>
      </w:r>
      <w:r w:rsidR="001D54B3" w:rsidRPr="003D0AA2">
        <w:rPr>
          <w:rFonts w:ascii="Verdana" w:hAnsi="Verdana"/>
          <w:sz w:val="20"/>
          <w:szCs w:val="20"/>
        </w:rPr>
        <w:t>“</w:t>
      </w:r>
      <w:r w:rsidR="001D54B3" w:rsidRPr="003D0AA2">
        <w:rPr>
          <w:rFonts w:ascii="Verdana" w:hAnsi="Verdana"/>
          <w:i/>
          <w:sz w:val="20"/>
          <w:szCs w:val="20"/>
        </w:rPr>
        <w:t>la mudanza a nuevas áreas implica para los indígenas grandes esfuerzos, acompañados de erogaciones económicas considerables, todo lo cual justifica, por razones de humanidad, las ayudas que el Estado acuerde a su favor</w:t>
      </w:r>
      <w:r w:rsidR="001D54B3" w:rsidRPr="003D0AA2">
        <w:rPr>
          <w:rFonts w:ascii="Verdana" w:hAnsi="Verdana"/>
          <w:sz w:val="20"/>
          <w:szCs w:val="20"/>
        </w:rPr>
        <w:t>”</w:t>
      </w:r>
      <w:r w:rsidR="001D54B3" w:rsidRPr="003D0AA2">
        <w:rPr>
          <w:rFonts w:ascii="Verdana" w:hAnsi="Verdana"/>
          <w:sz w:val="20"/>
          <w:szCs w:val="20"/>
          <w:lang w:val="es-ES_tradnl"/>
        </w:rPr>
        <w:t>. Los diversos actos estatales en diferentes momentos reconociendo la situación desventajosa de las víctimas del presente caso a partir de la expropiación de sus territorios demuestra esta continuidad en los hechos.</w:t>
      </w:r>
    </w:p>
    <w:p w:rsidR="001D54B3" w:rsidRPr="003D0AA2" w:rsidRDefault="001D54B3" w:rsidP="001D54B3">
      <w:pPr>
        <w:pStyle w:val="ListParagraph"/>
        <w:ind w:left="0"/>
        <w:jc w:val="both"/>
        <w:rPr>
          <w:rFonts w:ascii="Verdana" w:hAnsi="Verdana"/>
          <w:sz w:val="20"/>
          <w:szCs w:val="20"/>
          <w:lang w:val="es-ES_tradnl"/>
        </w:rPr>
      </w:pPr>
    </w:p>
    <w:p w:rsidR="001D54B3" w:rsidRPr="003D0AA2" w:rsidRDefault="00DF7694" w:rsidP="001D54B3">
      <w:pPr>
        <w:pStyle w:val="ListParagraph"/>
        <w:ind w:left="0"/>
        <w:jc w:val="both"/>
        <w:rPr>
          <w:rFonts w:ascii="Verdana" w:hAnsi="Verdana"/>
          <w:sz w:val="20"/>
          <w:szCs w:val="20"/>
          <w:lang w:val="es-ES_tradnl"/>
        </w:rPr>
      </w:pPr>
      <w:r>
        <w:rPr>
          <w:rFonts w:ascii="Verdana" w:hAnsi="Verdana"/>
          <w:sz w:val="20"/>
          <w:szCs w:val="20"/>
          <w:lang w:val="es-ES_tradnl"/>
        </w:rPr>
        <w:t>74</w:t>
      </w:r>
      <w:r w:rsidR="00EE4CA6" w:rsidRPr="003D0AA2">
        <w:rPr>
          <w:rFonts w:ascii="Verdana" w:hAnsi="Verdana"/>
          <w:sz w:val="20"/>
          <w:szCs w:val="20"/>
          <w:lang w:val="es-ES_tradnl"/>
        </w:rPr>
        <w:t>.</w:t>
      </w:r>
      <w:r w:rsidR="00EE4CA6" w:rsidRPr="003D0AA2">
        <w:rPr>
          <w:rFonts w:ascii="Verdana" w:hAnsi="Verdana"/>
          <w:sz w:val="20"/>
          <w:szCs w:val="20"/>
          <w:lang w:val="es-ES_tradnl"/>
        </w:rPr>
        <w:tab/>
      </w:r>
      <w:r w:rsidR="001D54B3" w:rsidRPr="003D0AA2">
        <w:rPr>
          <w:rFonts w:ascii="Verdana" w:hAnsi="Verdana"/>
          <w:sz w:val="20"/>
          <w:szCs w:val="20"/>
          <w:lang w:val="es-ES_tradnl"/>
        </w:rPr>
        <w:t xml:space="preserve">La presente ha sido una situación conformada por diferentes circunstancias que si bien empezaron antes de la competencia contenciosa de este Tribunal </w:t>
      </w:r>
      <w:r w:rsidR="00BC3F15">
        <w:rPr>
          <w:rFonts w:ascii="Verdana" w:hAnsi="Verdana"/>
          <w:sz w:val="20"/>
          <w:szCs w:val="20"/>
          <w:lang w:val="es-ES_tradnl"/>
        </w:rPr>
        <w:t xml:space="preserve">Interamericano </w:t>
      </w:r>
      <w:r w:rsidR="001D54B3" w:rsidRPr="003D0AA2">
        <w:rPr>
          <w:rFonts w:ascii="Verdana" w:hAnsi="Verdana"/>
          <w:sz w:val="20"/>
          <w:szCs w:val="20"/>
          <w:lang w:val="es-ES_tradnl"/>
        </w:rPr>
        <w:t>se han extendido hasta la fecha. La Corte alcanzó a ver parte de estas circunstancias  parcialmente respecto a la falta de delimitar, marcar y titular las tierras de los indígenas Kuna y Emberá</w:t>
      </w:r>
      <w:r w:rsidR="001D54B3" w:rsidRPr="005F24F8">
        <w:rPr>
          <w:rStyle w:val="FootnoteReference"/>
          <w:rFonts w:ascii="Verdana" w:hAnsi="Verdana"/>
          <w:sz w:val="20"/>
          <w:szCs w:val="20"/>
          <w:lang w:val="es-ES_tradnl"/>
        </w:rPr>
        <w:footnoteReference w:id="119"/>
      </w:r>
      <w:r w:rsidR="00CC6BC5" w:rsidRPr="005F24F8">
        <w:rPr>
          <w:rFonts w:ascii="Verdana" w:hAnsi="Verdana"/>
          <w:sz w:val="20"/>
          <w:szCs w:val="20"/>
          <w:lang w:val="es-ES_tradnl"/>
        </w:rPr>
        <w:t>,</w:t>
      </w:r>
      <w:r w:rsidR="004B014D">
        <w:rPr>
          <w:rFonts w:ascii="Verdana" w:hAnsi="Verdana"/>
          <w:sz w:val="20"/>
          <w:szCs w:val="20"/>
          <w:lang w:val="es-ES_tradnl"/>
        </w:rPr>
        <w:t xml:space="preserve"> entrando al fondo y declarando violado el artículo 21 de la Convención Americana</w:t>
      </w:r>
      <w:r>
        <w:rPr>
          <w:rFonts w:ascii="Verdana" w:hAnsi="Verdana"/>
          <w:sz w:val="20"/>
          <w:szCs w:val="20"/>
          <w:lang w:val="es-ES_tradnl"/>
        </w:rPr>
        <w:t>; sin embargo, de manera contraria</w:t>
      </w:r>
      <w:r w:rsidR="004B014D">
        <w:rPr>
          <w:rFonts w:ascii="Verdana" w:hAnsi="Verdana"/>
          <w:sz w:val="20"/>
          <w:szCs w:val="20"/>
          <w:lang w:val="es-ES_tradnl"/>
        </w:rPr>
        <w:t>,</w:t>
      </w:r>
      <w:r>
        <w:rPr>
          <w:rFonts w:ascii="Verdana" w:hAnsi="Verdana"/>
          <w:sz w:val="20"/>
          <w:szCs w:val="20"/>
          <w:lang w:val="es-ES_tradnl"/>
        </w:rPr>
        <w:t xml:space="preserve"> no se hace</w:t>
      </w:r>
      <w:r w:rsidR="001D54B3" w:rsidRPr="003D0AA2">
        <w:rPr>
          <w:rFonts w:ascii="Verdana" w:hAnsi="Verdana"/>
          <w:sz w:val="20"/>
          <w:szCs w:val="20"/>
          <w:lang w:val="es-ES_tradnl"/>
        </w:rPr>
        <w:t xml:space="preserve"> respecto a la obligación de indemnizar que también conforma una obligación particularmente señalada en </w:t>
      </w:r>
      <w:r w:rsidR="00BC3F15">
        <w:rPr>
          <w:rFonts w:ascii="Verdana" w:hAnsi="Verdana"/>
          <w:sz w:val="20"/>
          <w:szCs w:val="20"/>
          <w:lang w:val="es-ES_tradnl"/>
        </w:rPr>
        <w:t>el artículo 21</w:t>
      </w:r>
      <w:r w:rsidR="004B014D">
        <w:rPr>
          <w:rFonts w:ascii="Verdana" w:hAnsi="Verdana"/>
          <w:sz w:val="20"/>
          <w:szCs w:val="20"/>
          <w:lang w:val="es-ES_tradnl"/>
        </w:rPr>
        <w:t>.2</w:t>
      </w:r>
      <w:r w:rsidR="00BC3F15">
        <w:rPr>
          <w:rFonts w:ascii="Verdana" w:hAnsi="Verdana"/>
          <w:sz w:val="20"/>
          <w:szCs w:val="20"/>
          <w:lang w:val="es-ES_tradnl"/>
        </w:rPr>
        <w:t xml:space="preserve"> de</w:t>
      </w:r>
      <w:r w:rsidR="004B014D">
        <w:rPr>
          <w:rFonts w:ascii="Verdana" w:hAnsi="Verdana"/>
          <w:sz w:val="20"/>
          <w:szCs w:val="20"/>
          <w:lang w:val="es-ES_tradnl"/>
        </w:rPr>
        <w:t>l Pacto de San José (“indemnización</w:t>
      </w:r>
      <w:r w:rsidR="00EF0CF0">
        <w:rPr>
          <w:rFonts w:ascii="Verdana" w:hAnsi="Verdana"/>
          <w:sz w:val="20"/>
          <w:szCs w:val="20"/>
          <w:lang w:val="es-ES_tradnl"/>
        </w:rPr>
        <w:t xml:space="preserve"> justa</w:t>
      </w:r>
      <w:r w:rsidR="004B014D">
        <w:rPr>
          <w:rFonts w:ascii="Verdana" w:hAnsi="Verdana"/>
          <w:sz w:val="20"/>
          <w:szCs w:val="20"/>
          <w:lang w:val="es-ES_tradnl"/>
        </w:rPr>
        <w:t>”)</w:t>
      </w:r>
      <w:r w:rsidR="001D54B3" w:rsidRPr="003D0AA2">
        <w:rPr>
          <w:rFonts w:ascii="Verdana" w:hAnsi="Verdana"/>
          <w:sz w:val="20"/>
          <w:szCs w:val="20"/>
          <w:lang w:val="es-ES_tradnl"/>
        </w:rPr>
        <w:t xml:space="preserve"> r</w:t>
      </w:r>
      <w:r w:rsidR="00BC3F15">
        <w:rPr>
          <w:rFonts w:ascii="Verdana" w:hAnsi="Verdana"/>
          <w:sz w:val="20"/>
          <w:szCs w:val="20"/>
          <w:lang w:val="es-ES_tradnl"/>
        </w:rPr>
        <w:t xml:space="preserve">especto al derecho de propiedad, como se ha </w:t>
      </w:r>
      <w:r w:rsidR="00B97540">
        <w:rPr>
          <w:rFonts w:ascii="Verdana" w:hAnsi="Verdana"/>
          <w:sz w:val="20"/>
          <w:szCs w:val="20"/>
          <w:lang w:val="es-ES_tradnl"/>
        </w:rPr>
        <w:t xml:space="preserve">venido </w:t>
      </w:r>
      <w:r w:rsidR="00BC3F15">
        <w:rPr>
          <w:rFonts w:ascii="Verdana" w:hAnsi="Verdana"/>
          <w:sz w:val="20"/>
          <w:szCs w:val="20"/>
          <w:lang w:val="es-ES_tradnl"/>
        </w:rPr>
        <w:t>analizado en el presente voto.</w:t>
      </w:r>
      <w:r w:rsidR="001D54B3" w:rsidRPr="003D0AA2">
        <w:rPr>
          <w:rFonts w:ascii="Verdana" w:hAnsi="Verdana"/>
          <w:sz w:val="20"/>
          <w:szCs w:val="20"/>
          <w:lang w:val="es-ES_tradnl"/>
        </w:rPr>
        <w:t xml:space="preserve"> </w:t>
      </w:r>
    </w:p>
    <w:p w:rsidR="001D54B3" w:rsidRPr="003D0AA2" w:rsidRDefault="001D54B3" w:rsidP="001D54B3">
      <w:pPr>
        <w:pStyle w:val="ListParagraph"/>
        <w:ind w:left="0"/>
        <w:jc w:val="both"/>
        <w:rPr>
          <w:rFonts w:ascii="Verdana" w:hAnsi="Verdana"/>
          <w:sz w:val="20"/>
          <w:szCs w:val="20"/>
          <w:lang w:val="es-ES_tradnl"/>
        </w:rPr>
      </w:pPr>
    </w:p>
    <w:p w:rsidR="00B97540" w:rsidRDefault="00DF7694" w:rsidP="001D54B3">
      <w:pPr>
        <w:pStyle w:val="ListParagraph"/>
        <w:ind w:left="0"/>
        <w:jc w:val="both"/>
        <w:rPr>
          <w:rFonts w:ascii="Verdana" w:hAnsi="Verdana"/>
          <w:sz w:val="20"/>
          <w:szCs w:val="20"/>
          <w:lang w:val="es-ES_tradnl"/>
        </w:rPr>
      </w:pPr>
      <w:r>
        <w:rPr>
          <w:rFonts w:ascii="Verdana" w:hAnsi="Verdana"/>
          <w:sz w:val="20"/>
          <w:szCs w:val="20"/>
          <w:lang w:val="es-ES_tradnl"/>
        </w:rPr>
        <w:t>75</w:t>
      </w:r>
      <w:r w:rsidR="00EE4CA6" w:rsidRPr="003D0AA2">
        <w:rPr>
          <w:rFonts w:ascii="Verdana" w:hAnsi="Verdana"/>
          <w:sz w:val="20"/>
          <w:szCs w:val="20"/>
          <w:lang w:val="es-ES_tradnl"/>
        </w:rPr>
        <w:t>.</w:t>
      </w:r>
      <w:r w:rsidR="00EE4CA6" w:rsidRPr="003D0AA2">
        <w:rPr>
          <w:rFonts w:ascii="Verdana" w:hAnsi="Verdana"/>
          <w:sz w:val="20"/>
          <w:szCs w:val="20"/>
          <w:lang w:val="es-ES_tradnl"/>
        </w:rPr>
        <w:tab/>
      </w:r>
      <w:r w:rsidR="00B97540">
        <w:rPr>
          <w:rFonts w:ascii="Verdana" w:hAnsi="Verdana"/>
          <w:sz w:val="20"/>
          <w:szCs w:val="20"/>
          <w:lang w:val="es-ES_tradnl"/>
        </w:rPr>
        <w:t xml:space="preserve">Al analizarse </w:t>
      </w:r>
      <w:r w:rsidR="00B97540" w:rsidRPr="003D0AA2">
        <w:rPr>
          <w:rFonts w:ascii="Verdana" w:hAnsi="Verdana"/>
          <w:sz w:val="20"/>
          <w:szCs w:val="20"/>
          <w:lang w:val="es-ES_tradnl"/>
        </w:rPr>
        <w:t xml:space="preserve">la excepción preliminar sobre falta de competencia </w:t>
      </w:r>
      <w:r w:rsidR="00B97540" w:rsidRPr="003D0AA2">
        <w:rPr>
          <w:rFonts w:ascii="Verdana" w:hAnsi="Verdana"/>
          <w:i/>
          <w:sz w:val="20"/>
          <w:szCs w:val="20"/>
          <w:lang w:val="es-ES_tradnl"/>
        </w:rPr>
        <w:t>ratione temporis</w:t>
      </w:r>
      <w:r w:rsidR="00B97540" w:rsidRPr="003D0AA2">
        <w:rPr>
          <w:rFonts w:ascii="Verdana" w:hAnsi="Verdana"/>
          <w:sz w:val="20"/>
          <w:szCs w:val="20"/>
          <w:lang w:val="es-ES_tradnl"/>
        </w:rPr>
        <w:t xml:space="preserve"> no </w:t>
      </w:r>
      <w:r w:rsidR="00B97540">
        <w:rPr>
          <w:rFonts w:ascii="Verdana" w:hAnsi="Verdana"/>
          <w:sz w:val="20"/>
          <w:szCs w:val="20"/>
          <w:lang w:val="es-ES_tradnl"/>
        </w:rPr>
        <w:t>se entra</w:t>
      </w:r>
      <w:r w:rsidR="00B97540" w:rsidRPr="003D0AA2">
        <w:rPr>
          <w:rFonts w:ascii="Verdana" w:hAnsi="Verdana"/>
          <w:sz w:val="20"/>
          <w:szCs w:val="20"/>
          <w:lang w:val="es-ES_tradnl"/>
        </w:rPr>
        <w:t xml:space="preserve"> a la discusión sobre si los hechos en el presente caso constituían por sí </w:t>
      </w:r>
      <w:r w:rsidR="00B97540">
        <w:rPr>
          <w:rFonts w:ascii="Verdana" w:hAnsi="Verdana"/>
          <w:sz w:val="20"/>
          <w:szCs w:val="20"/>
          <w:lang w:val="es-ES_tradnl"/>
        </w:rPr>
        <w:t>mismos una situación continuada; por el contrario, el criterio mayoritario opta</w:t>
      </w:r>
      <w:r w:rsidR="00B97540" w:rsidRPr="003D0AA2">
        <w:rPr>
          <w:rFonts w:ascii="Verdana" w:hAnsi="Verdana"/>
          <w:sz w:val="20"/>
          <w:szCs w:val="20"/>
          <w:lang w:val="es-ES_tradnl"/>
        </w:rPr>
        <w:t xml:space="preserve"> por dejar implícito que no lo eran, sin entrar en detalle a </w:t>
      </w:r>
      <w:r w:rsidR="00F80860">
        <w:rPr>
          <w:rFonts w:ascii="Verdana" w:hAnsi="Verdana"/>
          <w:sz w:val="20"/>
          <w:szCs w:val="20"/>
          <w:lang w:val="es-ES_tradnl"/>
        </w:rPr>
        <w:t>este delicado proble</w:t>
      </w:r>
      <w:r w:rsidR="00EF0CF0">
        <w:rPr>
          <w:rFonts w:ascii="Verdana" w:hAnsi="Verdana"/>
          <w:sz w:val="20"/>
          <w:szCs w:val="20"/>
          <w:lang w:val="es-ES_tradnl"/>
        </w:rPr>
        <w:t xml:space="preserve">ma jurídico en el caso concreto en detrimento del legítimo derecho a obtener una “indemnización justa” </w:t>
      </w:r>
      <w:r w:rsidR="00042460">
        <w:rPr>
          <w:rFonts w:ascii="Verdana" w:hAnsi="Verdana"/>
          <w:sz w:val="20"/>
          <w:szCs w:val="20"/>
          <w:lang w:val="es-ES_tradnl"/>
        </w:rPr>
        <w:t xml:space="preserve">a los pueblos indígenas </w:t>
      </w:r>
      <w:r w:rsidR="00EF0CF0">
        <w:rPr>
          <w:rFonts w:ascii="Verdana" w:hAnsi="Verdana"/>
          <w:sz w:val="20"/>
          <w:szCs w:val="20"/>
          <w:lang w:val="es-ES_tradnl"/>
        </w:rPr>
        <w:t>conforme lo prevé el artículo 21.2 del Pacto de San José.</w:t>
      </w:r>
      <w:r w:rsidR="00B97540" w:rsidRPr="003D0AA2">
        <w:rPr>
          <w:rFonts w:ascii="Verdana" w:hAnsi="Verdana"/>
          <w:sz w:val="20"/>
          <w:szCs w:val="20"/>
          <w:lang w:val="es-ES_tradnl"/>
        </w:rPr>
        <w:t xml:space="preserve"> </w:t>
      </w:r>
    </w:p>
    <w:p w:rsidR="00B97540" w:rsidRPr="003D0AA2" w:rsidRDefault="00B97540" w:rsidP="001D54B3">
      <w:pPr>
        <w:pStyle w:val="ListParagraph"/>
        <w:ind w:left="0"/>
        <w:jc w:val="both"/>
        <w:rPr>
          <w:rFonts w:ascii="Verdana" w:hAnsi="Verdana"/>
          <w:sz w:val="20"/>
          <w:szCs w:val="20"/>
          <w:lang w:val="es-ES_tradnl"/>
        </w:rPr>
      </w:pPr>
    </w:p>
    <w:p w:rsidR="00D5125A" w:rsidRPr="003D0AA2" w:rsidRDefault="00BC3F15" w:rsidP="001D54B3">
      <w:pPr>
        <w:pStyle w:val="ListParagraph"/>
        <w:ind w:left="0"/>
        <w:jc w:val="both"/>
        <w:rPr>
          <w:rFonts w:ascii="Verdana" w:hAnsi="Verdana"/>
          <w:sz w:val="20"/>
          <w:szCs w:val="20"/>
        </w:rPr>
      </w:pPr>
      <w:r>
        <w:rPr>
          <w:rFonts w:ascii="Verdana" w:hAnsi="Verdana"/>
          <w:sz w:val="20"/>
          <w:szCs w:val="20"/>
          <w:lang w:val="es-ES_tradnl"/>
        </w:rPr>
        <w:t>76</w:t>
      </w:r>
      <w:r w:rsidR="00EE4CA6" w:rsidRPr="003D0AA2">
        <w:rPr>
          <w:rFonts w:ascii="Verdana" w:hAnsi="Verdana"/>
          <w:sz w:val="20"/>
          <w:szCs w:val="20"/>
          <w:lang w:val="es-ES_tradnl"/>
        </w:rPr>
        <w:t>.</w:t>
      </w:r>
      <w:r w:rsidR="00EE4CA6" w:rsidRPr="003D0AA2">
        <w:rPr>
          <w:rFonts w:ascii="Verdana" w:hAnsi="Verdana"/>
          <w:sz w:val="20"/>
          <w:szCs w:val="20"/>
          <w:lang w:val="es-ES_tradnl"/>
        </w:rPr>
        <w:tab/>
      </w:r>
      <w:r w:rsidR="001D54B3" w:rsidRPr="003D0AA2">
        <w:rPr>
          <w:rFonts w:ascii="Verdana" w:hAnsi="Verdana"/>
          <w:sz w:val="20"/>
          <w:szCs w:val="20"/>
          <w:lang w:val="es-ES_tradnl"/>
        </w:rPr>
        <w:t xml:space="preserve">De ahí se explica </w:t>
      </w:r>
      <w:r w:rsidR="00D5125A">
        <w:rPr>
          <w:rFonts w:ascii="Verdana" w:hAnsi="Verdana"/>
          <w:sz w:val="20"/>
          <w:szCs w:val="20"/>
          <w:lang w:val="es-ES_tradnl"/>
        </w:rPr>
        <w:t>la razón por la que</w:t>
      </w:r>
      <w:r w:rsidR="001D54B3" w:rsidRPr="003D0AA2">
        <w:rPr>
          <w:rFonts w:ascii="Verdana" w:hAnsi="Verdana"/>
          <w:sz w:val="20"/>
          <w:szCs w:val="20"/>
          <w:lang w:val="es-ES_tradnl"/>
        </w:rPr>
        <w:t xml:space="preserve"> la mayoría de la Corte estuvo de acuerdo en invocar el precedente en el </w:t>
      </w:r>
      <w:r w:rsidR="001D54B3" w:rsidRPr="00DF7694">
        <w:rPr>
          <w:rFonts w:ascii="Verdana" w:hAnsi="Verdana"/>
          <w:i/>
          <w:sz w:val="20"/>
          <w:szCs w:val="20"/>
          <w:lang w:val="es-ES_tradnl"/>
        </w:rPr>
        <w:t>caso García Lucero</w:t>
      </w:r>
      <w:r w:rsidR="00B97540">
        <w:rPr>
          <w:rFonts w:ascii="Verdana" w:hAnsi="Verdana"/>
          <w:sz w:val="20"/>
          <w:szCs w:val="20"/>
          <w:lang w:val="es-ES_tradnl"/>
        </w:rPr>
        <w:t xml:space="preserve"> </w:t>
      </w:r>
      <w:r w:rsidR="00255548">
        <w:rPr>
          <w:rFonts w:ascii="Verdana" w:hAnsi="Verdana"/>
          <w:sz w:val="20"/>
          <w:szCs w:val="20"/>
          <w:lang w:val="es-ES_tradnl"/>
        </w:rPr>
        <w:t xml:space="preserve">(véase </w:t>
      </w:r>
      <w:r w:rsidR="00255548" w:rsidRPr="00255548">
        <w:rPr>
          <w:rFonts w:ascii="Verdana" w:hAnsi="Verdana"/>
          <w:i/>
          <w:sz w:val="20"/>
          <w:szCs w:val="20"/>
          <w:lang w:val="es-ES_tradnl"/>
        </w:rPr>
        <w:t>supra</w:t>
      </w:r>
      <w:r w:rsidR="00255548">
        <w:rPr>
          <w:rFonts w:ascii="Verdana" w:hAnsi="Verdana"/>
          <w:sz w:val="20"/>
          <w:szCs w:val="20"/>
          <w:lang w:val="es-ES_tradnl"/>
        </w:rPr>
        <w:t xml:space="preserve"> párr. 39 del presente voto) </w:t>
      </w:r>
      <w:r w:rsidR="00B97540">
        <w:rPr>
          <w:rFonts w:ascii="Verdana" w:hAnsi="Verdana"/>
          <w:sz w:val="20"/>
          <w:szCs w:val="20"/>
          <w:lang w:val="es-ES_tradnl"/>
        </w:rPr>
        <w:t xml:space="preserve">que establece </w:t>
      </w:r>
      <w:r w:rsidR="001D54B3" w:rsidRPr="003D0AA2">
        <w:rPr>
          <w:rFonts w:ascii="Verdana" w:hAnsi="Verdana"/>
          <w:sz w:val="20"/>
          <w:szCs w:val="20"/>
          <w:lang w:val="es-ES_tradnl"/>
        </w:rPr>
        <w:t xml:space="preserve">que </w:t>
      </w:r>
      <w:r w:rsidR="001D54B3" w:rsidRPr="003D0AA2">
        <w:rPr>
          <w:rFonts w:ascii="Verdana" w:hAnsi="Verdana"/>
          <w:sz w:val="20"/>
          <w:szCs w:val="20"/>
        </w:rPr>
        <w:t>“</w:t>
      </w:r>
      <w:r w:rsidR="001D54B3" w:rsidRPr="003D0AA2">
        <w:rPr>
          <w:rFonts w:ascii="Verdana" w:hAnsi="Verdana"/>
          <w:i/>
          <w:sz w:val="20"/>
          <w:szCs w:val="20"/>
        </w:rPr>
        <w:t xml:space="preserve">la integralidad o individualización de la reparación solo p[uede] apreciarse a partir de un examen de los hechos generadores del daño y sus </w:t>
      </w:r>
      <w:r w:rsidR="001D54B3" w:rsidRPr="003D0AA2">
        <w:rPr>
          <w:rFonts w:ascii="Verdana" w:hAnsi="Verdana"/>
          <w:i/>
          <w:sz w:val="20"/>
          <w:szCs w:val="20"/>
        </w:rPr>
        <w:lastRenderedPageBreak/>
        <w:t>efectos</w:t>
      </w:r>
      <w:r w:rsidR="001D54B3" w:rsidRPr="003D0AA2">
        <w:rPr>
          <w:rFonts w:ascii="Verdana" w:hAnsi="Verdana"/>
          <w:sz w:val="20"/>
          <w:szCs w:val="20"/>
        </w:rPr>
        <w:t>”</w:t>
      </w:r>
      <w:r w:rsidR="001D54B3" w:rsidRPr="003D0AA2">
        <w:rPr>
          <w:rStyle w:val="FootnoteReference"/>
          <w:rFonts w:ascii="Verdana" w:hAnsi="Verdana"/>
          <w:sz w:val="20"/>
          <w:szCs w:val="20"/>
        </w:rPr>
        <w:footnoteReference w:id="120"/>
      </w:r>
      <w:r w:rsidR="004748C4">
        <w:rPr>
          <w:rFonts w:ascii="Verdana" w:hAnsi="Verdana"/>
          <w:sz w:val="20"/>
          <w:szCs w:val="20"/>
        </w:rPr>
        <w:t>.</w:t>
      </w:r>
      <w:r w:rsidR="001D54B3" w:rsidRPr="003D0AA2">
        <w:rPr>
          <w:rFonts w:ascii="Verdana" w:hAnsi="Verdana"/>
          <w:sz w:val="20"/>
          <w:szCs w:val="20"/>
        </w:rPr>
        <w:t xml:space="preserve"> </w:t>
      </w:r>
      <w:r w:rsidR="00586A0C">
        <w:rPr>
          <w:rFonts w:ascii="Verdana" w:hAnsi="Verdana"/>
          <w:sz w:val="20"/>
          <w:szCs w:val="20"/>
        </w:rPr>
        <w:t>Considero que este precedente</w:t>
      </w:r>
      <w:r w:rsidR="001D54B3" w:rsidRPr="003D0AA2">
        <w:rPr>
          <w:rFonts w:ascii="Verdana" w:hAnsi="Verdana"/>
          <w:sz w:val="20"/>
          <w:szCs w:val="20"/>
        </w:rPr>
        <w:t xml:space="preserve"> en nada modifica la jurisprudencia de la Corte en relación con la naturaleza de las violaciones continuas</w:t>
      </w:r>
      <w:r w:rsidR="00B97540">
        <w:rPr>
          <w:rFonts w:ascii="Verdana" w:hAnsi="Verdana"/>
          <w:sz w:val="20"/>
          <w:szCs w:val="20"/>
        </w:rPr>
        <w:t>. En mi</w:t>
      </w:r>
      <w:r w:rsidR="001D54B3" w:rsidRPr="003D0AA2">
        <w:rPr>
          <w:rFonts w:ascii="Verdana" w:hAnsi="Verdana"/>
          <w:sz w:val="20"/>
          <w:szCs w:val="20"/>
        </w:rPr>
        <w:t xml:space="preserve"> opinión, </w:t>
      </w:r>
      <w:r w:rsidR="00B97540">
        <w:rPr>
          <w:rFonts w:ascii="Verdana" w:hAnsi="Verdana"/>
          <w:sz w:val="20"/>
          <w:szCs w:val="20"/>
        </w:rPr>
        <w:t>este precedente</w:t>
      </w:r>
      <w:r w:rsidR="001D54B3" w:rsidRPr="003D0AA2">
        <w:rPr>
          <w:rFonts w:ascii="Verdana" w:hAnsi="Verdana"/>
          <w:sz w:val="20"/>
          <w:szCs w:val="20"/>
        </w:rPr>
        <w:t xml:space="preserve"> no es aplicable al presente caso por ser esta una situación continuada</w:t>
      </w:r>
      <w:r w:rsidR="001D54B3" w:rsidRPr="003D0AA2">
        <w:rPr>
          <w:rStyle w:val="FootnoteReference"/>
          <w:rFonts w:ascii="Verdana" w:hAnsi="Verdana"/>
          <w:sz w:val="20"/>
          <w:szCs w:val="20"/>
        </w:rPr>
        <w:footnoteReference w:id="121"/>
      </w:r>
      <w:r w:rsidR="00586A0C">
        <w:rPr>
          <w:rFonts w:ascii="Verdana" w:hAnsi="Verdana"/>
          <w:sz w:val="20"/>
          <w:szCs w:val="20"/>
        </w:rPr>
        <w:t>,</w:t>
      </w:r>
      <w:r w:rsidR="00E557E1">
        <w:rPr>
          <w:rFonts w:ascii="Verdana" w:hAnsi="Verdana"/>
          <w:sz w:val="20"/>
          <w:szCs w:val="20"/>
        </w:rPr>
        <w:t xml:space="preserve"> debiendo haberse</w:t>
      </w:r>
      <w:r w:rsidR="00D5125A">
        <w:rPr>
          <w:rFonts w:ascii="Verdana" w:hAnsi="Verdana"/>
          <w:sz w:val="20"/>
          <w:szCs w:val="20"/>
        </w:rPr>
        <w:t xml:space="preserve"> entrado al análisis específico sobre</w:t>
      </w:r>
      <w:r w:rsidR="00F80860">
        <w:rPr>
          <w:rFonts w:ascii="Verdana" w:hAnsi="Verdana"/>
          <w:sz w:val="20"/>
          <w:szCs w:val="20"/>
        </w:rPr>
        <w:t xml:space="preserve"> </w:t>
      </w:r>
      <w:r w:rsidR="00D5125A">
        <w:rPr>
          <w:rFonts w:ascii="Verdana" w:hAnsi="Verdana"/>
          <w:sz w:val="20"/>
          <w:szCs w:val="20"/>
        </w:rPr>
        <w:t>“</w:t>
      </w:r>
      <w:r w:rsidR="00D5125A" w:rsidRPr="00C077D4">
        <w:rPr>
          <w:rFonts w:ascii="Verdana" w:hAnsi="Verdana"/>
          <w:sz w:val="20"/>
          <w:szCs w:val="20"/>
        </w:rPr>
        <w:t xml:space="preserve">la supuesta violación continuada del derecho a la propiedad colectiva de los pueblos indígenas Kuna de Madungandí (“Kuna”) y Emberá de Bayano (“Emberá”) y sus miembros, por el </w:t>
      </w:r>
      <w:r w:rsidR="00D5125A" w:rsidRPr="00C077D4">
        <w:rPr>
          <w:rFonts w:ascii="Verdana" w:hAnsi="Verdana"/>
          <w:sz w:val="20"/>
          <w:szCs w:val="20"/>
          <w:u w:val="single"/>
        </w:rPr>
        <w:t>alegado incumplimiento del pago de indemnizaciones</w:t>
      </w:r>
      <w:r w:rsidR="00D5125A" w:rsidRPr="00C077D4">
        <w:rPr>
          <w:rFonts w:ascii="Verdana" w:hAnsi="Verdana"/>
          <w:sz w:val="20"/>
          <w:szCs w:val="20"/>
        </w:rPr>
        <w:t xml:space="preserve"> relacionadas con el despojo e inundación de sus</w:t>
      </w:r>
      <w:r w:rsidR="00F80860">
        <w:rPr>
          <w:rFonts w:ascii="Verdana" w:hAnsi="Verdana"/>
          <w:sz w:val="20"/>
          <w:szCs w:val="20"/>
        </w:rPr>
        <w:t xml:space="preserve"> territorios ancestrales”</w:t>
      </w:r>
      <w:r w:rsidR="00586A0C">
        <w:rPr>
          <w:rFonts w:ascii="Verdana" w:hAnsi="Verdana"/>
          <w:sz w:val="20"/>
          <w:szCs w:val="20"/>
        </w:rPr>
        <w:t>, tal y como fue presentado el caso a este Tribunal Interamericano</w:t>
      </w:r>
      <w:r w:rsidR="00EF0CF0">
        <w:rPr>
          <w:rStyle w:val="FootnoteReference"/>
          <w:rFonts w:ascii="Verdana" w:hAnsi="Verdana"/>
          <w:sz w:val="20"/>
          <w:szCs w:val="20"/>
        </w:rPr>
        <w:footnoteReference w:id="122"/>
      </w:r>
      <w:r w:rsidR="00F80860">
        <w:rPr>
          <w:rFonts w:ascii="Verdana" w:hAnsi="Verdana"/>
          <w:sz w:val="20"/>
          <w:szCs w:val="20"/>
        </w:rPr>
        <w:t>.</w:t>
      </w:r>
    </w:p>
    <w:p w:rsidR="001D54B3" w:rsidRPr="003D0AA2" w:rsidRDefault="001D54B3" w:rsidP="001D54B3">
      <w:pPr>
        <w:pStyle w:val="ListParagraph"/>
        <w:ind w:left="0"/>
        <w:jc w:val="both"/>
        <w:rPr>
          <w:rFonts w:ascii="Verdana" w:hAnsi="Verdana"/>
          <w:sz w:val="20"/>
          <w:szCs w:val="20"/>
        </w:rPr>
      </w:pPr>
    </w:p>
    <w:p w:rsidR="001D54B3" w:rsidRPr="00E7077E" w:rsidRDefault="00BC3F15" w:rsidP="001D54B3">
      <w:pPr>
        <w:pStyle w:val="ListParagraph"/>
        <w:ind w:left="0"/>
        <w:jc w:val="both"/>
        <w:rPr>
          <w:rFonts w:ascii="Verdana" w:hAnsi="Verdana"/>
          <w:i/>
          <w:sz w:val="20"/>
          <w:szCs w:val="20"/>
        </w:rPr>
      </w:pPr>
      <w:r>
        <w:rPr>
          <w:rFonts w:ascii="Verdana" w:hAnsi="Verdana"/>
          <w:sz w:val="20"/>
          <w:szCs w:val="20"/>
        </w:rPr>
        <w:t>77</w:t>
      </w:r>
      <w:r w:rsidR="00EE4CA6" w:rsidRPr="003D0AA2">
        <w:rPr>
          <w:rFonts w:ascii="Verdana" w:hAnsi="Verdana"/>
          <w:sz w:val="20"/>
          <w:szCs w:val="20"/>
        </w:rPr>
        <w:t>.</w:t>
      </w:r>
      <w:r w:rsidR="00EE4CA6" w:rsidRPr="003D0AA2">
        <w:rPr>
          <w:rFonts w:ascii="Verdana" w:hAnsi="Verdana"/>
          <w:sz w:val="20"/>
          <w:szCs w:val="20"/>
        </w:rPr>
        <w:tab/>
      </w:r>
      <w:r w:rsidR="00EF0CF0">
        <w:rPr>
          <w:rFonts w:ascii="Verdana" w:hAnsi="Verdana"/>
          <w:sz w:val="20"/>
          <w:szCs w:val="20"/>
        </w:rPr>
        <w:t>E</w:t>
      </w:r>
      <w:r w:rsidR="00DF7694">
        <w:rPr>
          <w:rFonts w:ascii="Verdana" w:hAnsi="Verdana"/>
          <w:sz w:val="20"/>
          <w:szCs w:val="20"/>
        </w:rPr>
        <w:t>l criterio mayoritario</w:t>
      </w:r>
      <w:r w:rsidR="00586A0C">
        <w:rPr>
          <w:rFonts w:ascii="Verdana" w:hAnsi="Verdana"/>
          <w:sz w:val="20"/>
          <w:szCs w:val="20"/>
        </w:rPr>
        <w:t>, asimismo,</w:t>
      </w:r>
      <w:r w:rsidR="00DF7694">
        <w:rPr>
          <w:rFonts w:ascii="Verdana" w:hAnsi="Verdana"/>
          <w:sz w:val="20"/>
          <w:szCs w:val="20"/>
        </w:rPr>
        <w:t xml:space="preserve"> </w:t>
      </w:r>
      <w:r w:rsidR="00E7077E">
        <w:rPr>
          <w:rFonts w:ascii="Verdana" w:hAnsi="Verdana"/>
          <w:sz w:val="20"/>
          <w:szCs w:val="20"/>
        </w:rPr>
        <w:t>trata de realizar</w:t>
      </w:r>
      <w:r w:rsidR="00DF7694">
        <w:rPr>
          <w:rFonts w:ascii="Verdana" w:hAnsi="Verdana"/>
          <w:sz w:val="20"/>
          <w:szCs w:val="20"/>
        </w:rPr>
        <w:t xml:space="preserve"> la distinción con el caso </w:t>
      </w:r>
      <w:r w:rsidR="00DF7694" w:rsidRPr="003D0AA2">
        <w:rPr>
          <w:rFonts w:ascii="Verdana" w:hAnsi="Verdana"/>
          <w:i/>
          <w:sz w:val="20"/>
          <w:szCs w:val="20"/>
        </w:rPr>
        <w:t>Moiwana v. Suriname</w:t>
      </w:r>
      <w:r w:rsidR="00DF7694" w:rsidRPr="003D0AA2">
        <w:rPr>
          <w:rStyle w:val="FootnoteReference"/>
          <w:rFonts w:ascii="Verdana" w:hAnsi="Verdana"/>
          <w:i/>
          <w:sz w:val="20"/>
          <w:szCs w:val="20"/>
        </w:rPr>
        <w:footnoteReference w:id="123"/>
      </w:r>
      <w:r w:rsidR="00E7077E">
        <w:rPr>
          <w:rFonts w:ascii="Verdana" w:hAnsi="Verdana"/>
          <w:i/>
          <w:sz w:val="20"/>
          <w:szCs w:val="20"/>
        </w:rPr>
        <w:t xml:space="preserve"> </w:t>
      </w:r>
      <w:r w:rsidR="00E7077E">
        <w:rPr>
          <w:rFonts w:ascii="Verdana" w:hAnsi="Verdana"/>
          <w:sz w:val="20"/>
          <w:szCs w:val="20"/>
        </w:rPr>
        <w:t>—precedente que reconoció la existencia de efectos continuados a partir de diversas violaciones a derechos humanos—.</w:t>
      </w:r>
      <w:r w:rsidR="00E7077E">
        <w:rPr>
          <w:rFonts w:ascii="Verdana" w:hAnsi="Verdana"/>
          <w:i/>
          <w:sz w:val="20"/>
          <w:szCs w:val="20"/>
        </w:rPr>
        <w:t xml:space="preserve"> </w:t>
      </w:r>
      <w:r w:rsidR="001D54B3" w:rsidRPr="003D0AA2">
        <w:rPr>
          <w:rFonts w:ascii="Verdana" w:hAnsi="Verdana"/>
          <w:sz w:val="20"/>
          <w:szCs w:val="20"/>
        </w:rPr>
        <w:t xml:space="preserve">Si bien </w:t>
      </w:r>
      <w:r w:rsidR="00DF7694">
        <w:rPr>
          <w:rFonts w:ascii="Verdana" w:hAnsi="Verdana"/>
          <w:sz w:val="20"/>
          <w:szCs w:val="20"/>
        </w:rPr>
        <w:t xml:space="preserve">es cierto que </w:t>
      </w:r>
      <w:r w:rsidR="001D54B3" w:rsidRPr="003D0AA2">
        <w:rPr>
          <w:rFonts w:ascii="Verdana" w:hAnsi="Verdana"/>
          <w:sz w:val="20"/>
          <w:szCs w:val="20"/>
        </w:rPr>
        <w:t>el presente caso no es exactamente igual a</w:t>
      </w:r>
      <w:r w:rsidR="00DF7694">
        <w:rPr>
          <w:rFonts w:ascii="Verdana" w:hAnsi="Verdana"/>
          <w:sz w:val="20"/>
          <w:szCs w:val="20"/>
        </w:rPr>
        <w:t xml:space="preserve"> aquél,</w:t>
      </w:r>
      <w:r w:rsidR="001D54B3" w:rsidRPr="003D0AA2">
        <w:rPr>
          <w:rFonts w:ascii="Verdana" w:hAnsi="Verdana"/>
          <w:sz w:val="20"/>
          <w:szCs w:val="20"/>
        </w:rPr>
        <w:t xml:space="preserve"> es pertinente aclarar que conforme a los hechos probados del </w:t>
      </w:r>
      <w:r>
        <w:rPr>
          <w:rFonts w:ascii="Verdana" w:hAnsi="Verdana"/>
          <w:sz w:val="20"/>
          <w:szCs w:val="20"/>
        </w:rPr>
        <w:t xml:space="preserve">presente </w:t>
      </w:r>
      <w:r w:rsidR="001D54B3" w:rsidRPr="003D0AA2">
        <w:rPr>
          <w:rFonts w:ascii="Verdana" w:hAnsi="Verdana"/>
          <w:sz w:val="20"/>
          <w:szCs w:val="20"/>
        </w:rPr>
        <w:t>caso</w:t>
      </w:r>
      <w:r w:rsidR="00E557E1">
        <w:rPr>
          <w:rFonts w:ascii="Verdana" w:hAnsi="Verdana"/>
          <w:sz w:val="20"/>
          <w:szCs w:val="20"/>
        </w:rPr>
        <w:t>,</w:t>
      </w:r>
      <w:r w:rsidR="001D54B3" w:rsidRPr="003D0AA2">
        <w:rPr>
          <w:rFonts w:ascii="Verdana" w:hAnsi="Verdana"/>
          <w:sz w:val="20"/>
          <w:szCs w:val="20"/>
        </w:rPr>
        <w:t xml:space="preserve"> </w:t>
      </w:r>
      <w:r w:rsidR="00E557E1">
        <w:rPr>
          <w:rFonts w:ascii="Verdana" w:hAnsi="Verdana"/>
          <w:sz w:val="20"/>
          <w:szCs w:val="20"/>
        </w:rPr>
        <w:t>conforme a</w:t>
      </w:r>
      <w:r w:rsidR="001D54B3" w:rsidRPr="003D0AA2">
        <w:rPr>
          <w:rFonts w:ascii="Verdana" w:hAnsi="Verdana"/>
          <w:sz w:val="20"/>
          <w:szCs w:val="20"/>
        </w:rPr>
        <w:t>l derech</w:t>
      </w:r>
      <w:r w:rsidR="00E557E1">
        <w:rPr>
          <w:rFonts w:ascii="Verdana" w:hAnsi="Verdana"/>
          <w:sz w:val="20"/>
          <w:szCs w:val="20"/>
        </w:rPr>
        <w:t>o internacional y en especial al</w:t>
      </w:r>
      <w:r w:rsidR="001D54B3" w:rsidRPr="003D0AA2">
        <w:rPr>
          <w:rFonts w:ascii="Verdana" w:hAnsi="Verdana"/>
          <w:sz w:val="20"/>
          <w:szCs w:val="20"/>
        </w:rPr>
        <w:t xml:space="preserve"> derecho internacional de los derechos humanos</w:t>
      </w:r>
      <w:r w:rsidR="00E557E1">
        <w:rPr>
          <w:rFonts w:ascii="Verdana" w:hAnsi="Verdana"/>
          <w:sz w:val="20"/>
          <w:szCs w:val="20"/>
        </w:rPr>
        <w:t>,</w:t>
      </w:r>
      <w:r w:rsidR="001D54B3" w:rsidRPr="003D0AA2">
        <w:rPr>
          <w:rFonts w:ascii="Verdana" w:hAnsi="Verdana"/>
          <w:sz w:val="20"/>
          <w:szCs w:val="20"/>
        </w:rPr>
        <w:t xml:space="preserve"> existían precedentes suficientes </w:t>
      </w:r>
      <w:r w:rsidR="00E557E1">
        <w:rPr>
          <w:rFonts w:ascii="Verdana" w:hAnsi="Verdana"/>
          <w:sz w:val="20"/>
          <w:szCs w:val="20"/>
        </w:rPr>
        <w:t>—que</w:t>
      </w:r>
      <w:r w:rsidR="00D5125A">
        <w:rPr>
          <w:rFonts w:ascii="Verdana" w:hAnsi="Verdana"/>
          <w:sz w:val="20"/>
          <w:szCs w:val="20"/>
        </w:rPr>
        <w:t xml:space="preserve"> </w:t>
      </w:r>
      <w:r w:rsidR="00EE7750">
        <w:rPr>
          <w:rFonts w:ascii="Verdana" w:hAnsi="Verdana"/>
          <w:sz w:val="20"/>
          <w:szCs w:val="20"/>
        </w:rPr>
        <w:t>se han tratado</w:t>
      </w:r>
      <w:r w:rsidR="00D5125A">
        <w:rPr>
          <w:rFonts w:ascii="Verdana" w:hAnsi="Verdana"/>
          <w:sz w:val="20"/>
          <w:szCs w:val="20"/>
        </w:rPr>
        <w:t xml:space="preserve"> de destacar</w:t>
      </w:r>
      <w:r w:rsidR="00E7077E">
        <w:rPr>
          <w:rFonts w:ascii="Verdana" w:hAnsi="Verdana"/>
          <w:sz w:val="20"/>
          <w:szCs w:val="20"/>
        </w:rPr>
        <w:t xml:space="preserve">, véanse </w:t>
      </w:r>
      <w:r w:rsidR="00E7077E" w:rsidRPr="00E7077E">
        <w:rPr>
          <w:rFonts w:ascii="Verdana" w:hAnsi="Verdana"/>
          <w:i/>
          <w:sz w:val="20"/>
          <w:szCs w:val="20"/>
        </w:rPr>
        <w:t>supra</w:t>
      </w:r>
      <w:r w:rsidR="00042460">
        <w:rPr>
          <w:rFonts w:ascii="Verdana" w:hAnsi="Verdana"/>
          <w:sz w:val="20"/>
          <w:szCs w:val="20"/>
        </w:rPr>
        <w:t xml:space="preserve"> párrs. </w:t>
      </w:r>
      <w:r w:rsidR="00E7077E">
        <w:rPr>
          <w:rFonts w:ascii="Verdana" w:hAnsi="Verdana"/>
          <w:sz w:val="20"/>
          <w:szCs w:val="20"/>
        </w:rPr>
        <w:t>40 a 51 del presente voto</w:t>
      </w:r>
      <w:r w:rsidR="00E557E1">
        <w:rPr>
          <w:rFonts w:ascii="Verdana" w:hAnsi="Verdana"/>
          <w:sz w:val="20"/>
          <w:szCs w:val="20"/>
        </w:rPr>
        <w:t xml:space="preserve">— </w:t>
      </w:r>
      <w:r w:rsidR="001D54B3" w:rsidRPr="003D0AA2">
        <w:rPr>
          <w:rFonts w:ascii="Verdana" w:hAnsi="Verdana"/>
          <w:sz w:val="20"/>
          <w:szCs w:val="20"/>
        </w:rPr>
        <w:t xml:space="preserve">que de haberse aplicado siguiendo el principio </w:t>
      </w:r>
      <w:r w:rsidR="001D54B3" w:rsidRPr="003D0AA2">
        <w:rPr>
          <w:rFonts w:ascii="Verdana" w:hAnsi="Verdana"/>
          <w:i/>
          <w:sz w:val="20"/>
          <w:szCs w:val="20"/>
        </w:rPr>
        <w:t>pro persona</w:t>
      </w:r>
      <w:r w:rsidR="001D54B3" w:rsidRPr="003D0AA2">
        <w:rPr>
          <w:rFonts w:ascii="Verdana" w:hAnsi="Verdana"/>
          <w:sz w:val="20"/>
          <w:szCs w:val="20"/>
        </w:rPr>
        <w:t xml:space="preserve">, hubiesen guiado a este Tribunal </w:t>
      </w:r>
      <w:r>
        <w:rPr>
          <w:rFonts w:ascii="Verdana" w:hAnsi="Verdana"/>
          <w:sz w:val="20"/>
          <w:szCs w:val="20"/>
        </w:rPr>
        <w:t xml:space="preserve">Interamericano </w:t>
      </w:r>
      <w:r w:rsidR="001D54B3" w:rsidRPr="003D0AA2">
        <w:rPr>
          <w:rFonts w:ascii="Verdana" w:hAnsi="Verdana"/>
          <w:sz w:val="20"/>
          <w:szCs w:val="20"/>
        </w:rPr>
        <w:t>a una decisión diferente respe</w:t>
      </w:r>
      <w:r w:rsidR="00E7077E">
        <w:rPr>
          <w:rFonts w:ascii="Verdana" w:hAnsi="Verdana"/>
          <w:sz w:val="20"/>
          <w:szCs w:val="20"/>
        </w:rPr>
        <w:t xml:space="preserve">cto a esta excepción preliminar, especialmente considerando que el alegado incumplimiento del pago de indemnizaciones está relacionado con </w:t>
      </w:r>
      <w:r w:rsidR="002432C9">
        <w:rPr>
          <w:rFonts w:ascii="Verdana" w:hAnsi="Verdana"/>
          <w:sz w:val="20"/>
          <w:szCs w:val="20"/>
        </w:rPr>
        <w:t>el despojo e inundación</w:t>
      </w:r>
      <w:r w:rsidR="00E7077E">
        <w:rPr>
          <w:rFonts w:ascii="Verdana" w:hAnsi="Verdana"/>
          <w:sz w:val="20"/>
          <w:szCs w:val="20"/>
        </w:rPr>
        <w:t xml:space="preserve"> a territorios ancestrales</w:t>
      </w:r>
      <w:r w:rsidR="00042460">
        <w:rPr>
          <w:rFonts w:ascii="Verdana" w:hAnsi="Verdana"/>
          <w:sz w:val="20"/>
          <w:szCs w:val="20"/>
        </w:rPr>
        <w:t xml:space="preserve"> de pueblos indígenas</w:t>
      </w:r>
      <w:r w:rsidR="00E7077E">
        <w:rPr>
          <w:rFonts w:ascii="Verdana" w:hAnsi="Verdana"/>
          <w:sz w:val="20"/>
          <w:szCs w:val="20"/>
        </w:rPr>
        <w:t>.</w:t>
      </w:r>
      <w:r w:rsidR="001D54B3" w:rsidRPr="003D0AA2">
        <w:rPr>
          <w:rFonts w:ascii="Verdana" w:hAnsi="Verdana"/>
          <w:sz w:val="20"/>
          <w:szCs w:val="20"/>
        </w:rPr>
        <w:t xml:space="preserve"> </w:t>
      </w:r>
      <w:r w:rsidR="00E557E1">
        <w:rPr>
          <w:rFonts w:ascii="Verdana" w:hAnsi="Verdana"/>
          <w:sz w:val="20"/>
          <w:szCs w:val="20"/>
        </w:rPr>
        <w:t xml:space="preserve">Consecuentemente, de haber desechado la excepción preliminar formulada por el Estado sobre la competencia </w:t>
      </w:r>
      <w:r w:rsidR="00E557E1" w:rsidRPr="00E557E1">
        <w:rPr>
          <w:rFonts w:ascii="Verdana" w:hAnsi="Verdana"/>
          <w:i/>
          <w:sz w:val="20"/>
          <w:szCs w:val="20"/>
        </w:rPr>
        <w:t>ratione temporis</w:t>
      </w:r>
      <w:r w:rsidR="00E557E1">
        <w:rPr>
          <w:rFonts w:ascii="Verdana" w:hAnsi="Verdana"/>
          <w:sz w:val="20"/>
          <w:szCs w:val="20"/>
        </w:rPr>
        <w:t xml:space="preserve">, la </w:t>
      </w:r>
      <w:r w:rsidR="001D54B3" w:rsidRPr="003D0AA2">
        <w:rPr>
          <w:rFonts w:ascii="Verdana" w:hAnsi="Verdana"/>
          <w:sz w:val="20"/>
          <w:szCs w:val="20"/>
        </w:rPr>
        <w:t xml:space="preserve">Corte </w:t>
      </w:r>
      <w:r w:rsidR="00E557E1">
        <w:rPr>
          <w:rFonts w:ascii="Verdana" w:hAnsi="Verdana"/>
          <w:sz w:val="20"/>
          <w:szCs w:val="20"/>
        </w:rPr>
        <w:t xml:space="preserve">también </w:t>
      </w:r>
      <w:r w:rsidR="00D5125A">
        <w:rPr>
          <w:rFonts w:ascii="Verdana" w:hAnsi="Verdana"/>
          <w:sz w:val="20"/>
          <w:szCs w:val="20"/>
        </w:rPr>
        <w:t xml:space="preserve">pudo haber </w:t>
      </w:r>
      <w:r w:rsidR="001D54B3" w:rsidRPr="003D0AA2">
        <w:rPr>
          <w:rFonts w:ascii="Verdana" w:hAnsi="Verdana"/>
          <w:sz w:val="20"/>
          <w:szCs w:val="20"/>
        </w:rPr>
        <w:t>entrado a resolver la cuestión de si este</w:t>
      </w:r>
      <w:r w:rsidR="00F517A6">
        <w:rPr>
          <w:rFonts w:ascii="Verdana" w:hAnsi="Verdana"/>
          <w:sz w:val="20"/>
          <w:szCs w:val="20"/>
        </w:rPr>
        <w:t xml:space="preserve"> reclamo era o no prescriptible</w:t>
      </w:r>
      <w:r w:rsidR="007F0D71">
        <w:rPr>
          <w:rStyle w:val="FootnoteReference"/>
          <w:rFonts w:ascii="Verdana" w:hAnsi="Verdana"/>
          <w:sz w:val="20"/>
          <w:szCs w:val="20"/>
        </w:rPr>
        <w:footnoteReference w:id="124"/>
      </w:r>
      <w:r w:rsidR="007F0D71">
        <w:rPr>
          <w:rFonts w:ascii="Verdana" w:hAnsi="Verdana"/>
          <w:sz w:val="20"/>
          <w:szCs w:val="20"/>
        </w:rPr>
        <w:t>.</w:t>
      </w:r>
      <w:r w:rsidR="00F517A6">
        <w:rPr>
          <w:rFonts w:ascii="Verdana" w:hAnsi="Verdana"/>
          <w:sz w:val="20"/>
          <w:szCs w:val="20"/>
        </w:rPr>
        <w:t xml:space="preserve"> </w:t>
      </w:r>
    </w:p>
    <w:p w:rsidR="001D54B3" w:rsidRPr="003D0AA2" w:rsidRDefault="001D54B3" w:rsidP="001D54B3">
      <w:pPr>
        <w:pStyle w:val="ListParagraph"/>
        <w:ind w:left="0"/>
        <w:jc w:val="both"/>
        <w:rPr>
          <w:rFonts w:ascii="Verdana" w:hAnsi="Verdana"/>
          <w:sz w:val="20"/>
          <w:szCs w:val="20"/>
          <w:lang w:val="es-ES_tradnl"/>
        </w:rPr>
      </w:pPr>
    </w:p>
    <w:p w:rsidR="00D6179B" w:rsidRPr="004B014D" w:rsidRDefault="00BC3F15" w:rsidP="001D54B3">
      <w:pPr>
        <w:pStyle w:val="ListParagraph"/>
        <w:ind w:left="0"/>
        <w:jc w:val="both"/>
        <w:rPr>
          <w:rFonts w:ascii="Verdana" w:hAnsi="Verdana"/>
          <w:sz w:val="20"/>
          <w:szCs w:val="20"/>
          <w:lang w:val="es-ES_tradnl"/>
        </w:rPr>
      </w:pPr>
      <w:r>
        <w:rPr>
          <w:rFonts w:ascii="Verdana" w:hAnsi="Verdana"/>
          <w:sz w:val="20"/>
          <w:szCs w:val="20"/>
          <w:lang w:val="es-ES_tradnl"/>
        </w:rPr>
        <w:t>78</w:t>
      </w:r>
      <w:r w:rsidR="00EE4CA6" w:rsidRPr="003D0AA2">
        <w:rPr>
          <w:rFonts w:ascii="Verdana" w:hAnsi="Verdana"/>
          <w:sz w:val="20"/>
          <w:szCs w:val="20"/>
          <w:lang w:val="es-ES_tradnl"/>
        </w:rPr>
        <w:t>.</w:t>
      </w:r>
      <w:r w:rsidR="00EE4CA6" w:rsidRPr="003D0AA2">
        <w:rPr>
          <w:rFonts w:ascii="Verdana" w:hAnsi="Verdana"/>
          <w:sz w:val="20"/>
          <w:szCs w:val="20"/>
          <w:lang w:val="es-ES_tradnl"/>
        </w:rPr>
        <w:tab/>
      </w:r>
      <w:r w:rsidR="001D54B3" w:rsidRPr="003D0AA2">
        <w:rPr>
          <w:rFonts w:ascii="Verdana" w:hAnsi="Verdana"/>
          <w:sz w:val="20"/>
          <w:szCs w:val="20"/>
          <w:lang w:val="es-ES_tradnl"/>
        </w:rPr>
        <w:t>Por último, es pertinente advertir que sería una falacia y un argumento de reducción al absurdo (</w:t>
      </w:r>
      <w:r w:rsidR="001D54B3" w:rsidRPr="003D0AA2">
        <w:rPr>
          <w:rFonts w:ascii="Verdana" w:hAnsi="Verdana"/>
          <w:i/>
          <w:sz w:val="20"/>
          <w:szCs w:val="20"/>
          <w:lang w:val="es-ES_tradnl"/>
        </w:rPr>
        <w:t>reductio ad absurdum</w:t>
      </w:r>
      <w:r w:rsidR="001D54B3" w:rsidRPr="003D0AA2">
        <w:rPr>
          <w:rFonts w:ascii="Verdana" w:hAnsi="Verdana"/>
          <w:sz w:val="20"/>
          <w:szCs w:val="20"/>
          <w:lang w:val="es-ES_tradnl"/>
        </w:rPr>
        <w:t>) pretender que cualquier tipo de expropiación de tierras indígenas presente, futura, pero sobre todo d</w:t>
      </w:r>
      <w:r w:rsidR="00F80860">
        <w:rPr>
          <w:rFonts w:ascii="Verdana" w:hAnsi="Verdana"/>
          <w:sz w:val="20"/>
          <w:szCs w:val="20"/>
          <w:lang w:val="es-ES_tradnl"/>
        </w:rPr>
        <w:t>el pasado, constituye por ese so</w:t>
      </w:r>
      <w:r w:rsidR="001D54B3" w:rsidRPr="003D0AA2">
        <w:rPr>
          <w:rFonts w:ascii="Verdana" w:hAnsi="Verdana"/>
          <w:sz w:val="20"/>
          <w:szCs w:val="20"/>
          <w:lang w:val="es-ES_tradnl"/>
        </w:rPr>
        <w:t>lo hecho una situación continuada. Realizar dicha afirmación crearía una absoluta falta de certeza jurídica respecto a cualquier propiedad en el continente americano. Sin embargo, adoptar tajantemente la posición opuesta en lo general</w:t>
      </w:r>
      <w:r w:rsidR="00F80860">
        <w:rPr>
          <w:rFonts w:ascii="Verdana" w:hAnsi="Verdana"/>
          <w:sz w:val="20"/>
          <w:szCs w:val="20"/>
          <w:lang w:val="es-ES_tradnl"/>
        </w:rPr>
        <w:t xml:space="preserve">, sin analizar </w:t>
      </w:r>
      <w:r>
        <w:rPr>
          <w:rFonts w:ascii="Verdana" w:hAnsi="Verdana"/>
          <w:sz w:val="20"/>
          <w:szCs w:val="20"/>
          <w:lang w:val="es-ES_tradnl"/>
        </w:rPr>
        <w:t xml:space="preserve">las circunstancias particulares </w:t>
      </w:r>
      <w:r w:rsidR="00E557E1">
        <w:rPr>
          <w:rFonts w:ascii="Verdana" w:hAnsi="Verdana"/>
          <w:sz w:val="20"/>
          <w:szCs w:val="20"/>
          <w:lang w:val="es-ES_tradnl"/>
        </w:rPr>
        <w:t xml:space="preserve">de cada </w:t>
      </w:r>
      <w:r>
        <w:rPr>
          <w:rFonts w:ascii="Verdana" w:hAnsi="Verdana"/>
          <w:sz w:val="20"/>
          <w:szCs w:val="20"/>
          <w:lang w:val="es-ES_tradnl"/>
        </w:rPr>
        <w:t>caso resulta desproporcional</w:t>
      </w:r>
      <w:r w:rsidR="00586A0C">
        <w:rPr>
          <w:rFonts w:ascii="Verdana" w:hAnsi="Verdana"/>
          <w:sz w:val="20"/>
          <w:szCs w:val="20"/>
          <w:lang w:val="es-ES_tradnl"/>
        </w:rPr>
        <w:t xml:space="preserve"> —</w:t>
      </w:r>
      <w:r w:rsidR="00586A0C" w:rsidRPr="003B3700">
        <w:rPr>
          <w:rFonts w:ascii="Verdana" w:hAnsi="Verdana"/>
          <w:sz w:val="20"/>
          <w:szCs w:val="20"/>
          <w:lang w:val="es-ES_tradnl"/>
        </w:rPr>
        <w:t xml:space="preserve">como sucedió en el presente caso en el que se está ante una </w:t>
      </w:r>
      <w:r w:rsidR="00586A0C" w:rsidRPr="003C5279">
        <w:rPr>
          <w:rFonts w:ascii="Verdana" w:hAnsi="Verdana"/>
          <w:i/>
          <w:sz w:val="20"/>
          <w:szCs w:val="20"/>
          <w:lang w:val="es-ES_tradnl"/>
        </w:rPr>
        <w:t xml:space="preserve">situación continuada </w:t>
      </w:r>
      <w:r w:rsidR="005F24F8" w:rsidRPr="003C5279">
        <w:rPr>
          <w:rFonts w:ascii="Verdana" w:hAnsi="Verdana"/>
          <w:i/>
          <w:sz w:val="20"/>
          <w:szCs w:val="20"/>
          <w:lang w:val="es-ES_tradnl"/>
        </w:rPr>
        <w:t xml:space="preserve">por </w:t>
      </w:r>
      <w:r w:rsidR="003B3700" w:rsidRPr="003C5279">
        <w:rPr>
          <w:rFonts w:ascii="Verdana" w:hAnsi="Verdana"/>
          <w:i/>
          <w:sz w:val="20"/>
          <w:szCs w:val="20"/>
          <w:lang w:val="es-ES_tradnl"/>
        </w:rPr>
        <w:t xml:space="preserve">un </w:t>
      </w:r>
      <w:r w:rsidR="005F24F8" w:rsidRPr="003C5279">
        <w:rPr>
          <w:rFonts w:ascii="Verdana" w:hAnsi="Verdana"/>
          <w:i/>
          <w:sz w:val="20"/>
          <w:szCs w:val="20"/>
          <w:lang w:val="es-ES_tradnl"/>
        </w:rPr>
        <w:t>hecho compuesto</w:t>
      </w:r>
      <w:r w:rsidR="000432E3" w:rsidRPr="003C5279">
        <w:rPr>
          <w:rFonts w:ascii="Verdana" w:hAnsi="Verdana"/>
          <w:i/>
          <w:sz w:val="20"/>
          <w:szCs w:val="20"/>
          <w:lang w:val="es-ES_tradnl"/>
        </w:rPr>
        <w:t xml:space="preserve"> </w:t>
      </w:r>
      <w:r w:rsidR="003B3700" w:rsidRPr="003C5279">
        <w:rPr>
          <w:rFonts w:ascii="Verdana" w:hAnsi="Verdana"/>
          <w:i/>
          <w:sz w:val="20"/>
          <w:szCs w:val="20"/>
          <w:lang w:val="es-ES_tradnl"/>
        </w:rPr>
        <w:t>relativo al</w:t>
      </w:r>
      <w:r w:rsidR="00586A0C" w:rsidRPr="003B3700">
        <w:rPr>
          <w:rFonts w:ascii="Verdana" w:hAnsi="Verdana"/>
          <w:i/>
          <w:sz w:val="20"/>
          <w:szCs w:val="20"/>
          <w:lang w:val="es-ES_tradnl"/>
        </w:rPr>
        <w:t xml:space="preserve"> incumplimiento</w:t>
      </w:r>
      <w:r w:rsidR="00586A0C" w:rsidRPr="003B3700">
        <w:rPr>
          <w:rFonts w:ascii="Verdana" w:hAnsi="Verdana"/>
          <w:sz w:val="20"/>
          <w:szCs w:val="20"/>
          <w:lang w:val="es-ES_tradnl"/>
        </w:rPr>
        <w:t xml:space="preserve"> </w:t>
      </w:r>
      <w:r w:rsidR="00586A0C" w:rsidRPr="003B3700">
        <w:rPr>
          <w:rFonts w:ascii="Verdana" w:hAnsi="Verdana"/>
          <w:i/>
          <w:sz w:val="20"/>
          <w:szCs w:val="20"/>
        </w:rPr>
        <w:t>del pago de la indemnización—</w:t>
      </w:r>
      <w:r w:rsidRPr="003B3700">
        <w:rPr>
          <w:rFonts w:ascii="Verdana" w:hAnsi="Verdana"/>
          <w:sz w:val="20"/>
          <w:szCs w:val="20"/>
          <w:lang w:val="es-ES_tradnl"/>
        </w:rPr>
        <w:t>,</w:t>
      </w:r>
      <w:r w:rsidR="001D54B3" w:rsidRPr="003D0AA2">
        <w:rPr>
          <w:rFonts w:ascii="Verdana" w:hAnsi="Verdana"/>
          <w:sz w:val="20"/>
          <w:szCs w:val="20"/>
          <w:lang w:val="es-ES_tradnl"/>
        </w:rPr>
        <w:t xml:space="preserve"> dejando en desventaja a grupos de personas y comunidades que esta </w:t>
      </w:r>
      <w:r w:rsidR="001D54B3" w:rsidRPr="003D0AA2">
        <w:rPr>
          <w:rFonts w:ascii="Verdana" w:hAnsi="Verdana"/>
          <w:sz w:val="20"/>
          <w:szCs w:val="20"/>
          <w:lang w:val="es-ES_tradnl"/>
        </w:rPr>
        <w:lastRenderedPageBreak/>
        <w:t>misma Corte ha reconocido como poseedores de una protección particular por parte del derecho internacional de los derechos humanos.</w:t>
      </w:r>
    </w:p>
    <w:p w:rsidR="00586A0C" w:rsidRDefault="00586A0C" w:rsidP="0039359B">
      <w:pPr>
        <w:pStyle w:val="NormalWeb"/>
        <w:spacing w:before="0" w:beforeAutospacing="0" w:after="0" w:afterAutospacing="0"/>
        <w:jc w:val="both"/>
        <w:rPr>
          <w:rFonts w:ascii="Verdana" w:hAnsi="Verdana"/>
          <w:lang w:val="es-ES" w:eastAsia="es-ES"/>
        </w:rPr>
      </w:pPr>
    </w:p>
    <w:p w:rsidR="0039359B" w:rsidRDefault="0039359B" w:rsidP="0039359B">
      <w:pPr>
        <w:pStyle w:val="NormalWeb"/>
        <w:spacing w:before="0" w:beforeAutospacing="0" w:after="0" w:afterAutospacing="0"/>
        <w:jc w:val="both"/>
        <w:rPr>
          <w:rFonts w:ascii="Verdana" w:hAnsi="Verdana"/>
          <w:lang w:val="es-ES" w:eastAsia="es-ES"/>
        </w:rPr>
      </w:pPr>
    </w:p>
    <w:p w:rsidR="0039359B" w:rsidRDefault="0039359B" w:rsidP="0039359B">
      <w:pPr>
        <w:pStyle w:val="NormalWeb"/>
        <w:spacing w:before="0" w:beforeAutospacing="0" w:after="0" w:afterAutospacing="0"/>
        <w:jc w:val="both"/>
        <w:rPr>
          <w:rFonts w:ascii="Verdana" w:hAnsi="Verdana"/>
          <w:lang w:val="es-ES" w:eastAsia="es-ES"/>
        </w:rPr>
      </w:pPr>
    </w:p>
    <w:p w:rsidR="0039359B" w:rsidRDefault="0039359B" w:rsidP="0039359B">
      <w:pPr>
        <w:pStyle w:val="NormalWeb"/>
        <w:spacing w:before="0" w:beforeAutospacing="0" w:after="0" w:afterAutospacing="0"/>
        <w:jc w:val="both"/>
        <w:rPr>
          <w:rFonts w:ascii="Verdana" w:hAnsi="Verdana"/>
          <w:lang w:val="es-ES" w:eastAsia="es-ES"/>
        </w:rPr>
      </w:pPr>
    </w:p>
    <w:p w:rsidR="0039359B" w:rsidRDefault="0039359B" w:rsidP="0039359B">
      <w:pPr>
        <w:pStyle w:val="NormalWeb"/>
        <w:spacing w:before="0" w:beforeAutospacing="0" w:after="0" w:afterAutospacing="0"/>
        <w:jc w:val="both"/>
        <w:rPr>
          <w:rFonts w:ascii="Verdana" w:hAnsi="Verdana"/>
          <w:lang w:val="es-ES" w:eastAsia="es-ES"/>
        </w:rPr>
      </w:pPr>
    </w:p>
    <w:p w:rsidR="00D6179B" w:rsidRDefault="00D6179B" w:rsidP="00586A0C">
      <w:pPr>
        <w:pStyle w:val="NormalWeb"/>
        <w:spacing w:before="0" w:beforeAutospacing="0" w:after="0" w:afterAutospacing="0"/>
        <w:ind w:left="4247" w:firstLine="709"/>
        <w:jc w:val="both"/>
        <w:rPr>
          <w:rFonts w:ascii="Verdana" w:hAnsi="Verdana" w:cs="Tahoma"/>
          <w:lang w:val="es-CR"/>
        </w:rPr>
      </w:pPr>
      <w:r w:rsidRPr="007363A8">
        <w:rPr>
          <w:rFonts w:ascii="Verdana" w:hAnsi="Verdana" w:cs="Tahoma"/>
          <w:lang w:val="es-CR"/>
        </w:rPr>
        <w:t>Eduardo F</w:t>
      </w:r>
      <w:r>
        <w:rPr>
          <w:rFonts w:ascii="Verdana" w:hAnsi="Verdana" w:cs="Tahoma"/>
          <w:lang w:val="es-CR"/>
        </w:rPr>
        <w:t xml:space="preserve">errer Mac-Gregor Poisot        </w:t>
      </w:r>
    </w:p>
    <w:p w:rsidR="00D6179B" w:rsidRPr="00916C54" w:rsidRDefault="00D6179B" w:rsidP="00916C54">
      <w:pPr>
        <w:pStyle w:val="NormalWeb"/>
        <w:spacing w:before="0" w:beforeAutospacing="0" w:after="0" w:afterAutospacing="0"/>
        <w:ind w:left="5663" w:firstLine="709"/>
        <w:jc w:val="both"/>
        <w:rPr>
          <w:rFonts w:ascii="Verdana" w:hAnsi="Verdana" w:cs="Tahoma"/>
          <w:lang w:val="es-CR"/>
        </w:rPr>
      </w:pPr>
      <w:r w:rsidRPr="007363A8">
        <w:rPr>
          <w:rFonts w:ascii="Verdana" w:hAnsi="Verdana" w:cs="Tahoma"/>
          <w:lang w:val="es-CR"/>
        </w:rPr>
        <w:t>Juez</w:t>
      </w:r>
    </w:p>
    <w:p w:rsidR="00D6179B" w:rsidRDefault="00D6179B" w:rsidP="004B014D">
      <w:pPr>
        <w:tabs>
          <w:tab w:val="left" w:pos="709"/>
          <w:tab w:val="left" w:pos="9356"/>
        </w:tabs>
        <w:ind w:right="-516"/>
        <w:outlineLvl w:val="0"/>
        <w:rPr>
          <w:rFonts w:ascii="Verdana" w:hAnsi="Verdana" w:cs="Verdana"/>
          <w:sz w:val="20"/>
          <w:szCs w:val="20"/>
        </w:rPr>
      </w:pPr>
    </w:p>
    <w:p w:rsidR="0039359B" w:rsidRDefault="0039359B" w:rsidP="004B014D">
      <w:pPr>
        <w:tabs>
          <w:tab w:val="left" w:pos="709"/>
          <w:tab w:val="left" w:pos="9356"/>
        </w:tabs>
        <w:ind w:right="-516"/>
        <w:outlineLvl w:val="0"/>
        <w:rPr>
          <w:rFonts w:ascii="Verdana" w:hAnsi="Verdana" w:cs="Verdana"/>
          <w:sz w:val="20"/>
          <w:szCs w:val="20"/>
        </w:rPr>
      </w:pPr>
    </w:p>
    <w:p w:rsidR="0039359B" w:rsidRDefault="0039359B" w:rsidP="004B014D">
      <w:pPr>
        <w:tabs>
          <w:tab w:val="left" w:pos="709"/>
          <w:tab w:val="left" w:pos="9356"/>
        </w:tabs>
        <w:ind w:right="-516"/>
        <w:outlineLvl w:val="0"/>
        <w:rPr>
          <w:rFonts w:ascii="Verdana" w:hAnsi="Verdana" w:cs="Verdana"/>
          <w:sz w:val="20"/>
          <w:szCs w:val="20"/>
        </w:rPr>
      </w:pPr>
    </w:p>
    <w:p w:rsidR="00042460" w:rsidRDefault="00042460" w:rsidP="004B014D">
      <w:pPr>
        <w:tabs>
          <w:tab w:val="left" w:pos="709"/>
          <w:tab w:val="left" w:pos="9356"/>
        </w:tabs>
        <w:ind w:right="-516"/>
        <w:outlineLvl w:val="0"/>
        <w:rPr>
          <w:rFonts w:ascii="Verdana" w:hAnsi="Verdana" w:cs="Verdana"/>
          <w:sz w:val="20"/>
          <w:szCs w:val="20"/>
        </w:rPr>
      </w:pPr>
    </w:p>
    <w:p w:rsidR="00042460" w:rsidRDefault="00042460" w:rsidP="004B014D">
      <w:pPr>
        <w:tabs>
          <w:tab w:val="left" w:pos="709"/>
          <w:tab w:val="left" w:pos="9356"/>
        </w:tabs>
        <w:ind w:right="-516"/>
        <w:outlineLvl w:val="0"/>
        <w:rPr>
          <w:rFonts w:ascii="Verdana" w:hAnsi="Verdana" w:cs="Verdana"/>
          <w:sz w:val="20"/>
          <w:szCs w:val="20"/>
        </w:rPr>
      </w:pPr>
    </w:p>
    <w:p w:rsidR="00D6179B" w:rsidRPr="007363A8" w:rsidRDefault="00D6179B" w:rsidP="00D6179B">
      <w:pPr>
        <w:tabs>
          <w:tab w:val="left" w:pos="709"/>
          <w:tab w:val="left" w:pos="9356"/>
        </w:tabs>
        <w:ind w:right="-516"/>
        <w:outlineLvl w:val="0"/>
        <w:rPr>
          <w:rFonts w:ascii="Verdana" w:hAnsi="Verdana" w:cs="Verdana"/>
          <w:sz w:val="20"/>
          <w:szCs w:val="20"/>
        </w:rPr>
      </w:pPr>
      <w:r w:rsidRPr="007363A8">
        <w:rPr>
          <w:rFonts w:ascii="Verdana" w:hAnsi="Verdana" w:cs="Verdana"/>
          <w:sz w:val="20"/>
          <w:szCs w:val="20"/>
        </w:rPr>
        <w:t>Pablo Saavedra Alessandri</w:t>
      </w:r>
    </w:p>
    <w:p w:rsidR="00D6179B" w:rsidRPr="00916C54" w:rsidRDefault="00D6179B" w:rsidP="00916C54">
      <w:pPr>
        <w:tabs>
          <w:tab w:val="left" w:pos="709"/>
          <w:tab w:val="left" w:pos="9356"/>
        </w:tabs>
        <w:ind w:right="-516"/>
        <w:rPr>
          <w:rFonts w:ascii="Verdana" w:hAnsi="Verdana"/>
          <w:b/>
          <w:color w:val="000000"/>
          <w:sz w:val="20"/>
          <w:szCs w:val="20"/>
        </w:rPr>
      </w:pPr>
      <w:r>
        <w:rPr>
          <w:rFonts w:ascii="Verdana" w:hAnsi="Verdana" w:cs="Verdana"/>
          <w:sz w:val="20"/>
          <w:szCs w:val="20"/>
        </w:rPr>
        <w:tab/>
      </w:r>
      <w:r w:rsidRPr="007363A8">
        <w:rPr>
          <w:rFonts w:ascii="Verdana" w:hAnsi="Verdana" w:cs="Verdana"/>
          <w:sz w:val="20"/>
          <w:szCs w:val="20"/>
        </w:rPr>
        <w:t>Secretari</w:t>
      </w:r>
      <w:r w:rsidR="00916C54">
        <w:rPr>
          <w:rFonts w:ascii="Verdana" w:hAnsi="Verdana" w:cs="Verdana"/>
          <w:sz w:val="20"/>
          <w:szCs w:val="20"/>
        </w:rPr>
        <w:t>o</w:t>
      </w:r>
    </w:p>
    <w:sectPr w:rsidR="00D6179B" w:rsidRPr="00916C54" w:rsidSect="00916C54">
      <w:footerReference w:type="even" r:id="rId8"/>
      <w:footerReference w:type="default" r:id="rId9"/>
      <w:pgSz w:w="12240" w:h="15840" w:code="1"/>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171" w:rsidRDefault="00E01171" w:rsidP="002E6DDF">
      <w:r>
        <w:separator/>
      </w:r>
    </w:p>
  </w:endnote>
  <w:endnote w:type="continuationSeparator" w:id="0">
    <w:p w:rsidR="00E01171" w:rsidRDefault="00E01171" w:rsidP="002E6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C9" w:rsidRDefault="007644A4" w:rsidP="00916C54">
    <w:pPr>
      <w:pStyle w:val="Footer"/>
      <w:framePr w:wrap="around" w:vAnchor="text" w:hAnchor="margin" w:xAlign="center" w:y="1"/>
      <w:rPr>
        <w:rStyle w:val="PageNumber"/>
      </w:rPr>
    </w:pPr>
    <w:r>
      <w:rPr>
        <w:rStyle w:val="PageNumber"/>
      </w:rPr>
      <w:fldChar w:fldCharType="begin"/>
    </w:r>
    <w:r w:rsidR="002432C9">
      <w:rPr>
        <w:rStyle w:val="PageNumber"/>
      </w:rPr>
      <w:instrText xml:space="preserve">PAGE  </w:instrText>
    </w:r>
    <w:r>
      <w:rPr>
        <w:rStyle w:val="PageNumber"/>
      </w:rPr>
      <w:fldChar w:fldCharType="end"/>
    </w:r>
  </w:p>
  <w:p w:rsidR="002432C9" w:rsidRDefault="002432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C9" w:rsidRDefault="007644A4" w:rsidP="00916C54">
    <w:pPr>
      <w:pStyle w:val="Footer"/>
      <w:framePr w:wrap="around" w:vAnchor="text" w:hAnchor="margin" w:xAlign="center" w:y="1"/>
      <w:rPr>
        <w:rStyle w:val="PageNumber"/>
      </w:rPr>
    </w:pPr>
    <w:r>
      <w:rPr>
        <w:rStyle w:val="PageNumber"/>
      </w:rPr>
      <w:fldChar w:fldCharType="begin"/>
    </w:r>
    <w:r w:rsidR="002432C9">
      <w:rPr>
        <w:rStyle w:val="PageNumber"/>
      </w:rPr>
      <w:instrText xml:space="preserve">PAGE  </w:instrText>
    </w:r>
    <w:r>
      <w:rPr>
        <w:rStyle w:val="PageNumber"/>
      </w:rPr>
      <w:fldChar w:fldCharType="separate"/>
    </w:r>
    <w:r w:rsidR="003B47E2">
      <w:rPr>
        <w:rStyle w:val="PageNumber"/>
        <w:noProof/>
      </w:rPr>
      <w:t>2</w:t>
    </w:r>
    <w:r>
      <w:rPr>
        <w:rStyle w:val="PageNumber"/>
      </w:rPr>
      <w:fldChar w:fldCharType="end"/>
    </w:r>
  </w:p>
  <w:p w:rsidR="002432C9" w:rsidRDefault="002432C9">
    <w:pPr>
      <w:pStyle w:val="Footer"/>
      <w:jc w:val="center"/>
    </w:pPr>
  </w:p>
  <w:p w:rsidR="002432C9" w:rsidRDefault="00243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171" w:rsidRDefault="00E01171" w:rsidP="002E6DDF">
      <w:r>
        <w:separator/>
      </w:r>
    </w:p>
  </w:footnote>
  <w:footnote w:type="continuationSeparator" w:id="0">
    <w:p w:rsidR="00E01171" w:rsidRDefault="00E01171" w:rsidP="002E6DDF">
      <w:r>
        <w:continuationSeparator/>
      </w:r>
    </w:p>
  </w:footnote>
  <w:footnote w:id="1">
    <w:p w:rsidR="002432C9" w:rsidRPr="00C077D4" w:rsidRDefault="002432C9" w:rsidP="00D5125A">
      <w:pPr>
        <w:pStyle w:val="FootnoteText"/>
        <w:spacing w:line="360" w:lineRule="auto"/>
        <w:rPr>
          <w:rFonts w:ascii="Verdana" w:hAnsi="Verdana"/>
          <w:sz w:val="16"/>
          <w:szCs w:val="16"/>
          <w:lang w:val="es-ES_tradnl"/>
        </w:rPr>
      </w:pPr>
      <w:r w:rsidRPr="00C077D4">
        <w:rPr>
          <w:rStyle w:val="FootnoteReference"/>
          <w:rFonts w:ascii="Verdana" w:hAnsi="Verdana"/>
          <w:sz w:val="16"/>
          <w:szCs w:val="16"/>
        </w:rPr>
        <w:footnoteRef/>
      </w:r>
      <w:r w:rsidRPr="00C077D4">
        <w:rPr>
          <w:rFonts w:ascii="Verdana" w:hAnsi="Verdana"/>
          <w:sz w:val="16"/>
          <w:szCs w:val="16"/>
        </w:rPr>
        <w:t xml:space="preserve"> </w:t>
      </w:r>
      <w:r w:rsidRPr="00C077D4">
        <w:rPr>
          <w:rFonts w:ascii="Verdana" w:hAnsi="Verdana"/>
          <w:sz w:val="16"/>
          <w:szCs w:val="16"/>
          <w:lang w:val="es-ES_tradnl"/>
        </w:rPr>
        <w:tab/>
        <w:t>Párr. 1 de la Sentencia.</w:t>
      </w:r>
    </w:p>
  </w:footnote>
  <w:footnote w:id="2">
    <w:p w:rsidR="002432C9" w:rsidRPr="007F0D71" w:rsidRDefault="002432C9" w:rsidP="0034750F">
      <w:pPr>
        <w:pStyle w:val="FootnoteText"/>
        <w:spacing w:after="120"/>
        <w:jc w:val="both"/>
        <w:rPr>
          <w:rFonts w:ascii="Verdana" w:hAnsi="Verdana"/>
          <w:b/>
          <w:sz w:val="16"/>
          <w:szCs w:val="16"/>
        </w:rPr>
      </w:pPr>
      <w:r w:rsidRPr="007F0D71">
        <w:rPr>
          <w:rStyle w:val="FootnoteReference"/>
          <w:rFonts w:ascii="Verdana" w:hAnsi="Verdana"/>
          <w:sz w:val="16"/>
          <w:szCs w:val="16"/>
          <w:lang w:val="es-ES_tradnl"/>
        </w:rPr>
        <w:footnoteRef/>
      </w:r>
      <w:r w:rsidRPr="007F0D71">
        <w:rPr>
          <w:rFonts w:ascii="Verdana" w:hAnsi="Verdana"/>
          <w:sz w:val="16"/>
          <w:szCs w:val="16"/>
          <w:lang w:val="es-ES_tradnl"/>
        </w:rPr>
        <w:t xml:space="preserve"> </w:t>
      </w:r>
      <w:r w:rsidRPr="007F0D71">
        <w:rPr>
          <w:rFonts w:ascii="Verdana" w:hAnsi="Verdana"/>
          <w:sz w:val="16"/>
          <w:szCs w:val="16"/>
          <w:lang w:val="es-ES_tradnl"/>
        </w:rPr>
        <w:tab/>
      </w:r>
      <w:r w:rsidRPr="007F0D71">
        <w:rPr>
          <w:rStyle w:val="Strong"/>
          <w:rFonts w:ascii="Verdana" w:hAnsi="Verdana"/>
          <w:b w:val="0"/>
          <w:i/>
          <w:color w:val="000000"/>
          <w:sz w:val="16"/>
          <w:szCs w:val="16"/>
        </w:rPr>
        <w:t>Caso de la Comunidad Mayagna (Sumo) Awas Tingni Vs. Nicaragua. Fondo, Reparaciones y Costas.</w:t>
      </w:r>
      <w:r w:rsidRPr="007F0D71">
        <w:rPr>
          <w:rStyle w:val="Strong"/>
          <w:rFonts w:ascii="Verdana" w:hAnsi="Verdana"/>
          <w:b w:val="0"/>
          <w:color w:val="000000"/>
          <w:sz w:val="16"/>
          <w:szCs w:val="16"/>
        </w:rPr>
        <w:t xml:space="preserve"> Sentencia de 31 de agosto de 2001. Serie C No. 79</w:t>
      </w:r>
      <w:r w:rsidRPr="007F0D71">
        <w:rPr>
          <w:rFonts w:ascii="Verdana" w:hAnsi="Verdana"/>
          <w:b/>
          <w:sz w:val="16"/>
          <w:szCs w:val="16"/>
          <w:lang w:val="es-ES_tradnl"/>
        </w:rPr>
        <w:t xml:space="preserve"> </w:t>
      </w:r>
      <w:r w:rsidRPr="007F0D71">
        <w:rPr>
          <w:rFonts w:ascii="Verdana" w:hAnsi="Verdana"/>
          <w:sz w:val="16"/>
          <w:szCs w:val="16"/>
          <w:lang w:val="es-ES_tradnl"/>
        </w:rPr>
        <w:t>párr.145.</w:t>
      </w:r>
      <w:r w:rsidRPr="007F0D71">
        <w:rPr>
          <w:rFonts w:ascii="Verdana" w:hAnsi="Verdana"/>
          <w:b/>
          <w:sz w:val="16"/>
          <w:szCs w:val="16"/>
        </w:rPr>
        <w:t xml:space="preserve"> </w:t>
      </w:r>
    </w:p>
  </w:footnote>
  <w:footnote w:id="3">
    <w:p w:rsidR="002432C9" w:rsidRPr="007F0D71" w:rsidRDefault="002432C9" w:rsidP="0034750F">
      <w:pPr>
        <w:spacing w:after="120"/>
        <w:jc w:val="both"/>
        <w:rPr>
          <w:rFonts w:ascii="Verdana" w:hAnsi="Verdana"/>
          <w:b/>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 xml:space="preserve">Caso Ivcher Bronstein Vs. Perú. Fondo, Reparaciones y Costas. </w:t>
      </w:r>
      <w:r w:rsidRPr="007F0D71">
        <w:rPr>
          <w:rStyle w:val="Strong"/>
          <w:rFonts w:ascii="Verdana" w:hAnsi="Verdana"/>
          <w:b w:val="0"/>
          <w:color w:val="000000"/>
          <w:sz w:val="16"/>
          <w:szCs w:val="16"/>
        </w:rPr>
        <w:t xml:space="preserve">Sentencia de 6 de febrero de 2001. Serie C No. 74, </w:t>
      </w:r>
      <w:r w:rsidRPr="007F0D71">
        <w:rPr>
          <w:rFonts w:ascii="Verdana" w:hAnsi="Verdana"/>
          <w:sz w:val="16"/>
          <w:szCs w:val="16"/>
          <w:lang w:val="es-MX"/>
        </w:rPr>
        <w:t>párr.120</w:t>
      </w:r>
      <w:r w:rsidRPr="007F0D71">
        <w:rPr>
          <w:rFonts w:ascii="Verdana" w:hAnsi="Verdana"/>
          <w:b/>
          <w:color w:val="FF0000"/>
          <w:sz w:val="16"/>
          <w:szCs w:val="16"/>
          <w:lang w:val="es-MX"/>
        </w:rPr>
        <w:t>.</w:t>
      </w:r>
    </w:p>
  </w:footnote>
  <w:footnote w:id="4">
    <w:p w:rsidR="002432C9" w:rsidRPr="007F0D71" w:rsidRDefault="002432C9" w:rsidP="0034750F">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t>C</w:t>
      </w:r>
      <w:r w:rsidRPr="007F0D71">
        <w:rPr>
          <w:rStyle w:val="Strong"/>
          <w:rFonts w:ascii="Verdana" w:hAnsi="Verdana"/>
          <w:b w:val="0"/>
          <w:i/>
          <w:color w:val="000000"/>
          <w:sz w:val="16"/>
          <w:szCs w:val="16"/>
        </w:rPr>
        <w:t xml:space="preserve">aso Mémoli Vs. Argentina. Excepciones Preliminares, Fondo, Reparaciones y Costas. Sentencia de 22 de agosto de 2013. Serie C No. 265, párr. 170; Caso Masacre de Santo Domingo Vs. Colombia. Solicitud de Interpretación de la Sentencia sobre Excepciones Preliminares, Fondo, Reparaciones y Costas. Sentencia de 19 de agosto de 2013. Serie C No. 263, párr. 269; Caso Masacres de El Mozote y lugares aledaños Vs. El Salvador. Fondo, Reparaciones y Costas. Sentencia de 25 de octubre de 2012 Serie C No. 252, párr. 179; Caso Furlan y Familiares Vs. Argentina. Excepciones Preliminares, Fondo, Reparaciones y Costas. Sentencia de 31 de agosto de 2012. Serie C No. 246, párr. 220; Caso Familia Barrios Vs. Venezuela. Fondo, Reparaciones y Costas. Sentencia de 24 de noviembre de 2011. Serie C No. 237, párr. 148; Caso Barbani Duarte y Otros Vs. Uruguay. Fondo Reparaciones y costas. Sentencia de 13 de octubre de 2011. Serie C No. 234, párr. 237; Caso Abrill Alosilla y otros Vs. Perú. Fondo, Reparaciones y Costas. Sentencia de 4 de Marzo de 2011 Serie C No. 223, párr. 82; Caso Acevedo Buendía y otros (“Cesantes y Jubilados de la Contraloría”) Vs. Perú. Excepción Preliminar, Fondo, Reparaciones y Costas. Sentencia de 1 de julio de 2009 Serie C No. 198, párr. 84: Caso Perozo y otros Vs. Venezuela. Excepciones Preliminares, Fondo, Reparaciones y Costas. Sentencia de 28 de enero de 2009. Serie C No. 195, párr. 399; Caso Salvador Chiriboga Vs. Ecuador. Excepción Preliminar y Fondo. Sentencia de 6 de mayo de 2008. Serie C No. 179, párr. 55; Caso Chaparro Álvarez y Lapo Íñiguez. Vs. Ecuador. Excepciones Preliminares, Fondo, Reparaciones y Costas. Sentencia de 21 de noviembre de 2007. Serie C No. 170, párr. 174; Caso de las Masacres de Ituango Vs. Colombia. Sentencia de 1 de julio de 2006 Serie C No. 148, párr. 174; Caso Comunidad Indígena Sawhoyamaxa Vs. Paraguay. Fondo, Reparaciones y Costas. Sentencia de 29 de marzo de 2006. Serie C No. 146, párr. 121; Caso Palamara Iribarne Vs. Chile. Fondo, Reparaciones y Costas. Sentencia de 22 de noviembre de 2005. Serie C No. 135, párr. 102; Caso Comunidad Indígena Yakye Axa Vs. Paraguay. Fondo Reparaciones y Costas. Sentencia 17 de junio de 2005. Serie C No. 125, </w:t>
      </w:r>
      <w:r>
        <w:rPr>
          <w:rStyle w:val="Strong"/>
          <w:rFonts w:ascii="Verdana" w:hAnsi="Verdana"/>
          <w:b w:val="0"/>
          <w:i/>
          <w:color w:val="000000"/>
          <w:sz w:val="16"/>
          <w:szCs w:val="16"/>
        </w:rPr>
        <w:t>párr.</w:t>
      </w:r>
      <w:r w:rsidRPr="007F0D71">
        <w:rPr>
          <w:rStyle w:val="Strong"/>
          <w:rFonts w:ascii="Verdana" w:hAnsi="Verdana"/>
          <w:b w:val="0"/>
          <w:i/>
          <w:color w:val="000000"/>
          <w:sz w:val="16"/>
          <w:szCs w:val="16"/>
        </w:rPr>
        <w:t xml:space="preserve"> 137; Caso de la Comunidad Mayagna (Sumo) Awas Tingni Vs. Nicaragua. Fondo, Reparaciones y Costas. Sentencia de 31 de agosto de </w:t>
      </w:r>
      <w:r>
        <w:rPr>
          <w:rStyle w:val="Strong"/>
          <w:rFonts w:ascii="Verdana" w:hAnsi="Verdana"/>
          <w:b w:val="0"/>
          <w:i/>
          <w:color w:val="000000"/>
          <w:sz w:val="16"/>
          <w:szCs w:val="16"/>
        </w:rPr>
        <w:t>2001. Serie C No. 79, párr. 144;</w:t>
      </w:r>
      <w:r w:rsidRPr="007F0D71">
        <w:rPr>
          <w:rStyle w:val="Strong"/>
          <w:rFonts w:ascii="Verdana" w:hAnsi="Verdana"/>
          <w:b w:val="0"/>
          <w:i/>
          <w:color w:val="000000"/>
          <w:sz w:val="16"/>
          <w:szCs w:val="16"/>
        </w:rPr>
        <w:t xml:space="preserve"> y Caso Ivcher Bronstein Vs. Perú. Fondo, Reparaciones y Costas. Sentencia de 6 de febrero de 2001. Serie C No. 74,  párr. 122.</w:t>
      </w:r>
    </w:p>
  </w:footnote>
  <w:footnote w:id="5">
    <w:p w:rsidR="002432C9" w:rsidRPr="007F0D71" w:rsidRDefault="002432C9" w:rsidP="0034750F">
      <w:pPr>
        <w:spacing w:after="120"/>
        <w:jc w:val="both"/>
        <w:rPr>
          <w:rFonts w:ascii="Verdana" w:hAnsi="Verdana"/>
          <w:b/>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 "Cinco Pensionistas" Vs. Perú. Fondo, Reparaciones y Costas.</w:t>
      </w:r>
      <w:r w:rsidRPr="007F0D71">
        <w:rPr>
          <w:rStyle w:val="Strong"/>
          <w:rFonts w:ascii="Verdana" w:hAnsi="Verdana"/>
          <w:b w:val="0"/>
          <w:color w:val="000000"/>
          <w:sz w:val="16"/>
          <w:szCs w:val="16"/>
        </w:rPr>
        <w:t xml:space="preserve"> Sentencia de 28 de febrero de 2003. Serie C No. 98</w:t>
      </w:r>
      <w:r>
        <w:rPr>
          <w:rStyle w:val="Strong"/>
          <w:rFonts w:ascii="Verdana" w:hAnsi="Verdana"/>
          <w:b w:val="0"/>
          <w:color w:val="000000"/>
          <w:sz w:val="16"/>
          <w:szCs w:val="16"/>
        </w:rPr>
        <w:t>;</w:t>
      </w:r>
      <w:r w:rsidRPr="007F0D71">
        <w:rPr>
          <w:rStyle w:val="Strong"/>
          <w:rFonts w:ascii="Verdana" w:hAnsi="Verdana"/>
          <w:b w:val="0"/>
          <w:color w:val="000000"/>
          <w:sz w:val="16"/>
          <w:szCs w:val="16"/>
        </w:rPr>
        <w:t xml:space="preserve"> y </w:t>
      </w:r>
      <w:r w:rsidRPr="007F0D71">
        <w:rPr>
          <w:rStyle w:val="Strong"/>
          <w:rFonts w:ascii="Verdana" w:hAnsi="Verdana"/>
          <w:b w:val="0"/>
          <w:i/>
          <w:color w:val="000000"/>
          <w:sz w:val="16"/>
          <w:szCs w:val="16"/>
        </w:rPr>
        <w:t>Caso Acevedo Buendía y otros (“Cesantes y Jubilados de la Contraloría”) Vs. Perú. Excepción Preliminar, Fondo, Reparaciones y Costas.</w:t>
      </w:r>
      <w:r w:rsidRPr="007F0D71">
        <w:rPr>
          <w:rStyle w:val="Strong"/>
          <w:rFonts w:ascii="Verdana" w:hAnsi="Verdana"/>
          <w:b w:val="0"/>
          <w:color w:val="000000"/>
          <w:sz w:val="16"/>
          <w:szCs w:val="16"/>
        </w:rPr>
        <w:t xml:space="preserve"> Sentencia de 1 de julio de 2009 Serie C No. 198.</w:t>
      </w:r>
    </w:p>
  </w:footnote>
  <w:footnote w:id="6">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 Tibi Vs. Ecuador. Excepciones Preliminares, Fondo, Reparaciones y Costas</w:t>
      </w:r>
      <w:r w:rsidRPr="007F0D71">
        <w:rPr>
          <w:rStyle w:val="Strong"/>
          <w:rFonts w:ascii="Verdana" w:hAnsi="Verdana"/>
          <w:b w:val="0"/>
          <w:color w:val="000000"/>
          <w:sz w:val="16"/>
          <w:szCs w:val="16"/>
        </w:rPr>
        <w:t xml:space="preserve">. Sentencia de 7 de septiembre de 2004. Serie C No. 114. </w:t>
      </w:r>
    </w:p>
  </w:footnote>
  <w:footnote w:id="7">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 Palamara Iribarne Vs. Chile. Fondo, Reparaciones y Costas</w:t>
      </w:r>
      <w:r w:rsidRPr="007F0D71">
        <w:rPr>
          <w:rStyle w:val="Strong"/>
          <w:rFonts w:ascii="Verdana" w:hAnsi="Verdana"/>
          <w:b w:val="0"/>
          <w:color w:val="000000"/>
          <w:sz w:val="16"/>
          <w:szCs w:val="16"/>
        </w:rPr>
        <w:t xml:space="preserve">. Sentencia de 22 de noviembre de 2005. Serie C No. 135. </w:t>
      </w:r>
    </w:p>
  </w:footnote>
  <w:footnote w:id="8">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i/>
          <w:sz w:val="16"/>
          <w:szCs w:val="16"/>
        </w:rPr>
        <w:t xml:space="preserve"> </w:t>
      </w:r>
      <w:r w:rsidRPr="007F0D71">
        <w:rPr>
          <w:rFonts w:ascii="Verdana" w:hAnsi="Verdana"/>
          <w:i/>
          <w:sz w:val="16"/>
          <w:szCs w:val="16"/>
        </w:rPr>
        <w:tab/>
      </w:r>
      <w:r w:rsidRPr="007F0D71">
        <w:rPr>
          <w:rStyle w:val="Strong"/>
          <w:rFonts w:ascii="Verdana" w:hAnsi="Verdana"/>
          <w:b w:val="0"/>
          <w:i/>
          <w:color w:val="000000"/>
          <w:sz w:val="16"/>
          <w:szCs w:val="16"/>
        </w:rPr>
        <w:t>Caso</w:t>
      </w:r>
      <w:r w:rsidRPr="007F0D71">
        <w:rPr>
          <w:rStyle w:val="Strong"/>
          <w:rFonts w:ascii="Verdana" w:hAnsi="Verdana"/>
          <w:b w:val="0"/>
          <w:color w:val="000000"/>
          <w:sz w:val="16"/>
          <w:szCs w:val="16"/>
        </w:rPr>
        <w:t xml:space="preserve"> </w:t>
      </w:r>
      <w:r w:rsidRPr="007F0D71">
        <w:rPr>
          <w:rStyle w:val="Strong"/>
          <w:rFonts w:ascii="Verdana" w:hAnsi="Verdana"/>
          <w:b w:val="0"/>
          <w:i/>
          <w:color w:val="000000"/>
          <w:sz w:val="16"/>
          <w:szCs w:val="16"/>
        </w:rPr>
        <w:t>Chaparro Álvarez y Lapo Íñiguez. Vs. Ecuador. Excepciones Preliminares, Fondo, Reparaciones y Costas.</w:t>
      </w:r>
      <w:r w:rsidRPr="007F0D71">
        <w:rPr>
          <w:rStyle w:val="Strong"/>
          <w:rFonts w:ascii="Verdana" w:hAnsi="Verdana"/>
          <w:b w:val="0"/>
          <w:color w:val="000000"/>
          <w:sz w:val="16"/>
          <w:szCs w:val="16"/>
        </w:rPr>
        <w:t xml:space="preserve"> Sentencia de 21 de noviembre de 2007. Serie C No. 170.</w:t>
      </w:r>
    </w:p>
  </w:footnote>
  <w:footnote w:id="9">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 xml:space="preserve">Caso Salvador Chiriboga Vs. Ecuador. Excepción Preliminar y Fondo. </w:t>
      </w:r>
      <w:r w:rsidRPr="007F0D71">
        <w:rPr>
          <w:rStyle w:val="Strong"/>
          <w:rFonts w:ascii="Verdana" w:hAnsi="Verdana"/>
          <w:b w:val="0"/>
          <w:color w:val="000000"/>
          <w:sz w:val="16"/>
          <w:szCs w:val="16"/>
        </w:rPr>
        <w:t>Sentencia de 6 de mayo de 2008. Serie C No. 179.</w:t>
      </w:r>
    </w:p>
  </w:footnote>
  <w:footnote w:id="10">
    <w:p w:rsidR="002432C9" w:rsidRPr="007F0D71" w:rsidRDefault="002432C9" w:rsidP="0034750F">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 Abrill Alosilla y otros Vs. Perú. Fondo, Reparaciones y Costas.</w:t>
      </w:r>
      <w:r w:rsidRPr="007F0D71">
        <w:rPr>
          <w:rStyle w:val="Strong"/>
          <w:rFonts w:ascii="Verdana" w:hAnsi="Verdana"/>
          <w:b w:val="0"/>
          <w:color w:val="000000"/>
          <w:sz w:val="16"/>
          <w:szCs w:val="16"/>
        </w:rPr>
        <w:t xml:space="preserve"> Sentencia de 4 de Marzo de 2011 Serie C No. 223.</w:t>
      </w:r>
    </w:p>
  </w:footnote>
  <w:footnote w:id="11">
    <w:p w:rsidR="002432C9" w:rsidRPr="007F0D71" w:rsidRDefault="002432C9" w:rsidP="0034750F">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 Familia Barrios Vs. Venezuela. Fondo, Reparaciones y Costas.</w:t>
      </w:r>
      <w:r w:rsidRPr="007F0D71">
        <w:rPr>
          <w:rStyle w:val="Strong"/>
          <w:rFonts w:ascii="Verdana" w:hAnsi="Verdana"/>
          <w:b w:val="0"/>
          <w:color w:val="000000"/>
          <w:sz w:val="16"/>
          <w:szCs w:val="16"/>
        </w:rPr>
        <w:t xml:space="preserve"> Sentencia de 24 de noviembre de 2011. Serie C No. 237</w:t>
      </w:r>
      <w:r>
        <w:rPr>
          <w:rStyle w:val="Strong"/>
          <w:rFonts w:ascii="Verdana" w:hAnsi="Verdana"/>
          <w:b w:val="0"/>
          <w:color w:val="000000"/>
          <w:sz w:val="16"/>
          <w:szCs w:val="16"/>
        </w:rPr>
        <w:t>;</w:t>
      </w:r>
      <w:r w:rsidRPr="007F0D71">
        <w:rPr>
          <w:rFonts w:ascii="Verdana" w:hAnsi="Verdana"/>
          <w:b/>
          <w:sz w:val="16"/>
          <w:szCs w:val="16"/>
        </w:rPr>
        <w:t xml:space="preserve"> </w:t>
      </w:r>
      <w:r w:rsidRPr="007F0D71">
        <w:rPr>
          <w:rFonts w:ascii="Verdana" w:hAnsi="Verdana"/>
          <w:sz w:val="16"/>
          <w:szCs w:val="16"/>
        </w:rPr>
        <w:t xml:space="preserve">y </w:t>
      </w:r>
      <w:r w:rsidRPr="007F0D71">
        <w:rPr>
          <w:rStyle w:val="Strong"/>
          <w:rFonts w:ascii="Verdana" w:hAnsi="Verdana"/>
          <w:b w:val="0"/>
          <w:i/>
          <w:color w:val="000000"/>
          <w:sz w:val="16"/>
          <w:szCs w:val="16"/>
        </w:rPr>
        <w:t>Caso Uzcátegui y otros Vs. Venezuela. Fondo y Reparaciones.</w:t>
      </w:r>
      <w:r w:rsidRPr="007F0D71">
        <w:rPr>
          <w:rStyle w:val="Strong"/>
          <w:rFonts w:ascii="Verdana" w:hAnsi="Verdana"/>
          <w:b w:val="0"/>
          <w:color w:val="000000"/>
          <w:sz w:val="16"/>
          <w:szCs w:val="16"/>
        </w:rPr>
        <w:t xml:space="preserve"> Sentencia de 3 de septiembre de 2012 Serie C No. 249</w:t>
      </w:r>
      <w:r w:rsidRPr="007F0D71">
        <w:rPr>
          <w:rFonts w:ascii="Verdana" w:hAnsi="Verdana"/>
          <w:sz w:val="16"/>
          <w:szCs w:val="16"/>
        </w:rPr>
        <w:t xml:space="preserve">. </w:t>
      </w:r>
    </w:p>
  </w:footnote>
  <w:footnote w:id="12">
    <w:p w:rsidR="002432C9" w:rsidRPr="007F0D71" w:rsidRDefault="002432C9" w:rsidP="0034750F">
      <w:pPr>
        <w:pStyle w:val="FootnoteText"/>
        <w:spacing w:after="120"/>
        <w:jc w:val="both"/>
        <w:rPr>
          <w:rFonts w:ascii="Verdana" w:hAnsi="Verdana"/>
          <w:b/>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 Furlan y Familiares Vs. Argentina. Excepciones Preliminares, Fondo, Reparaciones y Costas.</w:t>
      </w:r>
      <w:r w:rsidRPr="007F0D71">
        <w:rPr>
          <w:rStyle w:val="Strong"/>
          <w:rFonts w:ascii="Verdana" w:hAnsi="Verdana"/>
          <w:b w:val="0"/>
          <w:color w:val="000000"/>
          <w:sz w:val="16"/>
          <w:szCs w:val="16"/>
        </w:rPr>
        <w:t xml:space="preserve"> Sentencia de 31 de agosto de 2012. Serie C No. 246. </w:t>
      </w:r>
    </w:p>
  </w:footnote>
  <w:footnote w:id="13">
    <w:p w:rsidR="002432C9" w:rsidRPr="007F0D71" w:rsidRDefault="002432C9" w:rsidP="0034750F">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 Masacres de El Mozote y lugares aledaños Vs. El Salvador. Fondo, Reparaciones y Costas.</w:t>
      </w:r>
      <w:r w:rsidRPr="007F0D71">
        <w:rPr>
          <w:rStyle w:val="Strong"/>
          <w:rFonts w:ascii="Verdana" w:hAnsi="Verdana"/>
          <w:b w:val="0"/>
          <w:color w:val="000000"/>
          <w:sz w:val="16"/>
          <w:szCs w:val="16"/>
        </w:rPr>
        <w:t xml:space="preserve"> Sentencia de 25 de octubre de 2012 Serie C No. 252</w:t>
      </w:r>
      <w:r w:rsidRPr="007F0D71">
        <w:rPr>
          <w:rFonts w:ascii="Verdana" w:hAnsi="Verdana"/>
          <w:b/>
          <w:sz w:val="16"/>
          <w:szCs w:val="16"/>
        </w:rPr>
        <w:t xml:space="preserve">; </w:t>
      </w:r>
      <w:r w:rsidRPr="007F0D71">
        <w:rPr>
          <w:rStyle w:val="Strong"/>
          <w:rFonts w:ascii="Verdana" w:hAnsi="Verdana"/>
          <w:b w:val="0"/>
          <w:color w:val="000000"/>
          <w:sz w:val="16"/>
          <w:szCs w:val="16"/>
        </w:rPr>
        <w:t>C</w:t>
      </w:r>
      <w:r w:rsidRPr="007F0D71">
        <w:rPr>
          <w:rStyle w:val="Strong"/>
          <w:rFonts w:ascii="Verdana" w:hAnsi="Verdana"/>
          <w:b w:val="0"/>
          <w:i/>
          <w:color w:val="000000"/>
          <w:sz w:val="16"/>
          <w:szCs w:val="16"/>
        </w:rPr>
        <w:t xml:space="preserve">aso Masacre de Santo Domingo Vs. Colombia. Excepciones Preliminares, Fondo y Reparaciones. </w:t>
      </w:r>
      <w:r w:rsidRPr="007F0D71">
        <w:rPr>
          <w:rStyle w:val="Strong"/>
          <w:rFonts w:ascii="Verdana" w:hAnsi="Verdana"/>
          <w:b w:val="0"/>
          <w:color w:val="000000"/>
          <w:sz w:val="16"/>
          <w:szCs w:val="16"/>
        </w:rPr>
        <w:t>Sentencia de 30 de noviembre de 2012. Serie C No. 259</w:t>
      </w:r>
      <w:r>
        <w:rPr>
          <w:rStyle w:val="Strong"/>
          <w:rFonts w:ascii="Verdana" w:hAnsi="Verdana"/>
          <w:b w:val="0"/>
          <w:color w:val="000000"/>
          <w:sz w:val="16"/>
          <w:szCs w:val="16"/>
        </w:rPr>
        <w:t>;</w:t>
      </w:r>
      <w:r w:rsidRPr="007F0D71">
        <w:rPr>
          <w:rStyle w:val="Strong"/>
          <w:rFonts w:ascii="Verdana" w:hAnsi="Verdana"/>
          <w:b w:val="0"/>
          <w:color w:val="000000"/>
          <w:sz w:val="16"/>
          <w:szCs w:val="16"/>
        </w:rPr>
        <w:t xml:space="preserve"> y </w:t>
      </w:r>
      <w:r w:rsidRPr="007F0D71">
        <w:rPr>
          <w:rStyle w:val="Strong"/>
          <w:rFonts w:ascii="Verdana" w:hAnsi="Verdana"/>
          <w:b w:val="0"/>
          <w:i/>
          <w:color w:val="000000"/>
          <w:sz w:val="16"/>
          <w:szCs w:val="16"/>
        </w:rPr>
        <w:t>Caso de las Comunidades Afrodescendientes Desplazadas de la Cuenca del Río Cacarica (Operación Génesis) Vs. Colombia. Excepciones Preliminares, Fondo, Reparaciones y Costas.</w:t>
      </w:r>
      <w:r w:rsidRPr="007F0D71">
        <w:rPr>
          <w:rStyle w:val="Strong"/>
          <w:rFonts w:ascii="Verdana" w:hAnsi="Verdana"/>
          <w:b w:val="0"/>
          <w:color w:val="000000"/>
          <w:sz w:val="16"/>
          <w:szCs w:val="16"/>
        </w:rPr>
        <w:t xml:space="preserve"> Sentencia de 20 de noviembre de 2013. Serie C No. 270.</w:t>
      </w:r>
    </w:p>
  </w:footnote>
  <w:footnote w:id="14">
    <w:p w:rsidR="002432C9" w:rsidRPr="007F0D71" w:rsidRDefault="002432C9" w:rsidP="0034750F">
      <w:pPr>
        <w:pStyle w:val="FootnoteText"/>
        <w:spacing w:after="120"/>
        <w:jc w:val="both"/>
        <w:rPr>
          <w:rFonts w:ascii="Verdana" w:hAnsi="Verdana"/>
          <w:b/>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 Mémoli Vs. Argentina. Excepciones Preliminares, Fondo, Reparaciones y Costas.</w:t>
      </w:r>
      <w:r w:rsidRPr="007F0D71">
        <w:rPr>
          <w:rStyle w:val="Strong"/>
          <w:rFonts w:ascii="Verdana" w:hAnsi="Verdana"/>
          <w:b w:val="0"/>
          <w:color w:val="000000"/>
          <w:sz w:val="16"/>
          <w:szCs w:val="16"/>
        </w:rPr>
        <w:t xml:space="preserve"> Sentencia de 22 de agosto de 2013. Serie C No. 265.</w:t>
      </w:r>
    </w:p>
  </w:footnote>
  <w:footnote w:id="15">
    <w:p w:rsidR="002432C9" w:rsidRPr="007F0D71" w:rsidRDefault="002432C9" w:rsidP="0034750F">
      <w:pPr>
        <w:pStyle w:val="FootnoteText"/>
        <w:spacing w:after="120"/>
        <w:jc w:val="both"/>
        <w:rPr>
          <w:rFonts w:ascii="Verdana" w:hAnsi="Verdana"/>
          <w:b/>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Style w:val="apple-converted-space"/>
          <w:rFonts w:ascii="Verdana" w:hAnsi="Verdana"/>
          <w:b/>
          <w:bCs/>
          <w:color w:val="000000"/>
          <w:sz w:val="16"/>
          <w:szCs w:val="16"/>
        </w:rPr>
        <w:t> </w:t>
      </w:r>
      <w:r w:rsidRPr="007F0D71">
        <w:rPr>
          <w:rStyle w:val="apple-converted-space"/>
          <w:rFonts w:ascii="Verdana" w:hAnsi="Verdana"/>
          <w:b/>
          <w:bCs/>
          <w:color w:val="000000"/>
          <w:sz w:val="16"/>
          <w:szCs w:val="16"/>
        </w:rPr>
        <w:tab/>
      </w:r>
      <w:r w:rsidRPr="007F0D71">
        <w:rPr>
          <w:rStyle w:val="apple-converted-space"/>
          <w:rFonts w:ascii="Verdana" w:hAnsi="Verdana"/>
          <w:bCs/>
          <w:i/>
          <w:color w:val="000000"/>
          <w:sz w:val="16"/>
          <w:szCs w:val="16"/>
        </w:rPr>
        <w:t>Caso</w:t>
      </w:r>
      <w:r w:rsidRPr="007F0D71">
        <w:rPr>
          <w:rStyle w:val="apple-converted-space"/>
          <w:rFonts w:ascii="Verdana" w:hAnsi="Verdana"/>
          <w:b/>
          <w:bCs/>
          <w:i/>
          <w:color w:val="000000"/>
          <w:sz w:val="16"/>
          <w:szCs w:val="16"/>
        </w:rPr>
        <w:t xml:space="preserve"> </w:t>
      </w:r>
      <w:r w:rsidRPr="007F0D71">
        <w:rPr>
          <w:rStyle w:val="Strong"/>
          <w:rFonts w:ascii="Verdana" w:hAnsi="Verdana"/>
          <w:b w:val="0"/>
          <w:i/>
          <w:color w:val="000000"/>
          <w:sz w:val="16"/>
          <w:szCs w:val="16"/>
        </w:rPr>
        <w:t>de la Comunidad Mayagna (Sumo) Awas Tingni Vs. Nicaragua. Fondo, Reparaciones y Costas.</w:t>
      </w:r>
      <w:r w:rsidRPr="007F0D71">
        <w:rPr>
          <w:rStyle w:val="Strong"/>
          <w:rFonts w:ascii="Verdana" w:hAnsi="Verdana"/>
          <w:b w:val="0"/>
          <w:color w:val="000000"/>
          <w:sz w:val="16"/>
          <w:szCs w:val="16"/>
        </w:rPr>
        <w:t xml:space="preserve"> Sentencia de 31 de agosto de 2001. Serie C No. 79; </w:t>
      </w:r>
      <w:r w:rsidRPr="007F0D71">
        <w:rPr>
          <w:rStyle w:val="Strong"/>
          <w:rFonts w:ascii="Verdana" w:hAnsi="Verdana"/>
          <w:b w:val="0"/>
          <w:i/>
          <w:color w:val="000000"/>
          <w:sz w:val="16"/>
          <w:szCs w:val="16"/>
        </w:rPr>
        <w:t xml:space="preserve">Caso Comunidad Indígena Yakye Axa Vs. Paraguay. Fondo Reparaciones y Costas. </w:t>
      </w:r>
      <w:r w:rsidRPr="007F0D71">
        <w:rPr>
          <w:rStyle w:val="Strong"/>
          <w:rFonts w:ascii="Verdana" w:hAnsi="Verdana"/>
          <w:b w:val="0"/>
          <w:color w:val="000000"/>
          <w:sz w:val="16"/>
          <w:szCs w:val="16"/>
        </w:rPr>
        <w:t xml:space="preserve">Sentencia 17 de junio de 2005. Serie C No. 125; </w:t>
      </w:r>
      <w:r w:rsidRPr="007F0D71">
        <w:rPr>
          <w:rStyle w:val="Strong"/>
          <w:rFonts w:ascii="Verdana" w:hAnsi="Verdana"/>
          <w:b w:val="0"/>
          <w:i/>
          <w:color w:val="000000"/>
          <w:sz w:val="16"/>
          <w:szCs w:val="16"/>
        </w:rPr>
        <w:t>Caso Comunidad Indígena Sawhoyamaxa Vs. Paraguay. Fondo, Reparaciones y Costas.</w:t>
      </w:r>
      <w:r w:rsidRPr="007F0D71">
        <w:rPr>
          <w:rStyle w:val="Strong"/>
          <w:rFonts w:ascii="Verdana" w:hAnsi="Verdana"/>
          <w:b w:val="0"/>
          <w:color w:val="000000"/>
          <w:sz w:val="16"/>
          <w:szCs w:val="16"/>
        </w:rPr>
        <w:t xml:space="preserve"> Sentencia de 29 de marzo de 2006. Serie C No. 146;</w:t>
      </w:r>
      <w:r w:rsidRPr="007F0D71">
        <w:rPr>
          <w:rStyle w:val="Strong"/>
          <w:rFonts w:ascii="Verdana" w:hAnsi="Verdana"/>
          <w:b w:val="0"/>
          <w:i/>
          <w:color w:val="000000"/>
          <w:sz w:val="16"/>
          <w:szCs w:val="16"/>
        </w:rPr>
        <w:t xml:space="preserve"> Caso</w:t>
      </w:r>
      <w:r>
        <w:rPr>
          <w:rStyle w:val="Strong"/>
          <w:rFonts w:ascii="Verdana" w:hAnsi="Verdana"/>
          <w:b w:val="0"/>
          <w:color w:val="000000"/>
          <w:sz w:val="16"/>
          <w:szCs w:val="16"/>
        </w:rPr>
        <w:t xml:space="preserve"> </w:t>
      </w:r>
      <w:r w:rsidRPr="007F0D71">
        <w:rPr>
          <w:rStyle w:val="Strong"/>
          <w:rFonts w:ascii="Verdana" w:hAnsi="Verdana"/>
          <w:b w:val="0"/>
          <w:i/>
          <w:color w:val="000000"/>
          <w:sz w:val="16"/>
          <w:szCs w:val="16"/>
        </w:rPr>
        <w:t>del Pueblo Saramaka. Vs. Surinam. Excepciones Preliminares, Fondo, Reparaciones y Costas.</w:t>
      </w:r>
      <w:r w:rsidRPr="007F0D71">
        <w:rPr>
          <w:rStyle w:val="Strong"/>
          <w:rFonts w:ascii="Verdana" w:hAnsi="Verdana"/>
          <w:b w:val="0"/>
          <w:color w:val="000000"/>
          <w:sz w:val="16"/>
          <w:szCs w:val="16"/>
        </w:rPr>
        <w:t xml:space="preserve"> Sentencia de 28 de noviembre de 2007. Serie C No. 172; </w:t>
      </w:r>
      <w:r w:rsidRPr="007F0D71">
        <w:rPr>
          <w:rStyle w:val="Strong"/>
          <w:rFonts w:ascii="Verdana" w:hAnsi="Verdana"/>
          <w:b w:val="0"/>
          <w:i/>
          <w:color w:val="000000"/>
          <w:sz w:val="16"/>
          <w:szCs w:val="16"/>
        </w:rPr>
        <w:t>Caso Comunidad Indígena Xákmok Kásek. Vs. Paraguay. Fondo, Reparaciones y Costas.</w:t>
      </w:r>
      <w:r w:rsidRPr="007F0D71">
        <w:rPr>
          <w:rStyle w:val="Strong"/>
          <w:rFonts w:ascii="Verdana" w:hAnsi="Verdana"/>
          <w:b w:val="0"/>
          <w:color w:val="000000"/>
          <w:sz w:val="16"/>
          <w:szCs w:val="16"/>
        </w:rPr>
        <w:t xml:space="preserve"> Sentencia de 24 de agosto de 2010 Serie C No. 214; </w:t>
      </w:r>
      <w:r w:rsidRPr="007F0D71">
        <w:rPr>
          <w:rStyle w:val="Strong"/>
          <w:rFonts w:ascii="Verdana" w:hAnsi="Verdana"/>
          <w:b w:val="0"/>
          <w:i/>
          <w:color w:val="000000"/>
          <w:sz w:val="16"/>
          <w:szCs w:val="16"/>
        </w:rPr>
        <w:t xml:space="preserve">Caso Pueblo Indígena Kichwa de Sarayaku Vs. Ecuador. Fondo y reparaciones. </w:t>
      </w:r>
      <w:r w:rsidRPr="007F0D71">
        <w:rPr>
          <w:rStyle w:val="Strong"/>
          <w:rFonts w:ascii="Verdana" w:hAnsi="Verdana"/>
          <w:b w:val="0"/>
          <w:color w:val="000000"/>
          <w:sz w:val="16"/>
          <w:szCs w:val="16"/>
        </w:rPr>
        <w:t>Sentencia de 27 de junio de 2012. Serie C No. 245</w:t>
      </w:r>
      <w:r>
        <w:rPr>
          <w:rStyle w:val="Strong"/>
          <w:rFonts w:ascii="Verdana" w:hAnsi="Verdana"/>
          <w:b w:val="0"/>
          <w:color w:val="000000"/>
          <w:sz w:val="16"/>
          <w:szCs w:val="16"/>
        </w:rPr>
        <w:t>;</w:t>
      </w:r>
      <w:r w:rsidRPr="007F0D71">
        <w:rPr>
          <w:rStyle w:val="Strong"/>
          <w:rFonts w:ascii="Verdana" w:hAnsi="Verdana"/>
          <w:b w:val="0"/>
          <w:color w:val="000000"/>
          <w:sz w:val="16"/>
          <w:szCs w:val="16"/>
        </w:rPr>
        <w:t xml:space="preserve"> y </w:t>
      </w:r>
      <w:r w:rsidRPr="007F0D71">
        <w:rPr>
          <w:rStyle w:val="Strong"/>
          <w:rFonts w:ascii="Verdana" w:hAnsi="Verdana"/>
          <w:b w:val="0"/>
          <w:i/>
          <w:color w:val="000000"/>
          <w:sz w:val="16"/>
          <w:szCs w:val="16"/>
        </w:rPr>
        <w:t>Caso de las Comunidades Afrodescendientes Desplazadas de la Cuenca del Río Cacarica (Operación Génesis) Vs. Colombia. Excepciones Preliminares, Fondo, Reparaciones y Costas.</w:t>
      </w:r>
      <w:r w:rsidRPr="007F0D71">
        <w:rPr>
          <w:rStyle w:val="Strong"/>
          <w:rFonts w:ascii="Verdana" w:hAnsi="Verdana"/>
          <w:b w:val="0"/>
          <w:color w:val="000000"/>
          <w:sz w:val="16"/>
          <w:szCs w:val="16"/>
        </w:rPr>
        <w:t xml:space="preserve"> Sentencia de 20 de noviembre de 2013. Serie C No. 270. </w:t>
      </w:r>
    </w:p>
  </w:footnote>
  <w:footnote w:id="16">
    <w:p w:rsidR="002432C9" w:rsidRPr="007F0D71" w:rsidRDefault="002432C9" w:rsidP="0034750F">
      <w:pPr>
        <w:spacing w:after="120"/>
        <w:jc w:val="both"/>
        <w:rPr>
          <w:rFonts w:ascii="Verdana" w:hAnsi="Verdana"/>
          <w:bCs/>
          <w:color w:val="000000"/>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 xml:space="preserve">Caso Pueblo Indígena Kichwa de Sarayaku Vs. Ecuador. Fondo y Reparaciones. </w:t>
      </w:r>
      <w:r w:rsidRPr="007F0D71">
        <w:rPr>
          <w:rStyle w:val="Strong"/>
          <w:rFonts w:ascii="Verdana" w:hAnsi="Verdana"/>
          <w:b w:val="0"/>
          <w:color w:val="000000"/>
          <w:sz w:val="16"/>
          <w:szCs w:val="16"/>
        </w:rPr>
        <w:t>Sentencia de 27 de junio de 2012. Serie C No. 245</w:t>
      </w:r>
      <w:r w:rsidRPr="007F0D71">
        <w:rPr>
          <w:rFonts w:ascii="Verdana" w:hAnsi="Verdana"/>
          <w:sz w:val="16"/>
          <w:szCs w:val="16"/>
        </w:rPr>
        <w:t xml:space="preserve">, párr. 145; </w:t>
      </w:r>
      <w:r w:rsidRPr="007F0D71">
        <w:rPr>
          <w:rStyle w:val="Strong"/>
          <w:rFonts w:ascii="Verdana" w:hAnsi="Verdana"/>
          <w:b w:val="0"/>
          <w:i/>
          <w:color w:val="000000"/>
          <w:sz w:val="16"/>
          <w:szCs w:val="16"/>
        </w:rPr>
        <w:t>Caso Comunidad Indígena Xákmok Kásek. Vs. Paraguay. Fondo, Reparaciones y Costas.</w:t>
      </w:r>
      <w:r w:rsidRPr="007F0D71">
        <w:rPr>
          <w:rStyle w:val="Strong"/>
          <w:rFonts w:ascii="Verdana" w:hAnsi="Verdana"/>
          <w:b w:val="0"/>
          <w:color w:val="000000"/>
          <w:sz w:val="16"/>
          <w:szCs w:val="16"/>
        </w:rPr>
        <w:t xml:space="preserve"> Sentencia de 24 de agosto de 2010 Serie C No. 214</w:t>
      </w:r>
      <w:r w:rsidRPr="007F0D71">
        <w:rPr>
          <w:rFonts w:ascii="Verdana" w:hAnsi="Verdana"/>
          <w:sz w:val="16"/>
          <w:szCs w:val="16"/>
        </w:rPr>
        <w:t>, párr. 86</w:t>
      </w:r>
      <w:r>
        <w:rPr>
          <w:rFonts w:ascii="Verdana" w:hAnsi="Verdana"/>
          <w:sz w:val="16"/>
          <w:szCs w:val="16"/>
        </w:rPr>
        <w:t>;</w:t>
      </w:r>
      <w:r w:rsidRPr="007F0D71">
        <w:rPr>
          <w:rFonts w:ascii="Verdana" w:hAnsi="Verdana"/>
          <w:sz w:val="16"/>
          <w:szCs w:val="16"/>
        </w:rPr>
        <w:t xml:space="preserve"> y </w:t>
      </w:r>
      <w:r w:rsidRPr="007F0D71">
        <w:rPr>
          <w:rStyle w:val="apple-converted-space"/>
          <w:rFonts w:ascii="Verdana" w:hAnsi="Verdana"/>
          <w:bCs/>
          <w:i/>
          <w:color w:val="000000"/>
          <w:sz w:val="16"/>
          <w:szCs w:val="16"/>
        </w:rPr>
        <w:t>Caso</w:t>
      </w:r>
      <w:r w:rsidRPr="007F0D71">
        <w:rPr>
          <w:rStyle w:val="apple-converted-space"/>
          <w:rFonts w:ascii="Verdana" w:hAnsi="Verdana"/>
          <w:b/>
          <w:bCs/>
          <w:i/>
          <w:color w:val="000000"/>
          <w:sz w:val="16"/>
          <w:szCs w:val="16"/>
        </w:rPr>
        <w:t xml:space="preserve"> </w:t>
      </w:r>
      <w:r w:rsidRPr="007F0D71">
        <w:rPr>
          <w:rStyle w:val="Strong"/>
          <w:rFonts w:ascii="Verdana" w:hAnsi="Verdana"/>
          <w:b w:val="0"/>
          <w:i/>
          <w:color w:val="000000"/>
          <w:sz w:val="16"/>
          <w:szCs w:val="16"/>
        </w:rPr>
        <w:t>de la Comunidad Mayagna (Sumo) Awas Tingni Vs. Nicaragua. Fondo, Reparaciones y Costas.</w:t>
      </w:r>
      <w:r w:rsidRPr="007F0D71">
        <w:rPr>
          <w:rStyle w:val="Strong"/>
          <w:rFonts w:ascii="Verdana" w:hAnsi="Verdana"/>
          <w:b w:val="0"/>
          <w:color w:val="000000"/>
          <w:sz w:val="16"/>
          <w:szCs w:val="16"/>
        </w:rPr>
        <w:t xml:space="preserve"> Sentencia de 31 de agosto de 2001. Serie C No. 79, </w:t>
      </w:r>
      <w:r w:rsidRPr="007F0D71">
        <w:rPr>
          <w:rFonts w:ascii="Verdana" w:hAnsi="Verdana"/>
          <w:sz w:val="16"/>
          <w:szCs w:val="16"/>
          <w:lang w:val="es-MX"/>
        </w:rPr>
        <w:t xml:space="preserve">párr. 149. </w:t>
      </w:r>
    </w:p>
  </w:footnote>
  <w:footnote w:id="17">
    <w:p w:rsidR="002432C9" w:rsidRPr="007F0D71" w:rsidRDefault="002432C9" w:rsidP="0034750F">
      <w:pPr>
        <w:pStyle w:val="FootnoteText"/>
        <w:spacing w:after="120"/>
        <w:jc w:val="both"/>
        <w:rPr>
          <w:rFonts w:ascii="Verdana" w:hAnsi="Verdana"/>
          <w:sz w:val="16"/>
          <w:szCs w:val="16"/>
          <w:lang w:val="es-ES_tradnl"/>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Fonts w:ascii="Verdana" w:hAnsi="Verdana"/>
          <w:i/>
          <w:sz w:val="16"/>
          <w:szCs w:val="16"/>
          <w:lang w:val="es-ES_tradnl"/>
        </w:rPr>
        <w:t>El Derecho a la Información sobre la Asistencia Consular en el Marco de las Garantías del Debido Proceso Legal.</w:t>
      </w:r>
      <w:r w:rsidRPr="007F0D71">
        <w:rPr>
          <w:rFonts w:ascii="Verdana" w:hAnsi="Verdana"/>
          <w:sz w:val="16"/>
          <w:szCs w:val="16"/>
          <w:lang w:val="es-ES_tradnl"/>
        </w:rPr>
        <w:t xml:space="preserve">  Opinión Consultiva OC-16/99 de 1 de octubre de 1999. Serie A No. 16, párr. 114.</w:t>
      </w:r>
    </w:p>
  </w:footnote>
  <w:footnote w:id="18">
    <w:p w:rsidR="002432C9" w:rsidRPr="007F0D71" w:rsidRDefault="002432C9" w:rsidP="0034750F">
      <w:pPr>
        <w:spacing w:after="120"/>
        <w:jc w:val="both"/>
        <w:rPr>
          <w:rFonts w:ascii="Verdana" w:hAnsi="Verdana"/>
          <w:bCs/>
          <w:color w:val="000000"/>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 xml:space="preserve">Caso Pueblo Indígena Kichwa de Sarayaku Vs. Ecuador. Fondo y reparaciones. </w:t>
      </w:r>
      <w:r w:rsidRPr="007F0D71">
        <w:rPr>
          <w:rStyle w:val="Strong"/>
          <w:rFonts w:ascii="Verdana" w:hAnsi="Verdana"/>
          <w:b w:val="0"/>
          <w:color w:val="000000"/>
          <w:sz w:val="16"/>
          <w:szCs w:val="16"/>
        </w:rPr>
        <w:t xml:space="preserve">Sentencia de 27 de junio de 2012. Serie C No. 245, párr. </w:t>
      </w:r>
      <w:r w:rsidRPr="007F0D71">
        <w:rPr>
          <w:rFonts w:ascii="Verdana" w:hAnsi="Verdana"/>
          <w:sz w:val="16"/>
          <w:szCs w:val="16"/>
        </w:rPr>
        <w:t>171</w:t>
      </w:r>
      <w:r>
        <w:rPr>
          <w:rFonts w:ascii="Verdana" w:hAnsi="Verdana"/>
          <w:sz w:val="16"/>
          <w:szCs w:val="16"/>
        </w:rPr>
        <w:t>;</w:t>
      </w:r>
      <w:r w:rsidRPr="007F0D71">
        <w:rPr>
          <w:rFonts w:ascii="Verdana" w:hAnsi="Verdana"/>
          <w:sz w:val="16"/>
          <w:szCs w:val="16"/>
        </w:rPr>
        <w:t xml:space="preserve"> y </w:t>
      </w:r>
      <w:r w:rsidRPr="007F0D71">
        <w:rPr>
          <w:rStyle w:val="apple-converted-space"/>
          <w:rFonts w:ascii="Verdana" w:hAnsi="Verdana"/>
          <w:bCs/>
          <w:i/>
          <w:color w:val="000000"/>
          <w:sz w:val="16"/>
          <w:szCs w:val="16"/>
        </w:rPr>
        <w:t>Caso</w:t>
      </w:r>
      <w:r w:rsidRPr="007F0D71">
        <w:rPr>
          <w:rStyle w:val="apple-converted-space"/>
          <w:rFonts w:ascii="Verdana" w:hAnsi="Verdana"/>
          <w:b/>
          <w:bCs/>
          <w:i/>
          <w:color w:val="000000"/>
          <w:sz w:val="16"/>
          <w:szCs w:val="16"/>
        </w:rPr>
        <w:t xml:space="preserve"> </w:t>
      </w:r>
      <w:r w:rsidRPr="007F0D71">
        <w:rPr>
          <w:rStyle w:val="Strong"/>
          <w:rFonts w:ascii="Verdana" w:hAnsi="Verdana"/>
          <w:b w:val="0"/>
          <w:i/>
          <w:color w:val="000000"/>
          <w:sz w:val="16"/>
          <w:szCs w:val="16"/>
        </w:rPr>
        <w:t>de la Comunidad Mayagna (Sumo) Awas Tingni Vs. Nicaragua. Fondo, Reparaciones y Costas.</w:t>
      </w:r>
      <w:r w:rsidRPr="007F0D71">
        <w:rPr>
          <w:rStyle w:val="Strong"/>
          <w:rFonts w:ascii="Verdana" w:hAnsi="Verdana"/>
          <w:b w:val="0"/>
          <w:color w:val="000000"/>
          <w:sz w:val="16"/>
          <w:szCs w:val="16"/>
        </w:rPr>
        <w:t xml:space="preserve"> Sentencia de 31 de agosto de 2001. Serie C No. 79, </w:t>
      </w:r>
      <w:r w:rsidRPr="007F0D71">
        <w:rPr>
          <w:rFonts w:ascii="Verdana" w:hAnsi="Verdana"/>
          <w:sz w:val="16"/>
          <w:szCs w:val="16"/>
          <w:lang w:val="es-MX"/>
        </w:rPr>
        <w:t xml:space="preserve">párr. 147. </w:t>
      </w:r>
    </w:p>
  </w:footnote>
  <w:footnote w:id="19">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i/>
          <w:sz w:val="16"/>
          <w:szCs w:val="16"/>
        </w:rPr>
        <w:t xml:space="preserve"> </w:t>
      </w:r>
      <w:r w:rsidRPr="007F0D71">
        <w:rPr>
          <w:rFonts w:ascii="Verdana" w:hAnsi="Verdana"/>
          <w:i/>
          <w:sz w:val="16"/>
          <w:szCs w:val="16"/>
        </w:rPr>
        <w:tab/>
        <w:t>Cfr</w:t>
      </w:r>
      <w:r w:rsidRPr="007F0D71">
        <w:rPr>
          <w:rFonts w:ascii="Verdana" w:hAnsi="Verdana"/>
          <w:sz w:val="16"/>
          <w:szCs w:val="16"/>
        </w:rPr>
        <w:t xml:space="preserve">.  </w:t>
      </w:r>
      <w:r w:rsidRPr="007F0D71">
        <w:rPr>
          <w:rStyle w:val="Strong"/>
          <w:rFonts w:ascii="Verdana" w:hAnsi="Verdana"/>
          <w:b w:val="0"/>
          <w:i/>
          <w:color w:val="000000"/>
          <w:sz w:val="16"/>
          <w:szCs w:val="16"/>
        </w:rPr>
        <w:t xml:space="preserve">Caso Pueblo Indígena Kichwa de Sarayaku Vs. Ecuador. Fondo y reparaciones. </w:t>
      </w:r>
      <w:r w:rsidRPr="007F0D71">
        <w:rPr>
          <w:rStyle w:val="Strong"/>
          <w:rFonts w:ascii="Verdana" w:hAnsi="Verdana"/>
          <w:b w:val="0"/>
          <w:color w:val="000000"/>
          <w:sz w:val="16"/>
          <w:szCs w:val="16"/>
        </w:rPr>
        <w:t xml:space="preserve">Sentencia de 27 de junio de 2012. Serie C No. 245, párr. </w:t>
      </w:r>
      <w:r w:rsidRPr="007F0D71">
        <w:rPr>
          <w:rFonts w:ascii="Verdana" w:hAnsi="Verdana"/>
          <w:sz w:val="16"/>
          <w:szCs w:val="16"/>
        </w:rPr>
        <w:t>171</w:t>
      </w:r>
      <w:r>
        <w:rPr>
          <w:rFonts w:ascii="Verdana" w:hAnsi="Verdana"/>
          <w:sz w:val="16"/>
          <w:szCs w:val="16"/>
        </w:rPr>
        <w:t>;</w:t>
      </w:r>
      <w:r w:rsidRPr="007F0D71">
        <w:rPr>
          <w:rFonts w:ascii="Verdana" w:hAnsi="Verdana"/>
          <w:sz w:val="16"/>
          <w:szCs w:val="16"/>
        </w:rPr>
        <w:t xml:space="preserve"> y </w:t>
      </w:r>
      <w:r w:rsidRPr="007F0D71">
        <w:rPr>
          <w:rStyle w:val="apple-converted-space"/>
          <w:rFonts w:ascii="Verdana" w:hAnsi="Verdana"/>
          <w:bCs/>
          <w:i/>
          <w:color w:val="000000"/>
          <w:sz w:val="16"/>
          <w:szCs w:val="16"/>
        </w:rPr>
        <w:t>Caso</w:t>
      </w:r>
      <w:r w:rsidRPr="007F0D71">
        <w:rPr>
          <w:rStyle w:val="apple-converted-space"/>
          <w:rFonts w:ascii="Verdana" w:hAnsi="Verdana"/>
          <w:b/>
          <w:bCs/>
          <w:i/>
          <w:color w:val="000000"/>
          <w:sz w:val="16"/>
          <w:szCs w:val="16"/>
        </w:rPr>
        <w:t xml:space="preserve"> </w:t>
      </w:r>
      <w:r w:rsidRPr="007F0D71">
        <w:rPr>
          <w:rStyle w:val="Strong"/>
          <w:rFonts w:ascii="Verdana" w:hAnsi="Verdana"/>
          <w:b w:val="0"/>
          <w:i/>
          <w:color w:val="000000"/>
          <w:sz w:val="16"/>
          <w:szCs w:val="16"/>
        </w:rPr>
        <w:t>de la Comunidad Mayagna (Sumo) Awas Tingni Vs. Nicaragua. Fondo, Reparaciones y Costas.</w:t>
      </w:r>
      <w:r w:rsidRPr="007F0D71">
        <w:rPr>
          <w:rStyle w:val="Strong"/>
          <w:rFonts w:ascii="Verdana" w:hAnsi="Verdana"/>
          <w:b w:val="0"/>
          <w:color w:val="000000"/>
          <w:sz w:val="16"/>
          <w:szCs w:val="16"/>
        </w:rPr>
        <w:t xml:space="preserve"> Sentencia de 31 de agosto de 2001. Serie C No. 79, </w:t>
      </w:r>
      <w:r w:rsidRPr="007F0D71">
        <w:rPr>
          <w:rFonts w:ascii="Verdana" w:hAnsi="Verdana"/>
          <w:sz w:val="16"/>
          <w:szCs w:val="16"/>
          <w:lang w:val="es-MX"/>
        </w:rPr>
        <w:t>párr. 148</w:t>
      </w:r>
    </w:p>
  </w:footnote>
  <w:footnote w:id="20">
    <w:p w:rsidR="002432C9" w:rsidRPr="007F0D71" w:rsidRDefault="002432C9" w:rsidP="0034750F">
      <w:pPr>
        <w:pStyle w:val="FootnoteText"/>
        <w:spacing w:after="120"/>
        <w:jc w:val="both"/>
        <w:rPr>
          <w:rFonts w:ascii="Verdana" w:hAnsi="Verdana"/>
          <w:color w:val="FF0000"/>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color w:val="FF0000"/>
          <w:sz w:val="16"/>
          <w:szCs w:val="16"/>
        </w:rPr>
        <w:tab/>
      </w:r>
      <w:r w:rsidRPr="007F0D71">
        <w:rPr>
          <w:rStyle w:val="apple-converted-space"/>
          <w:rFonts w:ascii="Verdana" w:hAnsi="Verdana"/>
          <w:bCs/>
          <w:i/>
          <w:color w:val="000000"/>
          <w:sz w:val="16"/>
          <w:szCs w:val="16"/>
        </w:rPr>
        <w:t>Caso</w:t>
      </w:r>
      <w:r w:rsidRPr="007F0D71">
        <w:rPr>
          <w:rStyle w:val="apple-converted-space"/>
          <w:rFonts w:ascii="Verdana" w:hAnsi="Verdana"/>
          <w:b/>
          <w:bCs/>
          <w:i/>
          <w:color w:val="000000"/>
          <w:sz w:val="16"/>
          <w:szCs w:val="16"/>
        </w:rPr>
        <w:t xml:space="preserve"> </w:t>
      </w:r>
      <w:r w:rsidRPr="007F0D71">
        <w:rPr>
          <w:rStyle w:val="Strong"/>
          <w:rFonts w:ascii="Verdana" w:hAnsi="Verdana"/>
          <w:b w:val="0"/>
          <w:i/>
          <w:color w:val="000000"/>
          <w:sz w:val="16"/>
          <w:szCs w:val="16"/>
        </w:rPr>
        <w:t>de la Comunidad Mayagna (Sumo) Awas Tingni Vs. Nicaragua. Fondo, Reparaciones y Costas.</w:t>
      </w:r>
      <w:r w:rsidRPr="007F0D71">
        <w:rPr>
          <w:rStyle w:val="Strong"/>
          <w:rFonts w:ascii="Verdana" w:hAnsi="Verdana"/>
          <w:b w:val="0"/>
          <w:color w:val="000000"/>
          <w:sz w:val="16"/>
          <w:szCs w:val="16"/>
        </w:rPr>
        <w:t xml:space="preserve"> Sentencia de 31 de agosto de 2001. Serie C No. 79; </w:t>
      </w:r>
      <w:r w:rsidRPr="00154655">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w:t>
      </w:r>
      <w:r w:rsidRPr="007F0D71">
        <w:rPr>
          <w:rStyle w:val="Strong"/>
          <w:rFonts w:ascii="Verdana" w:hAnsi="Verdana"/>
          <w:b w:val="0"/>
          <w:i/>
          <w:color w:val="000000"/>
          <w:sz w:val="16"/>
          <w:szCs w:val="16"/>
        </w:rPr>
        <w:t>Caso Comunidad Indígena Sawhoyamaxa Vs. Paraguay. Fondo, Reparaciones y Costas.</w:t>
      </w:r>
      <w:r w:rsidRPr="007F0D71">
        <w:rPr>
          <w:rStyle w:val="Strong"/>
          <w:rFonts w:ascii="Verdana" w:hAnsi="Verdana"/>
          <w:b w:val="0"/>
          <w:color w:val="000000"/>
          <w:sz w:val="16"/>
          <w:szCs w:val="16"/>
        </w:rPr>
        <w:t xml:space="preserve"> Sentencia de 29 de marzo de 2006. Serie C No. 146; </w:t>
      </w:r>
      <w:r w:rsidRPr="007F0D71">
        <w:rPr>
          <w:rStyle w:val="Strong"/>
          <w:rFonts w:ascii="Verdana" w:hAnsi="Verdana"/>
          <w:b w:val="0"/>
          <w:i/>
          <w:color w:val="000000"/>
          <w:sz w:val="16"/>
          <w:szCs w:val="16"/>
        </w:rPr>
        <w:t>Caso Comunidad Indígena Xákmok Kásek. Vs. Paraguay. Fondo, Reparaciones y Costas.</w:t>
      </w:r>
      <w:r w:rsidRPr="007F0D71">
        <w:rPr>
          <w:rStyle w:val="Strong"/>
          <w:rFonts w:ascii="Verdana" w:hAnsi="Verdana"/>
          <w:b w:val="0"/>
          <w:color w:val="000000"/>
          <w:sz w:val="16"/>
          <w:szCs w:val="16"/>
        </w:rPr>
        <w:t xml:space="preserve"> Sentencia de 24 de agosto de 2010 Serie C No. 214</w:t>
      </w:r>
      <w:r>
        <w:rPr>
          <w:rStyle w:val="Strong"/>
          <w:rFonts w:ascii="Verdana" w:hAnsi="Verdana"/>
          <w:b w:val="0"/>
          <w:color w:val="000000"/>
          <w:sz w:val="16"/>
          <w:szCs w:val="16"/>
        </w:rPr>
        <w:t>;</w:t>
      </w:r>
      <w:r w:rsidRPr="007F0D71">
        <w:rPr>
          <w:rStyle w:val="Strong"/>
          <w:rFonts w:ascii="Verdana" w:hAnsi="Verdana"/>
          <w:b w:val="0"/>
          <w:color w:val="000000"/>
          <w:sz w:val="16"/>
          <w:szCs w:val="16"/>
        </w:rPr>
        <w:t xml:space="preserve"> y </w:t>
      </w:r>
      <w:r w:rsidRPr="007F0D71">
        <w:rPr>
          <w:rStyle w:val="Strong"/>
          <w:rFonts w:ascii="Verdana" w:hAnsi="Verdana"/>
          <w:b w:val="0"/>
          <w:i/>
          <w:color w:val="000000"/>
          <w:sz w:val="16"/>
          <w:szCs w:val="16"/>
        </w:rPr>
        <w:t xml:space="preserve">Caso Pueblo Indígena Kichwa de Sarayaku Vs. Ecuador. Fondo y reparaciones. </w:t>
      </w:r>
      <w:r w:rsidRPr="007F0D71">
        <w:rPr>
          <w:rStyle w:val="Strong"/>
          <w:rFonts w:ascii="Verdana" w:hAnsi="Verdana"/>
          <w:b w:val="0"/>
          <w:color w:val="000000"/>
          <w:sz w:val="16"/>
          <w:szCs w:val="16"/>
        </w:rPr>
        <w:t>Sentencia de 27 de junio de 2012. Serie C No. 245.</w:t>
      </w:r>
    </w:p>
  </w:footnote>
  <w:footnote w:id="21">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color w:val="FF0000"/>
          <w:sz w:val="16"/>
          <w:szCs w:val="16"/>
        </w:rPr>
        <w:tab/>
      </w:r>
      <w:r w:rsidRPr="007F0D71">
        <w:rPr>
          <w:rStyle w:val="Strong"/>
          <w:rFonts w:ascii="Verdana" w:hAnsi="Verdana"/>
          <w:b w:val="0"/>
          <w:i/>
          <w:color w:val="000000"/>
          <w:sz w:val="16"/>
          <w:szCs w:val="16"/>
        </w:rPr>
        <w:t>Caso</w:t>
      </w:r>
      <w:r w:rsidRPr="007F0D71">
        <w:rPr>
          <w:rStyle w:val="Strong"/>
          <w:rFonts w:ascii="Verdana" w:hAnsi="Verdana"/>
          <w:b w:val="0"/>
          <w:color w:val="000000"/>
          <w:sz w:val="16"/>
          <w:szCs w:val="16"/>
        </w:rPr>
        <w:t xml:space="preserve"> </w:t>
      </w:r>
      <w:r w:rsidRPr="007F0D71">
        <w:rPr>
          <w:rStyle w:val="Strong"/>
          <w:rFonts w:ascii="Verdana" w:hAnsi="Verdana"/>
          <w:b w:val="0"/>
          <w:i/>
          <w:color w:val="000000"/>
          <w:sz w:val="16"/>
          <w:szCs w:val="16"/>
        </w:rPr>
        <w:t>del Pueblo Saramaka. Vs. Surinam. Excepciones Preliminares, Fondo, Reparaciones y Costas.</w:t>
      </w:r>
      <w:r w:rsidRPr="007F0D71">
        <w:rPr>
          <w:rStyle w:val="Strong"/>
          <w:rFonts w:ascii="Verdana" w:hAnsi="Verdana"/>
          <w:b w:val="0"/>
          <w:color w:val="000000"/>
          <w:sz w:val="16"/>
          <w:szCs w:val="16"/>
        </w:rPr>
        <w:t xml:space="preserve"> Sentencia de 28 de noviembre de 2007. Serie C No. 172.</w:t>
      </w:r>
    </w:p>
  </w:footnote>
  <w:footnote w:id="22">
    <w:p w:rsidR="002432C9" w:rsidRPr="007F0D71" w:rsidRDefault="002432C9" w:rsidP="0034750F">
      <w:pPr>
        <w:spacing w:after="120"/>
        <w:jc w:val="both"/>
        <w:rPr>
          <w:rFonts w:ascii="Verdana" w:hAnsi="Verdana"/>
          <w:bCs/>
          <w:color w:val="000000"/>
          <w:sz w:val="16"/>
          <w:szCs w:val="16"/>
        </w:rPr>
      </w:pPr>
      <w:r w:rsidRPr="007F0D71">
        <w:rPr>
          <w:rStyle w:val="FootnoteReference"/>
          <w:rFonts w:ascii="Verdana" w:hAnsi="Verdana"/>
          <w:sz w:val="16"/>
          <w:szCs w:val="16"/>
          <w:lang w:val="es-ES_tradnl"/>
        </w:rPr>
        <w:footnoteRef/>
      </w:r>
      <w:r w:rsidRPr="007F0D71">
        <w:rPr>
          <w:rFonts w:ascii="Verdana" w:hAnsi="Verdana"/>
          <w:sz w:val="16"/>
          <w:szCs w:val="16"/>
          <w:lang w:val="es-ES_tradnl"/>
        </w:rPr>
        <w:t xml:space="preserve"> </w:t>
      </w:r>
      <w:r w:rsidRPr="007F0D71">
        <w:rPr>
          <w:rFonts w:ascii="Verdana" w:hAnsi="Verdana"/>
          <w:sz w:val="16"/>
          <w:szCs w:val="16"/>
          <w:lang w:val="es-ES_tradnl"/>
        </w:rPr>
        <w:tab/>
      </w:r>
      <w:r w:rsidRPr="007F0D71">
        <w:rPr>
          <w:rStyle w:val="Strong"/>
          <w:rFonts w:ascii="Verdana" w:hAnsi="Verdana"/>
          <w:b w:val="0"/>
          <w:i/>
          <w:color w:val="000000"/>
          <w:sz w:val="16"/>
          <w:szCs w:val="16"/>
        </w:rPr>
        <w:t>Caso Comunidad Indígena Xákmok Kásek. Vs. Paraguay. Fondo, Reparaciones y Costas.</w:t>
      </w:r>
      <w:r w:rsidRPr="007F0D71">
        <w:rPr>
          <w:rStyle w:val="Strong"/>
          <w:rFonts w:ascii="Verdana" w:hAnsi="Verdana"/>
          <w:b w:val="0"/>
          <w:color w:val="000000"/>
          <w:sz w:val="16"/>
          <w:szCs w:val="16"/>
        </w:rPr>
        <w:t xml:space="preserve"> Sentencia de 24 de agosto de 2010 Serie C No. 214</w:t>
      </w:r>
      <w:r w:rsidRPr="007F0D71">
        <w:rPr>
          <w:rFonts w:ascii="Verdana" w:hAnsi="Verdana"/>
          <w:sz w:val="16"/>
          <w:szCs w:val="16"/>
        </w:rPr>
        <w:t>, párr. 87</w:t>
      </w:r>
      <w:r w:rsidRPr="007F0D71">
        <w:rPr>
          <w:rFonts w:ascii="Verdana" w:hAnsi="Verdana"/>
          <w:sz w:val="16"/>
          <w:szCs w:val="16"/>
          <w:lang w:val="es-ES_tradnl"/>
        </w:rPr>
        <w:t xml:space="preserve">; </w:t>
      </w:r>
      <w:r w:rsidRPr="007F0D71">
        <w:rPr>
          <w:rStyle w:val="Strong"/>
          <w:rFonts w:ascii="Verdana" w:hAnsi="Verdana"/>
          <w:b w:val="0"/>
          <w:i/>
          <w:color w:val="000000"/>
          <w:sz w:val="16"/>
          <w:szCs w:val="16"/>
        </w:rPr>
        <w:t>Caso</w:t>
      </w:r>
      <w:r w:rsidRPr="007F0D71">
        <w:rPr>
          <w:rStyle w:val="Strong"/>
          <w:rFonts w:ascii="Verdana" w:hAnsi="Verdana"/>
          <w:b w:val="0"/>
          <w:color w:val="000000"/>
          <w:sz w:val="16"/>
          <w:szCs w:val="16"/>
        </w:rPr>
        <w:t xml:space="preserve"> </w:t>
      </w:r>
      <w:r w:rsidRPr="007F0D71">
        <w:rPr>
          <w:rStyle w:val="Strong"/>
          <w:rFonts w:ascii="Verdana" w:hAnsi="Verdana"/>
          <w:b w:val="0"/>
          <w:i/>
          <w:color w:val="000000"/>
          <w:sz w:val="16"/>
          <w:szCs w:val="16"/>
        </w:rPr>
        <w:t>del Pueblo Saramaka. Vs. Surinam. Excepciones Preliminares, Fondo, Reparaciones y Costas.</w:t>
      </w:r>
      <w:r w:rsidRPr="007F0D71">
        <w:rPr>
          <w:rStyle w:val="Strong"/>
          <w:rFonts w:ascii="Verdana" w:hAnsi="Verdana"/>
          <w:b w:val="0"/>
          <w:color w:val="000000"/>
          <w:sz w:val="16"/>
          <w:szCs w:val="16"/>
        </w:rPr>
        <w:t xml:space="preserve"> Sentencia de 28 de noviembre de 2007. Serie C No. 172</w:t>
      </w:r>
      <w:r w:rsidRPr="007F0D71">
        <w:rPr>
          <w:rStyle w:val="Strong"/>
          <w:rFonts w:ascii="Verdana" w:hAnsi="Verdana"/>
          <w:b w:val="0"/>
          <w:i/>
          <w:color w:val="000000"/>
          <w:sz w:val="16"/>
          <w:szCs w:val="16"/>
        </w:rPr>
        <w:t xml:space="preserve">, </w:t>
      </w:r>
      <w:r w:rsidRPr="007F0D71">
        <w:rPr>
          <w:rStyle w:val="Strong"/>
          <w:rFonts w:ascii="Verdana" w:hAnsi="Verdana"/>
          <w:b w:val="0"/>
          <w:color w:val="000000"/>
          <w:sz w:val="16"/>
          <w:szCs w:val="16"/>
        </w:rPr>
        <w:t>párr. 89</w:t>
      </w:r>
      <w:r>
        <w:rPr>
          <w:rStyle w:val="Strong"/>
          <w:rFonts w:ascii="Verdana" w:hAnsi="Verdana"/>
          <w:b w:val="0"/>
          <w:color w:val="000000"/>
          <w:sz w:val="16"/>
          <w:szCs w:val="16"/>
        </w:rPr>
        <w:t>;</w:t>
      </w:r>
      <w:r w:rsidRPr="007F0D71">
        <w:rPr>
          <w:rStyle w:val="Strong"/>
          <w:rFonts w:ascii="Verdana" w:hAnsi="Verdana"/>
          <w:b w:val="0"/>
          <w:color w:val="000000"/>
          <w:sz w:val="16"/>
          <w:szCs w:val="16"/>
        </w:rPr>
        <w:t xml:space="preserve"> y </w:t>
      </w:r>
      <w:r w:rsidRPr="007F0D71">
        <w:rPr>
          <w:rStyle w:val="Strong"/>
          <w:rFonts w:ascii="Verdana" w:hAnsi="Verdana"/>
          <w:b w:val="0"/>
          <w:i/>
          <w:color w:val="000000"/>
          <w:sz w:val="16"/>
          <w:szCs w:val="16"/>
        </w:rPr>
        <w:t>Caso Comunidad Indígena Sawhoyamaxa Vs. Paraguay. Fondo, Reparaciones y Costas.</w:t>
      </w:r>
      <w:r w:rsidRPr="007F0D71">
        <w:rPr>
          <w:rStyle w:val="Strong"/>
          <w:rFonts w:ascii="Verdana" w:hAnsi="Verdana"/>
          <w:b w:val="0"/>
          <w:color w:val="000000"/>
          <w:sz w:val="16"/>
          <w:szCs w:val="16"/>
        </w:rPr>
        <w:t xml:space="preserve"> Sentencia de 29 de marzo de 2006. Serie C No. 146, </w:t>
      </w:r>
      <w:r w:rsidRPr="007F0D71">
        <w:rPr>
          <w:rFonts w:ascii="Verdana" w:hAnsi="Verdana"/>
          <w:sz w:val="16"/>
          <w:szCs w:val="16"/>
          <w:lang w:val="es-ES_tradnl"/>
        </w:rPr>
        <w:t>párr. 120.</w:t>
      </w:r>
    </w:p>
  </w:footnote>
  <w:footnote w:id="23">
    <w:p w:rsidR="002432C9" w:rsidRPr="007F0D71" w:rsidRDefault="002432C9" w:rsidP="0034750F">
      <w:pPr>
        <w:pStyle w:val="FootnoteText"/>
        <w:spacing w:after="120"/>
        <w:jc w:val="both"/>
        <w:rPr>
          <w:rFonts w:ascii="Verdana" w:hAnsi="Verdana"/>
          <w:sz w:val="16"/>
          <w:szCs w:val="16"/>
          <w:lang w:val="es-ES_tradnl"/>
        </w:rPr>
      </w:pPr>
      <w:r w:rsidRPr="007F0D71">
        <w:rPr>
          <w:rStyle w:val="FootnoteReference"/>
          <w:rFonts w:ascii="Verdana" w:hAnsi="Verdana"/>
          <w:sz w:val="16"/>
          <w:szCs w:val="16"/>
          <w:lang w:val="es-ES_tradnl"/>
        </w:rPr>
        <w:footnoteRef/>
      </w:r>
      <w:r w:rsidRPr="007F0D71">
        <w:rPr>
          <w:rFonts w:ascii="Verdana" w:hAnsi="Verdana"/>
          <w:sz w:val="16"/>
          <w:szCs w:val="16"/>
          <w:lang w:val="es-ES_tradnl"/>
        </w:rPr>
        <w:t xml:space="preserve"> </w:t>
      </w:r>
      <w:r w:rsidRPr="007F0D71">
        <w:rPr>
          <w:rFonts w:ascii="Verdana" w:hAnsi="Verdana"/>
          <w:sz w:val="16"/>
          <w:szCs w:val="16"/>
          <w:lang w:val="es-ES_tradnl"/>
        </w:rPr>
        <w:tab/>
      </w:r>
      <w:r w:rsidRPr="007F0D71">
        <w:rPr>
          <w:rFonts w:ascii="Verdana" w:hAnsi="Verdana"/>
          <w:i/>
          <w:sz w:val="16"/>
          <w:szCs w:val="16"/>
          <w:lang w:val="es-ES_tradnl"/>
        </w:rPr>
        <w:t>Caso</w:t>
      </w:r>
      <w:r w:rsidRPr="007F0D71">
        <w:rPr>
          <w:rStyle w:val="Strong"/>
          <w:rFonts w:ascii="Verdana" w:hAnsi="Verdana"/>
          <w:b w:val="0"/>
          <w:i/>
          <w:color w:val="000000"/>
          <w:sz w:val="16"/>
          <w:szCs w:val="16"/>
        </w:rPr>
        <w:t xml:space="preserve"> Comunidad Indígena Yakye Axa Vs. Paraguay. Fondo Reparaciones y Costas.</w:t>
      </w:r>
      <w:r w:rsidRPr="007F0D71">
        <w:rPr>
          <w:rStyle w:val="Strong"/>
          <w:rFonts w:ascii="Verdana" w:hAnsi="Verdana"/>
          <w:b w:val="0"/>
          <w:color w:val="000000"/>
          <w:sz w:val="16"/>
          <w:szCs w:val="16"/>
        </w:rPr>
        <w:t xml:space="preserve"> Sentencia 17 de junio de 2005. Serie C No. 125, </w:t>
      </w:r>
      <w:r w:rsidRPr="007F0D71">
        <w:rPr>
          <w:rFonts w:ascii="Verdana" w:hAnsi="Verdana"/>
          <w:sz w:val="16"/>
          <w:szCs w:val="16"/>
          <w:lang w:val="es-ES_tradnl"/>
        </w:rPr>
        <w:t>párr. 143.</w:t>
      </w:r>
    </w:p>
  </w:footnote>
  <w:footnote w:id="24">
    <w:p w:rsidR="002432C9" w:rsidRPr="007F0D71" w:rsidRDefault="002432C9" w:rsidP="0034750F">
      <w:pPr>
        <w:pStyle w:val="FootnoteText"/>
        <w:spacing w:after="120"/>
        <w:jc w:val="both"/>
        <w:rPr>
          <w:rFonts w:ascii="Verdana" w:hAnsi="Verdana"/>
          <w:bCs/>
          <w:color w:val="000000"/>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Fonts w:ascii="Verdana" w:hAnsi="Verdana"/>
          <w:i/>
          <w:sz w:val="16"/>
          <w:szCs w:val="16"/>
        </w:rPr>
        <w:t xml:space="preserve">Cfr. </w:t>
      </w:r>
      <w:r w:rsidRPr="007F0D71">
        <w:rPr>
          <w:rStyle w:val="Strong"/>
          <w:rFonts w:ascii="Verdana" w:hAnsi="Verdana"/>
          <w:b w:val="0"/>
          <w:i/>
          <w:color w:val="000000"/>
          <w:sz w:val="16"/>
          <w:szCs w:val="16"/>
        </w:rPr>
        <w:t>Caso Comunidad Indígena Sawhoyamaxa Vs. Paraguay. Fondo, Reparaciones y Costas.</w:t>
      </w:r>
      <w:r w:rsidRPr="007F0D71">
        <w:rPr>
          <w:rStyle w:val="Strong"/>
          <w:rFonts w:ascii="Verdana" w:hAnsi="Verdana"/>
          <w:b w:val="0"/>
          <w:color w:val="000000"/>
          <w:sz w:val="16"/>
          <w:szCs w:val="16"/>
        </w:rPr>
        <w:t xml:space="preserve"> Sentencia de 29 de marzo de 2006. Serie C No. 146, </w:t>
      </w:r>
      <w:r w:rsidRPr="007F0D71">
        <w:rPr>
          <w:rFonts w:ascii="Verdana" w:hAnsi="Verdana"/>
          <w:sz w:val="16"/>
          <w:szCs w:val="16"/>
        </w:rPr>
        <w:t xml:space="preserve"> párr. 120 y </w:t>
      </w:r>
      <w:r w:rsidRPr="007F0D71">
        <w:rPr>
          <w:rStyle w:val="Strong"/>
          <w:rFonts w:ascii="Verdana" w:hAnsi="Verdana"/>
          <w:b w:val="0"/>
          <w:i/>
          <w:color w:val="000000"/>
          <w:sz w:val="16"/>
          <w:szCs w:val="16"/>
        </w:rPr>
        <w:t>Caso Comunidad Indígena Xákmok Kásek. Vs. Paraguay. Fondo, Reparaciones y Costas.</w:t>
      </w:r>
      <w:r w:rsidRPr="007F0D71">
        <w:rPr>
          <w:rStyle w:val="Strong"/>
          <w:rFonts w:ascii="Verdana" w:hAnsi="Verdana"/>
          <w:b w:val="0"/>
          <w:color w:val="000000"/>
          <w:sz w:val="16"/>
          <w:szCs w:val="16"/>
        </w:rPr>
        <w:t xml:space="preserve"> Sentencia de 24 de agosto de 2010 Serie C No. 214, </w:t>
      </w:r>
      <w:r>
        <w:rPr>
          <w:rFonts w:ascii="Verdana" w:hAnsi="Verdana"/>
          <w:sz w:val="16"/>
          <w:szCs w:val="16"/>
        </w:rPr>
        <w:t xml:space="preserve"> párr. 87; y</w:t>
      </w:r>
      <w:r w:rsidRPr="007F0D71">
        <w:rPr>
          <w:rFonts w:ascii="Verdana" w:hAnsi="Verdana"/>
          <w:sz w:val="16"/>
          <w:szCs w:val="16"/>
        </w:rPr>
        <w:t xml:space="preserve"> </w:t>
      </w:r>
      <w:r w:rsidRPr="007F0D71">
        <w:rPr>
          <w:rStyle w:val="Strong"/>
          <w:rFonts w:ascii="Verdana" w:hAnsi="Verdana"/>
          <w:b w:val="0"/>
          <w:i/>
          <w:color w:val="000000"/>
          <w:sz w:val="16"/>
          <w:szCs w:val="16"/>
        </w:rPr>
        <w:t xml:space="preserve">Caso Pueblo Indígena Kichwa de Sarayaku Vs. Ecuador. Fondo y reparaciones. </w:t>
      </w:r>
      <w:r w:rsidRPr="007F0D71">
        <w:rPr>
          <w:rStyle w:val="Strong"/>
          <w:rFonts w:ascii="Verdana" w:hAnsi="Verdana"/>
          <w:b w:val="0"/>
          <w:color w:val="000000"/>
          <w:sz w:val="16"/>
          <w:szCs w:val="16"/>
        </w:rPr>
        <w:t xml:space="preserve">Sentencia de 27 de junio de 2012. Serie C No. 245, </w:t>
      </w:r>
      <w:r w:rsidRPr="007F0D71">
        <w:rPr>
          <w:rFonts w:ascii="Verdana" w:hAnsi="Verdana"/>
          <w:sz w:val="16"/>
          <w:szCs w:val="16"/>
        </w:rPr>
        <w:t xml:space="preserve">párr. 145 </w:t>
      </w:r>
    </w:p>
  </w:footnote>
  <w:footnote w:id="25">
    <w:p w:rsidR="002432C9" w:rsidRPr="007F0D71" w:rsidRDefault="002432C9" w:rsidP="00347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lang w:val="es-MX"/>
        </w:rPr>
        <w:tab/>
      </w:r>
      <w:r w:rsidRPr="007F0D71">
        <w:rPr>
          <w:rFonts w:ascii="Verdana" w:hAnsi="Verdana"/>
          <w:i/>
          <w:sz w:val="16"/>
          <w:szCs w:val="16"/>
          <w:lang w:val="es-MX"/>
        </w:rPr>
        <w:t>Cfr. Caso Masacre Plan de Sánchez</w:t>
      </w:r>
      <w:r w:rsidRPr="007F0D71">
        <w:rPr>
          <w:rFonts w:ascii="Verdana" w:hAnsi="Verdana"/>
          <w:sz w:val="16"/>
          <w:szCs w:val="16"/>
          <w:lang w:val="es-MX"/>
        </w:rPr>
        <w:t xml:space="preserve">. </w:t>
      </w:r>
      <w:r w:rsidRPr="007F0D71">
        <w:rPr>
          <w:rFonts w:ascii="Verdana" w:hAnsi="Verdana"/>
          <w:i/>
          <w:sz w:val="16"/>
          <w:szCs w:val="16"/>
          <w:lang w:val="es-MX"/>
        </w:rPr>
        <w:t>Reparaciones</w:t>
      </w:r>
      <w:r w:rsidRPr="007F0D71">
        <w:rPr>
          <w:rFonts w:ascii="Verdana" w:hAnsi="Verdana"/>
          <w:sz w:val="16"/>
          <w:szCs w:val="16"/>
          <w:lang w:val="es-MX"/>
        </w:rPr>
        <w:t xml:space="preserve"> (art. 63.1 Convención Americana sobre Derechos  Humanos).</w:t>
      </w:r>
      <w:r w:rsidRPr="007F0D71">
        <w:rPr>
          <w:rFonts w:ascii="Verdana" w:hAnsi="Verdana"/>
          <w:b/>
          <w:i/>
          <w:sz w:val="16"/>
          <w:szCs w:val="16"/>
          <w:lang w:val="es-MX"/>
        </w:rPr>
        <w:t xml:space="preserve"> </w:t>
      </w:r>
      <w:r w:rsidRPr="007F0D71">
        <w:rPr>
          <w:rFonts w:ascii="Verdana" w:hAnsi="Verdana"/>
          <w:sz w:val="16"/>
          <w:szCs w:val="16"/>
          <w:lang w:val="es-MX"/>
        </w:rPr>
        <w:t xml:space="preserve">Sentencia de 19 de noviembre 2004. Serie C No. 116, párr. 85, </w:t>
      </w:r>
      <w:r w:rsidRPr="007F0D71">
        <w:rPr>
          <w:rStyle w:val="apple-converted-space"/>
          <w:rFonts w:ascii="Verdana" w:hAnsi="Verdana"/>
          <w:bCs/>
          <w:i/>
          <w:color w:val="000000"/>
          <w:sz w:val="16"/>
          <w:szCs w:val="16"/>
        </w:rPr>
        <w:t>Caso</w:t>
      </w:r>
      <w:r w:rsidRPr="007F0D71">
        <w:rPr>
          <w:rStyle w:val="apple-converted-space"/>
          <w:rFonts w:ascii="Verdana" w:hAnsi="Verdana"/>
          <w:b/>
          <w:bCs/>
          <w:i/>
          <w:color w:val="000000"/>
          <w:sz w:val="16"/>
          <w:szCs w:val="16"/>
        </w:rPr>
        <w:t xml:space="preserve"> </w:t>
      </w:r>
      <w:r w:rsidRPr="007F0D71">
        <w:rPr>
          <w:rStyle w:val="Strong"/>
          <w:rFonts w:ascii="Verdana" w:hAnsi="Verdana"/>
          <w:b w:val="0"/>
          <w:i/>
          <w:color w:val="000000"/>
          <w:sz w:val="16"/>
          <w:szCs w:val="16"/>
        </w:rPr>
        <w:t>de la Comunidad Mayagna (Sumo) Awas Tingni Vs. Nicaragua. Fondo, Reparaciones y Costas.</w:t>
      </w:r>
      <w:r w:rsidRPr="007F0D71">
        <w:rPr>
          <w:rStyle w:val="Strong"/>
          <w:rFonts w:ascii="Verdana" w:hAnsi="Verdana"/>
          <w:b w:val="0"/>
          <w:color w:val="000000"/>
          <w:sz w:val="16"/>
          <w:szCs w:val="16"/>
        </w:rPr>
        <w:t xml:space="preserve"> Sentencia de 31 de agosto de 2001. Serie C No. 79</w:t>
      </w:r>
      <w:r w:rsidRPr="007F0D71">
        <w:rPr>
          <w:rFonts w:ascii="Verdana" w:hAnsi="Verdana"/>
          <w:sz w:val="16"/>
          <w:szCs w:val="16"/>
          <w:lang w:val="es-MX"/>
        </w:rPr>
        <w:t xml:space="preserve">, párr. </w:t>
      </w:r>
      <w:r w:rsidRPr="007F0D71">
        <w:rPr>
          <w:rFonts w:ascii="Verdana" w:hAnsi="Verdana"/>
          <w:sz w:val="16"/>
          <w:szCs w:val="16"/>
        </w:rPr>
        <w:t>149</w:t>
      </w:r>
      <w:r>
        <w:rPr>
          <w:rFonts w:ascii="Verdana" w:hAnsi="Verdana"/>
          <w:sz w:val="16"/>
          <w:szCs w:val="16"/>
        </w:rPr>
        <w:t>;</w:t>
      </w:r>
      <w:r w:rsidRPr="007F0D71">
        <w:rPr>
          <w:rFonts w:ascii="Verdana" w:hAnsi="Verdana"/>
          <w:sz w:val="16"/>
          <w:szCs w:val="16"/>
        </w:rPr>
        <w:t xml:space="preserve"> y</w:t>
      </w:r>
      <w:r w:rsidRPr="007F0D71">
        <w:rPr>
          <w:rFonts w:ascii="Verdana" w:hAnsi="Verdana"/>
          <w:i/>
          <w:sz w:val="16"/>
          <w:szCs w:val="16"/>
          <w:lang w:val="es-ES_tradnl"/>
        </w:rPr>
        <w:t xml:space="preserve"> </w:t>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w:t>
      </w:r>
      <w:r w:rsidRPr="007F0D71">
        <w:rPr>
          <w:rFonts w:ascii="Verdana" w:hAnsi="Verdana"/>
          <w:sz w:val="16"/>
          <w:szCs w:val="16"/>
        </w:rPr>
        <w:t xml:space="preserve">párr. 131. </w:t>
      </w:r>
    </w:p>
  </w:footnote>
  <w:footnote w:id="26">
    <w:p w:rsidR="002432C9" w:rsidRPr="007F0D71" w:rsidRDefault="002432C9" w:rsidP="0034750F">
      <w:pPr>
        <w:spacing w:after="120"/>
        <w:jc w:val="both"/>
        <w:rPr>
          <w:rFonts w:ascii="Verdana" w:hAnsi="Verdana"/>
          <w:bCs/>
          <w:i/>
          <w:color w:val="000000"/>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 xml:space="preserve">Caso Comunidad Indígena Sawhoyamaxa Vs. Paraguay. Fondo, Reparaciones y Costas. </w:t>
      </w:r>
      <w:r w:rsidRPr="007F0D71">
        <w:rPr>
          <w:rStyle w:val="Strong"/>
          <w:rFonts w:ascii="Verdana" w:hAnsi="Verdana"/>
          <w:b w:val="0"/>
          <w:color w:val="000000"/>
          <w:sz w:val="16"/>
          <w:szCs w:val="16"/>
        </w:rPr>
        <w:t>Sentencia de 29 de</w:t>
      </w:r>
      <w:r>
        <w:rPr>
          <w:rStyle w:val="Strong"/>
          <w:rFonts w:ascii="Verdana" w:hAnsi="Verdana"/>
          <w:b w:val="0"/>
          <w:color w:val="000000"/>
          <w:sz w:val="16"/>
          <w:szCs w:val="16"/>
        </w:rPr>
        <w:t xml:space="preserve"> marzo de 2006. Serie C No. 146,</w:t>
      </w:r>
      <w:r w:rsidRPr="007F0D71">
        <w:rPr>
          <w:rStyle w:val="Strong"/>
          <w:rFonts w:ascii="Verdana" w:hAnsi="Verdana"/>
          <w:b w:val="0"/>
          <w:color w:val="000000"/>
          <w:sz w:val="16"/>
          <w:szCs w:val="16"/>
        </w:rPr>
        <w:t xml:space="preserve"> párr. 119</w:t>
      </w:r>
      <w:r>
        <w:rPr>
          <w:rStyle w:val="Strong"/>
          <w:rFonts w:ascii="Verdana" w:hAnsi="Verdana"/>
          <w:b w:val="0"/>
          <w:color w:val="000000"/>
          <w:sz w:val="16"/>
          <w:szCs w:val="16"/>
        </w:rPr>
        <w:t>;</w:t>
      </w:r>
      <w:r w:rsidRPr="007F0D71">
        <w:rPr>
          <w:rStyle w:val="Strong"/>
          <w:rFonts w:ascii="Verdana" w:hAnsi="Verdana"/>
          <w:b w:val="0"/>
          <w:color w:val="000000"/>
          <w:sz w:val="16"/>
          <w:szCs w:val="16"/>
        </w:rPr>
        <w:t xml:space="preserve"> y </w:t>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w:t>
      </w:r>
      <w:r>
        <w:rPr>
          <w:rStyle w:val="Strong"/>
          <w:rFonts w:ascii="Verdana" w:hAnsi="Verdana"/>
          <w:b w:val="0"/>
          <w:color w:val="000000"/>
          <w:sz w:val="16"/>
          <w:szCs w:val="16"/>
        </w:rPr>
        <w:t xml:space="preserve">, </w:t>
      </w:r>
      <w:r w:rsidRPr="007F0D71">
        <w:rPr>
          <w:rFonts w:ascii="Verdana" w:hAnsi="Verdana"/>
          <w:sz w:val="16"/>
          <w:szCs w:val="16"/>
          <w:lang w:val="es-MX"/>
        </w:rPr>
        <w:t xml:space="preserve">párr. 136 </w:t>
      </w:r>
    </w:p>
  </w:footnote>
  <w:footnote w:id="27">
    <w:p w:rsidR="002432C9" w:rsidRPr="007F0D71" w:rsidRDefault="002432C9" w:rsidP="0034750F">
      <w:pPr>
        <w:pStyle w:val="FootnoteText"/>
        <w:spacing w:after="120"/>
        <w:jc w:val="both"/>
        <w:rPr>
          <w:rFonts w:ascii="Verdana" w:hAnsi="Verdana"/>
          <w:b/>
          <w:sz w:val="16"/>
          <w:szCs w:val="16"/>
          <w:lang w:val="es-ES_tradnl"/>
        </w:rPr>
      </w:pPr>
      <w:r w:rsidRPr="007F0D71">
        <w:rPr>
          <w:rStyle w:val="FootnoteReference"/>
          <w:rFonts w:ascii="Verdana" w:hAnsi="Verdana" w:cs="Arial"/>
          <w:sz w:val="16"/>
          <w:szCs w:val="16"/>
        </w:rPr>
        <w:footnoteRef/>
      </w:r>
      <w:r w:rsidRPr="007F0D71">
        <w:rPr>
          <w:rFonts w:ascii="Verdana" w:hAnsi="Verdana" w:cs="Arial"/>
          <w:sz w:val="16"/>
          <w:szCs w:val="16"/>
        </w:rPr>
        <w:t xml:space="preserve"> </w:t>
      </w:r>
      <w:r w:rsidRPr="007F0D71">
        <w:rPr>
          <w:rFonts w:ascii="Verdana" w:hAnsi="Verdana" w:cs="Arial"/>
          <w:sz w:val="16"/>
          <w:szCs w:val="16"/>
        </w:rPr>
        <w:tab/>
      </w:r>
      <w:r w:rsidRPr="007F0D71">
        <w:rPr>
          <w:rFonts w:ascii="Verdana" w:hAnsi="Verdana"/>
          <w:i/>
          <w:sz w:val="16"/>
          <w:szCs w:val="16"/>
          <w:lang w:val="es-ES_tradnl"/>
        </w:rPr>
        <w:t>Cfr.</w:t>
      </w:r>
      <w:r w:rsidRPr="007F0D71">
        <w:rPr>
          <w:rFonts w:ascii="Verdana" w:hAnsi="Verdana"/>
          <w:b/>
          <w:i/>
          <w:sz w:val="16"/>
          <w:szCs w:val="16"/>
          <w:lang w:val="es-ES_tradnl"/>
        </w:rPr>
        <w:t xml:space="preserve"> </w:t>
      </w:r>
      <w:r w:rsidRPr="007F0D71">
        <w:rPr>
          <w:rStyle w:val="Strong"/>
          <w:rFonts w:ascii="Verdana" w:hAnsi="Verdana"/>
          <w:b w:val="0"/>
          <w:i/>
          <w:color w:val="000000"/>
          <w:sz w:val="16"/>
          <w:szCs w:val="16"/>
        </w:rPr>
        <w:t>Caso de la Comunidad Moiwana Vs. Suriname. Excepciones Preliminares, Fondo, Reparaciones y Costas.</w:t>
      </w:r>
      <w:r w:rsidRPr="007F0D71">
        <w:rPr>
          <w:rStyle w:val="Strong"/>
          <w:rFonts w:ascii="Verdana" w:hAnsi="Verdana"/>
          <w:b w:val="0"/>
          <w:color w:val="000000"/>
          <w:sz w:val="16"/>
          <w:szCs w:val="16"/>
        </w:rPr>
        <w:t xml:space="preserve"> Sentencia 15 de junio de 2005. Serie C No. 124, </w:t>
      </w:r>
      <w:r w:rsidRPr="007F0D71">
        <w:rPr>
          <w:rFonts w:ascii="Verdana" w:hAnsi="Verdana"/>
          <w:sz w:val="16"/>
          <w:szCs w:val="16"/>
          <w:lang w:val="es-ES_tradnl"/>
        </w:rPr>
        <w:t>párr. 209</w:t>
      </w:r>
      <w:r>
        <w:rPr>
          <w:rFonts w:ascii="Verdana" w:hAnsi="Verdana"/>
          <w:sz w:val="16"/>
          <w:szCs w:val="16"/>
          <w:lang w:val="es-ES_tradnl"/>
        </w:rPr>
        <w:t>;</w:t>
      </w:r>
      <w:r w:rsidRPr="007F0D71">
        <w:rPr>
          <w:rFonts w:ascii="Verdana" w:hAnsi="Verdana"/>
          <w:sz w:val="16"/>
          <w:szCs w:val="16"/>
          <w:lang w:val="es-ES_tradnl"/>
        </w:rPr>
        <w:t xml:space="preserve"> y</w:t>
      </w:r>
      <w:r w:rsidRPr="007F0D71">
        <w:rPr>
          <w:rFonts w:ascii="Verdana" w:hAnsi="Verdana"/>
          <w:b/>
          <w:sz w:val="16"/>
          <w:szCs w:val="16"/>
          <w:lang w:val="es-ES_tradnl"/>
        </w:rPr>
        <w:t xml:space="preserve"> </w:t>
      </w:r>
      <w:r w:rsidRPr="007F0D71">
        <w:rPr>
          <w:rStyle w:val="Strong"/>
          <w:rFonts w:ascii="Verdana" w:hAnsi="Verdana"/>
          <w:b w:val="0"/>
          <w:i/>
          <w:color w:val="000000"/>
          <w:sz w:val="16"/>
          <w:szCs w:val="16"/>
        </w:rPr>
        <w:t>Caso</w:t>
      </w:r>
      <w:r w:rsidRPr="007F0D71">
        <w:rPr>
          <w:rStyle w:val="Strong"/>
          <w:rFonts w:ascii="Verdana" w:hAnsi="Verdana"/>
          <w:b w:val="0"/>
          <w:color w:val="000000"/>
          <w:sz w:val="16"/>
          <w:szCs w:val="16"/>
        </w:rPr>
        <w:t xml:space="preserve"> </w:t>
      </w:r>
      <w:r w:rsidRPr="007F0D71">
        <w:rPr>
          <w:rStyle w:val="Strong"/>
          <w:rFonts w:ascii="Verdana" w:hAnsi="Verdana"/>
          <w:b w:val="0"/>
          <w:i/>
          <w:color w:val="000000"/>
          <w:sz w:val="16"/>
          <w:szCs w:val="16"/>
        </w:rPr>
        <w:t>del Pueblo Saramaka. Vs. Surinam. Excepciones Preliminares, Fondo, Reparaciones y Costas.</w:t>
      </w:r>
      <w:r w:rsidRPr="007F0D71">
        <w:rPr>
          <w:rStyle w:val="Strong"/>
          <w:rFonts w:ascii="Verdana" w:hAnsi="Verdana"/>
          <w:b w:val="0"/>
          <w:color w:val="000000"/>
          <w:sz w:val="16"/>
          <w:szCs w:val="16"/>
        </w:rPr>
        <w:t xml:space="preserve"> Sentencia de 28 de noviembre de 2007. Serie C No. 172, párr. </w:t>
      </w:r>
      <w:r w:rsidRPr="007F0D71">
        <w:rPr>
          <w:rFonts w:ascii="Verdana" w:hAnsi="Verdana"/>
          <w:sz w:val="16"/>
          <w:szCs w:val="16"/>
          <w:lang w:val="es-ES_tradnl"/>
        </w:rPr>
        <w:t xml:space="preserve">116 </w:t>
      </w:r>
    </w:p>
  </w:footnote>
  <w:footnote w:id="28">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Fonts w:ascii="Verdana" w:hAnsi="Verdana"/>
          <w:i/>
          <w:sz w:val="16"/>
          <w:szCs w:val="16"/>
          <w:lang w:val="es-ES_tradnl"/>
        </w:rPr>
        <w:t xml:space="preserve">Cfr. </w:t>
      </w:r>
      <w:r w:rsidRPr="007F0D71">
        <w:rPr>
          <w:rStyle w:val="apple-converted-space"/>
          <w:rFonts w:ascii="Verdana" w:hAnsi="Verdana"/>
          <w:bCs/>
          <w:i/>
          <w:color w:val="000000"/>
          <w:sz w:val="16"/>
          <w:szCs w:val="16"/>
        </w:rPr>
        <w:t>Caso</w:t>
      </w:r>
      <w:r w:rsidRPr="007F0D71">
        <w:rPr>
          <w:rStyle w:val="apple-converted-space"/>
          <w:rFonts w:ascii="Verdana" w:hAnsi="Verdana"/>
          <w:b/>
          <w:bCs/>
          <w:i/>
          <w:color w:val="000000"/>
          <w:sz w:val="16"/>
          <w:szCs w:val="16"/>
        </w:rPr>
        <w:t xml:space="preserve"> </w:t>
      </w:r>
      <w:r w:rsidRPr="007F0D71">
        <w:rPr>
          <w:rStyle w:val="Strong"/>
          <w:rFonts w:ascii="Verdana" w:hAnsi="Verdana"/>
          <w:b w:val="0"/>
          <w:i/>
          <w:color w:val="000000"/>
          <w:sz w:val="16"/>
          <w:szCs w:val="16"/>
        </w:rPr>
        <w:t>de la Comunidad Mayagna (Sumo) Awas Tingni Vs. Nicaragua. Fondo, Reparaciones y Costas.</w:t>
      </w:r>
      <w:r w:rsidRPr="007F0D71">
        <w:rPr>
          <w:rStyle w:val="Strong"/>
          <w:rFonts w:ascii="Verdana" w:hAnsi="Verdana"/>
          <w:b w:val="0"/>
          <w:color w:val="000000"/>
          <w:sz w:val="16"/>
          <w:szCs w:val="16"/>
        </w:rPr>
        <w:t xml:space="preserve"> Sentencia de 31 de agosto de 2001. Serie C No. 79, </w:t>
      </w:r>
      <w:r w:rsidRPr="007F0D71">
        <w:rPr>
          <w:rFonts w:ascii="Verdana" w:hAnsi="Verdana"/>
          <w:sz w:val="16"/>
          <w:szCs w:val="16"/>
          <w:lang w:val="es-ES_tradnl"/>
        </w:rPr>
        <w:t>párr. 153;</w:t>
      </w:r>
      <w:r w:rsidRPr="007F0D71">
        <w:rPr>
          <w:rFonts w:ascii="Verdana" w:hAnsi="Verdana"/>
          <w:i/>
          <w:sz w:val="16"/>
          <w:szCs w:val="16"/>
          <w:lang w:val="es-ES_tradnl"/>
        </w:rPr>
        <w:t xml:space="preserve"> </w:t>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w:t>
      </w:r>
      <w:r w:rsidRPr="007F0D71">
        <w:rPr>
          <w:rFonts w:ascii="Verdana" w:hAnsi="Verdana"/>
          <w:sz w:val="16"/>
          <w:szCs w:val="16"/>
          <w:lang w:val="es-ES_tradnl"/>
        </w:rPr>
        <w:t xml:space="preserve">párr. 215, y </w:t>
      </w:r>
      <w:r w:rsidRPr="007F0D71">
        <w:rPr>
          <w:rStyle w:val="Strong"/>
          <w:rFonts w:ascii="Verdana" w:hAnsi="Verdana"/>
          <w:b w:val="0"/>
          <w:i/>
          <w:color w:val="000000"/>
          <w:sz w:val="16"/>
          <w:szCs w:val="16"/>
        </w:rPr>
        <w:t xml:space="preserve">Caso de la Comunidad Moiwana Vs. Suriname. Excepciones Preliminares, Fondo, Reparaciones y Costas. </w:t>
      </w:r>
      <w:r w:rsidRPr="007F0D71">
        <w:rPr>
          <w:rStyle w:val="Strong"/>
          <w:rFonts w:ascii="Verdana" w:hAnsi="Verdana"/>
          <w:b w:val="0"/>
          <w:color w:val="000000"/>
          <w:sz w:val="16"/>
          <w:szCs w:val="16"/>
        </w:rPr>
        <w:t xml:space="preserve">Sentencia 15 de junio de 2005. Serie C No. 124, </w:t>
      </w:r>
      <w:r w:rsidRPr="007F0D71">
        <w:rPr>
          <w:rFonts w:ascii="Verdana" w:hAnsi="Verdana"/>
          <w:sz w:val="16"/>
          <w:szCs w:val="16"/>
          <w:lang w:val="es-ES_tradnl"/>
        </w:rPr>
        <w:t>párr. 209</w:t>
      </w:r>
      <w:r>
        <w:rPr>
          <w:rFonts w:ascii="Verdana" w:hAnsi="Verdana"/>
          <w:sz w:val="16"/>
          <w:szCs w:val="16"/>
          <w:lang w:val="es-ES_tradnl"/>
        </w:rPr>
        <w:t>;</w:t>
      </w:r>
      <w:r w:rsidRPr="007F0D71">
        <w:rPr>
          <w:rFonts w:ascii="Verdana" w:hAnsi="Verdana"/>
          <w:sz w:val="16"/>
          <w:szCs w:val="16"/>
          <w:lang w:val="es-ES_tradnl"/>
        </w:rPr>
        <w:t xml:space="preserve"> y </w:t>
      </w:r>
      <w:r w:rsidRPr="007F0D71">
        <w:rPr>
          <w:rStyle w:val="Strong"/>
          <w:rFonts w:ascii="Verdana" w:hAnsi="Verdana"/>
          <w:b w:val="0"/>
          <w:i/>
          <w:color w:val="000000"/>
          <w:sz w:val="16"/>
          <w:szCs w:val="16"/>
        </w:rPr>
        <w:t>Caso</w:t>
      </w:r>
      <w:r w:rsidRPr="007F0D71">
        <w:rPr>
          <w:rStyle w:val="Strong"/>
          <w:rFonts w:ascii="Verdana" w:hAnsi="Verdana"/>
          <w:b w:val="0"/>
          <w:color w:val="000000"/>
          <w:sz w:val="16"/>
          <w:szCs w:val="16"/>
        </w:rPr>
        <w:t xml:space="preserve"> </w:t>
      </w:r>
      <w:r w:rsidRPr="007F0D71">
        <w:rPr>
          <w:rStyle w:val="Strong"/>
          <w:rFonts w:ascii="Verdana" w:hAnsi="Verdana"/>
          <w:b w:val="0"/>
          <w:i/>
          <w:color w:val="000000"/>
          <w:sz w:val="16"/>
          <w:szCs w:val="16"/>
        </w:rPr>
        <w:t>del Pueblo Saramaka. Vs. Surinam. Excepciones Preliminares, Fondo, Reparaciones y Costas.</w:t>
      </w:r>
      <w:r w:rsidRPr="007F0D71">
        <w:rPr>
          <w:rStyle w:val="Strong"/>
          <w:rFonts w:ascii="Verdana" w:hAnsi="Verdana"/>
          <w:b w:val="0"/>
          <w:color w:val="000000"/>
          <w:sz w:val="16"/>
          <w:szCs w:val="16"/>
        </w:rPr>
        <w:t xml:space="preserve"> Sentencia de 28 de noviembre de 2007. Serie C No. 172, párr. </w:t>
      </w:r>
      <w:r w:rsidRPr="007F0D71">
        <w:rPr>
          <w:rFonts w:ascii="Verdana" w:hAnsi="Verdana"/>
          <w:sz w:val="16"/>
          <w:szCs w:val="16"/>
          <w:lang w:val="es-ES_tradnl"/>
        </w:rPr>
        <w:t>116</w:t>
      </w:r>
      <w:r>
        <w:rPr>
          <w:rFonts w:ascii="Verdana" w:hAnsi="Verdana"/>
          <w:sz w:val="16"/>
          <w:szCs w:val="16"/>
          <w:lang w:val="es-ES_tradnl"/>
        </w:rPr>
        <w:t>.</w:t>
      </w:r>
      <w:r w:rsidRPr="007F0D71">
        <w:rPr>
          <w:rFonts w:ascii="Verdana" w:hAnsi="Verdana"/>
          <w:sz w:val="16"/>
          <w:szCs w:val="16"/>
          <w:lang w:val="es-ES_tradnl"/>
        </w:rPr>
        <w:t xml:space="preserve"> </w:t>
      </w:r>
    </w:p>
  </w:footnote>
  <w:footnote w:id="29">
    <w:p w:rsidR="002432C9" w:rsidRPr="007F0D71" w:rsidRDefault="002432C9" w:rsidP="0034750F">
      <w:pPr>
        <w:spacing w:after="120"/>
        <w:jc w:val="both"/>
        <w:rPr>
          <w:rFonts w:ascii="Verdana" w:hAnsi="Verdana"/>
          <w:bCs/>
          <w:color w:val="000000"/>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lang w:val="es-ES_tradnl"/>
        </w:rPr>
        <w:t xml:space="preserve"> </w:t>
      </w:r>
      <w:r w:rsidRPr="007F0D71">
        <w:rPr>
          <w:rFonts w:ascii="Verdana" w:hAnsi="Verdana"/>
          <w:sz w:val="16"/>
          <w:szCs w:val="16"/>
          <w:lang w:val="es-ES_tradnl"/>
        </w:rPr>
        <w:tab/>
      </w:r>
      <w:r w:rsidRPr="007F0D71">
        <w:rPr>
          <w:rStyle w:val="Strong"/>
          <w:rFonts w:ascii="Verdana" w:hAnsi="Verdana"/>
          <w:b w:val="0"/>
          <w:i/>
          <w:color w:val="000000"/>
          <w:sz w:val="16"/>
          <w:szCs w:val="16"/>
        </w:rPr>
        <w:t xml:space="preserve">Caso Comunidad Indígena Sawhoyamaxa Vs. Paraguay. Fondo, Reparaciones y Costas. </w:t>
      </w:r>
      <w:r w:rsidRPr="007F0D71">
        <w:rPr>
          <w:rStyle w:val="Strong"/>
          <w:rFonts w:ascii="Verdana" w:hAnsi="Verdana"/>
          <w:b w:val="0"/>
          <w:color w:val="000000"/>
          <w:sz w:val="16"/>
          <w:szCs w:val="16"/>
        </w:rPr>
        <w:t>Sentencia de 29 de marzo de 2006. Serie C No. 146,</w:t>
      </w:r>
      <w:r w:rsidRPr="007F0D71">
        <w:rPr>
          <w:rStyle w:val="Strong"/>
          <w:rFonts w:ascii="Verdana" w:hAnsi="Verdana"/>
          <w:b w:val="0"/>
          <w:i/>
          <w:color w:val="000000"/>
          <w:sz w:val="16"/>
          <w:szCs w:val="16"/>
        </w:rPr>
        <w:t xml:space="preserve"> </w:t>
      </w:r>
      <w:r w:rsidRPr="007F0D71">
        <w:rPr>
          <w:rStyle w:val="Strong"/>
          <w:rFonts w:ascii="Verdana" w:hAnsi="Verdana"/>
          <w:b w:val="0"/>
          <w:color w:val="000000"/>
          <w:sz w:val="16"/>
          <w:szCs w:val="16"/>
        </w:rPr>
        <w:t xml:space="preserve">párr. 118; Caso </w:t>
      </w:r>
      <w:r w:rsidRPr="007F0D71">
        <w:rPr>
          <w:rStyle w:val="Strong"/>
          <w:rFonts w:ascii="Verdana" w:hAnsi="Verdana"/>
          <w:b w:val="0"/>
          <w:i/>
          <w:color w:val="000000"/>
          <w:sz w:val="16"/>
          <w:szCs w:val="16"/>
        </w:rPr>
        <w:t>Masacres de Río Negro Vs. Guatemala. Excepción Preliminar, Fondo, Reparaciones y Costas.</w:t>
      </w:r>
      <w:r w:rsidRPr="007F0D71">
        <w:rPr>
          <w:rStyle w:val="Strong"/>
          <w:rFonts w:ascii="Verdana" w:hAnsi="Verdana"/>
          <w:b w:val="0"/>
          <w:color w:val="000000"/>
          <w:sz w:val="16"/>
          <w:szCs w:val="16"/>
        </w:rPr>
        <w:t xml:space="preserve"> Sentencia de 4 de septiembre de 2012 Serie C No. 250, párr. 266</w:t>
      </w:r>
      <w:r>
        <w:rPr>
          <w:rStyle w:val="Strong"/>
          <w:rFonts w:ascii="Verdana" w:hAnsi="Verdana"/>
          <w:b w:val="0"/>
          <w:color w:val="000000"/>
          <w:sz w:val="16"/>
          <w:szCs w:val="16"/>
        </w:rPr>
        <w:t>;</w:t>
      </w:r>
      <w:r w:rsidRPr="007F0D71">
        <w:rPr>
          <w:rStyle w:val="Strong"/>
          <w:rFonts w:ascii="Verdana" w:hAnsi="Verdana"/>
          <w:b w:val="0"/>
          <w:color w:val="000000"/>
          <w:sz w:val="16"/>
          <w:szCs w:val="16"/>
        </w:rPr>
        <w:t xml:space="preserve"> y </w:t>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w:t>
      </w:r>
      <w:r w:rsidRPr="007F0D71">
        <w:rPr>
          <w:rFonts w:ascii="Verdana" w:hAnsi="Verdana"/>
          <w:sz w:val="16"/>
          <w:szCs w:val="16"/>
        </w:rPr>
        <w:t xml:space="preserve">párr. 135. </w:t>
      </w:r>
    </w:p>
  </w:footnote>
  <w:footnote w:id="30">
    <w:p w:rsidR="002432C9" w:rsidRPr="007F0D71" w:rsidRDefault="002432C9" w:rsidP="0034750F">
      <w:pPr>
        <w:spacing w:after="120"/>
        <w:jc w:val="both"/>
        <w:rPr>
          <w:rFonts w:ascii="Verdana" w:hAnsi="Verdana"/>
          <w:bCs/>
          <w:color w:val="000000"/>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i/>
          <w:sz w:val="16"/>
          <w:szCs w:val="16"/>
          <w:lang w:val="es-ES_tradnl"/>
        </w:rPr>
        <w:t xml:space="preserve"> </w:t>
      </w:r>
      <w:r w:rsidRPr="007F0D71">
        <w:rPr>
          <w:rFonts w:ascii="Verdana" w:hAnsi="Verdana"/>
          <w:i/>
          <w:sz w:val="16"/>
          <w:szCs w:val="16"/>
          <w:lang w:val="es-ES_tradnl"/>
        </w:rPr>
        <w:tab/>
      </w:r>
      <w:r w:rsidRPr="007F0D71">
        <w:rPr>
          <w:rStyle w:val="Strong"/>
          <w:rFonts w:ascii="Verdana" w:hAnsi="Verdana"/>
          <w:b w:val="0"/>
          <w:i/>
          <w:color w:val="000000"/>
          <w:sz w:val="16"/>
          <w:szCs w:val="16"/>
        </w:rPr>
        <w:t>Caso</w:t>
      </w:r>
      <w:r w:rsidRPr="007F0D71">
        <w:rPr>
          <w:rStyle w:val="Strong"/>
          <w:rFonts w:ascii="Verdana" w:hAnsi="Verdana"/>
          <w:b w:val="0"/>
          <w:color w:val="000000"/>
          <w:sz w:val="16"/>
          <w:szCs w:val="16"/>
        </w:rPr>
        <w:t xml:space="preserve"> </w:t>
      </w:r>
      <w:r w:rsidRPr="007F0D71">
        <w:rPr>
          <w:rStyle w:val="Strong"/>
          <w:rFonts w:ascii="Verdana" w:hAnsi="Verdana"/>
          <w:b w:val="0"/>
          <w:i/>
          <w:color w:val="000000"/>
          <w:sz w:val="16"/>
          <w:szCs w:val="16"/>
        </w:rPr>
        <w:t>del Pueblo Saramaka. Vs. Surinam. Excepciones Preliminares, Fondo, Reparaciones y Costas.</w:t>
      </w:r>
      <w:r w:rsidRPr="007F0D71">
        <w:rPr>
          <w:rStyle w:val="Strong"/>
          <w:rFonts w:ascii="Verdana" w:hAnsi="Verdana"/>
          <w:b w:val="0"/>
          <w:color w:val="000000"/>
          <w:sz w:val="16"/>
          <w:szCs w:val="16"/>
        </w:rPr>
        <w:t xml:space="preserve"> Sentencia de 28 de noviembre de 2007. Serie C No. 172, párr. 88; </w:t>
      </w:r>
      <w:r w:rsidRPr="007F0D71">
        <w:rPr>
          <w:rStyle w:val="Strong"/>
          <w:rFonts w:ascii="Verdana" w:hAnsi="Verdana"/>
          <w:b w:val="0"/>
          <w:i/>
          <w:color w:val="000000"/>
          <w:sz w:val="16"/>
          <w:szCs w:val="16"/>
        </w:rPr>
        <w:t>Caso Comunidad Indígena Sawhoyamaxa Vs. Paraguay. Fondo, Reparaciones y Costas.</w:t>
      </w:r>
      <w:r w:rsidRPr="007F0D71">
        <w:rPr>
          <w:rStyle w:val="Strong"/>
          <w:rFonts w:ascii="Verdana" w:hAnsi="Verdana"/>
          <w:b w:val="0"/>
          <w:color w:val="000000"/>
          <w:sz w:val="16"/>
          <w:szCs w:val="16"/>
        </w:rPr>
        <w:t xml:space="preserve"> Sentencia de 29 de marzo de 2006. Serie C No. 146, párr. 118</w:t>
      </w:r>
      <w:r>
        <w:rPr>
          <w:rStyle w:val="Strong"/>
          <w:rFonts w:ascii="Verdana" w:hAnsi="Verdana"/>
          <w:b w:val="0"/>
          <w:color w:val="000000"/>
          <w:sz w:val="16"/>
          <w:szCs w:val="16"/>
        </w:rPr>
        <w:t>;</w:t>
      </w:r>
      <w:r w:rsidRPr="007F0D71">
        <w:rPr>
          <w:rStyle w:val="Strong"/>
          <w:rFonts w:ascii="Verdana" w:hAnsi="Verdana"/>
          <w:b w:val="0"/>
          <w:color w:val="000000"/>
          <w:sz w:val="16"/>
          <w:szCs w:val="16"/>
        </w:rPr>
        <w:t xml:space="preserve"> y </w:t>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w:t>
      </w:r>
      <w:r w:rsidRPr="007F0D71">
        <w:rPr>
          <w:rFonts w:ascii="Verdana" w:hAnsi="Verdana"/>
          <w:sz w:val="16"/>
          <w:szCs w:val="16"/>
          <w:lang w:val="es-MX"/>
        </w:rPr>
        <w:t xml:space="preserve">párr. 137. </w:t>
      </w:r>
    </w:p>
  </w:footnote>
  <w:footnote w:id="31">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lang w:val="es-ES_tradnl"/>
        </w:rPr>
        <w:tab/>
      </w:r>
      <w:r w:rsidRPr="007F0D71">
        <w:rPr>
          <w:rFonts w:ascii="Verdana" w:hAnsi="Verdana"/>
          <w:i/>
          <w:sz w:val="16"/>
          <w:szCs w:val="16"/>
          <w:lang w:val="es-ES_tradnl"/>
        </w:rPr>
        <w:t xml:space="preserve"> </w:t>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párr. </w:t>
      </w:r>
      <w:r w:rsidRPr="007F0D71">
        <w:rPr>
          <w:rFonts w:ascii="Verdana" w:hAnsi="Verdana"/>
          <w:sz w:val="16"/>
          <w:szCs w:val="16"/>
          <w:lang w:val="es-MX"/>
        </w:rPr>
        <w:t>147</w:t>
      </w:r>
      <w:r>
        <w:rPr>
          <w:rFonts w:ascii="Verdana" w:hAnsi="Verdana"/>
          <w:sz w:val="16"/>
          <w:szCs w:val="16"/>
          <w:lang w:val="es-MX"/>
        </w:rPr>
        <w:t>.</w:t>
      </w:r>
    </w:p>
  </w:footnote>
  <w:footnote w:id="32">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apple-converted-space"/>
          <w:rFonts w:ascii="Verdana" w:hAnsi="Verdana"/>
          <w:bCs/>
          <w:i/>
          <w:color w:val="000000"/>
          <w:sz w:val="16"/>
          <w:szCs w:val="16"/>
        </w:rPr>
        <w:t>Caso</w:t>
      </w:r>
      <w:r w:rsidRPr="007F0D71">
        <w:rPr>
          <w:rStyle w:val="apple-converted-space"/>
          <w:rFonts w:ascii="Verdana" w:hAnsi="Verdana"/>
          <w:b/>
          <w:bCs/>
          <w:i/>
          <w:color w:val="000000"/>
          <w:sz w:val="16"/>
          <w:szCs w:val="16"/>
        </w:rPr>
        <w:t xml:space="preserve"> </w:t>
      </w:r>
      <w:r w:rsidRPr="007F0D71">
        <w:rPr>
          <w:rStyle w:val="Strong"/>
          <w:rFonts w:ascii="Verdana" w:hAnsi="Verdana"/>
          <w:b w:val="0"/>
          <w:i/>
          <w:color w:val="000000"/>
          <w:sz w:val="16"/>
          <w:szCs w:val="16"/>
        </w:rPr>
        <w:t>de la Comunidad Mayagna (Sumo) Awas Tingni Vs. Nicaragua. Fondo, Reparaciones y Costas.</w:t>
      </w:r>
      <w:r w:rsidRPr="007F0D71">
        <w:rPr>
          <w:rStyle w:val="Strong"/>
          <w:rFonts w:ascii="Verdana" w:hAnsi="Verdana"/>
          <w:b w:val="0"/>
          <w:color w:val="000000"/>
          <w:sz w:val="16"/>
          <w:szCs w:val="16"/>
        </w:rPr>
        <w:t xml:space="preserve"> Sentencia de 31 de agosto de 2001. Serie C No. 79, </w:t>
      </w:r>
      <w:r w:rsidRPr="007F0D71">
        <w:rPr>
          <w:rFonts w:ascii="Verdana" w:hAnsi="Verdana"/>
          <w:sz w:val="16"/>
          <w:szCs w:val="16"/>
          <w:lang w:val="es-MX"/>
        </w:rPr>
        <w:t xml:space="preserve"> párr. 149</w:t>
      </w:r>
    </w:p>
  </w:footnote>
  <w:footnote w:id="33">
    <w:p w:rsidR="002432C9" w:rsidRPr="007F0D71" w:rsidRDefault="002432C9" w:rsidP="0034750F">
      <w:pPr>
        <w:pStyle w:val="Default"/>
        <w:spacing w:after="120"/>
        <w:jc w:val="both"/>
        <w:rPr>
          <w:rFonts w:eastAsiaTheme="minorHAnsi"/>
          <w:sz w:val="16"/>
          <w:szCs w:val="16"/>
          <w:lang w:val="es-MX"/>
        </w:rPr>
      </w:pPr>
      <w:r w:rsidRPr="007F0D71">
        <w:rPr>
          <w:rStyle w:val="FootnoteReference"/>
          <w:sz w:val="16"/>
          <w:szCs w:val="16"/>
        </w:rPr>
        <w:footnoteRef/>
      </w:r>
      <w:r w:rsidRPr="0039359B">
        <w:rPr>
          <w:sz w:val="16"/>
          <w:szCs w:val="16"/>
          <w:lang w:val="es-CR"/>
        </w:rPr>
        <w:t xml:space="preserve"> </w:t>
      </w:r>
      <w:r w:rsidRPr="007F0D71">
        <w:rPr>
          <w:sz w:val="16"/>
          <w:szCs w:val="16"/>
          <w:lang w:val="es-ES_tradnl"/>
        </w:rPr>
        <w:tab/>
      </w:r>
      <w:r w:rsidRPr="0039359B">
        <w:rPr>
          <w:rStyle w:val="Strong"/>
          <w:b w:val="0"/>
          <w:i/>
          <w:sz w:val="16"/>
          <w:szCs w:val="16"/>
          <w:lang w:val="es-CR"/>
        </w:rPr>
        <w:t xml:space="preserve">Caso Pueblo Indígena Kichwa de Sarayaku Vs. </w:t>
      </w:r>
      <w:r w:rsidRPr="00F06F8B">
        <w:rPr>
          <w:rStyle w:val="Strong"/>
          <w:b w:val="0"/>
          <w:i/>
          <w:sz w:val="16"/>
          <w:szCs w:val="16"/>
          <w:lang w:val="es-CR"/>
        </w:rPr>
        <w:t xml:space="preserve">Ecuador. </w:t>
      </w:r>
      <w:r w:rsidRPr="003740C6">
        <w:rPr>
          <w:rStyle w:val="Strong"/>
          <w:b w:val="0"/>
          <w:i/>
          <w:sz w:val="16"/>
          <w:szCs w:val="16"/>
          <w:lang w:val="es-CR"/>
        </w:rPr>
        <w:t xml:space="preserve">Fondo y Reparaciones. </w:t>
      </w:r>
      <w:r w:rsidRPr="003740C6">
        <w:rPr>
          <w:rStyle w:val="Strong"/>
          <w:b w:val="0"/>
          <w:sz w:val="16"/>
          <w:szCs w:val="16"/>
          <w:lang w:val="es-CR"/>
        </w:rPr>
        <w:t xml:space="preserve">Sentencia de 27 de junio de 2012. Serie C No. 245, párr. 156; </w:t>
      </w:r>
      <w:r w:rsidRPr="003740C6">
        <w:rPr>
          <w:rStyle w:val="Strong"/>
          <w:b w:val="0"/>
          <w:i/>
          <w:sz w:val="16"/>
          <w:szCs w:val="16"/>
          <w:lang w:val="es-CR"/>
        </w:rPr>
        <w:t>Caso</w:t>
      </w:r>
      <w:r w:rsidRPr="003740C6">
        <w:rPr>
          <w:rStyle w:val="Strong"/>
          <w:b w:val="0"/>
          <w:sz w:val="16"/>
          <w:szCs w:val="16"/>
          <w:lang w:val="es-CR"/>
        </w:rPr>
        <w:t xml:space="preserve"> </w:t>
      </w:r>
      <w:r w:rsidRPr="003740C6">
        <w:rPr>
          <w:rStyle w:val="Strong"/>
          <w:b w:val="0"/>
          <w:i/>
          <w:sz w:val="16"/>
          <w:szCs w:val="16"/>
          <w:lang w:val="es-CR"/>
        </w:rPr>
        <w:t>del Pueblo Saramaka. Vs. Surinam. Excepciones Preliminares, Fondo, Reparaciones y Costas.</w:t>
      </w:r>
      <w:r w:rsidRPr="003740C6">
        <w:rPr>
          <w:rStyle w:val="Strong"/>
          <w:b w:val="0"/>
          <w:sz w:val="16"/>
          <w:szCs w:val="16"/>
          <w:lang w:val="es-CR"/>
        </w:rPr>
        <w:t xml:space="preserve"> Sentencia de 28 de noviembre de 2007. Serie C No. 172, párr. 128 y </w:t>
      </w:r>
      <w:r w:rsidRPr="003740C6">
        <w:rPr>
          <w:rStyle w:val="Strong"/>
          <w:b w:val="0"/>
          <w:i/>
          <w:sz w:val="16"/>
          <w:szCs w:val="16"/>
          <w:lang w:val="es-CR"/>
        </w:rPr>
        <w:t xml:space="preserve">Caso Comunidad Indígena Yakye Axa Vs. </w:t>
      </w:r>
      <w:r w:rsidRPr="00F06F8B">
        <w:rPr>
          <w:rStyle w:val="Strong"/>
          <w:b w:val="0"/>
          <w:i/>
          <w:sz w:val="16"/>
          <w:szCs w:val="16"/>
          <w:lang w:val="es-CR"/>
        </w:rPr>
        <w:t xml:space="preserve">Paraguay. </w:t>
      </w:r>
      <w:r w:rsidRPr="003740C6">
        <w:rPr>
          <w:rStyle w:val="Strong"/>
          <w:b w:val="0"/>
          <w:i/>
          <w:sz w:val="16"/>
          <w:szCs w:val="16"/>
          <w:lang w:val="es-CR"/>
        </w:rPr>
        <w:t>Fondo Reparaciones y Costas.</w:t>
      </w:r>
      <w:r w:rsidRPr="003740C6">
        <w:rPr>
          <w:rStyle w:val="Strong"/>
          <w:b w:val="0"/>
          <w:sz w:val="16"/>
          <w:szCs w:val="16"/>
          <w:lang w:val="es-CR"/>
        </w:rPr>
        <w:t xml:space="preserve"> Sentencia 17 de junio de 2005. Serie C No. 125, párr. 144. Sobre el juicio de proporcionalidad puede verse en el mismo sentido: </w:t>
      </w:r>
      <w:r w:rsidRPr="003740C6">
        <w:rPr>
          <w:sz w:val="16"/>
          <w:szCs w:val="16"/>
          <w:lang w:val="es-CR"/>
        </w:rPr>
        <w:t>C</w:t>
      </w:r>
      <w:r w:rsidRPr="003740C6">
        <w:rPr>
          <w:rStyle w:val="Strong"/>
          <w:b w:val="0"/>
          <w:i/>
          <w:sz w:val="16"/>
          <w:szCs w:val="16"/>
          <w:lang w:val="es-CR"/>
        </w:rPr>
        <w:t xml:space="preserve">aso Mémoli Vs. </w:t>
      </w:r>
      <w:r w:rsidRPr="00F06F8B">
        <w:rPr>
          <w:rStyle w:val="Strong"/>
          <w:b w:val="0"/>
          <w:i/>
          <w:sz w:val="16"/>
          <w:szCs w:val="16"/>
          <w:lang w:val="es-CR"/>
        </w:rPr>
        <w:t xml:space="preserve">Argentina. </w:t>
      </w:r>
      <w:r w:rsidRPr="003740C6">
        <w:rPr>
          <w:rStyle w:val="Strong"/>
          <w:b w:val="0"/>
          <w:i/>
          <w:sz w:val="16"/>
          <w:szCs w:val="16"/>
          <w:lang w:val="es-CR"/>
        </w:rPr>
        <w:t>Excepciones Preliminares, Fondo, Reparaciones y Costas</w:t>
      </w:r>
      <w:r w:rsidRPr="003740C6">
        <w:rPr>
          <w:rStyle w:val="Strong"/>
          <w:b w:val="0"/>
          <w:sz w:val="16"/>
          <w:szCs w:val="16"/>
          <w:lang w:val="es-CR"/>
        </w:rPr>
        <w:t xml:space="preserve">. Sentencia de 22 de agosto de 2013. </w:t>
      </w:r>
      <w:r w:rsidRPr="0039359B">
        <w:rPr>
          <w:rStyle w:val="Strong"/>
          <w:b w:val="0"/>
          <w:sz w:val="16"/>
          <w:szCs w:val="16"/>
          <w:lang w:val="es-CR"/>
        </w:rPr>
        <w:t xml:space="preserve">Serie C No. 265, párr. 170, párr. </w:t>
      </w:r>
      <w:r w:rsidRPr="007F0D71">
        <w:rPr>
          <w:rStyle w:val="Strong"/>
          <w:b w:val="0"/>
          <w:sz w:val="16"/>
          <w:szCs w:val="16"/>
          <w:lang w:val="es-MX"/>
        </w:rPr>
        <w:t>127</w:t>
      </w:r>
      <w:r>
        <w:rPr>
          <w:rStyle w:val="Strong"/>
          <w:b w:val="0"/>
          <w:sz w:val="16"/>
          <w:szCs w:val="16"/>
          <w:lang w:val="es-MX"/>
        </w:rPr>
        <w:t>;</w:t>
      </w:r>
      <w:r w:rsidRPr="007F0D71">
        <w:rPr>
          <w:rStyle w:val="Strong"/>
          <w:b w:val="0"/>
          <w:sz w:val="16"/>
          <w:szCs w:val="16"/>
          <w:lang w:val="es-MX"/>
        </w:rPr>
        <w:t xml:space="preserve"> y </w:t>
      </w:r>
      <w:r w:rsidRPr="007F0D71">
        <w:rPr>
          <w:rFonts w:eastAsiaTheme="minorHAnsi"/>
          <w:i/>
          <w:iCs/>
          <w:sz w:val="16"/>
          <w:szCs w:val="16"/>
          <w:lang w:val="es-MX"/>
        </w:rPr>
        <w:t xml:space="preserve">Caso Kimel Vs. Argentina. Fondo, Reparaciones y Costas. </w:t>
      </w:r>
      <w:r w:rsidRPr="007F0D71">
        <w:rPr>
          <w:rFonts w:eastAsiaTheme="minorHAnsi"/>
          <w:sz w:val="16"/>
          <w:szCs w:val="16"/>
          <w:lang w:val="es-MX"/>
        </w:rPr>
        <w:t xml:space="preserve">Sentencia de 2 de mayo de 2008. Serie C No. 177, párr. 51. </w:t>
      </w:r>
    </w:p>
  </w:footnote>
  <w:footnote w:id="34">
    <w:p w:rsidR="002432C9" w:rsidRPr="007F0D71" w:rsidRDefault="002432C9" w:rsidP="0034750F">
      <w:pPr>
        <w:pStyle w:val="FootnoteText"/>
        <w:spacing w:after="120"/>
        <w:jc w:val="both"/>
        <w:rPr>
          <w:rFonts w:ascii="Verdana" w:hAnsi="Verdana"/>
          <w:i/>
          <w:sz w:val="16"/>
          <w:szCs w:val="16"/>
          <w:lang w:val="es-ES_tradnl"/>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lang w:val="es-ES_tradnl"/>
        </w:rPr>
        <w:tab/>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párr.</w:t>
      </w:r>
      <w:r w:rsidRPr="007F0D71">
        <w:rPr>
          <w:rFonts w:ascii="Verdana" w:hAnsi="Verdana"/>
          <w:b/>
          <w:sz w:val="16"/>
          <w:szCs w:val="16"/>
        </w:rPr>
        <w:t xml:space="preserve"> </w:t>
      </w:r>
      <w:r w:rsidRPr="007F0D71">
        <w:rPr>
          <w:rFonts w:ascii="Verdana" w:hAnsi="Verdana"/>
          <w:sz w:val="16"/>
          <w:szCs w:val="16"/>
        </w:rPr>
        <w:t xml:space="preserve">145 </w:t>
      </w:r>
      <w:r w:rsidRPr="007F0D71">
        <w:rPr>
          <w:rFonts w:ascii="Verdana" w:hAnsi="Verdana"/>
          <w:i/>
          <w:sz w:val="16"/>
          <w:szCs w:val="16"/>
          <w:lang w:val="es-MX"/>
        </w:rPr>
        <w:t>Cfr.</w:t>
      </w:r>
      <w:r w:rsidRPr="007F0D71">
        <w:rPr>
          <w:rFonts w:ascii="Verdana" w:hAnsi="Verdana"/>
          <w:sz w:val="16"/>
          <w:szCs w:val="16"/>
          <w:lang w:val="es-MX"/>
        </w:rPr>
        <w:t xml:space="preserve"> (</w:t>
      </w:r>
      <w:r w:rsidRPr="007F0D71">
        <w:rPr>
          <w:rFonts w:ascii="Verdana" w:hAnsi="Verdana"/>
          <w:i/>
          <w:sz w:val="16"/>
          <w:szCs w:val="16"/>
          <w:lang w:val="es-MX"/>
        </w:rPr>
        <w:t>mutatis mutandi</w:t>
      </w:r>
      <w:r w:rsidRPr="007F0D71">
        <w:rPr>
          <w:rFonts w:ascii="Verdana" w:hAnsi="Verdana"/>
          <w:sz w:val="16"/>
          <w:szCs w:val="16"/>
          <w:lang w:val="es-MX"/>
        </w:rPr>
        <w:t>)</w:t>
      </w:r>
      <w:r w:rsidRPr="007F0D71">
        <w:rPr>
          <w:rFonts w:ascii="Verdana" w:hAnsi="Verdana"/>
          <w:b/>
          <w:sz w:val="16"/>
          <w:szCs w:val="16"/>
          <w:lang w:val="es-MX"/>
        </w:rPr>
        <w:t xml:space="preserve"> </w:t>
      </w:r>
      <w:r w:rsidRPr="00154655">
        <w:rPr>
          <w:rStyle w:val="Strong"/>
          <w:rFonts w:ascii="Verdana" w:hAnsi="Verdana"/>
          <w:b w:val="0"/>
          <w:i/>
          <w:color w:val="000000"/>
          <w:sz w:val="16"/>
          <w:szCs w:val="16"/>
        </w:rPr>
        <w:t>Caso Ricardo Canese Vs. Paraguay. Fondo, Reparaciones y Costas.</w:t>
      </w:r>
      <w:r w:rsidRPr="007F0D71">
        <w:rPr>
          <w:rStyle w:val="Strong"/>
          <w:rFonts w:ascii="Verdana" w:hAnsi="Verdana"/>
          <w:b w:val="0"/>
          <w:color w:val="000000"/>
          <w:sz w:val="16"/>
          <w:szCs w:val="16"/>
        </w:rPr>
        <w:t xml:space="preserve"> Sentencia de 31 de agosto de 2004. Serie C No. 111, </w:t>
      </w:r>
      <w:r w:rsidRPr="007F0D71">
        <w:rPr>
          <w:rFonts w:ascii="Verdana" w:hAnsi="Verdana"/>
          <w:sz w:val="16"/>
          <w:szCs w:val="16"/>
          <w:lang w:val="es-MX"/>
        </w:rPr>
        <w:t>párr. 96</w:t>
      </w:r>
      <w:r>
        <w:rPr>
          <w:rFonts w:ascii="Verdana" w:hAnsi="Verdana"/>
          <w:sz w:val="16"/>
          <w:szCs w:val="16"/>
          <w:lang w:val="es-MX"/>
        </w:rPr>
        <w:t>;</w:t>
      </w:r>
      <w:r w:rsidRPr="007F0D71">
        <w:rPr>
          <w:rFonts w:ascii="Verdana" w:hAnsi="Verdana"/>
          <w:sz w:val="16"/>
          <w:szCs w:val="16"/>
          <w:lang w:val="es-MX"/>
        </w:rPr>
        <w:t xml:space="preserve"> y</w:t>
      </w:r>
      <w:r w:rsidRPr="007F0D71">
        <w:rPr>
          <w:rFonts w:ascii="Verdana" w:hAnsi="Verdana"/>
          <w:b/>
          <w:sz w:val="16"/>
          <w:szCs w:val="16"/>
          <w:lang w:val="es-MX"/>
        </w:rPr>
        <w:t xml:space="preserve"> </w:t>
      </w:r>
      <w:r w:rsidRPr="00154655">
        <w:rPr>
          <w:rStyle w:val="Strong"/>
          <w:rFonts w:ascii="Verdana" w:hAnsi="Verdana"/>
          <w:b w:val="0"/>
          <w:i/>
          <w:color w:val="000000"/>
          <w:sz w:val="16"/>
          <w:szCs w:val="16"/>
        </w:rPr>
        <w:t>Caso Herrera Ulloa Vs. Costa Rica. Excepciones Preliminares, Fondo, Reparaciones y Costas.</w:t>
      </w:r>
      <w:r w:rsidRPr="007F0D71">
        <w:rPr>
          <w:rStyle w:val="Strong"/>
          <w:rFonts w:ascii="Verdana" w:hAnsi="Verdana"/>
          <w:b w:val="0"/>
          <w:color w:val="000000"/>
          <w:sz w:val="16"/>
          <w:szCs w:val="16"/>
        </w:rPr>
        <w:t xml:space="preserve"> Sentencia de 2 de julio de 2004. Serie C No. 107</w:t>
      </w:r>
      <w:r w:rsidRPr="007F0D71">
        <w:rPr>
          <w:rFonts w:ascii="Verdana" w:hAnsi="Verdana"/>
          <w:sz w:val="16"/>
          <w:szCs w:val="16"/>
          <w:lang w:val="es-MX"/>
        </w:rPr>
        <w:t xml:space="preserve">, párr. 127. </w:t>
      </w:r>
    </w:p>
  </w:footnote>
  <w:footnote w:id="35">
    <w:p w:rsidR="002432C9" w:rsidRPr="00154655" w:rsidRDefault="002432C9" w:rsidP="0034750F">
      <w:pPr>
        <w:autoSpaceDE w:val="0"/>
        <w:autoSpaceDN w:val="0"/>
        <w:adjustRightInd w:val="0"/>
        <w:spacing w:after="120"/>
        <w:jc w:val="both"/>
        <w:rPr>
          <w:rFonts w:ascii="Verdana" w:eastAsiaTheme="minorHAnsi" w:hAnsi="Verdana" w:cs="Verdana"/>
          <w:sz w:val="16"/>
          <w:szCs w:val="16"/>
          <w:lang w:val="es-MX" w:eastAsia="en-US"/>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t>C</w:t>
      </w:r>
      <w:r w:rsidRPr="007F0D71">
        <w:rPr>
          <w:rStyle w:val="Strong"/>
          <w:rFonts w:ascii="Verdana" w:hAnsi="Verdana"/>
          <w:b w:val="0"/>
          <w:i/>
          <w:color w:val="000000"/>
          <w:sz w:val="16"/>
          <w:szCs w:val="16"/>
        </w:rPr>
        <w:t xml:space="preserve">aso Mémoli Vs. Argentina. Excepciones Preliminares, Fondo, Reparaciones y Costas. Sentencia de 22 de agosto de 2013. Serie C No. 265, párr. 170; Caso Ivcher Bronstein Vs. Perú. Fondo, Reparaciones y Costas. </w:t>
      </w:r>
      <w:r w:rsidRPr="007F0D71">
        <w:rPr>
          <w:rStyle w:val="Strong"/>
          <w:rFonts w:ascii="Verdana" w:hAnsi="Verdana"/>
          <w:b w:val="0"/>
          <w:color w:val="000000"/>
          <w:sz w:val="16"/>
          <w:szCs w:val="16"/>
        </w:rPr>
        <w:t xml:space="preserve">Sentencia de 6 de febrero de 2001. Serie C No. 74, </w:t>
      </w:r>
      <w:r w:rsidRPr="007F0D71">
        <w:rPr>
          <w:rFonts w:ascii="Verdana" w:hAnsi="Verdana"/>
          <w:sz w:val="16"/>
          <w:szCs w:val="16"/>
          <w:lang w:val="es-MX"/>
        </w:rPr>
        <w:t>párr.</w:t>
      </w:r>
      <w:r>
        <w:rPr>
          <w:rFonts w:ascii="Verdana" w:hAnsi="Verdana"/>
          <w:sz w:val="16"/>
          <w:szCs w:val="16"/>
          <w:lang w:val="es-MX"/>
        </w:rPr>
        <w:t xml:space="preserve"> </w:t>
      </w:r>
      <w:r>
        <w:rPr>
          <w:rFonts w:ascii="Verdana" w:eastAsiaTheme="minorHAnsi" w:hAnsi="Verdana" w:cs="Verdana"/>
          <w:sz w:val="16"/>
          <w:szCs w:val="16"/>
          <w:lang w:val="es-MX" w:eastAsia="en-US"/>
        </w:rPr>
        <w:t>128;</w:t>
      </w:r>
      <w:r w:rsidRPr="007F0D71">
        <w:rPr>
          <w:rFonts w:ascii="Verdana" w:eastAsiaTheme="minorHAnsi" w:hAnsi="Verdana" w:cs="Verdana"/>
          <w:sz w:val="16"/>
          <w:szCs w:val="16"/>
          <w:lang w:val="es-MX" w:eastAsia="en-US"/>
        </w:rPr>
        <w:t xml:space="preserve"> y </w:t>
      </w:r>
      <w:r w:rsidRPr="007F0D71">
        <w:rPr>
          <w:rStyle w:val="Strong"/>
          <w:rFonts w:ascii="Verdana" w:hAnsi="Verdana"/>
          <w:b w:val="0"/>
          <w:i/>
          <w:color w:val="000000"/>
          <w:sz w:val="16"/>
          <w:szCs w:val="16"/>
        </w:rPr>
        <w:t xml:space="preserve">Caso Furlan y Familiares Vs. Argentina. Excepciones Preliminares, Fondo, Reparaciones y Costas. </w:t>
      </w:r>
      <w:r w:rsidRPr="00154655">
        <w:rPr>
          <w:rStyle w:val="Strong"/>
          <w:rFonts w:ascii="Verdana" w:hAnsi="Verdana"/>
          <w:b w:val="0"/>
          <w:color w:val="000000"/>
          <w:sz w:val="16"/>
          <w:szCs w:val="16"/>
        </w:rPr>
        <w:t xml:space="preserve">Sentencia de 31 de agosto de 2012. Serie C No. 246, párr. </w:t>
      </w:r>
      <w:r w:rsidRPr="00154655">
        <w:rPr>
          <w:rFonts w:ascii="Verdana" w:eastAsiaTheme="minorHAnsi" w:hAnsi="Verdana" w:cs="Verdana"/>
          <w:sz w:val="16"/>
          <w:szCs w:val="16"/>
          <w:lang w:val="es-MX" w:eastAsia="en-US"/>
        </w:rPr>
        <w:t>220.</w:t>
      </w:r>
    </w:p>
  </w:footnote>
  <w:footnote w:id="36">
    <w:p w:rsidR="002432C9" w:rsidRPr="007F0D71" w:rsidRDefault="002432C9" w:rsidP="0034750F">
      <w:pPr>
        <w:autoSpaceDE w:val="0"/>
        <w:autoSpaceDN w:val="0"/>
        <w:adjustRightInd w:val="0"/>
        <w:spacing w:after="120"/>
        <w:jc w:val="both"/>
        <w:rPr>
          <w:rFonts w:ascii="Verdana" w:eastAsiaTheme="minorHAnsi" w:hAnsi="Verdana" w:cs="Verdana"/>
          <w:sz w:val="16"/>
          <w:szCs w:val="16"/>
          <w:lang w:val="es-MX" w:eastAsia="en-US"/>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Fonts w:ascii="Verdana" w:eastAsiaTheme="minorHAnsi" w:hAnsi="Verdana" w:cs="Verdana,Italic"/>
          <w:i/>
          <w:iCs/>
          <w:sz w:val="16"/>
          <w:szCs w:val="16"/>
          <w:lang w:val="es-MX" w:eastAsia="en-US"/>
        </w:rPr>
        <w:t xml:space="preserve">Cfr. </w:t>
      </w:r>
      <w:r w:rsidRPr="007F0D71">
        <w:rPr>
          <w:rFonts w:ascii="Verdana" w:hAnsi="Verdana"/>
          <w:sz w:val="16"/>
          <w:szCs w:val="16"/>
        </w:rPr>
        <w:t>C</w:t>
      </w:r>
      <w:r w:rsidRPr="007F0D71">
        <w:rPr>
          <w:rStyle w:val="Strong"/>
          <w:rFonts w:ascii="Verdana" w:hAnsi="Verdana"/>
          <w:b w:val="0"/>
          <w:i/>
          <w:color w:val="000000"/>
          <w:sz w:val="16"/>
          <w:szCs w:val="16"/>
        </w:rPr>
        <w:t xml:space="preserve">aso Mémoli Vs. Argentina. Excepciones Preliminares, Fondo, Reparaciones y Costas. Sentencia de 22 de agosto de 2013. Serie C No. 265, párr.  170; </w:t>
      </w:r>
      <w:r w:rsidRPr="007F0D71">
        <w:rPr>
          <w:rFonts w:ascii="Verdana" w:eastAsiaTheme="minorHAnsi" w:hAnsi="Verdana" w:cs="Verdana,Italic"/>
          <w:i/>
          <w:iCs/>
          <w:sz w:val="16"/>
          <w:szCs w:val="16"/>
          <w:lang w:val="es-MX" w:eastAsia="en-US"/>
        </w:rPr>
        <w:t xml:space="preserve">Caso Salvador Chiriboga Vs. Ecuador. Excepción Preliminar y Fondo. </w:t>
      </w:r>
      <w:r w:rsidRPr="007F0D71">
        <w:rPr>
          <w:rFonts w:ascii="Verdana" w:eastAsiaTheme="minorHAnsi" w:hAnsi="Verdana" w:cs="Verdana"/>
          <w:sz w:val="16"/>
          <w:szCs w:val="16"/>
          <w:lang w:val="es-MX" w:eastAsia="en-US"/>
        </w:rPr>
        <w:t xml:space="preserve">Sentencia de 6 de mayo de </w:t>
      </w:r>
      <w:r>
        <w:rPr>
          <w:rFonts w:ascii="Verdana" w:eastAsiaTheme="minorHAnsi" w:hAnsi="Verdana" w:cs="Verdana"/>
          <w:sz w:val="16"/>
          <w:szCs w:val="16"/>
          <w:lang w:val="es-MX" w:eastAsia="en-US"/>
        </w:rPr>
        <w:t>2008. Serie C No. 179, párr. 54;</w:t>
      </w:r>
      <w:r w:rsidRPr="007F0D71">
        <w:rPr>
          <w:rFonts w:ascii="Verdana" w:eastAsiaTheme="minorHAnsi" w:hAnsi="Verdana" w:cs="Verdana"/>
          <w:sz w:val="16"/>
          <w:szCs w:val="16"/>
          <w:lang w:val="es-MX" w:eastAsia="en-US"/>
        </w:rPr>
        <w:t xml:space="preserve"> y </w:t>
      </w:r>
      <w:r w:rsidRPr="007F0D71">
        <w:rPr>
          <w:rStyle w:val="Strong"/>
          <w:rFonts w:ascii="Verdana" w:hAnsi="Verdana"/>
          <w:b w:val="0"/>
          <w:i/>
          <w:color w:val="000000"/>
          <w:sz w:val="16"/>
          <w:szCs w:val="16"/>
        </w:rPr>
        <w:t xml:space="preserve">Caso Furlan y Familiares Vs. Argentina. Excepciones Preliminares, Fondo, Reparaciones y Costas. Sentencia de 31 de agosto de 2012. Serie C No. 246, párr. </w:t>
      </w:r>
      <w:r w:rsidRPr="007F0D71">
        <w:rPr>
          <w:rFonts w:ascii="Verdana" w:eastAsiaTheme="minorHAnsi" w:hAnsi="Verdana" w:cs="Verdana"/>
          <w:sz w:val="16"/>
          <w:szCs w:val="16"/>
          <w:lang w:val="es-MX" w:eastAsia="en-US"/>
        </w:rPr>
        <w:t xml:space="preserve"> 220.</w:t>
      </w:r>
    </w:p>
  </w:footnote>
  <w:footnote w:id="37">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Fonts w:ascii="Verdana" w:eastAsiaTheme="minorHAnsi" w:hAnsi="Verdana" w:cs="Verdana,Italic"/>
          <w:i/>
          <w:iCs/>
          <w:sz w:val="16"/>
          <w:szCs w:val="16"/>
          <w:lang w:val="es-MX" w:eastAsia="en-US"/>
        </w:rPr>
        <w:t xml:space="preserve">Cfr. </w:t>
      </w:r>
      <w:r w:rsidRPr="007F0D71">
        <w:rPr>
          <w:rFonts w:ascii="Verdana" w:hAnsi="Verdana"/>
          <w:sz w:val="16"/>
          <w:szCs w:val="16"/>
        </w:rPr>
        <w:t>C</w:t>
      </w:r>
      <w:r w:rsidRPr="007F0D71">
        <w:rPr>
          <w:rStyle w:val="Strong"/>
          <w:rFonts w:ascii="Verdana" w:hAnsi="Verdana"/>
          <w:b w:val="0"/>
          <w:i/>
          <w:color w:val="000000"/>
          <w:sz w:val="16"/>
          <w:szCs w:val="16"/>
        </w:rPr>
        <w:t>aso Mémoli Vs. Argentina. Excepciones Preliminares, Fondo, Reparaciones y Costas. Sentencia de 22 de agosto de 2013. Serie C No. 265, párr. 170</w:t>
      </w:r>
      <w:r>
        <w:rPr>
          <w:rStyle w:val="Strong"/>
          <w:rFonts w:ascii="Verdana" w:hAnsi="Verdana"/>
          <w:b w:val="0"/>
          <w:i/>
          <w:color w:val="000000"/>
          <w:sz w:val="16"/>
          <w:szCs w:val="16"/>
        </w:rPr>
        <w:t>;</w:t>
      </w:r>
      <w:r w:rsidRPr="00752E8A">
        <w:rPr>
          <w:rStyle w:val="Strong"/>
          <w:rFonts w:ascii="Verdana" w:hAnsi="Verdana"/>
          <w:b w:val="0"/>
          <w:color w:val="000000"/>
          <w:sz w:val="16"/>
          <w:szCs w:val="16"/>
        </w:rPr>
        <w:t xml:space="preserve"> y</w:t>
      </w:r>
      <w:r w:rsidRPr="007F0D71">
        <w:rPr>
          <w:rStyle w:val="Strong"/>
          <w:rFonts w:ascii="Verdana" w:hAnsi="Verdana"/>
          <w:b w:val="0"/>
          <w:i/>
          <w:color w:val="000000"/>
          <w:sz w:val="16"/>
          <w:szCs w:val="16"/>
        </w:rPr>
        <w:t xml:space="preserve"> Caso Ivcher Bronstein Vs. Perú. Fondo, Reparaciones y Costas. </w:t>
      </w:r>
      <w:r w:rsidRPr="007F0D71">
        <w:rPr>
          <w:rStyle w:val="Strong"/>
          <w:rFonts w:ascii="Verdana" w:hAnsi="Verdana"/>
          <w:b w:val="0"/>
          <w:color w:val="000000"/>
          <w:sz w:val="16"/>
          <w:szCs w:val="16"/>
        </w:rPr>
        <w:t xml:space="preserve">Sentencia de 6 de febrero de 2001. Serie C No. 74, </w:t>
      </w:r>
      <w:r w:rsidRPr="007F0D71">
        <w:rPr>
          <w:rFonts w:ascii="Verdana" w:eastAsiaTheme="minorHAnsi" w:hAnsi="Verdana" w:cs="Verdana"/>
          <w:sz w:val="16"/>
          <w:szCs w:val="16"/>
          <w:lang w:val="es-MX" w:eastAsia="en-US"/>
        </w:rPr>
        <w:t>párr. 124.</w:t>
      </w:r>
    </w:p>
  </w:footnote>
  <w:footnote w:id="38">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t xml:space="preserve"> </w:t>
      </w:r>
      <w:r w:rsidRPr="007F0D71">
        <w:rPr>
          <w:rStyle w:val="Strong"/>
          <w:rFonts w:ascii="Verdana" w:hAnsi="Verdana"/>
          <w:b w:val="0"/>
          <w:i/>
          <w:color w:val="000000"/>
          <w:sz w:val="16"/>
          <w:szCs w:val="16"/>
        </w:rPr>
        <w:t>Caso Palamara Iribarne Vs. Chile. Fondo, Reparaciones y Costas</w:t>
      </w:r>
      <w:r w:rsidRPr="007F0D71">
        <w:rPr>
          <w:rStyle w:val="Strong"/>
          <w:rFonts w:ascii="Verdana" w:hAnsi="Verdana"/>
          <w:b w:val="0"/>
          <w:color w:val="000000"/>
          <w:sz w:val="16"/>
          <w:szCs w:val="16"/>
        </w:rPr>
        <w:t xml:space="preserve">. Sentencia de 22 de noviembre de 2005. Serie C No. 135. </w:t>
      </w:r>
      <w:r w:rsidRPr="007F0D71">
        <w:rPr>
          <w:rFonts w:ascii="Verdana" w:hAnsi="Verdana"/>
          <w:sz w:val="16"/>
          <w:szCs w:val="16"/>
        </w:rPr>
        <w:t xml:space="preserve">párr. 108. </w:t>
      </w:r>
    </w:p>
  </w:footnote>
  <w:footnote w:id="39">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párr.</w:t>
      </w:r>
      <w:r w:rsidRPr="007F0D71">
        <w:rPr>
          <w:rFonts w:ascii="Verdana" w:hAnsi="Verdana"/>
          <w:b/>
          <w:sz w:val="16"/>
          <w:szCs w:val="16"/>
        </w:rPr>
        <w:t xml:space="preserve"> </w:t>
      </w:r>
      <w:r w:rsidRPr="007F0D71">
        <w:rPr>
          <w:rFonts w:ascii="Verdana" w:hAnsi="Verdana"/>
          <w:sz w:val="16"/>
          <w:szCs w:val="16"/>
          <w:lang w:val="es-MX"/>
        </w:rPr>
        <w:t>148.</w:t>
      </w:r>
    </w:p>
  </w:footnote>
  <w:footnote w:id="40">
    <w:p w:rsidR="002432C9" w:rsidRPr="007F0D71" w:rsidRDefault="002432C9" w:rsidP="0034750F">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párr.</w:t>
      </w:r>
      <w:r w:rsidRPr="007F0D71">
        <w:rPr>
          <w:rFonts w:ascii="Verdana" w:hAnsi="Verdana"/>
          <w:b/>
          <w:sz w:val="16"/>
          <w:szCs w:val="16"/>
        </w:rPr>
        <w:t xml:space="preserve"> </w:t>
      </w:r>
      <w:r w:rsidRPr="007F0D71">
        <w:rPr>
          <w:rFonts w:ascii="Verdana" w:hAnsi="Verdana"/>
          <w:sz w:val="16"/>
          <w:szCs w:val="16"/>
        </w:rPr>
        <w:t xml:space="preserve">149. </w:t>
      </w:r>
    </w:p>
  </w:footnote>
  <w:footnote w:id="41">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w:t>
      </w:r>
      <w:r w:rsidRPr="007F0D71">
        <w:rPr>
          <w:rStyle w:val="Strong"/>
          <w:rFonts w:ascii="Verdana" w:hAnsi="Verdana"/>
          <w:b w:val="0"/>
          <w:color w:val="000000"/>
          <w:sz w:val="16"/>
          <w:szCs w:val="16"/>
        </w:rPr>
        <w:t xml:space="preserve"> </w:t>
      </w:r>
      <w:r w:rsidRPr="007F0D71">
        <w:rPr>
          <w:rStyle w:val="Strong"/>
          <w:rFonts w:ascii="Verdana" w:hAnsi="Verdana"/>
          <w:b w:val="0"/>
          <w:i/>
          <w:color w:val="000000"/>
          <w:sz w:val="16"/>
          <w:szCs w:val="16"/>
        </w:rPr>
        <w:t>del Pueblo Saramaka. Vs. Surinam. Excepciones Preliminares, Fondo, Reparaciones y Costas.</w:t>
      </w:r>
      <w:r w:rsidRPr="007F0D71">
        <w:rPr>
          <w:rStyle w:val="Strong"/>
          <w:rFonts w:ascii="Verdana" w:hAnsi="Verdana"/>
          <w:b w:val="0"/>
          <w:color w:val="000000"/>
          <w:sz w:val="16"/>
          <w:szCs w:val="16"/>
        </w:rPr>
        <w:t xml:space="preserve"> Sentencia de 28 de noviembre de 2007. Serie C No. 172, párr. </w:t>
      </w:r>
      <w:r w:rsidRPr="007F0D71">
        <w:rPr>
          <w:rFonts w:ascii="Verdana" w:hAnsi="Verdana"/>
          <w:sz w:val="16"/>
          <w:szCs w:val="16"/>
          <w:lang w:val="es-MX"/>
        </w:rPr>
        <w:t xml:space="preserve">  130</w:t>
      </w:r>
      <w:r>
        <w:rPr>
          <w:rFonts w:ascii="Verdana" w:hAnsi="Verdana"/>
          <w:sz w:val="16"/>
          <w:szCs w:val="16"/>
          <w:lang w:val="es-MX"/>
        </w:rPr>
        <w:t>;</w:t>
      </w:r>
      <w:r w:rsidRPr="007F0D71">
        <w:rPr>
          <w:rFonts w:ascii="Verdana" w:hAnsi="Verdana"/>
          <w:sz w:val="16"/>
          <w:szCs w:val="16"/>
          <w:lang w:val="es-MX"/>
        </w:rPr>
        <w:t xml:space="preserve"> y </w:t>
      </w:r>
      <w:r w:rsidRPr="007F0D71">
        <w:rPr>
          <w:rStyle w:val="Strong"/>
          <w:rFonts w:ascii="Verdana" w:hAnsi="Verdana"/>
          <w:b w:val="0"/>
          <w:i/>
          <w:color w:val="000000"/>
          <w:sz w:val="16"/>
          <w:szCs w:val="16"/>
        </w:rPr>
        <w:t>Caso Pueblo Indígena Kichwa de</w:t>
      </w:r>
      <w:r>
        <w:rPr>
          <w:rStyle w:val="Strong"/>
          <w:rFonts w:ascii="Verdana" w:hAnsi="Verdana"/>
          <w:b w:val="0"/>
          <w:i/>
          <w:color w:val="000000"/>
          <w:sz w:val="16"/>
          <w:szCs w:val="16"/>
        </w:rPr>
        <w:t xml:space="preserve"> Sarayaku Vs. Ecuador. Fondo y R</w:t>
      </w:r>
      <w:r w:rsidRPr="007F0D71">
        <w:rPr>
          <w:rStyle w:val="Strong"/>
          <w:rFonts w:ascii="Verdana" w:hAnsi="Verdana"/>
          <w:b w:val="0"/>
          <w:i/>
          <w:color w:val="000000"/>
          <w:sz w:val="16"/>
          <w:szCs w:val="16"/>
        </w:rPr>
        <w:t xml:space="preserve">eparaciones. </w:t>
      </w:r>
      <w:r w:rsidRPr="007F0D71">
        <w:rPr>
          <w:rStyle w:val="Strong"/>
          <w:rFonts w:ascii="Verdana" w:hAnsi="Verdana"/>
          <w:b w:val="0"/>
          <w:color w:val="000000"/>
          <w:sz w:val="16"/>
          <w:szCs w:val="16"/>
        </w:rPr>
        <w:t xml:space="preserve">Sentencia de 27 de junio de 2012. Serie C No. 245, </w:t>
      </w:r>
      <w:r w:rsidRPr="007F0D71">
        <w:rPr>
          <w:rFonts w:ascii="Verdana" w:hAnsi="Verdana"/>
          <w:sz w:val="16"/>
          <w:szCs w:val="16"/>
          <w:lang w:val="es-MX"/>
        </w:rPr>
        <w:t xml:space="preserve">párr. 157. </w:t>
      </w:r>
    </w:p>
  </w:footnote>
  <w:footnote w:id="42">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párr.</w:t>
      </w:r>
      <w:r w:rsidRPr="007F0D71">
        <w:rPr>
          <w:rFonts w:ascii="Verdana" w:hAnsi="Verdana"/>
          <w:b/>
          <w:sz w:val="16"/>
          <w:szCs w:val="16"/>
        </w:rPr>
        <w:t xml:space="preserve"> </w:t>
      </w:r>
      <w:r w:rsidRPr="007F0D71">
        <w:rPr>
          <w:rFonts w:ascii="Verdana" w:hAnsi="Verdana"/>
          <w:sz w:val="16"/>
          <w:szCs w:val="16"/>
        </w:rPr>
        <w:t>146</w:t>
      </w:r>
    </w:p>
  </w:footnote>
  <w:footnote w:id="43">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párr.</w:t>
      </w:r>
      <w:r w:rsidRPr="007F0D71">
        <w:rPr>
          <w:rFonts w:ascii="Verdana" w:hAnsi="Verdana"/>
          <w:b/>
          <w:sz w:val="16"/>
          <w:szCs w:val="16"/>
        </w:rPr>
        <w:t xml:space="preserve"> </w:t>
      </w:r>
      <w:r w:rsidRPr="007F0D71">
        <w:rPr>
          <w:rFonts w:ascii="Verdana" w:hAnsi="Verdana"/>
          <w:sz w:val="16"/>
          <w:szCs w:val="16"/>
          <w:lang w:val="es-MX"/>
        </w:rPr>
        <w:t>150</w:t>
      </w:r>
    </w:p>
  </w:footnote>
  <w:footnote w:id="44">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párr.</w:t>
      </w:r>
      <w:r w:rsidRPr="007F0D71">
        <w:rPr>
          <w:rFonts w:ascii="Verdana" w:hAnsi="Verdana"/>
          <w:b/>
          <w:sz w:val="16"/>
          <w:szCs w:val="16"/>
        </w:rPr>
        <w:t xml:space="preserve"> </w:t>
      </w:r>
      <w:r w:rsidRPr="007F0D71">
        <w:rPr>
          <w:rFonts w:ascii="Verdana" w:hAnsi="Verdana"/>
          <w:sz w:val="16"/>
          <w:szCs w:val="16"/>
          <w:lang w:val="es-MX"/>
        </w:rPr>
        <w:t xml:space="preserve"> 151 </w:t>
      </w:r>
    </w:p>
  </w:footnote>
  <w:footnote w:id="45">
    <w:p w:rsidR="002432C9" w:rsidRPr="007F0D71" w:rsidRDefault="002432C9" w:rsidP="0034750F">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lang w:val="es-MX"/>
        </w:rPr>
        <w:tab/>
        <w:t>Cfr. Caso</w:t>
      </w:r>
      <w:r w:rsidRPr="007F0D71">
        <w:rPr>
          <w:rStyle w:val="Strong"/>
          <w:rFonts w:ascii="Verdana" w:hAnsi="Verdana"/>
          <w:b w:val="0"/>
          <w:color w:val="000000"/>
          <w:sz w:val="16"/>
          <w:szCs w:val="16"/>
        </w:rPr>
        <w:t xml:space="preserve"> Juan Humberto Sánchez Vs. Honduras. Excepción Preliminar, Fondo, Reparaciones y Costas. Sentencia de 7 de junio de 2003. Serie C No. 99</w:t>
      </w:r>
      <w:r w:rsidRPr="007F0D71">
        <w:rPr>
          <w:rFonts w:ascii="Verdana" w:hAnsi="Verdana"/>
          <w:b/>
          <w:sz w:val="16"/>
          <w:szCs w:val="16"/>
          <w:lang w:val="es-MX"/>
        </w:rPr>
        <w:t xml:space="preserve"> </w:t>
      </w:r>
      <w:r w:rsidRPr="007F0D71">
        <w:rPr>
          <w:rFonts w:ascii="Verdana" w:hAnsi="Verdana"/>
          <w:sz w:val="16"/>
          <w:szCs w:val="16"/>
          <w:lang w:val="es-MX"/>
        </w:rPr>
        <w:t>párr. 142</w:t>
      </w:r>
      <w:r>
        <w:rPr>
          <w:rFonts w:ascii="Verdana" w:hAnsi="Verdana"/>
          <w:sz w:val="16"/>
          <w:szCs w:val="16"/>
          <w:lang w:val="es-MX"/>
        </w:rPr>
        <w:t>;</w:t>
      </w:r>
      <w:r w:rsidRPr="007F0D71">
        <w:rPr>
          <w:rFonts w:ascii="Verdana" w:hAnsi="Verdana"/>
          <w:sz w:val="16"/>
          <w:szCs w:val="16"/>
          <w:lang w:val="es-MX"/>
        </w:rPr>
        <w:t xml:space="preserve"> y</w:t>
      </w:r>
      <w:r w:rsidRPr="007F0D71">
        <w:rPr>
          <w:rFonts w:ascii="Verdana" w:hAnsi="Verdana"/>
          <w:b/>
          <w:sz w:val="16"/>
          <w:szCs w:val="16"/>
          <w:lang w:val="es-MX"/>
        </w:rPr>
        <w:t xml:space="preserve"> </w:t>
      </w:r>
      <w:r w:rsidRPr="007F0D71">
        <w:rPr>
          <w:rStyle w:val="Strong"/>
          <w:rFonts w:ascii="Verdana" w:hAnsi="Verdana"/>
          <w:b w:val="0"/>
          <w:i/>
          <w:color w:val="000000"/>
          <w:sz w:val="16"/>
          <w:szCs w:val="16"/>
        </w:rPr>
        <w:t>Caso del Tribunal Constitucional Vs. Perú. Fondo, Reparaciones y Costas</w:t>
      </w:r>
      <w:r w:rsidRPr="007F0D71">
        <w:rPr>
          <w:rStyle w:val="Strong"/>
          <w:rFonts w:ascii="Verdana" w:hAnsi="Verdana"/>
          <w:b w:val="0"/>
          <w:color w:val="000000"/>
          <w:sz w:val="16"/>
          <w:szCs w:val="16"/>
        </w:rPr>
        <w:t xml:space="preserve">. Sentencia de 31 de enero de 2001. Serie C No. 71, </w:t>
      </w:r>
      <w:r w:rsidRPr="007F0D71">
        <w:rPr>
          <w:rFonts w:ascii="Verdana" w:hAnsi="Verdana"/>
          <w:sz w:val="16"/>
          <w:szCs w:val="16"/>
        </w:rPr>
        <w:t xml:space="preserve">párr. 109. </w:t>
      </w:r>
    </w:p>
  </w:footnote>
  <w:footnote w:id="46">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rPr>
        <w:tab/>
      </w:r>
      <w:r w:rsidRPr="007F0D71">
        <w:rPr>
          <w:rStyle w:val="Strong"/>
          <w:rFonts w:ascii="Verdana" w:hAnsi="Verdana"/>
          <w:b w:val="0"/>
          <w:i/>
          <w:color w:val="000000"/>
          <w:sz w:val="16"/>
          <w:szCs w:val="16"/>
        </w:rPr>
        <w:t>Caso Comunidad Indígena Yakye Axa Vs. Paraguay. Fondo Reparaciones y Costas.</w:t>
      </w:r>
      <w:r w:rsidRPr="007F0D71">
        <w:rPr>
          <w:rStyle w:val="Strong"/>
          <w:rFonts w:ascii="Verdana" w:hAnsi="Verdana"/>
          <w:b w:val="0"/>
          <w:color w:val="000000"/>
          <w:sz w:val="16"/>
          <w:szCs w:val="16"/>
        </w:rPr>
        <w:t xml:space="preserve"> Sentencia 17 de junio de 2005. Serie C No. 125, párr.</w:t>
      </w:r>
      <w:r w:rsidRPr="007F0D71">
        <w:rPr>
          <w:rFonts w:ascii="Verdana" w:hAnsi="Verdana"/>
          <w:b/>
          <w:sz w:val="16"/>
          <w:szCs w:val="16"/>
        </w:rPr>
        <w:t xml:space="preserve"> </w:t>
      </w:r>
      <w:r w:rsidRPr="007F0D71">
        <w:rPr>
          <w:rFonts w:ascii="Verdana" w:hAnsi="Verdana"/>
          <w:sz w:val="16"/>
          <w:szCs w:val="16"/>
          <w:lang w:val="es-MX"/>
        </w:rPr>
        <w:t xml:space="preserve">154. </w:t>
      </w:r>
    </w:p>
  </w:footnote>
  <w:footnote w:id="47">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t>Párr. 1 de la Sentencia.</w:t>
      </w:r>
    </w:p>
  </w:footnote>
  <w:footnote w:id="48">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Fonts w:ascii="Verdana" w:hAnsi="Verdana"/>
          <w:sz w:val="16"/>
          <w:szCs w:val="16"/>
          <w:lang w:val="es-MX"/>
        </w:rPr>
        <w:t>Véanse los párrafos 24 a 40 de la Sentencia.</w:t>
      </w:r>
    </w:p>
  </w:footnote>
  <w:footnote w:id="49">
    <w:p w:rsidR="002432C9" w:rsidRPr="003740C6" w:rsidRDefault="002432C9" w:rsidP="0034750F">
      <w:pPr>
        <w:pStyle w:val="FootnoteText"/>
        <w:spacing w:after="120"/>
        <w:contextualSpacing/>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Joost Pauwelyn, ‘The Concept of a ‘Continuing Violation’ of an International Obligation: Selected Problems' [1996] 66:1 BYIL 415, 415.</w:t>
      </w:r>
    </w:p>
  </w:footnote>
  <w:footnote w:id="50">
    <w:p w:rsidR="002432C9" w:rsidRPr="003740C6" w:rsidRDefault="002432C9" w:rsidP="0034750F">
      <w:pPr>
        <w:pStyle w:val="FootnoteText"/>
        <w:spacing w:after="120"/>
        <w:contextualSpacing/>
        <w:jc w:val="both"/>
        <w:rPr>
          <w:rFonts w:ascii="Verdana" w:hAnsi="Verdana"/>
          <w:sz w:val="16"/>
          <w:szCs w:val="16"/>
          <w:lang w:val="en-US"/>
        </w:rPr>
      </w:pPr>
    </w:p>
    <w:p w:rsidR="002432C9" w:rsidRPr="003740C6" w:rsidRDefault="002432C9" w:rsidP="0034750F">
      <w:pPr>
        <w:pStyle w:val="FootnoteText"/>
        <w:spacing w:after="120"/>
        <w:contextualSpacing/>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Joost Pauwelyn, ‘The Concept of a ‘Continuing Violation’ of an International Obligation: Selected Problems' [1996] 66:1 BYIL 415, 421.</w:t>
      </w:r>
    </w:p>
  </w:footnote>
  <w:footnote w:id="51">
    <w:p w:rsidR="002432C9" w:rsidRPr="003740C6" w:rsidRDefault="002432C9" w:rsidP="0034750F">
      <w:pPr>
        <w:pStyle w:val="FootnoteText"/>
        <w:spacing w:after="120"/>
        <w:contextualSpacing/>
        <w:jc w:val="both"/>
        <w:rPr>
          <w:rFonts w:ascii="Verdana" w:hAnsi="Verdana"/>
          <w:sz w:val="16"/>
          <w:szCs w:val="16"/>
          <w:lang w:val="en-US"/>
        </w:rPr>
      </w:pPr>
    </w:p>
    <w:p w:rsidR="002432C9" w:rsidRPr="003740C6" w:rsidRDefault="002432C9" w:rsidP="0034750F">
      <w:pPr>
        <w:pStyle w:val="FootnoteText"/>
        <w:spacing w:after="120"/>
        <w:contextualSpacing/>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 xml:space="preserve">Loukis G. Loucaides, </w:t>
      </w:r>
      <w:r w:rsidRPr="003740C6">
        <w:rPr>
          <w:rFonts w:ascii="Verdana" w:hAnsi="Verdana"/>
          <w:i/>
          <w:sz w:val="16"/>
          <w:szCs w:val="16"/>
          <w:lang w:val="en-US"/>
        </w:rPr>
        <w:t>The European Convention on Human Rights: Collected Essays</w:t>
      </w:r>
      <w:r w:rsidRPr="003740C6">
        <w:rPr>
          <w:rFonts w:ascii="Verdana" w:hAnsi="Verdana"/>
          <w:sz w:val="16"/>
          <w:szCs w:val="16"/>
          <w:lang w:val="en-US"/>
        </w:rPr>
        <w:t xml:space="preserve"> (Brill Academic Publishers 2007) 21.</w:t>
      </w:r>
    </w:p>
  </w:footnote>
  <w:footnote w:id="52">
    <w:p w:rsidR="002432C9" w:rsidRPr="003740C6" w:rsidRDefault="002432C9" w:rsidP="0034750F">
      <w:pPr>
        <w:pStyle w:val="FootnoteText"/>
        <w:spacing w:after="120"/>
        <w:contextualSpacing/>
        <w:jc w:val="both"/>
        <w:rPr>
          <w:rFonts w:ascii="Verdana" w:hAnsi="Verdana"/>
          <w:sz w:val="16"/>
          <w:szCs w:val="16"/>
          <w:lang w:val="en-US"/>
        </w:rPr>
      </w:pPr>
    </w:p>
    <w:p w:rsidR="002432C9" w:rsidRPr="003740C6" w:rsidRDefault="002432C9" w:rsidP="0034750F">
      <w:pPr>
        <w:pStyle w:val="FootnoteText"/>
        <w:spacing w:after="120"/>
        <w:contextualSpacing/>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 xml:space="preserve">Loukis G. Loucaides, </w:t>
      </w:r>
      <w:r w:rsidRPr="003740C6">
        <w:rPr>
          <w:rFonts w:ascii="Verdana" w:hAnsi="Verdana"/>
          <w:i/>
          <w:sz w:val="16"/>
          <w:szCs w:val="16"/>
          <w:lang w:val="en-US"/>
        </w:rPr>
        <w:t>The European Convention on Human Rights: Collected Essays</w:t>
      </w:r>
      <w:r w:rsidRPr="003740C6">
        <w:rPr>
          <w:rFonts w:ascii="Verdana" w:hAnsi="Verdana"/>
          <w:sz w:val="16"/>
          <w:szCs w:val="16"/>
          <w:lang w:val="en-US"/>
        </w:rPr>
        <w:t xml:space="preserve"> (Brill Academic Publishers 2007) 21.</w:t>
      </w:r>
    </w:p>
  </w:footnote>
  <w:footnote w:id="53">
    <w:p w:rsidR="002432C9" w:rsidRPr="003740C6" w:rsidRDefault="002432C9" w:rsidP="0034750F">
      <w:pPr>
        <w:pStyle w:val="FootnoteText"/>
        <w:spacing w:after="120"/>
        <w:contextualSpacing/>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ILC, ‘Report of the International Law Commission on the Work of its 30th Session’ (8 May–28 July 1978) UN Doc A/33/10, 226.</w:t>
      </w:r>
    </w:p>
  </w:footnote>
  <w:footnote w:id="54">
    <w:p w:rsidR="002432C9" w:rsidRPr="003740C6" w:rsidRDefault="002432C9" w:rsidP="0034750F">
      <w:pPr>
        <w:pStyle w:val="FootnoteText"/>
        <w:spacing w:after="120"/>
        <w:contextualSpacing/>
        <w:jc w:val="both"/>
        <w:rPr>
          <w:rFonts w:ascii="Verdana" w:hAnsi="Verdana"/>
          <w:sz w:val="16"/>
          <w:szCs w:val="16"/>
          <w:lang w:val="en-US"/>
        </w:rPr>
      </w:pPr>
    </w:p>
    <w:p w:rsidR="002432C9" w:rsidRPr="003740C6" w:rsidRDefault="002432C9" w:rsidP="0034750F">
      <w:pPr>
        <w:pStyle w:val="FootnoteText"/>
        <w:spacing w:after="120"/>
        <w:contextualSpacing/>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ILC, ‘Report of the Commission to the General Assembly on the work of its 30th session’ (1978) YB of the ILC, 1978, II, part 2, UN Doc A/CN.4/SER.A/1978/Add.l (Part 2), 93.</w:t>
      </w:r>
    </w:p>
    <w:p w:rsidR="002432C9" w:rsidRPr="003740C6" w:rsidRDefault="002432C9" w:rsidP="0034750F">
      <w:pPr>
        <w:pStyle w:val="FootnoteText"/>
        <w:spacing w:after="120"/>
        <w:contextualSpacing/>
        <w:jc w:val="both"/>
        <w:rPr>
          <w:rFonts w:ascii="Verdana" w:hAnsi="Verdana"/>
          <w:sz w:val="16"/>
          <w:szCs w:val="16"/>
          <w:lang w:val="en-US"/>
        </w:rPr>
      </w:pPr>
    </w:p>
  </w:footnote>
  <w:footnote w:id="55">
    <w:p w:rsidR="002432C9" w:rsidRPr="003740C6" w:rsidRDefault="002432C9" w:rsidP="0034750F">
      <w:pPr>
        <w:pStyle w:val="FootnoteText"/>
        <w:spacing w:after="120"/>
        <w:contextualSpacing/>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i/>
          <w:sz w:val="16"/>
          <w:szCs w:val="16"/>
          <w:lang w:val="en-US"/>
        </w:rPr>
        <w:t xml:space="preserve"> </w:t>
      </w:r>
      <w:r w:rsidRPr="003740C6">
        <w:rPr>
          <w:rFonts w:ascii="Verdana" w:hAnsi="Verdana"/>
          <w:i/>
          <w:sz w:val="16"/>
          <w:szCs w:val="16"/>
          <w:lang w:val="en-US"/>
        </w:rPr>
        <w:tab/>
        <w:t>“</w:t>
      </w:r>
      <w:r w:rsidRPr="003740C6">
        <w:rPr>
          <w:rFonts w:ascii="Verdana" w:hAnsi="Verdana"/>
          <w:sz w:val="16"/>
          <w:szCs w:val="16"/>
          <w:lang w:val="en-US"/>
        </w:rPr>
        <w:t>[A] state of affairs which operates by continuous activities by or on</w:t>
      </w:r>
      <w:r w:rsidRPr="003740C6">
        <w:rPr>
          <w:rFonts w:ascii="Verdana" w:eastAsia="MS Mincho" w:hAnsi="Verdana" w:cs="MS Mincho"/>
          <w:sz w:val="16"/>
          <w:szCs w:val="16"/>
          <w:lang w:val="en-US"/>
        </w:rPr>
        <w:t> </w:t>
      </w:r>
      <w:r w:rsidRPr="003740C6">
        <w:rPr>
          <w:rFonts w:ascii="Verdana" w:hAnsi="Verdana"/>
          <w:sz w:val="16"/>
          <w:szCs w:val="16"/>
          <w:lang w:val="en-US"/>
        </w:rPr>
        <w:t xml:space="preserve">the part of the State to render the applicants victims” véase: </w:t>
      </w:r>
      <w:r w:rsidRPr="003740C6">
        <w:rPr>
          <w:rFonts w:ascii="Verdana" w:hAnsi="Verdana"/>
          <w:i/>
          <w:sz w:val="16"/>
          <w:szCs w:val="16"/>
          <w:lang w:val="en-US"/>
        </w:rPr>
        <w:t>McDaid and others v United Kingdom</w:t>
      </w:r>
      <w:r w:rsidRPr="003740C6">
        <w:rPr>
          <w:rFonts w:ascii="Verdana" w:hAnsi="Verdana"/>
          <w:sz w:val="16"/>
          <w:szCs w:val="16"/>
          <w:lang w:val="en-US"/>
        </w:rPr>
        <w:t xml:space="preserve">, no. 25681/94, p. 5, Commission decision of 9 April 1996. </w:t>
      </w:r>
      <w:r w:rsidRPr="007F0D71">
        <w:rPr>
          <w:rFonts w:ascii="Verdana" w:hAnsi="Verdana"/>
          <w:sz w:val="16"/>
          <w:szCs w:val="16"/>
        </w:rPr>
        <w:t xml:space="preserve">Esta misma definición ha sido retomada por el Tribunal Europeo de Derechos Humanos en decisiones recientes </w:t>
      </w:r>
      <w:r w:rsidRPr="007F0D71">
        <w:rPr>
          <w:rFonts w:ascii="Verdana" w:hAnsi="Verdana"/>
          <w:i/>
          <w:sz w:val="16"/>
          <w:szCs w:val="16"/>
        </w:rPr>
        <w:t>Posti and Rahko v. Finland</w:t>
      </w:r>
      <w:r w:rsidRPr="007F0D71">
        <w:rPr>
          <w:rFonts w:ascii="Verdana" w:hAnsi="Verdana"/>
          <w:sz w:val="16"/>
          <w:szCs w:val="16"/>
        </w:rPr>
        <w:t xml:space="preserve">, no. </w:t>
      </w:r>
      <w:hyperlink r:id="rId1" w:anchor="%7B%22appno%22:%5B%2227824/95%22%5D%7D" w:history="1">
        <w:r w:rsidRPr="003740C6">
          <w:rPr>
            <w:rFonts w:ascii="Verdana" w:hAnsi="Verdana"/>
            <w:sz w:val="16"/>
            <w:szCs w:val="16"/>
            <w:lang w:val="en-US"/>
          </w:rPr>
          <w:t>27824/95</w:t>
        </w:r>
      </w:hyperlink>
      <w:r w:rsidRPr="003740C6">
        <w:rPr>
          <w:rFonts w:ascii="Verdana" w:hAnsi="Verdana"/>
          <w:sz w:val="16"/>
          <w:szCs w:val="16"/>
          <w:lang w:val="en-US"/>
        </w:rPr>
        <w:t xml:space="preserve">, § 39, ECHR 2002-VII; </w:t>
      </w:r>
      <w:r w:rsidRPr="003740C6">
        <w:rPr>
          <w:rFonts w:ascii="Verdana" w:hAnsi="Verdana"/>
          <w:i/>
          <w:sz w:val="16"/>
          <w:szCs w:val="16"/>
          <w:lang w:val="en-US"/>
        </w:rPr>
        <w:t>Ananyev and Others v. Russia</w:t>
      </w:r>
      <w:r w:rsidRPr="003740C6">
        <w:rPr>
          <w:rFonts w:ascii="Verdana" w:hAnsi="Verdana"/>
          <w:sz w:val="16"/>
          <w:szCs w:val="16"/>
          <w:lang w:val="en-US"/>
        </w:rPr>
        <w:t xml:space="preserve">, nos. </w:t>
      </w:r>
      <w:hyperlink r:id="rId2" w:anchor="%7B%22appno%22:%5B%2242525/07%22%5D%7D" w:history="1">
        <w:r w:rsidRPr="003740C6">
          <w:rPr>
            <w:rFonts w:ascii="Verdana" w:hAnsi="Verdana"/>
            <w:sz w:val="16"/>
            <w:szCs w:val="16"/>
            <w:lang w:val="en-US"/>
          </w:rPr>
          <w:t>42525/07</w:t>
        </w:r>
      </w:hyperlink>
      <w:r w:rsidRPr="003740C6">
        <w:rPr>
          <w:rFonts w:ascii="Verdana" w:hAnsi="Verdana"/>
          <w:sz w:val="16"/>
          <w:szCs w:val="16"/>
          <w:lang w:val="en-US"/>
        </w:rPr>
        <w:t xml:space="preserve"> and </w:t>
      </w:r>
      <w:hyperlink r:id="rId3" w:anchor="%7B%22appno%22:%5B%2260800/08%22%5D%7D" w:history="1">
        <w:r w:rsidRPr="003740C6">
          <w:rPr>
            <w:rFonts w:ascii="Verdana" w:hAnsi="Verdana"/>
            <w:sz w:val="16"/>
            <w:szCs w:val="16"/>
            <w:lang w:val="en-US"/>
          </w:rPr>
          <w:t>60800/08</w:t>
        </w:r>
      </w:hyperlink>
      <w:r w:rsidRPr="003740C6">
        <w:rPr>
          <w:rFonts w:ascii="Verdana" w:hAnsi="Verdana"/>
          <w:sz w:val="16"/>
          <w:szCs w:val="16"/>
          <w:lang w:val="en-US"/>
        </w:rPr>
        <w:t xml:space="preserve">, § 75, 10 January 2012; </w:t>
      </w:r>
      <w:r w:rsidRPr="003740C6">
        <w:rPr>
          <w:rFonts w:ascii="Verdana" w:hAnsi="Verdana"/>
          <w:i/>
          <w:sz w:val="16"/>
          <w:szCs w:val="16"/>
          <w:lang w:val="en-US"/>
        </w:rPr>
        <w:t>Hadzhigeorgievi v Bulgaria</w:t>
      </w:r>
      <w:r w:rsidRPr="003740C6">
        <w:rPr>
          <w:rFonts w:ascii="Verdana" w:hAnsi="Verdana"/>
          <w:sz w:val="16"/>
          <w:szCs w:val="16"/>
          <w:lang w:val="en-US"/>
        </w:rPr>
        <w:t>, no. 41064/05, § 56, 16 July 2013.</w:t>
      </w:r>
    </w:p>
    <w:p w:rsidR="002432C9" w:rsidRPr="003740C6" w:rsidRDefault="002432C9" w:rsidP="0034750F">
      <w:pPr>
        <w:pStyle w:val="FootnoteText"/>
        <w:spacing w:after="120"/>
        <w:contextualSpacing/>
        <w:jc w:val="both"/>
        <w:rPr>
          <w:rFonts w:ascii="Verdana" w:hAnsi="Verdana"/>
          <w:sz w:val="16"/>
          <w:szCs w:val="16"/>
          <w:lang w:val="en-US"/>
        </w:rPr>
      </w:pPr>
    </w:p>
  </w:footnote>
  <w:footnote w:id="56">
    <w:p w:rsidR="002432C9" w:rsidRPr="003740C6" w:rsidRDefault="002432C9" w:rsidP="0034750F">
      <w:pPr>
        <w:pStyle w:val="FootnoteText"/>
        <w:spacing w:after="120"/>
        <w:contextualSpacing/>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i/>
          <w:sz w:val="16"/>
          <w:szCs w:val="16"/>
          <w:lang w:val="en-US"/>
        </w:rPr>
        <w:tab/>
        <w:t>Loizidou v. Turkey</w:t>
      </w:r>
      <w:r w:rsidRPr="003740C6">
        <w:rPr>
          <w:rFonts w:ascii="Verdana" w:hAnsi="Verdana"/>
          <w:sz w:val="16"/>
          <w:szCs w:val="16"/>
          <w:lang w:val="en-US"/>
        </w:rPr>
        <w:t>, no. 15389/89, §§ 40-11, 8 December 1996 (judgment).</w:t>
      </w:r>
    </w:p>
    <w:p w:rsidR="002432C9" w:rsidRPr="003740C6" w:rsidRDefault="002432C9" w:rsidP="0034750F">
      <w:pPr>
        <w:pStyle w:val="FootnoteText"/>
        <w:spacing w:after="120"/>
        <w:contextualSpacing/>
        <w:jc w:val="both"/>
        <w:rPr>
          <w:rFonts w:ascii="Verdana" w:hAnsi="Verdana"/>
          <w:sz w:val="16"/>
          <w:szCs w:val="16"/>
          <w:lang w:val="en-US"/>
        </w:rPr>
      </w:pPr>
    </w:p>
  </w:footnote>
  <w:footnote w:id="57">
    <w:p w:rsidR="002432C9" w:rsidRPr="007F0D71" w:rsidRDefault="002432C9" w:rsidP="00752E8A">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52E8A">
        <w:rPr>
          <w:rFonts w:ascii="Verdana" w:hAnsi="Verdana"/>
          <w:i/>
          <w:sz w:val="16"/>
          <w:szCs w:val="16"/>
          <w:lang w:val="es-MX"/>
        </w:rPr>
        <w:t>Caso Velásquez Rodríguez Vs. Honduras. Fondo</w:t>
      </w:r>
      <w:r w:rsidRPr="007F0D71">
        <w:rPr>
          <w:rFonts w:ascii="Verdana" w:hAnsi="Verdana"/>
          <w:sz w:val="16"/>
          <w:szCs w:val="16"/>
          <w:lang w:val="es-MX"/>
        </w:rPr>
        <w:t>. Sentencia de 29 de julio de 1988. Serie C No. 4, párr.150.</w:t>
      </w:r>
    </w:p>
  </w:footnote>
  <w:footnote w:id="58">
    <w:p w:rsidR="002432C9" w:rsidRPr="007F0D71" w:rsidRDefault="002432C9" w:rsidP="00752E8A">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i/>
          <w:sz w:val="16"/>
          <w:szCs w:val="16"/>
        </w:rPr>
        <w:t xml:space="preserve"> </w:t>
      </w:r>
      <w:r>
        <w:rPr>
          <w:rFonts w:ascii="Verdana" w:hAnsi="Verdana"/>
          <w:i/>
          <w:sz w:val="16"/>
          <w:szCs w:val="16"/>
        </w:rPr>
        <w:tab/>
      </w:r>
      <w:r w:rsidRPr="007F0D71">
        <w:rPr>
          <w:rFonts w:ascii="Verdana" w:hAnsi="Verdana"/>
          <w:i/>
          <w:sz w:val="16"/>
          <w:szCs w:val="16"/>
        </w:rPr>
        <w:t>Caso De la Masacre de las Dos Erres Vs. Guatemala</w:t>
      </w:r>
      <w:r w:rsidRPr="007F0D71">
        <w:rPr>
          <w:rFonts w:ascii="Verdana" w:hAnsi="Verdana"/>
          <w:sz w:val="16"/>
          <w:szCs w:val="16"/>
        </w:rPr>
        <w:t>. Excepción Preliminar, Fondo, Reparaciones y Costas. Sentencia de 24 de noviembre de 2009. Serie C No. 211.</w:t>
      </w:r>
    </w:p>
  </w:footnote>
  <w:footnote w:id="59">
    <w:p w:rsidR="002432C9" w:rsidRPr="007F0D71" w:rsidRDefault="002432C9" w:rsidP="007F0D71">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Fonts w:ascii="Verdana" w:hAnsi="Verdana"/>
          <w:sz w:val="16"/>
          <w:szCs w:val="16"/>
        </w:rPr>
        <w:t xml:space="preserve">Véase </w:t>
      </w:r>
      <w:r w:rsidRPr="007F0D71">
        <w:rPr>
          <w:rFonts w:ascii="Verdana" w:hAnsi="Verdana"/>
          <w:i/>
          <w:sz w:val="16"/>
          <w:szCs w:val="16"/>
        </w:rPr>
        <w:t>Caso De la Masacre de las Dos Erres Vs. Guatemala</w:t>
      </w:r>
      <w:r w:rsidRPr="007F0D71">
        <w:rPr>
          <w:rFonts w:ascii="Verdana" w:hAnsi="Verdana"/>
          <w:sz w:val="16"/>
          <w:szCs w:val="16"/>
        </w:rPr>
        <w:t xml:space="preserve">. </w:t>
      </w:r>
      <w:r w:rsidRPr="00DC66CD">
        <w:rPr>
          <w:rFonts w:ascii="Verdana" w:hAnsi="Verdana"/>
          <w:i/>
          <w:sz w:val="16"/>
          <w:szCs w:val="16"/>
        </w:rPr>
        <w:t>Excepción Preliminar, Fondo, Reparaciones y Costas.</w:t>
      </w:r>
      <w:r w:rsidRPr="007F0D71">
        <w:rPr>
          <w:rFonts w:ascii="Verdana" w:hAnsi="Verdana"/>
          <w:sz w:val="16"/>
          <w:szCs w:val="16"/>
        </w:rPr>
        <w:t xml:space="preserve"> Sentencia de 24 de noviembre de 2009. Serie C No. 211</w:t>
      </w:r>
      <w:r>
        <w:rPr>
          <w:rFonts w:ascii="Verdana" w:hAnsi="Verdana"/>
          <w:sz w:val="16"/>
          <w:szCs w:val="16"/>
        </w:rPr>
        <w:t>;</w:t>
      </w:r>
      <w:r w:rsidRPr="007F0D71">
        <w:rPr>
          <w:rFonts w:ascii="Verdana" w:hAnsi="Verdana"/>
          <w:sz w:val="16"/>
          <w:szCs w:val="16"/>
        </w:rPr>
        <w:t xml:space="preserve"> y </w:t>
      </w:r>
      <w:r w:rsidRPr="00DC66CD">
        <w:rPr>
          <w:rFonts w:ascii="Verdana" w:hAnsi="Verdana"/>
          <w:i/>
          <w:sz w:val="16"/>
          <w:szCs w:val="16"/>
        </w:rPr>
        <w:t>Caso Chitay Nech y otros Vs. Guatemala. Excepciones Preliminares, Fondo, Reparaciones y Costas</w:t>
      </w:r>
      <w:r w:rsidRPr="007F0D71">
        <w:rPr>
          <w:rFonts w:ascii="Verdana" w:hAnsi="Verdana"/>
          <w:sz w:val="16"/>
          <w:szCs w:val="16"/>
        </w:rPr>
        <w:t>. Sentencia de 25 de mayo de 2010. Serie C No. 212.</w:t>
      </w:r>
    </w:p>
  </w:footnote>
  <w:footnote w:id="60">
    <w:p w:rsidR="002432C9" w:rsidRPr="007F0D71" w:rsidRDefault="002432C9" w:rsidP="007F0D71">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Fonts w:ascii="Verdana" w:hAnsi="Verdana"/>
          <w:i/>
          <w:sz w:val="16"/>
          <w:szCs w:val="16"/>
        </w:rPr>
        <w:t>Caso García Lucero y otras Vs. Chile</w:t>
      </w:r>
      <w:r w:rsidRPr="007F0D71">
        <w:rPr>
          <w:rFonts w:ascii="Verdana" w:hAnsi="Verdana"/>
          <w:sz w:val="16"/>
          <w:szCs w:val="16"/>
        </w:rPr>
        <w:t xml:space="preserve">. </w:t>
      </w:r>
      <w:r w:rsidRPr="00DC66CD">
        <w:rPr>
          <w:rFonts w:ascii="Verdana" w:hAnsi="Verdana"/>
          <w:i/>
          <w:sz w:val="16"/>
          <w:szCs w:val="16"/>
        </w:rPr>
        <w:t>Excepción Preliminar, Fondo y Reparaciones</w:t>
      </w:r>
      <w:r w:rsidRPr="007F0D71">
        <w:rPr>
          <w:rFonts w:ascii="Verdana" w:hAnsi="Verdana"/>
          <w:sz w:val="16"/>
          <w:szCs w:val="16"/>
        </w:rPr>
        <w:t>. Sentencia de 28 de agosto de 2013. Serie C No. 267, párr. 37.</w:t>
      </w:r>
    </w:p>
  </w:footnote>
  <w:footnote w:id="61">
    <w:p w:rsidR="002432C9" w:rsidRPr="007F0D71" w:rsidRDefault="002432C9" w:rsidP="007F0D71">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Fonts w:ascii="Verdana" w:hAnsi="Verdana"/>
          <w:i/>
          <w:sz w:val="16"/>
          <w:szCs w:val="16"/>
        </w:rPr>
        <w:t>Caso García Lucero y otras Vs. Chile</w:t>
      </w:r>
      <w:r w:rsidRPr="007F0D71">
        <w:rPr>
          <w:rFonts w:ascii="Verdana" w:hAnsi="Verdana"/>
          <w:sz w:val="16"/>
          <w:szCs w:val="16"/>
        </w:rPr>
        <w:t xml:space="preserve">. </w:t>
      </w:r>
      <w:r w:rsidRPr="00DC66CD">
        <w:rPr>
          <w:rFonts w:ascii="Verdana" w:hAnsi="Verdana"/>
          <w:i/>
          <w:sz w:val="16"/>
          <w:szCs w:val="16"/>
        </w:rPr>
        <w:t>Excepción Preliminar, Fondo y Reparaciones</w:t>
      </w:r>
      <w:r>
        <w:rPr>
          <w:rFonts w:ascii="Verdana" w:hAnsi="Verdana"/>
          <w:sz w:val="16"/>
          <w:szCs w:val="16"/>
        </w:rPr>
        <w:t xml:space="preserve">. Sentencia de 28 de </w:t>
      </w:r>
      <w:r w:rsidRPr="007F0D71">
        <w:rPr>
          <w:rFonts w:ascii="Verdana" w:hAnsi="Verdana"/>
          <w:sz w:val="16"/>
          <w:szCs w:val="16"/>
        </w:rPr>
        <w:t>agosto de 2013. Serie C No. 267, párr. 38.</w:t>
      </w:r>
    </w:p>
  </w:footnote>
  <w:footnote w:id="62">
    <w:p w:rsidR="002432C9" w:rsidRPr="007F0D71"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39359B">
        <w:rPr>
          <w:rFonts w:ascii="Verdana" w:hAnsi="Verdana"/>
          <w:sz w:val="16"/>
          <w:szCs w:val="16"/>
          <w:lang w:val="en-US"/>
        </w:rPr>
        <w:t xml:space="preserve"> </w:t>
      </w:r>
      <w:r w:rsidRPr="0039359B">
        <w:rPr>
          <w:rFonts w:ascii="Verdana" w:hAnsi="Verdana"/>
          <w:sz w:val="16"/>
          <w:szCs w:val="16"/>
          <w:lang w:val="en-US"/>
        </w:rPr>
        <w:tab/>
      </w:r>
      <w:r w:rsidRPr="0039359B">
        <w:rPr>
          <w:rFonts w:ascii="Verdana" w:hAnsi="Verdana"/>
          <w:i/>
          <w:sz w:val="16"/>
          <w:szCs w:val="16"/>
          <w:lang w:val="en-US"/>
        </w:rPr>
        <w:t>Cfr.</w:t>
      </w:r>
      <w:r w:rsidRPr="0039359B">
        <w:rPr>
          <w:rFonts w:ascii="Verdana" w:hAnsi="Verdana"/>
          <w:sz w:val="16"/>
          <w:szCs w:val="16"/>
          <w:lang w:val="en-US"/>
        </w:rPr>
        <w:t xml:space="preserve"> ECHR, </w:t>
      </w:r>
      <w:r w:rsidRPr="0039359B">
        <w:rPr>
          <w:rFonts w:ascii="Verdana" w:hAnsi="Verdana"/>
          <w:i/>
          <w:sz w:val="16"/>
          <w:szCs w:val="16"/>
          <w:lang w:val="en-US"/>
        </w:rPr>
        <w:t>Case of Almeida Garrett, Mascarenhas Falcão and others v. Portugal</w:t>
      </w:r>
      <w:r w:rsidRPr="0039359B">
        <w:rPr>
          <w:rFonts w:ascii="Verdana" w:hAnsi="Verdana"/>
          <w:sz w:val="16"/>
          <w:szCs w:val="16"/>
          <w:lang w:val="en-US"/>
        </w:rPr>
        <w:t xml:space="preserve"> (Applications nos. 29813/96 and 30229/96), 11 January 2000, para. </w:t>
      </w:r>
      <w:r w:rsidRPr="007F0D71">
        <w:rPr>
          <w:rFonts w:ascii="Verdana" w:hAnsi="Verdana"/>
          <w:sz w:val="16"/>
          <w:szCs w:val="16"/>
          <w:lang w:val="en-US"/>
        </w:rPr>
        <w:t xml:space="preserve">43; ECHR, </w:t>
      </w:r>
      <w:r w:rsidRPr="00DC66CD">
        <w:rPr>
          <w:rFonts w:ascii="Verdana" w:hAnsi="Verdana"/>
          <w:i/>
          <w:sz w:val="16"/>
          <w:szCs w:val="16"/>
          <w:lang w:val="en-US"/>
        </w:rPr>
        <w:t>Case of Blečić v. Croatia</w:t>
      </w:r>
      <w:r w:rsidRPr="007F0D71">
        <w:rPr>
          <w:rFonts w:ascii="Verdana" w:hAnsi="Verdana"/>
          <w:sz w:val="16"/>
          <w:szCs w:val="16"/>
          <w:lang w:val="en-US"/>
        </w:rPr>
        <w:t xml:space="preserve">, GC (Application no. 59532/00), 8 March 2006, para. 86 (“As to the applicant’s argument that the termination of her tenancy resulted in a continuing situation […], the Court reiterates that the deprivation of an individual’s home or property is in principle an instantaneous act and does not produce a continuing situation of “deprivation” in respect of the rights concerned. […] Therefore, the termination of the applicant’s tenancy did not create a continuing situation”), ver también ECHR, </w:t>
      </w:r>
      <w:r w:rsidRPr="00DC66CD">
        <w:rPr>
          <w:rFonts w:ascii="Verdana" w:hAnsi="Verdana"/>
          <w:i/>
          <w:sz w:val="16"/>
          <w:szCs w:val="16"/>
          <w:lang w:val="en-US"/>
        </w:rPr>
        <w:t>Case of Malhous v. The Czech Republic</w:t>
      </w:r>
      <w:r w:rsidRPr="007F0D71">
        <w:rPr>
          <w:rFonts w:ascii="Verdana" w:hAnsi="Verdana"/>
          <w:sz w:val="16"/>
          <w:szCs w:val="16"/>
          <w:lang w:val="en-US"/>
        </w:rPr>
        <w:t xml:space="preserve">, GC (Application no. 33071/96), 13 December 2000; mutatis mutandis, ECHR, </w:t>
      </w:r>
      <w:r w:rsidRPr="00DC66CD">
        <w:rPr>
          <w:rFonts w:ascii="Verdana" w:hAnsi="Verdana"/>
          <w:i/>
          <w:sz w:val="16"/>
          <w:szCs w:val="16"/>
          <w:lang w:val="en-US"/>
        </w:rPr>
        <w:t>Case of Ostojić v. Croatia</w:t>
      </w:r>
      <w:r w:rsidRPr="007F0D71">
        <w:rPr>
          <w:rFonts w:ascii="Verdana" w:hAnsi="Verdana"/>
          <w:sz w:val="16"/>
          <w:szCs w:val="16"/>
          <w:lang w:val="en-US"/>
        </w:rPr>
        <w:t xml:space="preserve"> (Application no. 16837/02), 26 September 2009. </w:t>
      </w:r>
    </w:p>
  </w:footnote>
  <w:footnote w:id="63">
    <w:p w:rsidR="002432C9" w:rsidRPr="007F0D71" w:rsidRDefault="002432C9" w:rsidP="0034750F">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Fonts w:ascii="Verdana" w:hAnsi="Verdana"/>
          <w:sz w:val="16"/>
          <w:szCs w:val="16"/>
        </w:rPr>
        <w:t xml:space="preserve">ECHR, </w:t>
      </w:r>
      <w:r w:rsidRPr="007F0D71">
        <w:rPr>
          <w:rFonts w:ascii="Verdana" w:hAnsi="Verdana"/>
          <w:i/>
          <w:sz w:val="16"/>
          <w:szCs w:val="16"/>
        </w:rPr>
        <w:t>Vasilescu v. Romania</w:t>
      </w:r>
      <w:r w:rsidRPr="007F0D71">
        <w:rPr>
          <w:rFonts w:ascii="Verdana" w:hAnsi="Verdana"/>
          <w:sz w:val="16"/>
          <w:szCs w:val="16"/>
        </w:rPr>
        <w:t>, no. 27053/95, §§ 48-59, 22 May 1998</w:t>
      </w:r>
    </w:p>
  </w:footnote>
  <w:footnote w:id="64">
    <w:p w:rsidR="002432C9" w:rsidRPr="003740C6"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i/>
          <w:sz w:val="16"/>
          <w:szCs w:val="16"/>
          <w:lang w:val="en-US"/>
        </w:rPr>
        <w:t xml:space="preserve"> </w:t>
      </w:r>
      <w:r w:rsidRPr="003740C6">
        <w:rPr>
          <w:rFonts w:ascii="Verdana" w:hAnsi="Verdana"/>
          <w:i/>
          <w:sz w:val="16"/>
          <w:szCs w:val="16"/>
          <w:lang w:val="en-US"/>
        </w:rPr>
        <w:tab/>
      </w:r>
      <w:r w:rsidRPr="003740C6">
        <w:rPr>
          <w:rFonts w:ascii="Verdana" w:hAnsi="Verdana"/>
          <w:sz w:val="16"/>
          <w:szCs w:val="16"/>
          <w:lang w:val="en-US"/>
        </w:rPr>
        <w:t xml:space="preserve">ECHR, </w:t>
      </w:r>
      <w:r w:rsidRPr="003740C6">
        <w:rPr>
          <w:rFonts w:ascii="Verdana" w:hAnsi="Verdana"/>
          <w:i/>
          <w:sz w:val="16"/>
          <w:szCs w:val="16"/>
          <w:lang w:val="en-US"/>
        </w:rPr>
        <w:t>Loizidou v. Turkey</w:t>
      </w:r>
      <w:r w:rsidRPr="003740C6">
        <w:rPr>
          <w:rFonts w:ascii="Verdana" w:hAnsi="Verdana"/>
          <w:sz w:val="16"/>
          <w:szCs w:val="16"/>
          <w:lang w:val="en-US"/>
        </w:rPr>
        <w:t>, no. 15389/89, 8 December 1996,</w:t>
      </w:r>
    </w:p>
  </w:footnote>
  <w:footnote w:id="65">
    <w:p w:rsidR="002432C9" w:rsidRPr="003740C6"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i/>
          <w:sz w:val="16"/>
          <w:szCs w:val="16"/>
          <w:lang w:val="en-US"/>
        </w:rPr>
        <w:t xml:space="preserve"> </w:t>
      </w:r>
      <w:r w:rsidRPr="003740C6">
        <w:rPr>
          <w:rFonts w:ascii="Verdana" w:hAnsi="Verdana"/>
          <w:i/>
          <w:sz w:val="16"/>
          <w:szCs w:val="16"/>
          <w:lang w:val="en-US"/>
        </w:rPr>
        <w:tab/>
      </w:r>
      <w:r w:rsidRPr="003740C6">
        <w:rPr>
          <w:rFonts w:ascii="Verdana" w:hAnsi="Verdana"/>
          <w:sz w:val="16"/>
          <w:szCs w:val="16"/>
          <w:lang w:val="en-US"/>
        </w:rPr>
        <w:t xml:space="preserve">ECHR, </w:t>
      </w:r>
      <w:r w:rsidRPr="003740C6">
        <w:rPr>
          <w:rFonts w:ascii="Verdana" w:hAnsi="Verdana"/>
          <w:i/>
          <w:sz w:val="16"/>
          <w:szCs w:val="16"/>
          <w:lang w:val="en-US"/>
        </w:rPr>
        <w:t>Guiso-Gallisay v. Italy</w:t>
      </w:r>
      <w:r w:rsidRPr="003740C6">
        <w:rPr>
          <w:rFonts w:ascii="Verdana" w:hAnsi="Verdana"/>
          <w:sz w:val="16"/>
          <w:szCs w:val="16"/>
          <w:lang w:val="en-US"/>
        </w:rPr>
        <w:t>, no. 58858/00, 8 December 2005</w:t>
      </w:r>
    </w:p>
  </w:footnote>
  <w:footnote w:id="66">
    <w:p w:rsidR="002432C9" w:rsidRPr="003740C6"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i/>
          <w:sz w:val="16"/>
          <w:szCs w:val="16"/>
          <w:lang w:val="en-US"/>
        </w:rPr>
        <w:t xml:space="preserve"> </w:t>
      </w:r>
      <w:r w:rsidRPr="003740C6">
        <w:rPr>
          <w:rFonts w:ascii="Verdana" w:hAnsi="Verdana"/>
          <w:i/>
          <w:sz w:val="16"/>
          <w:szCs w:val="16"/>
          <w:lang w:val="en-US"/>
        </w:rPr>
        <w:tab/>
      </w:r>
      <w:r w:rsidRPr="003740C6">
        <w:rPr>
          <w:rFonts w:ascii="Verdana" w:hAnsi="Verdana"/>
          <w:sz w:val="16"/>
          <w:szCs w:val="16"/>
          <w:lang w:val="en-US"/>
        </w:rPr>
        <w:t xml:space="preserve">ECHR, </w:t>
      </w:r>
      <w:r w:rsidRPr="003740C6">
        <w:rPr>
          <w:rFonts w:ascii="Verdana" w:hAnsi="Verdana"/>
          <w:i/>
          <w:sz w:val="16"/>
          <w:szCs w:val="16"/>
          <w:lang w:val="en-US"/>
        </w:rPr>
        <w:t>Broniowski v. Poland</w:t>
      </w:r>
      <w:r w:rsidRPr="003740C6">
        <w:rPr>
          <w:rFonts w:ascii="Verdana" w:hAnsi="Verdana"/>
          <w:sz w:val="16"/>
          <w:szCs w:val="16"/>
          <w:lang w:val="en-US"/>
        </w:rPr>
        <w:t>, no. 31443/96 [GC], 22 June 2004</w:t>
      </w:r>
    </w:p>
  </w:footnote>
  <w:footnote w:id="67">
    <w:p w:rsidR="002432C9" w:rsidRPr="003740C6"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i/>
          <w:sz w:val="16"/>
          <w:szCs w:val="16"/>
          <w:lang w:val="en-US"/>
        </w:rPr>
        <w:t xml:space="preserve"> </w:t>
      </w:r>
      <w:r w:rsidRPr="003740C6">
        <w:rPr>
          <w:rFonts w:ascii="Verdana" w:hAnsi="Verdana"/>
          <w:i/>
          <w:sz w:val="16"/>
          <w:szCs w:val="16"/>
          <w:lang w:val="en-US"/>
        </w:rPr>
        <w:tab/>
      </w:r>
      <w:r w:rsidRPr="003740C6">
        <w:rPr>
          <w:rFonts w:ascii="Verdana" w:hAnsi="Verdana"/>
          <w:sz w:val="16"/>
          <w:szCs w:val="16"/>
          <w:lang w:val="en-US"/>
        </w:rPr>
        <w:t xml:space="preserve">ECHR, </w:t>
      </w:r>
      <w:r w:rsidRPr="003740C6">
        <w:rPr>
          <w:rFonts w:ascii="Verdana" w:hAnsi="Verdana"/>
          <w:i/>
          <w:sz w:val="16"/>
          <w:szCs w:val="16"/>
          <w:lang w:val="en-US"/>
        </w:rPr>
        <w:t>Ostojic v. Croatia</w:t>
      </w:r>
      <w:r w:rsidRPr="003740C6">
        <w:rPr>
          <w:rFonts w:ascii="Verdana" w:hAnsi="Verdana"/>
          <w:sz w:val="16"/>
          <w:szCs w:val="16"/>
          <w:lang w:val="en-US"/>
        </w:rPr>
        <w:t>, no.16837/02 (dec.), 26 September 2002</w:t>
      </w:r>
    </w:p>
  </w:footnote>
  <w:footnote w:id="68">
    <w:p w:rsidR="002432C9" w:rsidRPr="003740C6" w:rsidRDefault="002432C9" w:rsidP="0034750F">
      <w:pPr>
        <w:pStyle w:val="FootnoteText"/>
        <w:spacing w:after="120"/>
        <w:jc w:val="both"/>
        <w:rPr>
          <w:rFonts w:ascii="Verdana" w:hAnsi="Verdana"/>
          <w:i/>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 xml:space="preserve">Véanse los casos </w:t>
      </w:r>
      <w:r w:rsidRPr="003740C6">
        <w:rPr>
          <w:rFonts w:ascii="Verdana" w:hAnsi="Verdana"/>
          <w:i/>
          <w:sz w:val="16"/>
          <w:szCs w:val="16"/>
          <w:lang w:val="en-US"/>
        </w:rPr>
        <w:t>Almeida Aarrett, Aascarenhas Falcao and others v Portugal</w:t>
      </w:r>
      <w:r w:rsidRPr="003740C6">
        <w:rPr>
          <w:rFonts w:ascii="Verdana" w:hAnsi="Verdana"/>
          <w:sz w:val="16"/>
          <w:szCs w:val="16"/>
          <w:lang w:val="en-US"/>
        </w:rPr>
        <w:t xml:space="preserve"> y </w:t>
      </w:r>
      <w:r w:rsidRPr="003740C6">
        <w:rPr>
          <w:rFonts w:ascii="Verdana" w:hAnsi="Verdana"/>
          <w:i/>
          <w:sz w:val="16"/>
          <w:szCs w:val="16"/>
          <w:lang w:val="en-US"/>
        </w:rPr>
        <w:t>Broniowki v Poland.</w:t>
      </w:r>
    </w:p>
  </w:footnote>
  <w:footnote w:id="69">
    <w:p w:rsidR="002432C9" w:rsidRPr="007F0D71"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7F0D71">
        <w:rPr>
          <w:rFonts w:ascii="Verdana" w:hAnsi="Verdana"/>
          <w:sz w:val="16"/>
          <w:szCs w:val="16"/>
          <w:lang w:val="en-US"/>
        </w:rPr>
        <w:t xml:space="preserve"> </w:t>
      </w:r>
      <w:r>
        <w:rPr>
          <w:rFonts w:ascii="Verdana" w:hAnsi="Verdana"/>
          <w:sz w:val="16"/>
          <w:szCs w:val="16"/>
          <w:lang w:val="en-US"/>
        </w:rPr>
        <w:tab/>
      </w:r>
      <w:r w:rsidRPr="007F0D71">
        <w:rPr>
          <w:rFonts w:ascii="Verdana" w:hAnsi="Verdana"/>
          <w:sz w:val="16"/>
          <w:szCs w:val="16"/>
          <w:lang w:val="en-US"/>
        </w:rPr>
        <w:t xml:space="preserve">ECHR, </w:t>
      </w:r>
      <w:r w:rsidRPr="007F0D71">
        <w:rPr>
          <w:rFonts w:ascii="Verdana" w:hAnsi="Verdana"/>
          <w:i/>
          <w:sz w:val="16"/>
          <w:szCs w:val="16"/>
          <w:lang w:val="en-US"/>
        </w:rPr>
        <w:t>Case of Loizidou v. Turkey</w:t>
      </w:r>
      <w:r w:rsidRPr="007F0D71">
        <w:rPr>
          <w:rFonts w:ascii="Verdana" w:hAnsi="Verdana"/>
          <w:sz w:val="16"/>
          <w:szCs w:val="16"/>
          <w:lang w:val="en-US"/>
        </w:rPr>
        <w:t xml:space="preserve">, GC (Application no. </w:t>
      </w:r>
      <w:hyperlink r:id="rId4" w:anchor="%7B%22appno%22:[%2215318/89%22]%7D" w:tgtFrame="_blank" w:history="1">
        <w:r w:rsidRPr="007F0D71">
          <w:rPr>
            <w:rStyle w:val="Hyperlink"/>
            <w:rFonts w:ascii="Verdana" w:hAnsi="Verdana"/>
            <w:color w:val="auto"/>
            <w:sz w:val="16"/>
            <w:szCs w:val="16"/>
            <w:lang w:val="en-US"/>
          </w:rPr>
          <w:t>15318/89</w:t>
        </w:r>
      </w:hyperlink>
      <w:r w:rsidRPr="007F0D71">
        <w:rPr>
          <w:rFonts w:ascii="Verdana" w:hAnsi="Verdana"/>
          <w:sz w:val="16"/>
          <w:szCs w:val="16"/>
          <w:lang w:val="en-US"/>
        </w:rPr>
        <w:t>), 18 December 1996.</w:t>
      </w:r>
    </w:p>
  </w:footnote>
  <w:footnote w:id="70">
    <w:p w:rsidR="002432C9" w:rsidRPr="007F0D71"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7F0D71">
        <w:rPr>
          <w:rFonts w:ascii="Verdana" w:hAnsi="Verdana"/>
          <w:sz w:val="16"/>
          <w:szCs w:val="16"/>
          <w:lang w:val="en-US"/>
        </w:rPr>
        <w:t xml:space="preserve"> </w:t>
      </w:r>
      <w:r>
        <w:rPr>
          <w:rFonts w:ascii="Verdana" w:hAnsi="Verdana"/>
          <w:sz w:val="16"/>
          <w:szCs w:val="16"/>
          <w:lang w:val="en-US"/>
        </w:rPr>
        <w:tab/>
      </w:r>
      <w:r w:rsidRPr="007F0D71">
        <w:rPr>
          <w:rFonts w:ascii="Verdana" w:hAnsi="Verdana"/>
          <w:sz w:val="16"/>
          <w:szCs w:val="16"/>
          <w:lang w:val="en-US"/>
        </w:rPr>
        <w:t xml:space="preserve">ECHR, </w:t>
      </w:r>
      <w:r w:rsidRPr="00DC66CD">
        <w:rPr>
          <w:rFonts w:ascii="Verdana" w:hAnsi="Verdana"/>
          <w:i/>
          <w:sz w:val="16"/>
          <w:szCs w:val="16"/>
          <w:lang w:val="en-US"/>
        </w:rPr>
        <w:t>Case of Loizidou v. Turkey</w:t>
      </w:r>
      <w:r w:rsidRPr="007F0D71">
        <w:rPr>
          <w:rFonts w:ascii="Verdana" w:hAnsi="Verdana"/>
          <w:sz w:val="16"/>
          <w:szCs w:val="16"/>
          <w:lang w:val="en-US"/>
        </w:rPr>
        <w:t>, GC (Application no. 15318/89), 18 December 1996, para. 35.</w:t>
      </w:r>
    </w:p>
  </w:footnote>
  <w:footnote w:id="71">
    <w:p w:rsidR="002432C9" w:rsidRPr="007F0D71"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7F0D71">
        <w:rPr>
          <w:rFonts w:ascii="Verdana" w:hAnsi="Verdana"/>
          <w:sz w:val="16"/>
          <w:szCs w:val="16"/>
          <w:lang w:val="en-US"/>
        </w:rPr>
        <w:t xml:space="preserve"> </w:t>
      </w:r>
      <w:r>
        <w:rPr>
          <w:rFonts w:ascii="Verdana" w:hAnsi="Verdana"/>
          <w:sz w:val="16"/>
          <w:szCs w:val="16"/>
          <w:lang w:val="en-US"/>
        </w:rPr>
        <w:tab/>
      </w:r>
      <w:r w:rsidRPr="007F0D71">
        <w:rPr>
          <w:rFonts w:ascii="Verdana" w:hAnsi="Verdana"/>
          <w:sz w:val="16"/>
          <w:szCs w:val="16"/>
          <w:lang w:val="en-US"/>
        </w:rPr>
        <w:t xml:space="preserve">ECHR, </w:t>
      </w:r>
      <w:r w:rsidRPr="00DC66CD">
        <w:rPr>
          <w:rFonts w:ascii="Verdana" w:hAnsi="Verdana"/>
          <w:i/>
          <w:sz w:val="16"/>
          <w:szCs w:val="16"/>
          <w:lang w:val="en-US"/>
        </w:rPr>
        <w:t>Case of Loizidou v. Turkey</w:t>
      </w:r>
      <w:r w:rsidRPr="007F0D71">
        <w:rPr>
          <w:rFonts w:ascii="Verdana" w:hAnsi="Verdana"/>
          <w:sz w:val="16"/>
          <w:szCs w:val="16"/>
          <w:lang w:val="en-US"/>
        </w:rPr>
        <w:t>, GC (Application no. 15318/8</w:t>
      </w:r>
      <w:r>
        <w:rPr>
          <w:rFonts w:ascii="Verdana" w:hAnsi="Verdana"/>
          <w:sz w:val="16"/>
          <w:szCs w:val="16"/>
          <w:lang w:val="en-US"/>
        </w:rPr>
        <w:t>9), 18 December 1996, paras. 42 y</w:t>
      </w:r>
      <w:r w:rsidRPr="007F0D71">
        <w:rPr>
          <w:rFonts w:ascii="Verdana" w:hAnsi="Verdana"/>
          <w:sz w:val="16"/>
          <w:szCs w:val="16"/>
          <w:lang w:val="en-US"/>
        </w:rPr>
        <w:t xml:space="preserve"> 44.</w:t>
      </w:r>
    </w:p>
  </w:footnote>
  <w:footnote w:id="72">
    <w:p w:rsidR="002432C9" w:rsidRPr="007F0D71"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7F0D71">
        <w:rPr>
          <w:rFonts w:ascii="Verdana" w:hAnsi="Verdana"/>
          <w:sz w:val="16"/>
          <w:szCs w:val="16"/>
          <w:lang w:val="en-US"/>
        </w:rPr>
        <w:t xml:space="preserve"> </w:t>
      </w:r>
      <w:r>
        <w:rPr>
          <w:rFonts w:ascii="Verdana" w:hAnsi="Verdana"/>
          <w:sz w:val="16"/>
          <w:szCs w:val="16"/>
          <w:lang w:val="en-US"/>
        </w:rPr>
        <w:tab/>
      </w:r>
      <w:r w:rsidRPr="007F0D71">
        <w:rPr>
          <w:rFonts w:ascii="Verdana" w:hAnsi="Verdana"/>
          <w:sz w:val="16"/>
          <w:szCs w:val="16"/>
          <w:lang w:val="en-US"/>
        </w:rPr>
        <w:t xml:space="preserve">ECHR, </w:t>
      </w:r>
      <w:r w:rsidRPr="00DC66CD">
        <w:rPr>
          <w:rFonts w:ascii="Verdana" w:hAnsi="Verdana"/>
          <w:i/>
          <w:sz w:val="16"/>
          <w:szCs w:val="16"/>
          <w:lang w:val="en-US"/>
        </w:rPr>
        <w:t>Case of Loizidou v. Turkey</w:t>
      </w:r>
      <w:r w:rsidRPr="007F0D71">
        <w:rPr>
          <w:rFonts w:ascii="Verdana" w:hAnsi="Verdana"/>
          <w:sz w:val="16"/>
          <w:szCs w:val="16"/>
          <w:lang w:val="en-US"/>
        </w:rPr>
        <w:t>, GC (Application no. 15318/8</w:t>
      </w:r>
      <w:r>
        <w:rPr>
          <w:rFonts w:ascii="Verdana" w:hAnsi="Verdana"/>
          <w:sz w:val="16"/>
          <w:szCs w:val="16"/>
          <w:lang w:val="en-US"/>
        </w:rPr>
        <w:t>9), 18 December 1996, paras. 46 y</w:t>
      </w:r>
      <w:r w:rsidRPr="007F0D71">
        <w:rPr>
          <w:rFonts w:ascii="Verdana" w:hAnsi="Verdana"/>
          <w:sz w:val="16"/>
          <w:szCs w:val="16"/>
          <w:lang w:val="en-US"/>
        </w:rPr>
        <w:t xml:space="preserve"> 47.</w:t>
      </w:r>
    </w:p>
  </w:footnote>
  <w:footnote w:id="73">
    <w:p w:rsidR="002432C9" w:rsidRPr="007F0D71"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7F0D71">
        <w:rPr>
          <w:rFonts w:ascii="Verdana" w:hAnsi="Verdana"/>
          <w:sz w:val="16"/>
          <w:szCs w:val="16"/>
          <w:lang w:val="en-US"/>
        </w:rPr>
        <w:t xml:space="preserve"> </w:t>
      </w:r>
      <w:r>
        <w:rPr>
          <w:rFonts w:ascii="Verdana" w:hAnsi="Verdana"/>
          <w:sz w:val="16"/>
          <w:szCs w:val="16"/>
          <w:lang w:val="en-US"/>
        </w:rPr>
        <w:tab/>
      </w:r>
      <w:r w:rsidRPr="007F0D71">
        <w:rPr>
          <w:rFonts w:ascii="Verdana" w:hAnsi="Verdana"/>
          <w:sz w:val="16"/>
          <w:szCs w:val="16"/>
          <w:lang w:val="en-US"/>
        </w:rPr>
        <w:t xml:space="preserve">ECHR, </w:t>
      </w:r>
      <w:r w:rsidRPr="00DC66CD">
        <w:rPr>
          <w:rFonts w:ascii="Verdana" w:hAnsi="Verdana"/>
          <w:i/>
          <w:sz w:val="16"/>
          <w:szCs w:val="16"/>
          <w:lang w:val="en-US"/>
        </w:rPr>
        <w:t>Case of Papamichalopoulos and Others v. Greece</w:t>
      </w:r>
      <w:r w:rsidRPr="007F0D71">
        <w:rPr>
          <w:rFonts w:ascii="Verdana" w:hAnsi="Verdana"/>
          <w:sz w:val="16"/>
          <w:szCs w:val="16"/>
          <w:lang w:val="en-US"/>
        </w:rPr>
        <w:t xml:space="preserve"> (Application no. </w:t>
      </w:r>
      <w:hyperlink r:id="rId5" w:anchor="%7B%22appno%22:[%2214556/89%22]%7D" w:tgtFrame="_blank" w:history="1">
        <w:r w:rsidRPr="00752E8A">
          <w:rPr>
            <w:rStyle w:val="Hyperlink"/>
            <w:rFonts w:ascii="Verdana" w:hAnsi="Verdana"/>
            <w:color w:val="auto"/>
            <w:sz w:val="16"/>
            <w:szCs w:val="16"/>
            <w:lang w:val="en-US"/>
          </w:rPr>
          <w:t>14556/89</w:t>
        </w:r>
      </w:hyperlink>
      <w:r w:rsidRPr="007F0D71">
        <w:rPr>
          <w:rFonts w:ascii="Verdana" w:hAnsi="Verdana"/>
          <w:sz w:val="16"/>
          <w:szCs w:val="16"/>
          <w:lang w:val="en-US"/>
        </w:rPr>
        <w:t>), 24 June 1993.</w:t>
      </w:r>
    </w:p>
  </w:footnote>
  <w:footnote w:id="74">
    <w:p w:rsidR="002432C9" w:rsidRPr="007F0D71"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7F0D71">
        <w:rPr>
          <w:rFonts w:ascii="Verdana" w:hAnsi="Verdana"/>
          <w:sz w:val="16"/>
          <w:szCs w:val="16"/>
          <w:lang w:val="en-US"/>
        </w:rPr>
        <w:t xml:space="preserve"> </w:t>
      </w:r>
      <w:r>
        <w:rPr>
          <w:rFonts w:ascii="Verdana" w:hAnsi="Verdana"/>
          <w:sz w:val="16"/>
          <w:szCs w:val="16"/>
          <w:lang w:val="en-US"/>
        </w:rPr>
        <w:tab/>
      </w:r>
      <w:r w:rsidRPr="007F0D71">
        <w:rPr>
          <w:rFonts w:ascii="Verdana" w:hAnsi="Verdana"/>
          <w:sz w:val="16"/>
          <w:szCs w:val="16"/>
          <w:lang w:val="en-US"/>
        </w:rPr>
        <w:t xml:space="preserve">ECHR, </w:t>
      </w:r>
      <w:r w:rsidRPr="00DC66CD">
        <w:rPr>
          <w:rFonts w:ascii="Verdana" w:hAnsi="Verdana"/>
          <w:i/>
          <w:sz w:val="16"/>
          <w:szCs w:val="16"/>
          <w:lang w:val="en-US"/>
        </w:rPr>
        <w:t>Case of  Papamichalopoulos and Others v. Greece</w:t>
      </w:r>
      <w:r w:rsidRPr="007F0D71">
        <w:rPr>
          <w:rFonts w:ascii="Verdana" w:hAnsi="Verdana"/>
          <w:sz w:val="16"/>
          <w:szCs w:val="16"/>
          <w:lang w:val="en-US"/>
        </w:rPr>
        <w:t xml:space="preserve"> (Application no. 14556/89), 24 June 1993, para. 42.</w:t>
      </w:r>
    </w:p>
  </w:footnote>
  <w:footnote w:id="75">
    <w:p w:rsidR="002432C9" w:rsidRPr="007F0D71"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7F0D71">
        <w:rPr>
          <w:rFonts w:ascii="Verdana" w:hAnsi="Verdana"/>
          <w:sz w:val="16"/>
          <w:szCs w:val="16"/>
          <w:lang w:val="en-US"/>
        </w:rPr>
        <w:t xml:space="preserve"> </w:t>
      </w:r>
      <w:r>
        <w:rPr>
          <w:rFonts w:ascii="Verdana" w:hAnsi="Verdana"/>
          <w:sz w:val="16"/>
          <w:szCs w:val="16"/>
          <w:lang w:val="en-US"/>
        </w:rPr>
        <w:tab/>
      </w:r>
      <w:r w:rsidRPr="007F0D71">
        <w:rPr>
          <w:rFonts w:ascii="Verdana" w:hAnsi="Verdana"/>
          <w:sz w:val="16"/>
          <w:szCs w:val="16"/>
          <w:lang w:val="en-US"/>
        </w:rPr>
        <w:t xml:space="preserve">ECHR, </w:t>
      </w:r>
      <w:r w:rsidRPr="00DC66CD">
        <w:rPr>
          <w:rFonts w:ascii="Verdana" w:hAnsi="Verdana"/>
          <w:i/>
          <w:sz w:val="16"/>
          <w:szCs w:val="16"/>
          <w:lang w:val="en-US"/>
        </w:rPr>
        <w:t>Case of Papamichalopoulos and Others v. Greece</w:t>
      </w:r>
      <w:r w:rsidRPr="007F0D71">
        <w:rPr>
          <w:rFonts w:ascii="Verdana" w:hAnsi="Verdana"/>
          <w:sz w:val="16"/>
          <w:szCs w:val="16"/>
          <w:lang w:val="en-US"/>
        </w:rPr>
        <w:t xml:space="preserve"> (Application no. </w:t>
      </w:r>
      <w:hyperlink r:id="rId6" w:anchor="%7B%22appno%22:[%2214556/89%22]%7D" w:tgtFrame="_blank" w:history="1">
        <w:r w:rsidRPr="00752E8A">
          <w:rPr>
            <w:rStyle w:val="Hyperlink"/>
            <w:rFonts w:ascii="Verdana" w:hAnsi="Verdana"/>
            <w:color w:val="auto"/>
            <w:sz w:val="16"/>
            <w:szCs w:val="16"/>
            <w:lang w:val="en-US"/>
          </w:rPr>
          <w:t>14556/89</w:t>
        </w:r>
      </w:hyperlink>
      <w:r w:rsidRPr="007F0D71">
        <w:rPr>
          <w:rFonts w:ascii="Verdana" w:hAnsi="Verdana"/>
          <w:sz w:val="16"/>
          <w:szCs w:val="16"/>
          <w:lang w:val="en-US"/>
        </w:rPr>
        <w:t>), 24 June 1993, para. 46.</w:t>
      </w:r>
    </w:p>
  </w:footnote>
  <w:footnote w:id="76">
    <w:p w:rsidR="002432C9" w:rsidRPr="007F0D71"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7F0D71">
        <w:rPr>
          <w:rFonts w:ascii="Verdana" w:hAnsi="Verdana"/>
          <w:sz w:val="16"/>
          <w:szCs w:val="16"/>
          <w:lang w:val="en-US"/>
        </w:rPr>
        <w:t xml:space="preserve"> </w:t>
      </w:r>
      <w:r>
        <w:rPr>
          <w:rFonts w:ascii="Verdana" w:hAnsi="Verdana"/>
          <w:sz w:val="16"/>
          <w:szCs w:val="16"/>
          <w:lang w:val="en-US"/>
        </w:rPr>
        <w:tab/>
      </w:r>
      <w:r w:rsidRPr="007F0D71">
        <w:rPr>
          <w:rFonts w:ascii="Verdana" w:hAnsi="Verdana"/>
          <w:sz w:val="16"/>
          <w:szCs w:val="16"/>
          <w:lang w:val="en-US"/>
        </w:rPr>
        <w:t xml:space="preserve">ECHR, </w:t>
      </w:r>
      <w:r w:rsidRPr="00DC66CD">
        <w:rPr>
          <w:rFonts w:ascii="Verdana" w:hAnsi="Verdana"/>
          <w:i/>
          <w:sz w:val="16"/>
          <w:szCs w:val="16"/>
          <w:lang w:val="en-US"/>
        </w:rPr>
        <w:t>Case of Almeida Garrett, Mascarenhas Falcão and others V. Portugal</w:t>
      </w:r>
      <w:r w:rsidRPr="007F0D71">
        <w:rPr>
          <w:rFonts w:ascii="Verdana" w:hAnsi="Verdana"/>
          <w:sz w:val="16"/>
          <w:szCs w:val="16"/>
          <w:lang w:val="en-US"/>
        </w:rPr>
        <w:t xml:space="preserve"> (Applications nos. 29813/96 and 30229/96), 11 January 2000.</w:t>
      </w:r>
    </w:p>
  </w:footnote>
  <w:footnote w:id="77">
    <w:p w:rsidR="002432C9" w:rsidRPr="003740C6"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7F0D71">
        <w:rPr>
          <w:rFonts w:ascii="Verdana" w:hAnsi="Verdana"/>
          <w:sz w:val="16"/>
          <w:szCs w:val="16"/>
          <w:lang w:val="en-US"/>
        </w:rPr>
        <w:t xml:space="preserve"> </w:t>
      </w:r>
      <w:r>
        <w:rPr>
          <w:rFonts w:ascii="Verdana" w:hAnsi="Verdana"/>
          <w:sz w:val="16"/>
          <w:szCs w:val="16"/>
          <w:lang w:val="en-US"/>
        </w:rPr>
        <w:tab/>
      </w:r>
      <w:r w:rsidRPr="007F0D71">
        <w:rPr>
          <w:rFonts w:ascii="Verdana" w:hAnsi="Verdana"/>
          <w:sz w:val="16"/>
          <w:szCs w:val="16"/>
          <w:lang w:val="en-US"/>
        </w:rPr>
        <w:t xml:space="preserve">ECHR, </w:t>
      </w:r>
      <w:r w:rsidRPr="00DC66CD">
        <w:rPr>
          <w:rFonts w:ascii="Verdana" w:hAnsi="Verdana"/>
          <w:i/>
          <w:sz w:val="16"/>
          <w:szCs w:val="16"/>
          <w:lang w:val="en-US"/>
        </w:rPr>
        <w:t>Case of Almeida Garrett, Mascarenhas Falcão and others V. Portugal</w:t>
      </w:r>
      <w:r w:rsidRPr="007F0D71">
        <w:rPr>
          <w:rFonts w:ascii="Verdana" w:hAnsi="Verdana"/>
          <w:sz w:val="16"/>
          <w:szCs w:val="16"/>
          <w:lang w:val="en-US"/>
        </w:rPr>
        <w:t xml:space="preserve"> (Applications nos. 29813/96 and </w:t>
      </w:r>
      <w:r>
        <w:rPr>
          <w:rFonts w:ascii="Verdana" w:hAnsi="Verdana"/>
          <w:sz w:val="16"/>
          <w:szCs w:val="16"/>
          <w:lang w:val="en-US"/>
        </w:rPr>
        <w:t>30229/96), 11 January 2000, párr</w:t>
      </w:r>
      <w:r w:rsidRPr="007F0D71">
        <w:rPr>
          <w:rFonts w:ascii="Verdana" w:hAnsi="Verdana"/>
          <w:sz w:val="16"/>
          <w:szCs w:val="16"/>
          <w:lang w:val="en-US"/>
        </w:rPr>
        <w:t xml:space="preserve">. </w:t>
      </w:r>
      <w:r w:rsidRPr="003740C6">
        <w:rPr>
          <w:rFonts w:ascii="Verdana" w:hAnsi="Verdana"/>
          <w:sz w:val="16"/>
          <w:szCs w:val="16"/>
          <w:lang w:val="en-US"/>
        </w:rPr>
        <w:t>43.</w:t>
      </w:r>
    </w:p>
  </w:footnote>
  <w:footnote w:id="78">
    <w:p w:rsidR="002432C9" w:rsidRPr="003740C6"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 xml:space="preserve">ECHR, </w:t>
      </w:r>
      <w:r w:rsidRPr="003740C6">
        <w:rPr>
          <w:rFonts w:ascii="Verdana" w:hAnsi="Verdana"/>
          <w:i/>
          <w:sz w:val="16"/>
          <w:szCs w:val="16"/>
          <w:lang w:val="en-US"/>
        </w:rPr>
        <w:t>Broniowski v. Poland</w:t>
      </w:r>
      <w:r w:rsidRPr="003740C6">
        <w:rPr>
          <w:rFonts w:ascii="Verdana" w:hAnsi="Verdana"/>
          <w:sz w:val="16"/>
          <w:szCs w:val="16"/>
          <w:lang w:val="en-US"/>
        </w:rPr>
        <w:t xml:space="preserve">, no. 31443/96 (dec.), § 75, 19 December 2002; </w:t>
      </w:r>
      <w:r w:rsidRPr="003740C6">
        <w:rPr>
          <w:rFonts w:ascii="Verdana" w:hAnsi="Verdana"/>
          <w:i/>
          <w:sz w:val="16"/>
          <w:szCs w:val="16"/>
          <w:lang w:val="en-US"/>
        </w:rPr>
        <w:t>Broniowski v. Poland</w:t>
      </w:r>
      <w:r w:rsidRPr="003740C6">
        <w:rPr>
          <w:rFonts w:ascii="Verdana" w:hAnsi="Verdana"/>
          <w:sz w:val="16"/>
          <w:szCs w:val="16"/>
          <w:lang w:val="en-US"/>
        </w:rPr>
        <w:t>, no. 31443/96 [GC], § 122, 22 June 2004.</w:t>
      </w:r>
    </w:p>
  </w:footnote>
  <w:footnote w:id="79">
    <w:p w:rsidR="002432C9" w:rsidRPr="003740C6"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ab/>
        <w:t xml:space="preserve">ECHR, </w:t>
      </w:r>
      <w:r w:rsidRPr="003740C6">
        <w:rPr>
          <w:rFonts w:ascii="Verdana" w:hAnsi="Verdana"/>
          <w:i/>
          <w:sz w:val="16"/>
          <w:szCs w:val="16"/>
          <w:lang w:val="en-US"/>
        </w:rPr>
        <w:t>Hutton-Czapska v. Poland</w:t>
      </w:r>
      <w:r w:rsidRPr="003740C6">
        <w:rPr>
          <w:rFonts w:ascii="Verdana" w:hAnsi="Verdana"/>
          <w:sz w:val="16"/>
          <w:szCs w:val="16"/>
          <w:lang w:val="en-US"/>
        </w:rPr>
        <w:t xml:space="preserve">, no. 35014/97 (dec.), 16 March 2003 and </w:t>
      </w:r>
      <w:r w:rsidRPr="003740C6">
        <w:rPr>
          <w:rFonts w:ascii="Verdana" w:hAnsi="Verdana"/>
          <w:i/>
          <w:sz w:val="16"/>
          <w:szCs w:val="16"/>
          <w:lang w:val="en-US"/>
        </w:rPr>
        <w:t>Hutton-Czapska v. Poland</w:t>
      </w:r>
      <w:r w:rsidRPr="003740C6">
        <w:rPr>
          <w:rFonts w:ascii="Verdana" w:hAnsi="Verdana"/>
          <w:sz w:val="16"/>
          <w:szCs w:val="16"/>
          <w:lang w:val="en-US"/>
        </w:rPr>
        <w:t>, no. 35014/97 [GC], §§ 152-153, 19 June 2006.</w:t>
      </w:r>
    </w:p>
  </w:footnote>
  <w:footnote w:id="80">
    <w:p w:rsidR="002432C9" w:rsidRPr="003740C6"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 xml:space="preserve">ECHR, </w:t>
      </w:r>
      <w:r w:rsidRPr="003740C6">
        <w:rPr>
          <w:rFonts w:ascii="Verdana" w:hAnsi="Verdana"/>
          <w:i/>
          <w:sz w:val="16"/>
          <w:szCs w:val="16"/>
          <w:lang w:val="en-US"/>
        </w:rPr>
        <w:t>Phocas v. France</w:t>
      </w:r>
      <w:r w:rsidRPr="003740C6">
        <w:rPr>
          <w:rFonts w:ascii="Verdana" w:hAnsi="Verdana"/>
          <w:sz w:val="16"/>
          <w:szCs w:val="16"/>
          <w:lang w:val="en-US"/>
        </w:rPr>
        <w:t>, no. 17869/91, § 45-9, 23 April 1996.</w:t>
      </w:r>
    </w:p>
  </w:footnote>
  <w:footnote w:id="81">
    <w:p w:rsidR="002432C9" w:rsidRPr="003740C6"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 xml:space="preserve">ECHR, </w:t>
      </w:r>
      <w:r w:rsidRPr="003740C6">
        <w:rPr>
          <w:rFonts w:ascii="Verdana" w:hAnsi="Verdana"/>
          <w:i/>
          <w:sz w:val="16"/>
          <w:szCs w:val="16"/>
          <w:lang w:val="en-US"/>
        </w:rPr>
        <w:t>Cvijetic v. Croatia</w:t>
      </w:r>
      <w:r w:rsidRPr="003740C6">
        <w:rPr>
          <w:rFonts w:ascii="Verdana" w:hAnsi="Verdana"/>
          <w:sz w:val="16"/>
          <w:szCs w:val="16"/>
          <w:lang w:val="en-US"/>
        </w:rPr>
        <w:t xml:space="preserve">, no. 71549/01 (dec.), 3 April 2003. </w:t>
      </w:r>
    </w:p>
  </w:footnote>
  <w:footnote w:id="82">
    <w:p w:rsidR="002432C9" w:rsidRPr="003740C6"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 xml:space="preserve">ECHR, </w:t>
      </w:r>
      <w:r w:rsidRPr="003740C6">
        <w:rPr>
          <w:rFonts w:ascii="Verdana" w:hAnsi="Verdana"/>
          <w:i/>
          <w:sz w:val="16"/>
          <w:szCs w:val="16"/>
          <w:lang w:val="en-US"/>
        </w:rPr>
        <w:t>Crnojevic v. Croatia</w:t>
      </w:r>
      <w:r w:rsidRPr="003740C6">
        <w:rPr>
          <w:rFonts w:ascii="Verdana" w:hAnsi="Verdana"/>
          <w:sz w:val="16"/>
          <w:szCs w:val="16"/>
          <w:lang w:val="en-US"/>
        </w:rPr>
        <w:t>, no. 71614/01 (dec.), 29 April 2003.</w:t>
      </w:r>
    </w:p>
  </w:footnote>
  <w:footnote w:id="83">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Pr>
          <w:rFonts w:ascii="Verdana" w:hAnsi="Verdana"/>
          <w:sz w:val="16"/>
          <w:szCs w:val="16"/>
          <w:lang w:val="es-MX"/>
        </w:rPr>
        <w:t>P</w:t>
      </w:r>
      <w:r w:rsidRPr="007F0D71">
        <w:rPr>
          <w:rFonts w:ascii="Verdana" w:hAnsi="Verdana"/>
          <w:sz w:val="16"/>
          <w:szCs w:val="16"/>
          <w:lang w:val="es-MX"/>
        </w:rPr>
        <w:t>árr</w:t>
      </w:r>
      <w:r>
        <w:rPr>
          <w:rFonts w:ascii="Verdana" w:hAnsi="Verdana"/>
          <w:sz w:val="16"/>
          <w:szCs w:val="16"/>
          <w:lang w:val="es-MX"/>
        </w:rPr>
        <w:t>s.</w:t>
      </w:r>
      <w:r w:rsidRPr="007F0D71">
        <w:rPr>
          <w:rFonts w:ascii="Verdana" w:hAnsi="Verdana"/>
          <w:sz w:val="16"/>
          <w:szCs w:val="16"/>
          <w:lang w:val="es-MX"/>
        </w:rPr>
        <w:t xml:space="preserve"> 34 y 35</w:t>
      </w:r>
      <w:r>
        <w:rPr>
          <w:rFonts w:ascii="Verdana" w:hAnsi="Verdana"/>
          <w:sz w:val="16"/>
          <w:szCs w:val="16"/>
          <w:lang w:val="es-MX"/>
        </w:rPr>
        <w:t xml:space="preserve"> de la Sentencia</w:t>
      </w:r>
      <w:r w:rsidRPr="007F0D71">
        <w:rPr>
          <w:rFonts w:ascii="Verdana" w:hAnsi="Verdana"/>
          <w:sz w:val="16"/>
          <w:szCs w:val="16"/>
          <w:lang w:val="es-MX"/>
        </w:rPr>
        <w:t>.</w:t>
      </w:r>
    </w:p>
  </w:footnote>
  <w:footnote w:id="84">
    <w:p w:rsidR="002432C9" w:rsidRPr="003740C6" w:rsidRDefault="002432C9" w:rsidP="0034750F">
      <w:pPr>
        <w:pStyle w:val="FootnoteText"/>
        <w:spacing w:after="120"/>
        <w:jc w:val="both"/>
        <w:rPr>
          <w:rFonts w:ascii="Verdana" w:hAnsi="Verdana"/>
          <w:sz w:val="16"/>
          <w:szCs w:val="16"/>
          <w:lang w:val="en-US"/>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52E8A">
        <w:rPr>
          <w:rFonts w:ascii="Verdana" w:hAnsi="Verdana"/>
          <w:i/>
          <w:sz w:val="16"/>
          <w:szCs w:val="16"/>
        </w:rPr>
        <w:t>Caso de la Comunidad Moiwana Vs. Suriname.</w:t>
      </w:r>
      <w:r w:rsidRPr="007F0D71">
        <w:rPr>
          <w:rFonts w:ascii="Verdana" w:hAnsi="Verdana"/>
          <w:sz w:val="16"/>
          <w:szCs w:val="16"/>
        </w:rPr>
        <w:t xml:space="preserve"> </w:t>
      </w:r>
      <w:r w:rsidRPr="00DC66CD">
        <w:rPr>
          <w:rFonts w:ascii="Verdana" w:hAnsi="Verdana"/>
          <w:i/>
          <w:sz w:val="16"/>
          <w:szCs w:val="16"/>
        </w:rPr>
        <w:t>Excepciones Preliminares, Fondo, Reparaciones y Costas</w:t>
      </w:r>
      <w:r w:rsidRPr="007F0D71">
        <w:rPr>
          <w:rFonts w:ascii="Verdana" w:hAnsi="Verdana"/>
          <w:sz w:val="16"/>
          <w:szCs w:val="16"/>
        </w:rPr>
        <w:t xml:space="preserve">. </w:t>
      </w:r>
      <w:r w:rsidRPr="003740C6">
        <w:rPr>
          <w:rFonts w:ascii="Verdana" w:hAnsi="Verdana"/>
          <w:sz w:val="16"/>
          <w:szCs w:val="16"/>
          <w:lang w:val="en-US"/>
        </w:rPr>
        <w:t>Sentencia 15 de junio de 2005. Serie C No. 124, párrs.  43 y 108.</w:t>
      </w:r>
    </w:p>
  </w:footnote>
  <w:footnote w:id="85">
    <w:p w:rsidR="002432C9" w:rsidRPr="0039359B" w:rsidRDefault="002432C9" w:rsidP="0034750F">
      <w:pPr>
        <w:pStyle w:val="FootnoteText"/>
        <w:spacing w:after="120"/>
        <w:jc w:val="both"/>
        <w:rPr>
          <w:rFonts w:ascii="Verdana" w:hAnsi="Verdana"/>
          <w:sz w:val="16"/>
          <w:szCs w:val="16"/>
          <w:lang w:val="es-CR"/>
        </w:rPr>
      </w:pPr>
      <w:r w:rsidRPr="007F0D71">
        <w:rPr>
          <w:rStyle w:val="FootnoteReference"/>
          <w:rFonts w:ascii="Verdana" w:hAnsi="Verdana"/>
          <w:sz w:val="16"/>
          <w:szCs w:val="16"/>
        </w:rPr>
        <w:footnoteRef/>
      </w:r>
      <w:r w:rsidRPr="007F0D71">
        <w:rPr>
          <w:rFonts w:ascii="Verdana" w:hAnsi="Verdana"/>
          <w:sz w:val="16"/>
          <w:szCs w:val="16"/>
          <w:lang w:val="en-US"/>
        </w:rPr>
        <w:t xml:space="preserve"> </w:t>
      </w:r>
      <w:r>
        <w:rPr>
          <w:rFonts w:ascii="Verdana" w:hAnsi="Verdana"/>
          <w:sz w:val="16"/>
          <w:szCs w:val="16"/>
          <w:lang w:val="en-US"/>
        </w:rPr>
        <w:tab/>
      </w:r>
      <w:r w:rsidRPr="007F0D71">
        <w:rPr>
          <w:rFonts w:ascii="Verdana" w:hAnsi="Verdana"/>
          <w:sz w:val="16"/>
          <w:szCs w:val="16"/>
          <w:lang w:val="en-US"/>
        </w:rPr>
        <w:t xml:space="preserve">Human Rights Committee, Communication No. </w:t>
      </w:r>
      <w:r w:rsidRPr="007F0D71">
        <w:rPr>
          <w:rFonts w:ascii="Verdana" w:hAnsi="Verdana"/>
          <w:bCs/>
          <w:sz w:val="16"/>
          <w:szCs w:val="16"/>
          <w:lang w:val="en-US"/>
        </w:rPr>
        <w:t>24/1977</w:t>
      </w:r>
      <w:r w:rsidRPr="007F0D71">
        <w:rPr>
          <w:rFonts w:ascii="Verdana" w:hAnsi="Verdana"/>
          <w:sz w:val="16"/>
          <w:szCs w:val="16"/>
          <w:lang w:val="en-US"/>
        </w:rPr>
        <w:t xml:space="preserve">, </w:t>
      </w:r>
      <w:r w:rsidRPr="004748C4">
        <w:rPr>
          <w:rFonts w:ascii="Verdana" w:hAnsi="Verdana"/>
          <w:i/>
          <w:sz w:val="16"/>
          <w:szCs w:val="16"/>
          <w:lang w:val="en-US"/>
        </w:rPr>
        <w:t>Lovelace v. Canada</w:t>
      </w:r>
      <w:r w:rsidRPr="007F0D71">
        <w:rPr>
          <w:rFonts w:ascii="Verdana" w:hAnsi="Verdana"/>
          <w:sz w:val="16"/>
          <w:szCs w:val="16"/>
          <w:lang w:val="en-US"/>
        </w:rPr>
        <w:t xml:space="preserve">, Views adopted on 30 July 1981, para.7.3 Human Rights Committee, Communication No. 1367/2005, </w:t>
      </w:r>
      <w:r w:rsidRPr="004748C4">
        <w:rPr>
          <w:rFonts w:ascii="Verdana" w:hAnsi="Verdana"/>
          <w:i/>
          <w:sz w:val="16"/>
          <w:szCs w:val="16"/>
          <w:lang w:val="en-US"/>
        </w:rPr>
        <w:t>Anderson v. Australia</w:t>
      </w:r>
      <w:r w:rsidRPr="007F0D71">
        <w:rPr>
          <w:rFonts w:ascii="Verdana" w:hAnsi="Verdana"/>
          <w:sz w:val="16"/>
          <w:szCs w:val="16"/>
          <w:lang w:val="en-US"/>
        </w:rPr>
        <w:t xml:space="preserve">, decision on admissibility adopted on 31 October 2006, para. 7.3. Human Rights Committee, Communication No. 1424/2005, </w:t>
      </w:r>
      <w:r w:rsidRPr="004748C4">
        <w:rPr>
          <w:rFonts w:ascii="Verdana" w:hAnsi="Verdana"/>
          <w:i/>
          <w:sz w:val="16"/>
          <w:szCs w:val="16"/>
          <w:lang w:val="en-US"/>
        </w:rPr>
        <w:t>Armand Anton v. Algeria</w:t>
      </w:r>
      <w:r w:rsidRPr="007F0D71">
        <w:rPr>
          <w:rFonts w:ascii="Verdana" w:hAnsi="Verdana"/>
          <w:sz w:val="16"/>
          <w:szCs w:val="16"/>
          <w:lang w:val="en-US"/>
        </w:rPr>
        <w:t xml:space="preserve">, decision on admisibility adopted on 1 November 2004, para. </w:t>
      </w:r>
      <w:r w:rsidRPr="0039359B">
        <w:rPr>
          <w:rFonts w:ascii="Verdana" w:hAnsi="Verdana"/>
          <w:sz w:val="16"/>
          <w:szCs w:val="16"/>
          <w:lang w:val="es-CR"/>
        </w:rPr>
        <w:t>8.3.</w:t>
      </w:r>
    </w:p>
  </w:footnote>
  <w:footnote w:id="86">
    <w:p w:rsidR="002432C9" w:rsidRPr="00916C54"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Style w:val="Strong"/>
          <w:rFonts w:ascii="Verdana" w:hAnsi="Verdana"/>
          <w:b w:val="0"/>
          <w:i/>
          <w:color w:val="000000"/>
          <w:sz w:val="16"/>
          <w:szCs w:val="16"/>
        </w:rPr>
        <w:t xml:space="preserve">Caso Salvador Chiriboga Vs. Ecuador. Excepción Preliminar y Fondo. </w:t>
      </w:r>
      <w:r w:rsidRPr="007F0D71">
        <w:rPr>
          <w:rStyle w:val="Strong"/>
          <w:rFonts w:ascii="Verdana" w:hAnsi="Verdana"/>
          <w:b w:val="0"/>
          <w:color w:val="000000"/>
          <w:sz w:val="16"/>
          <w:szCs w:val="16"/>
        </w:rPr>
        <w:t>Sentencia de 6 de mayo de 2008. Serie C No. 179.</w:t>
      </w:r>
      <w:r w:rsidRPr="007F0D71">
        <w:rPr>
          <w:rFonts w:ascii="Verdana" w:hAnsi="Verdana"/>
          <w:sz w:val="16"/>
          <w:szCs w:val="16"/>
          <w:lang w:val="es-MX"/>
        </w:rPr>
        <w:t xml:space="preserve"> párr. 95. </w:t>
      </w:r>
    </w:p>
  </w:footnote>
  <w:footnote w:id="87">
    <w:p w:rsidR="002432C9" w:rsidRPr="00916C54" w:rsidRDefault="002432C9" w:rsidP="0034750F">
      <w:pPr>
        <w:widowControl w:val="0"/>
        <w:autoSpaceDE w:val="0"/>
        <w:autoSpaceDN w:val="0"/>
        <w:adjustRightInd w:val="0"/>
        <w:spacing w:after="120"/>
        <w:jc w:val="both"/>
        <w:rPr>
          <w:rFonts w:ascii="Verdana" w:hAnsi="Verdana"/>
          <w:color w:val="0000FF"/>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Style w:val="Strong"/>
          <w:rFonts w:ascii="Verdana" w:hAnsi="Verdana"/>
          <w:b w:val="0"/>
          <w:i/>
          <w:color w:val="000000"/>
          <w:sz w:val="16"/>
          <w:szCs w:val="16"/>
        </w:rPr>
        <w:t xml:space="preserve">Caso Salvador Chiriboga Vs. Ecuador. Excepción Preliminar y Fondo. </w:t>
      </w:r>
      <w:r w:rsidRPr="007F0D71">
        <w:rPr>
          <w:rStyle w:val="Strong"/>
          <w:rFonts w:ascii="Verdana" w:hAnsi="Verdana"/>
          <w:b w:val="0"/>
          <w:color w:val="000000"/>
          <w:sz w:val="16"/>
          <w:szCs w:val="16"/>
        </w:rPr>
        <w:t>Sentencia de 6 de mayo de 2008. Serie C No. 179.</w:t>
      </w:r>
      <w:r>
        <w:rPr>
          <w:rFonts w:ascii="Verdana" w:hAnsi="Verdana"/>
          <w:sz w:val="16"/>
          <w:szCs w:val="16"/>
          <w:lang w:val="es-MX"/>
        </w:rPr>
        <w:t xml:space="preserve"> párr. 96</w:t>
      </w:r>
      <w:r w:rsidRPr="007F0D71">
        <w:rPr>
          <w:rFonts w:ascii="Verdana" w:hAnsi="Verdana"/>
          <w:sz w:val="16"/>
          <w:szCs w:val="16"/>
          <w:lang w:val="es-MX"/>
        </w:rPr>
        <w:t xml:space="preserve">; </w:t>
      </w:r>
      <w:r>
        <w:rPr>
          <w:rFonts w:ascii="Verdana" w:hAnsi="Verdana"/>
          <w:i/>
          <w:sz w:val="16"/>
          <w:szCs w:val="16"/>
        </w:rPr>
        <w:t>c</w:t>
      </w:r>
      <w:r w:rsidRPr="007F0D71">
        <w:rPr>
          <w:rFonts w:ascii="Verdana" w:hAnsi="Verdana"/>
          <w:i/>
          <w:sz w:val="16"/>
          <w:szCs w:val="16"/>
        </w:rPr>
        <w:t xml:space="preserve">fr. </w:t>
      </w:r>
      <w:r w:rsidRPr="007F0D71">
        <w:rPr>
          <w:rFonts w:ascii="Verdana" w:hAnsi="Verdana"/>
          <w:sz w:val="16"/>
          <w:szCs w:val="16"/>
        </w:rPr>
        <w:t xml:space="preserve">Artículo 1 del Protocolo No. 1 de la Corte Europea; y P.C.I.J </w:t>
      </w:r>
      <w:r w:rsidRPr="007F0D71">
        <w:rPr>
          <w:rFonts w:ascii="Verdana" w:hAnsi="Verdana"/>
          <w:i/>
          <w:sz w:val="16"/>
          <w:szCs w:val="16"/>
        </w:rPr>
        <w:t xml:space="preserve">The Factory At Chorzów (Claim for Indemnity) (The Merits) </w:t>
      </w:r>
      <w:r w:rsidRPr="007F0D71">
        <w:rPr>
          <w:rFonts w:ascii="Verdana" w:hAnsi="Verdana"/>
          <w:sz w:val="16"/>
          <w:szCs w:val="16"/>
        </w:rPr>
        <w:t>Judgment No. 13, p. 40  y 41.</w:t>
      </w:r>
      <w:r w:rsidRPr="007F0D71">
        <w:rPr>
          <w:rFonts w:ascii="Verdana" w:hAnsi="Verdana"/>
          <w:color w:val="0000FF"/>
          <w:sz w:val="16"/>
          <w:szCs w:val="16"/>
        </w:rPr>
        <w:t xml:space="preserve"> </w:t>
      </w:r>
    </w:p>
  </w:footnote>
  <w:footnote w:id="88">
    <w:p w:rsidR="002432C9" w:rsidRPr="007F0D71" w:rsidRDefault="002432C9" w:rsidP="0034750F">
      <w:pPr>
        <w:spacing w:after="120"/>
        <w:jc w:val="both"/>
        <w:rPr>
          <w:rFonts w:ascii="Verdana" w:hAnsi="Verdana"/>
          <w:sz w:val="16"/>
          <w:szCs w:val="16"/>
          <w:lang w:val="en-US"/>
        </w:rPr>
      </w:pPr>
      <w:r w:rsidRPr="007F0D71">
        <w:rPr>
          <w:rStyle w:val="FootnoteReference"/>
          <w:rFonts w:ascii="Verdana" w:hAnsi="Verdana"/>
          <w:b/>
          <w:sz w:val="16"/>
          <w:szCs w:val="16"/>
        </w:rPr>
        <w:footnoteRef/>
      </w:r>
      <w:r w:rsidRPr="007F0D71">
        <w:rPr>
          <w:rFonts w:ascii="Verdana" w:hAnsi="Verdana"/>
          <w:b/>
          <w:sz w:val="16"/>
          <w:szCs w:val="16"/>
        </w:rPr>
        <w:t xml:space="preserve"> </w:t>
      </w:r>
      <w:r>
        <w:rPr>
          <w:rFonts w:ascii="Verdana" w:hAnsi="Verdana"/>
          <w:b/>
          <w:sz w:val="16"/>
          <w:szCs w:val="16"/>
        </w:rPr>
        <w:tab/>
      </w:r>
      <w:r w:rsidRPr="007F0D71">
        <w:rPr>
          <w:rStyle w:val="Strong"/>
          <w:rFonts w:ascii="Verdana" w:hAnsi="Verdana"/>
          <w:b w:val="0"/>
          <w:i/>
          <w:color w:val="000000"/>
          <w:sz w:val="16"/>
          <w:szCs w:val="16"/>
        </w:rPr>
        <w:t xml:space="preserve">Caso Salvador Chiriboga Vs. Ecuador. Excepción Preliminar y Fondo. </w:t>
      </w:r>
      <w:r w:rsidRPr="007F0D71">
        <w:rPr>
          <w:rStyle w:val="Strong"/>
          <w:rFonts w:ascii="Verdana" w:hAnsi="Verdana"/>
          <w:b w:val="0"/>
          <w:color w:val="000000"/>
          <w:sz w:val="16"/>
          <w:szCs w:val="16"/>
        </w:rPr>
        <w:t>Sentencia de 6 de mayo de 2008. Serie C No. 179</w:t>
      </w:r>
      <w:r w:rsidRPr="007F0D71">
        <w:rPr>
          <w:rFonts w:ascii="Verdana" w:hAnsi="Verdana"/>
          <w:b/>
          <w:sz w:val="16"/>
          <w:szCs w:val="16"/>
          <w:lang w:val="es-MX"/>
        </w:rPr>
        <w:t xml:space="preserve">, </w:t>
      </w:r>
      <w:r w:rsidRPr="007F0D71">
        <w:rPr>
          <w:rFonts w:ascii="Verdana" w:hAnsi="Verdana"/>
          <w:sz w:val="16"/>
          <w:szCs w:val="16"/>
          <w:lang w:val="es-MX"/>
        </w:rPr>
        <w:t xml:space="preserve">párr. 97 </w:t>
      </w:r>
      <w:r w:rsidRPr="007F0D71">
        <w:rPr>
          <w:rFonts w:ascii="Verdana" w:hAnsi="Verdana"/>
          <w:i/>
          <w:sz w:val="16"/>
          <w:szCs w:val="16"/>
        </w:rPr>
        <w:t>Cfr</w:t>
      </w:r>
      <w:r w:rsidRPr="007F0D71">
        <w:rPr>
          <w:rFonts w:ascii="Verdana" w:hAnsi="Verdana"/>
          <w:sz w:val="16"/>
          <w:szCs w:val="16"/>
        </w:rPr>
        <w:t xml:space="preserve">. </w:t>
      </w:r>
      <w:r w:rsidRPr="007F0D71">
        <w:rPr>
          <w:rFonts w:ascii="Verdana" w:hAnsi="Verdana"/>
          <w:i/>
          <w:sz w:val="16"/>
          <w:szCs w:val="16"/>
        </w:rPr>
        <w:t>INA Corporation v. The Islamic Republic of Iran</w:t>
      </w:r>
      <w:r w:rsidRPr="007F0D71">
        <w:rPr>
          <w:rFonts w:ascii="Verdana" w:hAnsi="Verdana"/>
          <w:sz w:val="16"/>
          <w:szCs w:val="16"/>
        </w:rPr>
        <w:t>, 8 Iran US CTR, p.373; 75 ILR, p. 595; y Principios 15 y 18 de los “</w:t>
      </w:r>
      <w:r w:rsidRPr="007F0D71">
        <w:rPr>
          <w:rFonts w:ascii="Verdana" w:hAnsi="Verdana"/>
          <w:i/>
          <w:sz w:val="16"/>
          <w:szCs w:val="16"/>
        </w:rPr>
        <w:t xml:space="preserve">Principios y directrices básicos sobre el derecho de las víctimas de violaciones manifiestas de las normas internacionales de derechos humanos y de violaciones graves del derecho internacional humanitario a interponer recursos y obtener reparaciones”, </w:t>
      </w:r>
      <w:r w:rsidRPr="007F0D71">
        <w:rPr>
          <w:rFonts w:ascii="Verdana" w:hAnsi="Verdana"/>
          <w:sz w:val="16"/>
          <w:szCs w:val="16"/>
        </w:rPr>
        <w:t xml:space="preserve">Resolución G.A. Res. 60/147, Preámbulo, UN.Doc. A/RES/60/147 (Dec. 16, 2006).  </w:t>
      </w:r>
      <w:r w:rsidRPr="007F0D71">
        <w:rPr>
          <w:rFonts w:ascii="Verdana" w:hAnsi="Verdana"/>
          <w:i/>
          <w:sz w:val="16"/>
          <w:szCs w:val="16"/>
          <w:lang w:val="en-GB"/>
        </w:rPr>
        <w:t>Cfr.</w:t>
      </w:r>
      <w:r w:rsidRPr="007F0D71">
        <w:rPr>
          <w:rFonts w:ascii="Verdana" w:hAnsi="Verdana"/>
          <w:sz w:val="16"/>
          <w:szCs w:val="16"/>
          <w:lang w:val="en-GB"/>
        </w:rPr>
        <w:t xml:space="preserve"> </w:t>
      </w:r>
      <w:r>
        <w:rPr>
          <w:rFonts w:ascii="Verdana" w:hAnsi="Verdana"/>
          <w:sz w:val="16"/>
          <w:szCs w:val="16"/>
          <w:lang w:val="en-GB"/>
        </w:rPr>
        <w:t>T</w:t>
      </w:r>
      <w:r w:rsidRPr="007F0D71">
        <w:rPr>
          <w:rFonts w:ascii="Verdana" w:hAnsi="Verdana"/>
          <w:sz w:val="16"/>
          <w:szCs w:val="16"/>
          <w:lang w:val="en-GB"/>
        </w:rPr>
        <w:t xml:space="preserve">he WB, Guidelines of the Treatment of Foreing Direct Investment; 1962. </w:t>
      </w:r>
      <w:r w:rsidRPr="007F0D71">
        <w:rPr>
          <w:rFonts w:ascii="Verdana" w:hAnsi="Verdana"/>
          <w:i/>
          <w:sz w:val="16"/>
          <w:szCs w:val="16"/>
          <w:lang w:val="en-US"/>
        </w:rPr>
        <w:t xml:space="preserve">Texaco </w:t>
      </w:r>
      <w:r w:rsidRPr="007F0D71">
        <w:rPr>
          <w:rFonts w:ascii="Verdana" w:hAnsi="Verdana"/>
          <w:sz w:val="16"/>
          <w:szCs w:val="16"/>
          <w:lang w:val="en-US"/>
        </w:rPr>
        <w:t xml:space="preserve">case 17 ILM, 1978, pp. 3, 29; 53 ILR, pp. 389, 489; </w:t>
      </w:r>
      <w:r w:rsidRPr="007F0D71">
        <w:rPr>
          <w:rFonts w:ascii="Verdana" w:hAnsi="Verdana"/>
          <w:i/>
          <w:sz w:val="16"/>
          <w:szCs w:val="16"/>
          <w:lang w:val="en-US"/>
        </w:rPr>
        <w:t>Aminoil</w:t>
      </w:r>
      <w:r w:rsidRPr="007F0D71">
        <w:rPr>
          <w:rFonts w:ascii="Verdana" w:hAnsi="Verdana"/>
          <w:sz w:val="16"/>
          <w:szCs w:val="16"/>
          <w:lang w:val="en-US"/>
        </w:rPr>
        <w:t xml:space="preserve"> case 21 ILM, 1982, p. 1032; 66 ILR, p. 601; y Permanent Sovereignty Resolution; 1974 Charter of Economic Rights Direct and Duties of States.</w:t>
      </w:r>
    </w:p>
  </w:footnote>
  <w:footnote w:id="89">
    <w:p w:rsidR="002432C9" w:rsidRPr="007F0D71" w:rsidRDefault="002432C9" w:rsidP="0034750F">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lang w:val="en-US"/>
        </w:rPr>
        <w:t xml:space="preserve"> </w:t>
      </w:r>
      <w:r>
        <w:rPr>
          <w:rFonts w:ascii="Verdana" w:hAnsi="Verdana"/>
          <w:sz w:val="16"/>
          <w:szCs w:val="16"/>
          <w:lang w:val="en-US"/>
        </w:rPr>
        <w:tab/>
      </w:r>
      <w:r w:rsidRPr="007F0D71">
        <w:rPr>
          <w:rFonts w:ascii="Verdana" w:hAnsi="Verdana"/>
          <w:i/>
          <w:sz w:val="16"/>
          <w:szCs w:val="16"/>
          <w:lang w:val="en-US"/>
        </w:rPr>
        <w:t>Cfr.</w:t>
      </w:r>
      <w:r w:rsidRPr="007F0D71">
        <w:rPr>
          <w:rFonts w:ascii="Verdana" w:hAnsi="Verdana"/>
          <w:sz w:val="16"/>
          <w:szCs w:val="16"/>
          <w:lang w:val="en-US"/>
        </w:rPr>
        <w:t xml:space="preserve"> ECHR,</w:t>
      </w:r>
      <w:r w:rsidRPr="007F0D71">
        <w:rPr>
          <w:rFonts w:ascii="Verdana" w:hAnsi="Verdana"/>
          <w:i/>
          <w:sz w:val="16"/>
          <w:szCs w:val="16"/>
          <w:lang w:val="en-US"/>
        </w:rPr>
        <w:t xml:space="preserve"> James v</w:t>
      </w:r>
      <w:r>
        <w:rPr>
          <w:rFonts w:ascii="Verdana" w:hAnsi="Verdana"/>
          <w:i/>
          <w:sz w:val="16"/>
          <w:szCs w:val="16"/>
          <w:lang w:val="en-US"/>
        </w:rPr>
        <w:t>.</w:t>
      </w:r>
      <w:r w:rsidRPr="007F0D71">
        <w:rPr>
          <w:rFonts w:ascii="Verdana" w:hAnsi="Verdana"/>
          <w:i/>
          <w:sz w:val="16"/>
          <w:szCs w:val="16"/>
          <w:lang w:val="en-US"/>
        </w:rPr>
        <w:t xml:space="preserve"> UK, </w:t>
      </w:r>
      <w:r w:rsidRPr="007F0D71">
        <w:rPr>
          <w:rFonts w:ascii="Verdana" w:hAnsi="Verdana"/>
          <w:sz w:val="16"/>
          <w:szCs w:val="16"/>
          <w:lang w:val="en-US"/>
        </w:rPr>
        <w:t xml:space="preserve">Judgment of February 1985, </w:t>
      </w:r>
      <w:r w:rsidRPr="007F0D71">
        <w:rPr>
          <w:rFonts w:ascii="Verdana" w:hAnsi="Verdana"/>
          <w:iCs/>
          <w:sz w:val="16"/>
          <w:szCs w:val="16"/>
          <w:lang w:val="en-GB"/>
        </w:rPr>
        <w:t xml:space="preserve">Application no. </w:t>
      </w:r>
      <w:r w:rsidRPr="007F0D71">
        <w:rPr>
          <w:rFonts w:ascii="Verdana" w:hAnsi="Verdana"/>
          <w:sz w:val="16"/>
          <w:szCs w:val="16"/>
          <w:lang w:val="en-GB"/>
        </w:rPr>
        <w:t>8793/79,</w:t>
      </w:r>
      <w:r w:rsidRPr="007F0D71">
        <w:rPr>
          <w:rFonts w:ascii="Verdana" w:hAnsi="Verdana"/>
          <w:sz w:val="16"/>
          <w:szCs w:val="16"/>
          <w:lang w:val="en-US"/>
        </w:rPr>
        <w:t xml:space="preserve"> párr. 54; y ECHR,</w:t>
      </w:r>
      <w:r w:rsidRPr="007F0D71">
        <w:rPr>
          <w:rFonts w:ascii="Verdana" w:hAnsi="Verdana"/>
          <w:i/>
          <w:sz w:val="16"/>
          <w:szCs w:val="16"/>
          <w:lang w:val="en-US"/>
        </w:rPr>
        <w:t xml:space="preserve"> Lithgow and Others v. the United Kingdom, </w:t>
      </w:r>
      <w:r w:rsidRPr="007F0D71">
        <w:rPr>
          <w:rFonts w:ascii="Verdana" w:hAnsi="Verdana"/>
          <w:sz w:val="16"/>
          <w:szCs w:val="16"/>
          <w:lang w:val="en-US"/>
        </w:rPr>
        <w:t xml:space="preserve">Judgment of July 1986, </w:t>
      </w:r>
      <w:r w:rsidRPr="007F0D71">
        <w:rPr>
          <w:rFonts w:ascii="Verdana" w:hAnsi="Verdana"/>
          <w:iCs/>
          <w:sz w:val="16"/>
          <w:szCs w:val="16"/>
          <w:lang w:val="en-US"/>
        </w:rPr>
        <w:t>Application no. 9006/80; 9262/81; 9263/81;</w:t>
      </w:r>
      <w:r w:rsidRPr="007F0D71">
        <w:rPr>
          <w:rFonts w:ascii="Verdana" w:hAnsi="Verdana"/>
          <w:sz w:val="16"/>
          <w:szCs w:val="16"/>
          <w:lang w:val="en-US"/>
        </w:rPr>
        <w:t xml:space="preserve"> </w:t>
      </w:r>
      <w:r w:rsidRPr="007F0D71">
        <w:rPr>
          <w:rFonts w:ascii="Verdana" w:hAnsi="Verdana"/>
          <w:iCs/>
          <w:sz w:val="16"/>
          <w:szCs w:val="16"/>
          <w:lang w:val="en-US"/>
        </w:rPr>
        <w:t>9265/81; 9266/81; 9313/81; 9405/8</w:t>
      </w:r>
      <w:r w:rsidRPr="007F0D71">
        <w:rPr>
          <w:rFonts w:ascii="Verdana" w:hAnsi="Verdana"/>
          <w:sz w:val="16"/>
          <w:szCs w:val="16"/>
          <w:lang w:val="en-US"/>
        </w:rPr>
        <w:t xml:space="preserve">, párrs. </w:t>
      </w:r>
      <w:r w:rsidRPr="007F0D71">
        <w:rPr>
          <w:rFonts w:ascii="Verdana" w:hAnsi="Verdana"/>
          <w:sz w:val="16"/>
          <w:szCs w:val="16"/>
        </w:rPr>
        <w:t>114 and 120.</w:t>
      </w:r>
    </w:p>
  </w:footnote>
  <w:footnote w:id="90">
    <w:p w:rsidR="002432C9" w:rsidRPr="007F0D71" w:rsidRDefault="002432C9" w:rsidP="0034750F">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Fonts w:ascii="Verdana" w:hAnsi="Verdana"/>
          <w:i/>
          <w:sz w:val="16"/>
          <w:szCs w:val="16"/>
        </w:rPr>
        <w:t>Cfr.</w:t>
      </w:r>
      <w:r w:rsidRPr="007F0D71">
        <w:rPr>
          <w:rFonts w:ascii="Verdana" w:hAnsi="Verdana"/>
          <w:sz w:val="16"/>
          <w:szCs w:val="16"/>
        </w:rPr>
        <w:t xml:space="preserve"> Resolución 1803 (XVII) de la Asamblea General, de 14 de diciembre de 1962, titulada "Soberanía Permanente sobre los Recursos Naturales " (1962).</w:t>
      </w:r>
    </w:p>
  </w:footnote>
  <w:footnote w:id="91">
    <w:p w:rsidR="002432C9" w:rsidRPr="007F0D71" w:rsidRDefault="002432C9" w:rsidP="0034750F">
      <w:pPr>
        <w:widowControl w:val="0"/>
        <w:autoSpaceDE w:val="0"/>
        <w:autoSpaceDN w:val="0"/>
        <w:adjustRightInd w:val="0"/>
        <w:spacing w:after="120"/>
        <w:jc w:val="both"/>
        <w:rPr>
          <w:rFonts w:ascii="Verdana" w:hAnsi="Verdana"/>
          <w:sz w:val="16"/>
          <w:szCs w:val="16"/>
          <w:lang w:val="en-US"/>
        </w:rPr>
      </w:pPr>
      <w:r w:rsidRPr="007F0D71">
        <w:rPr>
          <w:rStyle w:val="FootnoteReference"/>
          <w:rFonts w:ascii="Verdana" w:hAnsi="Verdana"/>
          <w:sz w:val="16"/>
          <w:szCs w:val="16"/>
        </w:rPr>
        <w:footnoteRef/>
      </w:r>
      <w:r w:rsidRPr="007F0D71">
        <w:rPr>
          <w:rFonts w:ascii="Verdana" w:hAnsi="Verdana"/>
          <w:sz w:val="16"/>
          <w:szCs w:val="16"/>
          <w:lang w:val="en-US"/>
        </w:rPr>
        <w:t xml:space="preserve"> </w:t>
      </w:r>
      <w:r>
        <w:rPr>
          <w:rFonts w:ascii="Verdana" w:hAnsi="Verdana"/>
          <w:sz w:val="16"/>
          <w:szCs w:val="16"/>
          <w:lang w:val="en-US"/>
        </w:rPr>
        <w:tab/>
      </w:r>
      <w:r w:rsidRPr="007F0D71">
        <w:rPr>
          <w:rFonts w:ascii="Verdana" w:hAnsi="Verdana"/>
          <w:i/>
          <w:sz w:val="16"/>
          <w:szCs w:val="16"/>
          <w:lang w:val="en-US"/>
        </w:rPr>
        <w:t>Cfr.</w:t>
      </w:r>
      <w:r w:rsidRPr="007F0D71">
        <w:rPr>
          <w:rFonts w:ascii="Verdana" w:hAnsi="Verdana"/>
          <w:sz w:val="16"/>
          <w:szCs w:val="16"/>
          <w:lang w:val="en-US"/>
        </w:rPr>
        <w:t xml:space="preserve"> International Centre for Settlement of Investment Disputes, Arbitration between </w:t>
      </w:r>
      <w:r w:rsidRPr="007F0D71">
        <w:rPr>
          <w:rFonts w:ascii="Verdana" w:hAnsi="Verdana"/>
          <w:i/>
          <w:sz w:val="16"/>
          <w:szCs w:val="16"/>
          <w:lang w:val="en-US"/>
        </w:rPr>
        <w:t>Compañía del Desarrollo de Santa Elena, S.A. and The Republic Of Costa Rica</w:t>
      </w:r>
      <w:r w:rsidRPr="007F0D71">
        <w:rPr>
          <w:rFonts w:ascii="Verdana" w:hAnsi="Verdana"/>
          <w:sz w:val="16"/>
          <w:szCs w:val="16"/>
          <w:lang w:val="en-US"/>
        </w:rPr>
        <w:t xml:space="preserve"> Case No. ARB/96/1; </w:t>
      </w:r>
      <w:r w:rsidRPr="007F0D71">
        <w:rPr>
          <w:rFonts w:ascii="Verdana" w:hAnsi="Verdana"/>
          <w:i/>
          <w:iCs/>
          <w:sz w:val="16"/>
          <w:szCs w:val="16"/>
          <w:lang w:val="en-US"/>
        </w:rPr>
        <w:t>Asunto BP (British Petroleum Exploration Co. v. Libyan Arab Republic</w:t>
      </w:r>
      <w:r w:rsidRPr="007F0D71">
        <w:rPr>
          <w:rFonts w:ascii="Verdana" w:hAnsi="Verdana"/>
          <w:sz w:val="16"/>
          <w:szCs w:val="16"/>
          <w:lang w:val="en-US"/>
        </w:rPr>
        <w:t xml:space="preserve">, octubre 10 de 1973 y agosto 1 de 1974; </w:t>
      </w:r>
      <w:r w:rsidRPr="007F0D71">
        <w:rPr>
          <w:rFonts w:ascii="Verdana" w:hAnsi="Verdana"/>
          <w:i/>
          <w:iCs/>
          <w:sz w:val="16"/>
          <w:szCs w:val="16"/>
          <w:lang w:val="en-US"/>
        </w:rPr>
        <w:t>Asunto Liamco</w:t>
      </w:r>
      <w:r w:rsidRPr="007F0D71">
        <w:rPr>
          <w:rFonts w:ascii="Verdana" w:hAnsi="Verdana"/>
          <w:sz w:val="16"/>
          <w:szCs w:val="16"/>
          <w:lang w:val="en-US"/>
        </w:rPr>
        <w:t xml:space="preserve">; y P.C.I.J </w:t>
      </w:r>
      <w:r w:rsidRPr="007F0D71">
        <w:rPr>
          <w:rFonts w:ascii="Verdana" w:hAnsi="Verdana"/>
          <w:i/>
          <w:sz w:val="16"/>
          <w:szCs w:val="16"/>
          <w:lang w:val="en-US"/>
        </w:rPr>
        <w:t xml:space="preserve">The Factory At Chorzów, </w:t>
      </w:r>
      <w:r w:rsidRPr="007F0D71">
        <w:rPr>
          <w:rFonts w:ascii="Verdana" w:hAnsi="Verdana"/>
          <w:sz w:val="16"/>
          <w:szCs w:val="16"/>
          <w:lang w:val="en-US"/>
        </w:rPr>
        <w:t>Judgment No. 7 (May 25</w:t>
      </w:r>
      <w:r w:rsidRPr="007F0D71">
        <w:rPr>
          <w:rFonts w:ascii="Verdana" w:hAnsi="Verdana"/>
          <w:sz w:val="16"/>
          <w:szCs w:val="16"/>
          <w:vertAlign w:val="superscript"/>
          <w:lang w:val="en-US"/>
        </w:rPr>
        <w:t>th</w:t>
      </w:r>
      <w:r w:rsidRPr="007F0D71">
        <w:rPr>
          <w:rFonts w:ascii="Verdana" w:hAnsi="Verdana"/>
          <w:sz w:val="16"/>
          <w:szCs w:val="16"/>
          <w:lang w:val="en-US"/>
        </w:rPr>
        <w:t>, 1926).</w:t>
      </w:r>
      <w:r w:rsidRPr="007F0D71">
        <w:rPr>
          <w:rFonts w:ascii="Verdana" w:hAnsi="Verdana"/>
          <w:color w:val="0000FF"/>
          <w:sz w:val="16"/>
          <w:szCs w:val="16"/>
          <w:lang w:val="en-US"/>
        </w:rPr>
        <w:t xml:space="preserve"> </w:t>
      </w:r>
    </w:p>
  </w:footnote>
  <w:footnote w:id="92">
    <w:p w:rsidR="002432C9" w:rsidRPr="007F0D71" w:rsidRDefault="002432C9" w:rsidP="0034750F">
      <w:pPr>
        <w:pStyle w:val="FootnoteText"/>
        <w:spacing w:after="120"/>
        <w:jc w:val="both"/>
        <w:rPr>
          <w:rFonts w:ascii="Verdana" w:hAnsi="Verdana"/>
          <w:b/>
          <w:sz w:val="16"/>
          <w:szCs w:val="16"/>
          <w:lang w:val="es-MX"/>
        </w:rPr>
      </w:pPr>
      <w:r w:rsidRPr="004748C4">
        <w:rPr>
          <w:rStyle w:val="FootnoteReference"/>
          <w:rFonts w:ascii="Verdana" w:hAnsi="Verdana"/>
          <w:sz w:val="16"/>
          <w:szCs w:val="16"/>
        </w:rPr>
        <w:footnoteRef/>
      </w:r>
      <w:r w:rsidRPr="004748C4">
        <w:rPr>
          <w:rFonts w:ascii="Verdana" w:hAnsi="Verdana"/>
          <w:sz w:val="16"/>
          <w:szCs w:val="16"/>
          <w:lang w:val="es-MX"/>
        </w:rPr>
        <w:t xml:space="preserve"> </w:t>
      </w:r>
      <w:r>
        <w:rPr>
          <w:rFonts w:ascii="Verdana" w:hAnsi="Verdana"/>
          <w:b/>
          <w:sz w:val="16"/>
          <w:szCs w:val="16"/>
          <w:lang w:val="es-MX"/>
        </w:rPr>
        <w:tab/>
      </w:r>
      <w:r w:rsidRPr="007F0D71">
        <w:rPr>
          <w:rStyle w:val="Strong"/>
          <w:rFonts w:ascii="Verdana" w:hAnsi="Verdana"/>
          <w:b w:val="0"/>
          <w:i/>
          <w:color w:val="000000"/>
          <w:sz w:val="16"/>
          <w:szCs w:val="16"/>
        </w:rPr>
        <w:t>Caso</w:t>
      </w:r>
      <w:r w:rsidRPr="007F0D71">
        <w:rPr>
          <w:rStyle w:val="Strong"/>
          <w:rFonts w:ascii="Verdana" w:hAnsi="Verdana"/>
          <w:b w:val="0"/>
          <w:color w:val="000000"/>
          <w:sz w:val="16"/>
          <w:szCs w:val="16"/>
        </w:rPr>
        <w:t xml:space="preserve"> </w:t>
      </w:r>
      <w:r w:rsidRPr="007F0D71">
        <w:rPr>
          <w:rStyle w:val="Strong"/>
          <w:rFonts w:ascii="Verdana" w:hAnsi="Verdana"/>
          <w:b w:val="0"/>
          <w:i/>
          <w:color w:val="000000"/>
          <w:sz w:val="16"/>
          <w:szCs w:val="16"/>
        </w:rPr>
        <w:t>del Pueblo Saramaka. Vs. Surinam. Excepciones Preliminares, Fondo, Reparaciones y Costas.</w:t>
      </w:r>
      <w:r w:rsidRPr="007F0D71">
        <w:rPr>
          <w:rStyle w:val="Strong"/>
          <w:rFonts w:ascii="Verdana" w:hAnsi="Verdana"/>
          <w:b w:val="0"/>
          <w:color w:val="000000"/>
          <w:sz w:val="16"/>
          <w:szCs w:val="16"/>
        </w:rPr>
        <w:t xml:space="preserve"> Sentencia de 28 de noviembre de 2007. Serie C No. 172, párr</w:t>
      </w:r>
      <w:r w:rsidRPr="007F0D71">
        <w:rPr>
          <w:rStyle w:val="Strong"/>
          <w:rFonts w:ascii="Verdana" w:hAnsi="Verdana"/>
          <w:color w:val="000000"/>
          <w:sz w:val="16"/>
          <w:szCs w:val="16"/>
        </w:rPr>
        <w:t xml:space="preserve">. </w:t>
      </w:r>
      <w:r w:rsidRPr="007F0D71">
        <w:rPr>
          <w:rFonts w:ascii="Verdana" w:hAnsi="Verdana"/>
          <w:sz w:val="16"/>
          <w:szCs w:val="16"/>
          <w:lang w:val="es-MX"/>
        </w:rPr>
        <w:t xml:space="preserve"> 140.</w:t>
      </w:r>
    </w:p>
  </w:footnote>
  <w:footnote w:id="93">
    <w:p w:rsidR="002432C9" w:rsidRPr="007F0D71" w:rsidRDefault="002432C9" w:rsidP="0034750F">
      <w:pPr>
        <w:pStyle w:val="FootnoteText"/>
        <w:spacing w:after="120"/>
        <w:jc w:val="both"/>
        <w:rPr>
          <w:rFonts w:ascii="Verdana" w:hAnsi="Verdana"/>
          <w:b/>
          <w:sz w:val="16"/>
          <w:szCs w:val="16"/>
        </w:rPr>
      </w:pPr>
    </w:p>
    <w:p w:rsidR="002432C9" w:rsidRPr="007F0D71" w:rsidRDefault="002432C9" w:rsidP="0034750F">
      <w:pPr>
        <w:pStyle w:val="FootnoteText"/>
        <w:spacing w:after="120"/>
        <w:jc w:val="both"/>
        <w:rPr>
          <w:rFonts w:ascii="Verdana" w:hAnsi="Verdana"/>
          <w:b/>
          <w:sz w:val="16"/>
          <w:szCs w:val="16"/>
          <w:lang w:val="es-MX"/>
        </w:rPr>
      </w:pPr>
      <w:r w:rsidRPr="004748C4">
        <w:rPr>
          <w:rStyle w:val="FootnoteReference"/>
          <w:rFonts w:ascii="Verdana" w:hAnsi="Verdana"/>
          <w:sz w:val="16"/>
          <w:szCs w:val="16"/>
        </w:rPr>
        <w:footnoteRef/>
      </w:r>
      <w:r w:rsidRPr="004748C4">
        <w:rPr>
          <w:rFonts w:ascii="Verdana" w:hAnsi="Verdana"/>
          <w:sz w:val="16"/>
          <w:szCs w:val="16"/>
        </w:rPr>
        <w:t xml:space="preserve"> </w:t>
      </w:r>
      <w:r w:rsidRPr="007F0D71">
        <w:rPr>
          <w:rFonts w:ascii="Verdana" w:hAnsi="Verdana"/>
          <w:b/>
          <w:sz w:val="16"/>
          <w:szCs w:val="16"/>
          <w:lang w:val="es-MX"/>
        </w:rPr>
        <w:t xml:space="preserve"> </w:t>
      </w:r>
      <w:r>
        <w:rPr>
          <w:rFonts w:ascii="Verdana" w:hAnsi="Verdana"/>
          <w:b/>
          <w:sz w:val="16"/>
          <w:szCs w:val="16"/>
          <w:lang w:val="es-MX"/>
        </w:rPr>
        <w:tab/>
      </w:r>
      <w:r w:rsidRPr="007F0D71">
        <w:rPr>
          <w:rStyle w:val="Strong"/>
          <w:rFonts w:ascii="Verdana" w:hAnsi="Verdana"/>
          <w:b w:val="0"/>
          <w:i/>
          <w:color w:val="000000"/>
          <w:sz w:val="16"/>
          <w:szCs w:val="16"/>
        </w:rPr>
        <w:t xml:space="preserve">Caso Salvador Chiriboga Vs. Ecuador. Excepción Preliminar y Fondo. </w:t>
      </w:r>
      <w:r w:rsidRPr="007F0D71">
        <w:rPr>
          <w:rStyle w:val="Strong"/>
          <w:rFonts w:ascii="Verdana" w:hAnsi="Verdana"/>
          <w:b w:val="0"/>
          <w:color w:val="000000"/>
          <w:sz w:val="16"/>
          <w:szCs w:val="16"/>
        </w:rPr>
        <w:t xml:space="preserve">Sentencia de 6 de mayo de 2008. Serie C No. 179, Voto concurrente a la Sentencia del Juez Manuel Ventura Robles, pág. 2. </w:t>
      </w:r>
    </w:p>
  </w:footnote>
  <w:footnote w:id="94">
    <w:p w:rsidR="002432C9" w:rsidRPr="007F0D71" w:rsidRDefault="002432C9" w:rsidP="0034750F">
      <w:pPr>
        <w:pStyle w:val="FootnoteText"/>
        <w:spacing w:after="120"/>
        <w:jc w:val="both"/>
        <w:rPr>
          <w:rFonts w:ascii="Verdana" w:hAnsi="Verdana"/>
          <w:sz w:val="16"/>
          <w:szCs w:val="16"/>
          <w:lang w:val="es-MX"/>
        </w:rPr>
      </w:pPr>
      <w:r w:rsidRPr="004748C4">
        <w:rPr>
          <w:rStyle w:val="FootnoteReference"/>
          <w:rFonts w:ascii="Verdana" w:hAnsi="Verdana"/>
          <w:sz w:val="16"/>
          <w:szCs w:val="16"/>
        </w:rPr>
        <w:footnoteRef/>
      </w:r>
      <w:r w:rsidRPr="004748C4">
        <w:rPr>
          <w:rFonts w:ascii="Verdana" w:hAnsi="Verdana"/>
          <w:sz w:val="16"/>
          <w:szCs w:val="16"/>
        </w:rPr>
        <w:t xml:space="preserve"> </w:t>
      </w:r>
      <w:r w:rsidRPr="007F0D71">
        <w:rPr>
          <w:rFonts w:ascii="Verdana" w:hAnsi="Verdana"/>
          <w:b/>
          <w:sz w:val="16"/>
          <w:szCs w:val="16"/>
        </w:rPr>
        <w:tab/>
      </w:r>
      <w:r w:rsidRPr="007F0D71">
        <w:rPr>
          <w:rStyle w:val="Strong"/>
          <w:rFonts w:ascii="Verdana" w:hAnsi="Verdana"/>
          <w:b w:val="0"/>
          <w:i/>
          <w:color w:val="000000"/>
          <w:sz w:val="16"/>
          <w:szCs w:val="16"/>
        </w:rPr>
        <w:t>Caso Comunidad Indígena Xákmok Kásek. Vs. Paraguay. Fondo, Reparaciones y Costas.</w:t>
      </w:r>
      <w:r w:rsidRPr="007F0D71">
        <w:rPr>
          <w:rStyle w:val="Strong"/>
          <w:rFonts w:ascii="Verdana" w:hAnsi="Verdana"/>
          <w:b w:val="0"/>
          <w:color w:val="000000"/>
          <w:sz w:val="16"/>
          <w:szCs w:val="16"/>
        </w:rPr>
        <w:t xml:space="preserve"> Sentencia de 24 de agosto de 2010 Serie C No. 214</w:t>
      </w:r>
      <w:r w:rsidRPr="007F0D71">
        <w:rPr>
          <w:rFonts w:ascii="Verdana" w:hAnsi="Verdana"/>
          <w:b/>
          <w:sz w:val="16"/>
          <w:szCs w:val="16"/>
          <w:lang w:val="es-MX"/>
        </w:rPr>
        <w:t xml:space="preserve"> </w:t>
      </w:r>
      <w:r w:rsidRPr="007F0D71">
        <w:rPr>
          <w:rFonts w:ascii="Verdana" w:hAnsi="Verdana"/>
          <w:sz w:val="16"/>
          <w:szCs w:val="16"/>
          <w:lang w:val="es-MX"/>
        </w:rPr>
        <w:t>párr. 112 y</w:t>
      </w:r>
      <w:r w:rsidRPr="007F0D71">
        <w:rPr>
          <w:rFonts w:ascii="Verdana" w:hAnsi="Verdana"/>
          <w:b/>
          <w:sz w:val="16"/>
          <w:szCs w:val="16"/>
          <w:lang w:val="es-MX"/>
        </w:rPr>
        <w:t xml:space="preserve"> </w:t>
      </w:r>
      <w:r w:rsidRPr="007F0D71">
        <w:rPr>
          <w:rStyle w:val="Strong"/>
          <w:rFonts w:ascii="Verdana" w:hAnsi="Verdana"/>
          <w:b w:val="0"/>
          <w:i/>
          <w:color w:val="000000"/>
          <w:sz w:val="16"/>
          <w:szCs w:val="16"/>
        </w:rPr>
        <w:t xml:space="preserve"> Caso Comunidad Indígena</w:t>
      </w:r>
      <w:r w:rsidRPr="007F0D71">
        <w:rPr>
          <w:rStyle w:val="Strong"/>
          <w:rFonts w:ascii="Verdana" w:hAnsi="Verdana"/>
          <w:i/>
          <w:color w:val="000000"/>
          <w:sz w:val="16"/>
          <w:szCs w:val="16"/>
        </w:rPr>
        <w:t xml:space="preserve"> </w:t>
      </w:r>
      <w:r w:rsidRPr="007F0D71">
        <w:rPr>
          <w:rStyle w:val="Strong"/>
          <w:rFonts w:ascii="Verdana" w:hAnsi="Verdana"/>
          <w:b w:val="0"/>
          <w:i/>
          <w:color w:val="000000"/>
          <w:sz w:val="16"/>
          <w:szCs w:val="16"/>
        </w:rPr>
        <w:t>Sawhoyamaxa Vs. Paraguay. Fondo, Reparaciones y Costas.</w:t>
      </w:r>
      <w:r w:rsidRPr="007F0D71">
        <w:rPr>
          <w:rStyle w:val="Strong"/>
          <w:rFonts w:ascii="Verdana" w:hAnsi="Verdana"/>
          <w:b w:val="0"/>
          <w:color w:val="000000"/>
          <w:sz w:val="16"/>
          <w:szCs w:val="16"/>
        </w:rPr>
        <w:t xml:space="preserve"> Sentencia de 29 de marzo de 2006. Serie C No. 146,</w:t>
      </w:r>
      <w:r w:rsidRPr="007F0D71">
        <w:rPr>
          <w:rFonts w:ascii="Verdana" w:hAnsi="Verdana"/>
          <w:sz w:val="16"/>
          <w:szCs w:val="16"/>
          <w:lang w:val="es-MX"/>
        </w:rPr>
        <w:t xml:space="preserve"> párr. 131</w:t>
      </w:r>
    </w:p>
  </w:footnote>
  <w:footnote w:id="95">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lang w:val="es-MX"/>
        </w:rPr>
        <w:tab/>
      </w:r>
      <w:r w:rsidRPr="007F0D71">
        <w:rPr>
          <w:rFonts w:ascii="Verdana" w:hAnsi="Verdana"/>
          <w:i/>
          <w:sz w:val="16"/>
          <w:szCs w:val="16"/>
          <w:lang w:val="es-MX"/>
        </w:rPr>
        <w:t>Cfr.</w:t>
      </w:r>
      <w:r w:rsidRPr="007F0D71">
        <w:rPr>
          <w:rFonts w:ascii="Verdana" w:hAnsi="Verdana"/>
          <w:sz w:val="16"/>
          <w:szCs w:val="16"/>
          <w:lang w:val="es-MX"/>
        </w:rPr>
        <w:t xml:space="preserve"> </w:t>
      </w:r>
      <w:r w:rsidRPr="007F0D71">
        <w:rPr>
          <w:rStyle w:val="Strong"/>
          <w:rFonts w:ascii="Verdana" w:hAnsi="Verdana"/>
          <w:b w:val="0"/>
          <w:i/>
          <w:color w:val="000000"/>
          <w:sz w:val="16"/>
          <w:szCs w:val="16"/>
        </w:rPr>
        <w:t xml:space="preserve">Caso Comunidad Indígena Yakye Axa Vs. Paraguay. Fondo Reparaciones y Costas. </w:t>
      </w:r>
      <w:r w:rsidRPr="007F0D71">
        <w:rPr>
          <w:rStyle w:val="Strong"/>
          <w:rFonts w:ascii="Verdana" w:hAnsi="Verdana"/>
          <w:b w:val="0"/>
          <w:color w:val="000000"/>
          <w:sz w:val="16"/>
          <w:szCs w:val="16"/>
        </w:rPr>
        <w:t>Sentencia 17 de junio de 2005. Serie C No. 125,</w:t>
      </w:r>
      <w:r w:rsidRPr="007F0D71">
        <w:rPr>
          <w:rFonts w:ascii="Verdana" w:hAnsi="Verdana"/>
          <w:color w:val="000000"/>
          <w:sz w:val="16"/>
          <w:szCs w:val="16"/>
          <w:lang w:val="es-MX"/>
        </w:rPr>
        <w:t xml:space="preserve"> párr. 154 y </w:t>
      </w:r>
      <w:r w:rsidRPr="007F0D71">
        <w:rPr>
          <w:rStyle w:val="Strong"/>
          <w:rFonts w:ascii="Verdana" w:hAnsi="Verdana"/>
          <w:b w:val="0"/>
          <w:i/>
          <w:color w:val="000000"/>
          <w:sz w:val="16"/>
          <w:szCs w:val="16"/>
        </w:rPr>
        <w:t>Caso Comunidad Indígena Sawhoyamaxa Vs. Paraguay. Fondo, Reparaciones y Costas.</w:t>
      </w:r>
      <w:r w:rsidRPr="007F0D71">
        <w:rPr>
          <w:rStyle w:val="Strong"/>
          <w:rFonts w:ascii="Verdana" w:hAnsi="Verdana"/>
          <w:b w:val="0"/>
          <w:color w:val="000000"/>
          <w:sz w:val="16"/>
          <w:szCs w:val="16"/>
        </w:rPr>
        <w:t xml:space="preserve"> Sentencia de 29 de marzo de 2006. Serie C No. 146,</w:t>
      </w:r>
      <w:r w:rsidRPr="007F0D71">
        <w:rPr>
          <w:rFonts w:ascii="Verdana" w:hAnsi="Verdana"/>
          <w:sz w:val="16"/>
          <w:szCs w:val="16"/>
          <w:lang w:val="es-MX"/>
        </w:rPr>
        <w:t xml:space="preserve"> párr. 131</w:t>
      </w:r>
    </w:p>
  </w:footnote>
  <w:footnote w:id="96">
    <w:p w:rsidR="002432C9" w:rsidRPr="007F0D71" w:rsidRDefault="002432C9" w:rsidP="0034750F">
      <w:pPr>
        <w:pStyle w:val="FootnoteText"/>
        <w:spacing w:after="120"/>
        <w:jc w:val="both"/>
        <w:rPr>
          <w:rFonts w:ascii="Verdana" w:hAnsi="Verdana"/>
          <w:color w:val="000000"/>
          <w:sz w:val="16"/>
          <w:szCs w:val="16"/>
          <w:lang w:val="es-CL"/>
        </w:rPr>
      </w:pPr>
      <w:r w:rsidRPr="007F0D71">
        <w:rPr>
          <w:rStyle w:val="FootnoteReference"/>
          <w:rFonts w:ascii="Verdana" w:hAnsi="Verdana"/>
          <w:sz w:val="16"/>
          <w:szCs w:val="16"/>
        </w:rPr>
        <w:footnoteRef/>
      </w:r>
      <w:r w:rsidRPr="007F0D71">
        <w:rPr>
          <w:rFonts w:ascii="Verdana" w:hAnsi="Verdana"/>
          <w:sz w:val="16"/>
          <w:szCs w:val="16"/>
          <w:lang w:val="es-CL"/>
        </w:rPr>
        <w:tab/>
      </w:r>
      <w:r w:rsidRPr="007F0D71">
        <w:rPr>
          <w:rFonts w:ascii="Verdana" w:hAnsi="Verdana"/>
          <w:i/>
          <w:sz w:val="16"/>
          <w:szCs w:val="16"/>
          <w:lang w:val="es-CL"/>
        </w:rPr>
        <w:t>Cfr.</w:t>
      </w:r>
      <w:r w:rsidRPr="007F0D71">
        <w:rPr>
          <w:rFonts w:ascii="Verdana" w:hAnsi="Verdana"/>
          <w:sz w:val="16"/>
          <w:szCs w:val="16"/>
          <w:lang w:val="es-CL"/>
        </w:rPr>
        <w:t xml:space="preserve"> </w:t>
      </w:r>
      <w:r w:rsidRPr="007F0D71">
        <w:rPr>
          <w:rStyle w:val="Strong"/>
          <w:rFonts w:ascii="Verdana" w:hAnsi="Verdana"/>
          <w:b w:val="0"/>
          <w:i/>
          <w:color w:val="000000"/>
          <w:sz w:val="16"/>
          <w:szCs w:val="16"/>
        </w:rPr>
        <w:t xml:space="preserve">Caso Comunidad Indígena Yakye Axa Vs. Paraguay. Fondo Reparaciones y Costas. </w:t>
      </w:r>
      <w:r w:rsidRPr="007F0D71">
        <w:rPr>
          <w:rStyle w:val="Strong"/>
          <w:rFonts w:ascii="Verdana" w:hAnsi="Verdana"/>
          <w:b w:val="0"/>
          <w:color w:val="000000"/>
          <w:sz w:val="16"/>
          <w:szCs w:val="16"/>
        </w:rPr>
        <w:t>Sentencia 17 de junio de 2005. Serie C No. 125</w:t>
      </w:r>
      <w:r w:rsidRPr="007F0D71">
        <w:rPr>
          <w:rFonts w:ascii="Verdana" w:hAnsi="Verdana"/>
          <w:color w:val="000000"/>
          <w:sz w:val="16"/>
          <w:szCs w:val="16"/>
          <w:lang w:val="es-CL"/>
        </w:rPr>
        <w:t xml:space="preserve">, párr. 154, y </w:t>
      </w:r>
      <w:r w:rsidRPr="007F0D71">
        <w:rPr>
          <w:rStyle w:val="Strong"/>
          <w:rFonts w:ascii="Verdana" w:hAnsi="Verdana"/>
          <w:b w:val="0"/>
          <w:i/>
          <w:color w:val="000000"/>
          <w:sz w:val="16"/>
          <w:szCs w:val="16"/>
        </w:rPr>
        <w:t>Caso Comunidad Indígena Sawhoyamaxa Vs. Paraguay. Fondo, Reparaciones y Costas.</w:t>
      </w:r>
      <w:r w:rsidRPr="007F0D71">
        <w:rPr>
          <w:rStyle w:val="Strong"/>
          <w:rFonts w:ascii="Verdana" w:hAnsi="Verdana"/>
          <w:b w:val="0"/>
          <w:color w:val="000000"/>
          <w:sz w:val="16"/>
          <w:szCs w:val="16"/>
        </w:rPr>
        <w:t xml:space="preserve"> Sentencia de 29 de marzo de 2006. Serie C No. 146,</w:t>
      </w:r>
      <w:r w:rsidRPr="007F0D71">
        <w:rPr>
          <w:rFonts w:ascii="Verdana" w:hAnsi="Verdana"/>
          <w:sz w:val="16"/>
          <w:szCs w:val="16"/>
          <w:lang w:val="es-CL"/>
        </w:rPr>
        <w:t xml:space="preserve"> párrs. 131 a 132 y  </w:t>
      </w:r>
      <w:r w:rsidRPr="007F0D71">
        <w:rPr>
          <w:rStyle w:val="Strong"/>
          <w:rFonts w:ascii="Verdana" w:hAnsi="Verdana"/>
          <w:b w:val="0"/>
          <w:i/>
          <w:color w:val="000000"/>
          <w:sz w:val="16"/>
          <w:szCs w:val="16"/>
        </w:rPr>
        <w:t>Comunidad Indígena Xákmok Kásek. Vs. Paraguay. Fondo, Reparaciones y Costas.</w:t>
      </w:r>
      <w:r w:rsidRPr="007F0D71">
        <w:rPr>
          <w:rStyle w:val="Strong"/>
          <w:rFonts w:ascii="Verdana" w:hAnsi="Verdana"/>
          <w:b w:val="0"/>
          <w:color w:val="000000"/>
          <w:sz w:val="16"/>
          <w:szCs w:val="16"/>
        </w:rPr>
        <w:t xml:space="preserve"> Sentencia de 24 de agosto de 2010 Serie C No. 214</w:t>
      </w:r>
      <w:r w:rsidRPr="007F0D71">
        <w:rPr>
          <w:rFonts w:ascii="Verdana" w:hAnsi="Verdana"/>
          <w:sz w:val="16"/>
          <w:szCs w:val="16"/>
          <w:lang w:val="es-MX"/>
        </w:rPr>
        <w:t xml:space="preserve"> párr.</w:t>
      </w:r>
      <w:r w:rsidRPr="007F0D71">
        <w:rPr>
          <w:rFonts w:ascii="Verdana" w:hAnsi="Verdana"/>
          <w:sz w:val="16"/>
          <w:szCs w:val="16"/>
          <w:lang w:val="es-CL"/>
        </w:rPr>
        <w:t xml:space="preserve"> 113</w:t>
      </w:r>
    </w:p>
  </w:footnote>
  <w:footnote w:id="97">
    <w:p w:rsidR="002432C9" w:rsidRPr="007F0D71" w:rsidRDefault="002432C9" w:rsidP="0034750F">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lang w:val="es-CL"/>
        </w:rPr>
        <w:tab/>
      </w:r>
      <w:r w:rsidRPr="007F0D71">
        <w:rPr>
          <w:rFonts w:ascii="Verdana" w:hAnsi="Verdana"/>
          <w:i/>
          <w:sz w:val="16"/>
          <w:szCs w:val="16"/>
          <w:lang w:val="es-CL"/>
        </w:rPr>
        <w:t>Cfr.</w:t>
      </w:r>
      <w:r w:rsidRPr="007F0D71">
        <w:rPr>
          <w:rStyle w:val="Strong"/>
          <w:rFonts w:ascii="Verdana" w:hAnsi="Verdana"/>
          <w:b w:val="0"/>
          <w:i/>
          <w:color w:val="000000"/>
          <w:sz w:val="16"/>
          <w:szCs w:val="16"/>
        </w:rPr>
        <w:t xml:space="preserve"> Caso Comunidad Indígena Sawhoyamaxa Vs. Paraguay. Fondo, Reparaciones y Costas.</w:t>
      </w:r>
      <w:r w:rsidRPr="007F0D71">
        <w:rPr>
          <w:rStyle w:val="Strong"/>
          <w:rFonts w:ascii="Verdana" w:hAnsi="Verdana"/>
          <w:b w:val="0"/>
          <w:color w:val="000000"/>
          <w:sz w:val="16"/>
          <w:szCs w:val="16"/>
        </w:rPr>
        <w:t xml:space="preserve"> Sentencia de 29 de marzo de 2006. Serie C No. 146,</w:t>
      </w:r>
      <w:r w:rsidRPr="007F0D71">
        <w:rPr>
          <w:rFonts w:ascii="Verdana" w:hAnsi="Verdana"/>
          <w:sz w:val="16"/>
          <w:szCs w:val="16"/>
          <w:lang w:val="es-MX"/>
        </w:rPr>
        <w:t xml:space="preserve"> </w:t>
      </w:r>
      <w:r w:rsidRPr="007F0D71">
        <w:rPr>
          <w:rFonts w:ascii="Verdana" w:hAnsi="Verdana"/>
          <w:sz w:val="16"/>
          <w:szCs w:val="16"/>
          <w:lang w:val="es-CL"/>
        </w:rPr>
        <w:t xml:space="preserve">párr. 132 y </w:t>
      </w:r>
      <w:r w:rsidRPr="007F0D71">
        <w:rPr>
          <w:rStyle w:val="Strong"/>
          <w:rFonts w:ascii="Verdana" w:hAnsi="Verdana"/>
          <w:b w:val="0"/>
          <w:i/>
          <w:color w:val="000000"/>
          <w:sz w:val="16"/>
          <w:szCs w:val="16"/>
        </w:rPr>
        <w:t>Comunidad Indígena Xákmok Kásek. Vs. Paraguay. Fondo, Reparaciones y Costas.</w:t>
      </w:r>
      <w:r w:rsidRPr="007F0D71">
        <w:rPr>
          <w:rStyle w:val="Strong"/>
          <w:rFonts w:ascii="Verdana" w:hAnsi="Verdana"/>
          <w:b w:val="0"/>
          <w:color w:val="000000"/>
          <w:sz w:val="16"/>
          <w:szCs w:val="16"/>
        </w:rPr>
        <w:t xml:space="preserve"> Sentencia de 24 de agosto de 2010 Serie C No. 214</w:t>
      </w:r>
      <w:r w:rsidRPr="007F0D71">
        <w:rPr>
          <w:rFonts w:ascii="Verdana" w:hAnsi="Verdana"/>
          <w:b/>
          <w:sz w:val="16"/>
          <w:szCs w:val="16"/>
          <w:lang w:val="es-MX"/>
        </w:rPr>
        <w:t xml:space="preserve"> </w:t>
      </w:r>
      <w:r w:rsidRPr="007F0D71">
        <w:rPr>
          <w:rFonts w:ascii="Verdana" w:hAnsi="Verdana"/>
          <w:sz w:val="16"/>
          <w:szCs w:val="16"/>
          <w:lang w:val="es-MX"/>
        </w:rPr>
        <w:t>párr.</w:t>
      </w:r>
      <w:r w:rsidRPr="007F0D71">
        <w:rPr>
          <w:rFonts w:ascii="Verdana" w:hAnsi="Verdana"/>
          <w:sz w:val="16"/>
          <w:szCs w:val="16"/>
          <w:lang w:val="es-CL"/>
        </w:rPr>
        <w:t xml:space="preserve"> 113.</w:t>
      </w:r>
    </w:p>
  </w:footnote>
  <w:footnote w:id="98">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Pr>
          <w:rFonts w:ascii="Verdana" w:hAnsi="Verdana"/>
          <w:sz w:val="16"/>
          <w:szCs w:val="16"/>
          <w:lang w:val="es-MX"/>
        </w:rPr>
        <w:t>P</w:t>
      </w:r>
      <w:r w:rsidRPr="007F0D71">
        <w:rPr>
          <w:rFonts w:ascii="Verdana" w:hAnsi="Verdana"/>
          <w:sz w:val="16"/>
          <w:szCs w:val="16"/>
          <w:lang w:val="es-MX"/>
        </w:rPr>
        <w:t>árr. 60</w:t>
      </w:r>
      <w:r>
        <w:rPr>
          <w:rFonts w:ascii="Verdana" w:hAnsi="Verdana"/>
          <w:sz w:val="16"/>
          <w:szCs w:val="16"/>
          <w:lang w:val="es-MX"/>
        </w:rPr>
        <w:t xml:space="preserve"> de la Sentencia</w:t>
      </w:r>
      <w:r w:rsidRPr="007F0D71">
        <w:rPr>
          <w:rFonts w:ascii="Verdana" w:hAnsi="Verdana"/>
          <w:sz w:val="16"/>
          <w:szCs w:val="16"/>
          <w:lang w:val="es-MX"/>
        </w:rPr>
        <w:t>.</w:t>
      </w:r>
    </w:p>
  </w:footnote>
  <w:footnote w:id="99">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Pr>
          <w:rFonts w:ascii="Verdana" w:hAnsi="Verdana"/>
          <w:sz w:val="16"/>
          <w:szCs w:val="16"/>
          <w:lang w:val="es-MX"/>
        </w:rPr>
        <w:t>P</w:t>
      </w:r>
      <w:r w:rsidRPr="007F0D71">
        <w:rPr>
          <w:rFonts w:ascii="Verdana" w:hAnsi="Verdana"/>
          <w:sz w:val="16"/>
          <w:szCs w:val="16"/>
          <w:lang w:val="es-MX"/>
        </w:rPr>
        <w:t>árr. 61</w:t>
      </w:r>
      <w:r>
        <w:rPr>
          <w:rFonts w:ascii="Verdana" w:hAnsi="Verdana"/>
          <w:sz w:val="16"/>
          <w:szCs w:val="16"/>
          <w:lang w:val="es-MX"/>
        </w:rPr>
        <w:t xml:space="preserve"> de la Sentencia</w:t>
      </w:r>
      <w:r w:rsidRPr="007F0D71">
        <w:rPr>
          <w:rFonts w:ascii="Verdana" w:hAnsi="Verdana"/>
          <w:sz w:val="16"/>
          <w:szCs w:val="16"/>
          <w:lang w:val="es-MX"/>
        </w:rPr>
        <w:t>.</w:t>
      </w:r>
    </w:p>
  </w:footnote>
  <w:footnote w:id="100">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Pr>
          <w:rFonts w:ascii="Verdana" w:hAnsi="Verdana"/>
          <w:sz w:val="16"/>
          <w:szCs w:val="16"/>
          <w:lang w:val="es-MX"/>
        </w:rPr>
        <w:t>P</w:t>
      </w:r>
      <w:r w:rsidRPr="007F0D71">
        <w:rPr>
          <w:rFonts w:ascii="Verdana" w:hAnsi="Verdana"/>
          <w:sz w:val="16"/>
          <w:szCs w:val="16"/>
          <w:lang w:val="es-MX"/>
        </w:rPr>
        <w:t>árr. 63</w:t>
      </w:r>
      <w:r>
        <w:rPr>
          <w:rFonts w:ascii="Verdana" w:hAnsi="Verdana"/>
          <w:sz w:val="16"/>
          <w:szCs w:val="16"/>
          <w:lang w:val="es-MX"/>
        </w:rPr>
        <w:t xml:space="preserve"> de la Sentencia</w:t>
      </w:r>
      <w:r w:rsidRPr="007F0D71">
        <w:rPr>
          <w:rFonts w:ascii="Verdana" w:hAnsi="Verdana"/>
          <w:sz w:val="16"/>
          <w:szCs w:val="16"/>
          <w:lang w:val="es-MX"/>
        </w:rPr>
        <w:t>.</w:t>
      </w:r>
    </w:p>
  </w:footnote>
  <w:footnote w:id="101">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t xml:space="preserve">Párr. 64 de la </w:t>
      </w:r>
      <w:r w:rsidRPr="007F0D71">
        <w:rPr>
          <w:rFonts w:ascii="Verdana" w:hAnsi="Verdana"/>
          <w:sz w:val="16"/>
          <w:szCs w:val="16"/>
          <w:lang w:val="es-MX"/>
        </w:rPr>
        <w:t>Sentencia</w:t>
      </w:r>
      <w:r>
        <w:rPr>
          <w:rFonts w:ascii="Verdana" w:hAnsi="Verdana"/>
          <w:sz w:val="16"/>
          <w:szCs w:val="16"/>
          <w:lang w:val="es-MX"/>
        </w:rPr>
        <w:t>.</w:t>
      </w:r>
    </w:p>
  </w:footnote>
  <w:footnote w:id="102">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Pr>
          <w:rFonts w:ascii="Verdana" w:hAnsi="Verdana"/>
          <w:sz w:val="16"/>
          <w:szCs w:val="16"/>
          <w:lang w:val="es-MX"/>
        </w:rPr>
        <w:t>P</w:t>
      </w:r>
      <w:r w:rsidRPr="007F0D71">
        <w:rPr>
          <w:rFonts w:ascii="Verdana" w:hAnsi="Verdana"/>
          <w:sz w:val="16"/>
          <w:szCs w:val="16"/>
          <w:lang w:val="es-MX"/>
        </w:rPr>
        <w:t>árr. 65</w:t>
      </w:r>
      <w:r>
        <w:rPr>
          <w:rFonts w:ascii="Verdana" w:hAnsi="Verdana"/>
          <w:sz w:val="16"/>
          <w:szCs w:val="16"/>
          <w:lang w:val="es-MX"/>
        </w:rPr>
        <w:t xml:space="preserve"> de la Sentencia</w:t>
      </w:r>
      <w:r w:rsidRPr="007F0D71">
        <w:rPr>
          <w:rFonts w:ascii="Verdana" w:hAnsi="Verdana"/>
          <w:sz w:val="16"/>
          <w:szCs w:val="16"/>
          <w:lang w:val="es-MX"/>
        </w:rPr>
        <w:t>.</w:t>
      </w:r>
    </w:p>
  </w:footnote>
  <w:footnote w:id="103">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t>Párr. 66 de la Sentencia.</w:t>
      </w:r>
    </w:p>
  </w:footnote>
  <w:footnote w:id="104">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t xml:space="preserve">Párr. 67 de la </w:t>
      </w:r>
      <w:r w:rsidRPr="007F0D71">
        <w:rPr>
          <w:rFonts w:ascii="Verdana" w:hAnsi="Verdana"/>
          <w:sz w:val="16"/>
          <w:szCs w:val="16"/>
          <w:lang w:val="es-MX"/>
        </w:rPr>
        <w:t>Sentencia</w:t>
      </w:r>
      <w:r>
        <w:rPr>
          <w:rFonts w:ascii="Verdana" w:hAnsi="Verdana"/>
          <w:sz w:val="16"/>
          <w:szCs w:val="16"/>
          <w:lang w:val="es-MX"/>
        </w:rPr>
        <w:t>.</w:t>
      </w:r>
    </w:p>
  </w:footnote>
  <w:footnote w:id="105">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t xml:space="preserve">Párr. 68 de la </w:t>
      </w:r>
      <w:r w:rsidRPr="007F0D71">
        <w:rPr>
          <w:rFonts w:ascii="Verdana" w:hAnsi="Verdana"/>
          <w:sz w:val="16"/>
          <w:szCs w:val="16"/>
          <w:lang w:val="es-MX"/>
        </w:rPr>
        <w:t>Sentencia</w:t>
      </w:r>
      <w:r>
        <w:rPr>
          <w:rFonts w:ascii="Verdana" w:hAnsi="Verdana"/>
          <w:sz w:val="16"/>
          <w:szCs w:val="16"/>
          <w:lang w:val="es-MX"/>
        </w:rPr>
        <w:t>.</w:t>
      </w:r>
    </w:p>
  </w:footnote>
  <w:footnote w:id="106">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t>Párr. 69 de la Sentencia.</w:t>
      </w:r>
    </w:p>
  </w:footnote>
  <w:footnote w:id="107">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t>Párr. 70 de la Sentencia.</w:t>
      </w:r>
    </w:p>
  </w:footnote>
  <w:footnote w:id="108">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t xml:space="preserve">Párr. 71 de la </w:t>
      </w:r>
      <w:r w:rsidRPr="007F0D71">
        <w:rPr>
          <w:rFonts w:ascii="Verdana" w:hAnsi="Verdana"/>
          <w:sz w:val="16"/>
          <w:szCs w:val="16"/>
          <w:lang w:val="es-MX"/>
        </w:rPr>
        <w:t>Sentencia</w:t>
      </w:r>
      <w:r>
        <w:rPr>
          <w:rFonts w:ascii="Verdana" w:hAnsi="Verdana"/>
          <w:sz w:val="16"/>
          <w:szCs w:val="16"/>
          <w:lang w:val="es-MX"/>
        </w:rPr>
        <w:t>.</w:t>
      </w:r>
      <w:r w:rsidRPr="007F0D71">
        <w:rPr>
          <w:rFonts w:ascii="Verdana" w:hAnsi="Verdana"/>
          <w:sz w:val="16"/>
          <w:szCs w:val="16"/>
          <w:lang w:val="es-MX"/>
        </w:rPr>
        <w:t xml:space="preserve"> </w:t>
      </w:r>
    </w:p>
  </w:footnote>
  <w:footnote w:id="109">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t xml:space="preserve">Párrs. 72 a 75 de la </w:t>
      </w:r>
      <w:r w:rsidRPr="007F0D71">
        <w:rPr>
          <w:rFonts w:ascii="Verdana" w:hAnsi="Verdana"/>
          <w:sz w:val="16"/>
          <w:szCs w:val="16"/>
          <w:lang w:val="es-MX"/>
        </w:rPr>
        <w:t>Sentencia</w:t>
      </w:r>
      <w:r>
        <w:rPr>
          <w:rFonts w:ascii="Verdana" w:hAnsi="Verdana"/>
          <w:sz w:val="16"/>
          <w:szCs w:val="16"/>
          <w:lang w:val="es-MX"/>
        </w:rPr>
        <w:t>.</w:t>
      </w:r>
    </w:p>
  </w:footnote>
  <w:footnote w:id="110">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t>Párrs. 76 y 77 de la Sentencia.</w:t>
      </w:r>
    </w:p>
  </w:footnote>
  <w:footnote w:id="111">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t xml:space="preserve">Párrs. 78 a 84 de la </w:t>
      </w:r>
      <w:r w:rsidRPr="007F0D71">
        <w:rPr>
          <w:rFonts w:ascii="Verdana" w:hAnsi="Verdana"/>
          <w:sz w:val="16"/>
          <w:szCs w:val="16"/>
          <w:lang w:val="es-MX"/>
        </w:rPr>
        <w:t>Sentencia.</w:t>
      </w:r>
    </w:p>
  </w:footnote>
  <w:footnote w:id="112">
    <w:p w:rsidR="002432C9" w:rsidRPr="003740C6" w:rsidRDefault="002432C9" w:rsidP="0034750F">
      <w:pPr>
        <w:pStyle w:val="FootnoteText"/>
        <w:spacing w:after="120"/>
        <w:contextualSpacing/>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Joost Pauwelyn, ‘The Concept of a ‘Continuing Violation’ of an International Obligation: Selected Problems' [1996] 66:1 BYIL 415, 415.</w:t>
      </w:r>
    </w:p>
    <w:p w:rsidR="002432C9" w:rsidRPr="003740C6" w:rsidRDefault="002432C9" w:rsidP="0034750F">
      <w:pPr>
        <w:pStyle w:val="FootnoteText"/>
        <w:spacing w:after="120"/>
        <w:contextualSpacing/>
        <w:jc w:val="both"/>
        <w:rPr>
          <w:rFonts w:ascii="Verdana" w:hAnsi="Verdana"/>
          <w:sz w:val="16"/>
          <w:szCs w:val="16"/>
          <w:lang w:val="en-US"/>
        </w:rPr>
      </w:pPr>
    </w:p>
  </w:footnote>
  <w:footnote w:id="113">
    <w:p w:rsidR="002432C9" w:rsidRPr="00EE7750" w:rsidRDefault="002432C9" w:rsidP="00EE7750">
      <w:pPr>
        <w:pStyle w:val="FootnoteText"/>
        <w:spacing w:after="120"/>
        <w:jc w:val="both"/>
        <w:rPr>
          <w:rFonts w:ascii="Verdana" w:hAnsi="Verdana"/>
          <w:sz w:val="16"/>
          <w:szCs w:val="16"/>
          <w:lang w:val="es-ES_tradnl"/>
        </w:rPr>
      </w:pPr>
      <w:r w:rsidRPr="00EE7750">
        <w:rPr>
          <w:rStyle w:val="FootnoteReference"/>
          <w:rFonts w:ascii="Verdana" w:hAnsi="Verdana"/>
          <w:sz w:val="16"/>
          <w:szCs w:val="16"/>
        </w:rPr>
        <w:footnoteRef/>
      </w:r>
      <w:r w:rsidRPr="00EE7750">
        <w:rPr>
          <w:rFonts w:ascii="Verdana" w:hAnsi="Verdana"/>
          <w:sz w:val="16"/>
          <w:szCs w:val="16"/>
        </w:rPr>
        <w:t xml:space="preserve"> </w:t>
      </w:r>
      <w:r w:rsidRPr="00EE7750">
        <w:rPr>
          <w:rFonts w:ascii="Verdana" w:hAnsi="Verdana"/>
          <w:sz w:val="16"/>
          <w:szCs w:val="16"/>
        </w:rPr>
        <w:tab/>
      </w:r>
      <w:r>
        <w:rPr>
          <w:rFonts w:ascii="Verdana" w:eastAsiaTheme="minorHAnsi" w:hAnsi="Verdana" w:cs="Verdana"/>
          <w:sz w:val="16"/>
          <w:szCs w:val="16"/>
          <w:lang w:eastAsia="en-US"/>
        </w:rPr>
        <w:t>Artículo 14.2 de los A</w:t>
      </w:r>
      <w:r w:rsidRPr="00EE7750">
        <w:rPr>
          <w:rFonts w:ascii="Verdana" w:eastAsiaTheme="minorHAnsi" w:hAnsi="Verdana" w:cs="Verdana"/>
          <w:sz w:val="16"/>
          <w:szCs w:val="16"/>
          <w:lang w:eastAsia="en-US"/>
        </w:rPr>
        <w:t>rtículos sobre responsabilidad del Estado por hechos internacionalmente ilícitos de la Comisión de Derecho Internacional.</w:t>
      </w:r>
    </w:p>
  </w:footnote>
  <w:footnote w:id="114">
    <w:p w:rsidR="002432C9" w:rsidRPr="00EE7750" w:rsidRDefault="002432C9" w:rsidP="00EE7750">
      <w:pPr>
        <w:pStyle w:val="FootnoteText"/>
        <w:spacing w:after="120"/>
        <w:jc w:val="both"/>
        <w:rPr>
          <w:lang w:val="es-ES_tradnl"/>
        </w:rPr>
      </w:pPr>
      <w:r>
        <w:rPr>
          <w:rStyle w:val="FootnoteReference"/>
        </w:rPr>
        <w:footnoteRef/>
      </w:r>
      <w:r>
        <w:t xml:space="preserve"> </w:t>
      </w:r>
      <w:r>
        <w:rPr>
          <w:lang w:val="es-ES_tradnl"/>
        </w:rPr>
        <w:tab/>
      </w:r>
      <w:r>
        <w:rPr>
          <w:rFonts w:ascii="Verdana" w:eastAsiaTheme="minorHAnsi" w:hAnsi="Verdana" w:cs="Verdana"/>
          <w:sz w:val="16"/>
          <w:szCs w:val="16"/>
          <w:lang w:eastAsia="en-US"/>
        </w:rPr>
        <w:t>Artículo 14.3 de los A</w:t>
      </w:r>
      <w:r w:rsidRPr="00EE7750">
        <w:rPr>
          <w:rFonts w:ascii="Verdana" w:eastAsiaTheme="minorHAnsi" w:hAnsi="Verdana" w:cs="Verdana"/>
          <w:sz w:val="16"/>
          <w:szCs w:val="16"/>
          <w:lang w:eastAsia="en-US"/>
        </w:rPr>
        <w:t>rtículos sobre responsabilidad del Estado por hechos internacionalmente ilícitos de la Comisión de Derecho Internacional.</w:t>
      </w:r>
    </w:p>
  </w:footnote>
  <w:footnote w:id="115">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lang w:val="es-MX"/>
        </w:rPr>
        <w:t xml:space="preserve"> </w:t>
      </w:r>
      <w:r>
        <w:rPr>
          <w:rFonts w:ascii="Verdana" w:hAnsi="Verdana"/>
          <w:sz w:val="16"/>
          <w:szCs w:val="16"/>
          <w:lang w:val="es-MX"/>
        </w:rPr>
        <w:tab/>
      </w:r>
      <w:r w:rsidRPr="007F0D71">
        <w:rPr>
          <w:rFonts w:ascii="Verdana" w:hAnsi="Verdana"/>
          <w:sz w:val="16"/>
          <w:szCs w:val="16"/>
          <w:lang w:val="es-MX"/>
        </w:rPr>
        <w:t>Artículo 15.1 de los Artículos sobre responsabilidad del Estado por hechos internacionalmente ilícitos de la Comisión de Derecho Internacional.</w:t>
      </w:r>
    </w:p>
  </w:footnote>
  <w:footnote w:id="116">
    <w:p w:rsidR="002432C9" w:rsidRPr="007F0D71" w:rsidRDefault="002432C9" w:rsidP="0034750F">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sidRPr="007F0D71">
        <w:rPr>
          <w:rFonts w:ascii="Verdana" w:hAnsi="Verdana"/>
          <w:sz w:val="16"/>
          <w:szCs w:val="16"/>
          <w:lang w:val="es-MX"/>
        </w:rPr>
        <w:t xml:space="preserve"> </w:t>
      </w:r>
      <w:r>
        <w:rPr>
          <w:rFonts w:ascii="Verdana" w:hAnsi="Verdana"/>
          <w:sz w:val="16"/>
          <w:szCs w:val="16"/>
          <w:lang w:val="es-MX"/>
        </w:rPr>
        <w:tab/>
      </w:r>
      <w:r w:rsidRPr="007F0D71">
        <w:rPr>
          <w:rFonts w:ascii="Verdana" w:hAnsi="Verdana"/>
          <w:sz w:val="16"/>
          <w:szCs w:val="16"/>
          <w:lang w:val="es-MX"/>
        </w:rPr>
        <w:t>Artículo 15.2 de los Artículos sobre responsabilidad del Estado por hechos internacionalmente ilícitos de la Comisión de Derecho Internacional.</w:t>
      </w:r>
    </w:p>
  </w:footnote>
  <w:footnote w:id="117">
    <w:p w:rsidR="002432C9" w:rsidRPr="003740C6" w:rsidRDefault="002432C9" w:rsidP="0034750F">
      <w:pPr>
        <w:pStyle w:val="FootnoteText"/>
        <w:spacing w:after="120"/>
        <w:contextualSpacing/>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ILC, ‘Report of the International Law Commission on the Work of its 30th Session’ (8 May–28 July 1978) UN Doc A/33/10, 226.</w:t>
      </w:r>
    </w:p>
  </w:footnote>
  <w:footnote w:id="118">
    <w:p w:rsidR="002432C9" w:rsidRPr="003740C6" w:rsidRDefault="002432C9" w:rsidP="0034750F">
      <w:pPr>
        <w:pStyle w:val="FootnoteText"/>
        <w:spacing w:after="120"/>
        <w:contextualSpacing/>
        <w:jc w:val="both"/>
        <w:rPr>
          <w:rFonts w:ascii="Verdana" w:hAnsi="Verdana"/>
          <w:sz w:val="16"/>
          <w:szCs w:val="16"/>
          <w:lang w:val="en-US"/>
        </w:rPr>
      </w:pPr>
    </w:p>
    <w:p w:rsidR="002432C9" w:rsidRPr="003740C6" w:rsidRDefault="002432C9" w:rsidP="0034750F">
      <w:pPr>
        <w:pStyle w:val="FootnoteText"/>
        <w:spacing w:after="120"/>
        <w:contextualSpacing/>
        <w:jc w:val="both"/>
        <w:rPr>
          <w:rFonts w:ascii="Verdana" w:hAnsi="Verdana"/>
          <w:sz w:val="16"/>
          <w:szCs w:val="16"/>
          <w:lang w:val="en-US"/>
        </w:rPr>
      </w:pPr>
      <w:r w:rsidRPr="007F0D71">
        <w:rPr>
          <w:rStyle w:val="FootnoteReference"/>
          <w:rFonts w:ascii="Verdana" w:hAnsi="Verdana"/>
          <w:sz w:val="16"/>
          <w:szCs w:val="16"/>
        </w:rPr>
        <w:footnoteRef/>
      </w:r>
      <w:r w:rsidRPr="003740C6">
        <w:rPr>
          <w:rFonts w:ascii="Verdana" w:hAnsi="Verdana"/>
          <w:sz w:val="16"/>
          <w:szCs w:val="16"/>
          <w:lang w:val="en-US"/>
        </w:rPr>
        <w:t xml:space="preserve"> </w:t>
      </w:r>
      <w:r w:rsidRPr="003740C6">
        <w:rPr>
          <w:rFonts w:ascii="Verdana" w:hAnsi="Verdana"/>
          <w:sz w:val="16"/>
          <w:szCs w:val="16"/>
          <w:lang w:val="en-US"/>
        </w:rPr>
        <w:tab/>
        <w:t>ILC, ‘Report of the Commission to the General Assembly on the work of its 30th session’ (1978) YB of the ILC, 1978, II, part 2, UN Doc A/CN.4/SER.A/1978/Add.l (Part 2), 93.</w:t>
      </w:r>
    </w:p>
    <w:p w:rsidR="002432C9" w:rsidRPr="003740C6" w:rsidRDefault="002432C9" w:rsidP="0034750F">
      <w:pPr>
        <w:pStyle w:val="FootnoteText"/>
        <w:spacing w:after="120"/>
        <w:contextualSpacing/>
        <w:jc w:val="both"/>
        <w:rPr>
          <w:rFonts w:ascii="Verdana" w:hAnsi="Verdana"/>
          <w:sz w:val="16"/>
          <w:szCs w:val="16"/>
          <w:lang w:val="en-US"/>
        </w:rPr>
      </w:pPr>
    </w:p>
  </w:footnote>
  <w:footnote w:id="119">
    <w:p w:rsidR="002432C9" w:rsidRPr="007F0D71" w:rsidRDefault="002432C9" w:rsidP="0034750F">
      <w:pPr>
        <w:pStyle w:val="FootnoteText"/>
        <w:spacing w:after="120"/>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t xml:space="preserve">Párrs. 107 a 146 de la </w:t>
      </w:r>
      <w:r w:rsidRPr="007F0D71">
        <w:rPr>
          <w:rFonts w:ascii="Verdana" w:hAnsi="Verdana"/>
          <w:sz w:val="16"/>
          <w:szCs w:val="16"/>
          <w:lang w:val="es-MX"/>
        </w:rPr>
        <w:t>Sentencia</w:t>
      </w:r>
      <w:r>
        <w:rPr>
          <w:rFonts w:ascii="Verdana" w:hAnsi="Verdana"/>
          <w:sz w:val="16"/>
          <w:szCs w:val="16"/>
          <w:lang w:val="es-MX"/>
        </w:rPr>
        <w:t>.</w:t>
      </w:r>
    </w:p>
    <w:p w:rsidR="002432C9" w:rsidRPr="007F0D71" w:rsidRDefault="002432C9" w:rsidP="0034750F">
      <w:pPr>
        <w:pStyle w:val="FootnoteText"/>
        <w:spacing w:after="120"/>
        <w:rPr>
          <w:rFonts w:ascii="Verdana" w:hAnsi="Verdana"/>
          <w:sz w:val="16"/>
          <w:szCs w:val="16"/>
          <w:lang w:val="es-MX"/>
        </w:rPr>
      </w:pPr>
    </w:p>
  </w:footnote>
  <w:footnote w:id="120">
    <w:p w:rsidR="002432C9" w:rsidRPr="00916C54" w:rsidRDefault="002432C9" w:rsidP="004748C4">
      <w:pPr>
        <w:pStyle w:val="FootnoteText"/>
        <w:spacing w:after="120"/>
        <w:jc w:val="both"/>
        <w:rPr>
          <w:rFonts w:ascii="Verdana" w:hAnsi="Verdana"/>
          <w:sz w:val="16"/>
          <w:szCs w:val="16"/>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Fonts w:ascii="Verdana" w:hAnsi="Verdana"/>
          <w:i/>
          <w:sz w:val="16"/>
          <w:szCs w:val="16"/>
        </w:rPr>
        <w:t>Caso García Lucero y otras Vs. Chile</w:t>
      </w:r>
      <w:r w:rsidRPr="007F0D71">
        <w:rPr>
          <w:rFonts w:ascii="Verdana" w:hAnsi="Verdana"/>
          <w:sz w:val="16"/>
          <w:szCs w:val="16"/>
        </w:rPr>
        <w:t xml:space="preserve">. </w:t>
      </w:r>
      <w:r w:rsidRPr="004748C4">
        <w:rPr>
          <w:rFonts w:ascii="Verdana" w:hAnsi="Verdana"/>
          <w:i/>
          <w:sz w:val="16"/>
          <w:szCs w:val="16"/>
        </w:rPr>
        <w:t>Excepción Preliminar, Fondo y Reparaciones</w:t>
      </w:r>
      <w:r w:rsidRPr="007F0D71">
        <w:rPr>
          <w:rFonts w:ascii="Verdana" w:hAnsi="Verdana"/>
          <w:sz w:val="16"/>
          <w:szCs w:val="16"/>
        </w:rPr>
        <w:t>. Sentencia de 28 de agosto de 2013. Serie C No. 267, párr. 37.</w:t>
      </w:r>
    </w:p>
  </w:footnote>
  <w:footnote w:id="121">
    <w:p w:rsidR="002432C9" w:rsidRPr="007F0D71" w:rsidRDefault="002432C9" w:rsidP="0034750F">
      <w:pPr>
        <w:pStyle w:val="ListParagraph"/>
        <w:spacing w:after="120"/>
        <w:ind w:left="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Fonts w:ascii="Verdana" w:hAnsi="Verdana"/>
          <w:sz w:val="16"/>
          <w:szCs w:val="16"/>
          <w:lang w:val="es-MX"/>
        </w:rPr>
        <w:t xml:space="preserve">Este precedente </w:t>
      </w:r>
      <w:r>
        <w:rPr>
          <w:rFonts w:ascii="Verdana" w:hAnsi="Verdana"/>
          <w:sz w:val="16"/>
          <w:szCs w:val="16"/>
          <w:lang w:val="es-MX"/>
        </w:rPr>
        <w:t xml:space="preserve">si bien </w:t>
      </w:r>
      <w:r w:rsidRPr="007F0D71">
        <w:rPr>
          <w:rFonts w:ascii="Verdana" w:hAnsi="Verdana"/>
          <w:sz w:val="16"/>
          <w:szCs w:val="16"/>
          <w:lang w:val="es-MX"/>
        </w:rPr>
        <w:t>es correcto</w:t>
      </w:r>
      <w:r>
        <w:rPr>
          <w:rFonts w:ascii="Verdana" w:hAnsi="Verdana"/>
          <w:sz w:val="16"/>
          <w:szCs w:val="16"/>
          <w:lang w:val="es-MX"/>
        </w:rPr>
        <w:t xml:space="preserve"> al resultar incluso</w:t>
      </w:r>
      <w:r w:rsidRPr="007F0D71">
        <w:rPr>
          <w:rFonts w:ascii="Verdana" w:hAnsi="Verdana"/>
          <w:sz w:val="16"/>
          <w:szCs w:val="16"/>
          <w:lang w:val="es-MX"/>
        </w:rPr>
        <w:t xml:space="preserve"> coincidente con lo dispuesto por la Comisión de Derecho Internacional en los Artículos sobre responsabilidad del Estado por hechos internacionalmente ilícitos</w:t>
      </w:r>
      <w:r>
        <w:rPr>
          <w:rFonts w:ascii="Verdana" w:hAnsi="Verdana"/>
          <w:sz w:val="16"/>
          <w:szCs w:val="16"/>
          <w:lang w:val="es-MX"/>
        </w:rPr>
        <w:t>,</w:t>
      </w:r>
      <w:r w:rsidRPr="007F0D71">
        <w:rPr>
          <w:rFonts w:ascii="Verdana" w:hAnsi="Verdana"/>
          <w:sz w:val="16"/>
          <w:szCs w:val="16"/>
          <w:lang w:val="es-MX"/>
        </w:rPr>
        <w:t xml:space="preserve"> que en su Artículo 14.1 dispone que “</w:t>
      </w:r>
      <w:r w:rsidRPr="007F0D71">
        <w:rPr>
          <w:rFonts w:ascii="Verdana" w:hAnsi="Verdana"/>
          <w:i/>
          <w:sz w:val="16"/>
          <w:szCs w:val="16"/>
          <w:lang w:val="es-MX"/>
        </w:rPr>
        <w:t>La violación de una obligación internacional mediante un hecho del Estado que no tenga carácter continuo tiene lugar en el momento en que se produce el hecho, aunque sus efectos perduren</w:t>
      </w:r>
      <w:r w:rsidRPr="007F0D71">
        <w:rPr>
          <w:rFonts w:ascii="Verdana" w:hAnsi="Verdana"/>
          <w:sz w:val="16"/>
          <w:szCs w:val="16"/>
          <w:lang w:val="es-MX"/>
        </w:rPr>
        <w:t>.” Sin embargo, en el presente caso no estamos ante hechos aislados de consumación instantánea sin</w:t>
      </w:r>
      <w:r>
        <w:rPr>
          <w:rFonts w:ascii="Verdana" w:hAnsi="Verdana"/>
          <w:sz w:val="16"/>
          <w:szCs w:val="16"/>
          <w:lang w:val="es-MX"/>
        </w:rPr>
        <w:t>o ante una situación continuada.</w:t>
      </w:r>
    </w:p>
  </w:footnote>
  <w:footnote w:id="122">
    <w:p w:rsidR="002432C9" w:rsidRPr="00EF0CF0" w:rsidRDefault="002432C9" w:rsidP="00EF0CF0">
      <w:pPr>
        <w:pStyle w:val="FootnoteText"/>
        <w:spacing w:after="120"/>
        <w:jc w:val="both"/>
        <w:rPr>
          <w:rFonts w:ascii="Verdana" w:hAnsi="Verdana"/>
          <w:sz w:val="16"/>
          <w:szCs w:val="16"/>
          <w:lang w:val="es-ES_tradnl"/>
        </w:rPr>
      </w:pPr>
      <w:r w:rsidRPr="00EF0CF0">
        <w:rPr>
          <w:rStyle w:val="FootnoteReference"/>
          <w:rFonts w:ascii="Verdana" w:hAnsi="Verdana"/>
          <w:sz w:val="16"/>
          <w:szCs w:val="16"/>
        </w:rPr>
        <w:footnoteRef/>
      </w:r>
      <w:r w:rsidRPr="00EF0CF0">
        <w:rPr>
          <w:rFonts w:ascii="Verdana" w:hAnsi="Verdana"/>
          <w:sz w:val="16"/>
          <w:szCs w:val="16"/>
        </w:rPr>
        <w:t xml:space="preserve"> </w:t>
      </w:r>
      <w:r>
        <w:rPr>
          <w:rFonts w:ascii="Verdana" w:hAnsi="Verdana"/>
          <w:sz w:val="16"/>
          <w:szCs w:val="16"/>
        </w:rPr>
        <w:tab/>
        <w:t xml:space="preserve">Precisamente la Comisión Interamericana somete el caso ante la Corte, </w:t>
      </w:r>
      <w:r w:rsidRPr="00EF0CF0">
        <w:rPr>
          <w:rFonts w:ascii="Verdana" w:hAnsi="Verdana"/>
          <w:i/>
          <w:sz w:val="16"/>
          <w:szCs w:val="16"/>
        </w:rPr>
        <w:t>inter alia</w:t>
      </w:r>
      <w:r>
        <w:rPr>
          <w:rFonts w:ascii="Verdana" w:hAnsi="Verdana"/>
          <w:sz w:val="16"/>
          <w:szCs w:val="16"/>
        </w:rPr>
        <w:t>, por la violación continuada al derecho de propiedad, precisamente por incumplimiento de pago de indemnizaciones por el despojo de las tierras ancestrales. Véase párr. 1 de la Sentencia.</w:t>
      </w:r>
    </w:p>
  </w:footnote>
  <w:footnote w:id="123">
    <w:p w:rsidR="002432C9" w:rsidRPr="007F0D71" w:rsidRDefault="002432C9" w:rsidP="00F80860">
      <w:pPr>
        <w:pStyle w:val="FootnoteText"/>
        <w:spacing w:after="120"/>
        <w:jc w:val="both"/>
        <w:rPr>
          <w:rFonts w:ascii="Verdana" w:hAnsi="Verdana"/>
          <w:sz w:val="16"/>
          <w:szCs w:val="16"/>
          <w:lang w:val="es-MX"/>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Fonts w:ascii="Verdana" w:hAnsi="Verdana"/>
          <w:sz w:val="16"/>
          <w:szCs w:val="16"/>
          <w:lang w:val="es-MX"/>
        </w:rPr>
        <w:t xml:space="preserve">En este sentido, el </w:t>
      </w:r>
      <w:r w:rsidRPr="00F80860">
        <w:rPr>
          <w:rFonts w:ascii="Verdana" w:hAnsi="Verdana"/>
          <w:i/>
          <w:sz w:val="16"/>
          <w:szCs w:val="16"/>
          <w:lang w:val="es-MX"/>
        </w:rPr>
        <w:t>caso Moiwana</w:t>
      </w:r>
      <w:r w:rsidRPr="007F0D71">
        <w:rPr>
          <w:rFonts w:ascii="Verdana" w:hAnsi="Verdana"/>
          <w:sz w:val="16"/>
          <w:szCs w:val="16"/>
          <w:lang w:val="es-MX"/>
        </w:rPr>
        <w:t xml:space="preserve"> encuentra mayor correspondencia con otros precedentes del Tribunal Europeo de Derechos Humanos como los </w:t>
      </w:r>
      <w:r w:rsidRPr="007F0D71">
        <w:rPr>
          <w:rFonts w:ascii="Verdana" w:hAnsi="Verdana" w:cs="Arial"/>
          <w:sz w:val="16"/>
          <w:szCs w:val="16"/>
          <w:lang w:val="es-ES_tradnl" w:eastAsia="de-DE"/>
        </w:rPr>
        <w:t xml:space="preserve">casos </w:t>
      </w:r>
      <w:r>
        <w:rPr>
          <w:rFonts w:ascii="Verdana" w:hAnsi="Verdana" w:cs="Arial"/>
          <w:i/>
          <w:sz w:val="16"/>
          <w:szCs w:val="16"/>
          <w:lang w:val="es-ES_tradnl" w:eastAsia="de-DE"/>
        </w:rPr>
        <w:t>Loizidou Vs</w:t>
      </w:r>
      <w:r w:rsidRPr="007F0D71">
        <w:rPr>
          <w:rFonts w:ascii="Verdana" w:hAnsi="Verdana" w:cs="Arial"/>
          <w:i/>
          <w:sz w:val="16"/>
          <w:szCs w:val="16"/>
          <w:lang w:val="es-ES_tradnl" w:eastAsia="de-DE"/>
        </w:rPr>
        <w:t>. Turquía</w:t>
      </w:r>
      <w:r>
        <w:rPr>
          <w:rFonts w:ascii="Verdana" w:hAnsi="Verdana" w:cs="Arial"/>
          <w:i/>
          <w:sz w:val="16"/>
          <w:szCs w:val="16"/>
          <w:lang w:val="es-ES_tradnl" w:eastAsia="de-DE"/>
        </w:rPr>
        <w:t>,</w:t>
      </w:r>
      <w:r w:rsidRPr="007F0D71">
        <w:rPr>
          <w:rFonts w:ascii="Verdana" w:hAnsi="Verdana" w:cs="Arial"/>
          <w:sz w:val="16"/>
          <w:szCs w:val="16"/>
          <w:lang w:val="es-ES_tradnl" w:eastAsia="de-DE"/>
        </w:rPr>
        <w:t xml:space="preserve"> y </w:t>
      </w:r>
      <w:r>
        <w:rPr>
          <w:rFonts w:ascii="Verdana" w:hAnsi="Verdana" w:cs="Arial"/>
          <w:i/>
          <w:sz w:val="16"/>
          <w:szCs w:val="16"/>
          <w:lang w:val="es-ES_tradnl" w:eastAsia="de-DE"/>
        </w:rPr>
        <w:t>Chipre Vs</w:t>
      </w:r>
      <w:r w:rsidRPr="007F0D71">
        <w:rPr>
          <w:rFonts w:ascii="Verdana" w:hAnsi="Verdana" w:cs="Arial"/>
          <w:i/>
          <w:sz w:val="16"/>
          <w:szCs w:val="16"/>
          <w:lang w:val="es-ES_tradnl" w:eastAsia="de-DE"/>
        </w:rPr>
        <w:t xml:space="preserve">. Turquía </w:t>
      </w:r>
      <w:r w:rsidR="003C5279">
        <w:rPr>
          <w:rFonts w:ascii="Verdana" w:hAnsi="Verdana" w:cs="Arial"/>
          <w:sz w:val="16"/>
          <w:szCs w:val="16"/>
          <w:lang w:val="es-ES_tradnl" w:eastAsia="de-DE"/>
        </w:rPr>
        <w:t xml:space="preserve">(véase </w:t>
      </w:r>
      <w:r w:rsidR="003C5279" w:rsidRPr="003C5279">
        <w:rPr>
          <w:rFonts w:ascii="Verdana" w:hAnsi="Verdana" w:cs="Arial"/>
          <w:i/>
          <w:sz w:val="16"/>
          <w:szCs w:val="16"/>
          <w:lang w:val="es-ES_tradnl" w:eastAsia="de-DE"/>
        </w:rPr>
        <w:t>supra</w:t>
      </w:r>
      <w:r w:rsidR="003C5279">
        <w:rPr>
          <w:rFonts w:ascii="Verdana" w:hAnsi="Verdana" w:cs="Arial"/>
          <w:sz w:val="16"/>
          <w:szCs w:val="16"/>
          <w:lang w:val="es-ES_tradnl" w:eastAsia="de-DE"/>
        </w:rPr>
        <w:t xml:space="preserve"> párr. 43 del presente voto) </w:t>
      </w:r>
      <w:r w:rsidRPr="007F0D71">
        <w:rPr>
          <w:rFonts w:ascii="Verdana" w:hAnsi="Verdana" w:cs="Arial"/>
          <w:sz w:val="16"/>
          <w:szCs w:val="16"/>
          <w:lang w:val="es-ES_tradnl" w:eastAsia="de-DE"/>
        </w:rPr>
        <w:t>más que con casos que se encuentran principalmente relacionados con la falta de pago de indemnizaciones.</w:t>
      </w:r>
    </w:p>
  </w:footnote>
  <w:footnote w:id="124">
    <w:p w:rsidR="002432C9" w:rsidRPr="007F0D71" w:rsidRDefault="002432C9" w:rsidP="007F0D71">
      <w:pPr>
        <w:pStyle w:val="FootnoteText"/>
        <w:jc w:val="both"/>
        <w:rPr>
          <w:rFonts w:ascii="Verdana" w:hAnsi="Verdana"/>
          <w:sz w:val="16"/>
          <w:szCs w:val="16"/>
          <w:lang w:val="es-ES_tradnl"/>
        </w:rPr>
      </w:pPr>
      <w:r w:rsidRPr="007F0D71">
        <w:rPr>
          <w:rStyle w:val="FootnoteReference"/>
          <w:rFonts w:ascii="Verdana" w:hAnsi="Verdana"/>
          <w:sz w:val="16"/>
          <w:szCs w:val="16"/>
        </w:rPr>
        <w:footnoteRef/>
      </w:r>
      <w:r w:rsidRPr="007F0D71">
        <w:rPr>
          <w:rFonts w:ascii="Verdana" w:hAnsi="Verdana"/>
          <w:sz w:val="16"/>
          <w:szCs w:val="16"/>
        </w:rPr>
        <w:t xml:space="preserve"> </w:t>
      </w:r>
      <w:r>
        <w:rPr>
          <w:rFonts w:ascii="Verdana" w:hAnsi="Verdana"/>
          <w:sz w:val="16"/>
          <w:szCs w:val="16"/>
        </w:rPr>
        <w:tab/>
      </w:r>
      <w:r w:rsidRPr="007F0D71">
        <w:rPr>
          <w:rFonts w:ascii="Verdana" w:hAnsi="Verdana"/>
          <w:sz w:val="16"/>
          <w:szCs w:val="16"/>
        </w:rPr>
        <w:t>En el párr. 45 de la Sentencia “la Corte</w:t>
      </w:r>
      <w:r w:rsidRPr="007F0D71">
        <w:rPr>
          <w:rFonts w:ascii="Verdana" w:hAnsi="Verdana"/>
          <w:sz w:val="16"/>
          <w:szCs w:val="16"/>
          <w:lang w:val="es-CR"/>
        </w:rPr>
        <w:t xml:space="preserve"> considera innecesario pronunciarse sobre la referida excepción ya que ha </w:t>
      </w:r>
      <w:r w:rsidRPr="007F0D71">
        <w:rPr>
          <w:rFonts w:ascii="Verdana" w:hAnsi="Verdana" w:cs="Times"/>
          <w:sz w:val="16"/>
          <w:szCs w:val="16"/>
          <w:lang w:val="es-CR"/>
        </w:rPr>
        <w:t xml:space="preserve">sido acogida la excepción </w:t>
      </w:r>
      <w:r w:rsidRPr="007F0D71">
        <w:rPr>
          <w:rFonts w:ascii="Verdana" w:hAnsi="Verdana"/>
          <w:sz w:val="16"/>
          <w:szCs w:val="16"/>
          <w:lang w:val="es-CR"/>
        </w:rPr>
        <w:t xml:space="preserve">por falta de competencia </w:t>
      </w:r>
      <w:r w:rsidRPr="007F0D71">
        <w:rPr>
          <w:rFonts w:ascii="Verdana" w:hAnsi="Verdana" w:cs="Times"/>
          <w:i/>
          <w:sz w:val="16"/>
          <w:szCs w:val="16"/>
          <w:lang w:val="es-CR"/>
        </w:rPr>
        <w:t>ratione temporis</w:t>
      </w:r>
      <w:r w:rsidRPr="007F0D71">
        <w:rPr>
          <w:rFonts w:ascii="Verdana" w:hAnsi="Verdana" w:cs="Times"/>
          <w:sz w:val="16"/>
          <w:szCs w:val="16"/>
          <w:lang w:val="es-CR"/>
        </w:rPr>
        <w:t>, en relación con las indemnizaciones” , lo que queda reflejado en el Resolutivo 2 del fallo.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82D"/>
    <w:multiLevelType w:val="hybridMultilevel"/>
    <w:tmpl w:val="3EB88B3C"/>
    <w:lvl w:ilvl="0" w:tplc="569049DE">
      <w:start w:val="1"/>
      <w:numFmt w:val="decimal"/>
      <w:lvlText w:val="%1."/>
      <w:lvlJc w:val="left"/>
      <w:pPr>
        <w:ind w:left="928" w:hanging="360"/>
      </w:pPr>
      <w:rPr>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401190"/>
    <w:multiLevelType w:val="hybridMultilevel"/>
    <w:tmpl w:val="23A28628"/>
    <w:lvl w:ilvl="0" w:tplc="F35CC710">
      <w:start w:val="1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C6166"/>
    <w:multiLevelType w:val="hybridMultilevel"/>
    <w:tmpl w:val="0A3AB654"/>
    <w:lvl w:ilvl="0" w:tplc="5F78F660">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452B9D"/>
    <w:multiLevelType w:val="hybridMultilevel"/>
    <w:tmpl w:val="DC960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742B1F"/>
    <w:multiLevelType w:val="multilevel"/>
    <w:tmpl w:val="22F8F74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13D5AB9"/>
    <w:multiLevelType w:val="hybridMultilevel"/>
    <w:tmpl w:val="46EE78B4"/>
    <w:lvl w:ilvl="0" w:tplc="080A0001">
      <w:start w:val="1"/>
      <w:numFmt w:val="bullet"/>
      <w:lvlText w:val=""/>
      <w:lvlJc w:val="left"/>
      <w:pPr>
        <w:ind w:left="6173" w:hanging="360"/>
      </w:pPr>
      <w:rPr>
        <w:rFonts w:ascii="Symbol" w:hAnsi="Symbol" w:hint="default"/>
      </w:rPr>
    </w:lvl>
    <w:lvl w:ilvl="1" w:tplc="080A0003" w:tentative="1">
      <w:start w:val="1"/>
      <w:numFmt w:val="bullet"/>
      <w:lvlText w:val="o"/>
      <w:lvlJc w:val="left"/>
      <w:pPr>
        <w:ind w:left="6893" w:hanging="360"/>
      </w:pPr>
      <w:rPr>
        <w:rFonts w:ascii="Courier New" w:hAnsi="Courier New" w:cs="Courier New" w:hint="default"/>
      </w:rPr>
    </w:lvl>
    <w:lvl w:ilvl="2" w:tplc="080A0005" w:tentative="1">
      <w:start w:val="1"/>
      <w:numFmt w:val="bullet"/>
      <w:lvlText w:val=""/>
      <w:lvlJc w:val="left"/>
      <w:pPr>
        <w:ind w:left="7613" w:hanging="360"/>
      </w:pPr>
      <w:rPr>
        <w:rFonts w:ascii="Wingdings" w:hAnsi="Wingdings" w:hint="default"/>
      </w:rPr>
    </w:lvl>
    <w:lvl w:ilvl="3" w:tplc="080A0001" w:tentative="1">
      <w:start w:val="1"/>
      <w:numFmt w:val="bullet"/>
      <w:lvlText w:val=""/>
      <w:lvlJc w:val="left"/>
      <w:pPr>
        <w:ind w:left="8333" w:hanging="360"/>
      </w:pPr>
      <w:rPr>
        <w:rFonts w:ascii="Symbol" w:hAnsi="Symbol" w:hint="default"/>
      </w:rPr>
    </w:lvl>
    <w:lvl w:ilvl="4" w:tplc="080A0003" w:tentative="1">
      <w:start w:val="1"/>
      <w:numFmt w:val="bullet"/>
      <w:lvlText w:val="o"/>
      <w:lvlJc w:val="left"/>
      <w:pPr>
        <w:ind w:left="9053" w:hanging="360"/>
      </w:pPr>
      <w:rPr>
        <w:rFonts w:ascii="Courier New" w:hAnsi="Courier New" w:cs="Courier New" w:hint="default"/>
      </w:rPr>
    </w:lvl>
    <w:lvl w:ilvl="5" w:tplc="080A0005" w:tentative="1">
      <w:start w:val="1"/>
      <w:numFmt w:val="bullet"/>
      <w:lvlText w:val=""/>
      <w:lvlJc w:val="left"/>
      <w:pPr>
        <w:ind w:left="9773" w:hanging="360"/>
      </w:pPr>
      <w:rPr>
        <w:rFonts w:ascii="Wingdings" w:hAnsi="Wingdings" w:hint="default"/>
      </w:rPr>
    </w:lvl>
    <w:lvl w:ilvl="6" w:tplc="080A0001" w:tentative="1">
      <w:start w:val="1"/>
      <w:numFmt w:val="bullet"/>
      <w:lvlText w:val=""/>
      <w:lvlJc w:val="left"/>
      <w:pPr>
        <w:ind w:left="10493" w:hanging="360"/>
      </w:pPr>
      <w:rPr>
        <w:rFonts w:ascii="Symbol" w:hAnsi="Symbol" w:hint="default"/>
      </w:rPr>
    </w:lvl>
    <w:lvl w:ilvl="7" w:tplc="080A0003" w:tentative="1">
      <w:start w:val="1"/>
      <w:numFmt w:val="bullet"/>
      <w:lvlText w:val="o"/>
      <w:lvlJc w:val="left"/>
      <w:pPr>
        <w:ind w:left="11213" w:hanging="360"/>
      </w:pPr>
      <w:rPr>
        <w:rFonts w:ascii="Courier New" w:hAnsi="Courier New" w:cs="Courier New" w:hint="default"/>
      </w:rPr>
    </w:lvl>
    <w:lvl w:ilvl="8" w:tplc="080A0005" w:tentative="1">
      <w:start w:val="1"/>
      <w:numFmt w:val="bullet"/>
      <w:lvlText w:val=""/>
      <w:lvlJc w:val="left"/>
      <w:pPr>
        <w:ind w:left="11933" w:hanging="360"/>
      </w:pPr>
      <w:rPr>
        <w:rFonts w:ascii="Wingdings" w:hAnsi="Wingdings" w:hint="default"/>
      </w:rPr>
    </w:lvl>
  </w:abstractNum>
  <w:abstractNum w:abstractNumId="6">
    <w:nsid w:val="220C5BFC"/>
    <w:multiLevelType w:val="hybridMultilevel"/>
    <w:tmpl w:val="5ABC4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E540A1"/>
    <w:multiLevelType w:val="hybridMultilevel"/>
    <w:tmpl w:val="B2889B02"/>
    <w:lvl w:ilvl="0" w:tplc="75A6C96C">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EE2395"/>
    <w:multiLevelType w:val="hybridMultilevel"/>
    <w:tmpl w:val="759A1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4F0621"/>
    <w:multiLevelType w:val="hybridMultilevel"/>
    <w:tmpl w:val="26DC26FA"/>
    <w:lvl w:ilvl="0" w:tplc="09F2E420">
      <w:start w:val="1"/>
      <w:numFmt w:val="upperLetter"/>
      <w:pStyle w:val="Heading2"/>
      <w:lvlText w:val="%1."/>
      <w:lvlJc w:val="left"/>
      <w:pPr>
        <w:ind w:left="928"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96C4CC9"/>
    <w:multiLevelType w:val="multilevel"/>
    <w:tmpl w:val="DE12F9E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4C63C75"/>
    <w:multiLevelType w:val="hybridMultilevel"/>
    <w:tmpl w:val="E17267A8"/>
    <w:lvl w:ilvl="0" w:tplc="1798A288">
      <w:start w:val="153"/>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682594"/>
    <w:multiLevelType w:val="hybridMultilevel"/>
    <w:tmpl w:val="30408C84"/>
    <w:lvl w:ilvl="0" w:tplc="5DB45856">
      <w:start w:val="135"/>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9440B6"/>
    <w:multiLevelType w:val="hybridMultilevel"/>
    <w:tmpl w:val="ABA09B5E"/>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3E447DAF"/>
    <w:multiLevelType w:val="hybridMultilevel"/>
    <w:tmpl w:val="668C7DD8"/>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C3087D"/>
    <w:multiLevelType w:val="hybridMultilevel"/>
    <w:tmpl w:val="00983C4E"/>
    <w:lvl w:ilvl="0" w:tplc="CF8CC29A">
      <w:start w:val="35"/>
      <w:numFmt w:val="decimal"/>
      <w:lvlText w:val="%1."/>
      <w:lvlJc w:val="left"/>
      <w:pPr>
        <w:ind w:left="360" w:hanging="360"/>
      </w:pPr>
      <w:rPr>
        <w:rFonts w:ascii="Verdana" w:hAnsi="Verdana" w:hint="default"/>
        <w:b w:val="0"/>
        <w:strike w:val="0"/>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4B954CF7"/>
    <w:multiLevelType w:val="hybridMultilevel"/>
    <w:tmpl w:val="F01E4E52"/>
    <w:lvl w:ilvl="0" w:tplc="2F067952">
      <w:start w:val="1"/>
      <w:numFmt w:val="decimal"/>
      <w:lvlText w:val="%1."/>
      <w:lvlJc w:val="left"/>
      <w:pPr>
        <w:ind w:left="8441" w:hanging="360"/>
      </w:pPr>
      <w:rPr>
        <w:b w:val="0"/>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2135B0"/>
    <w:multiLevelType w:val="hybridMultilevel"/>
    <w:tmpl w:val="E1A2C662"/>
    <w:lvl w:ilvl="0" w:tplc="52CE065E">
      <w:start w:val="1"/>
      <w:numFmt w:val="decimal"/>
      <w:lvlText w:val="%1."/>
      <w:lvlJc w:val="left"/>
      <w:pPr>
        <w:ind w:left="928"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2D753D8"/>
    <w:multiLevelType w:val="hybridMultilevel"/>
    <w:tmpl w:val="A8820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3C076A"/>
    <w:multiLevelType w:val="hybridMultilevel"/>
    <w:tmpl w:val="04F691D6"/>
    <w:lvl w:ilvl="0" w:tplc="F800CEA4">
      <w:start w:val="124"/>
      <w:numFmt w:val="decimal"/>
      <w:lvlText w:val="%1."/>
      <w:lvlJc w:val="left"/>
      <w:pPr>
        <w:ind w:left="885" w:hanging="52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A830E7"/>
    <w:multiLevelType w:val="hybridMultilevel"/>
    <w:tmpl w:val="9B42D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8A5134"/>
    <w:multiLevelType w:val="hybridMultilevel"/>
    <w:tmpl w:val="0E06387A"/>
    <w:lvl w:ilvl="0" w:tplc="52CE065E">
      <w:start w:val="1"/>
      <w:numFmt w:val="decimal"/>
      <w:lvlText w:val="%1."/>
      <w:lvlJc w:val="left"/>
      <w:pPr>
        <w:ind w:left="928"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E2707B"/>
    <w:multiLevelType w:val="hybridMultilevel"/>
    <w:tmpl w:val="0F105D44"/>
    <w:lvl w:ilvl="0" w:tplc="BCA46D9A">
      <w:start w:val="14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6D087A"/>
    <w:multiLevelType w:val="hybridMultilevel"/>
    <w:tmpl w:val="A0D478F8"/>
    <w:lvl w:ilvl="0" w:tplc="67EC6696">
      <w:start w:val="17"/>
      <w:numFmt w:val="decimal"/>
      <w:lvlText w:val="%1."/>
      <w:lvlJc w:val="left"/>
      <w:pPr>
        <w:ind w:left="502" w:hanging="360"/>
      </w:pPr>
      <w:rPr>
        <w:rFonts w:hint="default"/>
        <w:b w:val="0"/>
        <w:i w:val="0"/>
        <w:strike w:val="0"/>
        <w:sz w:val="20"/>
        <w:szCs w:val="2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0DB4F86"/>
    <w:multiLevelType w:val="hybridMultilevel"/>
    <w:tmpl w:val="F5985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0C4330"/>
    <w:multiLevelType w:val="hybridMultilevel"/>
    <w:tmpl w:val="0A2CB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1B6362"/>
    <w:multiLevelType w:val="hybridMultilevel"/>
    <w:tmpl w:val="631A7876"/>
    <w:lvl w:ilvl="0" w:tplc="A906D892">
      <w:start w:val="4"/>
      <w:numFmt w:val="decimal"/>
      <w:lvlText w:val="%1."/>
      <w:lvlJc w:val="left"/>
      <w:pPr>
        <w:ind w:left="1068" w:hanging="360"/>
      </w:pPr>
      <w:rPr>
        <w:rFonts w:hint="default"/>
        <w:b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76753A80"/>
    <w:multiLevelType w:val="hybridMultilevel"/>
    <w:tmpl w:val="A510F054"/>
    <w:lvl w:ilvl="0" w:tplc="86D0765A">
      <w:start w:val="1"/>
      <w:numFmt w:val="decimal"/>
      <w:pStyle w:val="PrrafodeSentencia"/>
      <w:lvlText w:val="%1."/>
      <w:lvlJc w:val="left"/>
      <w:pPr>
        <w:ind w:left="0" w:firstLine="0"/>
      </w:pPr>
      <w:rPr>
        <w:rFonts w:ascii="Verdana" w:hAnsi="Verdana" w:hint="default"/>
        <w:b w:val="0"/>
        <w:i w:val="0"/>
        <w:strike w:val="0"/>
        <w:sz w:val="20"/>
        <w:szCs w:val="20"/>
        <w:lang w:val="es-ES_tradnl"/>
      </w:rPr>
    </w:lvl>
    <w:lvl w:ilvl="1" w:tplc="140A0019">
      <w:start w:val="1"/>
      <w:numFmt w:val="lowerLetter"/>
      <w:lvlText w:val="%2."/>
      <w:lvlJc w:val="left"/>
      <w:pPr>
        <w:ind w:left="1298" w:hanging="360"/>
      </w:pPr>
      <w:rPr>
        <w:rFonts w:hint="default"/>
        <w:lang w:val="es-CR"/>
      </w:rPr>
    </w:lvl>
    <w:lvl w:ilvl="2" w:tplc="140A001B">
      <w:start w:val="1"/>
      <w:numFmt w:val="lowerRoman"/>
      <w:lvlText w:val="%3."/>
      <w:lvlJc w:val="right"/>
      <w:pPr>
        <w:ind w:left="2018" w:hanging="180"/>
      </w:pPr>
      <w:rPr>
        <w:i/>
      </w:r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28">
    <w:nsid w:val="76847B2D"/>
    <w:multiLevelType w:val="hybridMultilevel"/>
    <w:tmpl w:val="A10A6A06"/>
    <w:lvl w:ilvl="0" w:tplc="569049DE">
      <w:start w:val="1"/>
      <w:numFmt w:val="decimal"/>
      <w:lvlText w:val="%1."/>
      <w:lvlJc w:val="left"/>
      <w:pPr>
        <w:ind w:left="1070" w:hanging="360"/>
      </w:pPr>
      <w:rPr>
        <w:b w:val="0"/>
        <w:color w:val="auto"/>
        <w:sz w:val="20"/>
        <w:szCs w:val="2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
    <w:nsid w:val="79C96B55"/>
    <w:multiLevelType w:val="hybridMultilevel"/>
    <w:tmpl w:val="003C607E"/>
    <w:lvl w:ilvl="0" w:tplc="569049DE">
      <w:start w:val="1"/>
      <w:numFmt w:val="decimal"/>
      <w:lvlText w:val="%1."/>
      <w:lvlJc w:val="left"/>
      <w:pPr>
        <w:ind w:left="928" w:hanging="360"/>
      </w:pPr>
      <w:rPr>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A2A6659"/>
    <w:multiLevelType w:val="hybridMultilevel"/>
    <w:tmpl w:val="7CE602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6"/>
  </w:num>
  <w:num w:numId="3">
    <w:abstractNumId w:val="20"/>
  </w:num>
  <w:num w:numId="4">
    <w:abstractNumId w:val="27"/>
  </w:num>
  <w:num w:numId="5">
    <w:abstractNumId w:val="10"/>
  </w:num>
  <w:num w:numId="6">
    <w:abstractNumId w:val="3"/>
  </w:num>
  <w:num w:numId="7">
    <w:abstractNumId w:val="4"/>
  </w:num>
  <w:num w:numId="8">
    <w:abstractNumId w:val="8"/>
  </w:num>
  <w:num w:numId="9">
    <w:abstractNumId w:val="24"/>
  </w:num>
  <w:num w:numId="10">
    <w:abstractNumId w:val="21"/>
  </w:num>
  <w:num w:numId="11">
    <w:abstractNumId w:val="17"/>
  </w:num>
  <w:num w:numId="12">
    <w:abstractNumId w:val="19"/>
  </w:num>
  <w:num w:numId="13">
    <w:abstractNumId w:val="12"/>
  </w:num>
  <w:num w:numId="14">
    <w:abstractNumId w:val="22"/>
  </w:num>
  <w:num w:numId="15">
    <w:abstractNumId w:val="29"/>
  </w:num>
  <w:num w:numId="16">
    <w:abstractNumId w:val="0"/>
  </w:num>
  <w:num w:numId="17">
    <w:abstractNumId w:val="11"/>
  </w:num>
  <w:num w:numId="18">
    <w:abstractNumId w:val="28"/>
  </w:num>
  <w:num w:numId="19">
    <w:abstractNumId w:val="6"/>
  </w:num>
  <w:num w:numId="20">
    <w:abstractNumId w:val="1"/>
  </w:num>
  <w:num w:numId="21">
    <w:abstractNumId w:val="30"/>
  </w:num>
  <w:num w:numId="22">
    <w:abstractNumId w:val="23"/>
  </w:num>
  <w:num w:numId="23">
    <w:abstractNumId w:val="18"/>
  </w:num>
  <w:num w:numId="24">
    <w:abstractNumId w:val="13"/>
  </w:num>
  <w:num w:numId="25">
    <w:abstractNumId w:val="25"/>
  </w:num>
  <w:num w:numId="26">
    <w:abstractNumId w:val="15"/>
  </w:num>
  <w:num w:numId="27">
    <w:abstractNumId w:val="14"/>
  </w:num>
  <w:num w:numId="28">
    <w:abstractNumId w:val="2"/>
  </w:num>
  <w:num w:numId="29">
    <w:abstractNumId w:val="9"/>
  </w:num>
  <w:num w:numId="30">
    <w:abstractNumId w:val="2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661F8"/>
    <w:rsid w:val="00020E0A"/>
    <w:rsid w:val="00041FAF"/>
    <w:rsid w:val="00042460"/>
    <w:rsid w:val="000432E3"/>
    <w:rsid w:val="0004542B"/>
    <w:rsid w:val="000542AE"/>
    <w:rsid w:val="0007040B"/>
    <w:rsid w:val="00072A1E"/>
    <w:rsid w:val="00090848"/>
    <w:rsid w:val="000A5D26"/>
    <w:rsid w:val="000B1A3F"/>
    <w:rsid w:val="000E3549"/>
    <w:rsid w:val="000E6DBB"/>
    <w:rsid w:val="000E7846"/>
    <w:rsid w:val="0010194D"/>
    <w:rsid w:val="001152B7"/>
    <w:rsid w:val="001249EC"/>
    <w:rsid w:val="00125A4D"/>
    <w:rsid w:val="00131692"/>
    <w:rsid w:val="00133F2B"/>
    <w:rsid w:val="00134A5D"/>
    <w:rsid w:val="00147BE1"/>
    <w:rsid w:val="00154655"/>
    <w:rsid w:val="001655CC"/>
    <w:rsid w:val="00172DDA"/>
    <w:rsid w:val="0018192E"/>
    <w:rsid w:val="00192411"/>
    <w:rsid w:val="00194F76"/>
    <w:rsid w:val="001A2FFD"/>
    <w:rsid w:val="001A7F53"/>
    <w:rsid w:val="001B211C"/>
    <w:rsid w:val="001C66C5"/>
    <w:rsid w:val="001D3147"/>
    <w:rsid w:val="001D54B3"/>
    <w:rsid w:val="001E4933"/>
    <w:rsid w:val="001F2BD8"/>
    <w:rsid w:val="0020380F"/>
    <w:rsid w:val="002067A9"/>
    <w:rsid w:val="00216053"/>
    <w:rsid w:val="002432C9"/>
    <w:rsid w:val="00255548"/>
    <w:rsid w:val="00274724"/>
    <w:rsid w:val="00277863"/>
    <w:rsid w:val="00283890"/>
    <w:rsid w:val="00287407"/>
    <w:rsid w:val="002938B8"/>
    <w:rsid w:val="00293903"/>
    <w:rsid w:val="002D1441"/>
    <w:rsid w:val="002D3FDA"/>
    <w:rsid w:val="002D718F"/>
    <w:rsid w:val="002D766C"/>
    <w:rsid w:val="002E4C70"/>
    <w:rsid w:val="002E6DDF"/>
    <w:rsid w:val="002F515B"/>
    <w:rsid w:val="00310E95"/>
    <w:rsid w:val="0034750F"/>
    <w:rsid w:val="0035103E"/>
    <w:rsid w:val="0035536F"/>
    <w:rsid w:val="00355578"/>
    <w:rsid w:val="00356051"/>
    <w:rsid w:val="003622C0"/>
    <w:rsid w:val="00366796"/>
    <w:rsid w:val="003740C6"/>
    <w:rsid w:val="0039359B"/>
    <w:rsid w:val="003A287D"/>
    <w:rsid w:val="003A5A92"/>
    <w:rsid w:val="003B3379"/>
    <w:rsid w:val="003B337F"/>
    <w:rsid w:val="003B3700"/>
    <w:rsid w:val="003B47E2"/>
    <w:rsid w:val="003B536E"/>
    <w:rsid w:val="003B7942"/>
    <w:rsid w:val="003C30BE"/>
    <w:rsid w:val="003C4D6F"/>
    <w:rsid w:val="003C5279"/>
    <w:rsid w:val="003C6017"/>
    <w:rsid w:val="003D0AA2"/>
    <w:rsid w:val="003D6634"/>
    <w:rsid w:val="003F2AEA"/>
    <w:rsid w:val="00472BB8"/>
    <w:rsid w:val="004748C4"/>
    <w:rsid w:val="004811A8"/>
    <w:rsid w:val="004A2010"/>
    <w:rsid w:val="004B014D"/>
    <w:rsid w:val="004C73AF"/>
    <w:rsid w:val="004E2B53"/>
    <w:rsid w:val="004F0A0E"/>
    <w:rsid w:val="00503CB4"/>
    <w:rsid w:val="00505F35"/>
    <w:rsid w:val="005135E1"/>
    <w:rsid w:val="00532B3D"/>
    <w:rsid w:val="00536B57"/>
    <w:rsid w:val="005437CC"/>
    <w:rsid w:val="00553D15"/>
    <w:rsid w:val="0056741D"/>
    <w:rsid w:val="005710D4"/>
    <w:rsid w:val="00572ADE"/>
    <w:rsid w:val="00586A0C"/>
    <w:rsid w:val="00591C54"/>
    <w:rsid w:val="005A652E"/>
    <w:rsid w:val="005B0664"/>
    <w:rsid w:val="005B2DE2"/>
    <w:rsid w:val="005C155E"/>
    <w:rsid w:val="005C5C98"/>
    <w:rsid w:val="005C7BD2"/>
    <w:rsid w:val="005E5878"/>
    <w:rsid w:val="005F24F8"/>
    <w:rsid w:val="006009FD"/>
    <w:rsid w:val="00600B29"/>
    <w:rsid w:val="00603CAD"/>
    <w:rsid w:val="006131B7"/>
    <w:rsid w:val="0063105C"/>
    <w:rsid w:val="00632627"/>
    <w:rsid w:val="00635A47"/>
    <w:rsid w:val="00656C6F"/>
    <w:rsid w:val="00681C89"/>
    <w:rsid w:val="006842ED"/>
    <w:rsid w:val="00692A3B"/>
    <w:rsid w:val="006E2FE9"/>
    <w:rsid w:val="006E7272"/>
    <w:rsid w:val="006F32BB"/>
    <w:rsid w:val="007140F9"/>
    <w:rsid w:val="007205CD"/>
    <w:rsid w:val="00723F9D"/>
    <w:rsid w:val="00734F94"/>
    <w:rsid w:val="00735C8D"/>
    <w:rsid w:val="00737013"/>
    <w:rsid w:val="00752E8A"/>
    <w:rsid w:val="00754FD7"/>
    <w:rsid w:val="0076447E"/>
    <w:rsid w:val="007644A4"/>
    <w:rsid w:val="00771E5F"/>
    <w:rsid w:val="007845C1"/>
    <w:rsid w:val="00785301"/>
    <w:rsid w:val="007A15F1"/>
    <w:rsid w:val="007A7146"/>
    <w:rsid w:val="007A7AFA"/>
    <w:rsid w:val="007C267C"/>
    <w:rsid w:val="007D4C02"/>
    <w:rsid w:val="007E4EAF"/>
    <w:rsid w:val="007F0D71"/>
    <w:rsid w:val="007F1A7E"/>
    <w:rsid w:val="0080502F"/>
    <w:rsid w:val="008169E9"/>
    <w:rsid w:val="00817C0A"/>
    <w:rsid w:val="00820F2C"/>
    <w:rsid w:val="00831C60"/>
    <w:rsid w:val="00857B3C"/>
    <w:rsid w:val="00883660"/>
    <w:rsid w:val="0089073E"/>
    <w:rsid w:val="008A077D"/>
    <w:rsid w:val="008B2BE7"/>
    <w:rsid w:val="008C6B1E"/>
    <w:rsid w:val="008F18DE"/>
    <w:rsid w:val="008F5959"/>
    <w:rsid w:val="008F73DC"/>
    <w:rsid w:val="009010A9"/>
    <w:rsid w:val="0090703C"/>
    <w:rsid w:val="00910416"/>
    <w:rsid w:val="00913153"/>
    <w:rsid w:val="00915E18"/>
    <w:rsid w:val="00916C54"/>
    <w:rsid w:val="00921B94"/>
    <w:rsid w:val="00923ACB"/>
    <w:rsid w:val="00925BF1"/>
    <w:rsid w:val="00926964"/>
    <w:rsid w:val="00933F5A"/>
    <w:rsid w:val="00935DA0"/>
    <w:rsid w:val="009407B5"/>
    <w:rsid w:val="009510C7"/>
    <w:rsid w:val="00971951"/>
    <w:rsid w:val="00973A70"/>
    <w:rsid w:val="009823FC"/>
    <w:rsid w:val="00984C8A"/>
    <w:rsid w:val="009966FE"/>
    <w:rsid w:val="009A4529"/>
    <w:rsid w:val="009B0204"/>
    <w:rsid w:val="009D1109"/>
    <w:rsid w:val="009D269A"/>
    <w:rsid w:val="00A46CEF"/>
    <w:rsid w:val="00A518C9"/>
    <w:rsid w:val="00A618BE"/>
    <w:rsid w:val="00A66F67"/>
    <w:rsid w:val="00A80E39"/>
    <w:rsid w:val="00A94E2E"/>
    <w:rsid w:val="00A96514"/>
    <w:rsid w:val="00A97893"/>
    <w:rsid w:val="00AB5078"/>
    <w:rsid w:val="00AC0B37"/>
    <w:rsid w:val="00AD336D"/>
    <w:rsid w:val="00AD7CC1"/>
    <w:rsid w:val="00AE6AC4"/>
    <w:rsid w:val="00AF6171"/>
    <w:rsid w:val="00AF761F"/>
    <w:rsid w:val="00B04026"/>
    <w:rsid w:val="00B139CD"/>
    <w:rsid w:val="00B515B2"/>
    <w:rsid w:val="00B51DC9"/>
    <w:rsid w:val="00B66C0B"/>
    <w:rsid w:val="00B91145"/>
    <w:rsid w:val="00B97540"/>
    <w:rsid w:val="00BA4C2E"/>
    <w:rsid w:val="00BA783A"/>
    <w:rsid w:val="00BC3F15"/>
    <w:rsid w:val="00BE4E47"/>
    <w:rsid w:val="00BF2679"/>
    <w:rsid w:val="00C02274"/>
    <w:rsid w:val="00C03FB5"/>
    <w:rsid w:val="00C077D4"/>
    <w:rsid w:val="00C23DC6"/>
    <w:rsid w:val="00C34050"/>
    <w:rsid w:val="00C43897"/>
    <w:rsid w:val="00C51971"/>
    <w:rsid w:val="00C527C0"/>
    <w:rsid w:val="00C679DF"/>
    <w:rsid w:val="00C85A32"/>
    <w:rsid w:val="00C91719"/>
    <w:rsid w:val="00C95107"/>
    <w:rsid w:val="00CA003B"/>
    <w:rsid w:val="00CA011E"/>
    <w:rsid w:val="00CB1427"/>
    <w:rsid w:val="00CB2C51"/>
    <w:rsid w:val="00CB4E68"/>
    <w:rsid w:val="00CC6BC5"/>
    <w:rsid w:val="00CD1E63"/>
    <w:rsid w:val="00CD42EA"/>
    <w:rsid w:val="00CF632C"/>
    <w:rsid w:val="00D02F55"/>
    <w:rsid w:val="00D07DBF"/>
    <w:rsid w:val="00D30ACA"/>
    <w:rsid w:val="00D35232"/>
    <w:rsid w:val="00D40FAC"/>
    <w:rsid w:val="00D438C4"/>
    <w:rsid w:val="00D5125A"/>
    <w:rsid w:val="00D6179B"/>
    <w:rsid w:val="00D61EB2"/>
    <w:rsid w:val="00D661F8"/>
    <w:rsid w:val="00D8510E"/>
    <w:rsid w:val="00DB4906"/>
    <w:rsid w:val="00DB73D2"/>
    <w:rsid w:val="00DC66CD"/>
    <w:rsid w:val="00DF7694"/>
    <w:rsid w:val="00DF77DD"/>
    <w:rsid w:val="00DF7C20"/>
    <w:rsid w:val="00E01171"/>
    <w:rsid w:val="00E15739"/>
    <w:rsid w:val="00E557E1"/>
    <w:rsid w:val="00E60EE1"/>
    <w:rsid w:val="00E61808"/>
    <w:rsid w:val="00E668AD"/>
    <w:rsid w:val="00E7077E"/>
    <w:rsid w:val="00E8685E"/>
    <w:rsid w:val="00EA2519"/>
    <w:rsid w:val="00EA7FB5"/>
    <w:rsid w:val="00EB4305"/>
    <w:rsid w:val="00EC7AA1"/>
    <w:rsid w:val="00ED23F8"/>
    <w:rsid w:val="00ED2B82"/>
    <w:rsid w:val="00EE4CA6"/>
    <w:rsid w:val="00EE7750"/>
    <w:rsid w:val="00EF0CF0"/>
    <w:rsid w:val="00EF2A03"/>
    <w:rsid w:val="00F00D8F"/>
    <w:rsid w:val="00F06748"/>
    <w:rsid w:val="00F06F8B"/>
    <w:rsid w:val="00F15F56"/>
    <w:rsid w:val="00F16B9D"/>
    <w:rsid w:val="00F2092E"/>
    <w:rsid w:val="00F23B73"/>
    <w:rsid w:val="00F277C1"/>
    <w:rsid w:val="00F31AAF"/>
    <w:rsid w:val="00F4731A"/>
    <w:rsid w:val="00F517A6"/>
    <w:rsid w:val="00F80860"/>
    <w:rsid w:val="00F8171E"/>
    <w:rsid w:val="00F8296D"/>
    <w:rsid w:val="00F91DBC"/>
    <w:rsid w:val="00F94926"/>
    <w:rsid w:val="00FA72DC"/>
    <w:rsid w:val="00FB0231"/>
    <w:rsid w:val="00FB2F2C"/>
    <w:rsid w:val="00FC3A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F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unhideWhenUsed/>
    <w:qFormat/>
    <w:rsid w:val="001D54B3"/>
    <w:pPr>
      <w:keepNext/>
      <w:keepLines/>
      <w:numPr>
        <w:numId w:val="29"/>
      </w:numPr>
      <w:spacing w:before="240" w:after="240"/>
      <w:jc w:val="both"/>
      <w:outlineLvl w:val="1"/>
    </w:pPr>
    <w:rPr>
      <w:rFonts w:ascii="Verdana" w:hAnsi="Verdana"/>
      <w:b/>
      <w:bCs/>
      <w:i/>
      <w:noProof/>
      <w:sz w:val="20"/>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
    <w:basedOn w:val="Normal"/>
    <w:link w:val="ListParagraphChar"/>
    <w:uiPriority w:val="99"/>
    <w:qFormat/>
    <w:rsid w:val="00D661F8"/>
    <w:pPr>
      <w:ind w:left="720"/>
      <w:contextualSpacing/>
    </w:pPr>
  </w:style>
  <w:style w:type="character" w:customStyle="1" w:styleId="ListParagraphChar">
    <w:name w:val="List Paragraph Char"/>
    <w:aliases w:val="Footnote Char,List Paragraph1 Char,Colorful List - Accent 11 Char"/>
    <w:basedOn w:val="DefaultParagraphFont"/>
    <w:link w:val="ListParagraph"/>
    <w:uiPriority w:val="99"/>
    <w:locked/>
    <w:rsid w:val="00F2092E"/>
    <w:rPr>
      <w:rFonts w:ascii="Times New Roman" w:eastAsia="Times New Roman" w:hAnsi="Times New Roman" w:cs="Times New Roman"/>
      <w:sz w:val="24"/>
      <w:szCs w:val="24"/>
      <w:lang w:val="es-ES" w:eastAsia="es-ES"/>
    </w:rPr>
  </w:style>
  <w:style w:type="paragraph" w:customStyle="1" w:styleId="PrrafodeSentencia">
    <w:name w:val="*. Párrafo de Sentencia"/>
    <w:basedOn w:val="FootnoteText"/>
    <w:autoRedefine/>
    <w:qFormat/>
    <w:rsid w:val="00F2092E"/>
    <w:pPr>
      <w:numPr>
        <w:numId w:val="4"/>
      </w:numPr>
      <w:spacing w:before="120" w:after="120"/>
      <w:jc w:val="both"/>
    </w:pPr>
    <w:rPr>
      <w:rFonts w:ascii="Verdana" w:eastAsia="Batang" w:hAnsi="Verdana" w:cs="Tahoma"/>
      <w:lang w:val="es-ES_tradnl" w:eastAsia="es-MX"/>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FA Fu?notente,Ca,C,ft"/>
    <w:basedOn w:val="Normal"/>
    <w:link w:val="FootnoteTextChar"/>
    <w:uiPriority w:val="99"/>
    <w:unhideWhenUsed/>
    <w:qFormat/>
    <w:rsid w:val="00F2092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F2092E"/>
    <w:rPr>
      <w:rFonts w:ascii="Times New Roman" w:eastAsia="Times New Roman" w:hAnsi="Times New Roman" w:cs="Times New Roman"/>
      <w:sz w:val="20"/>
      <w:szCs w:val="20"/>
      <w:lang w:val="es-ES" w:eastAsia="es-ES"/>
    </w:rPr>
  </w:style>
  <w:style w:type="character" w:styleId="FootnoteReference">
    <w:name w:val="footnote reference"/>
    <w:aliases w:val="Texto de nota al pie,Appel note de bas de page,Footnotes refss,f,Footnote number,referencia nota al pie,BVI fnr,4_G,16 Point,Superscript 6 Point,Texto nota al pie,Footnote Reference Char3,Footnote Reference Char1 Char,Footnote symbol"/>
    <w:basedOn w:val="DefaultParagraphFont"/>
    <w:qFormat/>
    <w:rsid w:val="002E6DDF"/>
    <w:rPr>
      <w:vertAlign w:val="superscript"/>
    </w:rPr>
  </w:style>
  <w:style w:type="paragraph" w:styleId="BodyText">
    <w:name w:val="Body Text"/>
    <w:basedOn w:val="Normal"/>
    <w:link w:val="BodyTextChar"/>
    <w:rsid w:val="001C66C5"/>
    <w:pPr>
      <w:widowControl w:val="0"/>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rsid w:val="001C66C5"/>
    <w:rPr>
      <w:rFonts w:ascii="Times New Roman" w:eastAsia="Times New Roman" w:hAnsi="Times New Roman" w:cs="Times New Roman"/>
      <w:sz w:val="24"/>
      <w:szCs w:val="20"/>
      <w:lang w:val="es-ES" w:eastAsia="es-ES"/>
    </w:rPr>
  </w:style>
  <w:style w:type="paragraph" w:customStyle="1" w:styleId="Footnotes">
    <w:name w:val="**. Footnotes"/>
    <w:basedOn w:val="FootnoteText"/>
    <w:link w:val="FootnotesChar"/>
    <w:autoRedefine/>
    <w:qFormat/>
    <w:rsid w:val="008C6B1E"/>
    <w:pPr>
      <w:spacing w:before="120" w:after="120"/>
      <w:jc w:val="both"/>
    </w:pPr>
    <w:rPr>
      <w:rFonts w:ascii="Verdana" w:hAnsi="Verdana"/>
      <w:bCs/>
      <w:iCs/>
      <w:sz w:val="16"/>
      <w:szCs w:val="16"/>
    </w:rPr>
  </w:style>
  <w:style w:type="character" w:customStyle="1" w:styleId="FootnotesChar">
    <w:name w:val="**. Footnotes Char"/>
    <w:link w:val="Footnotes"/>
    <w:rsid w:val="008C6B1E"/>
    <w:rPr>
      <w:rFonts w:ascii="Verdana" w:eastAsia="Times New Roman" w:hAnsi="Verdana" w:cs="Times New Roman"/>
      <w:bCs/>
      <w:iCs/>
      <w:sz w:val="16"/>
      <w:szCs w:val="16"/>
      <w:lang w:val="es-ES"/>
    </w:rPr>
  </w:style>
  <w:style w:type="paragraph" w:customStyle="1" w:styleId="Default">
    <w:name w:val="Default"/>
    <w:rsid w:val="0056741D"/>
    <w:pPr>
      <w:autoSpaceDE w:val="0"/>
      <w:autoSpaceDN w:val="0"/>
      <w:adjustRightInd w:val="0"/>
      <w:spacing w:after="0" w:line="240" w:lineRule="auto"/>
    </w:pPr>
    <w:rPr>
      <w:rFonts w:ascii="Verdana" w:eastAsia="Calibri" w:hAnsi="Verdana" w:cs="Verdana"/>
      <w:color w:val="000000"/>
      <w:sz w:val="24"/>
      <w:szCs w:val="24"/>
      <w:lang w:val="en-US"/>
    </w:rPr>
  </w:style>
  <w:style w:type="character" w:styleId="Strong">
    <w:name w:val="Strong"/>
    <w:basedOn w:val="DefaultParagraphFont"/>
    <w:uiPriority w:val="22"/>
    <w:qFormat/>
    <w:rsid w:val="00AF6171"/>
    <w:rPr>
      <w:b/>
      <w:bCs/>
    </w:rPr>
  </w:style>
  <w:style w:type="character" w:customStyle="1" w:styleId="apple-converted-space">
    <w:name w:val="apple-converted-space"/>
    <w:basedOn w:val="DefaultParagraphFont"/>
    <w:rsid w:val="007E4EAF"/>
  </w:style>
  <w:style w:type="character" w:customStyle="1" w:styleId="typedescriptioncolumn">
    <w:name w:val="typedescriptioncolumn"/>
    <w:basedOn w:val="DefaultParagraphFont"/>
    <w:rsid w:val="00131692"/>
  </w:style>
  <w:style w:type="paragraph" w:styleId="Header">
    <w:name w:val="header"/>
    <w:basedOn w:val="Normal"/>
    <w:link w:val="HeaderChar"/>
    <w:uiPriority w:val="99"/>
    <w:unhideWhenUsed/>
    <w:rsid w:val="007F1A7E"/>
    <w:pPr>
      <w:tabs>
        <w:tab w:val="center" w:pos="4419"/>
        <w:tab w:val="right" w:pos="8838"/>
      </w:tabs>
    </w:pPr>
  </w:style>
  <w:style w:type="character" w:customStyle="1" w:styleId="HeaderChar">
    <w:name w:val="Header Char"/>
    <w:basedOn w:val="DefaultParagraphFont"/>
    <w:link w:val="Header"/>
    <w:uiPriority w:val="99"/>
    <w:rsid w:val="007F1A7E"/>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7F1A7E"/>
    <w:pPr>
      <w:tabs>
        <w:tab w:val="center" w:pos="4419"/>
        <w:tab w:val="right" w:pos="8838"/>
      </w:tabs>
    </w:pPr>
  </w:style>
  <w:style w:type="character" w:customStyle="1" w:styleId="FooterChar">
    <w:name w:val="Footer Char"/>
    <w:basedOn w:val="DefaultParagraphFont"/>
    <w:link w:val="Footer"/>
    <w:uiPriority w:val="99"/>
    <w:rsid w:val="007F1A7E"/>
    <w:rPr>
      <w:rFonts w:ascii="Times New Roman" w:eastAsia="Times New Roman" w:hAnsi="Times New Roman" w:cs="Times New Roman"/>
      <w:sz w:val="24"/>
      <w:szCs w:val="24"/>
      <w:lang w:val="es-ES" w:eastAsia="es-ES"/>
    </w:rPr>
  </w:style>
  <w:style w:type="character" w:customStyle="1" w:styleId="Heading2Char">
    <w:name w:val="Heading 2 Char"/>
    <w:basedOn w:val="DefaultParagraphFont"/>
    <w:link w:val="Heading2"/>
    <w:rsid w:val="001D54B3"/>
    <w:rPr>
      <w:rFonts w:ascii="Verdana" w:eastAsia="Times New Roman" w:hAnsi="Verdana" w:cs="Times New Roman"/>
      <w:b/>
      <w:bCs/>
      <w:i/>
      <w:noProof/>
      <w:sz w:val="20"/>
      <w:szCs w:val="20"/>
      <w:lang w:val="es-ES_tradnl"/>
    </w:rPr>
  </w:style>
  <w:style w:type="character" w:styleId="Hyperlink">
    <w:name w:val="Hyperlink"/>
    <w:basedOn w:val="DefaultParagraphFont"/>
    <w:uiPriority w:val="99"/>
    <w:unhideWhenUsed/>
    <w:rsid w:val="001D54B3"/>
    <w:rPr>
      <w:color w:val="0000FF"/>
      <w:u w:val="single"/>
    </w:rPr>
  </w:style>
  <w:style w:type="paragraph" w:customStyle="1" w:styleId="ju-005fpara">
    <w:name w:val="ju-005fpara"/>
    <w:basedOn w:val="Normal"/>
    <w:rsid w:val="001D54B3"/>
    <w:pPr>
      <w:spacing w:before="100" w:beforeAutospacing="1" w:after="100" w:afterAutospacing="1"/>
    </w:pPr>
    <w:rPr>
      <w:lang w:val="de-DE" w:eastAsia="de-DE"/>
    </w:rPr>
  </w:style>
  <w:style w:type="paragraph" w:styleId="NormalWeb">
    <w:name w:val="Normal (Web)"/>
    <w:basedOn w:val="Normal"/>
    <w:uiPriority w:val="99"/>
    <w:unhideWhenUsed/>
    <w:rsid w:val="00D6179B"/>
    <w:pPr>
      <w:spacing w:before="100" w:beforeAutospacing="1" w:after="100" w:afterAutospacing="1"/>
    </w:pPr>
    <w:rPr>
      <w:rFonts w:ascii="Times" w:hAnsi="Times"/>
      <w:sz w:val="20"/>
      <w:szCs w:val="20"/>
      <w:lang w:val="en-US" w:eastAsia="en-US"/>
    </w:rPr>
  </w:style>
  <w:style w:type="character" w:styleId="PageNumber">
    <w:name w:val="page number"/>
    <w:basedOn w:val="DefaultParagraphFont"/>
    <w:uiPriority w:val="99"/>
    <w:semiHidden/>
    <w:unhideWhenUsed/>
    <w:rsid w:val="00916C54"/>
  </w:style>
  <w:style w:type="paragraph" w:styleId="BalloonText">
    <w:name w:val="Balloon Text"/>
    <w:basedOn w:val="Normal"/>
    <w:link w:val="BalloonTextChar"/>
    <w:uiPriority w:val="99"/>
    <w:semiHidden/>
    <w:unhideWhenUsed/>
    <w:rsid w:val="0039359B"/>
    <w:rPr>
      <w:rFonts w:ascii="Tahoma" w:hAnsi="Tahoma" w:cs="Tahoma"/>
      <w:sz w:val="16"/>
      <w:szCs w:val="16"/>
    </w:rPr>
  </w:style>
  <w:style w:type="character" w:customStyle="1" w:styleId="BalloonTextChar">
    <w:name w:val="Balloon Text Char"/>
    <w:basedOn w:val="DefaultParagraphFont"/>
    <w:link w:val="BalloonText"/>
    <w:uiPriority w:val="99"/>
    <w:semiHidden/>
    <w:rsid w:val="0039359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F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1D54B3"/>
    <w:pPr>
      <w:keepNext/>
      <w:keepLines/>
      <w:numPr>
        <w:numId w:val="29"/>
      </w:numPr>
      <w:spacing w:before="240" w:after="240"/>
      <w:jc w:val="both"/>
      <w:outlineLvl w:val="1"/>
    </w:pPr>
    <w:rPr>
      <w:rFonts w:ascii="Verdana" w:hAnsi="Verdana"/>
      <w:b/>
      <w:bCs/>
      <w:i/>
      <w:noProof/>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
    <w:basedOn w:val="Normal"/>
    <w:link w:val="PrrafodelistaCar"/>
    <w:uiPriority w:val="99"/>
    <w:qFormat/>
    <w:rsid w:val="00D661F8"/>
    <w:pPr>
      <w:ind w:left="720"/>
      <w:contextualSpacing/>
    </w:pPr>
  </w:style>
  <w:style w:type="character" w:customStyle="1" w:styleId="PrrafodelistaCar">
    <w:name w:val="Párrafo de lista Car"/>
    <w:aliases w:val="Footnote Car,List Paragraph1 Car,Colorful List - Accent 11 Car"/>
    <w:basedOn w:val="Fuentedeprrafopredeter"/>
    <w:link w:val="Prrafodelista"/>
    <w:uiPriority w:val="99"/>
    <w:locked/>
    <w:rsid w:val="00F2092E"/>
    <w:rPr>
      <w:rFonts w:ascii="Times New Roman" w:eastAsia="Times New Roman" w:hAnsi="Times New Roman" w:cs="Times New Roman"/>
      <w:sz w:val="24"/>
      <w:szCs w:val="24"/>
      <w:lang w:val="es-ES" w:eastAsia="es-ES"/>
    </w:rPr>
  </w:style>
  <w:style w:type="paragraph" w:customStyle="1" w:styleId="PrrafodeSentencia">
    <w:name w:val="*. Párrafo de Sentencia"/>
    <w:basedOn w:val="Textonotapie"/>
    <w:autoRedefine/>
    <w:qFormat/>
    <w:rsid w:val="00F2092E"/>
    <w:pPr>
      <w:numPr>
        <w:numId w:val="4"/>
      </w:numPr>
      <w:spacing w:before="120" w:after="120"/>
      <w:jc w:val="both"/>
    </w:pPr>
    <w:rPr>
      <w:rFonts w:ascii="Verdana" w:eastAsia="Batang" w:hAnsi="Verdana" w:cs="Tahoma"/>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FA Fu?notente,Ca,C,ft"/>
    <w:basedOn w:val="Normal"/>
    <w:link w:val="TextonotapieCar"/>
    <w:uiPriority w:val="99"/>
    <w:unhideWhenUsed/>
    <w:qFormat/>
    <w:rsid w:val="00F2092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uiPriority w:val="99"/>
    <w:rsid w:val="00F2092E"/>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Footnotes refss,f,Footnote number,referencia nota al pie,BVI fnr,4_G,16 Point,Superscript 6 Point,Texto nota al pie,Footnote Reference Char3,Footnote Reference Char1 Char,Footnote symbol"/>
    <w:basedOn w:val="Fuentedeprrafopredeter"/>
    <w:qFormat/>
    <w:rsid w:val="002E6DDF"/>
    <w:rPr>
      <w:vertAlign w:val="superscript"/>
    </w:rPr>
  </w:style>
  <w:style w:type="paragraph" w:styleId="Textoindependiente">
    <w:name w:val="Body Text"/>
    <w:basedOn w:val="Normal"/>
    <w:link w:val="TextodecuerpoCar"/>
    <w:rsid w:val="001C66C5"/>
    <w:pPr>
      <w:widowControl w:val="0"/>
      <w:overflowPunct w:val="0"/>
      <w:autoSpaceDE w:val="0"/>
      <w:autoSpaceDN w:val="0"/>
      <w:adjustRightInd w:val="0"/>
      <w:jc w:val="both"/>
      <w:textAlignment w:val="baseline"/>
    </w:pPr>
    <w:rPr>
      <w:szCs w:val="20"/>
    </w:rPr>
  </w:style>
  <w:style w:type="character" w:customStyle="1" w:styleId="TextodecuerpoCar">
    <w:name w:val="Texto de cuerpo Car"/>
    <w:basedOn w:val="Fuentedeprrafopredeter"/>
    <w:link w:val="Textoindependiente"/>
    <w:rsid w:val="001C66C5"/>
    <w:rPr>
      <w:rFonts w:ascii="Times New Roman" w:eastAsia="Times New Roman" w:hAnsi="Times New Roman" w:cs="Times New Roman"/>
      <w:sz w:val="24"/>
      <w:szCs w:val="20"/>
      <w:lang w:val="es-ES" w:eastAsia="es-ES"/>
    </w:rPr>
  </w:style>
  <w:style w:type="paragraph" w:customStyle="1" w:styleId="Footnotes">
    <w:name w:val="**. Footnotes"/>
    <w:basedOn w:val="Textonotapie"/>
    <w:link w:val="FootnotesChar"/>
    <w:autoRedefine/>
    <w:qFormat/>
    <w:rsid w:val="008C6B1E"/>
    <w:pPr>
      <w:spacing w:before="120" w:after="120"/>
      <w:jc w:val="both"/>
    </w:pPr>
    <w:rPr>
      <w:rFonts w:ascii="Verdana" w:hAnsi="Verdana"/>
      <w:bCs/>
      <w:iCs/>
      <w:sz w:val="16"/>
      <w:szCs w:val="16"/>
    </w:rPr>
  </w:style>
  <w:style w:type="character" w:customStyle="1" w:styleId="FootnotesChar">
    <w:name w:val="**. Footnotes Char"/>
    <w:link w:val="Footnotes"/>
    <w:rsid w:val="008C6B1E"/>
    <w:rPr>
      <w:rFonts w:ascii="Verdana" w:eastAsia="Times New Roman" w:hAnsi="Verdana" w:cs="Times New Roman"/>
      <w:bCs/>
      <w:iCs/>
      <w:sz w:val="16"/>
      <w:szCs w:val="16"/>
      <w:lang w:val="es-ES"/>
    </w:rPr>
  </w:style>
  <w:style w:type="paragraph" w:customStyle="1" w:styleId="Default">
    <w:name w:val="Default"/>
    <w:rsid w:val="0056741D"/>
    <w:pPr>
      <w:autoSpaceDE w:val="0"/>
      <w:autoSpaceDN w:val="0"/>
      <w:adjustRightInd w:val="0"/>
      <w:spacing w:after="0" w:line="240" w:lineRule="auto"/>
    </w:pPr>
    <w:rPr>
      <w:rFonts w:ascii="Verdana" w:eastAsia="Calibri" w:hAnsi="Verdana" w:cs="Verdana"/>
      <w:color w:val="000000"/>
      <w:sz w:val="24"/>
      <w:szCs w:val="24"/>
      <w:lang w:val="en-US"/>
    </w:rPr>
  </w:style>
  <w:style w:type="character" w:styleId="Textoennegrita">
    <w:name w:val="Strong"/>
    <w:basedOn w:val="Fuentedeprrafopredeter"/>
    <w:uiPriority w:val="22"/>
    <w:qFormat/>
    <w:rsid w:val="00AF6171"/>
    <w:rPr>
      <w:b/>
      <w:bCs/>
    </w:rPr>
  </w:style>
  <w:style w:type="character" w:customStyle="1" w:styleId="apple-converted-space">
    <w:name w:val="apple-converted-space"/>
    <w:basedOn w:val="Fuentedeprrafopredeter"/>
    <w:rsid w:val="007E4EAF"/>
  </w:style>
  <w:style w:type="character" w:customStyle="1" w:styleId="typedescriptioncolumn">
    <w:name w:val="typedescriptioncolumn"/>
    <w:basedOn w:val="Fuentedeprrafopredeter"/>
    <w:rsid w:val="00131692"/>
  </w:style>
  <w:style w:type="paragraph" w:styleId="Encabezado">
    <w:name w:val="header"/>
    <w:basedOn w:val="Normal"/>
    <w:link w:val="EncabezadoCar"/>
    <w:uiPriority w:val="99"/>
    <w:unhideWhenUsed/>
    <w:rsid w:val="007F1A7E"/>
    <w:pPr>
      <w:tabs>
        <w:tab w:val="center" w:pos="4419"/>
        <w:tab w:val="right" w:pos="8838"/>
      </w:tabs>
    </w:pPr>
  </w:style>
  <w:style w:type="character" w:customStyle="1" w:styleId="EncabezadoCar">
    <w:name w:val="Encabezado Car"/>
    <w:basedOn w:val="Fuentedeprrafopredeter"/>
    <w:link w:val="Encabezado"/>
    <w:uiPriority w:val="99"/>
    <w:rsid w:val="007F1A7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F1A7E"/>
    <w:pPr>
      <w:tabs>
        <w:tab w:val="center" w:pos="4419"/>
        <w:tab w:val="right" w:pos="8838"/>
      </w:tabs>
    </w:pPr>
  </w:style>
  <w:style w:type="character" w:customStyle="1" w:styleId="PiedepginaCar">
    <w:name w:val="Pie de página Car"/>
    <w:basedOn w:val="Fuentedeprrafopredeter"/>
    <w:link w:val="Piedepgina"/>
    <w:uiPriority w:val="99"/>
    <w:rsid w:val="007F1A7E"/>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1D54B3"/>
    <w:rPr>
      <w:rFonts w:ascii="Verdana" w:eastAsia="Times New Roman" w:hAnsi="Verdana" w:cs="Times New Roman"/>
      <w:b/>
      <w:bCs/>
      <w:i/>
      <w:noProof/>
      <w:sz w:val="20"/>
      <w:szCs w:val="20"/>
      <w:lang w:val="es-ES_tradnl"/>
    </w:rPr>
  </w:style>
  <w:style w:type="character" w:styleId="Hipervnculo">
    <w:name w:val="Hyperlink"/>
    <w:basedOn w:val="Fuentedeprrafopredeter"/>
    <w:uiPriority w:val="99"/>
    <w:unhideWhenUsed/>
    <w:rsid w:val="001D54B3"/>
    <w:rPr>
      <w:color w:val="0000FF"/>
      <w:u w:val="single"/>
    </w:rPr>
  </w:style>
  <w:style w:type="paragraph" w:customStyle="1" w:styleId="ju-005fpara">
    <w:name w:val="ju-005fpara"/>
    <w:basedOn w:val="Normal"/>
    <w:rsid w:val="001D54B3"/>
    <w:pPr>
      <w:spacing w:before="100" w:beforeAutospacing="1" w:after="100" w:afterAutospacing="1"/>
    </w:pPr>
    <w:rPr>
      <w:lang w:val="de-DE" w:eastAsia="de-DE"/>
    </w:rPr>
  </w:style>
  <w:style w:type="paragraph" w:styleId="NormalWeb">
    <w:name w:val="Normal (Web)"/>
    <w:basedOn w:val="Normal"/>
    <w:uiPriority w:val="99"/>
    <w:unhideWhenUsed/>
    <w:rsid w:val="00D6179B"/>
    <w:pPr>
      <w:spacing w:before="100" w:beforeAutospacing="1" w:after="100" w:afterAutospacing="1"/>
    </w:pPr>
    <w:rPr>
      <w:rFonts w:ascii="Times" w:hAnsi="Times"/>
      <w:sz w:val="20"/>
      <w:szCs w:val="20"/>
      <w:lang w:val="en-US" w:eastAsia="en-US"/>
    </w:rPr>
  </w:style>
  <w:style w:type="character" w:styleId="Nmerodepgina">
    <w:name w:val="page number"/>
    <w:basedOn w:val="Fuentedeprrafopredeter"/>
    <w:uiPriority w:val="99"/>
    <w:semiHidden/>
    <w:unhideWhenUsed/>
    <w:rsid w:val="00916C54"/>
  </w:style>
  <w:style w:type="paragraph" w:styleId="Textodeglobo">
    <w:name w:val="Balloon Text"/>
    <w:basedOn w:val="Normal"/>
    <w:link w:val="TextodegloboCar"/>
    <w:uiPriority w:val="99"/>
    <w:semiHidden/>
    <w:unhideWhenUsed/>
    <w:rsid w:val="003935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59B"/>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63571508">
      <w:bodyDiv w:val="1"/>
      <w:marLeft w:val="0"/>
      <w:marRight w:val="0"/>
      <w:marTop w:val="0"/>
      <w:marBottom w:val="0"/>
      <w:divBdr>
        <w:top w:val="none" w:sz="0" w:space="0" w:color="auto"/>
        <w:left w:val="none" w:sz="0" w:space="0" w:color="auto"/>
        <w:bottom w:val="none" w:sz="0" w:space="0" w:color="auto"/>
        <w:right w:val="none" w:sz="0" w:space="0" w:color="auto"/>
      </w:divBdr>
    </w:div>
    <w:div w:id="788554321">
      <w:bodyDiv w:val="1"/>
      <w:marLeft w:val="0"/>
      <w:marRight w:val="0"/>
      <w:marTop w:val="0"/>
      <w:marBottom w:val="0"/>
      <w:divBdr>
        <w:top w:val="none" w:sz="0" w:space="0" w:color="auto"/>
        <w:left w:val="none" w:sz="0" w:space="0" w:color="auto"/>
        <w:bottom w:val="none" w:sz="0" w:space="0" w:color="auto"/>
        <w:right w:val="none" w:sz="0" w:space="0" w:color="auto"/>
      </w:divBdr>
    </w:div>
    <w:div w:id="1561668110">
      <w:bodyDiv w:val="1"/>
      <w:marLeft w:val="0"/>
      <w:marRight w:val="0"/>
      <w:marTop w:val="0"/>
      <w:marBottom w:val="0"/>
      <w:divBdr>
        <w:top w:val="none" w:sz="0" w:space="0" w:color="auto"/>
        <w:left w:val="none" w:sz="0" w:space="0" w:color="auto"/>
        <w:bottom w:val="none" w:sz="0" w:space="0" w:color="auto"/>
        <w:right w:val="none" w:sz="0" w:space="0" w:color="auto"/>
      </w:divBdr>
    </w:div>
    <w:div w:id="21196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 TargetMode="External"/><Relationship Id="rId2" Type="http://schemas.openxmlformats.org/officeDocument/2006/relationships/hyperlink" Target="http://hudoc.echr.coe.int/sites/eng/Pages/search.aspx" TargetMode="External"/><Relationship Id="rId1" Type="http://schemas.openxmlformats.org/officeDocument/2006/relationships/hyperlink" Target="http://hudoc.echr.coe.int/sites/eng/Pages/search.aspx" TargetMode="External"/><Relationship Id="rId6" Type="http://schemas.openxmlformats.org/officeDocument/2006/relationships/hyperlink" Target="http://hudoc.echr.coe.int/sites/eng/pages/search.aspx" TargetMode="External"/><Relationship Id="rId5" Type="http://schemas.openxmlformats.org/officeDocument/2006/relationships/hyperlink" Target="http://hudoc.echr.coe.int/sites/eng/pages/search.aspx" TargetMode="External"/><Relationship Id="rId4" Type="http://schemas.openxmlformats.org/officeDocument/2006/relationships/hyperlink" Target="http://hudoc.echr.coe.int/sites/eng/Pages/search.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926D-846E-45FD-A205-E822AA0A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8894</Words>
  <Characters>48921</Characters>
  <Application>Microsoft Office Word</Application>
  <DocSecurity>4</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2</cp:revision>
  <cp:lastPrinted>2014-12-16T17:51:00Z</cp:lastPrinted>
  <dcterms:created xsi:type="dcterms:W3CDTF">2014-12-16T18:47:00Z</dcterms:created>
  <dcterms:modified xsi:type="dcterms:W3CDTF">2014-12-16T18:47:00Z</dcterms:modified>
</cp:coreProperties>
</file>