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07F8" w14:textId="77777777" w:rsidR="00A23A35" w:rsidRDefault="00A23A35" w:rsidP="002F2C4B">
      <w:pPr>
        <w:pStyle w:val="NoSpacing"/>
        <w:jc w:val="center"/>
        <w:rPr>
          <w:rFonts w:ascii="Verdana" w:hAnsi="Verdana"/>
          <w:b/>
          <w:sz w:val="20"/>
          <w:szCs w:val="20"/>
          <w:lang w:val="es-CR"/>
        </w:rPr>
      </w:pPr>
    </w:p>
    <w:p w14:paraId="322107F9" w14:textId="77777777" w:rsidR="00A23A35" w:rsidRDefault="00A23A35" w:rsidP="00A23A35">
      <w:pPr>
        <w:pStyle w:val="NoSpacing"/>
        <w:jc w:val="center"/>
        <w:rPr>
          <w:rFonts w:ascii="Verdana" w:hAnsi="Verdana"/>
          <w:b/>
          <w:sz w:val="20"/>
          <w:szCs w:val="20"/>
          <w:lang w:val="es-CR"/>
        </w:rPr>
      </w:pPr>
    </w:p>
    <w:p w14:paraId="322107FA" w14:textId="77777777" w:rsidR="00A23A35" w:rsidRDefault="00A23A35" w:rsidP="00A23A35">
      <w:pPr>
        <w:pStyle w:val="NoSpacing"/>
        <w:jc w:val="center"/>
        <w:rPr>
          <w:rFonts w:ascii="Verdana" w:hAnsi="Verdana"/>
          <w:b/>
          <w:sz w:val="20"/>
          <w:szCs w:val="20"/>
          <w:lang w:val="es-CR"/>
        </w:rPr>
      </w:pPr>
    </w:p>
    <w:p w14:paraId="436B7AF2" w14:textId="77777777" w:rsidR="00AA71F9" w:rsidRDefault="00AA71F9" w:rsidP="00A23A35">
      <w:pPr>
        <w:pStyle w:val="NoSpacing"/>
        <w:jc w:val="center"/>
        <w:rPr>
          <w:rFonts w:ascii="Verdana" w:hAnsi="Verdana"/>
          <w:b/>
          <w:sz w:val="20"/>
          <w:szCs w:val="20"/>
          <w:lang w:val="es-CR"/>
        </w:rPr>
      </w:pPr>
    </w:p>
    <w:p w14:paraId="322107FB" w14:textId="77777777" w:rsidR="00A23A35" w:rsidRDefault="00A23A35" w:rsidP="00A23A35">
      <w:pPr>
        <w:pStyle w:val="NoSpacing"/>
        <w:jc w:val="center"/>
        <w:rPr>
          <w:rFonts w:ascii="Verdana" w:hAnsi="Verdana"/>
          <w:b/>
          <w:sz w:val="20"/>
          <w:szCs w:val="20"/>
          <w:lang w:val="es-CR"/>
        </w:rPr>
      </w:pPr>
    </w:p>
    <w:p w14:paraId="322107FC" w14:textId="77777777" w:rsidR="00A23A35" w:rsidRPr="00A23A35" w:rsidRDefault="008F2C2C" w:rsidP="002F61CA">
      <w:pPr>
        <w:pStyle w:val="NoSpacing"/>
        <w:spacing w:line="360" w:lineRule="auto"/>
        <w:jc w:val="center"/>
        <w:rPr>
          <w:rFonts w:ascii="Verdana" w:hAnsi="Verdana"/>
          <w:b/>
          <w:sz w:val="20"/>
          <w:szCs w:val="20"/>
          <w:lang w:val="es-CR"/>
        </w:rPr>
      </w:pPr>
      <w:r>
        <w:rPr>
          <w:rFonts w:ascii="Verdana" w:hAnsi="Verdana"/>
          <w:b/>
          <w:sz w:val="20"/>
          <w:szCs w:val="20"/>
          <w:lang w:val="es-CR"/>
        </w:rPr>
        <w:t>VOTO RAZONADO</w:t>
      </w:r>
      <w:r w:rsidR="00A23A35" w:rsidRPr="00A23A35">
        <w:rPr>
          <w:rFonts w:ascii="Verdana" w:hAnsi="Verdana"/>
          <w:b/>
          <w:sz w:val="20"/>
          <w:szCs w:val="20"/>
          <w:lang w:val="es-CR"/>
        </w:rPr>
        <w:t xml:space="preserve"> DEL</w:t>
      </w:r>
    </w:p>
    <w:p w14:paraId="322107FD" w14:textId="77777777" w:rsidR="00A23A35" w:rsidRPr="00A23A35" w:rsidRDefault="00A23A35" w:rsidP="002F61CA">
      <w:pPr>
        <w:pStyle w:val="NoSpacing"/>
        <w:spacing w:line="360" w:lineRule="auto"/>
        <w:jc w:val="center"/>
        <w:rPr>
          <w:rFonts w:ascii="Verdana" w:hAnsi="Verdana"/>
          <w:b/>
          <w:sz w:val="20"/>
          <w:szCs w:val="20"/>
          <w:lang w:val="es-CR"/>
        </w:rPr>
      </w:pPr>
      <w:r w:rsidRPr="00A23A35">
        <w:rPr>
          <w:rFonts w:ascii="Verdana" w:hAnsi="Verdana"/>
          <w:b/>
          <w:sz w:val="20"/>
          <w:szCs w:val="20"/>
          <w:lang w:val="es-CR"/>
        </w:rPr>
        <w:t>JUEZ EDUARDO FERRER MAC-GREGOR POISOT</w:t>
      </w:r>
    </w:p>
    <w:p w14:paraId="322107FE" w14:textId="77777777" w:rsidR="00A23A35" w:rsidRPr="00A23A35" w:rsidRDefault="00A23A35" w:rsidP="00A23A35">
      <w:pPr>
        <w:pStyle w:val="NoSpacing"/>
        <w:jc w:val="center"/>
        <w:rPr>
          <w:rFonts w:ascii="Verdana" w:hAnsi="Verdana"/>
          <w:b/>
          <w:sz w:val="20"/>
          <w:szCs w:val="20"/>
          <w:lang w:val="es-CR"/>
        </w:rPr>
      </w:pPr>
    </w:p>
    <w:p w14:paraId="322107FF" w14:textId="77777777" w:rsidR="00A23A35" w:rsidRPr="002F61CA" w:rsidRDefault="00A23A35" w:rsidP="00A23A35">
      <w:pPr>
        <w:pStyle w:val="NoSpacing"/>
        <w:jc w:val="center"/>
        <w:rPr>
          <w:rFonts w:ascii="Verdana" w:hAnsi="Verdana"/>
          <w:b/>
          <w:i/>
          <w:sz w:val="20"/>
          <w:szCs w:val="20"/>
          <w:u w:val="single"/>
          <w:lang w:val="es-CR"/>
        </w:rPr>
      </w:pPr>
      <w:r w:rsidRPr="002F61CA">
        <w:rPr>
          <w:rFonts w:ascii="Verdana" w:hAnsi="Verdana"/>
          <w:b/>
          <w:i/>
          <w:sz w:val="20"/>
          <w:szCs w:val="20"/>
          <w:u w:val="single"/>
          <w:lang w:val="es-CR"/>
        </w:rPr>
        <w:t>CASO VELÁSQUEZ PAIZ Y OTROS VS. GUATEMALA</w:t>
      </w:r>
    </w:p>
    <w:p w14:paraId="32210800" w14:textId="77777777" w:rsidR="00A23A35" w:rsidRPr="00A23A35" w:rsidRDefault="00A23A35" w:rsidP="00A23A35">
      <w:pPr>
        <w:pStyle w:val="NoSpacing"/>
        <w:jc w:val="center"/>
        <w:rPr>
          <w:rFonts w:ascii="Verdana" w:hAnsi="Verdana"/>
          <w:b/>
          <w:sz w:val="20"/>
          <w:szCs w:val="20"/>
          <w:u w:val="single"/>
          <w:lang w:val="es-CR"/>
        </w:rPr>
      </w:pPr>
    </w:p>
    <w:p w14:paraId="32210801" w14:textId="77777777" w:rsidR="00A23A35" w:rsidRPr="00A23A35" w:rsidRDefault="002F61CA" w:rsidP="00A23A35">
      <w:pPr>
        <w:pStyle w:val="NoSpacing"/>
        <w:jc w:val="center"/>
        <w:rPr>
          <w:rFonts w:ascii="Verdana" w:hAnsi="Verdana"/>
          <w:b/>
          <w:sz w:val="18"/>
          <w:szCs w:val="18"/>
          <w:lang w:val="es-CR"/>
        </w:rPr>
      </w:pPr>
      <w:r>
        <w:rPr>
          <w:rFonts w:ascii="Verdana" w:hAnsi="Verdana"/>
          <w:b/>
          <w:sz w:val="18"/>
          <w:szCs w:val="18"/>
          <w:lang w:val="es-CR"/>
        </w:rPr>
        <w:t>SENTENCIA DE 19 DE NOVIEMBRE</w:t>
      </w:r>
      <w:r w:rsidR="00A23A35" w:rsidRPr="00A23A35">
        <w:rPr>
          <w:rFonts w:ascii="Verdana" w:hAnsi="Verdana"/>
          <w:b/>
          <w:sz w:val="18"/>
          <w:szCs w:val="18"/>
          <w:lang w:val="es-CR"/>
        </w:rPr>
        <w:t xml:space="preserve"> DE </w:t>
      </w:r>
      <w:r w:rsidR="00A23A35">
        <w:rPr>
          <w:rFonts w:ascii="Verdana" w:hAnsi="Verdana"/>
          <w:b/>
          <w:sz w:val="18"/>
          <w:szCs w:val="18"/>
          <w:lang w:val="es-CR"/>
        </w:rPr>
        <w:t>2015</w:t>
      </w:r>
    </w:p>
    <w:p w14:paraId="32210802" w14:textId="77777777" w:rsidR="00A23A35" w:rsidRPr="00A23A35" w:rsidRDefault="00A23A35" w:rsidP="00A23A35">
      <w:pPr>
        <w:pStyle w:val="NoSpacing"/>
        <w:jc w:val="center"/>
        <w:rPr>
          <w:rFonts w:ascii="Verdana" w:hAnsi="Verdana"/>
          <w:b/>
          <w:i/>
          <w:iCs/>
          <w:sz w:val="18"/>
          <w:szCs w:val="18"/>
          <w:lang w:val="es-CR"/>
        </w:rPr>
      </w:pPr>
      <w:r w:rsidRPr="00A23A35">
        <w:rPr>
          <w:rFonts w:ascii="Verdana" w:hAnsi="Verdana"/>
          <w:b/>
          <w:i/>
          <w:iCs/>
          <w:sz w:val="18"/>
          <w:szCs w:val="18"/>
          <w:lang w:val="es-CR"/>
        </w:rPr>
        <w:t>(Excepciones Preliminares, Fondo, Reparaciones y Costas)</w:t>
      </w:r>
    </w:p>
    <w:p w14:paraId="32210803" w14:textId="77777777" w:rsidR="00E00457" w:rsidRDefault="00E00457" w:rsidP="00ED27C3">
      <w:pPr>
        <w:rPr>
          <w:rFonts w:ascii="Verdana" w:hAnsi="Verdana" w:cs="Tahoma"/>
          <w:sz w:val="20"/>
          <w:szCs w:val="20"/>
        </w:rPr>
      </w:pPr>
    </w:p>
    <w:p w14:paraId="32210804" w14:textId="77777777" w:rsidR="00C177AA" w:rsidRDefault="00115013" w:rsidP="00721FDE">
      <w:pPr>
        <w:jc w:val="center"/>
        <w:rPr>
          <w:rFonts w:ascii="Verdana" w:hAnsi="Verdana" w:cs="Tahoma"/>
          <w:sz w:val="20"/>
          <w:szCs w:val="20"/>
        </w:rPr>
      </w:pPr>
      <w:r w:rsidRPr="00E00457">
        <w:rPr>
          <w:rFonts w:ascii="Verdana" w:hAnsi="Verdana" w:cs="Tahoma"/>
          <w:sz w:val="20"/>
          <w:szCs w:val="20"/>
        </w:rPr>
        <w:t>I</w:t>
      </w:r>
      <w:r w:rsidR="008F2C2C" w:rsidRPr="00E00457">
        <w:rPr>
          <w:rFonts w:ascii="Verdana" w:hAnsi="Verdana" w:cs="Tahoma"/>
          <w:sz w:val="20"/>
          <w:szCs w:val="20"/>
        </w:rPr>
        <w:t>NTRODUCCIÓN</w:t>
      </w:r>
      <w:r w:rsidR="00C177AA">
        <w:rPr>
          <w:rFonts w:ascii="Verdana" w:hAnsi="Verdana" w:cs="Tahoma"/>
          <w:sz w:val="20"/>
          <w:szCs w:val="20"/>
        </w:rPr>
        <w:t xml:space="preserve">: </w:t>
      </w:r>
    </w:p>
    <w:p w14:paraId="32210805" w14:textId="77777777" w:rsidR="00701CD5" w:rsidRPr="00E00457" w:rsidRDefault="00C177AA" w:rsidP="00721FDE">
      <w:pPr>
        <w:jc w:val="center"/>
        <w:rPr>
          <w:rFonts w:ascii="Verdana" w:hAnsi="Verdana" w:cs="Tahoma"/>
          <w:sz w:val="20"/>
          <w:szCs w:val="20"/>
        </w:rPr>
      </w:pPr>
      <w:r>
        <w:rPr>
          <w:rFonts w:ascii="Verdana" w:hAnsi="Verdana" w:cs="Tahoma"/>
          <w:sz w:val="20"/>
          <w:szCs w:val="20"/>
        </w:rPr>
        <w:t xml:space="preserve">SOBRE EL “DEBER DE PREVENCIÓN” EN LA VIOLENCIA DE GÉNERO </w:t>
      </w:r>
    </w:p>
    <w:p w14:paraId="32210806" w14:textId="77777777" w:rsidR="00701CD5" w:rsidRPr="00701CD5" w:rsidRDefault="00F630F5" w:rsidP="00701CD5">
      <w:pPr>
        <w:pStyle w:val="ListParagraph"/>
        <w:numPr>
          <w:ilvl w:val="0"/>
          <w:numId w:val="17"/>
        </w:numPr>
        <w:spacing w:line="240" w:lineRule="auto"/>
        <w:ind w:left="0" w:firstLine="0"/>
        <w:jc w:val="both"/>
        <w:rPr>
          <w:rFonts w:ascii="Verdana" w:hAnsi="Verdana"/>
          <w:sz w:val="20"/>
          <w:szCs w:val="20"/>
        </w:rPr>
      </w:pPr>
      <w:r w:rsidRPr="00F9275D">
        <w:rPr>
          <w:rFonts w:ascii="Verdana" w:hAnsi="Verdana"/>
          <w:sz w:val="20"/>
          <w:szCs w:val="20"/>
          <w:lang w:eastAsia="es-PA"/>
        </w:rPr>
        <w:t xml:space="preserve">La </w:t>
      </w:r>
      <w:r w:rsidR="002F61CA">
        <w:rPr>
          <w:rFonts w:ascii="Verdana" w:hAnsi="Verdana"/>
          <w:sz w:val="20"/>
          <w:szCs w:val="20"/>
        </w:rPr>
        <w:t>Convención Interamericana para Prevenir, Sancionar y Erradicar la Violencia contra la Mujer (</w:t>
      </w:r>
      <w:r w:rsidR="003D6A83" w:rsidRPr="008E2F4B">
        <w:rPr>
          <w:rFonts w:ascii="Verdana" w:hAnsi="Verdana"/>
          <w:sz w:val="20"/>
          <w:szCs w:val="20"/>
        </w:rPr>
        <w:t>“Convención de Belém do Pará”</w:t>
      </w:r>
      <w:r w:rsidR="002F61CA">
        <w:rPr>
          <w:rFonts w:ascii="Verdana" w:hAnsi="Verdana"/>
          <w:sz w:val="20"/>
          <w:szCs w:val="20"/>
        </w:rPr>
        <w:t>)</w:t>
      </w:r>
      <w:r w:rsidRPr="00F9275D">
        <w:rPr>
          <w:rFonts w:ascii="Verdana" w:hAnsi="Verdana"/>
          <w:sz w:val="20"/>
          <w:szCs w:val="20"/>
          <w:lang w:eastAsia="es-PA"/>
        </w:rPr>
        <w:t xml:space="preserve"> constituye el instrumento regional que mayor consenso ha suscitado entre los países de las Américas, al haberse suscrito </w:t>
      </w:r>
      <w:r w:rsidR="00477424">
        <w:rPr>
          <w:rFonts w:ascii="Verdana" w:hAnsi="Verdana"/>
          <w:sz w:val="20"/>
          <w:szCs w:val="20"/>
          <w:lang w:eastAsia="es-PA"/>
        </w:rPr>
        <w:t xml:space="preserve">y ratificado </w:t>
      </w:r>
      <w:r w:rsidRPr="00F9275D">
        <w:rPr>
          <w:rFonts w:ascii="Verdana" w:hAnsi="Verdana"/>
          <w:sz w:val="20"/>
          <w:szCs w:val="20"/>
          <w:lang w:eastAsia="es-PA"/>
        </w:rPr>
        <w:t xml:space="preserve">o adherido </w:t>
      </w:r>
      <w:r w:rsidR="00477424">
        <w:rPr>
          <w:rFonts w:ascii="Verdana" w:hAnsi="Verdana"/>
          <w:sz w:val="20"/>
          <w:szCs w:val="20"/>
          <w:lang w:eastAsia="es-PA"/>
        </w:rPr>
        <w:t>por 32</w:t>
      </w:r>
      <w:r w:rsidRPr="00F9275D">
        <w:rPr>
          <w:rFonts w:ascii="Verdana" w:hAnsi="Verdana"/>
          <w:sz w:val="20"/>
          <w:szCs w:val="20"/>
          <w:lang w:eastAsia="es-PA"/>
        </w:rPr>
        <w:t xml:space="preserve"> de los 3</w:t>
      </w:r>
      <w:r w:rsidR="00CE6876">
        <w:rPr>
          <w:rFonts w:ascii="Verdana" w:hAnsi="Verdana"/>
          <w:sz w:val="20"/>
          <w:szCs w:val="20"/>
          <w:lang w:eastAsia="es-PA"/>
        </w:rPr>
        <w:t xml:space="preserve">5 Estados que conforman la OEA. Desde su entrada en vigor en 1995, recoge </w:t>
      </w:r>
      <w:r w:rsidR="00701CD5" w:rsidRPr="00F9275D">
        <w:rPr>
          <w:rFonts w:ascii="Verdana" w:hAnsi="Verdana"/>
          <w:sz w:val="20"/>
          <w:szCs w:val="20"/>
        </w:rPr>
        <w:t>la pr</w:t>
      </w:r>
      <w:r w:rsidR="008F2C2C">
        <w:rPr>
          <w:rFonts w:ascii="Verdana" w:hAnsi="Verdana"/>
          <w:sz w:val="20"/>
          <w:szCs w:val="20"/>
        </w:rPr>
        <w:t>eocupación de los Estados parte</w:t>
      </w:r>
      <w:r w:rsidR="00701CD5" w:rsidRPr="00F9275D">
        <w:rPr>
          <w:rFonts w:ascii="Verdana" w:hAnsi="Verdana"/>
          <w:sz w:val="20"/>
          <w:szCs w:val="20"/>
        </w:rPr>
        <w:t xml:space="preserve"> de dicho instrumento en torno a que la violencia contra la mujer “es una ofensa a la dignidad humana y una manifestación de las relaciones de poder históricamente desi</w:t>
      </w:r>
      <w:r w:rsidR="00CE6876">
        <w:rPr>
          <w:rFonts w:ascii="Verdana" w:hAnsi="Verdana"/>
          <w:sz w:val="20"/>
          <w:szCs w:val="20"/>
        </w:rPr>
        <w:t>guales entre mujeres y hombres”;</w:t>
      </w:r>
      <w:r w:rsidR="00701CD5" w:rsidRPr="00F9275D">
        <w:rPr>
          <w:rFonts w:ascii="Verdana" w:hAnsi="Verdana"/>
          <w:sz w:val="20"/>
          <w:szCs w:val="20"/>
        </w:rPr>
        <w:t xml:space="preserve"> </w:t>
      </w:r>
      <w:r w:rsidR="00701CD5">
        <w:rPr>
          <w:rFonts w:ascii="Verdana" w:hAnsi="Verdana"/>
          <w:sz w:val="20"/>
          <w:szCs w:val="20"/>
        </w:rPr>
        <w:t xml:space="preserve"> </w:t>
      </w:r>
      <w:r w:rsidR="00701CD5" w:rsidRPr="00F9275D">
        <w:rPr>
          <w:rFonts w:ascii="Verdana" w:hAnsi="Verdana"/>
          <w:sz w:val="20"/>
          <w:szCs w:val="20"/>
        </w:rPr>
        <w:t>afirmando que la violencia contra la mujer constituye “una violación de los derechos humanos y las libertades fundamentales y limita total o parcialmente a la mujer el reconocimiento, goce y ejercicio de tales derechos y libertades”</w:t>
      </w:r>
      <w:r w:rsidR="00CE6876" w:rsidRPr="00CE6876">
        <w:rPr>
          <w:rStyle w:val="FootnoteReference"/>
          <w:rFonts w:ascii="Verdana" w:hAnsi="Verdana"/>
          <w:sz w:val="20"/>
          <w:szCs w:val="20"/>
        </w:rPr>
        <w:t xml:space="preserve"> </w:t>
      </w:r>
      <w:r w:rsidR="00CE6876" w:rsidRPr="00F9275D">
        <w:rPr>
          <w:rStyle w:val="FootnoteReference"/>
          <w:rFonts w:ascii="Verdana" w:hAnsi="Verdana"/>
          <w:sz w:val="20"/>
          <w:szCs w:val="20"/>
        </w:rPr>
        <w:footnoteReference w:id="1"/>
      </w:r>
      <w:r w:rsidR="00701CD5" w:rsidRPr="00F9275D">
        <w:rPr>
          <w:rFonts w:ascii="Verdana" w:hAnsi="Verdana"/>
          <w:sz w:val="20"/>
          <w:szCs w:val="20"/>
        </w:rPr>
        <w:t>.</w:t>
      </w:r>
    </w:p>
    <w:p w14:paraId="32210807" w14:textId="77777777" w:rsidR="00701CD5" w:rsidRPr="00CE6876" w:rsidRDefault="00816D0B" w:rsidP="00CE6876">
      <w:pPr>
        <w:pStyle w:val="NoSpacing"/>
        <w:numPr>
          <w:ilvl w:val="0"/>
          <w:numId w:val="17"/>
        </w:numPr>
        <w:ind w:left="0" w:firstLine="0"/>
        <w:jc w:val="both"/>
        <w:rPr>
          <w:rFonts w:ascii="Verdana" w:hAnsi="Verdana"/>
          <w:sz w:val="20"/>
          <w:szCs w:val="20"/>
        </w:rPr>
      </w:pPr>
      <w:r>
        <w:rPr>
          <w:rFonts w:ascii="Verdana" w:hAnsi="Verdana"/>
          <w:sz w:val="20"/>
          <w:szCs w:val="20"/>
          <w:lang w:eastAsia="es-PA"/>
        </w:rPr>
        <w:t>A</w:t>
      </w:r>
      <w:r w:rsidR="00F630F5" w:rsidRPr="00F9275D">
        <w:rPr>
          <w:rFonts w:ascii="Verdana" w:hAnsi="Verdana"/>
          <w:sz w:val="20"/>
          <w:szCs w:val="20"/>
          <w:lang w:eastAsia="es-PA"/>
        </w:rPr>
        <w:t xml:space="preserve"> má</w:t>
      </w:r>
      <w:r>
        <w:rPr>
          <w:rFonts w:ascii="Verdana" w:hAnsi="Verdana"/>
          <w:sz w:val="20"/>
          <w:szCs w:val="20"/>
          <w:lang w:eastAsia="es-PA"/>
        </w:rPr>
        <w:t>s de veinte años de su vigencia</w:t>
      </w:r>
      <w:r w:rsidR="00F630F5" w:rsidRPr="00F9275D">
        <w:rPr>
          <w:rFonts w:ascii="Verdana" w:hAnsi="Verdana"/>
          <w:sz w:val="20"/>
          <w:szCs w:val="20"/>
          <w:lang w:eastAsia="es-PA"/>
        </w:rPr>
        <w:t xml:space="preserve"> se advierte con preocupación que la cultura de discriminación y violencia contra la mujer</w:t>
      </w:r>
      <w:r w:rsidR="00F630F5" w:rsidRPr="00F9275D">
        <w:rPr>
          <w:rStyle w:val="FootnoteReference"/>
          <w:rFonts w:ascii="Verdana" w:hAnsi="Verdana"/>
          <w:sz w:val="20"/>
          <w:szCs w:val="20"/>
        </w:rPr>
        <w:footnoteReference w:id="2"/>
      </w:r>
      <w:r>
        <w:rPr>
          <w:rFonts w:ascii="Verdana" w:hAnsi="Verdana"/>
          <w:sz w:val="20"/>
          <w:szCs w:val="20"/>
          <w:lang w:eastAsia="es-PA"/>
        </w:rPr>
        <w:t>,</w:t>
      </w:r>
      <w:r w:rsidR="00F630F5" w:rsidRPr="00F9275D">
        <w:rPr>
          <w:rFonts w:ascii="Verdana" w:hAnsi="Verdana"/>
          <w:sz w:val="20"/>
          <w:szCs w:val="20"/>
          <w:lang w:eastAsia="es-PA"/>
        </w:rPr>
        <w:t xml:space="preserve"> </w:t>
      </w:r>
      <w:r w:rsidR="00F630F5" w:rsidRPr="006615E3">
        <w:rPr>
          <w:rFonts w:ascii="Verdana" w:hAnsi="Verdana"/>
          <w:sz w:val="20"/>
          <w:szCs w:val="20"/>
        </w:rPr>
        <w:t>continua siendo</w:t>
      </w:r>
      <w:r>
        <w:rPr>
          <w:rFonts w:ascii="Verdana" w:hAnsi="Verdana"/>
          <w:sz w:val="20"/>
          <w:szCs w:val="20"/>
        </w:rPr>
        <w:t xml:space="preserve"> </w:t>
      </w:r>
      <w:r w:rsidR="00F630F5" w:rsidRPr="006615E3">
        <w:rPr>
          <w:rFonts w:ascii="Verdana" w:hAnsi="Verdana"/>
          <w:sz w:val="20"/>
          <w:szCs w:val="20"/>
        </w:rPr>
        <w:t>un fenóm</w:t>
      </w:r>
      <w:r w:rsidR="004D103D">
        <w:rPr>
          <w:rFonts w:ascii="Verdana" w:hAnsi="Verdana"/>
          <w:sz w:val="20"/>
          <w:szCs w:val="20"/>
        </w:rPr>
        <w:t>eno presente en la región,</w:t>
      </w:r>
      <w:r w:rsidR="00F630F5" w:rsidRPr="006615E3">
        <w:rPr>
          <w:rFonts w:ascii="Verdana" w:hAnsi="Verdana"/>
          <w:sz w:val="20"/>
          <w:szCs w:val="20"/>
        </w:rPr>
        <w:t xml:space="preserve"> alcanzado su máxima expresión a través del </w:t>
      </w:r>
      <w:r w:rsidR="00C8340F">
        <w:rPr>
          <w:rFonts w:ascii="Verdana" w:hAnsi="Verdana"/>
          <w:sz w:val="20"/>
          <w:szCs w:val="20"/>
        </w:rPr>
        <w:t>“feminicidio”</w:t>
      </w:r>
      <w:r w:rsidR="00AA3F1F">
        <w:rPr>
          <w:rFonts w:ascii="Verdana" w:hAnsi="Verdana"/>
          <w:sz w:val="20"/>
          <w:szCs w:val="20"/>
        </w:rPr>
        <w:t xml:space="preserve"> o “femicidio”</w:t>
      </w:r>
      <w:r w:rsidR="00E5264C">
        <w:rPr>
          <w:rFonts w:ascii="Verdana" w:hAnsi="Verdana"/>
          <w:sz w:val="20"/>
          <w:szCs w:val="20"/>
        </w:rPr>
        <w:t>,</w:t>
      </w:r>
      <w:r w:rsidR="00C8340F">
        <w:rPr>
          <w:rFonts w:ascii="Verdana" w:hAnsi="Verdana"/>
          <w:sz w:val="20"/>
          <w:szCs w:val="20"/>
        </w:rPr>
        <w:t xml:space="preserve"> es decir, el </w:t>
      </w:r>
      <w:r>
        <w:rPr>
          <w:rFonts w:ascii="Verdana" w:hAnsi="Verdana"/>
          <w:sz w:val="20"/>
          <w:szCs w:val="20"/>
        </w:rPr>
        <w:t>“</w:t>
      </w:r>
      <w:r w:rsidR="00CE6876">
        <w:rPr>
          <w:rFonts w:ascii="Verdana" w:hAnsi="Verdana"/>
          <w:sz w:val="20"/>
          <w:szCs w:val="20"/>
        </w:rPr>
        <w:t>homicidio de mujer por razones de género</w:t>
      </w:r>
      <w:r w:rsidR="00E5264C">
        <w:rPr>
          <w:rFonts w:ascii="Verdana" w:hAnsi="Verdana"/>
          <w:sz w:val="20"/>
          <w:szCs w:val="20"/>
        </w:rPr>
        <w:t>”;</w:t>
      </w:r>
      <w:r w:rsidR="00C8340F">
        <w:rPr>
          <w:rFonts w:ascii="Verdana" w:hAnsi="Verdana"/>
          <w:sz w:val="20"/>
          <w:szCs w:val="20"/>
        </w:rPr>
        <w:t xml:space="preserve"> </w:t>
      </w:r>
      <w:r w:rsidR="00C177AA">
        <w:rPr>
          <w:rFonts w:ascii="Verdana" w:hAnsi="Verdana"/>
          <w:sz w:val="20"/>
          <w:szCs w:val="20"/>
        </w:rPr>
        <w:t xml:space="preserve">tal y </w:t>
      </w:r>
      <w:r w:rsidR="00C8340F">
        <w:rPr>
          <w:rFonts w:ascii="Verdana" w:hAnsi="Verdana"/>
          <w:sz w:val="20"/>
          <w:szCs w:val="20"/>
        </w:rPr>
        <w:t>como lo destacara por primera vez</w:t>
      </w:r>
      <w:r w:rsidR="00CE6876">
        <w:rPr>
          <w:rFonts w:ascii="Verdana" w:hAnsi="Verdana"/>
          <w:sz w:val="20"/>
          <w:szCs w:val="20"/>
        </w:rPr>
        <w:t xml:space="preserve"> la Corte Interamericana </w:t>
      </w:r>
      <w:r w:rsidR="00F630F5" w:rsidRPr="00CE6876">
        <w:rPr>
          <w:rFonts w:ascii="Verdana" w:hAnsi="Verdana"/>
          <w:sz w:val="20"/>
          <w:szCs w:val="20"/>
        </w:rPr>
        <w:t>de Derechos Humanos (en adelante la “Corte I</w:t>
      </w:r>
      <w:r w:rsidR="00C8340F">
        <w:rPr>
          <w:rFonts w:ascii="Verdana" w:hAnsi="Verdana"/>
          <w:sz w:val="20"/>
          <w:szCs w:val="20"/>
        </w:rPr>
        <w:t xml:space="preserve">DH o </w:t>
      </w:r>
      <w:r w:rsidR="004836A8">
        <w:rPr>
          <w:rFonts w:ascii="Verdana" w:hAnsi="Verdana"/>
          <w:sz w:val="20"/>
          <w:szCs w:val="20"/>
        </w:rPr>
        <w:t>“</w:t>
      </w:r>
      <w:r w:rsidR="00C8340F">
        <w:rPr>
          <w:rFonts w:ascii="Verdana" w:hAnsi="Verdana"/>
          <w:sz w:val="20"/>
          <w:szCs w:val="20"/>
        </w:rPr>
        <w:t>Tribunal Interamericano</w:t>
      </w:r>
      <w:r w:rsidR="004836A8">
        <w:rPr>
          <w:rFonts w:ascii="Verdana" w:hAnsi="Verdana"/>
          <w:sz w:val="20"/>
          <w:szCs w:val="20"/>
        </w:rPr>
        <w:t>”</w:t>
      </w:r>
      <w:r w:rsidR="00F630F5" w:rsidRPr="00CE6876">
        <w:rPr>
          <w:rFonts w:ascii="Verdana" w:hAnsi="Verdana"/>
          <w:sz w:val="20"/>
          <w:szCs w:val="20"/>
        </w:rPr>
        <w:t xml:space="preserve">) en el caso </w:t>
      </w:r>
      <w:r w:rsidR="00F630F5" w:rsidRPr="00CE6876">
        <w:rPr>
          <w:rStyle w:val="Strong"/>
          <w:rFonts w:ascii="Verdana" w:hAnsi="Verdana" w:cs="Tahoma"/>
          <w:b w:val="0"/>
          <w:i/>
          <w:color w:val="000000"/>
          <w:sz w:val="20"/>
          <w:szCs w:val="20"/>
          <w:shd w:val="clear" w:color="auto" w:fill="FFFFFF"/>
        </w:rPr>
        <w:t>Gonzále</w:t>
      </w:r>
      <w:r w:rsidR="00D610A9">
        <w:rPr>
          <w:rStyle w:val="Strong"/>
          <w:rFonts w:ascii="Verdana" w:hAnsi="Verdana" w:cs="Tahoma"/>
          <w:b w:val="0"/>
          <w:i/>
          <w:color w:val="000000"/>
          <w:sz w:val="20"/>
          <w:szCs w:val="20"/>
          <w:shd w:val="clear" w:color="auto" w:fill="FFFFFF"/>
        </w:rPr>
        <w:t>z y otras (“Campo Algodonero”) V</w:t>
      </w:r>
      <w:r w:rsidR="00F630F5" w:rsidRPr="00CE6876">
        <w:rPr>
          <w:rStyle w:val="Strong"/>
          <w:rFonts w:ascii="Verdana" w:hAnsi="Verdana" w:cs="Tahoma"/>
          <w:b w:val="0"/>
          <w:i/>
          <w:color w:val="000000"/>
          <w:sz w:val="20"/>
          <w:szCs w:val="20"/>
          <w:shd w:val="clear" w:color="auto" w:fill="FFFFFF"/>
        </w:rPr>
        <w:t>s. México</w:t>
      </w:r>
      <w:r w:rsidR="00C8340F">
        <w:rPr>
          <w:rStyle w:val="Strong"/>
          <w:rFonts w:ascii="Verdana" w:hAnsi="Verdana" w:cs="Tahoma"/>
          <w:b w:val="0"/>
          <w:i/>
          <w:color w:val="000000"/>
          <w:sz w:val="20"/>
          <w:szCs w:val="20"/>
          <w:shd w:val="clear" w:color="auto" w:fill="FFFFFF"/>
        </w:rPr>
        <w:t xml:space="preserve"> </w:t>
      </w:r>
      <w:r w:rsidR="00C8340F">
        <w:rPr>
          <w:rStyle w:val="Strong"/>
          <w:rFonts w:ascii="Verdana" w:hAnsi="Verdana" w:cs="Tahoma"/>
          <w:b w:val="0"/>
          <w:color w:val="000000"/>
          <w:sz w:val="20"/>
          <w:szCs w:val="20"/>
          <w:shd w:val="clear" w:color="auto" w:fill="FFFFFF"/>
        </w:rPr>
        <w:t>en 2009</w:t>
      </w:r>
      <w:r w:rsidR="00F630F5" w:rsidRPr="00C8340F">
        <w:rPr>
          <w:rStyle w:val="FootnoteReference"/>
          <w:rFonts w:ascii="Verdana" w:hAnsi="Verdana" w:cs="Tahoma"/>
          <w:bCs/>
          <w:color w:val="000000"/>
          <w:sz w:val="20"/>
          <w:szCs w:val="20"/>
          <w:shd w:val="clear" w:color="auto" w:fill="FFFFFF"/>
        </w:rPr>
        <w:footnoteReference w:id="3"/>
      </w:r>
      <w:r w:rsidR="006E29DF">
        <w:rPr>
          <w:rStyle w:val="Strong"/>
          <w:rFonts w:ascii="Verdana" w:hAnsi="Verdana" w:cs="Tahoma"/>
          <w:b w:val="0"/>
          <w:color w:val="000000"/>
          <w:sz w:val="20"/>
          <w:szCs w:val="20"/>
          <w:shd w:val="clear" w:color="auto" w:fill="FFFFFF"/>
        </w:rPr>
        <w:t xml:space="preserve">, y lo reiterara en </w:t>
      </w:r>
      <w:r w:rsidR="00ED27C3">
        <w:rPr>
          <w:rStyle w:val="Strong"/>
          <w:rFonts w:ascii="Verdana" w:hAnsi="Verdana" w:cs="Tahoma"/>
          <w:b w:val="0"/>
          <w:color w:val="000000"/>
          <w:sz w:val="20"/>
          <w:szCs w:val="20"/>
          <w:shd w:val="clear" w:color="auto" w:fill="FFFFFF"/>
        </w:rPr>
        <w:t xml:space="preserve">los casos </w:t>
      </w:r>
      <w:r w:rsidR="002178C4">
        <w:rPr>
          <w:rStyle w:val="Strong"/>
          <w:rFonts w:ascii="Verdana" w:hAnsi="Verdana" w:cs="Tahoma"/>
          <w:b w:val="0"/>
          <w:i/>
          <w:color w:val="000000"/>
          <w:sz w:val="20"/>
          <w:szCs w:val="20"/>
          <w:shd w:val="clear" w:color="auto" w:fill="FFFFFF"/>
        </w:rPr>
        <w:t>Ve</w:t>
      </w:r>
      <w:r w:rsidR="00ED27C3" w:rsidRPr="00ED27C3">
        <w:rPr>
          <w:rStyle w:val="Strong"/>
          <w:rFonts w:ascii="Verdana" w:hAnsi="Verdana" w:cs="Tahoma"/>
          <w:b w:val="0"/>
          <w:i/>
          <w:color w:val="000000"/>
          <w:sz w:val="20"/>
          <w:szCs w:val="20"/>
          <w:shd w:val="clear" w:color="auto" w:fill="FFFFFF"/>
        </w:rPr>
        <w:t>liz Franco y otros</w:t>
      </w:r>
      <w:r w:rsidR="00ED27C3">
        <w:rPr>
          <w:rStyle w:val="Strong"/>
          <w:rFonts w:ascii="Verdana" w:hAnsi="Verdana" w:cs="Tahoma"/>
          <w:b w:val="0"/>
          <w:color w:val="000000"/>
          <w:sz w:val="20"/>
          <w:szCs w:val="20"/>
          <w:shd w:val="clear" w:color="auto" w:fill="FFFFFF"/>
        </w:rPr>
        <w:t>, y</w:t>
      </w:r>
      <w:r w:rsidR="00BB1B05">
        <w:rPr>
          <w:rStyle w:val="Strong"/>
          <w:rFonts w:ascii="Verdana" w:hAnsi="Verdana" w:cs="Tahoma"/>
          <w:b w:val="0"/>
          <w:color w:val="000000"/>
          <w:sz w:val="20"/>
          <w:szCs w:val="20"/>
          <w:shd w:val="clear" w:color="auto" w:fill="FFFFFF"/>
        </w:rPr>
        <w:t xml:space="preserve"> en</w:t>
      </w:r>
      <w:r w:rsidR="004836A8">
        <w:rPr>
          <w:rStyle w:val="Strong"/>
          <w:rFonts w:ascii="Verdana" w:hAnsi="Verdana" w:cs="Tahoma"/>
          <w:b w:val="0"/>
          <w:color w:val="000000"/>
          <w:sz w:val="20"/>
          <w:szCs w:val="20"/>
          <w:shd w:val="clear" w:color="auto" w:fill="FFFFFF"/>
        </w:rPr>
        <w:t xml:space="preserve"> el presente de </w:t>
      </w:r>
      <w:r w:rsidR="00ED27C3" w:rsidRPr="00ED27C3">
        <w:rPr>
          <w:rStyle w:val="Strong"/>
          <w:rFonts w:ascii="Verdana" w:hAnsi="Verdana" w:cs="Tahoma"/>
          <w:b w:val="0"/>
          <w:i/>
          <w:color w:val="000000"/>
          <w:sz w:val="20"/>
          <w:szCs w:val="20"/>
          <w:shd w:val="clear" w:color="auto" w:fill="FFFFFF"/>
        </w:rPr>
        <w:t>Velázques Paiz</w:t>
      </w:r>
      <w:r w:rsidR="00ED27C3">
        <w:rPr>
          <w:rStyle w:val="Strong"/>
          <w:rFonts w:ascii="Verdana" w:hAnsi="Verdana" w:cs="Tahoma"/>
          <w:b w:val="0"/>
          <w:i/>
          <w:color w:val="000000"/>
          <w:sz w:val="20"/>
          <w:szCs w:val="20"/>
          <w:shd w:val="clear" w:color="auto" w:fill="FFFFFF"/>
        </w:rPr>
        <w:t xml:space="preserve"> y otros, </w:t>
      </w:r>
      <w:r w:rsidR="00ED27C3">
        <w:rPr>
          <w:rStyle w:val="Strong"/>
          <w:rFonts w:ascii="Verdana" w:hAnsi="Verdana" w:cs="Tahoma"/>
          <w:b w:val="0"/>
          <w:color w:val="000000"/>
          <w:sz w:val="20"/>
          <w:szCs w:val="20"/>
          <w:shd w:val="clear" w:color="auto" w:fill="FFFFFF"/>
        </w:rPr>
        <w:t>ambos Vs. Guatemala</w:t>
      </w:r>
      <w:r w:rsidR="00ED27C3" w:rsidRPr="00C8340F">
        <w:rPr>
          <w:rStyle w:val="FootnoteReference"/>
          <w:rFonts w:ascii="Verdana" w:hAnsi="Verdana" w:cs="Tahoma"/>
          <w:bCs/>
          <w:color w:val="000000"/>
          <w:sz w:val="20"/>
          <w:szCs w:val="20"/>
          <w:shd w:val="clear" w:color="auto" w:fill="FFFFFF"/>
        </w:rPr>
        <w:footnoteReference w:id="4"/>
      </w:r>
      <w:r w:rsidR="00C8340F">
        <w:rPr>
          <w:rStyle w:val="Strong"/>
          <w:rFonts w:ascii="Verdana" w:hAnsi="Verdana" w:cs="Tahoma"/>
          <w:b w:val="0"/>
          <w:i/>
          <w:color w:val="000000"/>
          <w:sz w:val="20"/>
          <w:szCs w:val="20"/>
          <w:shd w:val="clear" w:color="auto" w:fill="FFFFFF"/>
        </w:rPr>
        <w:t xml:space="preserve">; </w:t>
      </w:r>
      <w:r w:rsidR="00C8340F">
        <w:rPr>
          <w:rStyle w:val="Strong"/>
          <w:rFonts w:ascii="Verdana" w:hAnsi="Verdana" w:cs="Tahoma"/>
          <w:b w:val="0"/>
          <w:color w:val="000000"/>
          <w:sz w:val="20"/>
          <w:szCs w:val="20"/>
          <w:shd w:val="clear" w:color="auto" w:fill="FFFFFF"/>
        </w:rPr>
        <w:t xml:space="preserve">expresión </w:t>
      </w:r>
      <w:r w:rsidR="00C8340F">
        <w:rPr>
          <w:rStyle w:val="Strong"/>
          <w:rFonts w:ascii="Verdana" w:hAnsi="Verdana" w:cs="Tahoma"/>
          <w:b w:val="0"/>
          <w:color w:val="000000"/>
          <w:sz w:val="20"/>
          <w:szCs w:val="20"/>
          <w:shd w:val="clear" w:color="auto" w:fill="FFFFFF"/>
        </w:rPr>
        <w:lastRenderedPageBreak/>
        <w:t xml:space="preserve">(“feminicidio”) </w:t>
      </w:r>
      <w:r w:rsidR="004D103D">
        <w:rPr>
          <w:rStyle w:val="Strong"/>
          <w:rFonts w:ascii="Verdana" w:hAnsi="Verdana" w:cs="Tahoma"/>
          <w:b w:val="0"/>
          <w:color w:val="000000"/>
          <w:sz w:val="20"/>
          <w:szCs w:val="20"/>
          <w:shd w:val="clear" w:color="auto" w:fill="FFFFFF"/>
        </w:rPr>
        <w:t xml:space="preserve">incorporada en la última edición del </w:t>
      </w:r>
      <w:r w:rsidR="004D103D" w:rsidRPr="004D103D">
        <w:rPr>
          <w:rStyle w:val="Strong"/>
          <w:rFonts w:ascii="Verdana" w:hAnsi="Verdana" w:cs="Tahoma"/>
          <w:b w:val="0"/>
          <w:i/>
          <w:color w:val="000000"/>
          <w:sz w:val="20"/>
          <w:szCs w:val="20"/>
          <w:shd w:val="clear" w:color="auto" w:fill="FFFFFF"/>
        </w:rPr>
        <w:t>Diccionario de la lengua española</w:t>
      </w:r>
      <w:r w:rsidR="004E052E">
        <w:rPr>
          <w:rStyle w:val="Strong"/>
          <w:rFonts w:ascii="Verdana" w:hAnsi="Verdana" w:cs="Tahoma"/>
          <w:b w:val="0"/>
          <w:color w:val="000000"/>
          <w:sz w:val="20"/>
          <w:szCs w:val="20"/>
          <w:shd w:val="clear" w:color="auto" w:fill="FFFFFF"/>
        </w:rPr>
        <w:t xml:space="preserve"> que editó la Real Academia E</w:t>
      </w:r>
      <w:r w:rsidR="004D103D">
        <w:rPr>
          <w:rStyle w:val="Strong"/>
          <w:rFonts w:ascii="Verdana" w:hAnsi="Verdana" w:cs="Tahoma"/>
          <w:b w:val="0"/>
          <w:color w:val="000000"/>
          <w:sz w:val="20"/>
          <w:szCs w:val="20"/>
          <w:shd w:val="clear" w:color="auto" w:fill="FFFFFF"/>
        </w:rPr>
        <w:t>spañola en octubre de 2014</w:t>
      </w:r>
      <w:r w:rsidR="00F630F5" w:rsidRPr="006615E3">
        <w:rPr>
          <w:rStyle w:val="FootnoteReference"/>
          <w:rFonts w:ascii="Verdana" w:eastAsia="Arial Unicode MS" w:hAnsi="Verdana" w:cs="Arial Unicode MS"/>
          <w:color w:val="000000"/>
          <w:spacing w:val="4"/>
          <w:sz w:val="20"/>
          <w:szCs w:val="20"/>
          <w:shd w:val="clear" w:color="auto" w:fill="FFFFFF"/>
        </w:rPr>
        <w:footnoteReference w:id="5"/>
      </w:r>
      <w:r w:rsidR="004D103D">
        <w:rPr>
          <w:rStyle w:val="Strong"/>
          <w:rFonts w:ascii="Verdana" w:hAnsi="Verdana" w:cs="Tahoma"/>
          <w:b w:val="0"/>
          <w:color w:val="000000"/>
          <w:sz w:val="20"/>
          <w:szCs w:val="20"/>
          <w:shd w:val="clear" w:color="auto" w:fill="FFFFFF"/>
        </w:rPr>
        <w:t>, a casi una década despué</w:t>
      </w:r>
      <w:r w:rsidR="00721FDE">
        <w:rPr>
          <w:rStyle w:val="Strong"/>
          <w:rFonts w:ascii="Verdana" w:hAnsi="Verdana" w:cs="Tahoma"/>
          <w:b w:val="0"/>
          <w:color w:val="000000"/>
          <w:sz w:val="20"/>
          <w:szCs w:val="20"/>
          <w:shd w:val="clear" w:color="auto" w:fill="FFFFFF"/>
        </w:rPr>
        <w:t xml:space="preserve">s de los lamentables </w:t>
      </w:r>
      <w:r w:rsidR="004D103D">
        <w:rPr>
          <w:rStyle w:val="Strong"/>
          <w:rFonts w:ascii="Verdana" w:hAnsi="Verdana" w:cs="Tahoma"/>
          <w:b w:val="0"/>
          <w:color w:val="000000"/>
          <w:sz w:val="20"/>
          <w:szCs w:val="20"/>
          <w:shd w:val="clear" w:color="auto" w:fill="FFFFFF"/>
        </w:rPr>
        <w:t>hechos del caso que motiva el presente voto razonado.</w:t>
      </w:r>
    </w:p>
    <w:p w14:paraId="32210808" w14:textId="77777777" w:rsidR="003D6A83" w:rsidRPr="00701CD5" w:rsidRDefault="003D6A83" w:rsidP="008E2F4B">
      <w:pPr>
        <w:pStyle w:val="NoSpacing"/>
        <w:jc w:val="both"/>
        <w:rPr>
          <w:rFonts w:ascii="Verdana" w:hAnsi="Verdana"/>
          <w:sz w:val="20"/>
          <w:szCs w:val="20"/>
          <w:lang w:eastAsia="es-PA"/>
        </w:rPr>
      </w:pPr>
    </w:p>
    <w:p w14:paraId="32210809" w14:textId="77777777" w:rsidR="008F2C2C" w:rsidRPr="00D67AA4" w:rsidRDefault="008F2C2C" w:rsidP="008F2C2C">
      <w:pPr>
        <w:pStyle w:val="ListParagraph"/>
        <w:numPr>
          <w:ilvl w:val="0"/>
          <w:numId w:val="17"/>
        </w:numPr>
        <w:spacing w:line="240" w:lineRule="auto"/>
        <w:ind w:left="0" w:firstLine="0"/>
        <w:jc w:val="both"/>
        <w:rPr>
          <w:rFonts w:ascii="Verdana" w:hAnsi="Verdana" w:cs="Tahoma"/>
          <w:bCs/>
          <w:color w:val="000000"/>
          <w:sz w:val="20"/>
          <w:szCs w:val="20"/>
          <w:shd w:val="clear" w:color="auto" w:fill="FFFFFF"/>
        </w:rPr>
      </w:pPr>
      <w:r>
        <w:rPr>
          <w:rFonts w:ascii="Verdana" w:eastAsia="Arial Unicode MS" w:hAnsi="Verdana" w:cs="Arial Unicode MS"/>
          <w:color w:val="000000"/>
          <w:spacing w:val="4"/>
          <w:sz w:val="20"/>
          <w:szCs w:val="20"/>
          <w:shd w:val="clear" w:color="auto" w:fill="FFFFFF"/>
        </w:rPr>
        <w:t>L</w:t>
      </w:r>
      <w:r w:rsidR="003D6A83" w:rsidRPr="00D84B35">
        <w:rPr>
          <w:rFonts w:ascii="Verdana" w:eastAsia="Arial Unicode MS" w:hAnsi="Verdana" w:cs="Arial Unicode MS"/>
          <w:color w:val="000000"/>
          <w:spacing w:val="4"/>
          <w:sz w:val="20"/>
          <w:szCs w:val="20"/>
          <w:shd w:val="clear" w:color="auto" w:fill="FFFFFF"/>
        </w:rPr>
        <w:t xml:space="preserve">a persistencia de tal problemática en la región </w:t>
      </w:r>
      <w:r>
        <w:rPr>
          <w:rFonts w:ascii="Verdana" w:eastAsia="Arial Unicode MS" w:hAnsi="Verdana" w:cs="Arial Unicode MS"/>
          <w:color w:val="000000"/>
          <w:spacing w:val="4"/>
          <w:sz w:val="20"/>
          <w:szCs w:val="20"/>
          <w:shd w:val="clear" w:color="auto" w:fill="FFFFFF"/>
        </w:rPr>
        <w:t xml:space="preserve">—a pesar de diversas acciones estatales como se advierte del presente caso— </w:t>
      </w:r>
      <w:r w:rsidR="003D6A83" w:rsidRPr="00D84B35">
        <w:rPr>
          <w:rFonts w:ascii="Verdana" w:hAnsi="Verdana"/>
          <w:sz w:val="20"/>
          <w:szCs w:val="20"/>
          <w:lang w:eastAsia="es-PA"/>
        </w:rPr>
        <w:t xml:space="preserve">destaca la necesidad impostergable de poner especial atención </w:t>
      </w:r>
      <w:r>
        <w:rPr>
          <w:rFonts w:ascii="Verdana" w:hAnsi="Verdana"/>
          <w:sz w:val="20"/>
          <w:szCs w:val="20"/>
          <w:lang w:eastAsia="es-PA"/>
        </w:rPr>
        <w:t xml:space="preserve">y cuidado </w:t>
      </w:r>
      <w:r w:rsidR="003D6A83" w:rsidRPr="00D84B35">
        <w:rPr>
          <w:rFonts w:ascii="Verdana" w:hAnsi="Verdana"/>
          <w:sz w:val="20"/>
          <w:szCs w:val="20"/>
          <w:lang w:eastAsia="es-PA"/>
        </w:rPr>
        <w:t xml:space="preserve">al “deber de prevención” a que se refiere el artículo 7 de </w:t>
      </w:r>
      <w:r w:rsidR="00D84B35" w:rsidRPr="00D84B35">
        <w:rPr>
          <w:rFonts w:ascii="Verdana" w:hAnsi="Verdana"/>
          <w:sz w:val="20"/>
          <w:szCs w:val="20"/>
          <w:lang w:eastAsia="es-PA"/>
        </w:rPr>
        <w:t xml:space="preserve">la </w:t>
      </w:r>
      <w:r w:rsidR="00C177AA">
        <w:rPr>
          <w:rFonts w:ascii="Verdana" w:hAnsi="Verdana"/>
          <w:sz w:val="20"/>
          <w:szCs w:val="20"/>
          <w:lang w:eastAsia="es-PA"/>
        </w:rPr>
        <w:t>“</w:t>
      </w:r>
      <w:r w:rsidR="00D84B35" w:rsidRPr="00D84B35">
        <w:rPr>
          <w:rFonts w:ascii="Verdana" w:hAnsi="Verdana"/>
          <w:sz w:val="20"/>
          <w:szCs w:val="20"/>
          <w:lang w:eastAsia="es-PA"/>
        </w:rPr>
        <w:t>Con</w:t>
      </w:r>
      <w:r w:rsidR="00674D9B">
        <w:rPr>
          <w:rFonts w:ascii="Verdana" w:hAnsi="Verdana"/>
          <w:sz w:val="20"/>
          <w:szCs w:val="20"/>
          <w:lang w:eastAsia="es-PA"/>
        </w:rPr>
        <w:t>vención de Belém do Pará</w:t>
      </w:r>
      <w:r w:rsidR="00C177AA">
        <w:rPr>
          <w:rFonts w:ascii="Verdana" w:hAnsi="Verdana"/>
          <w:sz w:val="20"/>
          <w:szCs w:val="20"/>
          <w:lang w:eastAsia="es-PA"/>
        </w:rPr>
        <w:t>”</w:t>
      </w:r>
      <w:r w:rsidR="00E00457" w:rsidRPr="00E00457">
        <w:rPr>
          <w:rStyle w:val="FootnoteReference"/>
          <w:rFonts w:ascii="Verdana" w:eastAsia="Calibri" w:hAnsi="Verdana"/>
          <w:sz w:val="20"/>
          <w:szCs w:val="20"/>
        </w:rPr>
        <w:footnoteReference w:id="6"/>
      </w:r>
      <w:r w:rsidR="00E00457">
        <w:rPr>
          <w:rFonts w:ascii="Verdana" w:hAnsi="Verdana"/>
          <w:sz w:val="20"/>
          <w:szCs w:val="20"/>
          <w:lang w:eastAsia="es-PA"/>
        </w:rPr>
        <w:t>;</w:t>
      </w:r>
      <w:r w:rsidR="00674D9B">
        <w:rPr>
          <w:rFonts w:ascii="Verdana" w:hAnsi="Verdana"/>
          <w:sz w:val="20"/>
          <w:szCs w:val="20"/>
          <w:lang w:eastAsia="es-PA"/>
        </w:rPr>
        <w:t xml:space="preserve"> obligación que estimo de la </w:t>
      </w:r>
      <w:r w:rsidR="00D610A9">
        <w:rPr>
          <w:rFonts w:ascii="Verdana" w:hAnsi="Verdana"/>
          <w:sz w:val="20"/>
          <w:szCs w:val="20"/>
          <w:lang w:eastAsia="es-PA"/>
        </w:rPr>
        <w:t>mayor relevancia para evitar la barbarie de</w:t>
      </w:r>
      <w:r w:rsidR="00674D9B">
        <w:rPr>
          <w:rFonts w:ascii="Verdana" w:hAnsi="Verdana"/>
          <w:sz w:val="20"/>
          <w:szCs w:val="20"/>
          <w:lang w:eastAsia="es-PA"/>
        </w:rPr>
        <w:t xml:space="preserve">l </w:t>
      </w:r>
      <w:r w:rsidR="00D67AA4">
        <w:rPr>
          <w:rFonts w:ascii="Verdana" w:hAnsi="Verdana"/>
          <w:sz w:val="20"/>
          <w:szCs w:val="20"/>
          <w:lang w:eastAsia="es-PA"/>
        </w:rPr>
        <w:t xml:space="preserve">fenómeno del </w:t>
      </w:r>
      <w:r w:rsidR="0013641F">
        <w:rPr>
          <w:rFonts w:ascii="Verdana" w:hAnsi="Verdana"/>
          <w:sz w:val="20"/>
          <w:szCs w:val="20"/>
          <w:lang w:eastAsia="es-PA"/>
        </w:rPr>
        <w:t>“</w:t>
      </w:r>
      <w:r w:rsidR="00674D9B">
        <w:rPr>
          <w:rFonts w:ascii="Verdana" w:hAnsi="Verdana"/>
          <w:sz w:val="20"/>
          <w:szCs w:val="20"/>
          <w:lang w:eastAsia="es-PA"/>
        </w:rPr>
        <w:t>feminicidio</w:t>
      </w:r>
      <w:r w:rsidR="0013641F">
        <w:rPr>
          <w:rFonts w:ascii="Verdana" w:hAnsi="Verdana"/>
          <w:sz w:val="20"/>
          <w:szCs w:val="20"/>
          <w:lang w:eastAsia="es-PA"/>
        </w:rPr>
        <w:t>”</w:t>
      </w:r>
      <w:r w:rsidR="00674D9B">
        <w:rPr>
          <w:rFonts w:ascii="Verdana" w:hAnsi="Verdana"/>
          <w:sz w:val="20"/>
          <w:szCs w:val="20"/>
          <w:lang w:eastAsia="es-PA"/>
        </w:rPr>
        <w:t xml:space="preserve"> y en general toda forma de violencia contra la mujer.</w:t>
      </w:r>
      <w:r w:rsidR="00D84B35" w:rsidRPr="00D84B35">
        <w:rPr>
          <w:rFonts w:ascii="Verdana" w:hAnsi="Verdana"/>
          <w:sz w:val="20"/>
          <w:szCs w:val="20"/>
          <w:lang w:eastAsia="es-PA"/>
        </w:rPr>
        <w:t xml:space="preserve"> </w:t>
      </w:r>
    </w:p>
    <w:p w14:paraId="3221080A" w14:textId="77777777" w:rsidR="00D67AA4" w:rsidRPr="00D67AA4" w:rsidRDefault="00D67AA4" w:rsidP="00D67AA4">
      <w:pPr>
        <w:pStyle w:val="ListParagraph"/>
        <w:spacing w:line="240" w:lineRule="auto"/>
        <w:ind w:left="0"/>
        <w:jc w:val="both"/>
        <w:rPr>
          <w:rStyle w:val="Strong"/>
          <w:rFonts w:ascii="Verdana" w:hAnsi="Verdana" w:cs="Tahoma"/>
          <w:b w:val="0"/>
          <w:color w:val="000000"/>
          <w:sz w:val="20"/>
          <w:szCs w:val="20"/>
          <w:shd w:val="clear" w:color="auto" w:fill="FFFFFF"/>
        </w:rPr>
      </w:pPr>
    </w:p>
    <w:p w14:paraId="3221080B" w14:textId="77777777" w:rsidR="002A05FD" w:rsidRPr="002A05FD" w:rsidRDefault="008F2C2C" w:rsidP="002A05FD">
      <w:pPr>
        <w:pStyle w:val="ListParagraph"/>
        <w:numPr>
          <w:ilvl w:val="0"/>
          <w:numId w:val="17"/>
        </w:numPr>
        <w:spacing w:line="240" w:lineRule="auto"/>
        <w:ind w:left="0" w:firstLine="0"/>
        <w:jc w:val="both"/>
        <w:rPr>
          <w:rStyle w:val="Strong"/>
          <w:rFonts w:ascii="Verdana" w:hAnsi="Verdana" w:cs="Tahoma"/>
          <w:b w:val="0"/>
          <w:color w:val="000000"/>
          <w:sz w:val="20"/>
          <w:szCs w:val="20"/>
          <w:shd w:val="clear" w:color="auto" w:fill="FFFFFF"/>
        </w:rPr>
      </w:pPr>
      <w:r w:rsidRPr="00F9275D">
        <w:rPr>
          <w:rStyle w:val="Strong"/>
          <w:rFonts w:ascii="Verdana" w:hAnsi="Verdana" w:cs="Tahoma"/>
          <w:b w:val="0"/>
          <w:color w:val="000000"/>
          <w:sz w:val="20"/>
          <w:szCs w:val="20"/>
          <w:shd w:val="clear" w:color="auto" w:fill="FFFFFF"/>
        </w:rPr>
        <w:t xml:space="preserve">En </w:t>
      </w:r>
      <w:r>
        <w:rPr>
          <w:rStyle w:val="Strong"/>
          <w:rFonts w:ascii="Verdana" w:hAnsi="Verdana" w:cs="Tahoma"/>
          <w:b w:val="0"/>
          <w:color w:val="000000"/>
          <w:sz w:val="20"/>
          <w:szCs w:val="20"/>
          <w:shd w:val="clear" w:color="auto" w:fill="FFFFFF"/>
        </w:rPr>
        <w:t>consecuencia</w:t>
      </w:r>
      <w:r w:rsidRPr="00F9275D">
        <w:rPr>
          <w:rStyle w:val="Strong"/>
          <w:rFonts w:ascii="Verdana" w:hAnsi="Verdana" w:cs="Tahoma"/>
          <w:b w:val="0"/>
          <w:color w:val="000000"/>
          <w:sz w:val="20"/>
          <w:szCs w:val="20"/>
          <w:shd w:val="clear" w:color="auto" w:fill="FFFFFF"/>
        </w:rPr>
        <w:t xml:space="preserve">, formulo el presente voto concurrente con el objetivo de destacar algunas cuestiones </w:t>
      </w:r>
      <w:r w:rsidR="00D67AA4">
        <w:rPr>
          <w:rStyle w:val="Strong"/>
          <w:rFonts w:ascii="Verdana" w:hAnsi="Verdana" w:cs="Tahoma"/>
          <w:b w:val="0"/>
          <w:color w:val="000000"/>
          <w:sz w:val="20"/>
          <w:szCs w:val="20"/>
          <w:shd w:val="clear" w:color="auto" w:fill="FFFFFF"/>
        </w:rPr>
        <w:t xml:space="preserve">relevantes </w:t>
      </w:r>
      <w:r w:rsidR="00B321BA">
        <w:rPr>
          <w:rStyle w:val="Strong"/>
          <w:rFonts w:ascii="Verdana" w:hAnsi="Verdana" w:cs="Tahoma"/>
          <w:b w:val="0"/>
          <w:color w:val="000000"/>
          <w:sz w:val="20"/>
          <w:szCs w:val="20"/>
          <w:shd w:val="clear" w:color="auto" w:fill="FFFFFF"/>
        </w:rPr>
        <w:t>en el</w:t>
      </w:r>
      <w:r w:rsidRPr="00F9275D">
        <w:rPr>
          <w:rStyle w:val="Strong"/>
          <w:rFonts w:ascii="Verdana" w:hAnsi="Verdana" w:cs="Tahoma"/>
          <w:b w:val="0"/>
          <w:color w:val="000000"/>
          <w:sz w:val="20"/>
          <w:szCs w:val="20"/>
          <w:shd w:val="clear" w:color="auto" w:fill="FFFFFF"/>
        </w:rPr>
        <w:t xml:space="preserve"> estudio y análisis del deber estatal de prevención </w:t>
      </w:r>
      <w:r w:rsidR="00B321BA">
        <w:rPr>
          <w:rStyle w:val="Strong"/>
          <w:rFonts w:ascii="Verdana" w:hAnsi="Verdana" w:cs="Tahoma"/>
          <w:b w:val="0"/>
          <w:color w:val="000000"/>
          <w:sz w:val="20"/>
          <w:szCs w:val="20"/>
          <w:shd w:val="clear" w:color="auto" w:fill="FFFFFF"/>
        </w:rPr>
        <w:t xml:space="preserve">realizado </w:t>
      </w:r>
      <w:r w:rsidRPr="00F9275D">
        <w:rPr>
          <w:rStyle w:val="Strong"/>
          <w:rFonts w:ascii="Verdana" w:hAnsi="Verdana" w:cs="Tahoma"/>
          <w:b w:val="0"/>
          <w:color w:val="000000"/>
          <w:sz w:val="20"/>
          <w:szCs w:val="20"/>
          <w:shd w:val="clear" w:color="auto" w:fill="FFFFFF"/>
        </w:rPr>
        <w:t xml:space="preserve">en </w:t>
      </w:r>
      <w:r>
        <w:rPr>
          <w:rStyle w:val="Strong"/>
          <w:rFonts w:ascii="Verdana" w:hAnsi="Verdana" w:cs="Tahoma"/>
          <w:b w:val="0"/>
          <w:color w:val="000000"/>
          <w:sz w:val="20"/>
          <w:szCs w:val="20"/>
          <w:shd w:val="clear" w:color="auto" w:fill="FFFFFF"/>
        </w:rPr>
        <w:t>el presente caso</w:t>
      </w:r>
      <w:r w:rsidRPr="00F9275D">
        <w:rPr>
          <w:rStyle w:val="Strong"/>
          <w:rFonts w:ascii="Verdana" w:hAnsi="Verdana" w:cs="Tahoma"/>
          <w:b w:val="0"/>
          <w:color w:val="000000"/>
          <w:sz w:val="20"/>
          <w:szCs w:val="20"/>
          <w:shd w:val="clear" w:color="auto" w:fill="FFFFFF"/>
        </w:rPr>
        <w:t xml:space="preserve">, ya que estimo pertinente observar con detenimiento a partir de qué momento en la </w:t>
      </w:r>
      <w:r w:rsidR="00D504BB">
        <w:rPr>
          <w:rStyle w:val="Strong"/>
          <w:rFonts w:ascii="Verdana" w:hAnsi="Verdana" w:cs="Tahoma"/>
          <w:b w:val="0"/>
          <w:color w:val="000000"/>
          <w:sz w:val="20"/>
          <w:szCs w:val="20"/>
          <w:shd w:val="clear" w:color="auto" w:fill="FFFFFF"/>
        </w:rPr>
        <w:t>plataforma fáctica analizada en</w:t>
      </w:r>
      <w:r w:rsidRPr="00F9275D">
        <w:rPr>
          <w:rStyle w:val="Strong"/>
          <w:rFonts w:ascii="Verdana" w:hAnsi="Verdana" w:cs="Tahoma"/>
          <w:b w:val="0"/>
          <w:color w:val="000000"/>
          <w:sz w:val="20"/>
          <w:szCs w:val="20"/>
          <w:shd w:val="clear" w:color="auto" w:fill="FFFFFF"/>
        </w:rPr>
        <w:t xml:space="preserve"> la Sentencia, se configur</w:t>
      </w:r>
      <w:r>
        <w:rPr>
          <w:rStyle w:val="Strong"/>
          <w:rFonts w:ascii="Verdana" w:hAnsi="Verdana" w:cs="Tahoma"/>
          <w:b w:val="0"/>
          <w:color w:val="000000"/>
          <w:sz w:val="20"/>
          <w:szCs w:val="20"/>
          <w:shd w:val="clear" w:color="auto" w:fill="FFFFFF"/>
        </w:rPr>
        <w:t>ó</w:t>
      </w:r>
      <w:r w:rsidRPr="00F9275D">
        <w:rPr>
          <w:rStyle w:val="Strong"/>
          <w:rFonts w:ascii="Verdana" w:hAnsi="Verdana" w:cs="Tahoma"/>
          <w:b w:val="0"/>
          <w:color w:val="000000"/>
          <w:sz w:val="20"/>
          <w:szCs w:val="20"/>
          <w:shd w:val="clear" w:color="auto" w:fill="FFFFFF"/>
        </w:rPr>
        <w:t xml:space="preserve"> la responsabilidad internacional del Estado por incumplimiento de su deber de prevención</w:t>
      </w:r>
      <w:r w:rsidR="00D504BB">
        <w:rPr>
          <w:rStyle w:val="Strong"/>
          <w:rFonts w:ascii="Verdana" w:hAnsi="Verdana" w:cs="Tahoma"/>
          <w:b w:val="0"/>
          <w:color w:val="000000"/>
          <w:sz w:val="20"/>
          <w:szCs w:val="20"/>
          <w:shd w:val="clear" w:color="auto" w:fill="FFFFFF"/>
        </w:rPr>
        <w:t xml:space="preserve"> —haciendo </w:t>
      </w:r>
      <w:r w:rsidR="00D67AA4">
        <w:rPr>
          <w:rStyle w:val="Strong"/>
          <w:rFonts w:ascii="Verdana" w:hAnsi="Verdana" w:cs="Tahoma"/>
          <w:b w:val="0"/>
          <w:color w:val="000000"/>
          <w:sz w:val="20"/>
          <w:szCs w:val="20"/>
          <w:shd w:val="clear" w:color="auto" w:fill="FFFFFF"/>
        </w:rPr>
        <w:t>especial énfasis al “contexto” probado</w:t>
      </w:r>
      <w:r w:rsidR="0013641F">
        <w:rPr>
          <w:rStyle w:val="Strong"/>
          <w:rFonts w:ascii="Verdana" w:hAnsi="Verdana" w:cs="Tahoma"/>
          <w:b w:val="0"/>
          <w:color w:val="000000"/>
          <w:sz w:val="20"/>
          <w:szCs w:val="20"/>
          <w:shd w:val="clear" w:color="auto" w:fill="FFFFFF"/>
        </w:rPr>
        <w:t xml:space="preserve"> de aumento de desapariciones y homicidios violentos de mujeres</w:t>
      </w:r>
      <w:r w:rsidR="002A05FD">
        <w:rPr>
          <w:rStyle w:val="Strong"/>
          <w:rFonts w:ascii="Verdana" w:hAnsi="Verdana" w:cs="Tahoma"/>
          <w:b w:val="0"/>
          <w:color w:val="000000"/>
          <w:sz w:val="20"/>
          <w:szCs w:val="20"/>
          <w:shd w:val="clear" w:color="auto" w:fill="FFFFFF"/>
        </w:rPr>
        <w:t>—.</w:t>
      </w:r>
    </w:p>
    <w:p w14:paraId="3221080C" w14:textId="77777777" w:rsidR="002A05FD" w:rsidRPr="002A05FD" w:rsidRDefault="002A05FD" w:rsidP="002A05FD">
      <w:pPr>
        <w:pStyle w:val="ListParagraph"/>
        <w:spacing w:line="240" w:lineRule="auto"/>
        <w:ind w:left="0"/>
        <w:jc w:val="both"/>
        <w:rPr>
          <w:rStyle w:val="Strong"/>
          <w:rFonts w:ascii="Verdana" w:hAnsi="Verdana" w:cs="Tahoma"/>
          <w:b w:val="0"/>
          <w:color w:val="000000"/>
          <w:sz w:val="20"/>
          <w:szCs w:val="20"/>
          <w:shd w:val="clear" w:color="auto" w:fill="FFFFFF"/>
        </w:rPr>
      </w:pPr>
    </w:p>
    <w:p w14:paraId="3221080D" w14:textId="036C3B17" w:rsidR="008F2C2C" w:rsidRPr="004E052E" w:rsidRDefault="00BA0913" w:rsidP="008973FB">
      <w:pPr>
        <w:pStyle w:val="ListParagraph"/>
        <w:numPr>
          <w:ilvl w:val="0"/>
          <w:numId w:val="17"/>
        </w:numPr>
        <w:spacing w:line="240" w:lineRule="auto"/>
        <w:ind w:left="0" w:firstLine="0"/>
        <w:jc w:val="both"/>
        <w:rPr>
          <w:rStyle w:val="Strong"/>
          <w:rFonts w:ascii="Verdana" w:hAnsi="Verdana" w:cs="Tahoma"/>
          <w:b w:val="0"/>
          <w:color w:val="000000"/>
          <w:sz w:val="20"/>
          <w:szCs w:val="20"/>
          <w:shd w:val="clear" w:color="auto" w:fill="FFFFFF"/>
        </w:rPr>
      </w:pPr>
      <w:r>
        <w:rPr>
          <w:rStyle w:val="Strong"/>
          <w:rFonts w:ascii="Verdana" w:hAnsi="Verdana" w:cs="Tahoma"/>
          <w:b w:val="0"/>
          <w:color w:val="000000"/>
          <w:sz w:val="20"/>
          <w:szCs w:val="20"/>
          <w:shd w:val="clear" w:color="auto" w:fill="FFFFFF"/>
        </w:rPr>
        <w:t xml:space="preserve">Dicho análisis </w:t>
      </w:r>
      <w:r w:rsidR="00D67AA4" w:rsidRPr="002A05FD">
        <w:rPr>
          <w:rStyle w:val="Strong"/>
          <w:rFonts w:ascii="Verdana" w:hAnsi="Verdana" w:cs="Tahoma"/>
          <w:b w:val="0"/>
          <w:color w:val="000000"/>
          <w:sz w:val="20"/>
          <w:szCs w:val="20"/>
          <w:shd w:val="clear" w:color="auto" w:fill="FFFFFF"/>
        </w:rPr>
        <w:t xml:space="preserve">considero </w:t>
      </w:r>
      <w:r w:rsidR="008F2C2C" w:rsidRPr="002A05FD">
        <w:rPr>
          <w:rStyle w:val="Strong"/>
          <w:rFonts w:ascii="Verdana" w:hAnsi="Verdana" w:cs="Tahoma"/>
          <w:b w:val="0"/>
          <w:color w:val="000000"/>
          <w:sz w:val="20"/>
          <w:szCs w:val="20"/>
          <w:shd w:val="clear" w:color="auto" w:fill="FFFFFF"/>
        </w:rPr>
        <w:t>debió ser diferente al realizado por la Corte IDH en casos anteriores</w:t>
      </w:r>
      <w:r w:rsidR="008F2C2C" w:rsidRPr="00F9275D">
        <w:rPr>
          <w:rStyle w:val="FootnoteReference"/>
          <w:rFonts w:ascii="Verdana" w:hAnsi="Verdana" w:cs="Tahoma"/>
          <w:bCs/>
          <w:color w:val="000000"/>
          <w:sz w:val="20"/>
          <w:szCs w:val="20"/>
          <w:shd w:val="clear" w:color="auto" w:fill="FFFFFF"/>
        </w:rPr>
        <w:footnoteReference w:id="7"/>
      </w:r>
      <w:r w:rsidR="008F2C2C" w:rsidRPr="002A05FD">
        <w:rPr>
          <w:rStyle w:val="Strong"/>
          <w:rFonts w:ascii="Verdana" w:hAnsi="Verdana" w:cs="Tahoma"/>
          <w:b w:val="0"/>
          <w:color w:val="000000"/>
          <w:sz w:val="20"/>
          <w:szCs w:val="20"/>
          <w:shd w:val="clear" w:color="auto" w:fill="FFFFFF"/>
        </w:rPr>
        <w:t xml:space="preserve">, dando mayor relevancia al </w:t>
      </w:r>
      <w:r w:rsidR="00674D9B" w:rsidRPr="002A05FD">
        <w:rPr>
          <w:rStyle w:val="Strong"/>
          <w:rFonts w:ascii="Verdana" w:hAnsi="Verdana" w:cs="Tahoma"/>
          <w:b w:val="0"/>
          <w:color w:val="000000"/>
          <w:sz w:val="20"/>
          <w:szCs w:val="20"/>
          <w:shd w:val="clear" w:color="auto" w:fill="FFFFFF"/>
        </w:rPr>
        <w:t>“</w:t>
      </w:r>
      <w:r w:rsidR="008F2C2C" w:rsidRPr="002A05FD">
        <w:rPr>
          <w:rStyle w:val="Strong"/>
          <w:rFonts w:ascii="Verdana" w:hAnsi="Verdana" w:cs="Tahoma"/>
          <w:b w:val="0"/>
          <w:color w:val="000000"/>
          <w:sz w:val="20"/>
          <w:szCs w:val="20"/>
          <w:shd w:val="clear" w:color="auto" w:fill="FFFFFF"/>
        </w:rPr>
        <w:t>primer momento</w:t>
      </w:r>
      <w:r w:rsidR="00674D9B" w:rsidRPr="002A05FD">
        <w:rPr>
          <w:rStyle w:val="Strong"/>
          <w:rFonts w:ascii="Verdana" w:hAnsi="Verdana" w:cs="Tahoma"/>
          <w:b w:val="0"/>
          <w:color w:val="000000"/>
          <w:sz w:val="20"/>
          <w:szCs w:val="20"/>
          <w:shd w:val="clear" w:color="auto" w:fill="FFFFFF"/>
        </w:rPr>
        <w:t>”</w:t>
      </w:r>
      <w:r w:rsidR="008F2C2C" w:rsidRPr="002A05FD">
        <w:rPr>
          <w:rStyle w:val="Strong"/>
          <w:rFonts w:ascii="Verdana" w:hAnsi="Verdana" w:cs="Tahoma"/>
          <w:b w:val="0"/>
          <w:color w:val="000000"/>
          <w:sz w:val="20"/>
          <w:szCs w:val="20"/>
          <w:shd w:val="clear" w:color="auto" w:fill="FFFFFF"/>
        </w:rPr>
        <w:t xml:space="preserve"> de dicho deber</w:t>
      </w:r>
      <w:r>
        <w:rPr>
          <w:rStyle w:val="Strong"/>
          <w:rFonts w:ascii="Verdana" w:hAnsi="Verdana" w:cs="Tahoma"/>
          <w:b w:val="0"/>
          <w:color w:val="000000"/>
          <w:sz w:val="20"/>
          <w:szCs w:val="20"/>
          <w:shd w:val="clear" w:color="auto" w:fill="FFFFFF"/>
        </w:rPr>
        <w:t xml:space="preserve"> general</w:t>
      </w:r>
      <w:r w:rsidR="0013641F" w:rsidRPr="002A05FD">
        <w:rPr>
          <w:rStyle w:val="Strong"/>
          <w:rFonts w:ascii="Verdana" w:hAnsi="Verdana" w:cs="Tahoma"/>
          <w:b w:val="0"/>
          <w:color w:val="000000"/>
          <w:sz w:val="20"/>
          <w:szCs w:val="20"/>
          <w:shd w:val="clear" w:color="auto" w:fill="FFFFFF"/>
        </w:rPr>
        <w:t xml:space="preserve"> </w:t>
      </w:r>
      <w:r>
        <w:rPr>
          <w:rStyle w:val="Strong"/>
          <w:rFonts w:ascii="Verdana" w:hAnsi="Verdana" w:cs="Tahoma"/>
          <w:b w:val="0"/>
          <w:color w:val="000000"/>
          <w:sz w:val="20"/>
          <w:szCs w:val="20"/>
          <w:shd w:val="clear" w:color="auto" w:fill="FFFFFF"/>
        </w:rPr>
        <w:t xml:space="preserve">de prevención </w:t>
      </w:r>
      <w:r w:rsidR="002A05FD" w:rsidRPr="002A05FD">
        <w:rPr>
          <w:rStyle w:val="Strong"/>
          <w:rFonts w:ascii="Verdana" w:hAnsi="Verdana" w:cs="Tahoma"/>
          <w:b w:val="0"/>
          <w:color w:val="000000"/>
          <w:sz w:val="20"/>
          <w:szCs w:val="20"/>
          <w:shd w:val="clear" w:color="auto" w:fill="FFFFFF"/>
        </w:rPr>
        <w:t>(</w:t>
      </w:r>
      <w:r w:rsidR="0013641F" w:rsidRPr="002A05FD">
        <w:rPr>
          <w:rStyle w:val="Strong"/>
          <w:rFonts w:ascii="Verdana" w:hAnsi="Verdana" w:cs="Tahoma"/>
          <w:b w:val="0"/>
          <w:color w:val="000000"/>
          <w:sz w:val="20"/>
          <w:szCs w:val="20"/>
          <w:shd w:val="clear" w:color="auto" w:fill="FFFFFF"/>
        </w:rPr>
        <w:t>acciones estatales realizadas antes de la desaparición de la víctima</w:t>
      </w:r>
      <w:r w:rsidR="002A05FD" w:rsidRPr="002A05FD">
        <w:rPr>
          <w:rStyle w:val="Strong"/>
          <w:rFonts w:ascii="Verdana" w:hAnsi="Verdana" w:cs="Tahoma"/>
          <w:b w:val="0"/>
          <w:color w:val="000000"/>
          <w:sz w:val="20"/>
          <w:szCs w:val="20"/>
          <w:shd w:val="clear" w:color="auto" w:fill="FFFFFF"/>
        </w:rPr>
        <w:t>)</w:t>
      </w:r>
      <w:r w:rsidR="004836A8" w:rsidRPr="002A05FD">
        <w:rPr>
          <w:rStyle w:val="Strong"/>
          <w:rFonts w:ascii="Verdana" w:hAnsi="Verdana" w:cs="Tahoma"/>
          <w:b w:val="0"/>
          <w:color w:val="000000"/>
          <w:sz w:val="20"/>
          <w:szCs w:val="20"/>
          <w:shd w:val="clear" w:color="auto" w:fill="FFFFFF"/>
        </w:rPr>
        <w:t>, que evidentemente condicionó la actuación estatal en el “segundo momento”</w:t>
      </w:r>
      <w:r w:rsidR="00B321BA" w:rsidRPr="002A05FD">
        <w:rPr>
          <w:rStyle w:val="Strong"/>
          <w:rFonts w:ascii="Verdana" w:hAnsi="Verdana" w:cs="Tahoma"/>
          <w:b w:val="0"/>
          <w:color w:val="000000"/>
          <w:sz w:val="20"/>
          <w:szCs w:val="20"/>
          <w:shd w:val="clear" w:color="auto" w:fill="FFFFFF"/>
        </w:rPr>
        <w:t xml:space="preserve"> </w:t>
      </w:r>
      <w:r w:rsidR="0013641F" w:rsidRPr="002A05FD">
        <w:rPr>
          <w:rStyle w:val="Strong"/>
          <w:rFonts w:ascii="Verdana" w:hAnsi="Verdana" w:cs="Tahoma"/>
          <w:b w:val="0"/>
          <w:color w:val="000000"/>
          <w:sz w:val="20"/>
          <w:szCs w:val="20"/>
          <w:shd w:val="clear" w:color="auto" w:fill="FFFFFF"/>
        </w:rPr>
        <w:t>(</w:t>
      </w:r>
      <w:r w:rsidR="002A05FD" w:rsidRPr="002A05FD">
        <w:rPr>
          <w:rStyle w:val="Strong"/>
          <w:rFonts w:ascii="Verdana" w:hAnsi="Verdana" w:cs="Tahoma"/>
          <w:b w:val="0"/>
          <w:color w:val="000000"/>
          <w:sz w:val="20"/>
          <w:szCs w:val="20"/>
          <w:shd w:val="clear" w:color="auto" w:fill="FFFFFF"/>
        </w:rPr>
        <w:t xml:space="preserve">acciones estatales realizadas entre la denuncia </w:t>
      </w:r>
      <w:r w:rsidR="00EA7DC4">
        <w:rPr>
          <w:rStyle w:val="Strong"/>
          <w:rFonts w:ascii="Verdana" w:hAnsi="Verdana" w:cs="Tahoma"/>
          <w:b w:val="0"/>
          <w:color w:val="000000"/>
          <w:sz w:val="20"/>
          <w:szCs w:val="20"/>
          <w:shd w:val="clear" w:color="auto" w:fill="FFFFFF"/>
        </w:rPr>
        <w:t xml:space="preserve">de los familiares </w:t>
      </w:r>
      <w:r w:rsidR="002A05FD" w:rsidRPr="002A05FD">
        <w:rPr>
          <w:rStyle w:val="Strong"/>
          <w:rFonts w:ascii="Verdana" w:hAnsi="Verdana" w:cs="Tahoma"/>
          <w:b w:val="0"/>
          <w:color w:val="000000"/>
          <w:sz w:val="20"/>
          <w:szCs w:val="20"/>
          <w:shd w:val="clear" w:color="auto" w:fill="FFFFFF"/>
        </w:rPr>
        <w:t>y el hallazgo del cuerpo de la víctima</w:t>
      </w:r>
      <w:r w:rsidR="0013641F" w:rsidRPr="002A05FD">
        <w:rPr>
          <w:rStyle w:val="Strong"/>
          <w:rFonts w:ascii="Verdana" w:hAnsi="Verdana" w:cs="Tahoma"/>
          <w:b w:val="0"/>
          <w:color w:val="000000"/>
          <w:sz w:val="20"/>
          <w:szCs w:val="20"/>
          <w:shd w:val="clear" w:color="auto" w:fill="FFFFFF"/>
        </w:rPr>
        <w:t xml:space="preserve">) </w:t>
      </w:r>
      <w:r w:rsidR="00B321BA" w:rsidRPr="002A05FD">
        <w:rPr>
          <w:rStyle w:val="Strong"/>
          <w:rFonts w:ascii="Verdana" w:hAnsi="Verdana" w:cs="Tahoma"/>
          <w:b w:val="0"/>
          <w:color w:val="000000"/>
          <w:sz w:val="20"/>
          <w:szCs w:val="20"/>
          <w:shd w:val="clear" w:color="auto" w:fill="FFFFFF"/>
        </w:rPr>
        <w:t>como trataremos de explicar</w:t>
      </w:r>
      <w:r w:rsidR="0013641F" w:rsidRPr="002A05FD">
        <w:rPr>
          <w:rStyle w:val="Strong"/>
          <w:rFonts w:ascii="Verdana" w:hAnsi="Verdana" w:cs="Tahoma"/>
          <w:b w:val="0"/>
          <w:color w:val="000000"/>
          <w:sz w:val="20"/>
          <w:szCs w:val="20"/>
          <w:shd w:val="clear" w:color="auto" w:fill="FFFFFF"/>
        </w:rPr>
        <w:t xml:space="preserve"> en el presente voto</w:t>
      </w:r>
      <w:r>
        <w:rPr>
          <w:rStyle w:val="Strong"/>
          <w:rFonts w:ascii="Verdana" w:hAnsi="Verdana" w:cs="Tahoma"/>
          <w:b w:val="0"/>
          <w:color w:val="000000"/>
          <w:sz w:val="20"/>
          <w:szCs w:val="20"/>
          <w:shd w:val="clear" w:color="auto" w:fill="FFFFFF"/>
        </w:rPr>
        <w:t>.</w:t>
      </w:r>
      <w:r w:rsidR="008F2C2C" w:rsidRPr="002A05FD">
        <w:rPr>
          <w:rStyle w:val="Strong"/>
          <w:rFonts w:ascii="Verdana" w:hAnsi="Verdana" w:cs="Tahoma"/>
          <w:b w:val="0"/>
          <w:color w:val="000000"/>
          <w:sz w:val="20"/>
          <w:szCs w:val="20"/>
          <w:shd w:val="clear" w:color="auto" w:fill="FFFFFF"/>
        </w:rPr>
        <w:t xml:space="preserve"> </w:t>
      </w:r>
      <w:r w:rsidR="00674D9B" w:rsidRPr="002A05FD">
        <w:rPr>
          <w:rStyle w:val="Strong"/>
          <w:rFonts w:ascii="Verdana" w:hAnsi="Verdana" w:cs="Tahoma"/>
          <w:b w:val="0"/>
          <w:color w:val="000000"/>
          <w:sz w:val="20"/>
          <w:szCs w:val="20"/>
          <w:shd w:val="clear" w:color="auto" w:fill="FFFFFF"/>
        </w:rPr>
        <w:t xml:space="preserve">Lo anterior, en </w:t>
      </w:r>
      <w:r w:rsidR="00674D9B" w:rsidRPr="002A05FD">
        <w:rPr>
          <w:rStyle w:val="Strong"/>
          <w:rFonts w:ascii="Verdana" w:hAnsi="Verdana" w:cs="Tahoma"/>
          <w:b w:val="0"/>
          <w:color w:val="000000"/>
          <w:sz w:val="20"/>
          <w:szCs w:val="20"/>
          <w:shd w:val="clear" w:color="auto" w:fill="FFFFFF"/>
        </w:rPr>
        <w:lastRenderedPageBreak/>
        <w:t>observancia al</w:t>
      </w:r>
      <w:r w:rsidR="008F2C2C" w:rsidRPr="002A05FD">
        <w:rPr>
          <w:rStyle w:val="Strong"/>
          <w:rFonts w:ascii="Verdana" w:hAnsi="Verdana" w:cs="Tahoma"/>
          <w:b w:val="0"/>
          <w:color w:val="000000"/>
          <w:sz w:val="20"/>
          <w:szCs w:val="20"/>
          <w:shd w:val="clear" w:color="auto" w:fill="FFFFFF"/>
        </w:rPr>
        <w:t xml:space="preserve"> estándar de los </w:t>
      </w:r>
      <w:r w:rsidR="0013641F" w:rsidRPr="002A05FD">
        <w:rPr>
          <w:rStyle w:val="Strong"/>
          <w:rFonts w:ascii="Verdana" w:hAnsi="Verdana" w:cs="Tahoma"/>
          <w:b w:val="0"/>
          <w:color w:val="000000"/>
          <w:sz w:val="20"/>
          <w:szCs w:val="20"/>
          <w:shd w:val="clear" w:color="auto" w:fill="FFFFFF"/>
        </w:rPr>
        <w:t>“</w:t>
      </w:r>
      <w:r w:rsidR="008F2C2C" w:rsidRPr="002A05FD">
        <w:rPr>
          <w:rStyle w:val="Strong"/>
          <w:rFonts w:ascii="Verdana" w:hAnsi="Verdana" w:cs="Tahoma"/>
          <w:b w:val="0"/>
          <w:color w:val="000000"/>
          <w:sz w:val="20"/>
          <w:szCs w:val="20"/>
          <w:shd w:val="clear" w:color="auto" w:fill="FFFFFF"/>
        </w:rPr>
        <w:t>dos mo</w:t>
      </w:r>
      <w:r w:rsidR="00674D9B" w:rsidRPr="002A05FD">
        <w:rPr>
          <w:rStyle w:val="Strong"/>
          <w:rFonts w:ascii="Verdana" w:hAnsi="Verdana" w:cs="Tahoma"/>
          <w:b w:val="0"/>
          <w:color w:val="000000"/>
          <w:sz w:val="20"/>
          <w:szCs w:val="20"/>
          <w:shd w:val="clear" w:color="auto" w:fill="FFFFFF"/>
        </w:rPr>
        <w:t>mentos</w:t>
      </w:r>
      <w:r w:rsidR="0013641F" w:rsidRPr="002A05FD">
        <w:rPr>
          <w:rStyle w:val="Strong"/>
          <w:rFonts w:ascii="Verdana" w:hAnsi="Verdana" w:cs="Tahoma"/>
          <w:b w:val="0"/>
          <w:color w:val="000000"/>
          <w:sz w:val="20"/>
          <w:szCs w:val="20"/>
          <w:shd w:val="clear" w:color="auto" w:fill="FFFFFF"/>
        </w:rPr>
        <w:t>”</w:t>
      </w:r>
      <w:r w:rsidR="00674D9B" w:rsidRPr="002A05FD">
        <w:rPr>
          <w:rStyle w:val="Strong"/>
          <w:rFonts w:ascii="Verdana" w:hAnsi="Verdana" w:cs="Tahoma"/>
          <w:b w:val="0"/>
          <w:color w:val="000000"/>
          <w:sz w:val="20"/>
          <w:szCs w:val="20"/>
          <w:shd w:val="clear" w:color="auto" w:fill="FFFFFF"/>
        </w:rPr>
        <w:t xml:space="preserve"> del deber de prevención</w:t>
      </w:r>
      <w:r>
        <w:rPr>
          <w:rStyle w:val="Strong"/>
          <w:rFonts w:ascii="Verdana" w:hAnsi="Verdana" w:cs="Tahoma"/>
          <w:b w:val="0"/>
          <w:color w:val="000000"/>
          <w:sz w:val="20"/>
          <w:szCs w:val="20"/>
          <w:shd w:val="clear" w:color="auto" w:fill="FFFFFF"/>
        </w:rPr>
        <w:t xml:space="preserve"> establecido en los dos casos previos sobre la materia</w:t>
      </w:r>
      <w:r w:rsidR="00674D9B" w:rsidRPr="002A05FD">
        <w:rPr>
          <w:rStyle w:val="Strong"/>
          <w:rFonts w:ascii="Verdana" w:hAnsi="Verdana" w:cs="Tahoma"/>
          <w:b w:val="0"/>
          <w:color w:val="000000"/>
          <w:sz w:val="20"/>
          <w:szCs w:val="20"/>
          <w:shd w:val="clear" w:color="auto" w:fill="FFFFFF"/>
        </w:rPr>
        <w:t xml:space="preserve">, </w:t>
      </w:r>
      <w:r w:rsidR="008F2C2C" w:rsidRPr="002A05FD">
        <w:rPr>
          <w:rStyle w:val="Strong"/>
          <w:rFonts w:ascii="Verdana" w:hAnsi="Verdana" w:cs="Tahoma"/>
          <w:b w:val="0"/>
          <w:color w:val="000000"/>
          <w:sz w:val="20"/>
          <w:szCs w:val="20"/>
          <w:shd w:val="clear" w:color="auto" w:fill="FFFFFF"/>
        </w:rPr>
        <w:t>interpretado a la luz de las obligaciones estatales que se desprenden de</w:t>
      </w:r>
      <w:r w:rsidR="00BD0225">
        <w:rPr>
          <w:rStyle w:val="Strong"/>
          <w:rFonts w:ascii="Verdana" w:hAnsi="Verdana" w:cs="Tahoma"/>
          <w:b w:val="0"/>
          <w:color w:val="000000"/>
          <w:sz w:val="20"/>
          <w:szCs w:val="20"/>
          <w:shd w:val="clear" w:color="auto" w:fill="FFFFFF"/>
        </w:rPr>
        <w:t xml:space="preserve"> </w:t>
      </w:r>
      <w:r w:rsidR="008F2C2C" w:rsidRPr="002A05FD">
        <w:rPr>
          <w:rStyle w:val="Strong"/>
          <w:rFonts w:ascii="Verdana" w:hAnsi="Verdana" w:cs="Tahoma"/>
          <w:b w:val="0"/>
          <w:color w:val="000000"/>
          <w:sz w:val="20"/>
          <w:szCs w:val="20"/>
          <w:shd w:val="clear" w:color="auto" w:fill="FFFFFF"/>
        </w:rPr>
        <w:t>l</w:t>
      </w:r>
      <w:r w:rsidR="00BD0225">
        <w:rPr>
          <w:rStyle w:val="Strong"/>
          <w:rFonts w:ascii="Verdana" w:hAnsi="Verdana" w:cs="Tahoma"/>
          <w:b w:val="0"/>
          <w:color w:val="000000"/>
          <w:sz w:val="20"/>
          <w:szCs w:val="20"/>
          <w:shd w:val="clear" w:color="auto" w:fill="FFFFFF"/>
        </w:rPr>
        <w:t>a Convención Americana y particularmente del</w:t>
      </w:r>
      <w:r w:rsidR="008F2C2C" w:rsidRPr="002A05FD">
        <w:rPr>
          <w:rStyle w:val="Strong"/>
          <w:rFonts w:ascii="Verdana" w:hAnsi="Verdana" w:cs="Tahoma"/>
          <w:b w:val="0"/>
          <w:color w:val="000000"/>
          <w:sz w:val="20"/>
          <w:szCs w:val="20"/>
          <w:shd w:val="clear" w:color="auto" w:fill="FFFFFF"/>
        </w:rPr>
        <w:t xml:space="preserve"> artículo 7 de la </w:t>
      </w:r>
      <w:r w:rsidR="00B321BA" w:rsidRPr="002A05FD">
        <w:rPr>
          <w:rStyle w:val="Strong"/>
          <w:rFonts w:ascii="Verdana" w:hAnsi="Verdana" w:cs="Tahoma"/>
          <w:b w:val="0"/>
          <w:color w:val="000000"/>
          <w:sz w:val="20"/>
          <w:szCs w:val="20"/>
          <w:shd w:val="clear" w:color="auto" w:fill="FFFFFF"/>
        </w:rPr>
        <w:t>“</w:t>
      </w:r>
      <w:r w:rsidR="008F2C2C" w:rsidRPr="002A05FD">
        <w:rPr>
          <w:rStyle w:val="Strong"/>
          <w:rFonts w:ascii="Verdana" w:hAnsi="Verdana" w:cs="Tahoma"/>
          <w:b w:val="0"/>
          <w:color w:val="000000"/>
          <w:sz w:val="20"/>
          <w:szCs w:val="20"/>
          <w:shd w:val="clear" w:color="auto" w:fill="FFFFFF"/>
        </w:rPr>
        <w:t>Convención de Belém do Pará</w:t>
      </w:r>
      <w:r w:rsidR="00B321BA" w:rsidRPr="002A05FD">
        <w:rPr>
          <w:rStyle w:val="Strong"/>
          <w:rFonts w:ascii="Verdana" w:hAnsi="Verdana" w:cs="Tahoma"/>
          <w:b w:val="0"/>
          <w:color w:val="000000"/>
          <w:sz w:val="20"/>
          <w:szCs w:val="20"/>
          <w:shd w:val="clear" w:color="auto" w:fill="FFFFFF"/>
        </w:rPr>
        <w:t>”</w:t>
      </w:r>
      <w:r w:rsidR="00BD0225">
        <w:rPr>
          <w:rStyle w:val="Strong"/>
          <w:rFonts w:ascii="Verdana" w:hAnsi="Verdana" w:cs="Tahoma"/>
          <w:b w:val="0"/>
          <w:color w:val="000000"/>
          <w:sz w:val="20"/>
          <w:szCs w:val="20"/>
          <w:shd w:val="clear" w:color="auto" w:fill="FFFFFF"/>
        </w:rPr>
        <w:t>,</w:t>
      </w:r>
      <w:r w:rsidR="008973FB" w:rsidRPr="002A05FD">
        <w:rPr>
          <w:rStyle w:val="Strong"/>
          <w:rFonts w:ascii="Verdana" w:hAnsi="Verdana" w:cs="Tahoma"/>
          <w:b w:val="0"/>
          <w:color w:val="000000"/>
          <w:sz w:val="20"/>
          <w:szCs w:val="20"/>
          <w:shd w:val="clear" w:color="auto" w:fill="FFFFFF"/>
        </w:rPr>
        <w:t xml:space="preserve"> considerando que Guatemala ratificó dicho tratado el 4 de </w:t>
      </w:r>
      <w:r w:rsidR="002414D7">
        <w:rPr>
          <w:rStyle w:val="Strong"/>
          <w:rFonts w:ascii="Verdana" w:hAnsi="Verdana" w:cs="Tahoma"/>
          <w:b w:val="0"/>
          <w:color w:val="000000"/>
          <w:sz w:val="20"/>
          <w:szCs w:val="20"/>
          <w:shd w:val="clear" w:color="auto" w:fill="FFFFFF"/>
        </w:rPr>
        <w:t>enero</w:t>
      </w:r>
      <w:r w:rsidR="002414D7" w:rsidRPr="002A05FD">
        <w:rPr>
          <w:rStyle w:val="Strong"/>
          <w:rFonts w:ascii="Verdana" w:hAnsi="Verdana" w:cs="Tahoma"/>
          <w:b w:val="0"/>
          <w:color w:val="000000"/>
          <w:sz w:val="20"/>
          <w:szCs w:val="20"/>
          <w:shd w:val="clear" w:color="auto" w:fill="FFFFFF"/>
        </w:rPr>
        <w:t xml:space="preserve"> </w:t>
      </w:r>
      <w:r w:rsidR="008973FB" w:rsidRPr="002A05FD">
        <w:rPr>
          <w:rStyle w:val="Strong"/>
          <w:rFonts w:ascii="Verdana" w:hAnsi="Verdana" w:cs="Tahoma"/>
          <w:b w:val="0"/>
          <w:color w:val="000000"/>
          <w:sz w:val="20"/>
          <w:szCs w:val="20"/>
          <w:shd w:val="clear" w:color="auto" w:fill="FFFFFF"/>
        </w:rPr>
        <w:t>de 1995 sin reservas o limitaciones.</w:t>
      </w:r>
    </w:p>
    <w:p w14:paraId="3221080E" w14:textId="6A23A071" w:rsidR="00FB451C" w:rsidRPr="00ED7D75" w:rsidRDefault="00FB451C" w:rsidP="00ED7D75">
      <w:pPr>
        <w:spacing w:line="240" w:lineRule="auto"/>
        <w:jc w:val="both"/>
        <w:rPr>
          <w:rStyle w:val="Strong"/>
          <w:rFonts w:ascii="Verdana" w:hAnsi="Verdana" w:cs="Tahoma"/>
          <w:b w:val="0"/>
          <w:color w:val="000000"/>
          <w:sz w:val="20"/>
          <w:szCs w:val="20"/>
          <w:shd w:val="clear" w:color="auto" w:fill="FFFFFF"/>
        </w:rPr>
      </w:pPr>
      <w:r w:rsidRPr="00FB451C">
        <w:rPr>
          <w:rStyle w:val="Strong"/>
          <w:rFonts w:ascii="Verdana" w:hAnsi="Verdana" w:cs="Tahoma"/>
          <w:b w:val="0"/>
          <w:color w:val="000000"/>
          <w:sz w:val="20"/>
          <w:szCs w:val="20"/>
          <w:shd w:val="clear" w:color="auto" w:fill="FFFFFF"/>
        </w:rPr>
        <w:t xml:space="preserve">6. </w:t>
      </w:r>
      <w:r w:rsidRPr="00FB451C">
        <w:rPr>
          <w:rStyle w:val="Strong"/>
          <w:rFonts w:ascii="Verdana" w:hAnsi="Verdana" w:cs="Tahoma"/>
          <w:b w:val="0"/>
          <w:color w:val="000000"/>
          <w:sz w:val="20"/>
          <w:szCs w:val="20"/>
          <w:shd w:val="clear" w:color="auto" w:fill="FFFFFF"/>
        </w:rPr>
        <w:tab/>
      </w:r>
      <w:r w:rsidR="00674D9B" w:rsidRPr="00FB451C">
        <w:rPr>
          <w:rStyle w:val="Strong"/>
          <w:rFonts w:ascii="Verdana" w:hAnsi="Verdana" w:cs="Tahoma"/>
          <w:b w:val="0"/>
          <w:color w:val="000000"/>
          <w:sz w:val="20"/>
          <w:szCs w:val="20"/>
          <w:shd w:val="clear" w:color="auto" w:fill="FFFFFF"/>
        </w:rPr>
        <w:t>Para una mayor claridad se divide el presente voto en los siguientes apartados:</w:t>
      </w:r>
      <w:r w:rsidR="008F2C2C" w:rsidRPr="00FB451C">
        <w:rPr>
          <w:rStyle w:val="Strong"/>
          <w:rFonts w:ascii="Verdana" w:hAnsi="Verdana" w:cs="Tahoma"/>
          <w:b w:val="0"/>
          <w:color w:val="000000"/>
          <w:sz w:val="20"/>
          <w:szCs w:val="20"/>
          <w:shd w:val="clear" w:color="auto" w:fill="FFFFFF"/>
        </w:rPr>
        <w:t xml:space="preserve"> I. La </w:t>
      </w:r>
      <w:r w:rsidR="00DD15D3" w:rsidRPr="00FB451C">
        <w:rPr>
          <w:rStyle w:val="Strong"/>
          <w:rFonts w:ascii="Verdana" w:hAnsi="Verdana" w:cs="Tahoma"/>
          <w:b w:val="0"/>
          <w:color w:val="000000"/>
          <w:sz w:val="20"/>
          <w:szCs w:val="20"/>
          <w:shd w:val="clear" w:color="auto" w:fill="FFFFFF"/>
        </w:rPr>
        <w:t>“</w:t>
      </w:r>
      <w:r w:rsidR="008F2C2C" w:rsidRPr="00FB451C">
        <w:rPr>
          <w:rStyle w:val="Strong"/>
          <w:rFonts w:ascii="Verdana" w:hAnsi="Verdana" w:cs="Tahoma"/>
          <w:b w:val="0"/>
          <w:color w:val="000000"/>
          <w:sz w:val="20"/>
          <w:szCs w:val="20"/>
          <w:shd w:val="clear" w:color="auto" w:fill="FFFFFF"/>
        </w:rPr>
        <w:t>Convención de Belém do Pará</w:t>
      </w:r>
      <w:r w:rsidR="00DD15D3" w:rsidRPr="00FB451C">
        <w:rPr>
          <w:rStyle w:val="Strong"/>
          <w:rFonts w:ascii="Verdana" w:hAnsi="Verdana" w:cs="Tahoma"/>
          <w:b w:val="0"/>
          <w:color w:val="000000"/>
          <w:sz w:val="20"/>
          <w:szCs w:val="20"/>
          <w:shd w:val="clear" w:color="auto" w:fill="FFFFFF"/>
        </w:rPr>
        <w:t>”</w:t>
      </w:r>
      <w:r w:rsidR="008F2C2C" w:rsidRPr="00FB451C">
        <w:rPr>
          <w:rStyle w:val="Strong"/>
          <w:rFonts w:ascii="Verdana" w:hAnsi="Verdana" w:cs="Tahoma"/>
          <w:b w:val="0"/>
          <w:color w:val="000000"/>
          <w:sz w:val="20"/>
          <w:szCs w:val="20"/>
          <w:shd w:val="clear" w:color="auto" w:fill="FFFFFF"/>
        </w:rPr>
        <w:t xml:space="preserve"> en la jurisprudencia de la Corte I</w:t>
      </w:r>
      <w:r w:rsidR="00C177AA" w:rsidRPr="00FB451C">
        <w:rPr>
          <w:rStyle w:val="Strong"/>
          <w:rFonts w:ascii="Verdana" w:hAnsi="Verdana" w:cs="Tahoma"/>
          <w:b w:val="0"/>
          <w:color w:val="000000"/>
          <w:sz w:val="20"/>
          <w:szCs w:val="20"/>
          <w:shd w:val="clear" w:color="auto" w:fill="FFFFFF"/>
        </w:rPr>
        <w:t>nteramerica</w:t>
      </w:r>
      <w:r w:rsidR="008F2C2C" w:rsidRPr="00FB451C">
        <w:rPr>
          <w:rStyle w:val="Strong"/>
          <w:rFonts w:ascii="Verdana" w:hAnsi="Verdana" w:cs="Tahoma"/>
          <w:b w:val="0"/>
          <w:color w:val="000000"/>
          <w:sz w:val="20"/>
          <w:szCs w:val="20"/>
          <w:shd w:val="clear" w:color="auto" w:fill="FFFFFF"/>
        </w:rPr>
        <w:t xml:space="preserve"> </w:t>
      </w:r>
      <w:r w:rsidR="008973FB" w:rsidRPr="00FB451C">
        <w:rPr>
          <w:rStyle w:val="Strong"/>
          <w:rFonts w:ascii="Verdana" w:hAnsi="Verdana" w:cs="Tahoma"/>
          <w:b w:val="0"/>
          <w:color w:val="000000"/>
          <w:sz w:val="20"/>
          <w:szCs w:val="20"/>
          <w:shd w:val="clear" w:color="auto" w:fill="FFFFFF"/>
        </w:rPr>
        <w:t>(párrs.</w:t>
      </w:r>
      <w:r w:rsidR="00BA0913" w:rsidRPr="00FB451C">
        <w:rPr>
          <w:rStyle w:val="Strong"/>
          <w:rFonts w:ascii="Verdana" w:hAnsi="Verdana" w:cs="Tahoma"/>
          <w:b w:val="0"/>
          <w:color w:val="000000"/>
          <w:sz w:val="20"/>
          <w:szCs w:val="20"/>
          <w:shd w:val="clear" w:color="auto" w:fill="FFFFFF"/>
        </w:rPr>
        <w:t xml:space="preserve"> 7</w:t>
      </w:r>
      <w:r w:rsidR="008973FB" w:rsidRPr="00FB451C">
        <w:rPr>
          <w:rStyle w:val="Strong"/>
          <w:rFonts w:ascii="Verdana" w:hAnsi="Verdana" w:cs="Tahoma"/>
          <w:b w:val="0"/>
          <w:color w:val="000000"/>
          <w:sz w:val="20"/>
          <w:szCs w:val="20"/>
          <w:shd w:val="clear" w:color="auto" w:fill="FFFFFF"/>
        </w:rPr>
        <w:t xml:space="preserve"> a </w:t>
      </w:r>
      <w:r w:rsidR="00BA0913" w:rsidRPr="00FB451C">
        <w:rPr>
          <w:rStyle w:val="Strong"/>
          <w:rFonts w:ascii="Verdana" w:hAnsi="Verdana" w:cs="Tahoma"/>
          <w:b w:val="0"/>
          <w:color w:val="000000"/>
          <w:sz w:val="20"/>
          <w:szCs w:val="20"/>
          <w:shd w:val="clear" w:color="auto" w:fill="FFFFFF"/>
        </w:rPr>
        <w:t>16</w:t>
      </w:r>
      <w:r w:rsidR="008F2C2C" w:rsidRPr="00FB451C">
        <w:rPr>
          <w:rStyle w:val="Strong"/>
          <w:rFonts w:ascii="Verdana" w:hAnsi="Verdana" w:cs="Tahoma"/>
          <w:b w:val="0"/>
          <w:color w:val="000000"/>
          <w:sz w:val="20"/>
          <w:szCs w:val="20"/>
          <w:shd w:val="clear" w:color="auto" w:fill="FFFFFF"/>
        </w:rPr>
        <w:t xml:space="preserve">); II. </w:t>
      </w:r>
      <w:r w:rsidR="008F2C2C" w:rsidRPr="00FB451C">
        <w:rPr>
          <w:rFonts w:ascii="Verdana" w:hAnsi="Verdana" w:cs="Tahoma"/>
          <w:sz w:val="20"/>
          <w:szCs w:val="20"/>
        </w:rPr>
        <w:t xml:space="preserve">El </w:t>
      </w:r>
      <w:r w:rsidR="00747C41" w:rsidRPr="00FB451C">
        <w:rPr>
          <w:rFonts w:ascii="Verdana" w:hAnsi="Verdana" w:cs="Tahoma"/>
          <w:sz w:val="20"/>
          <w:szCs w:val="20"/>
        </w:rPr>
        <w:t>“</w:t>
      </w:r>
      <w:r w:rsidR="008F2C2C" w:rsidRPr="00FB451C">
        <w:rPr>
          <w:rFonts w:ascii="Verdana" w:hAnsi="Verdana" w:cs="Tahoma"/>
          <w:sz w:val="20"/>
          <w:szCs w:val="20"/>
        </w:rPr>
        <w:t>deber de prevención</w:t>
      </w:r>
      <w:r w:rsidR="00747C41" w:rsidRPr="00FB451C">
        <w:rPr>
          <w:rFonts w:ascii="Verdana" w:hAnsi="Verdana" w:cs="Tahoma"/>
          <w:sz w:val="20"/>
          <w:szCs w:val="20"/>
        </w:rPr>
        <w:t>”</w:t>
      </w:r>
      <w:r w:rsidR="008F2C2C" w:rsidRPr="00FB451C">
        <w:rPr>
          <w:rFonts w:ascii="Verdana" w:hAnsi="Verdana" w:cs="Tahoma"/>
          <w:sz w:val="20"/>
          <w:szCs w:val="20"/>
        </w:rPr>
        <w:t xml:space="preserve"> y sus </w:t>
      </w:r>
      <w:r w:rsidR="00D67AA4" w:rsidRPr="00FB451C">
        <w:rPr>
          <w:rFonts w:ascii="Verdana" w:hAnsi="Verdana" w:cs="Tahoma"/>
          <w:sz w:val="20"/>
          <w:szCs w:val="20"/>
        </w:rPr>
        <w:t>“</w:t>
      </w:r>
      <w:r w:rsidR="008F2C2C" w:rsidRPr="00FB451C">
        <w:rPr>
          <w:rFonts w:ascii="Verdana" w:hAnsi="Verdana" w:cs="Tahoma"/>
          <w:sz w:val="20"/>
          <w:szCs w:val="20"/>
        </w:rPr>
        <w:t>dos momentos</w:t>
      </w:r>
      <w:r w:rsidR="00D67AA4" w:rsidRPr="00FB451C">
        <w:rPr>
          <w:rFonts w:ascii="Verdana" w:hAnsi="Verdana" w:cs="Tahoma"/>
          <w:sz w:val="20"/>
          <w:szCs w:val="20"/>
        </w:rPr>
        <w:t>”</w:t>
      </w:r>
      <w:r w:rsidR="008F2C2C" w:rsidRPr="00FB451C">
        <w:rPr>
          <w:rFonts w:ascii="Verdana" w:hAnsi="Verdana" w:cs="Tahoma"/>
          <w:sz w:val="20"/>
          <w:szCs w:val="20"/>
        </w:rPr>
        <w:t xml:space="preserve"> en los casos </w:t>
      </w:r>
      <w:r w:rsidR="008F2C2C" w:rsidRPr="00FB451C">
        <w:rPr>
          <w:rStyle w:val="Strong"/>
          <w:rFonts w:ascii="Verdana" w:hAnsi="Verdana" w:cs="Tahoma"/>
          <w:b w:val="0"/>
          <w:i/>
          <w:color w:val="000000"/>
          <w:sz w:val="20"/>
          <w:szCs w:val="20"/>
          <w:shd w:val="clear" w:color="auto" w:fill="FFFFFF"/>
        </w:rPr>
        <w:t>González y otras (“Campo Algodonero”) Vs. México</w:t>
      </w:r>
      <w:r w:rsidR="00BA0913" w:rsidRPr="00FB451C">
        <w:rPr>
          <w:rStyle w:val="Strong"/>
          <w:rFonts w:ascii="Verdana" w:hAnsi="Verdana" w:cs="Tahoma"/>
          <w:b w:val="0"/>
          <w:color w:val="000000"/>
          <w:sz w:val="20"/>
          <w:szCs w:val="20"/>
          <w:shd w:val="clear" w:color="auto" w:fill="FFFFFF"/>
        </w:rPr>
        <w:t xml:space="preserve"> (2009)</w:t>
      </w:r>
      <w:r w:rsidR="00674D9B" w:rsidRPr="00FB451C">
        <w:rPr>
          <w:rStyle w:val="Strong"/>
          <w:rFonts w:ascii="Verdana" w:hAnsi="Verdana" w:cs="Tahoma"/>
          <w:b w:val="0"/>
          <w:i/>
          <w:color w:val="000000"/>
          <w:sz w:val="20"/>
          <w:szCs w:val="20"/>
          <w:shd w:val="clear" w:color="auto" w:fill="FFFFFF"/>
        </w:rPr>
        <w:t>,</w:t>
      </w:r>
      <w:r w:rsidR="00D610A9" w:rsidRPr="00FB451C">
        <w:rPr>
          <w:rStyle w:val="Strong"/>
          <w:rFonts w:ascii="Verdana" w:hAnsi="Verdana" w:cs="Tahoma"/>
          <w:b w:val="0"/>
          <w:i/>
          <w:color w:val="000000"/>
          <w:sz w:val="20"/>
          <w:szCs w:val="20"/>
          <w:shd w:val="clear" w:color="auto" w:fill="FFFFFF"/>
        </w:rPr>
        <w:t xml:space="preserve"> y Veliz Franco y otros V</w:t>
      </w:r>
      <w:r w:rsidR="008F2C2C" w:rsidRPr="00FB451C">
        <w:rPr>
          <w:rStyle w:val="Strong"/>
          <w:rFonts w:ascii="Verdana" w:hAnsi="Verdana" w:cs="Tahoma"/>
          <w:b w:val="0"/>
          <w:i/>
          <w:color w:val="000000"/>
          <w:sz w:val="20"/>
          <w:szCs w:val="20"/>
          <w:shd w:val="clear" w:color="auto" w:fill="FFFFFF"/>
        </w:rPr>
        <w:t>s. Guatemala</w:t>
      </w:r>
      <w:r w:rsidR="00BA0913" w:rsidRPr="00FB451C">
        <w:rPr>
          <w:rStyle w:val="Strong"/>
          <w:rFonts w:ascii="Verdana" w:hAnsi="Verdana" w:cs="Tahoma"/>
          <w:b w:val="0"/>
          <w:color w:val="000000"/>
          <w:sz w:val="20"/>
          <w:szCs w:val="20"/>
          <w:shd w:val="clear" w:color="auto" w:fill="FFFFFF"/>
        </w:rPr>
        <w:t xml:space="preserve"> (2014)</w:t>
      </w:r>
      <w:r w:rsidR="008F2C2C" w:rsidRPr="00FB451C">
        <w:rPr>
          <w:rStyle w:val="Strong"/>
          <w:rFonts w:ascii="Verdana" w:hAnsi="Verdana" w:cs="Tahoma"/>
          <w:b w:val="0"/>
          <w:color w:val="000000"/>
          <w:sz w:val="20"/>
          <w:szCs w:val="20"/>
          <w:shd w:val="clear" w:color="auto" w:fill="FFFFFF"/>
        </w:rPr>
        <w:t xml:space="preserve"> </w:t>
      </w:r>
      <w:r w:rsidR="00BA0913" w:rsidRPr="00FB451C">
        <w:rPr>
          <w:rStyle w:val="Strong"/>
          <w:rFonts w:ascii="Verdana" w:hAnsi="Verdana" w:cs="Tahoma"/>
          <w:b w:val="0"/>
          <w:color w:val="000000"/>
          <w:sz w:val="20"/>
          <w:szCs w:val="20"/>
          <w:shd w:val="clear" w:color="auto" w:fill="FFFFFF"/>
        </w:rPr>
        <w:t>(párrs. 17</w:t>
      </w:r>
      <w:r w:rsidR="00F55160" w:rsidRPr="00FB451C">
        <w:rPr>
          <w:rStyle w:val="Strong"/>
          <w:rFonts w:ascii="Verdana" w:hAnsi="Verdana" w:cs="Tahoma"/>
          <w:b w:val="0"/>
          <w:color w:val="000000"/>
          <w:sz w:val="20"/>
          <w:szCs w:val="20"/>
          <w:shd w:val="clear" w:color="auto" w:fill="FFFFFF"/>
        </w:rPr>
        <w:t xml:space="preserve"> a </w:t>
      </w:r>
      <w:r w:rsidR="00BA0913" w:rsidRPr="00FB451C">
        <w:rPr>
          <w:rStyle w:val="Strong"/>
          <w:rFonts w:ascii="Verdana" w:hAnsi="Verdana" w:cs="Tahoma"/>
          <w:b w:val="0"/>
          <w:color w:val="000000"/>
          <w:sz w:val="20"/>
          <w:szCs w:val="20"/>
          <w:shd w:val="clear" w:color="auto" w:fill="FFFFFF"/>
        </w:rPr>
        <w:t>31</w:t>
      </w:r>
      <w:r w:rsidR="008F2C2C" w:rsidRPr="00FB451C">
        <w:rPr>
          <w:rStyle w:val="Strong"/>
          <w:rFonts w:ascii="Verdana" w:hAnsi="Verdana" w:cs="Tahoma"/>
          <w:b w:val="0"/>
          <w:color w:val="000000"/>
          <w:sz w:val="20"/>
          <w:szCs w:val="20"/>
          <w:shd w:val="clear" w:color="auto" w:fill="FFFFFF"/>
        </w:rPr>
        <w:t xml:space="preserve">); III. </w:t>
      </w:r>
      <w:r w:rsidR="00674D9B" w:rsidRPr="00FB451C">
        <w:rPr>
          <w:rStyle w:val="Strong"/>
          <w:rFonts w:ascii="Verdana" w:hAnsi="Verdana" w:cs="Tahoma"/>
          <w:b w:val="0"/>
          <w:color w:val="000000"/>
          <w:sz w:val="20"/>
          <w:szCs w:val="20"/>
          <w:shd w:val="clear" w:color="auto" w:fill="FFFFFF"/>
        </w:rPr>
        <w:t xml:space="preserve">El </w:t>
      </w:r>
      <w:r w:rsidR="00747C41" w:rsidRPr="00FB451C">
        <w:rPr>
          <w:rStyle w:val="Strong"/>
          <w:rFonts w:ascii="Verdana" w:hAnsi="Verdana" w:cs="Tahoma"/>
          <w:b w:val="0"/>
          <w:color w:val="000000"/>
          <w:sz w:val="20"/>
          <w:szCs w:val="20"/>
          <w:shd w:val="clear" w:color="auto" w:fill="FFFFFF"/>
        </w:rPr>
        <w:t>“</w:t>
      </w:r>
      <w:r w:rsidR="00674D9B" w:rsidRPr="00FB451C">
        <w:rPr>
          <w:rStyle w:val="Strong"/>
          <w:rFonts w:ascii="Verdana" w:hAnsi="Verdana" w:cs="Tahoma"/>
          <w:b w:val="0"/>
          <w:color w:val="000000"/>
          <w:sz w:val="20"/>
          <w:szCs w:val="20"/>
          <w:shd w:val="clear" w:color="auto" w:fill="FFFFFF"/>
        </w:rPr>
        <w:t>deb</w:t>
      </w:r>
      <w:r w:rsidR="00D610A9" w:rsidRPr="00FB451C">
        <w:rPr>
          <w:rStyle w:val="Strong"/>
          <w:rFonts w:ascii="Verdana" w:hAnsi="Verdana" w:cs="Tahoma"/>
          <w:b w:val="0"/>
          <w:color w:val="000000"/>
          <w:sz w:val="20"/>
          <w:szCs w:val="20"/>
          <w:shd w:val="clear" w:color="auto" w:fill="FFFFFF"/>
        </w:rPr>
        <w:t>er de prevenc</w:t>
      </w:r>
      <w:r w:rsidR="00674D9B" w:rsidRPr="00FB451C">
        <w:rPr>
          <w:rStyle w:val="Strong"/>
          <w:rFonts w:ascii="Verdana" w:hAnsi="Verdana" w:cs="Tahoma"/>
          <w:b w:val="0"/>
          <w:color w:val="000000"/>
          <w:sz w:val="20"/>
          <w:szCs w:val="20"/>
          <w:shd w:val="clear" w:color="auto" w:fill="FFFFFF"/>
        </w:rPr>
        <w:t>ión</w:t>
      </w:r>
      <w:r w:rsidR="00747C41" w:rsidRPr="00FB451C">
        <w:rPr>
          <w:rStyle w:val="Strong"/>
          <w:rFonts w:ascii="Verdana" w:hAnsi="Verdana" w:cs="Tahoma"/>
          <w:b w:val="0"/>
          <w:color w:val="000000"/>
          <w:sz w:val="20"/>
          <w:szCs w:val="20"/>
          <w:shd w:val="clear" w:color="auto" w:fill="FFFFFF"/>
        </w:rPr>
        <w:t>”</w:t>
      </w:r>
      <w:r w:rsidR="00674D9B" w:rsidRPr="00FB451C">
        <w:rPr>
          <w:rStyle w:val="Strong"/>
          <w:rFonts w:ascii="Verdana" w:hAnsi="Verdana" w:cs="Tahoma"/>
          <w:b w:val="0"/>
          <w:color w:val="000000"/>
          <w:sz w:val="20"/>
          <w:szCs w:val="20"/>
          <w:shd w:val="clear" w:color="auto" w:fill="FFFFFF"/>
        </w:rPr>
        <w:t xml:space="preserve"> en el caso </w:t>
      </w:r>
      <w:r w:rsidR="00674D9B" w:rsidRPr="00FB451C">
        <w:rPr>
          <w:rStyle w:val="Strong"/>
          <w:rFonts w:ascii="Verdana" w:hAnsi="Verdana" w:cs="Tahoma"/>
          <w:b w:val="0"/>
          <w:i/>
          <w:color w:val="000000"/>
          <w:sz w:val="20"/>
          <w:szCs w:val="20"/>
          <w:shd w:val="clear" w:color="auto" w:fill="FFFFFF"/>
        </w:rPr>
        <w:t>Velá</w:t>
      </w:r>
      <w:r w:rsidR="00D610A9" w:rsidRPr="00FB451C">
        <w:rPr>
          <w:rStyle w:val="Strong"/>
          <w:rFonts w:ascii="Verdana" w:hAnsi="Verdana" w:cs="Tahoma"/>
          <w:b w:val="0"/>
          <w:i/>
          <w:color w:val="000000"/>
          <w:sz w:val="20"/>
          <w:szCs w:val="20"/>
          <w:shd w:val="clear" w:color="auto" w:fill="FFFFFF"/>
        </w:rPr>
        <w:t>squez Paiz y otros V</w:t>
      </w:r>
      <w:r w:rsidR="00674D9B" w:rsidRPr="00FB451C">
        <w:rPr>
          <w:rStyle w:val="Strong"/>
          <w:rFonts w:ascii="Verdana" w:hAnsi="Verdana" w:cs="Tahoma"/>
          <w:b w:val="0"/>
          <w:i/>
          <w:color w:val="000000"/>
          <w:sz w:val="20"/>
          <w:szCs w:val="20"/>
          <w:shd w:val="clear" w:color="auto" w:fill="FFFFFF"/>
        </w:rPr>
        <w:t>s. Guatemala</w:t>
      </w:r>
      <w:r w:rsidR="00BA0913" w:rsidRPr="00FB451C">
        <w:rPr>
          <w:rStyle w:val="Strong"/>
          <w:rFonts w:ascii="Verdana" w:hAnsi="Verdana" w:cs="Tahoma"/>
          <w:b w:val="0"/>
          <w:i/>
          <w:color w:val="000000"/>
          <w:sz w:val="20"/>
          <w:szCs w:val="20"/>
          <w:shd w:val="clear" w:color="auto" w:fill="FFFFFF"/>
        </w:rPr>
        <w:t xml:space="preserve"> </w:t>
      </w:r>
      <w:r w:rsidR="00BA0913" w:rsidRPr="00FB451C">
        <w:rPr>
          <w:rStyle w:val="Strong"/>
          <w:rFonts w:ascii="Verdana" w:hAnsi="Verdana" w:cs="Tahoma"/>
          <w:b w:val="0"/>
          <w:color w:val="000000"/>
          <w:sz w:val="20"/>
          <w:szCs w:val="20"/>
          <w:shd w:val="clear" w:color="auto" w:fill="FFFFFF"/>
        </w:rPr>
        <w:t>(2015)</w:t>
      </w:r>
      <w:r w:rsidR="00C57B1A" w:rsidRPr="00FB451C">
        <w:rPr>
          <w:rStyle w:val="Strong"/>
          <w:rFonts w:ascii="Verdana" w:hAnsi="Verdana" w:cs="Tahoma"/>
          <w:b w:val="0"/>
          <w:i/>
          <w:color w:val="000000"/>
          <w:sz w:val="20"/>
          <w:szCs w:val="20"/>
          <w:shd w:val="clear" w:color="auto" w:fill="FFFFFF"/>
        </w:rPr>
        <w:t xml:space="preserve"> </w:t>
      </w:r>
      <w:r w:rsidR="00BA0913" w:rsidRPr="00FB451C">
        <w:rPr>
          <w:rStyle w:val="Strong"/>
          <w:rFonts w:ascii="Verdana" w:hAnsi="Verdana" w:cs="Tahoma"/>
          <w:b w:val="0"/>
          <w:color w:val="000000"/>
          <w:sz w:val="20"/>
          <w:szCs w:val="20"/>
          <w:shd w:val="clear" w:color="auto" w:fill="FFFFFF"/>
        </w:rPr>
        <w:t>(párrs. 32</w:t>
      </w:r>
      <w:r w:rsidR="00C57B1A" w:rsidRPr="00FB451C">
        <w:rPr>
          <w:rStyle w:val="Strong"/>
          <w:rFonts w:ascii="Verdana" w:hAnsi="Verdana" w:cs="Tahoma"/>
          <w:b w:val="0"/>
          <w:color w:val="000000"/>
          <w:sz w:val="20"/>
          <w:szCs w:val="20"/>
          <w:shd w:val="clear" w:color="auto" w:fill="FFFFFF"/>
        </w:rPr>
        <w:t xml:space="preserve"> a </w:t>
      </w:r>
      <w:r w:rsidR="00BA0913" w:rsidRPr="00FB451C">
        <w:rPr>
          <w:rStyle w:val="Strong"/>
          <w:rFonts w:ascii="Verdana" w:hAnsi="Verdana" w:cs="Tahoma"/>
          <w:b w:val="0"/>
          <w:color w:val="000000"/>
          <w:sz w:val="20"/>
          <w:szCs w:val="20"/>
          <w:shd w:val="clear" w:color="auto" w:fill="FFFFFF"/>
        </w:rPr>
        <w:t>49</w:t>
      </w:r>
      <w:r w:rsidR="00C57B1A" w:rsidRPr="00FB451C">
        <w:rPr>
          <w:rStyle w:val="Strong"/>
          <w:rFonts w:ascii="Verdana" w:hAnsi="Verdana" w:cs="Tahoma"/>
          <w:b w:val="0"/>
          <w:color w:val="000000"/>
          <w:sz w:val="20"/>
          <w:szCs w:val="20"/>
          <w:shd w:val="clear" w:color="auto" w:fill="FFFFFF"/>
        </w:rPr>
        <w:t>)</w:t>
      </w:r>
      <w:r w:rsidR="00A86CA5" w:rsidRPr="00FB451C">
        <w:rPr>
          <w:rStyle w:val="Strong"/>
          <w:rFonts w:ascii="Verdana" w:hAnsi="Verdana" w:cs="Tahoma"/>
          <w:color w:val="000000"/>
          <w:sz w:val="20"/>
          <w:szCs w:val="20"/>
          <w:shd w:val="clear" w:color="auto" w:fill="FFFFFF"/>
        </w:rPr>
        <w:t>,</w:t>
      </w:r>
      <w:r w:rsidR="008F2C2C" w:rsidRPr="00FB451C">
        <w:rPr>
          <w:rStyle w:val="Strong"/>
          <w:rFonts w:ascii="Verdana" w:hAnsi="Verdana" w:cs="Tahoma"/>
          <w:b w:val="0"/>
          <w:color w:val="000000"/>
          <w:sz w:val="20"/>
          <w:szCs w:val="20"/>
          <w:shd w:val="clear" w:color="auto" w:fill="FFFFFF"/>
        </w:rPr>
        <w:t xml:space="preserve"> y IV. Conclusiones </w:t>
      </w:r>
      <w:r w:rsidR="00C57B1A" w:rsidRPr="00FB451C">
        <w:rPr>
          <w:rStyle w:val="Strong"/>
          <w:rFonts w:ascii="Verdana" w:hAnsi="Verdana" w:cs="Tahoma"/>
          <w:b w:val="0"/>
          <w:color w:val="000000"/>
          <w:sz w:val="20"/>
          <w:szCs w:val="20"/>
          <w:shd w:val="clear" w:color="auto" w:fill="FFFFFF"/>
        </w:rPr>
        <w:t xml:space="preserve">(párrs. </w:t>
      </w:r>
      <w:r w:rsidR="00747C41" w:rsidRPr="00FB451C">
        <w:rPr>
          <w:rStyle w:val="Strong"/>
          <w:rFonts w:ascii="Verdana" w:hAnsi="Verdana" w:cs="Tahoma"/>
          <w:b w:val="0"/>
          <w:color w:val="000000"/>
          <w:sz w:val="20"/>
          <w:szCs w:val="20"/>
          <w:shd w:val="clear" w:color="auto" w:fill="FFFFFF"/>
        </w:rPr>
        <w:t>50 a 58</w:t>
      </w:r>
      <w:r w:rsidR="008F2C2C" w:rsidRPr="00FB451C">
        <w:rPr>
          <w:rStyle w:val="Strong"/>
          <w:rFonts w:ascii="Verdana" w:hAnsi="Verdana" w:cs="Tahoma"/>
          <w:b w:val="0"/>
          <w:color w:val="000000"/>
          <w:sz w:val="20"/>
          <w:szCs w:val="20"/>
          <w:shd w:val="clear" w:color="auto" w:fill="FFFFFF"/>
        </w:rPr>
        <w:t>)</w:t>
      </w:r>
      <w:r w:rsidR="00674D9B" w:rsidRPr="00FB451C">
        <w:rPr>
          <w:rStyle w:val="Strong"/>
          <w:rFonts w:ascii="Verdana" w:hAnsi="Verdana" w:cs="Tahoma"/>
          <w:b w:val="0"/>
          <w:color w:val="000000"/>
          <w:sz w:val="20"/>
          <w:szCs w:val="20"/>
          <w:shd w:val="clear" w:color="auto" w:fill="FFFFFF"/>
        </w:rPr>
        <w:t>.</w:t>
      </w:r>
    </w:p>
    <w:p w14:paraId="3221080F" w14:textId="73CF0D01" w:rsidR="00F55160" w:rsidRDefault="00D67AA4" w:rsidP="00F55160">
      <w:pPr>
        <w:spacing w:line="240" w:lineRule="auto"/>
        <w:jc w:val="center"/>
        <w:rPr>
          <w:rFonts w:ascii="Verdana" w:hAnsi="Verdana" w:cs="Tahoma"/>
          <w:sz w:val="20"/>
          <w:szCs w:val="20"/>
        </w:rPr>
      </w:pPr>
      <w:r w:rsidRPr="00F55160">
        <w:rPr>
          <w:rFonts w:ascii="Verdana" w:hAnsi="Verdana" w:cs="Tahoma"/>
          <w:sz w:val="20"/>
          <w:szCs w:val="20"/>
        </w:rPr>
        <w:t xml:space="preserve">I.  LA </w:t>
      </w:r>
      <w:r w:rsidR="00E00457" w:rsidRPr="00F55160">
        <w:rPr>
          <w:rFonts w:ascii="Verdana" w:hAnsi="Verdana" w:cs="Tahoma"/>
          <w:sz w:val="20"/>
          <w:szCs w:val="20"/>
        </w:rPr>
        <w:t>“</w:t>
      </w:r>
      <w:r w:rsidRPr="00F55160">
        <w:rPr>
          <w:rFonts w:ascii="Verdana" w:hAnsi="Verdana" w:cs="Tahoma"/>
          <w:sz w:val="20"/>
          <w:szCs w:val="20"/>
        </w:rPr>
        <w:t>CONVENCIÓN DE BELÉM DO PARÁ</w:t>
      </w:r>
      <w:r w:rsidR="00E00457" w:rsidRPr="00F55160">
        <w:rPr>
          <w:rFonts w:ascii="Verdana" w:hAnsi="Verdana" w:cs="Tahoma"/>
          <w:sz w:val="20"/>
          <w:szCs w:val="20"/>
        </w:rPr>
        <w:t>”</w:t>
      </w:r>
      <w:r w:rsidRPr="00F55160">
        <w:rPr>
          <w:rFonts w:ascii="Verdana" w:hAnsi="Verdana" w:cs="Tahoma"/>
          <w:sz w:val="20"/>
          <w:szCs w:val="20"/>
        </w:rPr>
        <w:t xml:space="preserve"> </w:t>
      </w:r>
    </w:p>
    <w:p w14:paraId="32210810" w14:textId="77777777" w:rsidR="00D67AA4" w:rsidRPr="00F55160" w:rsidRDefault="00D67AA4" w:rsidP="00F55160">
      <w:pPr>
        <w:spacing w:line="240" w:lineRule="auto"/>
        <w:jc w:val="center"/>
        <w:rPr>
          <w:rFonts w:ascii="Verdana" w:hAnsi="Verdana" w:cs="Tahoma"/>
          <w:sz w:val="20"/>
          <w:szCs w:val="20"/>
        </w:rPr>
      </w:pPr>
      <w:r w:rsidRPr="00F55160">
        <w:rPr>
          <w:rFonts w:ascii="Verdana" w:hAnsi="Verdana" w:cs="Tahoma"/>
          <w:sz w:val="20"/>
          <w:szCs w:val="20"/>
        </w:rPr>
        <w:t>EN LA JURISPRUDENCIA DE LA CORTE INTERAMERICANA</w:t>
      </w:r>
    </w:p>
    <w:p w14:paraId="32210811" w14:textId="77777777" w:rsidR="0064034C" w:rsidRPr="0064034C" w:rsidRDefault="00BA0913" w:rsidP="0036375E">
      <w:pPr>
        <w:spacing w:line="240" w:lineRule="auto"/>
        <w:jc w:val="both"/>
        <w:rPr>
          <w:rStyle w:val="Strong"/>
          <w:rFonts w:ascii="Verdana" w:hAnsi="Verdana"/>
          <w:b w:val="0"/>
          <w:bCs w:val="0"/>
          <w:sz w:val="20"/>
          <w:szCs w:val="20"/>
        </w:rPr>
      </w:pPr>
      <w:r>
        <w:rPr>
          <w:rFonts w:ascii="Verdana" w:hAnsi="Verdana"/>
          <w:sz w:val="20"/>
          <w:szCs w:val="20"/>
          <w:lang w:eastAsia="es-PA"/>
        </w:rPr>
        <w:t xml:space="preserve">7. </w:t>
      </w:r>
      <w:r>
        <w:rPr>
          <w:rFonts w:ascii="Verdana" w:hAnsi="Verdana"/>
          <w:sz w:val="20"/>
          <w:szCs w:val="20"/>
          <w:lang w:eastAsia="es-PA"/>
        </w:rPr>
        <w:tab/>
      </w:r>
      <w:r w:rsidR="00D504BB">
        <w:rPr>
          <w:rFonts w:ascii="Verdana" w:hAnsi="Verdana"/>
          <w:sz w:val="20"/>
          <w:szCs w:val="20"/>
        </w:rPr>
        <w:t>A través de la competencia</w:t>
      </w:r>
      <w:r w:rsidR="003D6A83" w:rsidRPr="00D67AA4">
        <w:rPr>
          <w:rFonts w:ascii="Verdana" w:hAnsi="Verdana"/>
          <w:sz w:val="20"/>
          <w:szCs w:val="20"/>
        </w:rPr>
        <w:t xml:space="preserve"> que el artículo 12 </w:t>
      </w:r>
      <w:r w:rsidR="0036375E">
        <w:rPr>
          <w:rFonts w:ascii="Verdana" w:hAnsi="Verdana"/>
          <w:sz w:val="20"/>
          <w:szCs w:val="20"/>
        </w:rPr>
        <w:t xml:space="preserve">de la “Convención de Belém do Pará” </w:t>
      </w:r>
      <w:r w:rsidR="003D6A83" w:rsidRPr="00D67AA4">
        <w:rPr>
          <w:rFonts w:ascii="Verdana" w:hAnsi="Verdana"/>
          <w:sz w:val="20"/>
          <w:szCs w:val="20"/>
        </w:rPr>
        <w:t>otorga a</w:t>
      </w:r>
      <w:r w:rsidR="00BC6BEF">
        <w:rPr>
          <w:rFonts w:ascii="Verdana" w:hAnsi="Verdana"/>
          <w:sz w:val="20"/>
          <w:szCs w:val="20"/>
        </w:rPr>
        <w:t>l</w:t>
      </w:r>
      <w:r w:rsidR="003D6A83" w:rsidRPr="00D67AA4">
        <w:rPr>
          <w:rFonts w:ascii="Verdana" w:hAnsi="Verdana"/>
          <w:sz w:val="20"/>
          <w:szCs w:val="20"/>
        </w:rPr>
        <w:t xml:space="preserve"> </w:t>
      </w:r>
      <w:r w:rsidR="003D6A83" w:rsidRPr="00D67AA4">
        <w:rPr>
          <w:rStyle w:val="Strong"/>
          <w:rFonts w:ascii="Verdana" w:hAnsi="Verdana" w:cs="Tahoma"/>
          <w:b w:val="0"/>
          <w:color w:val="000000"/>
          <w:sz w:val="20"/>
          <w:szCs w:val="20"/>
          <w:shd w:val="clear" w:color="auto" w:fill="FFFFFF"/>
        </w:rPr>
        <w:t>Sistema Interamericano de Protección de Derechos Humanos para conocer sobre vi</w:t>
      </w:r>
      <w:r w:rsidR="0036375E">
        <w:rPr>
          <w:rStyle w:val="Strong"/>
          <w:rFonts w:ascii="Verdana" w:hAnsi="Verdana" w:cs="Tahoma"/>
          <w:b w:val="0"/>
          <w:color w:val="000000"/>
          <w:sz w:val="20"/>
          <w:szCs w:val="20"/>
          <w:shd w:val="clear" w:color="auto" w:fill="FFFFFF"/>
        </w:rPr>
        <w:t>olaciones al artículo 7 de dicho tratado regional</w:t>
      </w:r>
      <w:r w:rsidR="003D6A83" w:rsidRPr="00F9275D">
        <w:rPr>
          <w:rStyle w:val="FootnoteReference"/>
          <w:rFonts w:ascii="Verdana" w:hAnsi="Verdana" w:cs="Tahoma"/>
          <w:bCs/>
          <w:color w:val="000000"/>
          <w:sz w:val="20"/>
          <w:szCs w:val="20"/>
          <w:shd w:val="clear" w:color="auto" w:fill="FFFFFF"/>
        </w:rPr>
        <w:footnoteReference w:id="8"/>
      </w:r>
      <w:r w:rsidR="00D84B35" w:rsidRPr="00D67AA4">
        <w:rPr>
          <w:rStyle w:val="Strong"/>
          <w:rFonts w:ascii="Verdana" w:hAnsi="Verdana" w:cs="Tahoma"/>
          <w:b w:val="0"/>
          <w:color w:val="000000"/>
          <w:sz w:val="20"/>
          <w:szCs w:val="20"/>
          <w:shd w:val="clear" w:color="auto" w:fill="FFFFFF"/>
        </w:rPr>
        <w:t>,</w:t>
      </w:r>
      <w:r w:rsidR="003D6A83" w:rsidRPr="00D67AA4">
        <w:rPr>
          <w:rFonts w:ascii="Verdana" w:hAnsi="Verdana"/>
          <w:sz w:val="20"/>
          <w:szCs w:val="20"/>
        </w:rPr>
        <w:t xml:space="preserve"> </w:t>
      </w:r>
      <w:r w:rsidR="00D504BB">
        <w:rPr>
          <w:rFonts w:ascii="Verdana" w:hAnsi="Verdana"/>
          <w:sz w:val="20"/>
          <w:szCs w:val="20"/>
        </w:rPr>
        <w:t xml:space="preserve">el Tribunal Interamericano </w:t>
      </w:r>
      <w:r w:rsidR="003D6A83" w:rsidRPr="00D67AA4">
        <w:rPr>
          <w:rFonts w:ascii="Verdana" w:hAnsi="Verdana"/>
          <w:sz w:val="20"/>
          <w:szCs w:val="20"/>
        </w:rPr>
        <w:t>ha estudiado el fenómeno de la violencia contra la mujer bajo diversas temáticas</w:t>
      </w:r>
      <w:r w:rsidR="003D6A83" w:rsidRPr="00F9275D">
        <w:rPr>
          <w:rStyle w:val="FootnoteReference"/>
          <w:rFonts w:ascii="Verdana" w:hAnsi="Verdana"/>
          <w:sz w:val="20"/>
          <w:szCs w:val="20"/>
        </w:rPr>
        <w:footnoteReference w:id="9"/>
      </w:r>
      <w:r w:rsidR="0036375E">
        <w:rPr>
          <w:rFonts w:ascii="Verdana" w:hAnsi="Verdana"/>
          <w:sz w:val="20"/>
          <w:szCs w:val="20"/>
        </w:rPr>
        <w:t>;</w:t>
      </w:r>
      <w:r w:rsidR="003D6A83" w:rsidRPr="00D67AA4">
        <w:rPr>
          <w:rFonts w:ascii="Verdana" w:hAnsi="Verdana"/>
          <w:sz w:val="20"/>
          <w:szCs w:val="20"/>
        </w:rPr>
        <w:t xml:space="preserve"> </w:t>
      </w:r>
      <w:r w:rsidR="00D84B35" w:rsidRPr="00D67AA4">
        <w:rPr>
          <w:rFonts w:ascii="Verdana" w:hAnsi="Verdana"/>
          <w:sz w:val="20"/>
          <w:szCs w:val="20"/>
        </w:rPr>
        <w:t xml:space="preserve">poniendo especial énfasis en el deber estatal </w:t>
      </w:r>
      <w:r w:rsidR="001C5E81" w:rsidRPr="00D67AA4">
        <w:rPr>
          <w:rStyle w:val="Strong"/>
          <w:rFonts w:ascii="Verdana" w:hAnsi="Verdana" w:cs="Tahoma"/>
          <w:b w:val="0"/>
          <w:color w:val="000000"/>
          <w:sz w:val="20"/>
          <w:szCs w:val="20"/>
          <w:shd w:val="clear" w:color="auto" w:fill="FFFFFF"/>
        </w:rPr>
        <w:t>de</w:t>
      </w:r>
      <w:r w:rsidR="001F1CA4" w:rsidRPr="00D67AA4">
        <w:rPr>
          <w:rStyle w:val="Strong"/>
          <w:rFonts w:ascii="Verdana" w:hAnsi="Verdana" w:cs="Tahoma"/>
          <w:b w:val="0"/>
          <w:color w:val="000000"/>
          <w:sz w:val="20"/>
          <w:szCs w:val="20"/>
          <w:shd w:val="clear" w:color="auto" w:fill="FFFFFF"/>
        </w:rPr>
        <w:t xml:space="preserve"> condenar “todas las formas de violencia contra la mujer [así como a adoptar], por todos los medios apropiados y sin dilaciones, políticas orientadas a prevenir, sancionar y erradicar dicha violencia”</w:t>
      </w:r>
      <w:r w:rsidR="00A85744" w:rsidRPr="00F9275D">
        <w:rPr>
          <w:rStyle w:val="FootnoteReference"/>
          <w:rFonts w:ascii="Verdana" w:hAnsi="Verdana" w:cs="Tahoma"/>
          <w:bCs/>
          <w:color w:val="000000"/>
          <w:sz w:val="20"/>
          <w:szCs w:val="20"/>
          <w:shd w:val="clear" w:color="auto" w:fill="FFFFFF"/>
        </w:rPr>
        <w:footnoteReference w:id="10"/>
      </w:r>
      <w:r w:rsidR="001F1CA4" w:rsidRPr="00D67AA4">
        <w:rPr>
          <w:rStyle w:val="Strong"/>
          <w:rFonts w:ascii="Verdana" w:hAnsi="Verdana" w:cs="Tahoma"/>
          <w:b w:val="0"/>
          <w:color w:val="000000"/>
          <w:sz w:val="20"/>
          <w:szCs w:val="20"/>
          <w:shd w:val="clear" w:color="auto" w:fill="FFFFFF"/>
        </w:rPr>
        <w:t xml:space="preserve">, ello en adición a medidas </w:t>
      </w:r>
      <w:r w:rsidR="001C5E81" w:rsidRPr="00D67AA4">
        <w:rPr>
          <w:rStyle w:val="Strong"/>
          <w:rFonts w:ascii="Verdana" w:hAnsi="Verdana" w:cs="Tahoma"/>
          <w:b w:val="0"/>
          <w:color w:val="000000"/>
          <w:sz w:val="20"/>
          <w:szCs w:val="20"/>
          <w:shd w:val="clear" w:color="auto" w:fill="FFFFFF"/>
        </w:rPr>
        <w:t>específicas</w:t>
      </w:r>
      <w:r w:rsidR="001F1CA4" w:rsidRPr="00D67AA4">
        <w:rPr>
          <w:rStyle w:val="Strong"/>
          <w:rFonts w:ascii="Verdana" w:hAnsi="Verdana" w:cs="Tahoma"/>
          <w:b w:val="0"/>
          <w:color w:val="000000"/>
          <w:sz w:val="20"/>
          <w:szCs w:val="20"/>
          <w:shd w:val="clear" w:color="auto" w:fill="FFFFFF"/>
        </w:rPr>
        <w:t xml:space="preserve"> de tal disposici</w:t>
      </w:r>
      <w:r w:rsidR="001C5E81" w:rsidRPr="00D67AA4">
        <w:rPr>
          <w:rStyle w:val="Strong"/>
          <w:rFonts w:ascii="Verdana" w:hAnsi="Verdana" w:cs="Tahoma"/>
          <w:b w:val="0"/>
          <w:color w:val="000000"/>
          <w:sz w:val="20"/>
          <w:szCs w:val="20"/>
          <w:shd w:val="clear" w:color="auto" w:fill="FFFFFF"/>
        </w:rPr>
        <w:t>ón</w:t>
      </w:r>
      <w:r w:rsidR="00BC6BEF">
        <w:rPr>
          <w:rStyle w:val="Strong"/>
          <w:rFonts w:ascii="Verdana" w:hAnsi="Verdana" w:cs="Tahoma"/>
          <w:b w:val="0"/>
          <w:color w:val="000000"/>
          <w:sz w:val="20"/>
          <w:szCs w:val="20"/>
          <w:shd w:val="clear" w:color="auto" w:fill="FFFFFF"/>
        </w:rPr>
        <w:t xml:space="preserve"> —</w:t>
      </w:r>
      <w:r w:rsidR="00D94448" w:rsidRPr="00D67AA4">
        <w:rPr>
          <w:rStyle w:val="Strong"/>
          <w:rFonts w:ascii="Verdana" w:hAnsi="Verdana" w:cs="Tahoma"/>
          <w:b w:val="0"/>
          <w:color w:val="000000"/>
          <w:sz w:val="20"/>
          <w:szCs w:val="20"/>
          <w:shd w:val="clear" w:color="auto" w:fill="FFFFFF"/>
        </w:rPr>
        <w:t>algunas de las cua</w:t>
      </w:r>
      <w:r w:rsidR="00BC6BEF">
        <w:rPr>
          <w:rStyle w:val="Strong"/>
          <w:rFonts w:ascii="Verdana" w:hAnsi="Verdana" w:cs="Tahoma"/>
          <w:b w:val="0"/>
          <w:color w:val="000000"/>
          <w:sz w:val="20"/>
          <w:szCs w:val="20"/>
          <w:shd w:val="clear" w:color="auto" w:fill="FFFFFF"/>
        </w:rPr>
        <w:t>les han sido estudiadas por el Tribunal I</w:t>
      </w:r>
      <w:r w:rsidR="00D94448" w:rsidRPr="00D67AA4">
        <w:rPr>
          <w:rStyle w:val="Strong"/>
          <w:rFonts w:ascii="Verdana" w:hAnsi="Verdana" w:cs="Tahoma"/>
          <w:b w:val="0"/>
          <w:color w:val="000000"/>
          <w:sz w:val="20"/>
          <w:szCs w:val="20"/>
          <w:shd w:val="clear" w:color="auto" w:fill="FFFFFF"/>
        </w:rPr>
        <w:t>nteramericano en su jurisprudencia</w:t>
      </w:r>
      <w:r w:rsidR="00BC6BEF">
        <w:rPr>
          <w:rStyle w:val="Strong"/>
          <w:rFonts w:ascii="Verdana" w:hAnsi="Verdana" w:cs="Tahoma"/>
          <w:b w:val="0"/>
          <w:color w:val="000000"/>
          <w:sz w:val="20"/>
          <w:szCs w:val="20"/>
          <w:shd w:val="clear" w:color="auto" w:fill="FFFFFF"/>
        </w:rPr>
        <w:t>—</w:t>
      </w:r>
      <w:r w:rsidR="001F1CA4" w:rsidRPr="00D67AA4">
        <w:rPr>
          <w:rStyle w:val="Strong"/>
          <w:rFonts w:ascii="Verdana" w:hAnsi="Verdana" w:cs="Tahoma"/>
          <w:b w:val="0"/>
          <w:color w:val="000000"/>
          <w:sz w:val="20"/>
          <w:szCs w:val="20"/>
          <w:shd w:val="clear" w:color="auto" w:fill="FFFFFF"/>
        </w:rPr>
        <w:t>.</w:t>
      </w:r>
    </w:p>
    <w:p w14:paraId="32210812" w14:textId="7D4B390B" w:rsidR="00051997" w:rsidRPr="00057BCE" w:rsidRDefault="00BA0913" w:rsidP="00057BCE">
      <w:pPr>
        <w:spacing w:line="240" w:lineRule="auto"/>
        <w:jc w:val="both"/>
        <w:rPr>
          <w:rFonts w:ascii="Verdana" w:hAnsi="Verdana" w:cs="Tahoma"/>
          <w:bCs/>
          <w:color w:val="000000"/>
          <w:sz w:val="20"/>
          <w:szCs w:val="20"/>
          <w:shd w:val="clear" w:color="auto" w:fill="FFFFFF"/>
        </w:rPr>
      </w:pPr>
      <w:r>
        <w:rPr>
          <w:rStyle w:val="Strong"/>
          <w:rFonts w:ascii="Verdana" w:hAnsi="Verdana" w:cs="Tahoma"/>
          <w:b w:val="0"/>
          <w:color w:val="000000"/>
          <w:sz w:val="20"/>
          <w:szCs w:val="20"/>
          <w:shd w:val="clear" w:color="auto" w:fill="FFFFFF"/>
        </w:rPr>
        <w:t xml:space="preserve">8. </w:t>
      </w:r>
      <w:r>
        <w:rPr>
          <w:rStyle w:val="Strong"/>
          <w:rFonts w:ascii="Verdana" w:hAnsi="Verdana" w:cs="Tahoma"/>
          <w:b w:val="0"/>
          <w:color w:val="000000"/>
          <w:sz w:val="20"/>
          <w:szCs w:val="20"/>
          <w:shd w:val="clear" w:color="auto" w:fill="FFFFFF"/>
        </w:rPr>
        <w:tab/>
      </w:r>
      <w:r w:rsidR="00752423">
        <w:rPr>
          <w:rStyle w:val="Strong"/>
          <w:rFonts w:ascii="Verdana" w:hAnsi="Verdana" w:cs="Tahoma"/>
          <w:b w:val="0"/>
          <w:color w:val="000000"/>
          <w:sz w:val="20"/>
          <w:szCs w:val="20"/>
          <w:shd w:val="clear" w:color="auto" w:fill="FFFFFF"/>
        </w:rPr>
        <w:t>L</w:t>
      </w:r>
      <w:r w:rsidR="00752423" w:rsidRPr="008973FB">
        <w:rPr>
          <w:rStyle w:val="Strong"/>
          <w:rFonts w:ascii="Verdana" w:hAnsi="Verdana" w:cs="Tahoma"/>
          <w:b w:val="0"/>
          <w:color w:val="000000"/>
          <w:sz w:val="20"/>
          <w:szCs w:val="20"/>
          <w:shd w:val="clear" w:color="auto" w:fill="FFFFFF"/>
        </w:rPr>
        <w:t xml:space="preserve">a interpretación y aplicación de las disposiciones de la </w:t>
      </w:r>
      <w:r w:rsidR="00752423">
        <w:rPr>
          <w:rStyle w:val="Strong"/>
          <w:rFonts w:ascii="Verdana" w:hAnsi="Verdana" w:cs="Tahoma"/>
          <w:b w:val="0"/>
          <w:color w:val="000000"/>
          <w:sz w:val="20"/>
          <w:szCs w:val="20"/>
          <w:shd w:val="clear" w:color="auto" w:fill="FFFFFF"/>
        </w:rPr>
        <w:t>“</w:t>
      </w:r>
      <w:r w:rsidR="00752423" w:rsidRPr="008973FB">
        <w:rPr>
          <w:rStyle w:val="Strong"/>
          <w:rFonts w:ascii="Verdana" w:hAnsi="Verdana" w:cs="Tahoma"/>
          <w:b w:val="0"/>
          <w:color w:val="000000"/>
          <w:sz w:val="20"/>
          <w:szCs w:val="20"/>
          <w:shd w:val="clear" w:color="auto" w:fill="FFFFFF"/>
        </w:rPr>
        <w:t>Convención de Belém do Pará</w:t>
      </w:r>
      <w:r w:rsidR="00752423">
        <w:rPr>
          <w:rStyle w:val="Strong"/>
          <w:rFonts w:ascii="Verdana" w:hAnsi="Verdana" w:cs="Tahoma"/>
          <w:b w:val="0"/>
          <w:color w:val="000000"/>
          <w:sz w:val="20"/>
          <w:szCs w:val="20"/>
          <w:shd w:val="clear" w:color="auto" w:fill="FFFFFF"/>
        </w:rPr>
        <w:t>”</w:t>
      </w:r>
      <w:r w:rsidR="00752423" w:rsidRPr="008973FB">
        <w:rPr>
          <w:rStyle w:val="Strong"/>
          <w:rFonts w:ascii="Verdana" w:hAnsi="Verdana" w:cs="Tahoma"/>
          <w:b w:val="0"/>
          <w:color w:val="000000"/>
          <w:sz w:val="20"/>
          <w:szCs w:val="20"/>
          <w:shd w:val="clear" w:color="auto" w:fill="FFFFFF"/>
        </w:rPr>
        <w:t xml:space="preserve"> tuvo lugar por primera vez en 2006,</w:t>
      </w:r>
      <w:r w:rsidR="00752423">
        <w:rPr>
          <w:rStyle w:val="Strong"/>
          <w:rFonts w:ascii="Verdana" w:hAnsi="Verdana" w:cs="Tahoma"/>
          <w:b w:val="0"/>
          <w:color w:val="000000"/>
          <w:sz w:val="20"/>
          <w:szCs w:val="20"/>
          <w:shd w:val="clear" w:color="auto" w:fill="FFFFFF"/>
        </w:rPr>
        <w:t xml:space="preserve"> </w:t>
      </w:r>
      <w:r w:rsidR="0064034C" w:rsidRPr="008973FB">
        <w:rPr>
          <w:rStyle w:val="Strong"/>
          <w:rFonts w:ascii="Verdana" w:hAnsi="Verdana" w:cs="Tahoma"/>
          <w:b w:val="0"/>
          <w:color w:val="000000"/>
          <w:sz w:val="20"/>
          <w:szCs w:val="20"/>
          <w:shd w:val="clear" w:color="auto" w:fill="FFFFFF"/>
        </w:rPr>
        <w:t xml:space="preserve">en el </w:t>
      </w:r>
      <w:r w:rsidR="0064034C" w:rsidRPr="00752423">
        <w:rPr>
          <w:rStyle w:val="Strong"/>
          <w:rFonts w:ascii="Verdana" w:hAnsi="Verdana" w:cs="Tahoma"/>
          <w:b w:val="0"/>
          <w:color w:val="000000"/>
          <w:sz w:val="20"/>
          <w:szCs w:val="20"/>
          <w:shd w:val="clear" w:color="auto" w:fill="FFFFFF"/>
        </w:rPr>
        <w:t>caso</w:t>
      </w:r>
      <w:r w:rsidR="0064034C" w:rsidRPr="008973FB">
        <w:rPr>
          <w:rStyle w:val="Strong"/>
          <w:rFonts w:ascii="Verdana" w:hAnsi="Verdana" w:cs="Tahoma"/>
          <w:b w:val="0"/>
          <w:i/>
          <w:color w:val="000000"/>
          <w:sz w:val="20"/>
          <w:szCs w:val="20"/>
          <w:shd w:val="clear" w:color="auto" w:fill="FFFFFF"/>
        </w:rPr>
        <w:t xml:space="preserve"> del Penal Miguel Castro Castro vs. Perú</w:t>
      </w:r>
      <w:r w:rsidR="0064034C" w:rsidRPr="00752423">
        <w:rPr>
          <w:rStyle w:val="FootnoteReference"/>
          <w:rFonts w:ascii="Verdana" w:hAnsi="Verdana" w:cs="Tahoma"/>
          <w:bCs/>
          <w:color w:val="000000"/>
          <w:sz w:val="20"/>
          <w:szCs w:val="20"/>
          <w:shd w:val="clear" w:color="auto" w:fill="FFFFFF"/>
        </w:rPr>
        <w:footnoteReference w:id="11"/>
      </w:r>
      <w:r w:rsidR="00752423">
        <w:rPr>
          <w:rStyle w:val="Strong"/>
          <w:rFonts w:ascii="Verdana" w:hAnsi="Verdana" w:cs="Tahoma"/>
          <w:b w:val="0"/>
          <w:i/>
          <w:color w:val="000000"/>
          <w:sz w:val="20"/>
          <w:szCs w:val="20"/>
          <w:shd w:val="clear" w:color="auto" w:fill="FFFFFF"/>
        </w:rPr>
        <w:t xml:space="preserve">; </w:t>
      </w:r>
      <w:r w:rsidR="00752423">
        <w:rPr>
          <w:rStyle w:val="Strong"/>
          <w:rFonts w:ascii="Verdana" w:hAnsi="Verdana" w:cs="Tahoma"/>
          <w:b w:val="0"/>
          <w:color w:val="000000"/>
          <w:sz w:val="20"/>
          <w:szCs w:val="20"/>
          <w:shd w:val="clear" w:color="auto" w:fill="FFFFFF"/>
        </w:rPr>
        <w:t>con base en los</w:t>
      </w:r>
      <w:r w:rsidR="0064034C" w:rsidRPr="008973FB">
        <w:rPr>
          <w:rStyle w:val="Strong"/>
          <w:rFonts w:ascii="Verdana" w:hAnsi="Verdana" w:cs="Tahoma"/>
          <w:b w:val="0"/>
          <w:color w:val="000000"/>
          <w:sz w:val="20"/>
          <w:szCs w:val="20"/>
          <w:shd w:val="clear" w:color="auto" w:fill="FFFFFF"/>
        </w:rPr>
        <w:t xml:space="preserve"> hechos del caso la Corte </w:t>
      </w:r>
      <w:r w:rsidR="00752423">
        <w:rPr>
          <w:rStyle w:val="Strong"/>
          <w:rFonts w:ascii="Verdana" w:hAnsi="Verdana" w:cs="Tahoma"/>
          <w:b w:val="0"/>
          <w:color w:val="000000"/>
          <w:sz w:val="20"/>
          <w:szCs w:val="20"/>
          <w:shd w:val="clear" w:color="auto" w:fill="FFFFFF"/>
        </w:rPr>
        <w:t>IDH declaró violado</w:t>
      </w:r>
      <w:r w:rsidR="0064034C" w:rsidRPr="008973FB">
        <w:rPr>
          <w:rStyle w:val="Strong"/>
          <w:rFonts w:ascii="Verdana" w:hAnsi="Verdana" w:cs="Tahoma"/>
          <w:b w:val="0"/>
          <w:color w:val="000000"/>
          <w:sz w:val="20"/>
          <w:szCs w:val="20"/>
          <w:shd w:val="clear" w:color="auto" w:fill="FFFFFF"/>
        </w:rPr>
        <w:t xml:space="preserve"> el artículo 7.b </w:t>
      </w:r>
      <w:r w:rsidR="0064034C" w:rsidRPr="008973FB">
        <w:rPr>
          <w:rStyle w:val="Strong"/>
          <w:rFonts w:ascii="Verdana" w:hAnsi="Verdana" w:cs="Tahoma"/>
          <w:b w:val="0"/>
          <w:color w:val="000000"/>
          <w:sz w:val="20"/>
          <w:szCs w:val="20"/>
          <w:shd w:val="clear" w:color="auto" w:fill="FFFFFF"/>
        </w:rPr>
        <w:lastRenderedPageBreak/>
        <w:t xml:space="preserve">de </w:t>
      </w:r>
      <w:r w:rsidR="00752423">
        <w:rPr>
          <w:rStyle w:val="Strong"/>
          <w:rFonts w:ascii="Verdana" w:hAnsi="Verdana" w:cs="Tahoma"/>
          <w:b w:val="0"/>
          <w:color w:val="000000"/>
          <w:sz w:val="20"/>
          <w:szCs w:val="20"/>
          <w:shd w:val="clear" w:color="auto" w:fill="FFFFFF"/>
        </w:rPr>
        <w:t>dicho instrumento,</w:t>
      </w:r>
      <w:r w:rsidR="0064034C" w:rsidRPr="008973FB">
        <w:rPr>
          <w:rStyle w:val="Strong"/>
          <w:rFonts w:ascii="Verdana" w:hAnsi="Verdana" w:cs="Tahoma"/>
          <w:b w:val="0"/>
          <w:color w:val="000000"/>
          <w:sz w:val="20"/>
          <w:szCs w:val="20"/>
          <w:shd w:val="clear" w:color="auto" w:fill="FFFFFF"/>
        </w:rPr>
        <w:t xml:space="preserve"> relativo al deber estatal de “actuar con la debida diligencia para prevenir, investigar y sancionar la violencia contra la mujer”.</w:t>
      </w:r>
      <w:r w:rsidR="00057BCE">
        <w:rPr>
          <w:rStyle w:val="Strong"/>
          <w:rFonts w:ascii="Verdana" w:hAnsi="Verdana" w:cs="Tahoma"/>
          <w:b w:val="0"/>
          <w:color w:val="000000"/>
          <w:sz w:val="20"/>
          <w:szCs w:val="20"/>
          <w:shd w:val="clear" w:color="auto" w:fill="FFFFFF"/>
        </w:rPr>
        <w:t xml:space="preserve"> </w:t>
      </w:r>
      <w:r w:rsidR="00A85744" w:rsidRPr="00F9275D">
        <w:rPr>
          <w:rFonts w:ascii="Verdana" w:hAnsi="Verdana" w:cs="Tahoma"/>
          <w:sz w:val="20"/>
          <w:szCs w:val="20"/>
        </w:rPr>
        <w:t>En dicho caso</w:t>
      </w:r>
      <w:r w:rsidR="00964756" w:rsidRPr="00F9275D">
        <w:rPr>
          <w:rFonts w:ascii="Verdana" w:hAnsi="Verdana" w:cs="Tahoma"/>
          <w:sz w:val="20"/>
          <w:szCs w:val="20"/>
        </w:rPr>
        <w:t xml:space="preserve"> l</w:t>
      </w:r>
      <w:r w:rsidR="006B7F86" w:rsidRPr="00F9275D">
        <w:rPr>
          <w:rFonts w:ascii="Verdana" w:hAnsi="Verdana" w:cs="Tahoma"/>
          <w:sz w:val="20"/>
          <w:szCs w:val="20"/>
        </w:rPr>
        <w:t xml:space="preserve">a Corte </w:t>
      </w:r>
      <w:r w:rsidR="00057BCE">
        <w:rPr>
          <w:rFonts w:ascii="Verdana" w:hAnsi="Verdana" w:cs="Tahoma"/>
          <w:sz w:val="20"/>
          <w:szCs w:val="20"/>
        </w:rPr>
        <w:t xml:space="preserve">IDH </w:t>
      </w:r>
      <w:r w:rsidR="006B7F86" w:rsidRPr="00F9275D">
        <w:rPr>
          <w:rFonts w:ascii="Verdana" w:hAnsi="Verdana" w:cs="Tahoma"/>
          <w:sz w:val="20"/>
          <w:szCs w:val="20"/>
        </w:rPr>
        <w:t xml:space="preserve">señaló </w:t>
      </w:r>
      <w:r w:rsidR="00A85744" w:rsidRPr="00F9275D">
        <w:rPr>
          <w:rFonts w:ascii="Verdana" w:hAnsi="Verdana" w:cs="Tahoma"/>
          <w:sz w:val="20"/>
          <w:szCs w:val="20"/>
        </w:rPr>
        <w:t>que e</w:t>
      </w:r>
      <w:r w:rsidR="006B7F86" w:rsidRPr="00F9275D">
        <w:rPr>
          <w:rFonts w:ascii="Verdana" w:hAnsi="Verdana" w:cs="Tahoma"/>
          <w:sz w:val="20"/>
          <w:szCs w:val="20"/>
        </w:rPr>
        <w:t xml:space="preserve">l deber estatal de </w:t>
      </w:r>
      <w:r w:rsidR="00A85744" w:rsidRPr="00F9275D">
        <w:rPr>
          <w:rFonts w:ascii="Verdana" w:hAnsi="Verdana" w:cs="Tahoma"/>
          <w:sz w:val="20"/>
          <w:szCs w:val="20"/>
        </w:rPr>
        <w:t>investigar los hechos ocurridos</w:t>
      </w:r>
      <w:r w:rsidR="006B7F86" w:rsidRPr="00F9275D">
        <w:rPr>
          <w:rFonts w:ascii="Verdana" w:hAnsi="Verdana" w:cs="Tahoma"/>
          <w:sz w:val="20"/>
          <w:szCs w:val="20"/>
        </w:rPr>
        <w:t xml:space="preserve"> implicaba que el Estado tomase “en consideración la gravedad de los hechos constitutivos de violencia contra la mujer, teniendo en consideración las obligaciones que le imponen los tratados que ha ratificado en esa materia”</w:t>
      </w:r>
      <w:r w:rsidR="006B7F86" w:rsidRPr="00F9275D">
        <w:rPr>
          <w:rStyle w:val="FootnoteReference"/>
          <w:rFonts w:ascii="Verdana" w:hAnsi="Verdana" w:cs="Tahoma"/>
          <w:sz w:val="20"/>
          <w:szCs w:val="20"/>
        </w:rPr>
        <w:footnoteReference w:id="12"/>
      </w:r>
      <w:r w:rsidR="006B7F86" w:rsidRPr="00F9275D">
        <w:rPr>
          <w:rFonts w:ascii="Verdana" w:hAnsi="Verdana" w:cs="Tahoma"/>
          <w:sz w:val="20"/>
          <w:szCs w:val="20"/>
        </w:rPr>
        <w:t>.</w:t>
      </w:r>
      <w:r w:rsidR="00964756" w:rsidRPr="00F9275D">
        <w:rPr>
          <w:rFonts w:ascii="Verdana" w:hAnsi="Verdana" w:cs="Tahoma"/>
          <w:sz w:val="20"/>
          <w:szCs w:val="20"/>
        </w:rPr>
        <w:t xml:space="preserve"> En consecuencia, </w:t>
      </w:r>
      <w:r w:rsidR="00057BCE">
        <w:rPr>
          <w:rFonts w:ascii="Verdana" w:hAnsi="Verdana" w:cs="Tahoma"/>
          <w:sz w:val="20"/>
          <w:szCs w:val="20"/>
        </w:rPr>
        <w:t>el Tribunal Interamericano</w:t>
      </w:r>
      <w:r w:rsidR="006B7F86" w:rsidRPr="00F9275D">
        <w:rPr>
          <w:rFonts w:ascii="Verdana" w:hAnsi="Verdana" w:cs="Tahoma"/>
          <w:sz w:val="20"/>
          <w:szCs w:val="20"/>
        </w:rPr>
        <w:t xml:space="preserve"> </w:t>
      </w:r>
      <w:r w:rsidR="00057BCE">
        <w:rPr>
          <w:rFonts w:ascii="Verdana" w:hAnsi="Verdana" w:cs="Tahoma"/>
          <w:sz w:val="20"/>
          <w:szCs w:val="20"/>
        </w:rPr>
        <w:t xml:space="preserve">declaró </w:t>
      </w:r>
      <w:r w:rsidR="00811A00">
        <w:rPr>
          <w:rFonts w:ascii="Verdana" w:hAnsi="Verdana" w:cs="Tahoma"/>
          <w:sz w:val="20"/>
          <w:szCs w:val="20"/>
        </w:rPr>
        <w:t xml:space="preserve">la </w:t>
      </w:r>
      <w:r w:rsidR="00057BCE">
        <w:rPr>
          <w:rFonts w:ascii="Verdana" w:hAnsi="Verdana" w:cs="Tahoma"/>
          <w:sz w:val="20"/>
          <w:szCs w:val="20"/>
        </w:rPr>
        <w:t>violación</w:t>
      </w:r>
      <w:r w:rsidR="00F93397" w:rsidRPr="00F9275D">
        <w:rPr>
          <w:rFonts w:ascii="Verdana" w:hAnsi="Verdana" w:cs="Tahoma"/>
          <w:sz w:val="20"/>
          <w:szCs w:val="20"/>
        </w:rPr>
        <w:t xml:space="preserve"> </w:t>
      </w:r>
      <w:r w:rsidR="00057BCE">
        <w:rPr>
          <w:rFonts w:ascii="Verdana" w:hAnsi="Verdana" w:cs="Tahoma"/>
          <w:sz w:val="20"/>
          <w:szCs w:val="20"/>
        </w:rPr>
        <w:t>d</w:t>
      </w:r>
      <w:r w:rsidR="00F93397" w:rsidRPr="00F9275D">
        <w:rPr>
          <w:rFonts w:ascii="Verdana" w:hAnsi="Verdana" w:cs="Tahoma"/>
          <w:sz w:val="20"/>
          <w:szCs w:val="20"/>
        </w:rPr>
        <w:t xml:space="preserve">el artículo 7.b) de la </w:t>
      </w:r>
      <w:r w:rsidR="00057BCE">
        <w:rPr>
          <w:rFonts w:ascii="Verdana" w:hAnsi="Verdana" w:cs="Tahoma"/>
          <w:sz w:val="20"/>
          <w:szCs w:val="20"/>
        </w:rPr>
        <w:t>“</w:t>
      </w:r>
      <w:r w:rsidR="00F93397" w:rsidRPr="00F9275D">
        <w:rPr>
          <w:rFonts w:ascii="Verdana" w:hAnsi="Verdana" w:cs="Tahoma"/>
          <w:sz w:val="20"/>
          <w:szCs w:val="20"/>
        </w:rPr>
        <w:t xml:space="preserve">Convención </w:t>
      </w:r>
      <w:r w:rsidR="00C35CC6" w:rsidRPr="00F9275D">
        <w:rPr>
          <w:rFonts w:ascii="Verdana" w:hAnsi="Verdana" w:cs="Tahoma"/>
          <w:sz w:val="20"/>
          <w:szCs w:val="20"/>
        </w:rPr>
        <w:t xml:space="preserve">de </w:t>
      </w:r>
      <w:r w:rsidR="00F93397" w:rsidRPr="00F9275D">
        <w:rPr>
          <w:rFonts w:ascii="Verdana" w:hAnsi="Verdana" w:cs="Tahoma"/>
          <w:sz w:val="20"/>
          <w:szCs w:val="20"/>
        </w:rPr>
        <w:t>Belem do Pará</w:t>
      </w:r>
      <w:r w:rsidR="00057BCE">
        <w:rPr>
          <w:rFonts w:ascii="Verdana" w:hAnsi="Verdana" w:cs="Tahoma"/>
          <w:sz w:val="20"/>
          <w:szCs w:val="20"/>
        </w:rPr>
        <w:t>”</w:t>
      </w:r>
      <w:r w:rsidR="00F93397" w:rsidRPr="00F9275D">
        <w:rPr>
          <w:rFonts w:ascii="Verdana" w:hAnsi="Verdana" w:cs="Tahoma"/>
          <w:sz w:val="20"/>
          <w:szCs w:val="20"/>
        </w:rPr>
        <w:t xml:space="preserve"> en conjunto con el derecho a las garantías judiciales y a la protección judicial (8.1 y 25 de la C</w:t>
      </w:r>
      <w:r w:rsidR="00811A00">
        <w:rPr>
          <w:rFonts w:ascii="Verdana" w:hAnsi="Verdana" w:cs="Tahoma"/>
          <w:sz w:val="20"/>
          <w:szCs w:val="20"/>
        </w:rPr>
        <w:t>onvención Americana</w:t>
      </w:r>
      <w:r w:rsidR="00F93397" w:rsidRPr="00F9275D">
        <w:rPr>
          <w:rFonts w:ascii="Verdana" w:hAnsi="Verdana" w:cs="Tahoma"/>
          <w:sz w:val="20"/>
          <w:szCs w:val="20"/>
        </w:rPr>
        <w:t xml:space="preserve">) en virtud de que los procedimientos internos abiertos en dicho caso no constituían “recursos efectivos para garantizar </w:t>
      </w:r>
      <w:r w:rsidR="002B6A7E">
        <w:rPr>
          <w:rFonts w:ascii="Verdana" w:hAnsi="Verdana" w:cs="Tahoma"/>
          <w:sz w:val="20"/>
          <w:szCs w:val="20"/>
        </w:rPr>
        <w:t xml:space="preserve">un verdadero </w:t>
      </w:r>
      <w:r w:rsidR="00F93397" w:rsidRPr="00F9275D">
        <w:rPr>
          <w:rFonts w:ascii="Verdana" w:hAnsi="Verdana" w:cs="Tahoma"/>
          <w:sz w:val="20"/>
          <w:szCs w:val="20"/>
        </w:rPr>
        <w:t>acceso a la justicia por parte de las víctimas, dentro de un plazo razonable, que abar[caran] el esclarecimiento de los hechos, la investigación y, en su caso, la sanción de los responsables y la reparación de las violaciones a la vida e integridad”</w:t>
      </w:r>
      <w:r w:rsidR="00F93397" w:rsidRPr="00F9275D">
        <w:rPr>
          <w:rFonts w:ascii="Verdana" w:hAnsi="Verdana"/>
          <w:sz w:val="20"/>
          <w:szCs w:val="20"/>
          <w:vertAlign w:val="superscript"/>
        </w:rPr>
        <w:footnoteReference w:id="13"/>
      </w:r>
      <w:r w:rsidR="00F93397" w:rsidRPr="00F9275D">
        <w:rPr>
          <w:rFonts w:ascii="Verdana" w:hAnsi="Verdana" w:cs="Tahoma"/>
          <w:sz w:val="20"/>
          <w:szCs w:val="20"/>
        </w:rPr>
        <w:t>.</w:t>
      </w:r>
    </w:p>
    <w:p w14:paraId="32210813" w14:textId="77777777" w:rsidR="00051997" w:rsidRPr="00F9275D" w:rsidRDefault="00BA0913" w:rsidP="00057BCE">
      <w:pPr>
        <w:spacing w:line="240" w:lineRule="auto"/>
        <w:jc w:val="both"/>
        <w:rPr>
          <w:rFonts w:ascii="Verdana" w:hAnsi="Verdana" w:cs="Tahoma"/>
          <w:sz w:val="20"/>
          <w:szCs w:val="20"/>
        </w:rPr>
      </w:pPr>
      <w:r>
        <w:rPr>
          <w:rFonts w:ascii="Verdana" w:hAnsi="Verdana" w:cs="Tahoma"/>
          <w:sz w:val="20"/>
          <w:szCs w:val="20"/>
        </w:rPr>
        <w:t xml:space="preserve">9. </w:t>
      </w:r>
      <w:r>
        <w:rPr>
          <w:rFonts w:ascii="Verdana" w:hAnsi="Verdana" w:cs="Tahoma"/>
          <w:sz w:val="20"/>
          <w:szCs w:val="20"/>
        </w:rPr>
        <w:tab/>
      </w:r>
      <w:r w:rsidR="00964756" w:rsidRPr="00F55160">
        <w:rPr>
          <w:rFonts w:ascii="Verdana" w:hAnsi="Verdana" w:cs="Tahoma"/>
          <w:sz w:val="20"/>
          <w:szCs w:val="20"/>
        </w:rPr>
        <w:t>En</w:t>
      </w:r>
      <w:r w:rsidR="00B60107" w:rsidRPr="00F55160">
        <w:rPr>
          <w:rFonts w:ascii="Verdana" w:hAnsi="Verdana" w:cs="Tahoma"/>
          <w:sz w:val="20"/>
          <w:szCs w:val="20"/>
        </w:rPr>
        <w:t xml:space="preserve"> el año</w:t>
      </w:r>
      <w:r w:rsidR="00964756" w:rsidRPr="00F55160">
        <w:rPr>
          <w:rFonts w:ascii="Verdana" w:hAnsi="Verdana" w:cs="Tahoma"/>
          <w:sz w:val="20"/>
          <w:szCs w:val="20"/>
        </w:rPr>
        <w:t xml:space="preserve"> 2009, </w:t>
      </w:r>
      <w:r w:rsidR="00F35155" w:rsidRPr="00F55160">
        <w:rPr>
          <w:rFonts w:ascii="Verdana" w:hAnsi="Verdana" w:cs="Tahoma"/>
          <w:sz w:val="20"/>
          <w:szCs w:val="20"/>
        </w:rPr>
        <w:t>con motivo del c</w:t>
      </w:r>
      <w:r w:rsidR="00F35155" w:rsidRPr="00F55160">
        <w:rPr>
          <w:rFonts w:ascii="Verdana" w:hAnsi="Verdana" w:cs="Tahoma"/>
          <w:i/>
          <w:sz w:val="20"/>
          <w:szCs w:val="20"/>
        </w:rPr>
        <w:t xml:space="preserve">aso </w:t>
      </w:r>
      <w:r w:rsidR="00F35155" w:rsidRPr="00F55160">
        <w:rPr>
          <w:rStyle w:val="Strong"/>
          <w:rFonts w:ascii="Verdana" w:hAnsi="Verdana" w:cs="Tahoma"/>
          <w:b w:val="0"/>
          <w:i/>
          <w:color w:val="000000"/>
          <w:sz w:val="20"/>
          <w:szCs w:val="20"/>
          <w:shd w:val="clear" w:color="auto" w:fill="FFFFFF"/>
        </w:rPr>
        <w:t>González y otras (“Campo Algodonero”) Vs. México</w:t>
      </w:r>
      <w:r w:rsidR="00057BCE">
        <w:rPr>
          <w:rStyle w:val="Strong"/>
          <w:rFonts w:ascii="Verdana" w:hAnsi="Verdana" w:cs="Tahoma"/>
          <w:b w:val="0"/>
          <w:i/>
          <w:color w:val="000000"/>
          <w:sz w:val="20"/>
          <w:szCs w:val="20"/>
          <w:shd w:val="clear" w:color="auto" w:fill="FFFFFF"/>
        </w:rPr>
        <w:t>,</w:t>
      </w:r>
      <w:r w:rsidR="00F35155" w:rsidRPr="00F55160">
        <w:rPr>
          <w:rFonts w:ascii="Verdana" w:hAnsi="Verdana" w:cs="Tahoma"/>
          <w:sz w:val="20"/>
          <w:szCs w:val="20"/>
        </w:rPr>
        <w:t xml:space="preserve"> </w:t>
      </w:r>
      <w:r w:rsidR="00964756" w:rsidRPr="00F55160">
        <w:rPr>
          <w:rFonts w:ascii="Verdana" w:hAnsi="Verdana" w:cs="Tahoma"/>
          <w:sz w:val="20"/>
          <w:szCs w:val="20"/>
        </w:rPr>
        <w:t>la Corte</w:t>
      </w:r>
      <w:r w:rsidR="00F35155" w:rsidRPr="00F55160">
        <w:rPr>
          <w:rFonts w:ascii="Verdana" w:hAnsi="Verdana" w:cs="Tahoma"/>
          <w:sz w:val="20"/>
          <w:szCs w:val="20"/>
        </w:rPr>
        <w:t xml:space="preserve"> IDH</w:t>
      </w:r>
      <w:r w:rsidR="00964756" w:rsidRPr="00F55160">
        <w:rPr>
          <w:rFonts w:ascii="Verdana" w:hAnsi="Verdana" w:cs="Tahoma"/>
          <w:sz w:val="20"/>
          <w:szCs w:val="20"/>
        </w:rPr>
        <w:t xml:space="preserve"> nuevamente </w:t>
      </w:r>
      <w:r w:rsidR="00F35155" w:rsidRPr="00F55160">
        <w:rPr>
          <w:rFonts w:ascii="Verdana" w:hAnsi="Verdana" w:cs="Tahoma"/>
          <w:sz w:val="20"/>
          <w:szCs w:val="20"/>
        </w:rPr>
        <w:t xml:space="preserve">tuvo la oportunidad de </w:t>
      </w:r>
      <w:r w:rsidR="00811A00">
        <w:rPr>
          <w:rFonts w:ascii="Verdana" w:hAnsi="Verdana" w:cs="Tahoma"/>
          <w:sz w:val="20"/>
          <w:szCs w:val="20"/>
        </w:rPr>
        <w:t>estudiar los hechos que involucraban</w:t>
      </w:r>
      <w:r w:rsidR="00F35155" w:rsidRPr="00F55160">
        <w:rPr>
          <w:rFonts w:ascii="Verdana" w:hAnsi="Verdana" w:cs="Tahoma"/>
          <w:sz w:val="20"/>
          <w:szCs w:val="20"/>
        </w:rPr>
        <w:t xml:space="preserve"> las obligaciones de la </w:t>
      </w:r>
      <w:r w:rsidR="00811A00">
        <w:rPr>
          <w:rFonts w:ascii="Verdana" w:hAnsi="Verdana" w:cs="Tahoma"/>
          <w:sz w:val="20"/>
          <w:szCs w:val="20"/>
        </w:rPr>
        <w:t>“</w:t>
      </w:r>
      <w:r w:rsidR="00F35155" w:rsidRPr="00F55160">
        <w:rPr>
          <w:rFonts w:ascii="Verdana" w:hAnsi="Verdana" w:cs="Tahoma"/>
          <w:sz w:val="20"/>
          <w:szCs w:val="20"/>
        </w:rPr>
        <w:t>Convención de Belém do Pará</w:t>
      </w:r>
      <w:r w:rsidR="00811A00">
        <w:rPr>
          <w:rFonts w:ascii="Verdana" w:hAnsi="Verdana" w:cs="Tahoma"/>
          <w:sz w:val="20"/>
          <w:szCs w:val="20"/>
        </w:rPr>
        <w:t>”</w:t>
      </w:r>
      <w:r w:rsidR="00F35155" w:rsidRPr="00F55160">
        <w:rPr>
          <w:rFonts w:ascii="Verdana" w:hAnsi="Verdana" w:cs="Tahoma"/>
          <w:sz w:val="20"/>
          <w:szCs w:val="20"/>
        </w:rPr>
        <w:t>. El caso se relacionaba con el contexto de violencia de género en México</w:t>
      </w:r>
      <w:r w:rsidR="00057BCE">
        <w:rPr>
          <w:rFonts w:ascii="Verdana" w:hAnsi="Verdana" w:cs="Tahoma"/>
          <w:sz w:val="20"/>
          <w:szCs w:val="20"/>
        </w:rPr>
        <w:t>,</w:t>
      </w:r>
      <w:r w:rsidR="00F35155" w:rsidRPr="00F55160">
        <w:rPr>
          <w:rFonts w:ascii="Verdana" w:hAnsi="Verdana" w:cs="Tahoma"/>
          <w:sz w:val="20"/>
          <w:szCs w:val="20"/>
        </w:rPr>
        <w:t xml:space="preserve"> donde</w:t>
      </w:r>
      <w:r w:rsidR="00057BCE">
        <w:rPr>
          <w:rFonts w:ascii="Verdana" w:hAnsi="Verdana" w:cs="Tahoma"/>
          <w:sz w:val="20"/>
          <w:szCs w:val="20"/>
        </w:rPr>
        <w:t xml:space="preserve"> el Tribunal I</w:t>
      </w:r>
      <w:r w:rsidR="00F35155" w:rsidRPr="00F55160">
        <w:rPr>
          <w:rFonts w:ascii="Verdana" w:hAnsi="Verdana" w:cs="Tahoma"/>
          <w:sz w:val="20"/>
          <w:szCs w:val="20"/>
        </w:rPr>
        <w:t xml:space="preserve">nteramericano </w:t>
      </w:r>
      <w:r w:rsidR="00ED7D75">
        <w:rPr>
          <w:rFonts w:ascii="Verdana" w:hAnsi="Verdana" w:cs="Tahoma"/>
          <w:sz w:val="20"/>
          <w:szCs w:val="20"/>
        </w:rPr>
        <w:t>entró al</w:t>
      </w:r>
      <w:r w:rsidR="00F35155" w:rsidRPr="00F55160">
        <w:rPr>
          <w:rFonts w:ascii="Verdana" w:hAnsi="Verdana" w:cs="Tahoma"/>
          <w:sz w:val="20"/>
          <w:szCs w:val="20"/>
        </w:rPr>
        <w:t xml:space="preserve"> estudio de</w:t>
      </w:r>
      <w:r w:rsidR="00964756" w:rsidRPr="00F55160">
        <w:rPr>
          <w:rFonts w:ascii="Verdana" w:hAnsi="Verdana" w:cs="Tahoma"/>
          <w:sz w:val="20"/>
          <w:szCs w:val="20"/>
        </w:rPr>
        <w:t xml:space="preserve"> los artículos 4, 5 y 7 de la C</w:t>
      </w:r>
      <w:r w:rsidR="00811A00">
        <w:rPr>
          <w:rFonts w:ascii="Verdana" w:hAnsi="Verdana" w:cs="Tahoma"/>
          <w:sz w:val="20"/>
          <w:szCs w:val="20"/>
        </w:rPr>
        <w:t>onvención Americana</w:t>
      </w:r>
      <w:r w:rsidR="00964756" w:rsidRPr="00F55160">
        <w:rPr>
          <w:rFonts w:ascii="Verdana" w:hAnsi="Verdana" w:cs="Tahoma"/>
          <w:sz w:val="20"/>
          <w:szCs w:val="20"/>
        </w:rPr>
        <w:t xml:space="preserve"> </w:t>
      </w:r>
      <w:r w:rsidR="00811A00">
        <w:rPr>
          <w:rFonts w:ascii="Verdana" w:hAnsi="Verdana" w:cs="Tahoma"/>
          <w:sz w:val="20"/>
          <w:szCs w:val="20"/>
        </w:rPr>
        <w:t>y</w:t>
      </w:r>
      <w:r w:rsidR="00964756" w:rsidRPr="00F55160">
        <w:rPr>
          <w:rFonts w:ascii="Verdana" w:hAnsi="Verdana" w:cs="Tahoma"/>
          <w:sz w:val="20"/>
          <w:szCs w:val="20"/>
        </w:rPr>
        <w:t xml:space="preserve"> las obligaciones derivadas de los artículos 7.b y 7.c de la </w:t>
      </w:r>
      <w:r w:rsidR="00811A00">
        <w:rPr>
          <w:rFonts w:ascii="Verdana" w:hAnsi="Verdana" w:cs="Tahoma"/>
          <w:sz w:val="20"/>
          <w:szCs w:val="20"/>
        </w:rPr>
        <w:t>“</w:t>
      </w:r>
      <w:r w:rsidR="00964756" w:rsidRPr="00F55160">
        <w:rPr>
          <w:rFonts w:ascii="Verdana" w:hAnsi="Verdana" w:cs="Tahoma"/>
          <w:sz w:val="20"/>
          <w:szCs w:val="20"/>
        </w:rPr>
        <w:t xml:space="preserve">Convención </w:t>
      </w:r>
      <w:r w:rsidR="00136211" w:rsidRPr="00F55160">
        <w:rPr>
          <w:rFonts w:ascii="Verdana" w:hAnsi="Verdana" w:cs="Tahoma"/>
          <w:sz w:val="20"/>
          <w:szCs w:val="20"/>
        </w:rPr>
        <w:t xml:space="preserve">de </w:t>
      </w:r>
      <w:r w:rsidR="00964756" w:rsidRPr="00F55160">
        <w:rPr>
          <w:rFonts w:ascii="Verdana" w:hAnsi="Verdana" w:cs="Tahoma"/>
          <w:sz w:val="20"/>
          <w:szCs w:val="20"/>
        </w:rPr>
        <w:t>Belém do Pará</w:t>
      </w:r>
      <w:r w:rsidR="00811A00">
        <w:rPr>
          <w:rFonts w:ascii="Verdana" w:hAnsi="Verdana" w:cs="Tahoma"/>
          <w:sz w:val="20"/>
          <w:szCs w:val="20"/>
        </w:rPr>
        <w:t>”</w:t>
      </w:r>
      <w:r w:rsidR="00964756" w:rsidRPr="00F55160">
        <w:rPr>
          <w:rFonts w:ascii="Verdana" w:hAnsi="Verdana" w:cs="Tahoma"/>
          <w:sz w:val="20"/>
          <w:szCs w:val="20"/>
        </w:rPr>
        <w:t>, en relación con la obligación general de garantía (1.1 de la C</w:t>
      </w:r>
      <w:r w:rsidR="00811A00">
        <w:rPr>
          <w:rFonts w:ascii="Verdana" w:hAnsi="Verdana" w:cs="Tahoma"/>
          <w:sz w:val="20"/>
          <w:szCs w:val="20"/>
        </w:rPr>
        <w:t>onvención Americana</w:t>
      </w:r>
      <w:r w:rsidR="00964756" w:rsidRPr="00F55160">
        <w:rPr>
          <w:rFonts w:ascii="Verdana" w:hAnsi="Verdana" w:cs="Tahoma"/>
          <w:sz w:val="20"/>
          <w:szCs w:val="20"/>
        </w:rPr>
        <w:t>) y la obligación de adoptar disposiciones de derecho interno (art. 2 de</w:t>
      </w:r>
      <w:r w:rsidR="00811A00">
        <w:rPr>
          <w:rFonts w:ascii="Verdana" w:hAnsi="Verdana" w:cs="Tahoma"/>
          <w:sz w:val="20"/>
          <w:szCs w:val="20"/>
        </w:rPr>
        <w:t>l Pacto de San José</w:t>
      </w:r>
      <w:r w:rsidR="00964756" w:rsidRPr="00F55160">
        <w:rPr>
          <w:rFonts w:ascii="Verdana" w:hAnsi="Verdana" w:cs="Tahoma"/>
          <w:sz w:val="20"/>
          <w:szCs w:val="20"/>
        </w:rPr>
        <w:t xml:space="preserve">) en perjuicio de </w:t>
      </w:r>
      <w:r w:rsidR="00F35155" w:rsidRPr="00F55160">
        <w:rPr>
          <w:rFonts w:ascii="Verdana" w:hAnsi="Verdana" w:cs="Tahoma"/>
          <w:sz w:val="20"/>
          <w:szCs w:val="20"/>
        </w:rPr>
        <w:t xml:space="preserve">las </w:t>
      </w:r>
      <w:r w:rsidR="00964756" w:rsidRPr="00F55160">
        <w:rPr>
          <w:rFonts w:ascii="Verdana" w:hAnsi="Verdana" w:cs="Tahoma"/>
          <w:sz w:val="20"/>
          <w:szCs w:val="20"/>
        </w:rPr>
        <w:t>tres mujeres víctimas en el caso</w:t>
      </w:r>
      <w:r w:rsidR="00C35CC6" w:rsidRPr="00F55160">
        <w:rPr>
          <w:rFonts w:ascii="Verdana" w:hAnsi="Verdana" w:cs="Tahoma"/>
          <w:sz w:val="20"/>
          <w:szCs w:val="20"/>
        </w:rPr>
        <w:t xml:space="preserve">. En consecuencia, </w:t>
      </w:r>
      <w:r w:rsidR="00811A00">
        <w:rPr>
          <w:rFonts w:ascii="Verdana" w:hAnsi="Verdana" w:cs="Tahoma"/>
          <w:sz w:val="20"/>
          <w:szCs w:val="20"/>
        </w:rPr>
        <w:t xml:space="preserve">en la sentencia de dicho caso la Corte IDH </w:t>
      </w:r>
      <w:r w:rsidR="00C35CC6" w:rsidRPr="00F55160">
        <w:rPr>
          <w:rFonts w:ascii="Verdana" w:hAnsi="Verdana" w:cs="Tahoma"/>
          <w:sz w:val="20"/>
          <w:szCs w:val="20"/>
        </w:rPr>
        <w:t>estableció</w:t>
      </w:r>
      <w:r w:rsidR="00964756" w:rsidRPr="00F55160">
        <w:rPr>
          <w:rFonts w:ascii="Verdana" w:hAnsi="Verdana" w:cs="Tahoma"/>
          <w:sz w:val="20"/>
          <w:szCs w:val="20"/>
        </w:rPr>
        <w:t xml:space="preserve"> que el Estado no había actuado con “la debida diligencia requerida para prevenir adecuadamente las muertes y agresiones sufridas por las víctimas”, falta que había dado lugar al incumplim</w:t>
      </w:r>
      <w:r w:rsidR="00811A00">
        <w:rPr>
          <w:rFonts w:ascii="Verdana" w:hAnsi="Verdana" w:cs="Tahoma"/>
          <w:sz w:val="20"/>
          <w:szCs w:val="20"/>
        </w:rPr>
        <w:t>iento de su deber de garantía, —</w:t>
      </w:r>
      <w:r w:rsidR="00964756" w:rsidRPr="00F55160">
        <w:rPr>
          <w:rFonts w:ascii="Verdana" w:hAnsi="Verdana" w:cs="Tahoma"/>
          <w:sz w:val="20"/>
          <w:szCs w:val="20"/>
        </w:rPr>
        <w:t>poniendo a las mujeres víctimas en situación de vulnerabilidad</w:t>
      </w:r>
      <w:r w:rsidR="00811A00">
        <w:rPr>
          <w:rFonts w:ascii="Verdana" w:hAnsi="Verdana" w:cs="Tahoma"/>
          <w:sz w:val="20"/>
          <w:szCs w:val="20"/>
        </w:rPr>
        <w:t>—</w:t>
      </w:r>
      <w:r w:rsidR="00964756" w:rsidRPr="00F55160">
        <w:rPr>
          <w:rFonts w:ascii="Verdana" w:hAnsi="Verdana" w:cs="Tahoma"/>
          <w:sz w:val="20"/>
          <w:szCs w:val="20"/>
        </w:rPr>
        <w:t xml:space="preserve"> y a las obligaciones reforzadas impuestas en casos de violencia contra la mujer por el artículo 7.b de la </w:t>
      </w:r>
      <w:r w:rsidR="00057BCE">
        <w:rPr>
          <w:rFonts w:ascii="Verdana" w:hAnsi="Verdana" w:cs="Tahoma"/>
          <w:sz w:val="20"/>
          <w:szCs w:val="20"/>
        </w:rPr>
        <w:t>“</w:t>
      </w:r>
      <w:r w:rsidR="00964756" w:rsidRPr="00F55160">
        <w:rPr>
          <w:rFonts w:ascii="Verdana" w:hAnsi="Verdana" w:cs="Tahoma"/>
          <w:sz w:val="20"/>
          <w:szCs w:val="20"/>
        </w:rPr>
        <w:t>Convención Belém do Pará”</w:t>
      </w:r>
      <w:r w:rsidR="00964756" w:rsidRPr="00F9275D">
        <w:rPr>
          <w:rStyle w:val="FootnoteReference"/>
          <w:rFonts w:ascii="Verdana" w:hAnsi="Verdana" w:cs="Tahoma"/>
          <w:sz w:val="20"/>
          <w:szCs w:val="20"/>
        </w:rPr>
        <w:footnoteReference w:id="14"/>
      </w:r>
      <w:r w:rsidR="00964756" w:rsidRPr="00F55160">
        <w:rPr>
          <w:rFonts w:ascii="Verdana" w:hAnsi="Verdana" w:cs="Tahoma"/>
          <w:sz w:val="20"/>
          <w:szCs w:val="20"/>
        </w:rPr>
        <w:t>.</w:t>
      </w:r>
      <w:r w:rsidR="00F35155" w:rsidRPr="00F55160">
        <w:rPr>
          <w:rFonts w:ascii="Verdana" w:hAnsi="Verdana" w:cs="Tahoma"/>
          <w:sz w:val="20"/>
          <w:szCs w:val="20"/>
        </w:rPr>
        <w:t xml:space="preserve"> Asimismo, respecto </w:t>
      </w:r>
      <w:r w:rsidR="00057BCE">
        <w:rPr>
          <w:rFonts w:ascii="Verdana" w:hAnsi="Verdana" w:cs="Tahoma"/>
          <w:sz w:val="20"/>
          <w:szCs w:val="20"/>
        </w:rPr>
        <w:t>al artículo 7.c de dicho instrumento,</w:t>
      </w:r>
      <w:r w:rsidR="00964756" w:rsidRPr="00F55160">
        <w:rPr>
          <w:rFonts w:ascii="Verdana" w:hAnsi="Verdana" w:cs="Tahoma"/>
          <w:sz w:val="20"/>
          <w:szCs w:val="20"/>
        </w:rPr>
        <w:t xml:space="preserve"> determinó que el Estado no había demostrado haber adoptado normas o implementado las medidas necesarias, “conforme al artículo 2 de la Convención Americana y al artículo 7.c de la </w:t>
      </w:r>
      <w:r w:rsidR="00811A00">
        <w:rPr>
          <w:rFonts w:ascii="Verdana" w:hAnsi="Verdana" w:cs="Tahoma"/>
          <w:sz w:val="20"/>
          <w:szCs w:val="20"/>
        </w:rPr>
        <w:t>“</w:t>
      </w:r>
      <w:r w:rsidR="00964756" w:rsidRPr="00F55160">
        <w:rPr>
          <w:rFonts w:ascii="Verdana" w:hAnsi="Verdana" w:cs="Tahoma"/>
          <w:sz w:val="20"/>
          <w:szCs w:val="20"/>
        </w:rPr>
        <w:t>Convención Belém do Pará</w:t>
      </w:r>
      <w:r w:rsidR="00811A00">
        <w:rPr>
          <w:rFonts w:ascii="Verdana" w:hAnsi="Verdana" w:cs="Tahoma"/>
          <w:sz w:val="20"/>
          <w:szCs w:val="20"/>
        </w:rPr>
        <w:t>”</w:t>
      </w:r>
      <w:r w:rsidR="00964756" w:rsidRPr="00F55160">
        <w:rPr>
          <w:rFonts w:ascii="Verdana" w:hAnsi="Verdana" w:cs="Tahoma"/>
          <w:sz w:val="20"/>
          <w:szCs w:val="20"/>
        </w:rPr>
        <w:t>, que permitieran a las autoridades ofrecer una respuesta inmediata y eficaz ante las denuncias de desaparición y prevenir adecuadamente la violencia contra la mujer” ni había demostrado “haber adoptado normas o tomado medidas para que los funcionarios responsables de recibir las denuncias tuvieran la capacidad y la sensibilidad para entender la gravedad del fenómeno de la violencia contra la mujer y la voluntad para actuar de inmediato”</w:t>
      </w:r>
      <w:r w:rsidR="00964756" w:rsidRPr="00F9275D">
        <w:rPr>
          <w:rStyle w:val="FootnoteReference"/>
          <w:rFonts w:ascii="Verdana" w:hAnsi="Verdana" w:cs="Tahoma"/>
          <w:sz w:val="20"/>
          <w:szCs w:val="20"/>
        </w:rPr>
        <w:footnoteReference w:id="15"/>
      </w:r>
      <w:r w:rsidR="00964756" w:rsidRPr="00F55160">
        <w:rPr>
          <w:rFonts w:ascii="Verdana" w:hAnsi="Verdana" w:cs="Tahoma"/>
          <w:sz w:val="20"/>
          <w:szCs w:val="20"/>
        </w:rPr>
        <w:t>.</w:t>
      </w:r>
    </w:p>
    <w:p w14:paraId="32210814" w14:textId="77777777" w:rsidR="00B60107" w:rsidRPr="00F9275D" w:rsidRDefault="00522631" w:rsidP="00F55160">
      <w:pPr>
        <w:pStyle w:val="ListParagraph"/>
        <w:autoSpaceDE w:val="0"/>
        <w:autoSpaceDN w:val="0"/>
        <w:adjustRightInd w:val="0"/>
        <w:spacing w:after="0" w:line="240" w:lineRule="auto"/>
        <w:ind w:left="0"/>
        <w:jc w:val="both"/>
        <w:rPr>
          <w:rFonts w:ascii="Verdana" w:hAnsi="Verdana" w:cs="Tahoma"/>
          <w:sz w:val="20"/>
          <w:szCs w:val="20"/>
        </w:rPr>
      </w:pPr>
      <w:r>
        <w:rPr>
          <w:rFonts w:ascii="Verdana" w:hAnsi="Verdana" w:cs="Tahoma"/>
          <w:sz w:val="20"/>
          <w:szCs w:val="20"/>
        </w:rPr>
        <w:t xml:space="preserve">10. </w:t>
      </w:r>
      <w:r>
        <w:rPr>
          <w:rFonts w:ascii="Verdana" w:hAnsi="Verdana" w:cs="Tahoma"/>
          <w:sz w:val="20"/>
          <w:szCs w:val="20"/>
        </w:rPr>
        <w:tab/>
      </w:r>
      <w:r w:rsidR="00B60107" w:rsidRPr="00F9275D">
        <w:rPr>
          <w:rFonts w:ascii="Verdana" w:hAnsi="Verdana" w:cs="Tahoma"/>
          <w:sz w:val="20"/>
          <w:szCs w:val="20"/>
        </w:rPr>
        <w:t xml:space="preserve">En ese mismo año, la Corte </w:t>
      </w:r>
      <w:r w:rsidR="00057BCE">
        <w:rPr>
          <w:rFonts w:ascii="Verdana" w:hAnsi="Verdana" w:cs="Tahoma"/>
          <w:sz w:val="20"/>
          <w:szCs w:val="20"/>
        </w:rPr>
        <w:t xml:space="preserve">IDH </w:t>
      </w:r>
      <w:r w:rsidR="00B60107" w:rsidRPr="00F9275D">
        <w:rPr>
          <w:rFonts w:ascii="Verdana" w:hAnsi="Verdana" w:cs="Tahoma"/>
          <w:sz w:val="20"/>
          <w:szCs w:val="20"/>
        </w:rPr>
        <w:t xml:space="preserve">volvió a invocar la </w:t>
      </w:r>
      <w:r w:rsidR="00057BCE">
        <w:rPr>
          <w:rFonts w:ascii="Verdana" w:hAnsi="Verdana" w:cs="Tahoma"/>
          <w:sz w:val="20"/>
          <w:szCs w:val="20"/>
        </w:rPr>
        <w:t>“</w:t>
      </w:r>
      <w:r w:rsidR="00B60107" w:rsidRPr="00F9275D">
        <w:rPr>
          <w:rFonts w:ascii="Verdana" w:hAnsi="Verdana" w:cs="Tahoma"/>
          <w:sz w:val="20"/>
          <w:szCs w:val="20"/>
        </w:rPr>
        <w:t>Convención de Belém do Pará</w:t>
      </w:r>
      <w:r w:rsidR="00057BCE">
        <w:rPr>
          <w:rFonts w:ascii="Verdana" w:hAnsi="Verdana" w:cs="Tahoma"/>
          <w:sz w:val="20"/>
          <w:szCs w:val="20"/>
        </w:rPr>
        <w:t>”</w:t>
      </w:r>
      <w:r w:rsidR="00B60107" w:rsidRPr="00F9275D">
        <w:rPr>
          <w:rFonts w:ascii="Verdana" w:hAnsi="Verdana" w:cs="Tahoma"/>
          <w:sz w:val="20"/>
          <w:szCs w:val="20"/>
        </w:rPr>
        <w:t xml:space="preserve"> en </w:t>
      </w:r>
      <w:r w:rsidR="00811A00">
        <w:rPr>
          <w:rFonts w:ascii="Verdana" w:hAnsi="Verdana" w:cs="Tahoma"/>
          <w:sz w:val="20"/>
          <w:szCs w:val="20"/>
        </w:rPr>
        <w:t>la sentencia de fondo relativa al</w:t>
      </w:r>
      <w:r w:rsidR="00B60107" w:rsidRPr="00F9275D">
        <w:rPr>
          <w:rFonts w:ascii="Verdana" w:hAnsi="Verdana" w:cs="Tahoma"/>
          <w:sz w:val="20"/>
          <w:szCs w:val="20"/>
        </w:rPr>
        <w:t xml:space="preserve"> </w:t>
      </w:r>
      <w:r w:rsidR="00B60107" w:rsidRPr="00F9275D">
        <w:rPr>
          <w:rFonts w:ascii="Verdana" w:hAnsi="Verdana" w:cs="Tahoma"/>
          <w:i/>
          <w:sz w:val="20"/>
          <w:szCs w:val="20"/>
        </w:rPr>
        <w:t xml:space="preserve">caso </w:t>
      </w:r>
      <w:r w:rsidR="00B60107" w:rsidRPr="00F9275D">
        <w:rPr>
          <w:rStyle w:val="Strong"/>
          <w:rFonts w:ascii="Verdana" w:hAnsi="Verdana" w:cs="Tahoma"/>
          <w:b w:val="0"/>
          <w:i/>
          <w:color w:val="000000"/>
          <w:sz w:val="20"/>
          <w:szCs w:val="20"/>
          <w:shd w:val="clear" w:color="auto" w:fill="FFFFFF"/>
        </w:rPr>
        <w:t xml:space="preserve">De la Masacre de las Dos Erres </w:t>
      </w:r>
      <w:r w:rsidR="00424D23" w:rsidRPr="00F9275D">
        <w:rPr>
          <w:rStyle w:val="Strong"/>
          <w:rFonts w:ascii="Verdana" w:hAnsi="Verdana" w:cs="Tahoma"/>
          <w:b w:val="0"/>
          <w:i/>
          <w:color w:val="000000"/>
          <w:sz w:val="20"/>
          <w:szCs w:val="20"/>
          <w:shd w:val="clear" w:color="auto" w:fill="FFFFFF"/>
        </w:rPr>
        <w:t>v</w:t>
      </w:r>
      <w:r w:rsidR="00B60107" w:rsidRPr="00F9275D">
        <w:rPr>
          <w:rStyle w:val="Strong"/>
          <w:rFonts w:ascii="Verdana" w:hAnsi="Verdana" w:cs="Tahoma"/>
          <w:b w:val="0"/>
          <w:i/>
          <w:color w:val="000000"/>
          <w:sz w:val="20"/>
          <w:szCs w:val="20"/>
          <w:shd w:val="clear" w:color="auto" w:fill="FFFFFF"/>
        </w:rPr>
        <w:t>s. Guatemala</w:t>
      </w:r>
      <w:r w:rsidR="00B60107" w:rsidRPr="00811A00">
        <w:rPr>
          <w:rStyle w:val="FootnoteReference"/>
          <w:rFonts w:ascii="Verdana" w:hAnsi="Verdana" w:cs="Tahoma"/>
          <w:bCs/>
          <w:color w:val="000000"/>
          <w:sz w:val="20"/>
          <w:szCs w:val="20"/>
          <w:shd w:val="clear" w:color="auto" w:fill="FFFFFF"/>
        </w:rPr>
        <w:footnoteReference w:id="16"/>
      </w:r>
      <w:r w:rsidR="00B60107" w:rsidRPr="00F9275D">
        <w:rPr>
          <w:rStyle w:val="Strong"/>
          <w:rFonts w:ascii="Verdana" w:hAnsi="Verdana" w:cs="Tahoma"/>
          <w:b w:val="0"/>
          <w:i/>
          <w:color w:val="000000"/>
          <w:sz w:val="20"/>
          <w:szCs w:val="20"/>
          <w:shd w:val="clear" w:color="auto" w:fill="FFFFFF"/>
        </w:rPr>
        <w:t>,</w:t>
      </w:r>
      <w:r w:rsidR="00B60107" w:rsidRPr="00F9275D">
        <w:rPr>
          <w:rStyle w:val="Strong"/>
          <w:rFonts w:ascii="Verdana" w:hAnsi="Verdana" w:cs="Tahoma"/>
          <w:color w:val="000000"/>
          <w:sz w:val="20"/>
          <w:szCs w:val="20"/>
          <w:shd w:val="clear" w:color="auto" w:fill="FFFFFF"/>
        </w:rPr>
        <w:t xml:space="preserve"> </w:t>
      </w:r>
      <w:r w:rsidR="00B60107" w:rsidRPr="00F9275D">
        <w:rPr>
          <w:rFonts w:ascii="Verdana" w:hAnsi="Verdana" w:cs="Tahoma"/>
          <w:sz w:val="20"/>
          <w:szCs w:val="20"/>
        </w:rPr>
        <w:t xml:space="preserve">como consecuencia de las vulneraciones a la vida, torturas y actos de </w:t>
      </w:r>
      <w:r w:rsidR="00B60107" w:rsidRPr="00F9275D">
        <w:rPr>
          <w:rFonts w:ascii="Verdana" w:hAnsi="Verdana" w:cs="Tahoma"/>
          <w:sz w:val="20"/>
          <w:szCs w:val="20"/>
        </w:rPr>
        <w:lastRenderedPageBreak/>
        <w:t>violencia contra las mujeres víctimas llevadas a cabo durante la masacre</w:t>
      </w:r>
      <w:r w:rsidR="00B60107" w:rsidRPr="00F9275D">
        <w:rPr>
          <w:rStyle w:val="FootnoteReference"/>
          <w:rFonts w:ascii="Verdana" w:hAnsi="Verdana" w:cs="Tahoma"/>
          <w:sz w:val="20"/>
          <w:szCs w:val="20"/>
        </w:rPr>
        <w:footnoteReference w:id="17"/>
      </w:r>
      <w:r w:rsidR="00057BCE">
        <w:rPr>
          <w:rFonts w:ascii="Verdana" w:hAnsi="Verdana" w:cs="Tahoma"/>
          <w:sz w:val="20"/>
          <w:szCs w:val="20"/>
        </w:rPr>
        <w:t>;</w:t>
      </w:r>
      <w:r w:rsidR="00B60107" w:rsidRPr="00F9275D">
        <w:rPr>
          <w:rFonts w:ascii="Verdana" w:hAnsi="Verdana" w:cs="Tahoma"/>
          <w:sz w:val="20"/>
          <w:szCs w:val="20"/>
        </w:rPr>
        <w:t xml:space="preserve"> </w:t>
      </w:r>
      <w:r w:rsidR="00057BCE">
        <w:rPr>
          <w:rFonts w:ascii="Verdana" w:hAnsi="Verdana" w:cs="Tahoma"/>
          <w:sz w:val="20"/>
          <w:szCs w:val="20"/>
        </w:rPr>
        <w:t>considerando violados</w:t>
      </w:r>
      <w:r w:rsidR="00B60107" w:rsidRPr="00F9275D">
        <w:rPr>
          <w:rFonts w:ascii="Verdana" w:hAnsi="Verdana" w:cs="Tahoma"/>
          <w:sz w:val="20"/>
          <w:szCs w:val="20"/>
        </w:rPr>
        <w:t xml:space="preserve"> los artículos 8.1 y 25.1 de la C</w:t>
      </w:r>
      <w:r w:rsidR="00811A00">
        <w:rPr>
          <w:rFonts w:ascii="Verdana" w:hAnsi="Verdana" w:cs="Tahoma"/>
          <w:sz w:val="20"/>
          <w:szCs w:val="20"/>
        </w:rPr>
        <w:t>onvención Americana</w:t>
      </w:r>
      <w:r w:rsidR="00B60107" w:rsidRPr="00F9275D">
        <w:rPr>
          <w:rFonts w:ascii="Verdana" w:hAnsi="Verdana" w:cs="Tahoma"/>
          <w:sz w:val="20"/>
          <w:szCs w:val="20"/>
        </w:rPr>
        <w:t xml:space="preserve">, y los artículos 1, 6 y 8 de la </w:t>
      </w:r>
      <w:r w:rsidR="00B60107" w:rsidRPr="001A6F61">
        <w:rPr>
          <w:rFonts w:ascii="Verdana" w:hAnsi="Verdana" w:cs="Tahoma"/>
          <w:sz w:val="20"/>
          <w:szCs w:val="20"/>
        </w:rPr>
        <w:t>C</w:t>
      </w:r>
      <w:r w:rsidR="00811A00" w:rsidRPr="001A6F61">
        <w:rPr>
          <w:rFonts w:ascii="Verdana" w:hAnsi="Verdana" w:cs="Tahoma"/>
          <w:sz w:val="20"/>
          <w:szCs w:val="20"/>
        </w:rPr>
        <w:t xml:space="preserve">onvención </w:t>
      </w:r>
      <w:r w:rsidR="00B60107" w:rsidRPr="001A6F61">
        <w:rPr>
          <w:rFonts w:ascii="Verdana" w:hAnsi="Verdana" w:cs="Tahoma"/>
          <w:sz w:val="20"/>
          <w:szCs w:val="20"/>
        </w:rPr>
        <w:t>I</w:t>
      </w:r>
      <w:r w:rsidR="00811A00" w:rsidRPr="001A6F61">
        <w:rPr>
          <w:rFonts w:ascii="Verdana" w:hAnsi="Verdana" w:cs="Tahoma"/>
          <w:sz w:val="20"/>
          <w:szCs w:val="20"/>
        </w:rPr>
        <w:t xml:space="preserve">nteramericana </w:t>
      </w:r>
      <w:r w:rsidR="001A6F61" w:rsidRPr="001A6F61">
        <w:rPr>
          <w:rFonts w:ascii="Verdana" w:hAnsi="Verdana" w:cs="Tahoma"/>
          <w:sz w:val="20"/>
          <w:szCs w:val="20"/>
        </w:rPr>
        <w:t>para Prevenir y Sancionar la Tortura</w:t>
      </w:r>
      <w:r w:rsidR="001A6F61">
        <w:rPr>
          <w:rFonts w:ascii="Verdana" w:hAnsi="Verdana" w:cs="Tahoma"/>
          <w:sz w:val="20"/>
          <w:szCs w:val="20"/>
        </w:rPr>
        <w:t>,</w:t>
      </w:r>
      <w:r w:rsidR="00B60107" w:rsidRPr="00F9275D">
        <w:rPr>
          <w:rFonts w:ascii="Verdana" w:hAnsi="Verdana" w:cs="Tahoma"/>
          <w:sz w:val="20"/>
          <w:szCs w:val="20"/>
        </w:rPr>
        <w:t xml:space="preserve"> y 7.b) de la </w:t>
      </w:r>
      <w:r w:rsidR="00057BCE">
        <w:rPr>
          <w:rFonts w:ascii="Verdana" w:hAnsi="Verdana" w:cs="Tahoma"/>
          <w:sz w:val="20"/>
          <w:szCs w:val="20"/>
        </w:rPr>
        <w:t>“</w:t>
      </w:r>
      <w:r w:rsidR="00B60107" w:rsidRPr="00F9275D">
        <w:rPr>
          <w:rFonts w:ascii="Verdana" w:hAnsi="Verdana" w:cs="Tahoma"/>
          <w:sz w:val="20"/>
          <w:szCs w:val="20"/>
        </w:rPr>
        <w:t>Convención Belém do Pará</w:t>
      </w:r>
      <w:r w:rsidR="00057BCE">
        <w:rPr>
          <w:rFonts w:ascii="Verdana" w:hAnsi="Verdana" w:cs="Tahoma"/>
          <w:sz w:val="20"/>
          <w:szCs w:val="20"/>
        </w:rPr>
        <w:t>”</w:t>
      </w:r>
      <w:r w:rsidR="00B60107" w:rsidRPr="00F9275D">
        <w:rPr>
          <w:rFonts w:ascii="Verdana" w:hAnsi="Verdana" w:cs="Tahoma"/>
          <w:sz w:val="20"/>
          <w:szCs w:val="20"/>
        </w:rPr>
        <w:t>, en perjuicio de 155 víctimas, en razón del impedimento de acceso a la justicia y reparación integral</w:t>
      </w:r>
      <w:r w:rsidR="00057BCE">
        <w:rPr>
          <w:rFonts w:ascii="Verdana" w:hAnsi="Verdana" w:cs="Tahoma"/>
          <w:sz w:val="20"/>
          <w:szCs w:val="20"/>
        </w:rPr>
        <w:t xml:space="preserve"> de las víctimas consecuencia de</w:t>
      </w:r>
      <w:r w:rsidR="00B60107" w:rsidRPr="00F9275D">
        <w:rPr>
          <w:rFonts w:ascii="Verdana" w:hAnsi="Verdana" w:cs="Tahoma"/>
          <w:sz w:val="20"/>
          <w:szCs w:val="20"/>
        </w:rPr>
        <w:t xml:space="preserve"> la falta de investigación, juzgamiento y sanción de los presuntos responsables de la masacre</w:t>
      </w:r>
      <w:r w:rsidR="00B60107" w:rsidRPr="00F9275D">
        <w:rPr>
          <w:rStyle w:val="FootnoteReference"/>
          <w:rFonts w:ascii="Verdana" w:hAnsi="Verdana" w:cs="Tahoma"/>
          <w:sz w:val="20"/>
          <w:szCs w:val="20"/>
        </w:rPr>
        <w:footnoteReference w:id="18"/>
      </w:r>
      <w:r w:rsidR="00B60107" w:rsidRPr="00F9275D">
        <w:rPr>
          <w:rFonts w:ascii="Verdana" w:hAnsi="Verdana" w:cs="Tahoma"/>
          <w:sz w:val="20"/>
          <w:szCs w:val="20"/>
        </w:rPr>
        <w:t xml:space="preserve">. </w:t>
      </w:r>
    </w:p>
    <w:p w14:paraId="32210815" w14:textId="77777777" w:rsidR="00B60107" w:rsidRPr="00F9275D" w:rsidRDefault="00B60107" w:rsidP="008C7F7F">
      <w:pPr>
        <w:autoSpaceDE w:val="0"/>
        <w:autoSpaceDN w:val="0"/>
        <w:adjustRightInd w:val="0"/>
        <w:spacing w:after="0" w:line="240" w:lineRule="auto"/>
        <w:jc w:val="both"/>
        <w:rPr>
          <w:rFonts w:ascii="Verdana" w:hAnsi="Verdana" w:cs="Tahoma"/>
          <w:sz w:val="20"/>
          <w:szCs w:val="20"/>
        </w:rPr>
      </w:pPr>
    </w:p>
    <w:p w14:paraId="32210816" w14:textId="77777777" w:rsidR="00B60107" w:rsidRPr="00F9275D" w:rsidRDefault="00522631" w:rsidP="00F55160">
      <w:pPr>
        <w:pStyle w:val="ListParagraph"/>
        <w:autoSpaceDE w:val="0"/>
        <w:autoSpaceDN w:val="0"/>
        <w:adjustRightInd w:val="0"/>
        <w:spacing w:after="0" w:line="240" w:lineRule="auto"/>
        <w:ind w:left="0"/>
        <w:jc w:val="both"/>
        <w:rPr>
          <w:rFonts w:ascii="Verdana" w:hAnsi="Verdana" w:cs="Tahoma"/>
          <w:sz w:val="20"/>
          <w:szCs w:val="20"/>
        </w:rPr>
      </w:pPr>
      <w:r>
        <w:rPr>
          <w:rFonts w:ascii="Verdana" w:hAnsi="Verdana" w:cs="Tahoma"/>
          <w:sz w:val="20"/>
          <w:szCs w:val="20"/>
        </w:rPr>
        <w:t xml:space="preserve">11. </w:t>
      </w:r>
      <w:r>
        <w:rPr>
          <w:rFonts w:ascii="Verdana" w:hAnsi="Verdana" w:cs="Tahoma"/>
          <w:sz w:val="20"/>
          <w:szCs w:val="20"/>
        </w:rPr>
        <w:tab/>
      </w:r>
      <w:r w:rsidR="00B60107" w:rsidRPr="00F9275D">
        <w:rPr>
          <w:rFonts w:ascii="Verdana" w:hAnsi="Verdana" w:cs="Tahoma"/>
          <w:sz w:val="20"/>
          <w:szCs w:val="20"/>
        </w:rPr>
        <w:t xml:space="preserve">En el año 2010, en los </w:t>
      </w:r>
      <w:r w:rsidR="00B60107" w:rsidRPr="00F9275D">
        <w:rPr>
          <w:rFonts w:ascii="Verdana" w:hAnsi="Verdana" w:cs="Tahoma"/>
          <w:i/>
          <w:sz w:val="20"/>
          <w:szCs w:val="20"/>
        </w:rPr>
        <w:t xml:space="preserve">casos </w:t>
      </w:r>
      <w:r w:rsidR="00B60107" w:rsidRPr="00F9275D">
        <w:rPr>
          <w:rStyle w:val="Strong"/>
          <w:rFonts w:ascii="Verdana" w:hAnsi="Verdana" w:cs="Tahoma"/>
          <w:b w:val="0"/>
          <w:i/>
          <w:color w:val="000000"/>
          <w:sz w:val="20"/>
          <w:szCs w:val="20"/>
          <w:shd w:val="clear" w:color="auto" w:fill="FFFFFF"/>
        </w:rPr>
        <w:t>Fernández Ortega y otros</w:t>
      </w:r>
      <w:r w:rsidR="00B60107" w:rsidRPr="00057BCE">
        <w:rPr>
          <w:rStyle w:val="FootnoteReference"/>
          <w:rFonts w:ascii="Verdana" w:hAnsi="Verdana" w:cs="Tahoma"/>
          <w:bCs/>
          <w:color w:val="000000"/>
          <w:sz w:val="20"/>
          <w:szCs w:val="20"/>
          <w:shd w:val="clear" w:color="auto" w:fill="FFFFFF"/>
        </w:rPr>
        <w:footnoteReference w:id="19"/>
      </w:r>
      <w:r w:rsidR="00057BCE">
        <w:rPr>
          <w:rStyle w:val="Strong"/>
          <w:rFonts w:ascii="Verdana" w:hAnsi="Verdana" w:cs="Tahoma"/>
          <w:b w:val="0"/>
          <w:i/>
          <w:color w:val="000000"/>
          <w:sz w:val="20"/>
          <w:szCs w:val="20"/>
          <w:shd w:val="clear" w:color="auto" w:fill="FFFFFF"/>
        </w:rPr>
        <w:t>,</w:t>
      </w:r>
      <w:r w:rsidR="00B60107" w:rsidRPr="00F9275D">
        <w:rPr>
          <w:rStyle w:val="Strong"/>
          <w:rFonts w:ascii="Verdana" w:hAnsi="Verdana" w:cs="Tahoma"/>
          <w:b w:val="0"/>
          <w:i/>
          <w:color w:val="000000"/>
          <w:sz w:val="20"/>
          <w:szCs w:val="20"/>
          <w:shd w:val="clear" w:color="auto" w:fill="FFFFFF"/>
        </w:rPr>
        <w:t xml:space="preserve"> y Rosendo Cantú y otra</w:t>
      </w:r>
      <w:r w:rsidR="00B60107" w:rsidRPr="00F9275D">
        <w:rPr>
          <w:rStyle w:val="FootnoteReference"/>
          <w:rFonts w:ascii="Verdana" w:hAnsi="Verdana" w:cs="Tahoma"/>
          <w:bCs/>
          <w:color w:val="000000"/>
          <w:sz w:val="20"/>
          <w:szCs w:val="20"/>
          <w:shd w:val="clear" w:color="auto" w:fill="FFFFFF"/>
        </w:rPr>
        <w:footnoteReference w:id="20"/>
      </w:r>
      <w:r w:rsidR="00B60107" w:rsidRPr="00F9275D">
        <w:rPr>
          <w:rStyle w:val="Strong"/>
          <w:rFonts w:ascii="Verdana" w:hAnsi="Verdana" w:cs="Tahoma"/>
          <w:b w:val="0"/>
          <w:color w:val="000000"/>
          <w:sz w:val="20"/>
          <w:szCs w:val="20"/>
          <w:shd w:val="clear" w:color="auto" w:fill="FFFFFF"/>
        </w:rPr>
        <w:t>, ambos contra México</w:t>
      </w:r>
      <w:r w:rsidR="00873188" w:rsidRPr="00F9275D">
        <w:rPr>
          <w:rStyle w:val="Strong"/>
          <w:rFonts w:ascii="Verdana" w:hAnsi="Verdana" w:cs="Tahoma"/>
          <w:b w:val="0"/>
          <w:color w:val="000000"/>
          <w:sz w:val="20"/>
          <w:szCs w:val="20"/>
          <w:shd w:val="clear" w:color="auto" w:fill="FFFFFF"/>
        </w:rPr>
        <w:t>,</w:t>
      </w:r>
      <w:r w:rsidR="00873188" w:rsidRPr="00F9275D">
        <w:rPr>
          <w:rStyle w:val="Strong"/>
          <w:rFonts w:ascii="Verdana" w:hAnsi="Verdana" w:cs="Tahoma"/>
          <w:color w:val="000000"/>
          <w:sz w:val="20"/>
          <w:szCs w:val="20"/>
          <w:shd w:val="clear" w:color="auto" w:fill="FFFFFF"/>
        </w:rPr>
        <w:t xml:space="preserve"> </w:t>
      </w:r>
      <w:r w:rsidR="00873188" w:rsidRPr="00F9275D">
        <w:rPr>
          <w:rStyle w:val="Strong"/>
          <w:rFonts w:ascii="Verdana" w:hAnsi="Verdana" w:cs="Tahoma"/>
          <w:b w:val="0"/>
          <w:color w:val="000000"/>
          <w:sz w:val="20"/>
          <w:szCs w:val="20"/>
          <w:shd w:val="clear" w:color="auto" w:fill="FFFFFF"/>
        </w:rPr>
        <w:t xml:space="preserve">la Corte </w:t>
      </w:r>
      <w:r w:rsidR="00057BCE">
        <w:rPr>
          <w:rStyle w:val="Strong"/>
          <w:rFonts w:ascii="Verdana" w:hAnsi="Verdana" w:cs="Tahoma"/>
          <w:b w:val="0"/>
          <w:color w:val="000000"/>
          <w:sz w:val="20"/>
          <w:szCs w:val="20"/>
          <w:shd w:val="clear" w:color="auto" w:fill="FFFFFF"/>
        </w:rPr>
        <w:t>IDH declaró violado</w:t>
      </w:r>
      <w:r w:rsidR="00873188" w:rsidRPr="00F9275D">
        <w:rPr>
          <w:rStyle w:val="Strong"/>
          <w:rFonts w:ascii="Verdana" w:hAnsi="Verdana" w:cs="Tahoma"/>
          <w:b w:val="0"/>
          <w:color w:val="000000"/>
          <w:sz w:val="20"/>
          <w:szCs w:val="20"/>
          <w:shd w:val="clear" w:color="auto" w:fill="FFFFFF"/>
        </w:rPr>
        <w:t xml:space="preserve"> por primera vez </w:t>
      </w:r>
      <w:r w:rsidR="00057BCE">
        <w:rPr>
          <w:rStyle w:val="Strong"/>
          <w:rFonts w:ascii="Verdana" w:hAnsi="Verdana" w:cs="Tahoma"/>
          <w:b w:val="0"/>
          <w:color w:val="000000"/>
          <w:sz w:val="20"/>
          <w:szCs w:val="20"/>
          <w:shd w:val="clear" w:color="auto" w:fill="FFFFFF"/>
        </w:rPr>
        <w:t xml:space="preserve">el inciso “a” del </w:t>
      </w:r>
      <w:r w:rsidR="00873188" w:rsidRPr="00F9275D">
        <w:rPr>
          <w:rStyle w:val="Strong"/>
          <w:rFonts w:ascii="Verdana" w:hAnsi="Verdana" w:cs="Tahoma"/>
          <w:b w:val="0"/>
          <w:color w:val="000000"/>
          <w:sz w:val="20"/>
          <w:szCs w:val="20"/>
          <w:shd w:val="clear" w:color="auto" w:fill="FFFFFF"/>
        </w:rPr>
        <w:t xml:space="preserve">7 de la </w:t>
      </w:r>
      <w:r w:rsidR="00057BCE">
        <w:rPr>
          <w:rStyle w:val="Strong"/>
          <w:rFonts w:ascii="Verdana" w:hAnsi="Verdana" w:cs="Tahoma"/>
          <w:b w:val="0"/>
          <w:color w:val="000000"/>
          <w:sz w:val="20"/>
          <w:szCs w:val="20"/>
          <w:shd w:val="clear" w:color="auto" w:fill="FFFFFF"/>
        </w:rPr>
        <w:t>“</w:t>
      </w:r>
      <w:r w:rsidR="00873188" w:rsidRPr="00F9275D">
        <w:rPr>
          <w:rStyle w:val="Strong"/>
          <w:rFonts w:ascii="Verdana" w:hAnsi="Verdana" w:cs="Tahoma"/>
          <w:b w:val="0"/>
          <w:color w:val="000000"/>
          <w:sz w:val="20"/>
          <w:szCs w:val="20"/>
          <w:shd w:val="clear" w:color="auto" w:fill="FFFFFF"/>
        </w:rPr>
        <w:t>Convención de Belém do Pará</w:t>
      </w:r>
      <w:r w:rsidR="00057BCE">
        <w:rPr>
          <w:rStyle w:val="Strong"/>
          <w:rFonts w:ascii="Verdana" w:hAnsi="Verdana" w:cs="Tahoma"/>
          <w:b w:val="0"/>
          <w:color w:val="000000"/>
          <w:sz w:val="20"/>
          <w:szCs w:val="20"/>
          <w:shd w:val="clear" w:color="auto" w:fill="FFFFFF"/>
        </w:rPr>
        <w:t>”</w:t>
      </w:r>
      <w:r w:rsidR="00873188" w:rsidRPr="00F9275D">
        <w:rPr>
          <w:rStyle w:val="Strong"/>
          <w:rFonts w:ascii="Verdana" w:hAnsi="Verdana" w:cs="Tahoma"/>
          <w:b w:val="0"/>
          <w:color w:val="000000"/>
          <w:sz w:val="20"/>
          <w:szCs w:val="20"/>
          <w:shd w:val="clear" w:color="auto" w:fill="FFFFFF"/>
        </w:rPr>
        <w:t>, ello como resultado de las violaciones sexuales cometidas por militares</w:t>
      </w:r>
      <w:r w:rsidR="00873188" w:rsidRPr="00F9275D">
        <w:rPr>
          <w:rStyle w:val="FootnoteReference"/>
          <w:rFonts w:ascii="Verdana" w:hAnsi="Verdana" w:cs="Tahoma"/>
          <w:sz w:val="20"/>
          <w:szCs w:val="20"/>
        </w:rPr>
        <w:footnoteReference w:id="21"/>
      </w:r>
      <w:r w:rsidR="00873188" w:rsidRPr="00F9275D">
        <w:rPr>
          <w:rStyle w:val="Strong"/>
          <w:rFonts w:ascii="Verdana" w:hAnsi="Verdana" w:cs="Tahoma"/>
          <w:b w:val="0"/>
          <w:color w:val="000000"/>
          <w:sz w:val="20"/>
          <w:szCs w:val="20"/>
          <w:shd w:val="clear" w:color="auto" w:fill="FFFFFF"/>
        </w:rPr>
        <w:t xml:space="preserve">. Asimismo, la Corte </w:t>
      </w:r>
      <w:r w:rsidR="00057BCE">
        <w:rPr>
          <w:rStyle w:val="Strong"/>
          <w:rFonts w:ascii="Verdana" w:hAnsi="Verdana" w:cs="Tahoma"/>
          <w:b w:val="0"/>
          <w:color w:val="000000"/>
          <w:sz w:val="20"/>
          <w:szCs w:val="20"/>
          <w:shd w:val="clear" w:color="auto" w:fill="FFFFFF"/>
        </w:rPr>
        <w:t>IDH declaró la vulneración,</w:t>
      </w:r>
      <w:r w:rsidR="00873188" w:rsidRPr="00F9275D">
        <w:rPr>
          <w:rStyle w:val="Strong"/>
          <w:rFonts w:ascii="Verdana" w:hAnsi="Verdana" w:cs="Tahoma"/>
          <w:b w:val="0"/>
          <w:color w:val="000000"/>
          <w:sz w:val="20"/>
          <w:szCs w:val="20"/>
          <w:shd w:val="clear" w:color="auto" w:fill="FFFFFF"/>
        </w:rPr>
        <w:t xml:space="preserve"> en ambos casos</w:t>
      </w:r>
      <w:r w:rsidR="00057BCE">
        <w:rPr>
          <w:rStyle w:val="Strong"/>
          <w:rFonts w:ascii="Verdana" w:hAnsi="Verdana" w:cs="Tahoma"/>
          <w:b w:val="0"/>
          <w:color w:val="000000"/>
          <w:sz w:val="20"/>
          <w:szCs w:val="20"/>
          <w:shd w:val="clear" w:color="auto" w:fill="FFFFFF"/>
        </w:rPr>
        <w:t>, de</w:t>
      </w:r>
      <w:r w:rsidR="00873188" w:rsidRPr="00F9275D">
        <w:rPr>
          <w:rStyle w:val="Strong"/>
          <w:rFonts w:ascii="Verdana" w:hAnsi="Verdana" w:cs="Tahoma"/>
          <w:b w:val="0"/>
          <w:color w:val="000000"/>
          <w:sz w:val="20"/>
          <w:szCs w:val="20"/>
          <w:shd w:val="clear" w:color="auto" w:fill="FFFFFF"/>
        </w:rPr>
        <w:t xml:space="preserve"> </w:t>
      </w:r>
      <w:r w:rsidR="00873188" w:rsidRPr="00F9275D">
        <w:rPr>
          <w:rFonts w:ascii="Verdana" w:hAnsi="Verdana" w:cs="Tahoma"/>
          <w:sz w:val="20"/>
          <w:szCs w:val="20"/>
        </w:rPr>
        <w:t xml:space="preserve">los artículos 8.1 y 25.1 de la CADH en relación con el artículo 1.1 y el artículo 7.b </w:t>
      </w:r>
      <w:r w:rsidR="00057BCE">
        <w:rPr>
          <w:rStyle w:val="Strong"/>
          <w:rFonts w:ascii="Verdana" w:hAnsi="Verdana" w:cs="Tahoma"/>
          <w:b w:val="0"/>
          <w:color w:val="000000"/>
          <w:sz w:val="20"/>
          <w:szCs w:val="20"/>
          <w:shd w:val="clear" w:color="auto" w:fill="FFFFFF"/>
        </w:rPr>
        <w:t>de la “Convención de Belém do Pará”</w:t>
      </w:r>
      <w:r w:rsidR="00873188" w:rsidRPr="00F9275D">
        <w:rPr>
          <w:rStyle w:val="Strong"/>
          <w:rFonts w:ascii="Verdana" w:hAnsi="Verdana" w:cs="Tahoma"/>
          <w:b w:val="0"/>
          <w:color w:val="000000"/>
          <w:sz w:val="20"/>
          <w:szCs w:val="20"/>
          <w:shd w:val="clear" w:color="auto" w:fill="FFFFFF"/>
        </w:rPr>
        <w:t>, en virtud</w:t>
      </w:r>
      <w:r w:rsidR="00873188" w:rsidRPr="00F9275D">
        <w:rPr>
          <w:rFonts w:ascii="Verdana" w:hAnsi="Verdana" w:cs="Tahoma"/>
          <w:sz w:val="20"/>
          <w:szCs w:val="20"/>
        </w:rPr>
        <w:t xml:space="preserve"> de la falta de debida diligencia en la investigación de las violaciones sexuales y actos de torturas infringidos a las víctimas</w:t>
      </w:r>
      <w:r w:rsidR="00873188" w:rsidRPr="00F9275D">
        <w:rPr>
          <w:rStyle w:val="FootnoteReference"/>
          <w:rFonts w:ascii="Verdana" w:hAnsi="Verdana" w:cs="Tahoma"/>
          <w:sz w:val="20"/>
          <w:szCs w:val="20"/>
        </w:rPr>
        <w:footnoteReference w:id="22"/>
      </w:r>
      <w:r w:rsidR="00873188" w:rsidRPr="00F9275D">
        <w:rPr>
          <w:rFonts w:ascii="Verdana" w:hAnsi="Verdana" w:cs="Tahoma"/>
          <w:sz w:val="20"/>
          <w:szCs w:val="20"/>
        </w:rPr>
        <w:t>.</w:t>
      </w:r>
    </w:p>
    <w:p w14:paraId="32210817" w14:textId="77777777" w:rsidR="00051997" w:rsidRPr="00F9275D" w:rsidRDefault="00051997" w:rsidP="008C7F7F">
      <w:pPr>
        <w:pStyle w:val="ListParagraph"/>
        <w:autoSpaceDE w:val="0"/>
        <w:autoSpaceDN w:val="0"/>
        <w:adjustRightInd w:val="0"/>
        <w:spacing w:after="0" w:line="240" w:lineRule="auto"/>
        <w:ind w:left="0"/>
        <w:jc w:val="both"/>
        <w:rPr>
          <w:rStyle w:val="Strong"/>
          <w:rFonts w:ascii="Verdana" w:hAnsi="Verdana" w:cs="Tahoma"/>
          <w:b w:val="0"/>
          <w:bCs w:val="0"/>
          <w:sz w:val="20"/>
          <w:szCs w:val="20"/>
        </w:rPr>
      </w:pPr>
    </w:p>
    <w:p w14:paraId="32210818" w14:textId="77777777" w:rsidR="00BA7DE9" w:rsidRPr="00F9275D" w:rsidRDefault="00522631" w:rsidP="00F55160">
      <w:pPr>
        <w:pStyle w:val="ListParagraph"/>
        <w:autoSpaceDE w:val="0"/>
        <w:autoSpaceDN w:val="0"/>
        <w:adjustRightInd w:val="0"/>
        <w:spacing w:after="0" w:line="240" w:lineRule="auto"/>
        <w:ind w:left="0"/>
        <w:jc w:val="both"/>
        <w:rPr>
          <w:rStyle w:val="Strong"/>
          <w:rFonts w:ascii="Verdana" w:hAnsi="Verdana" w:cs="Tahoma"/>
          <w:b w:val="0"/>
          <w:sz w:val="20"/>
          <w:szCs w:val="20"/>
          <w:shd w:val="clear" w:color="auto" w:fill="FFFFFF"/>
        </w:rPr>
      </w:pPr>
      <w:r>
        <w:rPr>
          <w:rStyle w:val="Strong"/>
          <w:rFonts w:ascii="Verdana" w:hAnsi="Verdana" w:cs="Tahoma"/>
          <w:b w:val="0"/>
          <w:color w:val="000000"/>
          <w:sz w:val="20"/>
          <w:szCs w:val="20"/>
          <w:shd w:val="clear" w:color="auto" w:fill="FFFFFF"/>
        </w:rPr>
        <w:t xml:space="preserve">12. </w:t>
      </w:r>
      <w:r>
        <w:rPr>
          <w:rStyle w:val="Strong"/>
          <w:rFonts w:ascii="Verdana" w:hAnsi="Verdana" w:cs="Tahoma"/>
          <w:b w:val="0"/>
          <w:color w:val="000000"/>
          <w:sz w:val="20"/>
          <w:szCs w:val="20"/>
          <w:shd w:val="clear" w:color="auto" w:fill="FFFFFF"/>
        </w:rPr>
        <w:tab/>
      </w:r>
      <w:r w:rsidR="00873188" w:rsidRPr="00F9275D">
        <w:rPr>
          <w:rStyle w:val="Strong"/>
          <w:rFonts w:ascii="Verdana" w:hAnsi="Verdana" w:cs="Tahoma"/>
          <w:b w:val="0"/>
          <w:color w:val="000000"/>
          <w:sz w:val="20"/>
          <w:szCs w:val="20"/>
          <w:shd w:val="clear" w:color="auto" w:fill="FFFFFF"/>
        </w:rPr>
        <w:t>Posteriormente</w:t>
      </w:r>
      <w:r w:rsidR="001A6F61">
        <w:rPr>
          <w:rStyle w:val="Strong"/>
          <w:rFonts w:ascii="Verdana" w:hAnsi="Verdana" w:cs="Tahoma"/>
          <w:b w:val="0"/>
          <w:color w:val="000000"/>
          <w:sz w:val="20"/>
          <w:szCs w:val="20"/>
          <w:shd w:val="clear" w:color="auto" w:fill="FFFFFF"/>
        </w:rPr>
        <w:t>,</w:t>
      </w:r>
      <w:r w:rsidR="00B17ED6" w:rsidRPr="00F9275D">
        <w:rPr>
          <w:rStyle w:val="Strong"/>
          <w:rFonts w:ascii="Verdana" w:hAnsi="Verdana" w:cs="Tahoma"/>
          <w:b w:val="0"/>
          <w:color w:val="000000"/>
          <w:sz w:val="20"/>
          <w:szCs w:val="20"/>
          <w:shd w:val="clear" w:color="auto" w:fill="FFFFFF"/>
        </w:rPr>
        <w:t xml:space="preserve"> en el año 2012, la Corte </w:t>
      </w:r>
      <w:r w:rsidR="00057BCE">
        <w:rPr>
          <w:rStyle w:val="Strong"/>
          <w:rFonts w:ascii="Verdana" w:hAnsi="Verdana" w:cs="Tahoma"/>
          <w:b w:val="0"/>
          <w:color w:val="000000"/>
          <w:sz w:val="20"/>
          <w:szCs w:val="20"/>
          <w:shd w:val="clear" w:color="auto" w:fill="FFFFFF"/>
        </w:rPr>
        <w:t xml:space="preserve">IDH </w:t>
      </w:r>
      <w:r w:rsidR="00B17ED6" w:rsidRPr="00F9275D">
        <w:rPr>
          <w:rStyle w:val="Strong"/>
          <w:rFonts w:ascii="Verdana" w:hAnsi="Verdana" w:cs="Tahoma"/>
          <w:b w:val="0"/>
          <w:color w:val="000000"/>
          <w:sz w:val="20"/>
          <w:szCs w:val="20"/>
          <w:shd w:val="clear" w:color="auto" w:fill="FFFFFF"/>
        </w:rPr>
        <w:t>conoció de violaciones a</w:t>
      </w:r>
      <w:r w:rsidR="00522E1D" w:rsidRPr="00F9275D">
        <w:rPr>
          <w:rStyle w:val="Strong"/>
          <w:rFonts w:ascii="Verdana" w:hAnsi="Verdana" w:cs="Tahoma"/>
          <w:b w:val="0"/>
          <w:color w:val="000000"/>
          <w:sz w:val="20"/>
          <w:szCs w:val="20"/>
          <w:shd w:val="clear" w:color="auto" w:fill="FFFFFF"/>
        </w:rPr>
        <w:t>l artículo 7.b de</w:t>
      </w:r>
      <w:r w:rsidR="00B17ED6" w:rsidRPr="00F9275D">
        <w:rPr>
          <w:rStyle w:val="Strong"/>
          <w:rFonts w:ascii="Verdana" w:hAnsi="Verdana" w:cs="Tahoma"/>
          <w:b w:val="0"/>
          <w:color w:val="000000"/>
          <w:sz w:val="20"/>
          <w:szCs w:val="20"/>
          <w:shd w:val="clear" w:color="auto" w:fill="FFFFFF"/>
        </w:rPr>
        <w:t xml:space="preserve"> la </w:t>
      </w:r>
      <w:r w:rsidR="00057BCE">
        <w:rPr>
          <w:rStyle w:val="Strong"/>
          <w:rFonts w:ascii="Verdana" w:hAnsi="Verdana" w:cs="Tahoma"/>
          <w:b w:val="0"/>
          <w:color w:val="000000"/>
          <w:sz w:val="20"/>
          <w:szCs w:val="20"/>
          <w:shd w:val="clear" w:color="auto" w:fill="FFFFFF"/>
        </w:rPr>
        <w:t>“</w:t>
      </w:r>
      <w:r w:rsidR="00B17ED6" w:rsidRPr="00F9275D">
        <w:rPr>
          <w:rStyle w:val="Strong"/>
          <w:rFonts w:ascii="Verdana" w:hAnsi="Verdana" w:cs="Tahoma"/>
          <w:b w:val="0"/>
          <w:color w:val="000000"/>
          <w:sz w:val="20"/>
          <w:szCs w:val="20"/>
          <w:shd w:val="clear" w:color="auto" w:fill="FFFFFF"/>
        </w:rPr>
        <w:t>Convención de Belém do Pará</w:t>
      </w:r>
      <w:r w:rsidR="00057BCE">
        <w:rPr>
          <w:rStyle w:val="Strong"/>
          <w:rFonts w:ascii="Verdana" w:hAnsi="Verdana" w:cs="Tahoma"/>
          <w:b w:val="0"/>
          <w:color w:val="000000"/>
          <w:sz w:val="20"/>
          <w:szCs w:val="20"/>
          <w:shd w:val="clear" w:color="auto" w:fill="FFFFFF"/>
        </w:rPr>
        <w:t>”</w:t>
      </w:r>
      <w:r w:rsidR="00B17ED6" w:rsidRPr="00F9275D">
        <w:rPr>
          <w:rStyle w:val="Strong"/>
          <w:rFonts w:ascii="Verdana" w:hAnsi="Verdana" w:cs="Tahoma"/>
          <w:b w:val="0"/>
          <w:color w:val="000000"/>
          <w:sz w:val="20"/>
          <w:szCs w:val="20"/>
          <w:shd w:val="clear" w:color="auto" w:fill="FFFFFF"/>
        </w:rPr>
        <w:t xml:space="preserve"> bajo el </w:t>
      </w:r>
      <w:r w:rsidR="00873188" w:rsidRPr="00F9275D">
        <w:rPr>
          <w:rStyle w:val="Strong"/>
          <w:rFonts w:ascii="Verdana" w:hAnsi="Verdana" w:cs="Tahoma"/>
          <w:b w:val="0"/>
          <w:color w:val="000000"/>
          <w:sz w:val="20"/>
          <w:szCs w:val="20"/>
          <w:shd w:val="clear" w:color="auto" w:fill="FFFFFF"/>
        </w:rPr>
        <w:t xml:space="preserve">conocimiento </w:t>
      </w:r>
      <w:r w:rsidR="00B17ED6" w:rsidRPr="00F9275D">
        <w:rPr>
          <w:rStyle w:val="Strong"/>
          <w:rFonts w:ascii="Verdana" w:hAnsi="Verdana" w:cs="Tahoma"/>
          <w:b w:val="0"/>
          <w:color w:val="000000"/>
          <w:sz w:val="20"/>
          <w:szCs w:val="20"/>
          <w:shd w:val="clear" w:color="auto" w:fill="FFFFFF"/>
        </w:rPr>
        <w:t xml:space="preserve">de los </w:t>
      </w:r>
      <w:r w:rsidR="00B17ED6" w:rsidRPr="00F9275D">
        <w:rPr>
          <w:rStyle w:val="Strong"/>
          <w:rFonts w:ascii="Verdana" w:hAnsi="Verdana" w:cs="Tahoma"/>
          <w:b w:val="0"/>
          <w:i/>
          <w:color w:val="000000"/>
          <w:sz w:val="20"/>
          <w:szCs w:val="20"/>
          <w:shd w:val="clear" w:color="auto" w:fill="FFFFFF"/>
        </w:rPr>
        <w:t>casos Masacres de R</w:t>
      </w:r>
      <w:r w:rsidR="001A6F61">
        <w:rPr>
          <w:rStyle w:val="Strong"/>
          <w:rFonts w:ascii="Verdana" w:hAnsi="Verdana" w:cs="Tahoma"/>
          <w:b w:val="0"/>
          <w:i/>
          <w:color w:val="000000"/>
          <w:sz w:val="20"/>
          <w:szCs w:val="20"/>
          <w:shd w:val="clear" w:color="auto" w:fill="FFFFFF"/>
        </w:rPr>
        <w:t>ío Negro V</w:t>
      </w:r>
      <w:r w:rsidR="00B17ED6" w:rsidRPr="00F9275D">
        <w:rPr>
          <w:rStyle w:val="Strong"/>
          <w:rFonts w:ascii="Verdana" w:hAnsi="Verdana" w:cs="Tahoma"/>
          <w:b w:val="0"/>
          <w:i/>
          <w:color w:val="000000"/>
          <w:sz w:val="20"/>
          <w:szCs w:val="20"/>
          <w:shd w:val="clear" w:color="auto" w:fill="FFFFFF"/>
        </w:rPr>
        <w:t>s. Guatemala</w:t>
      </w:r>
      <w:r w:rsidR="00B17ED6" w:rsidRPr="00F9275D">
        <w:rPr>
          <w:rStyle w:val="FootnoteReference"/>
          <w:rFonts w:ascii="Verdana" w:hAnsi="Verdana" w:cs="Tahoma"/>
          <w:i/>
          <w:sz w:val="20"/>
          <w:szCs w:val="20"/>
        </w:rPr>
        <w:footnoteReference w:id="23"/>
      </w:r>
      <w:r w:rsidR="00B17ED6" w:rsidRPr="00F9275D">
        <w:rPr>
          <w:rStyle w:val="Strong"/>
          <w:rFonts w:ascii="Verdana" w:hAnsi="Verdana" w:cs="Tahoma"/>
          <w:b w:val="0"/>
          <w:i/>
          <w:color w:val="000000"/>
          <w:sz w:val="20"/>
          <w:szCs w:val="20"/>
          <w:shd w:val="clear" w:color="auto" w:fill="FFFFFF"/>
        </w:rPr>
        <w:t xml:space="preserve">, Masacres de El Mozote y lugares aledaños </w:t>
      </w:r>
      <w:r w:rsidR="001A6F61">
        <w:rPr>
          <w:rStyle w:val="Strong"/>
          <w:rFonts w:ascii="Verdana" w:hAnsi="Verdana" w:cs="Tahoma"/>
          <w:b w:val="0"/>
          <w:i/>
          <w:color w:val="000000"/>
          <w:sz w:val="20"/>
          <w:szCs w:val="20"/>
          <w:shd w:val="clear" w:color="auto" w:fill="FFFFFF"/>
        </w:rPr>
        <w:t>V</w:t>
      </w:r>
      <w:r w:rsidR="00B17ED6" w:rsidRPr="00F9275D">
        <w:rPr>
          <w:rStyle w:val="Strong"/>
          <w:rFonts w:ascii="Verdana" w:hAnsi="Verdana" w:cs="Tahoma"/>
          <w:b w:val="0"/>
          <w:i/>
          <w:color w:val="000000"/>
          <w:sz w:val="20"/>
          <w:szCs w:val="20"/>
          <w:shd w:val="clear" w:color="auto" w:fill="FFFFFF"/>
        </w:rPr>
        <w:t>s. El Salvador</w:t>
      </w:r>
      <w:r w:rsidR="00B17ED6" w:rsidRPr="00057BCE">
        <w:rPr>
          <w:rStyle w:val="FootnoteReference"/>
          <w:rFonts w:ascii="Verdana" w:hAnsi="Verdana" w:cs="Tahoma"/>
          <w:bCs/>
          <w:color w:val="000000"/>
          <w:sz w:val="20"/>
          <w:szCs w:val="20"/>
          <w:shd w:val="clear" w:color="auto" w:fill="FFFFFF"/>
        </w:rPr>
        <w:footnoteReference w:id="24"/>
      </w:r>
      <w:r w:rsidR="00057BCE">
        <w:rPr>
          <w:rStyle w:val="Strong"/>
          <w:rFonts w:ascii="Verdana" w:hAnsi="Verdana" w:cs="Tahoma"/>
          <w:b w:val="0"/>
          <w:i/>
          <w:color w:val="000000"/>
          <w:sz w:val="20"/>
          <w:szCs w:val="20"/>
          <w:shd w:val="clear" w:color="auto" w:fill="FFFFFF"/>
        </w:rPr>
        <w:t>,</w:t>
      </w:r>
      <w:r w:rsidR="00B17ED6" w:rsidRPr="00F9275D">
        <w:rPr>
          <w:rStyle w:val="Strong"/>
          <w:rFonts w:ascii="Verdana" w:hAnsi="Verdana" w:cs="Tahoma"/>
          <w:b w:val="0"/>
          <w:i/>
          <w:color w:val="000000"/>
          <w:sz w:val="20"/>
          <w:szCs w:val="20"/>
          <w:shd w:val="clear" w:color="auto" w:fill="FFFFFF"/>
        </w:rPr>
        <w:t xml:space="preserve"> y </w:t>
      </w:r>
      <w:r w:rsidR="00B17ED6" w:rsidRPr="00F9275D">
        <w:rPr>
          <w:rStyle w:val="Strong"/>
          <w:rFonts w:ascii="Verdana" w:hAnsi="Verdana" w:cs="Tahoma"/>
          <w:b w:val="0"/>
          <w:i/>
          <w:sz w:val="20"/>
          <w:szCs w:val="20"/>
          <w:shd w:val="clear" w:color="auto" w:fill="FFFFFF"/>
        </w:rPr>
        <w:t xml:space="preserve">Gudiel Álvarez y otros ("Diario Militar") </w:t>
      </w:r>
      <w:r w:rsidR="001A6F61">
        <w:rPr>
          <w:rStyle w:val="Strong"/>
          <w:rFonts w:ascii="Verdana" w:hAnsi="Verdana" w:cs="Tahoma"/>
          <w:b w:val="0"/>
          <w:i/>
          <w:sz w:val="20"/>
          <w:szCs w:val="20"/>
          <w:shd w:val="clear" w:color="auto" w:fill="FFFFFF"/>
        </w:rPr>
        <w:t>V</w:t>
      </w:r>
      <w:r w:rsidR="00B17ED6" w:rsidRPr="00F9275D">
        <w:rPr>
          <w:rStyle w:val="Strong"/>
          <w:rFonts w:ascii="Verdana" w:hAnsi="Verdana" w:cs="Tahoma"/>
          <w:b w:val="0"/>
          <w:i/>
          <w:sz w:val="20"/>
          <w:szCs w:val="20"/>
          <w:shd w:val="clear" w:color="auto" w:fill="FFFFFF"/>
        </w:rPr>
        <w:t>s. Guatemala</w:t>
      </w:r>
      <w:r w:rsidR="00B17ED6" w:rsidRPr="00F9275D">
        <w:rPr>
          <w:rStyle w:val="FootnoteReference"/>
          <w:rFonts w:ascii="Verdana" w:hAnsi="Verdana" w:cs="Tahoma"/>
          <w:bCs/>
          <w:sz w:val="20"/>
          <w:szCs w:val="20"/>
          <w:shd w:val="clear" w:color="auto" w:fill="FFFFFF"/>
        </w:rPr>
        <w:footnoteReference w:id="25"/>
      </w:r>
      <w:r w:rsidR="00BA7DE9" w:rsidRPr="00F9275D">
        <w:rPr>
          <w:rStyle w:val="Strong"/>
          <w:rFonts w:ascii="Verdana" w:hAnsi="Verdana" w:cs="Tahoma"/>
          <w:b w:val="0"/>
          <w:sz w:val="20"/>
          <w:szCs w:val="20"/>
          <w:shd w:val="clear" w:color="auto" w:fill="FFFFFF"/>
        </w:rPr>
        <w:t xml:space="preserve">, </w:t>
      </w:r>
      <w:r w:rsidR="00057BCE">
        <w:rPr>
          <w:rStyle w:val="Strong"/>
          <w:rFonts w:ascii="Verdana" w:hAnsi="Verdana" w:cs="Tahoma"/>
          <w:b w:val="0"/>
          <w:sz w:val="20"/>
          <w:szCs w:val="20"/>
          <w:shd w:val="clear" w:color="auto" w:fill="FFFFFF"/>
        </w:rPr>
        <w:t>por la</w:t>
      </w:r>
      <w:r w:rsidR="00BA7DE9" w:rsidRPr="00F9275D">
        <w:rPr>
          <w:rStyle w:val="Strong"/>
          <w:rFonts w:ascii="Verdana" w:hAnsi="Verdana" w:cs="Tahoma"/>
          <w:b w:val="0"/>
          <w:sz w:val="20"/>
          <w:szCs w:val="20"/>
          <w:shd w:val="clear" w:color="auto" w:fill="FFFFFF"/>
        </w:rPr>
        <w:t xml:space="preserve"> falta de investigación de hechos relacionados con tortura, violaciones sexuales y demás actos de violencia contra la mujer</w:t>
      </w:r>
      <w:r w:rsidR="00BA7DE9" w:rsidRPr="00F9275D">
        <w:rPr>
          <w:rStyle w:val="FootnoteReference"/>
          <w:rFonts w:ascii="Verdana" w:hAnsi="Verdana" w:cs="Tahoma"/>
          <w:bCs/>
          <w:sz w:val="20"/>
          <w:szCs w:val="20"/>
          <w:shd w:val="clear" w:color="auto" w:fill="FFFFFF"/>
        </w:rPr>
        <w:footnoteReference w:id="26"/>
      </w:r>
      <w:r w:rsidR="00BA7DE9" w:rsidRPr="00F9275D">
        <w:rPr>
          <w:rStyle w:val="Strong"/>
          <w:rFonts w:ascii="Verdana" w:hAnsi="Verdana" w:cs="Tahoma"/>
          <w:b w:val="0"/>
          <w:sz w:val="20"/>
          <w:szCs w:val="20"/>
          <w:shd w:val="clear" w:color="auto" w:fill="FFFFFF"/>
        </w:rPr>
        <w:t>.</w:t>
      </w:r>
    </w:p>
    <w:p w14:paraId="32210819" w14:textId="77777777" w:rsidR="00BA7DE9" w:rsidRPr="00F9275D" w:rsidRDefault="00BA7DE9" w:rsidP="008C7F7F">
      <w:pPr>
        <w:autoSpaceDE w:val="0"/>
        <w:autoSpaceDN w:val="0"/>
        <w:adjustRightInd w:val="0"/>
        <w:spacing w:after="0" w:line="240" w:lineRule="auto"/>
        <w:jc w:val="both"/>
        <w:rPr>
          <w:rStyle w:val="Strong"/>
          <w:rFonts w:ascii="Verdana" w:hAnsi="Verdana" w:cs="Tahoma"/>
          <w:b w:val="0"/>
          <w:sz w:val="20"/>
          <w:szCs w:val="20"/>
          <w:shd w:val="clear" w:color="auto" w:fill="FFFFFF"/>
        </w:rPr>
      </w:pPr>
    </w:p>
    <w:p w14:paraId="3221081A" w14:textId="77777777" w:rsidR="00AA2284" w:rsidRPr="00F9275D" w:rsidRDefault="00522631" w:rsidP="00F55160">
      <w:pPr>
        <w:pStyle w:val="ListParagraph"/>
        <w:autoSpaceDE w:val="0"/>
        <w:autoSpaceDN w:val="0"/>
        <w:adjustRightInd w:val="0"/>
        <w:spacing w:after="0" w:line="240" w:lineRule="auto"/>
        <w:ind w:left="0"/>
        <w:jc w:val="both"/>
        <w:rPr>
          <w:rFonts w:ascii="Verdana" w:hAnsi="Verdana" w:cs="Tahoma"/>
          <w:sz w:val="20"/>
          <w:szCs w:val="20"/>
        </w:rPr>
      </w:pPr>
      <w:r>
        <w:rPr>
          <w:rStyle w:val="Strong"/>
          <w:rFonts w:ascii="Verdana" w:hAnsi="Verdana" w:cs="Tahoma"/>
          <w:b w:val="0"/>
          <w:sz w:val="20"/>
          <w:szCs w:val="20"/>
          <w:shd w:val="clear" w:color="auto" w:fill="FFFFFF"/>
        </w:rPr>
        <w:lastRenderedPageBreak/>
        <w:t xml:space="preserve">13. </w:t>
      </w:r>
      <w:r>
        <w:rPr>
          <w:rStyle w:val="Strong"/>
          <w:rFonts w:ascii="Verdana" w:hAnsi="Verdana" w:cs="Tahoma"/>
          <w:b w:val="0"/>
          <w:sz w:val="20"/>
          <w:szCs w:val="20"/>
          <w:shd w:val="clear" w:color="auto" w:fill="FFFFFF"/>
        </w:rPr>
        <w:tab/>
      </w:r>
      <w:r w:rsidR="009542FC" w:rsidRPr="00F9275D">
        <w:rPr>
          <w:rStyle w:val="Strong"/>
          <w:rFonts w:ascii="Verdana" w:hAnsi="Verdana" w:cs="Tahoma"/>
          <w:b w:val="0"/>
          <w:sz w:val="20"/>
          <w:szCs w:val="20"/>
          <w:shd w:val="clear" w:color="auto" w:fill="FFFFFF"/>
        </w:rPr>
        <w:t>En seguimiento a esos pro</w:t>
      </w:r>
      <w:r w:rsidR="009F6FF0" w:rsidRPr="00F9275D">
        <w:rPr>
          <w:rStyle w:val="Strong"/>
          <w:rFonts w:ascii="Verdana" w:hAnsi="Verdana" w:cs="Tahoma"/>
          <w:b w:val="0"/>
          <w:sz w:val="20"/>
          <w:szCs w:val="20"/>
          <w:shd w:val="clear" w:color="auto" w:fill="FFFFFF"/>
        </w:rPr>
        <w:t>nunciamientos</w:t>
      </w:r>
      <w:r w:rsidR="001A6F61">
        <w:rPr>
          <w:rStyle w:val="Strong"/>
          <w:rFonts w:ascii="Verdana" w:hAnsi="Verdana" w:cs="Tahoma"/>
          <w:b w:val="0"/>
          <w:sz w:val="20"/>
          <w:szCs w:val="20"/>
          <w:shd w:val="clear" w:color="auto" w:fill="FFFFFF"/>
        </w:rPr>
        <w:t>,</w:t>
      </w:r>
      <w:r w:rsidR="009F6FF0" w:rsidRPr="00F9275D">
        <w:rPr>
          <w:rStyle w:val="Strong"/>
          <w:rFonts w:ascii="Verdana" w:hAnsi="Verdana" w:cs="Tahoma"/>
          <w:b w:val="0"/>
          <w:sz w:val="20"/>
          <w:szCs w:val="20"/>
          <w:shd w:val="clear" w:color="auto" w:fill="FFFFFF"/>
        </w:rPr>
        <w:t xml:space="preserve"> en 2013, </w:t>
      </w:r>
      <w:r w:rsidR="009542FC" w:rsidRPr="00F9275D">
        <w:rPr>
          <w:rStyle w:val="Strong"/>
          <w:rFonts w:ascii="Verdana" w:hAnsi="Verdana" w:cs="Tahoma"/>
          <w:b w:val="0"/>
          <w:sz w:val="20"/>
          <w:szCs w:val="20"/>
          <w:shd w:val="clear" w:color="auto" w:fill="FFFFFF"/>
        </w:rPr>
        <w:t xml:space="preserve">en el </w:t>
      </w:r>
      <w:r w:rsidR="009542FC" w:rsidRPr="00F9275D">
        <w:rPr>
          <w:rStyle w:val="Strong"/>
          <w:rFonts w:ascii="Verdana" w:hAnsi="Verdana" w:cs="Tahoma"/>
          <w:b w:val="0"/>
          <w:i/>
          <w:sz w:val="20"/>
          <w:szCs w:val="20"/>
          <w:shd w:val="clear" w:color="auto" w:fill="FFFFFF"/>
        </w:rPr>
        <w:t>caso J. vs. Perú</w:t>
      </w:r>
      <w:r w:rsidR="009542FC" w:rsidRPr="001A6F61">
        <w:rPr>
          <w:rStyle w:val="FootnoteReference"/>
          <w:rFonts w:ascii="Verdana" w:hAnsi="Verdana" w:cs="Tahoma"/>
          <w:bCs/>
          <w:color w:val="000000"/>
          <w:sz w:val="20"/>
          <w:szCs w:val="20"/>
          <w:shd w:val="clear" w:color="auto" w:fill="FFFFFF"/>
        </w:rPr>
        <w:footnoteReference w:id="27"/>
      </w:r>
      <w:r w:rsidR="009542FC" w:rsidRPr="00F9275D">
        <w:rPr>
          <w:rStyle w:val="Strong"/>
          <w:rFonts w:ascii="Verdana" w:hAnsi="Verdana" w:cs="Tahoma"/>
          <w:b w:val="0"/>
          <w:sz w:val="20"/>
          <w:szCs w:val="20"/>
          <w:shd w:val="clear" w:color="auto" w:fill="FFFFFF"/>
        </w:rPr>
        <w:t xml:space="preserve">, </w:t>
      </w:r>
      <w:r w:rsidR="00AA2284" w:rsidRPr="00F9275D">
        <w:rPr>
          <w:rFonts w:ascii="Verdana" w:hAnsi="Verdana" w:cs="Tahoma"/>
          <w:sz w:val="20"/>
          <w:szCs w:val="20"/>
        </w:rPr>
        <w:t xml:space="preserve">la Corte </w:t>
      </w:r>
      <w:r w:rsidR="00057BCE">
        <w:rPr>
          <w:rFonts w:ascii="Verdana" w:hAnsi="Verdana" w:cs="Tahoma"/>
          <w:sz w:val="20"/>
          <w:szCs w:val="20"/>
        </w:rPr>
        <w:t>IDH declaró incumplida</w:t>
      </w:r>
      <w:r w:rsidR="00AA2284" w:rsidRPr="00F9275D">
        <w:rPr>
          <w:rFonts w:ascii="Verdana" w:hAnsi="Verdana" w:cs="Tahoma"/>
          <w:sz w:val="20"/>
          <w:szCs w:val="20"/>
        </w:rPr>
        <w:t xml:space="preserve"> la obligación de garantizar, a través de una investigación efectiva de las amenazas, violencia física y sexual (que constituy</w:t>
      </w:r>
      <w:r w:rsidR="001A6F61">
        <w:rPr>
          <w:rFonts w:ascii="Verdana" w:hAnsi="Verdana" w:cs="Tahoma"/>
          <w:sz w:val="20"/>
          <w:szCs w:val="20"/>
        </w:rPr>
        <w:t>eron violaciones a los</w:t>
      </w:r>
      <w:r w:rsidR="00AA2284" w:rsidRPr="00F9275D">
        <w:rPr>
          <w:rFonts w:ascii="Verdana" w:hAnsi="Verdana" w:cs="Tahoma"/>
          <w:sz w:val="20"/>
          <w:szCs w:val="20"/>
        </w:rPr>
        <w:t xml:space="preserve"> artículo</w:t>
      </w:r>
      <w:r w:rsidR="001A6F61">
        <w:rPr>
          <w:rFonts w:ascii="Verdana" w:hAnsi="Verdana" w:cs="Tahoma"/>
          <w:sz w:val="20"/>
          <w:szCs w:val="20"/>
        </w:rPr>
        <w:t>s</w:t>
      </w:r>
      <w:r w:rsidR="00AA2284" w:rsidRPr="00F9275D">
        <w:rPr>
          <w:rFonts w:ascii="Verdana" w:hAnsi="Verdana" w:cs="Tahoma"/>
          <w:sz w:val="20"/>
          <w:szCs w:val="20"/>
        </w:rPr>
        <w:t xml:space="preserve"> 5.1, 5.2, 11.1 y 11.2 de la C</w:t>
      </w:r>
      <w:r w:rsidR="001A6F61">
        <w:rPr>
          <w:rFonts w:ascii="Verdana" w:hAnsi="Verdana" w:cs="Tahoma"/>
          <w:sz w:val="20"/>
          <w:szCs w:val="20"/>
        </w:rPr>
        <w:t>onvención Americana</w:t>
      </w:r>
      <w:r w:rsidR="00AA2284" w:rsidRPr="00F9275D">
        <w:rPr>
          <w:rFonts w:ascii="Verdana" w:hAnsi="Verdana" w:cs="Tahoma"/>
          <w:sz w:val="20"/>
          <w:szCs w:val="20"/>
        </w:rPr>
        <w:t>)</w:t>
      </w:r>
      <w:r w:rsidR="00AA2284" w:rsidRPr="00F9275D">
        <w:rPr>
          <w:rStyle w:val="FootnoteReference"/>
          <w:rFonts w:ascii="Verdana" w:hAnsi="Verdana" w:cs="Tahoma"/>
          <w:sz w:val="20"/>
          <w:szCs w:val="20"/>
        </w:rPr>
        <w:footnoteReference w:id="28"/>
      </w:r>
      <w:r w:rsidR="00AA2284" w:rsidRPr="00F9275D">
        <w:rPr>
          <w:rFonts w:ascii="Verdana" w:hAnsi="Verdana" w:cs="Tahoma"/>
          <w:sz w:val="20"/>
          <w:szCs w:val="20"/>
        </w:rPr>
        <w:t>, en relación con el artículo 1.1 de la misma y con los artículos 6 y 8 de la Convención Interamericana para Prevenir y Sancionar la Tortura</w:t>
      </w:r>
      <w:r w:rsidR="001A6F61">
        <w:rPr>
          <w:rFonts w:ascii="Verdana" w:hAnsi="Verdana" w:cs="Tahoma"/>
          <w:sz w:val="20"/>
          <w:szCs w:val="20"/>
        </w:rPr>
        <w:t>,</w:t>
      </w:r>
      <w:r w:rsidR="00AA2284" w:rsidRPr="00F9275D">
        <w:rPr>
          <w:rFonts w:ascii="Verdana" w:hAnsi="Verdana" w:cs="Tahoma"/>
          <w:sz w:val="20"/>
          <w:szCs w:val="20"/>
        </w:rPr>
        <w:t xml:space="preserve"> y el artículo 7.b de la </w:t>
      </w:r>
      <w:r w:rsidR="001A6F61">
        <w:rPr>
          <w:rFonts w:ascii="Verdana" w:hAnsi="Verdana" w:cs="Tahoma"/>
          <w:sz w:val="20"/>
          <w:szCs w:val="20"/>
        </w:rPr>
        <w:t>“</w:t>
      </w:r>
      <w:r w:rsidR="00AA2284" w:rsidRPr="00F9275D">
        <w:rPr>
          <w:rFonts w:ascii="Verdana" w:hAnsi="Verdana" w:cs="Tahoma"/>
          <w:sz w:val="20"/>
          <w:szCs w:val="20"/>
        </w:rPr>
        <w:t xml:space="preserve">Convención </w:t>
      </w:r>
      <w:r w:rsidR="001A6F61">
        <w:rPr>
          <w:rFonts w:ascii="Verdana" w:hAnsi="Verdana" w:cs="Tahoma"/>
          <w:sz w:val="20"/>
          <w:szCs w:val="20"/>
        </w:rPr>
        <w:t>Belém do Pará”.</w:t>
      </w:r>
    </w:p>
    <w:p w14:paraId="3221081B" w14:textId="77777777" w:rsidR="009542FC" w:rsidRPr="00F9275D" w:rsidRDefault="009542FC" w:rsidP="008C7F7F">
      <w:pPr>
        <w:autoSpaceDE w:val="0"/>
        <w:autoSpaceDN w:val="0"/>
        <w:adjustRightInd w:val="0"/>
        <w:spacing w:after="0" w:line="240" w:lineRule="auto"/>
        <w:jc w:val="both"/>
        <w:rPr>
          <w:rFonts w:ascii="Verdana" w:hAnsi="Verdana" w:cs="Tahoma"/>
          <w:sz w:val="20"/>
          <w:szCs w:val="20"/>
        </w:rPr>
      </w:pPr>
    </w:p>
    <w:p w14:paraId="3221081C" w14:textId="77777777" w:rsidR="009542FC" w:rsidRPr="00F9275D" w:rsidRDefault="00522631" w:rsidP="00F55160">
      <w:pPr>
        <w:pStyle w:val="ListParagraph"/>
        <w:autoSpaceDE w:val="0"/>
        <w:autoSpaceDN w:val="0"/>
        <w:adjustRightInd w:val="0"/>
        <w:spacing w:after="0" w:line="240" w:lineRule="auto"/>
        <w:ind w:left="0"/>
        <w:jc w:val="both"/>
        <w:rPr>
          <w:rFonts w:ascii="Verdana" w:hAnsi="Verdana" w:cs="Tahoma"/>
          <w:b/>
          <w:sz w:val="20"/>
          <w:szCs w:val="20"/>
        </w:rPr>
      </w:pPr>
      <w:r>
        <w:rPr>
          <w:rFonts w:ascii="Verdana" w:hAnsi="Verdana" w:cs="Tahoma"/>
          <w:sz w:val="20"/>
          <w:szCs w:val="20"/>
        </w:rPr>
        <w:t xml:space="preserve">14. </w:t>
      </w:r>
      <w:r>
        <w:rPr>
          <w:rFonts w:ascii="Verdana" w:hAnsi="Verdana" w:cs="Tahoma"/>
          <w:sz w:val="20"/>
          <w:szCs w:val="20"/>
        </w:rPr>
        <w:tab/>
      </w:r>
      <w:r w:rsidR="00981C1B" w:rsidRPr="00F9275D">
        <w:rPr>
          <w:rFonts w:ascii="Verdana" w:hAnsi="Verdana" w:cs="Tahoma"/>
          <w:sz w:val="20"/>
          <w:szCs w:val="20"/>
        </w:rPr>
        <w:t>E</w:t>
      </w:r>
      <w:r w:rsidR="009542FC" w:rsidRPr="00F9275D">
        <w:rPr>
          <w:rFonts w:ascii="Verdana" w:hAnsi="Verdana" w:cs="Tahoma"/>
          <w:sz w:val="20"/>
          <w:szCs w:val="20"/>
        </w:rPr>
        <w:t>n 2014</w:t>
      </w:r>
      <w:r w:rsidR="00981C1B" w:rsidRPr="00F9275D">
        <w:rPr>
          <w:rFonts w:ascii="Verdana" w:hAnsi="Verdana" w:cs="Tahoma"/>
          <w:sz w:val="20"/>
          <w:szCs w:val="20"/>
        </w:rPr>
        <w:t>,</w:t>
      </w:r>
      <w:r w:rsidR="009542FC" w:rsidRPr="00F9275D">
        <w:rPr>
          <w:rFonts w:ascii="Verdana" w:hAnsi="Verdana" w:cs="Tahoma"/>
          <w:sz w:val="20"/>
          <w:szCs w:val="20"/>
        </w:rPr>
        <w:t xml:space="preserve"> en el </w:t>
      </w:r>
      <w:r w:rsidR="009542FC" w:rsidRPr="00F9275D">
        <w:rPr>
          <w:rFonts w:ascii="Verdana" w:hAnsi="Verdana" w:cs="Tahoma"/>
          <w:i/>
          <w:sz w:val="20"/>
          <w:szCs w:val="20"/>
        </w:rPr>
        <w:t>caso</w:t>
      </w:r>
      <w:r w:rsidR="009542FC" w:rsidRPr="00F9275D">
        <w:rPr>
          <w:rStyle w:val="Strong"/>
          <w:rFonts w:ascii="Verdana" w:hAnsi="Verdana" w:cs="Tahoma"/>
          <w:i/>
          <w:color w:val="000000"/>
          <w:sz w:val="20"/>
          <w:szCs w:val="20"/>
          <w:shd w:val="clear" w:color="auto" w:fill="FFFFFF"/>
        </w:rPr>
        <w:t xml:space="preserve"> </w:t>
      </w:r>
      <w:r w:rsidR="009542FC" w:rsidRPr="00F9275D">
        <w:rPr>
          <w:rStyle w:val="Strong"/>
          <w:rFonts w:ascii="Verdana" w:hAnsi="Verdana" w:cs="Tahoma"/>
          <w:b w:val="0"/>
          <w:i/>
          <w:color w:val="000000"/>
          <w:sz w:val="20"/>
          <w:szCs w:val="20"/>
          <w:shd w:val="clear" w:color="auto" w:fill="FFFFFF"/>
        </w:rPr>
        <w:t>Veliz Franco y otros vs. Guatemala</w:t>
      </w:r>
      <w:r w:rsidR="009542FC" w:rsidRPr="00F9275D">
        <w:rPr>
          <w:rStyle w:val="FootnoteReference"/>
          <w:rFonts w:ascii="Verdana" w:hAnsi="Verdana" w:cs="Tahoma"/>
          <w:bCs/>
          <w:color w:val="000000"/>
          <w:sz w:val="20"/>
          <w:szCs w:val="20"/>
          <w:shd w:val="clear" w:color="auto" w:fill="FFFFFF"/>
        </w:rPr>
        <w:footnoteReference w:id="29"/>
      </w:r>
      <w:r w:rsidR="0094500E">
        <w:rPr>
          <w:rStyle w:val="Strong"/>
          <w:rFonts w:ascii="Verdana" w:hAnsi="Verdana" w:cs="Tahoma"/>
          <w:b w:val="0"/>
          <w:color w:val="000000"/>
          <w:sz w:val="20"/>
          <w:szCs w:val="20"/>
          <w:shd w:val="clear" w:color="auto" w:fill="FFFFFF"/>
        </w:rPr>
        <w:t xml:space="preserve"> —</w:t>
      </w:r>
      <w:r w:rsidR="009542FC" w:rsidRPr="00F9275D">
        <w:rPr>
          <w:rStyle w:val="Strong"/>
          <w:rFonts w:ascii="Verdana" w:hAnsi="Verdana" w:cs="Tahoma"/>
          <w:b w:val="0"/>
          <w:color w:val="000000"/>
          <w:sz w:val="20"/>
          <w:szCs w:val="20"/>
          <w:shd w:val="clear" w:color="auto" w:fill="FFFFFF"/>
        </w:rPr>
        <w:t>relacionado con</w:t>
      </w:r>
      <w:r w:rsidR="009542FC" w:rsidRPr="00F9275D">
        <w:rPr>
          <w:rStyle w:val="Strong"/>
          <w:rFonts w:ascii="Verdana" w:hAnsi="Verdana" w:cs="Tahoma"/>
          <w:color w:val="000000"/>
          <w:sz w:val="20"/>
          <w:szCs w:val="20"/>
          <w:shd w:val="clear" w:color="auto" w:fill="FFFFFF"/>
        </w:rPr>
        <w:t xml:space="preserve"> </w:t>
      </w:r>
      <w:r w:rsidR="009542FC" w:rsidRPr="00F9275D">
        <w:rPr>
          <w:rFonts w:ascii="Verdana" w:hAnsi="Verdana" w:cs="Tahoma"/>
          <w:sz w:val="20"/>
          <w:szCs w:val="20"/>
        </w:rPr>
        <w:t>la falta de respuesta eficaz del Estado a la denuncia de desaparición de María Isabel Veliz Franco, de 15 años de edad, así como las falencias en la investigación de los hechos que involucraron el hallazgo de su cuerpo</w:t>
      </w:r>
      <w:r w:rsidR="0094500E">
        <w:rPr>
          <w:rFonts w:ascii="Verdana" w:hAnsi="Verdana" w:cs="Tahoma"/>
          <w:sz w:val="20"/>
          <w:szCs w:val="20"/>
        </w:rPr>
        <w:t>—</w:t>
      </w:r>
      <w:r w:rsidR="009542FC" w:rsidRPr="00F9275D">
        <w:rPr>
          <w:rFonts w:ascii="Verdana" w:hAnsi="Verdana" w:cs="Tahoma"/>
          <w:sz w:val="20"/>
          <w:szCs w:val="20"/>
        </w:rPr>
        <w:t xml:space="preserve">, </w:t>
      </w:r>
      <w:r w:rsidR="0094500E">
        <w:rPr>
          <w:rStyle w:val="Strong"/>
          <w:rFonts w:ascii="Verdana" w:hAnsi="Verdana" w:cs="Tahoma"/>
          <w:b w:val="0"/>
          <w:color w:val="000000"/>
          <w:sz w:val="20"/>
          <w:szCs w:val="20"/>
          <w:shd w:val="clear" w:color="auto" w:fill="FFFFFF"/>
        </w:rPr>
        <w:t>además de declararse violado</w:t>
      </w:r>
      <w:r w:rsidR="009542FC" w:rsidRPr="00F9275D">
        <w:rPr>
          <w:rStyle w:val="Strong"/>
          <w:rFonts w:ascii="Verdana" w:hAnsi="Verdana" w:cs="Tahoma"/>
          <w:b w:val="0"/>
          <w:color w:val="000000"/>
          <w:sz w:val="20"/>
          <w:szCs w:val="20"/>
          <w:shd w:val="clear" w:color="auto" w:fill="FFFFFF"/>
        </w:rPr>
        <w:t xml:space="preserve"> el artículo 7.b de la </w:t>
      </w:r>
      <w:r w:rsidR="0094500E">
        <w:rPr>
          <w:rStyle w:val="Strong"/>
          <w:rFonts w:ascii="Verdana" w:hAnsi="Verdana" w:cs="Tahoma"/>
          <w:b w:val="0"/>
          <w:color w:val="000000"/>
          <w:sz w:val="20"/>
          <w:szCs w:val="20"/>
          <w:shd w:val="clear" w:color="auto" w:fill="FFFFFF"/>
        </w:rPr>
        <w:t>“</w:t>
      </w:r>
      <w:r w:rsidR="009542FC" w:rsidRPr="00F9275D">
        <w:rPr>
          <w:rStyle w:val="Strong"/>
          <w:rFonts w:ascii="Verdana" w:hAnsi="Verdana" w:cs="Tahoma"/>
          <w:b w:val="0"/>
          <w:color w:val="000000"/>
          <w:sz w:val="20"/>
          <w:szCs w:val="20"/>
          <w:shd w:val="clear" w:color="auto" w:fill="FFFFFF"/>
        </w:rPr>
        <w:t>Convención de Belém do Pará</w:t>
      </w:r>
      <w:r w:rsidR="0094500E">
        <w:rPr>
          <w:rStyle w:val="Strong"/>
          <w:rFonts w:ascii="Verdana" w:hAnsi="Verdana" w:cs="Tahoma"/>
          <w:b w:val="0"/>
          <w:color w:val="000000"/>
          <w:sz w:val="20"/>
          <w:szCs w:val="20"/>
          <w:shd w:val="clear" w:color="auto" w:fill="FFFFFF"/>
        </w:rPr>
        <w:t>”</w:t>
      </w:r>
      <w:r w:rsidR="009542FC" w:rsidRPr="00F9275D">
        <w:rPr>
          <w:rStyle w:val="FootnoteReference"/>
          <w:rFonts w:ascii="Verdana" w:hAnsi="Verdana" w:cs="Tahoma"/>
          <w:bCs/>
          <w:color w:val="000000"/>
          <w:sz w:val="20"/>
          <w:szCs w:val="20"/>
          <w:shd w:val="clear" w:color="auto" w:fill="FFFFFF"/>
        </w:rPr>
        <w:footnoteReference w:id="30"/>
      </w:r>
      <w:r w:rsidR="009542FC" w:rsidRPr="00F9275D">
        <w:rPr>
          <w:rStyle w:val="Strong"/>
          <w:rFonts w:ascii="Verdana" w:hAnsi="Verdana" w:cs="Tahoma"/>
          <w:b w:val="0"/>
          <w:color w:val="000000"/>
          <w:sz w:val="20"/>
          <w:szCs w:val="20"/>
          <w:shd w:val="clear" w:color="auto" w:fill="FFFFFF"/>
        </w:rPr>
        <w:t>, por s</w:t>
      </w:r>
      <w:r w:rsidR="0094500E">
        <w:rPr>
          <w:rStyle w:val="Strong"/>
          <w:rFonts w:ascii="Verdana" w:hAnsi="Verdana" w:cs="Tahoma"/>
          <w:b w:val="0"/>
          <w:color w:val="000000"/>
          <w:sz w:val="20"/>
          <w:szCs w:val="20"/>
          <w:shd w:val="clear" w:color="auto" w:fill="FFFFFF"/>
        </w:rPr>
        <w:t>egunda vez en su jurisprudencia</w:t>
      </w:r>
      <w:r w:rsidR="009542FC" w:rsidRPr="00F9275D">
        <w:rPr>
          <w:rStyle w:val="Strong"/>
          <w:rFonts w:ascii="Verdana" w:hAnsi="Verdana" w:cs="Tahoma"/>
          <w:b w:val="0"/>
          <w:color w:val="000000"/>
          <w:sz w:val="20"/>
          <w:szCs w:val="20"/>
          <w:shd w:val="clear" w:color="auto" w:fill="FFFFFF"/>
        </w:rPr>
        <w:t xml:space="preserve"> </w:t>
      </w:r>
      <w:r w:rsidR="001A6F61">
        <w:rPr>
          <w:rStyle w:val="Strong"/>
          <w:rFonts w:ascii="Verdana" w:hAnsi="Verdana" w:cs="Tahoma"/>
          <w:b w:val="0"/>
          <w:color w:val="000000"/>
          <w:sz w:val="20"/>
          <w:szCs w:val="20"/>
          <w:shd w:val="clear" w:color="auto" w:fill="FFFFFF"/>
        </w:rPr>
        <w:t>se establece la</w:t>
      </w:r>
      <w:r w:rsidR="00981C1B" w:rsidRPr="00F9275D">
        <w:rPr>
          <w:rStyle w:val="Strong"/>
          <w:rFonts w:ascii="Verdana" w:hAnsi="Verdana" w:cs="Tahoma"/>
          <w:b w:val="0"/>
          <w:color w:val="000000"/>
          <w:sz w:val="20"/>
          <w:szCs w:val="20"/>
          <w:shd w:val="clear" w:color="auto" w:fill="FFFFFF"/>
        </w:rPr>
        <w:t xml:space="preserve"> </w:t>
      </w:r>
      <w:r w:rsidR="009542FC" w:rsidRPr="00F9275D">
        <w:rPr>
          <w:rStyle w:val="Strong"/>
          <w:rFonts w:ascii="Verdana" w:hAnsi="Verdana" w:cs="Tahoma"/>
          <w:b w:val="0"/>
          <w:color w:val="000000"/>
          <w:sz w:val="20"/>
          <w:szCs w:val="20"/>
          <w:shd w:val="clear" w:color="auto" w:fill="FFFFFF"/>
        </w:rPr>
        <w:t>violaci</w:t>
      </w:r>
      <w:r w:rsidR="00981C1B" w:rsidRPr="00F9275D">
        <w:rPr>
          <w:rStyle w:val="Strong"/>
          <w:rFonts w:ascii="Verdana" w:hAnsi="Verdana" w:cs="Tahoma"/>
          <w:b w:val="0"/>
          <w:color w:val="000000"/>
          <w:sz w:val="20"/>
          <w:szCs w:val="20"/>
          <w:shd w:val="clear" w:color="auto" w:fill="FFFFFF"/>
        </w:rPr>
        <w:t>ón</w:t>
      </w:r>
      <w:r w:rsidR="009542FC" w:rsidRPr="00F9275D">
        <w:rPr>
          <w:rStyle w:val="Strong"/>
          <w:rFonts w:ascii="Verdana" w:hAnsi="Verdana" w:cs="Tahoma"/>
          <w:b w:val="0"/>
          <w:color w:val="000000"/>
          <w:sz w:val="20"/>
          <w:szCs w:val="20"/>
          <w:shd w:val="clear" w:color="auto" w:fill="FFFFFF"/>
        </w:rPr>
        <w:t xml:space="preserve"> al artículo 7.c</w:t>
      </w:r>
      <w:r w:rsidR="009542FC" w:rsidRPr="00F9275D">
        <w:rPr>
          <w:rFonts w:ascii="Verdana" w:hAnsi="Verdana" w:cs="Tahoma"/>
          <w:sz w:val="20"/>
          <w:szCs w:val="20"/>
        </w:rPr>
        <w:t xml:space="preserve"> </w:t>
      </w:r>
      <w:r w:rsidR="001A6F61">
        <w:rPr>
          <w:rFonts w:ascii="Verdana" w:hAnsi="Verdana" w:cs="Tahoma"/>
          <w:sz w:val="20"/>
          <w:szCs w:val="20"/>
        </w:rPr>
        <w:t xml:space="preserve">de dicho instrumento, </w:t>
      </w:r>
      <w:r w:rsidR="009542FC" w:rsidRPr="00F9275D">
        <w:rPr>
          <w:rFonts w:ascii="Verdana" w:hAnsi="Verdana" w:cs="Tahoma"/>
          <w:sz w:val="20"/>
          <w:szCs w:val="20"/>
        </w:rPr>
        <w:t>en razón de la falta de conducción de la investiga</w:t>
      </w:r>
      <w:r w:rsidR="0094500E">
        <w:rPr>
          <w:rFonts w:ascii="Verdana" w:hAnsi="Verdana" w:cs="Tahoma"/>
          <w:sz w:val="20"/>
          <w:szCs w:val="20"/>
        </w:rPr>
        <w:t xml:space="preserve">ción con perspectiva de género, </w:t>
      </w:r>
      <w:r w:rsidR="009542FC" w:rsidRPr="00F9275D">
        <w:rPr>
          <w:rFonts w:ascii="Verdana" w:hAnsi="Verdana" w:cs="Tahoma"/>
          <w:sz w:val="20"/>
          <w:szCs w:val="20"/>
        </w:rPr>
        <w:t>debido a la posibilidad de que el homicidio se hubiera</w:t>
      </w:r>
      <w:r w:rsidR="0094500E">
        <w:rPr>
          <w:rFonts w:ascii="Verdana" w:hAnsi="Verdana" w:cs="Tahoma"/>
          <w:sz w:val="20"/>
          <w:szCs w:val="20"/>
        </w:rPr>
        <w:t xml:space="preserve"> cometido por razones de género;</w:t>
      </w:r>
      <w:r w:rsidR="009542FC" w:rsidRPr="00F9275D">
        <w:rPr>
          <w:rFonts w:ascii="Verdana" w:hAnsi="Verdana" w:cs="Tahoma"/>
          <w:sz w:val="20"/>
          <w:szCs w:val="20"/>
        </w:rPr>
        <w:t xml:space="preserve"> faltas en </w:t>
      </w:r>
      <w:r w:rsidR="00981C1B" w:rsidRPr="00F9275D">
        <w:rPr>
          <w:rFonts w:ascii="Verdana" w:hAnsi="Verdana" w:cs="Tahoma"/>
          <w:sz w:val="20"/>
          <w:szCs w:val="20"/>
        </w:rPr>
        <w:t xml:space="preserve">el actuar estatal </w:t>
      </w:r>
      <w:r w:rsidR="0094500E">
        <w:rPr>
          <w:rFonts w:ascii="Verdana" w:hAnsi="Verdana" w:cs="Tahoma"/>
          <w:sz w:val="20"/>
          <w:szCs w:val="20"/>
        </w:rPr>
        <w:t>(</w:t>
      </w:r>
      <w:r w:rsidR="009542FC" w:rsidRPr="00F9275D">
        <w:rPr>
          <w:rFonts w:ascii="Verdana" w:hAnsi="Verdana" w:cs="Tahoma"/>
          <w:sz w:val="20"/>
          <w:szCs w:val="20"/>
        </w:rPr>
        <w:t>vinculada</w:t>
      </w:r>
      <w:r w:rsidR="00981C1B" w:rsidRPr="00F9275D">
        <w:rPr>
          <w:rFonts w:ascii="Verdana" w:hAnsi="Verdana" w:cs="Tahoma"/>
          <w:sz w:val="20"/>
          <w:szCs w:val="20"/>
        </w:rPr>
        <w:t>s</w:t>
      </w:r>
      <w:r w:rsidR="009542FC" w:rsidRPr="00F9275D">
        <w:rPr>
          <w:rFonts w:ascii="Verdana" w:hAnsi="Verdana" w:cs="Tahoma"/>
          <w:sz w:val="20"/>
          <w:szCs w:val="20"/>
        </w:rPr>
        <w:t xml:space="preserve"> a inexistencia de normas y protocolos para ese tipo de hechos</w:t>
      </w:r>
      <w:r w:rsidR="0094500E">
        <w:rPr>
          <w:rFonts w:ascii="Verdana" w:hAnsi="Verdana" w:cs="Tahoma"/>
          <w:sz w:val="20"/>
          <w:szCs w:val="20"/>
        </w:rPr>
        <w:t>)</w:t>
      </w:r>
      <w:r w:rsidR="009542FC" w:rsidRPr="00F9275D">
        <w:rPr>
          <w:rFonts w:ascii="Verdana" w:hAnsi="Verdana" w:cs="Tahoma"/>
          <w:sz w:val="20"/>
          <w:szCs w:val="20"/>
        </w:rPr>
        <w:t xml:space="preserve"> y actos de sesgo discriminatorio, así como la falta de un plazo razonable para su substanciación y su estado en fase inicial</w:t>
      </w:r>
      <w:r w:rsidR="009542FC" w:rsidRPr="00F9275D">
        <w:rPr>
          <w:rStyle w:val="FootnoteReference"/>
          <w:rFonts w:ascii="Verdana" w:hAnsi="Verdana" w:cs="Tahoma"/>
          <w:sz w:val="20"/>
          <w:szCs w:val="20"/>
        </w:rPr>
        <w:footnoteReference w:id="31"/>
      </w:r>
      <w:r w:rsidR="009542FC" w:rsidRPr="00F9275D">
        <w:rPr>
          <w:rFonts w:ascii="Verdana" w:hAnsi="Verdana" w:cs="Tahoma"/>
          <w:sz w:val="20"/>
          <w:szCs w:val="20"/>
        </w:rPr>
        <w:t>.</w:t>
      </w:r>
    </w:p>
    <w:p w14:paraId="3221081D" w14:textId="77777777" w:rsidR="00AA2284" w:rsidRPr="00F9275D" w:rsidRDefault="00AA2284" w:rsidP="008C7F7F">
      <w:pPr>
        <w:autoSpaceDE w:val="0"/>
        <w:autoSpaceDN w:val="0"/>
        <w:adjustRightInd w:val="0"/>
        <w:spacing w:after="0" w:line="240" w:lineRule="auto"/>
        <w:jc w:val="both"/>
        <w:rPr>
          <w:rFonts w:ascii="Verdana" w:hAnsi="Verdana" w:cs="Tahoma"/>
          <w:sz w:val="20"/>
          <w:szCs w:val="20"/>
        </w:rPr>
      </w:pPr>
    </w:p>
    <w:p w14:paraId="3221081E" w14:textId="77777777" w:rsidR="00AA2284" w:rsidRPr="00F9275D" w:rsidRDefault="00522631" w:rsidP="00F55160">
      <w:pPr>
        <w:pStyle w:val="ListParagraph"/>
        <w:autoSpaceDE w:val="0"/>
        <w:autoSpaceDN w:val="0"/>
        <w:adjustRightInd w:val="0"/>
        <w:spacing w:after="0" w:line="240" w:lineRule="auto"/>
        <w:ind w:left="0"/>
        <w:jc w:val="both"/>
        <w:rPr>
          <w:rFonts w:ascii="Verdana" w:hAnsi="Verdana" w:cs="Tahoma"/>
          <w:sz w:val="20"/>
          <w:szCs w:val="20"/>
        </w:rPr>
      </w:pPr>
      <w:r>
        <w:rPr>
          <w:rFonts w:ascii="Verdana" w:hAnsi="Verdana" w:cs="Tahoma"/>
          <w:sz w:val="20"/>
          <w:szCs w:val="20"/>
        </w:rPr>
        <w:t xml:space="preserve">15. </w:t>
      </w:r>
      <w:r>
        <w:rPr>
          <w:rFonts w:ascii="Verdana" w:hAnsi="Verdana" w:cs="Tahoma"/>
          <w:sz w:val="20"/>
          <w:szCs w:val="20"/>
        </w:rPr>
        <w:tab/>
      </w:r>
      <w:r w:rsidR="009F6FF0" w:rsidRPr="00F9275D">
        <w:rPr>
          <w:rFonts w:ascii="Verdana" w:hAnsi="Verdana" w:cs="Tahoma"/>
          <w:sz w:val="20"/>
          <w:szCs w:val="20"/>
        </w:rPr>
        <w:t>E</w:t>
      </w:r>
      <w:r w:rsidR="00981C1B" w:rsidRPr="00F9275D">
        <w:rPr>
          <w:rFonts w:ascii="Verdana" w:hAnsi="Verdana" w:cs="Tahoma"/>
          <w:sz w:val="20"/>
          <w:szCs w:val="20"/>
        </w:rPr>
        <w:t xml:space="preserve">se mismo año en el </w:t>
      </w:r>
      <w:r w:rsidR="00981C1B" w:rsidRPr="00F9275D">
        <w:rPr>
          <w:rFonts w:ascii="Verdana" w:hAnsi="Verdana" w:cs="Tahoma"/>
          <w:i/>
          <w:sz w:val="20"/>
          <w:szCs w:val="20"/>
        </w:rPr>
        <w:t xml:space="preserve">caso </w:t>
      </w:r>
      <w:r w:rsidR="00981C1B" w:rsidRPr="00F9275D">
        <w:rPr>
          <w:rStyle w:val="Strong"/>
          <w:rFonts w:ascii="Verdana" w:hAnsi="Verdana" w:cs="Tahoma"/>
          <w:b w:val="0"/>
          <w:i/>
          <w:color w:val="000000"/>
          <w:sz w:val="20"/>
          <w:szCs w:val="20"/>
          <w:shd w:val="clear" w:color="auto" w:fill="FFFFFF"/>
        </w:rPr>
        <w:t>Espinoza Gonzáles vs. Perú</w:t>
      </w:r>
      <w:r w:rsidR="00981C1B" w:rsidRPr="00F9275D">
        <w:rPr>
          <w:rStyle w:val="FootnoteReference"/>
          <w:rFonts w:ascii="Verdana" w:hAnsi="Verdana" w:cs="Tahoma"/>
          <w:bCs/>
          <w:color w:val="000000"/>
          <w:sz w:val="20"/>
          <w:szCs w:val="20"/>
          <w:shd w:val="clear" w:color="auto" w:fill="FFFFFF"/>
        </w:rPr>
        <w:footnoteReference w:id="32"/>
      </w:r>
      <w:r w:rsidR="00981C1B" w:rsidRPr="00F9275D">
        <w:rPr>
          <w:rStyle w:val="Strong"/>
          <w:rFonts w:ascii="Verdana" w:hAnsi="Verdana" w:cs="Tahoma"/>
          <w:b w:val="0"/>
          <w:color w:val="000000"/>
          <w:sz w:val="20"/>
          <w:szCs w:val="20"/>
          <w:shd w:val="clear" w:color="auto" w:fill="FFFFFF"/>
        </w:rPr>
        <w:t xml:space="preserve">, </w:t>
      </w:r>
      <w:r w:rsidR="00981C1B" w:rsidRPr="00F9275D">
        <w:rPr>
          <w:rFonts w:ascii="Verdana" w:hAnsi="Verdana" w:cs="Tahoma"/>
          <w:sz w:val="20"/>
          <w:szCs w:val="20"/>
        </w:rPr>
        <w:t xml:space="preserve">la Corte </w:t>
      </w:r>
      <w:r w:rsidR="0094500E">
        <w:rPr>
          <w:rFonts w:ascii="Verdana" w:hAnsi="Verdana" w:cs="Tahoma"/>
          <w:sz w:val="20"/>
          <w:szCs w:val="20"/>
        </w:rPr>
        <w:t xml:space="preserve">IDH </w:t>
      </w:r>
      <w:r w:rsidR="00981C1B" w:rsidRPr="00F9275D">
        <w:rPr>
          <w:rFonts w:ascii="Verdana" w:hAnsi="Verdana" w:cs="Tahoma"/>
          <w:sz w:val="20"/>
          <w:szCs w:val="20"/>
        </w:rPr>
        <w:t xml:space="preserve">determinó </w:t>
      </w:r>
      <w:r w:rsidR="009F6FF0" w:rsidRPr="00F9275D">
        <w:rPr>
          <w:rFonts w:ascii="Verdana" w:hAnsi="Verdana" w:cs="Tahoma"/>
          <w:sz w:val="20"/>
          <w:szCs w:val="20"/>
        </w:rPr>
        <w:t xml:space="preserve">nuevamente </w:t>
      </w:r>
      <w:r w:rsidR="00981C1B" w:rsidRPr="00F9275D">
        <w:rPr>
          <w:rFonts w:ascii="Verdana" w:hAnsi="Verdana" w:cs="Tahoma"/>
          <w:sz w:val="20"/>
          <w:szCs w:val="20"/>
        </w:rPr>
        <w:t xml:space="preserve">violaciones al artículo 7.b de la </w:t>
      </w:r>
      <w:r w:rsidR="0094500E">
        <w:rPr>
          <w:rFonts w:ascii="Verdana" w:hAnsi="Verdana" w:cs="Tahoma"/>
          <w:sz w:val="20"/>
          <w:szCs w:val="20"/>
        </w:rPr>
        <w:t>“</w:t>
      </w:r>
      <w:r w:rsidR="00981C1B" w:rsidRPr="00F9275D">
        <w:rPr>
          <w:rFonts w:ascii="Verdana" w:hAnsi="Verdana" w:cs="Tahoma"/>
          <w:sz w:val="20"/>
          <w:szCs w:val="20"/>
        </w:rPr>
        <w:t>Convención de Belém do Pará</w:t>
      </w:r>
      <w:r w:rsidR="0094500E">
        <w:rPr>
          <w:rFonts w:ascii="Verdana" w:hAnsi="Verdana" w:cs="Tahoma"/>
          <w:sz w:val="20"/>
          <w:szCs w:val="20"/>
        </w:rPr>
        <w:t>”. Por un lado,</w:t>
      </w:r>
      <w:r w:rsidR="00981C1B" w:rsidRPr="00F9275D">
        <w:rPr>
          <w:rFonts w:ascii="Verdana" w:hAnsi="Verdana" w:cs="Tahoma"/>
          <w:sz w:val="20"/>
          <w:szCs w:val="20"/>
        </w:rPr>
        <w:t xml:space="preserve"> en conjunto con violaciones a los arts. 8.1 y 25 de la CADH, y 1.1, así como los artículos 1, 6 y 8 de la C</w:t>
      </w:r>
      <w:r w:rsidR="001A6F61">
        <w:rPr>
          <w:rFonts w:ascii="Verdana" w:hAnsi="Verdana" w:cs="Tahoma"/>
          <w:sz w:val="20"/>
          <w:szCs w:val="20"/>
        </w:rPr>
        <w:t>onvención Interamericana para Prevenir y Sancionar la Tortura</w:t>
      </w:r>
      <w:r w:rsidR="00981C1B" w:rsidRPr="00F9275D">
        <w:rPr>
          <w:rFonts w:ascii="Verdana" w:hAnsi="Verdana" w:cs="Tahoma"/>
          <w:sz w:val="20"/>
          <w:szCs w:val="20"/>
        </w:rPr>
        <w:t>, en razón del incumplimiento estatal del deber de investigación de la violencia sexual presente en los hechos ocurridos a la víctima durante su detención en el Penal de Yanamayo, y los hechos ocurridos en la DIVISE y la DINCOTE</w:t>
      </w:r>
      <w:r w:rsidR="00981C1B" w:rsidRPr="00F9275D">
        <w:rPr>
          <w:rStyle w:val="FootnoteReference"/>
          <w:rFonts w:ascii="Verdana" w:hAnsi="Verdana" w:cs="Tahoma"/>
          <w:sz w:val="20"/>
          <w:szCs w:val="20"/>
        </w:rPr>
        <w:footnoteReference w:id="33"/>
      </w:r>
      <w:r w:rsidR="0094500E">
        <w:rPr>
          <w:rFonts w:ascii="Verdana" w:hAnsi="Verdana" w:cs="Tahoma"/>
          <w:sz w:val="20"/>
          <w:szCs w:val="20"/>
        </w:rPr>
        <w:t>;</w:t>
      </w:r>
      <w:r w:rsidR="00981C1B" w:rsidRPr="00F9275D">
        <w:rPr>
          <w:rFonts w:ascii="Verdana" w:hAnsi="Verdana" w:cs="Tahoma"/>
          <w:sz w:val="20"/>
          <w:szCs w:val="20"/>
        </w:rPr>
        <w:t xml:space="preserve"> y</w:t>
      </w:r>
      <w:r w:rsidR="0094500E">
        <w:rPr>
          <w:rFonts w:ascii="Verdana" w:hAnsi="Verdana" w:cs="Tahoma"/>
          <w:sz w:val="20"/>
          <w:szCs w:val="20"/>
        </w:rPr>
        <w:t>,</w:t>
      </w:r>
      <w:r w:rsidR="00981C1B" w:rsidRPr="00F9275D">
        <w:rPr>
          <w:rFonts w:ascii="Verdana" w:hAnsi="Verdana" w:cs="Tahoma"/>
          <w:sz w:val="20"/>
          <w:szCs w:val="20"/>
        </w:rPr>
        <w:t xml:space="preserve"> por otro lado, en conjunto con violaciones a los artículos 5.1, 5.2 y 11, así como los arts. 8.1, 25 y 2 de la C</w:t>
      </w:r>
      <w:r w:rsidR="001A6F61">
        <w:rPr>
          <w:rFonts w:ascii="Verdana" w:hAnsi="Verdana" w:cs="Tahoma"/>
          <w:sz w:val="20"/>
          <w:szCs w:val="20"/>
        </w:rPr>
        <w:t>onvención Americana</w:t>
      </w:r>
      <w:r w:rsidR="00981C1B" w:rsidRPr="00F9275D">
        <w:rPr>
          <w:rFonts w:ascii="Verdana" w:hAnsi="Verdana" w:cs="Tahoma"/>
          <w:sz w:val="20"/>
          <w:szCs w:val="20"/>
        </w:rPr>
        <w:t>, 1, 6 y 8 de la C</w:t>
      </w:r>
      <w:r w:rsidR="001A6F61">
        <w:rPr>
          <w:rFonts w:ascii="Verdana" w:hAnsi="Verdana" w:cs="Tahoma"/>
          <w:sz w:val="20"/>
          <w:szCs w:val="20"/>
        </w:rPr>
        <w:t xml:space="preserve">onvención </w:t>
      </w:r>
      <w:r w:rsidR="00981C1B" w:rsidRPr="00F9275D">
        <w:rPr>
          <w:rFonts w:ascii="Verdana" w:hAnsi="Verdana" w:cs="Tahoma"/>
          <w:sz w:val="20"/>
          <w:szCs w:val="20"/>
        </w:rPr>
        <w:t>I</w:t>
      </w:r>
      <w:r w:rsidR="001A6F61">
        <w:rPr>
          <w:rFonts w:ascii="Verdana" w:hAnsi="Verdana" w:cs="Tahoma"/>
          <w:sz w:val="20"/>
          <w:szCs w:val="20"/>
        </w:rPr>
        <w:t xml:space="preserve">nteramericana para </w:t>
      </w:r>
      <w:r w:rsidR="00981C1B" w:rsidRPr="00F9275D">
        <w:rPr>
          <w:rFonts w:ascii="Verdana" w:hAnsi="Verdana" w:cs="Tahoma"/>
          <w:sz w:val="20"/>
          <w:szCs w:val="20"/>
        </w:rPr>
        <w:t>P</w:t>
      </w:r>
      <w:r w:rsidR="001A6F61">
        <w:rPr>
          <w:rFonts w:ascii="Verdana" w:hAnsi="Verdana" w:cs="Tahoma"/>
          <w:sz w:val="20"/>
          <w:szCs w:val="20"/>
        </w:rPr>
        <w:t xml:space="preserve">revenir y </w:t>
      </w:r>
      <w:r w:rsidR="00981C1B" w:rsidRPr="00F9275D">
        <w:rPr>
          <w:rFonts w:ascii="Verdana" w:hAnsi="Verdana" w:cs="Tahoma"/>
          <w:sz w:val="20"/>
          <w:szCs w:val="20"/>
        </w:rPr>
        <w:lastRenderedPageBreak/>
        <w:t>S</w:t>
      </w:r>
      <w:r w:rsidR="001A6F61">
        <w:rPr>
          <w:rFonts w:ascii="Verdana" w:hAnsi="Verdana" w:cs="Tahoma"/>
          <w:sz w:val="20"/>
          <w:szCs w:val="20"/>
        </w:rPr>
        <w:t xml:space="preserve">ancionar la </w:t>
      </w:r>
      <w:r w:rsidR="00981C1B" w:rsidRPr="00F9275D">
        <w:rPr>
          <w:rFonts w:ascii="Verdana" w:hAnsi="Verdana" w:cs="Tahoma"/>
          <w:sz w:val="20"/>
          <w:szCs w:val="20"/>
        </w:rPr>
        <w:t>T</w:t>
      </w:r>
      <w:r w:rsidR="001A6F61">
        <w:rPr>
          <w:rFonts w:ascii="Verdana" w:hAnsi="Verdana" w:cs="Tahoma"/>
          <w:sz w:val="20"/>
          <w:szCs w:val="20"/>
        </w:rPr>
        <w:t>ortura</w:t>
      </w:r>
      <w:r w:rsidR="00981C1B" w:rsidRPr="00F9275D">
        <w:rPr>
          <w:rFonts w:ascii="Verdana" w:hAnsi="Verdana" w:cs="Tahoma"/>
          <w:sz w:val="20"/>
          <w:szCs w:val="20"/>
        </w:rPr>
        <w:t>, en virtud de la valoración estereotipada de la prueba por parte del poder judicial, que constituyó discriminación en el acceso a la justicia por razones de género</w:t>
      </w:r>
      <w:r w:rsidR="00981C1B" w:rsidRPr="00F9275D">
        <w:rPr>
          <w:rStyle w:val="FootnoteReference"/>
          <w:rFonts w:ascii="Verdana" w:hAnsi="Verdana" w:cs="Tahoma"/>
          <w:sz w:val="20"/>
          <w:szCs w:val="20"/>
        </w:rPr>
        <w:footnoteReference w:id="34"/>
      </w:r>
      <w:r w:rsidR="00981C1B" w:rsidRPr="00F9275D">
        <w:rPr>
          <w:rFonts w:ascii="Verdana" w:hAnsi="Verdana" w:cs="Tahoma"/>
          <w:sz w:val="20"/>
          <w:szCs w:val="20"/>
        </w:rPr>
        <w:t>, así como por la violencia sexual y tortura que padeció</w:t>
      </w:r>
      <w:r w:rsidR="0094500E">
        <w:rPr>
          <w:rFonts w:ascii="Verdana" w:hAnsi="Verdana" w:cs="Tahoma"/>
          <w:sz w:val="20"/>
          <w:szCs w:val="20"/>
        </w:rPr>
        <w:t xml:space="preserve"> la víctima</w:t>
      </w:r>
      <w:r w:rsidR="00981C1B" w:rsidRPr="00F9275D">
        <w:rPr>
          <w:rStyle w:val="FootnoteReference"/>
          <w:rFonts w:ascii="Verdana" w:hAnsi="Verdana" w:cs="Tahoma"/>
          <w:sz w:val="20"/>
          <w:szCs w:val="20"/>
        </w:rPr>
        <w:footnoteReference w:id="35"/>
      </w:r>
      <w:r w:rsidR="00981C1B" w:rsidRPr="00F9275D">
        <w:rPr>
          <w:rFonts w:ascii="Verdana" w:hAnsi="Verdana" w:cs="Tahoma"/>
          <w:sz w:val="20"/>
          <w:szCs w:val="20"/>
        </w:rPr>
        <w:t>.</w:t>
      </w:r>
    </w:p>
    <w:p w14:paraId="3221081F" w14:textId="77777777" w:rsidR="00AA2284" w:rsidRPr="00F9275D" w:rsidRDefault="00AA2284" w:rsidP="008C7F7F">
      <w:pPr>
        <w:autoSpaceDE w:val="0"/>
        <w:autoSpaceDN w:val="0"/>
        <w:adjustRightInd w:val="0"/>
        <w:spacing w:after="0" w:line="240" w:lineRule="auto"/>
        <w:jc w:val="both"/>
        <w:rPr>
          <w:rFonts w:ascii="Verdana" w:hAnsi="Verdana" w:cs="Tahoma"/>
          <w:sz w:val="20"/>
          <w:szCs w:val="20"/>
        </w:rPr>
      </w:pPr>
    </w:p>
    <w:p w14:paraId="32210820" w14:textId="77777777" w:rsidR="009F6FF0" w:rsidRPr="00F9275D" w:rsidRDefault="00522631" w:rsidP="00F55160">
      <w:pPr>
        <w:pStyle w:val="ListParagraph"/>
        <w:autoSpaceDE w:val="0"/>
        <w:autoSpaceDN w:val="0"/>
        <w:adjustRightInd w:val="0"/>
        <w:spacing w:after="0" w:line="240" w:lineRule="auto"/>
        <w:ind w:left="0"/>
        <w:jc w:val="both"/>
        <w:rPr>
          <w:rFonts w:ascii="Verdana" w:hAnsi="Verdana" w:cs="Tahoma"/>
          <w:sz w:val="20"/>
          <w:szCs w:val="20"/>
        </w:rPr>
      </w:pPr>
      <w:r>
        <w:rPr>
          <w:rFonts w:ascii="Verdana" w:hAnsi="Verdana" w:cs="Tahoma"/>
          <w:sz w:val="20"/>
          <w:szCs w:val="20"/>
        </w:rPr>
        <w:t xml:space="preserve">16. </w:t>
      </w:r>
      <w:r>
        <w:rPr>
          <w:rFonts w:ascii="Verdana" w:hAnsi="Verdana" w:cs="Tahoma"/>
          <w:sz w:val="20"/>
          <w:szCs w:val="20"/>
        </w:rPr>
        <w:tab/>
      </w:r>
      <w:r w:rsidR="0094500E">
        <w:rPr>
          <w:rFonts w:ascii="Verdana" w:hAnsi="Verdana" w:cs="Tahoma"/>
          <w:sz w:val="20"/>
          <w:szCs w:val="20"/>
        </w:rPr>
        <w:t xml:space="preserve">Como puede apreciarse en este breve recorrido, </w:t>
      </w:r>
      <w:r w:rsidR="009F6FF0" w:rsidRPr="00F9275D">
        <w:rPr>
          <w:rFonts w:ascii="Verdana" w:hAnsi="Verdana" w:cs="Tahoma"/>
          <w:sz w:val="20"/>
          <w:szCs w:val="20"/>
        </w:rPr>
        <w:t>la jurisprud</w:t>
      </w:r>
      <w:r w:rsidR="00192DCD">
        <w:rPr>
          <w:rFonts w:ascii="Verdana" w:hAnsi="Verdana" w:cs="Tahoma"/>
          <w:sz w:val="20"/>
          <w:szCs w:val="20"/>
        </w:rPr>
        <w:t>encia de la Corte IDH</w:t>
      </w:r>
      <w:r w:rsidR="009F6FF0" w:rsidRPr="00F9275D">
        <w:rPr>
          <w:rFonts w:ascii="Verdana" w:hAnsi="Verdana" w:cs="Tahoma"/>
          <w:sz w:val="20"/>
          <w:szCs w:val="20"/>
        </w:rPr>
        <w:t xml:space="preserve"> no ha sido de ninguna manera ajena a la problemática de la violencia contra la mujer en </w:t>
      </w:r>
      <w:r w:rsidR="0094500E">
        <w:rPr>
          <w:rFonts w:ascii="Verdana" w:hAnsi="Verdana" w:cs="Tahoma"/>
          <w:sz w:val="20"/>
          <w:szCs w:val="20"/>
        </w:rPr>
        <w:t>la región;</w:t>
      </w:r>
      <w:r w:rsidR="009F6FF0" w:rsidRPr="00F9275D">
        <w:rPr>
          <w:rFonts w:ascii="Verdana" w:hAnsi="Verdana" w:cs="Tahoma"/>
          <w:sz w:val="20"/>
          <w:szCs w:val="20"/>
        </w:rPr>
        <w:t xml:space="preserve"> por el contrario, </w:t>
      </w:r>
      <w:r w:rsidR="00ED7D75">
        <w:rPr>
          <w:rFonts w:ascii="Verdana" w:hAnsi="Verdana" w:cs="Tahoma"/>
          <w:sz w:val="20"/>
          <w:szCs w:val="20"/>
        </w:rPr>
        <w:t>se ha introducido</w:t>
      </w:r>
      <w:r w:rsidR="002F3337" w:rsidRPr="00F9275D">
        <w:rPr>
          <w:rFonts w:ascii="Verdana" w:hAnsi="Verdana" w:cs="Tahoma"/>
          <w:sz w:val="20"/>
          <w:szCs w:val="20"/>
        </w:rPr>
        <w:t xml:space="preserve"> a su estudio </w:t>
      </w:r>
      <w:r w:rsidR="0094500E">
        <w:rPr>
          <w:rFonts w:ascii="Verdana" w:hAnsi="Verdana" w:cs="Tahoma"/>
          <w:sz w:val="20"/>
          <w:szCs w:val="20"/>
        </w:rPr>
        <w:t xml:space="preserve">en diversas ocasiones, </w:t>
      </w:r>
      <w:r w:rsidR="002F3337" w:rsidRPr="00F9275D">
        <w:rPr>
          <w:rFonts w:ascii="Verdana" w:hAnsi="Verdana" w:cs="Tahoma"/>
          <w:sz w:val="20"/>
          <w:szCs w:val="20"/>
        </w:rPr>
        <w:t>como producto</w:t>
      </w:r>
      <w:r w:rsidR="009F6FF0" w:rsidRPr="00F9275D">
        <w:rPr>
          <w:rFonts w:ascii="Verdana" w:hAnsi="Verdana" w:cs="Tahoma"/>
          <w:sz w:val="20"/>
          <w:szCs w:val="20"/>
        </w:rPr>
        <w:t xml:space="preserve"> de una interpretación de las disposiciones de la Convención Americana </w:t>
      </w:r>
      <w:r w:rsidR="001A6F61">
        <w:rPr>
          <w:rFonts w:ascii="Verdana" w:hAnsi="Verdana" w:cs="Tahoma"/>
          <w:sz w:val="20"/>
          <w:szCs w:val="20"/>
        </w:rPr>
        <w:t>en relación con el</w:t>
      </w:r>
      <w:r w:rsidR="009F6FF0" w:rsidRPr="00F9275D">
        <w:rPr>
          <w:rFonts w:ascii="Verdana" w:hAnsi="Verdana" w:cs="Tahoma"/>
          <w:sz w:val="20"/>
          <w:szCs w:val="20"/>
        </w:rPr>
        <w:t xml:space="preserve"> artículo 7 de la </w:t>
      </w:r>
      <w:r w:rsidR="0094500E">
        <w:rPr>
          <w:rFonts w:ascii="Verdana" w:hAnsi="Verdana" w:cs="Tahoma"/>
          <w:sz w:val="20"/>
          <w:szCs w:val="20"/>
        </w:rPr>
        <w:t>“</w:t>
      </w:r>
      <w:r w:rsidR="009F6FF0" w:rsidRPr="00F9275D">
        <w:rPr>
          <w:rFonts w:ascii="Verdana" w:hAnsi="Verdana" w:cs="Tahoma"/>
          <w:sz w:val="20"/>
          <w:szCs w:val="20"/>
        </w:rPr>
        <w:t>Convención de Belém do Pará</w:t>
      </w:r>
      <w:r w:rsidR="0094500E">
        <w:rPr>
          <w:rFonts w:ascii="Verdana" w:hAnsi="Verdana" w:cs="Tahoma"/>
          <w:sz w:val="20"/>
          <w:szCs w:val="20"/>
        </w:rPr>
        <w:t>”, estableciendo</w:t>
      </w:r>
      <w:r w:rsidR="009F6FF0" w:rsidRPr="00F9275D">
        <w:rPr>
          <w:rFonts w:ascii="Verdana" w:hAnsi="Verdana" w:cs="Tahoma"/>
          <w:sz w:val="20"/>
          <w:szCs w:val="20"/>
        </w:rPr>
        <w:t xml:space="preserve"> valiosos estándares en cuanto a los deberes estatales frente a ca</w:t>
      </w:r>
      <w:r w:rsidR="001A6F61">
        <w:rPr>
          <w:rFonts w:ascii="Verdana" w:hAnsi="Verdana" w:cs="Tahoma"/>
          <w:sz w:val="20"/>
          <w:szCs w:val="20"/>
        </w:rPr>
        <w:t>sos de violencia de género</w:t>
      </w:r>
      <w:r w:rsidR="0094500E">
        <w:rPr>
          <w:rFonts w:ascii="Verdana" w:hAnsi="Verdana" w:cs="Tahoma"/>
          <w:sz w:val="20"/>
          <w:szCs w:val="20"/>
        </w:rPr>
        <w:t>, en especial —</w:t>
      </w:r>
      <w:r w:rsidR="001A6F61">
        <w:rPr>
          <w:rFonts w:ascii="Verdana" w:hAnsi="Verdana" w:cs="Tahoma"/>
          <w:sz w:val="20"/>
          <w:szCs w:val="20"/>
        </w:rPr>
        <w:t xml:space="preserve">y con motivo de la materia </w:t>
      </w:r>
      <w:r w:rsidR="002F3337" w:rsidRPr="00F9275D">
        <w:rPr>
          <w:rFonts w:ascii="Verdana" w:hAnsi="Verdana" w:cs="Tahoma"/>
          <w:sz w:val="20"/>
          <w:szCs w:val="20"/>
        </w:rPr>
        <w:t>objeto del presente voto</w:t>
      </w:r>
      <w:r w:rsidR="0094500E">
        <w:rPr>
          <w:rFonts w:ascii="Verdana" w:hAnsi="Verdana" w:cs="Tahoma"/>
          <w:sz w:val="20"/>
          <w:szCs w:val="20"/>
        </w:rPr>
        <w:t xml:space="preserve">— sobre el </w:t>
      </w:r>
      <w:r w:rsidR="001A6F61">
        <w:rPr>
          <w:rFonts w:ascii="Verdana" w:hAnsi="Verdana" w:cs="Tahoma"/>
          <w:sz w:val="20"/>
          <w:szCs w:val="20"/>
        </w:rPr>
        <w:t>“</w:t>
      </w:r>
      <w:r w:rsidR="0094500E">
        <w:rPr>
          <w:rFonts w:ascii="Verdana" w:hAnsi="Verdana" w:cs="Tahoma"/>
          <w:sz w:val="20"/>
          <w:szCs w:val="20"/>
        </w:rPr>
        <w:t>deber de prevención</w:t>
      </w:r>
      <w:r w:rsidR="001A6F61">
        <w:rPr>
          <w:rFonts w:ascii="Verdana" w:hAnsi="Verdana" w:cs="Tahoma"/>
          <w:sz w:val="20"/>
          <w:szCs w:val="20"/>
        </w:rPr>
        <w:t>”</w:t>
      </w:r>
      <w:r w:rsidR="0094500E">
        <w:rPr>
          <w:rFonts w:ascii="Verdana" w:hAnsi="Verdana" w:cs="Tahoma"/>
          <w:sz w:val="20"/>
          <w:szCs w:val="20"/>
        </w:rPr>
        <w:t xml:space="preserve"> a que nos referiremos a continuación.</w:t>
      </w:r>
    </w:p>
    <w:p w14:paraId="32210821" w14:textId="77777777" w:rsidR="00424D23" w:rsidRPr="00F9275D" w:rsidRDefault="00424D23" w:rsidP="000C11E4">
      <w:pPr>
        <w:autoSpaceDE w:val="0"/>
        <w:autoSpaceDN w:val="0"/>
        <w:adjustRightInd w:val="0"/>
        <w:spacing w:after="0" w:line="240" w:lineRule="auto"/>
        <w:jc w:val="both"/>
        <w:rPr>
          <w:rFonts w:ascii="Verdana" w:hAnsi="Verdana" w:cs="Tahoma"/>
          <w:sz w:val="20"/>
          <w:szCs w:val="20"/>
        </w:rPr>
      </w:pPr>
    </w:p>
    <w:p w14:paraId="32210822" w14:textId="77777777" w:rsidR="00424D23" w:rsidRPr="00F9275D" w:rsidRDefault="00424D23" w:rsidP="000C11E4">
      <w:pPr>
        <w:autoSpaceDE w:val="0"/>
        <w:autoSpaceDN w:val="0"/>
        <w:adjustRightInd w:val="0"/>
        <w:spacing w:after="0" w:line="240" w:lineRule="auto"/>
        <w:jc w:val="both"/>
        <w:rPr>
          <w:rFonts w:ascii="Verdana" w:hAnsi="Verdana" w:cs="Tahoma"/>
          <w:sz w:val="20"/>
          <w:szCs w:val="20"/>
        </w:rPr>
      </w:pPr>
    </w:p>
    <w:p w14:paraId="32210823" w14:textId="77777777" w:rsidR="00D53C2F" w:rsidRPr="00F55160" w:rsidRDefault="00F55160" w:rsidP="00F55160">
      <w:pPr>
        <w:spacing w:line="360" w:lineRule="auto"/>
        <w:jc w:val="center"/>
        <w:rPr>
          <w:rStyle w:val="Strong"/>
          <w:rFonts w:ascii="Verdana" w:hAnsi="Verdana" w:cs="Tahoma"/>
          <w:b w:val="0"/>
          <w:i/>
          <w:caps/>
          <w:color w:val="000000"/>
          <w:sz w:val="20"/>
          <w:szCs w:val="20"/>
          <w:shd w:val="clear" w:color="auto" w:fill="FFFFFF"/>
        </w:rPr>
      </w:pPr>
      <w:r w:rsidRPr="00F55160">
        <w:rPr>
          <w:rFonts w:ascii="Verdana" w:hAnsi="Verdana" w:cs="Tahoma"/>
          <w:sz w:val="20"/>
          <w:szCs w:val="20"/>
        </w:rPr>
        <w:t xml:space="preserve">II. </w:t>
      </w:r>
      <w:r w:rsidR="004D52DD" w:rsidRPr="00F55160">
        <w:rPr>
          <w:rFonts w:ascii="Verdana" w:hAnsi="Verdana" w:cs="Tahoma"/>
          <w:bCs/>
          <w:caps/>
          <w:sz w:val="20"/>
          <w:szCs w:val="20"/>
        </w:rPr>
        <w:t xml:space="preserve">El </w:t>
      </w:r>
      <w:r w:rsidR="00747C41">
        <w:rPr>
          <w:rFonts w:ascii="Verdana" w:hAnsi="Verdana" w:cs="Tahoma"/>
          <w:bCs/>
          <w:caps/>
          <w:sz w:val="20"/>
          <w:szCs w:val="20"/>
        </w:rPr>
        <w:t>“</w:t>
      </w:r>
      <w:r w:rsidR="004D52DD" w:rsidRPr="00F55160">
        <w:rPr>
          <w:rFonts w:ascii="Verdana" w:hAnsi="Verdana" w:cs="Tahoma"/>
          <w:bCs/>
          <w:caps/>
          <w:sz w:val="20"/>
          <w:szCs w:val="20"/>
        </w:rPr>
        <w:t>deber de prevención</w:t>
      </w:r>
      <w:r w:rsidR="00747C41">
        <w:rPr>
          <w:rFonts w:ascii="Verdana" w:hAnsi="Verdana" w:cs="Tahoma"/>
          <w:bCs/>
          <w:caps/>
          <w:sz w:val="20"/>
          <w:szCs w:val="20"/>
        </w:rPr>
        <w:t>”</w:t>
      </w:r>
      <w:r w:rsidR="004D52DD" w:rsidRPr="00F55160">
        <w:rPr>
          <w:rFonts w:ascii="Verdana" w:hAnsi="Verdana" w:cs="Tahoma"/>
          <w:bCs/>
          <w:caps/>
          <w:sz w:val="20"/>
          <w:szCs w:val="20"/>
        </w:rPr>
        <w:t xml:space="preserve"> y sus </w:t>
      </w:r>
      <w:r>
        <w:rPr>
          <w:rFonts w:ascii="Verdana" w:hAnsi="Verdana" w:cs="Tahoma"/>
          <w:bCs/>
          <w:caps/>
          <w:sz w:val="20"/>
          <w:szCs w:val="20"/>
        </w:rPr>
        <w:t>“</w:t>
      </w:r>
      <w:r w:rsidR="004D52DD" w:rsidRPr="00F55160">
        <w:rPr>
          <w:rFonts w:ascii="Verdana" w:hAnsi="Verdana" w:cs="Tahoma"/>
          <w:bCs/>
          <w:caps/>
          <w:sz w:val="20"/>
          <w:szCs w:val="20"/>
        </w:rPr>
        <w:t>dos momentos</w:t>
      </w:r>
      <w:r>
        <w:rPr>
          <w:rFonts w:ascii="Verdana" w:hAnsi="Verdana" w:cs="Tahoma"/>
          <w:bCs/>
          <w:caps/>
          <w:sz w:val="20"/>
          <w:szCs w:val="20"/>
        </w:rPr>
        <w:t>”</w:t>
      </w:r>
      <w:r w:rsidR="004D52DD" w:rsidRPr="00F55160">
        <w:rPr>
          <w:rFonts w:ascii="Verdana" w:hAnsi="Verdana" w:cs="Tahoma"/>
          <w:bCs/>
          <w:caps/>
          <w:sz w:val="20"/>
          <w:szCs w:val="20"/>
        </w:rPr>
        <w:t xml:space="preserve"> en l</w:t>
      </w:r>
      <w:r w:rsidR="00424D23" w:rsidRPr="00F55160">
        <w:rPr>
          <w:rFonts w:ascii="Verdana" w:hAnsi="Verdana" w:cs="Tahoma"/>
          <w:bCs/>
          <w:caps/>
          <w:sz w:val="20"/>
          <w:szCs w:val="20"/>
        </w:rPr>
        <w:t xml:space="preserve">os casos </w:t>
      </w:r>
      <w:r w:rsidR="00424D23" w:rsidRPr="00F55160">
        <w:rPr>
          <w:rStyle w:val="Strong"/>
          <w:rFonts w:ascii="Verdana" w:hAnsi="Verdana" w:cs="Tahoma"/>
          <w:b w:val="0"/>
          <w:i/>
          <w:caps/>
          <w:color w:val="000000"/>
          <w:sz w:val="20"/>
          <w:szCs w:val="20"/>
          <w:shd w:val="clear" w:color="auto" w:fill="FFFFFF"/>
        </w:rPr>
        <w:t>González y otras (“Campo Algodonero”) Vs. México</w:t>
      </w:r>
      <w:r w:rsidR="00747C41">
        <w:rPr>
          <w:rStyle w:val="Strong"/>
          <w:rFonts w:ascii="Verdana" w:hAnsi="Verdana" w:cs="Tahoma"/>
          <w:b w:val="0"/>
          <w:i/>
          <w:caps/>
          <w:color w:val="000000"/>
          <w:sz w:val="20"/>
          <w:szCs w:val="20"/>
          <w:shd w:val="clear" w:color="auto" w:fill="FFFFFF"/>
        </w:rPr>
        <w:t xml:space="preserve"> (2009)</w:t>
      </w:r>
      <w:r>
        <w:rPr>
          <w:rStyle w:val="Strong"/>
          <w:rFonts w:ascii="Verdana" w:hAnsi="Verdana" w:cs="Tahoma"/>
          <w:b w:val="0"/>
          <w:i/>
          <w:caps/>
          <w:color w:val="000000"/>
          <w:sz w:val="20"/>
          <w:szCs w:val="20"/>
          <w:shd w:val="clear" w:color="auto" w:fill="FFFFFF"/>
        </w:rPr>
        <w:t>,</w:t>
      </w:r>
      <w:r w:rsidR="00424D23" w:rsidRPr="00F55160">
        <w:rPr>
          <w:rStyle w:val="Strong"/>
          <w:rFonts w:ascii="Verdana" w:hAnsi="Verdana" w:cs="Tahoma"/>
          <w:b w:val="0"/>
          <w:i/>
          <w:caps/>
          <w:color w:val="000000"/>
          <w:sz w:val="20"/>
          <w:szCs w:val="20"/>
          <w:shd w:val="clear" w:color="auto" w:fill="FFFFFF"/>
        </w:rPr>
        <w:t xml:space="preserve"> y Veliz Franco y otros vs. Guatemala</w:t>
      </w:r>
      <w:r w:rsidR="00747C41">
        <w:rPr>
          <w:rStyle w:val="Strong"/>
          <w:rFonts w:ascii="Verdana" w:hAnsi="Verdana" w:cs="Tahoma"/>
          <w:b w:val="0"/>
          <w:i/>
          <w:caps/>
          <w:color w:val="000000"/>
          <w:sz w:val="20"/>
          <w:szCs w:val="20"/>
          <w:shd w:val="clear" w:color="auto" w:fill="FFFFFF"/>
        </w:rPr>
        <w:t xml:space="preserve"> (2014)</w:t>
      </w:r>
    </w:p>
    <w:p w14:paraId="32210824" w14:textId="77777777" w:rsidR="00424D23" w:rsidRPr="00F9275D" w:rsidRDefault="00522631" w:rsidP="00C57B1A">
      <w:pPr>
        <w:pStyle w:val="ListParagraph"/>
        <w:spacing w:line="240" w:lineRule="auto"/>
        <w:ind w:left="0"/>
        <w:jc w:val="both"/>
        <w:rPr>
          <w:rFonts w:ascii="Verdana" w:hAnsi="Verdana" w:cs="Tahoma"/>
          <w:sz w:val="20"/>
          <w:szCs w:val="20"/>
        </w:rPr>
      </w:pPr>
      <w:r>
        <w:rPr>
          <w:rFonts w:ascii="Verdana" w:hAnsi="Verdana" w:cs="Tahoma"/>
          <w:sz w:val="20"/>
          <w:szCs w:val="20"/>
        </w:rPr>
        <w:t xml:space="preserve">17. </w:t>
      </w:r>
      <w:r>
        <w:rPr>
          <w:rFonts w:ascii="Verdana" w:hAnsi="Verdana" w:cs="Tahoma"/>
          <w:sz w:val="20"/>
          <w:szCs w:val="20"/>
        </w:rPr>
        <w:tab/>
      </w:r>
      <w:r w:rsidR="00D9373B" w:rsidRPr="00F9275D">
        <w:rPr>
          <w:rFonts w:ascii="Verdana" w:hAnsi="Verdana" w:cs="Tahoma"/>
          <w:sz w:val="20"/>
          <w:szCs w:val="20"/>
        </w:rPr>
        <w:t xml:space="preserve">La Corte IDH ha establecido en dos de sus </w:t>
      </w:r>
      <w:r w:rsidR="002F3337" w:rsidRPr="00F9275D">
        <w:rPr>
          <w:rFonts w:ascii="Verdana" w:hAnsi="Verdana" w:cs="Tahoma"/>
          <w:sz w:val="20"/>
          <w:szCs w:val="20"/>
        </w:rPr>
        <w:t xml:space="preserve">sobresalientes </w:t>
      </w:r>
      <w:r w:rsidR="00D9373B" w:rsidRPr="00F9275D">
        <w:rPr>
          <w:rFonts w:ascii="Verdana" w:hAnsi="Verdana" w:cs="Tahoma"/>
          <w:sz w:val="20"/>
          <w:szCs w:val="20"/>
        </w:rPr>
        <w:t>casos sobre</w:t>
      </w:r>
      <w:r w:rsidR="00D53C2F" w:rsidRPr="00F9275D">
        <w:rPr>
          <w:rFonts w:ascii="Verdana" w:hAnsi="Verdana" w:cs="Tahoma"/>
          <w:sz w:val="20"/>
          <w:szCs w:val="20"/>
        </w:rPr>
        <w:t xml:space="preserve"> violencia de género</w:t>
      </w:r>
      <w:r w:rsidR="00D53C2F" w:rsidRPr="00F9275D">
        <w:rPr>
          <w:rStyle w:val="FootnoteReference"/>
          <w:rFonts w:ascii="Verdana" w:hAnsi="Verdana" w:cs="Tahoma"/>
          <w:sz w:val="20"/>
          <w:szCs w:val="20"/>
        </w:rPr>
        <w:footnoteReference w:id="36"/>
      </w:r>
      <w:r w:rsidR="00637AB6">
        <w:rPr>
          <w:rFonts w:ascii="Verdana" w:hAnsi="Verdana" w:cs="Tahoma"/>
          <w:sz w:val="20"/>
          <w:szCs w:val="20"/>
        </w:rPr>
        <w:t>,</w:t>
      </w:r>
      <w:r w:rsidR="00D53C2F" w:rsidRPr="00F9275D">
        <w:rPr>
          <w:rFonts w:ascii="Verdana" w:hAnsi="Verdana" w:cs="Tahoma"/>
          <w:sz w:val="20"/>
          <w:szCs w:val="20"/>
        </w:rPr>
        <w:t xml:space="preserve"> estándares valiosos en cuanto a</w:t>
      </w:r>
      <w:r w:rsidR="00E6232B" w:rsidRPr="00F9275D">
        <w:rPr>
          <w:rFonts w:ascii="Verdana" w:hAnsi="Verdana" w:cs="Tahoma"/>
          <w:sz w:val="20"/>
          <w:szCs w:val="20"/>
        </w:rPr>
        <w:t>l cumplimiento de</w:t>
      </w:r>
      <w:r w:rsidR="00D53C2F" w:rsidRPr="00F9275D">
        <w:rPr>
          <w:rFonts w:ascii="Verdana" w:hAnsi="Verdana" w:cs="Tahoma"/>
          <w:sz w:val="20"/>
          <w:szCs w:val="20"/>
        </w:rPr>
        <w:t xml:space="preserve"> los deberes estatales</w:t>
      </w:r>
      <w:r w:rsidR="00E6232B" w:rsidRPr="00F9275D">
        <w:rPr>
          <w:rFonts w:ascii="Verdana" w:hAnsi="Verdana" w:cs="Tahoma"/>
          <w:sz w:val="20"/>
          <w:szCs w:val="20"/>
        </w:rPr>
        <w:t xml:space="preserve"> de respeto y garantía de los derechos humanos</w:t>
      </w:r>
      <w:r w:rsidR="00D53C2F" w:rsidRPr="00F9275D">
        <w:rPr>
          <w:rFonts w:ascii="Verdana" w:hAnsi="Verdana" w:cs="Tahoma"/>
          <w:sz w:val="20"/>
          <w:szCs w:val="20"/>
        </w:rPr>
        <w:t xml:space="preserve"> frente a la lucha cont</w:t>
      </w:r>
      <w:r w:rsidR="00FD240F">
        <w:rPr>
          <w:rFonts w:ascii="Verdana" w:hAnsi="Verdana" w:cs="Tahoma"/>
          <w:sz w:val="20"/>
          <w:szCs w:val="20"/>
        </w:rPr>
        <w:t xml:space="preserve">ra la violencia contra la mujer; </w:t>
      </w:r>
      <w:r w:rsidR="00D53C2F" w:rsidRPr="00F9275D">
        <w:rPr>
          <w:rFonts w:ascii="Verdana" w:hAnsi="Verdana" w:cs="Tahoma"/>
          <w:sz w:val="20"/>
          <w:szCs w:val="20"/>
        </w:rPr>
        <w:t xml:space="preserve">particularmente, dentro de su análisis del deber de garantía de derechos tales como el derecho a la vida, a la integridad y a la libertad personal, ha </w:t>
      </w:r>
      <w:r w:rsidR="00425EF3" w:rsidRPr="00F9275D">
        <w:rPr>
          <w:rFonts w:ascii="Verdana" w:hAnsi="Verdana" w:cs="Tahoma"/>
          <w:sz w:val="20"/>
          <w:szCs w:val="20"/>
        </w:rPr>
        <w:t xml:space="preserve">estudiado a fondo el </w:t>
      </w:r>
      <w:r w:rsidR="00D53C2F" w:rsidRPr="00F9275D">
        <w:rPr>
          <w:rFonts w:ascii="Verdana" w:hAnsi="Verdana" w:cs="Tahoma"/>
          <w:sz w:val="20"/>
          <w:szCs w:val="20"/>
        </w:rPr>
        <w:t>deber de prevención estatal</w:t>
      </w:r>
      <w:r w:rsidR="00D53C2F" w:rsidRPr="00F9275D">
        <w:rPr>
          <w:rStyle w:val="FootnoteReference"/>
          <w:rFonts w:ascii="Verdana" w:hAnsi="Verdana" w:cs="Tahoma"/>
          <w:sz w:val="20"/>
          <w:szCs w:val="20"/>
        </w:rPr>
        <w:footnoteReference w:id="37"/>
      </w:r>
      <w:r w:rsidR="00425EF3" w:rsidRPr="00F9275D">
        <w:rPr>
          <w:rFonts w:ascii="Verdana" w:hAnsi="Verdana" w:cs="Tahoma"/>
          <w:sz w:val="20"/>
          <w:szCs w:val="20"/>
        </w:rPr>
        <w:t xml:space="preserve">, destacando en dicho estudio </w:t>
      </w:r>
      <w:r w:rsidR="00D53C2F" w:rsidRPr="00F9275D">
        <w:rPr>
          <w:rFonts w:ascii="Verdana" w:hAnsi="Verdana" w:cs="Tahoma"/>
          <w:sz w:val="20"/>
          <w:szCs w:val="20"/>
        </w:rPr>
        <w:t xml:space="preserve">el estándar de los </w:t>
      </w:r>
      <w:r w:rsidR="00FD240F">
        <w:rPr>
          <w:rFonts w:ascii="Verdana" w:hAnsi="Verdana" w:cs="Tahoma"/>
          <w:sz w:val="20"/>
          <w:szCs w:val="20"/>
        </w:rPr>
        <w:t>“</w:t>
      </w:r>
      <w:r w:rsidR="00D53C2F" w:rsidRPr="00F9275D">
        <w:rPr>
          <w:rFonts w:ascii="Verdana" w:hAnsi="Verdana" w:cs="Tahoma"/>
          <w:sz w:val="20"/>
          <w:szCs w:val="20"/>
        </w:rPr>
        <w:t>dos momentos</w:t>
      </w:r>
      <w:r w:rsidR="00FD240F">
        <w:rPr>
          <w:rFonts w:ascii="Verdana" w:hAnsi="Verdana" w:cs="Tahoma"/>
          <w:sz w:val="20"/>
          <w:szCs w:val="20"/>
        </w:rPr>
        <w:t>”</w:t>
      </w:r>
      <w:r w:rsidR="00637AB6">
        <w:rPr>
          <w:rFonts w:ascii="Verdana" w:hAnsi="Verdana" w:cs="Tahoma"/>
          <w:sz w:val="20"/>
          <w:szCs w:val="20"/>
        </w:rPr>
        <w:t xml:space="preserve"> en el deber de prevensión para efectos de la determinación de la responsabilidad internacional de los estados</w:t>
      </w:r>
      <w:r w:rsidR="00D53C2F" w:rsidRPr="00F9275D">
        <w:rPr>
          <w:rFonts w:ascii="Verdana" w:hAnsi="Verdana" w:cs="Tahoma"/>
          <w:sz w:val="20"/>
          <w:szCs w:val="20"/>
        </w:rPr>
        <w:t>.</w:t>
      </w:r>
    </w:p>
    <w:p w14:paraId="32210825" w14:textId="77777777" w:rsidR="00786CEF" w:rsidRPr="00F9275D" w:rsidRDefault="00786CEF" w:rsidP="008C7F7F">
      <w:pPr>
        <w:pStyle w:val="ListParagraph"/>
        <w:spacing w:line="240" w:lineRule="auto"/>
        <w:ind w:left="0"/>
        <w:jc w:val="both"/>
        <w:rPr>
          <w:rFonts w:ascii="Verdana" w:hAnsi="Verdana" w:cs="Tahoma"/>
          <w:sz w:val="20"/>
          <w:szCs w:val="20"/>
        </w:rPr>
      </w:pPr>
    </w:p>
    <w:p w14:paraId="32210826" w14:textId="77777777" w:rsidR="00E6232B" w:rsidRPr="00F9275D" w:rsidRDefault="00522631" w:rsidP="00C57B1A">
      <w:pPr>
        <w:pStyle w:val="ListParagraph"/>
        <w:spacing w:line="240" w:lineRule="auto"/>
        <w:ind w:left="0"/>
        <w:jc w:val="both"/>
        <w:rPr>
          <w:rStyle w:val="Strong"/>
          <w:rFonts w:ascii="Verdana" w:hAnsi="Verdana" w:cs="Tahoma"/>
          <w:b w:val="0"/>
          <w:i/>
          <w:color w:val="000000"/>
          <w:sz w:val="20"/>
          <w:szCs w:val="20"/>
          <w:shd w:val="clear" w:color="auto" w:fill="FFFFFF"/>
        </w:rPr>
      </w:pPr>
      <w:r>
        <w:rPr>
          <w:rFonts w:ascii="Verdana" w:hAnsi="Verdana" w:cs="Tahoma"/>
          <w:sz w:val="20"/>
          <w:szCs w:val="20"/>
        </w:rPr>
        <w:t xml:space="preserve">18. </w:t>
      </w:r>
      <w:r>
        <w:rPr>
          <w:rFonts w:ascii="Verdana" w:hAnsi="Verdana" w:cs="Tahoma"/>
          <w:sz w:val="20"/>
          <w:szCs w:val="20"/>
        </w:rPr>
        <w:tab/>
      </w:r>
      <w:r w:rsidR="00E6232B" w:rsidRPr="00F9275D">
        <w:rPr>
          <w:rFonts w:ascii="Verdana" w:hAnsi="Verdana" w:cs="Tahoma"/>
          <w:sz w:val="20"/>
          <w:szCs w:val="20"/>
        </w:rPr>
        <w:t xml:space="preserve">Dicho estándar ha permitido estudiar </w:t>
      </w:r>
      <w:r w:rsidR="002F3337" w:rsidRPr="00F9275D">
        <w:rPr>
          <w:rFonts w:ascii="Verdana" w:hAnsi="Verdana" w:cs="Tahoma"/>
          <w:sz w:val="20"/>
          <w:szCs w:val="20"/>
        </w:rPr>
        <w:t>minuciosamente</w:t>
      </w:r>
      <w:r w:rsidR="00E6232B" w:rsidRPr="00F9275D">
        <w:rPr>
          <w:rFonts w:ascii="Verdana" w:hAnsi="Verdana" w:cs="Tahoma"/>
          <w:sz w:val="20"/>
          <w:szCs w:val="20"/>
        </w:rPr>
        <w:t xml:space="preserve"> el deber de prevención</w:t>
      </w:r>
      <w:r w:rsidR="00931F98" w:rsidRPr="00F9275D">
        <w:rPr>
          <w:rFonts w:ascii="Verdana" w:hAnsi="Verdana" w:cs="Tahoma"/>
          <w:sz w:val="20"/>
          <w:szCs w:val="20"/>
        </w:rPr>
        <w:t xml:space="preserve"> -</w:t>
      </w:r>
      <w:r w:rsidR="00FD240F">
        <w:rPr>
          <w:rFonts w:ascii="Verdana" w:hAnsi="Verdana" w:cs="Tahoma"/>
          <w:sz w:val="20"/>
          <w:szCs w:val="20"/>
        </w:rPr>
        <w:t>—</w:t>
      </w:r>
      <w:r w:rsidR="00931F98" w:rsidRPr="00F9275D">
        <w:rPr>
          <w:rFonts w:ascii="Verdana" w:hAnsi="Verdana" w:cs="Tahoma"/>
          <w:sz w:val="20"/>
          <w:szCs w:val="20"/>
        </w:rPr>
        <w:t>y en su caso determinar la responsabilidad internacional</w:t>
      </w:r>
      <w:r w:rsidR="00FD240F">
        <w:rPr>
          <w:rFonts w:ascii="Verdana" w:hAnsi="Verdana" w:cs="Tahoma"/>
          <w:sz w:val="20"/>
          <w:szCs w:val="20"/>
        </w:rPr>
        <w:t>—</w:t>
      </w:r>
      <w:r w:rsidR="00E6232B" w:rsidRPr="00F9275D">
        <w:rPr>
          <w:rFonts w:ascii="Verdana" w:hAnsi="Verdana" w:cs="Tahoma"/>
          <w:sz w:val="20"/>
          <w:szCs w:val="20"/>
        </w:rPr>
        <w:t xml:space="preserve"> en casos donde los hechos se acotan </w:t>
      </w:r>
      <w:r w:rsidR="00931F98" w:rsidRPr="00F9275D">
        <w:rPr>
          <w:rFonts w:ascii="Verdana" w:hAnsi="Verdana" w:cs="Tahoma"/>
          <w:sz w:val="20"/>
          <w:szCs w:val="20"/>
        </w:rPr>
        <w:t xml:space="preserve">a la desaparición y posterior muerte de las víctimas, tal como se desprende de los casos </w:t>
      </w:r>
      <w:r w:rsidR="00FD240F">
        <w:rPr>
          <w:rFonts w:ascii="Verdana" w:hAnsi="Verdana" w:cs="Tahoma"/>
          <w:sz w:val="20"/>
          <w:szCs w:val="20"/>
        </w:rPr>
        <w:t>previos</w:t>
      </w:r>
      <w:r w:rsidR="00637AB6">
        <w:rPr>
          <w:rFonts w:ascii="Verdana" w:hAnsi="Verdana" w:cs="Tahoma"/>
          <w:sz w:val="20"/>
          <w:szCs w:val="20"/>
        </w:rPr>
        <w:t xml:space="preserve"> al que origina el presente voto</w:t>
      </w:r>
      <w:r w:rsidR="00FD240F">
        <w:rPr>
          <w:rFonts w:ascii="Verdana" w:hAnsi="Verdana" w:cs="Tahoma"/>
          <w:sz w:val="20"/>
          <w:szCs w:val="20"/>
        </w:rPr>
        <w:t xml:space="preserve">: </w:t>
      </w:r>
      <w:r w:rsidR="00931F98" w:rsidRPr="00F9275D">
        <w:rPr>
          <w:rStyle w:val="Strong"/>
          <w:rFonts w:ascii="Verdana" w:hAnsi="Verdana" w:cs="Tahoma"/>
          <w:b w:val="0"/>
          <w:i/>
          <w:color w:val="000000"/>
          <w:sz w:val="20"/>
          <w:szCs w:val="20"/>
          <w:shd w:val="clear" w:color="auto" w:fill="FFFFFF"/>
        </w:rPr>
        <w:t>González y otras (“Campo Algodonero”) Vs. México</w:t>
      </w:r>
      <w:r w:rsidR="00637AB6">
        <w:rPr>
          <w:rStyle w:val="Strong"/>
          <w:rFonts w:ascii="Verdana" w:hAnsi="Verdana" w:cs="Tahoma"/>
          <w:b w:val="0"/>
          <w:color w:val="000000"/>
          <w:sz w:val="20"/>
          <w:szCs w:val="20"/>
          <w:shd w:val="clear" w:color="auto" w:fill="FFFFFF"/>
        </w:rPr>
        <w:t xml:space="preserve"> (2009)</w:t>
      </w:r>
      <w:r w:rsidR="00FD240F">
        <w:rPr>
          <w:rStyle w:val="Strong"/>
          <w:rFonts w:ascii="Verdana" w:hAnsi="Verdana" w:cs="Tahoma"/>
          <w:b w:val="0"/>
          <w:i/>
          <w:color w:val="000000"/>
          <w:sz w:val="20"/>
          <w:szCs w:val="20"/>
          <w:shd w:val="clear" w:color="auto" w:fill="FFFFFF"/>
        </w:rPr>
        <w:t>,</w:t>
      </w:r>
      <w:r w:rsidR="00931F98" w:rsidRPr="00F9275D">
        <w:rPr>
          <w:rStyle w:val="Strong"/>
          <w:rFonts w:ascii="Verdana" w:hAnsi="Verdana" w:cs="Tahoma"/>
          <w:b w:val="0"/>
          <w:i/>
          <w:color w:val="000000"/>
          <w:sz w:val="20"/>
          <w:szCs w:val="20"/>
          <w:shd w:val="clear" w:color="auto" w:fill="FFFFFF"/>
        </w:rPr>
        <w:t xml:space="preserve"> y Veliz Franco y otros vs. Guatemala</w:t>
      </w:r>
      <w:r w:rsidR="00637AB6">
        <w:rPr>
          <w:rStyle w:val="Strong"/>
          <w:rFonts w:ascii="Verdana" w:hAnsi="Verdana" w:cs="Tahoma"/>
          <w:b w:val="0"/>
          <w:i/>
          <w:color w:val="000000"/>
          <w:sz w:val="20"/>
          <w:szCs w:val="20"/>
          <w:shd w:val="clear" w:color="auto" w:fill="FFFFFF"/>
        </w:rPr>
        <w:t xml:space="preserve"> </w:t>
      </w:r>
      <w:r w:rsidR="00637AB6">
        <w:rPr>
          <w:rStyle w:val="Strong"/>
          <w:rFonts w:ascii="Verdana" w:hAnsi="Verdana" w:cs="Tahoma"/>
          <w:b w:val="0"/>
          <w:color w:val="000000"/>
          <w:sz w:val="20"/>
          <w:szCs w:val="20"/>
          <w:shd w:val="clear" w:color="auto" w:fill="FFFFFF"/>
        </w:rPr>
        <w:t>(2014)</w:t>
      </w:r>
      <w:r w:rsidR="00931F98" w:rsidRPr="00F9275D">
        <w:rPr>
          <w:rStyle w:val="Strong"/>
          <w:rFonts w:ascii="Verdana" w:hAnsi="Verdana" w:cs="Tahoma"/>
          <w:b w:val="0"/>
          <w:i/>
          <w:color w:val="000000"/>
          <w:sz w:val="20"/>
          <w:szCs w:val="20"/>
          <w:shd w:val="clear" w:color="auto" w:fill="FFFFFF"/>
        </w:rPr>
        <w:t>.</w:t>
      </w:r>
    </w:p>
    <w:p w14:paraId="32210827" w14:textId="77777777" w:rsidR="00786CEF" w:rsidRPr="00F9275D" w:rsidRDefault="00786CEF" w:rsidP="008C7F7F">
      <w:pPr>
        <w:pStyle w:val="ListParagraph"/>
        <w:spacing w:line="240" w:lineRule="auto"/>
        <w:ind w:left="0"/>
        <w:jc w:val="both"/>
        <w:rPr>
          <w:rStyle w:val="Strong"/>
          <w:rFonts w:ascii="Verdana" w:hAnsi="Verdana" w:cs="Tahoma"/>
          <w:b w:val="0"/>
          <w:i/>
          <w:color w:val="000000"/>
          <w:sz w:val="20"/>
          <w:szCs w:val="20"/>
          <w:shd w:val="clear" w:color="auto" w:fill="FFFFFF"/>
        </w:rPr>
      </w:pPr>
    </w:p>
    <w:p w14:paraId="32210828" w14:textId="77777777" w:rsidR="00892082" w:rsidRPr="008155B0" w:rsidRDefault="00522631" w:rsidP="00C57B1A">
      <w:pPr>
        <w:pStyle w:val="ListParagraph"/>
        <w:autoSpaceDE w:val="0"/>
        <w:autoSpaceDN w:val="0"/>
        <w:adjustRightInd w:val="0"/>
        <w:spacing w:after="0" w:line="240" w:lineRule="auto"/>
        <w:ind w:left="0"/>
        <w:jc w:val="both"/>
        <w:rPr>
          <w:rStyle w:val="Strong"/>
          <w:rFonts w:ascii="Verdana" w:hAnsi="Verdana" w:cs="Verdana"/>
          <w:b w:val="0"/>
          <w:bCs w:val="0"/>
          <w:sz w:val="20"/>
          <w:szCs w:val="20"/>
        </w:rPr>
      </w:pPr>
      <w:r>
        <w:rPr>
          <w:rStyle w:val="Strong"/>
          <w:rFonts w:ascii="Verdana" w:hAnsi="Verdana" w:cs="Tahoma"/>
          <w:b w:val="0"/>
          <w:color w:val="000000"/>
          <w:sz w:val="20"/>
          <w:szCs w:val="20"/>
          <w:shd w:val="clear" w:color="auto" w:fill="FFFFFF"/>
        </w:rPr>
        <w:t xml:space="preserve">19. </w:t>
      </w:r>
      <w:r>
        <w:rPr>
          <w:rStyle w:val="Strong"/>
          <w:rFonts w:ascii="Verdana" w:hAnsi="Verdana" w:cs="Tahoma"/>
          <w:b w:val="0"/>
          <w:color w:val="000000"/>
          <w:sz w:val="20"/>
          <w:szCs w:val="20"/>
          <w:shd w:val="clear" w:color="auto" w:fill="FFFFFF"/>
        </w:rPr>
        <w:tab/>
      </w:r>
      <w:r w:rsidR="00892082" w:rsidRPr="00F9275D">
        <w:rPr>
          <w:rStyle w:val="Strong"/>
          <w:rFonts w:ascii="Verdana" w:hAnsi="Verdana" w:cs="Tahoma"/>
          <w:b w:val="0"/>
          <w:color w:val="000000"/>
          <w:sz w:val="20"/>
          <w:szCs w:val="20"/>
          <w:shd w:val="clear" w:color="auto" w:fill="FFFFFF"/>
        </w:rPr>
        <w:t>En cuanto al deber de prevención, en el</w:t>
      </w:r>
      <w:r w:rsidR="00931F98" w:rsidRPr="00F9275D">
        <w:rPr>
          <w:rStyle w:val="Strong"/>
          <w:rFonts w:ascii="Verdana" w:hAnsi="Verdana" w:cs="Tahoma"/>
          <w:b w:val="0"/>
          <w:color w:val="000000"/>
          <w:sz w:val="20"/>
          <w:szCs w:val="20"/>
          <w:shd w:val="clear" w:color="auto" w:fill="FFFFFF"/>
        </w:rPr>
        <w:t xml:space="preserve"> caso </w:t>
      </w:r>
      <w:r w:rsidR="00931F98" w:rsidRPr="00F9275D">
        <w:rPr>
          <w:rStyle w:val="Strong"/>
          <w:rFonts w:ascii="Verdana" w:hAnsi="Verdana" w:cs="Tahoma"/>
          <w:b w:val="0"/>
          <w:i/>
          <w:color w:val="000000"/>
          <w:sz w:val="20"/>
          <w:szCs w:val="20"/>
          <w:shd w:val="clear" w:color="auto" w:fill="FFFFFF"/>
        </w:rPr>
        <w:t>González y otras (“Campo Algodonero”) Vs. México</w:t>
      </w:r>
      <w:r w:rsidR="00931F98" w:rsidRPr="00FD240F">
        <w:rPr>
          <w:rStyle w:val="FootnoteReference"/>
          <w:rFonts w:ascii="Verdana" w:hAnsi="Verdana" w:cs="Tahoma"/>
          <w:bCs/>
          <w:color w:val="000000"/>
          <w:sz w:val="20"/>
          <w:szCs w:val="20"/>
          <w:shd w:val="clear" w:color="auto" w:fill="FFFFFF"/>
        </w:rPr>
        <w:footnoteReference w:id="38"/>
      </w:r>
      <w:r w:rsidR="00FD240F">
        <w:rPr>
          <w:rStyle w:val="Strong"/>
          <w:rFonts w:ascii="Verdana" w:hAnsi="Verdana" w:cs="Tahoma"/>
          <w:b w:val="0"/>
          <w:color w:val="000000"/>
          <w:sz w:val="20"/>
          <w:szCs w:val="20"/>
          <w:shd w:val="clear" w:color="auto" w:fill="FFFFFF"/>
        </w:rPr>
        <w:t>,</w:t>
      </w:r>
      <w:r w:rsidR="001C53F7" w:rsidRPr="00F9275D">
        <w:rPr>
          <w:rStyle w:val="Strong"/>
          <w:rFonts w:ascii="Verdana" w:hAnsi="Verdana" w:cs="Tahoma"/>
          <w:b w:val="0"/>
          <w:i/>
          <w:color w:val="000000"/>
          <w:sz w:val="20"/>
          <w:szCs w:val="20"/>
          <w:shd w:val="clear" w:color="auto" w:fill="FFFFFF"/>
        </w:rPr>
        <w:t xml:space="preserve"> </w:t>
      </w:r>
      <w:r w:rsidR="001C53F7" w:rsidRPr="00F9275D">
        <w:rPr>
          <w:rStyle w:val="Strong"/>
          <w:rFonts w:ascii="Verdana" w:hAnsi="Verdana" w:cs="Tahoma"/>
          <w:b w:val="0"/>
          <w:color w:val="000000"/>
          <w:sz w:val="20"/>
          <w:szCs w:val="20"/>
          <w:shd w:val="clear" w:color="auto" w:fill="FFFFFF"/>
        </w:rPr>
        <w:t>la Corte I</w:t>
      </w:r>
      <w:r w:rsidR="00FD240F">
        <w:rPr>
          <w:rStyle w:val="Strong"/>
          <w:rFonts w:ascii="Verdana" w:hAnsi="Verdana" w:cs="Tahoma"/>
          <w:b w:val="0"/>
          <w:color w:val="000000"/>
          <w:sz w:val="20"/>
          <w:szCs w:val="20"/>
          <w:shd w:val="clear" w:color="auto" w:fill="FFFFFF"/>
        </w:rPr>
        <w:t>DH</w:t>
      </w:r>
      <w:r w:rsidR="001C53F7" w:rsidRPr="00F9275D">
        <w:rPr>
          <w:rStyle w:val="Strong"/>
          <w:rFonts w:ascii="Verdana" w:hAnsi="Verdana" w:cs="Tahoma"/>
          <w:b w:val="0"/>
          <w:color w:val="000000"/>
          <w:sz w:val="20"/>
          <w:szCs w:val="20"/>
          <w:shd w:val="clear" w:color="auto" w:fill="FFFFFF"/>
        </w:rPr>
        <w:t xml:space="preserve"> </w:t>
      </w:r>
      <w:r w:rsidR="002F3337" w:rsidRPr="00F9275D">
        <w:rPr>
          <w:rStyle w:val="Strong"/>
          <w:rFonts w:ascii="Verdana" w:hAnsi="Verdana" w:cs="Tahoma"/>
          <w:b w:val="0"/>
          <w:color w:val="000000"/>
          <w:sz w:val="20"/>
          <w:szCs w:val="20"/>
          <w:shd w:val="clear" w:color="auto" w:fill="FFFFFF"/>
        </w:rPr>
        <w:t>ha establecido</w:t>
      </w:r>
      <w:r w:rsidR="001C53F7" w:rsidRPr="00F9275D">
        <w:rPr>
          <w:rStyle w:val="Strong"/>
          <w:rFonts w:ascii="Verdana" w:hAnsi="Verdana" w:cs="Tahoma"/>
          <w:b w:val="0"/>
          <w:color w:val="000000"/>
          <w:sz w:val="20"/>
          <w:szCs w:val="20"/>
          <w:shd w:val="clear" w:color="auto" w:fill="FFFFFF"/>
        </w:rPr>
        <w:t xml:space="preserve"> que </w:t>
      </w:r>
      <w:r w:rsidR="00892082" w:rsidRPr="00F9275D">
        <w:rPr>
          <w:rFonts w:ascii="Verdana" w:hAnsi="Verdana" w:cs="Verdana"/>
          <w:sz w:val="20"/>
          <w:szCs w:val="20"/>
        </w:rPr>
        <w:t xml:space="preserve">los Estados “deben adoptar </w:t>
      </w:r>
      <w:r w:rsidR="00892082" w:rsidRPr="00F9275D">
        <w:rPr>
          <w:rFonts w:ascii="Verdana" w:hAnsi="Verdana" w:cs="Verdana"/>
          <w:sz w:val="20"/>
          <w:szCs w:val="20"/>
        </w:rPr>
        <w:lastRenderedPageBreak/>
        <w:t>medidas integrales para cumplir con la debida diligencia en casos d</w:t>
      </w:r>
      <w:r w:rsidR="00FD240F">
        <w:rPr>
          <w:rFonts w:ascii="Verdana" w:hAnsi="Verdana" w:cs="Verdana"/>
          <w:sz w:val="20"/>
          <w:szCs w:val="20"/>
        </w:rPr>
        <w:t>e violencia contra las mujeres”;</w:t>
      </w:r>
      <w:r w:rsidR="00892082" w:rsidRPr="00F9275D">
        <w:rPr>
          <w:rFonts w:ascii="Verdana" w:hAnsi="Verdana" w:cs="Verdana"/>
          <w:sz w:val="20"/>
          <w:szCs w:val="20"/>
        </w:rPr>
        <w:t xml:space="preserve"> particularmente en lo referente a “</w:t>
      </w:r>
      <w:r w:rsidR="00892082" w:rsidRPr="00FD240F">
        <w:rPr>
          <w:rFonts w:ascii="Verdana" w:hAnsi="Verdana" w:cs="Verdana"/>
          <w:sz w:val="20"/>
          <w:szCs w:val="20"/>
          <w:u w:val="single"/>
        </w:rPr>
        <w:t>un adecuado marco jurídico de protección, con una aplicación efectiva del mismo y con políticas de prevención y prácticas que permitan actuar de una manera eficaz ante las denuncias</w:t>
      </w:r>
      <w:r w:rsidR="00892082" w:rsidRPr="00F9275D">
        <w:rPr>
          <w:rFonts w:ascii="Verdana" w:hAnsi="Verdana" w:cs="Verdana"/>
          <w:sz w:val="20"/>
          <w:szCs w:val="20"/>
        </w:rPr>
        <w:t>”</w:t>
      </w:r>
      <w:r w:rsidR="00892082" w:rsidRPr="00F9275D">
        <w:rPr>
          <w:rStyle w:val="FootnoteReference"/>
          <w:rFonts w:ascii="Verdana" w:hAnsi="Verdana" w:cs="Verdana"/>
          <w:sz w:val="20"/>
          <w:szCs w:val="20"/>
        </w:rPr>
        <w:footnoteReference w:id="39"/>
      </w:r>
      <w:r w:rsidR="00892082" w:rsidRPr="00F9275D">
        <w:rPr>
          <w:rFonts w:ascii="Verdana" w:hAnsi="Verdana" w:cs="Verdana"/>
          <w:sz w:val="20"/>
          <w:szCs w:val="20"/>
        </w:rPr>
        <w:t>.</w:t>
      </w:r>
      <w:r w:rsidR="00425EF3" w:rsidRPr="00F9275D">
        <w:rPr>
          <w:rFonts w:ascii="Verdana" w:hAnsi="Verdana" w:cs="Verdana"/>
          <w:sz w:val="20"/>
          <w:szCs w:val="20"/>
        </w:rPr>
        <w:t xml:space="preserve"> </w:t>
      </w:r>
      <w:r w:rsidR="00892082" w:rsidRPr="00F9275D">
        <w:rPr>
          <w:rFonts w:ascii="Verdana" w:hAnsi="Verdana" w:cs="Verdana"/>
          <w:sz w:val="20"/>
          <w:szCs w:val="20"/>
        </w:rPr>
        <w:t xml:space="preserve">Asimismo, en cuanto a las características de la estrategia de prevención </w:t>
      </w:r>
      <w:r w:rsidR="002F3337" w:rsidRPr="00F9275D">
        <w:rPr>
          <w:rFonts w:ascii="Verdana" w:hAnsi="Verdana" w:cs="Verdana"/>
          <w:sz w:val="20"/>
          <w:szCs w:val="20"/>
        </w:rPr>
        <w:t>ha señalado</w:t>
      </w:r>
      <w:r w:rsidR="00892082" w:rsidRPr="00F9275D">
        <w:rPr>
          <w:rFonts w:ascii="Verdana" w:hAnsi="Verdana" w:cs="Verdana"/>
          <w:sz w:val="20"/>
          <w:szCs w:val="20"/>
        </w:rPr>
        <w:t xml:space="preserve"> que esta “debe ser integral, es decir, debe prevenir los factores de riesgo y a la vez fortalecer las instituciones para que puedan proporcionar una respuesta efectiva a los casos de violencia contra la mujer”, subrayando el deber de los Estados de “</w:t>
      </w:r>
      <w:r w:rsidR="00892082" w:rsidRPr="00FD240F">
        <w:rPr>
          <w:rFonts w:ascii="Verdana" w:hAnsi="Verdana" w:cs="Verdana"/>
          <w:sz w:val="20"/>
          <w:szCs w:val="20"/>
          <w:u w:val="single"/>
        </w:rPr>
        <w:t>adoptar medidas</w:t>
      </w:r>
      <w:r w:rsidR="00892082" w:rsidRPr="00F9275D">
        <w:rPr>
          <w:rFonts w:ascii="Verdana" w:hAnsi="Verdana" w:cs="Verdana"/>
          <w:sz w:val="20"/>
          <w:szCs w:val="20"/>
        </w:rPr>
        <w:t xml:space="preserve"> </w:t>
      </w:r>
      <w:r w:rsidR="00892082" w:rsidRPr="00FD240F">
        <w:rPr>
          <w:rFonts w:ascii="Verdana" w:hAnsi="Verdana" w:cs="Verdana"/>
          <w:sz w:val="20"/>
          <w:szCs w:val="20"/>
          <w:u w:val="single"/>
        </w:rPr>
        <w:t>preventivas en casos específicos en los que es evidente que determinadas mujeres y niñas pueden ser víctimas de violencia</w:t>
      </w:r>
      <w:r w:rsidR="004E2442" w:rsidRPr="00F9275D">
        <w:rPr>
          <w:rFonts w:ascii="Verdana" w:hAnsi="Verdana" w:cs="Verdana"/>
          <w:sz w:val="20"/>
          <w:szCs w:val="20"/>
        </w:rPr>
        <w:t>”</w:t>
      </w:r>
      <w:r w:rsidR="00425EF3" w:rsidRPr="00F9275D">
        <w:rPr>
          <w:rStyle w:val="FootnoteReference"/>
          <w:rFonts w:ascii="Verdana" w:hAnsi="Verdana" w:cs="Verdana"/>
          <w:sz w:val="20"/>
          <w:szCs w:val="20"/>
        </w:rPr>
        <w:footnoteReference w:id="40"/>
      </w:r>
      <w:r w:rsidR="00892082" w:rsidRPr="00F9275D">
        <w:rPr>
          <w:rFonts w:ascii="Verdana" w:hAnsi="Verdana" w:cs="Verdana"/>
          <w:sz w:val="20"/>
          <w:szCs w:val="20"/>
        </w:rPr>
        <w:t>.</w:t>
      </w:r>
      <w:r w:rsidR="008155B0">
        <w:rPr>
          <w:rFonts w:ascii="Verdana" w:hAnsi="Verdana" w:cs="Verdana"/>
          <w:sz w:val="20"/>
          <w:szCs w:val="20"/>
        </w:rPr>
        <w:t xml:space="preserve"> </w:t>
      </w:r>
    </w:p>
    <w:p w14:paraId="32210829" w14:textId="77777777" w:rsidR="008155B0" w:rsidRPr="008155B0" w:rsidRDefault="008155B0" w:rsidP="008155B0">
      <w:pPr>
        <w:pStyle w:val="ListParagraph"/>
        <w:autoSpaceDE w:val="0"/>
        <w:autoSpaceDN w:val="0"/>
        <w:adjustRightInd w:val="0"/>
        <w:spacing w:after="0" w:line="240" w:lineRule="auto"/>
        <w:ind w:left="0"/>
        <w:jc w:val="both"/>
        <w:rPr>
          <w:rFonts w:ascii="Verdana" w:hAnsi="Verdana" w:cs="Verdana"/>
          <w:sz w:val="20"/>
          <w:szCs w:val="20"/>
        </w:rPr>
      </w:pPr>
    </w:p>
    <w:p w14:paraId="3221082A" w14:textId="77777777" w:rsidR="00C57B1A" w:rsidRDefault="00522631" w:rsidP="00C57B1A">
      <w:pPr>
        <w:pStyle w:val="ListParagraph"/>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 xml:space="preserve">20. </w:t>
      </w:r>
      <w:r>
        <w:rPr>
          <w:rFonts w:ascii="Verdana" w:hAnsi="Verdana" w:cs="Verdana"/>
          <w:sz w:val="20"/>
          <w:szCs w:val="20"/>
        </w:rPr>
        <w:tab/>
      </w:r>
      <w:r w:rsidR="00425EF3" w:rsidRPr="00F9275D">
        <w:rPr>
          <w:rFonts w:ascii="Verdana" w:hAnsi="Verdana" w:cs="Verdana"/>
          <w:sz w:val="20"/>
          <w:szCs w:val="20"/>
        </w:rPr>
        <w:t xml:space="preserve">En dicho caso, la Corte </w:t>
      </w:r>
      <w:r w:rsidR="00FD240F">
        <w:rPr>
          <w:rFonts w:ascii="Verdana" w:hAnsi="Verdana" w:cs="Verdana"/>
          <w:sz w:val="20"/>
          <w:szCs w:val="20"/>
        </w:rPr>
        <w:t xml:space="preserve">IDH </w:t>
      </w:r>
      <w:r w:rsidR="00425EF3" w:rsidRPr="00F9275D">
        <w:rPr>
          <w:rFonts w:ascii="Verdana" w:hAnsi="Verdana" w:cs="Verdana"/>
          <w:sz w:val="20"/>
          <w:szCs w:val="20"/>
        </w:rPr>
        <w:t xml:space="preserve">estableció por primera vez que existían </w:t>
      </w:r>
      <w:r w:rsidR="00FD240F">
        <w:rPr>
          <w:rFonts w:ascii="Verdana" w:hAnsi="Verdana" w:cs="Verdana"/>
          <w:sz w:val="20"/>
          <w:szCs w:val="20"/>
        </w:rPr>
        <w:t>“</w:t>
      </w:r>
      <w:r w:rsidR="00425EF3" w:rsidRPr="00F9275D">
        <w:rPr>
          <w:rFonts w:ascii="Verdana" w:hAnsi="Verdana" w:cs="Verdana"/>
          <w:sz w:val="20"/>
          <w:szCs w:val="20"/>
        </w:rPr>
        <w:t>dos momentos</w:t>
      </w:r>
      <w:r w:rsidR="00FD240F">
        <w:rPr>
          <w:rFonts w:ascii="Verdana" w:hAnsi="Verdana" w:cs="Verdana"/>
          <w:sz w:val="20"/>
          <w:szCs w:val="20"/>
        </w:rPr>
        <w:t>”</w:t>
      </w:r>
      <w:r w:rsidR="00425EF3" w:rsidRPr="00F9275D">
        <w:rPr>
          <w:rFonts w:ascii="Verdana" w:hAnsi="Verdana" w:cs="Verdana"/>
          <w:sz w:val="20"/>
          <w:szCs w:val="20"/>
        </w:rPr>
        <w:t xml:space="preserve"> claves en los cuales debía ser analizado el deber de prevención respecto de la desaparición y muerte de las víctimas, señalando como primero el momento “antes de la desaparición de las víctimas”, y como el segundo, el momento “antes de la localización de sus cuerpos sin vida”</w:t>
      </w:r>
      <w:r w:rsidR="00425EF3" w:rsidRPr="00F9275D">
        <w:rPr>
          <w:rStyle w:val="FootnoteReference"/>
          <w:rFonts w:ascii="Verdana" w:hAnsi="Verdana" w:cs="Verdana"/>
          <w:sz w:val="20"/>
          <w:szCs w:val="20"/>
        </w:rPr>
        <w:footnoteReference w:id="41"/>
      </w:r>
      <w:r w:rsidR="00425EF3" w:rsidRPr="00F9275D">
        <w:rPr>
          <w:rFonts w:ascii="Verdana" w:hAnsi="Verdana" w:cs="Verdana"/>
          <w:sz w:val="20"/>
          <w:szCs w:val="20"/>
        </w:rPr>
        <w:t>.</w:t>
      </w:r>
      <w:r w:rsidR="004A3C88" w:rsidRPr="00F9275D">
        <w:rPr>
          <w:rFonts w:ascii="Verdana" w:hAnsi="Verdana" w:cs="Verdana"/>
          <w:sz w:val="20"/>
          <w:szCs w:val="20"/>
        </w:rPr>
        <w:t xml:space="preserve"> </w:t>
      </w:r>
    </w:p>
    <w:p w14:paraId="3221082B" w14:textId="77777777" w:rsidR="00C57B1A" w:rsidRDefault="00C57B1A" w:rsidP="00C57B1A">
      <w:pPr>
        <w:pStyle w:val="ListParagraph"/>
        <w:autoSpaceDE w:val="0"/>
        <w:autoSpaceDN w:val="0"/>
        <w:adjustRightInd w:val="0"/>
        <w:spacing w:after="0" w:line="240" w:lineRule="auto"/>
        <w:ind w:left="0"/>
        <w:jc w:val="both"/>
        <w:rPr>
          <w:rFonts w:ascii="Verdana" w:hAnsi="Verdana" w:cs="Verdana"/>
          <w:sz w:val="20"/>
          <w:szCs w:val="20"/>
        </w:rPr>
      </w:pPr>
    </w:p>
    <w:p w14:paraId="3221082C" w14:textId="77777777" w:rsidR="00425EF3" w:rsidRPr="00F9275D" w:rsidRDefault="00522631" w:rsidP="00C57B1A">
      <w:pPr>
        <w:pStyle w:val="ListParagraph"/>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 xml:space="preserve">21. </w:t>
      </w:r>
      <w:r>
        <w:rPr>
          <w:rFonts w:ascii="Verdana" w:hAnsi="Verdana" w:cs="Verdana"/>
          <w:sz w:val="20"/>
          <w:szCs w:val="20"/>
        </w:rPr>
        <w:tab/>
      </w:r>
      <w:r w:rsidR="004A3C88" w:rsidRPr="00FD240F">
        <w:rPr>
          <w:rFonts w:ascii="Verdana" w:hAnsi="Verdana" w:cs="Verdana"/>
          <w:sz w:val="20"/>
          <w:szCs w:val="20"/>
        </w:rPr>
        <w:t>En ese sentido, e</w:t>
      </w:r>
      <w:r w:rsidR="00DC5C13" w:rsidRPr="00FD240F">
        <w:rPr>
          <w:rFonts w:ascii="Verdana" w:hAnsi="Verdana" w:cs="Verdana"/>
          <w:sz w:val="20"/>
          <w:szCs w:val="20"/>
        </w:rPr>
        <w:t xml:space="preserve">n el estudio del </w:t>
      </w:r>
      <w:r w:rsidR="00FD240F">
        <w:rPr>
          <w:rFonts w:ascii="Verdana" w:hAnsi="Verdana" w:cs="Verdana"/>
          <w:sz w:val="20"/>
          <w:szCs w:val="20"/>
        </w:rPr>
        <w:t>“</w:t>
      </w:r>
      <w:r w:rsidR="00DC5C13" w:rsidRPr="00FD240F">
        <w:rPr>
          <w:rFonts w:ascii="Verdana" w:hAnsi="Verdana" w:cs="Verdana"/>
          <w:sz w:val="20"/>
          <w:szCs w:val="20"/>
        </w:rPr>
        <w:t xml:space="preserve">primer </w:t>
      </w:r>
      <w:r w:rsidR="00425EF3" w:rsidRPr="00FD240F">
        <w:rPr>
          <w:rFonts w:ascii="Verdana" w:hAnsi="Verdana" w:cs="Verdana"/>
          <w:sz w:val="20"/>
          <w:szCs w:val="20"/>
        </w:rPr>
        <w:t>momento</w:t>
      </w:r>
      <w:r w:rsidR="00FD240F">
        <w:rPr>
          <w:rFonts w:ascii="Verdana" w:hAnsi="Verdana" w:cs="Verdana"/>
          <w:sz w:val="20"/>
          <w:szCs w:val="20"/>
        </w:rPr>
        <w:t>”</w:t>
      </w:r>
      <w:r w:rsidR="00425EF3" w:rsidRPr="00FD240F">
        <w:rPr>
          <w:rFonts w:ascii="Verdana" w:hAnsi="Verdana" w:cs="Verdana"/>
          <w:sz w:val="20"/>
          <w:szCs w:val="20"/>
        </w:rPr>
        <w:t xml:space="preserve"> </w:t>
      </w:r>
      <w:r w:rsidR="00FD240F">
        <w:rPr>
          <w:rFonts w:ascii="Verdana" w:hAnsi="Verdana" w:cs="Verdana"/>
          <w:sz w:val="20"/>
          <w:szCs w:val="20"/>
        </w:rPr>
        <w:t>(</w:t>
      </w:r>
      <w:r w:rsidR="00425EF3" w:rsidRPr="00FD240F">
        <w:rPr>
          <w:rFonts w:ascii="Verdana" w:hAnsi="Verdana" w:cs="Verdana"/>
          <w:sz w:val="20"/>
          <w:szCs w:val="20"/>
        </w:rPr>
        <w:t>antes de la desaparición de las víctimas</w:t>
      </w:r>
      <w:r w:rsidR="00FD240F">
        <w:rPr>
          <w:rFonts w:ascii="Verdana" w:hAnsi="Verdana" w:cs="Verdana"/>
          <w:sz w:val="20"/>
          <w:szCs w:val="20"/>
        </w:rPr>
        <w:t>)</w:t>
      </w:r>
      <w:r w:rsidR="00425EF3" w:rsidRPr="00FD240F">
        <w:rPr>
          <w:rFonts w:ascii="Verdana" w:hAnsi="Verdana" w:cs="Verdana"/>
          <w:sz w:val="20"/>
          <w:szCs w:val="20"/>
        </w:rPr>
        <w:t>,</w:t>
      </w:r>
      <w:r w:rsidR="00FD240F">
        <w:rPr>
          <w:rFonts w:ascii="Verdana" w:hAnsi="Verdana" w:cs="Verdana"/>
          <w:sz w:val="20"/>
          <w:szCs w:val="20"/>
        </w:rPr>
        <w:t xml:space="preserve"> el Tribunal Interamericano</w:t>
      </w:r>
      <w:r w:rsidR="00DC5C13" w:rsidRPr="00FD240F">
        <w:rPr>
          <w:rFonts w:ascii="Verdana" w:hAnsi="Verdana" w:cs="Verdana"/>
          <w:sz w:val="20"/>
          <w:szCs w:val="20"/>
        </w:rPr>
        <w:t xml:space="preserve"> consideró que “la falta de prevención de la desaparición no conlleva[ba] </w:t>
      </w:r>
      <w:r w:rsidR="00DC5C13" w:rsidRPr="00FD240F">
        <w:rPr>
          <w:rFonts w:ascii="Verdana" w:hAnsi="Verdana" w:cs="Verdana"/>
          <w:i/>
          <w:sz w:val="20"/>
          <w:szCs w:val="20"/>
        </w:rPr>
        <w:t>per se</w:t>
      </w:r>
      <w:r w:rsidR="00DC5C13" w:rsidRPr="00FD240F">
        <w:rPr>
          <w:rFonts w:ascii="Verdana" w:hAnsi="Verdana" w:cs="Verdana"/>
          <w:sz w:val="20"/>
          <w:szCs w:val="20"/>
        </w:rPr>
        <w:t xml:space="preserve"> la responsabilidad internacional del Estado” ya que a pesar de que el Estado era consciente del riesgo para las mujeres particularmente en </w:t>
      </w:r>
      <w:r w:rsidR="003B137E" w:rsidRPr="00FD240F">
        <w:rPr>
          <w:rFonts w:ascii="Verdana" w:hAnsi="Verdana" w:cs="Verdana"/>
          <w:sz w:val="20"/>
          <w:szCs w:val="20"/>
        </w:rPr>
        <w:t>Ciudad Juárez</w:t>
      </w:r>
      <w:r w:rsidR="00FD240F">
        <w:rPr>
          <w:rFonts w:ascii="Verdana" w:hAnsi="Verdana" w:cs="Verdana"/>
          <w:sz w:val="20"/>
          <w:szCs w:val="20"/>
        </w:rPr>
        <w:t xml:space="preserve"> —</w:t>
      </w:r>
      <w:r w:rsidR="002F3337" w:rsidRPr="00FD240F">
        <w:rPr>
          <w:rFonts w:ascii="Verdana" w:hAnsi="Verdana" w:cs="Verdana"/>
          <w:sz w:val="20"/>
          <w:szCs w:val="20"/>
        </w:rPr>
        <w:t>dado que fue acreditado un contexto de violencia contra la mujer</w:t>
      </w:r>
      <w:r w:rsidR="00FD240F">
        <w:rPr>
          <w:rFonts w:ascii="Verdana" w:hAnsi="Verdana" w:cs="Verdana"/>
          <w:sz w:val="20"/>
          <w:szCs w:val="20"/>
        </w:rPr>
        <w:t>—</w:t>
      </w:r>
      <w:r w:rsidR="00DC5C13" w:rsidRPr="00FD240F">
        <w:rPr>
          <w:rFonts w:ascii="Verdana" w:hAnsi="Verdana" w:cs="Verdana"/>
          <w:sz w:val="20"/>
          <w:szCs w:val="20"/>
        </w:rPr>
        <w:t>, no tenía un conocimiento de un riesgo real e inmediato para las víctimas del caso</w:t>
      </w:r>
      <w:r w:rsidR="00FD240F">
        <w:rPr>
          <w:rFonts w:ascii="Verdana" w:hAnsi="Verdana" w:cs="Verdana"/>
          <w:sz w:val="20"/>
          <w:szCs w:val="20"/>
        </w:rPr>
        <w:t>;</w:t>
      </w:r>
      <w:r w:rsidR="003B137E" w:rsidRPr="00FD240F">
        <w:rPr>
          <w:rFonts w:ascii="Verdana" w:hAnsi="Verdana" w:cs="Verdana"/>
          <w:sz w:val="20"/>
          <w:szCs w:val="20"/>
        </w:rPr>
        <w:t xml:space="preserve"> aduciendo</w:t>
      </w:r>
      <w:r w:rsidR="00FD240F">
        <w:rPr>
          <w:rFonts w:ascii="Verdana" w:hAnsi="Verdana" w:cs="Verdana"/>
          <w:sz w:val="20"/>
          <w:szCs w:val="20"/>
        </w:rPr>
        <w:t>,</w:t>
      </w:r>
      <w:r w:rsidR="003B137E" w:rsidRPr="00FD240F">
        <w:rPr>
          <w:rFonts w:ascii="Verdana" w:hAnsi="Verdana" w:cs="Verdana"/>
          <w:sz w:val="20"/>
          <w:szCs w:val="20"/>
        </w:rPr>
        <w:t xml:space="preserve"> además</w:t>
      </w:r>
      <w:r w:rsidR="00FD240F">
        <w:rPr>
          <w:rFonts w:ascii="Verdana" w:hAnsi="Verdana" w:cs="Verdana"/>
          <w:sz w:val="20"/>
          <w:szCs w:val="20"/>
        </w:rPr>
        <w:t>,</w:t>
      </w:r>
      <w:r w:rsidR="003B137E" w:rsidRPr="00FD240F">
        <w:rPr>
          <w:rFonts w:ascii="Verdana" w:hAnsi="Verdana" w:cs="Verdana"/>
          <w:sz w:val="20"/>
          <w:szCs w:val="20"/>
        </w:rPr>
        <w:t xml:space="preserve"> que aunque el contexto en dicho caso y sus obligaciones internacionales imponían al Estado una responsabilidad reforzada con respecto a la protección de mujeres en C</w:t>
      </w:r>
      <w:r w:rsidR="00FD240F">
        <w:rPr>
          <w:rFonts w:ascii="Verdana" w:hAnsi="Verdana" w:cs="Verdana"/>
          <w:sz w:val="20"/>
          <w:szCs w:val="20"/>
        </w:rPr>
        <w:t>iudad</w:t>
      </w:r>
      <w:r w:rsidR="003B137E" w:rsidRPr="00FD240F">
        <w:rPr>
          <w:rFonts w:ascii="Verdana" w:hAnsi="Verdana" w:cs="Verdana"/>
          <w:sz w:val="20"/>
          <w:szCs w:val="20"/>
        </w:rPr>
        <w:t xml:space="preserve"> Juárez, no significaba la imposición de una responsabilidad ilimitada frente a cualquier hecho ilícito en </w:t>
      </w:r>
      <w:r w:rsidR="00A90084" w:rsidRPr="00FD240F">
        <w:rPr>
          <w:rFonts w:ascii="Verdana" w:hAnsi="Verdana" w:cs="Verdana"/>
          <w:sz w:val="20"/>
          <w:szCs w:val="20"/>
        </w:rPr>
        <w:t>contra de ellas, señalando que ante</w:t>
      </w:r>
      <w:r w:rsidR="003B137E" w:rsidRPr="00FD240F">
        <w:rPr>
          <w:rFonts w:ascii="Verdana" w:hAnsi="Verdana" w:cs="Verdana"/>
          <w:sz w:val="20"/>
          <w:szCs w:val="20"/>
        </w:rPr>
        <w:t xml:space="preserve"> ello, la Corte </w:t>
      </w:r>
      <w:r w:rsidR="00FD240F">
        <w:rPr>
          <w:rFonts w:ascii="Verdana" w:hAnsi="Verdana" w:cs="Verdana"/>
          <w:sz w:val="20"/>
          <w:szCs w:val="20"/>
        </w:rPr>
        <w:t xml:space="preserve">IDH </w:t>
      </w:r>
      <w:r w:rsidR="003B137E" w:rsidRPr="00FD240F">
        <w:rPr>
          <w:rFonts w:ascii="Verdana" w:hAnsi="Verdana" w:cs="Verdana"/>
          <w:sz w:val="20"/>
          <w:szCs w:val="20"/>
          <w:u w:val="single"/>
        </w:rPr>
        <w:t>“no p[odía] sino hacer presente que la ausencia de una política general” ante el patrón de violencia contra la mujer, había sido “una falta […] en el incumplimiento general de su obligación de prevención”</w:t>
      </w:r>
      <w:r w:rsidR="002F3337" w:rsidRPr="00FD240F">
        <w:rPr>
          <w:rStyle w:val="FootnoteReference"/>
          <w:rFonts w:ascii="Verdana" w:hAnsi="Verdana" w:cs="Verdana"/>
          <w:sz w:val="20"/>
          <w:szCs w:val="20"/>
          <w:u w:val="single"/>
        </w:rPr>
        <w:footnoteReference w:id="42"/>
      </w:r>
      <w:r w:rsidR="003B137E" w:rsidRPr="00FD240F">
        <w:rPr>
          <w:rFonts w:ascii="Verdana" w:hAnsi="Verdana" w:cs="Verdana"/>
          <w:sz w:val="20"/>
          <w:szCs w:val="20"/>
        </w:rPr>
        <w:t>.</w:t>
      </w:r>
    </w:p>
    <w:p w14:paraId="3221082D" w14:textId="77777777" w:rsidR="003B137E" w:rsidRPr="00F9275D" w:rsidRDefault="003B137E" w:rsidP="008C7F7F">
      <w:pPr>
        <w:autoSpaceDE w:val="0"/>
        <w:autoSpaceDN w:val="0"/>
        <w:adjustRightInd w:val="0"/>
        <w:spacing w:after="0" w:line="240" w:lineRule="auto"/>
        <w:jc w:val="both"/>
        <w:rPr>
          <w:rFonts w:ascii="Verdana" w:hAnsi="Verdana" w:cs="Verdana"/>
          <w:sz w:val="20"/>
          <w:szCs w:val="20"/>
        </w:rPr>
      </w:pPr>
    </w:p>
    <w:p w14:paraId="3221082E" w14:textId="77777777" w:rsidR="00C57B1A" w:rsidRDefault="00522631" w:rsidP="00C57B1A">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22. </w:t>
      </w:r>
      <w:r>
        <w:rPr>
          <w:rFonts w:ascii="Verdana" w:hAnsi="Verdana" w:cs="Verdana"/>
          <w:sz w:val="20"/>
          <w:szCs w:val="20"/>
        </w:rPr>
        <w:tab/>
      </w:r>
      <w:r w:rsidR="003B137E" w:rsidRPr="00C57B1A">
        <w:rPr>
          <w:rFonts w:ascii="Verdana" w:hAnsi="Verdana" w:cs="Verdana"/>
          <w:sz w:val="20"/>
          <w:szCs w:val="20"/>
        </w:rPr>
        <w:t xml:space="preserve">Por otro lado, en el </w:t>
      </w:r>
      <w:r w:rsidR="00FD240F">
        <w:rPr>
          <w:rFonts w:ascii="Verdana" w:hAnsi="Verdana" w:cs="Verdana"/>
          <w:sz w:val="20"/>
          <w:szCs w:val="20"/>
        </w:rPr>
        <w:t>“</w:t>
      </w:r>
      <w:r w:rsidR="003B137E" w:rsidRPr="00C57B1A">
        <w:rPr>
          <w:rFonts w:ascii="Verdana" w:hAnsi="Verdana" w:cs="Verdana"/>
          <w:sz w:val="20"/>
          <w:szCs w:val="20"/>
        </w:rPr>
        <w:t>segundo momento</w:t>
      </w:r>
      <w:r w:rsidR="00FD240F">
        <w:rPr>
          <w:rFonts w:ascii="Verdana" w:hAnsi="Verdana" w:cs="Verdana"/>
          <w:sz w:val="20"/>
          <w:szCs w:val="20"/>
        </w:rPr>
        <w:t>” (</w:t>
      </w:r>
      <w:r w:rsidR="003B137E" w:rsidRPr="00C57B1A">
        <w:rPr>
          <w:rFonts w:ascii="Verdana" w:hAnsi="Verdana" w:cs="Verdana"/>
          <w:sz w:val="20"/>
          <w:szCs w:val="20"/>
        </w:rPr>
        <w:t>antes del hallazgo de los cuerpos</w:t>
      </w:r>
      <w:r w:rsidR="00FD240F">
        <w:rPr>
          <w:rFonts w:ascii="Verdana" w:hAnsi="Verdana" w:cs="Verdana"/>
          <w:sz w:val="20"/>
          <w:szCs w:val="20"/>
        </w:rPr>
        <w:t>)</w:t>
      </w:r>
      <w:r w:rsidR="003B137E" w:rsidRPr="00C57B1A">
        <w:rPr>
          <w:rFonts w:ascii="Verdana" w:hAnsi="Verdana" w:cs="Verdana"/>
          <w:sz w:val="20"/>
          <w:szCs w:val="20"/>
        </w:rPr>
        <w:t>,</w:t>
      </w:r>
      <w:r w:rsidR="00350298" w:rsidRPr="00C57B1A">
        <w:rPr>
          <w:rFonts w:ascii="Verdana" w:hAnsi="Verdana" w:cs="Verdana"/>
          <w:sz w:val="20"/>
          <w:szCs w:val="20"/>
        </w:rPr>
        <w:t xml:space="preserve"> la Corte </w:t>
      </w:r>
      <w:r w:rsidR="00FD240F">
        <w:rPr>
          <w:rFonts w:ascii="Verdana" w:hAnsi="Verdana" w:cs="Verdana"/>
          <w:sz w:val="20"/>
          <w:szCs w:val="20"/>
        </w:rPr>
        <w:t xml:space="preserve">IDH </w:t>
      </w:r>
      <w:r w:rsidR="00350298" w:rsidRPr="00C57B1A">
        <w:rPr>
          <w:rFonts w:ascii="Verdana" w:hAnsi="Verdana" w:cs="Verdana"/>
          <w:sz w:val="20"/>
          <w:szCs w:val="20"/>
        </w:rPr>
        <w:t>se decantó por un estudio más profundo, estableciendo que ante el conocimiento del Estado de la existencia de “un riesgo real inmediato de que las víctimas fueran agredidas sexualmente, sometidas a vejámenes y asesinadas” surgía un “</w:t>
      </w:r>
      <w:r w:rsidR="00350298" w:rsidRPr="00FD240F">
        <w:rPr>
          <w:rFonts w:ascii="Verdana" w:hAnsi="Verdana" w:cs="Verdana"/>
          <w:sz w:val="20"/>
          <w:szCs w:val="20"/>
          <w:u w:val="single"/>
        </w:rPr>
        <w:t>deber de debida diligencia estricta frente a denuncias de desaparición de mujeres</w:t>
      </w:r>
      <w:r w:rsidR="00350298" w:rsidRPr="00C57B1A">
        <w:rPr>
          <w:rFonts w:ascii="Verdana" w:hAnsi="Verdana" w:cs="Verdana"/>
          <w:sz w:val="20"/>
          <w:szCs w:val="20"/>
        </w:rPr>
        <w:t>” que exigía “</w:t>
      </w:r>
      <w:r w:rsidR="00350298" w:rsidRPr="00FD240F">
        <w:rPr>
          <w:rFonts w:ascii="Verdana" w:hAnsi="Verdana" w:cs="Verdana"/>
          <w:sz w:val="20"/>
          <w:szCs w:val="20"/>
          <w:u w:val="single"/>
        </w:rPr>
        <w:t>la realización exhaustiva de actividades de búsqueda</w:t>
      </w:r>
      <w:r w:rsidR="00350298" w:rsidRPr="00C57B1A">
        <w:rPr>
          <w:rFonts w:ascii="Verdana" w:hAnsi="Verdana" w:cs="Verdana"/>
          <w:sz w:val="20"/>
          <w:szCs w:val="20"/>
        </w:rPr>
        <w:t>”</w:t>
      </w:r>
      <w:r w:rsidR="00350298" w:rsidRPr="00C57B1A">
        <w:rPr>
          <w:rStyle w:val="FootnoteReference"/>
          <w:rFonts w:ascii="Verdana" w:hAnsi="Verdana" w:cs="Verdana"/>
          <w:sz w:val="20"/>
          <w:szCs w:val="20"/>
        </w:rPr>
        <w:t xml:space="preserve"> </w:t>
      </w:r>
      <w:r w:rsidR="00350298" w:rsidRPr="00F9275D">
        <w:rPr>
          <w:rStyle w:val="FootnoteReference"/>
          <w:rFonts w:ascii="Verdana" w:hAnsi="Verdana" w:cs="Verdana"/>
          <w:sz w:val="20"/>
          <w:szCs w:val="20"/>
        </w:rPr>
        <w:footnoteReference w:id="43"/>
      </w:r>
      <w:r w:rsidR="00350298" w:rsidRPr="00C57B1A">
        <w:rPr>
          <w:rFonts w:ascii="Verdana" w:hAnsi="Verdana" w:cs="Verdana"/>
          <w:sz w:val="20"/>
          <w:szCs w:val="20"/>
        </w:rPr>
        <w:t xml:space="preserve">. </w:t>
      </w:r>
    </w:p>
    <w:p w14:paraId="3221082F" w14:textId="77777777" w:rsidR="00C57B1A" w:rsidRDefault="00C57B1A" w:rsidP="00C57B1A">
      <w:pPr>
        <w:autoSpaceDE w:val="0"/>
        <w:autoSpaceDN w:val="0"/>
        <w:adjustRightInd w:val="0"/>
        <w:spacing w:after="0" w:line="240" w:lineRule="auto"/>
        <w:jc w:val="both"/>
        <w:rPr>
          <w:rFonts w:ascii="Verdana" w:hAnsi="Verdana" w:cs="Verdana"/>
          <w:sz w:val="20"/>
          <w:szCs w:val="20"/>
        </w:rPr>
      </w:pPr>
    </w:p>
    <w:p w14:paraId="32210830" w14:textId="77777777" w:rsidR="001A113B" w:rsidRPr="00C57B1A" w:rsidRDefault="00522631" w:rsidP="00C57B1A">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23</w:t>
      </w:r>
      <w:r w:rsidR="00C57B1A">
        <w:rPr>
          <w:rFonts w:ascii="Verdana" w:hAnsi="Verdana" w:cs="Verdana"/>
          <w:sz w:val="20"/>
          <w:szCs w:val="20"/>
        </w:rPr>
        <w:t xml:space="preserve">. </w:t>
      </w:r>
      <w:r w:rsidR="00C57B1A">
        <w:rPr>
          <w:rFonts w:ascii="Verdana" w:hAnsi="Verdana" w:cs="Verdana"/>
          <w:sz w:val="20"/>
          <w:szCs w:val="20"/>
        </w:rPr>
        <w:tab/>
      </w:r>
      <w:r w:rsidR="00350298" w:rsidRPr="00C57B1A">
        <w:rPr>
          <w:rFonts w:ascii="Verdana" w:hAnsi="Verdana" w:cs="Verdana"/>
          <w:sz w:val="20"/>
          <w:szCs w:val="20"/>
        </w:rPr>
        <w:t xml:space="preserve">Al respecto, </w:t>
      </w:r>
      <w:r w:rsidR="00A90084" w:rsidRPr="00C57B1A">
        <w:rPr>
          <w:rFonts w:ascii="Verdana" w:hAnsi="Verdana" w:cs="Verdana"/>
          <w:sz w:val="20"/>
          <w:szCs w:val="20"/>
        </w:rPr>
        <w:t>la Corte</w:t>
      </w:r>
      <w:r w:rsidR="00350298" w:rsidRPr="00C57B1A">
        <w:rPr>
          <w:rFonts w:ascii="Verdana" w:hAnsi="Verdana" w:cs="Verdana"/>
          <w:sz w:val="20"/>
          <w:szCs w:val="20"/>
        </w:rPr>
        <w:t xml:space="preserve"> </w:t>
      </w:r>
      <w:r w:rsidR="00FD240F">
        <w:rPr>
          <w:rFonts w:ascii="Verdana" w:hAnsi="Verdana" w:cs="Verdana"/>
          <w:sz w:val="20"/>
          <w:szCs w:val="20"/>
        </w:rPr>
        <w:t xml:space="preserve">IDH </w:t>
      </w:r>
      <w:r w:rsidR="00350298" w:rsidRPr="00C57B1A">
        <w:rPr>
          <w:rFonts w:ascii="Verdana" w:hAnsi="Verdana" w:cs="Verdana"/>
          <w:sz w:val="20"/>
          <w:szCs w:val="20"/>
        </w:rPr>
        <w:t xml:space="preserve">determinó que debido a la falta de debida diligencia del Estado para prevenir las muertes de las víctimas en dicho momento, </w:t>
      </w:r>
      <w:r w:rsidR="001A113B" w:rsidRPr="00C57B1A">
        <w:rPr>
          <w:rFonts w:ascii="Verdana" w:hAnsi="Verdana" w:cs="Verdana"/>
          <w:sz w:val="20"/>
          <w:szCs w:val="20"/>
        </w:rPr>
        <w:t>así como la falta de adopción por parte del Estado de normas o medidas necesarias que “permitieran a las autoridades ofrecer una respuesta inmediata y eficaz antes las denuncias de desaparición”</w:t>
      </w:r>
      <w:r w:rsidR="001A113B" w:rsidRPr="00F9275D">
        <w:rPr>
          <w:rStyle w:val="FootnoteReference"/>
          <w:rFonts w:ascii="Verdana" w:hAnsi="Verdana" w:cs="Verdana"/>
          <w:sz w:val="20"/>
          <w:szCs w:val="20"/>
        </w:rPr>
        <w:footnoteReference w:id="44"/>
      </w:r>
      <w:r w:rsidR="00637AB6">
        <w:rPr>
          <w:rFonts w:ascii="Verdana" w:hAnsi="Verdana" w:cs="Verdana"/>
          <w:sz w:val="20"/>
          <w:szCs w:val="20"/>
        </w:rPr>
        <w:t>;</w:t>
      </w:r>
      <w:r w:rsidR="001A113B" w:rsidRPr="00C57B1A">
        <w:rPr>
          <w:rFonts w:ascii="Verdana" w:hAnsi="Verdana" w:cs="Verdana"/>
          <w:sz w:val="20"/>
          <w:szCs w:val="20"/>
        </w:rPr>
        <w:t xml:space="preserve"> se habían violentado los derechos a la vida, integridad personal y libertad personal, </w:t>
      </w:r>
      <w:r w:rsidR="001A113B" w:rsidRPr="00C57B1A">
        <w:rPr>
          <w:rFonts w:ascii="Verdana" w:hAnsi="Verdana" w:cs="Verdana"/>
          <w:sz w:val="20"/>
          <w:szCs w:val="20"/>
          <w:u w:val="single"/>
        </w:rPr>
        <w:t xml:space="preserve">en relación con la obligación general de garantía contemplada en el artículo 1.1 de la CADH y la obligación de adoptar disposiciones de derecho interno contenida en el artículo 2 de la misma, así como los artículos 7.b y 7.c de la </w:t>
      </w:r>
      <w:r w:rsidR="00FD240F">
        <w:rPr>
          <w:rFonts w:ascii="Verdana" w:hAnsi="Verdana" w:cs="Verdana"/>
          <w:sz w:val="20"/>
          <w:szCs w:val="20"/>
          <w:u w:val="single"/>
        </w:rPr>
        <w:t>“</w:t>
      </w:r>
      <w:r w:rsidR="001A113B" w:rsidRPr="00C57B1A">
        <w:rPr>
          <w:rFonts w:ascii="Verdana" w:hAnsi="Verdana" w:cs="Verdana"/>
          <w:sz w:val="20"/>
          <w:szCs w:val="20"/>
          <w:u w:val="single"/>
        </w:rPr>
        <w:t>Convención de Belém do Pará</w:t>
      </w:r>
      <w:r w:rsidR="00FD240F">
        <w:rPr>
          <w:rFonts w:ascii="Verdana" w:hAnsi="Verdana" w:cs="Verdana"/>
          <w:sz w:val="20"/>
          <w:szCs w:val="20"/>
          <w:u w:val="single"/>
        </w:rPr>
        <w:t>”</w:t>
      </w:r>
      <w:r w:rsidR="001A113B" w:rsidRPr="00C57B1A">
        <w:rPr>
          <w:rFonts w:ascii="Verdana" w:hAnsi="Verdana" w:cs="Verdana"/>
          <w:sz w:val="20"/>
          <w:szCs w:val="20"/>
          <w:u w:val="single"/>
        </w:rPr>
        <w:t>, en perjuicio de las víctimas</w:t>
      </w:r>
      <w:r w:rsidR="001A113B" w:rsidRPr="00F9275D">
        <w:rPr>
          <w:rStyle w:val="FootnoteReference"/>
          <w:rFonts w:ascii="Verdana" w:hAnsi="Verdana" w:cs="Verdana"/>
          <w:sz w:val="20"/>
          <w:szCs w:val="20"/>
          <w:u w:val="single"/>
        </w:rPr>
        <w:footnoteReference w:id="45"/>
      </w:r>
      <w:r w:rsidR="001A113B" w:rsidRPr="00C57B1A">
        <w:rPr>
          <w:rFonts w:ascii="Verdana" w:hAnsi="Verdana" w:cs="Verdana"/>
          <w:sz w:val="20"/>
          <w:szCs w:val="20"/>
        </w:rPr>
        <w:t xml:space="preserve">. </w:t>
      </w:r>
    </w:p>
    <w:p w14:paraId="32210831" w14:textId="77777777" w:rsidR="001A113B" w:rsidRPr="00F9275D" w:rsidRDefault="001A113B" w:rsidP="008C7F7F">
      <w:pPr>
        <w:autoSpaceDE w:val="0"/>
        <w:autoSpaceDN w:val="0"/>
        <w:adjustRightInd w:val="0"/>
        <w:spacing w:after="0" w:line="240" w:lineRule="auto"/>
        <w:jc w:val="both"/>
        <w:rPr>
          <w:rFonts w:ascii="Verdana" w:hAnsi="Verdana" w:cs="Verdana"/>
          <w:sz w:val="20"/>
          <w:szCs w:val="20"/>
        </w:rPr>
      </w:pPr>
    </w:p>
    <w:p w14:paraId="32210832" w14:textId="77777777" w:rsidR="009245C4" w:rsidRPr="00F9275D" w:rsidRDefault="00522631" w:rsidP="00C57B1A">
      <w:pPr>
        <w:pStyle w:val="FootnoteText"/>
        <w:jc w:val="both"/>
        <w:rPr>
          <w:rStyle w:val="Strong"/>
          <w:rFonts w:ascii="Verdana" w:hAnsi="Verdana" w:cs="Tahoma"/>
          <w:b w:val="0"/>
          <w:color w:val="000000"/>
          <w:shd w:val="clear" w:color="auto" w:fill="FFFFFF"/>
        </w:rPr>
      </w:pPr>
      <w:r>
        <w:rPr>
          <w:rFonts w:ascii="Verdana" w:hAnsi="Verdana" w:cs="Verdana"/>
        </w:rPr>
        <w:t>24</w:t>
      </w:r>
      <w:r w:rsidR="00C57B1A">
        <w:rPr>
          <w:rFonts w:ascii="Verdana" w:hAnsi="Verdana" w:cs="Verdana"/>
        </w:rPr>
        <w:t xml:space="preserve">. </w:t>
      </w:r>
      <w:r w:rsidR="00C57B1A">
        <w:rPr>
          <w:rFonts w:ascii="Verdana" w:hAnsi="Verdana" w:cs="Verdana"/>
        </w:rPr>
        <w:tab/>
      </w:r>
      <w:r w:rsidR="009245C4" w:rsidRPr="00F9275D">
        <w:rPr>
          <w:rFonts w:ascii="Verdana" w:hAnsi="Verdana" w:cs="Verdana"/>
        </w:rPr>
        <w:t xml:space="preserve">Posteriormente, en el </w:t>
      </w:r>
      <w:r w:rsidR="009245C4" w:rsidRPr="00F9275D">
        <w:rPr>
          <w:rFonts w:ascii="Verdana" w:hAnsi="Verdana" w:cs="Verdana"/>
          <w:i/>
        </w:rPr>
        <w:t xml:space="preserve">caso </w:t>
      </w:r>
      <w:r w:rsidR="009245C4" w:rsidRPr="00F9275D">
        <w:rPr>
          <w:rStyle w:val="Strong"/>
          <w:rFonts w:ascii="Verdana" w:hAnsi="Verdana" w:cs="Tahoma"/>
          <w:b w:val="0"/>
          <w:i/>
          <w:color w:val="000000"/>
          <w:shd w:val="clear" w:color="auto" w:fill="FFFFFF"/>
        </w:rPr>
        <w:t>Veliz Franco y otros Vs. Guatemala</w:t>
      </w:r>
      <w:r w:rsidR="009245C4" w:rsidRPr="00F9275D">
        <w:rPr>
          <w:rStyle w:val="FootnoteReference"/>
          <w:rFonts w:ascii="Verdana" w:hAnsi="Verdana" w:cs="Tahoma"/>
          <w:bCs/>
          <w:i/>
          <w:color w:val="000000"/>
          <w:shd w:val="clear" w:color="auto" w:fill="FFFFFF"/>
        </w:rPr>
        <w:footnoteReference w:id="46"/>
      </w:r>
      <w:r w:rsidR="009245C4" w:rsidRPr="00F9275D">
        <w:rPr>
          <w:rStyle w:val="Strong"/>
          <w:rFonts w:ascii="Verdana" w:hAnsi="Verdana" w:cs="Tahoma"/>
          <w:b w:val="0"/>
          <w:color w:val="000000"/>
          <w:shd w:val="clear" w:color="auto" w:fill="FFFFFF"/>
        </w:rPr>
        <w:t xml:space="preserve"> la Corte</w:t>
      </w:r>
      <w:r w:rsidR="00FD240F">
        <w:rPr>
          <w:rStyle w:val="Strong"/>
          <w:rFonts w:ascii="Verdana" w:hAnsi="Verdana" w:cs="Tahoma"/>
          <w:b w:val="0"/>
          <w:color w:val="000000"/>
          <w:shd w:val="clear" w:color="auto" w:fill="FFFFFF"/>
        </w:rPr>
        <w:t xml:space="preserve"> IDH</w:t>
      </w:r>
      <w:r w:rsidR="009245C4" w:rsidRPr="00F9275D">
        <w:rPr>
          <w:rStyle w:val="Strong"/>
          <w:rFonts w:ascii="Verdana" w:hAnsi="Verdana" w:cs="Tahoma"/>
          <w:b w:val="0"/>
          <w:color w:val="000000"/>
          <w:shd w:val="clear" w:color="auto" w:fill="FFFFFF"/>
        </w:rPr>
        <w:t xml:space="preserve"> también </w:t>
      </w:r>
      <w:r w:rsidR="00591324" w:rsidRPr="00F9275D">
        <w:rPr>
          <w:rStyle w:val="Strong"/>
          <w:rFonts w:ascii="Verdana" w:hAnsi="Verdana" w:cs="Tahoma"/>
          <w:b w:val="0"/>
          <w:color w:val="000000"/>
          <w:shd w:val="clear" w:color="auto" w:fill="FFFFFF"/>
        </w:rPr>
        <w:t xml:space="preserve">analizó las obligaciones de garantía, </w:t>
      </w:r>
      <w:r w:rsidR="00FD240F">
        <w:rPr>
          <w:rStyle w:val="Strong"/>
          <w:rFonts w:ascii="Verdana" w:hAnsi="Verdana" w:cs="Tahoma"/>
          <w:b w:val="0"/>
          <w:color w:val="000000"/>
          <w:shd w:val="clear" w:color="auto" w:fill="FFFFFF"/>
        </w:rPr>
        <w:t>estudiando el</w:t>
      </w:r>
      <w:r w:rsidR="00591324" w:rsidRPr="00F9275D">
        <w:rPr>
          <w:rStyle w:val="Strong"/>
          <w:rFonts w:ascii="Verdana" w:hAnsi="Verdana" w:cs="Tahoma"/>
          <w:b w:val="0"/>
          <w:color w:val="000000"/>
          <w:shd w:val="clear" w:color="auto" w:fill="FFFFFF"/>
        </w:rPr>
        <w:t xml:space="preserve"> deber de prevención como una manifestación de dichas obligaciones</w:t>
      </w:r>
      <w:r w:rsidR="002A71B5" w:rsidRPr="00F9275D">
        <w:rPr>
          <w:rStyle w:val="Strong"/>
          <w:rFonts w:ascii="Verdana" w:hAnsi="Verdana" w:cs="Tahoma"/>
          <w:b w:val="0"/>
          <w:color w:val="000000"/>
          <w:shd w:val="clear" w:color="auto" w:fill="FFFFFF"/>
        </w:rPr>
        <w:t xml:space="preserve"> que “abarca todas aquellas medidas de carácter jurídico, político, admin</w:t>
      </w:r>
      <w:r w:rsidR="00DC3F9A" w:rsidRPr="00F9275D">
        <w:rPr>
          <w:rStyle w:val="Strong"/>
          <w:rFonts w:ascii="Verdana" w:hAnsi="Verdana" w:cs="Tahoma"/>
          <w:b w:val="0"/>
          <w:color w:val="000000"/>
          <w:shd w:val="clear" w:color="auto" w:fill="FFFFFF"/>
        </w:rPr>
        <w:t>is</w:t>
      </w:r>
      <w:r w:rsidR="002A71B5" w:rsidRPr="00F9275D">
        <w:rPr>
          <w:rStyle w:val="Strong"/>
          <w:rFonts w:ascii="Verdana" w:hAnsi="Verdana" w:cs="Tahoma"/>
          <w:b w:val="0"/>
          <w:color w:val="000000"/>
          <w:shd w:val="clear" w:color="auto" w:fill="FFFFFF"/>
        </w:rPr>
        <w:t>trativo y cultural que promuevan la salvaguarda de los derechos humanos y que aseguren que las eventuales violaciones a los mismos sean efectivamente consideradas y tratadas como un hecho ilícito […]”</w:t>
      </w:r>
      <w:r w:rsidR="002A71B5" w:rsidRPr="00F9275D">
        <w:rPr>
          <w:rStyle w:val="FootnoteReference"/>
          <w:rFonts w:ascii="Verdana" w:hAnsi="Verdana" w:cs="Tahoma"/>
          <w:bCs/>
          <w:color w:val="000000"/>
          <w:shd w:val="clear" w:color="auto" w:fill="FFFFFF"/>
        </w:rPr>
        <w:footnoteReference w:id="47"/>
      </w:r>
      <w:r w:rsidR="00FD240F">
        <w:rPr>
          <w:rStyle w:val="Strong"/>
          <w:rFonts w:ascii="Verdana" w:hAnsi="Verdana" w:cs="Tahoma"/>
          <w:b w:val="0"/>
          <w:color w:val="000000"/>
          <w:shd w:val="clear" w:color="auto" w:fill="FFFFFF"/>
        </w:rPr>
        <w:t>;</w:t>
      </w:r>
      <w:r w:rsidR="00591324" w:rsidRPr="00F9275D">
        <w:rPr>
          <w:rStyle w:val="Strong"/>
          <w:rFonts w:ascii="Verdana" w:hAnsi="Verdana" w:cs="Tahoma"/>
          <w:b w:val="0"/>
          <w:color w:val="000000"/>
          <w:shd w:val="clear" w:color="auto" w:fill="FFFFFF"/>
        </w:rPr>
        <w:t xml:space="preserve"> </w:t>
      </w:r>
      <w:r w:rsidR="00440A18" w:rsidRPr="00F9275D">
        <w:rPr>
          <w:rStyle w:val="Strong"/>
          <w:rFonts w:ascii="Verdana" w:hAnsi="Verdana" w:cs="Tahoma"/>
          <w:b w:val="0"/>
          <w:color w:val="000000"/>
          <w:shd w:val="clear" w:color="auto" w:fill="FFFFFF"/>
        </w:rPr>
        <w:t>refrendado</w:t>
      </w:r>
      <w:r w:rsidR="002A71B5" w:rsidRPr="00F9275D">
        <w:rPr>
          <w:rStyle w:val="Strong"/>
          <w:rFonts w:ascii="Verdana" w:hAnsi="Verdana" w:cs="Tahoma"/>
          <w:b w:val="0"/>
          <w:color w:val="000000"/>
          <w:shd w:val="clear" w:color="auto" w:fill="FFFFFF"/>
        </w:rPr>
        <w:t xml:space="preserve"> lo dicho en el caso </w:t>
      </w:r>
      <w:r w:rsidR="002A71B5" w:rsidRPr="00F9275D">
        <w:rPr>
          <w:rStyle w:val="Strong"/>
          <w:rFonts w:ascii="Verdana" w:hAnsi="Verdana" w:cs="Tahoma"/>
          <w:b w:val="0"/>
          <w:i/>
          <w:color w:val="000000"/>
          <w:shd w:val="clear" w:color="auto" w:fill="FFFFFF"/>
        </w:rPr>
        <w:t>González y otras (“Campo Algodonero”) Vs. México</w:t>
      </w:r>
      <w:r w:rsidR="002A71B5" w:rsidRPr="00637AB6">
        <w:rPr>
          <w:rStyle w:val="FootnoteReference"/>
          <w:rFonts w:ascii="Verdana" w:hAnsi="Verdana" w:cs="Tahoma"/>
          <w:bCs/>
          <w:color w:val="000000"/>
          <w:shd w:val="clear" w:color="auto" w:fill="FFFFFF"/>
        </w:rPr>
        <w:footnoteReference w:id="48"/>
      </w:r>
      <w:r w:rsidR="002A71B5" w:rsidRPr="00F9275D">
        <w:rPr>
          <w:rStyle w:val="Strong"/>
          <w:rFonts w:ascii="Verdana" w:hAnsi="Verdana" w:cs="Tahoma"/>
          <w:b w:val="0"/>
          <w:i/>
          <w:color w:val="000000"/>
          <w:shd w:val="clear" w:color="auto" w:fill="FFFFFF"/>
        </w:rPr>
        <w:t xml:space="preserve"> </w:t>
      </w:r>
      <w:r w:rsidR="002A71B5" w:rsidRPr="00F9275D">
        <w:rPr>
          <w:rStyle w:val="Strong"/>
          <w:rFonts w:ascii="Verdana" w:hAnsi="Verdana" w:cs="Tahoma"/>
          <w:b w:val="0"/>
          <w:color w:val="000000"/>
          <w:shd w:val="clear" w:color="auto" w:fill="FFFFFF"/>
        </w:rPr>
        <w:t>en torno a las características de la estrategia del deber de prevención</w:t>
      </w:r>
      <w:r w:rsidR="00DC3F9A" w:rsidRPr="00F9275D">
        <w:rPr>
          <w:rStyle w:val="Strong"/>
          <w:rFonts w:ascii="Verdana" w:hAnsi="Verdana" w:cs="Tahoma"/>
          <w:b w:val="0"/>
          <w:color w:val="000000"/>
          <w:shd w:val="clear" w:color="auto" w:fill="FFFFFF"/>
        </w:rPr>
        <w:t>.</w:t>
      </w:r>
    </w:p>
    <w:p w14:paraId="32210833" w14:textId="77777777" w:rsidR="00DC3F9A" w:rsidRPr="00F9275D" w:rsidRDefault="00DC3F9A" w:rsidP="008C7F7F">
      <w:pPr>
        <w:pStyle w:val="FootnoteText"/>
        <w:jc w:val="both"/>
        <w:rPr>
          <w:rStyle w:val="Strong"/>
          <w:rFonts w:ascii="Verdana" w:hAnsi="Verdana" w:cs="Tahoma"/>
          <w:b w:val="0"/>
          <w:color w:val="000000"/>
          <w:shd w:val="clear" w:color="auto" w:fill="FFFFFF"/>
        </w:rPr>
      </w:pPr>
    </w:p>
    <w:p w14:paraId="32210834" w14:textId="77777777" w:rsidR="00DC3F9A"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25</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DC3F9A" w:rsidRPr="00F9275D">
        <w:rPr>
          <w:rStyle w:val="Strong"/>
          <w:rFonts w:ascii="Verdana" w:hAnsi="Verdana" w:cs="Tahoma"/>
          <w:b w:val="0"/>
          <w:color w:val="000000"/>
          <w:shd w:val="clear" w:color="auto" w:fill="FFFFFF"/>
        </w:rPr>
        <w:t xml:space="preserve">Asimismo, en uso del estándar de los </w:t>
      </w:r>
      <w:r w:rsidR="00FD240F">
        <w:rPr>
          <w:rStyle w:val="Strong"/>
          <w:rFonts w:ascii="Verdana" w:hAnsi="Verdana" w:cs="Tahoma"/>
          <w:b w:val="0"/>
          <w:color w:val="000000"/>
          <w:shd w:val="clear" w:color="auto" w:fill="FFFFFF"/>
        </w:rPr>
        <w:t>“</w:t>
      </w:r>
      <w:r w:rsidR="00DC3F9A" w:rsidRPr="00F9275D">
        <w:rPr>
          <w:rStyle w:val="Strong"/>
          <w:rFonts w:ascii="Verdana" w:hAnsi="Verdana" w:cs="Tahoma"/>
          <w:b w:val="0"/>
          <w:color w:val="000000"/>
          <w:shd w:val="clear" w:color="auto" w:fill="FFFFFF"/>
        </w:rPr>
        <w:t>dos momentos</w:t>
      </w:r>
      <w:r w:rsidR="00FD240F">
        <w:rPr>
          <w:rStyle w:val="Strong"/>
          <w:rFonts w:ascii="Verdana" w:hAnsi="Verdana" w:cs="Tahoma"/>
          <w:b w:val="0"/>
          <w:color w:val="000000"/>
          <w:shd w:val="clear" w:color="auto" w:fill="FFFFFF"/>
        </w:rPr>
        <w:t>”</w:t>
      </w:r>
      <w:r w:rsidR="00DC3F9A" w:rsidRPr="00F9275D">
        <w:rPr>
          <w:rStyle w:val="Strong"/>
          <w:rFonts w:ascii="Verdana" w:hAnsi="Verdana" w:cs="Tahoma"/>
          <w:b w:val="0"/>
          <w:color w:val="000000"/>
          <w:shd w:val="clear" w:color="auto" w:fill="FFFFFF"/>
        </w:rPr>
        <w:t xml:space="preserve"> utilizado en </w:t>
      </w:r>
      <w:r w:rsidR="00DC3F9A" w:rsidRPr="00F9275D">
        <w:rPr>
          <w:rStyle w:val="Strong"/>
          <w:rFonts w:ascii="Verdana" w:hAnsi="Verdana" w:cs="Tahoma"/>
          <w:b w:val="0"/>
          <w:i/>
          <w:color w:val="000000"/>
          <w:shd w:val="clear" w:color="auto" w:fill="FFFFFF"/>
        </w:rPr>
        <w:t>González y otras (“Campo Algodonero”) Vs. México</w:t>
      </w:r>
      <w:r w:rsidR="00DC3F9A" w:rsidRPr="00F9275D">
        <w:rPr>
          <w:rStyle w:val="FootnoteReference"/>
          <w:rFonts w:ascii="Verdana" w:hAnsi="Verdana" w:cs="Tahoma"/>
          <w:bCs/>
          <w:i/>
          <w:color w:val="000000"/>
          <w:shd w:val="clear" w:color="auto" w:fill="FFFFFF"/>
        </w:rPr>
        <w:footnoteReference w:id="49"/>
      </w:r>
      <w:r w:rsidR="00DC3F9A" w:rsidRPr="00F9275D">
        <w:rPr>
          <w:rStyle w:val="Strong"/>
          <w:rFonts w:ascii="Verdana" w:hAnsi="Verdana" w:cs="Tahoma"/>
          <w:b w:val="0"/>
          <w:i/>
          <w:color w:val="000000"/>
          <w:shd w:val="clear" w:color="auto" w:fill="FFFFFF"/>
        </w:rPr>
        <w:t xml:space="preserve">, </w:t>
      </w:r>
      <w:r w:rsidR="00DC3F9A" w:rsidRPr="00F9275D">
        <w:rPr>
          <w:rStyle w:val="Strong"/>
          <w:rFonts w:ascii="Verdana" w:hAnsi="Verdana" w:cs="Tahoma"/>
          <w:b w:val="0"/>
          <w:color w:val="000000"/>
          <w:shd w:val="clear" w:color="auto" w:fill="FFFFFF"/>
        </w:rPr>
        <w:t xml:space="preserve">la Corte </w:t>
      </w:r>
      <w:r w:rsidR="00FD240F">
        <w:rPr>
          <w:rStyle w:val="Strong"/>
          <w:rFonts w:ascii="Verdana" w:hAnsi="Verdana" w:cs="Tahoma"/>
          <w:b w:val="0"/>
          <w:color w:val="000000"/>
          <w:shd w:val="clear" w:color="auto" w:fill="FFFFFF"/>
        </w:rPr>
        <w:t xml:space="preserve">IDH </w:t>
      </w:r>
      <w:r w:rsidR="00DC3F9A" w:rsidRPr="00F9275D">
        <w:rPr>
          <w:rStyle w:val="Strong"/>
          <w:rFonts w:ascii="Verdana" w:hAnsi="Verdana" w:cs="Tahoma"/>
          <w:b w:val="0"/>
          <w:color w:val="000000"/>
          <w:shd w:val="clear" w:color="auto" w:fill="FFFFFF"/>
        </w:rPr>
        <w:t xml:space="preserve">determinó en el </w:t>
      </w:r>
      <w:r w:rsidR="00FD240F">
        <w:rPr>
          <w:rStyle w:val="Strong"/>
          <w:rFonts w:ascii="Verdana" w:hAnsi="Verdana" w:cs="Tahoma"/>
          <w:b w:val="0"/>
          <w:color w:val="000000"/>
          <w:shd w:val="clear" w:color="auto" w:fill="FFFFFF"/>
        </w:rPr>
        <w:t>“</w:t>
      </w:r>
      <w:r w:rsidR="00DC3F9A" w:rsidRPr="00F9275D">
        <w:rPr>
          <w:rStyle w:val="Strong"/>
          <w:rFonts w:ascii="Verdana" w:hAnsi="Verdana" w:cs="Tahoma"/>
          <w:b w:val="0"/>
          <w:color w:val="000000"/>
          <w:shd w:val="clear" w:color="auto" w:fill="FFFFFF"/>
        </w:rPr>
        <w:t>primer momento</w:t>
      </w:r>
      <w:r w:rsidR="00FD240F">
        <w:rPr>
          <w:rStyle w:val="Strong"/>
          <w:rFonts w:ascii="Verdana" w:hAnsi="Verdana" w:cs="Tahoma"/>
          <w:b w:val="0"/>
          <w:color w:val="000000"/>
          <w:shd w:val="clear" w:color="auto" w:fill="FFFFFF"/>
        </w:rPr>
        <w:t>”</w:t>
      </w:r>
      <w:r w:rsidR="00EB2D86">
        <w:rPr>
          <w:rStyle w:val="Strong"/>
          <w:rFonts w:ascii="Verdana" w:hAnsi="Verdana" w:cs="Tahoma"/>
          <w:b w:val="0"/>
          <w:color w:val="000000"/>
          <w:shd w:val="clear" w:color="auto" w:fill="FFFFFF"/>
        </w:rPr>
        <w:t xml:space="preserve"> —</w:t>
      </w:r>
      <w:r w:rsidR="00DC3F9A" w:rsidRPr="00F9275D">
        <w:rPr>
          <w:rStyle w:val="Strong"/>
          <w:rFonts w:ascii="Verdana" w:hAnsi="Verdana" w:cs="Tahoma"/>
          <w:b w:val="0"/>
          <w:color w:val="000000"/>
          <w:shd w:val="clear" w:color="auto" w:fill="FFFFFF"/>
        </w:rPr>
        <w:t>tal y como ya lo había hecho en el caso referido</w:t>
      </w:r>
      <w:r w:rsidR="00EB2D86">
        <w:rPr>
          <w:rStyle w:val="Strong"/>
          <w:rFonts w:ascii="Verdana" w:hAnsi="Verdana" w:cs="Tahoma"/>
          <w:b w:val="0"/>
          <w:color w:val="000000"/>
          <w:shd w:val="clear" w:color="auto" w:fill="FFFFFF"/>
        </w:rPr>
        <w:t>—</w:t>
      </w:r>
      <w:r w:rsidR="00DC3F9A" w:rsidRPr="00F9275D">
        <w:rPr>
          <w:rStyle w:val="Strong"/>
          <w:rFonts w:ascii="Verdana" w:hAnsi="Verdana" w:cs="Tahoma"/>
          <w:b w:val="0"/>
          <w:color w:val="000000"/>
          <w:shd w:val="clear" w:color="auto" w:fill="FFFFFF"/>
        </w:rPr>
        <w:t xml:space="preserve"> que la falta de prevención de la desaparición “no conlleva[ba] </w:t>
      </w:r>
      <w:r w:rsidR="00DC3F9A" w:rsidRPr="00F9275D">
        <w:rPr>
          <w:rStyle w:val="Strong"/>
          <w:rFonts w:ascii="Verdana" w:hAnsi="Verdana" w:cs="Tahoma"/>
          <w:b w:val="0"/>
          <w:i/>
          <w:color w:val="000000"/>
          <w:shd w:val="clear" w:color="auto" w:fill="FFFFFF"/>
        </w:rPr>
        <w:t>per se</w:t>
      </w:r>
      <w:r w:rsidR="00DC3F9A" w:rsidRPr="00F9275D">
        <w:rPr>
          <w:rStyle w:val="Strong"/>
          <w:rFonts w:ascii="Verdana" w:hAnsi="Verdana" w:cs="Tahoma"/>
          <w:b w:val="0"/>
          <w:color w:val="000000"/>
          <w:shd w:val="clear" w:color="auto" w:fill="FFFFFF"/>
        </w:rPr>
        <w:t xml:space="preserve"> la responsabilidad internacional del Estado” en virtud de que a pesar de su conocimiento del incremento de actos violentos contra mujeres y niñas, no contaba con un conocimiento de un riesgo real e inmediato para la víctima de este caso, y por otro lado </w:t>
      </w:r>
      <w:r w:rsidR="00EB2D86">
        <w:rPr>
          <w:rStyle w:val="Strong"/>
          <w:rFonts w:ascii="Verdana" w:hAnsi="Verdana" w:cs="Tahoma"/>
          <w:b w:val="0"/>
          <w:color w:val="000000"/>
          <w:u w:val="single"/>
          <w:shd w:val="clear" w:color="auto" w:fill="FFFFFF"/>
        </w:rPr>
        <w:t>—</w:t>
      </w:r>
      <w:r w:rsidR="00DC3F9A" w:rsidRPr="00EB2D86">
        <w:rPr>
          <w:rStyle w:val="Strong"/>
          <w:rFonts w:ascii="Verdana" w:hAnsi="Verdana" w:cs="Tahoma"/>
          <w:b w:val="0"/>
          <w:color w:val="000000"/>
          <w:u w:val="single"/>
          <w:shd w:val="clear" w:color="auto" w:fill="FFFFFF"/>
        </w:rPr>
        <w:t>a diferencia de su antecedente jurisprudencial</w:t>
      </w:r>
      <w:r w:rsidR="00EB2D86">
        <w:rPr>
          <w:rStyle w:val="Strong"/>
          <w:rFonts w:ascii="Verdana" w:hAnsi="Verdana" w:cs="Tahoma"/>
          <w:b w:val="0"/>
          <w:color w:val="000000"/>
          <w:u w:val="single"/>
          <w:shd w:val="clear" w:color="auto" w:fill="FFFFFF"/>
        </w:rPr>
        <w:t>—</w:t>
      </w:r>
      <w:r w:rsidR="00DC3F9A" w:rsidRPr="00EB2D86">
        <w:rPr>
          <w:rStyle w:val="Strong"/>
          <w:rFonts w:ascii="Verdana" w:hAnsi="Verdana" w:cs="Tahoma"/>
          <w:b w:val="0"/>
          <w:color w:val="000000"/>
          <w:u w:val="single"/>
          <w:shd w:val="clear" w:color="auto" w:fill="FFFFFF"/>
        </w:rPr>
        <w:t xml:space="preserve"> reconoció</w:t>
      </w:r>
      <w:r w:rsidR="0088654C" w:rsidRPr="00EB2D86">
        <w:rPr>
          <w:rStyle w:val="Strong"/>
          <w:rFonts w:ascii="Verdana" w:hAnsi="Verdana" w:cs="Tahoma"/>
          <w:b w:val="0"/>
          <w:color w:val="000000"/>
          <w:u w:val="single"/>
          <w:shd w:val="clear" w:color="auto" w:fill="FFFFFF"/>
        </w:rPr>
        <w:t xml:space="preserve"> acciones estatales </w:t>
      </w:r>
      <w:r w:rsidR="00EB2D86" w:rsidRPr="00EB2D86">
        <w:rPr>
          <w:rStyle w:val="Strong"/>
          <w:rFonts w:ascii="Verdana" w:hAnsi="Verdana" w:cs="Tahoma"/>
          <w:b w:val="0"/>
          <w:color w:val="000000"/>
          <w:u w:val="single"/>
          <w:shd w:val="clear" w:color="auto" w:fill="FFFFFF"/>
        </w:rPr>
        <w:t>(</w:t>
      </w:r>
      <w:r w:rsidR="0088654C" w:rsidRPr="00EB2D86">
        <w:rPr>
          <w:rStyle w:val="Strong"/>
          <w:rFonts w:ascii="Verdana" w:hAnsi="Verdana" w:cs="Tahoma"/>
          <w:b w:val="0"/>
          <w:color w:val="000000"/>
          <w:u w:val="single"/>
          <w:shd w:val="clear" w:color="auto" w:fill="FFFFFF"/>
        </w:rPr>
        <w:t>tomadas con anterioridad a la fecha de los hechos</w:t>
      </w:r>
      <w:r w:rsidR="00EB2D86" w:rsidRPr="00EB2D86">
        <w:rPr>
          <w:rStyle w:val="Strong"/>
          <w:rFonts w:ascii="Verdana" w:hAnsi="Verdana" w:cs="Tahoma"/>
          <w:b w:val="0"/>
          <w:color w:val="000000"/>
          <w:u w:val="single"/>
          <w:shd w:val="clear" w:color="auto" w:fill="FFFFFF"/>
        </w:rPr>
        <w:t>)</w:t>
      </w:r>
      <w:r w:rsidR="0088654C" w:rsidRPr="00EB2D86">
        <w:rPr>
          <w:rStyle w:val="Strong"/>
          <w:rFonts w:ascii="Verdana" w:hAnsi="Verdana" w:cs="Tahoma"/>
          <w:b w:val="0"/>
          <w:color w:val="000000"/>
          <w:u w:val="single"/>
          <w:shd w:val="clear" w:color="auto" w:fill="FFFFFF"/>
        </w:rPr>
        <w:t xml:space="preserve"> vinculadas a la problemática de la violencia contra mujeres</w:t>
      </w:r>
      <w:r w:rsidR="0088654C" w:rsidRPr="00EB2D86">
        <w:rPr>
          <w:rStyle w:val="FootnoteReference"/>
          <w:rFonts w:ascii="Verdana" w:hAnsi="Verdana" w:cs="Tahoma"/>
          <w:bCs/>
          <w:color w:val="000000"/>
          <w:u w:val="single"/>
          <w:shd w:val="clear" w:color="auto" w:fill="FFFFFF"/>
        </w:rPr>
        <w:footnoteReference w:id="50"/>
      </w:r>
      <w:r w:rsidR="00440A18" w:rsidRPr="00EB2D86">
        <w:rPr>
          <w:rStyle w:val="Strong"/>
          <w:rFonts w:ascii="Verdana" w:hAnsi="Verdana" w:cs="Tahoma"/>
          <w:b w:val="0"/>
          <w:color w:val="000000"/>
          <w:u w:val="single"/>
          <w:shd w:val="clear" w:color="auto" w:fill="FFFFFF"/>
        </w:rPr>
        <w:t>, dando por concluido el análisis de dicho momento</w:t>
      </w:r>
      <w:r w:rsidR="0088654C" w:rsidRPr="00EB2D86">
        <w:rPr>
          <w:rStyle w:val="Strong"/>
          <w:rFonts w:ascii="Verdana" w:hAnsi="Verdana" w:cs="Tahoma"/>
          <w:b w:val="0"/>
          <w:color w:val="000000"/>
          <w:u w:val="single"/>
          <w:shd w:val="clear" w:color="auto" w:fill="FFFFFF"/>
        </w:rPr>
        <w:t>.</w:t>
      </w:r>
    </w:p>
    <w:p w14:paraId="32210835" w14:textId="77777777" w:rsidR="0088654C" w:rsidRPr="00F9275D" w:rsidRDefault="0088654C" w:rsidP="008C7F7F">
      <w:pPr>
        <w:pStyle w:val="FootnoteText"/>
        <w:jc w:val="both"/>
        <w:rPr>
          <w:rStyle w:val="Strong"/>
          <w:rFonts w:ascii="Verdana" w:hAnsi="Verdana" w:cs="Tahoma"/>
          <w:b w:val="0"/>
          <w:color w:val="000000"/>
          <w:shd w:val="clear" w:color="auto" w:fill="FFFFFF"/>
        </w:rPr>
      </w:pPr>
    </w:p>
    <w:p w14:paraId="32210836" w14:textId="77777777" w:rsidR="00C53C0B"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lastRenderedPageBreak/>
        <w:t>26</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88654C" w:rsidRPr="00F9275D">
        <w:rPr>
          <w:rStyle w:val="Strong"/>
          <w:rFonts w:ascii="Verdana" w:hAnsi="Verdana" w:cs="Tahoma"/>
          <w:b w:val="0"/>
          <w:color w:val="000000"/>
          <w:shd w:val="clear" w:color="auto" w:fill="FFFFFF"/>
        </w:rPr>
        <w:t xml:space="preserve">En cuanto al </w:t>
      </w:r>
      <w:r w:rsidR="00EB2D86">
        <w:rPr>
          <w:rStyle w:val="Strong"/>
          <w:rFonts w:ascii="Verdana" w:hAnsi="Verdana" w:cs="Tahoma"/>
          <w:b w:val="0"/>
          <w:color w:val="000000"/>
          <w:shd w:val="clear" w:color="auto" w:fill="FFFFFF"/>
        </w:rPr>
        <w:t>“</w:t>
      </w:r>
      <w:r w:rsidR="0088654C" w:rsidRPr="00F9275D">
        <w:rPr>
          <w:rStyle w:val="Strong"/>
          <w:rFonts w:ascii="Verdana" w:hAnsi="Verdana" w:cs="Tahoma"/>
          <w:b w:val="0"/>
          <w:color w:val="000000"/>
          <w:shd w:val="clear" w:color="auto" w:fill="FFFFFF"/>
        </w:rPr>
        <w:t>segundo momento</w:t>
      </w:r>
      <w:r w:rsidR="00EB2D86">
        <w:rPr>
          <w:rStyle w:val="Strong"/>
          <w:rFonts w:ascii="Verdana" w:hAnsi="Verdana" w:cs="Tahoma"/>
          <w:b w:val="0"/>
          <w:color w:val="000000"/>
          <w:shd w:val="clear" w:color="auto" w:fill="FFFFFF"/>
        </w:rPr>
        <w:t>”</w:t>
      </w:r>
      <w:r w:rsidR="0088654C" w:rsidRPr="00F9275D">
        <w:rPr>
          <w:rStyle w:val="Strong"/>
          <w:rFonts w:ascii="Verdana" w:hAnsi="Verdana" w:cs="Tahoma"/>
          <w:b w:val="0"/>
          <w:color w:val="000000"/>
          <w:shd w:val="clear" w:color="auto" w:fill="FFFFFF"/>
        </w:rPr>
        <w:t xml:space="preserve"> </w:t>
      </w:r>
      <w:r w:rsidR="00EB2D86">
        <w:rPr>
          <w:rStyle w:val="Strong"/>
          <w:rFonts w:ascii="Verdana" w:hAnsi="Verdana" w:cs="Tahoma"/>
          <w:b w:val="0"/>
          <w:color w:val="000000"/>
          <w:shd w:val="clear" w:color="auto" w:fill="FFFFFF"/>
        </w:rPr>
        <w:t>(</w:t>
      </w:r>
      <w:r w:rsidR="009D5DFF" w:rsidRPr="00F9275D">
        <w:rPr>
          <w:rStyle w:val="Strong"/>
          <w:rFonts w:ascii="Verdana" w:hAnsi="Verdana" w:cs="Tahoma"/>
          <w:b w:val="0"/>
          <w:color w:val="000000"/>
          <w:shd w:val="clear" w:color="auto" w:fill="FFFFFF"/>
        </w:rPr>
        <w:t>tiempo transcurrido entre la de</w:t>
      </w:r>
      <w:r w:rsidR="00EB2D86">
        <w:rPr>
          <w:rStyle w:val="Strong"/>
          <w:rFonts w:ascii="Verdana" w:hAnsi="Verdana" w:cs="Tahoma"/>
          <w:b w:val="0"/>
          <w:color w:val="000000"/>
          <w:shd w:val="clear" w:color="auto" w:fill="FFFFFF"/>
        </w:rPr>
        <w:t>nuncia y el hallazgo del cuerpo)</w:t>
      </w:r>
      <w:r w:rsidR="009D5DFF" w:rsidRPr="00F9275D">
        <w:rPr>
          <w:rStyle w:val="Strong"/>
          <w:rFonts w:ascii="Verdana" w:hAnsi="Verdana" w:cs="Tahoma"/>
          <w:b w:val="0"/>
          <w:color w:val="000000"/>
          <w:shd w:val="clear" w:color="auto" w:fill="FFFFFF"/>
        </w:rPr>
        <w:t xml:space="preserve"> la Corte </w:t>
      </w:r>
      <w:r w:rsidR="00EB2D86">
        <w:rPr>
          <w:rStyle w:val="Strong"/>
          <w:rFonts w:ascii="Verdana" w:hAnsi="Verdana" w:cs="Tahoma"/>
          <w:b w:val="0"/>
          <w:color w:val="000000"/>
          <w:shd w:val="clear" w:color="auto" w:fill="FFFFFF"/>
        </w:rPr>
        <w:t xml:space="preserve">IDH </w:t>
      </w:r>
      <w:r w:rsidR="00C53C0B" w:rsidRPr="00F9275D">
        <w:rPr>
          <w:rStyle w:val="Strong"/>
          <w:rFonts w:ascii="Verdana" w:hAnsi="Verdana" w:cs="Tahoma"/>
          <w:b w:val="0"/>
          <w:color w:val="000000"/>
          <w:shd w:val="clear" w:color="auto" w:fill="FFFFFF"/>
        </w:rPr>
        <w:t>buscó dilucidar la existencia de responsabilidad inter</w:t>
      </w:r>
      <w:r w:rsidR="003606F5" w:rsidRPr="00F9275D">
        <w:rPr>
          <w:rStyle w:val="Strong"/>
          <w:rFonts w:ascii="Verdana" w:hAnsi="Verdana" w:cs="Tahoma"/>
          <w:b w:val="0"/>
          <w:color w:val="000000"/>
          <w:shd w:val="clear" w:color="auto" w:fill="FFFFFF"/>
        </w:rPr>
        <w:t>nacional estatal evaluando en primer lugar, si “el Estado [había] [tenido] oportunamente, o deb[ía] tener, conocimiento de la situación de riesgo real e inmediato en que se encontraba [la víctima]”; en segundo lugar, “si en su caso, [había] [tenido] posibilidades razonables de prevenir o evitar la consumación”, y en tercer lugar, “si [había] concret[ado] la diligencia debida con medidas o acciones para evitar la lesión de los derechos de la niña nombrada”</w:t>
      </w:r>
      <w:r w:rsidR="003606F5" w:rsidRPr="00F9275D">
        <w:rPr>
          <w:rStyle w:val="FootnoteReference"/>
          <w:rFonts w:ascii="Verdana" w:hAnsi="Verdana" w:cs="Tahoma"/>
          <w:bCs/>
          <w:color w:val="000000"/>
          <w:shd w:val="clear" w:color="auto" w:fill="FFFFFF"/>
        </w:rPr>
        <w:footnoteReference w:id="51"/>
      </w:r>
      <w:r w:rsidR="003606F5" w:rsidRPr="00F9275D">
        <w:rPr>
          <w:rStyle w:val="Strong"/>
          <w:rFonts w:ascii="Verdana" w:hAnsi="Verdana" w:cs="Tahoma"/>
          <w:b w:val="0"/>
          <w:color w:val="000000"/>
          <w:shd w:val="clear" w:color="auto" w:fill="FFFFFF"/>
        </w:rPr>
        <w:t>.</w:t>
      </w:r>
    </w:p>
    <w:p w14:paraId="32210837" w14:textId="77777777" w:rsidR="003606F5" w:rsidRPr="00F9275D" w:rsidRDefault="003606F5" w:rsidP="008C7F7F">
      <w:pPr>
        <w:pStyle w:val="FootnoteText"/>
        <w:jc w:val="both"/>
        <w:rPr>
          <w:rStyle w:val="Strong"/>
          <w:rFonts w:ascii="Verdana" w:hAnsi="Verdana" w:cs="Tahoma"/>
          <w:b w:val="0"/>
          <w:color w:val="000000"/>
          <w:shd w:val="clear" w:color="auto" w:fill="FFFFFF"/>
        </w:rPr>
      </w:pPr>
    </w:p>
    <w:p w14:paraId="32210838" w14:textId="77777777" w:rsidR="003606F5"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27</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3606F5" w:rsidRPr="00F9275D">
        <w:rPr>
          <w:rStyle w:val="Strong"/>
          <w:rFonts w:ascii="Verdana" w:hAnsi="Verdana" w:cs="Tahoma"/>
          <w:b w:val="0"/>
          <w:color w:val="000000"/>
          <w:shd w:val="clear" w:color="auto" w:fill="FFFFFF"/>
        </w:rPr>
        <w:t>Para ello, el Estado dividió el análisis en dos vertientes, la primera de ellas, en cuanto a la “[e]xistencia de una situación de riesgo en perjuicio [de la víctima]”</w:t>
      </w:r>
      <w:r w:rsidR="003606F5" w:rsidRPr="00F9275D">
        <w:rPr>
          <w:rStyle w:val="FootnoteReference"/>
          <w:rFonts w:ascii="Verdana" w:hAnsi="Verdana" w:cs="Tahoma"/>
          <w:bCs/>
          <w:color w:val="000000"/>
          <w:shd w:val="clear" w:color="auto" w:fill="FFFFFF"/>
        </w:rPr>
        <w:footnoteReference w:id="52"/>
      </w:r>
      <w:r w:rsidR="003606F5" w:rsidRPr="00F9275D">
        <w:rPr>
          <w:rStyle w:val="Strong"/>
          <w:rFonts w:ascii="Verdana" w:hAnsi="Verdana" w:cs="Tahoma"/>
          <w:b w:val="0"/>
          <w:color w:val="000000"/>
          <w:shd w:val="clear" w:color="auto" w:fill="FFFFFF"/>
        </w:rPr>
        <w:t xml:space="preserve"> y la segunda, en torno a las “[p]osibilidades de una actuación estatal diligente para prevenir el riesgo y su concreción”</w:t>
      </w:r>
      <w:r w:rsidR="003606F5" w:rsidRPr="00F9275D">
        <w:rPr>
          <w:rStyle w:val="FootnoteReference"/>
          <w:rFonts w:ascii="Verdana" w:hAnsi="Verdana" w:cs="Tahoma"/>
          <w:bCs/>
          <w:color w:val="000000"/>
          <w:shd w:val="clear" w:color="auto" w:fill="FFFFFF"/>
        </w:rPr>
        <w:footnoteReference w:id="53"/>
      </w:r>
      <w:r w:rsidR="003606F5" w:rsidRPr="00F9275D">
        <w:rPr>
          <w:rStyle w:val="Strong"/>
          <w:rFonts w:ascii="Verdana" w:hAnsi="Verdana" w:cs="Tahoma"/>
          <w:b w:val="0"/>
          <w:color w:val="000000"/>
          <w:shd w:val="clear" w:color="auto" w:fill="FFFFFF"/>
        </w:rPr>
        <w:t xml:space="preserve">. </w:t>
      </w:r>
      <w:r w:rsidR="003A6C60" w:rsidRPr="00F9275D">
        <w:rPr>
          <w:rStyle w:val="Strong"/>
          <w:rFonts w:ascii="Verdana" w:hAnsi="Verdana" w:cs="Tahoma"/>
          <w:b w:val="0"/>
          <w:color w:val="000000"/>
          <w:shd w:val="clear" w:color="auto" w:fill="FFFFFF"/>
        </w:rPr>
        <w:t>Respecto de la primer vertiente,</w:t>
      </w:r>
      <w:r w:rsidR="003606F5" w:rsidRPr="00F9275D">
        <w:rPr>
          <w:rStyle w:val="Strong"/>
          <w:rFonts w:ascii="Verdana" w:hAnsi="Verdana" w:cs="Tahoma"/>
          <w:b w:val="0"/>
          <w:color w:val="000000"/>
          <w:shd w:val="clear" w:color="auto" w:fill="FFFFFF"/>
        </w:rPr>
        <w:t xml:space="preserve"> la Corte</w:t>
      </w:r>
      <w:r w:rsidR="00192DCD">
        <w:rPr>
          <w:rStyle w:val="Strong"/>
          <w:rFonts w:ascii="Verdana" w:hAnsi="Verdana" w:cs="Tahoma"/>
          <w:b w:val="0"/>
          <w:color w:val="000000"/>
          <w:shd w:val="clear" w:color="auto" w:fill="FFFFFF"/>
        </w:rPr>
        <w:t xml:space="preserve"> IDH</w:t>
      </w:r>
      <w:r w:rsidR="003606F5" w:rsidRPr="00F9275D">
        <w:rPr>
          <w:rStyle w:val="Strong"/>
          <w:rFonts w:ascii="Verdana" w:hAnsi="Verdana" w:cs="Tahoma"/>
          <w:b w:val="0"/>
          <w:color w:val="000000"/>
          <w:shd w:val="clear" w:color="auto" w:fill="FFFFFF"/>
        </w:rPr>
        <w:t xml:space="preserve"> determinó que </w:t>
      </w:r>
      <w:r w:rsidR="000E4B97" w:rsidRPr="00F9275D">
        <w:rPr>
          <w:rStyle w:val="Strong"/>
          <w:rFonts w:ascii="Verdana" w:hAnsi="Verdana" w:cs="Tahoma"/>
          <w:b w:val="0"/>
          <w:color w:val="000000"/>
          <w:shd w:val="clear" w:color="auto" w:fill="FFFFFF"/>
        </w:rPr>
        <w:t>a partir de la denuncia formalizada por la madre de la víctima, el Estado había estado en conocimiento de la situación de riesgo en que se encontraba la víctima, dado el contexto que se vivía en Guatemala</w:t>
      </w:r>
      <w:r w:rsidR="000E4B97" w:rsidRPr="00F9275D">
        <w:rPr>
          <w:rStyle w:val="FootnoteReference"/>
          <w:rFonts w:ascii="Verdana" w:hAnsi="Verdana" w:cs="Tahoma"/>
          <w:bCs/>
          <w:color w:val="000000"/>
          <w:shd w:val="clear" w:color="auto" w:fill="FFFFFF"/>
        </w:rPr>
        <w:footnoteReference w:id="54"/>
      </w:r>
      <w:r w:rsidR="000E4B97" w:rsidRPr="00F9275D">
        <w:rPr>
          <w:rStyle w:val="Strong"/>
          <w:rFonts w:ascii="Verdana" w:hAnsi="Verdana" w:cs="Tahoma"/>
          <w:b w:val="0"/>
          <w:color w:val="000000"/>
          <w:shd w:val="clear" w:color="auto" w:fill="FFFFFF"/>
        </w:rPr>
        <w:t xml:space="preserve">, y en torno a la segunda vertiente, </w:t>
      </w:r>
      <w:r w:rsidR="003A6C60" w:rsidRPr="00F9275D">
        <w:rPr>
          <w:rStyle w:val="Strong"/>
          <w:rFonts w:ascii="Verdana" w:hAnsi="Verdana" w:cs="Tahoma"/>
          <w:b w:val="0"/>
          <w:color w:val="000000"/>
          <w:shd w:val="clear" w:color="auto" w:fill="FFFFFF"/>
        </w:rPr>
        <w:t>que pese al conocimiento de la denuncia, el Estado no había seguido ninguna acción sustantiva tendiente a investigar lo sucedido o evitar eventuales vulneraciones de derechos de la víctima</w:t>
      </w:r>
      <w:r w:rsidR="003A6C60" w:rsidRPr="00F9275D">
        <w:rPr>
          <w:rStyle w:val="FootnoteReference"/>
          <w:rFonts w:ascii="Verdana" w:hAnsi="Verdana" w:cs="Tahoma"/>
          <w:bCs/>
          <w:color w:val="000000"/>
          <w:shd w:val="clear" w:color="auto" w:fill="FFFFFF"/>
        </w:rPr>
        <w:footnoteReference w:id="55"/>
      </w:r>
      <w:r w:rsidR="003A6C60" w:rsidRPr="00F9275D">
        <w:rPr>
          <w:rStyle w:val="Strong"/>
          <w:rFonts w:ascii="Verdana" w:hAnsi="Verdana" w:cs="Tahoma"/>
          <w:b w:val="0"/>
          <w:color w:val="000000"/>
          <w:shd w:val="clear" w:color="auto" w:fill="FFFFFF"/>
        </w:rPr>
        <w:t>.</w:t>
      </w:r>
    </w:p>
    <w:p w14:paraId="32210839" w14:textId="77777777" w:rsidR="003A6C60" w:rsidRPr="00F9275D" w:rsidRDefault="003A6C60" w:rsidP="008C7F7F">
      <w:pPr>
        <w:pStyle w:val="FootnoteText"/>
        <w:jc w:val="both"/>
        <w:rPr>
          <w:rStyle w:val="Strong"/>
          <w:rFonts w:ascii="Verdana" w:hAnsi="Verdana" w:cs="Tahoma"/>
          <w:b w:val="0"/>
          <w:color w:val="000000"/>
          <w:shd w:val="clear" w:color="auto" w:fill="FFFFFF"/>
        </w:rPr>
      </w:pPr>
    </w:p>
    <w:p w14:paraId="3221083A" w14:textId="77777777" w:rsidR="003A6C60"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28</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3A6C60" w:rsidRPr="00F9275D">
        <w:rPr>
          <w:rStyle w:val="Strong"/>
          <w:rFonts w:ascii="Verdana" w:hAnsi="Verdana" w:cs="Tahoma"/>
          <w:b w:val="0"/>
          <w:color w:val="000000"/>
          <w:shd w:val="clear" w:color="auto" w:fill="FFFFFF"/>
        </w:rPr>
        <w:t xml:space="preserve">En ese sentido, la Corte </w:t>
      </w:r>
      <w:r w:rsidR="00EB2D86">
        <w:rPr>
          <w:rStyle w:val="Strong"/>
          <w:rFonts w:ascii="Verdana" w:hAnsi="Verdana" w:cs="Tahoma"/>
          <w:b w:val="0"/>
          <w:color w:val="000000"/>
          <w:shd w:val="clear" w:color="auto" w:fill="FFFFFF"/>
        </w:rPr>
        <w:t xml:space="preserve">IDH </w:t>
      </w:r>
      <w:r w:rsidR="00115013" w:rsidRPr="00F9275D">
        <w:rPr>
          <w:rStyle w:val="Strong"/>
          <w:rFonts w:ascii="Verdana" w:hAnsi="Verdana" w:cs="Tahoma"/>
          <w:b w:val="0"/>
          <w:color w:val="000000"/>
          <w:shd w:val="clear" w:color="auto" w:fill="FFFFFF"/>
        </w:rPr>
        <w:t>concluyó</w:t>
      </w:r>
      <w:r w:rsidR="003A6C60" w:rsidRPr="00F9275D">
        <w:rPr>
          <w:rStyle w:val="Strong"/>
          <w:rFonts w:ascii="Verdana" w:hAnsi="Verdana" w:cs="Tahoma"/>
          <w:b w:val="0"/>
          <w:color w:val="000000"/>
          <w:shd w:val="clear" w:color="auto" w:fill="FFFFFF"/>
        </w:rPr>
        <w:t xml:space="preserve"> </w:t>
      </w:r>
      <w:r w:rsidR="004D52DD" w:rsidRPr="00F9275D">
        <w:rPr>
          <w:rStyle w:val="Strong"/>
          <w:rFonts w:ascii="Verdana" w:hAnsi="Verdana" w:cs="Tahoma"/>
          <w:b w:val="0"/>
          <w:color w:val="000000"/>
          <w:shd w:val="clear" w:color="auto" w:fill="FFFFFF"/>
        </w:rPr>
        <w:t xml:space="preserve">que Guatemala había incurrido en </w:t>
      </w:r>
      <w:r w:rsidR="003A6C60" w:rsidRPr="00F9275D">
        <w:rPr>
          <w:rStyle w:val="Strong"/>
          <w:rFonts w:ascii="Verdana" w:hAnsi="Verdana" w:cs="Tahoma"/>
          <w:b w:val="0"/>
          <w:color w:val="000000"/>
          <w:shd w:val="clear" w:color="auto" w:fill="FFFFFF"/>
        </w:rPr>
        <w:t xml:space="preserve">responsabilidad estatal debido al incumplimiento del </w:t>
      </w:r>
      <w:r w:rsidR="004D52DD" w:rsidRPr="00F9275D">
        <w:rPr>
          <w:rStyle w:val="Strong"/>
          <w:rFonts w:ascii="Verdana" w:hAnsi="Verdana" w:cs="Tahoma"/>
          <w:b w:val="0"/>
          <w:color w:val="000000"/>
          <w:shd w:val="clear" w:color="auto" w:fill="FFFFFF"/>
        </w:rPr>
        <w:t>deber de garantía de los derechos a la vida e integridad personal reconocidos en los artículos 4.1 y 5.1 de la C</w:t>
      </w:r>
      <w:r w:rsidR="00DF2C66">
        <w:rPr>
          <w:rStyle w:val="Strong"/>
          <w:rFonts w:ascii="Verdana" w:hAnsi="Verdana" w:cs="Tahoma"/>
          <w:b w:val="0"/>
          <w:color w:val="000000"/>
          <w:shd w:val="clear" w:color="auto" w:fill="FFFFFF"/>
        </w:rPr>
        <w:t>onvención Americana</w:t>
      </w:r>
      <w:r w:rsidR="004D52DD" w:rsidRPr="00F9275D">
        <w:rPr>
          <w:rStyle w:val="Strong"/>
          <w:rFonts w:ascii="Verdana" w:hAnsi="Verdana" w:cs="Tahoma"/>
          <w:b w:val="0"/>
          <w:color w:val="000000"/>
          <w:shd w:val="clear" w:color="auto" w:fill="FFFFFF"/>
        </w:rPr>
        <w:t xml:space="preserve">, en relación con el artículo 19 (derechos del niño) y 1.1 del mismo instrumento, así como el incumplimiento de las obligaciones derivadas del artículo 7.b de la </w:t>
      </w:r>
      <w:r w:rsidR="00DF2C66">
        <w:rPr>
          <w:rStyle w:val="Strong"/>
          <w:rFonts w:ascii="Verdana" w:hAnsi="Verdana" w:cs="Tahoma"/>
          <w:b w:val="0"/>
          <w:color w:val="000000"/>
          <w:shd w:val="clear" w:color="auto" w:fill="FFFFFF"/>
        </w:rPr>
        <w:t>“</w:t>
      </w:r>
      <w:r w:rsidR="004D52DD" w:rsidRPr="00F9275D">
        <w:rPr>
          <w:rStyle w:val="Strong"/>
          <w:rFonts w:ascii="Verdana" w:hAnsi="Verdana" w:cs="Tahoma"/>
          <w:b w:val="0"/>
          <w:color w:val="000000"/>
          <w:shd w:val="clear" w:color="auto" w:fill="FFFFFF"/>
        </w:rPr>
        <w:t>Convención de Belém do Pará</w:t>
      </w:r>
      <w:r w:rsidR="00DF2C66">
        <w:rPr>
          <w:rStyle w:val="Strong"/>
          <w:rFonts w:ascii="Verdana" w:hAnsi="Verdana" w:cs="Tahoma"/>
          <w:b w:val="0"/>
          <w:color w:val="000000"/>
          <w:shd w:val="clear" w:color="auto" w:fill="FFFFFF"/>
        </w:rPr>
        <w:t>”</w:t>
      </w:r>
      <w:r w:rsidR="004D52DD" w:rsidRPr="00F9275D">
        <w:rPr>
          <w:rStyle w:val="FootnoteReference"/>
          <w:rFonts w:ascii="Verdana" w:hAnsi="Verdana" w:cs="Tahoma"/>
          <w:bCs/>
          <w:color w:val="000000"/>
          <w:shd w:val="clear" w:color="auto" w:fill="FFFFFF"/>
        </w:rPr>
        <w:footnoteReference w:id="56"/>
      </w:r>
      <w:r w:rsidR="004D52DD" w:rsidRPr="00F9275D">
        <w:rPr>
          <w:rStyle w:val="Strong"/>
          <w:rFonts w:ascii="Verdana" w:hAnsi="Verdana" w:cs="Tahoma"/>
          <w:b w:val="0"/>
          <w:color w:val="000000"/>
          <w:shd w:val="clear" w:color="auto" w:fill="FFFFFF"/>
        </w:rPr>
        <w:t>.</w:t>
      </w:r>
    </w:p>
    <w:p w14:paraId="3221083B" w14:textId="77777777" w:rsidR="00C53C0B" w:rsidRPr="00F9275D" w:rsidRDefault="00C53C0B" w:rsidP="008C7F7F">
      <w:pPr>
        <w:pStyle w:val="FootnoteText"/>
        <w:jc w:val="both"/>
        <w:rPr>
          <w:rStyle w:val="Strong"/>
          <w:rFonts w:ascii="Verdana" w:hAnsi="Verdana" w:cs="Tahoma"/>
          <w:b w:val="0"/>
          <w:color w:val="000000"/>
          <w:shd w:val="clear" w:color="auto" w:fill="FFFFFF"/>
        </w:rPr>
      </w:pPr>
    </w:p>
    <w:p w14:paraId="3221083C" w14:textId="5169F831" w:rsidR="00300780" w:rsidRPr="00EB2D86" w:rsidRDefault="0094500E" w:rsidP="00C57B1A">
      <w:pPr>
        <w:pStyle w:val="FootnoteText"/>
        <w:jc w:val="both"/>
        <w:rPr>
          <w:rFonts w:ascii="Verdana" w:hAnsi="Verdana" w:cs="Tahoma"/>
          <w:bCs/>
          <w:color w:val="000000"/>
          <w:shd w:val="clear" w:color="auto" w:fill="FFFFFF"/>
        </w:rPr>
      </w:pPr>
      <w:r w:rsidRPr="00EB2D86">
        <w:rPr>
          <w:rStyle w:val="Strong"/>
          <w:rFonts w:ascii="Verdana" w:hAnsi="Verdana" w:cs="Tahoma"/>
          <w:b w:val="0"/>
          <w:color w:val="000000"/>
          <w:shd w:val="clear" w:color="auto" w:fill="FFFFFF"/>
        </w:rPr>
        <w:t>2</w:t>
      </w:r>
      <w:r w:rsidR="00522631">
        <w:rPr>
          <w:rStyle w:val="Strong"/>
          <w:rFonts w:ascii="Verdana" w:hAnsi="Verdana" w:cs="Tahoma"/>
          <w:b w:val="0"/>
          <w:color w:val="000000"/>
          <w:shd w:val="clear" w:color="auto" w:fill="FFFFFF"/>
        </w:rPr>
        <w:t>9</w:t>
      </w:r>
      <w:r w:rsidR="00C57B1A" w:rsidRPr="00EB2D86">
        <w:rPr>
          <w:rStyle w:val="Strong"/>
          <w:rFonts w:ascii="Verdana" w:hAnsi="Verdana" w:cs="Tahoma"/>
          <w:b w:val="0"/>
          <w:color w:val="000000"/>
          <w:shd w:val="clear" w:color="auto" w:fill="FFFFFF"/>
        </w:rPr>
        <w:t xml:space="preserve">. </w:t>
      </w:r>
      <w:r w:rsidR="00C57B1A" w:rsidRPr="00EB2D86">
        <w:rPr>
          <w:rStyle w:val="Strong"/>
          <w:rFonts w:ascii="Verdana" w:hAnsi="Verdana" w:cs="Tahoma"/>
          <w:b w:val="0"/>
          <w:color w:val="000000"/>
          <w:shd w:val="clear" w:color="auto" w:fill="FFFFFF"/>
        </w:rPr>
        <w:tab/>
      </w:r>
      <w:r w:rsidR="00DF2C66">
        <w:rPr>
          <w:rStyle w:val="Strong"/>
          <w:rFonts w:ascii="Verdana" w:hAnsi="Verdana" w:cs="Tahoma"/>
          <w:b w:val="0"/>
          <w:color w:val="000000"/>
          <w:shd w:val="clear" w:color="auto" w:fill="FFFFFF"/>
        </w:rPr>
        <w:t xml:space="preserve">Como </w:t>
      </w:r>
      <w:r w:rsidR="00325E95">
        <w:rPr>
          <w:rStyle w:val="Strong"/>
          <w:rFonts w:ascii="Verdana" w:hAnsi="Verdana" w:cs="Tahoma"/>
          <w:b w:val="0"/>
          <w:color w:val="000000"/>
          <w:shd w:val="clear" w:color="auto" w:fill="FFFFFF"/>
        </w:rPr>
        <w:t>puede apreciarse</w:t>
      </w:r>
      <w:r w:rsidR="00172F82" w:rsidRPr="00EB2D86">
        <w:rPr>
          <w:rStyle w:val="Strong"/>
          <w:rFonts w:ascii="Verdana" w:hAnsi="Verdana" w:cs="Tahoma"/>
          <w:b w:val="0"/>
          <w:color w:val="000000"/>
          <w:shd w:val="clear" w:color="auto" w:fill="FFFFFF"/>
        </w:rPr>
        <w:t xml:space="preserve"> </w:t>
      </w:r>
      <w:r w:rsidR="00E36284" w:rsidRPr="00EB2D86">
        <w:rPr>
          <w:rStyle w:val="Strong"/>
          <w:rFonts w:ascii="Verdana" w:hAnsi="Verdana" w:cs="Tahoma"/>
          <w:b w:val="0"/>
          <w:color w:val="000000"/>
          <w:shd w:val="clear" w:color="auto" w:fill="FFFFFF"/>
        </w:rPr>
        <w:t xml:space="preserve">de los </w:t>
      </w:r>
      <w:r w:rsidR="00DF2C66">
        <w:rPr>
          <w:rStyle w:val="Strong"/>
          <w:rFonts w:ascii="Verdana" w:hAnsi="Verdana" w:cs="Tahoma"/>
          <w:b w:val="0"/>
          <w:color w:val="000000"/>
          <w:shd w:val="clear" w:color="auto" w:fill="FFFFFF"/>
        </w:rPr>
        <w:t>dos casos analizados</w:t>
      </w:r>
      <w:r w:rsidR="00E36284" w:rsidRPr="00EB2D86">
        <w:rPr>
          <w:rStyle w:val="Strong"/>
          <w:rFonts w:ascii="Verdana" w:hAnsi="Verdana" w:cs="Tahoma"/>
          <w:b w:val="0"/>
          <w:color w:val="000000"/>
          <w:shd w:val="clear" w:color="auto" w:fill="FFFFFF"/>
        </w:rPr>
        <w:t xml:space="preserve">, la Corte IDH se ha decantado en su jurisprudencia por fincar la responsabilidad estatal como resultado del análisis del </w:t>
      </w:r>
      <w:r w:rsidR="00EB2D86">
        <w:rPr>
          <w:rStyle w:val="Strong"/>
          <w:rFonts w:ascii="Verdana" w:hAnsi="Verdana" w:cs="Tahoma"/>
          <w:b w:val="0"/>
          <w:color w:val="000000"/>
          <w:shd w:val="clear" w:color="auto" w:fill="FFFFFF"/>
        </w:rPr>
        <w:t>“</w:t>
      </w:r>
      <w:r w:rsidR="00E36284" w:rsidRPr="00EB2D86">
        <w:rPr>
          <w:rStyle w:val="Strong"/>
          <w:rFonts w:ascii="Verdana" w:hAnsi="Verdana" w:cs="Tahoma"/>
          <w:b w:val="0"/>
          <w:color w:val="000000"/>
          <w:shd w:val="clear" w:color="auto" w:fill="FFFFFF"/>
        </w:rPr>
        <w:t>segundo momento</w:t>
      </w:r>
      <w:r w:rsidR="00EB2D86">
        <w:rPr>
          <w:rStyle w:val="Strong"/>
          <w:rFonts w:ascii="Verdana" w:hAnsi="Verdana" w:cs="Tahoma"/>
          <w:b w:val="0"/>
          <w:color w:val="000000"/>
          <w:shd w:val="clear" w:color="auto" w:fill="FFFFFF"/>
        </w:rPr>
        <w:t>”</w:t>
      </w:r>
      <w:r w:rsidR="00E36284" w:rsidRPr="00EB2D86">
        <w:rPr>
          <w:rStyle w:val="Strong"/>
          <w:rFonts w:ascii="Verdana" w:hAnsi="Verdana" w:cs="Tahoma"/>
          <w:b w:val="0"/>
          <w:color w:val="000000"/>
          <w:shd w:val="clear" w:color="auto" w:fill="FFFFFF"/>
        </w:rPr>
        <w:t xml:space="preserve"> del deber prevención</w:t>
      </w:r>
      <w:r w:rsidR="00DF2C66">
        <w:rPr>
          <w:rStyle w:val="Strong"/>
          <w:rFonts w:ascii="Verdana" w:hAnsi="Verdana" w:cs="Tahoma"/>
          <w:b w:val="0"/>
          <w:color w:val="000000"/>
          <w:shd w:val="clear" w:color="auto" w:fill="FFFFFF"/>
        </w:rPr>
        <w:t>,</w:t>
      </w:r>
      <w:r w:rsidR="00E36284" w:rsidRPr="00EB2D86">
        <w:rPr>
          <w:rStyle w:val="Strong"/>
          <w:rFonts w:ascii="Verdana" w:hAnsi="Verdana" w:cs="Tahoma"/>
          <w:b w:val="0"/>
          <w:color w:val="000000"/>
          <w:shd w:val="clear" w:color="auto" w:fill="FFFFFF"/>
        </w:rPr>
        <w:t xml:space="preserve"> en donde analiza el conocimiento de la situación de riesgo</w:t>
      </w:r>
      <w:r w:rsidR="00EB2D86">
        <w:rPr>
          <w:rStyle w:val="Strong"/>
          <w:rFonts w:ascii="Verdana" w:hAnsi="Verdana" w:cs="Tahoma"/>
          <w:b w:val="0"/>
          <w:color w:val="000000"/>
          <w:shd w:val="clear" w:color="auto" w:fill="FFFFFF"/>
        </w:rPr>
        <w:t>,</w:t>
      </w:r>
      <w:r w:rsidR="00E36284" w:rsidRPr="00EB2D86">
        <w:rPr>
          <w:rStyle w:val="Strong"/>
          <w:rFonts w:ascii="Verdana" w:hAnsi="Verdana" w:cs="Tahoma"/>
          <w:b w:val="0"/>
          <w:color w:val="000000"/>
          <w:shd w:val="clear" w:color="auto" w:fill="FFFFFF"/>
        </w:rPr>
        <w:t xml:space="preserve"> </w:t>
      </w:r>
      <w:r w:rsidR="00EB2D86">
        <w:rPr>
          <w:rStyle w:val="Strong"/>
          <w:rFonts w:ascii="Verdana" w:hAnsi="Verdana" w:cs="Tahoma"/>
          <w:b w:val="0"/>
          <w:color w:val="000000"/>
          <w:shd w:val="clear" w:color="auto" w:fill="FFFFFF"/>
        </w:rPr>
        <w:t xml:space="preserve">así como </w:t>
      </w:r>
      <w:r w:rsidR="00E36284" w:rsidRPr="00EB2D86">
        <w:rPr>
          <w:rStyle w:val="Strong"/>
          <w:rFonts w:ascii="Verdana" w:hAnsi="Verdana" w:cs="Tahoma"/>
          <w:b w:val="0"/>
          <w:color w:val="000000"/>
          <w:shd w:val="clear" w:color="auto" w:fill="FFFFFF"/>
        </w:rPr>
        <w:t>las acciones y medidas tomadas en virtud de su actuar diligente</w:t>
      </w:r>
      <w:r w:rsidR="00440A18" w:rsidRPr="00EB2D86">
        <w:rPr>
          <w:rStyle w:val="Strong"/>
          <w:rFonts w:ascii="Verdana" w:hAnsi="Verdana" w:cs="Tahoma"/>
          <w:b w:val="0"/>
          <w:color w:val="000000"/>
          <w:shd w:val="clear" w:color="auto" w:fill="FFFFFF"/>
        </w:rPr>
        <w:t xml:space="preserve"> respecto al caso concreto</w:t>
      </w:r>
      <w:r w:rsidR="00E36284" w:rsidRPr="00EB2D86">
        <w:rPr>
          <w:rFonts w:ascii="Verdana" w:hAnsi="Verdana" w:cs="Tahoma"/>
          <w:bCs/>
          <w:color w:val="000000"/>
          <w:shd w:val="clear" w:color="auto" w:fill="FFFFFF"/>
        </w:rPr>
        <w:t xml:space="preserve">. </w:t>
      </w:r>
    </w:p>
    <w:p w14:paraId="3221083D" w14:textId="77777777" w:rsidR="00300780" w:rsidRPr="00EB2D86" w:rsidRDefault="00300780" w:rsidP="008C7F7F">
      <w:pPr>
        <w:pStyle w:val="FootnoteText"/>
        <w:jc w:val="both"/>
        <w:rPr>
          <w:rFonts w:ascii="Verdana" w:hAnsi="Verdana" w:cs="Tahoma"/>
          <w:bCs/>
          <w:color w:val="000000"/>
          <w:shd w:val="clear" w:color="auto" w:fill="FFFFFF"/>
        </w:rPr>
      </w:pPr>
    </w:p>
    <w:p w14:paraId="3221083E" w14:textId="77777777" w:rsidR="00300780" w:rsidRPr="00EB2D86" w:rsidRDefault="00522631" w:rsidP="00C57B1A">
      <w:pPr>
        <w:pStyle w:val="FootnoteText"/>
        <w:jc w:val="both"/>
        <w:rPr>
          <w:rFonts w:ascii="Verdana" w:hAnsi="Verdana" w:cs="Tahoma"/>
          <w:bCs/>
          <w:color w:val="000000"/>
          <w:shd w:val="clear" w:color="auto" w:fill="FFFFFF"/>
        </w:rPr>
      </w:pPr>
      <w:r>
        <w:rPr>
          <w:rFonts w:ascii="Verdana" w:hAnsi="Verdana" w:cs="Tahoma"/>
          <w:bCs/>
          <w:color w:val="000000"/>
          <w:shd w:val="clear" w:color="auto" w:fill="FFFFFF"/>
        </w:rPr>
        <w:t>30</w:t>
      </w:r>
      <w:r w:rsidR="00C57B1A" w:rsidRPr="00EB2D86">
        <w:rPr>
          <w:rFonts w:ascii="Verdana" w:hAnsi="Verdana" w:cs="Tahoma"/>
          <w:bCs/>
          <w:color w:val="000000"/>
          <w:shd w:val="clear" w:color="auto" w:fill="FFFFFF"/>
        </w:rPr>
        <w:t xml:space="preserve">. </w:t>
      </w:r>
      <w:r w:rsidR="00C57B1A" w:rsidRPr="00EB2D86">
        <w:rPr>
          <w:rFonts w:ascii="Verdana" w:hAnsi="Verdana" w:cs="Tahoma"/>
          <w:bCs/>
          <w:color w:val="000000"/>
          <w:shd w:val="clear" w:color="auto" w:fill="FFFFFF"/>
        </w:rPr>
        <w:tab/>
      </w:r>
      <w:r w:rsidR="00E36284" w:rsidRPr="00EB2D86">
        <w:rPr>
          <w:rFonts w:ascii="Verdana" w:hAnsi="Verdana" w:cs="Tahoma"/>
          <w:bCs/>
          <w:color w:val="000000"/>
          <w:shd w:val="clear" w:color="auto" w:fill="FFFFFF"/>
        </w:rPr>
        <w:t xml:space="preserve">No obstante, se observa que en el análisis del </w:t>
      </w:r>
      <w:r w:rsidR="00EB2D86">
        <w:rPr>
          <w:rFonts w:ascii="Verdana" w:hAnsi="Verdana" w:cs="Tahoma"/>
          <w:bCs/>
          <w:color w:val="000000"/>
          <w:shd w:val="clear" w:color="auto" w:fill="FFFFFF"/>
        </w:rPr>
        <w:t>“</w:t>
      </w:r>
      <w:r w:rsidR="00E36284" w:rsidRPr="00EB2D86">
        <w:rPr>
          <w:rFonts w:ascii="Verdana" w:hAnsi="Verdana" w:cs="Tahoma"/>
          <w:bCs/>
          <w:color w:val="000000"/>
          <w:shd w:val="clear" w:color="auto" w:fill="FFFFFF"/>
        </w:rPr>
        <w:t>primer momento</w:t>
      </w:r>
      <w:r w:rsidR="00EB2D86">
        <w:rPr>
          <w:rFonts w:ascii="Verdana" w:hAnsi="Verdana" w:cs="Tahoma"/>
          <w:bCs/>
          <w:color w:val="000000"/>
          <w:shd w:val="clear" w:color="auto" w:fill="FFFFFF"/>
        </w:rPr>
        <w:t>” —</w:t>
      </w:r>
      <w:r w:rsidR="00E36284" w:rsidRPr="00EB2D86">
        <w:rPr>
          <w:rFonts w:ascii="Verdana" w:hAnsi="Verdana" w:cs="Tahoma"/>
          <w:bCs/>
          <w:color w:val="000000"/>
          <w:shd w:val="clear" w:color="auto" w:fill="FFFFFF"/>
        </w:rPr>
        <w:t>y en torno al cual pretendo hacer énfasis en el presente voto</w:t>
      </w:r>
      <w:r w:rsidR="00EB2D86">
        <w:rPr>
          <w:rFonts w:ascii="Verdana" w:hAnsi="Verdana" w:cs="Tahoma"/>
          <w:bCs/>
          <w:color w:val="000000"/>
          <w:shd w:val="clear" w:color="auto" w:fill="FFFFFF"/>
        </w:rPr>
        <w:t>—</w:t>
      </w:r>
      <w:r w:rsidR="00E36284" w:rsidRPr="00EB2D86">
        <w:rPr>
          <w:rFonts w:ascii="Verdana" w:hAnsi="Verdana" w:cs="Tahoma"/>
          <w:bCs/>
          <w:color w:val="000000"/>
          <w:shd w:val="clear" w:color="auto" w:fill="FFFFFF"/>
        </w:rPr>
        <w:t xml:space="preserve"> ha optado por enunciar que a pesar de los contextos de violencia contra la mujer, la falta de prevención no conlleva </w:t>
      </w:r>
      <w:r w:rsidR="00E36284" w:rsidRPr="00EB2D86">
        <w:rPr>
          <w:rFonts w:ascii="Verdana" w:hAnsi="Verdana" w:cs="Tahoma"/>
          <w:bCs/>
          <w:i/>
          <w:color w:val="000000"/>
          <w:shd w:val="clear" w:color="auto" w:fill="FFFFFF"/>
        </w:rPr>
        <w:t>per se</w:t>
      </w:r>
      <w:r w:rsidR="00E36284" w:rsidRPr="00EB2D86">
        <w:rPr>
          <w:rFonts w:ascii="Verdana" w:hAnsi="Verdana" w:cs="Tahoma"/>
          <w:bCs/>
          <w:color w:val="000000"/>
          <w:shd w:val="clear" w:color="auto" w:fill="FFFFFF"/>
        </w:rPr>
        <w:t xml:space="preserve"> la responsabilidad internac</w:t>
      </w:r>
      <w:r w:rsidR="00EB2D86">
        <w:rPr>
          <w:rFonts w:ascii="Verdana" w:hAnsi="Verdana" w:cs="Tahoma"/>
          <w:bCs/>
          <w:color w:val="000000"/>
          <w:shd w:val="clear" w:color="auto" w:fill="FFFFFF"/>
        </w:rPr>
        <w:t>ional del Estado, en virtud de</w:t>
      </w:r>
      <w:r w:rsidR="00300780" w:rsidRPr="00EB2D86">
        <w:rPr>
          <w:rFonts w:ascii="Verdana" w:hAnsi="Verdana" w:cs="Tahoma"/>
          <w:bCs/>
          <w:color w:val="000000"/>
          <w:shd w:val="clear" w:color="auto" w:fill="FFFFFF"/>
        </w:rPr>
        <w:t xml:space="preserve"> la falta de conocimiento por parte del Estado de un riesgo real e inmediato de las víctimas antes de su </w:t>
      </w:r>
      <w:r w:rsidR="00300780" w:rsidRPr="00EB2D86">
        <w:rPr>
          <w:rFonts w:ascii="Verdana" w:hAnsi="Verdana" w:cs="Tahoma"/>
          <w:bCs/>
          <w:color w:val="000000"/>
          <w:shd w:val="clear" w:color="auto" w:fill="FFFFFF"/>
        </w:rPr>
        <w:lastRenderedPageBreak/>
        <w:t>desaparición, así como la imposibilidad de q</w:t>
      </w:r>
      <w:r w:rsidR="00E36284" w:rsidRPr="00EB2D86">
        <w:rPr>
          <w:rFonts w:ascii="Verdana" w:hAnsi="Verdana" w:cs="Tahoma"/>
          <w:bCs/>
          <w:color w:val="000000"/>
          <w:shd w:val="clear" w:color="auto" w:fill="FFFFFF"/>
        </w:rPr>
        <w:t xml:space="preserve">ue el Estado </w:t>
      </w:r>
      <w:r w:rsidR="00300780" w:rsidRPr="00EB2D86">
        <w:rPr>
          <w:rFonts w:ascii="Verdana" w:hAnsi="Verdana" w:cs="Tahoma"/>
          <w:bCs/>
          <w:color w:val="000000"/>
          <w:shd w:val="clear" w:color="auto" w:fill="FFFFFF"/>
        </w:rPr>
        <w:t>pudiera</w:t>
      </w:r>
      <w:r w:rsidR="00E36284" w:rsidRPr="00EB2D86">
        <w:rPr>
          <w:rFonts w:ascii="Verdana" w:hAnsi="Verdana" w:cs="Tahoma"/>
          <w:bCs/>
          <w:color w:val="000000"/>
          <w:shd w:val="clear" w:color="auto" w:fill="FFFFFF"/>
        </w:rPr>
        <w:t xml:space="preserve"> responder ilimitadamente ante cualquier</w:t>
      </w:r>
      <w:r w:rsidR="00300780" w:rsidRPr="00EB2D86">
        <w:rPr>
          <w:rFonts w:ascii="Verdana" w:hAnsi="Verdana" w:cs="Tahoma"/>
          <w:bCs/>
          <w:color w:val="000000"/>
          <w:shd w:val="clear" w:color="auto" w:fill="FFFFFF"/>
        </w:rPr>
        <w:t xml:space="preserve"> hecho ilícito en contra de las víctimas</w:t>
      </w:r>
      <w:r w:rsidR="00300780" w:rsidRPr="00EB2D86">
        <w:rPr>
          <w:rStyle w:val="FootnoteReference"/>
          <w:rFonts w:ascii="Verdana" w:hAnsi="Verdana" w:cs="Tahoma"/>
          <w:bCs/>
          <w:color w:val="000000"/>
          <w:shd w:val="clear" w:color="auto" w:fill="FFFFFF"/>
        </w:rPr>
        <w:footnoteReference w:id="57"/>
      </w:r>
      <w:r w:rsidR="00300780" w:rsidRPr="00EB2D86">
        <w:rPr>
          <w:rFonts w:ascii="Verdana" w:hAnsi="Verdana" w:cs="Tahoma"/>
          <w:bCs/>
          <w:color w:val="000000"/>
          <w:shd w:val="clear" w:color="auto" w:fill="FFFFFF"/>
        </w:rPr>
        <w:t>.</w:t>
      </w:r>
    </w:p>
    <w:p w14:paraId="3221083F" w14:textId="77777777" w:rsidR="00300780" w:rsidRPr="00F9275D" w:rsidRDefault="00300780" w:rsidP="008C7F7F">
      <w:pPr>
        <w:pStyle w:val="FootnoteText"/>
        <w:jc w:val="both"/>
        <w:rPr>
          <w:rFonts w:ascii="Verdana" w:hAnsi="Verdana" w:cs="Tahoma"/>
          <w:bCs/>
          <w:color w:val="000000"/>
          <w:highlight w:val="yellow"/>
          <w:shd w:val="clear" w:color="auto" w:fill="FFFFFF"/>
        </w:rPr>
      </w:pPr>
    </w:p>
    <w:p w14:paraId="32210840" w14:textId="77777777" w:rsidR="00407B84" w:rsidRDefault="00522631" w:rsidP="00C57B1A">
      <w:pPr>
        <w:pStyle w:val="FootnoteText"/>
        <w:jc w:val="both"/>
        <w:rPr>
          <w:rFonts w:ascii="Verdana" w:hAnsi="Verdana" w:cs="Tahoma"/>
          <w:bCs/>
          <w:color w:val="000000"/>
          <w:shd w:val="clear" w:color="auto" w:fill="FFFFFF"/>
        </w:rPr>
      </w:pPr>
      <w:r>
        <w:rPr>
          <w:rFonts w:ascii="Verdana" w:hAnsi="Verdana" w:cs="Tahoma"/>
          <w:bCs/>
          <w:color w:val="000000"/>
          <w:shd w:val="clear" w:color="auto" w:fill="FFFFFF"/>
        </w:rPr>
        <w:t>31</w:t>
      </w:r>
      <w:r w:rsidR="00C57B1A" w:rsidRPr="00EB2D86">
        <w:rPr>
          <w:rFonts w:ascii="Verdana" w:hAnsi="Verdana" w:cs="Tahoma"/>
          <w:bCs/>
          <w:color w:val="000000"/>
          <w:shd w:val="clear" w:color="auto" w:fill="FFFFFF"/>
        </w:rPr>
        <w:t xml:space="preserve">. </w:t>
      </w:r>
      <w:r w:rsidR="00C57B1A" w:rsidRPr="00EB2D86">
        <w:rPr>
          <w:rFonts w:ascii="Verdana" w:hAnsi="Verdana" w:cs="Tahoma"/>
          <w:bCs/>
          <w:color w:val="000000"/>
          <w:shd w:val="clear" w:color="auto" w:fill="FFFFFF"/>
        </w:rPr>
        <w:tab/>
      </w:r>
      <w:r w:rsidR="00DF2C66">
        <w:rPr>
          <w:rFonts w:ascii="Verdana" w:hAnsi="Verdana" w:cs="Tahoma"/>
          <w:bCs/>
          <w:color w:val="000000"/>
          <w:shd w:val="clear" w:color="auto" w:fill="FFFFFF"/>
        </w:rPr>
        <w:t>Con independencia de lo anterior</w:t>
      </w:r>
      <w:r w:rsidR="00300780" w:rsidRPr="00EB2D86">
        <w:rPr>
          <w:rFonts w:ascii="Verdana" w:hAnsi="Verdana" w:cs="Tahoma"/>
          <w:bCs/>
          <w:color w:val="000000"/>
          <w:shd w:val="clear" w:color="auto" w:fill="FFFFFF"/>
        </w:rPr>
        <w:t xml:space="preserve">, la Corte </w:t>
      </w:r>
      <w:r w:rsidR="00EB2D86">
        <w:rPr>
          <w:rFonts w:ascii="Verdana" w:hAnsi="Verdana" w:cs="Tahoma"/>
          <w:bCs/>
          <w:color w:val="000000"/>
          <w:shd w:val="clear" w:color="auto" w:fill="FFFFFF"/>
        </w:rPr>
        <w:t xml:space="preserve">IDH </w:t>
      </w:r>
      <w:r w:rsidR="00300780" w:rsidRPr="00EB2D86">
        <w:rPr>
          <w:rFonts w:ascii="Verdana" w:hAnsi="Verdana" w:cs="Tahoma"/>
          <w:bCs/>
          <w:color w:val="000000"/>
          <w:shd w:val="clear" w:color="auto" w:fill="FFFFFF"/>
        </w:rPr>
        <w:t xml:space="preserve">también </w:t>
      </w:r>
      <w:r w:rsidR="00407B84" w:rsidRPr="00EB2D86">
        <w:rPr>
          <w:rFonts w:ascii="Verdana" w:hAnsi="Verdana" w:cs="Tahoma"/>
          <w:bCs/>
          <w:color w:val="000000"/>
          <w:shd w:val="clear" w:color="auto" w:fill="FFFFFF"/>
        </w:rPr>
        <w:t>ha concluido en el análisis de</w:t>
      </w:r>
      <w:r w:rsidR="00300780" w:rsidRPr="00EB2D86">
        <w:rPr>
          <w:rFonts w:ascii="Verdana" w:hAnsi="Verdana" w:cs="Tahoma"/>
          <w:bCs/>
          <w:color w:val="000000"/>
          <w:shd w:val="clear" w:color="auto" w:fill="FFFFFF"/>
        </w:rPr>
        <w:t xml:space="preserve"> dicho </w:t>
      </w:r>
      <w:r w:rsidR="00DF2C66">
        <w:rPr>
          <w:rFonts w:ascii="Verdana" w:hAnsi="Verdana" w:cs="Tahoma"/>
          <w:bCs/>
          <w:color w:val="000000"/>
          <w:shd w:val="clear" w:color="auto" w:fill="FFFFFF"/>
        </w:rPr>
        <w:t xml:space="preserve">“primer </w:t>
      </w:r>
      <w:r w:rsidR="00300780" w:rsidRPr="00EB2D86">
        <w:rPr>
          <w:rFonts w:ascii="Verdana" w:hAnsi="Verdana" w:cs="Tahoma"/>
          <w:bCs/>
          <w:color w:val="000000"/>
          <w:shd w:val="clear" w:color="auto" w:fill="FFFFFF"/>
        </w:rPr>
        <w:t>momento</w:t>
      </w:r>
      <w:r w:rsidR="00DF2C66">
        <w:rPr>
          <w:rFonts w:ascii="Verdana" w:hAnsi="Verdana" w:cs="Tahoma"/>
          <w:bCs/>
          <w:color w:val="000000"/>
          <w:shd w:val="clear" w:color="auto" w:fill="FFFFFF"/>
        </w:rPr>
        <w:t>”</w:t>
      </w:r>
      <w:r w:rsidR="00EB2D86">
        <w:rPr>
          <w:rFonts w:ascii="Verdana" w:hAnsi="Verdana" w:cs="Tahoma"/>
          <w:bCs/>
          <w:color w:val="000000"/>
          <w:shd w:val="clear" w:color="auto" w:fill="FFFFFF"/>
        </w:rPr>
        <w:t xml:space="preserve"> —en el c</w:t>
      </w:r>
      <w:r w:rsidR="00407B84" w:rsidRPr="00EB2D86">
        <w:rPr>
          <w:rFonts w:ascii="Verdana" w:hAnsi="Verdana" w:cs="Tahoma"/>
          <w:bCs/>
          <w:color w:val="000000"/>
          <w:shd w:val="clear" w:color="auto" w:fill="FFFFFF"/>
        </w:rPr>
        <w:t xml:space="preserve">aso </w:t>
      </w:r>
      <w:r w:rsidR="00407B84" w:rsidRPr="00EB2D86">
        <w:rPr>
          <w:rFonts w:ascii="Verdana" w:hAnsi="Verdana" w:cs="Tahoma"/>
          <w:bCs/>
          <w:i/>
          <w:color w:val="000000"/>
          <w:shd w:val="clear" w:color="auto" w:fill="FFFFFF"/>
        </w:rPr>
        <w:t>González y otras (“Campo Algodonero”) Vs. México</w:t>
      </w:r>
      <w:r w:rsidR="00EB2D86">
        <w:rPr>
          <w:rFonts w:ascii="Verdana" w:hAnsi="Verdana" w:cs="Tahoma"/>
          <w:bCs/>
          <w:color w:val="000000"/>
          <w:shd w:val="clear" w:color="auto" w:fill="FFFFFF"/>
        </w:rPr>
        <w:t>—</w:t>
      </w:r>
      <w:r w:rsidR="00300780" w:rsidRPr="00EB2D86">
        <w:rPr>
          <w:rFonts w:ascii="Verdana" w:hAnsi="Verdana" w:cs="Tahoma"/>
          <w:bCs/>
          <w:color w:val="000000"/>
          <w:shd w:val="clear" w:color="auto" w:fill="FFFFFF"/>
        </w:rPr>
        <w:t xml:space="preserve"> </w:t>
      </w:r>
      <w:r w:rsidR="00407B84" w:rsidRPr="00DF2C66">
        <w:rPr>
          <w:rFonts w:ascii="Verdana" w:hAnsi="Verdana" w:cs="Tahoma"/>
          <w:bCs/>
          <w:color w:val="000000"/>
          <w:u w:val="single"/>
          <w:shd w:val="clear" w:color="auto" w:fill="FFFFFF"/>
        </w:rPr>
        <w:t>que</w:t>
      </w:r>
      <w:r w:rsidR="00300780" w:rsidRPr="00DF2C66">
        <w:rPr>
          <w:rFonts w:ascii="Verdana" w:hAnsi="Verdana" w:cs="Tahoma"/>
          <w:bCs/>
          <w:color w:val="000000"/>
          <w:u w:val="single"/>
          <w:shd w:val="clear" w:color="auto" w:fill="FFFFFF"/>
        </w:rPr>
        <w:t xml:space="preserve"> la ausencia de una política general ante el patrón de violencia contra la mujer</w:t>
      </w:r>
      <w:r w:rsidR="00407B84" w:rsidRPr="00DF2C66">
        <w:rPr>
          <w:rFonts w:ascii="Verdana" w:hAnsi="Verdana" w:cs="Tahoma"/>
          <w:bCs/>
          <w:color w:val="000000"/>
          <w:u w:val="single"/>
          <w:shd w:val="clear" w:color="auto" w:fill="FFFFFF"/>
        </w:rPr>
        <w:t xml:space="preserve"> constituye</w:t>
      </w:r>
      <w:r w:rsidR="00300780" w:rsidRPr="00DF2C66">
        <w:rPr>
          <w:rFonts w:ascii="Verdana" w:hAnsi="Verdana" w:cs="Tahoma"/>
          <w:bCs/>
          <w:color w:val="000000"/>
          <w:u w:val="single"/>
          <w:shd w:val="clear" w:color="auto" w:fill="FFFFFF"/>
        </w:rPr>
        <w:t xml:space="preserve"> una falta en el deber general de la obligación de prevención</w:t>
      </w:r>
      <w:r w:rsidR="00300780" w:rsidRPr="00EB2D86">
        <w:rPr>
          <w:rFonts w:ascii="Verdana" w:hAnsi="Verdana" w:cs="Tahoma"/>
          <w:bCs/>
          <w:color w:val="000000"/>
          <w:shd w:val="clear" w:color="auto" w:fill="FFFFFF"/>
          <w:vertAlign w:val="superscript"/>
        </w:rPr>
        <w:footnoteReference w:id="58"/>
      </w:r>
      <w:r w:rsidR="00DF2C66">
        <w:rPr>
          <w:rFonts w:ascii="Verdana" w:hAnsi="Verdana" w:cs="Tahoma"/>
          <w:bCs/>
          <w:color w:val="000000"/>
          <w:shd w:val="clear" w:color="auto" w:fill="FFFFFF"/>
        </w:rPr>
        <w:t>;</w:t>
      </w:r>
      <w:r w:rsidR="00300780" w:rsidRPr="00EB2D86">
        <w:rPr>
          <w:rFonts w:ascii="Verdana" w:hAnsi="Verdana" w:cs="Tahoma"/>
          <w:bCs/>
          <w:color w:val="000000"/>
          <w:shd w:val="clear" w:color="auto" w:fill="FFFFFF"/>
        </w:rPr>
        <w:t xml:space="preserve"> y</w:t>
      </w:r>
      <w:r w:rsidR="00DF2C66">
        <w:rPr>
          <w:rFonts w:ascii="Verdana" w:hAnsi="Verdana" w:cs="Tahoma"/>
          <w:bCs/>
          <w:color w:val="000000"/>
          <w:shd w:val="clear" w:color="auto" w:fill="FFFFFF"/>
        </w:rPr>
        <w:t>,</w:t>
      </w:r>
      <w:r w:rsidR="00300780" w:rsidRPr="00EB2D86">
        <w:rPr>
          <w:rFonts w:ascii="Verdana" w:hAnsi="Verdana" w:cs="Tahoma"/>
          <w:bCs/>
          <w:color w:val="000000"/>
          <w:shd w:val="clear" w:color="auto" w:fill="FFFFFF"/>
        </w:rPr>
        <w:t xml:space="preserve"> por otro lado, ha reconoci</w:t>
      </w:r>
      <w:r w:rsidR="00407B84" w:rsidRPr="00EB2D86">
        <w:rPr>
          <w:rFonts w:ascii="Verdana" w:hAnsi="Verdana" w:cs="Tahoma"/>
          <w:bCs/>
          <w:color w:val="000000"/>
          <w:shd w:val="clear" w:color="auto" w:fill="FFFFFF"/>
        </w:rPr>
        <w:t>do</w:t>
      </w:r>
      <w:r w:rsidR="00300780" w:rsidRPr="00EB2D86">
        <w:rPr>
          <w:rFonts w:ascii="Verdana" w:hAnsi="Verdana" w:cs="Tahoma"/>
          <w:bCs/>
          <w:color w:val="000000"/>
          <w:shd w:val="clear" w:color="auto" w:fill="FFFFFF"/>
        </w:rPr>
        <w:t xml:space="preserve"> en el caso </w:t>
      </w:r>
      <w:r w:rsidR="00EB2D86">
        <w:rPr>
          <w:rFonts w:ascii="Verdana" w:hAnsi="Verdana" w:cs="Tahoma"/>
          <w:bCs/>
          <w:i/>
          <w:color w:val="000000"/>
          <w:shd w:val="clear" w:color="auto" w:fill="FFFFFF"/>
        </w:rPr>
        <w:t>Veliz Franco y otros V</w:t>
      </w:r>
      <w:r w:rsidR="00407B84" w:rsidRPr="00EB2D86">
        <w:rPr>
          <w:rFonts w:ascii="Verdana" w:hAnsi="Verdana" w:cs="Tahoma"/>
          <w:bCs/>
          <w:i/>
          <w:color w:val="000000"/>
          <w:shd w:val="clear" w:color="auto" w:fill="FFFFFF"/>
        </w:rPr>
        <w:t>s. Guatemala</w:t>
      </w:r>
      <w:r w:rsidR="00EB2D86">
        <w:rPr>
          <w:rFonts w:ascii="Verdana" w:hAnsi="Verdana" w:cs="Tahoma"/>
          <w:bCs/>
          <w:i/>
          <w:color w:val="000000"/>
          <w:shd w:val="clear" w:color="auto" w:fill="FFFFFF"/>
        </w:rPr>
        <w:t>,</w:t>
      </w:r>
      <w:r w:rsidR="00407B84" w:rsidRPr="00EB2D86">
        <w:rPr>
          <w:rFonts w:ascii="Verdana" w:hAnsi="Verdana" w:cs="Tahoma"/>
          <w:bCs/>
          <w:color w:val="000000"/>
          <w:shd w:val="clear" w:color="auto" w:fill="FFFFFF"/>
        </w:rPr>
        <w:t xml:space="preserve"> las acciones tomadas con anterioridad por el Estado vinculadas a la problemática del contexto</w:t>
      </w:r>
      <w:r w:rsidR="00407B84" w:rsidRPr="00EB2D86">
        <w:rPr>
          <w:rFonts w:ascii="Verdana" w:hAnsi="Verdana" w:cs="Tahoma"/>
          <w:bCs/>
          <w:color w:val="000000"/>
          <w:shd w:val="clear" w:color="auto" w:fill="FFFFFF"/>
          <w:vertAlign w:val="superscript"/>
        </w:rPr>
        <w:footnoteReference w:id="59"/>
      </w:r>
      <w:r w:rsidR="00DF2C66">
        <w:rPr>
          <w:rFonts w:ascii="Verdana" w:hAnsi="Verdana" w:cs="Tahoma"/>
          <w:bCs/>
          <w:color w:val="000000"/>
          <w:shd w:val="clear" w:color="auto" w:fill="FFFFFF"/>
        </w:rPr>
        <w:t>. Estimo que estas consideraciones</w:t>
      </w:r>
      <w:r w:rsidR="0013641F">
        <w:rPr>
          <w:rFonts w:ascii="Verdana" w:hAnsi="Verdana" w:cs="Tahoma"/>
          <w:bCs/>
          <w:color w:val="000000"/>
          <w:shd w:val="clear" w:color="auto" w:fill="FFFFFF"/>
        </w:rPr>
        <w:t xml:space="preserve"> </w:t>
      </w:r>
      <w:r w:rsidR="00EB2D86">
        <w:rPr>
          <w:rFonts w:ascii="Verdana" w:hAnsi="Verdana" w:cs="Tahoma"/>
          <w:bCs/>
          <w:color w:val="000000"/>
          <w:shd w:val="clear" w:color="auto" w:fill="FFFFFF"/>
        </w:rPr>
        <w:t xml:space="preserve">deben </w:t>
      </w:r>
      <w:r w:rsidR="0013641F">
        <w:rPr>
          <w:rFonts w:ascii="Verdana" w:hAnsi="Verdana" w:cs="Tahoma"/>
          <w:bCs/>
          <w:color w:val="000000"/>
          <w:shd w:val="clear" w:color="auto" w:fill="FFFFFF"/>
        </w:rPr>
        <w:t xml:space="preserve">especialmente </w:t>
      </w:r>
      <w:r w:rsidR="00EB2D86">
        <w:rPr>
          <w:rFonts w:ascii="Verdana" w:hAnsi="Verdana" w:cs="Tahoma"/>
          <w:bCs/>
          <w:color w:val="000000"/>
          <w:shd w:val="clear" w:color="auto" w:fill="FFFFFF"/>
        </w:rPr>
        <w:t>ser tenidas</w:t>
      </w:r>
      <w:r w:rsidR="00440A18" w:rsidRPr="00EB2D86">
        <w:rPr>
          <w:rFonts w:ascii="Verdana" w:hAnsi="Verdana" w:cs="Tahoma"/>
          <w:bCs/>
          <w:color w:val="000000"/>
          <w:shd w:val="clear" w:color="auto" w:fill="FFFFFF"/>
        </w:rPr>
        <w:t xml:space="preserve"> en cuenta </w:t>
      </w:r>
      <w:r w:rsidR="00407B84" w:rsidRPr="00EB2D86">
        <w:rPr>
          <w:rFonts w:ascii="Verdana" w:hAnsi="Verdana" w:cs="Tahoma"/>
          <w:bCs/>
          <w:color w:val="000000"/>
          <w:shd w:val="clear" w:color="auto" w:fill="FFFFFF"/>
        </w:rPr>
        <w:t>en el análisis</w:t>
      </w:r>
      <w:r w:rsidR="00440A18" w:rsidRPr="00EB2D86">
        <w:rPr>
          <w:rFonts w:ascii="Verdana" w:hAnsi="Verdana" w:cs="Tahoma"/>
          <w:bCs/>
          <w:color w:val="000000"/>
          <w:shd w:val="clear" w:color="auto" w:fill="FFFFFF"/>
        </w:rPr>
        <w:t xml:space="preserve"> y conclusiones</w:t>
      </w:r>
      <w:r w:rsidR="00407B84" w:rsidRPr="00EB2D86">
        <w:rPr>
          <w:rFonts w:ascii="Verdana" w:hAnsi="Verdana" w:cs="Tahoma"/>
          <w:bCs/>
          <w:color w:val="000000"/>
          <w:shd w:val="clear" w:color="auto" w:fill="FFFFFF"/>
        </w:rPr>
        <w:t xml:space="preserve"> de</w:t>
      </w:r>
      <w:r w:rsidR="00EB2D86">
        <w:rPr>
          <w:rFonts w:ascii="Verdana" w:hAnsi="Verdana" w:cs="Tahoma"/>
          <w:bCs/>
          <w:color w:val="000000"/>
          <w:shd w:val="clear" w:color="auto" w:fill="FFFFFF"/>
        </w:rPr>
        <w:t>l caso</w:t>
      </w:r>
      <w:r w:rsidR="00DF2C66">
        <w:rPr>
          <w:rFonts w:ascii="Verdana" w:hAnsi="Verdana" w:cs="Tahoma"/>
          <w:bCs/>
          <w:color w:val="000000"/>
          <w:shd w:val="clear" w:color="auto" w:fill="FFFFFF"/>
        </w:rPr>
        <w:t xml:space="preserve"> </w:t>
      </w:r>
      <w:r w:rsidR="00DF2C66" w:rsidRPr="00DF2C66">
        <w:rPr>
          <w:rFonts w:ascii="Verdana" w:hAnsi="Verdana" w:cs="Tahoma"/>
          <w:bCs/>
          <w:i/>
          <w:color w:val="000000"/>
          <w:shd w:val="clear" w:color="auto" w:fill="FFFFFF"/>
        </w:rPr>
        <w:t>sub judice</w:t>
      </w:r>
      <w:r w:rsidR="00EB2D86">
        <w:rPr>
          <w:rFonts w:ascii="Verdana" w:hAnsi="Verdana" w:cs="Tahoma"/>
          <w:bCs/>
          <w:color w:val="000000"/>
          <w:shd w:val="clear" w:color="auto" w:fill="FFFFFF"/>
        </w:rPr>
        <w:t xml:space="preserve"> </w:t>
      </w:r>
      <w:r w:rsidR="0013641F">
        <w:rPr>
          <w:rFonts w:ascii="Verdana" w:hAnsi="Verdana" w:cs="Tahoma"/>
          <w:bCs/>
          <w:color w:val="000000"/>
          <w:shd w:val="clear" w:color="auto" w:fill="FFFFFF"/>
        </w:rPr>
        <w:t>(</w:t>
      </w:r>
      <w:r w:rsidR="00EB2D86">
        <w:rPr>
          <w:rFonts w:ascii="Verdana" w:hAnsi="Verdana" w:cs="Tahoma"/>
          <w:bCs/>
          <w:color w:val="000000"/>
          <w:shd w:val="clear" w:color="auto" w:fill="FFFFFF"/>
        </w:rPr>
        <w:t>qu</w:t>
      </w:r>
      <w:r w:rsidR="0013641F">
        <w:rPr>
          <w:rFonts w:ascii="Verdana" w:hAnsi="Verdana" w:cs="Tahoma"/>
          <w:bCs/>
          <w:color w:val="000000"/>
          <w:shd w:val="clear" w:color="auto" w:fill="FFFFFF"/>
        </w:rPr>
        <w:t>e</w:t>
      </w:r>
      <w:r w:rsidR="00EB2D86">
        <w:rPr>
          <w:rFonts w:ascii="Verdana" w:hAnsi="Verdana" w:cs="Tahoma"/>
          <w:bCs/>
          <w:color w:val="000000"/>
          <w:shd w:val="clear" w:color="auto" w:fill="FFFFFF"/>
        </w:rPr>
        <w:t xml:space="preserve"> motiva el presente voto razonado</w:t>
      </w:r>
      <w:r w:rsidR="0013641F">
        <w:rPr>
          <w:rFonts w:ascii="Verdana" w:hAnsi="Verdana" w:cs="Tahoma"/>
          <w:bCs/>
          <w:color w:val="000000"/>
          <w:shd w:val="clear" w:color="auto" w:fill="FFFFFF"/>
        </w:rPr>
        <w:t>)</w:t>
      </w:r>
      <w:r w:rsidR="00EB2D86">
        <w:rPr>
          <w:rFonts w:ascii="Verdana" w:hAnsi="Verdana" w:cs="Tahoma"/>
          <w:bCs/>
          <w:color w:val="000000"/>
          <w:shd w:val="clear" w:color="auto" w:fill="FFFFFF"/>
        </w:rPr>
        <w:t xml:space="preserve">, </w:t>
      </w:r>
      <w:r w:rsidR="00407B84" w:rsidRPr="00EB2D86">
        <w:rPr>
          <w:rFonts w:ascii="Verdana" w:hAnsi="Verdana" w:cs="Tahoma"/>
          <w:bCs/>
          <w:color w:val="000000"/>
          <w:shd w:val="clear" w:color="auto" w:fill="FFFFFF"/>
        </w:rPr>
        <w:t xml:space="preserve">dentro del </w:t>
      </w:r>
      <w:r w:rsidR="0013641F">
        <w:rPr>
          <w:rFonts w:ascii="Verdana" w:hAnsi="Verdana" w:cs="Tahoma"/>
          <w:bCs/>
          <w:color w:val="000000"/>
          <w:shd w:val="clear" w:color="auto" w:fill="FFFFFF"/>
        </w:rPr>
        <w:t>estudio</w:t>
      </w:r>
      <w:r w:rsidR="00407B84" w:rsidRPr="00EB2D86">
        <w:rPr>
          <w:rFonts w:ascii="Verdana" w:hAnsi="Verdana" w:cs="Tahoma"/>
          <w:bCs/>
          <w:color w:val="000000"/>
          <w:shd w:val="clear" w:color="auto" w:fill="FFFFFF"/>
        </w:rPr>
        <w:t xml:space="preserve"> del </w:t>
      </w:r>
      <w:r w:rsidR="0013641F">
        <w:rPr>
          <w:rFonts w:ascii="Verdana" w:hAnsi="Verdana" w:cs="Tahoma"/>
          <w:bCs/>
          <w:color w:val="000000"/>
          <w:shd w:val="clear" w:color="auto" w:fill="FFFFFF"/>
        </w:rPr>
        <w:t>“</w:t>
      </w:r>
      <w:r w:rsidR="00407B84" w:rsidRPr="00EB2D86">
        <w:rPr>
          <w:rFonts w:ascii="Verdana" w:hAnsi="Verdana" w:cs="Tahoma"/>
          <w:bCs/>
          <w:color w:val="000000"/>
          <w:shd w:val="clear" w:color="auto" w:fill="FFFFFF"/>
        </w:rPr>
        <w:t>primer momento</w:t>
      </w:r>
      <w:r w:rsidR="0013641F">
        <w:rPr>
          <w:rFonts w:ascii="Verdana" w:hAnsi="Verdana" w:cs="Tahoma"/>
          <w:bCs/>
          <w:color w:val="000000"/>
          <w:shd w:val="clear" w:color="auto" w:fill="FFFFFF"/>
        </w:rPr>
        <w:t>”</w:t>
      </w:r>
      <w:r w:rsidR="00407B84" w:rsidRPr="00EB2D86">
        <w:rPr>
          <w:rFonts w:ascii="Verdana" w:hAnsi="Verdana" w:cs="Tahoma"/>
          <w:bCs/>
          <w:color w:val="000000"/>
          <w:shd w:val="clear" w:color="auto" w:fill="FFFFFF"/>
        </w:rPr>
        <w:t xml:space="preserve"> del deber de prevención del Estado</w:t>
      </w:r>
      <w:r w:rsidR="000D3CE1" w:rsidRPr="00EB2D86">
        <w:rPr>
          <w:rFonts w:ascii="Verdana" w:hAnsi="Verdana" w:cs="Tahoma"/>
          <w:bCs/>
          <w:color w:val="000000"/>
          <w:shd w:val="clear" w:color="auto" w:fill="FFFFFF"/>
        </w:rPr>
        <w:t>,</w:t>
      </w:r>
      <w:r w:rsidR="00407B84" w:rsidRPr="00EB2D86">
        <w:rPr>
          <w:rFonts w:ascii="Verdana" w:hAnsi="Verdana" w:cs="Tahoma"/>
          <w:bCs/>
          <w:color w:val="000000"/>
          <w:shd w:val="clear" w:color="auto" w:fill="FFFFFF"/>
        </w:rPr>
        <w:t xml:space="preserve"> como se verá en el apartado siguiente.</w:t>
      </w:r>
    </w:p>
    <w:p w14:paraId="32210841" w14:textId="77777777" w:rsidR="00F7011D" w:rsidRDefault="00F7011D" w:rsidP="00F7011D">
      <w:pPr>
        <w:pStyle w:val="FootnoteText"/>
        <w:jc w:val="both"/>
        <w:rPr>
          <w:rFonts w:ascii="Verdana" w:hAnsi="Verdana" w:cs="Tahoma"/>
          <w:bCs/>
          <w:color w:val="000000"/>
          <w:shd w:val="clear" w:color="auto" w:fill="FFFFFF"/>
        </w:rPr>
      </w:pPr>
    </w:p>
    <w:p w14:paraId="32210842" w14:textId="77777777" w:rsidR="00760E96" w:rsidRPr="00F9275D" w:rsidRDefault="00760E96" w:rsidP="00F7011D">
      <w:pPr>
        <w:pStyle w:val="FootnoteText"/>
        <w:jc w:val="both"/>
        <w:rPr>
          <w:rFonts w:ascii="Verdana" w:hAnsi="Verdana" w:cs="Tahoma"/>
          <w:bCs/>
          <w:color w:val="000000"/>
          <w:shd w:val="clear" w:color="auto" w:fill="FFFFFF"/>
        </w:rPr>
      </w:pPr>
    </w:p>
    <w:p w14:paraId="32210843" w14:textId="77777777" w:rsidR="00D90A35" w:rsidRPr="00C57B1A" w:rsidRDefault="00C57B1A" w:rsidP="00C57B1A">
      <w:pPr>
        <w:pStyle w:val="FootnoteText"/>
        <w:spacing w:line="360" w:lineRule="auto"/>
        <w:jc w:val="center"/>
        <w:rPr>
          <w:rStyle w:val="Strong"/>
          <w:rFonts w:ascii="Verdana" w:hAnsi="Verdana" w:cs="Tahoma"/>
          <w:b w:val="0"/>
          <w:i/>
          <w:caps/>
          <w:color w:val="000000"/>
          <w:shd w:val="clear" w:color="auto" w:fill="FFFFFF"/>
        </w:rPr>
      </w:pPr>
      <w:r w:rsidRPr="00C57B1A">
        <w:rPr>
          <w:rStyle w:val="Strong"/>
          <w:rFonts w:ascii="Verdana" w:hAnsi="Verdana" w:cs="Tahoma"/>
          <w:b w:val="0"/>
          <w:caps/>
          <w:color w:val="000000"/>
          <w:shd w:val="clear" w:color="auto" w:fill="FFFFFF"/>
        </w:rPr>
        <w:t xml:space="preserve">III. El </w:t>
      </w:r>
      <w:r w:rsidR="002C2EC0">
        <w:rPr>
          <w:rStyle w:val="Strong"/>
          <w:rFonts w:ascii="Verdana" w:hAnsi="Verdana" w:cs="Tahoma"/>
          <w:b w:val="0"/>
          <w:caps/>
          <w:color w:val="000000"/>
          <w:shd w:val="clear" w:color="auto" w:fill="FFFFFF"/>
        </w:rPr>
        <w:t>“</w:t>
      </w:r>
      <w:r w:rsidRPr="00C57B1A">
        <w:rPr>
          <w:rStyle w:val="Strong"/>
          <w:rFonts w:ascii="Verdana" w:hAnsi="Verdana" w:cs="Tahoma"/>
          <w:b w:val="0"/>
          <w:caps/>
          <w:color w:val="000000"/>
          <w:shd w:val="clear" w:color="auto" w:fill="FFFFFF"/>
        </w:rPr>
        <w:t>deber de prevención</w:t>
      </w:r>
      <w:r w:rsidR="002C2EC0">
        <w:rPr>
          <w:rStyle w:val="Strong"/>
          <w:rFonts w:ascii="Verdana" w:hAnsi="Verdana" w:cs="Tahoma"/>
          <w:b w:val="0"/>
          <w:caps/>
          <w:color w:val="000000"/>
          <w:shd w:val="clear" w:color="auto" w:fill="FFFFFF"/>
        </w:rPr>
        <w:t>”</w:t>
      </w:r>
      <w:r w:rsidRPr="00C57B1A">
        <w:rPr>
          <w:rStyle w:val="Strong"/>
          <w:rFonts w:ascii="Verdana" w:hAnsi="Verdana" w:cs="Tahoma"/>
          <w:b w:val="0"/>
          <w:caps/>
          <w:color w:val="000000"/>
          <w:shd w:val="clear" w:color="auto" w:fill="FFFFFF"/>
        </w:rPr>
        <w:t xml:space="preserve"> en el</w:t>
      </w:r>
      <w:r w:rsidR="00B036AE" w:rsidRPr="00C57B1A">
        <w:rPr>
          <w:rStyle w:val="Strong"/>
          <w:rFonts w:ascii="Verdana" w:hAnsi="Verdana" w:cs="Tahoma"/>
          <w:b w:val="0"/>
          <w:caps/>
          <w:color w:val="000000"/>
          <w:shd w:val="clear" w:color="auto" w:fill="FFFFFF"/>
        </w:rPr>
        <w:t xml:space="preserve"> caso</w:t>
      </w:r>
      <w:r w:rsidR="008E1033" w:rsidRPr="00C57B1A">
        <w:rPr>
          <w:rStyle w:val="Strong"/>
          <w:rFonts w:ascii="Verdana" w:hAnsi="Verdana" w:cs="Tahoma"/>
          <w:b w:val="0"/>
          <w:caps/>
          <w:color w:val="000000"/>
          <w:shd w:val="clear" w:color="auto" w:fill="FFFFFF"/>
        </w:rPr>
        <w:t xml:space="preserve"> </w:t>
      </w:r>
      <w:r w:rsidR="008E1033" w:rsidRPr="00C57B1A">
        <w:rPr>
          <w:rStyle w:val="Strong"/>
          <w:rFonts w:ascii="Verdana" w:hAnsi="Verdana" w:cs="Tahoma"/>
          <w:b w:val="0"/>
          <w:i/>
          <w:caps/>
          <w:color w:val="000000"/>
          <w:shd w:val="clear" w:color="auto" w:fill="FFFFFF"/>
        </w:rPr>
        <w:t>Velásquez Paiz y otros vs. Guatemala</w:t>
      </w:r>
      <w:r w:rsidR="00747C41">
        <w:rPr>
          <w:rStyle w:val="Strong"/>
          <w:rFonts w:ascii="Verdana" w:hAnsi="Verdana" w:cs="Tahoma"/>
          <w:b w:val="0"/>
          <w:i/>
          <w:caps/>
          <w:color w:val="000000"/>
          <w:shd w:val="clear" w:color="auto" w:fill="FFFFFF"/>
        </w:rPr>
        <w:t xml:space="preserve"> (2015)</w:t>
      </w:r>
    </w:p>
    <w:p w14:paraId="32210844" w14:textId="77777777" w:rsidR="00D90A35" w:rsidRPr="00F9275D" w:rsidRDefault="00D90A35" w:rsidP="008C7F7F">
      <w:pPr>
        <w:pStyle w:val="FootnoteText"/>
        <w:jc w:val="both"/>
        <w:rPr>
          <w:rStyle w:val="Strong"/>
          <w:rFonts w:ascii="Verdana" w:hAnsi="Verdana" w:cs="Tahoma"/>
          <w:b w:val="0"/>
          <w:color w:val="000000"/>
          <w:shd w:val="clear" w:color="auto" w:fill="FFFFFF"/>
        </w:rPr>
      </w:pPr>
    </w:p>
    <w:p w14:paraId="32210845" w14:textId="77777777" w:rsidR="00480E1C" w:rsidRPr="002F6A89"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32</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7A696C">
        <w:rPr>
          <w:rStyle w:val="Strong"/>
          <w:rFonts w:ascii="Verdana" w:hAnsi="Verdana" w:cs="Tahoma"/>
          <w:b w:val="0"/>
          <w:color w:val="000000"/>
          <w:shd w:val="clear" w:color="auto" w:fill="FFFFFF"/>
        </w:rPr>
        <w:t>L</w:t>
      </w:r>
      <w:r w:rsidR="0035277E" w:rsidRPr="00F9275D">
        <w:rPr>
          <w:rStyle w:val="Strong"/>
          <w:rFonts w:ascii="Verdana" w:hAnsi="Verdana" w:cs="Tahoma"/>
          <w:b w:val="0"/>
          <w:color w:val="000000"/>
          <w:shd w:val="clear" w:color="auto" w:fill="FFFFFF"/>
        </w:rPr>
        <w:t>os hechos</w:t>
      </w:r>
      <w:r w:rsidR="00B036AE" w:rsidRPr="00F9275D">
        <w:rPr>
          <w:rStyle w:val="Strong"/>
          <w:rFonts w:ascii="Verdana" w:hAnsi="Verdana" w:cs="Tahoma"/>
          <w:b w:val="0"/>
          <w:color w:val="000000"/>
          <w:shd w:val="clear" w:color="auto" w:fill="FFFFFF"/>
        </w:rPr>
        <w:t xml:space="preserve"> del caso</w:t>
      </w:r>
      <w:r w:rsidR="0035277E" w:rsidRPr="00F9275D">
        <w:rPr>
          <w:rStyle w:val="Strong"/>
          <w:rFonts w:ascii="Verdana" w:hAnsi="Verdana" w:cs="Tahoma"/>
          <w:b w:val="0"/>
          <w:color w:val="000000"/>
          <w:shd w:val="clear" w:color="auto" w:fill="FFFFFF"/>
        </w:rPr>
        <w:t xml:space="preserve"> se relacionan con la desaparición, violencia y muerte de Claudina Velásquez Paiz </w:t>
      </w:r>
      <w:r w:rsidR="007A696C">
        <w:rPr>
          <w:rStyle w:val="Strong"/>
          <w:rFonts w:ascii="Verdana" w:hAnsi="Verdana" w:cs="Tahoma"/>
          <w:b w:val="0"/>
          <w:color w:val="000000"/>
          <w:shd w:val="clear" w:color="auto" w:fill="FFFFFF"/>
        </w:rPr>
        <w:t>en el año 2005</w:t>
      </w:r>
      <w:r w:rsidR="0035277E" w:rsidRPr="00F9275D">
        <w:rPr>
          <w:rStyle w:val="Strong"/>
          <w:rFonts w:ascii="Verdana" w:hAnsi="Verdana" w:cs="Tahoma"/>
          <w:b w:val="0"/>
          <w:color w:val="000000"/>
          <w:shd w:val="clear" w:color="auto" w:fill="FFFFFF"/>
        </w:rPr>
        <w:t>, así como la falta de actuar diligente por parte del Estado</w:t>
      </w:r>
      <w:r w:rsidR="000D3CE1" w:rsidRPr="00F9275D">
        <w:rPr>
          <w:rStyle w:val="Strong"/>
          <w:rFonts w:ascii="Verdana" w:hAnsi="Verdana" w:cs="Tahoma"/>
          <w:b w:val="0"/>
          <w:color w:val="000000"/>
          <w:shd w:val="clear" w:color="auto" w:fill="FFFFFF"/>
        </w:rPr>
        <w:t xml:space="preserve"> </w:t>
      </w:r>
      <w:r w:rsidR="0035277E" w:rsidRPr="00F9275D">
        <w:rPr>
          <w:rStyle w:val="Strong"/>
          <w:rFonts w:ascii="Verdana" w:hAnsi="Verdana" w:cs="Tahoma"/>
          <w:b w:val="0"/>
          <w:color w:val="000000"/>
          <w:shd w:val="clear" w:color="auto" w:fill="FFFFFF"/>
        </w:rPr>
        <w:t xml:space="preserve">y las inconsistencias en la posterior investigación de los hechos, </w:t>
      </w:r>
      <w:r w:rsidR="000D3CE1" w:rsidRPr="00F9275D">
        <w:rPr>
          <w:rStyle w:val="Strong"/>
          <w:rFonts w:ascii="Verdana" w:hAnsi="Verdana" w:cs="Tahoma"/>
          <w:b w:val="0"/>
          <w:color w:val="000000"/>
          <w:shd w:val="clear" w:color="auto" w:fill="FFFFFF"/>
        </w:rPr>
        <w:t>situación que se circunscribió</w:t>
      </w:r>
      <w:r w:rsidR="0035277E" w:rsidRPr="00F9275D">
        <w:rPr>
          <w:rStyle w:val="Strong"/>
          <w:rFonts w:ascii="Verdana" w:hAnsi="Verdana" w:cs="Tahoma"/>
          <w:b w:val="0"/>
          <w:color w:val="000000"/>
          <w:shd w:val="clear" w:color="auto" w:fill="FFFFFF"/>
        </w:rPr>
        <w:t xml:space="preserve"> en un </w:t>
      </w:r>
      <w:r w:rsidR="007A696C">
        <w:rPr>
          <w:rStyle w:val="Strong"/>
          <w:rFonts w:ascii="Verdana" w:hAnsi="Verdana" w:cs="Tahoma"/>
          <w:b w:val="0"/>
          <w:color w:val="000000"/>
          <w:shd w:val="clear" w:color="auto" w:fill="FFFFFF"/>
        </w:rPr>
        <w:t>“</w:t>
      </w:r>
      <w:r w:rsidR="0035277E" w:rsidRPr="00F9275D">
        <w:rPr>
          <w:rStyle w:val="Strong"/>
          <w:rFonts w:ascii="Verdana" w:hAnsi="Verdana" w:cs="Tahoma"/>
          <w:b w:val="0"/>
          <w:color w:val="000000"/>
          <w:shd w:val="clear" w:color="auto" w:fill="FFFFFF"/>
        </w:rPr>
        <w:t>contexto</w:t>
      </w:r>
      <w:r w:rsidR="007A696C">
        <w:rPr>
          <w:rStyle w:val="Strong"/>
          <w:rFonts w:ascii="Verdana" w:hAnsi="Verdana" w:cs="Tahoma"/>
          <w:b w:val="0"/>
          <w:color w:val="000000"/>
          <w:shd w:val="clear" w:color="auto" w:fill="FFFFFF"/>
        </w:rPr>
        <w:t>”</w:t>
      </w:r>
      <w:r w:rsidR="0035277E" w:rsidRPr="00F9275D">
        <w:rPr>
          <w:rStyle w:val="Strong"/>
          <w:rFonts w:ascii="Verdana" w:hAnsi="Verdana" w:cs="Tahoma"/>
          <w:b w:val="0"/>
          <w:color w:val="000000"/>
          <w:shd w:val="clear" w:color="auto" w:fill="FFFFFF"/>
        </w:rPr>
        <w:t xml:space="preserve"> </w:t>
      </w:r>
      <w:r w:rsidR="000D3CE1" w:rsidRPr="00F9275D">
        <w:rPr>
          <w:rStyle w:val="Strong"/>
          <w:rFonts w:ascii="Verdana" w:hAnsi="Verdana" w:cs="Tahoma"/>
          <w:b w:val="0"/>
          <w:color w:val="000000"/>
          <w:shd w:val="clear" w:color="auto" w:fill="FFFFFF"/>
        </w:rPr>
        <w:t>de incremento de la violencia contra la mujer</w:t>
      </w:r>
      <w:r w:rsidR="000D3CE1" w:rsidRPr="00F9275D">
        <w:rPr>
          <w:rStyle w:val="FootnoteReference"/>
          <w:rFonts w:ascii="Verdana" w:hAnsi="Verdana" w:cs="Tahoma"/>
          <w:bCs/>
          <w:color w:val="000000"/>
          <w:shd w:val="clear" w:color="auto" w:fill="FFFFFF"/>
        </w:rPr>
        <w:footnoteReference w:id="60"/>
      </w:r>
      <w:r w:rsidR="0035277E" w:rsidRPr="00F9275D">
        <w:rPr>
          <w:rStyle w:val="Strong"/>
          <w:rFonts w:ascii="Verdana" w:hAnsi="Verdana" w:cs="Tahoma"/>
          <w:b w:val="0"/>
          <w:color w:val="000000"/>
          <w:shd w:val="clear" w:color="auto" w:fill="FFFFFF"/>
        </w:rPr>
        <w:t xml:space="preserve"> ya conocido por el Estado y la </w:t>
      </w:r>
      <w:r w:rsidR="002F6A89">
        <w:rPr>
          <w:rStyle w:val="Strong"/>
          <w:rFonts w:ascii="Verdana" w:hAnsi="Verdana" w:cs="Tahoma"/>
          <w:b w:val="0"/>
          <w:color w:val="000000"/>
          <w:shd w:val="clear" w:color="auto" w:fill="FFFFFF"/>
        </w:rPr>
        <w:t xml:space="preserve">propia </w:t>
      </w:r>
      <w:r w:rsidR="0035277E" w:rsidRPr="00F9275D">
        <w:rPr>
          <w:rStyle w:val="Strong"/>
          <w:rFonts w:ascii="Verdana" w:hAnsi="Verdana" w:cs="Tahoma"/>
          <w:b w:val="0"/>
          <w:color w:val="000000"/>
          <w:shd w:val="clear" w:color="auto" w:fill="FFFFFF"/>
        </w:rPr>
        <w:t>Corte I</w:t>
      </w:r>
      <w:r w:rsidR="002F6A89">
        <w:rPr>
          <w:rStyle w:val="Strong"/>
          <w:rFonts w:ascii="Verdana" w:hAnsi="Verdana" w:cs="Tahoma"/>
          <w:b w:val="0"/>
          <w:color w:val="000000"/>
          <w:shd w:val="clear" w:color="auto" w:fill="FFFFFF"/>
        </w:rPr>
        <w:t>DH</w:t>
      </w:r>
      <w:r w:rsidR="0035277E" w:rsidRPr="00F9275D">
        <w:rPr>
          <w:rStyle w:val="Strong"/>
          <w:rFonts w:ascii="Verdana" w:hAnsi="Verdana" w:cs="Tahoma"/>
          <w:b w:val="0"/>
          <w:color w:val="000000"/>
          <w:shd w:val="clear" w:color="auto" w:fill="FFFFFF"/>
        </w:rPr>
        <w:t xml:space="preserve"> en el caso </w:t>
      </w:r>
      <w:r w:rsidR="0035277E" w:rsidRPr="00F9275D">
        <w:rPr>
          <w:rStyle w:val="Strong"/>
          <w:rFonts w:ascii="Verdana" w:hAnsi="Verdana" w:cs="Tahoma"/>
          <w:b w:val="0"/>
          <w:i/>
          <w:color w:val="000000"/>
          <w:shd w:val="clear" w:color="auto" w:fill="FFFFFF"/>
        </w:rPr>
        <w:t>Vel</w:t>
      </w:r>
      <w:r w:rsidR="002F6A89">
        <w:rPr>
          <w:rStyle w:val="Strong"/>
          <w:rFonts w:ascii="Verdana" w:hAnsi="Verdana" w:cs="Tahoma"/>
          <w:b w:val="0"/>
          <w:i/>
          <w:color w:val="000000"/>
          <w:shd w:val="clear" w:color="auto" w:fill="FFFFFF"/>
        </w:rPr>
        <w:t xml:space="preserve">iz Franco y otros Vs. Guatemala </w:t>
      </w:r>
      <w:r w:rsidR="002F6A89">
        <w:rPr>
          <w:rStyle w:val="Strong"/>
          <w:rFonts w:ascii="Verdana" w:hAnsi="Verdana" w:cs="Tahoma"/>
          <w:b w:val="0"/>
          <w:color w:val="000000"/>
          <w:shd w:val="clear" w:color="auto" w:fill="FFFFFF"/>
        </w:rPr>
        <w:t>resuelto en 2014.</w:t>
      </w:r>
    </w:p>
    <w:p w14:paraId="32210846" w14:textId="77777777" w:rsidR="00E33A1E" w:rsidRDefault="00E33A1E" w:rsidP="008C7F7F">
      <w:pPr>
        <w:pStyle w:val="FootnoteText"/>
        <w:jc w:val="both"/>
        <w:rPr>
          <w:rStyle w:val="Strong"/>
          <w:rFonts w:ascii="Verdana" w:hAnsi="Verdana" w:cs="Tahoma"/>
          <w:b w:val="0"/>
          <w:color w:val="000000"/>
          <w:shd w:val="clear" w:color="auto" w:fill="FFFFFF"/>
        </w:rPr>
      </w:pPr>
    </w:p>
    <w:p w14:paraId="32210847" w14:textId="77777777" w:rsidR="006C4A52"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33</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E33A1E" w:rsidRPr="006C4A52">
        <w:rPr>
          <w:rStyle w:val="Strong"/>
          <w:rFonts w:ascii="Verdana" w:hAnsi="Verdana" w:cs="Tahoma"/>
          <w:b w:val="0"/>
          <w:color w:val="000000"/>
          <w:shd w:val="clear" w:color="auto" w:fill="FFFFFF"/>
        </w:rPr>
        <w:t xml:space="preserve">En una perspectiva general, cabe mencionar que tal y como se observa a lo largo de toda la Sentencia, debido a que los hechos </w:t>
      </w:r>
      <w:r w:rsidR="008E6E38" w:rsidRPr="006C4A52">
        <w:rPr>
          <w:rStyle w:val="Strong"/>
          <w:rFonts w:ascii="Verdana" w:hAnsi="Verdana" w:cs="Tahoma"/>
          <w:b w:val="0"/>
          <w:color w:val="000000"/>
          <w:shd w:val="clear" w:color="auto" w:fill="FFFFFF"/>
        </w:rPr>
        <w:t>del caso concreto</w:t>
      </w:r>
      <w:r w:rsidR="00E33A1E" w:rsidRPr="006C4A52">
        <w:rPr>
          <w:rStyle w:val="Strong"/>
          <w:rFonts w:ascii="Verdana" w:hAnsi="Verdana" w:cs="Tahoma"/>
          <w:b w:val="0"/>
          <w:color w:val="000000"/>
          <w:shd w:val="clear" w:color="auto" w:fill="FFFFFF"/>
        </w:rPr>
        <w:t xml:space="preserve"> guardan una relación de tipo secuencial con los hechos en el caso </w:t>
      </w:r>
      <w:r w:rsidR="00E33A1E" w:rsidRPr="006C4A52">
        <w:rPr>
          <w:rStyle w:val="Strong"/>
          <w:rFonts w:ascii="Verdana" w:hAnsi="Verdana" w:cs="Tahoma"/>
          <w:b w:val="0"/>
          <w:i/>
          <w:color w:val="000000"/>
          <w:shd w:val="clear" w:color="auto" w:fill="FFFFFF"/>
        </w:rPr>
        <w:t>Veliz Franco y otros vs. Guatemala,</w:t>
      </w:r>
      <w:r w:rsidR="00E33A1E" w:rsidRPr="006C4A52">
        <w:rPr>
          <w:rStyle w:val="Strong"/>
          <w:rFonts w:ascii="Verdana" w:hAnsi="Verdana" w:cs="Tahoma"/>
          <w:b w:val="0"/>
          <w:color w:val="000000"/>
          <w:shd w:val="clear" w:color="auto" w:fill="FFFFFF"/>
        </w:rPr>
        <w:t xml:space="preserve"> </w:t>
      </w:r>
      <w:r w:rsidR="008E6E38" w:rsidRPr="006C4A52">
        <w:rPr>
          <w:rStyle w:val="Strong"/>
          <w:rFonts w:ascii="Verdana" w:hAnsi="Verdana" w:cs="Tahoma"/>
          <w:b w:val="0"/>
          <w:color w:val="000000"/>
          <w:shd w:val="clear" w:color="auto" w:fill="FFFFFF"/>
        </w:rPr>
        <w:t xml:space="preserve">las consideraciones realizadas por la Corte </w:t>
      </w:r>
      <w:r w:rsidR="002C2EC0">
        <w:rPr>
          <w:rStyle w:val="Strong"/>
          <w:rFonts w:ascii="Verdana" w:hAnsi="Verdana" w:cs="Tahoma"/>
          <w:b w:val="0"/>
          <w:color w:val="000000"/>
          <w:shd w:val="clear" w:color="auto" w:fill="FFFFFF"/>
        </w:rPr>
        <w:t xml:space="preserve">IDH </w:t>
      </w:r>
      <w:r w:rsidR="00DF2C66">
        <w:rPr>
          <w:rStyle w:val="Strong"/>
          <w:rFonts w:ascii="Verdana" w:hAnsi="Verdana" w:cs="Tahoma"/>
          <w:b w:val="0"/>
          <w:color w:val="000000"/>
          <w:shd w:val="clear" w:color="auto" w:fill="FFFFFF"/>
        </w:rPr>
        <w:t>en aquel</w:t>
      </w:r>
      <w:r w:rsidR="008E6E38" w:rsidRPr="006C4A52">
        <w:rPr>
          <w:rStyle w:val="Strong"/>
          <w:rFonts w:ascii="Verdana" w:hAnsi="Verdana" w:cs="Tahoma"/>
          <w:b w:val="0"/>
          <w:color w:val="000000"/>
          <w:shd w:val="clear" w:color="auto" w:fill="FFFFFF"/>
        </w:rPr>
        <w:t xml:space="preserve"> caso fueron </w:t>
      </w:r>
      <w:r w:rsidR="006C4A52" w:rsidRPr="006C4A52">
        <w:rPr>
          <w:rStyle w:val="Strong"/>
          <w:rFonts w:ascii="Verdana" w:hAnsi="Verdana" w:cs="Tahoma"/>
          <w:b w:val="0"/>
          <w:color w:val="000000"/>
          <w:shd w:val="clear" w:color="auto" w:fill="FFFFFF"/>
        </w:rPr>
        <w:t>citadas constantemente</w:t>
      </w:r>
      <w:r w:rsidR="008E6E38" w:rsidRPr="006C4A52">
        <w:rPr>
          <w:rStyle w:val="Strong"/>
          <w:rFonts w:ascii="Verdana" w:hAnsi="Verdana" w:cs="Tahoma"/>
          <w:b w:val="0"/>
          <w:color w:val="000000"/>
          <w:shd w:val="clear" w:color="auto" w:fill="FFFFFF"/>
        </w:rPr>
        <w:t xml:space="preserve"> en la presente Sentencia, especialmente en cuanto al establecimiento de un </w:t>
      </w:r>
      <w:r w:rsidR="002C2EC0">
        <w:rPr>
          <w:rStyle w:val="Strong"/>
          <w:rFonts w:ascii="Verdana" w:hAnsi="Verdana" w:cs="Tahoma"/>
          <w:b w:val="0"/>
          <w:color w:val="000000"/>
          <w:shd w:val="clear" w:color="auto" w:fill="FFFFFF"/>
        </w:rPr>
        <w:t>“</w:t>
      </w:r>
      <w:r w:rsidR="008E6E38" w:rsidRPr="006C4A52">
        <w:rPr>
          <w:rStyle w:val="Strong"/>
          <w:rFonts w:ascii="Verdana" w:hAnsi="Verdana" w:cs="Tahoma"/>
          <w:b w:val="0"/>
          <w:color w:val="000000"/>
          <w:shd w:val="clear" w:color="auto" w:fill="FFFFFF"/>
        </w:rPr>
        <w:t>contexto</w:t>
      </w:r>
      <w:r w:rsidR="002C2EC0">
        <w:rPr>
          <w:rStyle w:val="Strong"/>
          <w:rFonts w:ascii="Verdana" w:hAnsi="Verdana" w:cs="Tahoma"/>
          <w:b w:val="0"/>
          <w:color w:val="000000"/>
          <w:shd w:val="clear" w:color="auto" w:fill="FFFFFF"/>
        </w:rPr>
        <w:t>” de incremento de violencia contra la mujer</w:t>
      </w:r>
      <w:r w:rsidR="006C4A52">
        <w:rPr>
          <w:rStyle w:val="Strong"/>
          <w:rFonts w:ascii="Verdana" w:hAnsi="Verdana" w:cs="Tahoma"/>
          <w:b w:val="0"/>
          <w:color w:val="000000"/>
          <w:shd w:val="clear" w:color="auto" w:fill="FFFFFF"/>
        </w:rPr>
        <w:t xml:space="preserve">. </w:t>
      </w:r>
    </w:p>
    <w:p w14:paraId="32210848" w14:textId="77777777" w:rsidR="00401D51" w:rsidRPr="00401D51" w:rsidRDefault="00401D51" w:rsidP="008C7F7F">
      <w:pPr>
        <w:pStyle w:val="FootnoteText"/>
        <w:jc w:val="both"/>
        <w:rPr>
          <w:rStyle w:val="Strong"/>
          <w:rFonts w:ascii="Verdana" w:hAnsi="Verdana" w:cs="Tahoma"/>
          <w:b w:val="0"/>
          <w:color w:val="000000"/>
          <w:shd w:val="clear" w:color="auto" w:fill="FFFFFF"/>
        </w:rPr>
      </w:pPr>
    </w:p>
    <w:p w14:paraId="32210849" w14:textId="77777777" w:rsidR="004131C4"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34</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DF2C66">
        <w:rPr>
          <w:rStyle w:val="Strong"/>
          <w:rFonts w:ascii="Verdana" w:hAnsi="Verdana" w:cs="Tahoma"/>
          <w:b w:val="0"/>
          <w:color w:val="000000"/>
          <w:shd w:val="clear" w:color="auto" w:fill="FFFFFF"/>
        </w:rPr>
        <w:t>Estimo que d</w:t>
      </w:r>
      <w:r w:rsidR="002C2EC0">
        <w:rPr>
          <w:rStyle w:val="Strong"/>
          <w:rFonts w:ascii="Verdana" w:hAnsi="Verdana" w:cs="Tahoma"/>
          <w:b w:val="0"/>
          <w:color w:val="000000"/>
          <w:shd w:val="clear" w:color="auto" w:fill="FFFFFF"/>
        </w:rPr>
        <w:t xml:space="preserve">icho </w:t>
      </w:r>
      <w:r w:rsidR="00DF2C66">
        <w:rPr>
          <w:rStyle w:val="Strong"/>
          <w:rFonts w:ascii="Verdana" w:hAnsi="Verdana" w:cs="Tahoma"/>
          <w:b w:val="0"/>
          <w:color w:val="000000"/>
          <w:shd w:val="clear" w:color="auto" w:fill="FFFFFF"/>
        </w:rPr>
        <w:t>“</w:t>
      </w:r>
      <w:r w:rsidR="002C2EC0">
        <w:rPr>
          <w:rStyle w:val="Strong"/>
          <w:rFonts w:ascii="Verdana" w:hAnsi="Verdana" w:cs="Tahoma"/>
          <w:b w:val="0"/>
          <w:color w:val="000000"/>
          <w:shd w:val="clear" w:color="auto" w:fill="FFFFFF"/>
        </w:rPr>
        <w:t>contexto</w:t>
      </w:r>
      <w:r w:rsidR="00DF2C66">
        <w:rPr>
          <w:rStyle w:val="Strong"/>
          <w:rFonts w:ascii="Verdana" w:hAnsi="Verdana" w:cs="Tahoma"/>
          <w:b w:val="0"/>
          <w:color w:val="000000"/>
          <w:shd w:val="clear" w:color="auto" w:fill="FFFFFF"/>
        </w:rPr>
        <w:t>”</w:t>
      </w:r>
      <w:r w:rsidR="002C2EC0">
        <w:rPr>
          <w:rStyle w:val="Strong"/>
          <w:rFonts w:ascii="Verdana" w:hAnsi="Verdana" w:cs="Tahoma"/>
          <w:b w:val="0"/>
          <w:color w:val="000000"/>
          <w:shd w:val="clear" w:color="auto" w:fill="FFFFFF"/>
        </w:rPr>
        <w:t xml:space="preserve"> adquiere</w:t>
      </w:r>
      <w:r w:rsidR="006C4A52" w:rsidRPr="00401D51">
        <w:rPr>
          <w:rStyle w:val="Strong"/>
          <w:rFonts w:ascii="Verdana" w:hAnsi="Verdana" w:cs="Tahoma"/>
          <w:b w:val="0"/>
          <w:color w:val="000000"/>
          <w:shd w:val="clear" w:color="auto" w:fill="FFFFFF"/>
        </w:rPr>
        <w:t xml:space="preserve"> una importancia </w:t>
      </w:r>
      <w:r w:rsidR="002C2EC0">
        <w:rPr>
          <w:rStyle w:val="Strong"/>
          <w:rFonts w:ascii="Verdana" w:hAnsi="Verdana" w:cs="Tahoma"/>
          <w:b w:val="0"/>
          <w:color w:val="000000"/>
          <w:shd w:val="clear" w:color="auto" w:fill="FFFFFF"/>
        </w:rPr>
        <w:t>fundamental</w:t>
      </w:r>
      <w:r w:rsidR="006C4A52" w:rsidRPr="00401D51">
        <w:rPr>
          <w:rStyle w:val="Strong"/>
          <w:rFonts w:ascii="Verdana" w:hAnsi="Verdana" w:cs="Tahoma"/>
          <w:b w:val="0"/>
          <w:color w:val="000000"/>
          <w:shd w:val="clear" w:color="auto" w:fill="FFFFFF"/>
        </w:rPr>
        <w:t xml:space="preserve"> para el análisis del deber de prevención del Estado, </w:t>
      </w:r>
      <w:r w:rsidR="002C2EC0">
        <w:rPr>
          <w:rStyle w:val="Strong"/>
          <w:rFonts w:ascii="Verdana" w:hAnsi="Verdana" w:cs="Tahoma"/>
          <w:b w:val="0"/>
          <w:color w:val="000000"/>
          <w:shd w:val="clear" w:color="auto" w:fill="FFFFFF"/>
        </w:rPr>
        <w:t>particularmente al analizarse el “</w:t>
      </w:r>
      <w:r w:rsidR="00202C4B" w:rsidRPr="00401D51">
        <w:rPr>
          <w:rStyle w:val="Strong"/>
          <w:rFonts w:ascii="Verdana" w:hAnsi="Verdana" w:cs="Tahoma"/>
          <w:b w:val="0"/>
          <w:color w:val="000000"/>
          <w:shd w:val="clear" w:color="auto" w:fill="FFFFFF"/>
        </w:rPr>
        <w:t>primer momento</w:t>
      </w:r>
      <w:r w:rsidR="00DF2C66">
        <w:rPr>
          <w:rStyle w:val="Strong"/>
          <w:rFonts w:ascii="Verdana" w:hAnsi="Verdana" w:cs="Tahoma"/>
          <w:b w:val="0"/>
          <w:color w:val="000000"/>
          <w:shd w:val="clear" w:color="auto" w:fill="FFFFFF"/>
        </w:rPr>
        <w:t xml:space="preserve">”; es decir, </w:t>
      </w:r>
      <w:r w:rsidR="002C2EC0">
        <w:rPr>
          <w:rStyle w:val="Strong"/>
          <w:rFonts w:ascii="Verdana" w:hAnsi="Verdana" w:cs="Tahoma"/>
          <w:b w:val="0"/>
          <w:color w:val="000000"/>
          <w:shd w:val="clear" w:color="auto" w:fill="FFFFFF"/>
        </w:rPr>
        <w:t>el deber general para</w:t>
      </w:r>
      <w:r w:rsidR="00202C4B" w:rsidRPr="00401D51">
        <w:rPr>
          <w:rStyle w:val="Strong"/>
          <w:rFonts w:ascii="Verdana" w:hAnsi="Verdana" w:cs="Tahoma"/>
          <w:b w:val="0"/>
          <w:color w:val="000000"/>
          <w:shd w:val="clear" w:color="auto" w:fill="FFFFFF"/>
        </w:rPr>
        <w:t xml:space="preserve"> prevenir el homici</w:t>
      </w:r>
      <w:r w:rsidR="002C2EC0">
        <w:rPr>
          <w:rStyle w:val="Strong"/>
          <w:rFonts w:ascii="Verdana" w:hAnsi="Verdana" w:cs="Tahoma"/>
          <w:b w:val="0"/>
          <w:color w:val="000000"/>
          <w:shd w:val="clear" w:color="auto" w:fill="FFFFFF"/>
        </w:rPr>
        <w:t xml:space="preserve">dio y desapariciones de mujeres. Es por ello que considero </w:t>
      </w:r>
      <w:r w:rsidR="00202C4B" w:rsidRPr="00401D51">
        <w:rPr>
          <w:rStyle w:val="Strong"/>
          <w:rFonts w:ascii="Verdana" w:hAnsi="Verdana" w:cs="Tahoma"/>
          <w:b w:val="0"/>
          <w:color w:val="000000"/>
          <w:shd w:val="clear" w:color="auto" w:fill="FFFFFF"/>
        </w:rPr>
        <w:t>indispensable desta</w:t>
      </w:r>
      <w:r w:rsidR="00F07518">
        <w:rPr>
          <w:rStyle w:val="Strong"/>
          <w:rFonts w:ascii="Verdana" w:hAnsi="Verdana" w:cs="Tahoma"/>
          <w:b w:val="0"/>
          <w:color w:val="000000"/>
          <w:shd w:val="clear" w:color="auto" w:fill="FFFFFF"/>
        </w:rPr>
        <w:t xml:space="preserve">car la importancia del contexto del presente caso a continuación, </w:t>
      </w:r>
      <w:r w:rsidR="002C2EC0">
        <w:rPr>
          <w:rStyle w:val="Strong"/>
          <w:rFonts w:ascii="Verdana" w:hAnsi="Verdana" w:cs="Tahoma"/>
          <w:b w:val="0"/>
          <w:color w:val="000000"/>
          <w:shd w:val="clear" w:color="auto" w:fill="FFFFFF"/>
        </w:rPr>
        <w:t xml:space="preserve">para </w:t>
      </w:r>
      <w:r w:rsidR="00F07518">
        <w:rPr>
          <w:rStyle w:val="Strong"/>
          <w:rFonts w:ascii="Verdana" w:hAnsi="Verdana" w:cs="Tahoma"/>
          <w:b w:val="0"/>
          <w:color w:val="000000"/>
          <w:shd w:val="clear" w:color="auto" w:fill="FFFFFF"/>
        </w:rPr>
        <w:t xml:space="preserve">posteriormente analizar </w:t>
      </w:r>
      <w:r w:rsidR="002C2EC0">
        <w:rPr>
          <w:rStyle w:val="Strong"/>
          <w:rFonts w:ascii="Verdana" w:hAnsi="Verdana" w:cs="Tahoma"/>
          <w:b w:val="0"/>
          <w:color w:val="000000"/>
          <w:shd w:val="clear" w:color="auto" w:fill="FFFFFF"/>
        </w:rPr>
        <w:t xml:space="preserve">con mayor detenimiento </w:t>
      </w:r>
      <w:r w:rsidR="00F07518">
        <w:rPr>
          <w:rStyle w:val="Strong"/>
          <w:rFonts w:ascii="Verdana" w:hAnsi="Verdana" w:cs="Tahoma"/>
          <w:b w:val="0"/>
          <w:color w:val="000000"/>
          <w:shd w:val="clear" w:color="auto" w:fill="FFFFFF"/>
        </w:rPr>
        <w:t xml:space="preserve">el deber de garantía estatal a través del deber de </w:t>
      </w:r>
      <w:r w:rsidR="002C2EC0">
        <w:rPr>
          <w:rStyle w:val="Strong"/>
          <w:rFonts w:ascii="Verdana" w:hAnsi="Verdana" w:cs="Tahoma"/>
          <w:b w:val="0"/>
          <w:color w:val="000000"/>
          <w:shd w:val="clear" w:color="auto" w:fill="FFFFFF"/>
        </w:rPr>
        <w:t>prevención, el cual es estudiado</w:t>
      </w:r>
      <w:r w:rsidR="00F07518">
        <w:rPr>
          <w:rStyle w:val="Strong"/>
          <w:rFonts w:ascii="Verdana" w:hAnsi="Verdana" w:cs="Tahoma"/>
          <w:b w:val="0"/>
          <w:color w:val="000000"/>
          <w:shd w:val="clear" w:color="auto" w:fill="FFFFFF"/>
        </w:rPr>
        <w:t xml:space="preserve"> bajo el estándar de los </w:t>
      </w:r>
      <w:r w:rsidR="002C2EC0">
        <w:rPr>
          <w:rStyle w:val="Strong"/>
          <w:rFonts w:ascii="Verdana" w:hAnsi="Verdana" w:cs="Tahoma"/>
          <w:b w:val="0"/>
          <w:color w:val="000000"/>
          <w:shd w:val="clear" w:color="auto" w:fill="FFFFFF"/>
        </w:rPr>
        <w:t>“</w:t>
      </w:r>
      <w:r w:rsidR="00F07518">
        <w:rPr>
          <w:rStyle w:val="Strong"/>
          <w:rFonts w:ascii="Verdana" w:hAnsi="Verdana" w:cs="Tahoma"/>
          <w:b w:val="0"/>
          <w:color w:val="000000"/>
          <w:shd w:val="clear" w:color="auto" w:fill="FFFFFF"/>
        </w:rPr>
        <w:t>dos momentos</w:t>
      </w:r>
      <w:r w:rsidR="002C2EC0">
        <w:rPr>
          <w:rStyle w:val="Strong"/>
          <w:rFonts w:ascii="Verdana" w:hAnsi="Verdana" w:cs="Tahoma"/>
          <w:b w:val="0"/>
          <w:color w:val="000000"/>
          <w:shd w:val="clear" w:color="auto" w:fill="FFFFFF"/>
        </w:rPr>
        <w:t>”</w:t>
      </w:r>
      <w:r w:rsidR="00F07518">
        <w:rPr>
          <w:rStyle w:val="Strong"/>
          <w:rFonts w:ascii="Verdana" w:hAnsi="Verdana" w:cs="Tahoma"/>
          <w:b w:val="0"/>
          <w:color w:val="000000"/>
          <w:shd w:val="clear" w:color="auto" w:fill="FFFFFF"/>
        </w:rPr>
        <w:t xml:space="preserve"> de dicho deber, ya utilizado </w:t>
      </w:r>
      <w:r w:rsidR="002C2EC0">
        <w:rPr>
          <w:rStyle w:val="Strong"/>
          <w:rFonts w:ascii="Verdana" w:hAnsi="Verdana" w:cs="Tahoma"/>
          <w:b w:val="0"/>
          <w:color w:val="000000"/>
          <w:shd w:val="clear" w:color="auto" w:fill="FFFFFF"/>
        </w:rPr>
        <w:t xml:space="preserve">por la Corte IDH </w:t>
      </w:r>
      <w:r w:rsidR="00F07518">
        <w:rPr>
          <w:rStyle w:val="Strong"/>
          <w:rFonts w:ascii="Verdana" w:hAnsi="Verdana" w:cs="Tahoma"/>
          <w:b w:val="0"/>
          <w:color w:val="000000"/>
          <w:shd w:val="clear" w:color="auto" w:fill="FFFFFF"/>
        </w:rPr>
        <w:t xml:space="preserve">en </w:t>
      </w:r>
      <w:r w:rsidR="00DF2C66">
        <w:rPr>
          <w:rStyle w:val="Strong"/>
          <w:rFonts w:ascii="Verdana" w:hAnsi="Verdana" w:cs="Tahoma"/>
          <w:b w:val="0"/>
          <w:color w:val="000000"/>
          <w:shd w:val="clear" w:color="auto" w:fill="FFFFFF"/>
        </w:rPr>
        <w:t xml:space="preserve">los dos </w:t>
      </w:r>
      <w:r w:rsidR="00F07518">
        <w:rPr>
          <w:rStyle w:val="Strong"/>
          <w:rFonts w:ascii="Verdana" w:hAnsi="Verdana" w:cs="Tahoma"/>
          <w:b w:val="0"/>
          <w:color w:val="000000"/>
          <w:shd w:val="clear" w:color="auto" w:fill="FFFFFF"/>
        </w:rPr>
        <w:t xml:space="preserve">casos de violencia contra la mujer destacados </w:t>
      </w:r>
      <w:r w:rsidR="002C2EC0">
        <w:rPr>
          <w:rStyle w:val="Strong"/>
          <w:rFonts w:ascii="Verdana" w:hAnsi="Verdana" w:cs="Tahoma"/>
          <w:b w:val="0"/>
          <w:color w:val="000000"/>
          <w:shd w:val="clear" w:color="auto" w:fill="FFFFFF"/>
        </w:rPr>
        <w:t xml:space="preserve">en el epígrafe </w:t>
      </w:r>
      <w:r w:rsidR="00F07518">
        <w:rPr>
          <w:rStyle w:val="Strong"/>
          <w:rFonts w:ascii="Verdana" w:hAnsi="Verdana" w:cs="Tahoma"/>
          <w:b w:val="0"/>
          <w:color w:val="000000"/>
          <w:shd w:val="clear" w:color="auto" w:fill="FFFFFF"/>
        </w:rPr>
        <w:t>anter</w:t>
      </w:r>
      <w:r w:rsidR="005A5AC8">
        <w:rPr>
          <w:rStyle w:val="Strong"/>
          <w:rFonts w:ascii="Verdana" w:hAnsi="Verdana" w:cs="Tahoma"/>
          <w:b w:val="0"/>
          <w:color w:val="000000"/>
          <w:shd w:val="clear" w:color="auto" w:fill="FFFFFF"/>
        </w:rPr>
        <w:t>ior</w:t>
      </w:r>
      <w:r w:rsidR="00F07518">
        <w:rPr>
          <w:rStyle w:val="Strong"/>
          <w:rFonts w:ascii="Verdana" w:hAnsi="Verdana" w:cs="Tahoma"/>
          <w:b w:val="0"/>
          <w:color w:val="000000"/>
          <w:shd w:val="clear" w:color="auto" w:fill="FFFFFF"/>
        </w:rPr>
        <w:t>.</w:t>
      </w:r>
    </w:p>
    <w:p w14:paraId="3221084A" w14:textId="77777777" w:rsidR="00C57B1A" w:rsidRPr="00C57B1A" w:rsidRDefault="00C57B1A" w:rsidP="00C57B1A">
      <w:pPr>
        <w:pStyle w:val="FootnoteText"/>
        <w:jc w:val="both"/>
        <w:rPr>
          <w:rStyle w:val="Strong"/>
          <w:rFonts w:ascii="Verdana" w:hAnsi="Verdana" w:cs="Tahoma"/>
          <w:b w:val="0"/>
          <w:color w:val="000000"/>
          <w:shd w:val="clear" w:color="auto" w:fill="FFFFFF"/>
        </w:rPr>
      </w:pPr>
    </w:p>
    <w:p w14:paraId="3221084B" w14:textId="77777777" w:rsidR="00202C4B" w:rsidRPr="00C57B1A" w:rsidRDefault="00202C4B" w:rsidP="000C11E4">
      <w:pPr>
        <w:pStyle w:val="FootnoteText"/>
        <w:jc w:val="both"/>
        <w:rPr>
          <w:rStyle w:val="Strong"/>
          <w:rFonts w:ascii="Verdana" w:hAnsi="Verdana" w:cs="Tahoma"/>
          <w:b w:val="0"/>
          <w:i/>
          <w:color w:val="000000"/>
          <w:u w:val="single"/>
          <w:shd w:val="clear" w:color="auto" w:fill="FFFFFF"/>
        </w:rPr>
      </w:pPr>
      <w:r w:rsidRPr="00C57B1A">
        <w:rPr>
          <w:rStyle w:val="Strong"/>
          <w:rFonts w:ascii="Verdana" w:hAnsi="Verdana" w:cs="Tahoma"/>
          <w:b w:val="0"/>
          <w:i/>
          <w:color w:val="000000"/>
          <w:u w:val="single"/>
          <w:shd w:val="clear" w:color="auto" w:fill="FFFFFF"/>
        </w:rPr>
        <w:lastRenderedPageBreak/>
        <w:t>III.1 El contexto</w:t>
      </w:r>
      <w:r w:rsidR="00336A3A" w:rsidRPr="00C57B1A">
        <w:rPr>
          <w:rStyle w:val="Strong"/>
          <w:rFonts w:ascii="Verdana" w:hAnsi="Verdana" w:cs="Tahoma"/>
          <w:b w:val="0"/>
          <w:i/>
          <w:color w:val="000000"/>
          <w:u w:val="single"/>
          <w:shd w:val="clear" w:color="auto" w:fill="FFFFFF"/>
        </w:rPr>
        <w:t xml:space="preserve"> de violencia contra la mujer en Guatemala</w:t>
      </w:r>
    </w:p>
    <w:p w14:paraId="3221084C" w14:textId="77777777" w:rsidR="00391E92" w:rsidRPr="00F9275D" w:rsidRDefault="00391E92" w:rsidP="000C11E4">
      <w:pPr>
        <w:pStyle w:val="FootnoteText"/>
        <w:jc w:val="both"/>
        <w:rPr>
          <w:rStyle w:val="Strong"/>
          <w:rFonts w:ascii="Verdana" w:hAnsi="Verdana" w:cs="Tahoma"/>
          <w:b w:val="0"/>
          <w:i/>
          <w:color w:val="000000"/>
          <w:shd w:val="clear" w:color="auto" w:fill="FFFFFF"/>
        </w:rPr>
      </w:pPr>
    </w:p>
    <w:p w14:paraId="3221084D" w14:textId="77777777" w:rsidR="004255D1"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35</w:t>
      </w:r>
      <w:r w:rsidR="00C57B1A">
        <w:rPr>
          <w:rStyle w:val="Strong"/>
          <w:rFonts w:ascii="Verdana" w:hAnsi="Verdana" w:cs="Tahoma"/>
          <w:b w:val="0"/>
          <w:color w:val="000000"/>
          <w:shd w:val="clear" w:color="auto" w:fill="FFFFFF"/>
        </w:rPr>
        <w:t>.</w:t>
      </w:r>
      <w:r w:rsidR="00C57B1A">
        <w:rPr>
          <w:rStyle w:val="Strong"/>
          <w:rFonts w:ascii="Verdana" w:hAnsi="Verdana" w:cs="Tahoma"/>
          <w:b w:val="0"/>
          <w:color w:val="000000"/>
          <w:shd w:val="clear" w:color="auto" w:fill="FFFFFF"/>
        </w:rPr>
        <w:tab/>
      </w:r>
      <w:r w:rsidR="00F70DCB">
        <w:rPr>
          <w:rStyle w:val="Strong"/>
          <w:rFonts w:ascii="Verdana" w:hAnsi="Verdana" w:cs="Tahoma"/>
          <w:b w:val="0"/>
          <w:color w:val="000000"/>
          <w:shd w:val="clear" w:color="auto" w:fill="FFFFFF"/>
        </w:rPr>
        <w:t>E</w:t>
      </w:r>
      <w:r w:rsidR="003909B7" w:rsidRPr="00F9275D">
        <w:rPr>
          <w:rStyle w:val="Strong"/>
          <w:rFonts w:ascii="Verdana" w:hAnsi="Verdana" w:cs="Tahoma"/>
          <w:b w:val="0"/>
          <w:color w:val="000000"/>
          <w:shd w:val="clear" w:color="auto" w:fill="FFFFFF"/>
        </w:rPr>
        <w:t>l contexto representa una herramienta útil y necesaria para el entendimiento de l</w:t>
      </w:r>
      <w:r w:rsidR="005A5AC8">
        <w:rPr>
          <w:rStyle w:val="Strong"/>
          <w:rFonts w:ascii="Verdana" w:hAnsi="Verdana" w:cs="Tahoma"/>
          <w:b w:val="0"/>
          <w:color w:val="000000"/>
          <w:shd w:val="clear" w:color="auto" w:fill="FFFFFF"/>
        </w:rPr>
        <w:t>os hechos particulares del caso y la determinación de la responsabilidad del Estado.</w:t>
      </w:r>
      <w:r w:rsidR="00F70DCB">
        <w:rPr>
          <w:rStyle w:val="Strong"/>
          <w:rFonts w:ascii="Verdana" w:hAnsi="Verdana" w:cs="Tahoma"/>
          <w:b w:val="0"/>
          <w:color w:val="000000"/>
          <w:shd w:val="clear" w:color="auto" w:fill="FFFFFF"/>
        </w:rPr>
        <w:t xml:space="preserve"> </w:t>
      </w:r>
      <w:r w:rsidR="005862BD" w:rsidRPr="00F9275D">
        <w:rPr>
          <w:rStyle w:val="Strong"/>
          <w:rFonts w:ascii="Verdana" w:hAnsi="Verdana" w:cs="Tahoma"/>
          <w:b w:val="0"/>
          <w:color w:val="000000"/>
          <w:shd w:val="clear" w:color="auto" w:fill="FFFFFF"/>
        </w:rPr>
        <w:t>Cabe mencionar</w:t>
      </w:r>
      <w:r w:rsidR="003909B7" w:rsidRPr="00F9275D">
        <w:rPr>
          <w:rStyle w:val="Strong"/>
          <w:rFonts w:ascii="Verdana" w:hAnsi="Verdana" w:cs="Tahoma"/>
          <w:b w:val="0"/>
          <w:color w:val="000000"/>
          <w:shd w:val="clear" w:color="auto" w:fill="FFFFFF"/>
        </w:rPr>
        <w:t>,</w:t>
      </w:r>
      <w:r w:rsidR="005862BD" w:rsidRPr="00F9275D">
        <w:rPr>
          <w:rStyle w:val="Strong"/>
          <w:rFonts w:ascii="Verdana" w:hAnsi="Verdana" w:cs="Tahoma"/>
          <w:b w:val="0"/>
          <w:color w:val="000000"/>
          <w:shd w:val="clear" w:color="auto" w:fill="FFFFFF"/>
        </w:rPr>
        <w:t xml:space="preserve"> que</w:t>
      </w:r>
      <w:r w:rsidR="003909B7" w:rsidRPr="00F9275D">
        <w:rPr>
          <w:rStyle w:val="Strong"/>
          <w:rFonts w:ascii="Verdana" w:hAnsi="Verdana" w:cs="Tahoma"/>
          <w:b w:val="0"/>
          <w:color w:val="000000"/>
          <w:shd w:val="clear" w:color="auto" w:fill="FFFFFF"/>
        </w:rPr>
        <w:t xml:space="preserve"> </w:t>
      </w:r>
      <w:r w:rsidR="00952DF3" w:rsidRPr="00F9275D">
        <w:rPr>
          <w:rStyle w:val="Strong"/>
          <w:rFonts w:ascii="Verdana" w:hAnsi="Verdana" w:cs="Tahoma"/>
          <w:b w:val="0"/>
          <w:color w:val="000000"/>
          <w:shd w:val="clear" w:color="auto" w:fill="FFFFFF"/>
        </w:rPr>
        <w:t>en el establecimiento del contexto del presente caso, diversos aspectos d</w:t>
      </w:r>
      <w:r w:rsidR="00A42E2F" w:rsidRPr="00F9275D">
        <w:rPr>
          <w:rStyle w:val="Strong"/>
          <w:rFonts w:ascii="Verdana" w:hAnsi="Verdana" w:cs="Tahoma"/>
          <w:b w:val="0"/>
          <w:color w:val="000000"/>
          <w:shd w:val="clear" w:color="auto" w:fill="FFFFFF"/>
        </w:rPr>
        <w:t xml:space="preserve">el contexto </w:t>
      </w:r>
      <w:r w:rsidR="004255D1" w:rsidRPr="00F9275D">
        <w:rPr>
          <w:rStyle w:val="Strong"/>
          <w:rFonts w:ascii="Verdana" w:hAnsi="Verdana" w:cs="Tahoma"/>
          <w:b w:val="0"/>
          <w:color w:val="000000"/>
          <w:shd w:val="clear" w:color="auto" w:fill="FFFFFF"/>
        </w:rPr>
        <w:t>determinado</w:t>
      </w:r>
      <w:r w:rsidR="00A42E2F" w:rsidRPr="00F9275D">
        <w:rPr>
          <w:rStyle w:val="Strong"/>
          <w:rFonts w:ascii="Verdana" w:hAnsi="Verdana" w:cs="Tahoma"/>
          <w:b w:val="0"/>
          <w:color w:val="000000"/>
          <w:shd w:val="clear" w:color="auto" w:fill="FFFFFF"/>
        </w:rPr>
        <w:t xml:space="preserve"> en el </w:t>
      </w:r>
      <w:r w:rsidR="00A42E2F" w:rsidRPr="009B10FA">
        <w:rPr>
          <w:rStyle w:val="Strong"/>
          <w:rFonts w:ascii="Verdana" w:hAnsi="Verdana" w:cs="Tahoma"/>
          <w:b w:val="0"/>
          <w:i/>
          <w:color w:val="000000"/>
          <w:shd w:val="clear" w:color="auto" w:fill="FFFFFF"/>
        </w:rPr>
        <w:t>caso Veliz Franco y otros vs. Guatemala</w:t>
      </w:r>
      <w:r w:rsidR="00A42E2F" w:rsidRPr="00F9275D">
        <w:rPr>
          <w:rStyle w:val="Strong"/>
          <w:rFonts w:ascii="Verdana" w:hAnsi="Verdana" w:cs="Tahoma"/>
          <w:b w:val="0"/>
          <w:color w:val="000000"/>
          <w:shd w:val="clear" w:color="auto" w:fill="FFFFFF"/>
        </w:rPr>
        <w:t xml:space="preserve"> </w:t>
      </w:r>
      <w:r w:rsidR="00952DF3" w:rsidRPr="00F9275D">
        <w:rPr>
          <w:rStyle w:val="Strong"/>
          <w:rFonts w:ascii="Verdana" w:hAnsi="Verdana" w:cs="Tahoma"/>
          <w:b w:val="0"/>
          <w:color w:val="000000"/>
          <w:shd w:val="clear" w:color="auto" w:fill="FFFFFF"/>
        </w:rPr>
        <w:t>fueron retomados</w:t>
      </w:r>
      <w:r w:rsidR="005862BD" w:rsidRPr="00F9275D">
        <w:rPr>
          <w:rStyle w:val="Strong"/>
          <w:rFonts w:ascii="Verdana" w:hAnsi="Verdana" w:cs="Tahoma"/>
          <w:b w:val="0"/>
          <w:color w:val="000000"/>
          <w:shd w:val="clear" w:color="auto" w:fill="FFFFFF"/>
        </w:rPr>
        <w:t xml:space="preserve"> como resultado de la relación secuencial entre ambos casos</w:t>
      </w:r>
      <w:r w:rsidR="00952DF3" w:rsidRPr="00F9275D">
        <w:rPr>
          <w:rStyle w:val="FootnoteReference"/>
          <w:rFonts w:ascii="Verdana" w:hAnsi="Verdana" w:cs="Tahoma"/>
          <w:bCs/>
          <w:color w:val="000000"/>
          <w:shd w:val="clear" w:color="auto" w:fill="FFFFFF"/>
        </w:rPr>
        <w:footnoteReference w:id="61"/>
      </w:r>
      <w:r w:rsidR="00952DF3" w:rsidRPr="00F9275D">
        <w:rPr>
          <w:rStyle w:val="Strong"/>
          <w:rFonts w:ascii="Verdana" w:hAnsi="Verdana" w:cs="Tahoma"/>
          <w:b w:val="0"/>
          <w:color w:val="000000"/>
          <w:shd w:val="clear" w:color="auto" w:fill="FFFFFF"/>
        </w:rPr>
        <w:t>.</w:t>
      </w:r>
      <w:r w:rsidR="004255D1" w:rsidRPr="00F9275D">
        <w:rPr>
          <w:rStyle w:val="Strong"/>
          <w:rFonts w:ascii="Verdana" w:hAnsi="Verdana" w:cs="Tahoma"/>
          <w:b w:val="0"/>
          <w:color w:val="000000"/>
          <w:shd w:val="clear" w:color="auto" w:fill="FFFFFF"/>
        </w:rPr>
        <w:t xml:space="preserve"> En ese</w:t>
      </w:r>
      <w:r w:rsidR="005862BD" w:rsidRPr="00F9275D">
        <w:rPr>
          <w:rStyle w:val="Strong"/>
          <w:rFonts w:ascii="Verdana" w:hAnsi="Verdana" w:cs="Tahoma"/>
          <w:b w:val="0"/>
          <w:color w:val="000000"/>
          <w:shd w:val="clear" w:color="auto" w:fill="FFFFFF"/>
        </w:rPr>
        <w:t xml:space="preserve"> sentido, </w:t>
      </w:r>
      <w:r w:rsidR="004255D1" w:rsidRPr="00F9275D">
        <w:rPr>
          <w:rStyle w:val="Strong"/>
          <w:rFonts w:ascii="Verdana" w:hAnsi="Verdana" w:cs="Tahoma"/>
          <w:b w:val="0"/>
          <w:color w:val="000000"/>
          <w:shd w:val="clear" w:color="auto" w:fill="FFFFFF"/>
        </w:rPr>
        <w:t xml:space="preserve">en la Sentencia </w:t>
      </w:r>
      <w:r w:rsidR="005862BD" w:rsidRPr="00F9275D">
        <w:rPr>
          <w:rStyle w:val="Strong"/>
          <w:rFonts w:ascii="Verdana" w:hAnsi="Verdana" w:cs="Tahoma"/>
          <w:b w:val="0"/>
          <w:color w:val="000000"/>
          <w:shd w:val="clear" w:color="auto" w:fill="FFFFFF"/>
        </w:rPr>
        <w:t xml:space="preserve">se trajo a colación el contexto en el que se enmarcaran los hechos del </w:t>
      </w:r>
      <w:r w:rsidR="005862BD" w:rsidRPr="00F9275D">
        <w:rPr>
          <w:rStyle w:val="Strong"/>
          <w:rFonts w:ascii="Verdana" w:hAnsi="Verdana" w:cs="Tahoma"/>
          <w:b w:val="0"/>
          <w:i/>
          <w:color w:val="000000"/>
          <w:shd w:val="clear" w:color="auto" w:fill="FFFFFF"/>
        </w:rPr>
        <w:t xml:space="preserve">caso Veliz Franco y otros </w:t>
      </w:r>
      <w:r w:rsidR="005862BD" w:rsidRPr="00F9275D">
        <w:rPr>
          <w:rStyle w:val="Strong"/>
          <w:rFonts w:ascii="Verdana" w:hAnsi="Verdana" w:cs="Tahoma"/>
          <w:b w:val="0"/>
          <w:color w:val="000000"/>
          <w:shd w:val="clear" w:color="auto" w:fill="FFFFFF"/>
        </w:rPr>
        <w:t>d</w:t>
      </w:r>
      <w:r w:rsidR="00A42E2F" w:rsidRPr="00F9275D">
        <w:rPr>
          <w:rStyle w:val="Strong"/>
          <w:rFonts w:ascii="Verdana" w:hAnsi="Verdana" w:cs="Tahoma"/>
          <w:b w:val="0"/>
          <w:color w:val="000000"/>
          <w:shd w:val="clear" w:color="auto" w:fill="FFFFFF"/>
        </w:rPr>
        <w:t xml:space="preserve">onde se </w:t>
      </w:r>
      <w:r w:rsidR="004255D1" w:rsidRPr="00F9275D">
        <w:rPr>
          <w:rStyle w:val="Strong"/>
          <w:rFonts w:ascii="Verdana" w:hAnsi="Verdana" w:cs="Tahoma"/>
          <w:b w:val="0"/>
          <w:color w:val="000000"/>
          <w:shd w:val="clear" w:color="auto" w:fill="FFFFFF"/>
        </w:rPr>
        <w:t>señalaba</w:t>
      </w:r>
      <w:r w:rsidR="00A42E2F" w:rsidRPr="00F9275D">
        <w:rPr>
          <w:rStyle w:val="Strong"/>
          <w:rFonts w:ascii="Verdana" w:hAnsi="Verdana" w:cs="Tahoma"/>
          <w:b w:val="0"/>
          <w:color w:val="000000"/>
          <w:shd w:val="clear" w:color="auto" w:fill="FFFFFF"/>
        </w:rPr>
        <w:t xml:space="preserve"> que a partir de diciembre de 2001 había surgido la existencia de un “contexto de aumento de la violencia homicida contra las mujeres en Guatemala”</w:t>
      </w:r>
      <w:r w:rsidR="00952DF3" w:rsidRPr="00F9275D">
        <w:rPr>
          <w:rStyle w:val="Strong"/>
          <w:rFonts w:ascii="Verdana" w:hAnsi="Verdana" w:cs="Tahoma"/>
          <w:b w:val="0"/>
          <w:color w:val="000000"/>
          <w:shd w:val="clear" w:color="auto" w:fill="FFFFFF"/>
        </w:rPr>
        <w:t xml:space="preserve"> conocido por el Estado</w:t>
      </w:r>
      <w:r w:rsidR="004255D1" w:rsidRPr="00F9275D">
        <w:rPr>
          <w:rStyle w:val="FootnoteReference"/>
          <w:rFonts w:ascii="Verdana" w:hAnsi="Verdana" w:cs="Tahoma"/>
          <w:bCs/>
          <w:color w:val="000000"/>
          <w:shd w:val="clear" w:color="auto" w:fill="FFFFFF"/>
        </w:rPr>
        <w:footnoteReference w:id="62"/>
      </w:r>
      <w:r w:rsidR="00F70DCB">
        <w:rPr>
          <w:rStyle w:val="Strong"/>
          <w:rFonts w:ascii="Verdana" w:hAnsi="Verdana" w:cs="Tahoma"/>
          <w:b w:val="0"/>
          <w:color w:val="000000"/>
          <w:shd w:val="clear" w:color="auto" w:fill="FFFFFF"/>
        </w:rPr>
        <w:t>;</w:t>
      </w:r>
      <w:r w:rsidR="00A42E2F" w:rsidRPr="00F9275D">
        <w:rPr>
          <w:rStyle w:val="Strong"/>
          <w:rFonts w:ascii="Verdana" w:hAnsi="Verdana" w:cs="Tahoma"/>
          <w:b w:val="0"/>
          <w:color w:val="000000"/>
          <w:shd w:val="clear" w:color="auto" w:fill="FFFFFF"/>
        </w:rPr>
        <w:t xml:space="preserve"> </w:t>
      </w:r>
      <w:r w:rsidR="004255D1" w:rsidRPr="00F9275D">
        <w:rPr>
          <w:rStyle w:val="Strong"/>
          <w:rFonts w:ascii="Verdana" w:hAnsi="Verdana" w:cs="Tahoma"/>
          <w:b w:val="0"/>
          <w:color w:val="000000"/>
          <w:shd w:val="clear" w:color="auto" w:fill="FFFFFF"/>
        </w:rPr>
        <w:t>así como cifras de homicidios de mujeres en años posteriores que llegaban hasta 2004</w:t>
      </w:r>
      <w:r w:rsidR="004255D1" w:rsidRPr="00F9275D">
        <w:rPr>
          <w:rStyle w:val="FootnoteReference"/>
          <w:rFonts w:ascii="Verdana" w:hAnsi="Verdana" w:cs="Tahoma"/>
          <w:bCs/>
          <w:color w:val="000000"/>
          <w:shd w:val="clear" w:color="auto" w:fill="FFFFFF"/>
        </w:rPr>
        <w:footnoteReference w:id="63"/>
      </w:r>
      <w:r w:rsidR="004255D1" w:rsidRPr="00F9275D">
        <w:rPr>
          <w:rStyle w:val="Strong"/>
          <w:rFonts w:ascii="Verdana" w:hAnsi="Verdana" w:cs="Tahoma"/>
          <w:b w:val="0"/>
          <w:color w:val="000000"/>
          <w:shd w:val="clear" w:color="auto" w:fill="FFFFFF"/>
        </w:rPr>
        <w:t>, datos que se complementaron con las cifras ofrecidas como prueba en el presente caso donde se mostraban cifras a partir de 2005 hasta 2015 que</w:t>
      </w:r>
      <w:r w:rsidR="0047594F" w:rsidRPr="00F9275D">
        <w:rPr>
          <w:rStyle w:val="Strong"/>
          <w:rFonts w:ascii="Verdana" w:hAnsi="Verdana" w:cs="Tahoma"/>
          <w:b w:val="0"/>
          <w:color w:val="000000"/>
          <w:shd w:val="clear" w:color="auto" w:fill="FFFFFF"/>
        </w:rPr>
        <w:t xml:space="preserve"> eran consistentes</w:t>
      </w:r>
      <w:r w:rsidR="004255D1" w:rsidRPr="00F9275D">
        <w:rPr>
          <w:rStyle w:val="Strong"/>
          <w:rFonts w:ascii="Verdana" w:hAnsi="Verdana" w:cs="Tahoma"/>
          <w:b w:val="0"/>
          <w:color w:val="000000"/>
          <w:shd w:val="clear" w:color="auto" w:fill="FFFFFF"/>
        </w:rPr>
        <w:t xml:space="preserve"> </w:t>
      </w:r>
      <w:r w:rsidR="0047594F" w:rsidRPr="00F9275D">
        <w:rPr>
          <w:rStyle w:val="Strong"/>
          <w:rFonts w:ascii="Verdana" w:hAnsi="Verdana" w:cs="Tahoma"/>
          <w:b w:val="0"/>
          <w:color w:val="000000"/>
          <w:shd w:val="clear" w:color="auto" w:fill="FFFFFF"/>
        </w:rPr>
        <w:t>con</w:t>
      </w:r>
      <w:r w:rsidR="004255D1" w:rsidRPr="00F9275D">
        <w:rPr>
          <w:rStyle w:val="Strong"/>
          <w:rFonts w:ascii="Verdana" w:hAnsi="Verdana" w:cs="Tahoma"/>
          <w:b w:val="0"/>
          <w:color w:val="000000"/>
          <w:shd w:val="clear" w:color="auto" w:fill="FFFFFF"/>
        </w:rPr>
        <w:t xml:space="preserve"> </w:t>
      </w:r>
      <w:r w:rsidR="0047594F" w:rsidRPr="00F9275D">
        <w:rPr>
          <w:rStyle w:val="Strong"/>
          <w:rFonts w:ascii="Verdana" w:hAnsi="Verdana" w:cs="Tahoma"/>
          <w:b w:val="0"/>
          <w:color w:val="000000"/>
          <w:shd w:val="clear" w:color="auto" w:fill="FFFFFF"/>
        </w:rPr>
        <w:t>el</w:t>
      </w:r>
      <w:r w:rsidR="004255D1" w:rsidRPr="00F9275D">
        <w:rPr>
          <w:rStyle w:val="Strong"/>
          <w:rFonts w:ascii="Verdana" w:hAnsi="Verdana" w:cs="Tahoma"/>
          <w:b w:val="0"/>
          <w:color w:val="000000"/>
          <w:shd w:val="clear" w:color="auto" w:fill="FFFFFF"/>
        </w:rPr>
        <w:t xml:space="preserve"> aumento en los homicidios de mujeres</w:t>
      </w:r>
      <w:r w:rsidR="004255D1" w:rsidRPr="00F9275D">
        <w:rPr>
          <w:rStyle w:val="FootnoteReference"/>
          <w:rFonts w:ascii="Verdana" w:hAnsi="Verdana" w:cs="Tahoma"/>
          <w:bCs/>
          <w:color w:val="000000"/>
          <w:shd w:val="clear" w:color="auto" w:fill="FFFFFF"/>
        </w:rPr>
        <w:footnoteReference w:id="64"/>
      </w:r>
      <w:r w:rsidR="004255D1" w:rsidRPr="00F9275D">
        <w:rPr>
          <w:rStyle w:val="Strong"/>
          <w:rFonts w:ascii="Verdana" w:hAnsi="Verdana" w:cs="Tahoma"/>
          <w:b w:val="0"/>
          <w:color w:val="000000"/>
          <w:shd w:val="clear" w:color="auto" w:fill="FFFFFF"/>
        </w:rPr>
        <w:t>.</w:t>
      </w:r>
    </w:p>
    <w:p w14:paraId="3221084E" w14:textId="77777777" w:rsidR="004255D1" w:rsidRPr="00F9275D" w:rsidRDefault="004255D1" w:rsidP="008C7F7F">
      <w:pPr>
        <w:pStyle w:val="FootnoteText"/>
        <w:jc w:val="both"/>
        <w:rPr>
          <w:rStyle w:val="Strong"/>
          <w:rFonts w:ascii="Verdana" w:hAnsi="Verdana" w:cs="Tahoma"/>
          <w:b w:val="0"/>
          <w:color w:val="000000"/>
          <w:shd w:val="clear" w:color="auto" w:fill="FFFFFF"/>
        </w:rPr>
      </w:pPr>
    </w:p>
    <w:p w14:paraId="3221084F" w14:textId="77777777" w:rsidR="0057712A"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36</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4255D1" w:rsidRPr="00F9275D">
        <w:rPr>
          <w:rStyle w:val="Strong"/>
          <w:rFonts w:ascii="Verdana" w:hAnsi="Verdana" w:cs="Tahoma"/>
          <w:b w:val="0"/>
          <w:color w:val="000000"/>
          <w:shd w:val="clear" w:color="auto" w:fill="FFFFFF"/>
        </w:rPr>
        <w:t>Lo anterior, permiti</w:t>
      </w:r>
      <w:r w:rsidR="0047594F" w:rsidRPr="00F9275D">
        <w:rPr>
          <w:rStyle w:val="Strong"/>
          <w:rFonts w:ascii="Verdana" w:hAnsi="Verdana" w:cs="Tahoma"/>
          <w:b w:val="0"/>
          <w:color w:val="000000"/>
          <w:shd w:val="clear" w:color="auto" w:fill="FFFFFF"/>
        </w:rPr>
        <w:t xml:space="preserve">ó observar a la Corte </w:t>
      </w:r>
      <w:r w:rsidR="00F70DCB">
        <w:rPr>
          <w:rStyle w:val="Strong"/>
          <w:rFonts w:ascii="Verdana" w:hAnsi="Verdana" w:cs="Tahoma"/>
          <w:b w:val="0"/>
          <w:color w:val="000000"/>
          <w:shd w:val="clear" w:color="auto" w:fill="FFFFFF"/>
        </w:rPr>
        <w:t xml:space="preserve">IDH </w:t>
      </w:r>
      <w:r w:rsidR="0047594F" w:rsidRPr="00F9275D">
        <w:rPr>
          <w:rStyle w:val="Strong"/>
          <w:rFonts w:ascii="Verdana" w:hAnsi="Verdana" w:cs="Tahoma"/>
          <w:b w:val="0"/>
          <w:color w:val="000000"/>
          <w:shd w:val="clear" w:color="auto" w:fill="FFFFFF"/>
        </w:rPr>
        <w:t>la sit</w:t>
      </w:r>
      <w:r w:rsidR="00F70DCB">
        <w:rPr>
          <w:rStyle w:val="Strong"/>
          <w:rFonts w:ascii="Verdana" w:hAnsi="Verdana" w:cs="Tahoma"/>
          <w:b w:val="0"/>
          <w:color w:val="000000"/>
          <w:shd w:val="clear" w:color="auto" w:fill="FFFFFF"/>
        </w:rPr>
        <w:t>uación contextual en Guatemala —</w:t>
      </w:r>
      <w:r w:rsidR="0047594F" w:rsidRPr="00F9275D">
        <w:rPr>
          <w:rStyle w:val="Strong"/>
          <w:rFonts w:ascii="Verdana" w:hAnsi="Verdana" w:cs="Tahoma"/>
          <w:b w:val="0"/>
          <w:color w:val="000000"/>
          <w:shd w:val="clear" w:color="auto" w:fill="FFFFFF"/>
        </w:rPr>
        <w:t>bajo la cual se enmarcaron los hechos</w:t>
      </w:r>
      <w:r w:rsidR="00F70DCB">
        <w:rPr>
          <w:rStyle w:val="Strong"/>
          <w:rFonts w:ascii="Verdana" w:hAnsi="Verdana" w:cs="Tahoma"/>
          <w:b w:val="0"/>
          <w:color w:val="000000"/>
          <w:shd w:val="clear" w:color="auto" w:fill="FFFFFF"/>
        </w:rPr>
        <w:t>—</w:t>
      </w:r>
      <w:r w:rsidR="0047594F" w:rsidRPr="00F9275D">
        <w:rPr>
          <w:rStyle w:val="Strong"/>
          <w:rFonts w:ascii="Verdana" w:hAnsi="Verdana" w:cs="Tahoma"/>
          <w:b w:val="0"/>
          <w:color w:val="000000"/>
          <w:shd w:val="clear" w:color="auto" w:fill="FFFFFF"/>
        </w:rPr>
        <w:t xml:space="preserve"> en </w:t>
      </w:r>
      <w:r w:rsidR="0047594F" w:rsidRPr="00F70DCB">
        <w:rPr>
          <w:rStyle w:val="Strong"/>
          <w:rFonts w:ascii="Verdana" w:hAnsi="Verdana" w:cs="Tahoma"/>
          <w:b w:val="0"/>
          <w:i/>
          <w:color w:val="000000"/>
          <w:shd w:val="clear" w:color="auto" w:fill="FFFFFF"/>
        </w:rPr>
        <w:t>Veliz Franco y otros</w:t>
      </w:r>
      <w:r w:rsidR="0047594F" w:rsidRPr="00F9275D">
        <w:rPr>
          <w:rStyle w:val="Strong"/>
          <w:rFonts w:ascii="Verdana" w:hAnsi="Verdana" w:cs="Tahoma"/>
          <w:b w:val="0"/>
          <w:color w:val="000000"/>
          <w:shd w:val="clear" w:color="auto" w:fill="FFFFFF"/>
        </w:rPr>
        <w:t>, para compararla con el contexto del caso</w:t>
      </w:r>
      <w:r w:rsidR="00F70DCB">
        <w:rPr>
          <w:rStyle w:val="Strong"/>
          <w:rFonts w:ascii="Verdana" w:hAnsi="Verdana" w:cs="Tahoma"/>
          <w:b w:val="0"/>
          <w:color w:val="000000"/>
          <w:shd w:val="clear" w:color="auto" w:fill="FFFFFF"/>
        </w:rPr>
        <w:t xml:space="preserve"> que tenía bajo su conocimiento;</w:t>
      </w:r>
      <w:r w:rsidR="0047594F" w:rsidRPr="00F9275D">
        <w:rPr>
          <w:rStyle w:val="Strong"/>
          <w:rFonts w:ascii="Verdana" w:hAnsi="Verdana" w:cs="Tahoma"/>
          <w:b w:val="0"/>
          <w:color w:val="000000"/>
          <w:shd w:val="clear" w:color="auto" w:fill="FFFFFF"/>
        </w:rPr>
        <w:t xml:space="preserve"> donde </w:t>
      </w:r>
      <w:r w:rsidR="0057712A" w:rsidRPr="00F9275D">
        <w:rPr>
          <w:rStyle w:val="Strong"/>
          <w:rFonts w:ascii="Verdana" w:hAnsi="Verdana" w:cs="Tahoma"/>
          <w:b w:val="0"/>
          <w:color w:val="000000"/>
          <w:shd w:val="clear" w:color="auto" w:fill="FFFFFF"/>
        </w:rPr>
        <w:t>el aumento de violencia homicida contra las mujeres además de presentar un aumen</w:t>
      </w:r>
      <w:r w:rsidR="00F70DCB">
        <w:rPr>
          <w:rStyle w:val="Strong"/>
          <w:rFonts w:ascii="Verdana" w:hAnsi="Verdana" w:cs="Tahoma"/>
          <w:b w:val="0"/>
          <w:color w:val="000000"/>
          <w:shd w:val="clear" w:color="auto" w:fill="FFFFFF"/>
        </w:rPr>
        <w:t>to sostenido entre 2004 y 2005 (</w:t>
      </w:r>
      <w:r w:rsidR="0057712A" w:rsidRPr="00F9275D">
        <w:rPr>
          <w:rStyle w:val="Strong"/>
          <w:rFonts w:ascii="Verdana" w:hAnsi="Verdana" w:cs="Tahoma"/>
          <w:b w:val="0"/>
          <w:color w:val="000000"/>
          <w:shd w:val="clear" w:color="auto" w:fill="FFFFFF"/>
        </w:rPr>
        <w:t>año de los hechos del caso</w:t>
      </w:r>
      <w:r w:rsidR="00F70DCB">
        <w:rPr>
          <w:rStyle w:val="Strong"/>
          <w:rFonts w:ascii="Verdana" w:hAnsi="Verdana" w:cs="Tahoma"/>
          <w:b w:val="0"/>
          <w:color w:val="000000"/>
          <w:shd w:val="clear" w:color="auto" w:fill="FFFFFF"/>
        </w:rPr>
        <w:t>)</w:t>
      </w:r>
      <w:r w:rsidR="0057712A" w:rsidRPr="00F9275D">
        <w:rPr>
          <w:rStyle w:val="Strong"/>
          <w:rFonts w:ascii="Verdana" w:hAnsi="Verdana" w:cs="Tahoma"/>
          <w:b w:val="0"/>
          <w:color w:val="000000"/>
          <w:shd w:val="clear" w:color="auto" w:fill="FFFFFF"/>
        </w:rPr>
        <w:t xml:space="preserve"> se ha mantenido elevado hasta 2015, dando como resultado el incremento de muertes violentas de mujeres en un 20% más que la de hombres</w:t>
      </w:r>
      <w:r w:rsidR="001E4578" w:rsidRPr="00F9275D">
        <w:rPr>
          <w:rStyle w:val="Strong"/>
          <w:rFonts w:ascii="Verdana" w:hAnsi="Verdana" w:cs="Tahoma"/>
          <w:b w:val="0"/>
          <w:color w:val="000000"/>
          <w:shd w:val="clear" w:color="auto" w:fill="FFFFFF"/>
        </w:rPr>
        <w:t xml:space="preserve"> </w:t>
      </w:r>
      <w:r w:rsidR="00F70DCB">
        <w:rPr>
          <w:rStyle w:val="Strong"/>
          <w:rFonts w:ascii="Verdana" w:hAnsi="Verdana" w:cs="Tahoma"/>
          <w:b w:val="0"/>
          <w:color w:val="000000"/>
          <w:shd w:val="clear" w:color="auto" w:fill="FFFFFF"/>
        </w:rPr>
        <w:t xml:space="preserve">entre </w:t>
      </w:r>
      <w:r w:rsidR="001E4578" w:rsidRPr="00F9275D">
        <w:rPr>
          <w:rStyle w:val="Strong"/>
          <w:rFonts w:ascii="Verdana" w:hAnsi="Verdana" w:cs="Tahoma"/>
          <w:b w:val="0"/>
          <w:color w:val="000000"/>
          <w:shd w:val="clear" w:color="auto" w:fill="FFFFFF"/>
        </w:rPr>
        <w:t>1995 y 2004</w:t>
      </w:r>
      <w:r w:rsidR="0057712A" w:rsidRPr="00F9275D">
        <w:rPr>
          <w:rStyle w:val="FootnoteReference"/>
          <w:rFonts w:ascii="Verdana" w:hAnsi="Verdana" w:cs="Tahoma"/>
          <w:bCs/>
          <w:color w:val="000000"/>
          <w:shd w:val="clear" w:color="auto" w:fill="FFFFFF"/>
        </w:rPr>
        <w:footnoteReference w:id="65"/>
      </w:r>
      <w:r w:rsidR="0057712A" w:rsidRPr="00F9275D">
        <w:rPr>
          <w:rStyle w:val="Strong"/>
          <w:rFonts w:ascii="Verdana" w:hAnsi="Verdana" w:cs="Tahoma"/>
          <w:b w:val="0"/>
          <w:color w:val="000000"/>
          <w:shd w:val="clear" w:color="auto" w:fill="FFFFFF"/>
        </w:rPr>
        <w:t>.</w:t>
      </w:r>
      <w:r w:rsidR="002D6585" w:rsidRPr="00F9275D">
        <w:rPr>
          <w:rStyle w:val="Strong"/>
          <w:rFonts w:ascii="Verdana" w:hAnsi="Verdana" w:cs="Tahoma"/>
          <w:b w:val="0"/>
          <w:color w:val="000000"/>
          <w:shd w:val="clear" w:color="auto" w:fill="FFFFFF"/>
        </w:rPr>
        <w:t xml:space="preserve"> </w:t>
      </w:r>
      <w:r w:rsidR="00952DF3" w:rsidRPr="00F9275D">
        <w:rPr>
          <w:rStyle w:val="Strong"/>
          <w:rFonts w:ascii="Verdana" w:hAnsi="Verdana" w:cs="Tahoma"/>
          <w:b w:val="0"/>
          <w:color w:val="000000"/>
          <w:shd w:val="clear" w:color="auto" w:fill="FFFFFF"/>
        </w:rPr>
        <w:t xml:space="preserve">Asimismo, </w:t>
      </w:r>
      <w:r w:rsidR="0047594F" w:rsidRPr="00F9275D">
        <w:rPr>
          <w:rStyle w:val="Strong"/>
          <w:rFonts w:ascii="Verdana" w:hAnsi="Verdana" w:cs="Tahoma"/>
          <w:b w:val="0"/>
          <w:color w:val="000000"/>
          <w:shd w:val="clear" w:color="auto" w:fill="FFFFFF"/>
        </w:rPr>
        <w:t>la Corte</w:t>
      </w:r>
      <w:r w:rsidR="001E4578" w:rsidRPr="00F9275D">
        <w:rPr>
          <w:rStyle w:val="Strong"/>
          <w:rFonts w:ascii="Verdana" w:hAnsi="Verdana" w:cs="Tahoma"/>
          <w:b w:val="0"/>
          <w:color w:val="000000"/>
          <w:shd w:val="clear" w:color="auto" w:fill="FFFFFF"/>
        </w:rPr>
        <w:t xml:space="preserve"> </w:t>
      </w:r>
      <w:r w:rsidR="00F70DCB">
        <w:rPr>
          <w:rStyle w:val="Strong"/>
          <w:rFonts w:ascii="Verdana" w:hAnsi="Verdana" w:cs="Tahoma"/>
          <w:b w:val="0"/>
          <w:color w:val="000000"/>
          <w:shd w:val="clear" w:color="auto" w:fill="FFFFFF"/>
        </w:rPr>
        <w:t xml:space="preserve">IDH </w:t>
      </w:r>
      <w:r w:rsidR="001E4578" w:rsidRPr="00F9275D">
        <w:rPr>
          <w:rStyle w:val="Strong"/>
          <w:rFonts w:ascii="Verdana" w:hAnsi="Verdana" w:cs="Tahoma"/>
          <w:b w:val="0"/>
          <w:color w:val="000000"/>
          <w:shd w:val="clear" w:color="auto" w:fill="FFFFFF"/>
        </w:rPr>
        <w:t>destacó aspectos del contexto establecido en el anterior caso tales como el “agravamiento del grado de violencia contra las mujeres y el ensañamiento ejercidos contra los cuerpos de las mujeres”</w:t>
      </w:r>
      <w:r w:rsidR="001E4578" w:rsidRPr="00F9275D">
        <w:rPr>
          <w:rStyle w:val="FootnoteReference"/>
          <w:rFonts w:ascii="Verdana" w:hAnsi="Verdana" w:cs="Tahoma"/>
          <w:bCs/>
          <w:color w:val="000000"/>
          <w:shd w:val="clear" w:color="auto" w:fill="FFFFFF"/>
        </w:rPr>
        <w:footnoteReference w:id="66"/>
      </w:r>
      <w:r w:rsidR="001E4578" w:rsidRPr="00F9275D">
        <w:rPr>
          <w:rStyle w:val="Strong"/>
          <w:rFonts w:ascii="Verdana" w:hAnsi="Verdana" w:cs="Tahoma"/>
          <w:b w:val="0"/>
          <w:color w:val="000000"/>
          <w:shd w:val="clear" w:color="auto" w:fill="FFFFFF"/>
        </w:rPr>
        <w:t>; el “alto índice de impunidad general […] relativo a diversos tipos de delitos” en los cuales se enmarcan los delitos contra mujeres</w:t>
      </w:r>
      <w:r w:rsidR="001E4578" w:rsidRPr="00F9275D">
        <w:rPr>
          <w:rStyle w:val="FootnoteReference"/>
          <w:rFonts w:ascii="Verdana" w:hAnsi="Verdana" w:cs="Tahoma"/>
          <w:bCs/>
          <w:color w:val="000000"/>
          <w:shd w:val="clear" w:color="auto" w:fill="FFFFFF"/>
        </w:rPr>
        <w:footnoteReference w:id="67"/>
      </w:r>
      <w:r w:rsidR="001E4578" w:rsidRPr="00F9275D">
        <w:rPr>
          <w:rStyle w:val="Strong"/>
          <w:rFonts w:ascii="Verdana" w:hAnsi="Verdana" w:cs="Tahoma"/>
          <w:b w:val="0"/>
          <w:color w:val="000000"/>
          <w:shd w:val="clear" w:color="auto" w:fill="FFFFFF"/>
        </w:rPr>
        <w:t xml:space="preserve">, así como tendencias de las autoridades e investigadores a desacreditar y culpabilizar a las víctimas por su estilo de </w:t>
      </w:r>
      <w:r w:rsidR="00F70DCB">
        <w:rPr>
          <w:rStyle w:val="Strong"/>
          <w:rFonts w:ascii="Verdana" w:hAnsi="Verdana" w:cs="Tahoma"/>
          <w:b w:val="0"/>
          <w:color w:val="000000"/>
          <w:shd w:val="clear" w:color="auto" w:fill="FFFFFF"/>
        </w:rPr>
        <w:t>vida o tipo de vestimenta</w:t>
      </w:r>
      <w:r w:rsidR="001E4578" w:rsidRPr="00F9275D">
        <w:rPr>
          <w:rStyle w:val="FootnoteReference"/>
          <w:rFonts w:ascii="Verdana" w:hAnsi="Verdana" w:cs="Tahoma"/>
          <w:bCs/>
          <w:color w:val="000000"/>
          <w:shd w:val="clear" w:color="auto" w:fill="FFFFFF"/>
        </w:rPr>
        <w:footnoteReference w:id="68"/>
      </w:r>
      <w:r w:rsidR="002D6585" w:rsidRPr="00F9275D">
        <w:rPr>
          <w:rStyle w:val="Strong"/>
          <w:rFonts w:ascii="Verdana" w:hAnsi="Verdana" w:cs="Tahoma"/>
          <w:b w:val="0"/>
          <w:color w:val="000000"/>
          <w:shd w:val="clear" w:color="auto" w:fill="FFFFFF"/>
        </w:rPr>
        <w:t>.</w:t>
      </w:r>
    </w:p>
    <w:p w14:paraId="32210850" w14:textId="77777777" w:rsidR="002D6585" w:rsidRPr="00F9275D" w:rsidRDefault="002D6585" w:rsidP="008C7F7F">
      <w:pPr>
        <w:pStyle w:val="FootnoteText"/>
        <w:jc w:val="both"/>
        <w:rPr>
          <w:rStyle w:val="Strong"/>
          <w:rFonts w:ascii="Verdana" w:hAnsi="Verdana" w:cs="Tahoma"/>
          <w:b w:val="0"/>
          <w:color w:val="000000"/>
          <w:shd w:val="clear" w:color="auto" w:fill="FFFFFF"/>
        </w:rPr>
      </w:pPr>
    </w:p>
    <w:p w14:paraId="32210851" w14:textId="77777777" w:rsidR="00DD11FA"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37</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934750" w:rsidRPr="00F9275D">
        <w:rPr>
          <w:rStyle w:val="Strong"/>
          <w:rFonts w:ascii="Verdana" w:hAnsi="Verdana" w:cs="Tahoma"/>
          <w:b w:val="0"/>
          <w:color w:val="000000"/>
          <w:shd w:val="clear" w:color="auto" w:fill="FFFFFF"/>
        </w:rPr>
        <w:t>Ante ese panorama</w:t>
      </w:r>
      <w:r w:rsidR="00952DF3" w:rsidRPr="00F9275D">
        <w:rPr>
          <w:rStyle w:val="Strong"/>
          <w:rFonts w:ascii="Verdana" w:hAnsi="Verdana" w:cs="Tahoma"/>
          <w:b w:val="0"/>
          <w:color w:val="000000"/>
          <w:shd w:val="clear" w:color="auto" w:fill="FFFFFF"/>
        </w:rPr>
        <w:t xml:space="preserve">, es </w:t>
      </w:r>
      <w:r w:rsidR="00A96BB8" w:rsidRPr="00F9275D">
        <w:rPr>
          <w:rStyle w:val="Strong"/>
          <w:rFonts w:ascii="Verdana" w:hAnsi="Verdana" w:cs="Tahoma"/>
          <w:b w:val="0"/>
          <w:color w:val="000000"/>
          <w:shd w:val="clear" w:color="auto" w:fill="FFFFFF"/>
        </w:rPr>
        <w:t>adecuado</w:t>
      </w:r>
      <w:r w:rsidR="00952DF3" w:rsidRPr="00F9275D">
        <w:rPr>
          <w:rStyle w:val="Strong"/>
          <w:rFonts w:ascii="Verdana" w:hAnsi="Verdana" w:cs="Tahoma"/>
          <w:b w:val="0"/>
          <w:color w:val="000000"/>
          <w:shd w:val="clear" w:color="auto" w:fill="FFFFFF"/>
        </w:rPr>
        <w:t xml:space="preserve"> considerar que al menos </w:t>
      </w:r>
      <w:r w:rsidR="00F70DCB">
        <w:rPr>
          <w:rStyle w:val="Strong"/>
          <w:rFonts w:ascii="Verdana" w:hAnsi="Verdana" w:cs="Tahoma"/>
          <w:b w:val="0"/>
          <w:color w:val="000000"/>
          <w:shd w:val="clear" w:color="auto" w:fill="FFFFFF"/>
        </w:rPr>
        <w:t xml:space="preserve">desde </w:t>
      </w:r>
      <w:r w:rsidR="00952DF3" w:rsidRPr="00F9275D">
        <w:rPr>
          <w:rStyle w:val="Strong"/>
          <w:rFonts w:ascii="Verdana" w:hAnsi="Verdana" w:cs="Tahoma"/>
          <w:b w:val="0"/>
          <w:color w:val="000000"/>
          <w:shd w:val="clear" w:color="auto" w:fill="FFFFFF"/>
        </w:rPr>
        <w:t xml:space="preserve">2001 </w:t>
      </w:r>
      <w:r w:rsidR="00F70DCB">
        <w:rPr>
          <w:rStyle w:val="Strong"/>
          <w:rFonts w:ascii="Verdana" w:hAnsi="Verdana" w:cs="Tahoma"/>
          <w:b w:val="0"/>
          <w:color w:val="000000"/>
          <w:shd w:val="clear" w:color="auto" w:fill="FFFFFF"/>
        </w:rPr>
        <w:t>(como fue precisado en la sentencia del c</w:t>
      </w:r>
      <w:r w:rsidR="00952DF3" w:rsidRPr="00F9275D">
        <w:rPr>
          <w:rStyle w:val="Strong"/>
          <w:rFonts w:ascii="Verdana" w:hAnsi="Verdana" w:cs="Tahoma"/>
          <w:b w:val="0"/>
          <w:color w:val="000000"/>
          <w:shd w:val="clear" w:color="auto" w:fill="FFFFFF"/>
        </w:rPr>
        <w:t xml:space="preserve">aso </w:t>
      </w:r>
      <w:r w:rsidR="00952DF3" w:rsidRPr="00F70DCB">
        <w:rPr>
          <w:rStyle w:val="Strong"/>
          <w:rFonts w:ascii="Verdana" w:hAnsi="Verdana" w:cs="Tahoma"/>
          <w:b w:val="0"/>
          <w:i/>
          <w:color w:val="000000"/>
          <w:shd w:val="clear" w:color="auto" w:fill="FFFFFF"/>
        </w:rPr>
        <w:t>Veliz Franco y otros</w:t>
      </w:r>
      <w:r w:rsidR="00F70DCB">
        <w:rPr>
          <w:rStyle w:val="Strong"/>
          <w:rFonts w:ascii="Verdana" w:hAnsi="Verdana" w:cs="Tahoma"/>
          <w:b w:val="0"/>
          <w:color w:val="000000"/>
          <w:shd w:val="clear" w:color="auto" w:fill="FFFFFF"/>
        </w:rPr>
        <w:t>)</w:t>
      </w:r>
      <w:r w:rsidR="00952DF3" w:rsidRPr="00F9275D">
        <w:rPr>
          <w:rStyle w:val="Strong"/>
          <w:rFonts w:ascii="Verdana" w:hAnsi="Verdana" w:cs="Tahoma"/>
          <w:b w:val="0"/>
          <w:color w:val="000000"/>
          <w:shd w:val="clear" w:color="auto" w:fill="FFFFFF"/>
        </w:rPr>
        <w:t>, el Estado tenía conocimiento de</w:t>
      </w:r>
      <w:r w:rsidR="00DF2C66">
        <w:rPr>
          <w:rStyle w:val="Strong"/>
          <w:rFonts w:ascii="Verdana" w:hAnsi="Verdana" w:cs="Tahoma"/>
          <w:b w:val="0"/>
          <w:color w:val="000000"/>
          <w:shd w:val="clear" w:color="auto" w:fill="FFFFFF"/>
        </w:rPr>
        <w:t xml:space="preserve"> un contexto de incremento de</w:t>
      </w:r>
      <w:r w:rsidR="00952DF3" w:rsidRPr="00F9275D">
        <w:rPr>
          <w:rStyle w:val="Strong"/>
          <w:rFonts w:ascii="Verdana" w:hAnsi="Verdana" w:cs="Tahoma"/>
          <w:b w:val="0"/>
          <w:color w:val="000000"/>
          <w:shd w:val="clear" w:color="auto" w:fill="FFFFFF"/>
        </w:rPr>
        <w:t xml:space="preserve"> violencia contra la mujer</w:t>
      </w:r>
      <w:r w:rsidR="008828EB">
        <w:rPr>
          <w:rStyle w:val="Strong"/>
          <w:rFonts w:ascii="Verdana" w:hAnsi="Verdana" w:cs="Tahoma"/>
          <w:b w:val="0"/>
          <w:color w:val="000000"/>
          <w:shd w:val="clear" w:color="auto" w:fill="FFFFFF"/>
        </w:rPr>
        <w:t xml:space="preserve"> —incluido el fenómeno del “feminicidio”—;</w:t>
      </w:r>
      <w:r w:rsidR="00952DF3" w:rsidRPr="00F9275D">
        <w:rPr>
          <w:rStyle w:val="Strong"/>
          <w:rFonts w:ascii="Verdana" w:hAnsi="Verdana" w:cs="Tahoma"/>
          <w:b w:val="0"/>
          <w:color w:val="000000"/>
          <w:shd w:val="clear" w:color="auto" w:fill="FFFFFF"/>
        </w:rPr>
        <w:t xml:space="preserve"> situación que debió traer consigo la actuación estatal en </w:t>
      </w:r>
      <w:r w:rsidR="00952DF3" w:rsidRPr="00F9275D">
        <w:rPr>
          <w:rStyle w:val="Strong"/>
          <w:rFonts w:ascii="Verdana" w:hAnsi="Verdana" w:cs="Tahoma"/>
          <w:b w:val="0"/>
          <w:color w:val="000000"/>
          <w:shd w:val="clear" w:color="auto" w:fill="FFFFFF"/>
        </w:rPr>
        <w:lastRenderedPageBreak/>
        <w:t>cuanto a la adopción de medidas o creación de mecanismos que incidieran en el combate de dicho contexto</w:t>
      </w:r>
      <w:r w:rsidR="00FD2E88" w:rsidRPr="00F9275D">
        <w:rPr>
          <w:rStyle w:val="Strong"/>
          <w:rFonts w:ascii="Verdana" w:hAnsi="Verdana" w:cs="Tahoma"/>
          <w:b w:val="0"/>
          <w:color w:val="000000"/>
          <w:shd w:val="clear" w:color="auto" w:fill="FFFFFF"/>
        </w:rPr>
        <w:t xml:space="preserve">, </w:t>
      </w:r>
      <w:r w:rsidR="00DD11FA" w:rsidRPr="00F9275D">
        <w:rPr>
          <w:rStyle w:val="Strong"/>
          <w:rFonts w:ascii="Verdana" w:hAnsi="Verdana" w:cs="Tahoma"/>
          <w:b w:val="0"/>
          <w:color w:val="000000"/>
          <w:shd w:val="clear" w:color="auto" w:fill="FFFFFF"/>
        </w:rPr>
        <w:t>ello con independencia de las medidas adoptadas con anterioridad a 2001</w:t>
      </w:r>
      <w:r w:rsidR="00FD2E88" w:rsidRPr="00F9275D">
        <w:rPr>
          <w:rStyle w:val="FootnoteReference"/>
          <w:rFonts w:ascii="Verdana" w:hAnsi="Verdana" w:cs="Tahoma"/>
          <w:bCs/>
          <w:color w:val="000000"/>
          <w:shd w:val="clear" w:color="auto" w:fill="FFFFFF"/>
        </w:rPr>
        <w:footnoteReference w:id="69"/>
      </w:r>
      <w:r w:rsidR="00FD2E88" w:rsidRPr="00F9275D">
        <w:rPr>
          <w:rStyle w:val="Strong"/>
          <w:rFonts w:ascii="Verdana" w:hAnsi="Verdana" w:cs="Tahoma"/>
          <w:b w:val="0"/>
          <w:color w:val="000000"/>
          <w:shd w:val="clear" w:color="auto" w:fill="FFFFFF"/>
        </w:rPr>
        <w:t xml:space="preserve">. </w:t>
      </w:r>
    </w:p>
    <w:p w14:paraId="32210852" w14:textId="77777777" w:rsidR="00DD11FA" w:rsidRPr="00F9275D" w:rsidRDefault="00DD11FA" w:rsidP="008C7F7F">
      <w:pPr>
        <w:pStyle w:val="FootnoteText"/>
        <w:jc w:val="both"/>
        <w:rPr>
          <w:rStyle w:val="Strong"/>
          <w:rFonts w:ascii="Verdana" w:hAnsi="Verdana" w:cs="Tahoma"/>
          <w:b w:val="0"/>
          <w:color w:val="000000"/>
          <w:shd w:val="clear" w:color="auto" w:fill="FFFFFF"/>
        </w:rPr>
      </w:pPr>
    </w:p>
    <w:p w14:paraId="32210853" w14:textId="77777777" w:rsidR="00934750"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38</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A96BB8" w:rsidRPr="00F9275D">
        <w:rPr>
          <w:rStyle w:val="Strong"/>
          <w:rFonts w:ascii="Verdana" w:hAnsi="Verdana" w:cs="Tahoma"/>
          <w:b w:val="0"/>
          <w:color w:val="000000"/>
          <w:shd w:val="clear" w:color="auto" w:fill="FFFFFF"/>
        </w:rPr>
        <w:t>Frente a</w:t>
      </w:r>
      <w:r w:rsidR="00FD2E88" w:rsidRPr="00F9275D">
        <w:rPr>
          <w:rStyle w:val="Strong"/>
          <w:rFonts w:ascii="Verdana" w:hAnsi="Verdana" w:cs="Tahoma"/>
          <w:b w:val="0"/>
          <w:color w:val="000000"/>
          <w:shd w:val="clear" w:color="auto" w:fill="FFFFFF"/>
        </w:rPr>
        <w:t xml:space="preserve"> ello, </w:t>
      </w:r>
      <w:r w:rsidR="00A96BB8" w:rsidRPr="00F9275D">
        <w:rPr>
          <w:rStyle w:val="Strong"/>
          <w:rFonts w:ascii="Verdana" w:hAnsi="Verdana" w:cs="Tahoma"/>
          <w:b w:val="0"/>
          <w:color w:val="000000"/>
          <w:shd w:val="clear" w:color="auto" w:fill="FFFFFF"/>
        </w:rPr>
        <w:t>el</w:t>
      </w:r>
      <w:r w:rsidR="00DD11FA" w:rsidRPr="00F9275D">
        <w:rPr>
          <w:rStyle w:val="Strong"/>
          <w:rFonts w:ascii="Verdana" w:hAnsi="Verdana" w:cs="Tahoma"/>
          <w:b w:val="0"/>
          <w:color w:val="000000"/>
          <w:shd w:val="clear" w:color="auto" w:fill="FFFFFF"/>
        </w:rPr>
        <w:t xml:space="preserve"> </w:t>
      </w:r>
      <w:r w:rsidR="00A96BB8" w:rsidRPr="00F9275D">
        <w:rPr>
          <w:rStyle w:val="Strong"/>
          <w:rFonts w:ascii="Verdana" w:hAnsi="Verdana" w:cs="Tahoma"/>
          <w:b w:val="0"/>
          <w:color w:val="000000"/>
          <w:shd w:val="clear" w:color="auto" w:fill="FFFFFF"/>
        </w:rPr>
        <w:t>conocimiento por parte del Estado guatemalteco del contexto de aumento de violencia contra la mujer</w:t>
      </w:r>
      <w:r w:rsidR="00DD11FA" w:rsidRPr="00F9275D">
        <w:rPr>
          <w:rStyle w:val="Strong"/>
          <w:rFonts w:ascii="Verdana" w:hAnsi="Verdana" w:cs="Tahoma"/>
          <w:b w:val="0"/>
          <w:color w:val="000000"/>
          <w:shd w:val="clear" w:color="auto" w:fill="FFFFFF"/>
        </w:rPr>
        <w:t xml:space="preserve"> que se remonta al menos </w:t>
      </w:r>
      <w:r w:rsidR="00F70DCB">
        <w:rPr>
          <w:rStyle w:val="Strong"/>
          <w:rFonts w:ascii="Verdana" w:hAnsi="Verdana" w:cs="Tahoma"/>
          <w:b w:val="0"/>
          <w:color w:val="000000"/>
          <w:shd w:val="clear" w:color="auto" w:fill="FFFFFF"/>
        </w:rPr>
        <w:t xml:space="preserve">a </w:t>
      </w:r>
      <w:r w:rsidR="00DD11FA" w:rsidRPr="00F9275D">
        <w:rPr>
          <w:rStyle w:val="Strong"/>
          <w:rFonts w:ascii="Verdana" w:hAnsi="Verdana" w:cs="Tahoma"/>
          <w:b w:val="0"/>
          <w:color w:val="000000"/>
          <w:shd w:val="clear" w:color="auto" w:fill="FFFFFF"/>
        </w:rPr>
        <w:t>2001</w:t>
      </w:r>
      <w:r w:rsidR="00A96BB8" w:rsidRPr="00F9275D">
        <w:rPr>
          <w:rStyle w:val="Strong"/>
          <w:rFonts w:ascii="Verdana" w:hAnsi="Verdana" w:cs="Tahoma"/>
          <w:b w:val="0"/>
          <w:color w:val="000000"/>
          <w:shd w:val="clear" w:color="auto" w:fill="FFFFFF"/>
        </w:rPr>
        <w:t xml:space="preserve">, evidenciado en el </w:t>
      </w:r>
      <w:r w:rsidR="00A96BB8" w:rsidRPr="00F9275D">
        <w:rPr>
          <w:rStyle w:val="Strong"/>
          <w:rFonts w:ascii="Verdana" w:hAnsi="Verdana" w:cs="Tahoma"/>
          <w:b w:val="0"/>
          <w:i/>
          <w:color w:val="000000"/>
          <w:shd w:val="clear" w:color="auto" w:fill="FFFFFF"/>
        </w:rPr>
        <w:t>caso Veliz Franco y otros vs. Guatemala</w:t>
      </w:r>
      <w:r w:rsidR="00DD11FA" w:rsidRPr="00F9275D">
        <w:rPr>
          <w:rStyle w:val="Strong"/>
          <w:rFonts w:ascii="Verdana" w:hAnsi="Verdana" w:cs="Tahoma"/>
          <w:b w:val="0"/>
          <w:color w:val="000000"/>
          <w:shd w:val="clear" w:color="auto" w:fill="FFFFFF"/>
        </w:rPr>
        <w:t xml:space="preserve">, hace </w:t>
      </w:r>
      <w:r w:rsidR="00A96BB8" w:rsidRPr="00F9275D">
        <w:rPr>
          <w:rStyle w:val="Strong"/>
          <w:rFonts w:ascii="Verdana" w:hAnsi="Verdana" w:cs="Tahoma"/>
          <w:b w:val="0"/>
          <w:color w:val="000000"/>
          <w:shd w:val="clear" w:color="auto" w:fill="FFFFFF"/>
        </w:rPr>
        <w:t>suponer que dicho Estado tenía o debía tener conocimiento del fenómeno del feminicidio durante los hechos ocurridos años después en el presente caso, en 2005</w:t>
      </w:r>
      <w:r w:rsidR="00934750" w:rsidRPr="00F9275D">
        <w:rPr>
          <w:rStyle w:val="Strong"/>
          <w:rFonts w:ascii="Verdana" w:hAnsi="Verdana" w:cs="Tahoma"/>
          <w:b w:val="0"/>
          <w:color w:val="000000"/>
          <w:shd w:val="clear" w:color="auto" w:fill="FFFFFF"/>
        </w:rPr>
        <w:t>.</w:t>
      </w:r>
    </w:p>
    <w:p w14:paraId="32210854" w14:textId="77777777" w:rsidR="00934750" w:rsidRPr="00F9275D" w:rsidRDefault="00934750" w:rsidP="008C7F7F">
      <w:pPr>
        <w:pStyle w:val="FootnoteText"/>
        <w:jc w:val="both"/>
        <w:rPr>
          <w:rStyle w:val="Strong"/>
          <w:rFonts w:ascii="Verdana" w:hAnsi="Verdana" w:cs="Tahoma"/>
          <w:b w:val="0"/>
          <w:color w:val="000000"/>
          <w:shd w:val="clear" w:color="auto" w:fill="FFFFFF"/>
        </w:rPr>
      </w:pPr>
    </w:p>
    <w:p w14:paraId="32210855" w14:textId="69635D1E" w:rsidR="00B036AE" w:rsidRDefault="00522631" w:rsidP="005A5AC8">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39</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934750" w:rsidRPr="00F9275D">
        <w:rPr>
          <w:rStyle w:val="Strong"/>
          <w:rFonts w:ascii="Verdana" w:hAnsi="Verdana" w:cs="Tahoma"/>
          <w:b w:val="0"/>
          <w:color w:val="000000"/>
          <w:shd w:val="clear" w:color="auto" w:fill="FFFFFF"/>
        </w:rPr>
        <w:t>Bajo esa premisa, considero que el contexto ya conocido por el Estado en torno a la problemática de la violencia de género en Guatemala, es indispensable para el entendimiento del estudio del “</w:t>
      </w:r>
      <w:r w:rsidR="00934750" w:rsidRPr="008828EB">
        <w:rPr>
          <w:rStyle w:val="Strong"/>
          <w:rFonts w:ascii="Verdana" w:hAnsi="Verdana" w:cs="Tahoma"/>
          <w:b w:val="0"/>
          <w:color w:val="000000"/>
          <w:u w:val="single"/>
          <w:shd w:val="clear" w:color="auto" w:fill="FFFFFF"/>
        </w:rPr>
        <w:t>primer momento</w:t>
      </w:r>
      <w:r w:rsidR="00934750" w:rsidRPr="00F9275D">
        <w:rPr>
          <w:rStyle w:val="Strong"/>
          <w:rFonts w:ascii="Verdana" w:hAnsi="Verdana" w:cs="Tahoma"/>
          <w:b w:val="0"/>
          <w:color w:val="000000"/>
          <w:shd w:val="clear" w:color="auto" w:fill="FFFFFF"/>
        </w:rPr>
        <w:t>” del deber de prevención,</w:t>
      </w:r>
      <w:r w:rsidR="002B590E" w:rsidRPr="00F9275D">
        <w:rPr>
          <w:rStyle w:val="Strong"/>
          <w:rFonts w:ascii="Verdana" w:hAnsi="Verdana" w:cs="Tahoma"/>
          <w:b w:val="0"/>
          <w:color w:val="000000"/>
          <w:shd w:val="clear" w:color="auto" w:fill="FFFFFF"/>
        </w:rPr>
        <w:t xml:space="preserve"> también referido en la Sentencia como</w:t>
      </w:r>
      <w:r w:rsidR="00934750" w:rsidRPr="00F9275D">
        <w:rPr>
          <w:rStyle w:val="Strong"/>
          <w:rFonts w:ascii="Verdana" w:hAnsi="Verdana" w:cs="Tahoma"/>
          <w:b w:val="0"/>
          <w:color w:val="000000"/>
          <w:shd w:val="clear" w:color="auto" w:fill="FFFFFF"/>
        </w:rPr>
        <w:t xml:space="preserve"> el </w:t>
      </w:r>
      <w:r w:rsidR="008828EB">
        <w:rPr>
          <w:rStyle w:val="Strong"/>
          <w:rFonts w:ascii="Verdana" w:hAnsi="Verdana" w:cs="Tahoma"/>
          <w:b w:val="0"/>
          <w:color w:val="000000"/>
          <w:shd w:val="clear" w:color="auto" w:fill="FFFFFF"/>
        </w:rPr>
        <w:t>“</w:t>
      </w:r>
      <w:r w:rsidR="00934750" w:rsidRPr="008828EB">
        <w:rPr>
          <w:rStyle w:val="Strong"/>
          <w:rFonts w:ascii="Verdana" w:hAnsi="Verdana" w:cs="Tahoma"/>
          <w:b w:val="0"/>
          <w:color w:val="000000"/>
          <w:u w:val="single"/>
          <w:shd w:val="clear" w:color="auto" w:fill="FFFFFF"/>
        </w:rPr>
        <w:t>deber general de prevenir el homicidio y las desapariciones de mujeres</w:t>
      </w:r>
      <w:r w:rsidR="00963909">
        <w:rPr>
          <w:rStyle w:val="Strong"/>
          <w:rFonts w:ascii="Verdana" w:hAnsi="Verdana" w:cs="Tahoma"/>
          <w:b w:val="0"/>
          <w:color w:val="000000"/>
          <w:u w:val="single"/>
          <w:shd w:val="clear" w:color="auto" w:fill="FFFFFF"/>
        </w:rPr>
        <w:t>”</w:t>
      </w:r>
      <w:r w:rsidR="00934750" w:rsidRPr="008828EB">
        <w:rPr>
          <w:rStyle w:val="Strong"/>
          <w:rFonts w:ascii="Verdana" w:hAnsi="Verdana" w:cs="Tahoma"/>
          <w:b w:val="0"/>
          <w:color w:val="000000"/>
          <w:u w:val="single"/>
          <w:shd w:val="clear" w:color="auto" w:fill="FFFFFF"/>
        </w:rPr>
        <w:t xml:space="preserve"> en Guatemala</w:t>
      </w:r>
      <w:r w:rsidR="00AE29B6" w:rsidRPr="00F9275D">
        <w:rPr>
          <w:rStyle w:val="Strong"/>
          <w:rFonts w:ascii="Verdana" w:hAnsi="Verdana" w:cs="Tahoma"/>
          <w:b w:val="0"/>
          <w:color w:val="000000"/>
          <w:shd w:val="clear" w:color="auto" w:fill="FFFFFF"/>
        </w:rPr>
        <w:t>, tal como se observará en el siguiente</w:t>
      </w:r>
      <w:r w:rsidR="00186369">
        <w:rPr>
          <w:rStyle w:val="Strong"/>
          <w:rFonts w:ascii="Verdana" w:hAnsi="Verdana" w:cs="Tahoma"/>
          <w:b w:val="0"/>
          <w:color w:val="000000"/>
          <w:shd w:val="clear" w:color="auto" w:fill="FFFFFF"/>
        </w:rPr>
        <w:t xml:space="preserve"> apartado</w:t>
      </w:r>
      <w:r w:rsidR="00934750" w:rsidRPr="00F9275D">
        <w:rPr>
          <w:rStyle w:val="Strong"/>
          <w:rFonts w:ascii="Verdana" w:hAnsi="Verdana" w:cs="Tahoma"/>
          <w:b w:val="0"/>
          <w:color w:val="000000"/>
          <w:shd w:val="clear" w:color="auto" w:fill="FFFFFF"/>
        </w:rPr>
        <w:t>.</w:t>
      </w:r>
    </w:p>
    <w:p w14:paraId="32210856" w14:textId="77777777" w:rsidR="005A5AC8" w:rsidRDefault="005A5AC8" w:rsidP="005A5AC8">
      <w:pPr>
        <w:pStyle w:val="FootnoteText"/>
        <w:jc w:val="both"/>
        <w:rPr>
          <w:rStyle w:val="Strong"/>
          <w:rFonts w:ascii="Verdana" w:hAnsi="Verdana" w:cs="Tahoma"/>
          <w:b w:val="0"/>
          <w:color w:val="000000"/>
          <w:shd w:val="clear" w:color="auto" w:fill="FFFFFF"/>
        </w:rPr>
      </w:pPr>
    </w:p>
    <w:p w14:paraId="32210857" w14:textId="77777777" w:rsidR="005A5AC8" w:rsidRPr="00F9275D" w:rsidRDefault="005A5AC8" w:rsidP="005A5AC8">
      <w:pPr>
        <w:pStyle w:val="FootnoteText"/>
        <w:jc w:val="both"/>
        <w:rPr>
          <w:rStyle w:val="Strong"/>
          <w:rFonts w:ascii="Verdana" w:hAnsi="Verdana" w:cs="Tahoma"/>
          <w:b w:val="0"/>
          <w:color w:val="000000"/>
          <w:shd w:val="clear" w:color="auto" w:fill="FFFFFF"/>
        </w:rPr>
      </w:pPr>
    </w:p>
    <w:p w14:paraId="32210858" w14:textId="77777777" w:rsidR="00B036AE" w:rsidRPr="00C57B1A" w:rsidRDefault="00391E92" w:rsidP="000C11E4">
      <w:pPr>
        <w:pStyle w:val="FootnoteText"/>
        <w:jc w:val="both"/>
        <w:rPr>
          <w:rStyle w:val="Strong"/>
          <w:rFonts w:ascii="Verdana" w:hAnsi="Verdana" w:cs="Tahoma"/>
          <w:b w:val="0"/>
          <w:i/>
          <w:color w:val="000000"/>
          <w:u w:val="single"/>
          <w:shd w:val="clear" w:color="auto" w:fill="FFFFFF"/>
        </w:rPr>
      </w:pPr>
      <w:r w:rsidRPr="00C57B1A">
        <w:rPr>
          <w:rStyle w:val="Strong"/>
          <w:rFonts w:ascii="Verdana" w:hAnsi="Verdana" w:cs="Tahoma"/>
          <w:b w:val="0"/>
          <w:i/>
          <w:color w:val="000000"/>
          <w:u w:val="single"/>
          <w:shd w:val="clear" w:color="auto" w:fill="FFFFFF"/>
        </w:rPr>
        <w:t xml:space="preserve">III.2 Los </w:t>
      </w:r>
      <w:r w:rsidR="00760E96">
        <w:rPr>
          <w:rStyle w:val="Strong"/>
          <w:rFonts w:ascii="Verdana" w:hAnsi="Verdana" w:cs="Tahoma"/>
          <w:b w:val="0"/>
          <w:i/>
          <w:color w:val="000000"/>
          <w:u w:val="single"/>
          <w:shd w:val="clear" w:color="auto" w:fill="FFFFFF"/>
        </w:rPr>
        <w:t>“</w:t>
      </w:r>
      <w:r w:rsidRPr="00C57B1A">
        <w:rPr>
          <w:rStyle w:val="Strong"/>
          <w:rFonts w:ascii="Verdana" w:hAnsi="Verdana" w:cs="Tahoma"/>
          <w:b w:val="0"/>
          <w:i/>
          <w:color w:val="000000"/>
          <w:u w:val="single"/>
          <w:shd w:val="clear" w:color="auto" w:fill="FFFFFF"/>
        </w:rPr>
        <w:t>d</w:t>
      </w:r>
      <w:r w:rsidR="00B036AE" w:rsidRPr="00C57B1A">
        <w:rPr>
          <w:rStyle w:val="Strong"/>
          <w:rFonts w:ascii="Verdana" w:hAnsi="Verdana" w:cs="Tahoma"/>
          <w:b w:val="0"/>
          <w:i/>
          <w:color w:val="000000"/>
          <w:u w:val="single"/>
          <w:shd w:val="clear" w:color="auto" w:fill="FFFFFF"/>
        </w:rPr>
        <w:t>os momentos</w:t>
      </w:r>
      <w:r w:rsidR="00760E96">
        <w:rPr>
          <w:rStyle w:val="Strong"/>
          <w:rFonts w:ascii="Verdana" w:hAnsi="Verdana" w:cs="Tahoma"/>
          <w:b w:val="0"/>
          <w:i/>
          <w:color w:val="000000"/>
          <w:u w:val="single"/>
          <w:shd w:val="clear" w:color="auto" w:fill="FFFFFF"/>
        </w:rPr>
        <w:t>”</w:t>
      </w:r>
      <w:r w:rsidR="00B036AE" w:rsidRPr="00C57B1A">
        <w:rPr>
          <w:rStyle w:val="Strong"/>
          <w:rFonts w:ascii="Verdana" w:hAnsi="Verdana" w:cs="Tahoma"/>
          <w:b w:val="0"/>
          <w:i/>
          <w:color w:val="000000"/>
          <w:u w:val="single"/>
          <w:shd w:val="clear" w:color="auto" w:fill="FFFFFF"/>
        </w:rPr>
        <w:t xml:space="preserve"> del deber de prevención </w:t>
      </w:r>
    </w:p>
    <w:p w14:paraId="32210859" w14:textId="77777777" w:rsidR="00EB69FE" w:rsidRPr="00F9275D" w:rsidRDefault="00EB69FE" w:rsidP="008C7F7F">
      <w:pPr>
        <w:pStyle w:val="FootnoteText"/>
        <w:jc w:val="both"/>
        <w:rPr>
          <w:rStyle w:val="Strong"/>
          <w:rFonts w:ascii="Verdana" w:hAnsi="Verdana" w:cs="Tahoma"/>
          <w:b w:val="0"/>
          <w:color w:val="000000"/>
          <w:shd w:val="clear" w:color="auto" w:fill="FFFFFF"/>
        </w:rPr>
      </w:pPr>
    </w:p>
    <w:p w14:paraId="3221085A" w14:textId="77777777" w:rsidR="00175142"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40</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186369">
        <w:rPr>
          <w:rStyle w:val="Strong"/>
          <w:rFonts w:ascii="Verdana" w:hAnsi="Verdana" w:cs="Tahoma"/>
          <w:b w:val="0"/>
          <w:color w:val="000000"/>
          <w:shd w:val="clear" w:color="auto" w:fill="FFFFFF"/>
        </w:rPr>
        <w:t>A</w:t>
      </w:r>
      <w:r w:rsidR="00B10B0D" w:rsidRPr="00F9275D">
        <w:rPr>
          <w:rStyle w:val="Strong"/>
          <w:rFonts w:ascii="Verdana" w:hAnsi="Verdana" w:cs="Tahoma"/>
          <w:b w:val="0"/>
          <w:color w:val="000000"/>
          <w:shd w:val="clear" w:color="auto" w:fill="FFFFFF"/>
        </w:rPr>
        <w:t xml:space="preserve"> fin de establecer un incumplimiento del deber de prevenir violaciones a los derechos a la vida e integridad personal, la Corte </w:t>
      </w:r>
      <w:r w:rsidR="00986455">
        <w:rPr>
          <w:rStyle w:val="Strong"/>
          <w:rFonts w:ascii="Verdana" w:hAnsi="Verdana" w:cs="Tahoma"/>
          <w:b w:val="0"/>
          <w:color w:val="000000"/>
          <w:shd w:val="clear" w:color="auto" w:fill="FFFFFF"/>
        </w:rPr>
        <w:t xml:space="preserve">IDH </w:t>
      </w:r>
      <w:r w:rsidR="00B10B0D" w:rsidRPr="00F9275D">
        <w:rPr>
          <w:rStyle w:val="Strong"/>
          <w:rFonts w:ascii="Verdana" w:hAnsi="Verdana" w:cs="Tahoma"/>
          <w:b w:val="0"/>
          <w:color w:val="000000"/>
          <w:shd w:val="clear" w:color="auto" w:fill="FFFFFF"/>
        </w:rPr>
        <w:t>trajo a colación el</w:t>
      </w:r>
      <w:r w:rsidR="00B10B0D" w:rsidRPr="00F9275D">
        <w:rPr>
          <w:rStyle w:val="Strong"/>
          <w:rFonts w:ascii="Verdana" w:hAnsi="Verdana" w:cs="Tahoma"/>
          <w:b w:val="0"/>
          <w:i/>
          <w:color w:val="000000"/>
          <w:shd w:val="clear" w:color="auto" w:fill="FFFFFF"/>
        </w:rPr>
        <w:t xml:space="preserve"> Caso</w:t>
      </w:r>
      <w:r w:rsidR="00986455">
        <w:rPr>
          <w:rStyle w:val="Strong"/>
          <w:rFonts w:ascii="Verdana" w:hAnsi="Verdana" w:cs="Tahoma"/>
          <w:b w:val="0"/>
          <w:i/>
          <w:color w:val="000000"/>
          <w:shd w:val="clear" w:color="auto" w:fill="FFFFFF"/>
        </w:rPr>
        <w:t xml:space="preserve"> de la Masacre de Pueblo Bello V</w:t>
      </w:r>
      <w:r w:rsidR="00B10B0D" w:rsidRPr="00F9275D">
        <w:rPr>
          <w:rStyle w:val="Strong"/>
          <w:rFonts w:ascii="Verdana" w:hAnsi="Verdana" w:cs="Tahoma"/>
          <w:b w:val="0"/>
          <w:i/>
          <w:color w:val="000000"/>
          <w:shd w:val="clear" w:color="auto" w:fill="FFFFFF"/>
        </w:rPr>
        <w:t>s. Colombia</w:t>
      </w:r>
      <w:r w:rsidR="008828EB">
        <w:rPr>
          <w:rStyle w:val="Strong"/>
          <w:rFonts w:ascii="Verdana" w:hAnsi="Verdana" w:cs="Tahoma"/>
          <w:b w:val="0"/>
          <w:i/>
          <w:color w:val="000000"/>
          <w:shd w:val="clear" w:color="auto" w:fill="FFFFFF"/>
        </w:rPr>
        <w:t>,</w:t>
      </w:r>
      <w:r w:rsidR="00B10B0D" w:rsidRPr="00F9275D">
        <w:rPr>
          <w:rStyle w:val="Strong"/>
          <w:rFonts w:ascii="Verdana" w:hAnsi="Verdana" w:cs="Tahoma"/>
          <w:b w:val="0"/>
          <w:color w:val="000000"/>
          <w:shd w:val="clear" w:color="auto" w:fill="FFFFFF"/>
        </w:rPr>
        <w:t xml:space="preserve"> para referirse a los factores que deben verificarse en cuanto a las obligaciones de prevención, enumerando el conocimiento estatal de un riesgo real inmediato para tales derechos y </w:t>
      </w:r>
      <w:r w:rsidR="00EB69FE" w:rsidRPr="00F9275D">
        <w:rPr>
          <w:rStyle w:val="Strong"/>
          <w:rFonts w:ascii="Verdana" w:hAnsi="Verdana" w:cs="Tahoma"/>
          <w:b w:val="0"/>
          <w:color w:val="000000"/>
          <w:shd w:val="clear" w:color="auto" w:fill="FFFFFF"/>
        </w:rPr>
        <w:t>la adopción de medidas por parte de las autoridades para prevenir o evitar ese riesgo</w:t>
      </w:r>
      <w:r w:rsidR="00EB69FE" w:rsidRPr="009B10FA">
        <w:rPr>
          <w:rStyle w:val="FootnoteReference"/>
          <w:rFonts w:ascii="Verdana" w:hAnsi="Verdana" w:cs="Tahoma"/>
          <w:bCs/>
          <w:color w:val="000000"/>
          <w:shd w:val="clear" w:color="auto" w:fill="FFFFFF"/>
        </w:rPr>
        <w:footnoteReference w:id="70"/>
      </w:r>
      <w:r w:rsidR="00EB69FE" w:rsidRPr="00F9275D">
        <w:rPr>
          <w:rStyle w:val="Strong"/>
          <w:rFonts w:ascii="Verdana" w:hAnsi="Verdana" w:cs="Tahoma"/>
          <w:b w:val="0"/>
          <w:color w:val="000000"/>
          <w:shd w:val="clear" w:color="auto" w:fill="FFFFFF"/>
        </w:rPr>
        <w:t xml:space="preserve">. Posteriormente, </w:t>
      </w:r>
      <w:r w:rsidR="00986455">
        <w:rPr>
          <w:rStyle w:val="Strong"/>
          <w:rFonts w:ascii="Verdana" w:hAnsi="Verdana" w:cs="Tahoma"/>
          <w:b w:val="0"/>
          <w:color w:val="000000"/>
          <w:shd w:val="clear" w:color="auto" w:fill="FFFFFF"/>
        </w:rPr>
        <w:t>el Tribunal Interamericano replicó</w:t>
      </w:r>
      <w:r w:rsidR="00EB69FE" w:rsidRPr="00F9275D">
        <w:rPr>
          <w:rStyle w:val="Strong"/>
          <w:rFonts w:ascii="Verdana" w:hAnsi="Verdana" w:cs="Tahoma"/>
          <w:b w:val="0"/>
          <w:color w:val="000000"/>
          <w:shd w:val="clear" w:color="auto" w:fill="FFFFFF"/>
        </w:rPr>
        <w:t xml:space="preserve"> </w:t>
      </w:r>
      <w:r w:rsidR="00186369">
        <w:rPr>
          <w:rStyle w:val="Strong"/>
          <w:rFonts w:ascii="Verdana" w:hAnsi="Verdana" w:cs="Tahoma"/>
          <w:b w:val="0"/>
          <w:color w:val="000000"/>
          <w:shd w:val="clear" w:color="auto" w:fill="FFFFFF"/>
        </w:rPr>
        <w:t xml:space="preserve">en la Sentencia </w:t>
      </w:r>
      <w:r w:rsidR="00EB69FE" w:rsidRPr="00F9275D">
        <w:rPr>
          <w:rStyle w:val="Strong"/>
          <w:rFonts w:ascii="Verdana" w:hAnsi="Verdana" w:cs="Tahoma"/>
          <w:b w:val="0"/>
          <w:color w:val="000000"/>
          <w:shd w:val="clear" w:color="auto" w:fill="FFFFFF"/>
        </w:rPr>
        <w:t xml:space="preserve">el estándar de los </w:t>
      </w:r>
      <w:r w:rsidR="008828EB">
        <w:rPr>
          <w:rStyle w:val="Strong"/>
          <w:rFonts w:ascii="Verdana" w:hAnsi="Verdana" w:cs="Tahoma"/>
          <w:b w:val="0"/>
          <w:color w:val="000000"/>
          <w:shd w:val="clear" w:color="auto" w:fill="FFFFFF"/>
        </w:rPr>
        <w:t>“</w:t>
      </w:r>
      <w:r w:rsidR="00EB69FE" w:rsidRPr="00F9275D">
        <w:rPr>
          <w:rStyle w:val="Strong"/>
          <w:rFonts w:ascii="Verdana" w:hAnsi="Verdana" w:cs="Tahoma"/>
          <w:b w:val="0"/>
          <w:color w:val="000000"/>
          <w:shd w:val="clear" w:color="auto" w:fill="FFFFFF"/>
        </w:rPr>
        <w:t>dos momentos</w:t>
      </w:r>
      <w:r w:rsidR="008828EB">
        <w:rPr>
          <w:rStyle w:val="Strong"/>
          <w:rFonts w:ascii="Verdana" w:hAnsi="Verdana" w:cs="Tahoma"/>
          <w:b w:val="0"/>
          <w:color w:val="000000"/>
          <w:shd w:val="clear" w:color="auto" w:fill="FFFFFF"/>
        </w:rPr>
        <w:t>”</w:t>
      </w:r>
      <w:r w:rsidR="00EB69FE" w:rsidRPr="00F9275D">
        <w:rPr>
          <w:rStyle w:val="Strong"/>
          <w:rFonts w:ascii="Verdana" w:hAnsi="Verdana" w:cs="Tahoma"/>
          <w:b w:val="0"/>
          <w:color w:val="000000"/>
          <w:shd w:val="clear" w:color="auto" w:fill="FFFFFF"/>
        </w:rPr>
        <w:t xml:space="preserve"> </w:t>
      </w:r>
      <w:r w:rsidR="000D3CE1" w:rsidRPr="00F9275D">
        <w:rPr>
          <w:rStyle w:val="Strong"/>
          <w:rFonts w:ascii="Verdana" w:hAnsi="Verdana" w:cs="Tahoma"/>
          <w:b w:val="0"/>
          <w:color w:val="000000"/>
          <w:shd w:val="clear" w:color="auto" w:fill="FFFFFF"/>
        </w:rPr>
        <w:t>del deber de prevención</w:t>
      </w:r>
      <w:r w:rsidR="00EB69FE" w:rsidRPr="00F9275D">
        <w:rPr>
          <w:rStyle w:val="Strong"/>
          <w:rFonts w:ascii="Verdana" w:hAnsi="Verdana" w:cs="Tahoma"/>
          <w:b w:val="0"/>
          <w:color w:val="000000"/>
          <w:shd w:val="clear" w:color="auto" w:fill="FFFFFF"/>
        </w:rPr>
        <w:t>, indicando su estu</w:t>
      </w:r>
      <w:r w:rsidR="00C05A69">
        <w:rPr>
          <w:rStyle w:val="Strong"/>
          <w:rFonts w:ascii="Verdana" w:hAnsi="Verdana" w:cs="Tahoma"/>
          <w:b w:val="0"/>
          <w:color w:val="000000"/>
          <w:shd w:val="clear" w:color="auto" w:fill="FFFFFF"/>
        </w:rPr>
        <w:t xml:space="preserve">dio respecto al </w:t>
      </w:r>
      <w:r w:rsidR="008828EB">
        <w:rPr>
          <w:rStyle w:val="Strong"/>
          <w:rFonts w:ascii="Verdana" w:hAnsi="Verdana" w:cs="Tahoma"/>
          <w:b w:val="0"/>
          <w:color w:val="000000"/>
          <w:shd w:val="clear" w:color="auto" w:fill="FFFFFF"/>
        </w:rPr>
        <w:t>“</w:t>
      </w:r>
      <w:r w:rsidR="00C05A69">
        <w:rPr>
          <w:rStyle w:val="Strong"/>
          <w:rFonts w:ascii="Verdana" w:hAnsi="Verdana" w:cs="Tahoma"/>
          <w:b w:val="0"/>
          <w:color w:val="000000"/>
          <w:shd w:val="clear" w:color="auto" w:fill="FFFFFF"/>
        </w:rPr>
        <w:t>primer momento</w:t>
      </w:r>
      <w:r w:rsidR="008828EB">
        <w:rPr>
          <w:rStyle w:val="Strong"/>
          <w:rFonts w:ascii="Verdana" w:hAnsi="Verdana" w:cs="Tahoma"/>
          <w:b w:val="0"/>
          <w:color w:val="000000"/>
          <w:shd w:val="clear" w:color="auto" w:fill="FFFFFF"/>
        </w:rPr>
        <w:t>”</w:t>
      </w:r>
      <w:r w:rsidR="00C05A69">
        <w:rPr>
          <w:rStyle w:val="Strong"/>
          <w:rFonts w:ascii="Verdana" w:hAnsi="Verdana" w:cs="Tahoma"/>
          <w:b w:val="0"/>
          <w:color w:val="000000"/>
          <w:shd w:val="clear" w:color="auto" w:fill="FFFFFF"/>
        </w:rPr>
        <w:t xml:space="preserve"> (</w:t>
      </w:r>
      <w:r w:rsidR="00EB69FE" w:rsidRPr="00F9275D">
        <w:rPr>
          <w:rStyle w:val="Strong"/>
          <w:rFonts w:ascii="Verdana" w:hAnsi="Verdana" w:cs="Tahoma"/>
          <w:b w:val="0"/>
          <w:color w:val="000000"/>
          <w:shd w:val="clear" w:color="auto" w:fill="FFFFFF"/>
        </w:rPr>
        <w:t>antes de la desaparición de Claudina Velás</w:t>
      </w:r>
      <w:r w:rsidR="00986455">
        <w:rPr>
          <w:rStyle w:val="Strong"/>
          <w:rFonts w:ascii="Verdana" w:hAnsi="Verdana" w:cs="Tahoma"/>
          <w:b w:val="0"/>
          <w:color w:val="000000"/>
          <w:shd w:val="clear" w:color="auto" w:fill="FFFFFF"/>
        </w:rPr>
        <w:t>quez</w:t>
      </w:r>
      <w:r w:rsidR="008828EB">
        <w:rPr>
          <w:rStyle w:val="Strong"/>
          <w:rFonts w:ascii="Verdana" w:hAnsi="Verdana" w:cs="Tahoma"/>
          <w:b w:val="0"/>
          <w:color w:val="000000"/>
          <w:shd w:val="clear" w:color="auto" w:fill="FFFFFF"/>
        </w:rPr>
        <w:t>: deber general de prevenir el homicidio y las desapariciones de mujeres</w:t>
      </w:r>
      <w:r w:rsidR="00986455">
        <w:rPr>
          <w:rStyle w:val="Strong"/>
          <w:rFonts w:ascii="Verdana" w:hAnsi="Verdana" w:cs="Tahoma"/>
          <w:b w:val="0"/>
          <w:color w:val="000000"/>
          <w:shd w:val="clear" w:color="auto" w:fill="FFFFFF"/>
        </w:rPr>
        <w:t>)</w:t>
      </w:r>
      <w:r w:rsidR="008828EB">
        <w:rPr>
          <w:rStyle w:val="Strong"/>
          <w:rFonts w:ascii="Verdana" w:hAnsi="Verdana" w:cs="Tahoma"/>
          <w:b w:val="0"/>
          <w:color w:val="000000"/>
          <w:shd w:val="clear" w:color="auto" w:fill="FFFFFF"/>
        </w:rPr>
        <w:t>,</w:t>
      </w:r>
      <w:r w:rsidR="00986455">
        <w:rPr>
          <w:rStyle w:val="Strong"/>
          <w:rFonts w:ascii="Verdana" w:hAnsi="Verdana" w:cs="Tahoma"/>
          <w:b w:val="0"/>
          <w:color w:val="000000"/>
          <w:shd w:val="clear" w:color="auto" w:fill="FFFFFF"/>
        </w:rPr>
        <w:t xml:space="preserve"> y al </w:t>
      </w:r>
      <w:r w:rsidR="008828EB">
        <w:rPr>
          <w:rStyle w:val="Strong"/>
          <w:rFonts w:ascii="Verdana" w:hAnsi="Verdana" w:cs="Tahoma"/>
          <w:b w:val="0"/>
          <w:color w:val="000000"/>
          <w:shd w:val="clear" w:color="auto" w:fill="FFFFFF"/>
        </w:rPr>
        <w:t>“</w:t>
      </w:r>
      <w:r w:rsidR="00986455">
        <w:rPr>
          <w:rStyle w:val="Strong"/>
          <w:rFonts w:ascii="Verdana" w:hAnsi="Verdana" w:cs="Tahoma"/>
          <w:b w:val="0"/>
          <w:color w:val="000000"/>
          <w:shd w:val="clear" w:color="auto" w:fill="FFFFFF"/>
        </w:rPr>
        <w:t>segundo momento</w:t>
      </w:r>
      <w:r w:rsidR="008828EB">
        <w:rPr>
          <w:rStyle w:val="Strong"/>
          <w:rFonts w:ascii="Verdana" w:hAnsi="Verdana" w:cs="Tahoma"/>
          <w:b w:val="0"/>
          <w:color w:val="000000"/>
          <w:shd w:val="clear" w:color="auto" w:fill="FFFFFF"/>
        </w:rPr>
        <w:t>”</w:t>
      </w:r>
      <w:r w:rsidR="00986455">
        <w:rPr>
          <w:rStyle w:val="Strong"/>
          <w:rFonts w:ascii="Verdana" w:hAnsi="Verdana" w:cs="Tahoma"/>
          <w:b w:val="0"/>
          <w:color w:val="000000"/>
          <w:shd w:val="clear" w:color="auto" w:fill="FFFFFF"/>
        </w:rPr>
        <w:t xml:space="preserve"> (</w:t>
      </w:r>
      <w:r w:rsidR="00EB69FE" w:rsidRPr="00F9275D">
        <w:rPr>
          <w:rStyle w:val="Strong"/>
          <w:rFonts w:ascii="Verdana" w:hAnsi="Verdana" w:cs="Tahoma"/>
          <w:b w:val="0"/>
          <w:color w:val="000000"/>
          <w:shd w:val="clear" w:color="auto" w:fill="FFFFFF"/>
        </w:rPr>
        <w:t>antes de la localización de</w:t>
      </w:r>
      <w:r w:rsidR="008828EB">
        <w:rPr>
          <w:rStyle w:val="Strong"/>
          <w:rFonts w:ascii="Verdana" w:hAnsi="Verdana" w:cs="Tahoma"/>
          <w:b w:val="0"/>
          <w:color w:val="000000"/>
          <w:shd w:val="clear" w:color="auto" w:fill="FFFFFF"/>
        </w:rPr>
        <w:t>l cuerpo de Claudina Velásquez: deber específico de prevenir violaciones a los derechos a la integridad y vida de Claudina Velásquez”</w:t>
      </w:r>
      <w:r w:rsidR="00986455">
        <w:rPr>
          <w:rStyle w:val="Strong"/>
          <w:rFonts w:ascii="Verdana" w:hAnsi="Verdana" w:cs="Tahoma"/>
          <w:b w:val="0"/>
          <w:color w:val="000000"/>
          <w:shd w:val="clear" w:color="auto" w:fill="FFFFFF"/>
        </w:rPr>
        <w:t>)</w:t>
      </w:r>
      <w:r w:rsidR="008828EB">
        <w:rPr>
          <w:rStyle w:val="Strong"/>
          <w:rFonts w:ascii="Verdana" w:hAnsi="Verdana" w:cs="Tahoma"/>
          <w:b w:val="0"/>
          <w:color w:val="000000"/>
          <w:shd w:val="clear" w:color="auto" w:fill="FFFFFF"/>
        </w:rPr>
        <w:t>,</w:t>
      </w:r>
      <w:r w:rsidR="00EB69FE" w:rsidRPr="00F9275D">
        <w:rPr>
          <w:rStyle w:val="Strong"/>
          <w:rFonts w:ascii="Verdana" w:hAnsi="Verdana" w:cs="Tahoma"/>
          <w:b w:val="0"/>
          <w:color w:val="000000"/>
          <w:shd w:val="clear" w:color="auto" w:fill="FFFFFF"/>
        </w:rPr>
        <w:t xml:space="preserve"> para corroborar la existencia de responsabilidad </w:t>
      </w:r>
      <w:r w:rsidR="000D3CE1" w:rsidRPr="00F9275D">
        <w:rPr>
          <w:rStyle w:val="Strong"/>
          <w:rFonts w:ascii="Verdana" w:hAnsi="Verdana" w:cs="Tahoma"/>
          <w:b w:val="0"/>
          <w:color w:val="000000"/>
          <w:shd w:val="clear" w:color="auto" w:fill="FFFFFF"/>
        </w:rPr>
        <w:t xml:space="preserve">internacional </w:t>
      </w:r>
      <w:r w:rsidR="00EB69FE" w:rsidRPr="00F9275D">
        <w:rPr>
          <w:rStyle w:val="Strong"/>
          <w:rFonts w:ascii="Verdana" w:hAnsi="Verdana" w:cs="Tahoma"/>
          <w:b w:val="0"/>
          <w:color w:val="000000"/>
          <w:shd w:val="clear" w:color="auto" w:fill="FFFFFF"/>
        </w:rPr>
        <w:t>por parte de Guatemala</w:t>
      </w:r>
      <w:r w:rsidR="00950642" w:rsidRPr="00F9275D">
        <w:rPr>
          <w:rStyle w:val="FootnoteReference"/>
          <w:rFonts w:ascii="Verdana" w:hAnsi="Verdana" w:cs="Tahoma"/>
          <w:bCs/>
          <w:color w:val="000000"/>
          <w:shd w:val="clear" w:color="auto" w:fill="FFFFFF"/>
        </w:rPr>
        <w:footnoteReference w:id="71"/>
      </w:r>
      <w:r w:rsidR="00EB69FE" w:rsidRPr="00F9275D">
        <w:rPr>
          <w:rStyle w:val="Strong"/>
          <w:rFonts w:ascii="Verdana" w:hAnsi="Verdana" w:cs="Tahoma"/>
          <w:b w:val="0"/>
          <w:color w:val="000000"/>
          <w:shd w:val="clear" w:color="auto" w:fill="FFFFFF"/>
        </w:rPr>
        <w:t>.</w:t>
      </w:r>
    </w:p>
    <w:p w14:paraId="3221085B" w14:textId="77777777" w:rsidR="00950642" w:rsidRPr="00F9275D" w:rsidRDefault="00950642" w:rsidP="008C7F7F">
      <w:pPr>
        <w:pStyle w:val="FootnoteText"/>
        <w:jc w:val="both"/>
        <w:rPr>
          <w:rStyle w:val="Strong"/>
          <w:rFonts w:ascii="Verdana" w:hAnsi="Verdana" w:cs="Tahoma"/>
          <w:b w:val="0"/>
          <w:color w:val="000000"/>
          <w:shd w:val="clear" w:color="auto" w:fill="FFFFFF"/>
        </w:rPr>
      </w:pPr>
    </w:p>
    <w:p w14:paraId="3221085C" w14:textId="77777777" w:rsidR="008A752B"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41</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C05A69">
        <w:rPr>
          <w:rStyle w:val="Strong"/>
          <w:rFonts w:ascii="Verdana" w:hAnsi="Verdana" w:cs="Tahoma"/>
          <w:b w:val="0"/>
          <w:color w:val="000000"/>
          <w:shd w:val="clear" w:color="auto" w:fill="FFFFFF"/>
        </w:rPr>
        <w:t xml:space="preserve">En cuanto al </w:t>
      </w:r>
      <w:r w:rsidR="008828EB">
        <w:rPr>
          <w:rStyle w:val="Strong"/>
          <w:rFonts w:ascii="Verdana" w:hAnsi="Verdana" w:cs="Tahoma"/>
          <w:b w:val="0"/>
          <w:color w:val="000000"/>
          <w:shd w:val="clear" w:color="auto" w:fill="FFFFFF"/>
        </w:rPr>
        <w:t>“</w:t>
      </w:r>
      <w:r w:rsidR="00C05A69">
        <w:rPr>
          <w:rStyle w:val="Strong"/>
          <w:rFonts w:ascii="Verdana" w:hAnsi="Verdana" w:cs="Tahoma"/>
          <w:b w:val="0"/>
          <w:color w:val="000000"/>
          <w:shd w:val="clear" w:color="auto" w:fill="FFFFFF"/>
        </w:rPr>
        <w:t>primer momento</w:t>
      </w:r>
      <w:r w:rsidR="008828EB">
        <w:rPr>
          <w:rStyle w:val="Strong"/>
          <w:rFonts w:ascii="Verdana" w:hAnsi="Verdana" w:cs="Tahoma"/>
          <w:b w:val="0"/>
          <w:color w:val="000000"/>
          <w:shd w:val="clear" w:color="auto" w:fill="FFFFFF"/>
        </w:rPr>
        <w:t>”</w:t>
      </w:r>
      <w:r w:rsidR="00C05A69">
        <w:rPr>
          <w:rStyle w:val="Strong"/>
          <w:rFonts w:ascii="Verdana" w:hAnsi="Verdana" w:cs="Tahoma"/>
          <w:b w:val="0"/>
          <w:color w:val="000000"/>
          <w:shd w:val="clear" w:color="auto" w:fill="FFFFFF"/>
        </w:rPr>
        <w:t xml:space="preserve"> —</w:t>
      </w:r>
      <w:r w:rsidR="00950642" w:rsidRPr="00F9275D">
        <w:rPr>
          <w:rStyle w:val="Strong"/>
          <w:rFonts w:ascii="Verdana" w:hAnsi="Verdana" w:cs="Tahoma"/>
          <w:b w:val="0"/>
          <w:color w:val="000000"/>
          <w:shd w:val="clear" w:color="auto" w:fill="FFFFFF"/>
        </w:rPr>
        <w:t>antes de la desaparición de Claudina Velásquez</w:t>
      </w:r>
      <w:r w:rsidR="00C05A69">
        <w:rPr>
          <w:rStyle w:val="Strong"/>
          <w:rFonts w:ascii="Verdana" w:hAnsi="Verdana" w:cs="Tahoma"/>
          <w:b w:val="0"/>
          <w:color w:val="000000"/>
          <w:shd w:val="clear" w:color="auto" w:fill="FFFFFF"/>
        </w:rPr>
        <w:t>—</w:t>
      </w:r>
      <w:r w:rsidR="00950642" w:rsidRPr="00F9275D">
        <w:rPr>
          <w:rStyle w:val="Strong"/>
          <w:rFonts w:ascii="Verdana" w:hAnsi="Verdana" w:cs="Tahoma"/>
          <w:b w:val="0"/>
          <w:color w:val="000000"/>
          <w:shd w:val="clear" w:color="auto" w:fill="FFFFFF"/>
        </w:rPr>
        <w:t xml:space="preserve">, considero pertinente destacar el análisis de la Corte </w:t>
      </w:r>
      <w:r w:rsidR="00986455">
        <w:rPr>
          <w:rStyle w:val="Strong"/>
          <w:rFonts w:ascii="Verdana" w:hAnsi="Verdana" w:cs="Tahoma"/>
          <w:b w:val="0"/>
          <w:color w:val="000000"/>
          <w:shd w:val="clear" w:color="auto" w:fill="FFFFFF"/>
        </w:rPr>
        <w:t xml:space="preserve">IDH </w:t>
      </w:r>
      <w:r w:rsidR="00950642" w:rsidRPr="00F9275D">
        <w:rPr>
          <w:rStyle w:val="Strong"/>
          <w:rFonts w:ascii="Verdana" w:hAnsi="Verdana" w:cs="Tahoma"/>
          <w:b w:val="0"/>
          <w:color w:val="000000"/>
          <w:shd w:val="clear" w:color="auto" w:fill="FFFFFF"/>
        </w:rPr>
        <w:t xml:space="preserve">en cuanto a la existencia </w:t>
      </w:r>
      <w:r w:rsidR="00C63E07" w:rsidRPr="00F9275D">
        <w:rPr>
          <w:rStyle w:val="Strong"/>
          <w:rFonts w:ascii="Verdana" w:hAnsi="Verdana" w:cs="Tahoma"/>
          <w:b w:val="0"/>
          <w:color w:val="000000"/>
          <w:shd w:val="clear" w:color="auto" w:fill="FFFFFF"/>
        </w:rPr>
        <w:t xml:space="preserve">para 2001 </w:t>
      </w:r>
      <w:r w:rsidR="00950642" w:rsidRPr="00F9275D">
        <w:rPr>
          <w:rStyle w:val="Strong"/>
          <w:rFonts w:ascii="Verdana" w:hAnsi="Verdana" w:cs="Tahoma"/>
          <w:b w:val="0"/>
          <w:color w:val="000000"/>
          <w:shd w:val="clear" w:color="auto" w:fill="FFFFFF"/>
        </w:rPr>
        <w:t>de un</w:t>
      </w:r>
      <w:r w:rsidR="00C63E07" w:rsidRPr="00F9275D">
        <w:rPr>
          <w:rStyle w:val="Strong"/>
          <w:rFonts w:ascii="Verdana" w:hAnsi="Verdana" w:cs="Tahoma"/>
          <w:b w:val="0"/>
          <w:color w:val="000000"/>
          <w:shd w:val="clear" w:color="auto" w:fill="FFFFFF"/>
        </w:rPr>
        <w:t xml:space="preserve"> contexto de aumento de la violencia homicida contra las mujeres en Guatemala</w:t>
      </w:r>
      <w:r w:rsidR="00C63E07" w:rsidRPr="00F9275D">
        <w:rPr>
          <w:rStyle w:val="FootnoteReference"/>
          <w:rFonts w:ascii="Verdana" w:hAnsi="Verdana" w:cs="Tahoma"/>
          <w:bCs/>
          <w:color w:val="000000"/>
          <w:shd w:val="clear" w:color="auto" w:fill="FFFFFF"/>
        </w:rPr>
        <w:footnoteReference w:id="72"/>
      </w:r>
      <w:r w:rsidR="00C63E07" w:rsidRPr="00F9275D">
        <w:rPr>
          <w:rStyle w:val="Strong"/>
          <w:rFonts w:ascii="Verdana" w:hAnsi="Verdana" w:cs="Tahoma"/>
          <w:b w:val="0"/>
          <w:color w:val="000000"/>
          <w:shd w:val="clear" w:color="auto" w:fill="FFFFFF"/>
        </w:rPr>
        <w:t xml:space="preserve">, así como su posterior señalización </w:t>
      </w:r>
      <w:r w:rsidR="000D3CE1" w:rsidRPr="00F9275D">
        <w:rPr>
          <w:rStyle w:val="Strong"/>
          <w:rFonts w:ascii="Verdana" w:hAnsi="Verdana" w:cs="Tahoma"/>
          <w:b w:val="0"/>
          <w:color w:val="000000"/>
          <w:shd w:val="clear" w:color="auto" w:fill="FFFFFF"/>
        </w:rPr>
        <w:t xml:space="preserve">de </w:t>
      </w:r>
      <w:r w:rsidR="00C63E07" w:rsidRPr="00F9275D">
        <w:rPr>
          <w:rStyle w:val="Strong"/>
          <w:rFonts w:ascii="Verdana" w:hAnsi="Verdana" w:cs="Tahoma"/>
          <w:b w:val="0"/>
          <w:color w:val="000000"/>
          <w:shd w:val="clear" w:color="auto" w:fill="FFFFFF"/>
        </w:rPr>
        <w:t xml:space="preserve">las medidas tomadas por el Estado desde el caso </w:t>
      </w:r>
      <w:r w:rsidR="00C63E07" w:rsidRPr="00F9275D">
        <w:rPr>
          <w:rStyle w:val="Strong"/>
          <w:rFonts w:ascii="Verdana" w:hAnsi="Verdana" w:cs="Tahoma"/>
          <w:b w:val="0"/>
          <w:i/>
          <w:color w:val="000000"/>
          <w:shd w:val="clear" w:color="auto" w:fill="FFFFFF"/>
        </w:rPr>
        <w:t xml:space="preserve">Veliz Franco y otros Vs. Guatemala, </w:t>
      </w:r>
      <w:r w:rsidR="00C63E07" w:rsidRPr="00F9275D">
        <w:rPr>
          <w:rStyle w:val="Strong"/>
          <w:rFonts w:ascii="Verdana" w:hAnsi="Verdana" w:cs="Tahoma"/>
          <w:b w:val="0"/>
          <w:color w:val="000000"/>
          <w:shd w:val="clear" w:color="auto" w:fill="FFFFFF"/>
        </w:rPr>
        <w:t>y las medidas y mecanismos implementados por el Estado antes y después de los hechos del caso estudiado en la Sentencia</w:t>
      </w:r>
      <w:r w:rsidR="00D827A8" w:rsidRPr="00F9275D">
        <w:rPr>
          <w:rStyle w:val="FootnoteReference"/>
          <w:rFonts w:ascii="Verdana" w:hAnsi="Verdana" w:cs="Tahoma"/>
          <w:bCs/>
          <w:color w:val="000000"/>
          <w:shd w:val="clear" w:color="auto" w:fill="FFFFFF"/>
        </w:rPr>
        <w:footnoteReference w:id="73"/>
      </w:r>
      <w:r w:rsidR="00986455">
        <w:rPr>
          <w:rStyle w:val="Strong"/>
          <w:rFonts w:ascii="Verdana" w:hAnsi="Verdana" w:cs="Tahoma"/>
          <w:b w:val="0"/>
          <w:color w:val="000000"/>
          <w:shd w:val="clear" w:color="auto" w:fill="FFFFFF"/>
        </w:rPr>
        <w:t>;</w:t>
      </w:r>
      <w:r w:rsidR="00C63E07" w:rsidRPr="00F9275D">
        <w:rPr>
          <w:rStyle w:val="Strong"/>
          <w:rFonts w:ascii="Verdana" w:hAnsi="Verdana" w:cs="Tahoma"/>
          <w:b w:val="0"/>
          <w:color w:val="000000"/>
          <w:shd w:val="clear" w:color="auto" w:fill="FFFFFF"/>
        </w:rPr>
        <w:t xml:space="preserve"> y su confrontación con informes de organismos u organizaciones internacionales y nacionales que criticaban la efectividad de tales medidas e instituciones</w:t>
      </w:r>
      <w:r w:rsidR="00C63E07" w:rsidRPr="00F9275D">
        <w:rPr>
          <w:rStyle w:val="FootnoteReference"/>
          <w:rFonts w:ascii="Verdana" w:hAnsi="Verdana" w:cs="Tahoma"/>
          <w:bCs/>
          <w:color w:val="000000"/>
          <w:shd w:val="clear" w:color="auto" w:fill="FFFFFF"/>
        </w:rPr>
        <w:footnoteReference w:id="74"/>
      </w:r>
      <w:r w:rsidR="008A752B" w:rsidRPr="00F9275D">
        <w:rPr>
          <w:rStyle w:val="Strong"/>
          <w:rFonts w:ascii="Verdana" w:hAnsi="Verdana" w:cs="Tahoma"/>
          <w:b w:val="0"/>
          <w:color w:val="000000"/>
          <w:shd w:val="clear" w:color="auto" w:fill="FFFFFF"/>
        </w:rPr>
        <w:t xml:space="preserve">, reconociendo la iniciativa estatal de implementación de </w:t>
      </w:r>
      <w:r w:rsidR="008A752B" w:rsidRPr="00F9275D">
        <w:rPr>
          <w:rStyle w:val="Strong"/>
          <w:rFonts w:ascii="Verdana" w:hAnsi="Verdana" w:cs="Tahoma"/>
          <w:b w:val="0"/>
          <w:color w:val="000000"/>
          <w:shd w:val="clear" w:color="auto" w:fill="FFFFFF"/>
        </w:rPr>
        <w:lastRenderedPageBreak/>
        <w:t>“acciones dirigidas a abordar la problemática de la violencia contra las mujeres” pero evidenciando la insuficiencia de tales medidas</w:t>
      </w:r>
      <w:r w:rsidR="008A752B" w:rsidRPr="00F9275D">
        <w:rPr>
          <w:rStyle w:val="FootnoteReference"/>
          <w:rFonts w:ascii="Verdana" w:hAnsi="Verdana" w:cs="Tahoma"/>
          <w:bCs/>
          <w:color w:val="000000"/>
          <w:shd w:val="clear" w:color="auto" w:fill="FFFFFF"/>
        </w:rPr>
        <w:footnoteReference w:id="75"/>
      </w:r>
      <w:r w:rsidR="008A752B" w:rsidRPr="00F9275D">
        <w:rPr>
          <w:rStyle w:val="Strong"/>
          <w:rFonts w:ascii="Verdana" w:hAnsi="Verdana" w:cs="Tahoma"/>
          <w:b w:val="0"/>
          <w:color w:val="000000"/>
          <w:shd w:val="clear" w:color="auto" w:fill="FFFFFF"/>
        </w:rPr>
        <w:t>.</w:t>
      </w:r>
      <w:r w:rsidR="00853EB1" w:rsidRPr="00F9275D">
        <w:rPr>
          <w:rStyle w:val="Strong"/>
          <w:rFonts w:ascii="Verdana" w:hAnsi="Verdana" w:cs="Tahoma"/>
          <w:b w:val="0"/>
          <w:color w:val="000000"/>
          <w:shd w:val="clear" w:color="auto" w:fill="FFFFFF"/>
        </w:rPr>
        <w:t xml:space="preserve"> Al respecto, </w:t>
      </w:r>
      <w:r w:rsidR="00986455">
        <w:rPr>
          <w:rStyle w:val="Strong"/>
          <w:rFonts w:ascii="Verdana" w:hAnsi="Verdana" w:cs="Tahoma"/>
          <w:b w:val="0"/>
          <w:color w:val="000000"/>
          <w:shd w:val="clear" w:color="auto" w:fill="FFFFFF"/>
        </w:rPr>
        <w:t xml:space="preserve">debo destacar que </w:t>
      </w:r>
      <w:r w:rsidR="00853EB1" w:rsidRPr="00F9275D">
        <w:rPr>
          <w:rStyle w:val="Strong"/>
          <w:rFonts w:ascii="Verdana" w:hAnsi="Verdana" w:cs="Tahoma"/>
          <w:b w:val="0"/>
          <w:color w:val="000000"/>
          <w:shd w:val="clear" w:color="auto" w:fill="FFFFFF"/>
        </w:rPr>
        <w:t xml:space="preserve">el análisis de dicho </w:t>
      </w:r>
      <w:r w:rsidR="00986455">
        <w:rPr>
          <w:rStyle w:val="Strong"/>
          <w:rFonts w:ascii="Verdana" w:hAnsi="Verdana" w:cs="Tahoma"/>
          <w:b w:val="0"/>
          <w:color w:val="000000"/>
          <w:shd w:val="clear" w:color="auto" w:fill="FFFFFF"/>
        </w:rPr>
        <w:t xml:space="preserve">“primer </w:t>
      </w:r>
      <w:r w:rsidR="00853EB1" w:rsidRPr="00F9275D">
        <w:rPr>
          <w:rStyle w:val="Strong"/>
          <w:rFonts w:ascii="Verdana" w:hAnsi="Verdana" w:cs="Tahoma"/>
          <w:b w:val="0"/>
          <w:color w:val="000000"/>
          <w:shd w:val="clear" w:color="auto" w:fill="FFFFFF"/>
        </w:rPr>
        <w:t>momento</w:t>
      </w:r>
      <w:r w:rsidR="00986455">
        <w:rPr>
          <w:rStyle w:val="Strong"/>
          <w:rFonts w:ascii="Verdana" w:hAnsi="Verdana" w:cs="Tahoma"/>
          <w:b w:val="0"/>
          <w:color w:val="000000"/>
          <w:shd w:val="clear" w:color="auto" w:fill="FFFFFF"/>
        </w:rPr>
        <w:t>”</w:t>
      </w:r>
      <w:r w:rsidR="00853EB1" w:rsidRPr="00F9275D">
        <w:rPr>
          <w:rStyle w:val="Strong"/>
          <w:rFonts w:ascii="Verdana" w:hAnsi="Verdana" w:cs="Tahoma"/>
          <w:b w:val="0"/>
          <w:color w:val="000000"/>
          <w:shd w:val="clear" w:color="auto" w:fill="FFFFFF"/>
        </w:rPr>
        <w:t xml:space="preserve"> no concluye con pronunciamiento alguno </w:t>
      </w:r>
      <w:r w:rsidR="00986455">
        <w:rPr>
          <w:rStyle w:val="Strong"/>
          <w:rFonts w:ascii="Verdana" w:hAnsi="Verdana" w:cs="Tahoma"/>
          <w:b w:val="0"/>
          <w:color w:val="000000"/>
          <w:shd w:val="clear" w:color="auto" w:fill="FFFFFF"/>
        </w:rPr>
        <w:t xml:space="preserve">por parte </w:t>
      </w:r>
      <w:r w:rsidR="00853EB1" w:rsidRPr="00F9275D">
        <w:rPr>
          <w:rStyle w:val="Strong"/>
          <w:rFonts w:ascii="Verdana" w:hAnsi="Verdana" w:cs="Tahoma"/>
          <w:b w:val="0"/>
          <w:color w:val="000000"/>
          <w:shd w:val="clear" w:color="auto" w:fill="FFFFFF"/>
        </w:rPr>
        <w:t>de la Corte</w:t>
      </w:r>
      <w:r w:rsidR="00986455">
        <w:rPr>
          <w:rStyle w:val="Strong"/>
          <w:rFonts w:ascii="Verdana" w:hAnsi="Verdana" w:cs="Tahoma"/>
          <w:b w:val="0"/>
          <w:color w:val="000000"/>
          <w:shd w:val="clear" w:color="auto" w:fill="FFFFFF"/>
        </w:rPr>
        <w:t xml:space="preserve"> IDH</w:t>
      </w:r>
      <w:r w:rsidR="00853EB1" w:rsidRPr="00F9275D">
        <w:rPr>
          <w:rStyle w:val="Strong"/>
          <w:rFonts w:ascii="Verdana" w:hAnsi="Verdana" w:cs="Tahoma"/>
          <w:b w:val="0"/>
          <w:color w:val="000000"/>
          <w:shd w:val="clear" w:color="auto" w:fill="FFFFFF"/>
        </w:rPr>
        <w:t xml:space="preserve">, lo que estimo </w:t>
      </w:r>
      <w:r w:rsidR="00986455">
        <w:rPr>
          <w:rStyle w:val="Strong"/>
          <w:rFonts w:ascii="Verdana" w:hAnsi="Verdana" w:cs="Tahoma"/>
          <w:b w:val="0"/>
          <w:color w:val="000000"/>
          <w:shd w:val="clear" w:color="auto" w:fill="FFFFFF"/>
        </w:rPr>
        <w:t>debió ocurrir por su importancia y especiales</w:t>
      </w:r>
      <w:r w:rsidR="00266157" w:rsidRPr="00F9275D">
        <w:rPr>
          <w:rStyle w:val="Strong"/>
          <w:rFonts w:ascii="Verdana" w:hAnsi="Verdana" w:cs="Tahoma"/>
          <w:b w:val="0"/>
          <w:color w:val="000000"/>
          <w:shd w:val="clear" w:color="auto" w:fill="FFFFFF"/>
        </w:rPr>
        <w:t xml:space="preserve"> consecuencias en el m</w:t>
      </w:r>
      <w:r w:rsidR="00986455">
        <w:rPr>
          <w:rStyle w:val="Strong"/>
          <w:rFonts w:ascii="Verdana" w:hAnsi="Verdana" w:cs="Tahoma"/>
          <w:b w:val="0"/>
          <w:color w:val="000000"/>
          <w:shd w:val="clear" w:color="auto" w:fill="FFFFFF"/>
        </w:rPr>
        <w:t>omento posterior (“segundo momento”).</w:t>
      </w:r>
    </w:p>
    <w:p w14:paraId="3221085D" w14:textId="77777777" w:rsidR="00266157" w:rsidRPr="00F9275D" w:rsidRDefault="00266157" w:rsidP="008C7F7F">
      <w:pPr>
        <w:pStyle w:val="FootnoteText"/>
        <w:jc w:val="both"/>
        <w:rPr>
          <w:rStyle w:val="Strong"/>
          <w:rFonts w:ascii="Verdana" w:hAnsi="Verdana" w:cs="Tahoma"/>
          <w:b w:val="0"/>
          <w:color w:val="000000"/>
          <w:shd w:val="clear" w:color="auto" w:fill="FFFFFF"/>
        </w:rPr>
      </w:pPr>
    </w:p>
    <w:p w14:paraId="3221085E" w14:textId="32534086" w:rsidR="00C57B1A"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42</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C10D5C" w:rsidRPr="00F9275D">
        <w:rPr>
          <w:rStyle w:val="Strong"/>
          <w:rFonts w:ascii="Verdana" w:hAnsi="Verdana" w:cs="Tahoma"/>
          <w:b w:val="0"/>
          <w:color w:val="000000"/>
          <w:shd w:val="clear" w:color="auto" w:fill="FFFFFF"/>
        </w:rPr>
        <w:t>E</w:t>
      </w:r>
      <w:r w:rsidR="008A752B" w:rsidRPr="00F9275D">
        <w:rPr>
          <w:rStyle w:val="Strong"/>
          <w:rFonts w:ascii="Verdana" w:hAnsi="Verdana" w:cs="Tahoma"/>
          <w:b w:val="0"/>
          <w:color w:val="000000"/>
          <w:shd w:val="clear" w:color="auto" w:fill="FFFFFF"/>
        </w:rPr>
        <w:t xml:space="preserve">n el estudio del </w:t>
      </w:r>
      <w:r w:rsidR="00986455">
        <w:rPr>
          <w:rStyle w:val="Strong"/>
          <w:rFonts w:ascii="Verdana" w:hAnsi="Verdana" w:cs="Tahoma"/>
          <w:b w:val="0"/>
          <w:color w:val="000000"/>
          <w:shd w:val="clear" w:color="auto" w:fill="FFFFFF"/>
        </w:rPr>
        <w:t>“</w:t>
      </w:r>
      <w:r w:rsidR="008A752B" w:rsidRPr="00F9275D">
        <w:rPr>
          <w:rStyle w:val="Strong"/>
          <w:rFonts w:ascii="Verdana" w:hAnsi="Verdana" w:cs="Tahoma"/>
          <w:b w:val="0"/>
          <w:color w:val="000000"/>
          <w:shd w:val="clear" w:color="auto" w:fill="FFFFFF"/>
        </w:rPr>
        <w:t>segundo momento</w:t>
      </w:r>
      <w:r w:rsidR="00986455">
        <w:rPr>
          <w:rStyle w:val="Strong"/>
          <w:rFonts w:ascii="Verdana" w:hAnsi="Verdana" w:cs="Tahoma"/>
          <w:b w:val="0"/>
          <w:color w:val="000000"/>
          <w:shd w:val="clear" w:color="auto" w:fill="FFFFFF"/>
        </w:rPr>
        <w:t>” —</w:t>
      </w:r>
      <w:r w:rsidR="008A752B" w:rsidRPr="00F9275D">
        <w:rPr>
          <w:rStyle w:val="Strong"/>
          <w:rFonts w:ascii="Verdana" w:hAnsi="Verdana" w:cs="Tahoma"/>
          <w:b w:val="0"/>
          <w:color w:val="000000"/>
          <w:shd w:val="clear" w:color="auto" w:fill="FFFFFF"/>
        </w:rPr>
        <w:t>antes de la localización del cuerpo de Claudina Velásquez</w:t>
      </w:r>
      <w:r w:rsidR="00986455">
        <w:rPr>
          <w:rStyle w:val="Strong"/>
          <w:rFonts w:ascii="Verdana" w:hAnsi="Verdana" w:cs="Tahoma"/>
          <w:b w:val="0"/>
          <w:color w:val="000000"/>
          <w:shd w:val="clear" w:color="auto" w:fill="FFFFFF"/>
        </w:rPr>
        <w:t>—</w:t>
      </w:r>
      <w:r w:rsidR="00C10D5C" w:rsidRPr="00F9275D">
        <w:rPr>
          <w:rStyle w:val="Strong"/>
          <w:rFonts w:ascii="Verdana" w:hAnsi="Verdana" w:cs="Tahoma"/>
          <w:b w:val="0"/>
          <w:color w:val="000000"/>
          <w:shd w:val="clear" w:color="auto" w:fill="FFFFFF"/>
        </w:rPr>
        <w:t xml:space="preserve"> la Corte </w:t>
      </w:r>
      <w:r w:rsidR="00986455">
        <w:rPr>
          <w:rStyle w:val="Strong"/>
          <w:rFonts w:ascii="Verdana" w:hAnsi="Verdana" w:cs="Tahoma"/>
          <w:b w:val="0"/>
          <w:color w:val="000000"/>
          <w:shd w:val="clear" w:color="auto" w:fill="FFFFFF"/>
        </w:rPr>
        <w:t xml:space="preserve">IDH </w:t>
      </w:r>
      <w:r w:rsidR="00C10D5C" w:rsidRPr="00F9275D">
        <w:rPr>
          <w:rStyle w:val="Strong"/>
          <w:rFonts w:ascii="Verdana" w:hAnsi="Verdana" w:cs="Tahoma"/>
          <w:b w:val="0"/>
          <w:color w:val="000000"/>
          <w:shd w:val="clear" w:color="auto" w:fill="FFFFFF"/>
        </w:rPr>
        <w:t>analizó</w:t>
      </w:r>
      <w:r w:rsidR="00986455">
        <w:rPr>
          <w:rStyle w:val="Strong"/>
          <w:rFonts w:ascii="Verdana" w:hAnsi="Verdana" w:cs="Tahoma"/>
          <w:b w:val="0"/>
          <w:color w:val="000000"/>
          <w:shd w:val="clear" w:color="auto" w:fill="FFFFFF"/>
        </w:rPr>
        <w:t>,</w:t>
      </w:r>
      <w:r w:rsidR="00C10D5C" w:rsidRPr="00F9275D">
        <w:rPr>
          <w:rStyle w:val="Strong"/>
          <w:rFonts w:ascii="Verdana" w:hAnsi="Verdana" w:cs="Tahoma"/>
          <w:b w:val="0"/>
          <w:color w:val="000000"/>
          <w:shd w:val="clear" w:color="auto" w:fill="FFFFFF"/>
        </w:rPr>
        <w:t xml:space="preserve"> por un lado, el momento en “que las autoridades estatales sabían o debían haber sabido de la existencia de un riesgo real e inmediato para la vida </w:t>
      </w:r>
      <w:r w:rsidR="00AA5F75">
        <w:rPr>
          <w:rStyle w:val="Strong"/>
          <w:rFonts w:ascii="Verdana" w:hAnsi="Verdana" w:cs="Tahoma"/>
          <w:b w:val="0"/>
          <w:color w:val="000000"/>
          <w:shd w:val="clear" w:color="auto" w:fill="FFFFFF"/>
        </w:rPr>
        <w:t>e</w:t>
      </w:r>
      <w:r w:rsidR="00C10D5C" w:rsidRPr="00F9275D">
        <w:rPr>
          <w:rStyle w:val="Strong"/>
          <w:rFonts w:ascii="Verdana" w:hAnsi="Verdana" w:cs="Tahoma"/>
          <w:b w:val="0"/>
          <w:color w:val="000000"/>
          <w:shd w:val="clear" w:color="auto" w:fill="FFFFFF"/>
        </w:rPr>
        <w:t xml:space="preserve"> integridad de Claudina Velásquez” determinando el momento</w:t>
      </w:r>
      <w:r w:rsidR="00986455">
        <w:rPr>
          <w:rStyle w:val="Strong"/>
          <w:rFonts w:ascii="Verdana" w:hAnsi="Verdana" w:cs="Tahoma"/>
          <w:b w:val="0"/>
          <w:color w:val="000000"/>
          <w:shd w:val="clear" w:color="auto" w:fill="FFFFFF"/>
        </w:rPr>
        <w:t xml:space="preserve"> de la recepción </w:t>
      </w:r>
      <w:r w:rsidR="007106FC">
        <w:rPr>
          <w:rStyle w:val="Strong"/>
          <w:rFonts w:ascii="Verdana" w:hAnsi="Verdana" w:cs="Tahoma"/>
          <w:b w:val="0"/>
          <w:color w:val="000000"/>
          <w:shd w:val="clear" w:color="auto" w:fill="FFFFFF"/>
        </w:rPr>
        <w:t xml:space="preserve">por las autoridades </w:t>
      </w:r>
      <w:r w:rsidR="00986455">
        <w:rPr>
          <w:rStyle w:val="Strong"/>
          <w:rFonts w:ascii="Verdana" w:hAnsi="Verdana" w:cs="Tahoma"/>
          <w:b w:val="0"/>
          <w:color w:val="000000"/>
          <w:shd w:val="clear" w:color="auto" w:fill="FFFFFF"/>
        </w:rPr>
        <w:t xml:space="preserve">de la llamada </w:t>
      </w:r>
      <w:r w:rsidR="007106FC">
        <w:rPr>
          <w:rStyle w:val="Strong"/>
          <w:rFonts w:ascii="Verdana" w:hAnsi="Verdana" w:cs="Tahoma"/>
          <w:b w:val="0"/>
          <w:color w:val="000000"/>
          <w:shd w:val="clear" w:color="auto" w:fill="FFFFFF"/>
        </w:rPr>
        <w:t>de los padres</w:t>
      </w:r>
      <w:r w:rsidR="00C10D5C" w:rsidRPr="00F9275D">
        <w:rPr>
          <w:rStyle w:val="Strong"/>
          <w:rFonts w:ascii="Verdana" w:hAnsi="Verdana" w:cs="Tahoma"/>
          <w:b w:val="0"/>
          <w:color w:val="000000"/>
          <w:shd w:val="clear" w:color="auto" w:fill="FFFFFF"/>
        </w:rPr>
        <w:t xml:space="preserve"> </w:t>
      </w:r>
      <w:r w:rsidR="007106FC">
        <w:rPr>
          <w:rStyle w:val="Strong"/>
          <w:rFonts w:ascii="Verdana" w:hAnsi="Verdana" w:cs="Tahoma"/>
          <w:b w:val="0"/>
          <w:color w:val="000000"/>
          <w:shd w:val="clear" w:color="auto" w:fill="FFFFFF"/>
        </w:rPr>
        <w:t>de la víctima</w:t>
      </w:r>
      <w:r w:rsidR="00C10D5C" w:rsidRPr="00F9275D">
        <w:rPr>
          <w:rStyle w:val="FootnoteReference"/>
          <w:rFonts w:ascii="Verdana" w:hAnsi="Verdana" w:cs="Tahoma"/>
          <w:bCs/>
          <w:color w:val="000000"/>
          <w:shd w:val="clear" w:color="auto" w:fill="FFFFFF"/>
        </w:rPr>
        <w:footnoteReference w:id="76"/>
      </w:r>
      <w:r w:rsidR="007106FC">
        <w:rPr>
          <w:rStyle w:val="Strong"/>
          <w:rFonts w:ascii="Verdana" w:hAnsi="Verdana" w:cs="Tahoma"/>
          <w:b w:val="0"/>
          <w:color w:val="000000"/>
          <w:shd w:val="clear" w:color="auto" w:fill="FFFFFF"/>
        </w:rPr>
        <w:t>;</w:t>
      </w:r>
      <w:r w:rsidR="00C10D5C" w:rsidRPr="00F9275D">
        <w:rPr>
          <w:rStyle w:val="Strong"/>
          <w:rFonts w:ascii="Verdana" w:hAnsi="Verdana" w:cs="Tahoma"/>
          <w:b w:val="0"/>
          <w:color w:val="000000"/>
          <w:shd w:val="clear" w:color="auto" w:fill="FFFFFF"/>
        </w:rPr>
        <w:t xml:space="preserve"> y</w:t>
      </w:r>
      <w:r w:rsidR="007106FC">
        <w:rPr>
          <w:rStyle w:val="Strong"/>
          <w:rFonts w:ascii="Verdana" w:hAnsi="Verdana" w:cs="Tahoma"/>
          <w:b w:val="0"/>
          <w:color w:val="000000"/>
          <w:shd w:val="clear" w:color="auto" w:fill="FFFFFF"/>
        </w:rPr>
        <w:t>,</w:t>
      </w:r>
      <w:r w:rsidR="00C10D5C" w:rsidRPr="00F9275D">
        <w:rPr>
          <w:rStyle w:val="Strong"/>
          <w:rFonts w:ascii="Verdana" w:hAnsi="Verdana" w:cs="Tahoma"/>
          <w:b w:val="0"/>
          <w:color w:val="000000"/>
          <w:shd w:val="clear" w:color="auto" w:fill="FFFFFF"/>
        </w:rPr>
        <w:t xml:space="preserve"> por otro lado, “las acciones tomadas por las autoridades guatemaltecas frente al contexto conocido</w:t>
      </w:r>
      <w:r w:rsidR="00BD0C8C" w:rsidRPr="00F9275D">
        <w:rPr>
          <w:rStyle w:val="Strong"/>
          <w:rFonts w:ascii="Verdana" w:hAnsi="Verdana" w:cs="Tahoma"/>
          <w:b w:val="0"/>
          <w:color w:val="000000"/>
          <w:shd w:val="clear" w:color="auto" w:fill="FFFFFF"/>
        </w:rPr>
        <w:t xml:space="preserve"> y la naturaleza del riesgo denunciado, [así como si aquéllas </w:t>
      </w:r>
      <w:r w:rsidR="00057ED3" w:rsidRPr="00F9275D">
        <w:rPr>
          <w:rStyle w:val="Strong"/>
          <w:rFonts w:ascii="Verdana" w:hAnsi="Verdana" w:cs="Tahoma"/>
          <w:b w:val="0"/>
          <w:color w:val="000000"/>
          <w:shd w:val="clear" w:color="auto" w:fill="FFFFFF"/>
        </w:rPr>
        <w:t>habían adoptado]</w:t>
      </w:r>
      <w:r w:rsidR="00BD0C8C" w:rsidRPr="00F9275D">
        <w:rPr>
          <w:rStyle w:val="Strong"/>
          <w:rFonts w:ascii="Verdana" w:hAnsi="Verdana" w:cs="Tahoma"/>
          <w:b w:val="0"/>
          <w:color w:val="000000"/>
          <w:shd w:val="clear" w:color="auto" w:fill="FFFFFF"/>
        </w:rPr>
        <w:t xml:space="preserve"> oportunamente las medidas necesarias dentro del ámbito de sus atribuciones” para prevenir o evitar ese riesgo</w:t>
      </w:r>
      <w:r w:rsidR="00BD0C8C" w:rsidRPr="00F9275D">
        <w:rPr>
          <w:rStyle w:val="FootnoteReference"/>
          <w:rFonts w:ascii="Verdana" w:hAnsi="Verdana" w:cs="Tahoma"/>
          <w:bCs/>
          <w:color w:val="000000"/>
          <w:shd w:val="clear" w:color="auto" w:fill="FFFFFF"/>
        </w:rPr>
        <w:footnoteReference w:id="77"/>
      </w:r>
      <w:r w:rsidR="00057ED3" w:rsidRPr="00F9275D">
        <w:rPr>
          <w:rStyle w:val="Strong"/>
          <w:rFonts w:ascii="Verdana" w:hAnsi="Verdana" w:cs="Tahoma"/>
          <w:b w:val="0"/>
          <w:color w:val="000000"/>
          <w:shd w:val="clear" w:color="auto" w:fill="FFFFFF"/>
        </w:rPr>
        <w:t xml:space="preserve">. </w:t>
      </w:r>
    </w:p>
    <w:p w14:paraId="3221085F" w14:textId="77777777" w:rsidR="00C57B1A" w:rsidRDefault="00C57B1A" w:rsidP="00C57B1A">
      <w:pPr>
        <w:pStyle w:val="FootnoteText"/>
        <w:jc w:val="both"/>
        <w:rPr>
          <w:rStyle w:val="Strong"/>
          <w:rFonts w:ascii="Verdana" w:hAnsi="Verdana" w:cs="Tahoma"/>
          <w:b w:val="0"/>
          <w:color w:val="000000"/>
          <w:shd w:val="clear" w:color="auto" w:fill="FFFFFF"/>
        </w:rPr>
      </w:pPr>
    </w:p>
    <w:p w14:paraId="32210860" w14:textId="15A1A16C" w:rsidR="000D5AC0"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43</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057ED3" w:rsidRPr="00F9275D">
        <w:rPr>
          <w:rStyle w:val="Strong"/>
          <w:rFonts w:ascii="Verdana" w:hAnsi="Verdana" w:cs="Tahoma"/>
          <w:b w:val="0"/>
          <w:color w:val="000000"/>
          <w:shd w:val="clear" w:color="auto" w:fill="FFFFFF"/>
        </w:rPr>
        <w:t>Al respecto,</w:t>
      </w:r>
      <w:r w:rsidR="00BD0C8C" w:rsidRPr="00F9275D">
        <w:rPr>
          <w:rStyle w:val="Strong"/>
          <w:rFonts w:ascii="Verdana" w:hAnsi="Verdana" w:cs="Tahoma"/>
          <w:b w:val="0"/>
          <w:color w:val="000000"/>
          <w:shd w:val="clear" w:color="auto" w:fill="FFFFFF"/>
        </w:rPr>
        <w:t xml:space="preserve"> </w:t>
      </w:r>
      <w:r w:rsidR="00057ED3" w:rsidRPr="00F9275D">
        <w:rPr>
          <w:rStyle w:val="Strong"/>
          <w:rFonts w:ascii="Verdana" w:hAnsi="Verdana" w:cs="Tahoma"/>
          <w:b w:val="0"/>
          <w:color w:val="000000"/>
          <w:shd w:val="clear" w:color="auto" w:fill="FFFFFF"/>
        </w:rPr>
        <w:t>y después de un análisis de los hechos ya descritos en la Sentencia, determinó</w:t>
      </w:r>
      <w:r w:rsidR="00BD0C8C" w:rsidRPr="00F9275D">
        <w:rPr>
          <w:rStyle w:val="Strong"/>
          <w:rFonts w:ascii="Verdana" w:hAnsi="Verdana" w:cs="Tahoma"/>
          <w:b w:val="0"/>
          <w:color w:val="000000"/>
          <w:shd w:val="clear" w:color="auto" w:fill="FFFFFF"/>
        </w:rPr>
        <w:t xml:space="preserve"> que la respuesta de las autoridades había sido “claramente insuficiente frente a la posibilidad de que peligraba la integridad personal y vida” de la víctima</w:t>
      </w:r>
      <w:r w:rsidR="00BD0C8C" w:rsidRPr="00F9275D">
        <w:rPr>
          <w:rStyle w:val="FootnoteReference"/>
          <w:rFonts w:ascii="Verdana" w:hAnsi="Verdana" w:cs="Tahoma"/>
          <w:bCs/>
          <w:color w:val="000000"/>
          <w:shd w:val="clear" w:color="auto" w:fill="FFFFFF"/>
        </w:rPr>
        <w:footnoteReference w:id="78"/>
      </w:r>
      <w:r w:rsidR="00BD0C8C" w:rsidRPr="00F9275D">
        <w:rPr>
          <w:rStyle w:val="Strong"/>
          <w:rFonts w:ascii="Verdana" w:hAnsi="Verdana" w:cs="Tahoma"/>
          <w:b w:val="0"/>
          <w:color w:val="000000"/>
          <w:shd w:val="clear" w:color="auto" w:fill="FFFFFF"/>
        </w:rPr>
        <w:t xml:space="preserve">, así como </w:t>
      </w:r>
      <w:r w:rsidR="00BD0C8C" w:rsidRPr="00F9275D">
        <w:rPr>
          <w:rStyle w:val="Strong"/>
          <w:rFonts w:ascii="Verdana" w:hAnsi="Verdana" w:cs="Tahoma"/>
          <w:b w:val="0"/>
          <w:color w:val="000000"/>
          <w:u w:val="single"/>
          <w:shd w:val="clear" w:color="auto" w:fill="FFFFFF"/>
        </w:rPr>
        <w:t>la falta de claridad en la normativa sobre el momento apto para interponer una denuncia</w:t>
      </w:r>
      <w:r w:rsidR="00BD0C8C" w:rsidRPr="00F9275D">
        <w:rPr>
          <w:rStyle w:val="FootnoteReference"/>
          <w:rFonts w:ascii="Verdana" w:hAnsi="Verdana" w:cs="Tahoma"/>
          <w:bCs/>
          <w:color w:val="000000"/>
          <w:shd w:val="clear" w:color="auto" w:fill="FFFFFF"/>
        </w:rPr>
        <w:footnoteReference w:id="79"/>
      </w:r>
      <w:r w:rsidR="00697825">
        <w:rPr>
          <w:rStyle w:val="Strong"/>
          <w:rFonts w:ascii="Verdana" w:hAnsi="Verdana" w:cs="Tahoma"/>
          <w:b w:val="0"/>
          <w:color w:val="000000"/>
          <w:shd w:val="clear" w:color="auto" w:fill="FFFFFF"/>
        </w:rPr>
        <w:t>;</w:t>
      </w:r>
      <w:r w:rsidR="00BD0C8C" w:rsidRPr="00F9275D">
        <w:rPr>
          <w:rStyle w:val="Strong"/>
          <w:rFonts w:ascii="Verdana" w:hAnsi="Verdana" w:cs="Tahoma"/>
          <w:b w:val="0"/>
          <w:color w:val="000000"/>
          <w:shd w:val="clear" w:color="auto" w:fill="FFFFFF"/>
        </w:rPr>
        <w:t xml:space="preserve"> considerando que el actuar de las autoridades no había involucrado la adopción de medidas necesarias</w:t>
      </w:r>
      <w:r w:rsidR="002B521E">
        <w:rPr>
          <w:rStyle w:val="Strong"/>
          <w:rFonts w:ascii="Verdana" w:hAnsi="Verdana" w:cs="Tahoma"/>
          <w:b w:val="0"/>
          <w:color w:val="000000"/>
          <w:shd w:val="clear" w:color="auto" w:fill="FFFFFF"/>
        </w:rPr>
        <w:t xml:space="preserve"> </w:t>
      </w:r>
      <w:r w:rsidR="00BD0C8C" w:rsidRPr="00F9275D">
        <w:rPr>
          <w:rStyle w:val="Strong"/>
          <w:rFonts w:ascii="Verdana" w:hAnsi="Verdana" w:cs="Tahoma"/>
          <w:b w:val="0"/>
          <w:color w:val="000000"/>
          <w:shd w:val="clear" w:color="auto" w:fill="FFFFFF"/>
        </w:rPr>
        <w:t>para prevenir o evitar el riesgo denunciado por las víctimas</w:t>
      </w:r>
      <w:r w:rsidR="00BD0C8C" w:rsidRPr="00F9275D">
        <w:rPr>
          <w:rStyle w:val="FootnoteReference"/>
          <w:rFonts w:ascii="Verdana" w:hAnsi="Verdana" w:cs="Tahoma"/>
          <w:bCs/>
          <w:color w:val="000000"/>
          <w:shd w:val="clear" w:color="auto" w:fill="FFFFFF"/>
        </w:rPr>
        <w:footnoteReference w:id="80"/>
      </w:r>
      <w:r w:rsidR="00E511AF" w:rsidRPr="00F9275D">
        <w:rPr>
          <w:rStyle w:val="Strong"/>
          <w:rFonts w:ascii="Verdana" w:hAnsi="Verdana" w:cs="Tahoma"/>
          <w:b w:val="0"/>
          <w:color w:val="000000"/>
          <w:shd w:val="clear" w:color="auto" w:fill="FFFFFF"/>
        </w:rPr>
        <w:t>.</w:t>
      </w:r>
      <w:r w:rsidR="00853EB1" w:rsidRPr="00F9275D">
        <w:rPr>
          <w:rStyle w:val="Strong"/>
          <w:rFonts w:ascii="Verdana" w:hAnsi="Verdana" w:cs="Tahoma"/>
          <w:b w:val="0"/>
          <w:color w:val="000000"/>
          <w:shd w:val="clear" w:color="auto" w:fill="FFFFFF"/>
        </w:rPr>
        <w:t xml:space="preserve"> En</w:t>
      </w:r>
      <w:r w:rsidR="000D5AC0" w:rsidRPr="00F9275D">
        <w:rPr>
          <w:rStyle w:val="Strong"/>
          <w:rFonts w:ascii="Verdana" w:hAnsi="Verdana" w:cs="Tahoma"/>
          <w:b w:val="0"/>
          <w:color w:val="000000"/>
          <w:shd w:val="clear" w:color="auto" w:fill="FFFFFF"/>
        </w:rPr>
        <w:t xml:space="preserve"> consecuencia, la Corte </w:t>
      </w:r>
      <w:r w:rsidR="00697825">
        <w:rPr>
          <w:rStyle w:val="Strong"/>
          <w:rFonts w:ascii="Verdana" w:hAnsi="Verdana" w:cs="Tahoma"/>
          <w:b w:val="0"/>
          <w:color w:val="000000"/>
          <w:shd w:val="clear" w:color="auto" w:fill="FFFFFF"/>
        </w:rPr>
        <w:t xml:space="preserve">IDH </w:t>
      </w:r>
      <w:r w:rsidR="007106FC">
        <w:rPr>
          <w:rStyle w:val="Strong"/>
          <w:rFonts w:ascii="Verdana" w:hAnsi="Verdana" w:cs="Tahoma"/>
          <w:b w:val="0"/>
          <w:color w:val="000000"/>
          <w:shd w:val="clear" w:color="auto" w:fill="FFFFFF"/>
        </w:rPr>
        <w:t>consideró violado los</w:t>
      </w:r>
      <w:r w:rsidR="000D5AC0" w:rsidRPr="00F9275D">
        <w:rPr>
          <w:rStyle w:val="Strong"/>
          <w:rFonts w:ascii="Verdana" w:hAnsi="Verdana" w:cs="Tahoma"/>
          <w:b w:val="0"/>
          <w:color w:val="000000"/>
          <w:shd w:val="clear" w:color="auto" w:fill="FFFFFF"/>
        </w:rPr>
        <w:t xml:space="preserve"> artículo</w:t>
      </w:r>
      <w:r w:rsidR="007106FC">
        <w:rPr>
          <w:rStyle w:val="Strong"/>
          <w:rFonts w:ascii="Verdana" w:hAnsi="Verdana" w:cs="Tahoma"/>
          <w:b w:val="0"/>
          <w:color w:val="000000"/>
          <w:shd w:val="clear" w:color="auto" w:fill="FFFFFF"/>
        </w:rPr>
        <w:t>s</w:t>
      </w:r>
      <w:r w:rsidR="000D5AC0" w:rsidRPr="00F9275D">
        <w:rPr>
          <w:rStyle w:val="Strong"/>
          <w:rFonts w:ascii="Verdana" w:hAnsi="Verdana" w:cs="Tahoma"/>
          <w:b w:val="0"/>
          <w:color w:val="000000"/>
          <w:shd w:val="clear" w:color="auto" w:fill="FFFFFF"/>
        </w:rPr>
        <w:t xml:space="preserve"> 2 de la C</w:t>
      </w:r>
      <w:r w:rsidR="00697825">
        <w:rPr>
          <w:rStyle w:val="Strong"/>
          <w:rFonts w:ascii="Verdana" w:hAnsi="Verdana" w:cs="Tahoma"/>
          <w:b w:val="0"/>
          <w:color w:val="000000"/>
          <w:shd w:val="clear" w:color="auto" w:fill="FFFFFF"/>
        </w:rPr>
        <w:t>onvención Americana</w:t>
      </w:r>
      <w:r w:rsidR="000D5AC0" w:rsidRPr="00F9275D">
        <w:rPr>
          <w:rStyle w:val="Strong"/>
          <w:rFonts w:ascii="Verdana" w:hAnsi="Verdana" w:cs="Tahoma"/>
          <w:b w:val="0"/>
          <w:color w:val="000000"/>
          <w:shd w:val="clear" w:color="auto" w:fill="FFFFFF"/>
        </w:rPr>
        <w:t xml:space="preserve"> y </w:t>
      </w:r>
      <w:r w:rsidR="00AB586A" w:rsidRPr="00F9275D">
        <w:rPr>
          <w:rStyle w:val="Strong"/>
          <w:rFonts w:ascii="Verdana" w:hAnsi="Verdana" w:cs="Tahoma"/>
          <w:b w:val="0"/>
          <w:color w:val="000000"/>
          <w:shd w:val="clear" w:color="auto" w:fill="FFFFFF"/>
        </w:rPr>
        <w:t>7</w:t>
      </w:r>
      <w:r w:rsidR="007C3F2A" w:rsidRPr="00F9275D">
        <w:rPr>
          <w:rStyle w:val="Strong"/>
          <w:rFonts w:ascii="Verdana" w:hAnsi="Verdana" w:cs="Tahoma"/>
          <w:b w:val="0"/>
          <w:color w:val="000000"/>
          <w:shd w:val="clear" w:color="auto" w:fill="FFFFFF"/>
        </w:rPr>
        <w:t xml:space="preserve"> de la </w:t>
      </w:r>
      <w:r w:rsidR="00697825">
        <w:rPr>
          <w:rStyle w:val="Strong"/>
          <w:rFonts w:ascii="Verdana" w:hAnsi="Verdana" w:cs="Tahoma"/>
          <w:b w:val="0"/>
          <w:color w:val="000000"/>
          <w:shd w:val="clear" w:color="auto" w:fill="FFFFFF"/>
        </w:rPr>
        <w:t>“</w:t>
      </w:r>
      <w:r w:rsidR="007C3F2A" w:rsidRPr="00F9275D">
        <w:rPr>
          <w:rStyle w:val="Strong"/>
          <w:rFonts w:ascii="Verdana" w:hAnsi="Verdana" w:cs="Tahoma"/>
          <w:b w:val="0"/>
          <w:color w:val="000000"/>
          <w:shd w:val="clear" w:color="auto" w:fill="FFFFFF"/>
        </w:rPr>
        <w:t xml:space="preserve">Convención </w:t>
      </w:r>
      <w:r w:rsidR="00697825">
        <w:rPr>
          <w:rStyle w:val="Strong"/>
          <w:rFonts w:ascii="Verdana" w:hAnsi="Verdana" w:cs="Tahoma"/>
          <w:b w:val="0"/>
          <w:color w:val="000000"/>
          <w:shd w:val="clear" w:color="auto" w:fill="FFFFFF"/>
        </w:rPr>
        <w:t xml:space="preserve">de </w:t>
      </w:r>
      <w:r w:rsidR="000D5AC0" w:rsidRPr="00F9275D">
        <w:rPr>
          <w:rStyle w:val="Strong"/>
          <w:rFonts w:ascii="Verdana" w:hAnsi="Verdana" w:cs="Tahoma"/>
          <w:b w:val="0"/>
          <w:color w:val="000000"/>
          <w:shd w:val="clear" w:color="auto" w:fill="FFFFFF"/>
        </w:rPr>
        <w:t>Belém do Pará</w:t>
      </w:r>
      <w:r w:rsidR="00697825">
        <w:rPr>
          <w:rStyle w:val="Strong"/>
          <w:rFonts w:ascii="Verdana" w:hAnsi="Verdana" w:cs="Tahoma"/>
          <w:b w:val="0"/>
          <w:color w:val="000000"/>
          <w:shd w:val="clear" w:color="auto" w:fill="FFFFFF"/>
        </w:rPr>
        <w:t>”</w:t>
      </w:r>
      <w:r w:rsidR="000D5AC0" w:rsidRPr="00F9275D">
        <w:rPr>
          <w:rStyle w:val="Strong"/>
          <w:rFonts w:ascii="Verdana" w:hAnsi="Verdana" w:cs="Tahoma"/>
          <w:b w:val="0"/>
          <w:color w:val="000000"/>
          <w:shd w:val="clear" w:color="auto" w:fill="FFFFFF"/>
        </w:rPr>
        <w:t xml:space="preserve"> en virtud de la falta de capacidad, sensibilidad, voluntad y entrenamiento par</w:t>
      </w:r>
      <w:r w:rsidR="00697825">
        <w:rPr>
          <w:rStyle w:val="Strong"/>
          <w:rFonts w:ascii="Verdana" w:hAnsi="Verdana" w:cs="Tahoma"/>
          <w:b w:val="0"/>
          <w:color w:val="000000"/>
          <w:shd w:val="clear" w:color="auto" w:fill="FFFFFF"/>
        </w:rPr>
        <w:t xml:space="preserve">a responder a las denuncias de </w:t>
      </w:r>
      <w:r w:rsidR="000D5AC0" w:rsidRPr="00F9275D">
        <w:rPr>
          <w:rStyle w:val="Strong"/>
          <w:rFonts w:ascii="Verdana" w:hAnsi="Verdana" w:cs="Tahoma"/>
          <w:b w:val="0"/>
          <w:color w:val="000000"/>
          <w:shd w:val="clear" w:color="auto" w:fill="FFFFFF"/>
        </w:rPr>
        <w:t>desapariciones en el contexto guatemalteco, así como la falta de actuaci</w:t>
      </w:r>
      <w:r w:rsidR="007C3F2A" w:rsidRPr="00F9275D">
        <w:rPr>
          <w:rStyle w:val="Strong"/>
          <w:rFonts w:ascii="Verdana" w:hAnsi="Verdana" w:cs="Tahoma"/>
          <w:b w:val="0"/>
          <w:color w:val="000000"/>
          <w:shd w:val="clear" w:color="auto" w:fill="FFFFFF"/>
        </w:rPr>
        <w:t>ón inmediata y eficaz</w:t>
      </w:r>
      <w:r w:rsidR="007C3F2A" w:rsidRPr="00F9275D">
        <w:rPr>
          <w:rStyle w:val="FootnoteReference"/>
          <w:rFonts w:ascii="Verdana" w:hAnsi="Verdana" w:cs="Tahoma"/>
          <w:bCs/>
          <w:color w:val="000000"/>
          <w:shd w:val="clear" w:color="auto" w:fill="FFFFFF"/>
        </w:rPr>
        <w:footnoteReference w:id="81"/>
      </w:r>
      <w:r w:rsidR="007C3F2A" w:rsidRPr="00F9275D">
        <w:rPr>
          <w:rStyle w:val="Strong"/>
          <w:rFonts w:ascii="Verdana" w:hAnsi="Verdana" w:cs="Tahoma"/>
          <w:b w:val="0"/>
          <w:color w:val="000000"/>
          <w:shd w:val="clear" w:color="auto" w:fill="FFFFFF"/>
        </w:rPr>
        <w:t xml:space="preserve">. Asimismo, </w:t>
      </w:r>
      <w:r w:rsidR="0046421A" w:rsidRPr="00F9275D">
        <w:rPr>
          <w:rStyle w:val="Strong"/>
          <w:rFonts w:ascii="Verdana" w:hAnsi="Verdana" w:cs="Tahoma"/>
          <w:b w:val="0"/>
          <w:color w:val="000000"/>
          <w:shd w:val="clear" w:color="auto" w:fill="FFFFFF"/>
        </w:rPr>
        <w:t xml:space="preserve">también </w:t>
      </w:r>
      <w:r w:rsidR="00697825">
        <w:rPr>
          <w:rStyle w:val="Strong"/>
          <w:rFonts w:ascii="Verdana" w:hAnsi="Verdana" w:cs="Tahoma"/>
          <w:b w:val="0"/>
          <w:color w:val="000000"/>
          <w:shd w:val="clear" w:color="auto" w:fill="FFFFFF"/>
        </w:rPr>
        <w:t>se declaró violado</w:t>
      </w:r>
      <w:r w:rsidR="007C3F2A" w:rsidRPr="00F9275D">
        <w:rPr>
          <w:rStyle w:val="Strong"/>
          <w:rFonts w:ascii="Verdana" w:hAnsi="Verdana" w:cs="Tahoma"/>
          <w:b w:val="0"/>
          <w:color w:val="000000"/>
          <w:shd w:val="clear" w:color="auto" w:fill="FFFFFF"/>
        </w:rPr>
        <w:t xml:space="preserve"> el artículo 7 de la </w:t>
      </w:r>
      <w:r w:rsidR="00697825">
        <w:rPr>
          <w:rStyle w:val="Strong"/>
          <w:rFonts w:ascii="Verdana" w:hAnsi="Verdana" w:cs="Tahoma"/>
          <w:b w:val="0"/>
          <w:color w:val="000000"/>
          <w:shd w:val="clear" w:color="auto" w:fill="FFFFFF"/>
        </w:rPr>
        <w:t>“</w:t>
      </w:r>
      <w:r w:rsidR="007C3F2A" w:rsidRPr="00F9275D">
        <w:rPr>
          <w:rStyle w:val="Strong"/>
          <w:rFonts w:ascii="Verdana" w:hAnsi="Verdana" w:cs="Tahoma"/>
          <w:b w:val="0"/>
          <w:color w:val="000000"/>
          <w:shd w:val="clear" w:color="auto" w:fill="FFFFFF"/>
        </w:rPr>
        <w:t>Convención Belém do Pará</w:t>
      </w:r>
      <w:r w:rsidR="00697825">
        <w:rPr>
          <w:rStyle w:val="Strong"/>
          <w:rFonts w:ascii="Verdana" w:hAnsi="Verdana" w:cs="Tahoma"/>
          <w:b w:val="0"/>
          <w:color w:val="000000"/>
          <w:shd w:val="clear" w:color="auto" w:fill="FFFFFF"/>
        </w:rPr>
        <w:t>”</w:t>
      </w:r>
      <w:r w:rsidR="007C3F2A" w:rsidRPr="00F9275D">
        <w:rPr>
          <w:rStyle w:val="Strong"/>
          <w:rFonts w:ascii="Verdana" w:hAnsi="Verdana" w:cs="Tahoma"/>
          <w:b w:val="0"/>
          <w:color w:val="000000"/>
          <w:shd w:val="clear" w:color="auto" w:fill="FFFFFF"/>
        </w:rPr>
        <w:t xml:space="preserve"> como resultado de la falta de </w:t>
      </w:r>
      <w:r w:rsidR="00636804">
        <w:rPr>
          <w:rStyle w:val="Strong"/>
          <w:rFonts w:ascii="Verdana" w:hAnsi="Verdana" w:cs="Tahoma"/>
          <w:b w:val="0"/>
          <w:color w:val="000000"/>
          <w:shd w:val="clear" w:color="auto" w:fill="FFFFFF"/>
        </w:rPr>
        <w:t xml:space="preserve">garantía del libre y pleno ejercicio de los derechos </w:t>
      </w:r>
      <w:r w:rsidR="007C3F2A" w:rsidRPr="00F9275D">
        <w:rPr>
          <w:rStyle w:val="Strong"/>
          <w:rFonts w:ascii="Verdana" w:hAnsi="Verdana" w:cs="Tahoma"/>
          <w:b w:val="0"/>
          <w:color w:val="000000"/>
          <w:shd w:val="clear" w:color="auto" w:fill="FFFFFF"/>
        </w:rPr>
        <w:t>a la vida y a la integridad personal</w:t>
      </w:r>
      <w:r w:rsidR="007C3F2A" w:rsidRPr="00F9275D">
        <w:rPr>
          <w:rStyle w:val="FootnoteReference"/>
          <w:rFonts w:ascii="Verdana" w:hAnsi="Verdana" w:cs="Tahoma"/>
          <w:bCs/>
          <w:color w:val="000000"/>
          <w:shd w:val="clear" w:color="auto" w:fill="FFFFFF"/>
        </w:rPr>
        <w:footnoteReference w:id="82"/>
      </w:r>
      <w:r w:rsidR="007C3F2A" w:rsidRPr="00F9275D">
        <w:rPr>
          <w:rStyle w:val="Strong"/>
          <w:rFonts w:ascii="Verdana" w:hAnsi="Verdana" w:cs="Tahoma"/>
          <w:b w:val="0"/>
          <w:color w:val="000000"/>
          <w:shd w:val="clear" w:color="auto" w:fill="FFFFFF"/>
        </w:rPr>
        <w:t>.</w:t>
      </w:r>
    </w:p>
    <w:p w14:paraId="32210861" w14:textId="77777777" w:rsidR="00A549B7" w:rsidRPr="00F9275D" w:rsidRDefault="00A549B7" w:rsidP="008C7F7F">
      <w:pPr>
        <w:pStyle w:val="FootnoteText"/>
        <w:jc w:val="both"/>
        <w:rPr>
          <w:rStyle w:val="Strong"/>
          <w:rFonts w:ascii="Verdana" w:hAnsi="Verdana" w:cs="Tahoma"/>
          <w:b w:val="0"/>
          <w:color w:val="000000"/>
          <w:shd w:val="clear" w:color="auto" w:fill="FFFFFF"/>
        </w:rPr>
      </w:pPr>
    </w:p>
    <w:p w14:paraId="32210862" w14:textId="77777777" w:rsidR="00853EB1" w:rsidRPr="00697825"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44</w:t>
      </w:r>
      <w:r w:rsidR="00C57B1A" w:rsidRPr="00697825">
        <w:rPr>
          <w:rStyle w:val="Strong"/>
          <w:rFonts w:ascii="Verdana" w:hAnsi="Verdana" w:cs="Tahoma"/>
          <w:b w:val="0"/>
          <w:color w:val="000000"/>
          <w:shd w:val="clear" w:color="auto" w:fill="FFFFFF"/>
        </w:rPr>
        <w:t xml:space="preserve">. </w:t>
      </w:r>
      <w:r w:rsidR="00C57B1A" w:rsidRPr="00697825">
        <w:rPr>
          <w:rStyle w:val="Strong"/>
          <w:rFonts w:ascii="Verdana" w:hAnsi="Verdana" w:cs="Tahoma"/>
          <w:b w:val="0"/>
          <w:color w:val="000000"/>
          <w:shd w:val="clear" w:color="auto" w:fill="FFFFFF"/>
        </w:rPr>
        <w:tab/>
      </w:r>
      <w:r w:rsidR="003962FF" w:rsidRPr="00697825">
        <w:rPr>
          <w:rStyle w:val="Strong"/>
          <w:rFonts w:ascii="Verdana" w:hAnsi="Verdana" w:cs="Tahoma"/>
          <w:b w:val="0"/>
          <w:color w:val="000000"/>
          <w:shd w:val="clear" w:color="auto" w:fill="FFFFFF"/>
        </w:rPr>
        <w:t>De</w:t>
      </w:r>
      <w:r w:rsidR="00697825">
        <w:rPr>
          <w:rStyle w:val="Strong"/>
          <w:rFonts w:ascii="Verdana" w:hAnsi="Verdana" w:cs="Tahoma"/>
          <w:b w:val="0"/>
          <w:color w:val="000000"/>
          <w:shd w:val="clear" w:color="auto" w:fill="FFFFFF"/>
        </w:rPr>
        <w:t xml:space="preserve"> lo anterior</w:t>
      </w:r>
      <w:r w:rsidR="00F52511" w:rsidRPr="00697825">
        <w:rPr>
          <w:rStyle w:val="Strong"/>
          <w:rFonts w:ascii="Verdana" w:hAnsi="Verdana" w:cs="Tahoma"/>
          <w:b w:val="0"/>
          <w:color w:val="000000"/>
          <w:shd w:val="clear" w:color="auto" w:fill="FFFFFF"/>
        </w:rPr>
        <w:t xml:space="preserve"> </w:t>
      </w:r>
      <w:r w:rsidR="005069E6" w:rsidRPr="00697825">
        <w:rPr>
          <w:rStyle w:val="Strong"/>
          <w:rFonts w:ascii="Verdana" w:hAnsi="Verdana" w:cs="Tahoma"/>
          <w:b w:val="0"/>
          <w:color w:val="000000"/>
          <w:shd w:val="clear" w:color="auto" w:fill="FFFFFF"/>
        </w:rPr>
        <w:t>se observa</w:t>
      </w:r>
      <w:r w:rsidR="00697825">
        <w:rPr>
          <w:rStyle w:val="Strong"/>
          <w:rFonts w:ascii="Verdana" w:hAnsi="Verdana" w:cs="Tahoma"/>
          <w:b w:val="0"/>
          <w:color w:val="000000"/>
          <w:shd w:val="clear" w:color="auto" w:fill="FFFFFF"/>
        </w:rPr>
        <w:t>,</w:t>
      </w:r>
      <w:r w:rsidR="005069E6" w:rsidRPr="00697825">
        <w:rPr>
          <w:rStyle w:val="Strong"/>
          <w:rFonts w:ascii="Verdana" w:hAnsi="Verdana" w:cs="Tahoma"/>
          <w:b w:val="0"/>
          <w:color w:val="000000"/>
          <w:shd w:val="clear" w:color="auto" w:fill="FFFFFF"/>
        </w:rPr>
        <w:t xml:space="preserve"> </w:t>
      </w:r>
      <w:r w:rsidR="00266157" w:rsidRPr="00697825">
        <w:rPr>
          <w:rStyle w:val="Strong"/>
          <w:rFonts w:ascii="Verdana" w:hAnsi="Verdana" w:cs="Tahoma"/>
          <w:b w:val="0"/>
          <w:color w:val="000000"/>
          <w:shd w:val="clear" w:color="auto" w:fill="FFFFFF"/>
        </w:rPr>
        <w:t>a primera vista</w:t>
      </w:r>
      <w:r w:rsidR="00697825">
        <w:rPr>
          <w:rStyle w:val="Strong"/>
          <w:rFonts w:ascii="Verdana" w:hAnsi="Verdana" w:cs="Tahoma"/>
          <w:b w:val="0"/>
          <w:color w:val="000000"/>
          <w:shd w:val="clear" w:color="auto" w:fill="FFFFFF"/>
        </w:rPr>
        <w:t>,</w:t>
      </w:r>
      <w:r w:rsidR="003B7019" w:rsidRPr="00697825">
        <w:rPr>
          <w:rStyle w:val="Strong"/>
          <w:rFonts w:ascii="Verdana" w:hAnsi="Verdana" w:cs="Tahoma"/>
          <w:b w:val="0"/>
          <w:color w:val="000000"/>
          <w:shd w:val="clear" w:color="auto" w:fill="FFFFFF"/>
        </w:rPr>
        <w:t xml:space="preserve"> </w:t>
      </w:r>
      <w:r w:rsidR="005069E6" w:rsidRPr="00697825">
        <w:rPr>
          <w:rStyle w:val="Strong"/>
          <w:rFonts w:ascii="Verdana" w:hAnsi="Verdana" w:cs="Tahoma"/>
          <w:b w:val="0"/>
          <w:color w:val="000000"/>
          <w:shd w:val="clear" w:color="auto" w:fill="FFFFFF"/>
        </w:rPr>
        <w:t xml:space="preserve">que a partir de la falta de pronunciamiento de la Corte </w:t>
      </w:r>
      <w:r w:rsidR="00697825">
        <w:rPr>
          <w:rStyle w:val="Strong"/>
          <w:rFonts w:ascii="Verdana" w:hAnsi="Verdana" w:cs="Tahoma"/>
          <w:b w:val="0"/>
          <w:color w:val="000000"/>
          <w:shd w:val="clear" w:color="auto" w:fill="FFFFFF"/>
        </w:rPr>
        <w:t xml:space="preserve">IDH </w:t>
      </w:r>
      <w:r w:rsidR="005069E6" w:rsidRPr="00697825">
        <w:rPr>
          <w:rStyle w:val="Strong"/>
          <w:rFonts w:ascii="Verdana" w:hAnsi="Verdana" w:cs="Tahoma"/>
          <w:b w:val="0"/>
          <w:color w:val="000000"/>
          <w:shd w:val="clear" w:color="auto" w:fill="FFFFFF"/>
        </w:rPr>
        <w:t>al concluir su análisis del deber de prevención general, es decir, en el “primer momento” de dicho deber (antes de la desaparición de Claudina Velásquez), la co</w:t>
      </w:r>
      <w:r w:rsidR="00697825">
        <w:rPr>
          <w:rStyle w:val="Strong"/>
          <w:rFonts w:ascii="Verdana" w:hAnsi="Verdana" w:cs="Tahoma"/>
          <w:b w:val="0"/>
          <w:color w:val="000000"/>
          <w:shd w:val="clear" w:color="auto" w:fill="FFFFFF"/>
        </w:rPr>
        <w:t xml:space="preserve">nfiguración de responsabilidad </w:t>
      </w:r>
      <w:r w:rsidR="005069E6" w:rsidRPr="00697825">
        <w:rPr>
          <w:rStyle w:val="Strong"/>
          <w:rFonts w:ascii="Verdana" w:hAnsi="Verdana" w:cs="Tahoma"/>
          <w:b w:val="0"/>
          <w:color w:val="000000"/>
          <w:shd w:val="clear" w:color="auto" w:fill="FFFFFF"/>
        </w:rPr>
        <w:t xml:space="preserve">estatal recae en el análisis del </w:t>
      </w:r>
      <w:r w:rsidR="005069E6" w:rsidRPr="00697825">
        <w:rPr>
          <w:rStyle w:val="Strong"/>
          <w:rFonts w:ascii="Verdana" w:hAnsi="Verdana" w:cs="Tahoma"/>
          <w:b w:val="0"/>
          <w:color w:val="000000"/>
          <w:shd w:val="clear" w:color="auto" w:fill="FFFFFF"/>
        </w:rPr>
        <w:lastRenderedPageBreak/>
        <w:t xml:space="preserve">deber específico de prevención, fincándose la responsabilidad internacional de Guatemala como resultado del </w:t>
      </w:r>
      <w:r w:rsidR="00697825">
        <w:rPr>
          <w:rStyle w:val="Strong"/>
          <w:rFonts w:ascii="Verdana" w:hAnsi="Verdana" w:cs="Tahoma"/>
          <w:b w:val="0"/>
          <w:color w:val="000000"/>
          <w:shd w:val="clear" w:color="auto" w:fill="FFFFFF"/>
        </w:rPr>
        <w:t>análisis del “segundo momento” —</w:t>
      </w:r>
      <w:r w:rsidR="005069E6" w:rsidRPr="00697825">
        <w:rPr>
          <w:rStyle w:val="Strong"/>
          <w:rFonts w:ascii="Verdana" w:hAnsi="Verdana" w:cs="Tahoma"/>
          <w:b w:val="0"/>
          <w:color w:val="000000"/>
          <w:shd w:val="clear" w:color="auto" w:fill="FFFFFF"/>
        </w:rPr>
        <w:t>antes del hallazgo del cuerpo sin vida de Claudina</w:t>
      </w:r>
      <w:r w:rsidR="007106FC">
        <w:rPr>
          <w:rStyle w:val="Strong"/>
          <w:rFonts w:ascii="Verdana" w:hAnsi="Verdana" w:cs="Tahoma"/>
          <w:b w:val="0"/>
          <w:color w:val="000000"/>
          <w:shd w:val="clear" w:color="auto" w:fill="FFFFFF"/>
        </w:rPr>
        <w:t xml:space="preserve"> Velázquez</w:t>
      </w:r>
      <w:r w:rsidR="00697825">
        <w:rPr>
          <w:rStyle w:val="Strong"/>
          <w:rFonts w:ascii="Verdana" w:hAnsi="Verdana" w:cs="Tahoma"/>
          <w:b w:val="0"/>
          <w:color w:val="000000"/>
          <w:shd w:val="clear" w:color="auto" w:fill="FFFFFF"/>
        </w:rPr>
        <w:t>—</w:t>
      </w:r>
      <w:r w:rsidR="005069E6" w:rsidRPr="00697825">
        <w:rPr>
          <w:rStyle w:val="Strong"/>
          <w:rFonts w:ascii="Verdana" w:hAnsi="Verdana" w:cs="Tahoma"/>
          <w:b w:val="0"/>
          <w:color w:val="000000"/>
          <w:shd w:val="clear" w:color="auto" w:fill="FFFFFF"/>
        </w:rPr>
        <w:t xml:space="preserve"> como resultado de la falta de adopción por parte de las autoridades de medidas enfocadas a prevenir el riesgo denunciado por los padres de la víctima.</w:t>
      </w:r>
    </w:p>
    <w:p w14:paraId="32210863" w14:textId="77777777" w:rsidR="005069E6" w:rsidRPr="00F9275D" w:rsidRDefault="005069E6" w:rsidP="008C7F7F">
      <w:pPr>
        <w:pStyle w:val="FootnoteText"/>
        <w:jc w:val="both"/>
        <w:rPr>
          <w:rStyle w:val="Strong"/>
          <w:rFonts w:ascii="Verdana" w:hAnsi="Verdana" w:cs="Tahoma"/>
          <w:b w:val="0"/>
          <w:color w:val="000000"/>
          <w:highlight w:val="yellow"/>
          <w:shd w:val="clear" w:color="auto" w:fill="FFFFFF"/>
        </w:rPr>
      </w:pPr>
    </w:p>
    <w:p w14:paraId="32210864" w14:textId="77777777" w:rsidR="00057ED3" w:rsidRPr="00697825"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45</w:t>
      </w:r>
      <w:r w:rsidR="00C57B1A" w:rsidRPr="00697825">
        <w:rPr>
          <w:rStyle w:val="Strong"/>
          <w:rFonts w:ascii="Verdana" w:hAnsi="Verdana" w:cs="Tahoma"/>
          <w:b w:val="0"/>
          <w:color w:val="000000"/>
          <w:shd w:val="clear" w:color="auto" w:fill="FFFFFF"/>
        </w:rPr>
        <w:t xml:space="preserve">. </w:t>
      </w:r>
      <w:r w:rsidR="00C57B1A" w:rsidRPr="00697825">
        <w:rPr>
          <w:rStyle w:val="Strong"/>
          <w:rFonts w:ascii="Verdana" w:hAnsi="Verdana" w:cs="Tahoma"/>
          <w:b w:val="0"/>
          <w:color w:val="000000"/>
          <w:shd w:val="clear" w:color="auto" w:fill="FFFFFF"/>
        </w:rPr>
        <w:tab/>
      </w:r>
      <w:r w:rsidR="00697825">
        <w:rPr>
          <w:rStyle w:val="Strong"/>
          <w:rFonts w:ascii="Verdana" w:hAnsi="Verdana" w:cs="Tahoma"/>
          <w:b w:val="0"/>
          <w:color w:val="000000"/>
          <w:shd w:val="clear" w:color="auto" w:fill="FFFFFF"/>
        </w:rPr>
        <w:t>Considero que lo anterior</w:t>
      </w:r>
      <w:r w:rsidR="005069E6" w:rsidRPr="00697825">
        <w:rPr>
          <w:rStyle w:val="Strong"/>
          <w:rFonts w:ascii="Verdana" w:hAnsi="Verdana" w:cs="Tahoma"/>
          <w:b w:val="0"/>
          <w:color w:val="000000"/>
          <w:shd w:val="clear" w:color="auto" w:fill="FFFFFF"/>
        </w:rPr>
        <w:t xml:space="preserve"> </w:t>
      </w:r>
      <w:r w:rsidR="00853EB1" w:rsidRPr="00697825">
        <w:rPr>
          <w:rStyle w:val="Strong"/>
          <w:rFonts w:ascii="Verdana" w:hAnsi="Verdana" w:cs="Tahoma"/>
          <w:b w:val="0"/>
          <w:color w:val="000000"/>
          <w:shd w:val="clear" w:color="auto" w:fill="FFFFFF"/>
        </w:rPr>
        <w:t xml:space="preserve">tiene repercusiones adversas en el análisis del deber de prevención </w:t>
      </w:r>
      <w:r w:rsidR="00853EB1" w:rsidRPr="00697825">
        <w:rPr>
          <w:rStyle w:val="Strong"/>
          <w:rFonts w:ascii="Verdana" w:hAnsi="Verdana" w:cs="Tahoma"/>
          <w:b w:val="0"/>
          <w:i/>
          <w:color w:val="000000"/>
          <w:shd w:val="clear" w:color="auto" w:fill="FFFFFF"/>
        </w:rPr>
        <w:t>como un todo</w:t>
      </w:r>
      <w:r w:rsidR="00853EB1" w:rsidRPr="00697825">
        <w:rPr>
          <w:rStyle w:val="Strong"/>
          <w:rFonts w:ascii="Verdana" w:hAnsi="Verdana" w:cs="Tahoma"/>
          <w:b w:val="0"/>
          <w:color w:val="000000"/>
          <w:shd w:val="clear" w:color="auto" w:fill="FFFFFF"/>
        </w:rPr>
        <w:t xml:space="preserve">, y posteriormente, en la determinación de responsabilidad internacional, ya que </w:t>
      </w:r>
      <w:r w:rsidR="001B3C0F" w:rsidRPr="00697825">
        <w:rPr>
          <w:rStyle w:val="Strong"/>
          <w:rFonts w:ascii="Verdana" w:hAnsi="Verdana" w:cs="Tahoma"/>
          <w:b w:val="0"/>
          <w:color w:val="000000"/>
          <w:shd w:val="clear" w:color="auto" w:fill="FFFFFF"/>
        </w:rPr>
        <w:t>la falta de adopción de medidas</w:t>
      </w:r>
      <w:r w:rsidR="000A5B6E" w:rsidRPr="00697825">
        <w:rPr>
          <w:rStyle w:val="Strong"/>
          <w:rFonts w:ascii="Verdana" w:hAnsi="Verdana" w:cs="Tahoma"/>
          <w:b w:val="0"/>
          <w:color w:val="000000"/>
          <w:shd w:val="clear" w:color="auto" w:fill="FFFFFF"/>
        </w:rPr>
        <w:t xml:space="preserve"> y actuación diligente por parte de las autoridades</w:t>
      </w:r>
      <w:r w:rsidR="00697825">
        <w:rPr>
          <w:rStyle w:val="Strong"/>
          <w:rFonts w:ascii="Verdana" w:hAnsi="Verdana" w:cs="Tahoma"/>
          <w:b w:val="0"/>
          <w:color w:val="000000"/>
          <w:shd w:val="clear" w:color="auto" w:fill="FFFFFF"/>
        </w:rPr>
        <w:t xml:space="preserve"> —</w:t>
      </w:r>
      <w:r w:rsidR="00DE1735" w:rsidRPr="00697825">
        <w:rPr>
          <w:rStyle w:val="Strong"/>
          <w:rFonts w:ascii="Verdana" w:hAnsi="Verdana" w:cs="Tahoma"/>
          <w:b w:val="0"/>
          <w:color w:val="000000"/>
          <w:shd w:val="clear" w:color="auto" w:fill="FFFFFF"/>
        </w:rPr>
        <w:t>en el “segundo momento” del deber de prevención estatal que en el caso concreto tenía como objetivo prevenir el riesgo y evitar la concrec</w:t>
      </w:r>
      <w:r w:rsidR="00697825">
        <w:rPr>
          <w:rStyle w:val="Strong"/>
          <w:rFonts w:ascii="Verdana" w:hAnsi="Verdana" w:cs="Tahoma"/>
          <w:b w:val="0"/>
          <w:color w:val="000000"/>
          <w:shd w:val="clear" w:color="auto" w:fill="FFFFFF"/>
        </w:rPr>
        <w:t>ión de las lesiones sufridas a</w:t>
      </w:r>
      <w:r w:rsidR="00DE1735" w:rsidRPr="00697825">
        <w:rPr>
          <w:rStyle w:val="Strong"/>
          <w:rFonts w:ascii="Verdana" w:hAnsi="Verdana" w:cs="Tahoma"/>
          <w:b w:val="0"/>
          <w:color w:val="000000"/>
          <w:shd w:val="clear" w:color="auto" w:fill="FFFFFF"/>
        </w:rPr>
        <w:t xml:space="preserve"> Claudina Velásquez</w:t>
      </w:r>
      <w:r w:rsidR="00697825">
        <w:rPr>
          <w:rStyle w:val="Strong"/>
          <w:rFonts w:ascii="Verdana" w:hAnsi="Verdana" w:cs="Tahoma"/>
          <w:b w:val="0"/>
          <w:color w:val="000000"/>
          <w:shd w:val="clear" w:color="auto" w:fill="FFFFFF"/>
        </w:rPr>
        <w:t>—</w:t>
      </w:r>
      <w:r w:rsidR="000A5B6E" w:rsidRPr="00697825">
        <w:rPr>
          <w:rStyle w:val="Strong"/>
          <w:rFonts w:ascii="Verdana" w:hAnsi="Verdana" w:cs="Tahoma"/>
          <w:b w:val="0"/>
          <w:color w:val="000000"/>
          <w:shd w:val="clear" w:color="auto" w:fill="FFFFFF"/>
        </w:rPr>
        <w:t xml:space="preserve">, </w:t>
      </w:r>
      <w:r w:rsidR="00DE1735" w:rsidRPr="00697825">
        <w:rPr>
          <w:rStyle w:val="Strong"/>
          <w:rFonts w:ascii="Verdana" w:hAnsi="Verdana" w:cs="Tahoma"/>
          <w:b w:val="0"/>
          <w:color w:val="000000"/>
          <w:shd w:val="clear" w:color="auto" w:fill="FFFFFF"/>
        </w:rPr>
        <w:t xml:space="preserve">fue resultado de </w:t>
      </w:r>
      <w:r w:rsidR="000A5B6E" w:rsidRPr="00697825">
        <w:rPr>
          <w:rStyle w:val="Strong"/>
          <w:rFonts w:ascii="Verdana" w:hAnsi="Verdana" w:cs="Tahoma"/>
          <w:b w:val="0"/>
          <w:color w:val="000000"/>
          <w:shd w:val="clear" w:color="auto" w:fill="FFFFFF"/>
        </w:rPr>
        <w:t xml:space="preserve">la falta de claridad en la normativa que debió definir su actuar ante la </w:t>
      </w:r>
      <w:r w:rsidR="00680269" w:rsidRPr="00697825">
        <w:rPr>
          <w:rStyle w:val="Strong"/>
          <w:rFonts w:ascii="Verdana" w:hAnsi="Verdana" w:cs="Tahoma"/>
          <w:b w:val="0"/>
          <w:color w:val="000000"/>
          <w:shd w:val="clear" w:color="auto" w:fill="FFFFFF"/>
        </w:rPr>
        <w:t xml:space="preserve">denuncia de </w:t>
      </w:r>
      <w:r w:rsidR="000A5B6E" w:rsidRPr="00697825">
        <w:rPr>
          <w:rStyle w:val="Strong"/>
          <w:rFonts w:ascii="Verdana" w:hAnsi="Verdana" w:cs="Tahoma"/>
          <w:b w:val="0"/>
          <w:color w:val="000000"/>
          <w:shd w:val="clear" w:color="auto" w:fill="FFFFFF"/>
        </w:rPr>
        <w:t xml:space="preserve">desaparición de </w:t>
      </w:r>
      <w:r w:rsidR="00697825">
        <w:rPr>
          <w:rStyle w:val="Strong"/>
          <w:rFonts w:ascii="Verdana" w:hAnsi="Verdana" w:cs="Tahoma"/>
          <w:b w:val="0"/>
          <w:color w:val="000000"/>
          <w:shd w:val="clear" w:color="auto" w:fill="FFFFFF"/>
        </w:rPr>
        <w:t>víctima</w:t>
      </w:r>
      <w:r w:rsidR="007106FC">
        <w:rPr>
          <w:rStyle w:val="Strong"/>
          <w:rFonts w:ascii="Verdana" w:hAnsi="Verdana" w:cs="Tahoma"/>
          <w:b w:val="0"/>
          <w:color w:val="000000"/>
          <w:shd w:val="clear" w:color="auto" w:fill="FFFFFF"/>
        </w:rPr>
        <w:t>;</w:t>
      </w:r>
      <w:r w:rsidR="001B3C0F" w:rsidRPr="00697825">
        <w:rPr>
          <w:rStyle w:val="Strong"/>
          <w:rFonts w:ascii="Verdana" w:hAnsi="Verdana" w:cs="Tahoma"/>
          <w:b w:val="0"/>
          <w:color w:val="000000"/>
          <w:shd w:val="clear" w:color="auto" w:fill="FFFFFF"/>
        </w:rPr>
        <w:t xml:space="preserve"> </w:t>
      </w:r>
      <w:r w:rsidR="00DE1735" w:rsidRPr="00697825">
        <w:rPr>
          <w:rStyle w:val="Strong"/>
          <w:rFonts w:ascii="Verdana" w:hAnsi="Verdana" w:cs="Tahoma"/>
          <w:b w:val="0"/>
          <w:color w:val="000000"/>
          <w:shd w:val="clear" w:color="auto" w:fill="FFFFFF"/>
        </w:rPr>
        <w:t>que fue consecuencia de</w:t>
      </w:r>
      <w:r w:rsidR="00680269" w:rsidRPr="00697825">
        <w:rPr>
          <w:rStyle w:val="Strong"/>
          <w:rFonts w:ascii="Verdana" w:hAnsi="Verdana" w:cs="Tahoma"/>
          <w:b w:val="0"/>
          <w:color w:val="000000"/>
          <w:shd w:val="clear" w:color="auto" w:fill="FFFFFF"/>
        </w:rPr>
        <w:t xml:space="preserve"> la adopción de medidas “insuficientes para solucionar el problema” de la violencia contra las mujeres en Guatemala</w:t>
      </w:r>
      <w:r w:rsidR="00680269" w:rsidRPr="00697825">
        <w:rPr>
          <w:rStyle w:val="FootnoteReference"/>
          <w:rFonts w:ascii="Verdana" w:hAnsi="Verdana" w:cs="Tahoma"/>
          <w:bCs/>
          <w:color w:val="000000"/>
          <w:shd w:val="clear" w:color="auto" w:fill="FFFFFF"/>
        </w:rPr>
        <w:footnoteReference w:id="83"/>
      </w:r>
      <w:r w:rsidR="00680269" w:rsidRPr="00697825">
        <w:rPr>
          <w:rStyle w:val="Strong"/>
          <w:rFonts w:ascii="Verdana" w:hAnsi="Verdana" w:cs="Tahoma"/>
          <w:b w:val="0"/>
          <w:color w:val="000000"/>
          <w:shd w:val="clear" w:color="auto" w:fill="FFFFFF"/>
        </w:rPr>
        <w:t xml:space="preserve">, </w:t>
      </w:r>
      <w:r w:rsidR="00680269" w:rsidRPr="00697825">
        <w:rPr>
          <w:rStyle w:val="Strong"/>
          <w:rFonts w:ascii="Verdana" w:hAnsi="Verdana" w:cs="Tahoma"/>
          <w:b w:val="0"/>
          <w:i/>
          <w:color w:val="000000"/>
          <w:u w:val="single"/>
          <w:shd w:val="clear" w:color="auto" w:fill="FFFFFF"/>
        </w:rPr>
        <w:t>incumplimiento</w:t>
      </w:r>
      <w:r w:rsidR="00697825" w:rsidRPr="00697825">
        <w:rPr>
          <w:rStyle w:val="Strong"/>
          <w:rFonts w:ascii="Verdana" w:hAnsi="Verdana" w:cs="Tahoma"/>
          <w:b w:val="0"/>
          <w:i/>
          <w:color w:val="000000"/>
          <w:u w:val="single"/>
          <w:shd w:val="clear" w:color="auto" w:fill="FFFFFF"/>
        </w:rPr>
        <w:t xml:space="preserve"> evidentemente</w:t>
      </w:r>
      <w:r w:rsidR="00680269" w:rsidRPr="00697825">
        <w:rPr>
          <w:rStyle w:val="Strong"/>
          <w:rFonts w:ascii="Verdana" w:hAnsi="Verdana" w:cs="Tahoma"/>
          <w:b w:val="0"/>
          <w:i/>
          <w:color w:val="000000"/>
          <w:u w:val="single"/>
          <w:shd w:val="clear" w:color="auto" w:fill="FFFFFF"/>
        </w:rPr>
        <w:t xml:space="preserve"> inserto en el</w:t>
      </w:r>
      <w:r w:rsidR="000A5B6E" w:rsidRPr="00697825">
        <w:rPr>
          <w:rStyle w:val="Strong"/>
          <w:rFonts w:ascii="Verdana" w:hAnsi="Verdana" w:cs="Tahoma"/>
          <w:b w:val="0"/>
          <w:i/>
          <w:color w:val="000000"/>
          <w:u w:val="single"/>
          <w:shd w:val="clear" w:color="auto" w:fill="FFFFFF"/>
        </w:rPr>
        <w:t xml:space="preserve"> deber de </w:t>
      </w:r>
      <w:r w:rsidR="007106FC">
        <w:rPr>
          <w:rStyle w:val="Strong"/>
          <w:rFonts w:ascii="Verdana" w:hAnsi="Verdana" w:cs="Tahoma"/>
          <w:b w:val="0"/>
          <w:i/>
          <w:color w:val="000000"/>
          <w:u w:val="single"/>
          <w:shd w:val="clear" w:color="auto" w:fill="FFFFFF"/>
        </w:rPr>
        <w:t>prevención general del Estado relativo</w:t>
      </w:r>
      <w:r w:rsidR="000A5B6E" w:rsidRPr="00697825">
        <w:rPr>
          <w:rStyle w:val="Strong"/>
          <w:rFonts w:ascii="Verdana" w:hAnsi="Verdana" w:cs="Tahoma"/>
          <w:b w:val="0"/>
          <w:i/>
          <w:color w:val="000000"/>
          <w:u w:val="single"/>
          <w:shd w:val="clear" w:color="auto" w:fill="FFFFFF"/>
        </w:rPr>
        <w:t xml:space="preserve"> </w:t>
      </w:r>
      <w:r w:rsidR="007106FC">
        <w:rPr>
          <w:rStyle w:val="Strong"/>
          <w:rFonts w:ascii="Verdana" w:hAnsi="Verdana" w:cs="Tahoma"/>
          <w:b w:val="0"/>
          <w:i/>
          <w:color w:val="000000"/>
          <w:u w:val="single"/>
          <w:shd w:val="clear" w:color="auto" w:fill="FFFFFF"/>
        </w:rPr>
        <w:t>a</w:t>
      </w:r>
      <w:r w:rsidR="00680269" w:rsidRPr="00697825">
        <w:rPr>
          <w:rStyle w:val="Strong"/>
          <w:rFonts w:ascii="Verdana" w:hAnsi="Verdana" w:cs="Tahoma"/>
          <w:b w:val="0"/>
          <w:i/>
          <w:color w:val="000000"/>
          <w:u w:val="single"/>
          <w:shd w:val="clear" w:color="auto" w:fill="FFFFFF"/>
        </w:rPr>
        <w:t>l</w:t>
      </w:r>
      <w:r w:rsidR="001B3C0F" w:rsidRPr="00697825">
        <w:rPr>
          <w:rStyle w:val="Strong"/>
          <w:rFonts w:ascii="Verdana" w:hAnsi="Verdana" w:cs="Tahoma"/>
          <w:b w:val="0"/>
          <w:i/>
          <w:color w:val="000000"/>
          <w:u w:val="single"/>
          <w:shd w:val="clear" w:color="auto" w:fill="FFFFFF"/>
        </w:rPr>
        <w:t xml:space="preserve"> “</w:t>
      </w:r>
      <w:r w:rsidR="000A5B6E" w:rsidRPr="00697825">
        <w:rPr>
          <w:rStyle w:val="Strong"/>
          <w:rFonts w:ascii="Verdana" w:hAnsi="Verdana" w:cs="Tahoma"/>
          <w:b w:val="0"/>
          <w:i/>
          <w:color w:val="000000"/>
          <w:u w:val="single"/>
          <w:shd w:val="clear" w:color="auto" w:fill="FFFFFF"/>
        </w:rPr>
        <w:t>primer</w:t>
      </w:r>
      <w:r w:rsidR="001B3C0F" w:rsidRPr="00697825">
        <w:rPr>
          <w:rStyle w:val="Strong"/>
          <w:rFonts w:ascii="Verdana" w:hAnsi="Verdana" w:cs="Tahoma"/>
          <w:b w:val="0"/>
          <w:i/>
          <w:color w:val="000000"/>
          <w:u w:val="single"/>
          <w:shd w:val="clear" w:color="auto" w:fill="FFFFFF"/>
        </w:rPr>
        <w:t xml:space="preserve"> momento”</w:t>
      </w:r>
      <w:r w:rsidR="007106FC">
        <w:rPr>
          <w:rStyle w:val="Strong"/>
          <w:rFonts w:ascii="Verdana" w:hAnsi="Verdana" w:cs="Tahoma"/>
          <w:b w:val="0"/>
          <w:i/>
          <w:color w:val="000000"/>
          <w:u w:val="single"/>
          <w:shd w:val="clear" w:color="auto" w:fill="FFFFFF"/>
        </w:rPr>
        <w:t>, es decir, relacionado con el deber general de prevenir el homicidio y las desapariciiones de mujeres</w:t>
      </w:r>
      <w:r w:rsidR="00680269" w:rsidRPr="00697825">
        <w:rPr>
          <w:rStyle w:val="Strong"/>
          <w:rFonts w:ascii="Verdana" w:hAnsi="Verdana" w:cs="Tahoma"/>
          <w:b w:val="0"/>
          <w:color w:val="000000"/>
          <w:shd w:val="clear" w:color="auto" w:fill="FFFFFF"/>
        </w:rPr>
        <w:t>.</w:t>
      </w:r>
    </w:p>
    <w:p w14:paraId="32210865" w14:textId="77777777" w:rsidR="00057ED3" w:rsidRPr="00F9275D" w:rsidRDefault="00057ED3" w:rsidP="008C7F7F">
      <w:pPr>
        <w:pStyle w:val="FootnoteText"/>
        <w:jc w:val="both"/>
        <w:rPr>
          <w:rStyle w:val="Strong"/>
          <w:rFonts w:ascii="Verdana" w:hAnsi="Verdana" w:cs="Tahoma"/>
          <w:b w:val="0"/>
          <w:color w:val="000000"/>
          <w:highlight w:val="yellow"/>
          <w:shd w:val="clear" w:color="auto" w:fill="FFFFFF"/>
        </w:rPr>
      </w:pPr>
    </w:p>
    <w:p w14:paraId="32210866" w14:textId="77777777" w:rsidR="00853EB1"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46</w:t>
      </w:r>
      <w:r w:rsidR="00C57B1A" w:rsidRPr="00697825">
        <w:rPr>
          <w:rStyle w:val="Strong"/>
          <w:rFonts w:ascii="Verdana" w:hAnsi="Verdana" w:cs="Tahoma"/>
          <w:b w:val="0"/>
          <w:color w:val="000000"/>
          <w:shd w:val="clear" w:color="auto" w:fill="FFFFFF"/>
        </w:rPr>
        <w:t xml:space="preserve">. </w:t>
      </w:r>
      <w:r w:rsidR="00C57B1A" w:rsidRPr="00697825">
        <w:rPr>
          <w:rStyle w:val="Strong"/>
          <w:rFonts w:ascii="Verdana" w:hAnsi="Verdana" w:cs="Tahoma"/>
          <w:b w:val="0"/>
          <w:color w:val="000000"/>
          <w:shd w:val="clear" w:color="auto" w:fill="FFFFFF"/>
        </w:rPr>
        <w:tab/>
      </w:r>
      <w:r w:rsidR="001B3C0F" w:rsidRPr="00697825">
        <w:rPr>
          <w:rStyle w:val="Strong"/>
          <w:rFonts w:ascii="Verdana" w:hAnsi="Verdana" w:cs="Tahoma"/>
          <w:b w:val="0"/>
          <w:color w:val="000000"/>
          <w:shd w:val="clear" w:color="auto" w:fill="FFFFFF"/>
        </w:rPr>
        <w:t>En ese sentido</w:t>
      </w:r>
      <w:r w:rsidR="0040536C" w:rsidRPr="00697825">
        <w:rPr>
          <w:rStyle w:val="Strong"/>
          <w:rFonts w:ascii="Verdana" w:hAnsi="Verdana" w:cs="Tahoma"/>
          <w:b w:val="0"/>
          <w:color w:val="000000"/>
          <w:shd w:val="clear" w:color="auto" w:fill="FFFFFF"/>
        </w:rPr>
        <w:t>,</w:t>
      </w:r>
      <w:r w:rsidR="00B81395" w:rsidRPr="00697825">
        <w:rPr>
          <w:rStyle w:val="Strong"/>
          <w:rFonts w:ascii="Verdana" w:hAnsi="Verdana" w:cs="Tahoma"/>
          <w:b w:val="0"/>
          <w:color w:val="000000"/>
          <w:shd w:val="clear" w:color="auto" w:fill="FFFFFF"/>
        </w:rPr>
        <w:t xml:space="preserve"> </w:t>
      </w:r>
      <w:r w:rsidR="0040536C" w:rsidRPr="00697825">
        <w:rPr>
          <w:rStyle w:val="Strong"/>
          <w:rFonts w:ascii="Verdana" w:hAnsi="Verdana" w:cs="Tahoma"/>
          <w:b w:val="0"/>
          <w:color w:val="000000"/>
          <w:shd w:val="clear" w:color="auto" w:fill="FFFFFF"/>
        </w:rPr>
        <w:t xml:space="preserve">estimo que dicha configuración de responsabilidad </w:t>
      </w:r>
      <w:r w:rsidR="00026D4D" w:rsidRPr="00697825">
        <w:rPr>
          <w:rStyle w:val="Strong"/>
          <w:rFonts w:ascii="Verdana" w:hAnsi="Verdana" w:cs="Tahoma"/>
          <w:b w:val="0"/>
          <w:color w:val="000000"/>
          <w:shd w:val="clear" w:color="auto" w:fill="FFFFFF"/>
        </w:rPr>
        <w:t xml:space="preserve">es </w:t>
      </w:r>
      <w:r w:rsidR="003962FF" w:rsidRPr="00697825">
        <w:rPr>
          <w:rStyle w:val="Strong"/>
          <w:rFonts w:ascii="Verdana" w:hAnsi="Verdana" w:cs="Tahoma"/>
          <w:b w:val="0"/>
          <w:color w:val="000000"/>
          <w:shd w:val="clear" w:color="auto" w:fill="FFFFFF"/>
        </w:rPr>
        <w:t>resultado</w:t>
      </w:r>
      <w:r w:rsidR="00026D4D" w:rsidRPr="00697825">
        <w:rPr>
          <w:rStyle w:val="Strong"/>
          <w:rFonts w:ascii="Verdana" w:hAnsi="Verdana" w:cs="Tahoma"/>
          <w:b w:val="0"/>
          <w:color w:val="000000"/>
          <w:shd w:val="clear" w:color="auto" w:fill="FFFFFF"/>
        </w:rPr>
        <w:t xml:space="preserve"> de una responsabilidad estatal</w:t>
      </w:r>
      <w:r w:rsidR="000A5B6E" w:rsidRPr="00697825">
        <w:rPr>
          <w:rStyle w:val="Strong"/>
          <w:rFonts w:ascii="Verdana" w:hAnsi="Verdana" w:cs="Tahoma"/>
          <w:b w:val="0"/>
          <w:color w:val="000000"/>
          <w:shd w:val="clear" w:color="auto" w:fill="FFFFFF"/>
        </w:rPr>
        <w:t xml:space="preserve"> que</w:t>
      </w:r>
      <w:r w:rsidR="00026D4D" w:rsidRPr="00697825">
        <w:rPr>
          <w:rStyle w:val="Strong"/>
          <w:rFonts w:ascii="Verdana" w:hAnsi="Verdana" w:cs="Tahoma"/>
          <w:b w:val="0"/>
          <w:color w:val="000000"/>
          <w:shd w:val="clear" w:color="auto" w:fill="FFFFFF"/>
        </w:rPr>
        <w:t xml:space="preserve"> </w:t>
      </w:r>
      <w:r w:rsidR="003962FF" w:rsidRPr="00697825">
        <w:rPr>
          <w:rStyle w:val="Strong"/>
          <w:rFonts w:ascii="Verdana" w:hAnsi="Verdana" w:cs="Tahoma"/>
          <w:b w:val="0"/>
          <w:color w:val="000000"/>
          <w:shd w:val="clear" w:color="auto" w:fill="FFFFFF"/>
        </w:rPr>
        <w:t xml:space="preserve">se da </w:t>
      </w:r>
      <w:r w:rsidR="00026D4D" w:rsidRPr="00697825">
        <w:rPr>
          <w:rStyle w:val="Strong"/>
          <w:rFonts w:ascii="Verdana" w:hAnsi="Verdana" w:cs="Tahoma"/>
          <w:b w:val="0"/>
          <w:color w:val="000000"/>
          <w:shd w:val="clear" w:color="auto" w:fill="FFFFFF"/>
        </w:rPr>
        <w:t xml:space="preserve">en el  “primer momento” del deber de prevención, </w:t>
      </w:r>
      <w:r w:rsidR="00697825">
        <w:rPr>
          <w:rStyle w:val="Strong"/>
          <w:rFonts w:ascii="Verdana" w:hAnsi="Verdana" w:cs="Tahoma"/>
          <w:b w:val="0"/>
          <w:color w:val="000000"/>
          <w:shd w:val="clear" w:color="auto" w:fill="FFFFFF"/>
        </w:rPr>
        <w:t xml:space="preserve">toda vez que </w:t>
      </w:r>
      <w:r w:rsidR="003962FF" w:rsidRPr="00697825">
        <w:rPr>
          <w:rStyle w:val="Strong"/>
          <w:rFonts w:ascii="Verdana" w:hAnsi="Verdana" w:cs="Tahoma"/>
          <w:b w:val="0"/>
          <w:color w:val="000000"/>
          <w:shd w:val="clear" w:color="auto" w:fill="FFFFFF"/>
        </w:rPr>
        <w:t>ante el contexto de aumento de violencia homicida contra las mujeres en Guatemala conocido por el Estado</w:t>
      </w:r>
      <w:r w:rsidR="00A96BC9" w:rsidRPr="00697825">
        <w:rPr>
          <w:rStyle w:val="FootnoteReference"/>
          <w:rFonts w:ascii="Verdana" w:hAnsi="Verdana" w:cs="Tahoma"/>
          <w:bCs/>
          <w:color w:val="000000"/>
          <w:shd w:val="clear" w:color="auto" w:fill="FFFFFF"/>
        </w:rPr>
        <w:footnoteReference w:id="84"/>
      </w:r>
      <w:r w:rsidR="003962FF" w:rsidRPr="00697825">
        <w:rPr>
          <w:rStyle w:val="Strong"/>
          <w:rFonts w:ascii="Verdana" w:hAnsi="Verdana" w:cs="Tahoma"/>
          <w:b w:val="0"/>
          <w:color w:val="000000"/>
          <w:shd w:val="clear" w:color="auto" w:fill="FFFFFF"/>
        </w:rPr>
        <w:t xml:space="preserve">, y </w:t>
      </w:r>
      <w:r w:rsidR="00026D4D" w:rsidRPr="00697825">
        <w:rPr>
          <w:rStyle w:val="Strong"/>
          <w:rFonts w:ascii="Verdana" w:hAnsi="Verdana" w:cs="Tahoma"/>
          <w:b w:val="0"/>
          <w:color w:val="000000"/>
          <w:shd w:val="clear" w:color="auto" w:fill="FFFFFF"/>
        </w:rPr>
        <w:t xml:space="preserve">a pesar de todas las medidas adoptadas por el Estado por lo menos </w:t>
      </w:r>
      <w:r w:rsidR="00133868">
        <w:rPr>
          <w:rStyle w:val="Strong"/>
          <w:rFonts w:ascii="Verdana" w:hAnsi="Verdana" w:cs="Tahoma"/>
          <w:b w:val="0"/>
          <w:color w:val="000000"/>
          <w:shd w:val="clear" w:color="auto" w:fill="FFFFFF"/>
        </w:rPr>
        <w:t xml:space="preserve">desde </w:t>
      </w:r>
      <w:r w:rsidR="00026D4D" w:rsidRPr="00697825">
        <w:rPr>
          <w:rStyle w:val="Strong"/>
          <w:rFonts w:ascii="Verdana" w:hAnsi="Verdana" w:cs="Tahoma"/>
          <w:b w:val="0"/>
          <w:color w:val="000000"/>
          <w:shd w:val="clear" w:color="auto" w:fill="FFFFFF"/>
        </w:rPr>
        <w:t>2001</w:t>
      </w:r>
      <w:r w:rsidR="003962FF" w:rsidRPr="00697825">
        <w:rPr>
          <w:rStyle w:val="Strong"/>
          <w:rFonts w:ascii="Verdana" w:hAnsi="Verdana" w:cs="Tahoma"/>
          <w:b w:val="0"/>
          <w:color w:val="000000"/>
          <w:shd w:val="clear" w:color="auto" w:fill="FFFFFF"/>
        </w:rPr>
        <w:t xml:space="preserve"> en torno a la problemática</w:t>
      </w:r>
      <w:r w:rsidR="00A96BC9" w:rsidRPr="00697825">
        <w:rPr>
          <w:rStyle w:val="FootnoteReference"/>
          <w:rFonts w:ascii="Verdana" w:hAnsi="Verdana" w:cs="Tahoma"/>
          <w:bCs/>
          <w:color w:val="000000"/>
          <w:shd w:val="clear" w:color="auto" w:fill="FFFFFF"/>
        </w:rPr>
        <w:footnoteReference w:id="85"/>
      </w:r>
      <w:r w:rsidR="00026D4D" w:rsidRPr="00697825">
        <w:rPr>
          <w:rStyle w:val="Strong"/>
          <w:rFonts w:ascii="Verdana" w:hAnsi="Verdana" w:cs="Tahoma"/>
          <w:b w:val="0"/>
          <w:color w:val="000000"/>
          <w:shd w:val="clear" w:color="auto" w:fill="FFFFFF"/>
        </w:rPr>
        <w:t xml:space="preserve">, </w:t>
      </w:r>
      <w:r w:rsidR="00026D4D" w:rsidRPr="00133868">
        <w:rPr>
          <w:rStyle w:val="Strong"/>
          <w:rFonts w:ascii="Verdana" w:hAnsi="Verdana" w:cs="Tahoma"/>
          <w:b w:val="0"/>
          <w:color w:val="000000"/>
          <w:u w:val="single"/>
          <w:shd w:val="clear" w:color="auto" w:fill="FFFFFF"/>
        </w:rPr>
        <w:t>ninguna tuvo como objetivo lograr la efectivi</w:t>
      </w:r>
      <w:r w:rsidR="007106FC">
        <w:rPr>
          <w:rStyle w:val="Strong"/>
          <w:rFonts w:ascii="Verdana" w:hAnsi="Verdana" w:cs="Tahoma"/>
          <w:b w:val="0"/>
          <w:color w:val="000000"/>
          <w:u w:val="single"/>
          <w:shd w:val="clear" w:color="auto" w:fill="FFFFFF"/>
        </w:rPr>
        <w:t xml:space="preserve">dad de establecer un mecanismo o </w:t>
      </w:r>
      <w:r w:rsidR="00026D4D" w:rsidRPr="00133868">
        <w:rPr>
          <w:rStyle w:val="Strong"/>
          <w:rFonts w:ascii="Verdana" w:hAnsi="Verdana" w:cs="Tahoma"/>
          <w:b w:val="0"/>
          <w:color w:val="000000"/>
          <w:u w:val="single"/>
          <w:shd w:val="clear" w:color="auto" w:fill="FFFFFF"/>
        </w:rPr>
        <w:t>práctica que garantizara la búsqueda inm</w:t>
      </w:r>
      <w:r w:rsidR="00133868">
        <w:rPr>
          <w:rStyle w:val="Strong"/>
          <w:rFonts w:ascii="Verdana" w:hAnsi="Verdana" w:cs="Tahoma"/>
          <w:b w:val="0"/>
          <w:color w:val="000000"/>
          <w:u w:val="single"/>
          <w:shd w:val="clear" w:color="auto" w:fill="FFFFFF"/>
        </w:rPr>
        <w:t>ediata de mujeres desaparecidas;</w:t>
      </w:r>
      <w:r w:rsidR="00026D4D" w:rsidRPr="00133868">
        <w:rPr>
          <w:rStyle w:val="Strong"/>
          <w:rFonts w:ascii="Verdana" w:hAnsi="Verdana" w:cs="Tahoma"/>
          <w:b w:val="0"/>
          <w:color w:val="000000"/>
          <w:u w:val="single"/>
          <w:shd w:val="clear" w:color="auto" w:fill="FFFFFF"/>
        </w:rPr>
        <w:t xml:space="preserve"> </w:t>
      </w:r>
      <w:r w:rsidR="00026D4D" w:rsidRPr="00697825">
        <w:rPr>
          <w:rStyle w:val="Strong"/>
          <w:rFonts w:ascii="Verdana" w:hAnsi="Verdana" w:cs="Tahoma"/>
          <w:b w:val="0"/>
          <w:color w:val="000000"/>
          <w:shd w:val="clear" w:color="auto" w:fill="FFFFFF"/>
        </w:rPr>
        <w:t>situación que repercutió evidentemente en el “segundo momento”</w:t>
      </w:r>
      <w:r w:rsidR="003962FF" w:rsidRPr="00697825">
        <w:rPr>
          <w:rStyle w:val="Strong"/>
          <w:rFonts w:ascii="Verdana" w:hAnsi="Verdana" w:cs="Tahoma"/>
          <w:b w:val="0"/>
          <w:color w:val="000000"/>
          <w:shd w:val="clear" w:color="auto" w:fill="FFFFFF"/>
        </w:rPr>
        <w:t>,</w:t>
      </w:r>
      <w:r w:rsidR="00026D4D" w:rsidRPr="00697825">
        <w:rPr>
          <w:rStyle w:val="Strong"/>
          <w:rFonts w:ascii="Verdana" w:hAnsi="Verdana" w:cs="Tahoma"/>
          <w:b w:val="0"/>
          <w:color w:val="000000"/>
          <w:shd w:val="clear" w:color="auto" w:fill="FFFFFF"/>
        </w:rPr>
        <w:t xml:space="preserve"> cuando </w:t>
      </w:r>
      <w:r w:rsidR="003962FF" w:rsidRPr="00697825">
        <w:rPr>
          <w:rStyle w:val="Strong"/>
          <w:rFonts w:ascii="Verdana" w:hAnsi="Verdana" w:cs="Tahoma"/>
          <w:b w:val="0"/>
          <w:color w:val="000000"/>
          <w:shd w:val="clear" w:color="auto" w:fill="FFFFFF"/>
        </w:rPr>
        <w:t>los</w:t>
      </w:r>
      <w:r w:rsidR="00026D4D" w:rsidRPr="00697825">
        <w:rPr>
          <w:rStyle w:val="Strong"/>
          <w:rFonts w:ascii="Verdana" w:hAnsi="Verdana" w:cs="Tahoma"/>
          <w:b w:val="0"/>
          <w:color w:val="000000"/>
          <w:shd w:val="clear" w:color="auto" w:fill="FFFFFF"/>
        </w:rPr>
        <w:t xml:space="preserve"> padres</w:t>
      </w:r>
      <w:r w:rsidR="003962FF" w:rsidRPr="00697825">
        <w:rPr>
          <w:rStyle w:val="Strong"/>
          <w:rFonts w:ascii="Verdana" w:hAnsi="Verdana" w:cs="Tahoma"/>
          <w:b w:val="0"/>
          <w:color w:val="000000"/>
          <w:shd w:val="clear" w:color="auto" w:fill="FFFFFF"/>
        </w:rPr>
        <w:t xml:space="preserve"> de la víctima</w:t>
      </w:r>
      <w:r w:rsidR="00026D4D" w:rsidRPr="00697825">
        <w:rPr>
          <w:rStyle w:val="Strong"/>
          <w:rFonts w:ascii="Verdana" w:hAnsi="Verdana" w:cs="Tahoma"/>
          <w:b w:val="0"/>
          <w:color w:val="000000"/>
          <w:shd w:val="clear" w:color="auto" w:fill="FFFFFF"/>
        </w:rPr>
        <w:t xml:space="preserve"> se</w:t>
      </w:r>
      <w:r w:rsidR="00133868">
        <w:rPr>
          <w:rStyle w:val="Strong"/>
          <w:rFonts w:ascii="Verdana" w:hAnsi="Verdana" w:cs="Tahoma"/>
          <w:b w:val="0"/>
          <w:color w:val="000000"/>
          <w:shd w:val="clear" w:color="auto" w:fill="FFFFFF"/>
        </w:rPr>
        <w:t xml:space="preserve"> enfrentaron a la inexistencia —que persiste</w:t>
      </w:r>
      <w:r w:rsidR="003962FF" w:rsidRPr="00697825">
        <w:rPr>
          <w:rStyle w:val="Strong"/>
          <w:rFonts w:ascii="Verdana" w:hAnsi="Verdana" w:cs="Tahoma"/>
          <w:b w:val="0"/>
          <w:color w:val="000000"/>
          <w:shd w:val="clear" w:color="auto" w:fill="FFFFFF"/>
        </w:rPr>
        <w:t xml:space="preserve"> </w:t>
      </w:r>
      <w:r w:rsidR="00026D4D" w:rsidRPr="00697825">
        <w:rPr>
          <w:rStyle w:val="Strong"/>
          <w:rFonts w:ascii="Verdana" w:hAnsi="Verdana" w:cs="Tahoma"/>
          <w:b w:val="0"/>
          <w:color w:val="000000"/>
          <w:shd w:val="clear" w:color="auto" w:fill="FFFFFF"/>
        </w:rPr>
        <w:t>hasta el día de hoy</w:t>
      </w:r>
      <w:r w:rsidR="00133868">
        <w:rPr>
          <w:rStyle w:val="Strong"/>
          <w:rFonts w:ascii="Verdana" w:hAnsi="Verdana" w:cs="Tahoma"/>
          <w:b w:val="0"/>
          <w:color w:val="000000"/>
          <w:shd w:val="clear" w:color="auto" w:fill="FFFFFF"/>
        </w:rPr>
        <w:t>—</w:t>
      </w:r>
      <w:r w:rsidR="00026D4D" w:rsidRPr="00697825">
        <w:rPr>
          <w:rStyle w:val="Strong"/>
          <w:rFonts w:ascii="Verdana" w:hAnsi="Verdana" w:cs="Tahoma"/>
          <w:b w:val="0"/>
          <w:color w:val="000000"/>
          <w:shd w:val="clear" w:color="auto" w:fill="FFFFFF"/>
        </w:rPr>
        <w:t xml:space="preserve"> de un </w:t>
      </w:r>
      <w:r w:rsidR="00133868">
        <w:rPr>
          <w:rStyle w:val="Strong"/>
          <w:rFonts w:ascii="Verdana" w:hAnsi="Verdana" w:cs="Tahoma"/>
          <w:b w:val="0"/>
          <w:color w:val="000000"/>
          <w:shd w:val="clear" w:color="auto" w:fill="FFFFFF"/>
        </w:rPr>
        <w:t>instrumento, mecanismo o</w:t>
      </w:r>
      <w:r w:rsidR="00026D4D" w:rsidRPr="00697825">
        <w:rPr>
          <w:rStyle w:val="Strong"/>
          <w:rFonts w:ascii="Verdana" w:hAnsi="Verdana" w:cs="Tahoma"/>
          <w:b w:val="0"/>
          <w:color w:val="000000"/>
          <w:shd w:val="clear" w:color="auto" w:fill="FFFFFF"/>
        </w:rPr>
        <w:t xml:space="preserve"> práctica para la búsqueda inmediata </w:t>
      </w:r>
      <w:r w:rsidR="00465E2D">
        <w:rPr>
          <w:rStyle w:val="Strong"/>
          <w:rFonts w:ascii="Verdana" w:hAnsi="Verdana" w:cs="Tahoma"/>
          <w:b w:val="0"/>
          <w:color w:val="000000"/>
          <w:shd w:val="clear" w:color="auto" w:fill="FFFFFF"/>
        </w:rPr>
        <w:t>de su hija.</w:t>
      </w:r>
    </w:p>
    <w:p w14:paraId="32210867" w14:textId="77777777" w:rsidR="005069E6" w:rsidRPr="00F9275D" w:rsidRDefault="005069E6" w:rsidP="008C7F7F">
      <w:pPr>
        <w:pStyle w:val="FootnoteText"/>
        <w:jc w:val="both"/>
        <w:rPr>
          <w:rStyle w:val="Strong"/>
          <w:rFonts w:ascii="Verdana" w:hAnsi="Verdana" w:cs="Tahoma"/>
          <w:b w:val="0"/>
          <w:color w:val="000000"/>
          <w:shd w:val="clear" w:color="auto" w:fill="FFFFFF"/>
        </w:rPr>
      </w:pPr>
    </w:p>
    <w:p w14:paraId="32210868" w14:textId="74BA73DD" w:rsidR="00B96D56"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47</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A81FA0">
        <w:rPr>
          <w:rStyle w:val="Strong"/>
          <w:rFonts w:ascii="Verdana" w:hAnsi="Verdana" w:cs="Tahoma"/>
          <w:b w:val="0"/>
          <w:color w:val="000000"/>
          <w:shd w:val="clear" w:color="auto" w:fill="FFFFFF"/>
        </w:rPr>
        <w:t>Lo anterior</w:t>
      </w:r>
      <w:r w:rsidR="00853EB1" w:rsidRPr="00F9275D">
        <w:rPr>
          <w:rStyle w:val="Strong"/>
          <w:rFonts w:ascii="Verdana" w:hAnsi="Verdana" w:cs="Tahoma"/>
          <w:b w:val="0"/>
          <w:color w:val="000000"/>
          <w:shd w:val="clear" w:color="auto" w:fill="FFFFFF"/>
        </w:rPr>
        <w:t xml:space="preserve"> encuentra lógica al observar las medidas de re</w:t>
      </w:r>
      <w:r w:rsidR="00A2057C" w:rsidRPr="00F9275D">
        <w:rPr>
          <w:rStyle w:val="Strong"/>
          <w:rFonts w:ascii="Verdana" w:hAnsi="Verdana" w:cs="Tahoma"/>
          <w:b w:val="0"/>
          <w:color w:val="000000"/>
          <w:shd w:val="clear" w:color="auto" w:fill="FFFFFF"/>
        </w:rPr>
        <w:t>paración ordenadas por la Corte</w:t>
      </w:r>
      <w:r w:rsidR="00A81FA0">
        <w:rPr>
          <w:rStyle w:val="Strong"/>
          <w:rFonts w:ascii="Verdana" w:hAnsi="Verdana" w:cs="Tahoma"/>
          <w:b w:val="0"/>
          <w:color w:val="000000"/>
          <w:shd w:val="clear" w:color="auto" w:fill="FFFFFF"/>
        </w:rPr>
        <w:t xml:space="preserve"> IDH</w:t>
      </w:r>
      <w:r w:rsidR="00133868">
        <w:rPr>
          <w:rStyle w:val="Strong"/>
          <w:rFonts w:ascii="Verdana" w:hAnsi="Verdana" w:cs="Tahoma"/>
          <w:b w:val="0"/>
          <w:color w:val="000000"/>
          <w:shd w:val="clear" w:color="auto" w:fill="FFFFFF"/>
        </w:rPr>
        <w:t xml:space="preserve">. En efecto, </w:t>
      </w:r>
      <w:r w:rsidR="00A2057C" w:rsidRPr="00F9275D">
        <w:rPr>
          <w:rStyle w:val="Strong"/>
          <w:rFonts w:ascii="Verdana" w:hAnsi="Verdana" w:cs="Tahoma"/>
          <w:b w:val="0"/>
          <w:color w:val="000000"/>
          <w:shd w:val="clear" w:color="auto" w:fill="FFFFFF"/>
        </w:rPr>
        <w:t xml:space="preserve">dentro de las </w:t>
      </w:r>
      <w:r w:rsidR="00133868">
        <w:rPr>
          <w:rStyle w:val="Strong"/>
          <w:rFonts w:ascii="Verdana" w:hAnsi="Verdana" w:cs="Tahoma"/>
          <w:b w:val="0"/>
          <w:color w:val="000000"/>
          <w:shd w:val="clear" w:color="auto" w:fill="FFFFFF"/>
        </w:rPr>
        <w:t>“</w:t>
      </w:r>
      <w:r w:rsidR="00A2057C" w:rsidRPr="00F9275D">
        <w:rPr>
          <w:rStyle w:val="Strong"/>
          <w:rFonts w:ascii="Verdana" w:hAnsi="Verdana" w:cs="Tahoma"/>
          <w:b w:val="0"/>
          <w:color w:val="000000"/>
          <w:shd w:val="clear" w:color="auto" w:fill="FFFFFF"/>
        </w:rPr>
        <w:t>garantías de no repetición</w:t>
      </w:r>
      <w:r w:rsidR="00133868">
        <w:rPr>
          <w:rStyle w:val="Strong"/>
          <w:rFonts w:ascii="Verdana" w:hAnsi="Verdana" w:cs="Tahoma"/>
          <w:b w:val="0"/>
          <w:color w:val="000000"/>
          <w:shd w:val="clear" w:color="auto" w:fill="FFFFFF"/>
        </w:rPr>
        <w:t>”</w:t>
      </w:r>
      <w:r w:rsidR="00A2057C" w:rsidRPr="00F9275D">
        <w:rPr>
          <w:rStyle w:val="Strong"/>
          <w:rFonts w:ascii="Verdana" w:hAnsi="Verdana" w:cs="Tahoma"/>
          <w:b w:val="0"/>
          <w:color w:val="000000"/>
          <w:shd w:val="clear" w:color="auto" w:fill="FFFFFF"/>
        </w:rPr>
        <w:t xml:space="preserve"> y bajo el rubro de “medidas para prevenir [la] violencia contra la mujer: política estatal”</w:t>
      </w:r>
      <w:r w:rsidR="00A2057C" w:rsidRPr="00F9275D">
        <w:rPr>
          <w:rStyle w:val="FootnoteReference"/>
          <w:rFonts w:ascii="Verdana" w:hAnsi="Verdana" w:cs="Tahoma"/>
          <w:bCs/>
          <w:color w:val="000000"/>
          <w:shd w:val="clear" w:color="auto" w:fill="FFFFFF"/>
        </w:rPr>
        <w:footnoteReference w:id="86"/>
      </w:r>
      <w:r w:rsidR="00A2057C" w:rsidRPr="00F9275D">
        <w:rPr>
          <w:rStyle w:val="Strong"/>
          <w:rFonts w:ascii="Verdana" w:hAnsi="Verdana" w:cs="Tahoma"/>
          <w:b w:val="0"/>
          <w:color w:val="000000"/>
          <w:shd w:val="clear" w:color="auto" w:fill="FFFFFF"/>
        </w:rPr>
        <w:t xml:space="preserve"> </w:t>
      </w:r>
      <w:r w:rsidR="00133868">
        <w:rPr>
          <w:rStyle w:val="Strong"/>
          <w:rFonts w:ascii="Verdana" w:hAnsi="Verdana" w:cs="Tahoma"/>
          <w:b w:val="0"/>
          <w:color w:val="000000"/>
          <w:shd w:val="clear" w:color="auto" w:fill="FFFFFF"/>
        </w:rPr>
        <w:t>el Tribunal Interamericano</w:t>
      </w:r>
      <w:r w:rsidR="007F12CE" w:rsidRPr="00F9275D">
        <w:rPr>
          <w:rStyle w:val="Strong"/>
          <w:rFonts w:ascii="Verdana" w:hAnsi="Verdana" w:cs="Tahoma"/>
          <w:b w:val="0"/>
          <w:color w:val="000000"/>
          <w:shd w:val="clear" w:color="auto" w:fill="FFFFFF"/>
        </w:rPr>
        <w:t xml:space="preserve"> </w:t>
      </w:r>
      <w:r w:rsidR="00B96D56" w:rsidRPr="00F9275D">
        <w:rPr>
          <w:rStyle w:val="Strong"/>
          <w:rFonts w:ascii="Verdana" w:hAnsi="Verdana" w:cs="Tahoma"/>
          <w:b w:val="0"/>
          <w:color w:val="000000"/>
          <w:shd w:val="clear" w:color="auto" w:fill="FFFFFF"/>
        </w:rPr>
        <w:t>evidenció</w:t>
      </w:r>
      <w:r w:rsidR="007F12CE" w:rsidRPr="00F9275D">
        <w:rPr>
          <w:rStyle w:val="Strong"/>
          <w:rFonts w:ascii="Verdana" w:hAnsi="Verdana" w:cs="Tahoma"/>
          <w:b w:val="0"/>
          <w:color w:val="000000"/>
          <w:shd w:val="clear" w:color="auto" w:fill="FFFFFF"/>
        </w:rPr>
        <w:t xml:space="preserve"> la insuficiencia de las medidas implementadas por el Estado</w:t>
      </w:r>
      <w:r w:rsidR="00B96D56" w:rsidRPr="00F9275D">
        <w:rPr>
          <w:rStyle w:val="Strong"/>
          <w:rFonts w:ascii="Verdana" w:hAnsi="Verdana" w:cs="Tahoma"/>
          <w:b w:val="0"/>
          <w:color w:val="000000"/>
          <w:shd w:val="clear" w:color="auto" w:fill="FFFFFF"/>
        </w:rPr>
        <w:t xml:space="preserve"> para hacer frente a la problemática</w:t>
      </w:r>
      <w:r w:rsidR="006735FD" w:rsidRPr="00F9275D">
        <w:rPr>
          <w:rStyle w:val="FootnoteReference"/>
          <w:rFonts w:ascii="Verdana" w:hAnsi="Verdana" w:cs="Tahoma"/>
          <w:bCs/>
          <w:color w:val="000000"/>
          <w:shd w:val="clear" w:color="auto" w:fill="FFFFFF"/>
        </w:rPr>
        <w:footnoteReference w:id="87"/>
      </w:r>
      <w:r w:rsidR="00B96D56" w:rsidRPr="00F9275D">
        <w:rPr>
          <w:rStyle w:val="Strong"/>
          <w:rFonts w:ascii="Verdana" w:hAnsi="Verdana" w:cs="Tahoma"/>
          <w:b w:val="0"/>
          <w:color w:val="000000"/>
          <w:shd w:val="clear" w:color="auto" w:fill="FFFFFF"/>
        </w:rPr>
        <w:t xml:space="preserve">, </w:t>
      </w:r>
      <w:r w:rsidR="00DE1735" w:rsidRPr="00F9275D">
        <w:rPr>
          <w:rStyle w:val="Strong"/>
          <w:rFonts w:ascii="Verdana" w:hAnsi="Verdana" w:cs="Tahoma"/>
          <w:b w:val="0"/>
          <w:color w:val="000000"/>
          <w:shd w:val="clear" w:color="auto" w:fill="FFFFFF"/>
        </w:rPr>
        <w:t>destacando</w:t>
      </w:r>
      <w:r w:rsidR="00B96D56" w:rsidRPr="00F9275D">
        <w:rPr>
          <w:rStyle w:val="Strong"/>
          <w:rFonts w:ascii="Verdana" w:hAnsi="Verdana" w:cs="Tahoma"/>
          <w:b w:val="0"/>
          <w:color w:val="000000"/>
          <w:shd w:val="clear" w:color="auto" w:fill="FFFFFF"/>
        </w:rPr>
        <w:t xml:space="preserve"> </w:t>
      </w:r>
      <w:r w:rsidR="00181EED" w:rsidRPr="00F9275D">
        <w:rPr>
          <w:rStyle w:val="Strong"/>
          <w:rFonts w:ascii="Verdana" w:hAnsi="Verdana" w:cs="Tahoma"/>
          <w:b w:val="0"/>
          <w:color w:val="000000"/>
          <w:shd w:val="clear" w:color="auto" w:fill="FFFFFF"/>
        </w:rPr>
        <w:t xml:space="preserve">que a pesar de </w:t>
      </w:r>
      <w:r w:rsidR="00B96D56" w:rsidRPr="00F9275D">
        <w:rPr>
          <w:rStyle w:val="Strong"/>
          <w:rFonts w:ascii="Verdana" w:hAnsi="Verdana" w:cs="Tahoma"/>
          <w:b w:val="0"/>
          <w:color w:val="000000"/>
          <w:shd w:val="clear" w:color="auto" w:fill="FFFFFF"/>
        </w:rPr>
        <w:t>la existencia de una “</w:t>
      </w:r>
      <w:r w:rsidR="009B4BFD">
        <w:rPr>
          <w:rStyle w:val="Strong"/>
          <w:rFonts w:ascii="Verdana" w:hAnsi="Verdana" w:cs="Tahoma"/>
          <w:b w:val="0"/>
          <w:color w:val="000000"/>
          <w:shd w:val="clear" w:color="auto" w:fill="FFFFFF"/>
        </w:rPr>
        <w:t xml:space="preserve">iniciativa de </w:t>
      </w:r>
      <w:r w:rsidR="00B96D56" w:rsidRPr="00F9275D">
        <w:rPr>
          <w:rStyle w:val="Strong"/>
          <w:rFonts w:ascii="Verdana" w:hAnsi="Verdana" w:cs="Tahoma"/>
          <w:b w:val="0"/>
          <w:color w:val="000000"/>
          <w:shd w:val="clear" w:color="auto" w:fill="FFFFFF"/>
        </w:rPr>
        <w:t>Ley de Búsqueda Inmediata de Mujeres Desaparecidas</w:t>
      </w:r>
      <w:r w:rsidR="00133868">
        <w:rPr>
          <w:rStyle w:val="Strong"/>
          <w:rFonts w:ascii="Verdana" w:hAnsi="Verdana" w:cs="Tahoma"/>
          <w:b w:val="0"/>
          <w:color w:val="000000"/>
          <w:shd w:val="clear" w:color="auto" w:fill="FFFFFF"/>
        </w:rPr>
        <w:t>” —</w:t>
      </w:r>
      <w:r w:rsidR="00181EED" w:rsidRPr="00F9275D">
        <w:rPr>
          <w:rStyle w:val="Strong"/>
          <w:rFonts w:ascii="Verdana" w:hAnsi="Verdana" w:cs="Tahoma"/>
          <w:b w:val="0"/>
          <w:color w:val="000000"/>
          <w:shd w:val="clear" w:color="auto" w:fill="FFFFFF"/>
        </w:rPr>
        <w:t>la cual aborda la problemática de la falta de un mecanismo de búsqueda inmediata de mujeres desaparecidas</w:t>
      </w:r>
      <w:r w:rsidR="00133868">
        <w:rPr>
          <w:rStyle w:val="Strong"/>
          <w:rFonts w:ascii="Verdana" w:hAnsi="Verdana" w:cs="Tahoma"/>
          <w:b w:val="0"/>
          <w:color w:val="000000"/>
          <w:shd w:val="clear" w:color="auto" w:fill="FFFFFF"/>
        </w:rPr>
        <w:t>—</w:t>
      </w:r>
      <w:r w:rsidR="00181EED" w:rsidRPr="00F9275D">
        <w:rPr>
          <w:rStyle w:val="Strong"/>
          <w:rFonts w:ascii="Verdana" w:hAnsi="Verdana" w:cs="Tahoma"/>
          <w:b w:val="0"/>
          <w:color w:val="000000"/>
          <w:shd w:val="clear" w:color="auto" w:fill="FFFFFF"/>
        </w:rPr>
        <w:t xml:space="preserve"> no ha sido objeto de aprobación </w:t>
      </w:r>
      <w:r w:rsidR="00133868">
        <w:rPr>
          <w:rStyle w:val="Strong"/>
          <w:rFonts w:ascii="Verdana" w:hAnsi="Verdana" w:cs="Tahoma"/>
          <w:b w:val="0"/>
          <w:color w:val="000000"/>
          <w:shd w:val="clear" w:color="auto" w:fill="FFFFFF"/>
        </w:rPr>
        <w:t xml:space="preserve">hasta la fecha </w:t>
      </w:r>
      <w:r w:rsidR="00181EED" w:rsidRPr="00F9275D">
        <w:rPr>
          <w:rStyle w:val="Strong"/>
          <w:rFonts w:ascii="Verdana" w:hAnsi="Verdana" w:cs="Tahoma"/>
          <w:b w:val="0"/>
          <w:color w:val="000000"/>
          <w:shd w:val="clear" w:color="auto" w:fill="FFFFFF"/>
        </w:rPr>
        <w:t>por el Congreso de Guatemala</w:t>
      </w:r>
      <w:r w:rsidR="00181EED" w:rsidRPr="00F9275D">
        <w:rPr>
          <w:rStyle w:val="FootnoteReference"/>
          <w:rFonts w:ascii="Verdana" w:hAnsi="Verdana" w:cs="Tahoma"/>
          <w:bCs/>
          <w:color w:val="000000"/>
          <w:shd w:val="clear" w:color="auto" w:fill="FFFFFF"/>
        </w:rPr>
        <w:footnoteReference w:id="88"/>
      </w:r>
      <w:r w:rsidR="00181EED" w:rsidRPr="00F9275D">
        <w:rPr>
          <w:rStyle w:val="Strong"/>
          <w:rFonts w:ascii="Verdana" w:hAnsi="Verdana" w:cs="Tahoma"/>
          <w:b w:val="0"/>
          <w:color w:val="000000"/>
          <w:shd w:val="clear" w:color="auto" w:fill="FFFFFF"/>
        </w:rPr>
        <w:t>.</w:t>
      </w:r>
    </w:p>
    <w:p w14:paraId="32210869" w14:textId="77777777" w:rsidR="00181EED" w:rsidRPr="00F9275D" w:rsidRDefault="00181EED" w:rsidP="008C7F7F">
      <w:pPr>
        <w:pStyle w:val="FootnoteText"/>
        <w:jc w:val="both"/>
        <w:rPr>
          <w:rStyle w:val="Strong"/>
          <w:rFonts w:ascii="Verdana" w:hAnsi="Verdana" w:cs="Tahoma"/>
          <w:b w:val="0"/>
          <w:color w:val="000000"/>
          <w:shd w:val="clear" w:color="auto" w:fill="FFFFFF"/>
        </w:rPr>
      </w:pPr>
    </w:p>
    <w:p w14:paraId="3221086A" w14:textId="2FFBD800" w:rsidR="00F9275D" w:rsidRP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lastRenderedPageBreak/>
        <w:t>48</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133868">
        <w:rPr>
          <w:rStyle w:val="Strong"/>
          <w:rFonts w:ascii="Verdana" w:hAnsi="Verdana" w:cs="Tahoma"/>
          <w:b w:val="0"/>
          <w:color w:val="000000"/>
          <w:shd w:val="clear" w:color="auto" w:fill="FFFFFF"/>
        </w:rPr>
        <w:t>En ese sentido</w:t>
      </w:r>
      <w:r w:rsidR="00DE1735" w:rsidRPr="00F9275D">
        <w:rPr>
          <w:rStyle w:val="Strong"/>
          <w:rFonts w:ascii="Verdana" w:hAnsi="Verdana" w:cs="Tahoma"/>
          <w:b w:val="0"/>
          <w:color w:val="000000"/>
          <w:shd w:val="clear" w:color="auto" w:fill="FFFFFF"/>
        </w:rPr>
        <w:t xml:space="preserve">, la Corte </w:t>
      </w:r>
      <w:r w:rsidR="00133868">
        <w:rPr>
          <w:rStyle w:val="Strong"/>
          <w:rFonts w:ascii="Verdana" w:hAnsi="Verdana" w:cs="Tahoma"/>
          <w:b w:val="0"/>
          <w:color w:val="000000"/>
          <w:shd w:val="clear" w:color="auto" w:fill="FFFFFF"/>
        </w:rPr>
        <w:t xml:space="preserve">IDH </w:t>
      </w:r>
      <w:r w:rsidR="00DE1735" w:rsidRPr="00F9275D">
        <w:rPr>
          <w:rStyle w:val="Strong"/>
          <w:rFonts w:ascii="Verdana" w:hAnsi="Verdana" w:cs="Tahoma"/>
          <w:b w:val="0"/>
          <w:color w:val="000000"/>
          <w:shd w:val="clear" w:color="auto" w:fill="FFFFFF"/>
        </w:rPr>
        <w:t xml:space="preserve">concluyó </w:t>
      </w:r>
      <w:r w:rsidR="00133868">
        <w:rPr>
          <w:rStyle w:val="Strong"/>
          <w:rFonts w:ascii="Verdana" w:hAnsi="Verdana" w:cs="Tahoma"/>
          <w:b w:val="0"/>
          <w:color w:val="000000"/>
          <w:shd w:val="clear" w:color="auto" w:fill="FFFFFF"/>
        </w:rPr>
        <w:t xml:space="preserve">en </w:t>
      </w:r>
      <w:r w:rsidR="00DE1735" w:rsidRPr="00F9275D">
        <w:rPr>
          <w:rStyle w:val="Strong"/>
          <w:rFonts w:ascii="Verdana" w:hAnsi="Verdana" w:cs="Tahoma"/>
          <w:b w:val="0"/>
          <w:color w:val="000000"/>
          <w:shd w:val="clear" w:color="auto" w:fill="FFFFFF"/>
        </w:rPr>
        <w:t>la necesidad “de regular la búsqueda de mujeres desaparecidas en Guatemala”, y en consecuencia, ordenó a dicho Estado la adopción de “una estrategia, sistema, mecanismo o programa nacional, a través de medidas legislativas o de otro carácter, a efectos de lograr la búsqueda eficaz e inmediata de mujeres desaparecidas” de modo que ante denuncias de esa naturaleza “las autoridades correspondientes las reciban inmediatamente y sin necesidad de ninguna formalidad y</w:t>
      </w:r>
      <w:r w:rsidR="002842D5">
        <w:rPr>
          <w:rStyle w:val="Strong"/>
          <w:rFonts w:ascii="Verdana" w:hAnsi="Verdana" w:cs="Tahoma"/>
          <w:b w:val="0"/>
          <w:color w:val="000000"/>
          <w:shd w:val="clear" w:color="auto" w:fill="FFFFFF"/>
        </w:rPr>
        <w:t>,</w:t>
      </w:r>
      <w:r w:rsidR="00DE1735" w:rsidRPr="00F9275D">
        <w:rPr>
          <w:rStyle w:val="Strong"/>
          <w:rFonts w:ascii="Verdana" w:hAnsi="Verdana" w:cs="Tahoma"/>
          <w:b w:val="0"/>
          <w:color w:val="000000"/>
          <w:shd w:val="clear" w:color="auto" w:fill="FFFFFF"/>
        </w:rPr>
        <w:t xml:space="preserve"> al mismo tiempo, </w:t>
      </w:r>
      <w:r w:rsidR="002842D5">
        <w:rPr>
          <w:rStyle w:val="Strong"/>
          <w:rFonts w:ascii="Verdana" w:hAnsi="Verdana" w:cs="Tahoma"/>
          <w:b w:val="0"/>
          <w:color w:val="000000"/>
          <w:shd w:val="clear" w:color="auto" w:fill="FFFFFF"/>
        </w:rPr>
        <w:t xml:space="preserve">que </w:t>
      </w:r>
      <w:r w:rsidR="00DE1735" w:rsidRPr="00F9275D">
        <w:rPr>
          <w:rStyle w:val="Strong"/>
          <w:rFonts w:ascii="Verdana" w:hAnsi="Verdana" w:cs="Tahoma"/>
          <w:b w:val="0"/>
          <w:color w:val="000000"/>
          <w:shd w:val="clear" w:color="auto" w:fill="FFFFFF"/>
        </w:rPr>
        <w:t>inicien las acciones que permitan localizar y prevenir la violación de los derechos a la vida e integridad personal”</w:t>
      </w:r>
      <w:r w:rsidR="00DE1735" w:rsidRPr="00F9275D">
        <w:rPr>
          <w:rStyle w:val="FootnoteReference"/>
          <w:rFonts w:ascii="Verdana" w:hAnsi="Verdana" w:cs="Tahoma"/>
          <w:bCs/>
          <w:color w:val="000000"/>
          <w:shd w:val="clear" w:color="auto" w:fill="FFFFFF"/>
        </w:rPr>
        <w:footnoteReference w:id="89"/>
      </w:r>
      <w:r w:rsidR="00DE1735" w:rsidRPr="00F9275D">
        <w:rPr>
          <w:rStyle w:val="Strong"/>
          <w:rFonts w:ascii="Verdana" w:hAnsi="Verdana" w:cs="Tahoma"/>
          <w:b w:val="0"/>
          <w:color w:val="000000"/>
          <w:shd w:val="clear" w:color="auto" w:fill="FFFFFF"/>
        </w:rPr>
        <w:t xml:space="preserve">. </w:t>
      </w:r>
    </w:p>
    <w:p w14:paraId="3221086B" w14:textId="77777777" w:rsidR="00F9275D" w:rsidRPr="00F9275D" w:rsidRDefault="00F9275D" w:rsidP="008C7F7F">
      <w:pPr>
        <w:pStyle w:val="FootnoteText"/>
        <w:jc w:val="both"/>
        <w:rPr>
          <w:rStyle w:val="Strong"/>
          <w:rFonts w:ascii="Verdana" w:hAnsi="Verdana" w:cs="Tahoma"/>
          <w:b w:val="0"/>
          <w:color w:val="000000"/>
          <w:shd w:val="clear" w:color="auto" w:fill="FFFFFF"/>
        </w:rPr>
      </w:pPr>
    </w:p>
    <w:p w14:paraId="3221086C" w14:textId="77777777" w:rsidR="00F9275D" w:rsidRDefault="00522631" w:rsidP="00C57B1A">
      <w:pPr>
        <w:pStyle w:val="FootnoteText"/>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49</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181EED" w:rsidRPr="00F9275D">
        <w:rPr>
          <w:rStyle w:val="Strong"/>
          <w:rFonts w:ascii="Verdana" w:hAnsi="Verdana" w:cs="Tahoma"/>
          <w:b w:val="0"/>
          <w:color w:val="000000"/>
          <w:shd w:val="clear" w:color="auto" w:fill="FFFFFF"/>
        </w:rPr>
        <w:t>Ante ese panorama,</w:t>
      </w:r>
      <w:r w:rsidR="005E5477" w:rsidRPr="00F9275D">
        <w:rPr>
          <w:rStyle w:val="Strong"/>
          <w:rFonts w:ascii="Verdana" w:hAnsi="Verdana" w:cs="Tahoma"/>
          <w:b w:val="0"/>
          <w:color w:val="000000"/>
          <w:shd w:val="clear" w:color="auto" w:fill="FFFFFF"/>
        </w:rPr>
        <w:t xml:space="preserve"> es evidente que</w:t>
      </w:r>
      <w:r w:rsidR="004E13C4" w:rsidRPr="00F9275D">
        <w:rPr>
          <w:rStyle w:val="Strong"/>
          <w:rFonts w:ascii="Verdana" w:hAnsi="Verdana" w:cs="Tahoma"/>
          <w:b w:val="0"/>
          <w:color w:val="000000"/>
          <w:shd w:val="clear" w:color="auto" w:fill="FFFFFF"/>
        </w:rPr>
        <w:t xml:space="preserve"> frente al contexto de violencia contra la mujer que enfrenta</w:t>
      </w:r>
      <w:r w:rsidR="005E5477" w:rsidRPr="00F9275D">
        <w:rPr>
          <w:rStyle w:val="Strong"/>
          <w:rFonts w:ascii="Verdana" w:hAnsi="Verdana" w:cs="Tahoma"/>
          <w:b w:val="0"/>
          <w:color w:val="000000"/>
          <w:shd w:val="clear" w:color="auto" w:fill="FFFFFF"/>
        </w:rPr>
        <w:t xml:space="preserve"> Guatemala</w:t>
      </w:r>
      <w:r w:rsidR="004E13C4" w:rsidRPr="00F9275D">
        <w:rPr>
          <w:rStyle w:val="Strong"/>
          <w:rFonts w:ascii="Verdana" w:hAnsi="Verdana" w:cs="Tahoma"/>
          <w:b w:val="0"/>
          <w:color w:val="000000"/>
          <w:shd w:val="clear" w:color="auto" w:fill="FFFFFF"/>
        </w:rPr>
        <w:t>, dicho Estado</w:t>
      </w:r>
      <w:r w:rsidR="005E5477" w:rsidRPr="00F9275D">
        <w:rPr>
          <w:rStyle w:val="Strong"/>
          <w:rFonts w:ascii="Verdana" w:hAnsi="Verdana" w:cs="Tahoma"/>
          <w:b w:val="0"/>
          <w:color w:val="000000"/>
          <w:shd w:val="clear" w:color="auto" w:fill="FFFFFF"/>
        </w:rPr>
        <w:t xml:space="preserve"> </w:t>
      </w:r>
      <w:r w:rsidR="00D7385D" w:rsidRPr="00F9275D">
        <w:rPr>
          <w:rStyle w:val="Strong"/>
          <w:rFonts w:ascii="Verdana" w:hAnsi="Verdana" w:cs="Tahoma"/>
          <w:b w:val="0"/>
          <w:color w:val="000000"/>
          <w:shd w:val="clear" w:color="auto" w:fill="FFFFFF"/>
        </w:rPr>
        <w:t>debe prever</w:t>
      </w:r>
      <w:r w:rsidR="00F9275D" w:rsidRPr="00F9275D">
        <w:rPr>
          <w:rStyle w:val="Strong"/>
          <w:rFonts w:ascii="Verdana" w:hAnsi="Verdana" w:cs="Tahoma"/>
          <w:b w:val="0"/>
          <w:color w:val="000000"/>
          <w:shd w:val="clear" w:color="auto" w:fill="FFFFFF"/>
        </w:rPr>
        <w:t xml:space="preserve"> normas</w:t>
      </w:r>
      <w:r w:rsidR="00D7385D" w:rsidRPr="00F9275D">
        <w:rPr>
          <w:rStyle w:val="Strong"/>
          <w:rFonts w:ascii="Verdana" w:hAnsi="Verdana" w:cs="Tahoma"/>
          <w:b w:val="0"/>
          <w:color w:val="000000"/>
          <w:shd w:val="clear" w:color="auto" w:fill="FFFFFF"/>
        </w:rPr>
        <w:t xml:space="preserve">, </w:t>
      </w:r>
      <w:r w:rsidR="005E5477" w:rsidRPr="00F9275D">
        <w:rPr>
          <w:rStyle w:val="Strong"/>
          <w:rFonts w:ascii="Verdana" w:hAnsi="Verdana" w:cs="Tahoma"/>
          <w:b w:val="0"/>
          <w:color w:val="000000"/>
          <w:shd w:val="clear" w:color="auto" w:fill="FFFFFF"/>
        </w:rPr>
        <w:t xml:space="preserve">medidas </w:t>
      </w:r>
      <w:r w:rsidR="004E13C4" w:rsidRPr="00F9275D">
        <w:rPr>
          <w:rStyle w:val="Strong"/>
          <w:rFonts w:ascii="Verdana" w:hAnsi="Verdana" w:cs="Tahoma"/>
          <w:b w:val="0"/>
          <w:color w:val="000000"/>
          <w:shd w:val="clear" w:color="auto" w:fill="FFFFFF"/>
        </w:rPr>
        <w:t xml:space="preserve">o </w:t>
      </w:r>
      <w:r w:rsidR="00133868">
        <w:rPr>
          <w:rStyle w:val="Strong"/>
          <w:rFonts w:ascii="Verdana" w:hAnsi="Verdana" w:cs="Tahoma"/>
          <w:b w:val="0"/>
          <w:color w:val="000000"/>
          <w:shd w:val="clear" w:color="auto" w:fill="FFFFFF"/>
        </w:rPr>
        <w:t xml:space="preserve">algún </w:t>
      </w:r>
      <w:r w:rsidR="004E13C4" w:rsidRPr="00F9275D">
        <w:rPr>
          <w:rStyle w:val="Strong"/>
          <w:rFonts w:ascii="Verdana" w:hAnsi="Verdana" w:cs="Tahoma"/>
          <w:b w:val="0"/>
          <w:color w:val="000000"/>
          <w:shd w:val="clear" w:color="auto" w:fill="FFFFFF"/>
        </w:rPr>
        <w:t xml:space="preserve">mecanismo, </w:t>
      </w:r>
      <w:r w:rsidR="00F9275D" w:rsidRPr="00F9275D">
        <w:rPr>
          <w:rStyle w:val="Strong"/>
          <w:rFonts w:ascii="Verdana" w:hAnsi="Verdana" w:cs="Tahoma"/>
          <w:b w:val="0"/>
          <w:color w:val="000000"/>
          <w:shd w:val="clear" w:color="auto" w:fill="FFFFFF"/>
        </w:rPr>
        <w:t>que con independencia de su existencia, sea</w:t>
      </w:r>
      <w:r w:rsidR="00133868">
        <w:rPr>
          <w:rStyle w:val="Strong"/>
          <w:rFonts w:ascii="Verdana" w:hAnsi="Verdana" w:cs="Tahoma"/>
          <w:b w:val="0"/>
          <w:color w:val="000000"/>
          <w:shd w:val="clear" w:color="auto" w:fill="FFFFFF"/>
        </w:rPr>
        <w:t>n “efectivos” en la “práctica” —</w:t>
      </w:r>
      <w:r w:rsidR="00F9275D" w:rsidRPr="00F9275D">
        <w:rPr>
          <w:rStyle w:val="Strong"/>
          <w:rFonts w:ascii="Verdana" w:hAnsi="Verdana" w:cs="Tahoma"/>
          <w:b w:val="0"/>
          <w:color w:val="000000"/>
          <w:shd w:val="clear" w:color="auto" w:fill="FFFFFF"/>
        </w:rPr>
        <w:t>en términos del artículo 2 de la Convención Americana</w:t>
      </w:r>
      <w:r w:rsidR="00133868">
        <w:rPr>
          <w:rStyle w:val="Strong"/>
          <w:rFonts w:ascii="Verdana" w:hAnsi="Verdana" w:cs="Tahoma"/>
          <w:b w:val="0"/>
          <w:color w:val="000000"/>
          <w:shd w:val="clear" w:color="auto" w:fill="FFFFFF"/>
        </w:rPr>
        <w:t>—</w:t>
      </w:r>
      <w:r w:rsidR="00F9275D" w:rsidRPr="00F9275D">
        <w:rPr>
          <w:rStyle w:val="Strong"/>
          <w:rFonts w:ascii="Verdana" w:hAnsi="Verdana" w:cs="Tahoma"/>
          <w:b w:val="0"/>
          <w:color w:val="000000"/>
          <w:shd w:val="clear" w:color="auto" w:fill="FFFFFF"/>
        </w:rPr>
        <w:t xml:space="preserve">, enfocados a prevenir las desapariciones de mujeres a través de una actuación diligente y adecuada por parte de las autoridades que implique la búsqueda inmediata de las mismas y </w:t>
      </w:r>
      <w:r w:rsidR="003F1146" w:rsidRPr="00F9275D">
        <w:rPr>
          <w:rStyle w:val="Strong"/>
          <w:rFonts w:ascii="Verdana" w:hAnsi="Verdana" w:cs="Tahoma"/>
          <w:b w:val="0"/>
          <w:color w:val="000000"/>
          <w:shd w:val="clear" w:color="auto" w:fill="FFFFFF"/>
        </w:rPr>
        <w:t>prevenga</w:t>
      </w:r>
      <w:r w:rsidR="00F9275D" w:rsidRPr="00F9275D">
        <w:rPr>
          <w:rStyle w:val="Strong"/>
          <w:rFonts w:ascii="Verdana" w:hAnsi="Verdana" w:cs="Tahoma"/>
          <w:b w:val="0"/>
          <w:color w:val="000000"/>
          <w:shd w:val="clear" w:color="auto" w:fill="FFFFFF"/>
        </w:rPr>
        <w:t xml:space="preserve"> la concreción de vulneraciones a sus derechos humanos.</w:t>
      </w:r>
    </w:p>
    <w:p w14:paraId="3221086D" w14:textId="77777777" w:rsidR="00C57B1A" w:rsidRPr="00F9275D" w:rsidRDefault="00C57B1A" w:rsidP="00C57B1A">
      <w:pPr>
        <w:pStyle w:val="FootnoteText"/>
        <w:jc w:val="both"/>
        <w:rPr>
          <w:rStyle w:val="Strong"/>
          <w:rFonts w:ascii="Verdana" w:hAnsi="Verdana" w:cs="Tahoma"/>
          <w:b w:val="0"/>
          <w:color w:val="000000"/>
          <w:shd w:val="clear" w:color="auto" w:fill="FFFFFF"/>
        </w:rPr>
      </w:pPr>
    </w:p>
    <w:p w14:paraId="3221086E" w14:textId="77777777" w:rsidR="008A752B" w:rsidRDefault="008A752B" w:rsidP="000C11E4">
      <w:pPr>
        <w:pStyle w:val="FootnoteText"/>
        <w:jc w:val="both"/>
        <w:rPr>
          <w:rStyle w:val="Strong"/>
          <w:rFonts w:ascii="Verdana" w:hAnsi="Verdana" w:cs="Tahoma"/>
          <w:b w:val="0"/>
          <w:color w:val="000000"/>
          <w:shd w:val="clear" w:color="auto" w:fill="FFFFFF"/>
        </w:rPr>
      </w:pPr>
    </w:p>
    <w:p w14:paraId="3221086F" w14:textId="77777777" w:rsidR="00D7385D" w:rsidRPr="00C57B1A" w:rsidRDefault="00C57B1A" w:rsidP="00C57B1A">
      <w:pPr>
        <w:pStyle w:val="FootnoteText"/>
        <w:jc w:val="center"/>
        <w:rPr>
          <w:rStyle w:val="Strong"/>
          <w:rFonts w:ascii="Verdana" w:hAnsi="Verdana" w:cs="Tahoma"/>
          <w:b w:val="0"/>
          <w:color w:val="000000"/>
          <w:shd w:val="clear" w:color="auto" w:fill="FFFFFF"/>
        </w:rPr>
      </w:pPr>
      <w:r w:rsidRPr="00C57B1A">
        <w:rPr>
          <w:rStyle w:val="Strong"/>
          <w:rFonts w:ascii="Verdana" w:hAnsi="Verdana" w:cs="Tahoma"/>
          <w:b w:val="0"/>
          <w:color w:val="000000"/>
          <w:shd w:val="clear" w:color="auto" w:fill="FFFFFF"/>
        </w:rPr>
        <w:t>IV.  CONCLUSIÓN</w:t>
      </w:r>
    </w:p>
    <w:p w14:paraId="32210870" w14:textId="77777777" w:rsidR="00D0752F" w:rsidRPr="00F9275D" w:rsidRDefault="00D0752F" w:rsidP="008C7F7F">
      <w:pPr>
        <w:pStyle w:val="FootnoteText"/>
        <w:rPr>
          <w:rStyle w:val="Strong"/>
          <w:rFonts w:ascii="Verdana" w:hAnsi="Verdana" w:cs="Tahoma"/>
          <w:color w:val="000000"/>
          <w:shd w:val="clear" w:color="auto" w:fill="FFFFFF"/>
        </w:rPr>
      </w:pPr>
    </w:p>
    <w:p w14:paraId="32210871" w14:textId="77777777" w:rsidR="00BD5409" w:rsidRPr="00BD5409" w:rsidRDefault="00BA0913" w:rsidP="00C57B1A">
      <w:pPr>
        <w:pStyle w:val="FootnoteText"/>
        <w:jc w:val="both"/>
        <w:rPr>
          <w:rStyle w:val="Strong"/>
          <w:rFonts w:ascii="Verdana" w:hAnsi="Verdana"/>
          <w:b w:val="0"/>
          <w:bCs w:val="0"/>
        </w:rPr>
      </w:pPr>
      <w:r>
        <w:rPr>
          <w:rStyle w:val="Strong"/>
          <w:rFonts w:ascii="Verdana" w:hAnsi="Verdana"/>
          <w:b w:val="0"/>
          <w:bCs w:val="0"/>
        </w:rPr>
        <w:t>50</w:t>
      </w:r>
      <w:r w:rsidR="00C57B1A">
        <w:rPr>
          <w:rStyle w:val="Strong"/>
          <w:rFonts w:ascii="Verdana" w:hAnsi="Verdana"/>
          <w:b w:val="0"/>
          <w:bCs w:val="0"/>
        </w:rPr>
        <w:t xml:space="preserve">. </w:t>
      </w:r>
      <w:r w:rsidR="00C57B1A">
        <w:rPr>
          <w:rStyle w:val="Strong"/>
          <w:rFonts w:ascii="Verdana" w:hAnsi="Verdana"/>
          <w:b w:val="0"/>
          <w:bCs w:val="0"/>
        </w:rPr>
        <w:tab/>
      </w:r>
      <w:r w:rsidR="002D662F">
        <w:rPr>
          <w:rStyle w:val="Strong"/>
          <w:rFonts w:ascii="Verdana" w:hAnsi="Verdana"/>
          <w:b w:val="0"/>
          <w:bCs w:val="0"/>
        </w:rPr>
        <w:t>L</w:t>
      </w:r>
      <w:r w:rsidR="00BD5409" w:rsidRPr="00BD5409">
        <w:rPr>
          <w:rStyle w:val="Strong"/>
          <w:rFonts w:ascii="Verdana" w:hAnsi="Verdana"/>
          <w:b w:val="0"/>
          <w:bCs w:val="0"/>
        </w:rPr>
        <w:t xml:space="preserve">a cultura de discriminación y violencia contra la mujer es un fenómeno que </w:t>
      </w:r>
      <w:r w:rsidR="00716A2E">
        <w:rPr>
          <w:rStyle w:val="Strong"/>
          <w:rFonts w:ascii="Verdana" w:hAnsi="Verdana"/>
          <w:b w:val="0"/>
          <w:bCs w:val="0"/>
        </w:rPr>
        <w:t>persiste hasta nuestros días</w:t>
      </w:r>
      <w:r w:rsidR="00BD5409" w:rsidRPr="00BD5409">
        <w:rPr>
          <w:rStyle w:val="Strong"/>
          <w:rFonts w:ascii="Verdana" w:hAnsi="Verdana"/>
          <w:b w:val="0"/>
          <w:bCs w:val="0"/>
        </w:rPr>
        <w:t xml:space="preserve">, nulificando la dignidad, así como el goce y ejercicio de los derechos humanos de las mujeres en las Américas. Ante dicha situación, </w:t>
      </w:r>
      <w:r w:rsidR="00724EF8">
        <w:rPr>
          <w:rStyle w:val="Strong"/>
          <w:rFonts w:ascii="Verdana" w:hAnsi="Verdana"/>
          <w:b w:val="0"/>
          <w:bCs w:val="0"/>
        </w:rPr>
        <w:t>el deber “de prevención” estatal j</w:t>
      </w:r>
      <w:r w:rsidR="002D662F">
        <w:rPr>
          <w:rStyle w:val="Strong"/>
          <w:rFonts w:ascii="Verdana" w:hAnsi="Verdana"/>
          <w:b w:val="0"/>
          <w:bCs w:val="0"/>
        </w:rPr>
        <w:t>uega un papel fundamental</w:t>
      </w:r>
      <w:r w:rsidR="00465E2D">
        <w:rPr>
          <w:rStyle w:val="Strong"/>
          <w:rFonts w:ascii="Verdana" w:hAnsi="Verdana"/>
          <w:b w:val="0"/>
          <w:bCs w:val="0"/>
        </w:rPr>
        <w:t xml:space="preserve"> que estimo debe ser considerado con especial atención por los estados.</w:t>
      </w:r>
    </w:p>
    <w:p w14:paraId="32210872" w14:textId="77777777" w:rsidR="00BD5409" w:rsidRDefault="00BD5409" w:rsidP="008C7F7F">
      <w:pPr>
        <w:pStyle w:val="FootnoteText"/>
        <w:jc w:val="both"/>
        <w:rPr>
          <w:rStyle w:val="Strong"/>
          <w:rFonts w:ascii="Verdana" w:hAnsi="Verdana"/>
          <w:b w:val="0"/>
          <w:bCs w:val="0"/>
        </w:rPr>
      </w:pPr>
    </w:p>
    <w:p w14:paraId="32210873" w14:textId="77777777" w:rsidR="00D0752F" w:rsidRPr="00F9275D" w:rsidRDefault="00BA0913" w:rsidP="00C57B1A">
      <w:pPr>
        <w:pStyle w:val="FootnoteText"/>
        <w:jc w:val="both"/>
        <w:rPr>
          <w:rFonts w:ascii="Verdana" w:hAnsi="Verdana"/>
        </w:rPr>
      </w:pPr>
      <w:r>
        <w:rPr>
          <w:rStyle w:val="Strong"/>
          <w:rFonts w:ascii="Verdana" w:hAnsi="Verdana" w:cs="Tahoma"/>
          <w:b w:val="0"/>
          <w:color w:val="000000"/>
          <w:shd w:val="clear" w:color="auto" w:fill="FFFFFF"/>
        </w:rPr>
        <w:t>51</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EE6FA0">
        <w:rPr>
          <w:rStyle w:val="Strong"/>
          <w:rFonts w:ascii="Verdana" w:hAnsi="Verdana" w:cs="Tahoma"/>
          <w:b w:val="0"/>
          <w:color w:val="000000"/>
          <w:shd w:val="clear" w:color="auto" w:fill="FFFFFF"/>
        </w:rPr>
        <w:t xml:space="preserve">Tal y como se destaca en la Sentencia, el </w:t>
      </w:r>
      <w:r w:rsidR="003B5E51" w:rsidRPr="00F9275D">
        <w:rPr>
          <w:rStyle w:val="Strong"/>
          <w:rFonts w:ascii="Verdana" w:hAnsi="Verdana" w:cs="Tahoma"/>
          <w:b w:val="0"/>
          <w:color w:val="000000"/>
          <w:shd w:val="clear" w:color="auto" w:fill="FFFFFF"/>
        </w:rPr>
        <w:t>deber de prevención es un supuesto indispensable para la garantía de los derechos a la vida e integridad personal</w:t>
      </w:r>
      <w:r w:rsidR="003B5E51" w:rsidRPr="00F9275D">
        <w:rPr>
          <w:rStyle w:val="FootnoteReference"/>
          <w:rFonts w:ascii="Verdana" w:hAnsi="Verdana" w:cs="Tahoma"/>
          <w:bCs/>
          <w:color w:val="000000"/>
          <w:shd w:val="clear" w:color="auto" w:fill="FFFFFF"/>
        </w:rPr>
        <w:footnoteReference w:id="90"/>
      </w:r>
      <w:r w:rsidR="00C3002A">
        <w:rPr>
          <w:rStyle w:val="Strong"/>
          <w:rFonts w:ascii="Verdana" w:hAnsi="Verdana" w:cs="Tahoma"/>
          <w:b w:val="0"/>
          <w:color w:val="000000"/>
          <w:shd w:val="clear" w:color="auto" w:fill="FFFFFF"/>
        </w:rPr>
        <w:t xml:space="preserve">, </w:t>
      </w:r>
      <w:r w:rsidR="003B5E51" w:rsidRPr="00F9275D">
        <w:rPr>
          <w:rStyle w:val="Strong"/>
          <w:rFonts w:ascii="Verdana" w:hAnsi="Verdana" w:cs="Tahoma"/>
          <w:b w:val="0"/>
          <w:color w:val="000000"/>
          <w:shd w:val="clear" w:color="auto" w:fill="FFFFFF"/>
        </w:rPr>
        <w:t xml:space="preserve">el cual consiste en “todas aquellas medidas </w:t>
      </w:r>
      <w:r w:rsidR="003B5E51" w:rsidRPr="00F9275D">
        <w:rPr>
          <w:rFonts w:ascii="Verdana" w:hAnsi="Verdana"/>
        </w:rPr>
        <w:t>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003B5E51" w:rsidRPr="00F9275D">
        <w:rPr>
          <w:rStyle w:val="FootnoteReference"/>
          <w:rFonts w:ascii="Verdana" w:hAnsi="Verdana"/>
        </w:rPr>
        <w:footnoteReference w:id="91"/>
      </w:r>
      <w:r w:rsidR="003B5E51" w:rsidRPr="00F9275D">
        <w:rPr>
          <w:rFonts w:ascii="Verdana" w:hAnsi="Verdana"/>
        </w:rPr>
        <w:t>.</w:t>
      </w:r>
    </w:p>
    <w:p w14:paraId="32210874" w14:textId="77777777" w:rsidR="00D0752F" w:rsidRPr="00F9275D" w:rsidRDefault="00D0752F" w:rsidP="008C7F7F">
      <w:pPr>
        <w:pStyle w:val="FootnoteText"/>
        <w:jc w:val="both"/>
        <w:rPr>
          <w:rFonts w:ascii="Verdana" w:hAnsi="Verdana"/>
        </w:rPr>
      </w:pPr>
    </w:p>
    <w:p w14:paraId="32210875" w14:textId="77777777" w:rsidR="00A0203B" w:rsidRPr="00760E96" w:rsidRDefault="00BA0913"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rPr>
      </w:pPr>
      <w:r>
        <w:rPr>
          <w:rFonts w:ascii="Verdana" w:hAnsi="Verdana"/>
        </w:rPr>
        <w:t>52</w:t>
      </w:r>
      <w:r w:rsidR="00C57B1A">
        <w:rPr>
          <w:rFonts w:ascii="Verdana" w:hAnsi="Verdana"/>
        </w:rPr>
        <w:t xml:space="preserve">. </w:t>
      </w:r>
      <w:r w:rsidR="00C57B1A">
        <w:rPr>
          <w:rFonts w:ascii="Verdana" w:hAnsi="Verdana"/>
        </w:rPr>
        <w:tab/>
      </w:r>
      <w:r w:rsidR="00EE6FA0">
        <w:rPr>
          <w:rFonts w:ascii="Verdana" w:hAnsi="Verdana"/>
        </w:rPr>
        <w:t>P</w:t>
      </w:r>
      <w:r w:rsidR="00D0752F" w:rsidRPr="00A0203B">
        <w:rPr>
          <w:rFonts w:ascii="Verdana" w:hAnsi="Verdana"/>
        </w:rPr>
        <w:t xml:space="preserve">articularmente el artículo 7 de la </w:t>
      </w:r>
      <w:r w:rsidR="00EE6FA0">
        <w:rPr>
          <w:rFonts w:ascii="Verdana" w:hAnsi="Verdana"/>
        </w:rPr>
        <w:t>“</w:t>
      </w:r>
      <w:r w:rsidR="00D0752F" w:rsidRPr="00A0203B">
        <w:rPr>
          <w:rFonts w:ascii="Verdana" w:hAnsi="Verdana"/>
        </w:rPr>
        <w:t>Convención de Belém do Pará</w:t>
      </w:r>
      <w:r w:rsidR="00EE6FA0">
        <w:rPr>
          <w:rFonts w:ascii="Verdana" w:hAnsi="Verdana"/>
        </w:rPr>
        <w:t>”</w:t>
      </w:r>
      <w:r w:rsidR="00D0752F" w:rsidRPr="00A0203B">
        <w:rPr>
          <w:rFonts w:ascii="Verdana" w:hAnsi="Verdana"/>
        </w:rPr>
        <w:t xml:space="preserve"> instituye deberes estatales para prevenir, sancionar y erradicar la violencia contra la mujer</w:t>
      </w:r>
      <w:r w:rsidR="00D0752F" w:rsidRPr="00F9275D">
        <w:rPr>
          <w:rStyle w:val="FootnoteReference"/>
          <w:rFonts w:ascii="Verdana" w:hAnsi="Verdana"/>
        </w:rPr>
        <w:footnoteReference w:id="92"/>
      </w:r>
      <w:r w:rsidR="00D0752F" w:rsidRPr="00A0203B">
        <w:rPr>
          <w:rFonts w:ascii="Verdana" w:hAnsi="Verdana"/>
        </w:rPr>
        <w:t xml:space="preserve"> que especifican y complementan las obligaciones estatales respecto al cumplimiento de los derechos consagrados en la Convención Americana, entre ellos los establecidos en los artículos 4 y 5</w:t>
      </w:r>
      <w:r w:rsidR="00D0752F" w:rsidRPr="00F9275D">
        <w:rPr>
          <w:rStyle w:val="FootnoteReference"/>
          <w:rFonts w:ascii="Verdana" w:hAnsi="Verdana"/>
        </w:rPr>
        <w:footnoteReference w:id="93"/>
      </w:r>
      <w:r w:rsidR="00522631">
        <w:rPr>
          <w:rFonts w:ascii="Verdana" w:hAnsi="Verdana"/>
        </w:rPr>
        <w:t>;</w:t>
      </w:r>
      <w:r w:rsidR="00D0752F" w:rsidRPr="00A0203B">
        <w:rPr>
          <w:rFonts w:ascii="Verdana" w:hAnsi="Verdana"/>
        </w:rPr>
        <w:t xml:space="preserve"> señalando </w:t>
      </w:r>
      <w:r w:rsidR="00B104C6">
        <w:rPr>
          <w:rFonts w:ascii="Verdana" w:hAnsi="Verdana"/>
        </w:rPr>
        <w:t xml:space="preserve">la Corte IDH </w:t>
      </w:r>
      <w:r w:rsidR="00D0752F" w:rsidRPr="00A0203B">
        <w:rPr>
          <w:rFonts w:ascii="Verdana" w:hAnsi="Verdana"/>
        </w:rPr>
        <w:t xml:space="preserve">que los Estados deben adoptar medidas </w:t>
      </w:r>
      <w:r w:rsidR="00D0752F" w:rsidRPr="00A0203B">
        <w:rPr>
          <w:rFonts w:ascii="Verdana" w:hAnsi="Verdana"/>
        </w:rPr>
        <w:lastRenderedPageBreak/>
        <w:t>integrales para cumplir con la debida diligencia</w:t>
      </w:r>
      <w:r w:rsidR="00B104C6">
        <w:rPr>
          <w:rFonts w:ascii="Verdana" w:hAnsi="Verdana"/>
        </w:rPr>
        <w:t xml:space="preserve"> en casos de violencia contra la mujer</w:t>
      </w:r>
      <w:r w:rsidR="00D0752F" w:rsidRPr="00F9275D">
        <w:rPr>
          <w:rStyle w:val="FootnoteReference"/>
          <w:rFonts w:ascii="Verdana" w:hAnsi="Verdana"/>
        </w:rPr>
        <w:footnoteReference w:id="94"/>
      </w:r>
      <w:r w:rsidR="008155B0" w:rsidRPr="00A0203B">
        <w:rPr>
          <w:rFonts w:ascii="Verdana" w:hAnsi="Verdana"/>
        </w:rPr>
        <w:t>.</w:t>
      </w:r>
      <w:r w:rsidR="00A0203B">
        <w:rPr>
          <w:rFonts w:ascii="Verdana" w:hAnsi="Verdana"/>
        </w:rPr>
        <w:t xml:space="preserve"> </w:t>
      </w:r>
      <w:r w:rsidR="00A0203B" w:rsidRPr="00AD6017">
        <w:rPr>
          <w:rFonts w:ascii="Verdana" w:eastAsia="Times New Roman" w:hAnsi="Verdana" w:cs="Segoe UI"/>
          <w:lang w:eastAsia="es-PA"/>
        </w:rPr>
        <w:t xml:space="preserve">En ese sentido, el </w:t>
      </w:r>
      <w:r w:rsidR="00A0203B" w:rsidRPr="00660B47">
        <w:rPr>
          <w:rFonts w:ascii="Verdana" w:eastAsia="Times New Roman" w:hAnsi="Verdana" w:cs="Segoe UI"/>
          <w:u w:val="single"/>
          <w:lang w:eastAsia="es-PA"/>
        </w:rPr>
        <w:t>deber de prevención general</w:t>
      </w:r>
      <w:r w:rsidR="00A0203B" w:rsidRPr="00AD6017">
        <w:rPr>
          <w:rFonts w:ascii="Verdana" w:eastAsia="Times New Roman" w:hAnsi="Verdana" w:cs="Segoe UI"/>
          <w:lang w:eastAsia="es-PA"/>
        </w:rPr>
        <w:t xml:space="preserve"> </w:t>
      </w:r>
      <w:r w:rsidR="00AD6017" w:rsidRPr="00AD6017">
        <w:rPr>
          <w:rFonts w:ascii="Verdana" w:eastAsia="Times New Roman" w:hAnsi="Verdana" w:cs="Segoe UI"/>
          <w:lang w:eastAsia="es-PA"/>
        </w:rPr>
        <w:t xml:space="preserve">o en su “primer momento” </w:t>
      </w:r>
      <w:r w:rsidR="00660B47">
        <w:rPr>
          <w:rFonts w:ascii="Verdana" w:eastAsia="Times New Roman" w:hAnsi="Verdana" w:cs="Segoe UI"/>
          <w:lang w:eastAsia="es-PA"/>
        </w:rPr>
        <w:t xml:space="preserve">de análisis, </w:t>
      </w:r>
      <w:r w:rsidR="00B104C6">
        <w:rPr>
          <w:rFonts w:ascii="Verdana" w:eastAsia="Times New Roman" w:hAnsi="Verdana" w:cs="Segoe UI"/>
          <w:lang w:eastAsia="es-PA"/>
        </w:rPr>
        <w:t>comprende</w:t>
      </w:r>
      <w:r w:rsidR="00A0203B" w:rsidRPr="00AD6017">
        <w:rPr>
          <w:rFonts w:ascii="Verdana" w:eastAsia="Times New Roman" w:hAnsi="Verdana" w:cs="Segoe UI"/>
          <w:lang w:eastAsia="es-PA"/>
        </w:rPr>
        <w:t xml:space="preserve"> la existencia de un marco jurídico de protección de aplicación efectiva, políticas de prevención, prácti</w:t>
      </w:r>
      <w:r w:rsidR="00B104C6">
        <w:rPr>
          <w:rFonts w:ascii="Verdana" w:eastAsia="Times New Roman" w:hAnsi="Verdana" w:cs="Segoe UI"/>
          <w:lang w:eastAsia="es-PA"/>
        </w:rPr>
        <w:t>cas y estrategias de prevención;</w:t>
      </w:r>
      <w:r w:rsidR="00A0203B" w:rsidRPr="00AD6017">
        <w:rPr>
          <w:rFonts w:ascii="Verdana" w:eastAsia="Times New Roman" w:hAnsi="Verdana" w:cs="Segoe UI"/>
          <w:lang w:eastAsia="es-PA"/>
        </w:rPr>
        <w:t xml:space="preserve"> mientr</w:t>
      </w:r>
      <w:r w:rsidR="00AD6017" w:rsidRPr="00AD6017">
        <w:rPr>
          <w:rFonts w:ascii="Verdana" w:eastAsia="Times New Roman" w:hAnsi="Verdana" w:cs="Segoe UI"/>
          <w:lang w:eastAsia="es-PA"/>
        </w:rPr>
        <w:t xml:space="preserve">as que el </w:t>
      </w:r>
      <w:r w:rsidR="00AD6017" w:rsidRPr="00660B47">
        <w:rPr>
          <w:rFonts w:ascii="Verdana" w:eastAsia="Times New Roman" w:hAnsi="Verdana" w:cs="Segoe UI"/>
          <w:u w:val="single"/>
          <w:lang w:eastAsia="es-PA"/>
        </w:rPr>
        <w:t>deber específico de prevención</w:t>
      </w:r>
      <w:r w:rsidR="00AD6017" w:rsidRPr="00AD6017">
        <w:rPr>
          <w:rFonts w:ascii="Verdana" w:eastAsia="Times New Roman" w:hAnsi="Verdana" w:cs="Segoe UI"/>
          <w:lang w:eastAsia="es-PA"/>
        </w:rPr>
        <w:t xml:space="preserve"> o en su “segundo momento”</w:t>
      </w:r>
      <w:r w:rsidR="00660B47">
        <w:rPr>
          <w:rFonts w:ascii="Verdana" w:eastAsia="Times New Roman" w:hAnsi="Verdana" w:cs="Segoe UI"/>
          <w:lang w:eastAsia="es-PA"/>
        </w:rPr>
        <w:t xml:space="preserve"> de análisis</w:t>
      </w:r>
      <w:r w:rsidR="008271CD">
        <w:rPr>
          <w:rFonts w:ascii="Verdana" w:eastAsia="Times New Roman" w:hAnsi="Verdana" w:cs="Segoe UI"/>
          <w:lang w:eastAsia="es-PA"/>
        </w:rPr>
        <w:t>,</w:t>
      </w:r>
      <w:r w:rsidR="00AD6017" w:rsidRPr="00AD6017">
        <w:rPr>
          <w:rFonts w:ascii="Verdana" w:eastAsia="Times New Roman" w:hAnsi="Verdana" w:cs="Segoe UI"/>
          <w:lang w:eastAsia="es-PA"/>
        </w:rPr>
        <w:t xml:space="preserve"> consiste en la adopción de medidas p</w:t>
      </w:r>
      <w:r w:rsidR="00C57781">
        <w:rPr>
          <w:rFonts w:ascii="Verdana" w:eastAsia="Times New Roman" w:hAnsi="Verdana" w:cs="Segoe UI"/>
          <w:lang w:eastAsia="es-PA"/>
        </w:rPr>
        <w:t>reventivas en casos específicos</w:t>
      </w:r>
      <w:r w:rsidR="00660B47">
        <w:rPr>
          <w:rFonts w:ascii="Verdana" w:eastAsia="Times New Roman" w:hAnsi="Verdana" w:cs="Segoe UI"/>
          <w:lang w:eastAsia="es-PA"/>
        </w:rPr>
        <w:t>, para evitar la concreción de violaciones a los derechos humanos una vez que el Estado tiene conocimiento del riesgo en que se encuentra una persona.</w:t>
      </w:r>
    </w:p>
    <w:p w14:paraId="32210876" w14:textId="77777777" w:rsidR="00A0203B" w:rsidRPr="00A0203B" w:rsidRDefault="00A0203B" w:rsidP="00A0203B">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Segoe UI"/>
          <w:color w:val="444444"/>
          <w:lang w:eastAsia="es-PA"/>
        </w:rPr>
      </w:pPr>
    </w:p>
    <w:p w14:paraId="32210877" w14:textId="77777777" w:rsidR="00747C41" w:rsidRDefault="00BA0913"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Verdana" w:eastAsia="Times New Roman" w:hAnsi="Verdana" w:cs="Segoe UI"/>
          <w:b w:val="0"/>
          <w:bCs w:val="0"/>
          <w:lang w:eastAsia="es-PA"/>
        </w:rPr>
      </w:pPr>
      <w:r>
        <w:rPr>
          <w:rStyle w:val="Strong"/>
          <w:rFonts w:ascii="Verdana" w:eastAsia="Times New Roman" w:hAnsi="Verdana" w:cs="Segoe UI"/>
          <w:b w:val="0"/>
          <w:bCs w:val="0"/>
          <w:lang w:eastAsia="es-PA"/>
        </w:rPr>
        <w:t>53</w:t>
      </w:r>
      <w:r w:rsidR="00C57B1A">
        <w:rPr>
          <w:rStyle w:val="Strong"/>
          <w:rFonts w:ascii="Verdana" w:eastAsia="Times New Roman" w:hAnsi="Verdana" w:cs="Segoe UI"/>
          <w:b w:val="0"/>
          <w:bCs w:val="0"/>
          <w:lang w:eastAsia="es-PA"/>
        </w:rPr>
        <w:t xml:space="preserve">. </w:t>
      </w:r>
      <w:r w:rsidR="00C57B1A">
        <w:rPr>
          <w:rStyle w:val="Strong"/>
          <w:rFonts w:ascii="Verdana" w:eastAsia="Times New Roman" w:hAnsi="Verdana" w:cs="Segoe UI"/>
          <w:b w:val="0"/>
          <w:bCs w:val="0"/>
          <w:lang w:eastAsia="es-PA"/>
        </w:rPr>
        <w:tab/>
      </w:r>
      <w:r w:rsidR="00B104C6">
        <w:rPr>
          <w:rStyle w:val="Strong"/>
          <w:rFonts w:ascii="Verdana" w:eastAsia="Times New Roman" w:hAnsi="Verdana" w:cs="Segoe UI"/>
          <w:b w:val="0"/>
          <w:bCs w:val="0"/>
          <w:lang w:eastAsia="es-PA"/>
        </w:rPr>
        <w:t>Partiendo de lo anterior</w:t>
      </w:r>
      <w:r w:rsidR="0081331F" w:rsidRPr="0081331F">
        <w:rPr>
          <w:rStyle w:val="Strong"/>
          <w:rFonts w:ascii="Verdana" w:eastAsia="Times New Roman" w:hAnsi="Verdana" w:cs="Segoe UI"/>
          <w:b w:val="0"/>
          <w:bCs w:val="0"/>
          <w:lang w:eastAsia="es-PA"/>
        </w:rPr>
        <w:t xml:space="preserve">, </w:t>
      </w:r>
      <w:r w:rsidR="008155B0">
        <w:rPr>
          <w:rStyle w:val="Strong"/>
          <w:rFonts w:ascii="Verdana" w:eastAsia="Times New Roman" w:hAnsi="Verdana" w:cs="Segoe UI"/>
          <w:b w:val="0"/>
          <w:bCs w:val="0"/>
          <w:lang w:eastAsia="es-PA"/>
        </w:rPr>
        <w:t xml:space="preserve">en cuanto </w:t>
      </w:r>
      <w:r w:rsidR="00A0203B">
        <w:rPr>
          <w:rStyle w:val="Strong"/>
          <w:rFonts w:ascii="Verdana" w:eastAsia="Times New Roman" w:hAnsi="Verdana" w:cs="Segoe UI"/>
          <w:b w:val="0"/>
          <w:bCs w:val="0"/>
          <w:lang w:eastAsia="es-PA"/>
        </w:rPr>
        <w:t xml:space="preserve">a las modalidades </w:t>
      </w:r>
      <w:r w:rsidR="00C57781">
        <w:rPr>
          <w:rStyle w:val="Strong"/>
          <w:rFonts w:ascii="Verdana" w:eastAsia="Times New Roman" w:hAnsi="Verdana" w:cs="Segoe UI"/>
          <w:b w:val="0"/>
          <w:bCs w:val="0"/>
          <w:lang w:eastAsia="es-PA"/>
        </w:rPr>
        <w:t>“</w:t>
      </w:r>
      <w:r w:rsidR="00A0203B">
        <w:rPr>
          <w:rStyle w:val="Strong"/>
          <w:rFonts w:ascii="Verdana" w:eastAsia="Times New Roman" w:hAnsi="Verdana" w:cs="Segoe UI"/>
          <w:b w:val="0"/>
          <w:bCs w:val="0"/>
          <w:lang w:eastAsia="es-PA"/>
        </w:rPr>
        <w:t>general</w:t>
      </w:r>
      <w:r w:rsidR="00C57781">
        <w:rPr>
          <w:rStyle w:val="Strong"/>
          <w:rFonts w:ascii="Verdana" w:eastAsia="Times New Roman" w:hAnsi="Verdana" w:cs="Segoe UI"/>
          <w:b w:val="0"/>
          <w:bCs w:val="0"/>
          <w:lang w:eastAsia="es-PA"/>
        </w:rPr>
        <w:t>”</w:t>
      </w:r>
      <w:r w:rsidR="00A0203B">
        <w:rPr>
          <w:rStyle w:val="Strong"/>
          <w:rFonts w:ascii="Verdana" w:eastAsia="Times New Roman" w:hAnsi="Verdana" w:cs="Segoe UI"/>
          <w:b w:val="0"/>
          <w:bCs w:val="0"/>
          <w:lang w:eastAsia="es-PA"/>
        </w:rPr>
        <w:t xml:space="preserve"> y </w:t>
      </w:r>
      <w:r w:rsidR="00C57781">
        <w:rPr>
          <w:rStyle w:val="Strong"/>
          <w:rFonts w:ascii="Verdana" w:eastAsia="Times New Roman" w:hAnsi="Verdana" w:cs="Segoe UI"/>
          <w:b w:val="0"/>
          <w:bCs w:val="0"/>
          <w:lang w:eastAsia="es-PA"/>
        </w:rPr>
        <w:t>“</w:t>
      </w:r>
      <w:r w:rsidR="00A0203B">
        <w:rPr>
          <w:rStyle w:val="Strong"/>
          <w:rFonts w:ascii="Verdana" w:eastAsia="Times New Roman" w:hAnsi="Verdana" w:cs="Segoe UI"/>
          <w:b w:val="0"/>
          <w:bCs w:val="0"/>
          <w:lang w:eastAsia="es-PA"/>
        </w:rPr>
        <w:t>especifica</w:t>
      </w:r>
      <w:r w:rsidR="00C57781">
        <w:rPr>
          <w:rStyle w:val="Strong"/>
          <w:rFonts w:ascii="Verdana" w:eastAsia="Times New Roman" w:hAnsi="Verdana" w:cs="Segoe UI"/>
          <w:b w:val="0"/>
          <w:bCs w:val="0"/>
          <w:lang w:eastAsia="es-PA"/>
        </w:rPr>
        <w:t>”</w:t>
      </w:r>
      <w:r w:rsidR="00A0203B">
        <w:rPr>
          <w:rStyle w:val="Strong"/>
          <w:rFonts w:ascii="Verdana" w:eastAsia="Times New Roman" w:hAnsi="Verdana" w:cs="Segoe UI"/>
          <w:b w:val="0"/>
          <w:bCs w:val="0"/>
          <w:lang w:eastAsia="es-PA"/>
        </w:rPr>
        <w:t xml:space="preserve"> del deber de prevención, o sus </w:t>
      </w:r>
      <w:r w:rsidR="008271CD">
        <w:rPr>
          <w:rStyle w:val="Strong"/>
          <w:rFonts w:ascii="Verdana" w:eastAsia="Times New Roman" w:hAnsi="Verdana" w:cs="Segoe UI"/>
          <w:b w:val="0"/>
          <w:bCs w:val="0"/>
          <w:lang w:eastAsia="es-PA"/>
        </w:rPr>
        <w:t>“</w:t>
      </w:r>
      <w:r w:rsidR="00A0203B">
        <w:rPr>
          <w:rStyle w:val="Strong"/>
          <w:rFonts w:ascii="Verdana" w:eastAsia="Times New Roman" w:hAnsi="Verdana" w:cs="Segoe UI"/>
          <w:b w:val="0"/>
          <w:bCs w:val="0"/>
          <w:lang w:eastAsia="es-PA"/>
        </w:rPr>
        <w:t>dos momentos</w:t>
      </w:r>
      <w:r w:rsidR="008271CD">
        <w:rPr>
          <w:rStyle w:val="Strong"/>
          <w:rFonts w:ascii="Verdana" w:eastAsia="Times New Roman" w:hAnsi="Verdana" w:cs="Segoe UI"/>
          <w:b w:val="0"/>
          <w:bCs w:val="0"/>
          <w:lang w:eastAsia="es-PA"/>
        </w:rPr>
        <w:t>”</w:t>
      </w:r>
      <w:r w:rsidR="00660B47">
        <w:rPr>
          <w:rStyle w:val="Strong"/>
          <w:rFonts w:ascii="Verdana" w:eastAsia="Times New Roman" w:hAnsi="Verdana" w:cs="Segoe UI"/>
          <w:b w:val="0"/>
          <w:bCs w:val="0"/>
          <w:lang w:eastAsia="es-PA"/>
        </w:rPr>
        <w:t xml:space="preserve"> de análisis</w:t>
      </w:r>
      <w:r w:rsidR="008155B0">
        <w:rPr>
          <w:rStyle w:val="Strong"/>
          <w:rFonts w:ascii="Verdana" w:eastAsia="Times New Roman" w:hAnsi="Verdana" w:cs="Segoe UI"/>
          <w:b w:val="0"/>
          <w:bCs w:val="0"/>
          <w:lang w:eastAsia="es-PA"/>
        </w:rPr>
        <w:t xml:space="preserve">, </w:t>
      </w:r>
      <w:r w:rsidR="0081331F">
        <w:rPr>
          <w:rStyle w:val="Strong"/>
          <w:rFonts w:ascii="Verdana" w:eastAsia="Times New Roman" w:hAnsi="Verdana" w:cs="Segoe UI"/>
          <w:b w:val="0"/>
          <w:bCs w:val="0"/>
          <w:lang w:eastAsia="es-PA"/>
        </w:rPr>
        <w:t xml:space="preserve">se observa que si bien la Corte </w:t>
      </w:r>
      <w:r w:rsidR="00EE6FA0">
        <w:rPr>
          <w:rStyle w:val="Strong"/>
          <w:rFonts w:ascii="Verdana" w:eastAsia="Times New Roman" w:hAnsi="Verdana" w:cs="Segoe UI"/>
          <w:b w:val="0"/>
          <w:bCs w:val="0"/>
          <w:lang w:eastAsia="es-PA"/>
        </w:rPr>
        <w:t xml:space="preserve">IDH </w:t>
      </w:r>
      <w:r w:rsidR="0081331F">
        <w:rPr>
          <w:rStyle w:val="Strong"/>
          <w:rFonts w:ascii="Verdana" w:eastAsia="Times New Roman" w:hAnsi="Verdana" w:cs="Segoe UI"/>
          <w:b w:val="0"/>
          <w:bCs w:val="0"/>
          <w:lang w:eastAsia="es-PA"/>
        </w:rPr>
        <w:t xml:space="preserve">ha establecido </w:t>
      </w:r>
      <w:r w:rsidR="00B3021A">
        <w:rPr>
          <w:rStyle w:val="Strong"/>
          <w:rFonts w:ascii="Verdana" w:eastAsia="Times New Roman" w:hAnsi="Verdana" w:cs="Segoe UI"/>
          <w:b w:val="0"/>
          <w:bCs w:val="0"/>
          <w:lang w:eastAsia="es-PA"/>
        </w:rPr>
        <w:t xml:space="preserve">dentro del análisis del “primer momento”, </w:t>
      </w:r>
      <w:r w:rsidR="0081331F">
        <w:rPr>
          <w:rStyle w:val="Strong"/>
          <w:rFonts w:ascii="Verdana" w:eastAsia="Times New Roman" w:hAnsi="Verdana" w:cs="Segoe UI"/>
          <w:b w:val="0"/>
          <w:bCs w:val="0"/>
          <w:lang w:eastAsia="es-PA"/>
        </w:rPr>
        <w:t xml:space="preserve">que frente a un contexto de violencia contra la mujer </w:t>
      </w:r>
      <w:r w:rsidR="00B3021A">
        <w:rPr>
          <w:rStyle w:val="Strong"/>
          <w:rFonts w:ascii="Verdana" w:eastAsia="Times New Roman" w:hAnsi="Verdana" w:cs="Segoe UI"/>
          <w:b w:val="0"/>
          <w:bCs w:val="0"/>
          <w:lang w:eastAsia="es-PA"/>
        </w:rPr>
        <w:t>“las obligaciones internacionales le imponen al Estado una responsabilidad reforzada con respecto a la protección de mujeres […] que incluye el deber de prevención”</w:t>
      </w:r>
      <w:r w:rsidR="00EE6FA0">
        <w:rPr>
          <w:rStyle w:val="Strong"/>
          <w:rFonts w:ascii="Verdana" w:eastAsia="Times New Roman" w:hAnsi="Verdana" w:cs="Segoe UI"/>
          <w:b w:val="0"/>
          <w:bCs w:val="0"/>
          <w:lang w:eastAsia="es-PA"/>
        </w:rPr>
        <w:t>,</w:t>
      </w:r>
      <w:r w:rsidR="00B3021A">
        <w:rPr>
          <w:rStyle w:val="Strong"/>
          <w:rFonts w:ascii="Verdana" w:eastAsia="Times New Roman" w:hAnsi="Verdana" w:cs="Segoe UI"/>
          <w:b w:val="0"/>
          <w:bCs w:val="0"/>
          <w:lang w:eastAsia="es-PA"/>
        </w:rPr>
        <w:t xml:space="preserve"> </w:t>
      </w:r>
      <w:r w:rsidR="00C57781">
        <w:rPr>
          <w:rStyle w:val="Strong"/>
          <w:rFonts w:ascii="Verdana" w:eastAsia="Times New Roman" w:hAnsi="Verdana" w:cs="Segoe UI"/>
          <w:b w:val="0"/>
          <w:bCs w:val="0"/>
          <w:lang w:eastAsia="es-PA"/>
        </w:rPr>
        <w:t xml:space="preserve">también ha señalado que </w:t>
      </w:r>
      <w:r w:rsidR="00B3021A">
        <w:rPr>
          <w:rStyle w:val="Strong"/>
          <w:rFonts w:ascii="Verdana" w:eastAsia="Times New Roman" w:hAnsi="Verdana" w:cs="Segoe UI"/>
          <w:b w:val="0"/>
          <w:bCs w:val="0"/>
          <w:lang w:eastAsia="es-PA"/>
        </w:rPr>
        <w:t xml:space="preserve">ello </w:t>
      </w:r>
      <w:r w:rsidR="00C57781">
        <w:rPr>
          <w:rStyle w:val="Strong"/>
          <w:rFonts w:ascii="Verdana" w:eastAsia="Times New Roman" w:hAnsi="Verdana" w:cs="Segoe UI"/>
          <w:b w:val="0"/>
          <w:bCs w:val="0"/>
          <w:lang w:eastAsia="es-PA"/>
        </w:rPr>
        <w:t>no le impone</w:t>
      </w:r>
      <w:r w:rsidR="00B3021A">
        <w:rPr>
          <w:rStyle w:val="Strong"/>
          <w:rFonts w:ascii="Verdana" w:eastAsia="Times New Roman" w:hAnsi="Verdana" w:cs="Segoe UI"/>
          <w:b w:val="0"/>
          <w:bCs w:val="0"/>
          <w:lang w:eastAsia="es-PA"/>
        </w:rPr>
        <w:t xml:space="preserve"> a</w:t>
      </w:r>
      <w:r w:rsidR="00E03093">
        <w:rPr>
          <w:rStyle w:val="Strong"/>
          <w:rFonts w:ascii="Verdana" w:eastAsia="Times New Roman" w:hAnsi="Verdana" w:cs="Segoe UI"/>
          <w:b w:val="0"/>
          <w:bCs w:val="0"/>
          <w:lang w:eastAsia="es-PA"/>
        </w:rPr>
        <w:t>l Estado a</w:t>
      </w:r>
      <w:r w:rsidR="00B3021A">
        <w:rPr>
          <w:rStyle w:val="Strong"/>
          <w:rFonts w:ascii="Verdana" w:eastAsia="Times New Roman" w:hAnsi="Verdana" w:cs="Segoe UI"/>
          <w:b w:val="0"/>
          <w:bCs w:val="0"/>
          <w:lang w:eastAsia="es-PA"/>
        </w:rPr>
        <w:t xml:space="preserve"> su vez una “responsabilidad ilimitada frente a cualquier hecho ilícito en contra de ellas”</w:t>
      </w:r>
      <w:r w:rsidR="00B3021A">
        <w:rPr>
          <w:rStyle w:val="FootnoteReference"/>
          <w:rFonts w:ascii="Verdana" w:eastAsia="Times New Roman" w:hAnsi="Verdana" w:cs="Segoe UI"/>
          <w:lang w:eastAsia="es-PA"/>
        </w:rPr>
        <w:footnoteReference w:id="95"/>
      </w:r>
      <w:r w:rsidR="00E53604">
        <w:rPr>
          <w:rStyle w:val="Strong"/>
          <w:rFonts w:ascii="Verdana" w:eastAsia="Times New Roman" w:hAnsi="Verdana" w:cs="Segoe UI"/>
          <w:b w:val="0"/>
          <w:bCs w:val="0"/>
          <w:lang w:eastAsia="es-PA"/>
        </w:rPr>
        <w:t xml:space="preserve">. </w:t>
      </w:r>
    </w:p>
    <w:p w14:paraId="32210878" w14:textId="77777777" w:rsidR="00747C41" w:rsidRDefault="00747C41"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Verdana" w:eastAsia="Times New Roman" w:hAnsi="Verdana" w:cs="Segoe UI"/>
          <w:b w:val="0"/>
          <w:bCs w:val="0"/>
          <w:lang w:eastAsia="es-PA"/>
        </w:rPr>
      </w:pPr>
    </w:p>
    <w:p w14:paraId="32210879" w14:textId="77777777" w:rsidR="0081331F" w:rsidRPr="0081331F" w:rsidRDefault="00747C41"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Verdana" w:eastAsia="Times New Roman" w:hAnsi="Verdana" w:cs="Segoe UI"/>
          <w:b w:val="0"/>
          <w:bCs w:val="0"/>
          <w:lang w:eastAsia="es-PA"/>
        </w:rPr>
      </w:pPr>
      <w:r>
        <w:rPr>
          <w:rStyle w:val="Strong"/>
          <w:rFonts w:ascii="Verdana" w:eastAsia="Times New Roman" w:hAnsi="Verdana" w:cs="Segoe UI"/>
          <w:b w:val="0"/>
          <w:bCs w:val="0"/>
          <w:lang w:eastAsia="es-PA"/>
        </w:rPr>
        <w:t xml:space="preserve">54. </w:t>
      </w:r>
      <w:r>
        <w:rPr>
          <w:rStyle w:val="Strong"/>
          <w:rFonts w:ascii="Verdana" w:eastAsia="Times New Roman" w:hAnsi="Verdana" w:cs="Segoe UI"/>
          <w:b w:val="0"/>
          <w:bCs w:val="0"/>
          <w:lang w:eastAsia="es-PA"/>
        </w:rPr>
        <w:tab/>
      </w:r>
      <w:r w:rsidR="00E53604">
        <w:rPr>
          <w:rStyle w:val="Strong"/>
          <w:rFonts w:ascii="Verdana" w:eastAsia="Times New Roman" w:hAnsi="Verdana" w:cs="Segoe UI"/>
          <w:b w:val="0"/>
          <w:bCs w:val="0"/>
          <w:lang w:eastAsia="es-PA"/>
        </w:rPr>
        <w:t>Si</w:t>
      </w:r>
      <w:r w:rsidR="00C57781">
        <w:rPr>
          <w:rStyle w:val="Strong"/>
          <w:rFonts w:ascii="Verdana" w:eastAsia="Times New Roman" w:hAnsi="Verdana" w:cs="Segoe UI"/>
          <w:b w:val="0"/>
          <w:bCs w:val="0"/>
          <w:lang w:eastAsia="es-PA"/>
        </w:rPr>
        <w:t xml:space="preserve"> bien comparto dicha apreciación, también considero que en </w:t>
      </w:r>
      <w:r w:rsidR="00C57781" w:rsidRPr="00660B47">
        <w:rPr>
          <w:rStyle w:val="Strong"/>
          <w:rFonts w:ascii="Verdana" w:eastAsia="Times New Roman" w:hAnsi="Verdana" w:cs="Segoe UI"/>
          <w:b w:val="0"/>
          <w:bCs w:val="0"/>
          <w:lang w:eastAsia="es-PA"/>
        </w:rPr>
        <w:t xml:space="preserve">realidad </w:t>
      </w:r>
      <w:r w:rsidR="00B3021A" w:rsidRPr="00660B47">
        <w:rPr>
          <w:rStyle w:val="Strong"/>
          <w:rFonts w:ascii="Verdana" w:eastAsia="Times New Roman" w:hAnsi="Verdana" w:cs="Segoe UI"/>
          <w:b w:val="0"/>
          <w:bCs w:val="0"/>
          <w:lang w:eastAsia="es-PA"/>
        </w:rPr>
        <w:t>no representa la imposición de una responsabilidad ilimitada al Estado</w:t>
      </w:r>
      <w:r w:rsidR="00B3021A">
        <w:rPr>
          <w:rStyle w:val="Strong"/>
          <w:rFonts w:ascii="Verdana" w:eastAsia="Times New Roman" w:hAnsi="Verdana" w:cs="Segoe UI"/>
          <w:b w:val="0"/>
          <w:bCs w:val="0"/>
          <w:lang w:eastAsia="es-PA"/>
        </w:rPr>
        <w:t xml:space="preserve"> </w:t>
      </w:r>
      <w:r w:rsidR="00B3021A" w:rsidRPr="00660B47">
        <w:rPr>
          <w:rStyle w:val="Strong"/>
          <w:rFonts w:ascii="Verdana" w:eastAsia="Times New Roman" w:hAnsi="Verdana" w:cs="Segoe UI"/>
          <w:b w:val="0"/>
          <w:bCs w:val="0"/>
          <w:u w:val="single"/>
          <w:lang w:eastAsia="es-PA"/>
        </w:rPr>
        <w:t>el cumplimiento de su deber</w:t>
      </w:r>
      <w:r w:rsidR="00B3021A">
        <w:rPr>
          <w:rStyle w:val="Strong"/>
          <w:rFonts w:ascii="Verdana" w:eastAsia="Times New Roman" w:hAnsi="Verdana" w:cs="Segoe UI"/>
          <w:b w:val="0"/>
          <w:bCs w:val="0"/>
          <w:lang w:eastAsia="es-PA"/>
        </w:rPr>
        <w:t xml:space="preserve"> de “</w:t>
      </w:r>
      <w:r w:rsidR="00B3021A" w:rsidRPr="008271CD">
        <w:rPr>
          <w:rStyle w:val="Strong"/>
          <w:rFonts w:ascii="Verdana" w:eastAsia="Times New Roman" w:hAnsi="Verdana" w:cs="Segoe UI"/>
          <w:b w:val="0"/>
          <w:bCs w:val="0"/>
          <w:u w:val="single"/>
          <w:lang w:eastAsia="es-PA"/>
        </w:rPr>
        <w:t>contar con un adecuado marco jurídico de protección, con una aplicación efectiva del mismo y con políticas de prevención y prácticas que permitan actuar de una manera eficaz ante las denuncias</w:t>
      </w:r>
      <w:r w:rsidR="00B3021A">
        <w:rPr>
          <w:rStyle w:val="Strong"/>
          <w:rFonts w:ascii="Verdana" w:eastAsia="Times New Roman" w:hAnsi="Verdana" w:cs="Segoe UI"/>
          <w:b w:val="0"/>
          <w:bCs w:val="0"/>
          <w:lang w:eastAsia="es-PA"/>
        </w:rPr>
        <w:t>”</w:t>
      </w:r>
      <w:r w:rsidR="00263E1B">
        <w:rPr>
          <w:rStyle w:val="Strong"/>
          <w:rFonts w:ascii="Verdana" w:eastAsia="Times New Roman" w:hAnsi="Verdana" w:cs="Segoe UI"/>
          <w:b w:val="0"/>
          <w:bCs w:val="0"/>
          <w:lang w:eastAsia="es-PA"/>
        </w:rPr>
        <w:t>;</w:t>
      </w:r>
      <w:r w:rsidR="00B3021A">
        <w:rPr>
          <w:rStyle w:val="Strong"/>
          <w:rFonts w:ascii="Verdana" w:eastAsia="Times New Roman" w:hAnsi="Verdana" w:cs="Segoe UI"/>
          <w:b w:val="0"/>
          <w:bCs w:val="0"/>
          <w:lang w:eastAsia="es-PA"/>
        </w:rPr>
        <w:t xml:space="preserve"> y tampoco lo representa el hecho de que la estrategia de prevención </w:t>
      </w:r>
      <w:r w:rsidR="00B3021A" w:rsidRPr="00C57781">
        <w:rPr>
          <w:rStyle w:val="Strong"/>
          <w:rFonts w:ascii="Verdana" w:eastAsia="Times New Roman" w:hAnsi="Verdana" w:cs="Segoe UI"/>
          <w:b w:val="0"/>
          <w:bCs w:val="0"/>
          <w:u w:val="single"/>
          <w:lang w:eastAsia="es-PA"/>
        </w:rPr>
        <w:t>deba ser integral</w:t>
      </w:r>
      <w:r w:rsidR="00B3021A">
        <w:rPr>
          <w:rStyle w:val="Strong"/>
          <w:rFonts w:ascii="Verdana" w:eastAsia="Times New Roman" w:hAnsi="Verdana" w:cs="Segoe UI"/>
          <w:b w:val="0"/>
          <w:bCs w:val="0"/>
          <w:lang w:eastAsia="es-PA"/>
        </w:rPr>
        <w:t xml:space="preserve"> y deba prevenir “</w:t>
      </w:r>
      <w:r w:rsidR="00B3021A" w:rsidRPr="008271CD">
        <w:rPr>
          <w:rStyle w:val="Strong"/>
          <w:rFonts w:ascii="Verdana" w:eastAsia="Times New Roman" w:hAnsi="Verdana" w:cs="Segoe UI"/>
          <w:b w:val="0"/>
          <w:bCs w:val="0"/>
          <w:u w:val="single"/>
          <w:lang w:eastAsia="es-PA"/>
        </w:rPr>
        <w:t>los factores de riesgo y a la vez fortalecer las instituciones para que puedan proporcionar una respuesta efectiva a los casos de violencia contra la mujer</w:t>
      </w:r>
      <w:r w:rsidR="00B3021A">
        <w:rPr>
          <w:rStyle w:val="Strong"/>
          <w:rFonts w:ascii="Verdana" w:eastAsia="Times New Roman" w:hAnsi="Verdana" w:cs="Segoe UI"/>
          <w:b w:val="0"/>
          <w:bCs w:val="0"/>
          <w:lang w:eastAsia="es-PA"/>
        </w:rPr>
        <w:t>” como lo ha establecido la Corte</w:t>
      </w:r>
      <w:r w:rsidR="00E53604">
        <w:rPr>
          <w:rStyle w:val="Strong"/>
          <w:rFonts w:ascii="Verdana" w:eastAsia="Times New Roman" w:hAnsi="Verdana" w:cs="Segoe UI"/>
          <w:b w:val="0"/>
          <w:bCs w:val="0"/>
          <w:lang w:eastAsia="es-PA"/>
        </w:rPr>
        <w:t xml:space="preserve"> IDH</w:t>
      </w:r>
      <w:r w:rsidR="00263E1B">
        <w:rPr>
          <w:rStyle w:val="Strong"/>
          <w:rFonts w:ascii="Verdana" w:eastAsia="Times New Roman" w:hAnsi="Verdana" w:cs="Segoe UI"/>
          <w:b w:val="0"/>
          <w:bCs w:val="0"/>
          <w:lang w:eastAsia="es-PA"/>
        </w:rPr>
        <w:t xml:space="preserve"> en su jurisprudencia</w:t>
      </w:r>
      <w:r w:rsidR="00B3021A">
        <w:rPr>
          <w:rStyle w:val="FootnoteReference"/>
          <w:rFonts w:ascii="Verdana" w:eastAsia="Times New Roman" w:hAnsi="Verdana" w:cs="Segoe UI"/>
          <w:lang w:eastAsia="es-PA"/>
        </w:rPr>
        <w:footnoteReference w:id="96"/>
      </w:r>
      <w:r w:rsidR="00836821">
        <w:rPr>
          <w:rStyle w:val="Strong"/>
          <w:rFonts w:ascii="Verdana" w:eastAsia="Times New Roman" w:hAnsi="Verdana" w:cs="Segoe UI"/>
          <w:b w:val="0"/>
          <w:bCs w:val="0"/>
          <w:lang w:eastAsia="es-PA"/>
        </w:rPr>
        <w:t>, aspectos que forman parte del deber general de prevención o “primer momento”</w:t>
      </w:r>
      <w:r w:rsidR="00660B47">
        <w:rPr>
          <w:rStyle w:val="Strong"/>
          <w:rFonts w:ascii="Verdana" w:eastAsia="Times New Roman" w:hAnsi="Verdana" w:cs="Segoe UI"/>
          <w:b w:val="0"/>
          <w:bCs w:val="0"/>
          <w:lang w:eastAsia="es-PA"/>
        </w:rPr>
        <w:t xml:space="preserve"> de análisis</w:t>
      </w:r>
      <w:r w:rsidR="00836821">
        <w:rPr>
          <w:rStyle w:val="Strong"/>
          <w:rFonts w:ascii="Verdana" w:eastAsia="Times New Roman" w:hAnsi="Verdana" w:cs="Segoe UI"/>
          <w:b w:val="0"/>
          <w:bCs w:val="0"/>
          <w:lang w:eastAsia="es-PA"/>
        </w:rPr>
        <w:t>.</w:t>
      </w:r>
      <w:r w:rsidR="00EB0D06">
        <w:rPr>
          <w:rStyle w:val="Strong"/>
          <w:rFonts w:ascii="Verdana" w:eastAsia="Times New Roman" w:hAnsi="Verdana" w:cs="Segoe UI"/>
          <w:b w:val="0"/>
          <w:bCs w:val="0"/>
          <w:lang w:eastAsia="es-PA"/>
        </w:rPr>
        <w:t xml:space="preserve"> De ahí que ese </w:t>
      </w:r>
      <w:r w:rsidR="00263E1B">
        <w:rPr>
          <w:rStyle w:val="Strong"/>
          <w:rFonts w:ascii="Verdana" w:eastAsia="Times New Roman" w:hAnsi="Verdana" w:cs="Segoe UI"/>
          <w:b w:val="0"/>
          <w:bCs w:val="0"/>
          <w:lang w:eastAsia="es-PA"/>
        </w:rPr>
        <w:t>“</w:t>
      </w:r>
      <w:r w:rsidR="00EE6FA0">
        <w:rPr>
          <w:rStyle w:val="Strong"/>
          <w:rFonts w:ascii="Verdana" w:eastAsia="Times New Roman" w:hAnsi="Verdana" w:cs="Segoe UI"/>
          <w:b w:val="0"/>
          <w:bCs w:val="0"/>
          <w:lang w:eastAsia="es-PA"/>
        </w:rPr>
        <w:t>primer momento</w:t>
      </w:r>
      <w:r w:rsidR="00263E1B">
        <w:rPr>
          <w:rStyle w:val="Strong"/>
          <w:rFonts w:ascii="Verdana" w:eastAsia="Times New Roman" w:hAnsi="Verdana" w:cs="Segoe UI"/>
          <w:b w:val="0"/>
          <w:bCs w:val="0"/>
          <w:lang w:eastAsia="es-PA"/>
        </w:rPr>
        <w:t>” del deber de prevención</w:t>
      </w:r>
      <w:r w:rsidR="00EE6FA0">
        <w:rPr>
          <w:rStyle w:val="Strong"/>
          <w:rFonts w:ascii="Verdana" w:eastAsia="Times New Roman" w:hAnsi="Verdana" w:cs="Segoe UI"/>
          <w:b w:val="0"/>
          <w:bCs w:val="0"/>
          <w:lang w:eastAsia="es-PA"/>
        </w:rPr>
        <w:t xml:space="preserve"> incide</w:t>
      </w:r>
      <w:r w:rsidR="00EB0D06">
        <w:rPr>
          <w:rStyle w:val="Strong"/>
          <w:rFonts w:ascii="Verdana" w:eastAsia="Times New Roman" w:hAnsi="Verdana" w:cs="Segoe UI"/>
          <w:b w:val="0"/>
          <w:bCs w:val="0"/>
          <w:lang w:eastAsia="es-PA"/>
        </w:rPr>
        <w:t xml:space="preserve"> </w:t>
      </w:r>
      <w:r w:rsidR="00E53604">
        <w:rPr>
          <w:rStyle w:val="Strong"/>
          <w:rFonts w:ascii="Verdana" w:eastAsia="Times New Roman" w:hAnsi="Verdana" w:cs="Segoe UI"/>
          <w:b w:val="0"/>
          <w:bCs w:val="0"/>
          <w:lang w:eastAsia="es-PA"/>
        </w:rPr>
        <w:t>de manera determinante en el</w:t>
      </w:r>
      <w:r w:rsidR="00EB0D06">
        <w:rPr>
          <w:rStyle w:val="Strong"/>
          <w:rFonts w:ascii="Verdana" w:eastAsia="Times New Roman" w:hAnsi="Verdana" w:cs="Segoe UI"/>
          <w:b w:val="0"/>
          <w:bCs w:val="0"/>
          <w:lang w:eastAsia="es-PA"/>
        </w:rPr>
        <w:t xml:space="preserve"> “segundo momento”, </w:t>
      </w:r>
      <w:r w:rsidR="00B104C6">
        <w:rPr>
          <w:rStyle w:val="Strong"/>
          <w:rFonts w:ascii="Verdana" w:eastAsia="Times New Roman" w:hAnsi="Verdana" w:cs="Segoe UI"/>
          <w:b w:val="0"/>
          <w:bCs w:val="0"/>
          <w:lang w:eastAsia="es-PA"/>
        </w:rPr>
        <w:t>en el que el</w:t>
      </w:r>
      <w:r w:rsidR="00EB0D06">
        <w:rPr>
          <w:rStyle w:val="Strong"/>
          <w:rFonts w:ascii="Verdana" w:eastAsia="Times New Roman" w:hAnsi="Verdana" w:cs="Segoe UI"/>
          <w:b w:val="0"/>
          <w:bCs w:val="0"/>
          <w:lang w:eastAsia="es-PA"/>
        </w:rPr>
        <w:t xml:space="preserve"> aparato de prevención estatal será aplicado a los casos específicos </w:t>
      </w:r>
      <w:r w:rsidR="00660B47">
        <w:rPr>
          <w:rStyle w:val="Strong"/>
          <w:rFonts w:ascii="Verdana" w:eastAsia="Times New Roman" w:hAnsi="Verdana" w:cs="Segoe UI"/>
          <w:b w:val="0"/>
          <w:bCs w:val="0"/>
          <w:lang w:eastAsia="es-PA"/>
        </w:rPr>
        <w:t>de desaparición y</w:t>
      </w:r>
      <w:r w:rsidR="00C57781">
        <w:rPr>
          <w:rStyle w:val="Strong"/>
          <w:rFonts w:ascii="Verdana" w:eastAsia="Times New Roman" w:hAnsi="Verdana" w:cs="Segoe UI"/>
          <w:b w:val="0"/>
          <w:bCs w:val="0"/>
          <w:lang w:eastAsia="es-PA"/>
        </w:rPr>
        <w:t xml:space="preserve"> violencia </w:t>
      </w:r>
      <w:r w:rsidR="00660B47">
        <w:rPr>
          <w:rStyle w:val="Strong"/>
          <w:rFonts w:ascii="Verdana" w:eastAsia="Times New Roman" w:hAnsi="Verdana" w:cs="Segoe UI"/>
          <w:b w:val="0"/>
          <w:bCs w:val="0"/>
          <w:lang w:eastAsia="es-PA"/>
        </w:rPr>
        <w:t>de género</w:t>
      </w:r>
      <w:r w:rsidR="00C57781">
        <w:rPr>
          <w:rStyle w:val="Strong"/>
          <w:rFonts w:ascii="Verdana" w:eastAsia="Times New Roman" w:hAnsi="Verdana" w:cs="Segoe UI"/>
          <w:b w:val="0"/>
          <w:bCs w:val="0"/>
          <w:lang w:eastAsia="es-PA"/>
        </w:rPr>
        <w:t xml:space="preserve"> </w:t>
      </w:r>
      <w:r w:rsidR="00EB0D06">
        <w:rPr>
          <w:rStyle w:val="Strong"/>
          <w:rFonts w:ascii="Verdana" w:eastAsia="Times New Roman" w:hAnsi="Verdana" w:cs="Segoe UI"/>
          <w:b w:val="0"/>
          <w:bCs w:val="0"/>
          <w:lang w:eastAsia="es-PA"/>
        </w:rPr>
        <w:t>a los que se enfrente el Estado.</w:t>
      </w:r>
    </w:p>
    <w:p w14:paraId="3221087A" w14:textId="77777777" w:rsidR="00FF2289" w:rsidRPr="00F9275D" w:rsidRDefault="00FF2289" w:rsidP="008C7F7F">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Segoe UI"/>
          <w:color w:val="444444"/>
          <w:lang w:eastAsia="es-PA"/>
        </w:rPr>
      </w:pPr>
    </w:p>
    <w:p w14:paraId="3221087B" w14:textId="77777777" w:rsidR="00111617" w:rsidRPr="00267AD4" w:rsidRDefault="00747C41"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ahoma"/>
          <w:bCs/>
          <w:color w:val="000000"/>
          <w:shd w:val="clear" w:color="auto" w:fill="FFFFFF"/>
        </w:rPr>
      </w:pPr>
      <w:r>
        <w:rPr>
          <w:rStyle w:val="Strong"/>
          <w:rFonts w:ascii="Verdana" w:hAnsi="Verdana" w:cs="Tahoma"/>
          <w:b w:val="0"/>
          <w:color w:val="000000"/>
          <w:shd w:val="clear" w:color="auto" w:fill="FFFFFF"/>
        </w:rPr>
        <w:t>55</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926E77" w:rsidRPr="006258F7">
        <w:rPr>
          <w:rStyle w:val="Strong"/>
          <w:rFonts w:ascii="Verdana" w:hAnsi="Verdana" w:cs="Tahoma"/>
          <w:b w:val="0"/>
          <w:color w:val="000000"/>
          <w:shd w:val="clear" w:color="auto" w:fill="FFFFFF"/>
        </w:rPr>
        <w:t>E</w:t>
      </w:r>
      <w:r w:rsidR="00FF2289" w:rsidRPr="006258F7">
        <w:rPr>
          <w:rStyle w:val="Strong"/>
          <w:rFonts w:ascii="Verdana" w:hAnsi="Verdana" w:cs="Tahoma"/>
          <w:b w:val="0"/>
          <w:color w:val="000000"/>
          <w:shd w:val="clear" w:color="auto" w:fill="FFFFFF"/>
        </w:rPr>
        <w:t xml:space="preserve">n el presente caso debe observarse que </w:t>
      </w:r>
      <w:r w:rsidR="00965E2E" w:rsidRPr="006258F7">
        <w:rPr>
          <w:rStyle w:val="Strong"/>
          <w:rFonts w:ascii="Verdana" w:hAnsi="Verdana" w:cs="Tahoma"/>
          <w:b w:val="0"/>
          <w:color w:val="000000"/>
          <w:shd w:val="clear" w:color="auto" w:fill="FFFFFF"/>
        </w:rPr>
        <w:t xml:space="preserve">ante un </w:t>
      </w:r>
      <w:r w:rsidR="00E03093">
        <w:rPr>
          <w:rStyle w:val="Strong"/>
          <w:rFonts w:ascii="Verdana" w:hAnsi="Verdana" w:cs="Tahoma"/>
          <w:b w:val="0"/>
          <w:color w:val="000000"/>
          <w:shd w:val="clear" w:color="auto" w:fill="FFFFFF"/>
        </w:rPr>
        <w:t>“</w:t>
      </w:r>
      <w:r w:rsidR="00965E2E" w:rsidRPr="006258F7">
        <w:rPr>
          <w:rStyle w:val="Strong"/>
          <w:rFonts w:ascii="Verdana" w:hAnsi="Verdana" w:cs="Tahoma"/>
          <w:b w:val="0"/>
          <w:color w:val="000000"/>
          <w:shd w:val="clear" w:color="auto" w:fill="FFFFFF"/>
        </w:rPr>
        <w:t>contexto</w:t>
      </w:r>
      <w:r w:rsidR="00E03093">
        <w:rPr>
          <w:rStyle w:val="Strong"/>
          <w:rFonts w:ascii="Verdana" w:hAnsi="Verdana" w:cs="Tahoma"/>
          <w:b w:val="0"/>
          <w:color w:val="000000"/>
          <w:shd w:val="clear" w:color="auto" w:fill="FFFFFF"/>
        </w:rPr>
        <w:t>”</w:t>
      </w:r>
      <w:r w:rsidR="00965E2E" w:rsidRPr="006258F7">
        <w:rPr>
          <w:rStyle w:val="Strong"/>
          <w:rFonts w:ascii="Verdana" w:hAnsi="Verdana" w:cs="Tahoma"/>
          <w:b w:val="0"/>
          <w:color w:val="000000"/>
          <w:shd w:val="clear" w:color="auto" w:fill="FFFFFF"/>
        </w:rPr>
        <w:t xml:space="preserve"> persistente de incremento de la violencia contra la mujer y </w:t>
      </w:r>
      <w:r w:rsidR="0065286D">
        <w:rPr>
          <w:rStyle w:val="Strong"/>
          <w:rFonts w:ascii="Verdana" w:hAnsi="Verdana" w:cs="Tahoma"/>
          <w:b w:val="0"/>
          <w:color w:val="000000"/>
          <w:shd w:val="clear" w:color="auto" w:fill="FFFFFF"/>
        </w:rPr>
        <w:t xml:space="preserve">a pesar de que </w:t>
      </w:r>
      <w:r w:rsidR="00FF2289" w:rsidRPr="006258F7">
        <w:rPr>
          <w:rStyle w:val="Strong"/>
          <w:rFonts w:ascii="Verdana" w:hAnsi="Verdana" w:cs="Tahoma"/>
          <w:b w:val="0"/>
          <w:shd w:val="clear" w:color="auto" w:fill="FFFFFF"/>
        </w:rPr>
        <w:t>el Estado efectuó acciones enfocadas a abordar la problemática en Guatemala</w:t>
      </w:r>
      <w:r w:rsidR="00FF2289" w:rsidRPr="00F9275D">
        <w:rPr>
          <w:rStyle w:val="FootnoteReference"/>
          <w:rFonts w:ascii="Verdana" w:hAnsi="Verdana" w:cs="Tahoma"/>
          <w:bCs/>
          <w:shd w:val="clear" w:color="auto" w:fill="FFFFFF"/>
        </w:rPr>
        <w:footnoteReference w:id="97"/>
      </w:r>
      <w:r w:rsidR="00E53604">
        <w:rPr>
          <w:rStyle w:val="Strong"/>
          <w:rFonts w:ascii="Verdana" w:hAnsi="Verdana" w:cs="Tahoma"/>
          <w:b w:val="0"/>
          <w:shd w:val="clear" w:color="auto" w:fill="FFFFFF"/>
        </w:rPr>
        <w:t>;</w:t>
      </w:r>
      <w:r w:rsidR="00FF2289" w:rsidRPr="006258F7">
        <w:rPr>
          <w:rStyle w:val="Strong"/>
          <w:rFonts w:ascii="Verdana" w:hAnsi="Verdana" w:cs="Tahoma"/>
          <w:b w:val="0"/>
          <w:shd w:val="clear" w:color="auto" w:fill="FFFFFF"/>
        </w:rPr>
        <w:t xml:space="preserve"> </w:t>
      </w:r>
      <w:r w:rsidR="006258F7" w:rsidRPr="006258F7">
        <w:rPr>
          <w:rStyle w:val="Strong"/>
          <w:rFonts w:ascii="Verdana" w:hAnsi="Verdana" w:cs="Tahoma"/>
          <w:b w:val="0"/>
          <w:shd w:val="clear" w:color="auto" w:fill="FFFFFF"/>
        </w:rPr>
        <w:t xml:space="preserve">la insuficiencia e ineficacia de dichas medidas ha traído como consecuencia el hecho de que </w:t>
      </w:r>
      <w:r w:rsidR="00B104C6">
        <w:rPr>
          <w:rFonts w:ascii="Verdana" w:eastAsia="Times New Roman" w:hAnsi="Verdana" w:cs="Segoe UI"/>
          <w:lang w:eastAsia="es-PA"/>
        </w:rPr>
        <w:t>todavía no exista</w:t>
      </w:r>
      <w:r w:rsidR="003B5E51" w:rsidRPr="006258F7">
        <w:rPr>
          <w:rFonts w:ascii="Verdana" w:eastAsia="Times New Roman" w:hAnsi="Verdana" w:cs="Segoe UI"/>
          <w:lang w:eastAsia="es-PA"/>
        </w:rPr>
        <w:t xml:space="preserve"> </w:t>
      </w:r>
      <w:r w:rsidR="00864AC8" w:rsidRPr="006258F7">
        <w:rPr>
          <w:rFonts w:ascii="Verdana" w:eastAsia="Times New Roman" w:hAnsi="Verdana" w:cs="Segoe UI"/>
          <w:lang w:eastAsia="es-PA"/>
        </w:rPr>
        <w:t xml:space="preserve">en ese país </w:t>
      </w:r>
      <w:r w:rsidR="003B5E51" w:rsidRPr="006258F7">
        <w:rPr>
          <w:rFonts w:ascii="Verdana" w:eastAsia="Times New Roman" w:hAnsi="Verdana" w:cs="Segoe UI"/>
          <w:lang w:eastAsia="es-PA"/>
        </w:rPr>
        <w:t>un mecanismo, instrumento y menos aún</w:t>
      </w:r>
      <w:r w:rsidR="00111617" w:rsidRPr="006258F7">
        <w:rPr>
          <w:rFonts w:ascii="Verdana" w:eastAsia="Times New Roman" w:hAnsi="Verdana" w:cs="Segoe UI"/>
          <w:lang w:eastAsia="es-PA"/>
        </w:rPr>
        <w:t>,</w:t>
      </w:r>
      <w:r w:rsidR="003B5E51" w:rsidRPr="006258F7">
        <w:rPr>
          <w:rFonts w:ascii="Verdana" w:eastAsia="Times New Roman" w:hAnsi="Verdana" w:cs="Segoe UI"/>
          <w:lang w:eastAsia="es-PA"/>
        </w:rPr>
        <w:t xml:space="preserve"> una práctica de búsqueda inmediata de mujeres desaparecidas, conforme al estándar </w:t>
      </w:r>
      <w:r w:rsidR="00E53604">
        <w:rPr>
          <w:rFonts w:ascii="Verdana" w:eastAsia="Times New Roman" w:hAnsi="Verdana" w:cs="Segoe UI"/>
          <w:lang w:eastAsia="es-PA"/>
        </w:rPr>
        <w:t>establecido por esta Corte IDH</w:t>
      </w:r>
      <w:r w:rsidR="003B5E51" w:rsidRPr="006258F7">
        <w:rPr>
          <w:rFonts w:ascii="Verdana" w:eastAsia="Times New Roman" w:hAnsi="Verdana" w:cs="Segoe UI"/>
          <w:lang w:eastAsia="es-PA"/>
        </w:rPr>
        <w:t xml:space="preserve"> en los </w:t>
      </w:r>
      <w:r w:rsidR="003B5E51" w:rsidRPr="006258F7">
        <w:rPr>
          <w:rFonts w:ascii="Verdana" w:eastAsia="Times New Roman" w:hAnsi="Verdana" w:cs="Segoe UI"/>
          <w:lang w:eastAsia="es-PA"/>
        </w:rPr>
        <w:lastRenderedPageBreak/>
        <w:t>dos casos anteriores sobre la temática</w:t>
      </w:r>
      <w:r w:rsidR="00B104C6">
        <w:rPr>
          <w:rStyle w:val="FootnoteReference"/>
          <w:rFonts w:ascii="Verdana" w:eastAsia="Times New Roman" w:hAnsi="Verdana" w:cs="Segoe UI"/>
          <w:lang w:eastAsia="es-PA"/>
        </w:rPr>
        <w:footnoteReference w:id="98"/>
      </w:r>
      <w:r w:rsidR="003B5E51" w:rsidRPr="006258F7">
        <w:rPr>
          <w:rFonts w:ascii="Verdana" w:eastAsia="Times New Roman" w:hAnsi="Verdana" w:cs="Segoe UI"/>
          <w:lang w:eastAsia="es-PA"/>
        </w:rPr>
        <w:t>, que puedan evitar el riesgo en que se encuentran las niñas y mujeres guatemaltecas ante el aumento de los homicidios de mujeres en las circunstancias dramáticas de violencia en que se realizan</w:t>
      </w:r>
      <w:r w:rsidR="00E53604">
        <w:rPr>
          <w:rFonts w:ascii="Verdana" w:eastAsia="Times New Roman" w:hAnsi="Verdana" w:cs="Segoe UI"/>
          <w:lang w:eastAsia="es-PA"/>
        </w:rPr>
        <w:t>.</w:t>
      </w:r>
      <w:r w:rsidR="00111617" w:rsidRPr="006258F7">
        <w:rPr>
          <w:rFonts w:ascii="Verdana" w:eastAsia="Times New Roman" w:hAnsi="Verdana" w:cs="Segoe UI"/>
          <w:lang w:eastAsia="es-PA"/>
        </w:rPr>
        <w:t xml:space="preserve"> </w:t>
      </w:r>
    </w:p>
    <w:p w14:paraId="3221087C" w14:textId="77777777" w:rsidR="00267AD4" w:rsidRPr="006258F7" w:rsidRDefault="00267AD4" w:rsidP="008C7F7F">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ahoma"/>
          <w:bCs/>
          <w:color w:val="000000"/>
          <w:shd w:val="clear" w:color="auto" w:fill="FFFFFF"/>
        </w:rPr>
      </w:pPr>
    </w:p>
    <w:p w14:paraId="3221087D" w14:textId="77777777" w:rsidR="00267AD4" w:rsidRDefault="00747C41"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ahoma"/>
          <w:bCs/>
          <w:color w:val="000000"/>
          <w:shd w:val="clear" w:color="auto" w:fill="FFFFFF"/>
        </w:rPr>
      </w:pPr>
      <w:r>
        <w:rPr>
          <w:rFonts w:ascii="Verdana" w:hAnsi="Verdana" w:cs="Tahoma"/>
          <w:bCs/>
          <w:color w:val="000000"/>
          <w:shd w:val="clear" w:color="auto" w:fill="FFFFFF"/>
        </w:rPr>
        <w:t>56</w:t>
      </w:r>
      <w:r w:rsidR="00C57B1A">
        <w:rPr>
          <w:rFonts w:ascii="Verdana" w:hAnsi="Verdana" w:cs="Tahoma"/>
          <w:bCs/>
          <w:color w:val="000000"/>
          <w:shd w:val="clear" w:color="auto" w:fill="FFFFFF"/>
        </w:rPr>
        <w:t xml:space="preserve">. </w:t>
      </w:r>
      <w:r w:rsidR="00C57B1A">
        <w:rPr>
          <w:rFonts w:ascii="Verdana" w:hAnsi="Verdana" w:cs="Tahoma"/>
          <w:bCs/>
          <w:color w:val="000000"/>
          <w:shd w:val="clear" w:color="auto" w:fill="FFFFFF"/>
        </w:rPr>
        <w:tab/>
      </w:r>
      <w:r w:rsidR="00C05A69">
        <w:rPr>
          <w:rFonts w:ascii="Verdana" w:hAnsi="Verdana" w:cs="Tahoma"/>
          <w:bCs/>
          <w:color w:val="000000"/>
          <w:shd w:val="clear" w:color="auto" w:fill="FFFFFF"/>
        </w:rPr>
        <w:t>S</w:t>
      </w:r>
      <w:r w:rsidR="00EB0D06">
        <w:rPr>
          <w:rFonts w:ascii="Verdana" w:hAnsi="Verdana" w:cs="Tahoma"/>
          <w:bCs/>
          <w:color w:val="000000"/>
          <w:shd w:val="clear" w:color="auto" w:fill="FFFFFF"/>
        </w:rPr>
        <w:t>e observa con</w:t>
      </w:r>
      <w:r w:rsidR="00267AD4">
        <w:rPr>
          <w:rFonts w:ascii="Verdana" w:hAnsi="Verdana" w:cs="Tahoma"/>
          <w:bCs/>
          <w:color w:val="000000"/>
          <w:shd w:val="clear" w:color="auto" w:fill="FFFFFF"/>
        </w:rPr>
        <w:t xml:space="preserve"> especial preocupación que la falta de adopción de medidas eficaces y suficientes con el objetivo de prevenir la violencia contra las mujeres guatemaltecas, ha traído como consecuencia que continúen enfrentándose a una situación de riesgo constante, donde la garantía d</w:t>
      </w:r>
      <w:r w:rsidR="0065286D">
        <w:rPr>
          <w:rFonts w:ascii="Verdana" w:hAnsi="Verdana" w:cs="Tahoma"/>
          <w:bCs/>
          <w:color w:val="000000"/>
          <w:shd w:val="clear" w:color="auto" w:fill="FFFFFF"/>
        </w:rPr>
        <w:t>e sus derechos se ve nulificada</w:t>
      </w:r>
      <w:r w:rsidR="00267AD4">
        <w:rPr>
          <w:rFonts w:ascii="Verdana" w:hAnsi="Verdana" w:cs="Tahoma"/>
          <w:bCs/>
          <w:color w:val="000000"/>
          <w:shd w:val="clear" w:color="auto" w:fill="FFFFFF"/>
        </w:rPr>
        <w:t xml:space="preserve"> </w:t>
      </w:r>
      <w:r w:rsidR="00EB0D06">
        <w:rPr>
          <w:rFonts w:ascii="Verdana" w:hAnsi="Verdana" w:cs="Tahoma"/>
          <w:bCs/>
          <w:color w:val="000000"/>
          <w:shd w:val="clear" w:color="auto" w:fill="FFFFFF"/>
        </w:rPr>
        <w:t>y</w:t>
      </w:r>
      <w:r w:rsidR="0065286D">
        <w:rPr>
          <w:rFonts w:ascii="Verdana" w:hAnsi="Verdana" w:cs="Tahoma"/>
          <w:bCs/>
          <w:color w:val="000000"/>
          <w:shd w:val="clear" w:color="auto" w:fill="FFFFFF"/>
        </w:rPr>
        <w:t>,</w:t>
      </w:r>
      <w:r w:rsidR="00EB0D06">
        <w:rPr>
          <w:rFonts w:ascii="Verdana" w:hAnsi="Verdana" w:cs="Tahoma"/>
          <w:bCs/>
          <w:color w:val="000000"/>
          <w:shd w:val="clear" w:color="auto" w:fill="FFFFFF"/>
        </w:rPr>
        <w:t xml:space="preserve"> a su vez</w:t>
      </w:r>
      <w:r w:rsidR="0065286D">
        <w:rPr>
          <w:rFonts w:ascii="Verdana" w:hAnsi="Verdana" w:cs="Tahoma"/>
          <w:bCs/>
          <w:color w:val="000000"/>
          <w:shd w:val="clear" w:color="auto" w:fill="FFFFFF"/>
        </w:rPr>
        <w:t>,</w:t>
      </w:r>
      <w:r w:rsidR="00EB0D06">
        <w:rPr>
          <w:rFonts w:ascii="Verdana" w:hAnsi="Verdana" w:cs="Tahoma"/>
          <w:bCs/>
          <w:color w:val="000000"/>
          <w:shd w:val="clear" w:color="auto" w:fill="FFFFFF"/>
        </w:rPr>
        <w:t xml:space="preserve"> </w:t>
      </w:r>
      <w:r w:rsidR="0065286D">
        <w:rPr>
          <w:rFonts w:ascii="Verdana" w:hAnsi="Verdana" w:cs="Tahoma"/>
          <w:bCs/>
          <w:color w:val="000000"/>
          <w:shd w:val="clear" w:color="auto" w:fill="FFFFFF"/>
        </w:rPr>
        <w:t>la de sus</w:t>
      </w:r>
      <w:r w:rsidR="00EB0D06">
        <w:rPr>
          <w:rFonts w:ascii="Verdana" w:hAnsi="Verdana" w:cs="Tahoma"/>
          <w:bCs/>
          <w:color w:val="000000"/>
          <w:shd w:val="clear" w:color="auto" w:fill="FFFFFF"/>
        </w:rPr>
        <w:t xml:space="preserve"> </w:t>
      </w:r>
      <w:r w:rsidR="00267AD4">
        <w:rPr>
          <w:rFonts w:ascii="Verdana" w:hAnsi="Verdana" w:cs="Tahoma"/>
          <w:bCs/>
          <w:color w:val="000000"/>
          <w:shd w:val="clear" w:color="auto" w:fill="FFFFFF"/>
        </w:rPr>
        <w:t>familiares</w:t>
      </w:r>
      <w:r w:rsidR="00EB0D06">
        <w:rPr>
          <w:rFonts w:ascii="Verdana" w:hAnsi="Verdana" w:cs="Tahoma"/>
          <w:bCs/>
          <w:color w:val="000000"/>
          <w:shd w:val="clear" w:color="auto" w:fill="FFFFFF"/>
        </w:rPr>
        <w:t>, como ocurrió en el presente caso</w:t>
      </w:r>
      <w:r w:rsidR="00267AD4">
        <w:rPr>
          <w:rFonts w:ascii="Verdana" w:hAnsi="Verdana" w:cs="Tahoma"/>
          <w:bCs/>
          <w:color w:val="000000"/>
          <w:shd w:val="clear" w:color="auto" w:fill="FFFFFF"/>
        </w:rPr>
        <w:t>.</w:t>
      </w:r>
    </w:p>
    <w:p w14:paraId="3221087E" w14:textId="77777777" w:rsidR="006258F7" w:rsidRPr="006258F7" w:rsidRDefault="006258F7" w:rsidP="008C7F7F">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Tahoma"/>
          <w:bCs/>
          <w:color w:val="000000"/>
          <w:shd w:val="clear" w:color="auto" w:fill="FFFFFF"/>
        </w:rPr>
      </w:pPr>
    </w:p>
    <w:p w14:paraId="3221087F" w14:textId="77777777" w:rsidR="002F4942" w:rsidRDefault="00747C41" w:rsidP="00C57B1A">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57</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3B5E51" w:rsidRPr="00F9275D">
        <w:rPr>
          <w:rStyle w:val="Strong"/>
          <w:rFonts w:ascii="Verdana" w:hAnsi="Verdana" w:cs="Tahoma"/>
          <w:b w:val="0"/>
          <w:color w:val="000000"/>
          <w:shd w:val="clear" w:color="auto" w:fill="FFFFFF"/>
        </w:rPr>
        <w:t>Por consiguiente</w:t>
      </w:r>
      <w:r w:rsidR="00735C73" w:rsidRPr="00F9275D">
        <w:rPr>
          <w:rStyle w:val="Strong"/>
          <w:rFonts w:ascii="Verdana" w:hAnsi="Verdana" w:cs="Tahoma"/>
          <w:b w:val="0"/>
          <w:color w:val="000000"/>
          <w:shd w:val="clear" w:color="auto" w:fill="FFFFFF"/>
        </w:rPr>
        <w:t>,</w:t>
      </w:r>
      <w:r w:rsidR="003B5E51" w:rsidRPr="00F9275D">
        <w:rPr>
          <w:rStyle w:val="Strong"/>
          <w:rFonts w:ascii="Verdana" w:hAnsi="Verdana" w:cs="Tahoma"/>
          <w:b w:val="0"/>
          <w:color w:val="000000"/>
          <w:shd w:val="clear" w:color="auto" w:fill="FFFFFF"/>
        </w:rPr>
        <w:t xml:space="preserve"> quien suscribe el presente voto</w:t>
      </w:r>
      <w:r w:rsidR="00735C73" w:rsidRPr="00F9275D">
        <w:rPr>
          <w:rStyle w:val="Strong"/>
          <w:rFonts w:ascii="Verdana" w:hAnsi="Verdana" w:cs="Tahoma"/>
          <w:b w:val="0"/>
          <w:color w:val="000000"/>
          <w:shd w:val="clear" w:color="auto" w:fill="FFFFFF"/>
        </w:rPr>
        <w:t xml:space="preserve"> </w:t>
      </w:r>
      <w:r w:rsidR="00BC471C" w:rsidRPr="00F9275D">
        <w:rPr>
          <w:rStyle w:val="Strong"/>
          <w:rFonts w:ascii="Verdana" w:hAnsi="Verdana" w:cs="Tahoma"/>
          <w:b w:val="0"/>
          <w:color w:val="000000"/>
          <w:shd w:val="clear" w:color="auto" w:fill="FFFFFF"/>
        </w:rPr>
        <w:t>consider</w:t>
      </w:r>
      <w:r w:rsidR="003B5E51" w:rsidRPr="00F9275D">
        <w:rPr>
          <w:rStyle w:val="Strong"/>
          <w:rFonts w:ascii="Verdana" w:hAnsi="Verdana" w:cs="Tahoma"/>
          <w:b w:val="0"/>
          <w:color w:val="000000"/>
          <w:shd w:val="clear" w:color="auto" w:fill="FFFFFF"/>
        </w:rPr>
        <w:t>a</w:t>
      </w:r>
      <w:r w:rsidR="00735C73" w:rsidRPr="00F9275D">
        <w:rPr>
          <w:rStyle w:val="Strong"/>
          <w:rFonts w:ascii="Verdana" w:hAnsi="Verdana" w:cs="Tahoma"/>
          <w:b w:val="0"/>
          <w:color w:val="000000"/>
          <w:shd w:val="clear" w:color="auto" w:fill="FFFFFF"/>
        </w:rPr>
        <w:t xml:space="preserve"> pertinente señalar </w:t>
      </w:r>
      <w:r w:rsidR="000D5AC0" w:rsidRPr="00F9275D">
        <w:rPr>
          <w:rStyle w:val="Strong"/>
          <w:rFonts w:ascii="Verdana" w:hAnsi="Verdana" w:cs="Tahoma"/>
          <w:b w:val="0"/>
          <w:color w:val="000000"/>
          <w:shd w:val="clear" w:color="auto" w:fill="FFFFFF"/>
        </w:rPr>
        <w:t>que</w:t>
      </w:r>
      <w:r w:rsidR="007D390A" w:rsidRPr="00F9275D">
        <w:rPr>
          <w:rStyle w:val="Strong"/>
          <w:rFonts w:ascii="Verdana" w:hAnsi="Verdana" w:cs="Tahoma"/>
          <w:b w:val="0"/>
          <w:color w:val="000000"/>
          <w:shd w:val="clear" w:color="auto" w:fill="FFFFFF"/>
        </w:rPr>
        <w:t xml:space="preserve"> </w:t>
      </w:r>
      <w:r w:rsidR="00077718">
        <w:rPr>
          <w:rStyle w:val="Strong"/>
          <w:rFonts w:ascii="Verdana" w:hAnsi="Verdana" w:cs="Tahoma"/>
          <w:b w:val="0"/>
          <w:color w:val="000000"/>
          <w:shd w:val="clear" w:color="auto" w:fill="FFFFFF"/>
        </w:rPr>
        <w:t>frente a</w:t>
      </w:r>
      <w:r w:rsidR="007E11D7" w:rsidRPr="00F9275D">
        <w:rPr>
          <w:rStyle w:val="Strong"/>
          <w:rFonts w:ascii="Verdana" w:hAnsi="Verdana" w:cs="Tahoma"/>
          <w:b w:val="0"/>
          <w:color w:val="000000"/>
          <w:shd w:val="clear" w:color="auto" w:fill="FFFFFF"/>
        </w:rPr>
        <w:t xml:space="preserve">l contexto de violencia </w:t>
      </w:r>
      <w:r w:rsidR="00181D41">
        <w:rPr>
          <w:rStyle w:val="Strong"/>
          <w:rFonts w:ascii="Verdana" w:hAnsi="Verdana" w:cs="Tahoma"/>
          <w:b w:val="0"/>
          <w:color w:val="000000"/>
          <w:shd w:val="clear" w:color="auto" w:fill="FFFFFF"/>
        </w:rPr>
        <w:t>al que se enfrentan las mujeres</w:t>
      </w:r>
      <w:r w:rsidR="00077718">
        <w:rPr>
          <w:rStyle w:val="Strong"/>
          <w:rFonts w:ascii="Verdana" w:hAnsi="Verdana" w:cs="Tahoma"/>
          <w:b w:val="0"/>
          <w:color w:val="000000"/>
          <w:shd w:val="clear" w:color="auto" w:fill="FFFFFF"/>
        </w:rPr>
        <w:t xml:space="preserve"> en Guatemala</w:t>
      </w:r>
      <w:r w:rsidR="007E11D7" w:rsidRPr="00F9275D">
        <w:rPr>
          <w:rStyle w:val="Strong"/>
          <w:rFonts w:ascii="Verdana" w:hAnsi="Verdana" w:cs="Tahoma"/>
          <w:b w:val="0"/>
          <w:color w:val="000000"/>
          <w:shd w:val="clear" w:color="auto" w:fill="FFFFFF"/>
        </w:rPr>
        <w:t xml:space="preserve">, </w:t>
      </w:r>
      <w:r w:rsidR="00077718">
        <w:rPr>
          <w:rStyle w:val="Strong"/>
          <w:rFonts w:ascii="Verdana" w:hAnsi="Verdana" w:cs="Tahoma"/>
          <w:b w:val="0"/>
          <w:color w:val="000000"/>
          <w:shd w:val="clear" w:color="auto" w:fill="FFFFFF"/>
        </w:rPr>
        <w:t>y</w:t>
      </w:r>
      <w:r w:rsidR="007E11D7" w:rsidRPr="00F9275D">
        <w:rPr>
          <w:rStyle w:val="Strong"/>
          <w:rFonts w:ascii="Verdana" w:hAnsi="Verdana" w:cs="Tahoma"/>
          <w:b w:val="0"/>
          <w:color w:val="000000"/>
          <w:shd w:val="clear" w:color="auto" w:fill="FFFFFF"/>
        </w:rPr>
        <w:t xml:space="preserve"> </w:t>
      </w:r>
      <w:r w:rsidR="00181D41">
        <w:rPr>
          <w:rStyle w:val="Strong"/>
          <w:rFonts w:ascii="Verdana" w:hAnsi="Verdana" w:cs="Tahoma"/>
          <w:b w:val="0"/>
          <w:color w:val="000000"/>
          <w:shd w:val="clear" w:color="auto" w:fill="FFFFFF"/>
        </w:rPr>
        <w:t xml:space="preserve">como consecuencia, </w:t>
      </w:r>
      <w:r w:rsidR="00C57781">
        <w:rPr>
          <w:rStyle w:val="Strong"/>
          <w:rFonts w:ascii="Verdana" w:hAnsi="Verdana" w:cs="Tahoma"/>
          <w:b w:val="0"/>
          <w:color w:val="000000"/>
          <w:shd w:val="clear" w:color="auto" w:fill="FFFFFF"/>
        </w:rPr>
        <w:t>a</w:t>
      </w:r>
      <w:r w:rsidR="007E11D7" w:rsidRPr="00F9275D">
        <w:rPr>
          <w:rStyle w:val="Strong"/>
          <w:rFonts w:ascii="Verdana" w:hAnsi="Verdana" w:cs="Tahoma"/>
          <w:b w:val="0"/>
          <w:color w:val="000000"/>
          <w:shd w:val="clear" w:color="auto" w:fill="FFFFFF"/>
        </w:rPr>
        <w:t>l deber reforzado</w:t>
      </w:r>
      <w:r w:rsidR="00181D41">
        <w:rPr>
          <w:rStyle w:val="Strong"/>
          <w:rFonts w:ascii="Verdana" w:hAnsi="Verdana" w:cs="Tahoma"/>
          <w:b w:val="0"/>
          <w:color w:val="000000"/>
          <w:shd w:val="clear" w:color="auto" w:fill="FFFFFF"/>
        </w:rPr>
        <w:t xml:space="preserve"> del Estado</w:t>
      </w:r>
      <w:r w:rsidR="007E11D7" w:rsidRPr="00F9275D">
        <w:rPr>
          <w:rStyle w:val="Strong"/>
          <w:rFonts w:ascii="Verdana" w:hAnsi="Verdana" w:cs="Tahoma"/>
          <w:b w:val="0"/>
          <w:color w:val="000000"/>
          <w:shd w:val="clear" w:color="auto" w:fill="FFFFFF"/>
        </w:rPr>
        <w:t xml:space="preserve"> de prevenir </w:t>
      </w:r>
      <w:r w:rsidR="00181D41">
        <w:rPr>
          <w:rStyle w:val="Strong"/>
          <w:rFonts w:ascii="Verdana" w:hAnsi="Verdana" w:cs="Tahoma"/>
          <w:b w:val="0"/>
          <w:color w:val="000000"/>
          <w:shd w:val="clear" w:color="auto" w:fill="FFFFFF"/>
        </w:rPr>
        <w:t>dicha situación</w:t>
      </w:r>
      <w:r w:rsidR="007E11D7" w:rsidRPr="00F9275D">
        <w:rPr>
          <w:rStyle w:val="Strong"/>
          <w:rFonts w:ascii="Verdana" w:hAnsi="Verdana" w:cs="Tahoma"/>
          <w:b w:val="0"/>
          <w:color w:val="000000"/>
          <w:shd w:val="clear" w:color="auto" w:fill="FFFFFF"/>
        </w:rPr>
        <w:t xml:space="preserve">, </w:t>
      </w:r>
      <w:r w:rsidR="00181D41">
        <w:rPr>
          <w:rStyle w:val="Strong"/>
          <w:rFonts w:ascii="Verdana" w:hAnsi="Verdana" w:cs="Tahoma"/>
          <w:b w:val="0"/>
          <w:color w:val="000000"/>
          <w:shd w:val="clear" w:color="auto" w:fill="FFFFFF"/>
        </w:rPr>
        <w:t xml:space="preserve">esta Corte </w:t>
      </w:r>
      <w:r w:rsidR="0065286D">
        <w:rPr>
          <w:rStyle w:val="Strong"/>
          <w:rFonts w:ascii="Verdana" w:hAnsi="Verdana" w:cs="Tahoma"/>
          <w:b w:val="0"/>
          <w:color w:val="000000"/>
          <w:shd w:val="clear" w:color="auto" w:fill="FFFFFF"/>
        </w:rPr>
        <w:t xml:space="preserve">IDH </w:t>
      </w:r>
      <w:r w:rsidR="0078689C">
        <w:rPr>
          <w:rStyle w:val="Strong"/>
          <w:rFonts w:ascii="Verdana" w:hAnsi="Verdana" w:cs="Tahoma"/>
          <w:b w:val="0"/>
          <w:color w:val="000000"/>
          <w:shd w:val="clear" w:color="auto" w:fill="FFFFFF"/>
        </w:rPr>
        <w:t>d</w:t>
      </w:r>
      <w:r w:rsidR="007D390A" w:rsidRPr="00F9275D">
        <w:rPr>
          <w:rStyle w:val="Strong"/>
          <w:rFonts w:ascii="Verdana" w:hAnsi="Verdana" w:cs="Tahoma"/>
          <w:b w:val="0"/>
          <w:color w:val="000000"/>
          <w:shd w:val="clear" w:color="auto" w:fill="FFFFFF"/>
        </w:rPr>
        <w:t xml:space="preserve">ebió </w:t>
      </w:r>
      <w:r w:rsidR="00181D41">
        <w:rPr>
          <w:rStyle w:val="Strong"/>
          <w:rFonts w:ascii="Verdana" w:hAnsi="Verdana" w:cs="Tahoma"/>
          <w:b w:val="0"/>
          <w:color w:val="000000"/>
          <w:u w:val="single"/>
          <w:shd w:val="clear" w:color="auto" w:fill="FFFFFF"/>
        </w:rPr>
        <w:t>declarar</w:t>
      </w:r>
      <w:r w:rsidR="00BC471C" w:rsidRPr="00F9275D">
        <w:rPr>
          <w:rStyle w:val="Strong"/>
          <w:rFonts w:ascii="Verdana" w:hAnsi="Verdana" w:cs="Tahoma"/>
          <w:b w:val="0"/>
          <w:color w:val="000000"/>
          <w:u w:val="single"/>
          <w:shd w:val="clear" w:color="auto" w:fill="FFFFFF"/>
        </w:rPr>
        <w:t xml:space="preserve"> la responsabilidad internacional del Estado por el incumplimiento de</w:t>
      </w:r>
      <w:r w:rsidR="00867046" w:rsidRPr="00F9275D">
        <w:rPr>
          <w:rStyle w:val="Strong"/>
          <w:rFonts w:ascii="Verdana" w:hAnsi="Verdana" w:cs="Tahoma"/>
          <w:b w:val="0"/>
          <w:color w:val="000000"/>
          <w:u w:val="single"/>
          <w:shd w:val="clear" w:color="auto" w:fill="FFFFFF"/>
        </w:rPr>
        <w:t xml:space="preserve"> su</w:t>
      </w:r>
      <w:r w:rsidR="00BC471C" w:rsidRPr="00F9275D">
        <w:rPr>
          <w:rStyle w:val="Strong"/>
          <w:rFonts w:ascii="Verdana" w:hAnsi="Verdana" w:cs="Tahoma"/>
          <w:b w:val="0"/>
          <w:color w:val="000000"/>
          <w:u w:val="single"/>
          <w:shd w:val="clear" w:color="auto" w:fill="FFFFFF"/>
        </w:rPr>
        <w:t xml:space="preserve"> deber</w:t>
      </w:r>
      <w:r w:rsidR="00867046" w:rsidRPr="00F9275D">
        <w:rPr>
          <w:rStyle w:val="Strong"/>
          <w:rFonts w:ascii="Verdana" w:hAnsi="Verdana" w:cs="Tahoma"/>
          <w:b w:val="0"/>
          <w:color w:val="000000"/>
          <w:u w:val="single"/>
          <w:shd w:val="clear" w:color="auto" w:fill="FFFFFF"/>
        </w:rPr>
        <w:t xml:space="preserve"> general</w:t>
      </w:r>
      <w:r w:rsidR="00BC471C" w:rsidRPr="00F9275D">
        <w:rPr>
          <w:rStyle w:val="Strong"/>
          <w:rFonts w:ascii="Verdana" w:hAnsi="Verdana" w:cs="Tahoma"/>
          <w:b w:val="0"/>
          <w:color w:val="000000"/>
          <w:u w:val="single"/>
          <w:shd w:val="clear" w:color="auto" w:fill="FFFFFF"/>
        </w:rPr>
        <w:t xml:space="preserve"> de prevención</w:t>
      </w:r>
      <w:r w:rsidR="0065286D">
        <w:rPr>
          <w:rStyle w:val="Strong"/>
          <w:rFonts w:ascii="Verdana" w:hAnsi="Verdana" w:cs="Tahoma"/>
          <w:b w:val="0"/>
          <w:color w:val="000000"/>
          <w:u w:val="single"/>
          <w:shd w:val="clear" w:color="auto" w:fill="FFFFFF"/>
        </w:rPr>
        <w:t xml:space="preserve"> al estudiar el</w:t>
      </w:r>
      <w:r w:rsidR="00490EDC">
        <w:rPr>
          <w:rStyle w:val="Strong"/>
          <w:rFonts w:ascii="Verdana" w:hAnsi="Verdana" w:cs="Tahoma"/>
          <w:b w:val="0"/>
          <w:color w:val="000000"/>
          <w:u w:val="single"/>
          <w:shd w:val="clear" w:color="auto" w:fill="FFFFFF"/>
        </w:rPr>
        <w:t xml:space="preserve"> “primer momento” de</w:t>
      </w:r>
      <w:r w:rsidR="0065286D">
        <w:rPr>
          <w:rStyle w:val="Strong"/>
          <w:rFonts w:ascii="Verdana" w:hAnsi="Verdana" w:cs="Tahoma"/>
          <w:b w:val="0"/>
          <w:color w:val="000000"/>
          <w:u w:val="single"/>
          <w:shd w:val="clear" w:color="auto" w:fill="FFFFFF"/>
        </w:rPr>
        <w:t>l análisis fáctico de las medidas estatales adoptadas</w:t>
      </w:r>
      <w:r w:rsidR="00833CF5">
        <w:rPr>
          <w:rStyle w:val="Strong"/>
          <w:rFonts w:ascii="Verdana" w:hAnsi="Verdana" w:cs="Tahoma"/>
          <w:b w:val="0"/>
          <w:color w:val="000000"/>
          <w:u w:val="single"/>
          <w:shd w:val="clear" w:color="auto" w:fill="FFFFFF"/>
        </w:rPr>
        <w:t>.</w:t>
      </w:r>
      <w:r w:rsidR="00867046" w:rsidRPr="00F9275D">
        <w:rPr>
          <w:rStyle w:val="Strong"/>
          <w:rFonts w:ascii="Verdana" w:hAnsi="Verdana" w:cs="Tahoma"/>
          <w:b w:val="0"/>
          <w:color w:val="000000"/>
          <w:shd w:val="clear" w:color="auto" w:fill="FFFFFF"/>
        </w:rPr>
        <w:t xml:space="preserve"> </w:t>
      </w:r>
      <w:r w:rsidR="00833CF5">
        <w:rPr>
          <w:rStyle w:val="Strong"/>
          <w:rFonts w:ascii="Verdana" w:hAnsi="Verdana" w:cs="Tahoma"/>
          <w:b w:val="0"/>
          <w:color w:val="000000"/>
          <w:shd w:val="clear" w:color="auto" w:fill="FFFFFF"/>
        </w:rPr>
        <w:t>Lo anterior debido a</w:t>
      </w:r>
      <w:r w:rsidR="0065286D">
        <w:rPr>
          <w:rStyle w:val="Strong"/>
          <w:rFonts w:ascii="Verdana" w:hAnsi="Verdana" w:cs="Tahoma"/>
          <w:b w:val="0"/>
          <w:color w:val="000000"/>
          <w:shd w:val="clear" w:color="auto" w:fill="FFFFFF"/>
        </w:rPr>
        <w:t xml:space="preserve"> que dicho incumplimiento constituyó </w:t>
      </w:r>
      <w:r w:rsidR="00181D41">
        <w:rPr>
          <w:rStyle w:val="Strong"/>
          <w:rFonts w:ascii="Verdana" w:hAnsi="Verdana" w:cs="Tahoma"/>
          <w:b w:val="0"/>
          <w:color w:val="000000"/>
          <w:shd w:val="clear" w:color="auto" w:fill="FFFFFF"/>
        </w:rPr>
        <w:t>el</w:t>
      </w:r>
      <w:r w:rsidR="00BC471C" w:rsidRPr="00F9275D">
        <w:rPr>
          <w:rStyle w:val="Strong"/>
          <w:rFonts w:ascii="Verdana" w:hAnsi="Verdana" w:cs="Tahoma"/>
          <w:b w:val="0"/>
          <w:color w:val="000000"/>
          <w:shd w:val="clear" w:color="auto" w:fill="FFFFFF"/>
        </w:rPr>
        <w:t xml:space="preserve"> </w:t>
      </w:r>
      <w:r w:rsidR="007E11D7" w:rsidRPr="00F9275D">
        <w:rPr>
          <w:rStyle w:val="Strong"/>
          <w:rFonts w:ascii="Verdana" w:hAnsi="Verdana" w:cs="Tahoma"/>
          <w:b w:val="0"/>
          <w:color w:val="000000"/>
          <w:shd w:val="clear" w:color="auto" w:fill="FFFFFF"/>
        </w:rPr>
        <w:t xml:space="preserve">origen </w:t>
      </w:r>
      <w:r w:rsidR="0065286D">
        <w:rPr>
          <w:rStyle w:val="Strong"/>
          <w:rFonts w:ascii="Verdana" w:hAnsi="Verdana" w:cs="Tahoma"/>
          <w:b w:val="0"/>
          <w:color w:val="000000"/>
          <w:shd w:val="clear" w:color="auto" w:fill="FFFFFF"/>
        </w:rPr>
        <w:t>de la</w:t>
      </w:r>
      <w:r w:rsidR="00181D41">
        <w:rPr>
          <w:rStyle w:val="Strong"/>
          <w:rFonts w:ascii="Verdana" w:hAnsi="Verdana" w:cs="Tahoma"/>
          <w:b w:val="0"/>
          <w:color w:val="000000"/>
          <w:shd w:val="clear" w:color="auto" w:fill="FFFFFF"/>
        </w:rPr>
        <w:t xml:space="preserve"> falta de</w:t>
      </w:r>
      <w:r w:rsidR="00BC471C" w:rsidRPr="00F9275D">
        <w:rPr>
          <w:rStyle w:val="Strong"/>
          <w:rFonts w:ascii="Verdana" w:hAnsi="Verdana" w:cs="Tahoma"/>
          <w:b w:val="0"/>
          <w:color w:val="000000"/>
          <w:shd w:val="clear" w:color="auto" w:fill="FFFFFF"/>
        </w:rPr>
        <w:t xml:space="preserve"> prevención</w:t>
      </w:r>
      <w:r w:rsidR="00490EDC">
        <w:rPr>
          <w:rStyle w:val="Strong"/>
          <w:rFonts w:ascii="Verdana" w:hAnsi="Verdana" w:cs="Tahoma"/>
          <w:b w:val="0"/>
          <w:color w:val="000000"/>
          <w:shd w:val="clear" w:color="auto" w:fill="FFFFFF"/>
        </w:rPr>
        <w:t xml:space="preserve"> específica</w:t>
      </w:r>
      <w:r w:rsidR="00BC471C" w:rsidRPr="00F9275D">
        <w:rPr>
          <w:rStyle w:val="Strong"/>
          <w:rFonts w:ascii="Verdana" w:hAnsi="Verdana" w:cs="Tahoma"/>
          <w:b w:val="0"/>
          <w:color w:val="000000"/>
          <w:shd w:val="clear" w:color="auto" w:fill="FFFFFF"/>
        </w:rPr>
        <w:t xml:space="preserve"> </w:t>
      </w:r>
      <w:r w:rsidR="00490EDC">
        <w:rPr>
          <w:rStyle w:val="Strong"/>
          <w:rFonts w:ascii="Verdana" w:hAnsi="Verdana" w:cs="Tahoma"/>
          <w:b w:val="0"/>
          <w:color w:val="000000"/>
          <w:shd w:val="clear" w:color="auto" w:fill="FFFFFF"/>
        </w:rPr>
        <w:t>o</w:t>
      </w:r>
      <w:r w:rsidR="00BC471C" w:rsidRPr="00F9275D">
        <w:rPr>
          <w:rStyle w:val="Strong"/>
          <w:rFonts w:ascii="Verdana" w:hAnsi="Verdana" w:cs="Tahoma"/>
          <w:b w:val="0"/>
          <w:color w:val="000000"/>
          <w:shd w:val="clear" w:color="auto" w:fill="FFFFFF"/>
        </w:rPr>
        <w:t xml:space="preserve"> “segundo momento”</w:t>
      </w:r>
      <w:r w:rsidR="00490EDC">
        <w:rPr>
          <w:rStyle w:val="Strong"/>
          <w:rFonts w:ascii="Verdana" w:hAnsi="Verdana" w:cs="Tahoma"/>
          <w:b w:val="0"/>
          <w:color w:val="000000"/>
          <w:shd w:val="clear" w:color="auto" w:fill="FFFFFF"/>
        </w:rPr>
        <w:t xml:space="preserve"> de</w:t>
      </w:r>
      <w:r w:rsidR="00660B47">
        <w:rPr>
          <w:rStyle w:val="Strong"/>
          <w:rFonts w:ascii="Verdana" w:hAnsi="Verdana" w:cs="Tahoma"/>
          <w:b w:val="0"/>
          <w:color w:val="000000"/>
          <w:shd w:val="clear" w:color="auto" w:fill="FFFFFF"/>
        </w:rPr>
        <w:t xml:space="preserve"> la</w:t>
      </w:r>
      <w:r w:rsidR="00490EDC">
        <w:rPr>
          <w:rStyle w:val="Strong"/>
          <w:rFonts w:ascii="Verdana" w:hAnsi="Verdana" w:cs="Tahoma"/>
          <w:b w:val="0"/>
          <w:color w:val="000000"/>
          <w:shd w:val="clear" w:color="auto" w:fill="FFFFFF"/>
        </w:rPr>
        <w:t xml:space="preserve"> prevención</w:t>
      </w:r>
      <w:r w:rsidR="00077718">
        <w:rPr>
          <w:rStyle w:val="Strong"/>
          <w:rFonts w:ascii="Verdana" w:hAnsi="Verdana" w:cs="Tahoma"/>
          <w:b w:val="0"/>
          <w:color w:val="000000"/>
          <w:shd w:val="clear" w:color="auto" w:fill="FFFFFF"/>
        </w:rPr>
        <w:t>,</w:t>
      </w:r>
      <w:r w:rsidR="00BC471C" w:rsidRPr="00F9275D">
        <w:rPr>
          <w:rStyle w:val="Strong"/>
          <w:rFonts w:ascii="Verdana" w:hAnsi="Verdana" w:cs="Tahoma"/>
          <w:b w:val="0"/>
          <w:color w:val="000000"/>
          <w:shd w:val="clear" w:color="auto" w:fill="FFFFFF"/>
        </w:rPr>
        <w:t xml:space="preserve"> </w:t>
      </w:r>
      <w:r w:rsidR="00263E1B">
        <w:rPr>
          <w:rStyle w:val="Strong"/>
          <w:rFonts w:ascii="Verdana" w:hAnsi="Verdana" w:cs="Tahoma"/>
          <w:b w:val="0"/>
          <w:color w:val="000000"/>
          <w:shd w:val="clear" w:color="auto" w:fill="FFFFFF"/>
        </w:rPr>
        <w:t xml:space="preserve">es decir, </w:t>
      </w:r>
      <w:r w:rsidR="007E11D7" w:rsidRPr="00F9275D">
        <w:rPr>
          <w:rStyle w:val="Strong"/>
          <w:rFonts w:ascii="Verdana" w:hAnsi="Verdana" w:cs="Tahoma"/>
          <w:b w:val="0"/>
          <w:color w:val="000000"/>
          <w:shd w:val="clear" w:color="auto" w:fill="FFFFFF"/>
        </w:rPr>
        <w:t>cuando el Estado se enfrentaba a la desaparición</w:t>
      </w:r>
      <w:r w:rsidR="00E03093">
        <w:rPr>
          <w:rStyle w:val="Strong"/>
          <w:rFonts w:ascii="Verdana" w:hAnsi="Verdana" w:cs="Tahoma"/>
          <w:b w:val="0"/>
          <w:color w:val="000000"/>
          <w:shd w:val="clear" w:color="auto" w:fill="FFFFFF"/>
        </w:rPr>
        <w:t xml:space="preserve"> de Claudina Velásquez;</w:t>
      </w:r>
      <w:r w:rsidR="00C57781">
        <w:rPr>
          <w:rStyle w:val="Strong"/>
          <w:rFonts w:ascii="Verdana" w:hAnsi="Verdana" w:cs="Tahoma"/>
          <w:b w:val="0"/>
          <w:color w:val="000000"/>
          <w:shd w:val="clear" w:color="auto" w:fill="FFFFFF"/>
        </w:rPr>
        <w:t xml:space="preserve"> toda vez que al no existir </w:t>
      </w:r>
      <w:r w:rsidR="00C57781" w:rsidRPr="006258F7">
        <w:rPr>
          <w:rFonts w:ascii="Verdana" w:eastAsia="Times New Roman" w:hAnsi="Verdana" w:cs="Segoe UI"/>
          <w:lang w:eastAsia="es-PA"/>
        </w:rPr>
        <w:t xml:space="preserve">un mecanismo, instrumento </w:t>
      </w:r>
      <w:r w:rsidR="00C57781">
        <w:rPr>
          <w:rFonts w:ascii="Verdana" w:eastAsia="Times New Roman" w:hAnsi="Verdana" w:cs="Segoe UI"/>
          <w:lang w:eastAsia="es-PA"/>
        </w:rPr>
        <w:t>o práctica</w:t>
      </w:r>
      <w:r w:rsidR="00C57781" w:rsidRPr="006258F7">
        <w:rPr>
          <w:rFonts w:ascii="Verdana" w:eastAsia="Times New Roman" w:hAnsi="Verdana" w:cs="Segoe UI"/>
          <w:lang w:eastAsia="es-PA"/>
        </w:rPr>
        <w:t xml:space="preserve"> de búsqueda inmediata de mujeres desaparecidas</w:t>
      </w:r>
      <w:r w:rsidR="00833CF5">
        <w:rPr>
          <w:rFonts w:ascii="Verdana" w:eastAsia="Times New Roman" w:hAnsi="Verdana" w:cs="Segoe UI"/>
          <w:lang w:eastAsia="es-PA"/>
        </w:rPr>
        <w:t xml:space="preserve"> (</w:t>
      </w:r>
      <w:r w:rsidR="00E03093">
        <w:rPr>
          <w:rFonts w:ascii="Verdana" w:eastAsia="Times New Roman" w:hAnsi="Verdana" w:cs="Segoe UI"/>
          <w:lang w:eastAsia="es-PA"/>
        </w:rPr>
        <w:t>que debió existir debido a su “deber general de prevención”</w:t>
      </w:r>
      <w:r w:rsidR="00833CF5">
        <w:rPr>
          <w:rFonts w:ascii="Verdana" w:eastAsia="Times New Roman" w:hAnsi="Verdana" w:cs="Segoe UI"/>
          <w:lang w:eastAsia="es-PA"/>
        </w:rPr>
        <w:t>)</w:t>
      </w:r>
      <w:r w:rsidR="00C57781">
        <w:rPr>
          <w:rFonts w:ascii="Verdana" w:eastAsia="Times New Roman" w:hAnsi="Verdana" w:cs="Segoe UI"/>
          <w:lang w:eastAsia="es-PA"/>
        </w:rPr>
        <w:t xml:space="preserve">, condicionó evidentemente el </w:t>
      </w:r>
      <w:r w:rsidR="00833CF5">
        <w:rPr>
          <w:rFonts w:ascii="Verdana" w:eastAsia="Times New Roman" w:hAnsi="Verdana" w:cs="Segoe UI"/>
          <w:lang w:eastAsia="es-PA"/>
        </w:rPr>
        <w:t xml:space="preserve">actuar </w:t>
      </w:r>
      <w:r w:rsidR="00E03093">
        <w:rPr>
          <w:rFonts w:ascii="Verdana" w:eastAsia="Times New Roman" w:hAnsi="Verdana" w:cs="Segoe UI"/>
          <w:lang w:eastAsia="es-PA"/>
        </w:rPr>
        <w:t xml:space="preserve">estatal cuando </w:t>
      </w:r>
      <w:r w:rsidR="00BF6AE4">
        <w:rPr>
          <w:rFonts w:ascii="Verdana" w:eastAsia="Times New Roman" w:hAnsi="Verdana" w:cs="Segoe UI"/>
          <w:lang w:eastAsia="es-PA"/>
        </w:rPr>
        <w:t>tuvo conocimiento de la desaparición de la víctima.</w:t>
      </w:r>
      <w:r w:rsidR="00C57781">
        <w:rPr>
          <w:rFonts w:ascii="Verdana" w:eastAsia="Times New Roman" w:hAnsi="Verdana" w:cs="Segoe UI"/>
          <w:lang w:eastAsia="es-PA"/>
        </w:rPr>
        <w:t xml:space="preserve"> </w:t>
      </w:r>
    </w:p>
    <w:p w14:paraId="32210880" w14:textId="77777777" w:rsidR="00267AD4" w:rsidRDefault="00267AD4" w:rsidP="008C7F7F">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Verdana" w:hAnsi="Verdana" w:cs="Tahoma"/>
          <w:b w:val="0"/>
          <w:color w:val="000000"/>
          <w:shd w:val="clear" w:color="auto" w:fill="FFFFFF"/>
        </w:rPr>
      </w:pPr>
    </w:p>
    <w:p w14:paraId="32210881" w14:textId="77777777" w:rsidR="00833CF5" w:rsidRPr="00833CF5" w:rsidRDefault="00747C41" w:rsidP="00833CF5">
      <w:pPr>
        <w:pStyle w:val="Footnote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rFonts w:ascii="Verdana" w:hAnsi="Verdana" w:cs="Tahoma"/>
          <w:b w:val="0"/>
          <w:color w:val="000000"/>
          <w:shd w:val="clear" w:color="auto" w:fill="FFFFFF"/>
        </w:rPr>
      </w:pPr>
      <w:r>
        <w:rPr>
          <w:rStyle w:val="Strong"/>
          <w:rFonts w:ascii="Verdana" w:hAnsi="Verdana" w:cs="Tahoma"/>
          <w:b w:val="0"/>
          <w:color w:val="000000"/>
          <w:shd w:val="clear" w:color="auto" w:fill="FFFFFF"/>
        </w:rPr>
        <w:t>58</w:t>
      </w:r>
      <w:r w:rsidR="00C57B1A">
        <w:rPr>
          <w:rStyle w:val="Strong"/>
          <w:rFonts w:ascii="Verdana" w:hAnsi="Verdana" w:cs="Tahoma"/>
          <w:b w:val="0"/>
          <w:color w:val="000000"/>
          <w:shd w:val="clear" w:color="auto" w:fill="FFFFFF"/>
        </w:rPr>
        <w:t xml:space="preserve">. </w:t>
      </w:r>
      <w:r w:rsidR="00C57B1A">
        <w:rPr>
          <w:rStyle w:val="Strong"/>
          <w:rFonts w:ascii="Verdana" w:hAnsi="Verdana" w:cs="Tahoma"/>
          <w:b w:val="0"/>
          <w:color w:val="000000"/>
          <w:shd w:val="clear" w:color="auto" w:fill="FFFFFF"/>
        </w:rPr>
        <w:tab/>
      </w:r>
      <w:r w:rsidR="0066684C" w:rsidRPr="00BB6817">
        <w:rPr>
          <w:rStyle w:val="Strong"/>
          <w:rFonts w:ascii="Verdana" w:hAnsi="Verdana" w:cs="Tahoma"/>
          <w:b w:val="0"/>
          <w:color w:val="000000"/>
          <w:shd w:val="clear" w:color="auto" w:fill="FFFFFF"/>
        </w:rPr>
        <w:t xml:space="preserve">En esa línea, </w:t>
      </w:r>
      <w:r w:rsidR="00263E1B">
        <w:rPr>
          <w:rStyle w:val="Strong"/>
          <w:rFonts w:ascii="Verdana" w:hAnsi="Verdana" w:cs="Tahoma"/>
          <w:b w:val="0"/>
          <w:color w:val="000000"/>
          <w:shd w:val="clear" w:color="auto" w:fill="FFFFFF"/>
        </w:rPr>
        <w:t xml:space="preserve">estimo que </w:t>
      </w:r>
      <w:r w:rsidR="0066684C" w:rsidRPr="00BB6817">
        <w:rPr>
          <w:rStyle w:val="Strong"/>
          <w:rFonts w:ascii="Verdana" w:hAnsi="Verdana" w:cs="Tahoma"/>
          <w:b w:val="0"/>
          <w:color w:val="000000"/>
          <w:shd w:val="clear" w:color="auto" w:fill="FFFFFF"/>
        </w:rPr>
        <w:t>el</w:t>
      </w:r>
      <w:r w:rsidR="0065286D">
        <w:rPr>
          <w:rStyle w:val="Strong"/>
          <w:rFonts w:ascii="Verdana" w:hAnsi="Verdana" w:cs="Tahoma"/>
          <w:b w:val="0"/>
          <w:color w:val="000000"/>
          <w:shd w:val="clear" w:color="auto" w:fill="FFFFFF"/>
        </w:rPr>
        <w:t xml:space="preserve"> cumplimiento del deber </w:t>
      </w:r>
      <w:r w:rsidR="0066684C" w:rsidRPr="00BB6817">
        <w:rPr>
          <w:rStyle w:val="Strong"/>
          <w:rFonts w:ascii="Verdana" w:hAnsi="Verdana" w:cs="Tahoma"/>
          <w:b w:val="0"/>
          <w:color w:val="000000"/>
          <w:shd w:val="clear" w:color="auto" w:fill="FFFFFF"/>
        </w:rPr>
        <w:t xml:space="preserve">general de prevención debe observarse </w:t>
      </w:r>
      <w:r w:rsidR="00263E1B">
        <w:rPr>
          <w:rStyle w:val="Strong"/>
          <w:rFonts w:ascii="Verdana" w:hAnsi="Verdana" w:cs="Tahoma"/>
          <w:b w:val="0"/>
          <w:color w:val="000000"/>
          <w:shd w:val="clear" w:color="auto" w:fill="FFFFFF"/>
        </w:rPr>
        <w:t xml:space="preserve">por los Estados </w:t>
      </w:r>
      <w:r w:rsidR="00075E92" w:rsidRPr="00BB6817">
        <w:rPr>
          <w:rStyle w:val="Strong"/>
          <w:rFonts w:ascii="Verdana" w:hAnsi="Verdana" w:cs="Tahoma"/>
          <w:b w:val="0"/>
          <w:color w:val="000000"/>
          <w:shd w:val="clear" w:color="auto" w:fill="FFFFFF"/>
        </w:rPr>
        <w:t xml:space="preserve">con </w:t>
      </w:r>
      <w:r w:rsidR="005A5AC8">
        <w:rPr>
          <w:rStyle w:val="Strong"/>
          <w:rFonts w:ascii="Verdana" w:hAnsi="Verdana" w:cs="Tahoma"/>
          <w:b w:val="0"/>
          <w:color w:val="000000"/>
          <w:shd w:val="clear" w:color="auto" w:fill="FFFFFF"/>
        </w:rPr>
        <w:t xml:space="preserve">especial </w:t>
      </w:r>
      <w:r w:rsidR="00075E92" w:rsidRPr="00BB6817">
        <w:rPr>
          <w:rStyle w:val="Strong"/>
          <w:rFonts w:ascii="Verdana" w:hAnsi="Verdana" w:cs="Tahoma"/>
          <w:b w:val="0"/>
          <w:color w:val="000000"/>
          <w:shd w:val="clear" w:color="auto" w:fill="FFFFFF"/>
        </w:rPr>
        <w:t>cuidado</w:t>
      </w:r>
      <w:r w:rsidR="00BB6817" w:rsidRPr="00BB6817">
        <w:rPr>
          <w:rStyle w:val="Strong"/>
          <w:rFonts w:ascii="Verdana" w:hAnsi="Verdana" w:cs="Tahoma"/>
          <w:b w:val="0"/>
          <w:color w:val="000000"/>
          <w:shd w:val="clear" w:color="auto" w:fill="FFFFFF"/>
        </w:rPr>
        <w:t xml:space="preserve"> y de acuerdo a las exigencias de las obligaciones establecidas por la Convención Americana sobre Derechos Humanos y la </w:t>
      </w:r>
      <w:r w:rsidR="00657CE6">
        <w:rPr>
          <w:rStyle w:val="Strong"/>
          <w:rFonts w:ascii="Verdana" w:hAnsi="Verdana" w:cs="Tahoma"/>
          <w:b w:val="0"/>
          <w:color w:val="000000"/>
          <w:shd w:val="clear" w:color="auto" w:fill="FFFFFF"/>
        </w:rPr>
        <w:t>“</w:t>
      </w:r>
      <w:r w:rsidR="00BB6817" w:rsidRPr="00BB6817">
        <w:rPr>
          <w:rStyle w:val="Strong"/>
          <w:rFonts w:ascii="Verdana" w:hAnsi="Verdana" w:cs="Tahoma"/>
          <w:b w:val="0"/>
          <w:color w:val="000000"/>
          <w:shd w:val="clear" w:color="auto" w:fill="FFFFFF"/>
        </w:rPr>
        <w:t>Convención de Belém do Pará</w:t>
      </w:r>
      <w:r w:rsidR="00A81FA0">
        <w:rPr>
          <w:rStyle w:val="Strong"/>
          <w:rFonts w:ascii="Verdana" w:hAnsi="Verdana" w:cs="Tahoma"/>
          <w:b w:val="0"/>
          <w:color w:val="000000"/>
          <w:shd w:val="clear" w:color="auto" w:fill="FFFFFF"/>
        </w:rPr>
        <w:t>”. Así, no basta cualquier medida o acción estatal</w:t>
      </w:r>
      <w:r w:rsidR="005A5AC8">
        <w:rPr>
          <w:rStyle w:val="Strong"/>
          <w:rFonts w:ascii="Verdana" w:hAnsi="Verdana" w:cs="Tahoma"/>
          <w:b w:val="0"/>
          <w:color w:val="000000"/>
          <w:shd w:val="clear" w:color="auto" w:fill="FFFFFF"/>
        </w:rPr>
        <w:t xml:space="preserve"> para cumplir con el deber de prevención</w:t>
      </w:r>
      <w:r w:rsidR="00A81FA0">
        <w:rPr>
          <w:rStyle w:val="Strong"/>
          <w:rFonts w:ascii="Verdana" w:hAnsi="Verdana" w:cs="Tahoma"/>
          <w:b w:val="0"/>
          <w:color w:val="000000"/>
          <w:shd w:val="clear" w:color="auto" w:fill="FFFFFF"/>
        </w:rPr>
        <w:t xml:space="preserve">, sino </w:t>
      </w:r>
      <w:r w:rsidR="005A5AC8">
        <w:rPr>
          <w:rStyle w:val="Strong"/>
          <w:rFonts w:ascii="Verdana" w:hAnsi="Verdana" w:cs="Tahoma"/>
          <w:b w:val="0"/>
          <w:color w:val="000000"/>
          <w:shd w:val="clear" w:color="auto" w:fill="FFFFFF"/>
        </w:rPr>
        <w:t>que este proceder debe</w:t>
      </w:r>
      <w:r w:rsidR="0066684C" w:rsidRPr="00BB6817">
        <w:rPr>
          <w:rStyle w:val="Strong"/>
          <w:rFonts w:ascii="Verdana" w:hAnsi="Verdana" w:cs="Tahoma"/>
          <w:b w:val="0"/>
          <w:color w:val="000000"/>
          <w:shd w:val="clear" w:color="auto" w:fill="FFFFFF"/>
        </w:rPr>
        <w:t xml:space="preserve"> </w:t>
      </w:r>
      <w:r w:rsidR="00A81FA0">
        <w:rPr>
          <w:rStyle w:val="Strong"/>
          <w:rFonts w:ascii="Verdana" w:hAnsi="Verdana" w:cs="Tahoma"/>
          <w:b w:val="0"/>
          <w:color w:val="000000"/>
          <w:shd w:val="clear" w:color="auto" w:fill="FFFFFF"/>
        </w:rPr>
        <w:t>asegurar</w:t>
      </w:r>
      <w:r w:rsidR="00BB6817" w:rsidRPr="00BB6817">
        <w:rPr>
          <w:rStyle w:val="Strong"/>
          <w:rFonts w:ascii="Verdana" w:hAnsi="Verdana" w:cs="Tahoma"/>
          <w:b w:val="0"/>
          <w:color w:val="000000"/>
          <w:shd w:val="clear" w:color="auto" w:fill="FFFFFF"/>
        </w:rPr>
        <w:t xml:space="preserve"> que </w:t>
      </w:r>
      <w:r w:rsidR="005A5AC8">
        <w:rPr>
          <w:rStyle w:val="Strong"/>
          <w:rFonts w:ascii="Verdana" w:hAnsi="Verdana" w:cs="Tahoma"/>
          <w:b w:val="0"/>
          <w:color w:val="000000"/>
          <w:shd w:val="clear" w:color="auto" w:fill="FFFFFF"/>
        </w:rPr>
        <w:t>de manera efectiva tenga</w:t>
      </w:r>
      <w:r w:rsidR="00133868">
        <w:rPr>
          <w:rStyle w:val="Strong"/>
          <w:rFonts w:ascii="Verdana" w:hAnsi="Verdana" w:cs="Tahoma"/>
          <w:b w:val="0"/>
          <w:color w:val="000000"/>
          <w:shd w:val="clear" w:color="auto" w:fill="FFFFFF"/>
        </w:rPr>
        <w:t xml:space="preserve"> como finalidad prevenir</w:t>
      </w:r>
      <w:r w:rsidR="005A5AC8">
        <w:rPr>
          <w:rStyle w:val="Strong"/>
          <w:rFonts w:ascii="Verdana" w:hAnsi="Verdana" w:cs="Tahoma"/>
          <w:b w:val="0"/>
          <w:color w:val="000000"/>
          <w:shd w:val="clear" w:color="auto" w:fill="FFFFFF"/>
        </w:rPr>
        <w:t>,</w:t>
      </w:r>
      <w:r w:rsidR="00BB6817" w:rsidRPr="00BB6817">
        <w:rPr>
          <w:rStyle w:val="Strong"/>
          <w:rFonts w:ascii="Verdana" w:hAnsi="Verdana" w:cs="Tahoma"/>
          <w:b w:val="0"/>
          <w:color w:val="000000"/>
          <w:shd w:val="clear" w:color="auto" w:fill="FFFFFF"/>
        </w:rPr>
        <w:t xml:space="preserve"> </w:t>
      </w:r>
      <w:r w:rsidR="00BB6817" w:rsidRPr="00263E1B">
        <w:rPr>
          <w:rStyle w:val="Strong"/>
          <w:rFonts w:ascii="Verdana" w:hAnsi="Verdana" w:cs="Tahoma"/>
          <w:b w:val="0"/>
          <w:color w:val="000000"/>
          <w:u w:val="single"/>
          <w:shd w:val="clear" w:color="auto" w:fill="FFFFFF"/>
        </w:rPr>
        <w:t xml:space="preserve">desde un primer momento y de manera general, los riesgos específicos a los que pudieran enfrentarse </w:t>
      </w:r>
      <w:r w:rsidR="0066684C" w:rsidRPr="00263E1B">
        <w:rPr>
          <w:rStyle w:val="Strong"/>
          <w:rFonts w:ascii="Verdana" w:hAnsi="Verdana" w:cs="Tahoma"/>
          <w:b w:val="0"/>
          <w:color w:val="000000"/>
          <w:u w:val="single"/>
          <w:shd w:val="clear" w:color="auto" w:fill="FFFFFF"/>
        </w:rPr>
        <w:t xml:space="preserve">las </w:t>
      </w:r>
      <w:r w:rsidR="004836A8" w:rsidRPr="00263E1B">
        <w:rPr>
          <w:rStyle w:val="Strong"/>
          <w:rFonts w:ascii="Verdana" w:hAnsi="Verdana" w:cs="Tahoma"/>
          <w:b w:val="0"/>
          <w:color w:val="000000"/>
          <w:u w:val="single"/>
          <w:shd w:val="clear" w:color="auto" w:fill="FFFFFF"/>
        </w:rPr>
        <w:t xml:space="preserve">niñas y </w:t>
      </w:r>
      <w:r w:rsidR="0066684C" w:rsidRPr="00263E1B">
        <w:rPr>
          <w:rStyle w:val="Strong"/>
          <w:rFonts w:ascii="Verdana" w:hAnsi="Verdana" w:cs="Tahoma"/>
          <w:b w:val="0"/>
          <w:color w:val="000000"/>
          <w:u w:val="single"/>
          <w:shd w:val="clear" w:color="auto" w:fill="FFFFFF"/>
        </w:rPr>
        <w:t xml:space="preserve">mujeres </w:t>
      </w:r>
      <w:r w:rsidR="00BB6817" w:rsidRPr="00263E1B">
        <w:rPr>
          <w:rStyle w:val="Strong"/>
          <w:rFonts w:ascii="Verdana" w:hAnsi="Verdana" w:cs="Tahoma"/>
          <w:b w:val="0"/>
          <w:color w:val="000000"/>
          <w:u w:val="single"/>
          <w:shd w:val="clear" w:color="auto" w:fill="FFFFFF"/>
        </w:rPr>
        <w:t xml:space="preserve">en </w:t>
      </w:r>
      <w:r w:rsidR="0065286D" w:rsidRPr="00263E1B">
        <w:rPr>
          <w:rStyle w:val="Strong"/>
          <w:rFonts w:ascii="Verdana" w:hAnsi="Verdana" w:cs="Tahoma"/>
          <w:b w:val="0"/>
          <w:color w:val="000000"/>
          <w:u w:val="single"/>
          <w:shd w:val="clear" w:color="auto" w:fill="FFFFFF"/>
        </w:rPr>
        <w:t>la región</w:t>
      </w:r>
      <w:r w:rsidR="0066684C" w:rsidRPr="00BB6817">
        <w:rPr>
          <w:rStyle w:val="Strong"/>
          <w:rFonts w:ascii="Verdana" w:hAnsi="Verdana" w:cs="Tahoma"/>
          <w:b w:val="0"/>
          <w:color w:val="000000"/>
          <w:shd w:val="clear" w:color="auto" w:fill="FFFFFF"/>
        </w:rPr>
        <w:t xml:space="preserve">. </w:t>
      </w:r>
      <w:r w:rsidR="0078689C" w:rsidRPr="00BB6817">
        <w:rPr>
          <w:rStyle w:val="Strong"/>
          <w:rFonts w:ascii="Verdana" w:hAnsi="Verdana" w:cs="Tahoma"/>
          <w:b w:val="0"/>
          <w:color w:val="000000"/>
          <w:shd w:val="clear" w:color="auto" w:fill="FFFFFF"/>
        </w:rPr>
        <w:t>En definitiva, lo anterior</w:t>
      </w:r>
      <w:r w:rsidR="00BC2F14" w:rsidRPr="00BB6817">
        <w:rPr>
          <w:rStyle w:val="Strong"/>
          <w:rFonts w:ascii="Verdana" w:hAnsi="Verdana" w:cs="Tahoma"/>
          <w:b w:val="0"/>
          <w:color w:val="000000"/>
          <w:shd w:val="clear" w:color="auto" w:fill="FFFFFF"/>
        </w:rPr>
        <w:t xml:space="preserve"> </w:t>
      </w:r>
      <w:r w:rsidR="0078689C" w:rsidRPr="00BB6817">
        <w:rPr>
          <w:rStyle w:val="Strong"/>
          <w:rFonts w:ascii="Verdana" w:hAnsi="Verdana" w:cs="Tahoma"/>
          <w:b w:val="0"/>
          <w:color w:val="000000"/>
          <w:shd w:val="clear" w:color="auto" w:fill="FFFFFF"/>
        </w:rPr>
        <w:t>representa una</w:t>
      </w:r>
      <w:r w:rsidR="004836A8">
        <w:rPr>
          <w:rStyle w:val="Strong"/>
          <w:rFonts w:ascii="Verdana" w:hAnsi="Verdana" w:cs="Tahoma"/>
          <w:b w:val="0"/>
          <w:color w:val="000000"/>
          <w:shd w:val="clear" w:color="auto" w:fill="FFFFFF"/>
        </w:rPr>
        <w:t xml:space="preserve"> cuestión fundamental</w:t>
      </w:r>
      <w:r w:rsidR="0065286D">
        <w:rPr>
          <w:rStyle w:val="Strong"/>
          <w:rFonts w:ascii="Verdana" w:hAnsi="Verdana" w:cs="Tahoma"/>
          <w:b w:val="0"/>
          <w:color w:val="000000"/>
          <w:shd w:val="clear" w:color="auto" w:fill="FFFFFF"/>
        </w:rPr>
        <w:t xml:space="preserve"> que </w:t>
      </w:r>
      <w:r w:rsidR="004836A8">
        <w:rPr>
          <w:rStyle w:val="Strong"/>
          <w:rFonts w:ascii="Verdana" w:hAnsi="Verdana" w:cs="Tahoma"/>
          <w:b w:val="0"/>
          <w:color w:val="000000"/>
          <w:shd w:val="clear" w:color="auto" w:fill="FFFFFF"/>
        </w:rPr>
        <w:t xml:space="preserve">los Estados </w:t>
      </w:r>
      <w:r w:rsidR="0065286D">
        <w:rPr>
          <w:rStyle w:val="Strong"/>
          <w:rFonts w:ascii="Verdana" w:hAnsi="Verdana" w:cs="Tahoma"/>
          <w:b w:val="0"/>
          <w:color w:val="000000"/>
          <w:shd w:val="clear" w:color="auto" w:fill="FFFFFF"/>
        </w:rPr>
        <w:t>debe</w:t>
      </w:r>
      <w:r w:rsidR="004836A8">
        <w:rPr>
          <w:rStyle w:val="Strong"/>
          <w:rFonts w:ascii="Verdana" w:hAnsi="Verdana" w:cs="Tahoma"/>
          <w:b w:val="0"/>
          <w:color w:val="000000"/>
          <w:shd w:val="clear" w:color="auto" w:fill="FFFFFF"/>
        </w:rPr>
        <w:t>n tener</w:t>
      </w:r>
      <w:r w:rsidR="0078689C" w:rsidRPr="00BB6817">
        <w:rPr>
          <w:rStyle w:val="Strong"/>
          <w:rFonts w:ascii="Verdana" w:hAnsi="Verdana" w:cs="Tahoma"/>
          <w:b w:val="0"/>
          <w:color w:val="000000"/>
          <w:shd w:val="clear" w:color="auto" w:fill="FFFFFF"/>
        </w:rPr>
        <w:t xml:space="preserve"> </w:t>
      </w:r>
      <w:r w:rsidR="0065286D">
        <w:rPr>
          <w:rStyle w:val="Strong"/>
          <w:rFonts w:ascii="Verdana" w:hAnsi="Verdana" w:cs="Tahoma"/>
          <w:b w:val="0"/>
          <w:color w:val="000000"/>
          <w:shd w:val="clear" w:color="auto" w:fill="FFFFFF"/>
        </w:rPr>
        <w:t xml:space="preserve">especialmente </w:t>
      </w:r>
      <w:r w:rsidR="0078689C" w:rsidRPr="00BB6817">
        <w:rPr>
          <w:rStyle w:val="Strong"/>
          <w:rFonts w:ascii="Verdana" w:hAnsi="Verdana" w:cs="Tahoma"/>
          <w:b w:val="0"/>
          <w:color w:val="000000"/>
          <w:shd w:val="clear" w:color="auto" w:fill="FFFFFF"/>
        </w:rPr>
        <w:t>en c</w:t>
      </w:r>
      <w:r w:rsidR="004836A8">
        <w:rPr>
          <w:rStyle w:val="Strong"/>
          <w:rFonts w:ascii="Verdana" w:hAnsi="Verdana" w:cs="Tahoma"/>
          <w:b w:val="0"/>
          <w:color w:val="000000"/>
          <w:shd w:val="clear" w:color="auto" w:fill="FFFFFF"/>
        </w:rPr>
        <w:t>onsideración</w:t>
      </w:r>
      <w:r w:rsidR="0078689C" w:rsidRPr="00BB6817">
        <w:rPr>
          <w:rStyle w:val="Strong"/>
          <w:rFonts w:ascii="Verdana" w:hAnsi="Verdana" w:cs="Tahoma"/>
          <w:b w:val="0"/>
          <w:color w:val="000000"/>
          <w:shd w:val="clear" w:color="auto" w:fill="FFFFFF"/>
        </w:rPr>
        <w:t xml:space="preserve"> frente a contextos de violencia contra la mujer</w:t>
      </w:r>
      <w:r w:rsidR="0065286D">
        <w:rPr>
          <w:rStyle w:val="Strong"/>
          <w:rFonts w:ascii="Verdana" w:hAnsi="Verdana" w:cs="Tahoma"/>
          <w:b w:val="0"/>
          <w:color w:val="000000"/>
          <w:shd w:val="clear" w:color="auto" w:fill="FFFFFF"/>
        </w:rPr>
        <w:t xml:space="preserve"> —</w:t>
      </w:r>
      <w:r w:rsidR="0066684C" w:rsidRPr="00BB6817">
        <w:rPr>
          <w:rStyle w:val="Strong"/>
          <w:rFonts w:ascii="Verdana" w:hAnsi="Verdana" w:cs="Tahoma"/>
          <w:b w:val="0"/>
          <w:color w:val="000000"/>
          <w:shd w:val="clear" w:color="auto" w:fill="FFFFFF"/>
        </w:rPr>
        <w:t>como se observó en el presente caso</w:t>
      </w:r>
      <w:r w:rsidR="0065286D">
        <w:rPr>
          <w:rStyle w:val="Strong"/>
          <w:rFonts w:ascii="Verdana" w:hAnsi="Verdana" w:cs="Tahoma"/>
          <w:b w:val="0"/>
          <w:color w:val="000000"/>
          <w:shd w:val="clear" w:color="auto" w:fill="FFFFFF"/>
        </w:rPr>
        <w:t>—</w:t>
      </w:r>
      <w:r w:rsidR="0078689C" w:rsidRPr="00BB6817">
        <w:rPr>
          <w:rStyle w:val="Strong"/>
          <w:rFonts w:ascii="Verdana" w:hAnsi="Verdana" w:cs="Tahoma"/>
          <w:b w:val="0"/>
          <w:color w:val="000000"/>
          <w:shd w:val="clear" w:color="auto" w:fill="FFFFFF"/>
        </w:rPr>
        <w:t xml:space="preserve">, pues </w:t>
      </w:r>
      <w:r w:rsidR="00490EDC" w:rsidRPr="00BB6817">
        <w:rPr>
          <w:rStyle w:val="Strong"/>
          <w:rFonts w:ascii="Verdana" w:hAnsi="Verdana" w:cs="Tahoma"/>
          <w:b w:val="0"/>
          <w:color w:val="000000"/>
          <w:shd w:val="clear" w:color="auto" w:fill="FFFFFF"/>
        </w:rPr>
        <w:t xml:space="preserve">del cumplimiento de dicho </w:t>
      </w:r>
      <w:r w:rsidR="00E03093">
        <w:rPr>
          <w:rStyle w:val="Strong"/>
          <w:rFonts w:ascii="Verdana" w:hAnsi="Verdana" w:cs="Tahoma"/>
          <w:b w:val="0"/>
          <w:color w:val="000000"/>
          <w:shd w:val="clear" w:color="auto" w:fill="FFFFFF"/>
        </w:rPr>
        <w:t>“</w:t>
      </w:r>
      <w:r w:rsidR="00490EDC" w:rsidRPr="00BB6817">
        <w:rPr>
          <w:rStyle w:val="Strong"/>
          <w:rFonts w:ascii="Verdana" w:hAnsi="Verdana" w:cs="Tahoma"/>
          <w:b w:val="0"/>
          <w:color w:val="000000"/>
          <w:shd w:val="clear" w:color="auto" w:fill="FFFFFF"/>
        </w:rPr>
        <w:t xml:space="preserve">deber </w:t>
      </w:r>
      <w:r w:rsidR="00E03093">
        <w:rPr>
          <w:rStyle w:val="Strong"/>
          <w:rFonts w:ascii="Verdana" w:hAnsi="Verdana" w:cs="Tahoma"/>
          <w:b w:val="0"/>
          <w:color w:val="000000"/>
          <w:shd w:val="clear" w:color="auto" w:fill="FFFFFF"/>
        </w:rPr>
        <w:t xml:space="preserve">de prevención” </w:t>
      </w:r>
      <w:r w:rsidR="00490EDC" w:rsidRPr="00BB6817">
        <w:rPr>
          <w:rStyle w:val="Strong"/>
          <w:rFonts w:ascii="Verdana" w:hAnsi="Verdana" w:cs="Tahoma"/>
          <w:b w:val="0"/>
          <w:color w:val="000000"/>
          <w:shd w:val="clear" w:color="auto" w:fill="FFFFFF"/>
        </w:rPr>
        <w:t xml:space="preserve">depende en gran medida la </w:t>
      </w:r>
      <w:r w:rsidR="00181D41" w:rsidRPr="00BB6817">
        <w:rPr>
          <w:rStyle w:val="Strong"/>
          <w:rFonts w:ascii="Verdana" w:hAnsi="Verdana" w:cs="Tahoma"/>
          <w:b w:val="0"/>
          <w:color w:val="000000"/>
          <w:shd w:val="clear" w:color="auto" w:fill="FFFFFF"/>
        </w:rPr>
        <w:t>erradicación</w:t>
      </w:r>
      <w:r w:rsidR="0078689C" w:rsidRPr="00BB6817">
        <w:rPr>
          <w:rStyle w:val="Strong"/>
          <w:rFonts w:ascii="Verdana" w:hAnsi="Verdana" w:cs="Tahoma"/>
          <w:b w:val="0"/>
          <w:color w:val="000000"/>
          <w:shd w:val="clear" w:color="auto" w:fill="FFFFFF"/>
        </w:rPr>
        <w:t xml:space="preserve"> </w:t>
      </w:r>
      <w:r w:rsidR="00181D41" w:rsidRPr="00BB6817">
        <w:rPr>
          <w:rStyle w:val="Strong"/>
          <w:rFonts w:ascii="Verdana" w:hAnsi="Verdana" w:cs="Tahoma"/>
          <w:b w:val="0"/>
          <w:color w:val="000000"/>
          <w:shd w:val="clear" w:color="auto" w:fill="FFFFFF"/>
        </w:rPr>
        <w:t>de</w:t>
      </w:r>
      <w:r w:rsidR="00263E1B">
        <w:rPr>
          <w:rStyle w:val="Strong"/>
          <w:rFonts w:ascii="Verdana" w:hAnsi="Verdana" w:cs="Tahoma"/>
          <w:b w:val="0"/>
          <w:color w:val="000000"/>
          <w:shd w:val="clear" w:color="auto" w:fill="FFFFFF"/>
        </w:rPr>
        <w:t xml:space="preserve">l feminicidio y en general de </w:t>
      </w:r>
      <w:r w:rsidR="0078689C" w:rsidRPr="00BB6817">
        <w:rPr>
          <w:rStyle w:val="Strong"/>
          <w:rFonts w:ascii="Verdana" w:hAnsi="Verdana" w:cs="Tahoma"/>
          <w:b w:val="0"/>
          <w:color w:val="000000"/>
          <w:shd w:val="clear" w:color="auto" w:fill="FFFFFF"/>
        </w:rPr>
        <w:t>la violencia contra las mujeres</w:t>
      </w:r>
      <w:r w:rsidR="00BF6AE4">
        <w:rPr>
          <w:rStyle w:val="Strong"/>
          <w:rFonts w:ascii="Verdana" w:hAnsi="Verdana" w:cs="Tahoma"/>
          <w:b w:val="0"/>
          <w:color w:val="000000"/>
          <w:shd w:val="clear" w:color="auto" w:fill="FFFFFF"/>
        </w:rPr>
        <w:t>, lastre social</w:t>
      </w:r>
      <w:r w:rsidR="00490EDC" w:rsidRPr="00BB6817">
        <w:rPr>
          <w:rStyle w:val="Strong"/>
          <w:rFonts w:ascii="Verdana" w:hAnsi="Verdana" w:cs="Tahoma"/>
          <w:b w:val="0"/>
          <w:color w:val="000000"/>
          <w:shd w:val="clear" w:color="auto" w:fill="FFFFFF"/>
        </w:rPr>
        <w:t xml:space="preserve"> que lamen</w:t>
      </w:r>
      <w:r w:rsidR="005A5AC8">
        <w:rPr>
          <w:rStyle w:val="Strong"/>
          <w:rFonts w:ascii="Verdana" w:hAnsi="Verdana" w:cs="Tahoma"/>
          <w:b w:val="0"/>
          <w:color w:val="000000"/>
          <w:shd w:val="clear" w:color="auto" w:fill="FFFFFF"/>
        </w:rPr>
        <w:t>tablemente continú</w:t>
      </w:r>
      <w:r w:rsidR="00490EDC" w:rsidRPr="00BB6817">
        <w:rPr>
          <w:rStyle w:val="Strong"/>
          <w:rFonts w:ascii="Verdana" w:hAnsi="Verdana" w:cs="Tahoma"/>
          <w:b w:val="0"/>
          <w:color w:val="000000"/>
          <w:shd w:val="clear" w:color="auto" w:fill="FFFFFF"/>
        </w:rPr>
        <w:t xml:space="preserve">a azotando </w:t>
      </w:r>
      <w:r w:rsidR="00C05A69">
        <w:rPr>
          <w:rStyle w:val="Strong"/>
          <w:rFonts w:ascii="Verdana" w:hAnsi="Verdana" w:cs="Tahoma"/>
          <w:b w:val="0"/>
          <w:color w:val="000000"/>
          <w:shd w:val="clear" w:color="auto" w:fill="FFFFFF"/>
        </w:rPr>
        <w:t xml:space="preserve">a </w:t>
      </w:r>
      <w:r w:rsidR="00490EDC" w:rsidRPr="00BB6817">
        <w:rPr>
          <w:rStyle w:val="Strong"/>
          <w:rFonts w:ascii="Verdana" w:hAnsi="Verdana" w:cs="Tahoma"/>
          <w:b w:val="0"/>
          <w:color w:val="000000"/>
          <w:shd w:val="clear" w:color="auto" w:fill="FFFFFF"/>
        </w:rPr>
        <w:t>la región.</w:t>
      </w:r>
      <w:r w:rsidR="0078689C" w:rsidRPr="00BB6817">
        <w:rPr>
          <w:rStyle w:val="Strong"/>
          <w:rFonts w:ascii="Verdana" w:hAnsi="Verdana" w:cs="Tahoma"/>
          <w:b w:val="0"/>
          <w:color w:val="000000"/>
          <w:shd w:val="clear" w:color="auto" w:fill="FFFFFF"/>
        </w:rPr>
        <w:t xml:space="preserve"> </w:t>
      </w:r>
    </w:p>
    <w:p w14:paraId="32210882" w14:textId="77777777" w:rsidR="00760E96" w:rsidRDefault="00760E96" w:rsidP="00181D41">
      <w:pPr>
        <w:pStyle w:val="ListParagraph"/>
        <w:rPr>
          <w:rStyle w:val="Strong"/>
          <w:rFonts w:ascii="Verdana" w:hAnsi="Verdana" w:cs="Tahoma"/>
          <w:b w:val="0"/>
          <w:color w:val="000000"/>
          <w:shd w:val="clear" w:color="auto" w:fill="FFFFFF"/>
        </w:rPr>
      </w:pPr>
    </w:p>
    <w:p w14:paraId="0D5876A6" w14:textId="77777777" w:rsidR="00AA71F9" w:rsidRDefault="00AA71F9" w:rsidP="00181D41">
      <w:pPr>
        <w:pStyle w:val="ListParagraph"/>
        <w:rPr>
          <w:rStyle w:val="Strong"/>
          <w:rFonts w:ascii="Verdana" w:hAnsi="Verdana" w:cs="Tahoma"/>
          <w:b w:val="0"/>
          <w:color w:val="000000"/>
          <w:shd w:val="clear" w:color="auto" w:fill="FFFFFF"/>
        </w:rPr>
      </w:pPr>
    </w:p>
    <w:p w14:paraId="15CC84E4" w14:textId="77777777" w:rsidR="00AA71F9" w:rsidRDefault="00AA71F9" w:rsidP="00181D41">
      <w:pPr>
        <w:pStyle w:val="ListParagraph"/>
        <w:rPr>
          <w:rStyle w:val="Strong"/>
          <w:rFonts w:ascii="Verdana" w:hAnsi="Verdana" w:cs="Tahoma"/>
          <w:b w:val="0"/>
          <w:color w:val="000000"/>
          <w:shd w:val="clear" w:color="auto" w:fill="FFFFFF"/>
        </w:rPr>
      </w:pPr>
    </w:p>
    <w:p w14:paraId="6212D659" w14:textId="77777777" w:rsidR="00AA71F9" w:rsidRDefault="00AA71F9" w:rsidP="00181D41">
      <w:pPr>
        <w:pStyle w:val="ListParagraph"/>
        <w:rPr>
          <w:rStyle w:val="Strong"/>
          <w:rFonts w:ascii="Verdana" w:hAnsi="Verdana" w:cs="Tahoma"/>
          <w:b w:val="0"/>
          <w:color w:val="000000"/>
          <w:shd w:val="clear" w:color="auto" w:fill="FFFFFF"/>
        </w:rPr>
      </w:pPr>
    </w:p>
    <w:p w14:paraId="32210883" w14:textId="77777777" w:rsidR="00760E96" w:rsidRPr="001B4A16" w:rsidRDefault="00760E96" w:rsidP="00760E96">
      <w:pPr>
        <w:pStyle w:val="NormalWeb"/>
        <w:spacing w:before="0" w:beforeAutospacing="0" w:after="0" w:afterAutospacing="0"/>
        <w:ind w:left="3600" w:right="96" w:firstLine="720"/>
        <w:jc w:val="center"/>
        <w:rPr>
          <w:rFonts w:ascii="Verdana" w:eastAsia="Calibri" w:hAnsi="Verdana"/>
          <w:sz w:val="20"/>
          <w:szCs w:val="20"/>
          <w:lang w:eastAsia="en-US"/>
        </w:rPr>
      </w:pPr>
      <w:r w:rsidRPr="001B4A16">
        <w:rPr>
          <w:rFonts w:ascii="Verdana" w:eastAsia="Calibri" w:hAnsi="Verdana"/>
          <w:sz w:val="20"/>
          <w:szCs w:val="20"/>
          <w:lang w:eastAsia="en-US"/>
        </w:rPr>
        <w:t>Eduardo Ferrer Mac-Gregor Poisot</w:t>
      </w:r>
    </w:p>
    <w:p w14:paraId="32210884" w14:textId="77777777" w:rsidR="00760E96" w:rsidRPr="00833CF5" w:rsidRDefault="00760E96" w:rsidP="00833CF5">
      <w:pPr>
        <w:pStyle w:val="NormalWeb"/>
        <w:spacing w:before="0" w:beforeAutospacing="0" w:after="0" w:afterAutospacing="0"/>
        <w:ind w:left="3960" w:right="96" w:firstLine="360"/>
        <w:jc w:val="center"/>
        <w:rPr>
          <w:rFonts w:ascii="Verdana" w:eastAsia="Calibri" w:hAnsi="Verdana"/>
          <w:sz w:val="20"/>
          <w:szCs w:val="20"/>
          <w:lang w:eastAsia="en-US"/>
        </w:rPr>
      </w:pPr>
      <w:r w:rsidRPr="001B4A16">
        <w:rPr>
          <w:rFonts w:ascii="Verdana" w:eastAsia="Calibri" w:hAnsi="Verdana"/>
          <w:sz w:val="20"/>
          <w:szCs w:val="20"/>
          <w:lang w:eastAsia="en-US"/>
        </w:rPr>
        <w:t>Juez</w:t>
      </w:r>
    </w:p>
    <w:p w14:paraId="6CEB9836" w14:textId="77777777" w:rsidR="00AA71F9" w:rsidRPr="001B4A16" w:rsidRDefault="00AA71F9" w:rsidP="00760E96">
      <w:pPr>
        <w:rPr>
          <w:lang w:val="es-CR"/>
        </w:rPr>
      </w:pPr>
    </w:p>
    <w:p w14:paraId="32210886" w14:textId="77777777" w:rsidR="00760E96" w:rsidRPr="00C05A69" w:rsidRDefault="00760E96" w:rsidP="00833CF5">
      <w:pPr>
        <w:spacing w:after="0" w:line="240" w:lineRule="auto"/>
        <w:rPr>
          <w:rFonts w:ascii="Verdana" w:hAnsi="Verdana"/>
          <w:sz w:val="20"/>
          <w:szCs w:val="20"/>
          <w:lang w:val="es-CR"/>
        </w:rPr>
      </w:pPr>
      <w:r w:rsidRPr="00C05A69">
        <w:rPr>
          <w:rFonts w:ascii="Verdana" w:hAnsi="Verdana"/>
          <w:sz w:val="20"/>
          <w:szCs w:val="20"/>
          <w:lang w:val="es-CR"/>
        </w:rPr>
        <w:t>Pablo Saavedra Alessandri</w:t>
      </w:r>
    </w:p>
    <w:p w14:paraId="3221088A" w14:textId="018AE4D4" w:rsidR="00D90A35" w:rsidRPr="00AA71F9" w:rsidRDefault="00760E96" w:rsidP="00AA71F9">
      <w:pPr>
        <w:spacing w:after="0" w:line="240" w:lineRule="auto"/>
        <w:rPr>
          <w:rFonts w:ascii="Verdana" w:hAnsi="Verdana"/>
          <w:sz w:val="20"/>
          <w:szCs w:val="20"/>
          <w:lang w:val="es-CR"/>
        </w:rPr>
      </w:pPr>
      <w:r w:rsidRPr="00C05A69">
        <w:rPr>
          <w:rFonts w:ascii="Verdana" w:hAnsi="Verdana"/>
          <w:sz w:val="20"/>
          <w:szCs w:val="20"/>
          <w:lang w:val="es-CR"/>
        </w:rPr>
        <w:tab/>
        <w:t>Secretario</w:t>
      </w:r>
      <w:bookmarkStart w:id="0" w:name="_GoBack"/>
      <w:bookmarkEnd w:id="0"/>
    </w:p>
    <w:sectPr w:rsidR="00D90A35" w:rsidRPr="00AA71F9" w:rsidSect="00A86CA5">
      <w:footerReference w:type="even"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C3BE" w14:textId="77777777" w:rsidR="00395CB1" w:rsidRDefault="00395CB1" w:rsidP="00F93397">
      <w:pPr>
        <w:spacing w:after="0" w:line="240" w:lineRule="auto"/>
      </w:pPr>
      <w:r>
        <w:separator/>
      </w:r>
    </w:p>
  </w:endnote>
  <w:endnote w:type="continuationSeparator" w:id="0">
    <w:p w14:paraId="268C57C3" w14:textId="77777777" w:rsidR="00395CB1" w:rsidRDefault="00395CB1" w:rsidP="00F9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088F" w14:textId="77777777" w:rsidR="00660B47" w:rsidRDefault="001D69EF" w:rsidP="00657CE6">
    <w:pPr>
      <w:pStyle w:val="Footer"/>
      <w:framePr w:wrap="around" w:vAnchor="text" w:hAnchor="margin" w:xAlign="center" w:y="1"/>
      <w:rPr>
        <w:rStyle w:val="PageNumber"/>
      </w:rPr>
    </w:pPr>
    <w:r>
      <w:rPr>
        <w:rStyle w:val="PageNumber"/>
      </w:rPr>
      <w:fldChar w:fldCharType="begin"/>
    </w:r>
    <w:r w:rsidR="00660B47">
      <w:rPr>
        <w:rStyle w:val="PageNumber"/>
      </w:rPr>
      <w:instrText xml:space="preserve">PAGE  </w:instrText>
    </w:r>
    <w:r>
      <w:rPr>
        <w:rStyle w:val="PageNumber"/>
      </w:rPr>
      <w:fldChar w:fldCharType="end"/>
    </w:r>
  </w:p>
  <w:p w14:paraId="32210890" w14:textId="77777777" w:rsidR="00660B47" w:rsidRDefault="0066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0891" w14:textId="77777777" w:rsidR="00660B47" w:rsidRDefault="001D69EF" w:rsidP="00657CE6">
    <w:pPr>
      <w:pStyle w:val="Footer"/>
      <w:framePr w:wrap="around" w:vAnchor="text" w:hAnchor="margin" w:xAlign="center" w:y="1"/>
      <w:rPr>
        <w:rStyle w:val="PageNumber"/>
      </w:rPr>
    </w:pPr>
    <w:r>
      <w:rPr>
        <w:rStyle w:val="PageNumber"/>
      </w:rPr>
      <w:fldChar w:fldCharType="begin"/>
    </w:r>
    <w:r w:rsidR="00660B47">
      <w:rPr>
        <w:rStyle w:val="PageNumber"/>
      </w:rPr>
      <w:instrText xml:space="preserve">PAGE  </w:instrText>
    </w:r>
    <w:r>
      <w:rPr>
        <w:rStyle w:val="PageNumber"/>
      </w:rPr>
      <w:fldChar w:fldCharType="separate"/>
    </w:r>
    <w:r w:rsidR="000A6F34">
      <w:rPr>
        <w:rStyle w:val="PageNumber"/>
        <w:noProof/>
      </w:rPr>
      <w:t>18</w:t>
    </w:r>
    <w:r>
      <w:rPr>
        <w:rStyle w:val="PageNumber"/>
      </w:rPr>
      <w:fldChar w:fldCharType="end"/>
    </w:r>
  </w:p>
  <w:p w14:paraId="32210892" w14:textId="77777777" w:rsidR="00660B47" w:rsidRDefault="0066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1F65" w14:textId="77777777" w:rsidR="00395CB1" w:rsidRDefault="00395CB1" w:rsidP="00F93397">
      <w:pPr>
        <w:spacing w:after="0" w:line="240" w:lineRule="auto"/>
      </w:pPr>
      <w:r>
        <w:separator/>
      </w:r>
    </w:p>
  </w:footnote>
  <w:footnote w:type="continuationSeparator" w:id="0">
    <w:p w14:paraId="71024E00" w14:textId="77777777" w:rsidR="00395CB1" w:rsidRDefault="00395CB1" w:rsidP="00F93397">
      <w:pPr>
        <w:spacing w:after="0" w:line="240" w:lineRule="auto"/>
      </w:pPr>
      <w:r>
        <w:continuationSeparator/>
      </w:r>
    </w:p>
  </w:footnote>
  <w:footnote w:id="1">
    <w:p w14:paraId="32210893"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Preámbulo de la Convención Interamericana para Prevenir, Sancionar y Erradicar la Violencia contra la Mujer (“Convención de Belém do Pará”), adoptada el 9 de junio de 1994, en el vigésimo cuarto periodo ordinario de sesiones de la OEA, entrando en vigor el 5 de mayo de 1995.</w:t>
      </w:r>
    </w:p>
  </w:footnote>
  <w:footnote w:id="2">
    <w:p w14:paraId="32210894"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Entendida como “cualquier acción o conducta, basada en su género, que cause muerte, daño o sufrimiento físico, sexual o psicológico a la mujer, tanto en el ámbito público como en el privado”. Artículo 1 de la </w:t>
      </w:r>
      <w:r>
        <w:rPr>
          <w:rFonts w:ascii="Verdana" w:hAnsi="Verdana"/>
          <w:sz w:val="16"/>
          <w:szCs w:val="16"/>
        </w:rPr>
        <w:t>“Convención Belém do Pará”.</w:t>
      </w:r>
    </w:p>
  </w:footnote>
  <w:footnote w:id="3">
    <w:p w14:paraId="32210895"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Sentencia de 16 de noviembre de 2009. Serie C No. 205, párr. 143.</w:t>
      </w:r>
    </w:p>
  </w:footnote>
  <w:footnote w:id="4">
    <w:p w14:paraId="32210896" w14:textId="26AA9646" w:rsidR="00660B47" w:rsidRPr="0042533C" w:rsidRDefault="00660B47" w:rsidP="00ED27C3">
      <w:pPr>
        <w:pStyle w:val="FootnoteText"/>
        <w:spacing w:after="120"/>
        <w:jc w:val="both"/>
        <w:rPr>
          <w:rFonts w:ascii="Verdana" w:hAnsi="Verdana" w:cs="Tahoma"/>
          <w:bCs/>
          <w:color w:val="000000"/>
          <w:sz w:val="16"/>
          <w:szCs w:val="16"/>
          <w:shd w:val="clear" w:color="auto" w:fill="FFFFFF"/>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En las Sentencias de ambos casos se utiliza indistintamente la expresión “feminicidio” o “femicidio”, para referirse al “homicidio de mujer por razón de género”. Asimismo, en las dos Sentencias se destaca que Guatemala aprobó en mayo de 2008 la Ley contra el Femicidio y otras formas de Violencia contra la Mujer (Decreto No. 22-2008), que tipifica como delitos de acción pública, entre ellos, el de “femicidio”, definiéndolo en su artículo 3 como la “[m]uerte violenta de una mujer, ocasionada en el contexto de las relaciones desiguales de poder entre hombres y mujeres, en ejercicio del poder de género en contra de las mujeres”. Véan</w:t>
      </w:r>
      <w:r w:rsidRPr="0042533C">
        <w:rPr>
          <w:rFonts w:ascii="Verdana" w:hAnsi="Verdana"/>
          <w:sz w:val="16"/>
          <w:szCs w:val="16"/>
        </w:rPr>
        <w:t xml:space="preserve">se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Sentencia de 19 de mayo de 2014. Serie C No. 277</w:t>
      </w:r>
      <w:r>
        <w:rPr>
          <w:rStyle w:val="Strong"/>
          <w:rFonts w:ascii="Verdana" w:hAnsi="Verdana" w:cs="Tahoma"/>
          <w:b w:val="0"/>
          <w:color w:val="000000"/>
          <w:sz w:val="16"/>
          <w:szCs w:val="16"/>
          <w:shd w:val="clear" w:color="auto" w:fill="FFFFFF"/>
        </w:rPr>
        <w:t>, párr. 71, notal al pie 68; y</w:t>
      </w:r>
      <w:r w:rsidRPr="00AD4A1C">
        <w:rPr>
          <w:rStyle w:val="Strong"/>
          <w:rFonts w:ascii="Verdana" w:hAnsi="Verdana" w:cs="Tahoma"/>
          <w:b w:val="0"/>
          <w:sz w:val="16"/>
          <w:szCs w:val="16"/>
          <w:shd w:val="clear" w:color="auto" w:fill="FFFFFF"/>
        </w:rPr>
        <w:t xml:space="preserve"> </w:t>
      </w:r>
      <w:r w:rsidR="00003D4B" w:rsidRPr="00AD4A1C">
        <w:rPr>
          <w:rStyle w:val="Strong"/>
          <w:rFonts w:ascii="Verdana" w:hAnsi="Verdana" w:cs="Tahoma"/>
          <w:b w:val="0"/>
          <w:i/>
          <w:sz w:val="16"/>
          <w:szCs w:val="16"/>
          <w:shd w:val="clear" w:color="auto" w:fill="FFFFFF"/>
        </w:rPr>
        <w:t xml:space="preserve">Caso Velásquez Paiz y otros Vs. Guatemala. Excepciones Preliminares, Fondo Reparaciones y Costas. </w:t>
      </w:r>
      <w:r w:rsidR="00003D4B" w:rsidRPr="00AD4A1C">
        <w:rPr>
          <w:rStyle w:val="Strong"/>
          <w:rFonts w:ascii="Verdana" w:hAnsi="Verdana" w:cs="Tahoma"/>
          <w:b w:val="0"/>
          <w:sz w:val="16"/>
          <w:szCs w:val="16"/>
          <w:shd w:val="clear" w:color="auto" w:fill="FFFFFF"/>
        </w:rPr>
        <w:t>Sentencia de 19 de noviembre de 2015, Serie C No. 307, párr. 45, nota al pie 26.</w:t>
      </w:r>
    </w:p>
  </w:footnote>
  <w:footnote w:id="5">
    <w:p w14:paraId="32210897" w14:textId="7953D5B7" w:rsidR="00660B47" w:rsidRPr="00D610A9" w:rsidRDefault="00660B47" w:rsidP="00721FDE">
      <w:pPr>
        <w:pStyle w:val="FootnoteText"/>
        <w:tabs>
          <w:tab w:val="left" w:pos="709"/>
        </w:tabs>
        <w:spacing w:after="120"/>
        <w:rPr>
          <w:rFonts w:ascii="Verdana" w:eastAsia="Arial Unicode MS" w:hAnsi="Verdana" w:cs="Arial Unicode MS"/>
          <w:b/>
          <w:bCs/>
          <w:color w:val="000000"/>
          <w:spacing w:val="4"/>
          <w:sz w:val="16"/>
          <w:szCs w:val="16"/>
          <w:bdr w:val="none" w:sz="0" w:space="0" w:color="auto" w:frame="1"/>
          <w:shd w:val="clear" w:color="auto" w:fill="FFFFFF"/>
        </w:rPr>
      </w:pPr>
      <w:r w:rsidRPr="00272787">
        <w:rPr>
          <w:rStyle w:val="FootnoteReference"/>
          <w:rFonts w:ascii="Verdana" w:hAnsi="Verdana"/>
          <w:sz w:val="16"/>
          <w:szCs w:val="16"/>
        </w:rPr>
        <w:footnoteRef/>
      </w:r>
      <w:r>
        <w:rPr>
          <w:rFonts w:ascii="Verdana" w:hAnsi="Verdana"/>
          <w:sz w:val="16"/>
          <w:szCs w:val="16"/>
        </w:rPr>
        <w:tab/>
        <w:t xml:space="preserve">“Feminicidio”: </w:t>
      </w:r>
      <w:r w:rsidRPr="00272787">
        <w:rPr>
          <w:rFonts w:ascii="Verdana" w:hAnsi="Verdana"/>
          <w:sz w:val="16"/>
          <w:szCs w:val="16"/>
          <w:lang w:eastAsia="es-PA"/>
        </w:rPr>
        <w:t>Del lat. </w:t>
      </w:r>
      <w:r w:rsidRPr="00272787">
        <w:rPr>
          <w:rFonts w:ascii="Verdana" w:hAnsi="Verdana"/>
          <w:i/>
          <w:iCs/>
          <w:sz w:val="16"/>
          <w:szCs w:val="16"/>
          <w:bdr w:val="none" w:sz="0" w:space="0" w:color="auto" w:frame="1"/>
          <w:lang w:eastAsia="es-PA"/>
        </w:rPr>
        <w:t>femĭna</w:t>
      </w:r>
      <w:r w:rsidRPr="00272787">
        <w:rPr>
          <w:rFonts w:ascii="Verdana" w:hAnsi="Verdana"/>
          <w:sz w:val="16"/>
          <w:szCs w:val="16"/>
          <w:lang w:eastAsia="es-PA"/>
        </w:rPr>
        <w:t> 'mujer' y </w:t>
      </w:r>
      <w:r w:rsidRPr="00272787">
        <w:rPr>
          <w:rFonts w:ascii="Verdana" w:hAnsi="Verdana"/>
          <w:i/>
          <w:iCs/>
          <w:sz w:val="16"/>
          <w:szCs w:val="16"/>
          <w:bdr w:val="none" w:sz="0" w:space="0" w:color="auto" w:frame="1"/>
          <w:lang w:eastAsia="es-PA"/>
        </w:rPr>
        <w:t>-cidio;</w:t>
      </w:r>
      <w:r w:rsidRPr="00272787">
        <w:rPr>
          <w:rFonts w:ascii="Verdana" w:hAnsi="Verdana"/>
          <w:sz w:val="16"/>
          <w:szCs w:val="16"/>
          <w:lang w:eastAsia="es-PA"/>
        </w:rPr>
        <w:t> cf. ingl. </w:t>
      </w:r>
      <w:r w:rsidRPr="00272787">
        <w:rPr>
          <w:rFonts w:ascii="Verdana" w:hAnsi="Verdana"/>
          <w:i/>
          <w:iCs/>
          <w:sz w:val="16"/>
          <w:szCs w:val="16"/>
          <w:bdr w:val="none" w:sz="0" w:space="0" w:color="auto" w:frame="1"/>
          <w:lang w:eastAsia="es-PA"/>
        </w:rPr>
        <w:t>feminicide.</w:t>
      </w:r>
      <w:r>
        <w:rPr>
          <w:rFonts w:ascii="Verdana" w:eastAsia="Arial Unicode MS" w:hAnsi="Verdana" w:cs="Arial Unicode MS"/>
          <w:b/>
          <w:bCs/>
          <w:color w:val="000000"/>
          <w:spacing w:val="4"/>
          <w:sz w:val="16"/>
          <w:szCs w:val="16"/>
          <w:bdr w:val="none" w:sz="0" w:space="0" w:color="auto" w:frame="1"/>
          <w:shd w:val="clear" w:color="auto" w:fill="FFFFFF"/>
        </w:rPr>
        <w:t xml:space="preserve"> </w:t>
      </w:r>
      <w:r w:rsidRPr="00272787">
        <w:rPr>
          <w:rFonts w:ascii="Verdana" w:hAnsi="Verdana"/>
          <w:sz w:val="16"/>
          <w:szCs w:val="16"/>
        </w:rPr>
        <w:t>1</w:t>
      </w:r>
      <w:r>
        <w:rPr>
          <w:rFonts w:ascii="Verdana" w:hAnsi="Verdana"/>
          <w:sz w:val="16"/>
          <w:szCs w:val="16"/>
        </w:rPr>
        <w:t>.</w:t>
      </w:r>
      <w:r w:rsidRPr="00272787">
        <w:rPr>
          <w:rFonts w:ascii="Verdana" w:hAnsi="Verdana"/>
          <w:sz w:val="16"/>
          <w:szCs w:val="16"/>
        </w:rPr>
        <w:t>m.</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Asesinato</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de</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una</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mujer</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por</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razón</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de</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su</w:t>
      </w:r>
      <w:r w:rsidRPr="00272787">
        <w:rPr>
          <w:rStyle w:val="apple-converted-space"/>
          <w:rFonts w:ascii="Verdana" w:eastAsia="Arial Unicode MS" w:hAnsi="Verdana" w:cs="Arial Unicode MS"/>
          <w:color w:val="000000"/>
          <w:spacing w:val="4"/>
          <w:sz w:val="16"/>
          <w:szCs w:val="16"/>
          <w:shd w:val="clear" w:color="auto" w:fill="FFFFFF"/>
        </w:rPr>
        <w:t> </w:t>
      </w:r>
      <w:r w:rsidRPr="00272787">
        <w:rPr>
          <w:rFonts w:ascii="Verdana" w:hAnsi="Verdana"/>
          <w:sz w:val="16"/>
          <w:szCs w:val="16"/>
        </w:rPr>
        <w:t>sexo</w:t>
      </w:r>
      <w:r w:rsidRPr="00272787">
        <w:rPr>
          <w:rFonts w:ascii="Verdana" w:eastAsia="Arial Unicode MS" w:hAnsi="Verdana" w:cs="Arial Unicode MS"/>
          <w:color w:val="000000"/>
          <w:spacing w:val="4"/>
          <w:sz w:val="16"/>
          <w:szCs w:val="16"/>
          <w:shd w:val="clear" w:color="auto" w:fill="FFFFFF"/>
        </w:rPr>
        <w:t>.</w:t>
      </w:r>
      <w:r>
        <w:rPr>
          <w:rFonts w:ascii="Verdana" w:eastAsia="Arial Unicode MS" w:hAnsi="Verdana" w:cs="Arial Unicode MS"/>
          <w:color w:val="000000"/>
          <w:spacing w:val="4"/>
          <w:sz w:val="16"/>
          <w:szCs w:val="16"/>
          <w:shd w:val="clear" w:color="auto" w:fill="FFFFFF"/>
        </w:rPr>
        <w:t xml:space="preserve"> </w:t>
      </w:r>
      <w:r w:rsidRPr="00272787">
        <w:rPr>
          <w:rFonts w:ascii="Verdana" w:eastAsia="Arial Unicode MS" w:hAnsi="Verdana" w:cs="Arial Unicode MS"/>
          <w:color w:val="000000"/>
          <w:spacing w:val="4"/>
          <w:sz w:val="16"/>
          <w:szCs w:val="16"/>
          <w:shd w:val="clear" w:color="auto" w:fill="FFFFFF"/>
        </w:rPr>
        <w:t xml:space="preserve">Disponible en: </w:t>
      </w:r>
      <w:r w:rsidRPr="00272787">
        <w:rPr>
          <w:rFonts w:ascii="Verdana" w:eastAsia="Arial Unicode MS" w:hAnsi="Verdana" w:cs="Arial Unicode MS"/>
          <w:i/>
          <w:color w:val="000000"/>
          <w:spacing w:val="4"/>
          <w:sz w:val="16"/>
          <w:szCs w:val="16"/>
          <w:shd w:val="clear" w:color="auto" w:fill="FFFFFF"/>
        </w:rPr>
        <w:t>http://dle.rae.es/</w:t>
      </w:r>
    </w:p>
  </w:footnote>
  <w:footnote w:id="6">
    <w:p w14:paraId="32210898"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Style w:val="FootnoteReference"/>
          <w:rFonts w:ascii="Verdana" w:hAnsi="Verdana"/>
          <w:sz w:val="16"/>
          <w:szCs w:val="16"/>
        </w:rPr>
        <w:footnoteRef/>
      </w:r>
      <w:r w:rsidRPr="004C052E">
        <w:rPr>
          <w:rFonts w:ascii="Verdana" w:hAnsi="Verdana"/>
          <w:sz w:val="16"/>
          <w:szCs w:val="16"/>
          <w:lang w:val="es-CL"/>
        </w:rPr>
        <w:t xml:space="preserve"> </w:t>
      </w:r>
      <w:r>
        <w:rPr>
          <w:rFonts w:ascii="Verdana" w:hAnsi="Verdana" w:cs="Tahoma"/>
          <w:sz w:val="16"/>
          <w:szCs w:val="16"/>
          <w:lang w:val="es-PR"/>
        </w:rPr>
        <w:tab/>
        <w:t>“Artículo</w:t>
      </w:r>
      <w:r w:rsidRPr="004C052E">
        <w:rPr>
          <w:rFonts w:ascii="Verdana" w:hAnsi="Verdana" w:cs="Tahoma"/>
          <w:sz w:val="16"/>
          <w:szCs w:val="16"/>
          <w:lang w:val="es-PR"/>
        </w:rPr>
        <w:t xml:space="preserve"> 7</w:t>
      </w:r>
      <w:r>
        <w:rPr>
          <w:rFonts w:ascii="Verdana" w:hAnsi="Verdana" w:cs="Tahoma"/>
          <w:sz w:val="16"/>
          <w:szCs w:val="16"/>
          <w:lang w:val="es-PR"/>
        </w:rPr>
        <w:t xml:space="preserve">: </w:t>
      </w:r>
      <w:r w:rsidRPr="004C052E">
        <w:rPr>
          <w:rFonts w:ascii="Verdana" w:hAnsi="Verdana" w:cs="Tahoma"/>
          <w:sz w:val="16"/>
          <w:szCs w:val="16"/>
          <w:lang w:val="es-PR"/>
        </w:rPr>
        <w:t>Los Estados Partes condenan todas las formas de violencia contra la mujer y convienen en adoptar, por todos los medios apropiados y sin dilaciones, políticas orientadas a prevenir, sancionar y erradicar dicha violencia y en llevar a cabo lo siguiente: </w:t>
      </w:r>
    </w:p>
    <w:p w14:paraId="32210899"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Fonts w:ascii="Verdana" w:hAnsi="Verdana" w:cs="Tahoma"/>
          <w:sz w:val="16"/>
          <w:szCs w:val="16"/>
          <w:lang w:val="es-PR"/>
        </w:rPr>
        <w:t>a. abstenerse de cualquier acción o práctica de violencia contra la mujer y velar por que las autoridades, sus funcionarios, personal y agentes e instituciones se comporten de conformidad con esta obligación; </w:t>
      </w:r>
    </w:p>
    <w:p w14:paraId="3221089A"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Fonts w:ascii="Verdana" w:hAnsi="Verdana" w:cs="Tahoma"/>
          <w:sz w:val="16"/>
          <w:szCs w:val="16"/>
          <w:lang w:val="es-PR"/>
        </w:rPr>
        <w:t>b. actuar con la debida diligencia para prevenir, investigar y sancionar la violencia contra la mujer; </w:t>
      </w:r>
    </w:p>
    <w:p w14:paraId="3221089B"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Fonts w:ascii="Verdana" w:hAnsi="Verdana" w:cs="Tahoma"/>
          <w:sz w:val="16"/>
          <w:szCs w:val="16"/>
          <w:lang w:val="es-PR"/>
        </w:rPr>
        <w:t>c. incluir en su legislación interna normas penales, civiles y administrativas, así como las de otra naturaleza que sean necesarias para prevenir, sancionar y erradicar la violencia contra la mujer y adoptar las medidas administrativas apropiadas que sean del caso; </w:t>
      </w:r>
    </w:p>
    <w:p w14:paraId="3221089C"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Fonts w:ascii="Verdana" w:hAnsi="Verdana" w:cs="Tahoma"/>
          <w:sz w:val="16"/>
          <w:szCs w:val="16"/>
          <w:lang w:val="es-PR"/>
        </w:rPr>
        <w:t>d. adoptar medidas jurídicas para conminar al agresor a abstenerse de hostigar, intimidar, amenazar, dañar o poner en peligro la vida de la mujer de cualquier forma que atente contra su integridad o perjudique su propiedad; </w:t>
      </w:r>
    </w:p>
    <w:p w14:paraId="3221089D"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Fonts w:ascii="Verdana" w:hAnsi="Verdana" w:cs="Tahoma"/>
          <w:sz w:val="16"/>
          <w:szCs w:val="16"/>
          <w:lang w:val="es-PR"/>
        </w:rPr>
        <w:t>e. tomar todas las medidas apropiadas, incluyendo medidas de tipo legislativo, para modificar o abolir leyes y reglamentos vigentes, o para modificar prácticas jurídicas o consuetudinarias que respalden la persistencia o la tolerancia de la violencia contra la mujer; </w:t>
      </w:r>
    </w:p>
    <w:p w14:paraId="3221089E" w14:textId="77777777" w:rsidR="00660B47" w:rsidRDefault="00660B47" w:rsidP="008973FB">
      <w:pPr>
        <w:pStyle w:val="NormalWeb"/>
        <w:shd w:val="clear" w:color="auto" w:fill="FFFFFF"/>
        <w:spacing w:before="0" w:beforeAutospacing="0" w:after="0" w:afterAutospacing="0"/>
        <w:ind w:right="74"/>
        <w:jc w:val="both"/>
        <w:rPr>
          <w:rFonts w:ascii="Verdana" w:hAnsi="Verdana"/>
          <w:sz w:val="16"/>
          <w:szCs w:val="16"/>
          <w:lang w:val="es-PR"/>
        </w:rPr>
      </w:pPr>
      <w:r w:rsidRPr="004C052E">
        <w:rPr>
          <w:rFonts w:ascii="Verdana" w:hAnsi="Verdana" w:cs="Tahoma"/>
          <w:sz w:val="16"/>
          <w:szCs w:val="16"/>
          <w:lang w:val="es-PR"/>
        </w:rPr>
        <w:t>f. establecer procedimientos legales justos y eficaces para la mujer que haya sido sometida a violencia, que incluyan, entre otros, medidas de protección, un juicio oportuno y el acceso efectivo a tales procedimientos;</w:t>
      </w:r>
      <w:r w:rsidRPr="004C052E">
        <w:rPr>
          <w:rFonts w:ascii="Verdana" w:hAnsi="Verdana"/>
          <w:sz w:val="16"/>
          <w:szCs w:val="16"/>
          <w:lang w:val="es-PR"/>
        </w:rPr>
        <w:t xml:space="preserve"> </w:t>
      </w:r>
    </w:p>
    <w:p w14:paraId="3221089F" w14:textId="77777777" w:rsidR="00660B47" w:rsidRDefault="00660B47" w:rsidP="008973FB">
      <w:pPr>
        <w:pStyle w:val="NormalWeb"/>
        <w:shd w:val="clear" w:color="auto" w:fill="FFFFFF"/>
        <w:spacing w:before="0" w:beforeAutospacing="0" w:after="0" w:afterAutospacing="0"/>
        <w:ind w:right="74"/>
        <w:jc w:val="both"/>
        <w:rPr>
          <w:rFonts w:ascii="Verdana" w:hAnsi="Verdana" w:cs="Tahoma"/>
          <w:sz w:val="16"/>
          <w:szCs w:val="16"/>
          <w:lang w:val="es-PR"/>
        </w:rPr>
      </w:pPr>
      <w:r w:rsidRPr="004C052E">
        <w:rPr>
          <w:rFonts w:ascii="Verdana" w:hAnsi="Verdana" w:cs="Tahoma"/>
          <w:sz w:val="16"/>
          <w:szCs w:val="16"/>
          <w:lang w:val="es-PR"/>
        </w:rPr>
        <w:t xml:space="preserve">g. establecer los mecanismos judiciales y administrativos necesarios para asegurar que la mujer objeto de violencia tenga acceso efectivo a resarcimiento, reparación del daño u otros medios de compensación justos y eficaces, y </w:t>
      </w:r>
    </w:p>
    <w:p w14:paraId="322108A0" w14:textId="77777777" w:rsidR="00660B47" w:rsidRPr="008973FB" w:rsidRDefault="00660B47" w:rsidP="008973FB">
      <w:pPr>
        <w:pStyle w:val="NormalWeb"/>
        <w:shd w:val="clear" w:color="auto" w:fill="FFFFFF"/>
        <w:spacing w:before="0" w:beforeAutospacing="0" w:after="120" w:afterAutospacing="0"/>
        <w:ind w:right="74"/>
        <w:jc w:val="both"/>
        <w:rPr>
          <w:rFonts w:ascii="Verdana" w:hAnsi="Verdana" w:cs="Tahoma"/>
          <w:sz w:val="16"/>
          <w:szCs w:val="16"/>
          <w:lang w:val="es-PR"/>
        </w:rPr>
      </w:pPr>
      <w:r w:rsidRPr="004C052E">
        <w:rPr>
          <w:rFonts w:ascii="Verdana" w:hAnsi="Verdana" w:cs="Tahoma"/>
          <w:sz w:val="16"/>
          <w:szCs w:val="16"/>
          <w:lang w:val="es-PR"/>
        </w:rPr>
        <w:t>h. adoptar las disposiciones legislativas o de otra índole que sean necesarias para hacer efectiva esta Convención”.</w:t>
      </w:r>
    </w:p>
  </w:footnote>
  <w:footnote w:id="7">
    <w:p w14:paraId="322108A1"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Sentencia de 19 de mayo de 2014. Serie C No. 277.</w:t>
      </w:r>
    </w:p>
  </w:footnote>
  <w:footnote w:id="8">
    <w:p w14:paraId="322108A2" w14:textId="77777777" w:rsidR="00660B47" w:rsidRPr="00811A00" w:rsidRDefault="00660B47" w:rsidP="00721FDE">
      <w:pPr>
        <w:pStyle w:val="FootnoteText"/>
        <w:spacing w:after="120"/>
        <w:jc w:val="both"/>
        <w:rPr>
          <w:rFonts w:ascii="Verdana" w:hAnsi="Verdana" w:cs="Tahoma"/>
          <w:bCs/>
          <w:color w:val="000000"/>
          <w:sz w:val="16"/>
          <w:szCs w:val="16"/>
          <w:shd w:val="clear" w:color="auto" w:fill="FFFFFF"/>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t xml:space="preserve">En el presente caso el Estado cuestionó la competencia </w:t>
      </w:r>
      <w:r w:rsidRPr="001A5A49">
        <w:rPr>
          <w:rFonts w:ascii="Verdana" w:hAnsi="Verdana" w:cs="Tahoma"/>
          <w:i/>
          <w:sz w:val="16"/>
          <w:szCs w:val="16"/>
        </w:rPr>
        <w:t>ratione materiae</w:t>
      </w:r>
      <w:r>
        <w:rPr>
          <w:rFonts w:ascii="Verdana" w:hAnsi="Verdana" w:cs="Tahoma"/>
          <w:sz w:val="16"/>
          <w:szCs w:val="16"/>
        </w:rPr>
        <w:t xml:space="preserve"> de la Corte IDH. Siguiendo sus precedentes el Tribunal Interamericano desestimó dicha excepción preliminar al enteder que “parece claro que el tenor literal del artículo 12 de la Convención Belém do Pará concede competencia a la Corte, al no exceptuar de su aplicación ninguna de las normas y requisitos de procedimiento para las comunicaciones individuales”, además de que en otros casos contenciosos contra Guatemala, la Corte IDH declaró la responsabilidad del Estado por la violación del artículo 7 de la Convención de Belém do Pará, y no encuentra elementos para cambiar su jurisprudencia. Véanse párrs. 16 a 19 de la Sentencia.</w:t>
      </w:r>
    </w:p>
  </w:footnote>
  <w:footnote w:id="9">
    <w:p w14:paraId="322108A3"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Style w:val="Strong"/>
          <w:rFonts w:ascii="Verdana" w:hAnsi="Verdana" w:cs="Tahoma"/>
          <w:b w:val="0"/>
          <w:color w:val="000000"/>
          <w:sz w:val="16"/>
          <w:szCs w:val="16"/>
          <w:shd w:val="clear" w:color="auto" w:fill="FFFFFF"/>
        </w:rPr>
        <w:t xml:space="preserve">Corte IDH, </w:t>
      </w:r>
      <w:r w:rsidRPr="00272787">
        <w:rPr>
          <w:rStyle w:val="Strong"/>
          <w:rFonts w:ascii="Verdana" w:hAnsi="Verdana" w:cs="Tahoma"/>
          <w:b w:val="0"/>
          <w:i/>
          <w:color w:val="000000"/>
          <w:sz w:val="16"/>
          <w:szCs w:val="16"/>
          <w:shd w:val="clear" w:color="auto" w:fill="FFFFFF"/>
        </w:rPr>
        <w:t>Caso del Penal Miguel Castro Castro Vs. Perú. Fondo, Reparaciones y Costas</w:t>
      </w:r>
      <w:r w:rsidRPr="00272787">
        <w:rPr>
          <w:rStyle w:val="Strong"/>
          <w:rFonts w:ascii="Verdana" w:hAnsi="Verdana" w:cs="Tahoma"/>
          <w:b w:val="0"/>
          <w:color w:val="000000"/>
          <w:sz w:val="16"/>
          <w:szCs w:val="16"/>
          <w:shd w:val="clear" w:color="auto" w:fill="FFFFFF"/>
        </w:rPr>
        <w:t xml:space="preserve">. Sentencia de 25 de noviembre de 2006. Serie C No. 160;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 </w:t>
      </w:r>
      <w:r w:rsidRPr="00272787">
        <w:rPr>
          <w:rStyle w:val="Strong"/>
          <w:rFonts w:ascii="Verdana" w:hAnsi="Verdana" w:cs="Tahoma"/>
          <w:b w:val="0"/>
          <w:i/>
          <w:color w:val="000000"/>
          <w:sz w:val="16"/>
          <w:szCs w:val="16"/>
          <w:shd w:val="clear" w:color="auto" w:fill="FFFFFF"/>
        </w:rPr>
        <w:t xml:space="preserve">Caso De la Masacre de las Dos Erres Vs. Guatemala. Excepción Preliminar, Fondo, Reparaciones y Costas. </w:t>
      </w:r>
      <w:r w:rsidRPr="00272787">
        <w:rPr>
          <w:rStyle w:val="Strong"/>
          <w:rFonts w:ascii="Verdana" w:hAnsi="Verdana" w:cs="Tahoma"/>
          <w:b w:val="0"/>
          <w:color w:val="000000"/>
          <w:sz w:val="16"/>
          <w:szCs w:val="16"/>
          <w:shd w:val="clear" w:color="auto" w:fill="FFFFFF"/>
        </w:rPr>
        <w:t xml:space="preserve">Sentencia de 24 de noviembre de 2009. Serie C No. 211; </w:t>
      </w:r>
      <w:r w:rsidRPr="00272787">
        <w:rPr>
          <w:rStyle w:val="Strong"/>
          <w:rFonts w:ascii="Verdana" w:hAnsi="Verdana" w:cs="Tahoma"/>
          <w:b w:val="0"/>
          <w:i/>
          <w:color w:val="000000"/>
          <w:sz w:val="16"/>
          <w:szCs w:val="16"/>
          <w:shd w:val="clear" w:color="auto" w:fill="FFFFFF"/>
        </w:rPr>
        <w:t>Caso Fernández Ortega y otros.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30 de agosto de 2010 Serie C No. 215; </w:t>
      </w:r>
      <w:r w:rsidRPr="00272787">
        <w:rPr>
          <w:rStyle w:val="Strong"/>
          <w:rFonts w:ascii="Verdana" w:hAnsi="Verdana" w:cs="Tahoma"/>
          <w:b w:val="0"/>
          <w:i/>
          <w:color w:val="000000"/>
          <w:sz w:val="16"/>
          <w:szCs w:val="16"/>
          <w:shd w:val="clear" w:color="auto" w:fill="FFFFFF"/>
        </w:rPr>
        <w:t xml:space="preserve">Caso Rosendo Cantú y otra Vs. México. Excepción Preliminar, Fondo, Reparaciones y Costas. </w:t>
      </w:r>
      <w:r w:rsidRPr="00272787">
        <w:rPr>
          <w:rStyle w:val="Strong"/>
          <w:rFonts w:ascii="Verdana" w:hAnsi="Verdana" w:cs="Tahoma"/>
          <w:b w:val="0"/>
          <w:color w:val="000000"/>
          <w:sz w:val="16"/>
          <w:szCs w:val="16"/>
          <w:shd w:val="clear" w:color="auto" w:fill="FFFFFF"/>
        </w:rPr>
        <w:t xml:space="preserve">Sentencia de 31 de agosto de 2010 Serie C No. 216; </w:t>
      </w:r>
      <w:r w:rsidRPr="00272787">
        <w:rPr>
          <w:rStyle w:val="Strong"/>
          <w:rFonts w:ascii="Verdana" w:hAnsi="Verdana" w:cs="Tahoma"/>
          <w:b w:val="0"/>
          <w:i/>
          <w:color w:val="000000"/>
          <w:sz w:val="16"/>
          <w:szCs w:val="16"/>
          <w:shd w:val="clear" w:color="auto" w:fill="FFFFFF"/>
        </w:rPr>
        <w:t>Caso Masacres de Río Negro Vs. Guatemala. Excepción Preliminar, Fondo, Reparaciones y Costas.</w:t>
      </w:r>
      <w:r w:rsidRPr="00272787">
        <w:rPr>
          <w:rStyle w:val="Strong"/>
          <w:rFonts w:ascii="Verdana" w:hAnsi="Verdana" w:cs="Tahoma"/>
          <w:b w:val="0"/>
          <w:color w:val="000000"/>
          <w:sz w:val="16"/>
          <w:szCs w:val="16"/>
          <w:shd w:val="clear" w:color="auto" w:fill="FFFFFF"/>
        </w:rPr>
        <w:t xml:space="preserve"> Sentencia de 4 de septiembre de 2012 Serie C No. 250; </w:t>
      </w:r>
      <w:r w:rsidRPr="00272787">
        <w:rPr>
          <w:rStyle w:val="Strong"/>
          <w:rFonts w:ascii="Verdana" w:hAnsi="Verdana" w:cs="Tahoma"/>
          <w:b w:val="0"/>
          <w:i/>
          <w:color w:val="000000"/>
          <w:sz w:val="16"/>
          <w:szCs w:val="16"/>
          <w:shd w:val="clear" w:color="auto" w:fill="FFFFFF"/>
        </w:rPr>
        <w:t xml:space="preserve">Caso Masacres de El Mozote y lugares aledaños Vs. El Salvador. Fondo, Reparaciones y Costas. </w:t>
      </w:r>
      <w:r w:rsidRPr="00272787">
        <w:rPr>
          <w:rStyle w:val="Strong"/>
          <w:rFonts w:ascii="Verdana" w:hAnsi="Verdana" w:cs="Tahoma"/>
          <w:b w:val="0"/>
          <w:color w:val="000000"/>
          <w:sz w:val="16"/>
          <w:szCs w:val="16"/>
          <w:shd w:val="clear" w:color="auto" w:fill="FFFFFF"/>
        </w:rPr>
        <w:t xml:space="preserve">Sentencia de 25 de octubre de 2012 Serie C No. 252; </w:t>
      </w:r>
      <w:r w:rsidRPr="00272787">
        <w:rPr>
          <w:rStyle w:val="Strong"/>
          <w:rFonts w:ascii="Verdana" w:hAnsi="Verdana" w:cs="Tahoma"/>
          <w:b w:val="0"/>
          <w:i/>
          <w:color w:val="000000"/>
          <w:sz w:val="16"/>
          <w:szCs w:val="16"/>
          <w:shd w:val="clear" w:color="auto" w:fill="FFFFFF"/>
        </w:rPr>
        <w:t xml:space="preserve">Caso Gudiel Álvarez y otros ("Diario Militar") Vs. Guatemala. Fondo Reparaciones y Costas. </w:t>
      </w:r>
      <w:r w:rsidRPr="00272787">
        <w:rPr>
          <w:rStyle w:val="Strong"/>
          <w:rFonts w:ascii="Verdana" w:hAnsi="Verdana" w:cs="Tahoma"/>
          <w:b w:val="0"/>
          <w:color w:val="000000"/>
          <w:sz w:val="16"/>
          <w:szCs w:val="16"/>
          <w:shd w:val="clear" w:color="auto" w:fill="FFFFFF"/>
        </w:rPr>
        <w:t xml:space="preserve">Sentencia de 20 noviembre de 2012 Serie C No. 253; </w:t>
      </w:r>
      <w:r w:rsidRPr="00272787">
        <w:rPr>
          <w:rStyle w:val="Strong"/>
          <w:rFonts w:ascii="Verdana" w:hAnsi="Verdana" w:cs="Tahoma"/>
          <w:b w:val="0"/>
          <w:i/>
          <w:color w:val="000000"/>
          <w:sz w:val="16"/>
          <w:szCs w:val="16"/>
          <w:shd w:val="clear" w:color="auto" w:fill="FFFFFF"/>
        </w:rPr>
        <w:t>Caso J. Vs. Perú. Excepción Preliminar, Fondo, Reparaciones y Costas.</w:t>
      </w:r>
      <w:r w:rsidRPr="00272787">
        <w:rPr>
          <w:rStyle w:val="Strong"/>
          <w:rFonts w:ascii="Verdana" w:hAnsi="Verdana" w:cs="Tahoma"/>
          <w:b w:val="0"/>
          <w:color w:val="000000"/>
          <w:sz w:val="16"/>
          <w:szCs w:val="16"/>
          <w:shd w:val="clear" w:color="auto" w:fill="FFFFFF"/>
        </w:rPr>
        <w:t xml:space="preserve"> Sentencia de 27 de noviembre de 2013. Serie C No. 275;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y </w:t>
      </w:r>
      <w:r w:rsidRPr="00272787">
        <w:rPr>
          <w:rStyle w:val="Strong"/>
          <w:rFonts w:ascii="Verdana" w:hAnsi="Verdana" w:cs="Tahoma"/>
          <w:b w:val="0"/>
          <w:i/>
          <w:color w:val="000000"/>
          <w:sz w:val="16"/>
          <w:szCs w:val="16"/>
          <w:shd w:val="clear" w:color="auto" w:fill="FFFFFF"/>
        </w:rPr>
        <w:t>Caso Espinoza Gonzáles Vs. Perú. Excepciones Preliminares, Fondo, Reparaciones y Costas.</w:t>
      </w:r>
      <w:r w:rsidRPr="00272787">
        <w:rPr>
          <w:rStyle w:val="Strong"/>
          <w:rFonts w:ascii="Verdana" w:hAnsi="Verdana" w:cs="Tahoma"/>
          <w:b w:val="0"/>
          <w:color w:val="000000"/>
          <w:sz w:val="16"/>
          <w:szCs w:val="16"/>
          <w:shd w:val="clear" w:color="auto" w:fill="FFFFFF"/>
        </w:rPr>
        <w:t xml:space="preserve"> Sentencia de 20 de noviembre de 2014. Serie C No. 289.</w:t>
      </w:r>
    </w:p>
  </w:footnote>
  <w:footnote w:id="10">
    <w:p w14:paraId="322108A4"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Artículo 7 de la </w:t>
      </w:r>
      <w:r>
        <w:rPr>
          <w:rFonts w:ascii="Verdana" w:hAnsi="Verdana"/>
          <w:sz w:val="16"/>
          <w:szCs w:val="16"/>
        </w:rPr>
        <w:t xml:space="preserve">“Convención de Belém do Pará”, véase </w:t>
      </w:r>
      <w:r w:rsidRPr="00752423">
        <w:rPr>
          <w:rFonts w:ascii="Verdana" w:hAnsi="Verdana"/>
          <w:i/>
          <w:sz w:val="16"/>
          <w:szCs w:val="16"/>
        </w:rPr>
        <w:t>supra</w:t>
      </w:r>
      <w:r>
        <w:rPr>
          <w:rFonts w:ascii="Verdana" w:hAnsi="Verdana"/>
          <w:sz w:val="16"/>
          <w:szCs w:val="16"/>
        </w:rPr>
        <w:t xml:space="preserve"> nota 6.</w:t>
      </w:r>
    </w:p>
  </w:footnote>
  <w:footnote w:id="11">
    <w:p w14:paraId="322108A5"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Style w:val="Strong"/>
          <w:rFonts w:ascii="Verdana" w:hAnsi="Verdana" w:cs="Tahoma"/>
          <w:b w:val="0"/>
          <w:color w:val="000000"/>
          <w:sz w:val="16"/>
          <w:szCs w:val="16"/>
          <w:shd w:val="clear" w:color="auto" w:fill="FFFFFF"/>
        </w:rPr>
        <w:t xml:space="preserve">Corte IDH, </w:t>
      </w:r>
      <w:r w:rsidRPr="00272787">
        <w:rPr>
          <w:rStyle w:val="Strong"/>
          <w:rFonts w:ascii="Verdana" w:hAnsi="Verdana" w:cs="Tahoma"/>
          <w:b w:val="0"/>
          <w:i/>
          <w:color w:val="000000"/>
          <w:sz w:val="16"/>
          <w:szCs w:val="16"/>
          <w:shd w:val="clear" w:color="auto" w:fill="FFFFFF"/>
        </w:rPr>
        <w:t>Caso del Penal Miguel Castro Castro Vs. Perú. Fondo, Reparaciones y Costas</w:t>
      </w:r>
      <w:r w:rsidRPr="00272787">
        <w:rPr>
          <w:rStyle w:val="Strong"/>
          <w:rFonts w:ascii="Verdana" w:hAnsi="Verdana" w:cs="Tahoma"/>
          <w:b w:val="0"/>
          <w:color w:val="000000"/>
          <w:sz w:val="16"/>
          <w:szCs w:val="16"/>
          <w:shd w:val="clear" w:color="auto" w:fill="FFFFFF"/>
        </w:rPr>
        <w:t>. Sentencia de 25 de noviembre de 2006. Serie C No. 160.</w:t>
      </w:r>
    </w:p>
  </w:footnote>
  <w:footnote w:id="12">
    <w:p w14:paraId="322108A6"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Style w:val="Strong"/>
          <w:rFonts w:ascii="Verdana" w:hAnsi="Verdana" w:cs="Tahoma"/>
          <w:b w:val="0"/>
          <w:color w:val="000000"/>
          <w:sz w:val="16"/>
          <w:szCs w:val="16"/>
          <w:shd w:val="clear" w:color="auto" w:fill="FFFFFF"/>
        </w:rPr>
        <w:t xml:space="preserve">Corte IDH, </w:t>
      </w:r>
      <w:r w:rsidRPr="00272787">
        <w:rPr>
          <w:rStyle w:val="Strong"/>
          <w:rFonts w:ascii="Verdana" w:hAnsi="Verdana" w:cs="Tahoma"/>
          <w:b w:val="0"/>
          <w:i/>
          <w:color w:val="000000"/>
          <w:sz w:val="16"/>
          <w:szCs w:val="16"/>
          <w:shd w:val="clear" w:color="auto" w:fill="FFFFFF"/>
        </w:rPr>
        <w:t>Caso del Penal Miguel Castro Castro Vs. Perú. Fondo, Reparaciones y Costas.</w:t>
      </w:r>
      <w:r w:rsidRPr="00272787">
        <w:rPr>
          <w:rStyle w:val="Strong"/>
          <w:rFonts w:ascii="Verdana" w:hAnsi="Verdana" w:cs="Tahoma"/>
          <w:b w:val="0"/>
          <w:color w:val="000000"/>
          <w:sz w:val="16"/>
          <w:szCs w:val="16"/>
          <w:shd w:val="clear" w:color="auto" w:fill="FFFFFF"/>
        </w:rPr>
        <w:t xml:space="preserve"> Sentencia de 25 de noviembre de 2006. Serie C No. 160, párr. 394.</w:t>
      </w:r>
    </w:p>
  </w:footnote>
  <w:footnote w:id="13">
    <w:p w14:paraId="322108A7"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Style w:val="Strong"/>
          <w:rFonts w:ascii="Verdana" w:hAnsi="Verdana" w:cs="Tahoma"/>
          <w:b w:val="0"/>
          <w:color w:val="000000"/>
          <w:sz w:val="16"/>
          <w:szCs w:val="16"/>
          <w:shd w:val="clear" w:color="auto" w:fill="FFFFFF"/>
        </w:rPr>
        <w:t xml:space="preserve">Corte IDH, </w:t>
      </w:r>
      <w:r w:rsidRPr="00272787">
        <w:rPr>
          <w:rStyle w:val="Strong"/>
          <w:rFonts w:ascii="Verdana" w:hAnsi="Verdana" w:cs="Tahoma"/>
          <w:b w:val="0"/>
          <w:i/>
          <w:color w:val="000000"/>
          <w:sz w:val="16"/>
          <w:szCs w:val="16"/>
          <w:shd w:val="clear" w:color="auto" w:fill="FFFFFF"/>
        </w:rPr>
        <w:t>Caso del Penal Miguel Castro Castro Vs. Perú. Fondo, Reparaciones y Costas.</w:t>
      </w:r>
      <w:r w:rsidRPr="00272787">
        <w:rPr>
          <w:rStyle w:val="Strong"/>
          <w:rFonts w:ascii="Verdana" w:hAnsi="Verdana" w:cs="Tahoma"/>
          <w:b w:val="0"/>
          <w:color w:val="000000"/>
          <w:sz w:val="16"/>
          <w:szCs w:val="16"/>
          <w:shd w:val="clear" w:color="auto" w:fill="FFFFFF"/>
        </w:rPr>
        <w:t xml:space="preserve"> Sentencia de 25 de noviembre de 2006. Serie C No. 160, párr. 408.</w:t>
      </w:r>
    </w:p>
  </w:footnote>
  <w:footnote w:id="14">
    <w:p w14:paraId="322108A8"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González y otras (“Campo Algodonero”) Vs. México. Excepción Preliminar, Fondo, Reparaciones y Costas. </w:t>
      </w:r>
      <w:r w:rsidRPr="00272787">
        <w:rPr>
          <w:rStyle w:val="Strong"/>
          <w:rFonts w:ascii="Verdana" w:hAnsi="Verdana" w:cs="Tahoma"/>
          <w:b w:val="0"/>
          <w:color w:val="000000"/>
          <w:sz w:val="16"/>
          <w:szCs w:val="16"/>
          <w:shd w:val="clear" w:color="auto" w:fill="FFFFFF"/>
        </w:rPr>
        <w:t>Sentencia de 16 de noviembre de 2009. Serie C No.205, párr. 284.</w:t>
      </w:r>
    </w:p>
  </w:footnote>
  <w:footnote w:id="15">
    <w:p w14:paraId="322108A9"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González y otras (“Campo Algodonero”) Vs. México. Excepción Preliminar, Fondo, Reparaciones y Costas. </w:t>
      </w:r>
      <w:r w:rsidRPr="00272787">
        <w:rPr>
          <w:rStyle w:val="Strong"/>
          <w:rFonts w:ascii="Verdana" w:hAnsi="Verdana" w:cs="Tahoma"/>
          <w:b w:val="0"/>
          <w:color w:val="000000"/>
          <w:sz w:val="16"/>
          <w:szCs w:val="16"/>
          <w:shd w:val="clear" w:color="auto" w:fill="FFFFFF"/>
        </w:rPr>
        <w:t>Sentencia de 16 de noviembre de 2009. Serie C No.205, párr. 285.</w:t>
      </w:r>
    </w:p>
  </w:footnote>
  <w:footnote w:id="16">
    <w:p w14:paraId="322108AA"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De la Masacre de las Dos Erres Vs. Guatemala. Excepción Preliminar, Fondo, Reparaciones y Costas. </w:t>
      </w:r>
      <w:r w:rsidRPr="00272787">
        <w:rPr>
          <w:rStyle w:val="Strong"/>
          <w:rFonts w:ascii="Verdana" w:hAnsi="Verdana" w:cs="Tahoma"/>
          <w:b w:val="0"/>
          <w:color w:val="000000"/>
          <w:sz w:val="16"/>
          <w:szCs w:val="16"/>
          <w:shd w:val="clear" w:color="auto" w:fill="FFFFFF"/>
        </w:rPr>
        <w:t>Sentencia de 24 de noviembre de 2009. Serie C No. 211.</w:t>
      </w:r>
    </w:p>
  </w:footnote>
  <w:footnote w:id="17">
    <w:p w14:paraId="322108AB"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De la Masacre de las Dos Erres Vs. Guatemala. Excepción Preliminar, Fondo, Reparaciones y Costas. </w:t>
      </w:r>
      <w:r w:rsidRPr="00272787">
        <w:rPr>
          <w:rStyle w:val="Strong"/>
          <w:rFonts w:ascii="Verdana" w:hAnsi="Verdana" w:cs="Tahoma"/>
          <w:b w:val="0"/>
          <w:color w:val="000000"/>
          <w:sz w:val="16"/>
          <w:szCs w:val="16"/>
          <w:shd w:val="clear" w:color="auto" w:fill="FFFFFF"/>
        </w:rPr>
        <w:t>Sentencia de 24 de noviembre de 2009. Serie C No. 211, párr. 139 a 141.</w:t>
      </w:r>
    </w:p>
  </w:footnote>
  <w:footnote w:id="18">
    <w:p w14:paraId="322108AC"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De la Masacre de las Dos Erres Vs. Guatemala. Excepción Preliminar, Fondo, Reparaciones y Costas. </w:t>
      </w:r>
      <w:r w:rsidRPr="00272787">
        <w:rPr>
          <w:rStyle w:val="Strong"/>
          <w:rFonts w:ascii="Verdana" w:hAnsi="Verdana" w:cs="Tahoma"/>
          <w:b w:val="0"/>
          <w:color w:val="000000"/>
          <w:sz w:val="16"/>
          <w:szCs w:val="16"/>
          <w:shd w:val="clear" w:color="auto" w:fill="FFFFFF"/>
        </w:rPr>
        <w:t>Sentencia de 24 de noviembre de 2009. Serie C No. 211, párr. 153.</w:t>
      </w:r>
    </w:p>
  </w:footnote>
  <w:footnote w:id="19">
    <w:p w14:paraId="322108AD"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Fernández Ortega y otros. Vs. México. Excepción Preliminar, Fondo, Reparaciones y Costas. </w:t>
      </w:r>
      <w:r w:rsidRPr="00272787">
        <w:rPr>
          <w:rStyle w:val="Strong"/>
          <w:rFonts w:ascii="Verdana" w:hAnsi="Verdana" w:cs="Tahoma"/>
          <w:b w:val="0"/>
          <w:color w:val="000000"/>
          <w:sz w:val="16"/>
          <w:szCs w:val="16"/>
          <w:shd w:val="clear" w:color="auto" w:fill="FFFFFF"/>
        </w:rPr>
        <w:t>Sentencia de 30 de agosto de 2010 Serie C No. 215.</w:t>
      </w:r>
    </w:p>
  </w:footnote>
  <w:footnote w:id="20">
    <w:p w14:paraId="322108AE"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 xml:space="preserve">Caso Rosendo Cantú y otra Vs. México. Excepción Preliminar, Fondo, Reparaciones y Costas. </w:t>
      </w:r>
      <w:r w:rsidRPr="00272787">
        <w:rPr>
          <w:rStyle w:val="Strong"/>
          <w:rFonts w:ascii="Verdana" w:hAnsi="Verdana" w:cs="Tahoma"/>
          <w:b w:val="0"/>
          <w:color w:val="000000"/>
          <w:sz w:val="16"/>
          <w:szCs w:val="16"/>
          <w:shd w:val="clear" w:color="auto" w:fill="FFFFFF"/>
        </w:rPr>
        <w:t>Sentencia de 31 de agosto de 2010 Serie C No. 216.</w:t>
      </w:r>
    </w:p>
  </w:footnote>
  <w:footnote w:id="21">
    <w:p w14:paraId="322108AF"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Fernández Ortega y otros.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30 de agosto de 2010 Serie C No. 215, párr. 131, y </w:t>
      </w:r>
      <w:r w:rsidRPr="00272787">
        <w:rPr>
          <w:rStyle w:val="Strong"/>
          <w:rFonts w:ascii="Verdana" w:hAnsi="Verdana" w:cs="Tahoma"/>
          <w:b w:val="0"/>
          <w:i/>
          <w:color w:val="000000"/>
          <w:sz w:val="16"/>
          <w:szCs w:val="16"/>
          <w:shd w:val="clear" w:color="auto" w:fill="FFFFFF"/>
        </w:rPr>
        <w:t>Caso Rosendo Cantú y otra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31 de agosto de 2010 Serie C No. 216, párr. 121.</w:t>
      </w:r>
    </w:p>
  </w:footnote>
  <w:footnote w:id="22">
    <w:p w14:paraId="322108B0"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Fernández Ortega y otros.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30 de agosto de 2010 Serie C No. 215, párrs. 197 y 198, y </w:t>
      </w:r>
      <w:r w:rsidRPr="00272787">
        <w:rPr>
          <w:rStyle w:val="Strong"/>
          <w:rFonts w:ascii="Verdana" w:hAnsi="Verdana" w:cs="Tahoma"/>
          <w:b w:val="0"/>
          <w:i/>
          <w:color w:val="000000"/>
          <w:sz w:val="16"/>
          <w:szCs w:val="16"/>
          <w:shd w:val="clear" w:color="auto" w:fill="FFFFFF"/>
        </w:rPr>
        <w:t>Caso Rosendo Cantú y otra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31 de agosto de 2010 Serie C No. 216, párr</w:t>
      </w:r>
      <w:r>
        <w:rPr>
          <w:rStyle w:val="Strong"/>
          <w:rFonts w:ascii="Verdana" w:hAnsi="Verdana" w:cs="Tahoma"/>
          <w:b w:val="0"/>
          <w:color w:val="000000"/>
          <w:sz w:val="16"/>
          <w:szCs w:val="16"/>
          <w:shd w:val="clear" w:color="auto" w:fill="FFFFFF"/>
        </w:rPr>
        <w:t>s</w:t>
      </w:r>
      <w:r w:rsidRPr="00272787">
        <w:rPr>
          <w:rStyle w:val="Strong"/>
          <w:rFonts w:ascii="Verdana" w:hAnsi="Verdana" w:cs="Tahoma"/>
          <w:b w:val="0"/>
          <w:color w:val="000000"/>
          <w:sz w:val="16"/>
          <w:szCs w:val="16"/>
          <w:shd w:val="clear" w:color="auto" w:fill="FFFFFF"/>
        </w:rPr>
        <w:t>. 181 y 182.</w:t>
      </w:r>
    </w:p>
  </w:footnote>
  <w:footnote w:id="23">
    <w:p w14:paraId="322108B1" w14:textId="77777777" w:rsidR="00660B47" w:rsidRPr="00272787" w:rsidRDefault="00660B47" w:rsidP="00721FDE">
      <w:pPr>
        <w:pStyle w:val="FootnoteText"/>
        <w:spacing w:after="120"/>
        <w:jc w:val="both"/>
        <w:rPr>
          <w:rFonts w:ascii="Verdana" w:hAnsi="Verdana" w:cs="Tahoma"/>
          <w:b/>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Masacres de Río Negro Vs. Guatemala. Excepción Preliminar, Fondo, Reparaciones y Costas.</w:t>
      </w:r>
      <w:r w:rsidRPr="00272787">
        <w:rPr>
          <w:rStyle w:val="Strong"/>
          <w:rFonts w:ascii="Verdana" w:hAnsi="Verdana" w:cs="Tahoma"/>
          <w:b w:val="0"/>
          <w:color w:val="000000"/>
          <w:sz w:val="16"/>
          <w:szCs w:val="16"/>
          <w:shd w:val="clear" w:color="auto" w:fill="FFFFFF"/>
        </w:rPr>
        <w:t xml:space="preserve"> Sentencia de 4 de septiembre de 2012 Serie C No. 250.</w:t>
      </w:r>
    </w:p>
  </w:footnote>
  <w:footnote w:id="24">
    <w:p w14:paraId="322108B2" w14:textId="77777777" w:rsidR="00660B47" w:rsidRPr="00272787" w:rsidRDefault="00660B47" w:rsidP="00721FDE">
      <w:pPr>
        <w:pStyle w:val="FootnoteText"/>
        <w:spacing w:after="120"/>
        <w:jc w:val="both"/>
        <w:rPr>
          <w:rFonts w:ascii="Verdana" w:hAnsi="Verdana" w:cs="Tahoma"/>
          <w:b/>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Masacres de El Mozote y lugares aledaños Vs. El Salvador. Fondo, Reparaciones y Costas.</w:t>
      </w:r>
      <w:r w:rsidRPr="00272787">
        <w:rPr>
          <w:rStyle w:val="Strong"/>
          <w:rFonts w:ascii="Verdana" w:hAnsi="Verdana" w:cs="Tahoma"/>
          <w:b w:val="0"/>
          <w:color w:val="000000"/>
          <w:sz w:val="16"/>
          <w:szCs w:val="16"/>
          <w:shd w:val="clear" w:color="auto" w:fill="FFFFFF"/>
        </w:rPr>
        <w:t xml:space="preserve"> Sentencia de 25 de octubre de 2012 Serie C No. 252.</w:t>
      </w:r>
    </w:p>
  </w:footnote>
  <w:footnote w:id="25">
    <w:p w14:paraId="322108B3" w14:textId="77777777" w:rsidR="00660B47" w:rsidRPr="00272787" w:rsidRDefault="00660B47" w:rsidP="00721FDE">
      <w:pPr>
        <w:pStyle w:val="FootnoteText"/>
        <w:spacing w:after="120"/>
        <w:jc w:val="both"/>
        <w:rPr>
          <w:rFonts w:ascii="Verdana" w:hAnsi="Verdana" w:cs="Tahoma"/>
          <w:b/>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Gudiel Álvarez y otros ("Diario Militar") Vs. Guatemala. Fondo Reparaciones y Costas.</w:t>
      </w:r>
      <w:r w:rsidRPr="00272787">
        <w:rPr>
          <w:rStyle w:val="Strong"/>
          <w:rFonts w:ascii="Verdana" w:hAnsi="Verdana" w:cs="Tahoma"/>
          <w:b w:val="0"/>
          <w:color w:val="000000"/>
          <w:sz w:val="16"/>
          <w:szCs w:val="16"/>
          <w:shd w:val="clear" w:color="auto" w:fill="FFFFFF"/>
        </w:rPr>
        <w:t xml:space="preserve"> Sentencia de 20 noviembre de 2012 Serie C No. 253.</w:t>
      </w:r>
    </w:p>
  </w:footnote>
  <w:footnote w:id="26">
    <w:p w14:paraId="322108B4" w14:textId="77777777" w:rsidR="00660B47" w:rsidRPr="00272787" w:rsidRDefault="00660B47" w:rsidP="00721FDE">
      <w:pPr>
        <w:pStyle w:val="FootnoteText"/>
        <w:spacing w:after="120"/>
        <w:jc w:val="both"/>
        <w:rPr>
          <w:rFonts w:ascii="Verdana" w:hAnsi="Verdana" w:cs="Tahoma"/>
          <w:b/>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Masacres de Río Negro Vs. Guatemala. Excepción Preliminar, Fondo, Reparaciones y Costas.</w:t>
      </w:r>
      <w:r w:rsidRPr="00272787">
        <w:rPr>
          <w:rStyle w:val="Strong"/>
          <w:rFonts w:ascii="Verdana" w:hAnsi="Verdana" w:cs="Tahoma"/>
          <w:b w:val="0"/>
          <w:color w:val="000000"/>
          <w:sz w:val="16"/>
          <w:szCs w:val="16"/>
          <w:shd w:val="clear" w:color="auto" w:fill="FFFFFF"/>
        </w:rPr>
        <w:t xml:space="preserve"> Sentencia de 4 de septiembre de 2012 Serie C No. 250, párr. 227 y 236; </w:t>
      </w:r>
      <w:r w:rsidRPr="00272787">
        <w:rPr>
          <w:rStyle w:val="Strong"/>
          <w:rFonts w:ascii="Verdana" w:hAnsi="Verdana" w:cs="Tahoma"/>
          <w:b w:val="0"/>
          <w:i/>
          <w:color w:val="000000"/>
          <w:sz w:val="16"/>
          <w:szCs w:val="16"/>
          <w:shd w:val="clear" w:color="auto" w:fill="FFFFFF"/>
        </w:rPr>
        <w:t>Caso Masacres de El Mozote y lugares aledaños Vs. El Salvador. Fondo, Reparaciones y Costas.</w:t>
      </w:r>
      <w:r w:rsidRPr="00272787">
        <w:rPr>
          <w:rStyle w:val="Strong"/>
          <w:rFonts w:ascii="Verdana" w:hAnsi="Verdana" w:cs="Tahoma"/>
          <w:b w:val="0"/>
          <w:color w:val="000000"/>
          <w:sz w:val="16"/>
          <w:szCs w:val="16"/>
          <w:shd w:val="clear" w:color="auto" w:fill="FFFFFF"/>
        </w:rPr>
        <w:t xml:space="preserve"> Sentencia de 25 de octubre de 2012 Serie C No. 252, párr. 2 y 252, y </w:t>
      </w:r>
      <w:r w:rsidRPr="00272787">
        <w:rPr>
          <w:rStyle w:val="Strong"/>
          <w:rFonts w:ascii="Verdana" w:hAnsi="Verdana" w:cs="Tahoma"/>
          <w:b w:val="0"/>
          <w:i/>
          <w:color w:val="000000"/>
          <w:sz w:val="16"/>
          <w:szCs w:val="16"/>
          <w:shd w:val="clear" w:color="auto" w:fill="FFFFFF"/>
        </w:rPr>
        <w:t>Caso Gudiel Álvarez y otros ("Diario Militar") Vs. Guatemala. Fondo Reparaciones y Costas.</w:t>
      </w:r>
      <w:r w:rsidRPr="00272787">
        <w:rPr>
          <w:rStyle w:val="Strong"/>
          <w:rFonts w:ascii="Verdana" w:hAnsi="Verdana" w:cs="Tahoma"/>
          <w:b w:val="0"/>
          <w:color w:val="000000"/>
          <w:sz w:val="16"/>
          <w:szCs w:val="16"/>
          <w:shd w:val="clear" w:color="auto" w:fill="FFFFFF"/>
        </w:rPr>
        <w:t xml:space="preserve"> Sentencia de 20 noviembre de 2012 Serie C No. 253, párrs. 2 y  281.</w:t>
      </w:r>
    </w:p>
  </w:footnote>
  <w:footnote w:id="27">
    <w:p w14:paraId="322108B5" w14:textId="77777777" w:rsidR="00660B47" w:rsidRPr="00272787" w:rsidRDefault="00660B47" w:rsidP="00721FDE">
      <w:pPr>
        <w:autoSpaceDE w:val="0"/>
        <w:autoSpaceDN w:val="0"/>
        <w:adjustRightInd w:val="0"/>
        <w:spacing w:after="120" w:line="240" w:lineRule="auto"/>
        <w:jc w:val="both"/>
        <w:rPr>
          <w:rFonts w:ascii="Verdana" w:hAnsi="Verdana" w:cs="Tahoma"/>
          <w:b/>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El caso se relaciona con la detención ilegal y arbitraria de J. y los registros domiciliarios realizados el 13 de abril de 1992 por parte de agentes estatales, quienes presuntamente habían incurrido en actos de tortura y tratos crueles, inhumanos y degradantes, incluida violencia sexual. Corte IDH, </w:t>
      </w:r>
      <w:r w:rsidRPr="00272787">
        <w:rPr>
          <w:rStyle w:val="Strong"/>
          <w:rFonts w:ascii="Verdana" w:hAnsi="Verdana" w:cs="Tahoma"/>
          <w:b w:val="0"/>
          <w:i/>
          <w:color w:val="000000"/>
          <w:sz w:val="16"/>
          <w:szCs w:val="16"/>
          <w:shd w:val="clear" w:color="auto" w:fill="FFFFFF"/>
        </w:rPr>
        <w:t>Caso J. Vs. Perú. Excepción Preliminar, Fondo, Reparaciones y Costas.</w:t>
      </w:r>
      <w:r w:rsidRPr="00272787">
        <w:rPr>
          <w:rStyle w:val="Strong"/>
          <w:rFonts w:ascii="Verdana" w:hAnsi="Verdana" w:cs="Tahoma"/>
          <w:b w:val="0"/>
          <w:color w:val="000000"/>
          <w:sz w:val="16"/>
          <w:szCs w:val="16"/>
          <w:shd w:val="clear" w:color="auto" w:fill="FFFFFF"/>
        </w:rPr>
        <w:t xml:space="preserve"> Sentencia de 27 de noviembre de 2013. Serie C No. 275.</w:t>
      </w:r>
    </w:p>
  </w:footnote>
  <w:footnote w:id="28">
    <w:p w14:paraId="322108B6" w14:textId="77777777" w:rsidR="00660B47" w:rsidRPr="00272787" w:rsidRDefault="00660B47" w:rsidP="00721FDE">
      <w:pPr>
        <w:pStyle w:val="FootnoteText"/>
        <w:spacing w:after="120"/>
        <w:jc w:val="both"/>
        <w:rPr>
          <w:rFonts w:ascii="Verdana" w:hAnsi="Verdana" w:cs="Tahoma"/>
          <w:b/>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J. Vs. Perú. Excepción Preliminar, Fondo, Reparaciones y Costas.</w:t>
      </w:r>
      <w:r w:rsidRPr="00272787">
        <w:rPr>
          <w:rStyle w:val="Strong"/>
          <w:rFonts w:ascii="Verdana" w:hAnsi="Verdana" w:cs="Tahoma"/>
          <w:b w:val="0"/>
          <w:color w:val="000000"/>
          <w:sz w:val="16"/>
          <w:szCs w:val="16"/>
          <w:shd w:val="clear" w:color="auto" w:fill="FFFFFF"/>
        </w:rPr>
        <w:t xml:space="preserve"> Sentencia de 27 de noviembre de 2013. Serie C No. 275, párrs. 365 a 368.</w:t>
      </w:r>
    </w:p>
  </w:footnote>
  <w:footnote w:id="29">
    <w:p w14:paraId="322108B7"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w:t>
      </w:r>
    </w:p>
  </w:footnote>
  <w:footnote w:id="30">
    <w:p w14:paraId="322108B8" w14:textId="203AC8F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En dicho caso la Corte </w:t>
      </w:r>
      <w:r>
        <w:rPr>
          <w:rFonts w:ascii="Verdana" w:hAnsi="Verdana" w:cs="Tahoma"/>
          <w:sz w:val="16"/>
          <w:szCs w:val="16"/>
        </w:rPr>
        <w:t>IDH declaró vulnerados los artículos 7.b y 7.c</w:t>
      </w:r>
      <w:r w:rsidRPr="00272787">
        <w:rPr>
          <w:rFonts w:ascii="Verdana" w:hAnsi="Verdana" w:cs="Tahoma"/>
          <w:sz w:val="16"/>
          <w:szCs w:val="16"/>
        </w:rPr>
        <w:t xml:space="preserve"> de la </w:t>
      </w:r>
      <w:r>
        <w:rPr>
          <w:rFonts w:ascii="Verdana" w:hAnsi="Verdana" w:cs="Tahoma"/>
          <w:sz w:val="16"/>
          <w:szCs w:val="16"/>
        </w:rPr>
        <w:t>“</w:t>
      </w:r>
      <w:r w:rsidRPr="00272787">
        <w:rPr>
          <w:rFonts w:ascii="Verdana" w:hAnsi="Verdana" w:cs="Tahoma"/>
          <w:sz w:val="16"/>
          <w:szCs w:val="16"/>
        </w:rPr>
        <w:t>Convención Belém do Pará</w:t>
      </w:r>
      <w:r>
        <w:rPr>
          <w:rFonts w:ascii="Verdana" w:hAnsi="Verdana" w:cs="Tahoma"/>
          <w:sz w:val="16"/>
          <w:szCs w:val="16"/>
        </w:rPr>
        <w:t>”</w:t>
      </w:r>
      <w:r w:rsidRPr="00272787">
        <w:rPr>
          <w:rFonts w:ascii="Verdana" w:hAnsi="Verdana" w:cs="Tahoma"/>
          <w:sz w:val="16"/>
          <w:szCs w:val="16"/>
        </w:rPr>
        <w:t>. En un prim</w:t>
      </w:r>
      <w:r>
        <w:rPr>
          <w:rFonts w:ascii="Verdana" w:hAnsi="Verdana" w:cs="Tahoma"/>
          <w:sz w:val="16"/>
          <w:szCs w:val="16"/>
        </w:rPr>
        <w:t xml:space="preserve">er momento, declaró la violación a </w:t>
      </w:r>
      <w:r w:rsidRPr="00272787">
        <w:rPr>
          <w:rFonts w:ascii="Verdana" w:hAnsi="Verdana" w:cs="Tahoma"/>
          <w:sz w:val="16"/>
          <w:szCs w:val="16"/>
        </w:rPr>
        <w:t>los artículos 4.1 y 5.1 de la C</w:t>
      </w:r>
      <w:r>
        <w:rPr>
          <w:rFonts w:ascii="Verdana" w:hAnsi="Verdana" w:cs="Tahoma"/>
          <w:sz w:val="16"/>
          <w:szCs w:val="16"/>
        </w:rPr>
        <w:t>onvención Americana, en relación con los</w:t>
      </w:r>
      <w:r w:rsidRPr="00272787">
        <w:rPr>
          <w:rFonts w:ascii="Verdana" w:hAnsi="Verdana" w:cs="Tahoma"/>
          <w:sz w:val="16"/>
          <w:szCs w:val="16"/>
        </w:rPr>
        <w:t xml:space="preserve"> art</w:t>
      </w:r>
      <w:r>
        <w:rPr>
          <w:rFonts w:ascii="Verdana" w:hAnsi="Verdana" w:cs="Tahoma"/>
          <w:sz w:val="16"/>
          <w:szCs w:val="16"/>
        </w:rPr>
        <w:t>ículos</w:t>
      </w:r>
      <w:r w:rsidRPr="00272787">
        <w:rPr>
          <w:rFonts w:ascii="Verdana" w:hAnsi="Verdana" w:cs="Tahoma"/>
          <w:sz w:val="16"/>
          <w:szCs w:val="16"/>
        </w:rPr>
        <w:t xml:space="preserve"> 19  y 1.1, así como el 7.b) de la </w:t>
      </w:r>
      <w:r>
        <w:rPr>
          <w:rFonts w:ascii="Verdana" w:hAnsi="Verdana" w:cs="Tahoma"/>
          <w:sz w:val="16"/>
          <w:szCs w:val="16"/>
        </w:rPr>
        <w:t>“</w:t>
      </w:r>
      <w:r w:rsidRPr="00272787">
        <w:rPr>
          <w:rFonts w:ascii="Verdana" w:hAnsi="Verdana" w:cs="Tahoma"/>
          <w:sz w:val="16"/>
          <w:szCs w:val="16"/>
        </w:rPr>
        <w:t>Convención Belém do Pará</w:t>
      </w:r>
      <w:r>
        <w:rPr>
          <w:rFonts w:ascii="Verdana" w:hAnsi="Verdana" w:cs="Tahoma"/>
          <w:sz w:val="16"/>
          <w:szCs w:val="16"/>
        </w:rPr>
        <w:t>”</w:t>
      </w:r>
      <w:r w:rsidRPr="00272787">
        <w:rPr>
          <w:rFonts w:ascii="Verdana" w:hAnsi="Verdana" w:cs="Tahoma"/>
          <w:sz w:val="16"/>
          <w:szCs w:val="16"/>
        </w:rPr>
        <w:t xml:space="preserve">, en razón de “la falta de debida diligencia en la investigación, desde sus primeras fases, que derivó en la impunidad de los hechos” en lo referente a las primeras horas posteriores a la denuncia de la desaparición de María Isabel Veliz. 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 157.</w:t>
      </w:r>
    </w:p>
  </w:footnote>
  <w:footnote w:id="31">
    <w:p w14:paraId="322108B9"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 225.</w:t>
      </w:r>
    </w:p>
  </w:footnote>
  <w:footnote w:id="32">
    <w:p w14:paraId="322108BA"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Dicho caso se relaciona con la supuesta detención ilegal y arbitraria de Gladys Carol Espinoza Gonzáles, así como la alegada violación sexual y otros hechos constitutivos de tortura de los que fue víctima, mientras permaneció bajo la custodia de agentes</w:t>
      </w:r>
      <w:r>
        <w:rPr>
          <w:rFonts w:ascii="Verdana" w:hAnsi="Verdana" w:cs="Tahoma"/>
          <w:sz w:val="16"/>
          <w:szCs w:val="16"/>
        </w:rPr>
        <w:t xml:space="preserve"> </w:t>
      </w:r>
      <w:r w:rsidRPr="00272787">
        <w:rPr>
          <w:rFonts w:ascii="Verdana" w:hAnsi="Verdana" w:cs="Tahoma"/>
          <w:sz w:val="16"/>
          <w:szCs w:val="16"/>
        </w:rPr>
        <w:t xml:space="preserve">estatales. Corte IDH, </w:t>
      </w:r>
      <w:r w:rsidRPr="00272787">
        <w:rPr>
          <w:rStyle w:val="Strong"/>
          <w:rFonts w:ascii="Verdana" w:hAnsi="Verdana" w:cs="Tahoma"/>
          <w:b w:val="0"/>
          <w:i/>
          <w:color w:val="000000"/>
          <w:sz w:val="16"/>
          <w:szCs w:val="16"/>
          <w:shd w:val="clear" w:color="auto" w:fill="FFFFFF"/>
        </w:rPr>
        <w:t>Caso Espinoza Gonzáles Vs. Perú. Excepciones Preliminares, Fondo, Reparaciones y Costas.</w:t>
      </w:r>
      <w:r w:rsidRPr="00272787">
        <w:rPr>
          <w:rStyle w:val="Strong"/>
          <w:rFonts w:ascii="Verdana" w:hAnsi="Verdana" w:cs="Tahoma"/>
          <w:b w:val="0"/>
          <w:color w:val="000000"/>
          <w:sz w:val="16"/>
          <w:szCs w:val="16"/>
          <w:shd w:val="clear" w:color="auto" w:fill="FFFFFF"/>
        </w:rPr>
        <w:t xml:space="preserve"> Sentencia de 20 de noviembre de 2014. Serie C No. 289, párr. 1.</w:t>
      </w:r>
    </w:p>
  </w:footnote>
  <w:footnote w:id="33">
    <w:p w14:paraId="322108BB"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Espinoza Gonzáles Vs. Perú. Excepciones Preliminares, Fondo, Reparaciones y Costas.</w:t>
      </w:r>
      <w:r w:rsidRPr="00272787">
        <w:rPr>
          <w:rStyle w:val="Strong"/>
          <w:rFonts w:ascii="Verdana" w:hAnsi="Verdana" w:cs="Tahoma"/>
          <w:b w:val="0"/>
          <w:color w:val="000000"/>
          <w:sz w:val="16"/>
          <w:szCs w:val="16"/>
          <w:shd w:val="clear" w:color="auto" w:fill="FFFFFF"/>
        </w:rPr>
        <w:t xml:space="preserve"> Sentencia de 20 de noviembre de 2014. Serie C No. 289, párr. 287.</w:t>
      </w:r>
    </w:p>
  </w:footnote>
  <w:footnote w:id="34">
    <w:p w14:paraId="322108BC"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Espinoza Gonzáles Vs. Perú. Excepciones Preliminares, Fondo, Reparaciones y Costas.</w:t>
      </w:r>
      <w:r w:rsidRPr="00272787">
        <w:rPr>
          <w:rStyle w:val="Strong"/>
          <w:rFonts w:ascii="Verdana" w:hAnsi="Verdana" w:cs="Tahoma"/>
          <w:b w:val="0"/>
          <w:color w:val="000000"/>
          <w:sz w:val="16"/>
          <w:szCs w:val="16"/>
          <w:shd w:val="clear" w:color="auto" w:fill="FFFFFF"/>
        </w:rPr>
        <w:t xml:space="preserve"> Sentencia de 20 de noviembre de 2014. Serie C No. 289, párr. 288.</w:t>
      </w:r>
    </w:p>
  </w:footnote>
  <w:footnote w:id="35">
    <w:p w14:paraId="322108BD" w14:textId="77777777" w:rsidR="00660B47" w:rsidRPr="00272787" w:rsidRDefault="00660B47" w:rsidP="00721FDE">
      <w:pPr>
        <w:pStyle w:val="FootnoteText"/>
        <w:spacing w:after="120"/>
        <w:jc w:val="both"/>
        <w:rPr>
          <w:rFonts w:ascii="Verdana" w:hAnsi="Verdana" w:cs="Tahoma"/>
          <w:sz w:val="16"/>
          <w:szCs w:val="16"/>
        </w:rPr>
      </w:pPr>
      <w:r w:rsidRPr="00272787">
        <w:rPr>
          <w:rStyle w:val="FootnoteReference"/>
          <w:rFonts w:ascii="Verdana" w:hAnsi="Verdana" w:cs="Tahoma"/>
          <w:sz w:val="16"/>
          <w:szCs w:val="16"/>
        </w:rPr>
        <w:footnoteRef/>
      </w:r>
      <w:r w:rsidRPr="00272787">
        <w:rPr>
          <w:rFonts w:ascii="Verdana" w:hAnsi="Verdana" w:cs="Tahoma"/>
          <w:sz w:val="16"/>
          <w:szCs w:val="16"/>
        </w:rPr>
        <w:t xml:space="preserve"> </w:t>
      </w:r>
      <w:r>
        <w:rPr>
          <w:rFonts w:ascii="Verdana" w:hAnsi="Verdana" w:cs="Tahoma"/>
          <w:sz w:val="16"/>
          <w:szCs w:val="16"/>
        </w:rPr>
        <w:tab/>
      </w:r>
      <w:r w:rsidRPr="00272787">
        <w:rPr>
          <w:rFonts w:ascii="Verdana" w:hAnsi="Verdana" w:cs="Tahoma"/>
          <w:sz w:val="16"/>
          <w:szCs w:val="16"/>
        </w:rPr>
        <w:t xml:space="preserve">Corte IDH, </w:t>
      </w:r>
      <w:r w:rsidRPr="00272787">
        <w:rPr>
          <w:rStyle w:val="Strong"/>
          <w:rFonts w:ascii="Verdana" w:hAnsi="Verdana" w:cs="Tahoma"/>
          <w:b w:val="0"/>
          <w:i/>
          <w:color w:val="000000"/>
          <w:sz w:val="16"/>
          <w:szCs w:val="16"/>
          <w:shd w:val="clear" w:color="auto" w:fill="FFFFFF"/>
        </w:rPr>
        <w:t>Caso Espinoza Gonzáles Vs. Perú. Excepciones Preliminares, Fondo, Reparaciones y Costas.</w:t>
      </w:r>
      <w:r w:rsidRPr="00272787">
        <w:rPr>
          <w:rStyle w:val="Strong"/>
          <w:rFonts w:ascii="Verdana" w:hAnsi="Verdana" w:cs="Tahoma"/>
          <w:b w:val="0"/>
          <w:color w:val="000000"/>
          <w:sz w:val="16"/>
          <w:szCs w:val="16"/>
          <w:shd w:val="clear" w:color="auto" w:fill="FFFFFF"/>
        </w:rPr>
        <w:t xml:space="preserve"> Sentencia de 20 de noviembre de 2014. Serie C No. 289, párr. 229.</w:t>
      </w:r>
    </w:p>
  </w:footnote>
  <w:footnote w:id="36">
    <w:p w14:paraId="322108BE"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w:t>
      </w:r>
    </w:p>
  </w:footnote>
  <w:footnote w:id="37">
    <w:p w14:paraId="322108BF"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párrs. 249 a 286,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párrs. 133 a 158.</w:t>
      </w:r>
    </w:p>
  </w:footnote>
  <w:footnote w:id="38">
    <w:p w14:paraId="322108C0" w14:textId="77777777" w:rsidR="00660B47" w:rsidRPr="00272787" w:rsidRDefault="00660B47" w:rsidP="00721FDE">
      <w:pPr>
        <w:autoSpaceDE w:val="0"/>
        <w:autoSpaceDN w:val="0"/>
        <w:adjustRightInd w:val="0"/>
        <w:spacing w:after="120" w:line="240" w:lineRule="auto"/>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El caso se relaciona con </w:t>
      </w:r>
      <w:r w:rsidRPr="00272787">
        <w:rPr>
          <w:rFonts w:ascii="Verdana" w:hAnsi="Verdana" w:cs="Verdana"/>
          <w:sz w:val="16"/>
          <w:szCs w:val="16"/>
        </w:rPr>
        <w:t xml:space="preserve">la desaparición y ulterior muerte de las jóvenes Claudia Ivette González, Esmeralda Herrera Monreal y Laura Berenice Ramos Monárrez, cuyos cuerpos fueron encontrados en un campo algodonero de Ciudad Juárez el día 6 de noviembre de 2001, así como la falta de debida diligencia por parte de las autoridades. </w:t>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w:t>
      </w:r>
    </w:p>
  </w:footnote>
  <w:footnote w:id="39">
    <w:p w14:paraId="322108C1"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 258, y Párrafo </w:t>
      </w:r>
      <w:r w:rsidRPr="00E44D86">
        <w:rPr>
          <w:rStyle w:val="Strong"/>
          <w:rFonts w:ascii="Verdana" w:hAnsi="Verdana" w:cs="Tahoma"/>
          <w:b w:val="0"/>
          <w:color w:val="000000"/>
          <w:sz w:val="16"/>
          <w:szCs w:val="16"/>
          <w:shd w:val="clear" w:color="auto" w:fill="FFFFFF"/>
        </w:rPr>
        <w:t>108</w:t>
      </w:r>
      <w:r w:rsidRPr="00272787">
        <w:rPr>
          <w:rStyle w:val="Strong"/>
          <w:rFonts w:ascii="Verdana" w:hAnsi="Verdana" w:cs="Tahoma"/>
          <w:b w:val="0"/>
          <w:color w:val="000000"/>
          <w:sz w:val="16"/>
          <w:szCs w:val="16"/>
          <w:shd w:val="clear" w:color="auto" w:fill="FFFFFF"/>
        </w:rPr>
        <w:t xml:space="preserve"> de la Sentencia.</w:t>
      </w:r>
    </w:p>
  </w:footnote>
  <w:footnote w:id="40">
    <w:p w14:paraId="322108C2" w14:textId="77777777" w:rsidR="00660B47" w:rsidRPr="007C26B0"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 258;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w:t>
      </w:r>
      <w:r w:rsidRPr="007C26B0">
        <w:rPr>
          <w:rStyle w:val="Strong"/>
          <w:rFonts w:ascii="Verdana" w:hAnsi="Verdana" w:cs="Tahoma"/>
          <w:b w:val="0"/>
          <w:i/>
          <w:color w:val="000000"/>
          <w:sz w:val="16"/>
          <w:szCs w:val="16"/>
          <w:shd w:val="clear" w:color="auto" w:fill="FFFFFF"/>
        </w:rPr>
        <w:t>Preliminares, Fondo, Reparaciones y Costas.</w:t>
      </w:r>
      <w:r w:rsidRPr="007C26B0">
        <w:rPr>
          <w:rStyle w:val="Strong"/>
          <w:rFonts w:ascii="Verdana" w:hAnsi="Verdana" w:cs="Tahoma"/>
          <w:b w:val="0"/>
          <w:color w:val="000000"/>
          <w:sz w:val="16"/>
          <w:szCs w:val="16"/>
          <w:shd w:val="clear" w:color="auto" w:fill="FFFFFF"/>
        </w:rPr>
        <w:t xml:space="preserve"> Sentencia de 19 de mayo de 2014. Serie C No. 277, párr. 136, y Párrafo 108 de la Sentencia.</w:t>
      </w:r>
    </w:p>
  </w:footnote>
  <w:footnote w:id="41">
    <w:p w14:paraId="322108C3" w14:textId="77777777" w:rsidR="00660B47" w:rsidRPr="00272787"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 xml:space="preserve">Corte IDH, </w:t>
      </w:r>
      <w:r w:rsidRPr="007C26B0">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7C26B0">
        <w:rPr>
          <w:rStyle w:val="Strong"/>
          <w:rFonts w:ascii="Verdana" w:hAnsi="Verdana" w:cs="Tahoma"/>
          <w:b w:val="0"/>
          <w:color w:val="000000"/>
          <w:sz w:val="16"/>
          <w:szCs w:val="16"/>
          <w:shd w:val="clear" w:color="auto" w:fill="FFFFFF"/>
        </w:rPr>
        <w:t xml:space="preserve"> Sentencia de 16 de noviembre de 2009. Serie C No.205, párr. 281 y siguientes; </w:t>
      </w:r>
      <w:r w:rsidRPr="007C26B0">
        <w:rPr>
          <w:rFonts w:ascii="Verdana" w:hAnsi="Verdana" w:cs="Tahoma"/>
          <w:i/>
          <w:sz w:val="16"/>
          <w:szCs w:val="16"/>
        </w:rPr>
        <w:t>C</w:t>
      </w:r>
      <w:r w:rsidRPr="007C26B0">
        <w:rPr>
          <w:rStyle w:val="Strong"/>
          <w:rFonts w:ascii="Verdana" w:hAnsi="Verdana" w:cs="Tahoma"/>
          <w:b w:val="0"/>
          <w:i/>
          <w:color w:val="000000"/>
          <w:sz w:val="16"/>
          <w:szCs w:val="16"/>
          <w:shd w:val="clear" w:color="auto" w:fill="FFFFFF"/>
        </w:rPr>
        <w:t>aso Veliz Franco y otros Vs. Guatemala. Excepciones Preliminares, Fondo, Reparaciones y Costas.</w:t>
      </w:r>
      <w:r w:rsidRPr="007C26B0">
        <w:rPr>
          <w:rStyle w:val="Strong"/>
          <w:rFonts w:ascii="Verdana" w:hAnsi="Verdana" w:cs="Tahoma"/>
          <w:b w:val="0"/>
          <w:color w:val="000000"/>
          <w:sz w:val="16"/>
          <w:szCs w:val="16"/>
          <w:shd w:val="clear" w:color="auto" w:fill="FFFFFF"/>
        </w:rPr>
        <w:t xml:space="preserve"> Sentencia de 19 de mayo de 2014. Serie C No. 277, párr. 138, y Párrafo 110 de la</w:t>
      </w:r>
      <w:r w:rsidRPr="00272787">
        <w:rPr>
          <w:rStyle w:val="Strong"/>
          <w:rFonts w:ascii="Verdana" w:hAnsi="Verdana" w:cs="Tahoma"/>
          <w:b w:val="0"/>
          <w:color w:val="000000"/>
          <w:sz w:val="16"/>
          <w:szCs w:val="16"/>
          <w:shd w:val="clear" w:color="auto" w:fill="FFFFFF"/>
        </w:rPr>
        <w:t xml:space="preserve"> Sentencia.</w:t>
      </w:r>
    </w:p>
  </w:footnote>
  <w:footnote w:id="42">
    <w:p w14:paraId="322108C4"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 282.</w:t>
      </w:r>
    </w:p>
  </w:footnote>
  <w:footnote w:id="43">
    <w:p w14:paraId="322108C5"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 283.</w:t>
      </w:r>
    </w:p>
  </w:footnote>
  <w:footnote w:id="44">
    <w:p w14:paraId="322108C6" w14:textId="46362811"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 xml:space="preserve">Caso González y otras (“Campo Algodonero”) Vs. México. Excepción Preliminar, Fondo, Reparaciones y Costas. </w:t>
      </w:r>
      <w:r w:rsidRPr="00272787">
        <w:rPr>
          <w:rStyle w:val="Strong"/>
          <w:rFonts w:ascii="Verdana" w:hAnsi="Verdana" w:cs="Tahoma"/>
          <w:b w:val="0"/>
          <w:color w:val="000000"/>
          <w:sz w:val="16"/>
          <w:szCs w:val="16"/>
          <w:shd w:val="clear" w:color="auto" w:fill="FFFFFF"/>
        </w:rPr>
        <w:t>Sentencia de 16 de noviembre de 2009. Serie C No.205, párr</w:t>
      </w:r>
      <w:r w:rsidR="009D2FFA">
        <w:rPr>
          <w:rStyle w:val="Strong"/>
          <w:rFonts w:ascii="Verdana" w:hAnsi="Verdana" w:cs="Tahoma"/>
          <w:b w:val="0"/>
          <w:color w:val="000000"/>
          <w:sz w:val="16"/>
          <w:szCs w:val="16"/>
          <w:shd w:val="clear" w:color="auto" w:fill="FFFFFF"/>
        </w:rPr>
        <w:t>s</w:t>
      </w:r>
      <w:r w:rsidRPr="00272787">
        <w:rPr>
          <w:rStyle w:val="Strong"/>
          <w:rFonts w:ascii="Verdana" w:hAnsi="Verdana" w:cs="Tahoma"/>
          <w:b w:val="0"/>
          <w:color w:val="000000"/>
          <w:sz w:val="16"/>
          <w:szCs w:val="16"/>
          <w:shd w:val="clear" w:color="auto" w:fill="FFFFFF"/>
        </w:rPr>
        <w:t>. 284 y 285.</w:t>
      </w:r>
    </w:p>
  </w:footnote>
  <w:footnote w:id="45">
    <w:p w14:paraId="322108C7" w14:textId="26ABF908"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w:t>
      </w:r>
      <w:r w:rsidR="009D2FFA">
        <w:rPr>
          <w:rStyle w:val="Strong"/>
          <w:rFonts w:ascii="Verdana" w:hAnsi="Verdana" w:cs="Tahoma"/>
          <w:b w:val="0"/>
          <w:color w:val="000000"/>
          <w:sz w:val="16"/>
          <w:szCs w:val="16"/>
          <w:shd w:val="clear" w:color="auto" w:fill="FFFFFF"/>
        </w:rPr>
        <w:t>s</w:t>
      </w:r>
      <w:r w:rsidRPr="00272787">
        <w:rPr>
          <w:rStyle w:val="Strong"/>
          <w:rFonts w:ascii="Verdana" w:hAnsi="Verdana" w:cs="Tahoma"/>
          <w:b w:val="0"/>
          <w:color w:val="000000"/>
          <w:sz w:val="16"/>
          <w:szCs w:val="16"/>
          <w:shd w:val="clear" w:color="auto" w:fill="FFFFFF"/>
        </w:rPr>
        <w:t>. 284 y 286.</w:t>
      </w:r>
    </w:p>
  </w:footnote>
  <w:footnote w:id="46">
    <w:p w14:paraId="322108C8"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Dicho caso se relaciona con la desaparición y ulterior muerte de María Isabel Veliz, así como la falta de respuesta eficaz por parte del Estado ante la denuncia, y las posteriores falencias en la investigación de los hechos. 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w:t>
      </w:r>
    </w:p>
  </w:footnote>
  <w:footnote w:id="47">
    <w:p w14:paraId="322108C9" w14:textId="77777777" w:rsidR="00660B47" w:rsidRPr="00272787" w:rsidRDefault="00660B47" w:rsidP="00721FDE">
      <w:pPr>
        <w:pStyle w:val="FootnoteText"/>
        <w:spacing w:after="120"/>
        <w:jc w:val="both"/>
        <w:rPr>
          <w:rFonts w:ascii="Verdana" w:hAnsi="Verdana" w:cs="Tahoma"/>
          <w:bCs/>
          <w:color w:val="000000"/>
          <w:sz w:val="16"/>
          <w:szCs w:val="16"/>
          <w:shd w:val="clear" w:color="auto" w:fill="FFFFFF"/>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Preliminares, Fondo, Reparaciones y Costas. </w:t>
      </w:r>
      <w:r w:rsidRPr="00272787">
        <w:rPr>
          <w:rStyle w:val="Strong"/>
          <w:rFonts w:ascii="Verdana" w:hAnsi="Verdana" w:cs="Tahoma"/>
          <w:b w:val="0"/>
          <w:color w:val="000000"/>
          <w:sz w:val="16"/>
          <w:szCs w:val="16"/>
          <w:shd w:val="clear" w:color="auto" w:fill="FFFFFF"/>
        </w:rPr>
        <w:t xml:space="preserve">Sentencia de 19 de mayo de 2014. Serie C No. 277, párr. 135. Véase en el mismo sentido: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No.205, párr. 252, y </w:t>
      </w:r>
      <w:r w:rsidRPr="007C26B0">
        <w:rPr>
          <w:rStyle w:val="Strong"/>
          <w:rFonts w:ascii="Verdana" w:hAnsi="Verdana" w:cs="Tahoma"/>
          <w:b w:val="0"/>
          <w:color w:val="000000"/>
          <w:sz w:val="16"/>
          <w:szCs w:val="16"/>
          <w:shd w:val="clear" w:color="auto" w:fill="FFFFFF"/>
        </w:rPr>
        <w:t xml:space="preserve">Párrafo </w:t>
      </w:r>
      <w:r w:rsidRPr="00E44D86">
        <w:rPr>
          <w:rStyle w:val="Strong"/>
          <w:rFonts w:ascii="Verdana" w:hAnsi="Verdana" w:cs="Tahoma"/>
          <w:b w:val="0"/>
          <w:color w:val="000000"/>
          <w:sz w:val="16"/>
          <w:szCs w:val="16"/>
          <w:shd w:val="clear" w:color="auto" w:fill="FFFFFF"/>
        </w:rPr>
        <w:t>107</w:t>
      </w:r>
      <w:r w:rsidRPr="007C26B0">
        <w:rPr>
          <w:rStyle w:val="Strong"/>
          <w:rFonts w:ascii="Verdana" w:hAnsi="Verdana" w:cs="Tahoma"/>
          <w:b w:val="0"/>
          <w:color w:val="000000"/>
          <w:sz w:val="16"/>
          <w:szCs w:val="16"/>
          <w:shd w:val="clear" w:color="auto" w:fill="FFFFFF"/>
        </w:rPr>
        <w:t xml:space="preserve"> de</w:t>
      </w:r>
      <w:r w:rsidRPr="00272787">
        <w:rPr>
          <w:rStyle w:val="Strong"/>
          <w:rFonts w:ascii="Verdana" w:hAnsi="Verdana" w:cs="Tahoma"/>
          <w:b w:val="0"/>
          <w:color w:val="000000"/>
          <w:sz w:val="16"/>
          <w:szCs w:val="16"/>
          <w:shd w:val="clear" w:color="auto" w:fill="FFFFFF"/>
        </w:rPr>
        <w:t xml:space="preserve"> la Sentencia.</w:t>
      </w:r>
    </w:p>
  </w:footnote>
  <w:footnote w:id="48">
    <w:p w14:paraId="322108CA"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 136, y </w:t>
      </w:r>
      <w:r w:rsidRPr="00272787">
        <w:rPr>
          <w:rStyle w:val="Strong"/>
          <w:rFonts w:ascii="Verdana" w:hAnsi="Verdana" w:cs="Tahoma"/>
          <w:b w:val="0"/>
          <w:i/>
          <w:color w:val="000000"/>
          <w:sz w:val="16"/>
          <w:szCs w:val="16"/>
          <w:shd w:val="clear" w:color="auto" w:fill="FFFFFF"/>
        </w:rPr>
        <w:t xml:space="preserve">Caso González y otras (“Campo Algodonero”) Vs. México. Excepción Preliminar, Fondo, Reparaciones y Costas. </w:t>
      </w:r>
      <w:r w:rsidRPr="00272787">
        <w:rPr>
          <w:rStyle w:val="Strong"/>
          <w:rFonts w:ascii="Verdana" w:hAnsi="Verdana" w:cs="Tahoma"/>
          <w:b w:val="0"/>
          <w:color w:val="000000"/>
          <w:sz w:val="16"/>
          <w:szCs w:val="16"/>
          <w:shd w:val="clear" w:color="auto" w:fill="FFFFFF"/>
        </w:rPr>
        <w:t>Sentencia de 16 de noviembre de 2009. Serie C No. 205, párr. 258.</w:t>
      </w:r>
    </w:p>
  </w:footnote>
  <w:footnote w:id="49">
    <w:p w14:paraId="322108CB"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 138, y </w:t>
      </w:r>
      <w:r w:rsidRPr="00272787">
        <w:rPr>
          <w:rStyle w:val="Strong"/>
          <w:rFonts w:ascii="Verdana" w:hAnsi="Verdana" w:cs="Tahoma"/>
          <w:b w:val="0"/>
          <w:i/>
          <w:color w:val="000000"/>
          <w:sz w:val="16"/>
          <w:szCs w:val="16"/>
          <w:shd w:val="clear" w:color="auto" w:fill="FFFFFF"/>
        </w:rPr>
        <w:t xml:space="preserve">Caso González y otras (“Campo Algodonero”) Vs. México. Excepción Preliminar, Fondo, Reparaciones y Costas. </w:t>
      </w:r>
      <w:r w:rsidRPr="00272787">
        <w:rPr>
          <w:rStyle w:val="Strong"/>
          <w:rFonts w:ascii="Verdana" w:hAnsi="Verdana" w:cs="Tahoma"/>
          <w:b w:val="0"/>
          <w:color w:val="000000"/>
          <w:sz w:val="16"/>
          <w:szCs w:val="16"/>
          <w:shd w:val="clear" w:color="auto" w:fill="FFFFFF"/>
        </w:rPr>
        <w:t>Sentencia de 16 de noviembre de 2009. Serie C No. 205, párr. 281.</w:t>
      </w:r>
    </w:p>
  </w:footnote>
  <w:footnote w:id="50">
    <w:p w14:paraId="322108CC"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 139.</w:t>
      </w:r>
    </w:p>
  </w:footnote>
  <w:footnote w:id="51">
    <w:p w14:paraId="322108CD"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Sentencia de 19 de mayo de 2014. Serie C No. 277, párr. 142.</w:t>
      </w:r>
    </w:p>
  </w:footnote>
  <w:footnote w:id="52">
    <w:p w14:paraId="322108CE"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Preliminares, Fondo, Reparaciones y Costas. </w:t>
      </w:r>
      <w:r w:rsidRPr="00272787">
        <w:rPr>
          <w:rStyle w:val="Strong"/>
          <w:rFonts w:ascii="Verdana" w:hAnsi="Verdana" w:cs="Tahoma"/>
          <w:b w:val="0"/>
          <w:color w:val="000000"/>
          <w:sz w:val="16"/>
          <w:szCs w:val="16"/>
          <w:shd w:val="clear" w:color="auto" w:fill="FFFFFF"/>
        </w:rPr>
        <w:t>Sentencia de 19 de mayo de 2014. Serie C No. 277, párr. 155.</w:t>
      </w:r>
    </w:p>
  </w:footnote>
  <w:footnote w:id="53">
    <w:p w14:paraId="322108CF"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Preliminares, Fondo, Reparaciones y Costas. </w:t>
      </w:r>
      <w:r w:rsidRPr="00272787">
        <w:rPr>
          <w:rStyle w:val="Strong"/>
          <w:rFonts w:ascii="Verdana" w:hAnsi="Verdana" w:cs="Tahoma"/>
          <w:b w:val="0"/>
          <w:color w:val="000000"/>
          <w:sz w:val="16"/>
          <w:szCs w:val="16"/>
          <w:shd w:val="clear" w:color="auto" w:fill="FFFFFF"/>
        </w:rPr>
        <w:t>Sentencia de 19 de mayo de 2014. Serie C No. 277, párr. 144.</w:t>
      </w:r>
    </w:p>
  </w:footnote>
  <w:footnote w:id="54">
    <w:p w14:paraId="322108D0"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Preliminares, Fondo, Reparaciones y Costas. </w:t>
      </w:r>
      <w:r w:rsidRPr="00272787">
        <w:rPr>
          <w:rStyle w:val="Strong"/>
          <w:rFonts w:ascii="Verdana" w:hAnsi="Verdana" w:cs="Tahoma"/>
          <w:b w:val="0"/>
          <w:color w:val="000000"/>
          <w:sz w:val="16"/>
          <w:szCs w:val="16"/>
          <w:shd w:val="clear" w:color="auto" w:fill="FFFFFF"/>
        </w:rPr>
        <w:t>Sentencia de 19 de mayo de 2014. Serie C No. 277, párr. 154.</w:t>
      </w:r>
    </w:p>
  </w:footnote>
  <w:footnote w:id="55">
    <w:p w14:paraId="322108D1"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Preliminares, Fondo, Reparaciones y Costas. </w:t>
      </w:r>
      <w:r w:rsidRPr="00272787">
        <w:rPr>
          <w:rStyle w:val="Strong"/>
          <w:rFonts w:ascii="Verdana" w:hAnsi="Verdana" w:cs="Tahoma"/>
          <w:b w:val="0"/>
          <w:color w:val="000000"/>
          <w:sz w:val="16"/>
          <w:szCs w:val="16"/>
          <w:shd w:val="clear" w:color="auto" w:fill="FFFFFF"/>
        </w:rPr>
        <w:t>Sentencia de 19 de mayo de 2014. Serie C No. 277, párr. 155.</w:t>
      </w:r>
    </w:p>
  </w:footnote>
  <w:footnote w:id="56">
    <w:p w14:paraId="322108D2"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 xml:space="preserve">aso Veliz Franco y otros Vs. Guatemala. Excepciones Preliminares, Fondo, Reparaciones y Costas. </w:t>
      </w:r>
      <w:r w:rsidRPr="00272787">
        <w:rPr>
          <w:rStyle w:val="Strong"/>
          <w:rFonts w:ascii="Verdana" w:hAnsi="Verdana" w:cs="Tahoma"/>
          <w:b w:val="0"/>
          <w:color w:val="000000"/>
          <w:sz w:val="16"/>
          <w:szCs w:val="16"/>
          <w:shd w:val="clear" w:color="auto" w:fill="FFFFFF"/>
        </w:rPr>
        <w:t>Sentencia de 19 de mayo de 2014. Serie C No. 277, párr. 158.</w:t>
      </w:r>
    </w:p>
  </w:footnote>
  <w:footnote w:id="57">
    <w:p w14:paraId="322108D3"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 xml:space="preserve">Caso González y otras (“Campo Algodonero”) Vs. México. Excepción Preliminar, Fondo, Reparaciones y Costas. </w:t>
      </w:r>
      <w:r w:rsidRPr="00272787">
        <w:rPr>
          <w:rStyle w:val="Strong"/>
          <w:rFonts w:ascii="Verdana" w:hAnsi="Verdana" w:cs="Tahoma"/>
          <w:b w:val="0"/>
          <w:color w:val="000000"/>
          <w:sz w:val="16"/>
          <w:szCs w:val="16"/>
          <w:shd w:val="clear" w:color="auto" w:fill="FFFFFF"/>
        </w:rPr>
        <w:t xml:space="preserve">Sentencia de 16 de noviembre de 2009. Serie C No. 205, párr. 282,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párr. 139.</w:t>
      </w:r>
    </w:p>
  </w:footnote>
  <w:footnote w:id="58">
    <w:p w14:paraId="322108D4"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 párr. 282.</w:t>
      </w:r>
    </w:p>
  </w:footnote>
  <w:footnote w:id="59">
    <w:p w14:paraId="322108D5"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 139.</w:t>
      </w:r>
    </w:p>
  </w:footnote>
  <w:footnote w:id="60">
    <w:p w14:paraId="322108D6" w14:textId="0A3C6C66"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Párrs.</w:t>
      </w:r>
      <w:r w:rsidRPr="00272787">
        <w:rPr>
          <w:rFonts w:ascii="Verdana" w:hAnsi="Verdana"/>
          <w:sz w:val="16"/>
          <w:szCs w:val="16"/>
        </w:rPr>
        <w:t xml:space="preserve"> </w:t>
      </w:r>
      <w:r w:rsidR="007C26B0">
        <w:rPr>
          <w:rFonts w:ascii="Verdana" w:hAnsi="Verdana"/>
          <w:sz w:val="16"/>
          <w:szCs w:val="16"/>
        </w:rPr>
        <w:t>45 a 48</w:t>
      </w:r>
      <w:r w:rsidRPr="00272787">
        <w:rPr>
          <w:rFonts w:ascii="Verdana" w:hAnsi="Verdana"/>
          <w:sz w:val="16"/>
          <w:szCs w:val="16"/>
        </w:rPr>
        <w:t xml:space="preserve"> de la Sentencia.</w:t>
      </w:r>
    </w:p>
  </w:footnote>
  <w:footnote w:id="61">
    <w:p w14:paraId="322108D7"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Párrs.</w:t>
      </w:r>
      <w:r w:rsidRPr="00272787">
        <w:rPr>
          <w:rFonts w:ascii="Verdana" w:hAnsi="Verdana"/>
          <w:sz w:val="16"/>
          <w:szCs w:val="16"/>
        </w:rPr>
        <w:t xml:space="preserve"> 45 y siguientes.</w:t>
      </w:r>
    </w:p>
  </w:footnote>
  <w:footnote w:id="62">
    <w:p w14:paraId="322108D8"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Párrs.</w:t>
      </w:r>
      <w:r w:rsidRPr="00272787">
        <w:rPr>
          <w:rFonts w:ascii="Verdana" w:hAnsi="Verdana"/>
          <w:sz w:val="16"/>
          <w:szCs w:val="16"/>
        </w:rPr>
        <w:t xml:space="preserve"> 45 de la Sentencia. Citando: 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 73, 81 y 152.</w:t>
      </w:r>
    </w:p>
  </w:footnote>
  <w:footnote w:id="63">
    <w:p w14:paraId="322108D9"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Párrs.</w:t>
      </w:r>
      <w:r w:rsidRPr="00272787">
        <w:rPr>
          <w:rFonts w:ascii="Verdana" w:hAnsi="Verdana"/>
          <w:sz w:val="16"/>
          <w:szCs w:val="16"/>
        </w:rPr>
        <w:t xml:space="preserve"> 46 de la Sentencia. Citando: 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 76.</w:t>
      </w:r>
    </w:p>
  </w:footnote>
  <w:footnote w:id="64">
    <w:p w14:paraId="322108DA"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Párrs.</w:t>
      </w:r>
      <w:r w:rsidRPr="00272787">
        <w:rPr>
          <w:rFonts w:ascii="Verdana" w:hAnsi="Verdana"/>
          <w:sz w:val="16"/>
          <w:szCs w:val="16"/>
        </w:rPr>
        <w:t xml:space="preserve"> 46 de la Sentencia.</w:t>
      </w:r>
    </w:p>
  </w:footnote>
  <w:footnote w:id="65">
    <w:p w14:paraId="322108DB"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Párrs.</w:t>
      </w:r>
      <w:r w:rsidRPr="00272787">
        <w:rPr>
          <w:rFonts w:ascii="Verdana" w:hAnsi="Verdana"/>
          <w:sz w:val="16"/>
          <w:szCs w:val="16"/>
        </w:rPr>
        <w:t xml:space="preserve"> 45, 46 y 47 de la Sentencia.</w:t>
      </w:r>
    </w:p>
  </w:footnote>
  <w:footnote w:id="66">
    <w:p w14:paraId="322108DC" w14:textId="53793B3E"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w:t>
      </w:r>
      <w:r>
        <w:rPr>
          <w:rFonts w:ascii="Verdana" w:hAnsi="Verdana"/>
          <w:sz w:val="16"/>
          <w:szCs w:val="16"/>
        </w:rPr>
        <w:t>. 78</w:t>
      </w:r>
      <w:r w:rsidRPr="00272787">
        <w:rPr>
          <w:rFonts w:ascii="Verdana" w:hAnsi="Verdana"/>
          <w:sz w:val="16"/>
          <w:szCs w:val="16"/>
        </w:rPr>
        <w:t xml:space="preserve"> de la Sentencia.</w:t>
      </w:r>
      <w:r w:rsidR="002B0185">
        <w:rPr>
          <w:rFonts w:ascii="Verdana" w:hAnsi="Verdana"/>
          <w:sz w:val="16"/>
          <w:szCs w:val="16"/>
        </w:rPr>
        <w:t xml:space="preserve"> Párr.</w:t>
      </w:r>
      <w:r w:rsidR="002B0185" w:rsidRPr="00272787">
        <w:rPr>
          <w:rFonts w:ascii="Verdana" w:hAnsi="Verdana"/>
          <w:sz w:val="16"/>
          <w:szCs w:val="16"/>
        </w:rPr>
        <w:t xml:space="preserve"> 4</w:t>
      </w:r>
      <w:r w:rsidR="002B0185">
        <w:rPr>
          <w:rFonts w:ascii="Verdana" w:hAnsi="Verdana"/>
          <w:sz w:val="16"/>
          <w:szCs w:val="16"/>
        </w:rPr>
        <w:t>8</w:t>
      </w:r>
      <w:r w:rsidR="002B0185" w:rsidRPr="00272787">
        <w:rPr>
          <w:rFonts w:ascii="Verdana" w:hAnsi="Verdana"/>
          <w:sz w:val="16"/>
          <w:szCs w:val="16"/>
        </w:rPr>
        <w:t xml:space="preserve"> de la Sentencia.</w:t>
      </w:r>
      <w:r w:rsidR="002B0185">
        <w:rPr>
          <w:rFonts w:ascii="Verdana" w:hAnsi="Verdana"/>
          <w:sz w:val="16"/>
          <w:szCs w:val="16"/>
        </w:rPr>
        <w:t xml:space="preserve"> </w:t>
      </w:r>
    </w:p>
  </w:footnote>
  <w:footnote w:id="67">
    <w:p w14:paraId="322108DD" w14:textId="4DA06CE9"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 89 de la Sentencia.</w:t>
      </w:r>
      <w:r w:rsidR="00406A9D">
        <w:rPr>
          <w:rFonts w:ascii="Verdana" w:hAnsi="Verdana"/>
          <w:sz w:val="16"/>
          <w:szCs w:val="16"/>
        </w:rPr>
        <w:t xml:space="preserve"> Párr.</w:t>
      </w:r>
      <w:r w:rsidR="00406A9D" w:rsidRPr="00272787">
        <w:rPr>
          <w:rFonts w:ascii="Verdana" w:hAnsi="Verdana"/>
          <w:sz w:val="16"/>
          <w:szCs w:val="16"/>
        </w:rPr>
        <w:t xml:space="preserve"> 4</w:t>
      </w:r>
      <w:r w:rsidR="00406A9D">
        <w:rPr>
          <w:rFonts w:ascii="Verdana" w:hAnsi="Verdana"/>
          <w:sz w:val="16"/>
          <w:szCs w:val="16"/>
        </w:rPr>
        <w:t>9</w:t>
      </w:r>
      <w:r w:rsidR="00406A9D" w:rsidRPr="00272787">
        <w:rPr>
          <w:rFonts w:ascii="Verdana" w:hAnsi="Verdana"/>
          <w:sz w:val="16"/>
          <w:szCs w:val="16"/>
        </w:rPr>
        <w:t xml:space="preserve"> de la Sentencia</w:t>
      </w:r>
      <w:r w:rsidR="00406A9D">
        <w:rPr>
          <w:rFonts w:ascii="Verdana" w:hAnsi="Verdana"/>
          <w:sz w:val="16"/>
          <w:szCs w:val="16"/>
        </w:rPr>
        <w:t>.</w:t>
      </w:r>
    </w:p>
  </w:footnote>
  <w:footnote w:id="68">
    <w:p w14:paraId="322108DE" w14:textId="1E7F04AF"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w:t>
      </w:r>
      <w:r>
        <w:rPr>
          <w:rFonts w:ascii="Verdana" w:hAnsi="Verdana"/>
          <w:sz w:val="16"/>
          <w:szCs w:val="16"/>
        </w:rPr>
        <w:t>s</w:t>
      </w:r>
      <w:r w:rsidRPr="00272787">
        <w:rPr>
          <w:rFonts w:ascii="Verdana" w:hAnsi="Verdana"/>
          <w:sz w:val="16"/>
          <w:szCs w:val="16"/>
        </w:rPr>
        <w:t>. 90 y 212 de la Sentencia.</w:t>
      </w:r>
      <w:r w:rsidR="006C00FD">
        <w:rPr>
          <w:rFonts w:ascii="Verdana" w:hAnsi="Verdana"/>
          <w:sz w:val="16"/>
          <w:szCs w:val="16"/>
        </w:rPr>
        <w:t xml:space="preserve"> Párr.</w:t>
      </w:r>
      <w:r w:rsidR="006C00FD" w:rsidRPr="00272787">
        <w:rPr>
          <w:rFonts w:ascii="Verdana" w:hAnsi="Verdana"/>
          <w:sz w:val="16"/>
          <w:szCs w:val="16"/>
        </w:rPr>
        <w:t xml:space="preserve"> 4</w:t>
      </w:r>
      <w:r w:rsidR="006C00FD">
        <w:rPr>
          <w:rFonts w:ascii="Verdana" w:hAnsi="Verdana"/>
          <w:sz w:val="16"/>
          <w:szCs w:val="16"/>
        </w:rPr>
        <w:t>9</w:t>
      </w:r>
      <w:r w:rsidR="006C00FD" w:rsidRPr="00272787">
        <w:rPr>
          <w:rFonts w:ascii="Verdana" w:hAnsi="Verdana"/>
          <w:sz w:val="16"/>
          <w:szCs w:val="16"/>
        </w:rPr>
        <w:t xml:space="preserve"> de la Sentencia</w:t>
      </w:r>
      <w:r w:rsidR="00D4619E">
        <w:rPr>
          <w:rFonts w:ascii="Verdana" w:hAnsi="Verdana"/>
          <w:sz w:val="16"/>
          <w:szCs w:val="16"/>
        </w:rPr>
        <w:t>.</w:t>
      </w:r>
    </w:p>
  </w:footnote>
  <w:footnote w:id="69">
    <w:p w14:paraId="322108DF"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 p</w:t>
      </w:r>
      <w:r w:rsidRPr="00272787">
        <w:rPr>
          <w:rFonts w:ascii="Verdana" w:hAnsi="Verdana"/>
          <w:sz w:val="16"/>
          <w:szCs w:val="16"/>
        </w:rPr>
        <w:t>árr. 82.</w:t>
      </w:r>
    </w:p>
  </w:footnote>
  <w:footnote w:id="70">
    <w:p w14:paraId="322108E0" w14:textId="77777777" w:rsidR="00660B47" w:rsidRPr="007C26B0"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w:t>
      </w:r>
      <w:r w:rsidRPr="00272787">
        <w:rPr>
          <w:rFonts w:ascii="Verdana" w:hAnsi="Verdana"/>
          <w:sz w:val="16"/>
          <w:szCs w:val="16"/>
        </w:rPr>
        <w:t xml:space="preserve"> </w:t>
      </w:r>
      <w:r w:rsidRPr="00E44D86">
        <w:rPr>
          <w:rFonts w:ascii="Verdana" w:hAnsi="Verdana"/>
          <w:sz w:val="16"/>
          <w:szCs w:val="16"/>
        </w:rPr>
        <w:t>109</w:t>
      </w:r>
      <w:r w:rsidRPr="007C26B0">
        <w:rPr>
          <w:rFonts w:ascii="Verdana" w:hAnsi="Verdana"/>
          <w:sz w:val="16"/>
          <w:szCs w:val="16"/>
        </w:rPr>
        <w:t xml:space="preserve"> de la Sentencia.</w:t>
      </w:r>
    </w:p>
  </w:footnote>
  <w:footnote w:id="71">
    <w:p w14:paraId="322108E1" w14:textId="77777777" w:rsidR="00660B47" w:rsidRPr="007C26B0"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Párr. 110 de la Sentencia.</w:t>
      </w:r>
    </w:p>
  </w:footnote>
  <w:footnote w:id="72">
    <w:p w14:paraId="322108E2" w14:textId="77777777" w:rsidR="00660B47" w:rsidRPr="007C26B0"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Párr. 111 de la Sentencia.</w:t>
      </w:r>
    </w:p>
  </w:footnote>
  <w:footnote w:id="73">
    <w:p w14:paraId="322108E3" w14:textId="09E35F7B" w:rsidR="00660B47" w:rsidRPr="007C26B0"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Párr</w:t>
      </w:r>
      <w:r w:rsidR="00AA5F75">
        <w:rPr>
          <w:rFonts w:ascii="Verdana" w:hAnsi="Verdana"/>
          <w:sz w:val="16"/>
          <w:szCs w:val="16"/>
        </w:rPr>
        <w:t>s</w:t>
      </w:r>
      <w:r w:rsidRPr="007C26B0">
        <w:rPr>
          <w:rFonts w:ascii="Verdana" w:hAnsi="Verdana"/>
          <w:sz w:val="16"/>
          <w:szCs w:val="16"/>
        </w:rPr>
        <w:t xml:space="preserve">. </w:t>
      </w:r>
      <w:r w:rsidR="00AA5F75">
        <w:rPr>
          <w:rFonts w:ascii="Verdana" w:hAnsi="Verdana"/>
          <w:sz w:val="16"/>
          <w:szCs w:val="16"/>
        </w:rPr>
        <w:t xml:space="preserve">112 y </w:t>
      </w:r>
      <w:r w:rsidRPr="007C26B0">
        <w:rPr>
          <w:rFonts w:ascii="Verdana" w:hAnsi="Verdana"/>
          <w:sz w:val="16"/>
          <w:szCs w:val="16"/>
        </w:rPr>
        <w:t>siguientes de la Sentencia.</w:t>
      </w:r>
    </w:p>
  </w:footnote>
  <w:footnote w:id="74">
    <w:p w14:paraId="322108E4" w14:textId="77777777" w:rsidR="00660B47" w:rsidRPr="00272787"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Párr. 118 a 120 de la</w:t>
      </w:r>
      <w:r w:rsidRPr="00272787">
        <w:rPr>
          <w:rFonts w:ascii="Verdana" w:hAnsi="Verdana"/>
          <w:sz w:val="16"/>
          <w:szCs w:val="16"/>
        </w:rPr>
        <w:t xml:space="preserve"> Sentencia.</w:t>
      </w:r>
    </w:p>
  </w:footnote>
  <w:footnote w:id="75">
    <w:p w14:paraId="322108E5" w14:textId="77777777" w:rsidR="00660B47" w:rsidRPr="007C26B0"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7C26B0">
        <w:rPr>
          <w:rFonts w:ascii="Verdana" w:hAnsi="Verdana"/>
          <w:sz w:val="16"/>
          <w:szCs w:val="16"/>
        </w:rPr>
        <w:t xml:space="preserve">Párr. </w:t>
      </w:r>
      <w:r w:rsidRPr="00E44D86">
        <w:rPr>
          <w:rFonts w:ascii="Verdana" w:hAnsi="Verdana"/>
          <w:sz w:val="16"/>
          <w:szCs w:val="16"/>
        </w:rPr>
        <w:t>120</w:t>
      </w:r>
      <w:r w:rsidRPr="007C26B0">
        <w:rPr>
          <w:rFonts w:ascii="Verdana" w:hAnsi="Verdana"/>
          <w:sz w:val="16"/>
          <w:szCs w:val="16"/>
        </w:rPr>
        <w:t xml:space="preserve"> de la Sentencia.</w:t>
      </w:r>
    </w:p>
  </w:footnote>
  <w:footnote w:id="76">
    <w:p w14:paraId="322108E6" w14:textId="77777777" w:rsidR="00660B47" w:rsidRPr="00272787"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 xml:space="preserve">Párr. </w:t>
      </w:r>
      <w:r w:rsidRPr="00E44D86">
        <w:rPr>
          <w:rFonts w:ascii="Verdana" w:hAnsi="Verdana"/>
          <w:sz w:val="16"/>
          <w:szCs w:val="16"/>
        </w:rPr>
        <w:t>121</w:t>
      </w:r>
      <w:r w:rsidRPr="007C26B0">
        <w:rPr>
          <w:rFonts w:ascii="Verdana" w:hAnsi="Verdana"/>
          <w:sz w:val="16"/>
          <w:szCs w:val="16"/>
        </w:rPr>
        <w:t xml:space="preserve"> de la Sentencia</w:t>
      </w:r>
      <w:r w:rsidRPr="00272787">
        <w:rPr>
          <w:rFonts w:ascii="Verdana" w:hAnsi="Verdana"/>
          <w:sz w:val="16"/>
          <w:szCs w:val="16"/>
        </w:rPr>
        <w:t>.</w:t>
      </w:r>
    </w:p>
  </w:footnote>
  <w:footnote w:id="77">
    <w:p w14:paraId="322108E7"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w:t>
      </w:r>
      <w:r w:rsidRPr="00272787">
        <w:rPr>
          <w:rFonts w:ascii="Verdana" w:hAnsi="Verdana"/>
          <w:sz w:val="16"/>
          <w:szCs w:val="16"/>
        </w:rPr>
        <w:t xml:space="preserve"> </w:t>
      </w:r>
      <w:r w:rsidRPr="00E44D86">
        <w:rPr>
          <w:rFonts w:ascii="Verdana" w:hAnsi="Verdana"/>
          <w:sz w:val="16"/>
          <w:szCs w:val="16"/>
        </w:rPr>
        <w:t>123</w:t>
      </w:r>
      <w:r w:rsidRPr="007C26B0">
        <w:rPr>
          <w:rFonts w:ascii="Verdana" w:hAnsi="Verdana"/>
          <w:sz w:val="16"/>
          <w:szCs w:val="16"/>
        </w:rPr>
        <w:t xml:space="preserve"> d</w:t>
      </w:r>
      <w:r w:rsidRPr="00272787">
        <w:rPr>
          <w:rFonts w:ascii="Verdana" w:hAnsi="Verdana"/>
          <w:sz w:val="16"/>
          <w:szCs w:val="16"/>
        </w:rPr>
        <w:t>e la Sentencia.</w:t>
      </w:r>
    </w:p>
  </w:footnote>
  <w:footnote w:id="78">
    <w:p w14:paraId="322108E8"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w:t>
      </w:r>
      <w:r w:rsidRPr="007C26B0">
        <w:rPr>
          <w:rFonts w:ascii="Verdana" w:hAnsi="Verdana"/>
          <w:sz w:val="16"/>
          <w:szCs w:val="16"/>
        </w:rPr>
        <w:t xml:space="preserve">. </w:t>
      </w:r>
      <w:r w:rsidRPr="00E44D86">
        <w:rPr>
          <w:rFonts w:ascii="Verdana" w:hAnsi="Verdana"/>
          <w:sz w:val="16"/>
          <w:szCs w:val="16"/>
        </w:rPr>
        <w:t>126</w:t>
      </w:r>
      <w:r w:rsidRPr="00272787">
        <w:rPr>
          <w:rFonts w:ascii="Verdana" w:hAnsi="Verdana"/>
          <w:sz w:val="16"/>
          <w:szCs w:val="16"/>
        </w:rPr>
        <w:t xml:space="preserve"> de la Sentencia.</w:t>
      </w:r>
    </w:p>
  </w:footnote>
  <w:footnote w:id="79">
    <w:p w14:paraId="322108E9"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Al respecto cabe mencionar</w:t>
      </w:r>
      <w:r>
        <w:rPr>
          <w:rFonts w:ascii="Verdana" w:hAnsi="Verdana"/>
          <w:sz w:val="16"/>
          <w:szCs w:val="16"/>
        </w:rPr>
        <w:t>,</w:t>
      </w:r>
      <w:r w:rsidRPr="00272787">
        <w:rPr>
          <w:rFonts w:ascii="Verdana" w:hAnsi="Verdana"/>
          <w:sz w:val="16"/>
          <w:szCs w:val="16"/>
        </w:rPr>
        <w:t xml:space="preserve"> en primer lugar, que la Corte </w:t>
      </w:r>
      <w:r>
        <w:rPr>
          <w:rFonts w:ascii="Verdana" w:hAnsi="Verdana"/>
          <w:sz w:val="16"/>
          <w:szCs w:val="16"/>
        </w:rPr>
        <w:t xml:space="preserve">IDH </w:t>
      </w:r>
      <w:r w:rsidRPr="00272787">
        <w:rPr>
          <w:rFonts w:ascii="Verdana" w:hAnsi="Verdana"/>
          <w:sz w:val="16"/>
          <w:szCs w:val="16"/>
        </w:rPr>
        <w:t>advirtió falta de claridad en cuanto a el momento a partir del cual debían transcurrir veinticu</w:t>
      </w:r>
      <w:r>
        <w:rPr>
          <w:rFonts w:ascii="Verdana" w:hAnsi="Verdana"/>
          <w:sz w:val="16"/>
          <w:szCs w:val="16"/>
        </w:rPr>
        <w:t>atro horas para la presentación</w:t>
      </w:r>
      <w:r w:rsidRPr="00272787">
        <w:rPr>
          <w:rFonts w:ascii="Verdana" w:hAnsi="Verdana"/>
          <w:sz w:val="16"/>
          <w:szCs w:val="16"/>
        </w:rPr>
        <w:t xml:space="preserve"> de la denuncia de la desaparición de Claudina Velásquez; en segundo lugar, en respuesta a la petición de información al Estado sobre la existencia de alguna norma o práctica según las cuales se debía esperar veinticuatro horas para recibir una denuncia por desaparición de personas, el Estado expresó que “dentro de la legislación interna  no existe norma alguna” atinente a dicho lapso, y en tercer lugar, la norma sobre la cual el Estado argumentó que los agentes policiales habían basado su actuar (artículo 51 del Decreto No. 40-90 de la Ley Orgánica del Ministerio Público) no explicaba la actuación que debían tener las autoridades en dicho caso, y tampoco hacía referencia alguna a la recepción de una denuncia, reflejando confusión en cuanto a “cuál era la reglamentación que los </w:t>
      </w:r>
      <w:r>
        <w:rPr>
          <w:rFonts w:ascii="Verdana" w:hAnsi="Verdana"/>
          <w:sz w:val="16"/>
          <w:szCs w:val="16"/>
        </w:rPr>
        <w:t xml:space="preserve">policías debían seguir”. </w:t>
      </w:r>
      <w:r w:rsidRPr="007C26B0">
        <w:rPr>
          <w:rFonts w:ascii="Verdana" w:hAnsi="Verdana"/>
          <w:sz w:val="16"/>
          <w:szCs w:val="16"/>
        </w:rPr>
        <w:t xml:space="preserve">Párrs. </w:t>
      </w:r>
      <w:r w:rsidRPr="00E44D86">
        <w:rPr>
          <w:rFonts w:ascii="Verdana" w:hAnsi="Verdana"/>
          <w:sz w:val="16"/>
          <w:szCs w:val="16"/>
        </w:rPr>
        <w:t xml:space="preserve">128 al 131 </w:t>
      </w:r>
      <w:r w:rsidRPr="007C26B0">
        <w:rPr>
          <w:rFonts w:ascii="Verdana" w:hAnsi="Verdana"/>
          <w:sz w:val="16"/>
          <w:szCs w:val="16"/>
        </w:rPr>
        <w:t>de</w:t>
      </w:r>
      <w:r w:rsidRPr="00272787">
        <w:rPr>
          <w:rFonts w:ascii="Verdana" w:hAnsi="Verdana"/>
          <w:sz w:val="16"/>
          <w:szCs w:val="16"/>
        </w:rPr>
        <w:t xml:space="preserve"> la Sentencia.</w:t>
      </w:r>
    </w:p>
  </w:footnote>
  <w:footnote w:id="80">
    <w:p w14:paraId="322108EA" w14:textId="77777777" w:rsidR="00660B47" w:rsidRPr="007C26B0"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w:t>
      </w:r>
      <w:r w:rsidRPr="007C26B0">
        <w:rPr>
          <w:rFonts w:ascii="Verdana" w:hAnsi="Verdana"/>
          <w:sz w:val="16"/>
          <w:szCs w:val="16"/>
        </w:rPr>
        <w:t>. 132 de la Sentencia.</w:t>
      </w:r>
    </w:p>
  </w:footnote>
  <w:footnote w:id="81">
    <w:p w14:paraId="322108EB" w14:textId="72D2A41C" w:rsidR="00660B47" w:rsidRPr="007C26B0"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Párr. 13</w:t>
      </w:r>
      <w:r w:rsidR="002B521E">
        <w:rPr>
          <w:rFonts w:ascii="Verdana" w:hAnsi="Verdana"/>
          <w:sz w:val="16"/>
          <w:szCs w:val="16"/>
        </w:rPr>
        <w:t>3</w:t>
      </w:r>
      <w:r w:rsidRPr="007C26B0">
        <w:rPr>
          <w:rFonts w:ascii="Verdana" w:hAnsi="Verdana"/>
          <w:sz w:val="16"/>
          <w:szCs w:val="16"/>
        </w:rPr>
        <w:t xml:space="preserve"> de la Sentencia.</w:t>
      </w:r>
    </w:p>
  </w:footnote>
  <w:footnote w:id="82">
    <w:p w14:paraId="322108EC" w14:textId="7FE4B498" w:rsidR="00660B47" w:rsidRPr="00272787" w:rsidRDefault="00660B47" w:rsidP="00721FDE">
      <w:pPr>
        <w:pStyle w:val="FootnoteText"/>
        <w:spacing w:after="120"/>
        <w:jc w:val="both"/>
        <w:rPr>
          <w:rFonts w:ascii="Verdana" w:hAnsi="Verdana"/>
          <w:sz w:val="16"/>
          <w:szCs w:val="16"/>
        </w:rPr>
      </w:pPr>
      <w:r w:rsidRPr="007C26B0">
        <w:rPr>
          <w:rStyle w:val="FootnoteReference"/>
          <w:rFonts w:ascii="Verdana" w:hAnsi="Verdana"/>
          <w:sz w:val="16"/>
          <w:szCs w:val="16"/>
        </w:rPr>
        <w:footnoteRef/>
      </w:r>
      <w:r w:rsidRPr="007C26B0">
        <w:rPr>
          <w:rFonts w:ascii="Verdana" w:hAnsi="Verdana"/>
          <w:sz w:val="16"/>
          <w:szCs w:val="16"/>
        </w:rPr>
        <w:t xml:space="preserve"> </w:t>
      </w:r>
      <w:r w:rsidRPr="007C26B0">
        <w:rPr>
          <w:rFonts w:ascii="Verdana" w:hAnsi="Verdana"/>
          <w:sz w:val="16"/>
          <w:szCs w:val="16"/>
        </w:rPr>
        <w:tab/>
        <w:t>Párr. 133 de la Sentencia</w:t>
      </w:r>
      <w:r w:rsidRPr="00272787">
        <w:rPr>
          <w:rFonts w:ascii="Verdana" w:hAnsi="Verdana"/>
          <w:sz w:val="16"/>
          <w:szCs w:val="16"/>
        </w:rPr>
        <w:t>.</w:t>
      </w:r>
    </w:p>
  </w:footnote>
  <w:footnote w:id="83">
    <w:p w14:paraId="322108ED" w14:textId="77777777" w:rsidR="00660B47" w:rsidRPr="009B4BFD"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302997">
        <w:rPr>
          <w:rFonts w:ascii="Verdana" w:hAnsi="Verdana"/>
          <w:sz w:val="16"/>
          <w:szCs w:val="16"/>
        </w:rPr>
        <w:t>Párr.</w:t>
      </w:r>
      <w:r w:rsidRPr="009B4BFD">
        <w:rPr>
          <w:rFonts w:ascii="Verdana" w:hAnsi="Verdana"/>
          <w:sz w:val="16"/>
          <w:szCs w:val="16"/>
        </w:rPr>
        <w:t xml:space="preserve"> </w:t>
      </w:r>
      <w:r w:rsidRPr="00E44D86">
        <w:rPr>
          <w:rFonts w:ascii="Verdana" w:hAnsi="Verdana"/>
          <w:sz w:val="16"/>
          <w:szCs w:val="16"/>
        </w:rPr>
        <w:t>120</w:t>
      </w:r>
      <w:r w:rsidRPr="00302997">
        <w:rPr>
          <w:rFonts w:ascii="Verdana" w:hAnsi="Verdana"/>
          <w:sz w:val="16"/>
          <w:szCs w:val="16"/>
        </w:rPr>
        <w:t xml:space="preserve"> de la Sentencia.</w:t>
      </w:r>
    </w:p>
  </w:footnote>
  <w:footnote w:id="84">
    <w:p w14:paraId="322108EE" w14:textId="77777777" w:rsidR="00660B47" w:rsidRPr="009B4BFD" w:rsidRDefault="00660B47" w:rsidP="00721FDE">
      <w:pPr>
        <w:pStyle w:val="FootnoteText"/>
        <w:spacing w:after="120"/>
        <w:jc w:val="both"/>
        <w:rPr>
          <w:rFonts w:ascii="Verdana" w:hAnsi="Verdana"/>
          <w:sz w:val="16"/>
          <w:szCs w:val="16"/>
        </w:rPr>
      </w:pPr>
      <w:r w:rsidRPr="009B4BFD">
        <w:rPr>
          <w:rStyle w:val="FootnoteReference"/>
          <w:rFonts w:ascii="Verdana" w:hAnsi="Verdana"/>
          <w:sz w:val="16"/>
          <w:szCs w:val="16"/>
        </w:rPr>
        <w:footnoteRef/>
      </w:r>
      <w:r w:rsidRPr="009B4BFD">
        <w:rPr>
          <w:rFonts w:ascii="Verdana" w:hAnsi="Verdana"/>
          <w:sz w:val="16"/>
          <w:szCs w:val="16"/>
        </w:rPr>
        <w:t xml:space="preserve"> </w:t>
      </w:r>
      <w:r w:rsidRPr="009B4BFD">
        <w:rPr>
          <w:rFonts w:ascii="Verdana" w:hAnsi="Verdana"/>
          <w:sz w:val="16"/>
          <w:szCs w:val="16"/>
        </w:rPr>
        <w:tab/>
        <w:t xml:space="preserve">Párr. </w:t>
      </w:r>
      <w:r w:rsidRPr="00E44D86">
        <w:rPr>
          <w:rFonts w:ascii="Verdana" w:hAnsi="Verdana"/>
          <w:sz w:val="16"/>
          <w:szCs w:val="16"/>
        </w:rPr>
        <w:t>111</w:t>
      </w:r>
      <w:r w:rsidRPr="00302997">
        <w:rPr>
          <w:rFonts w:ascii="Verdana" w:hAnsi="Verdana"/>
          <w:sz w:val="16"/>
          <w:szCs w:val="16"/>
        </w:rPr>
        <w:t xml:space="preserve"> de la Sentencia.</w:t>
      </w:r>
    </w:p>
  </w:footnote>
  <w:footnote w:id="85">
    <w:p w14:paraId="322108EF" w14:textId="77777777" w:rsidR="00660B47" w:rsidRPr="009B4BFD" w:rsidRDefault="00660B47" w:rsidP="00721FDE">
      <w:pPr>
        <w:pStyle w:val="FootnoteText"/>
        <w:spacing w:after="120"/>
        <w:jc w:val="both"/>
        <w:rPr>
          <w:rFonts w:ascii="Verdana" w:hAnsi="Verdana"/>
          <w:sz w:val="16"/>
          <w:szCs w:val="16"/>
        </w:rPr>
      </w:pPr>
      <w:r w:rsidRPr="009B4BFD">
        <w:rPr>
          <w:rStyle w:val="FootnoteReference"/>
          <w:rFonts w:ascii="Verdana" w:hAnsi="Verdana"/>
          <w:sz w:val="16"/>
          <w:szCs w:val="16"/>
        </w:rPr>
        <w:footnoteRef/>
      </w:r>
      <w:r w:rsidRPr="009B4BFD">
        <w:rPr>
          <w:rFonts w:ascii="Verdana" w:hAnsi="Verdana"/>
          <w:sz w:val="16"/>
          <w:szCs w:val="16"/>
        </w:rPr>
        <w:t xml:space="preserve"> </w:t>
      </w:r>
      <w:r w:rsidRPr="009B4BFD">
        <w:rPr>
          <w:rFonts w:ascii="Verdana" w:hAnsi="Verdana"/>
          <w:sz w:val="16"/>
          <w:szCs w:val="16"/>
        </w:rPr>
        <w:tab/>
        <w:t xml:space="preserve">Párr. </w:t>
      </w:r>
      <w:r w:rsidRPr="00E44D86">
        <w:rPr>
          <w:rFonts w:ascii="Verdana" w:hAnsi="Verdana"/>
          <w:sz w:val="16"/>
          <w:szCs w:val="16"/>
        </w:rPr>
        <w:t>112</w:t>
      </w:r>
      <w:r w:rsidRPr="00302997">
        <w:rPr>
          <w:rFonts w:ascii="Verdana" w:hAnsi="Verdana"/>
          <w:sz w:val="16"/>
          <w:szCs w:val="16"/>
        </w:rPr>
        <w:t xml:space="preserve"> de la Sentencia.</w:t>
      </w:r>
    </w:p>
  </w:footnote>
  <w:footnote w:id="86">
    <w:p w14:paraId="322108F0" w14:textId="77777777" w:rsidR="00660B47" w:rsidRPr="009B4BFD" w:rsidRDefault="00660B47" w:rsidP="00721FDE">
      <w:pPr>
        <w:pStyle w:val="FootnoteText"/>
        <w:spacing w:after="120"/>
        <w:jc w:val="both"/>
        <w:rPr>
          <w:rFonts w:ascii="Verdana" w:hAnsi="Verdana"/>
          <w:sz w:val="16"/>
          <w:szCs w:val="16"/>
        </w:rPr>
      </w:pPr>
      <w:r w:rsidRPr="009B4BFD">
        <w:rPr>
          <w:rStyle w:val="FootnoteReference"/>
          <w:rFonts w:ascii="Verdana" w:hAnsi="Verdana"/>
          <w:sz w:val="16"/>
          <w:szCs w:val="16"/>
        </w:rPr>
        <w:footnoteRef/>
      </w:r>
      <w:r w:rsidRPr="009B4BFD">
        <w:rPr>
          <w:rFonts w:ascii="Verdana" w:hAnsi="Verdana"/>
          <w:sz w:val="16"/>
          <w:szCs w:val="16"/>
        </w:rPr>
        <w:t xml:space="preserve"> </w:t>
      </w:r>
      <w:r w:rsidRPr="009B4BFD">
        <w:rPr>
          <w:rFonts w:ascii="Verdana" w:hAnsi="Verdana"/>
          <w:sz w:val="16"/>
          <w:szCs w:val="16"/>
        </w:rPr>
        <w:tab/>
        <w:t xml:space="preserve">Párr. </w:t>
      </w:r>
      <w:r w:rsidRPr="00E44D86">
        <w:rPr>
          <w:rFonts w:ascii="Verdana" w:hAnsi="Verdana"/>
          <w:sz w:val="16"/>
          <w:szCs w:val="16"/>
        </w:rPr>
        <w:t xml:space="preserve">259 y siguientes </w:t>
      </w:r>
      <w:r w:rsidRPr="00302997">
        <w:rPr>
          <w:rFonts w:ascii="Verdana" w:hAnsi="Verdana"/>
          <w:sz w:val="16"/>
          <w:szCs w:val="16"/>
        </w:rPr>
        <w:t>de la Sentencia.</w:t>
      </w:r>
    </w:p>
  </w:footnote>
  <w:footnote w:id="87">
    <w:p w14:paraId="322108F1" w14:textId="77777777" w:rsidR="00660B47" w:rsidRPr="009B4BFD" w:rsidRDefault="00660B47" w:rsidP="00721FDE">
      <w:pPr>
        <w:pStyle w:val="FootnoteText"/>
        <w:spacing w:after="120"/>
        <w:jc w:val="both"/>
        <w:rPr>
          <w:rFonts w:ascii="Verdana" w:hAnsi="Verdana"/>
          <w:sz w:val="16"/>
          <w:szCs w:val="16"/>
        </w:rPr>
      </w:pPr>
      <w:r w:rsidRPr="00302997">
        <w:rPr>
          <w:rStyle w:val="FootnoteReference"/>
          <w:rFonts w:ascii="Verdana" w:hAnsi="Verdana"/>
          <w:sz w:val="16"/>
          <w:szCs w:val="16"/>
        </w:rPr>
        <w:footnoteRef/>
      </w:r>
      <w:r w:rsidRPr="00302997">
        <w:rPr>
          <w:rFonts w:ascii="Verdana" w:hAnsi="Verdana"/>
          <w:sz w:val="16"/>
          <w:szCs w:val="16"/>
        </w:rPr>
        <w:t xml:space="preserve"> </w:t>
      </w:r>
      <w:r w:rsidRPr="00302997">
        <w:rPr>
          <w:rFonts w:ascii="Verdana" w:hAnsi="Verdana"/>
          <w:sz w:val="16"/>
          <w:szCs w:val="16"/>
        </w:rPr>
        <w:tab/>
        <w:t xml:space="preserve">La insuficiencia tenía su origen en “la </w:t>
      </w:r>
      <w:r w:rsidRPr="009B4BFD">
        <w:rPr>
          <w:rFonts w:ascii="Verdana" w:hAnsi="Verdana"/>
          <w:sz w:val="16"/>
          <w:szCs w:val="16"/>
        </w:rPr>
        <w:t xml:space="preserve">carencia de recursos asignados, la falta de coordinación entre las diversas instituciones y de una estrategia integral de protección”, así como el hecho de que el Estado no había demostrado haber implementado “las medidas necesarias a fin de que los funcionarios responsables de recibir denuncias de desaparición tuvieran la capacidad y la sensibilidad para entender la gravedad de las mismas frente al contexto de violencia contra la mujer, así como la voluntad y entrenamiento para actuar de inmediato y de forma eficaz”. Párr. </w:t>
      </w:r>
      <w:r w:rsidRPr="00E44D86">
        <w:rPr>
          <w:rFonts w:ascii="Verdana" w:hAnsi="Verdana"/>
          <w:sz w:val="16"/>
          <w:szCs w:val="16"/>
        </w:rPr>
        <w:t>264</w:t>
      </w:r>
      <w:r w:rsidRPr="00302997">
        <w:rPr>
          <w:rFonts w:ascii="Verdana" w:hAnsi="Verdana"/>
          <w:sz w:val="16"/>
          <w:szCs w:val="16"/>
        </w:rPr>
        <w:t xml:space="preserve"> de la Sentencia.</w:t>
      </w:r>
    </w:p>
  </w:footnote>
  <w:footnote w:id="88">
    <w:p w14:paraId="322108F2" w14:textId="77777777" w:rsidR="00660B47" w:rsidRPr="00272787" w:rsidRDefault="00660B47" w:rsidP="00721FDE">
      <w:pPr>
        <w:pStyle w:val="FootnoteText"/>
        <w:spacing w:after="120"/>
        <w:jc w:val="both"/>
        <w:rPr>
          <w:rFonts w:ascii="Verdana" w:hAnsi="Verdana"/>
          <w:sz w:val="16"/>
          <w:szCs w:val="16"/>
        </w:rPr>
      </w:pPr>
      <w:r w:rsidRPr="009B4BFD">
        <w:rPr>
          <w:rStyle w:val="FootnoteReference"/>
          <w:rFonts w:ascii="Verdana" w:hAnsi="Verdana"/>
          <w:sz w:val="16"/>
          <w:szCs w:val="16"/>
        </w:rPr>
        <w:footnoteRef/>
      </w:r>
      <w:r w:rsidRPr="009B4BFD">
        <w:rPr>
          <w:rFonts w:ascii="Verdana" w:hAnsi="Verdana"/>
          <w:sz w:val="16"/>
          <w:szCs w:val="16"/>
        </w:rPr>
        <w:t xml:space="preserve"> </w:t>
      </w:r>
      <w:r w:rsidRPr="009B4BFD">
        <w:rPr>
          <w:rFonts w:ascii="Verdana" w:hAnsi="Verdana"/>
          <w:sz w:val="16"/>
          <w:szCs w:val="16"/>
        </w:rPr>
        <w:tab/>
        <w:t xml:space="preserve">Párr. </w:t>
      </w:r>
      <w:r w:rsidRPr="00E44D86">
        <w:rPr>
          <w:rFonts w:ascii="Verdana" w:hAnsi="Verdana"/>
          <w:sz w:val="16"/>
          <w:szCs w:val="16"/>
        </w:rPr>
        <w:t>265</w:t>
      </w:r>
      <w:r w:rsidRPr="00302997">
        <w:rPr>
          <w:rFonts w:ascii="Verdana" w:hAnsi="Verdana"/>
          <w:sz w:val="16"/>
          <w:szCs w:val="16"/>
        </w:rPr>
        <w:t xml:space="preserve"> de la Sentencia.</w:t>
      </w:r>
    </w:p>
  </w:footnote>
  <w:footnote w:id="89">
    <w:p w14:paraId="322108F3" w14:textId="77777777" w:rsidR="00660B47" w:rsidRPr="0068199C"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B50EC1">
        <w:rPr>
          <w:rFonts w:ascii="Verdana" w:hAnsi="Verdana"/>
          <w:sz w:val="16"/>
          <w:szCs w:val="16"/>
        </w:rPr>
        <w:t>Párr.</w:t>
      </w:r>
      <w:r w:rsidRPr="0068199C">
        <w:rPr>
          <w:rFonts w:ascii="Verdana" w:hAnsi="Verdana"/>
          <w:sz w:val="16"/>
          <w:szCs w:val="16"/>
        </w:rPr>
        <w:t xml:space="preserve"> </w:t>
      </w:r>
      <w:r w:rsidRPr="00E44D86">
        <w:rPr>
          <w:rFonts w:ascii="Verdana" w:hAnsi="Verdana"/>
          <w:sz w:val="16"/>
          <w:szCs w:val="16"/>
        </w:rPr>
        <w:t>266</w:t>
      </w:r>
      <w:r w:rsidRPr="00B50EC1">
        <w:rPr>
          <w:rFonts w:ascii="Verdana" w:hAnsi="Verdana"/>
          <w:sz w:val="16"/>
          <w:szCs w:val="16"/>
        </w:rPr>
        <w:t xml:space="preserve"> de la Sentencia.</w:t>
      </w:r>
    </w:p>
  </w:footnote>
  <w:footnote w:id="90">
    <w:p w14:paraId="322108F4" w14:textId="77777777" w:rsidR="00660B47" w:rsidRPr="0068199C" w:rsidRDefault="00660B47" w:rsidP="00721FDE">
      <w:pPr>
        <w:pStyle w:val="FootnoteText"/>
        <w:spacing w:after="120"/>
        <w:jc w:val="both"/>
        <w:rPr>
          <w:rFonts w:ascii="Verdana" w:hAnsi="Verdana"/>
          <w:sz w:val="16"/>
          <w:szCs w:val="16"/>
        </w:rPr>
      </w:pPr>
      <w:r w:rsidRPr="00325E95">
        <w:rPr>
          <w:rStyle w:val="FootnoteReference"/>
          <w:rFonts w:ascii="Verdana" w:hAnsi="Verdana"/>
          <w:sz w:val="16"/>
          <w:szCs w:val="16"/>
        </w:rPr>
        <w:footnoteRef/>
      </w:r>
      <w:r w:rsidRPr="00B50EC1">
        <w:rPr>
          <w:rFonts w:ascii="Verdana" w:hAnsi="Verdana"/>
          <w:sz w:val="16"/>
          <w:szCs w:val="16"/>
        </w:rPr>
        <w:t xml:space="preserve"> </w:t>
      </w:r>
      <w:r w:rsidRPr="00B50EC1">
        <w:rPr>
          <w:rFonts w:ascii="Verdana" w:hAnsi="Verdana"/>
          <w:sz w:val="16"/>
          <w:szCs w:val="16"/>
        </w:rPr>
        <w:tab/>
        <w:t>Párr. 107 de la Sentencia.</w:t>
      </w:r>
    </w:p>
  </w:footnote>
  <w:footnote w:id="91">
    <w:p w14:paraId="322108F5" w14:textId="244DCADF" w:rsidR="00660B47" w:rsidRPr="00B50EC1" w:rsidRDefault="00660B47" w:rsidP="00721FDE">
      <w:pPr>
        <w:pStyle w:val="FootnoteText"/>
        <w:spacing w:after="120"/>
        <w:jc w:val="both"/>
        <w:rPr>
          <w:rFonts w:ascii="Verdana" w:hAnsi="Verdana"/>
          <w:sz w:val="16"/>
          <w:szCs w:val="16"/>
        </w:rPr>
      </w:pPr>
      <w:r w:rsidRPr="00325E95">
        <w:rPr>
          <w:rStyle w:val="FootnoteReference"/>
          <w:rFonts w:ascii="Verdana" w:hAnsi="Verdana"/>
          <w:sz w:val="16"/>
          <w:szCs w:val="16"/>
        </w:rPr>
        <w:footnoteRef/>
      </w:r>
      <w:r w:rsidRPr="00B50EC1">
        <w:rPr>
          <w:rFonts w:ascii="Verdana" w:hAnsi="Verdana"/>
          <w:sz w:val="16"/>
          <w:szCs w:val="16"/>
        </w:rPr>
        <w:t xml:space="preserve"> </w:t>
      </w:r>
      <w:r w:rsidRPr="00B50EC1">
        <w:rPr>
          <w:rFonts w:ascii="Verdana" w:hAnsi="Verdana"/>
          <w:sz w:val="16"/>
          <w:szCs w:val="16"/>
        </w:rPr>
        <w:tab/>
      </w:r>
      <w:r w:rsidRPr="00B50EC1">
        <w:rPr>
          <w:rFonts w:ascii="Verdana" w:eastAsia="MS Mincho" w:hAnsi="Verdana" w:cs="Verdana"/>
          <w:spacing w:val="-4"/>
          <w:sz w:val="16"/>
          <w:szCs w:val="16"/>
        </w:rPr>
        <w:t>Párr. 107 de la Sentencia</w:t>
      </w:r>
      <w:r w:rsidRPr="0068199C">
        <w:rPr>
          <w:rFonts w:ascii="Verdana" w:hAnsi="Verdana"/>
          <w:sz w:val="16"/>
          <w:szCs w:val="16"/>
        </w:rPr>
        <w:t xml:space="preserve">. Citando: Corte IDH, </w:t>
      </w:r>
      <w:r w:rsidRPr="00325E95">
        <w:rPr>
          <w:rFonts w:ascii="Verdana" w:hAnsi="Verdana"/>
          <w:i/>
          <w:spacing w:val="-4"/>
          <w:sz w:val="16"/>
          <w:szCs w:val="16"/>
          <w:lang w:val="es-ES"/>
        </w:rPr>
        <w:t xml:space="preserve">Cfr. Caso Velásquez Rodríguez Vs. Honduras. </w:t>
      </w:r>
      <w:r w:rsidRPr="00B50EC1">
        <w:rPr>
          <w:rStyle w:val="Strong"/>
          <w:rFonts w:ascii="Verdana" w:hAnsi="Verdana"/>
          <w:b w:val="0"/>
          <w:i/>
          <w:color w:val="000000"/>
          <w:sz w:val="16"/>
          <w:szCs w:val="16"/>
          <w:shd w:val="clear" w:color="auto" w:fill="FFFFFF"/>
        </w:rPr>
        <w:t>Fondo.</w:t>
      </w:r>
      <w:r w:rsidRPr="00B50EC1">
        <w:rPr>
          <w:rStyle w:val="Strong"/>
          <w:rFonts w:ascii="Verdana" w:hAnsi="Verdana"/>
          <w:b w:val="0"/>
          <w:color w:val="000000"/>
          <w:sz w:val="16"/>
          <w:szCs w:val="16"/>
          <w:shd w:val="clear" w:color="auto" w:fill="FFFFFF"/>
        </w:rPr>
        <w:t xml:space="preserve"> Sentencia de 29 de julio de 1988. Serie C No. 4,</w:t>
      </w:r>
      <w:r w:rsidRPr="00B50EC1">
        <w:rPr>
          <w:rFonts w:ascii="Verdana" w:hAnsi="Verdana"/>
          <w:spacing w:val="-4"/>
          <w:sz w:val="16"/>
          <w:szCs w:val="16"/>
          <w:lang w:val="es-ES"/>
        </w:rPr>
        <w:t xml:space="preserve"> párr. 166, y </w:t>
      </w:r>
      <w:r w:rsidR="00B50EC1" w:rsidRPr="00B50EC1">
        <w:rPr>
          <w:rFonts w:ascii="Verdana" w:hAnsi="Verdana"/>
          <w:i/>
          <w:spacing w:val="-4"/>
          <w:sz w:val="16"/>
          <w:szCs w:val="16"/>
          <w:lang w:val="es-ES"/>
        </w:rPr>
        <w:t xml:space="preserve">Caso Rodríguez Vera y otros (Desaparecidos del Palacio de Justicia) Vs. Colombia. Excepciones Preliminares, Fondo, Reparaciones y Costas. </w:t>
      </w:r>
      <w:r w:rsidR="00B50EC1" w:rsidRPr="00B50EC1">
        <w:rPr>
          <w:rFonts w:ascii="Verdana" w:hAnsi="Verdana"/>
          <w:spacing w:val="-4"/>
          <w:sz w:val="16"/>
          <w:szCs w:val="16"/>
          <w:lang w:val="es-ES"/>
        </w:rPr>
        <w:t>Sentencia de 14 de noviembre de 2014. Serie C No. 287, párr. 519.</w:t>
      </w:r>
    </w:p>
  </w:footnote>
  <w:footnote w:id="92">
    <w:p w14:paraId="322108F6" w14:textId="77777777" w:rsidR="00660B47" w:rsidRPr="0068199C" w:rsidRDefault="00660B47" w:rsidP="00721FDE">
      <w:pPr>
        <w:pStyle w:val="FootnoteText"/>
        <w:spacing w:after="120"/>
        <w:jc w:val="both"/>
        <w:rPr>
          <w:rFonts w:ascii="Verdana" w:hAnsi="Verdana"/>
          <w:sz w:val="16"/>
          <w:szCs w:val="16"/>
        </w:rPr>
      </w:pPr>
      <w:r w:rsidRPr="00B50EC1">
        <w:rPr>
          <w:rStyle w:val="FootnoteReference"/>
          <w:rFonts w:ascii="Verdana" w:hAnsi="Verdana"/>
          <w:sz w:val="16"/>
          <w:szCs w:val="16"/>
        </w:rPr>
        <w:footnoteRef/>
      </w:r>
      <w:r w:rsidRPr="00B50EC1">
        <w:rPr>
          <w:rFonts w:ascii="Verdana" w:hAnsi="Verdana"/>
          <w:sz w:val="16"/>
          <w:szCs w:val="16"/>
        </w:rPr>
        <w:t xml:space="preserve"> </w:t>
      </w:r>
      <w:r w:rsidRPr="00B50EC1">
        <w:rPr>
          <w:rFonts w:ascii="Verdana" w:hAnsi="Verdana"/>
          <w:sz w:val="16"/>
          <w:szCs w:val="16"/>
        </w:rPr>
        <w:tab/>
        <w:t>Párr. 108 de la Sentencia.</w:t>
      </w:r>
    </w:p>
  </w:footnote>
  <w:footnote w:id="93">
    <w:p w14:paraId="322108F7" w14:textId="18819607" w:rsidR="00660B47" w:rsidRPr="00272787" w:rsidRDefault="00660B47" w:rsidP="00721FDE">
      <w:pPr>
        <w:pStyle w:val="FootnoteText"/>
        <w:spacing w:after="120"/>
        <w:jc w:val="both"/>
        <w:rPr>
          <w:rFonts w:ascii="Verdana" w:hAnsi="Verdana"/>
          <w:sz w:val="16"/>
          <w:szCs w:val="16"/>
        </w:rPr>
      </w:pPr>
      <w:r w:rsidRPr="00325E95">
        <w:rPr>
          <w:rStyle w:val="FootnoteReference"/>
          <w:rFonts w:ascii="Verdana" w:hAnsi="Verdana"/>
          <w:sz w:val="16"/>
          <w:szCs w:val="16"/>
        </w:rPr>
        <w:footnoteRef/>
      </w:r>
      <w:r w:rsidRPr="00B50EC1">
        <w:rPr>
          <w:rFonts w:ascii="Verdana" w:hAnsi="Verdana"/>
          <w:sz w:val="16"/>
          <w:szCs w:val="16"/>
        </w:rPr>
        <w:t xml:space="preserve"> </w:t>
      </w:r>
      <w:r w:rsidRPr="00B50EC1">
        <w:rPr>
          <w:rFonts w:ascii="Verdana" w:hAnsi="Verdana"/>
          <w:sz w:val="16"/>
          <w:szCs w:val="16"/>
        </w:rPr>
        <w:tab/>
        <w:t>Párr. 108 de la Sentencia</w:t>
      </w:r>
      <w:r w:rsidRPr="0068199C">
        <w:rPr>
          <w:rFonts w:ascii="Verdana" w:hAnsi="Verdana"/>
          <w:i/>
          <w:sz w:val="16"/>
          <w:szCs w:val="16"/>
        </w:rPr>
        <w:t xml:space="preserve">. </w:t>
      </w:r>
      <w:r w:rsidRPr="00325E95">
        <w:rPr>
          <w:rFonts w:ascii="Verdana" w:hAnsi="Verdana"/>
          <w:sz w:val="16"/>
          <w:szCs w:val="16"/>
        </w:rPr>
        <w:t>Citando:</w:t>
      </w:r>
      <w:r w:rsidRPr="00B50EC1">
        <w:rPr>
          <w:rFonts w:ascii="Verdana" w:hAnsi="Verdana"/>
          <w:i/>
          <w:sz w:val="16"/>
          <w:szCs w:val="16"/>
        </w:rPr>
        <w:t xml:space="preserve"> Corte IDH, Caso del Penal Miguel Castro Castro Vs. Perú. Fondo, Reparaciones y Costas. </w:t>
      </w:r>
      <w:r w:rsidRPr="00B50EC1">
        <w:rPr>
          <w:rFonts w:ascii="Verdana" w:hAnsi="Verdana"/>
          <w:sz w:val="16"/>
          <w:szCs w:val="16"/>
        </w:rPr>
        <w:t>Sentencia de 25 de noviembre de 2006. Serie C N</w:t>
      </w:r>
      <w:r w:rsidRPr="00272787">
        <w:rPr>
          <w:rFonts w:ascii="Verdana" w:hAnsi="Verdana"/>
          <w:sz w:val="16"/>
          <w:szCs w:val="16"/>
        </w:rPr>
        <w:t>o. 160, párr. 346, y</w:t>
      </w:r>
      <w:r w:rsidRPr="00272787">
        <w:rPr>
          <w:rFonts w:ascii="Verdana" w:hAnsi="Verdana"/>
          <w:i/>
          <w:sz w:val="16"/>
          <w:szCs w:val="16"/>
        </w:rPr>
        <w:t xml:space="preserve"> </w:t>
      </w:r>
      <w:r w:rsidR="00C1267F" w:rsidRPr="00272787">
        <w:rPr>
          <w:rFonts w:ascii="Verdana" w:hAnsi="Verdana" w:cs="Tahoma"/>
          <w:i/>
          <w:sz w:val="16"/>
          <w:szCs w:val="16"/>
        </w:rPr>
        <w:t>C</w:t>
      </w:r>
      <w:r w:rsidR="00C1267F"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00C1267F" w:rsidRPr="00272787">
        <w:rPr>
          <w:rStyle w:val="Strong"/>
          <w:rFonts w:ascii="Verdana" w:hAnsi="Verdana" w:cs="Tahoma"/>
          <w:b w:val="0"/>
          <w:color w:val="000000"/>
          <w:sz w:val="16"/>
          <w:szCs w:val="16"/>
          <w:shd w:val="clear" w:color="auto" w:fill="FFFFFF"/>
        </w:rPr>
        <w:t xml:space="preserve"> Sentencia de 19 de mayo de 2014. Serie C No. 277</w:t>
      </w:r>
      <w:r w:rsidR="00C1267F" w:rsidRPr="00272787">
        <w:rPr>
          <w:rFonts w:ascii="Verdana" w:hAnsi="Verdana"/>
          <w:i/>
          <w:sz w:val="16"/>
          <w:szCs w:val="16"/>
        </w:rPr>
        <w:t xml:space="preserve">, </w:t>
      </w:r>
      <w:r w:rsidR="00C1267F" w:rsidRPr="00272787">
        <w:rPr>
          <w:rFonts w:ascii="Verdana" w:hAnsi="Verdana"/>
          <w:sz w:val="16"/>
          <w:szCs w:val="16"/>
        </w:rPr>
        <w:t xml:space="preserve">párr. </w:t>
      </w:r>
      <w:r w:rsidR="00C1267F">
        <w:rPr>
          <w:rFonts w:ascii="Verdana" w:hAnsi="Verdana"/>
          <w:sz w:val="16"/>
          <w:szCs w:val="16"/>
        </w:rPr>
        <w:t>133</w:t>
      </w:r>
      <w:r w:rsidRPr="00272787">
        <w:rPr>
          <w:rStyle w:val="Strong"/>
          <w:rFonts w:ascii="Verdana" w:hAnsi="Verdana"/>
          <w:b w:val="0"/>
          <w:color w:val="000000"/>
          <w:sz w:val="16"/>
          <w:szCs w:val="16"/>
          <w:shd w:val="clear" w:color="auto" w:fill="FFFFFF"/>
        </w:rPr>
        <w:t>.</w:t>
      </w:r>
    </w:p>
  </w:footnote>
  <w:footnote w:id="94">
    <w:p w14:paraId="322108F8"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t>Párr.</w:t>
      </w:r>
      <w:r w:rsidRPr="00272787">
        <w:rPr>
          <w:rFonts w:ascii="Verdana" w:hAnsi="Verdana"/>
          <w:sz w:val="16"/>
          <w:szCs w:val="16"/>
        </w:rPr>
        <w:t xml:space="preserve"> 108 de la Sentencia. Citando: 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w:t>
      </w:r>
      <w:r w:rsidRPr="00272787">
        <w:rPr>
          <w:rFonts w:ascii="Verdana" w:hAnsi="Verdana"/>
          <w:sz w:val="16"/>
          <w:szCs w:val="16"/>
        </w:rPr>
        <w:t xml:space="preserve">, párr. 258,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w:t>
      </w:r>
      <w:r w:rsidRPr="00272787">
        <w:rPr>
          <w:rFonts w:ascii="Verdana" w:hAnsi="Verdana"/>
          <w:i/>
          <w:sz w:val="16"/>
          <w:szCs w:val="16"/>
        </w:rPr>
        <w:t xml:space="preserve">, </w:t>
      </w:r>
      <w:r w:rsidRPr="00272787">
        <w:rPr>
          <w:rFonts w:ascii="Verdana" w:hAnsi="Verdana"/>
          <w:sz w:val="16"/>
          <w:szCs w:val="16"/>
        </w:rPr>
        <w:t>párr. 136.</w:t>
      </w:r>
    </w:p>
  </w:footnote>
  <w:footnote w:id="95">
    <w:p w14:paraId="322108F9" w14:textId="77777777" w:rsidR="00660B47" w:rsidRPr="00272787"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 párr. 282,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de 2014. Serie C No. 277</w:t>
      </w:r>
      <w:r w:rsidRPr="00272787">
        <w:rPr>
          <w:rFonts w:ascii="Verdana" w:hAnsi="Verdana"/>
          <w:i/>
          <w:sz w:val="16"/>
          <w:szCs w:val="16"/>
        </w:rPr>
        <w:t xml:space="preserve">, </w:t>
      </w:r>
      <w:r w:rsidRPr="00272787">
        <w:rPr>
          <w:rFonts w:ascii="Verdana" w:hAnsi="Verdana"/>
          <w:sz w:val="16"/>
          <w:szCs w:val="16"/>
        </w:rPr>
        <w:t>párr. 139.</w:t>
      </w:r>
    </w:p>
  </w:footnote>
  <w:footnote w:id="96">
    <w:p w14:paraId="322108FA" w14:textId="77777777" w:rsidR="00660B47" w:rsidRPr="0068199C" w:rsidRDefault="00660B47" w:rsidP="00721FDE">
      <w:pPr>
        <w:pStyle w:val="FootnoteText"/>
        <w:spacing w:after="120"/>
        <w:jc w:val="both"/>
        <w:rPr>
          <w:rFonts w:ascii="Verdana" w:hAnsi="Verdana"/>
          <w:sz w:val="16"/>
          <w:szCs w:val="16"/>
        </w:rPr>
      </w:pPr>
      <w:r w:rsidRPr="00272787">
        <w:rPr>
          <w:rStyle w:val="FootnoteReference"/>
          <w:rFonts w:ascii="Verdana" w:hAnsi="Verdana"/>
          <w:sz w:val="16"/>
          <w:szCs w:val="16"/>
        </w:rPr>
        <w:footnoteRef/>
      </w:r>
      <w:r w:rsidRPr="00272787">
        <w:rPr>
          <w:rFonts w:ascii="Verdana" w:hAnsi="Verdana"/>
          <w:sz w:val="16"/>
          <w:szCs w:val="16"/>
        </w:rPr>
        <w:t xml:space="preserve"> </w:t>
      </w:r>
      <w:r>
        <w:rPr>
          <w:rFonts w:ascii="Verdana" w:hAnsi="Verdana"/>
          <w:sz w:val="16"/>
          <w:szCs w:val="16"/>
        </w:rP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 párr. 258, 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xml:space="preserve"> Sentencia de 19 de mayo </w:t>
      </w:r>
      <w:r w:rsidRPr="0068199C">
        <w:rPr>
          <w:rStyle w:val="Strong"/>
          <w:rFonts w:ascii="Verdana" w:hAnsi="Verdana" w:cs="Tahoma"/>
          <w:b w:val="0"/>
          <w:color w:val="000000"/>
          <w:sz w:val="16"/>
          <w:szCs w:val="16"/>
          <w:shd w:val="clear" w:color="auto" w:fill="FFFFFF"/>
        </w:rPr>
        <w:t>de 2014. Serie C No. 277</w:t>
      </w:r>
      <w:r w:rsidRPr="0068199C">
        <w:rPr>
          <w:rFonts w:ascii="Verdana" w:hAnsi="Verdana"/>
          <w:i/>
          <w:sz w:val="16"/>
          <w:szCs w:val="16"/>
        </w:rPr>
        <w:t xml:space="preserve">, </w:t>
      </w:r>
      <w:r w:rsidRPr="00325E95">
        <w:rPr>
          <w:rFonts w:ascii="Verdana" w:hAnsi="Verdana"/>
          <w:sz w:val="16"/>
          <w:szCs w:val="16"/>
        </w:rPr>
        <w:t>párr. 136.</w:t>
      </w:r>
    </w:p>
  </w:footnote>
  <w:footnote w:id="97">
    <w:p w14:paraId="322108FB" w14:textId="77777777" w:rsidR="00660B47" w:rsidRPr="00272787" w:rsidRDefault="00660B47" w:rsidP="00721FDE">
      <w:pPr>
        <w:pStyle w:val="FootnoteText"/>
        <w:spacing w:after="120"/>
        <w:jc w:val="both"/>
        <w:rPr>
          <w:rFonts w:ascii="Verdana" w:hAnsi="Verdana"/>
          <w:sz w:val="16"/>
          <w:szCs w:val="16"/>
        </w:rPr>
      </w:pPr>
      <w:r w:rsidRPr="0068199C">
        <w:rPr>
          <w:rStyle w:val="FootnoteReference"/>
          <w:rFonts w:ascii="Verdana" w:hAnsi="Verdana"/>
          <w:sz w:val="16"/>
          <w:szCs w:val="16"/>
        </w:rPr>
        <w:footnoteRef/>
      </w:r>
      <w:r w:rsidRPr="0068199C">
        <w:rPr>
          <w:rFonts w:ascii="Verdana" w:hAnsi="Verdana"/>
          <w:sz w:val="16"/>
          <w:szCs w:val="16"/>
        </w:rPr>
        <w:t xml:space="preserve"> </w:t>
      </w:r>
      <w:r w:rsidRPr="0068199C">
        <w:rPr>
          <w:rFonts w:ascii="Verdana" w:hAnsi="Verdana"/>
          <w:sz w:val="16"/>
          <w:szCs w:val="16"/>
        </w:rPr>
        <w:tab/>
        <w:t>Tal como se expone en los párrs. 112 a 120 de la Sentencia.</w:t>
      </w:r>
    </w:p>
  </w:footnote>
  <w:footnote w:id="98">
    <w:p w14:paraId="322108FC" w14:textId="77777777" w:rsidR="00660B47" w:rsidRPr="00272787" w:rsidRDefault="00660B47" w:rsidP="00B104C6">
      <w:pPr>
        <w:pStyle w:val="FootnoteText"/>
        <w:spacing w:after="120"/>
        <w:jc w:val="both"/>
        <w:rPr>
          <w:rFonts w:ascii="Verdana" w:hAnsi="Verdana"/>
          <w:sz w:val="16"/>
          <w:szCs w:val="16"/>
        </w:rPr>
      </w:pPr>
      <w:r>
        <w:rPr>
          <w:rStyle w:val="FootnoteReference"/>
        </w:rPr>
        <w:footnoteRef/>
      </w:r>
      <w:r>
        <w:t xml:space="preserve"> </w:t>
      </w:r>
      <w:r>
        <w:tab/>
      </w:r>
      <w:r w:rsidRPr="00272787">
        <w:rPr>
          <w:rFonts w:ascii="Verdana" w:hAnsi="Verdana"/>
          <w:sz w:val="16"/>
          <w:szCs w:val="16"/>
        </w:rPr>
        <w:t xml:space="preserve">Corte IDH, </w:t>
      </w:r>
      <w:r w:rsidRPr="00272787">
        <w:rPr>
          <w:rStyle w:val="Strong"/>
          <w:rFonts w:ascii="Verdana" w:hAnsi="Verdana" w:cs="Tahoma"/>
          <w:b w:val="0"/>
          <w:i/>
          <w:color w:val="000000"/>
          <w:sz w:val="16"/>
          <w:szCs w:val="16"/>
          <w:shd w:val="clear" w:color="auto" w:fill="FFFFFF"/>
        </w:rPr>
        <w:t>Caso González y otras (“Campo Algodonero”) Vs. México. Excepción Preliminar, Fondo, Reparaciones y Costas</w:t>
      </w:r>
      <w:r w:rsidRPr="00272787">
        <w:rPr>
          <w:rStyle w:val="Strong"/>
          <w:rFonts w:ascii="Verdana" w:hAnsi="Verdana" w:cs="Tahoma"/>
          <w:b w:val="0"/>
          <w:color w:val="000000"/>
          <w:sz w:val="16"/>
          <w:szCs w:val="16"/>
          <w:shd w:val="clear" w:color="auto" w:fill="FFFFFF"/>
        </w:rPr>
        <w:t xml:space="preserve">. Sentencia de 16 de noviembre de 2009. Serie C No. 205, </w:t>
      </w:r>
      <w:r>
        <w:rPr>
          <w:rStyle w:val="Strong"/>
          <w:rFonts w:ascii="Verdana" w:hAnsi="Verdana" w:cs="Tahoma"/>
          <w:b w:val="0"/>
          <w:color w:val="000000"/>
          <w:sz w:val="16"/>
          <w:szCs w:val="16"/>
          <w:shd w:val="clear" w:color="auto" w:fill="FFFFFF"/>
        </w:rPr>
        <w:t xml:space="preserve">y </w:t>
      </w:r>
      <w:r w:rsidRPr="00272787">
        <w:rPr>
          <w:rFonts w:ascii="Verdana" w:hAnsi="Verdana" w:cs="Tahoma"/>
          <w:i/>
          <w:sz w:val="16"/>
          <w:szCs w:val="16"/>
        </w:rPr>
        <w:t>C</w:t>
      </w:r>
      <w:r w:rsidRPr="00272787">
        <w:rPr>
          <w:rStyle w:val="Strong"/>
          <w:rFonts w:ascii="Verdana" w:hAnsi="Verdana" w:cs="Tahoma"/>
          <w:b w:val="0"/>
          <w:i/>
          <w:color w:val="000000"/>
          <w:sz w:val="16"/>
          <w:szCs w:val="16"/>
          <w:shd w:val="clear" w:color="auto" w:fill="FFFFFF"/>
        </w:rPr>
        <w:t>aso Veliz Franco y otros Vs. Guatemala. Excepciones Preliminares, Fondo, Reparaciones y Costas</w:t>
      </w:r>
      <w:r w:rsidRPr="00272787">
        <w:rPr>
          <w:rStyle w:val="Strong"/>
          <w:rFonts w:ascii="Verdana" w:hAnsi="Verdana" w:cs="Tahoma"/>
          <w:b w:val="0"/>
          <w:color w:val="000000"/>
          <w:sz w:val="16"/>
          <w:szCs w:val="16"/>
          <w:shd w:val="clear" w:color="auto" w:fill="FFFFFF"/>
        </w:rPr>
        <w:t>. Sentencia de 19</w:t>
      </w:r>
      <w:r>
        <w:rPr>
          <w:rStyle w:val="Strong"/>
          <w:rFonts w:ascii="Verdana" w:hAnsi="Verdana" w:cs="Tahoma"/>
          <w:b w:val="0"/>
          <w:color w:val="000000"/>
          <w:sz w:val="16"/>
          <w:szCs w:val="16"/>
          <w:shd w:val="clear" w:color="auto" w:fill="FFFFFF"/>
        </w:rPr>
        <w:t xml:space="preserve"> de mayo de 2014. </w:t>
      </w:r>
    </w:p>
    <w:p w14:paraId="322108FD" w14:textId="77777777" w:rsidR="00660B47" w:rsidRPr="00B104C6" w:rsidRDefault="00660B47">
      <w:pPr>
        <w:pStyle w:val="FootnoteText"/>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D09"/>
    <w:multiLevelType w:val="hybridMultilevel"/>
    <w:tmpl w:val="AE5A25EC"/>
    <w:lvl w:ilvl="0" w:tplc="266A2D32">
      <w:start w:val="32"/>
      <w:numFmt w:val="decimal"/>
      <w:lvlText w:val="%1."/>
      <w:lvlJc w:val="left"/>
      <w:pPr>
        <w:ind w:left="502" w:hanging="360"/>
      </w:pPr>
      <w:rPr>
        <w:rFonts w:hint="default"/>
        <w:b w:val="0"/>
        <w:i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0780410"/>
    <w:multiLevelType w:val="hybridMultilevel"/>
    <w:tmpl w:val="D0445EFE"/>
    <w:lvl w:ilvl="0" w:tplc="0C0A000F">
      <w:start w:val="13"/>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12DD6AB2"/>
    <w:multiLevelType w:val="hybridMultilevel"/>
    <w:tmpl w:val="9222CC3A"/>
    <w:lvl w:ilvl="0" w:tplc="103C0F4E">
      <w:start w:val="8"/>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7E4AFC"/>
    <w:multiLevelType w:val="hybridMultilevel"/>
    <w:tmpl w:val="19CC16A6"/>
    <w:lvl w:ilvl="0" w:tplc="266A2D32">
      <w:start w:val="1"/>
      <w:numFmt w:val="decimal"/>
      <w:lvlText w:val="%1."/>
      <w:lvlJc w:val="left"/>
      <w:pPr>
        <w:ind w:left="502" w:hanging="360"/>
      </w:pPr>
      <w:rPr>
        <w:rFonts w:hint="default"/>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4">
    <w:nsid w:val="15BE5A52"/>
    <w:multiLevelType w:val="hybridMultilevel"/>
    <w:tmpl w:val="7BEA209C"/>
    <w:lvl w:ilvl="0" w:tplc="C6A8A6C0">
      <w:start w:val="2"/>
      <w:numFmt w:val="upperRoman"/>
      <w:lvlText w:val="%1."/>
      <w:lvlJc w:val="left"/>
      <w:pPr>
        <w:ind w:left="1222" w:hanging="72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nsid w:val="17DF750D"/>
    <w:multiLevelType w:val="hybridMultilevel"/>
    <w:tmpl w:val="8FD44BF6"/>
    <w:lvl w:ilvl="0" w:tplc="9F505DFE">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818074D"/>
    <w:multiLevelType w:val="hybridMultilevel"/>
    <w:tmpl w:val="8B3CF248"/>
    <w:lvl w:ilvl="0" w:tplc="807A67BC">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CB920A8"/>
    <w:multiLevelType w:val="hybridMultilevel"/>
    <w:tmpl w:val="DC9615A0"/>
    <w:lvl w:ilvl="0" w:tplc="0DFE2F74">
      <w:start w:val="1"/>
      <w:numFmt w:val="upperRoman"/>
      <w:lvlText w:val="%1."/>
      <w:lvlJc w:val="left"/>
      <w:pPr>
        <w:ind w:left="1080" w:hanging="72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1D061760"/>
    <w:multiLevelType w:val="hybridMultilevel"/>
    <w:tmpl w:val="F43089D4"/>
    <w:lvl w:ilvl="0" w:tplc="E0DCE044">
      <w:start w:val="4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24BC0193"/>
    <w:multiLevelType w:val="hybridMultilevel"/>
    <w:tmpl w:val="19FC52A2"/>
    <w:lvl w:ilvl="0" w:tplc="93D493C4">
      <w:start w:val="1"/>
      <w:numFmt w:val="decimal"/>
      <w:lvlText w:val="%1."/>
      <w:lvlJc w:val="left"/>
      <w:pPr>
        <w:ind w:left="502" w:hanging="360"/>
      </w:pPr>
      <w:rPr>
        <w:rFonts w:hint="default"/>
        <w:b w:val="0"/>
        <w:color w:val="auto"/>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10">
    <w:nsid w:val="2FD23E75"/>
    <w:multiLevelType w:val="hybridMultilevel"/>
    <w:tmpl w:val="19B0D22E"/>
    <w:lvl w:ilvl="0" w:tplc="B18A764C">
      <w:start w:val="1"/>
      <w:numFmt w:val="decimal"/>
      <w:lvlText w:val="%1."/>
      <w:lvlJc w:val="left"/>
      <w:pPr>
        <w:ind w:left="720" w:hanging="360"/>
      </w:pPr>
      <w:rPr>
        <w:rFonts w:hint="default"/>
        <w:b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3D0D6F54"/>
    <w:multiLevelType w:val="hybridMultilevel"/>
    <w:tmpl w:val="5BA2A910"/>
    <w:lvl w:ilvl="0" w:tplc="123CD524">
      <w:start w:val="1"/>
      <w:numFmt w:val="upperRoman"/>
      <w:lvlText w:val="%1."/>
      <w:lvlJc w:val="left"/>
      <w:pPr>
        <w:ind w:left="1440" w:hanging="72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2">
    <w:nsid w:val="3E2F4895"/>
    <w:multiLevelType w:val="hybridMultilevel"/>
    <w:tmpl w:val="B5CC0158"/>
    <w:lvl w:ilvl="0" w:tplc="4E4C39E6">
      <w:start w:val="8"/>
      <w:numFmt w:val="decimal"/>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00C53B0"/>
    <w:multiLevelType w:val="hybridMultilevel"/>
    <w:tmpl w:val="2CD66496"/>
    <w:lvl w:ilvl="0" w:tplc="0C0A000F">
      <w:start w:val="1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428C31E3"/>
    <w:multiLevelType w:val="hybridMultilevel"/>
    <w:tmpl w:val="0A60869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8994F1B"/>
    <w:multiLevelType w:val="hybridMultilevel"/>
    <w:tmpl w:val="A4CE01B0"/>
    <w:lvl w:ilvl="0" w:tplc="0058A01E">
      <w:start w:val="1"/>
      <w:numFmt w:val="upperRoman"/>
      <w:lvlText w:val="%1."/>
      <w:lvlJc w:val="left"/>
      <w:pPr>
        <w:ind w:left="1080" w:hanging="72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4DA62691"/>
    <w:multiLevelType w:val="hybridMultilevel"/>
    <w:tmpl w:val="267244E0"/>
    <w:lvl w:ilvl="0" w:tplc="0C0A000F">
      <w:start w:val="7"/>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508249A3"/>
    <w:multiLevelType w:val="hybridMultilevel"/>
    <w:tmpl w:val="5AEA32EC"/>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57727599"/>
    <w:multiLevelType w:val="hybridMultilevel"/>
    <w:tmpl w:val="230CD3CC"/>
    <w:lvl w:ilvl="0" w:tplc="D46A69C8">
      <w:start w:val="1"/>
      <w:numFmt w:val="decimal"/>
      <w:pStyle w:val="PrrafodeSentencia"/>
      <w:lvlText w:val="%1."/>
      <w:lvlJc w:val="left"/>
      <w:pPr>
        <w:ind w:left="360" w:hanging="360"/>
      </w:pPr>
      <w:rPr>
        <w:rFonts w:ascii="Verdana" w:eastAsia="Times New Roman" w:hAnsi="Verdana" w:cs="Times New Roman" w:hint="default"/>
        <w:b w:val="0"/>
        <w:i w:val="0"/>
        <w:color w:val="auto"/>
        <w:w w:val="10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9387081"/>
    <w:multiLevelType w:val="hybridMultilevel"/>
    <w:tmpl w:val="A950ECBE"/>
    <w:lvl w:ilvl="0" w:tplc="807A67BC">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5A412692"/>
    <w:multiLevelType w:val="hybridMultilevel"/>
    <w:tmpl w:val="4C6EB0AA"/>
    <w:lvl w:ilvl="0" w:tplc="D07493D8">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60001CE0"/>
    <w:multiLevelType w:val="hybridMultilevel"/>
    <w:tmpl w:val="C366A6DE"/>
    <w:lvl w:ilvl="0" w:tplc="807A67BC">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63864A0F"/>
    <w:multiLevelType w:val="hybridMultilevel"/>
    <w:tmpl w:val="6BAC451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675E4EA2"/>
    <w:multiLevelType w:val="hybridMultilevel"/>
    <w:tmpl w:val="110E8B34"/>
    <w:lvl w:ilvl="0" w:tplc="0C0A000F">
      <w:start w:val="10"/>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6DEB3252"/>
    <w:multiLevelType w:val="hybridMultilevel"/>
    <w:tmpl w:val="C6E27FB0"/>
    <w:lvl w:ilvl="0" w:tplc="B9CEB682">
      <w:start w:val="32"/>
      <w:numFmt w:val="decimal"/>
      <w:lvlText w:val="%1."/>
      <w:lvlJc w:val="left"/>
      <w:pPr>
        <w:ind w:left="720" w:hanging="360"/>
      </w:pPr>
      <w:rPr>
        <w:rFonts w:hint="default"/>
        <w:b w:val="0"/>
        <w:i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72DC2AC7"/>
    <w:multiLevelType w:val="hybridMultilevel"/>
    <w:tmpl w:val="C28ACB1A"/>
    <w:lvl w:ilvl="0" w:tplc="2536CD2C">
      <w:start w:val="1"/>
      <w:numFmt w:val="decimal"/>
      <w:lvlText w:val="%1."/>
      <w:lvlJc w:val="left"/>
      <w:pPr>
        <w:tabs>
          <w:tab w:val="num" w:pos="360"/>
        </w:tabs>
        <w:ind w:left="360" w:hanging="360"/>
      </w:pPr>
      <w:rPr>
        <w:rFonts w:ascii="Verdana" w:hAnsi="Verdana" w:hint="default"/>
        <w:b w:val="0"/>
        <w:i w:val="0"/>
        <w:color w:val="auto"/>
        <w:sz w:val="20"/>
        <w:szCs w:val="20"/>
        <w:lang w:val="es-EC"/>
      </w:rPr>
    </w:lvl>
    <w:lvl w:ilvl="1" w:tplc="64A22312">
      <w:start w:val="1"/>
      <w:numFmt w:val="lowerLetter"/>
      <w:lvlText w:val="%2)"/>
      <w:lvlJc w:val="left"/>
      <w:pPr>
        <w:tabs>
          <w:tab w:val="num" w:pos="1440"/>
        </w:tabs>
        <w:ind w:left="1440" w:hanging="360"/>
      </w:pPr>
      <w:rPr>
        <w:rFonts w:hint="default"/>
        <w:i w:val="0"/>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AE27DC5"/>
    <w:multiLevelType w:val="hybridMultilevel"/>
    <w:tmpl w:val="D84EB034"/>
    <w:lvl w:ilvl="0" w:tplc="3E9664AC">
      <w:start w:val="1"/>
      <w:numFmt w:val="decimal"/>
      <w:lvlText w:val="%1."/>
      <w:lvlJc w:val="left"/>
      <w:pPr>
        <w:ind w:left="720" w:hanging="360"/>
      </w:pPr>
      <w:rPr>
        <w:rFonts w:hint="default"/>
        <w:b w:val="0"/>
        <w:i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7C24567F"/>
    <w:multiLevelType w:val="hybridMultilevel"/>
    <w:tmpl w:val="BA26E924"/>
    <w:lvl w:ilvl="0" w:tplc="0C0A000F">
      <w:start w:val="26"/>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7"/>
  </w:num>
  <w:num w:numId="2">
    <w:abstractNumId w:val="14"/>
  </w:num>
  <w:num w:numId="3">
    <w:abstractNumId w:val="11"/>
  </w:num>
  <w:num w:numId="4">
    <w:abstractNumId w:val="5"/>
  </w:num>
  <w:num w:numId="5">
    <w:abstractNumId w:val="15"/>
  </w:num>
  <w:num w:numId="6">
    <w:abstractNumId w:val="10"/>
  </w:num>
  <w:num w:numId="7">
    <w:abstractNumId w:val="20"/>
  </w:num>
  <w:num w:numId="8">
    <w:abstractNumId w:val="7"/>
  </w:num>
  <w:num w:numId="9">
    <w:abstractNumId w:val="26"/>
  </w:num>
  <w:num w:numId="10">
    <w:abstractNumId w:val="19"/>
  </w:num>
  <w:num w:numId="11">
    <w:abstractNumId w:val="21"/>
  </w:num>
  <w:num w:numId="12">
    <w:abstractNumId w:val="6"/>
  </w:num>
  <w:num w:numId="13">
    <w:abstractNumId w:val="0"/>
  </w:num>
  <w:num w:numId="14">
    <w:abstractNumId w:val="8"/>
  </w:num>
  <w:num w:numId="15">
    <w:abstractNumId w:val="24"/>
  </w:num>
  <w:num w:numId="16">
    <w:abstractNumId w:val="22"/>
  </w:num>
  <w:num w:numId="17">
    <w:abstractNumId w:val="9"/>
  </w:num>
  <w:num w:numId="18">
    <w:abstractNumId w:val="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6"/>
  </w:num>
  <w:num w:numId="23">
    <w:abstractNumId w:val="12"/>
  </w:num>
  <w:num w:numId="24">
    <w:abstractNumId w:val="2"/>
  </w:num>
  <w:num w:numId="25">
    <w:abstractNumId w:val="23"/>
  </w:num>
  <w:num w:numId="26">
    <w:abstractNumId w:val="13"/>
  </w:num>
  <w:num w:numId="27">
    <w:abstractNumId w:val="1"/>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F6"/>
    <w:rsid w:val="0000104C"/>
    <w:rsid w:val="00003D4B"/>
    <w:rsid w:val="00024B88"/>
    <w:rsid w:val="00026D4D"/>
    <w:rsid w:val="00051997"/>
    <w:rsid w:val="00057BCE"/>
    <w:rsid w:val="00057ED3"/>
    <w:rsid w:val="00060046"/>
    <w:rsid w:val="00075E92"/>
    <w:rsid w:val="00077718"/>
    <w:rsid w:val="000815BF"/>
    <w:rsid w:val="000922A5"/>
    <w:rsid w:val="0009713F"/>
    <w:rsid w:val="000A34F6"/>
    <w:rsid w:val="000A5B6E"/>
    <w:rsid w:val="000A6F34"/>
    <w:rsid w:val="000C11E4"/>
    <w:rsid w:val="000D2136"/>
    <w:rsid w:val="000D3CE1"/>
    <w:rsid w:val="000D5AC0"/>
    <w:rsid w:val="000E4B97"/>
    <w:rsid w:val="000E63A9"/>
    <w:rsid w:val="000F0A22"/>
    <w:rsid w:val="00103D11"/>
    <w:rsid w:val="00111617"/>
    <w:rsid w:val="00115013"/>
    <w:rsid w:val="00132F61"/>
    <w:rsid w:val="00133868"/>
    <w:rsid w:val="001339B9"/>
    <w:rsid w:val="00136211"/>
    <w:rsid w:val="0013641F"/>
    <w:rsid w:val="00163259"/>
    <w:rsid w:val="00172F82"/>
    <w:rsid w:val="00175142"/>
    <w:rsid w:val="00181D41"/>
    <w:rsid w:val="00181EED"/>
    <w:rsid w:val="00186369"/>
    <w:rsid w:val="00192DCD"/>
    <w:rsid w:val="001A113B"/>
    <w:rsid w:val="001A5A49"/>
    <w:rsid w:val="001A6F61"/>
    <w:rsid w:val="001B27FC"/>
    <w:rsid w:val="001B3C0F"/>
    <w:rsid w:val="001C53F7"/>
    <w:rsid w:val="001C5E81"/>
    <w:rsid w:val="001D69EF"/>
    <w:rsid w:val="001E4578"/>
    <w:rsid w:val="001F07D2"/>
    <w:rsid w:val="001F1CA4"/>
    <w:rsid w:val="00202C4B"/>
    <w:rsid w:val="00205250"/>
    <w:rsid w:val="002178C4"/>
    <w:rsid w:val="002414D7"/>
    <w:rsid w:val="00254300"/>
    <w:rsid w:val="0025686C"/>
    <w:rsid w:val="00263E1B"/>
    <w:rsid w:val="002647B2"/>
    <w:rsid w:val="00266157"/>
    <w:rsid w:val="00267AD4"/>
    <w:rsid w:val="00272787"/>
    <w:rsid w:val="002842D5"/>
    <w:rsid w:val="002A05FD"/>
    <w:rsid w:val="002A46F1"/>
    <w:rsid w:val="002A71B5"/>
    <w:rsid w:val="002B0185"/>
    <w:rsid w:val="002B521E"/>
    <w:rsid w:val="002B590E"/>
    <w:rsid w:val="002B6A7E"/>
    <w:rsid w:val="002C2EC0"/>
    <w:rsid w:val="002C38F2"/>
    <w:rsid w:val="002C5050"/>
    <w:rsid w:val="002D27A4"/>
    <w:rsid w:val="002D6585"/>
    <w:rsid w:val="002D662F"/>
    <w:rsid w:val="002E07B2"/>
    <w:rsid w:val="002E2610"/>
    <w:rsid w:val="002F2C4B"/>
    <w:rsid w:val="002F3337"/>
    <w:rsid w:val="002F4942"/>
    <w:rsid w:val="002F61CA"/>
    <w:rsid w:val="002F6A89"/>
    <w:rsid w:val="002F75B5"/>
    <w:rsid w:val="00300780"/>
    <w:rsid w:val="00302997"/>
    <w:rsid w:val="00304946"/>
    <w:rsid w:val="0031304A"/>
    <w:rsid w:val="00325E95"/>
    <w:rsid w:val="00336A3A"/>
    <w:rsid w:val="00350298"/>
    <w:rsid w:val="0035277E"/>
    <w:rsid w:val="003606F5"/>
    <w:rsid w:val="0036375E"/>
    <w:rsid w:val="003771E8"/>
    <w:rsid w:val="0038792A"/>
    <w:rsid w:val="0039051F"/>
    <w:rsid w:val="003909B7"/>
    <w:rsid w:val="00391E92"/>
    <w:rsid w:val="00395CB1"/>
    <w:rsid w:val="003962FF"/>
    <w:rsid w:val="003A6422"/>
    <w:rsid w:val="003A6C60"/>
    <w:rsid w:val="003B137E"/>
    <w:rsid w:val="003B5E51"/>
    <w:rsid w:val="003B691D"/>
    <w:rsid w:val="003B6E65"/>
    <w:rsid w:val="003B7019"/>
    <w:rsid w:val="003D6A83"/>
    <w:rsid w:val="003E2A57"/>
    <w:rsid w:val="003F1146"/>
    <w:rsid w:val="003F511C"/>
    <w:rsid w:val="00401D51"/>
    <w:rsid w:val="00403391"/>
    <w:rsid w:val="0040536C"/>
    <w:rsid w:val="00406A9D"/>
    <w:rsid w:val="00407B84"/>
    <w:rsid w:val="004131C4"/>
    <w:rsid w:val="00424D23"/>
    <w:rsid w:val="0042507C"/>
    <w:rsid w:val="0042533C"/>
    <w:rsid w:val="004255D1"/>
    <w:rsid w:val="00425EF3"/>
    <w:rsid w:val="00440A18"/>
    <w:rsid w:val="00460328"/>
    <w:rsid w:val="0046421A"/>
    <w:rsid w:val="00465E2D"/>
    <w:rsid w:val="0047594F"/>
    <w:rsid w:val="00477424"/>
    <w:rsid w:val="00480E1C"/>
    <w:rsid w:val="004836A8"/>
    <w:rsid w:val="00485FC5"/>
    <w:rsid w:val="00490EDC"/>
    <w:rsid w:val="004A3C88"/>
    <w:rsid w:val="004B2543"/>
    <w:rsid w:val="004B33C2"/>
    <w:rsid w:val="004B7FF6"/>
    <w:rsid w:val="004D103D"/>
    <w:rsid w:val="004D52DD"/>
    <w:rsid w:val="004E052E"/>
    <w:rsid w:val="004E13C4"/>
    <w:rsid w:val="004E2442"/>
    <w:rsid w:val="005069E6"/>
    <w:rsid w:val="005126D8"/>
    <w:rsid w:val="005214E5"/>
    <w:rsid w:val="00522631"/>
    <w:rsid w:val="00522E1D"/>
    <w:rsid w:val="00541905"/>
    <w:rsid w:val="00575808"/>
    <w:rsid w:val="0057712A"/>
    <w:rsid w:val="005862BD"/>
    <w:rsid w:val="00591324"/>
    <w:rsid w:val="005A5AC8"/>
    <w:rsid w:val="005B0334"/>
    <w:rsid w:val="005E180C"/>
    <w:rsid w:val="005E5477"/>
    <w:rsid w:val="005E7E39"/>
    <w:rsid w:val="00604F95"/>
    <w:rsid w:val="00612FF8"/>
    <w:rsid w:val="00620819"/>
    <w:rsid w:val="006258F7"/>
    <w:rsid w:val="00636804"/>
    <w:rsid w:val="00637AB6"/>
    <w:rsid w:val="0064034C"/>
    <w:rsid w:val="0065286D"/>
    <w:rsid w:val="00657CE6"/>
    <w:rsid w:val="00660B47"/>
    <w:rsid w:val="006615E3"/>
    <w:rsid w:val="006636F0"/>
    <w:rsid w:val="0066590F"/>
    <w:rsid w:val="0066684C"/>
    <w:rsid w:val="006735FD"/>
    <w:rsid w:val="00674D9B"/>
    <w:rsid w:val="00680269"/>
    <w:rsid w:val="0068199C"/>
    <w:rsid w:val="00683977"/>
    <w:rsid w:val="00694C9A"/>
    <w:rsid w:val="00695106"/>
    <w:rsid w:val="00697825"/>
    <w:rsid w:val="006B7F86"/>
    <w:rsid w:val="006C00FD"/>
    <w:rsid w:val="006C4A52"/>
    <w:rsid w:val="006E29DF"/>
    <w:rsid w:val="006F7CA1"/>
    <w:rsid w:val="00701CD5"/>
    <w:rsid w:val="007106FC"/>
    <w:rsid w:val="00716A2E"/>
    <w:rsid w:val="00721FDE"/>
    <w:rsid w:val="00724EF8"/>
    <w:rsid w:val="00732A71"/>
    <w:rsid w:val="00735C73"/>
    <w:rsid w:val="00737F0A"/>
    <w:rsid w:val="00747C41"/>
    <w:rsid w:val="00752423"/>
    <w:rsid w:val="00760E96"/>
    <w:rsid w:val="00765D38"/>
    <w:rsid w:val="00773D8B"/>
    <w:rsid w:val="0078689C"/>
    <w:rsid w:val="00786CEF"/>
    <w:rsid w:val="007921FA"/>
    <w:rsid w:val="007924AE"/>
    <w:rsid w:val="007A696C"/>
    <w:rsid w:val="007B66F0"/>
    <w:rsid w:val="007C1C70"/>
    <w:rsid w:val="007C26B0"/>
    <w:rsid w:val="007C3F2A"/>
    <w:rsid w:val="007D390A"/>
    <w:rsid w:val="007E06F0"/>
    <w:rsid w:val="007E11D7"/>
    <w:rsid w:val="007E12B2"/>
    <w:rsid w:val="007E2DF7"/>
    <w:rsid w:val="007E5106"/>
    <w:rsid w:val="007F12CE"/>
    <w:rsid w:val="00811A00"/>
    <w:rsid w:val="0081331F"/>
    <w:rsid w:val="008155B0"/>
    <w:rsid w:val="00816D0B"/>
    <w:rsid w:val="00825495"/>
    <w:rsid w:val="008271CD"/>
    <w:rsid w:val="00833CF5"/>
    <w:rsid w:val="00836821"/>
    <w:rsid w:val="00853EB1"/>
    <w:rsid w:val="00855267"/>
    <w:rsid w:val="0085659C"/>
    <w:rsid w:val="00864AC8"/>
    <w:rsid w:val="0086535D"/>
    <w:rsid w:val="00867046"/>
    <w:rsid w:val="00873188"/>
    <w:rsid w:val="008828EB"/>
    <w:rsid w:val="00885542"/>
    <w:rsid w:val="00885BE9"/>
    <w:rsid w:val="0088654C"/>
    <w:rsid w:val="00892082"/>
    <w:rsid w:val="008973FB"/>
    <w:rsid w:val="008A752B"/>
    <w:rsid w:val="008B590A"/>
    <w:rsid w:val="008C7F7F"/>
    <w:rsid w:val="008E1033"/>
    <w:rsid w:val="008E2F4B"/>
    <w:rsid w:val="008E6E38"/>
    <w:rsid w:val="008F2C2C"/>
    <w:rsid w:val="008F761B"/>
    <w:rsid w:val="00902644"/>
    <w:rsid w:val="00920C63"/>
    <w:rsid w:val="009245C4"/>
    <w:rsid w:val="00926E77"/>
    <w:rsid w:val="00931F98"/>
    <w:rsid w:val="00934750"/>
    <w:rsid w:val="0094500E"/>
    <w:rsid w:val="00950642"/>
    <w:rsid w:val="00952A14"/>
    <w:rsid w:val="00952DF3"/>
    <w:rsid w:val="009542FC"/>
    <w:rsid w:val="00963909"/>
    <w:rsid w:val="00964756"/>
    <w:rsid w:val="00965E2E"/>
    <w:rsid w:val="00967B64"/>
    <w:rsid w:val="00970194"/>
    <w:rsid w:val="00981C1B"/>
    <w:rsid w:val="00986455"/>
    <w:rsid w:val="009B05DE"/>
    <w:rsid w:val="009B106D"/>
    <w:rsid w:val="009B10FA"/>
    <w:rsid w:val="009B4489"/>
    <w:rsid w:val="009B4BFD"/>
    <w:rsid w:val="009C12D2"/>
    <w:rsid w:val="009C3A9B"/>
    <w:rsid w:val="009D2FFA"/>
    <w:rsid w:val="009D5DFF"/>
    <w:rsid w:val="009F3E65"/>
    <w:rsid w:val="009F6FF0"/>
    <w:rsid w:val="00A00ABD"/>
    <w:rsid w:val="00A0203B"/>
    <w:rsid w:val="00A2057C"/>
    <w:rsid w:val="00A23A35"/>
    <w:rsid w:val="00A42E2F"/>
    <w:rsid w:val="00A549B7"/>
    <w:rsid w:val="00A54F58"/>
    <w:rsid w:val="00A8001B"/>
    <w:rsid w:val="00A81FA0"/>
    <w:rsid w:val="00A85744"/>
    <w:rsid w:val="00A858BB"/>
    <w:rsid w:val="00A86CA5"/>
    <w:rsid w:val="00A90084"/>
    <w:rsid w:val="00A96BB8"/>
    <w:rsid w:val="00A96BC9"/>
    <w:rsid w:val="00AA1774"/>
    <w:rsid w:val="00AA2284"/>
    <w:rsid w:val="00AA3F1F"/>
    <w:rsid w:val="00AA5F75"/>
    <w:rsid w:val="00AA71F9"/>
    <w:rsid w:val="00AB586A"/>
    <w:rsid w:val="00AC0AA6"/>
    <w:rsid w:val="00AC6E8E"/>
    <w:rsid w:val="00AD0915"/>
    <w:rsid w:val="00AD4A1C"/>
    <w:rsid w:val="00AD6017"/>
    <w:rsid w:val="00AE1CC5"/>
    <w:rsid w:val="00AE29B6"/>
    <w:rsid w:val="00AE3AD4"/>
    <w:rsid w:val="00B036AE"/>
    <w:rsid w:val="00B104C6"/>
    <w:rsid w:val="00B10B0D"/>
    <w:rsid w:val="00B17ED6"/>
    <w:rsid w:val="00B3021A"/>
    <w:rsid w:val="00B321BA"/>
    <w:rsid w:val="00B50130"/>
    <w:rsid w:val="00B50EC1"/>
    <w:rsid w:val="00B521FE"/>
    <w:rsid w:val="00B60107"/>
    <w:rsid w:val="00B6127F"/>
    <w:rsid w:val="00B81395"/>
    <w:rsid w:val="00B96083"/>
    <w:rsid w:val="00B96D56"/>
    <w:rsid w:val="00BA0913"/>
    <w:rsid w:val="00BA699A"/>
    <w:rsid w:val="00BA7DE9"/>
    <w:rsid w:val="00BB1B05"/>
    <w:rsid w:val="00BB6817"/>
    <w:rsid w:val="00BC1623"/>
    <w:rsid w:val="00BC2F14"/>
    <w:rsid w:val="00BC471C"/>
    <w:rsid w:val="00BC6BEF"/>
    <w:rsid w:val="00BD0225"/>
    <w:rsid w:val="00BD0C8C"/>
    <w:rsid w:val="00BD5409"/>
    <w:rsid w:val="00BE662A"/>
    <w:rsid w:val="00BF265C"/>
    <w:rsid w:val="00BF6AE4"/>
    <w:rsid w:val="00C05A69"/>
    <w:rsid w:val="00C10D5C"/>
    <w:rsid w:val="00C1267F"/>
    <w:rsid w:val="00C13A56"/>
    <w:rsid w:val="00C170AC"/>
    <w:rsid w:val="00C177AA"/>
    <w:rsid w:val="00C24022"/>
    <w:rsid w:val="00C3002A"/>
    <w:rsid w:val="00C35CC6"/>
    <w:rsid w:val="00C53C0B"/>
    <w:rsid w:val="00C57781"/>
    <w:rsid w:val="00C57B1A"/>
    <w:rsid w:val="00C63E07"/>
    <w:rsid w:val="00C8340F"/>
    <w:rsid w:val="00C868AD"/>
    <w:rsid w:val="00CC7266"/>
    <w:rsid w:val="00CD0B76"/>
    <w:rsid w:val="00CE6876"/>
    <w:rsid w:val="00CE78B9"/>
    <w:rsid w:val="00CF4290"/>
    <w:rsid w:val="00D017BA"/>
    <w:rsid w:val="00D0752F"/>
    <w:rsid w:val="00D21E0B"/>
    <w:rsid w:val="00D4619E"/>
    <w:rsid w:val="00D504BB"/>
    <w:rsid w:val="00D52079"/>
    <w:rsid w:val="00D53C2F"/>
    <w:rsid w:val="00D57155"/>
    <w:rsid w:val="00D610A9"/>
    <w:rsid w:val="00D6147F"/>
    <w:rsid w:val="00D662EC"/>
    <w:rsid w:val="00D67AA4"/>
    <w:rsid w:val="00D7385D"/>
    <w:rsid w:val="00D75098"/>
    <w:rsid w:val="00D827A8"/>
    <w:rsid w:val="00D84B35"/>
    <w:rsid w:val="00D84B86"/>
    <w:rsid w:val="00D90A35"/>
    <w:rsid w:val="00D9373B"/>
    <w:rsid w:val="00D94448"/>
    <w:rsid w:val="00DB1FC9"/>
    <w:rsid w:val="00DB3462"/>
    <w:rsid w:val="00DC12D5"/>
    <w:rsid w:val="00DC300E"/>
    <w:rsid w:val="00DC3F9A"/>
    <w:rsid w:val="00DC5C13"/>
    <w:rsid w:val="00DD0D34"/>
    <w:rsid w:val="00DD11FA"/>
    <w:rsid w:val="00DD15D3"/>
    <w:rsid w:val="00DE1735"/>
    <w:rsid w:val="00DF1BE2"/>
    <w:rsid w:val="00DF2C66"/>
    <w:rsid w:val="00E00457"/>
    <w:rsid w:val="00E03093"/>
    <w:rsid w:val="00E12569"/>
    <w:rsid w:val="00E25316"/>
    <w:rsid w:val="00E33A1E"/>
    <w:rsid w:val="00E36284"/>
    <w:rsid w:val="00E37382"/>
    <w:rsid w:val="00E44D86"/>
    <w:rsid w:val="00E511AF"/>
    <w:rsid w:val="00E5264C"/>
    <w:rsid w:val="00E53604"/>
    <w:rsid w:val="00E57AF1"/>
    <w:rsid w:val="00E6232B"/>
    <w:rsid w:val="00EA3B91"/>
    <w:rsid w:val="00EA7DC4"/>
    <w:rsid w:val="00EB0D06"/>
    <w:rsid w:val="00EB2D86"/>
    <w:rsid w:val="00EB69FE"/>
    <w:rsid w:val="00ED27C3"/>
    <w:rsid w:val="00ED7D75"/>
    <w:rsid w:val="00EE386A"/>
    <w:rsid w:val="00EE6FA0"/>
    <w:rsid w:val="00EF47F6"/>
    <w:rsid w:val="00F07518"/>
    <w:rsid w:val="00F11827"/>
    <w:rsid w:val="00F11E7F"/>
    <w:rsid w:val="00F1714E"/>
    <w:rsid w:val="00F26A7A"/>
    <w:rsid w:val="00F34D09"/>
    <w:rsid w:val="00F35155"/>
    <w:rsid w:val="00F51688"/>
    <w:rsid w:val="00F52511"/>
    <w:rsid w:val="00F5276D"/>
    <w:rsid w:val="00F55160"/>
    <w:rsid w:val="00F630F5"/>
    <w:rsid w:val="00F7011D"/>
    <w:rsid w:val="00F70DCB"/>
    <w:rsid w:val="00F73BE1"/>
    <w:rsid w:val="00F9275D"/>
    <w:rsid w:val="00F93397"/>
    <w:rsid w:val="00FB451C"/>
    <w:rsid w:val="00FD240F"/>
    <w:rsid w:val="00FD2E88"/>
    <w:rsid w:val="00FF2289"/>
    <w:rsid w:val="00FF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1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PrrafodelistaCar"/>
    <w:uiPriority w:val="34"/>
    <w:qFormat/>
    <w:rsid w:val="000A34F6"/>
    <w:pPr>
      <w:ind w:left="720"/>
      <w:contextualSpacing/>
    </w:pPr>
  </w:style>
  <w:style w:type="character" w:styleId="Strong">
    <w:name w:val="Strong"/>
    <w:basedOn w:val="DefaultParagraphFont"/>
    <w:uiPriority w:val="22"/>
    <w:qFormat/>
    <w:rsid w:val="00F93397"/>
    <w:rPr>
      <w:b/>
      <w:bCs/>
    </w:rPr>
  </w:style>
  <w:style w:type="paragraph" w:styleId="FootnoteText">
    <w:name w:val="footnote text"/>
    <w:aliases w:val="Footnote Text Char Char Char Char Char,Footnote Text Char Char Char Char,Footnote reference,FA Fu,Footnote Text Char Char Char,footnote text,Footnote Text Cha,FA Fußnotentext,FA Fuﬂnotentext,Footnote Text Char Char,Car"/>
    <w:basedOn w:val="Normal"/>
    <w:link w:val="TextonotapieCar"/>
    <w:unhideWhenUsed/>
    <w:qFormat/>
    <w:rsid w:val="00F93397"/>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Footnote Text Cha Car1,FA Fußnotentext Car1,Car Car"/>
    <w:basedOn w:val="DefaultParagraphFont"/>
    <w:link w:val="FootnoteText"/>
    <w:rsid w:val="00F93397"/>
    <w:rPr>
      <w:sz w:val="20"/>
      <w:szCs w:val="20"/>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uiPriority w:val="99"/>
    <w:unhideWhenUsed/>
    <w:qFormat/>
    <w:rsid w:val="00F93397"/>
    <w:rPr>
      <w:vertAlign w:val="superscript"/>
    </w:rPr>
  </w:style>
  <w:style w:type="paragraph" w:styleId="NoSpacing">
    <w:name w:val="No Spacing"/>
    <w:uiPriority w:val="1"/>
    <w:qFormat/>
    <w:rsid w:val="00F93397"/>
    <w:pPr>
      <w:spacing w:after="0" w:line="240" w:lineRule="auto"/>
    </w:pPr>
  </w:style>
  <w:style w:type="paragraph" w:customStyle="1" w:styleId="Default">
    <w:name w:val="Default"/>
    <w:rsid w:val="00B17ED6"/>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conformatoprevioCar"/>
    <w:uiPriority w:val="99"/>
    <w:semiHidden/>
    <w:unhideWhenUsed/>
    <w:rsid w:val="00D9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A"/>
    </w:rPr>
  </w:style>
  <w:style w:type="character" w:customStyle="1" w:styleId="HTMLconformatoprevioCar">
    <w:name w:val="HTML con formato previo Car"/>
    <w:basedOn w:val="DefaultParagraphFont"/>
    <w:link w:val="HTMLPreformatted"/>
    <w:uiPriority w:val="99"/>
    <w:semiHidden/>
    <w:rsid w:val="00D90A35"/>
    <w:rPr>
      <w:rFonts w:ascii="Courier New" w:eastAsia="Times New Roman" w:hAnsi="Courier New" w:cs="Courier New"/>
      <w:sz w:val="20"/>
      <w:szCs w:val="20"/>
      <w:lang w:eastAsia="es-PA"/>
    </w:rPr>
  </w:style>
  <w:style w:type="character" w:customStyle="1" w:styleId="apple-converted-space">
    <w:name w:val="apple-converted-space"/>
    <w:basedOn w:val="DefaultParagraphFont"/>
    <w:rsid w:val="003E2A57"/>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rsid w:val="0066590F"/>
    <w:rPr>
      <w:rFonts w:ascii="Times New Roman" w:eastAsia="Times New Roman" w:hAnsi="Times New Roman" w:cs="Times New Roman"/>
      <w:sz w:val="20"/>
      <w:szCs w:val="20"/>
      <w:lang w:val="es-MX"/>
    </w:rPr>
  </w:style>
  <w:style w:type="paragraph" w:styleId="NormalWeb">
    <w:name w:val="Normal (Web)"/>
    <w:aliases w:val="Normal (Web) Char1,Normal (Web) Char Char,Normal (Web) Char1 Char,Normal (Web) Char Char Char"/>
    <w:basedOn w:val="Normal"/>
    <w:uiPriority w:val="99"/>
    <w:unhideWhenUsed/>
    <w:rsid w:val="00735C7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CommentReference">
    <w:name w:val="annotation reference"/>
    <w:basedOn w:val="DefaultParagraphFont"/>
    <w:uiPriority w:val="99"/>
    <w:semiHidden/>
    <w:unhideWhenUsed/>
    <w:rsid w:val="009F6FF0"/>
    <w:rPr>
      <w:sz w:val="16"/>
      <w:szCs w:val="16"/>
    </w:rPr>
  </w:style>
  <w:style w:type="paragraph" w:styleId="CommentText">
    <w:name w:val="annotation text"/>
    <w:basedOn w:val="Normal"/>
    <w:link w:val="TextocomentarioCar"/>
    <w:uiPriority w:val="99"/>
    <w:semiHidden/>
    <w:unhideWhenUsed/>
    <w:rsid w:val="009F6FF0"/>
    <w:pPr>
      <w:spacing w:line="240" w:lineRule="auto"/>
    </w:pPr>
    <w:rPr>
      <w:sz w:val="20"/>
      <w:szCs w:val="20"/>
    </w:rPr>
  </w:style>
  <w:style w:type="character" w:customStyle="1" w:styleId="TextocomentarioCar">
    <w:name w:val="Texto comentario Car"/>
    <w:basedOn w:val="DefaultParagraphFont"/>
    <w:link w:val="CommentText"/>
    <w:uiPriority w:val="99"/>
    <w:semiHidden/>
    <w:rsid w:val="009F6FF0"/>
    <w:rPr>
      <w:sz w:val="20"/>
      <w:szCs w:val="20"/>
    </w:rPr>
  </w:style>
  <w:style w:type="paragraph" w:styleId="CommentSubject">
    <w:name w:val="annotation subject"/>
    <w:basedOn w:val="CommentText"/>
    <w:next w:val="CommentText"/>
    <w:link w:val="AsuntodelcomentarioCar"/>
    <w:uiPriority w:val="99"/>
    <w:semiHidden/>
    <w:unhideWhenUsed/>
    <w:rsid w:val="009F6FF0"/>
    <w:rPr>
      <w:b/>
      <w:bCs/>
    </w:rPr>
  </w:style>
  <w:style w:type="character" w:customStyle="1" w:styleId="AsuntodelcomentarioCar">
    <w:name w:val="Asunto del comentario Car"/>
    <w:basedOn w:val="TextocomentarioCar"/>
    <w:link w:val="CommentSubject"/>
    <w:uiPriority w:val="99"/>
    <w:semiHidden/>
    <w:rsid w:val="009F6FF0"/>
    <w:rPr>
      <w:b/>
      <w:bCs/>
      <w:sz w:val="20"/>
      <w:szCs w:val="20"/>
    </w:rPr>
  </w:style>
  <w:style w:type="paragraph" w:styleId="BalloonText">
    <w:name w:val="Balloon Text"/>
    <w:basedOn w:val="Normal"/>
    <w:link w:val="TextodegloboCar"/>
    <w:uiPriority w:val="99"/>
    <w:semiHidden/>
    <w:unhideWhenUsed/>
    <w:rsid w:val="009F6FF0"/>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F6FF0"/>
    <w:rPr>
      <w:rFonts w:ascii="Tahoma" w:hAnsi="Tahoma" w:cs="Tahoma"/>
      <w:sz w:val="16"/>
      <w:szCs w:val="16"/>
    </w:rPr>
  </w:style>
  <w:style w:type="paragraph" w:customStyle="1" w:styleId="n2">
    <w:name w:val="n2"/>
    <w:basedOn w:val="Normal"/>
    <w:rsid w:val="00B5013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Emphasis">
    <w:name w:val="Emphasis"/>
    <w:basedOn w:val="DefaultParagraphFont"/>
    <w:uiPriority w:val="20"/>
    <w:qFormat/>
    <w:rsid w:val="00B50130"/>
    <w:rPr>
      <w:i/>
      <w:iCs/>
    </w:rPr>
  </w:style>
  <w:style w:type="paragraph" w:customStyle="1" w:styleId="j">
    <w:name w:val="j"/>
    <w:basedOn w:val="Normal"/>
    <w:rsid w:val="00B5013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nacep">
    <w:name w:val="n_acep"/>
    <w:basedOn w:val="DefaultParagraphFont"/>
    <w:rsid w:val="00B50130"/>
  </w:style>
  <w:style w:type="character" w:styleId="Hyperlink">
    <w:name w:val="Hyperlink"/>
    <w:basedOn w:val="DefaultParagraphFont"/>
    <w:uiPriority w:val="99"/>
    <w:unhideWhenUsed/>
    <w:rsid w:val="009B106D"/>
    <w:rPr>
      <w:color w:val="0000FF" w:themeColor="hyperlink"/>
      <w:u w:val="single"/>
    </w:rPr>
  </w:style>
  <w:style w:type="paragraph" w:styleId="Footer">
    <w:name w:val="footer"/>
    <w:basedOn w:val="Normal"/>
    <w:link w:val="PiedepginaCar"/>
    <w:uiPriority w:val="99"/>
    <w:unhideWhenUsed/>
    <w:rsid w:val="00A86CA5"/>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A86CA5"/>
  </w:style>
  <w:style w:type="character" w:styleId="PageNumber">
    <w:name w:val="page number"/>
    <w:basedOn w:val="DefaultParagraphFont"/>
    <w:uiPriority w:val="99"/>
    <w:semiHidden/>
    <w:unhideWhenUsed/>
    <w:rsid w:val="00A86CA5"/>
  </w:style>
  <w:style w:type="character" w:customStyle="1" w:styleId="PrrafodelistaCar">
    <w:name w:val="Párrafo de lista Car"/>
    <w:link w:val="ListParagraph"/>
    <w:uiPriority w:val="34"/>
    <w:locked/>
    <w:rsid w:val="001A5A49"/>
  </w:style>
  <w:style w:type="paragraph" w:customStyle="1" w:styleId="PrrafodeSentencia">
    <w:name w:val="*. Párrafo de Sentencia"/>
    <w:autoRedefine/>
    <w:qFormat/>
    <w:rsid w:val="001A5A49"/>
    <w:pPr>
      <w:numPr>
        <w:numId w:val="29"/>
      </w:numPr>
      <w:tabs>
        <w:tab w:val="left" w:pos="567"/>
      </w:tabs>
      <w:ind w:left="720"/>
      <w:jc w:val="both"/>
    </w:pPr>
    <w:rPr>
      <w:rFonts w:ascii="Verdana" w:eastAsia="Batang" w:hAnsi="Verdana" w:cs="Times New Roman"/>
      <w:sz w:val="20"/>
      <w:szCs w:val="20"/>
      <w:lang w:val="es-ES_tradnl" w:eastAsia="es-MX"/>
    </w:rPr>
  </w:style>
  <w:style w:type="table" w:styleId="ColorfulList-Accent1">
    <w:name w:val="Colorful List Accent 1"/>
    <w:basedOn w:val="TableNormal"/>
    <w:uiPriority w:val="72"/>
    <w:rsid w:val="001A5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PrrafodelistaCar"/>
    <w:uiPriority w:val="34"/>
    <w:qFormat/>
    <w:rsid w:val="000A34F6"/>
    <w:pPr>
      <w:ind w:left="720"/>
      <w:contextualSpacing/>
    </w:pPr>
  </w:style>
  <w:style w:type="character" w:styleId="Strong">
    <w:name w:val="Strong"/>
    <w:basedOn w:val="DefaultParagraphFont"/>
    <w:uiPriority w:val="22"/>
    <w:qFormat/>
    <w:rsid w:val="00F93397"/>
    <w:rPr>
      <w:b/>
      <w:bCs/>
    </w:rPr>
  </w:style>
  <w:style w:type="paragraph" w:styleId="FootnoteText">
    <w:name w:val="footnote text"/>
    <w:aliases w:val="Footnote Text Char Char Char Char Char,Footnote Text Char Char Char Char,Footnote reference,FA Fu,Footnote Text Char Char Char,footnote text,Footnote Text Cha,FA Fußnotentext,FA Fuﬂnotentext,Footnote Text Char Char,Car"/>
    <w:basedOn w:val="Normal"/>
    <w:link w:val="TextonotapieCar"/>
    <w:unhideWhenUsed/>
    <w:qFormat/>
    <w:rsid w:val="00F93397"/>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Footnote Text Cha Car1,FA Fußnotentext Car1,Car Car"/>
    <w:basedOn w:val="DefaultParagraphFont"/>
    <w:link w:val="FootnoteText"/>
    <w:rsid w:val="00F93397"/>
    <w:rPr>
      <w:sz w:val="20"/>
      <w:szCs w:val="20"/>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uiPriority w:val="99"/>
    <w:unhideWhenUsed/>
    <w:qFormat/>
    <w:rsid w:val="00F93397"/>
    <w:rPr>
      <w:vertAlign w:val="superscript"/>
    </w:rPr>
  </w:style>
  <w:style w:type="paragraph" w:styleId="NoSpacing">
    <w:name w:val="No Spacing"/>
    <w:uiPriority w:val="1"/>
    <w:qFormat/>
    <w:rsid w:val="00F93397"/>
    <w:pPr>
      <w:spacing w:after="0" w:line="240" w:lineRule="auto"/>
    </w:pPr>
  </w:style>
  <w:style w:type="paragraph" w:customStyle="1" w:styleId="Default">
    <w:name w:val="Default"/>
    <w:rsid w:val="00B17ED6"/>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conformatoprevioCar"/>
    <w:uiPriority w:val="99"/>
    <w:semiHidden/>
    <w:unhideWhenUsed/>
    <w:rsid w:val="00D9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A"/>
    </w:rPr>
  </w:style>
  <w:style w:type="character" w:customStyle="1" w:styleId="HTMLconformatoprevioCar">
    <w:name w:val="HTML con formato previo Car"/>
    <w:basedOn w:val="DefaultParagraphFont"/>
    <w:link w:val="HTMLPreformatted"/>
    <w:uiPriority w:val="99"/>
    <w:semiHidden/>
    <w:rsid w:val="00D90A35"/>
    <w:rPr>
      <w:rFonts w:ascii="Courier New" w:eastAsia="Times New Roman" w:hAnsi="Courier New" w:cs="Courier New"/>
      <w:sz w:val="20"/>
      <w:szCs w:val="20"/>
      <w:lang w:eastAsia="es-PA"/>
    </w:rPr>
  </w:style>
  <w:style w:type="character" w:customStyle="1" w:styleId="apple-converted-space">
    <w:name w:val="apple-converted-space"/>
    <w:basedOn w:val="DefaultParagraphFont"/>
    <w:rsid w:val="003E2A57"/>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rsid w:val="0066590F"/>
    <w:rPr>
      <w:rFonts w:ascii="Times New Roman" w:eastAsia="Times New Roman" w:hAnsi="Times New Roman" w:cs="Times New Roman"/>
      <w:sz w:val="20"/>
      <w:szCs w:val="20"/>
      <w:lang w:val="es-MX"/>
    </w:rPr>
  </w:style>
  <w:style w:type="paragraph" w:styleId="NormalWeb">
    <w:name w:val="Normal (Web)"/>
    <w:aliases w:val="Normal (Web) Char1,Normal (Web) Char Char,Normal (Web) Char1 Char,Normal (Web) Char Char Char"/>
    <w:basedOn w:val="Normal"/>
    <w:uiPriority w:val="99"/>
    <w:unhideWhenUsed/>
    <w:rsid w:val="00735C7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CommentReference">
    <w:name w:val="annotation reference"/>
    <w:basedOn w:val="DefaultParagraphFont"/>
    <w:uiPriority w:val="99"/>
    <w:semiHidden/>
    <w:unhideWhenUsed/>
    <w:rsid w:val="009F6FF0"/>
    <w:rPr>
      <w:sz w:val="16"/>
      <w:szCs w:val="16"/>
    </w:rPr>
  </w:style>
  <w:style w:type="paragraph" w:styleId="CommentText">
    <w:name w:val="annotation text"/>
    <w:basedOn w:val="Normal"/>
    <w:link w:val="TextocomentarioCar"/>
    <w:uiPriority w:val="99"/>
    <w:semiHidden/>
    <w:unhideWhenUsed/>
    <w:rsid w:val="009F6FF0"/>
    <w:pPr>
      <w:spacing w:line="240" w:lineRule="auto"/>
    </w:pPr>
    <w:rPr>
      <w:sz w:val="20"/>
      <w:szCs w:val="20"/>
    </w:rPr>
  </w:style>
  <w:style w:type="character" w:customStyle="1" w:styleId="TextocomentarioCar">
    <w:name w:val="Texto comentario Car"/>
    <w:basedOn w:val="DefaultParagraphFont"/>
    <w:link w:val="CommentText"/>
    <w:uiPriority w:val="99"/>
    <w:semiHidden/>
    <w:rsid w:val="009F6FF0"/>
    <w:rPr>
      <w:sz w:val="20"/>
      <w:szCs w:val="20"/>
    </w:rPr>
  </w:style>
  <w:style w:type="paragraph" w:styleId="CommentSubject">
    <w:name w:val="annotation subject"/>
    <w:basedOn w:val="CommentText"/>
    <w:next w:val="CommentText"/>
    <w:link w:val="AsuntodelcomentarioCar"/>
    <w:uiPriority w:val="99"/>
    <w:semiHidden/>
    <w:unhideWhenUsed/>
    <w:rsid w:val="009F6FF0"/>
    <w:rPr>
      <w:b/>
      <w:bCs/>
    </w:rPr>
  </w:style>
  <w:style w:type="character" w:customStyle="1" w:styleId="AsuntodelcomentarioCar">
    <w:name w:val="Asunto del comentario Car"/>
    <w:basedOn w:val="TextocomentarioCar"/>
    <w:link w:val="CommentSubject"/>
    <w:uiPriority w:val="99"/>
    <w:semiHidden/>
    <w:rsid w:val="009F6FF0"/>
    <w:rPr>
      <w:b/>
      <w:bCs/>
      <w:sz w:val="20"/>
      <w:szCs w:val="20"/>
    </w:rPr>
  </w:style>
  <w:style w:type="paragraph" w:styleId="BalloonText">
    <w:name w:val="Balloon Text"/>
    <w:basedOn w:val="Normal"/>
    <w:link w:val="TextodegloboCar"/>
    <w:uiPriority w:val="99"/>
    <w:semiHidden/>
    <w:unhideWhenUsed/>
    <w:rsid w:val="009F6FF0"/>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F6FF0"/>
    <w:rPr>
      <w:rFonts w:ascii="Tahoma" w:hAnsi="Tahoma" w:cs="Tahoma"/>
      <w:sz w:val="16"/>
      <w:szCs w:val="16"/>
    </w:rPr>
  </w:style>
  <w:style w:type="paragraph" w:customStyle="1" w:styleId="n2">
    <w:name w:val="n2"/>
    <w:basedOn w:val="Normal"/>
    <w:rsid w:val="00B5013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Emphasis">
    <w:name w:val="Emphasis"/>
    <w:basedOn w:val="DefaultParagraphFont"/>
    <w:uiPriority w:val="20"/>
    <w:qFormat/>
    <w:rsid w:val="00B50130"/>
    <w:rPr>
      <w:i/>
      <w:iCs/>
    </w:rPr>
  </w:style>
  <w:style w:type="paragraph" w:customStyle="1" w:styleId="j">
    <w:name w:val="j"/>
    <w:basedOn w:val="Normal"/>
    <w:rsid w:val="00B5013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nacep">
    <w:name w:val="n_acep"/>
    <w:basedOn w:val="DefaultParagraphFont"/>
    <w:rsid w:val="00B50130"/>
  </w:style>
  <w:style w:type="character" w:styleId="Hyperlink">
    <w:name w:val="Hyperlink"/>
    <w:basedOn w:val="DefaultParagraphFont"/>
    <w:uiPriority w:val="99"/>
    <w:unhideWhenUsed/>
    <w:rsid w:val="009B106D"/>
    <w:rPr>
      <w:color w:val="0000FF" w:themeColor="hyperlink"/>
      <w:u w:val="single"/>
    </w:rPr>
  </w:style>
  <w:style w:type="paragraph" w:styleId="Footer">
    <w:name w:val="footer"/>
    <w:basedOn w:val="Normal"/>
    <w:link w:val="PiedepginaCar"/>
    <w:uiPriority w:val="99"/>
    <w:unhideWhenUsed/>
    <w:rsid w:val="00A86CA5"/>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A86CA5"/>
  </w:style>
  <w:style w:type="character" w:styleId="PageNumber">
    <w:name w:val="page number"/>
    <w:basedOn w:val="DefaultParagraphFont"/>
    <w:uiPriority w:val="99"/>
    <w:semiHidden/>
    <w:unhideWhenUsed/>
    <w:rsid w:val="00A86CA5"/>
  </w:style>
  <w:style w:type="character" w:customStyle="1" w:styleId="PrrafodelistaCar">
    <w:name w:val="Párrafo de lista Car"/>
    <w:link w:val="ListParagraph"/>
    <w:uiPriority w:val="34"/>
    <w:locked/>
    <w:rsid w:val="001A5A49"/>
  </w:style>
  <w:style w:type="paragraph" w:customStyle="1" w:styleId="PrrafodeSentencia">
    <w:name w:val="*. Párrafo de Sentencia"/>
    <w:autoRedefine/>
    <w:qFormat/>
    <w:rsid w:val="001A5A49"/>
    <w:pPr>
      <w:numPr>
        <w:numId w:val="29"/>
      </w:numPr>
      <w:tabs>
        <w:tab w:val="left" w:pos="567"/>
      </w:tabs>
      <w:ind w:left="720"/>
      <w:jc w:val="both"/>
    </w:pPr>
    <w:rPr>
      <w:rFonts w:ascii="Verdana" w:eastAsia="Batang" w:hAnsi="Verdana" w:cs="Times New Roman"/>
      <w:sz w:val="20"/>
      <w:szCs w:val="20"/>
      <w:lang w:val="es-ES_tradnl" w:eastAsia="es-MX"/>
    </w:rPr>
  </w:style>
  <w:style w:type="table" w:styleId="ColorfulList-Accent1">
    <w:name w:val="Colorful List Accent 1"/>
    <w:basedOn w:val="TableNormal"/>
    <w:uiPriority w:val="72"/>
    <w:rsid w:val="001A5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42">
      <w:bodyDiv w:val="1"/>
      <w:marLeft w:val="0"/>
      <w:marRight w:val="0"/>
      <w:marTop w:val="0"/>
      <w:marBottom w:val="0"/>
      <w:divBdr>
        <w:top w:val="none" w:sz="0" w:space="0" w:color="auto"/>
        <w:left w:val="none" w:sz="0" w:space="0" w:color="auto"/>
        <w:bottom w:val="none" w:sz="0" w:space="0" w:color="auto"/>
        <w:right w:val="none" w:sz="0" w:space="0" w:color="auto"/>
      </w:divBdr>
      <w:divsChild>
        <w:div w:id="1138844262">
          <w:marLeft w:val="0"/>
          <w:marRight w:val="0"/>
          <w:marTop w:val="0"/>
          <w:marBottom w:val="240"/>
          <w:divBdr>
            <w:top w:val="none" w:sz="0" w:space="0" w:color="auto"/>
            <w:left w:val="none" w:sz="0" w:space="0" w:color="auto"/>
            <w:bottom w:val="none" w:sz="0" w:space="0" w:color="auto"/>
            <w:right w:val="none" w:sz="0" w:space="0" w:color="auto"/>
          </w:divBdr>
        </w:div>
      </w:divsChild>
    </w:div>
    <w:div w:id="349256793">
      <w:bodyDiv w:val="1"/>
      <w:marLeft w:val="0"/>
      <w:marRight w:val="0"/>
      <w:marTop w:val="0"/>
      <w:marBottom w:val="0"/>
      <w:divBdr>
        <w:top w:val="none" w:sz="0" w:space="0" w:color="auto"/>
        <w:left w:val="none" w:sz="0" w:space="0" w:color="auto"/>
        <w:bottom w:val="none" w:sz="0" w:space="0" w:color="auto"/>
        <w:right w:val="none" w:sz="0" w:space="0" w:color="auto"/>
      </w:divBdr>
    </w:div>
    <w:div w:id="356857583">
      <w:bodyDiv w:val="1"/>
      <w:marLeft w:val="0"/>
      <w:marRight w:val="0"/>
      <w:marTop w:val="0"/>
      <w:marBottom w:val="0"/>
      <w:divBdr>
        <w:top w:val="none" w:sz="0" w:space="0" w:color="auto"/>
        <w:left w:val="none" w:sz="0" w:space="0" w:color="auto"/>
        <w:bottom w:val="none" w:sz="0" w:space="0" w:color="auto"/>
        <w:right w:val="none" w:sz="0" w:space="0" w:color="auto"/>
      </w:divBdr>
    </w:div>
    <w:div w:id="371735011">
      <w:bodyDiv w:val="1"/>
      <w:marLeft w:val="0"/>
      <w:marRight w:val="0"/>
      <w:marTop w:val="0"/>
      <w:marBottom w:val="0"/>
      <w:divBdr>
        <w:top w:val="none" w:sz="0" w:space="0" w:color="auto"/>
        <w:left w:val="none" w:sz="0" w:space="0" w:color="auto"/>
        <w:bottom w:val="none" w:sz="0" w:space="0" w:color="auto"/>
        <w:right w:val="none" w:sz="0" w:space="0" w:color="auto"/>
      </w:divBdr>
    </w:div>
    <w:div w:id="585041599">
      <w:bodyDiv w:val="1"/>
      <w:marLeft w:val="0"/>
      <w:marRight w:val="0"/>
      <w:marTop w:val="0"/>
      <w:marBottom w:val="0"/>
      <w:divBdr>
        <w:top w:val="none" w:sz="0" w:space="0" w:color="auto"/>
        <w:left w:val="none" w:sz="0" w:space="0" w:color="auto"/>
        <w:bottom w:val="none" w:sz="0" w:space="0" w:color="auto"/>
        <w:right w:val="none" w:sz="0" w:space="0" w:color="auto"/>
      </w:divBdr>
    </w:div>
    <w:div w:id="668867988">
      <w:bodyDiv w:val="1"/>
      <w:marLeft w:val="0"/>
      <w:marRight w:val="0"/>
      <w:marTop w:val="0"/>
      <w:marBottom w:val="0"/>
      <w:divBdr>
        <w:top w:val="none" w:sz="0" w:space="0" w:color="auto"/>
        <w:left w:val="none" w:sz="0" w:space="0" w:color="auto"/>
        <w:bottom w:val="none" w:sz="0" w:space="0" w:color="auto"/>
        <w:right w:val="none" w:sz="0" w:space="0" w:color="auto"/>
      </w:divBdr>
    </w:div>
    <w:div w:id="862866798">
      <w:bodyDiv w:val="1"/>
      <w:marLeft w:val="0"/>
      <w:marRight w:val="0"/>
      <w:marTop w:val="0"/>
      <w:marBottom w:val="0"/>
      <w:divBdr>
        <w:top w:val="none" w:sz="0" w:space="0" w:color="auto"/>
        <w:left w:val="none" w:sz="0" w:space="0" w:color="auto"/>
        <w:bottom w:val="none" w:sz="0" w:space="0" w:color="auto"/>
        <w:right w:val="none" w:sz="0" w:space="0" w:color="auto"/>
      </w:divBdr>
    </w:div>
    <w:div w:id="1212620338">
      <w:bodyDiv w:val="1"/>
      <w:marLeft w:val="0"/>
      <w:marRight w:val="0"/>
      <w:marTop w:val="0"/>
      <w:marBottom w:val="0"/>
      <w:divBdr>
        <w:top w:val="none" w:sz="0" w:space="0" w:color="auto"/>
        <w:left w:val="none" w:sz="0" w:space="0" w:color="auto"/>
        <w:bottom w:val="none" w:sz="0" w:space="0" w:color="auto"/>
        <w:right w:val="none" w:sz="0" w:space="0" w:color="auto"/>
      </w:divBdr>
    </w:div>
    <w:div w:id="1235893215">
      <w:bodyDiv w:val="1"/>
      <w:marLeft w:val="0"/>
      <w:marRight w:val="0"/>
      <w:marTop w:val="0"/>
      <w:marBottom w:val="0"/>
      <w:divBdr>
        <w:top w:val="none" w:sz="0" w:space="0" w:color="auto"/>
        <w:left w:val="none" w:sz="0" w:space="0" w:color="auto"/>
        <w:bottom w:val="none" w:sz="0" w:space="0" w:color="auto"/>
        <w:right w:val="none" w:sz="0" w:space="0" w:color="auto"/>
      </w:divBdr>
    </w:div>
    <w:div w:id="1733771308">
      <w:bodyDiv w:val="1"/>
      <w:marLeft w:val="0"/>
      <w:marRight w:val="0"/>
      <w:marTop w:val="0"/>
      <w:marBottom w:val="0"/>
      <w:divBdr>
        <w:top w:val="none" w:sz="0" w:space="0" w:color="auto"/>
        <w:left w:val="none" w:sz="0" w:space="0" w:color="auto"/>
        <w:bottom w:val="none" w:sz="0" w:space="0" w:color="auto"/>
        <w:right w:val="none" w:sz="0" w:space="0" w:color="auto"/>
      </w:divBdr>
      <w:divsChild>
        <w:div w:id="2094740246">
          <w:marLeft w:val="0"/>
          <w:marRight w:val="0"/>
          <w:marTop w:val="0"/>
          <w:marBottom w:val="240"/>
          <w:divBdr>
            <w:top w:val="none" w:sz="0" w:space="0" w:color="auto"/>
            <w:left w:val="none" w:sz="0" w:space="0" w:color="auto"/>
            <w:bottom w:val="none" w:sz="0" w:space="0" w:color="auto"/>
            <w:right w:val="none" w:sz="0" w:space="0" w:color="auto"/>
          </w:divBdr>
        </w:div>
      </w:divsChild>
    </w:div>
    <w:div w:id="1767771127">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8">
          <w:marLeft w:val="0"/>
          <w:marRight w:val="0"/>
          <w:marTop w:val="0"/>
          <w:marBottom w:val="0"/>
          <w:divBdr>
            <w:top w:val="none" w:sz="0" w:space="0" w:color="auto"/>
            <w:left w:val="none" w:sz="0" w:space="0" w:color="auto"/>
            <w:bottom w:val="none" w:sz="0" w:space="0" w:color="auto"/>
            <w:right w:val="none" w:sz="0" w:space="0" w:color="auto"/>
          </w:divBdr>
        </w:div>
        <w:div w:id="816146962">
          <w:marLeft w:val="0"/>
          <w:marRight w:val="0"/>
          <w:marTop w:val="0"/>
          <w:marBottom w:val="0"/>
          <w:divBdr>
            <w:top w:val="none" w:sz="0" w:space="0" w:color="auto"/>
            <w:left w:val="none" w:sz="0" w:space="0" w:color="auto"/>
            <w:bottom w:val="none" w:sz="0" w:space="0" w:color="auto"/>
            <w:right w:val="none" w:sz="0" w:space="0" w:color="auto"/>
          </w:divBdr>
        </w:div>
        <w:div w:id="1439830889">
          <w:marLeft w:val="0"/>
          <w:marRight w:val="0"/>
          <w:marTop w:val="0"/>
          <w:marBottom w:val="0"/>
          <w:divBdr>
            <w:top w:val="none" w:sz="0" w:space="0" w:color="auto"/>
            <w:left w:val="none" w:sz="0" w:space="0" w:color="auto"/>
            <w:bottom w:val="none" w:sz="0" w:space="0" w:color="auto"/>
            <w:right w:val="none" w:sz="0" w:space="0" w:color="auto"/>
          </w:divBdr>
        </w:div>
        <w:div w:id="1044989933">
          <w:marLeft w:val="0"/>
          <w:marRight w:val="0"/>
          <w:marTop w:val="0"/>
          <w:marBottom w:val="0"/>
          <w:divBdr>
            <w:top w:val="none" w:sz="0" w:space="0" w:color="auto"/>
            <w:left w:val="none" w:sz="0" w:space="0" w:color="auto"/>
            <w:bottom w:val="none" w:sz="0" w:space="0" w:color="auto"/>
            <w:right w:val="none" w:sz="0" w:space="0" w:color="auto"/>
          </w:divBdr>
        </w:div>
        <w:div w:id="1761177490">
          <w:marLeft w:val="0"/>
          <w:marRight w:val="0"/>
          <w:marTop w:val="0"/>
          <w:marBottom w:val="0"/>
          <w:divBdr>
            <w:top w:val="none" w:sz="0" w:space="0" w:color="auto"/>
            <w:left w:val="none" w:sz="0" w:space="0" w:color="auto"/>
            <w:bottom w:val="none" w:sz="0" w:space="0" w:color="auto"/>
            <w:right w:val="none" w:sz="0" w:space="0" w:color="auto"/>
          </w:divBdr>
        </w:div>
      </w:divsChild>
    </w:div>
    <w:div w:id="1775245151">
      <w:bodyDiv w:val="1"/>
      <w:marLeft w:val="0"/>
      <w:marRight w:val="0"/>
      <w:marTop w:val="0"/>
      <w:marBottom w:val="0"/>
      <w:divBdr>
        <w:top w:val="none" w:sz="0" w:space="0" w:color="auto"/>
        <w:left w:val="none" w:sz="0" w:space="0" w:color="auto"/>
        <w:bottom w:val="none" w:sz="0" w:space="0" w:color="auto"/>
        <w:right w:val="none" w:sz="0" w:space="0" w:color="auto"/>
      </w:divBdr>
    </w:div>
    <w:div w:id="20636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5867-AB3C-4FE1-AF27-4630F779AF41}">
  <ds:schemaRefs>
    <ds:schemaRef ds:uri="http://schemas.microsoft.com/sharepoint/v3/contenttype/forms"/>
  </ds:schemaRefs>
</ds:datastoreItem>
</file>

<file path=customXml/itemProps2.xml><?xml version="1.0" encoding="utf-8"?>
<ds:datastoreItem xmlns:ds="http://schemas.openxmlformats.org/officeDocument/2006/customXml" ds:itemID="{96AB8C3A-FF51-4459-8F7C-035AEA259AE9}">
  <ds:schemaRefs>
    <ds:schemaRef ds:uri="http://schemas.microsoft.com/office/2006/metadata/properties"/>
  </ds:schemaRefs>
</ds:datastoreItem>
</file>

<file path=customXml/itemProps3.xml><?xml version="1.0" encoding="utf-8"?>
<ds:datastoreItem xmlns:ds="http://schemas.openxmlformats.org/officeDocument/2006/customXml" ds:itemID="{1B65C9E5-2AF5-4BB3-AA84-243B729B4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3AEBD0-B496-42D9-921D-1FDCC208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6697</Words>
  <Characters>36839</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2015-12-18T20:26:00Z</cp:lastPrinted>
  <dcterms:created xsi:type="dcterms:W3CDTF">2015-12-18T23:42:00Z</dcterms:created>
  <dcterms:modified xsi:type="dcterms:W3CDTF">2015-12-18T23:42:00Z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