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41318" w14:textId="77777777" w:rsidR="00450EAD" w:rsidRPr="00EA236D" w:rsidRDefault="00450EAD" w:rsidP="00450EAD">
      <w:pPr>
        <w:pStyle w:val="NoSpacing"/>
        <w:spacing w:line="360" w:lineRule="auto"/>
        <w:jc w:val="center"/>
        <w:rPr>
          <w:rFonts w:ascii="Verdana" w:hAnsi="Verdana"/>
          <w:b/>
          <w:sz w:val="20"/>
          <w:szCs w:val="20"/>
          <w:lang w:val="es-CR"/>
        </w:rPr>
      </w:pPr>
      <w:bookmarkStart w:id="0" w:name="_Toc462751118"/>
      <w:r w:rsidRPr="00EA236D">
        <w:rPr>
          <w:rFonts w:ascii="Verdana" w:hAnsi="Verdana"/>
          <w:b/>
          <w:sz w:val="20"/>
          <w:szCs w:val="20"/>
          <w:lang w:val="es-CR"/>
        </w:rPr>
        <w:t>VOTO RAZONADO DEL</w:t>
      </w:r>
    </w:p>
    <w:p w14:paraId="69ED3DC2" w14:textId="77777777" w:rsidR="00450EAD" w:rsidRPr="00EA236D" w:rsidRDefault="00450EAD" w:rsidP="00450EAD">
      <w:pPr>
        <w:pStyle w:val="NoSpacing"/>
        <w:spacing w:line="360" w:lineRule="auto"/>
        <w:jc w:val="center"/>
        <w:rPr>
          <w:rFonts w:ascii="Verdana" w:hAnsi="Verdana"/>
          <w:b/>
          <w:sz w:val="20"/>
          <w:szCs w:val="20"/>
          <w:lang w:val="es-CR"/>
        </w:rPr>
      </w:pPr>
      <w:r w:rsidRPr="00EA236D">
        <w:rPr>
          <w:rFonts w:ascii="Verdana" w:hAnsi="Verdana"/>
          <w:b/>
          <w:sz w:val="20"/>
          <w:szCs w:val="20"/>
          <w:lang w:val="es-CR"/>
        </w:rPr>
        <w:t>JUEZ EDUARDO FERRER MAC-GREGOR POISOT</w:t>
      </w:r>
    </w:p>
    <w:p w14:paraId="4D67249A" w14:textId="77777777" w:rsidR="00450EAD" w:rsidRPr="00EA236D" w:rsidRDefault="00450EAD" w:rsidP="00450EAD">
      <w:pPr>
        <w:pStyle w:val="NoSpacing"/>
        <w:jc w:val="center"/>
        <w:rPr>
          <w:rFonts w:ascii="Verdana" w:hAnsi="Verdana"/>
          <w:b/>
          <w:sz w:val="20"/>
          <w:szCs w:val="20"/>
          <w:lang w:val="es-CR"/>
        </w:rPr>
      </w:pPr>
    </w:p>
    <w:p w14:paraId="08F3FBB8" w14:textId="265CD0A9" w:rsidR="00450EAD" w:rsidRPr="00EA236D" w:rsidRDefault="00450EAD" w:rsidP="00450EAD">
      <w:pPr>
        <w:pStyle w:val="NoSpacing"/>
        <w:jc w:val="center"/>
        <w:rPr>
          <w:rFonts w:ascii="Verdana" w:hAnsi="Verdana"/>
          <w:b/>
          <w:i/>
          <w:sz w:val="20"/>
          <w:szCs w:val="20"/>
          <w:u w:val="single"/>
          <w:lang w:val="es-CR"/>
        </w:rPr>
      </w:pPr>
      <w:r w:rsidRPr="00EA236D">
        <w:rPr>
          <w:rFonts w:ascii="Verdana" w:hAnsi="Verdana"/>
          <w:b/>
          <w:i/>
          <w:sz w:val="20"/>
          <w:szCs w:val="20"/>
          <w:u w:val="single"/>
          <w:lang w:val="es-CR"/>
        </w:rPr>
        <w:t>CASO TRABAJADORES DE LA HACIENDA BRASIL VERDE VS. BRASIL</w:t>
      </w:r>
    </w:p>
    <w:p w14:paraId="130C782B" w14:textId="77777777" w:rsidR="00450EAD" w:rsidRPr="00EA236D" w:rsidRDefault="00450EAD" w:rsidP="00450EAD">
      <w:pPr>
        <w:pStyle w:val="NoSpacing"/>
        <w:jc w:val="center"/>
        <w:rPr>
          <w:rFonts w:ascii="Verdana" w:hAnsi="Verdana"/>
          <w:b/>
          <w:sz w:val="20"/>
          <w:szCs w:val="20"/>
          <w:u w:val="single"/>
          <w:lang w:val="es-CR"/>
        </w:rPr>
      </w:pPr>
    </w:p>
    <w:p w14:paraId="606AD78B" w14:textId="2D3C510D" w:rsidR="00450EAD" w:rsidRPr="00EA236D" w:rsidRDefault="00450EAD" w:rsidP="00450EAD">
      <w:pPr>
        <w:pStyle w:val="NoSpacing"/>
        <w:jc w:val="center"/>
        <w:rPr>
          <w:rFonts w:ascii="Verdana" w:hAnsi="Verdana"/>
          <w:b/>
          <w:sz w:val="18"/>
          <w:szCs w:val="18"/>
          <w:lang w:val="es-CR"/>
        </w:rPr>
      </w:pPr>
      <w:r w:rsidRPr="00EA236D">
        <w:rPr>
          <w:rFonts w:ascii="Verdana" w:hAnsi="Verdana"/>
          <w:b/>
          <w:sz w:val="18"/>
          <w:szCs w:val="18"/>
          <w:lang w:val="es-CR"/>
        </w:rPr>
        <w:t>SENTENCIA DE 20 DE OCTUBRE DE 2016</w:t>
      </w:r>
    </w:p>
    <w:p w14:paraId="7DDBEC19" w14:textId="77777777" w:rsidR="00450EAD" w:rsidRPr="00EA236D" w:rsidRDefault="00450EAD" w:rsidP="00450EAD">
      <w:pPr>
        <w:pStyle w:val="NoSpacing"/>
        <w:jc w:val="center"/>
        <w:rPr>
          <w:rFonts w:ascii="Verdana" w:hAnsi="Verdana"/>
          <w:b/>
          <w:i/>
          <w:iCs/>
          <w:sz w:val="18"/>
          <w:szCs w:val="18"/>
          <w:lang w:val="es-CR"/>
        </w:rPr>
      </w:pPr>
      <w:r w:rsidRPr="00EA236D">
        <w:rPr>
          <w:rFonts w:ascii="Verdana" w:hAnsi="Verdana"/>
          <w:b/>
          <w:i/>
          <w:iCs/>
          <w:sz w:val="18"/>
          <w:szCs w:val="18"/>
          <w:lang w:val="es-CR"/>
        </w:rPr>
        <w:t>(Excepciones Preliminares, Fondo, Reparaciones y Costas)</w:t>
      </w:r>
    </w:p>
    <w:p w14:paraId="799AC2A2" w14:textId="77777777" w:rsidR="00457907" w:rsidRPr="00EA236D" w:rsidRDefault="00457907" w:rsidP="008C2E57">
      <w:pPr>
        <w:rPr>
          <w:rFonts w:ascii="Verdana" w:hAnsi="Verdana" w:cs="Tahoma"/>
          <w:sz w:val="20"/>
          <w:szCs w:val="20"/>
        </w:rPr>
      </w:pPr>
    </w:p>
    <w:p w14:paraId="4129B37E" w14:textId="77777777" w:rsidR="00457907" w:rsidRPr="00EA236D" w:rsidRDefault="00457907" w:rsidP="00450EAD">
      <w:pPr>
        <w:jc w:val="center"/>
        <w:rPr>
          <w:rFonts w:ascii="Verdana" w:hAnsi="Verdana" w:cs="Tahoma"/>
          <w:sz w:val="20"/>
          <w:szCs w:val="20"/>
        </w:rPr>
      </w:pPr>
    </w:p>
    <w:p w14:paraId="7996A6E6" w14:textId="51810D00" w:rsidR="00EA3090" w:rsidRDefault="00EA3090" w:rsidP="00963A9F">
      <w:pPr>
        <w:spacing w:after="120"/>
        <w:jc w:val="both"/>
        <w:rPr>
          <w:rFonts w:ascii="Verdana" w:hAnsi="Verdana"/>
          <w:sz w:val="20"/>
          <w:szCs w:val="20"/>
        </w:rPr>
      </w:pPr>
      <w:r w:rsidRPr="00963A9F">
        <w:rPr>
          <w:rFonts w:ascii="Verdana" w:hAnsi="Verdana"/>
          <w:sz w:val="20"/>
          <w:szCs w:val="20"/>
        </w:rPr>
        <w:t>L</w:t>
      </w:r>
      <w:r>
        <w:rPr>
          <w:rFonts w:ascii="Verdana" w:hAnsi="Verdana"/>
          <w:sz w:val="20"/>
          <w:szCs w:val="20"/>
        </w:rPr>
        <w:t>a Jueza Elizabeth Odio Benito</w:t>
      </w:r>
      <w:r w:rsidRPr="00963A9F">
        <w:rPr>
          <w:rFonts w:ascii="Verdana" w:hAnsi="Verdana"/>
          <w:sz w:val="20"/>
          <w:szCs w:val="20"/>
        </w:rPr>
        <w:t xml:space="preserve"> se </w:t>
      </w:r>
      <w:r>
        <w:rPr>
          <w:rFonts w:ascii="Verdana" w:hAnsi="Verdana"/>
          <w:sz w:val="20"/>
          <w:szCs w:val="20"/>
        </w:rPr>
        <w:t>adhirió</w:t>
      </w:r>
      <w:r w:rsidRPr="00963A9F">
        <w:rPr>
          <w:rFonts w:ascii="Verdana" w:hAnsi="Verdana"/>
          <w:sz w:val="20"/>
          <w:szCs w:val="20"/>
        </w:rPr>
        <w:t xml:space="preserve"> al presente Voto del Juez Eduardo Ferrer Mac-Gregor Poisot.</w:t>
      </w:r>
    </w:p>
    <w:p w14:paraId="50684AFE" w14:textId="77777777" w:rsidR="008060A3" w:rsidRPr="00EA3090" w:rsidRDefault="008060A3" w:rsidP="00963A9F">
      <w:pPr>
        <w:spacing w:after="120"/>
        <w:jc w:val="both"/>
        <w:rPr>
          <w:rFonts w:ascii="Verdana" w:hAnsi="Verdana" w:cs="Tahoma"/>
          <w:sz w:val="20"/>
          <w:szCs w:val="20"/>
        </w:rPr>
      </w:pPr>
    </w:p>
    <w:p w14:paraId="1512394C" w14:textId="0D72F019" w:rsidR="009B33ED" w:rsidRPr="00EA236D" w:rsidRDefault="00450EAD" w:rsidP="00DF2214">
      <w:pPr>
        <w:spacing w:after="120"/>
        <w:jc w:val="center"/>
        <w:rPr>
          <w:rFonts w:ascii="Verdana" w:hAnsi="Verdana" w:cs="Tahoma"/>
          <w:sz w:val="20"/>
          <w:szCs w:val="20"/>
        </w:rPr>
      </w:pPr>
      <w:r w:rsidRPr="00EA236D">
        <w:rPr>
          <w:rFonts w:ascii="Verdana" w:hAnsi="Verdana" w:cs="Tahoma"/>
          <w:sz w:val="20"/>
          <w:szCs w:val="20"/>
        </w:rPr>
        <w:t>INTRODUCCIÓN</w:t>
      </w:r>
      <w:r w:rsidR="00571CE1" w:rsidRPr="00EA236D">
        <w:rPr>
          <w:rFonts w:ascii="Verdana" w:hAnsi="Verdana" w:cs="Tahoma"/>
          <w:sz w:val="20"/>
          <w:szCs w:val="20"/>
        </w:rPr>
        <w:t>:</w:t>
      </w:r>
    </w:p>
    <w:p w14:paraId="6A6DBFB4" w14:textId="2EF04B47" w:rsidR="00274DBF" w:rsidRPr="00EA236D" w:rsidRDefault="00450EAD" w:rsidP="003714D8">
      <w:pPr>
        <w:spacing w:line="360" w:lineRule="auto"/>
        <w:jc w:val="center"/>
        <w:rPr>
          <w:rFonts w:ascii="Verdana" w:hAnsi="Verdana" w:cs="Tahoma"/>
          <w:sz w:val="20"/>
          <w:szCs w:val="20"/>
        </w:rPr>
      </w:pPr>
      <w:r w:rsidRPr="00EA236D">
        <w:rPr>
          <w:rFonts w:ascii="Verdana" w:hAnsi="Verdana" w:cs="Tahoma"/>
          <w:sz w:val="20"/>
          <w:szCs w:val="20"/>
        </w:rPr>
        <w:t>SOBRE LA “DISCRIMINACIÓN ESTRUCTURAL HISTÓRICA” EN RAZÓN DE LA POSICIÓ</w:t>
      </w:r>
      <w:r w:rsidR="00681B81" w:rsidRPr="00EA236D">
        <w:rPr>
          <w:rFonts w:ascii="Verdana" w:hAnsi="Verdana" w:cs="Tahoma"/>
          <w:sz w:val="20"/>
          <w:szCs w:val="20"/>
        </w:rPr>
        <w:t xml:space="preserve">N ECONÓMICA </w:t>
      </w:r>
      <w:r w:rsidR="00D22F66" w:rsidRPr="00EA236D">
        <w:rPr>
          <w:rFonts w:ascii="Verdana" w:hAnsi="Verdana" w:cs="Tahoma"/>
          <w:sz w:val="20"/>
          <w:szCs w:val="20"/>
        </w:rPr>
        <w:t xml:space="preserve">(POBREZA) </w:t>
      </w:r>
      <w:r w:rsidR="00681B81" w:rsidRPr="00EA236D">
        <w:rPr>
          <w:rFonts w:ascii="Verdana" w:hAnsi="Verdana" w:cs="Tahoma"/>
          <w:sz w:val="20"/>
          <w:szCs w:val="20"/>
        </w:rPr>
        <w:t>DE LOS TRABAJADORES</w:t>
      </w:r>
      <w:r w:rsidR="00571CE1" w:rsidRPr="00EA236D">
        <w:rPr>
          <w:rFonts w:ascii="Verdana" w:hAnsi="Verdana" w:cs="Tahoma"/>
          <w:sz w:val="20"/>
          <w:szCs w:val="20"/>
        </w:rPr>
        <w:t xml:space="preserve"> SOMETIDOS A TRABAJO ESCLAVO</w:t>
      </w:r>
    </w:p>
    <w:bookmarkEnd w:id="0"/>
    <w:p w14:paraId="6536F801" w14:textId="77777777" w:rsidR="00934781" w:rsidRPr="00EA236D" w:rsidRDefault="00934781" w:rsidP="00934781">
      <w:pPr>
        <w:pStyle w:val="ListParagraph"/>
        <w:ind w:left="0"/>
        <w:rPr>
          <w:rFonts w:cs="System Font Regular"/>
          <w:szCs w:val="20"/>
          <w:lang w:val="es-ES_tradnl"/>
        </w:rPr>
      </w:pPr>
    </w:p>
    <w:p w14:paraId="0C92FEA2" w14:textId="38154322" w:rsidR="00FA77C7" w:rsidRPr="00EA236D" w:rsidRDefault="00934781" w:rsidP="0062278B">
      <w:pPr>
        <w:pStyle w:val="ListParagraph"/>
        <w:numPr>
          <w:ilvl w:val="0"/>
          <w:numId w:val="1"/>
        </w:numPr>
        <w:rPr>
          <w:rFonts w:cs="System Font Regular"/>
          <w:szCs w:val="20"/>
          <w:lang w:val="es-ES_tradnl"/>
        </w:rPr>
      </w:pPr>
      <w:r w:rsidRPr="00EA236D">
        <w:rPr>
          <w:szCs w:val="20"/>
          <w:lang w:val="es-ES_tradnl"/>
        </w:rPr>
        <w:t>E</w:t>
      </w:r>
      <w:r w:rsidR="00FA77C7" w:rsidRPr="00EA236D">
        <w:rPr>
          <w:szCs w:val="20"/>
          <w:lang w:val="es-ES_tradnl"/>
        </w:rPr>
        <w:t xml:space="preserve">sta es la primera ocasión </w:t>
      </w:r>
      <w:r w:rsidR="0062278B" w:rsidRPr="00EA236D">
        <w:rPr>
          <w:szCs w:val="20"/>
          <w:lang w:val="es-ES_tradnl"/>
        </w:rPr>
        <w:t xml:space="preserve">en la que la </w:t>
      </w:r>
      <w:r w:rsidR="00927D42" w:rsidRPr="00EA236D">
        <w:rPr>
          <w:szCs w:val="20"/>
          <w:lang w:val="es-ES_tradnl"/>
        </w:rPr>
        <w:t>Corte Interamericana de Derechos Humanos  (en adelante “Corte IDH” o “Tribunal Interamericano”)</w:t>
      </w:r>
      <w:r w:rsidR="00927D42" w:rsidRPr="00EA236D">
        <w:rPr>
          <w:rFonts w:cs="System Font Regular"/>
          <w:szCs w:val="20"/>
          <w:lang w:val="es-ES_tradnl"/>
        </w:rPr>
        <w:t xml:space="preserve"> ha tenido la oportunidad de pronunciarse respecto </w:t>
      </w:r>
      <w:r w:rsidR="000F5480" w:rsidRPr="00EA236D">
        <w:rPr>
          <w:rFonts w:cs="System Font Regular"/>
          <w:szCs w:val="20"/>
          <w:lang w:val="es-ES_tradnl"/>
        </w:rPr>
        <w:t>al</w:t>
      </w:r>
      <w:r w:rsidR="00927D42" w:rsidRPr="00EA236D">
        <w:rPr>
          <w:rFonts w:cs="System Font Regular"/>
          <w:szCs w:val="20"/>
          <w:lang w:val="es-ES_tradnl"/>
        </w:rPr>
        <w:t xml:space="preserve"> fenómeno de</w:t>
      </w:r>
      <w:r w:rsidR="000F5480" w:rsidRPr="00EA236D">
        <w:rPr>
          <w:rFonts w:cs="System Font Regular"/>
          <w:szCs w:val="20"/>
          <w:lang w:val="es-ES_tradnl"/>
        </w:rPr>
        <w:t>l</w:t>
      </w:r>
      <w:r w:rsidR="00927D42" w:rsidRPr="00EA236D">
        <w:rPr>
          <w:rFonts w:cs="System Font Regular"/>
          <w:szCs w:val="20"/>
          <w:lang w:val="es-ES_tradnl"/>
        </w:rPr>
        <w:t xml:space="preserve"> trabajo esclavo </w:t>
      </w:r>
      <w:r w:rsidR="00FA77C7" w:rsidRPr="00EA236D">
        <w:rPr>
          <w:rFonts w:cs="System Font Regular"/>
          <w:szCs w:val="20"/>
          <w:lang w:val="es-ES_tradnl"/>
        </w:rPr>
        <w:t>—que en este caso involucra</w:t>
      </w:r>
      <w:r w:rsidR="00927D42" w:rsidRPr="00EA236D">
        <w:rPr>
          <w:rFonts w:cs="System Font Regular"/>
          <w:szCs w:val="20"/>
          <w:lang w:val="es-ES_tradnl"/>
        </w:rPr>
        <w:t xml:space="preserve"> trabajos forzosos, servidumbre por deudas y trata de personas</w:t>
      </w:r>
      <w:r w:rsidR="00571CE1" w:rsidRPr="00EA236D">
        <w:rPr>
          <w:rFonts w:cs="System Font Regular"/>
          <w:szCs w:val="20"/>
          <w:lang w:val="es-ES_tradnl"/>
        </w:rPr>
        <w:t xml:space="preserve">—; </w:t>
      </w:r>
      <w:r w:rsidR="00FA77C7" w:rsidRPr="00EA236D">
        <w:rPr>
          <w:rFonts w:cs="System Font Regular"/>
          <w:szCs w:val="20"/>
          <w:lang w:val="es-ES_tradnl"/>
        </w:rPr>
        <w:t xml:space="preserve"> declarando</w:t>
      </w:r>
      <w:r w:rsidR="00571CE1" w:rsidRPr="00EA236D">
        <w:rPr>
          <w:rFonts w:cs="System Font Regular"/>
          <w:szCs w:val="20"/>
          <w:lang w:val="es-ES_tradnl"/>
        </w:rPr>
        <w:t xml:space="preserve"> responsable al Estado por infringir el</w:t>
      </w:r>
      <w:r w:rsidR="00FA77C7" w:rsidRPr="00EA236D">
        <w:rPr>
          <w:rFonts w:cs="System Font Regular"/>
          <w:szCs w:val="20"/>
          <w:lang w:val="es-ES_tradnl"/>
        </w:rPr>
        <w:t xml:space="preserve"> artículo 6.1 de la Convención Americana </w:t>
      </w:r>
      <w:r w:rsidR="00571CE1" w:rsidRPr="00EA236D">
        <w:rPr>
          <w:rFonts w:cs="System Font Regular"/>
          <w:szCs w:val="20"/>
          <w:lang w:val="es-ES_tradnl"/>
        </w:rPr>
        <w:t xml:space="preserve">sobre Derechos Humanos </w:t>
      </w:r>
      <w:r w:rsidR="00571CE1" w:rsidRPr="00EA236D">
        <w:rPr>
          <w:szCs w:val="20"/>
          <w:lang w:val="es-ES_tradnl"/>
        </w:rPr>
        <w:t xml:space="preserve">(en adelante “Convención Americana” o “Pacto de San José”), </w:t>
      </w:r>
      <w:r w:rsidR="00FA77C7" w:rsidRPr="00EA236D">
        <w:rPr>
          <w:rFonts w:cs="System Font Regular"/>
          <w:szCs w:val="20"/>
          <w:lang w:val="es-ES_tradnl"/>
        </w:rPr>
        <w:t xml:space="preserve">respecto </w:t>
      </w:r>
      <w:r w:rsidR="00571CE1" w:rsidRPr="00EA236D">
        <w:rPr>
          <w:rFonts w:cs="System Font Regular"/>
          <w:szCs w:val="20"/>
          <w:lang w:val="es-ES_tradnl"/>
        </w:rPr>
        <w:t>de los 85 trabajadores</w:t>
      </w:r>
      <w:r w:rsidR="003B3577">
        <w:rPr>
          <w:rFonts w:cs="System Font Regular"/>
          <w:szCs w:val="20"/>
          <w:lang w:val="es-ES_tradnl"/>
        </w:rPr>
        <w:t xml:space="preserve"> –</w:t>
      </w:r>
      <w:r w:rsidR="003B3577" w:rsidRPr="008060A3">
        <w:rPr>
          <w:rFonts w:cs="System Font Regular"/>
          <w:bCs/>
          <w:szCs w:val="20"/>
          <w:lang w:val="es-ES_tradnl"/>
        </w:rPr>
        <w:t>principalmente varones y una sola mujer</w:t>
      </w:r>
      <w:r w:rsidR="003B3577">
        <w:rPr>
          <w:rFonts w:cs="System Font Regular"/>
          <w:szCs w:val="20"/>
          <w:lang w:val="es-ES_tradnl"/>
        </w:rPr>
        <w:t>–</w:t>
      </w:r>
      <w:r w:rsidR="00F16B37" w:rsidRPr="00EA236D">
        <w:rPr>
          <w:rFonts w:cs="System Font Regular"/>
          <w:szCs w:val="20"/>
          <w:lang w:val="es-ES_tradnl"/>
        </w:rPr>
        <w:t>,</w:t>
      </w:r>
      <w:r w:rsidR="00571CE1" w:rsidRPr="00EA236D">
        <w:rPr>
          <w:rFonts w:cs="System Font Regular"/>
          <w:szCs w:val="20"/>
          <w:lang w:val="es-ES_tradnl"/>
        </w:rPr>
        <w:t xml:space="preserve"> víctimas</w:t>
      </w:r>
      <w:r w:rsidR="00F16B37" w:rsidRPr="00EA236D">
        <w:rPr>
          <w:rFonts w:cs="System Font Regular"/>
          <w:szCs w:val="20"/>
          <w:lang w:val="es-ES_tradnl"/>
        </w:rPr>
        <w:t xml:space="preserve"> del presente caso,</w:t>
      </w:r>
      <w:r w:rsidR="00571CE1" w:rsidRPr="00EA236D">
        <w:rPr>
          <w:rFonts w:cs="System Font Regular"/>
          <w:szCs w:val="20"/>
          <w:lang w:val="es-ES_tradnl"/>
        </w:rPr>
        <w:t xml:space="preserve"> rescatados de la Hacienda Brasil Verde.</w:t>
      </w:r>
      <w:r w:rsidR="00FA77C7" w:rsidRPr="00EA236D">
        <w:rPr>
          <w:rFonts w:cs="System Font Regular"/>
          <w:szCs w:val="20"/>
          <w:lang w:val="es-ES_tradnl"/>
        </w:rPr>
        <w:t xml:space="preserve"> </w:t>
      </w:r>
    </w:p>
    <w:p w14:paraId="0AE87F5F" w14:textId="77777777" w:rsidR="00017CD0" w:rsidRPr="008060A3" w:rsidRDefault="00017CD0" w:rsidP="008060A3">
      <w:pPr>
        <w:pStyle w:val="Footer"/>
        <w:tabs>
          <w:tab w:val="clear" w:pos="4252"/>
          <w:tab w:val="clear" w:pos="8504"/>
          <w:tab w:val="left" w:pos="709"/>
          <w:tab w:val="left" w:pos="1464"/>
        </w:tabs>
        <w:rPr>
          <w:rFonts w:ascii="Verdana" w:hAnsi="Verdana" w:cs="System Font Regular"/>
          <w:szCs w:val="20"/>
        </w:rPr>
      </w:pPr>
    </w:p>
    <w:p w14:paraId="67DD479F" w14:textId="301C6C62" w:rsidR="00927D42" w:rsidRPr="00EA236D" w:rsidRDefault="00AA74B0" w:rsidP="00017CD0">
      <w:pPr>
        <w:pStyle w:val="ListParagraph"/>
        <w:numPr>
          <w:ilvl w:val="0"/>
          <w:numId w:val="1"/>
        </w:numPr>
        <w:tabs>
          <w:tab w:val="left" w:pos="709"/>
          <w:tab w:val="left" w:pos="1464"/>
        </w:tabs>
        <w:rPr>
          <w:szCs w:val="20"/>
          <w:lang w:val="es-ES_tradnl"/>
        </w:rPr>
      </w:pPr>
      <w:r w:rsidRPr="00EA236D">
        <w:rPr>
          <w:rFonts w:cs="System Font Regular"/>
          <w:szCs w:val="20"/>
          <w:lang w:val="es-ES_tradnl"/>
        </w:rPr>
        <w:t>E</w:t>
      </w:r>
      <w:r w:rsidR="00017CD0" w:rsidRPr="00EA236D">
        <w:rPr>
          <w:rFonts w:cs="System Font Regular"/>
          <w:szCs w:val="20"/>
          <w:lang w:val="es-ES_tradnl"/>
        </w:rPr>
        <w:t>l Tribunal Interamericano analiz</w:t>
      </w:r>
      <w:r w:rsidR="00F16B37" w:rsidRPr="00EA236D">
        <w:rPr>
          <w:rFonts w:cs="System Font Regular"/>
          <w:szCs w:val="20"/>
          <w:lang w:val="es-ES_tradnl"/>
        </w:rPr>
        <w:t xml:space="preserve">ó </w:t>
      </w:r>
      <w:r w:rsidR="00202440" w:rsidRPr="00EA236D">
        <w:rPr>
          <w:rFonts w:cs="System Font Regular"/>
          <w:szCs w:val="20"/>
          <w:lang w:val="es-ES_tradnl"/>
        </w:rPr>
        <w:t>el contexto de discriminación basado</w:t>
      </w:r>
      <w:r w:rsidR="005531E3" w:rsidRPr="00EA236D">
        <w:rPr>
          <w:rFonts w:cs="System Font Regular"/>
          <w:szCs w:val="20"/>
          <w:lang w:val="es-ES_tradnl"/>
        </w:rPr>
        <w:t xml:space="preserve"> en</w:t>
      </w:r>
      <w:r w:rsidR="00017CD0" w:rsidRPr="00EA236D">
        <w:rPr>
          <w:rFonts w:cs="System Font Regular"/>
          <w:szCs w:val="20"/>
          <w:lang w:val="es-ES_tradnl"/>
        </w:rPr>
        <w:t xml:space="preserve"> pobreza dentro del fenómeno de trabajo esclavo </w:t>
      </w:r>
      <w:r w:rsidRPr="00EA236D">
        <w:rPr>
          <w:rFonts w:cs="System Font Regular"/>
          <w:szCs w:val="20"/>
          <w:lang w:val="es-ES_tradnl"/>
        </w:rPr>
        <w:t xml:space="preserve">en Brasil </w:t>
      </w:r>
      <w:r w:rsidR="00017CD0" w:rsidRPr="00EA236D">
        <w:rPr>
          <w:rFonts w:cs="System Font Regular"/>
          <w:szCs w:val="20"/>
          <w:lang w:val="es-ES_tradnl"/>
        </w:rPr>
        <w:t>(que data desde la mitad del Siglo XVII</w:t>
      </w:r>
      <w:r w:rsidRPr="00EA236D">
        <w:rPr>
          <w:rFonts w:cs="System Font Regular"/>
          <w:szCs w:val="20"/>
          <w:lang w:val="es-ES_tradnl"/>
        </w:rPr>
        <w:t>I), y que de manera sistemática</w:t>
      </w:r>
      <w:r w:rsidR="00017CD0" w:rsidRPr="00EA236D">
        <w:rPr>
          <w:rFonts w:cs="System Font Regular"/>
          <w:szCs w:val="20"/>
          <w:lang w:val="es-ES_tradnl"/>
        </w:rPr>
        <w:t xml:space="preserve"> permitió que las víctimas fueran objeto de trata de personas. Así, el reconocimiento que hace la Corte Interamericana de la </w:t>
      </w:r>
      <w:r w:rsidRPr="00EA236D">
        <w:rPr>
          <w:rFonts w:cs="System Font Regular"/>
          <w:szCs w:val="20"/>
          <w:lang w:val="es-ES_tradnl"/>
        </w:rPr>
        <w:t>“</w:t>
      </w:r>
      <w:r w:rsidR="00017CD0" w:rsidRPr="00EA236D">
        <w:rPr>
          <w:rFonts w:cs="System Font Regular"/>
          <w:szCs w:val="20"/>
          <w:lang w:val="es-ES_tradnl"/>
        </w:rPr>
        <w:t>pobreza</w:t>
      </w:r>
      <w:r w:rsidRPr="00EA236D">
        <w:rPr>
          <w:rFonts w:cs="System Font Regular"/>
          <w:szCs w:val="20"/>
          <w:lang w:val="es-ES_tradnl"/>
        </w:rPr>
        <w:t>”</w:t>
      </w:r>
      <w:r w:rsidR="00017CD0" w:rsidRPr="00EA236D">
        <w:rPr>
          <w:rFonts w:cs="System Font Regular"/>
          <w:szCs w:val="20"/>
          <w:lang w:val="es-ES_tradnl"/>
        </w:rPr>
        <w:t xml:space="preserve"> como parte de prohibición de la discriminación por </w:t>
      </w:r>
      <w:r w:rsidR="00263DE1" w:rsidRPr="00EA236D">
        <w:rPr>
          <w:rFonts w:cs="System Font Regular"/>
          <w:szCs w:val="20"/>
          <w:lang w:val="es-ES_tradnl"/>
        </w:rPr>
        <w:t>“</w:t>
      </w:r>
      <w:r w:rsidR="00017CD0" w:rsidRPr="00EA236D">
        <w:rPr>
          <w:rFonts w:cs="System Font Regular"/>
          <w:szCs w:val="20"/>
          <w:lang w:val="es-ES_tradnl"/>
        </w:rPr>
        <w:t>posición económica</w:t>
      </w:r>
      <w:r w:rsidR="00263DE1" w:rsidRPr="00EA236D">
        <w:rPr>
          <w:rFonts w:cs="System Font Regular"/>
          <w:szCs w:val="20"/>
          <w:lang w:val="es-ES_tradnl"/>
        </w:rPr>
        <w:t>”</w:t>
      </w:r>
      <w:r w:rsidR="004255F3" w:rsidRPr="00EA236D">
        <w:rPr>
          <w:rFonts w:cs="System Font Regular"/>
          <w:szCs w:val="20"/>
          <w:lang w:val="es-ES_tradnl"/>
        </w:rPr>
        <w:t>,</w:t>
      </w:r>
      <w:r w:rsidR="00017CD0" w:rsidRPr="00EA236D">
        <w:rPr>
          <w:rFonts w:cs="System Font Regular"/>
          <w:szCs w:val="20"/>
          <w:lang w:val="es-ES_tradnl"/>
        </w:rPr>
        <w:t xml:space="preserve"> </w:t>
      </w:r>
      <w:r w:rsidR="004255F3" w:rsidRPr="00EA236D">
        <w:rPr>
          <w:rFonts w:cs="System Font Regular"/>
          <w:szCs w:val="20"/>
          <w:lang w:val="es-ES_tradnl"/>
        </w:rPr>
        <w:t>resulta de particular relevancia</w:t>
      </w:r>
      <w:r w:rsidR="00017CD0" w:rsidRPr="00EA236D">
        <w:rPr>
          <w:rFonts w:cs="System Font Regular"/>
          <w:szCs w:val="20"/>
          <w:lang w:val="es-ES_tradnl"/>
        </w:rPr>
        <w:t xml:space="preserve"> para la jurisprudencia interamericana</w:t>
      </w:r>
      <w:r w:rsidR="00384FBE" w:rsidRPr="00EA236D">
        <w:rPr>
          <w:rFonts w:cs="System Font Regular"/>
          <w:szCs w:val="20"/>
          <w:lang w:val="es-ES_tradnl"/>
        </w:rPr>
        <w:t xml:space="preserve"> —y en general para el contexto</w:t>
      </w:r>
      <w:r w:rsidR="000B1A1E" w:rsidRPr="00EA236D">
        <w:rPr>
          <w:rFonts w:cs="System Font Regular"/>
          <w:szCs w:val="20"/>
          <w:lang w:val="es-ES_tradnl"/>
        </w:rPr>
        <w:t xml:space="preserve"> latinoamericano</w:t>
      </w:r>
      <w:r w:rsidR="00384FBE" w:rsidRPr="00EA236D">
        <w:rPr>
          <w:rFonts w:cs="System Font Regular"/>
          <w:szCs w:val="20"/>
          <w:lang w:val="es-ES_tradnl"/>
        </w:rPr>
        <w:t>—</w:t>
      </w:r>
      <w:r w:rsidR="005D7E01" w:rsidRPr="00EA236D">
        <w:rPr>
          <w:rStyle w:val="FootnoteReference"/>
          <w:lang w:val="es-ES_tradnl"/>
        </w:rPr>
        <w:footnoteReference w:id="1"/>
      </w:r>
      <w:r w:rsidR="002E10CC" w:rsidRPr="00EA236D">
        <w:rPr>
          <w:rFonts w:cs="System Font Regular"/>
          <w:szCs w:val="20"/>
          <w:lang w:val="es-ES_tradnl"/>
        </w:rPr>
        <w:t>,</w:t>
      </w:r>
      <w:r w:rsidR="00017CD0" w:rsidRPr="00EA236D">
        <w:rPr>
          <w:rFonts w:cs="System Font Regular"/>
          <w:szCs w:val="20"/>
          <w:lang w:val="es-ES_tradnl"/>
        </w:rPr>
        <w:t xml:space="preserve"> </w:t>
      </w:r>
      <w:r w:rsidRPr="00EA236D">
        <w:rPr>
          <w:rFonts w:cs="System Font Regular"/>
          <w:szCs w:val="20"/>
          <w:lang w:val="es-ES_tradnl"/>
        </w:rPr>
        <w:t xml:space="preserve">al ser la primera vez que </w:t>
      </w:r>
      <w:r w:rsidR="004255F3" w:rsidRPr="00EA236D">
        <w:rPr>
          <w:rFonts w:cs="System Font Regular"/>
          <w:szCs w:val="20"/>
          <w:lang w:val="es-ES_tradnl"/>
        </w:rPr>
        <w:t xml:space="preserve">se </w:t>
      </w:r>
      <w:r w:rsidRPr="00EA236D">
        <w:rPr>
          <w:rFonts w:cs="System Font Regular"/>
          <w:szCs w:val="20"/>
          <w:lang w:val="es-ES_tradnl"/>
        </w:rPr>
        <w:t xml:space="preserve">considera a </w:t>
      </w:r>
      <w:r w:rsidR="00927D42" w:rsidRPr="00EA236D">
        <w:rPr>
          <w:szCs w:val="20"/>
          <w:lang w:val="es-ES_tradnl"/>
        </w:rPr>
        <w:t xml:space="preserve">la pobreza como un componente de la prohibición de discriminación por </w:t>
      </w:r>
      <w:r w:rsidRPr="00EA236D">
        <w:rPr>
          <w:szCs w:val="20"/>
          <w:lang w:val="es-ES_tradnl"/>
        </w:rPr>
        <w:t>“</w:t>
      </w:r>
      <w:r w:rsidR="00927D42" w:rsidRPr="00EA236D">
        <w:rPr>
          <w:i/>
          <w:szCs w:val="20"/>
          <w:lang w:val="es-ES_tradnl"/>
        </w:rPr>
        <w:t>posición económica</w:t>
      </w:r>
      <w:r w:rsidRPr="00EA236D">
        <w:rPr>
          <w:i/>
          <w:szCs w:val="20"/>
          <w:lang w:val="es-ES_tradnl"/>
        </w:rPr>
        <w:t xml:space="preserve">” </w:t>
      </w:r>
      <w:r w:rsidR="007F744C" w:rsidRPr="00EA236D">
        <w:rPr>
          <w:szCs w:val="20"/>
          <w:lang w:val="es-ES_tradnl"/>
        </w:rPr>
        <w:t>(</w:t>
      </w:r>
      <w:r w:rsidR="008D6529" w:rsidRPr="00EA236D">
        <w:rPr>
          <w:szCs w:val="20"/>
          <w:lang w:val="es-ES_tradnl"/>
        </w:rPr>
        <w:t>categoría</w:t>
      </w:r>
      <w:r w:rsidR="00927D42" w:rsidRPr="00EA236D">
        <w:rPr>
          <w:szCs w:val="20"/>
          <w:lang w:val="es-ES_tradnl"/>
        </w:rPr>
        <w:t xml:space="preserve"> que se encuentra contemplada de manera expresa en el artículo 1.1 de la Convención Americana</w:t>
      </w:r>
      <w:r w:rsidR="004255F3" w:rsidRPr="00EA236D">
        <w:rPr>
          <w:szCs w:val="20"/>
          <w:lang w:val="es-ES_tradnl"/>
        </w:rPr>
        <w:t>, a diferencia de otros tratados internacionales</w:t>
      </w:r>
      <w:r w:rsidR="007F744C" w:rsidRPr="00EA236D">
        <w:rPr>
          <w:szCs w:val="20"/>
          <w:lang w:val="es-ES_tradnl"/>
        </w:rPr>
        <w:t>)</w:t>
      </w:r>
      <w:r w:rsidR="004255F3" w:rsidRPr="00EA236D">
        <w:rPr>
          <w:szCs w:val="20"/>
          <w:lang w:val="es-ES_tradnl"/>
        </w:rPr>
        <w:t xml:space="preserve">; teniendo especial relevancia que las violaciones </w:t>
      </w:r>
      <w:r w:rsidR="00855BBA" w:rsidRPr="00EA236D">
        <w:rPr>
          <w:szCs w:val="20"/>
          <w:lang w:val="es-ES_tradnl"/>
        </w:rPr>
        <w:t xml:space="preserve">declaradas </w:t>
      </w:r>
      <w:r w:rsidR="004255F3" w:rsidRPr="00EA236D">
        <w:rPr>
          <w:szCs w:val="20"/>
          <w:lang w:val="es-ES_tradnl"/>
        </w:rPr>
        <w:t xml:space="preserve">fueron “en el marco de una situación de </w:t>
      </w:r>
      <w:r w:rsidR="004255F3" w:rsidRPr="00EA236D">
        <w:rPr>
          <w:i/>
          <w:szCs w:val="20"/>
          <w:lang w:val="es-ES_tradnl"/>
        </w:rPr>
        <w:t>discriminación estructural histórica</w:t>
      </w:r>
      <w:r w:rsidR="004255F3" w:rsidRPr="00EA236D">
        <w:rPr>
          <w:szCs w:val="20"/>
          <w:lang w:val="es-ES_tradnl"/>
        </w:rPr>
        <w:t xml:space="preserve"> en razón de la posición económica de los 85 trabajadores” en el caso particular</w:t>
      </w:r>
      <w:r w:rsidR="002E10CC" w:rsidRPr="00EA236D">
        <w:rPr>
          <w:rStyle w:val="FootnoteReference"/>
          <w:lang w:val="es-ES_tradnl"/>
        </w:rPr>
        <w:footnoteReference w:id="2"/>
      </w:r>
      <w:r w:rsidR="004255F3" w:rsidRPr="00EA236D">
        <w:rPr>
          <w:szCs w:val="20"/>
          <w:lang w:val="es-ES_tradnl"/>
        </w:rPr>
        <w:t>.</w:t>
      </w:r>
      <w:r w:rsidR="00927D42" w:rsidRPr="00EA236D">
        <w:rPr>
          <w:i/>
          <w:szCs w:val="20"/>
          <w:lang w:val="es-ES_tradnl"/>
        </w:rPr>
        <w:t xml:space="preserve"> </w:t>
      </w:r>
    </w:p>
    <w:p w14:paraId="7D6C5E52" w14:textId="77777777" w:rsidR="00855BBA" w:rsidRPr="00EA236D" w:rsidRDefault="00855BBA" w:rsidP="00855BBA">
      <w:pPr>
        <w:tabs>
          <w:tab w:val="left" w:pos="709"/>
          <w:tab w:val="left" w:pos="1464"/>
        </w:tabs>
        <w:rPr>
          <w:rFonts w:ascii="Verdana" w:hAnsi="Verdana"/>
          <w:szCs w:val="20"/>
        </w:rPr>
      </w:pPr>
    </w:p>
    <w:p w14:paraId="7C8D3DF0" w14:textId="50818463" w:rsidR="00340A9A" w:rsidRPr="00EA236D" w:rsidRDefault="0083718E" w:rsidP="00DF2214">
      <w:pPr>
        <w:pStyle w:val="ListParagraph"/>
        <w:numPr>
          <w:ilvl w:val="0"/>
          <w:numId w:val="1"/>
        </w:numPr>
        <w:tabs>
          <w:tab w:val="left" w:pos="709"/>
          <w:tab w:val="left" w:pos="1464"/>
        </w:tabs>
        <w:rPr>
          <w:szCs w:val="20"/>
          <w:lang w:val="es-ES_tradnl"/>
        </w:rPr>
      </w:pPr>
      <w:r w:rsidRPr="00EA236D">
        <w:rPr>
          <w:szCs w:val="20"/>
          <w:lang w:val="es-ES_tradnl"/>
        </w:rPr>
        <w:lastRenderedPageBreak/>
        <w:t>Por ese motivo</w:t>
      </w:r>
      <w:r w:rsidR="00340A9A" w:rsidRPr="00EA236D">
        <w:rPr>
          <w:szCs w:val="20"/>
          <w:lang w:val="es-ES_tradnl"/>
        </w:rPr>
        <w:t xml:space="preserve"> emito el presente voto </w:t>
      </w:r>
      <w:r w:rsidR="004255F3" w:rsidRPr="00EA236D">
        <w:rPr>
          <w:szCs w:val="20"/>
          <w:lang w:val="es-ES_tradnl"/>
        </w:rPr>
        <w:t>razonado</w:t>
      </w:r>
      <w:r w:rsidR="00340A9A" w:rsidRPr="00EA236D">
        <w:rPr>
          <w:szCs w:val="20"/>
          <w:lang w:val="es-ES_tradnl"/>
        </w:rPr>
        <w:t xml:space="preserve">, al considerar la necesidad de enfatizar y profundizar algunos elementos del caso en relación con el reconocimiento de la pobreza como parte la prohibición de discriminación por la posición </w:t>
      </w:r>
      <w:r w:rsidR="00F16B37" w:rsidRPr="00EA236D">
        <w:rPr>
          <w:szCs w:val="20"/>
          <w:lang w:val="es-ES_tradnl"/>
        </w:rPr>
        <w:t>económica</w:t>
      </w:r>
      <w:r w:rsidR="00340A9A" w:rsidRPr="00EA236D">
        <w:rPr>
          <w:szCs w:val="20"/>
          <w:lang w:val="es-ES_tradnl"/>
        </w:rPr>
        <w:t xml:space="preserve"> </w:t>
      </w:r>
      <w:r w:rsidR="00017CD0" w:rsidRPr="00EA236D">
        <w:rPr>
          <w:szCs w:val="20"/>
          <w:lang w:val="es-ES_tradnl"/>
        </w:rPr>
        <w:t>reconocido</w:t>
      </w:r>
      <w:r w:rsidR="00340A9A" w:rsidRPr="00EA236D">
        <w:rPr>
          <w:szCs w:val="20"/>
          <w:lang w:val="es-ES_tradnl"/>
        </w:rPr>
        <w:t xml:space="preserve"> en el art</w:t>
      </w:r>
      <w:r w:rsidR="00EA236D">
        <w:rPr>
          <w:szCs w:val="20"/>
          <w:lang w:val="es-ES_tradnl"/>
        </w:rPr>
        <w:t>í</w:t>
      </w:r>
      <w:r w:rsidR="00340A9A" w:rsidRPr="00EA236D">
        <w:rPr>
          <w:szCs w:val="20"/>
          <w:lang w:val="es-ES_tradnl"/>
        </w:rPr>
        <w:t xml:space="preserve">culo 1.1 y la identificación de las </w:t>
      </w:r>
      <w:r w:rsidR="00017CD0" w:rsidRPr="00EA236D">
        <w:rPr>
          <w:szCs w:val="20"/>
          <w:lang w:val="es-ES_tradnl"/>
        </w:rPr>
        <w:t>circunstancias</w:t>
      </w:r>
      <w:r w:rsidR="00340A9A" w:rsidRPr="00EA236D">
        <w:rPr>
          <w:szCs w:val="20"/>
          <w:lang w:val="es-ES_tradnl"/>
        </w:rPr>
        <w:t xml:space="preserve"> de </w:t>
      </w:r>
      <w:r w:rsidR="00340A9A" w:rsidRPr="00EA236D">
        <w:rPr>
          <w:i/>
          <w:szCs w:val="20"/>
          <w:lang w:val="es-ES_tradnl"/>
        </w:rPr>
        <w:t>discriminación estructural histórica</w:t>
      </w:r>
      <w:r w:rsidR="00340A9A" w:rsidRPr="00EA236D">
        <w:rPr>
          <w:szCs w:val="20"/>
          <w:lang w:val="es-ES_tradnl"/>
        </w:rPr>
        <w:t xml:space="preserve"> que se </w:t>
      </w:r>
      <w:r w:rsidR="00855BBA" w:rsidRPr="00EA236D">
        <w:rPr>
          <w:szCs w:val="20"/>
          <w:lang w:val="es-ES_tradnl"/>
        </w:rPr>
        <w:t>evidenciaron</w:t>
      </w:r>
      <w:r w:rsidR="00340A9A" w:rsidRPr="00EA236D">
        <w:rPr>
          <w:szCs w:val="20"/>
          <w:lang w:val="es-ES_tradnl"/>
        </w:rPr>
        <w:t xml:space="preserve"> en la Sentencia. </w:t>
      </w:r>
      <w:r w:rsidR="004255F3" w:rsidRPr="00EA236D">
        <w:rPr>
          <w:szCs w:val="20"/>
          <w:lang w:val="es-ES_tradnl"/>
        </w:rPr>
        <w:t>Para una mayor claridad, se expondrán a continuación:</w:t>
      </w:r>
      <w:r w:rsidR="00340A9A" w:rsidRPr="00EA236D">
        <w:rPr>
          <w:i/>
          <w:szCs w:val="20"/>
          <w:lang w:val="es-ES_tradnl"/>
        </w:rPr>
        <w:t xml:space="preserve"> I) </w:t>
      </w:r>
      <w:r w:rsidR="00340A9A" w:rsidRPr="00EA236D">
        <w:rPr>
          <w:szCs w:val="20"/>
          <w:lang w:val="es-ES_tradnl"/>
        </w:rPr>
        <w:t xml:space="preserve">La pobreza como parte de la prohibición de discriminar por la “posición económica” en los </w:t>
      </w:r>
      <w:r w:rsidR="005531E3" w:rsidRPr="00EA236D">
        <w:rPr>
          <w:szCs w:val="20"/>
          <w:lang w:val="es-ES_tradnl"/>
        </w:rPr>
        <w:t>s</w:t>
      </w:r>
      <w:r w:rsidR="00340A9A" w:rsidRPr="00EA236D">
        <w:rPr>
          <w:szCs w:val="20"/>
          <w:lang w:val="es-ES_tradnl"/>
        </w:rPr>
        <w:t xml:space="preserve">istemas </w:t>
      </w:r>
      <w:r w:rsidR="00AE08CC" w:rsidRPr="00EA236D">
        <w:rPr>
          <w:szCs w:val="20"/>
          <w:lang w:val="es-ES_tradnl"/>
        </w:rPr>
        <w:t xml:space="preserve">de </w:t>
      </w:r>
      <w:r w:rsidR="005531E3" w:rsidRPr="00EA236D">
        <w:rPr>
          <w:szCs w:val="20"/>
          <w:lang w:val="es-ES_tradnl"/>
        </w:rPr>
        <w:t>p</w:t>
      </w:r>
      <w:r w:rsidR="00453CF8" w:rsidRPr="00EA236D">
        <w:rPr>
          <w:szCs w:val="20"/>
          <w:lang w:val="es-ES_tradnl"/>
        </w:rPr>
        <w:t xml:space="preserve">rotección de </w:t>
      </w:r>
      <w:r w:rsidR="005531E3" w:rsidRPr="00EA236D">
        <w:rPr>
          <w:szCs w:val="20"/>
          <w:lang w:val="es-ES_tradnl"/>
        </w:rPr>
        <w:t>d</w:t>
      </w:r>
      <w:r w:rsidR="00340A9A" w:rsidRPr="00EA236D">
        <w:rPr>
          <w:szCs w:val="20"/>
          <w:lang w:val="es-ES_tradnl"/>
        </w:rPr>
        <w:t xml:space="preserve">erechos </w:t>
      </w:r>
      <w:r w:rsidR="005531E3" w:rsidRPr="00EA236D">
        <w:rPr>
          <w:szCs w:val="20"/>
          <w:lang w:val="es-ES_tradnl"/>
        </w:rPr>
        <w:t>h</w:t>
      </w:r>
      <w:r w:rsidR="00340A9A" w:rsidRPr="00EA236D">
        <w:rPr>
          <w:szCs w:val="20"/>
          <w:lang w:val="es-ES_tradnl"/>
        </w:rPr>
        <w:t xml:space="preserve">umanos </w:t>
      </w:r>
      <w:r w:rsidR="00017CD0" w:rsidRPr="00EA236D">
        <w:rPr>
          <w:i/>
          <w:szCs w:val="20"/>
          <w:lang w:val="es-ES_tradnl"/>
        </w:rPr>
        <w:t>(pá</w:t>
      </w:r>
      <w:r w:rsidR="00340A9A" w:rsidRPr="00EA236D">
        <w:rPr>
          <w:i/>
          <w:szCs w:val="20"/>
          <w:lang w:val="es-ES_tradnl"/>
        </w:rPr>
        <w:t xml:space="preserve">rrs. </w:t>
      </w:r>
      <w:r w:rsidR="00F6203A" w:rsidRPr="00EA236D">
        <w:rPr>
          <w:i/>
          <w:szCs w:val="20"/>
          <w:lang w:val="es-ES_tradnl"/>
        </w:rPr>
        <w:t>4-25</w:t>
      </w:r>
      <w:r w:rsidR="00340A9A" w:rsidRPr="00EA236D">
        <w:rPr>
          <w:i/>
          <w:szCs w:val="20"/>
          <w:lang w:val="es-ES_tradnl"/>
        </w:rPr>
        <w:t>)</w:t>
      </w:r>
      <w:r w:rsidR="002C0A86" w:rsidRPr="00EA236D">
        <w:rPr>
          <w:i/>
          <w:szCs w:val="20"/>
          <w:lang w:val="es-ES_tradnl"/>
        </w:rPr>
        <w:t>;</w:t>
      </w:r>
      <w:r w:rsidR="002C0A86" w:rsidRPr="00EA236D">
        <w:rPr>
          <w:szCs w:val="20"/>
          <w:lang w:val="es-ES_tradnl"/>
        </w:rPr>
        <w:t xml:space="preserve"> </w:t>
      </w:r>
      <w:r w:rsidR="00453CF8" w:rsidRPr="00EA236D">
        <w:rPr>
          <w:i/>
          <w:szCs w:val="20"/>
          <w:lang w:val="es-ES_tradnl"/>
        </w:rPr>
        <w:t>II)</w:t>
      </w:r>
      <w:r w:rsidR="00453CF8" w:rsidRPr="00EA236D">
        <w:rPr>
          <w:szCs w:val="20"/>
          <w:lang w:val="es-ES_tradnl"/>
        </w:rPr>
        <w:t xml:space="preserve"> La pobreza y la posición económica en la jurisprudencia interamericana</w:t>
      </w:r>
      <w:r w:rsidR="00782A7A" w:rsidRPr="00EA236D">
        <w:rPr>
          <w:szCs w:val="20"/>
          <w:lang w:val="es-ES_tradnl"/>
        </w:rPr>
        <w:t xml:space="preserve"> </w:t>
      </w:r>
      <w:r w:rsidR="00245B38" w:rsidRPr="00EA236D">
        <w:rPr>
          <w:i/>
          <w:szCs w:val="20"/>
          <w:lang w:val="es-ES_tradnl"/>
        </w:rPr>
        <w:t>(párrs. 26-44</w:t>
      </w:r>
      <w:r w:rsidR="00782A7A" w:rsidRPr="00EA236D">
        <w:rPr>
          <w:i/>
          <w:szCs w:val="20"/>
          <w:lang w:val="es-ES_tradnl"/>
        </w:rPr>
        <w:t>)</w:t>
      </w:r>
      <w:r w:rsidR="00453CF8" w:rsidRPr="00EA236D">
        <w:rPr>
          <w:szCs w:val="20"/>
          <w:lang w:val="es-ES_tradnl"/>
        </w:rPr>
        <w:t xml:space="preserve">; </w:t>
      </w:r>
      <w:r w:rsidR="002C0A86" w:rsidRPr="00EA236D">
        <w:rPr>
          <w:i/>
          <w:szCs w:val="20"/>
          <w:lang w:val="es-ES_tradnl"/>
        </w:rPr>
        <w:t>I</w:t>
      </w:r>
      <w:r w:rsidR="00453CF8" w:rsidRPr="00EA236D">
        <w:rPr>
          <w:i/>
          <w:szCs w:val="20"/>
          <w:lang w:val="es-ES_tradnl"/>
        </w:rPr>
        <w:t>I</w:t>
      </w:r>
      <w:r w:rsidR="002C0A86" w:rsidRPr="00EA236D">
        <w:rPr>
          <w:i/>
          <w:szCs w:val="20"/>
          <w:lang w:val="es-ES_tradnl"/>
        </w:rPr>
        <w:t>I)</w:t>
      </w:r>
      <w:r w:rsidR="002C0A86" w:rsidRPr="00EA236D">
        <w:rPr>
          <w:szCs w:val="20"/>
          <w:lang w:val="es-ES_tradnl"/>
        </w:rPr>
        <w:t xml:space="preserve"> La pobreza como p</w:t>
      </w:r>
      <w:r w:rsidR="00B83DCB" w:rsidRPr="00EA236D">
        <w:rPr>
          <w:szCs w:val="20"/>
          <w:lang w:val="es-ES_tradnl"/>
        </w:rPr>
        <w:t xml:space="preserve">arte de la “posición económica” </w:t>
      </w:r>
      <w:r w:rsidR="002C0A86" w:rsidRPr="00EA236D">
        <w:rPr>
          <w:szCs w:val="20"/>
          <w:lang w:val="es-ES_tradnl"/>
        </w:rPr>
        <w:t xml:space="preserve">contemplada en la Convención Americana en el presente caso </w:t>
      </w:r>
      <w:r w:rsidR="00017CD0" w:rsidRPr="00EA236D">
        <w:rPr>
          <w:i/>
          <w:szCs w:val="20"/>
          <w:lang w:val="es-ES_tradnl"/>
        </w:rPr>
        <w:t>(pá</w:t>
      </w:r>
      <w:r w:rsidR="00245B38" w:rsidRPr="00EA236D">
        <w:rPr>
          <w:i/>
          <w:szCs w:val="20"/>
          <w:lang w:val="es-ES_tradnl"/>
        </w:rPr>
        <w:t>rrs. 45-55</w:t>
      </w:r>
      <w:r w:rsidR="002C0A86" w:rsidRPr="00EA236D">
        <w:rPr>
          <w:i/>
          <w:szCs w:val="20"/>
          <w:lang w:val="es-ES_tradnl"/>
        </w:rPr>
        <w:t>);</w:t>
      </w:r>
      <w:r w:rsidR="002C0A86" w:rsidRPr="00EA236D">
        <w:rPr>
          <w:szCs w:val="20"/>
          <w:lang w:val="es-ES_tradnl"/>
        </w:rPr>
        <w:t xml:space="preserve"> </w:t>
      </w:r>
      <w:r w:rsidR="002C0A86" w:rsidRPr="00EA236D">
        <w:rPr>
          <w:rFonts w:cs="System Font Regular"/>
          <w:i/>
          <w:szCs w:val="20"/>
          <w:lang w:val="es-ES_tradnl"/>
        </w:rPr>
        <w:t>I</w:t>
      </w:r>
      <w:r w:rsidR="00453CF8" w:rsidRPr="00EA236D">
        <w:rPr>
          <w:rFonts w:cs="System Font Regular"/>
          <w:i/>
          <w:szCs w:val="20"/>
          <w:lang w:val="es-ES_tradnl"/>
        </w:rPr>
        <w:t>V</w:t>
      </w:r>
      <w:r w:rsidR="002C0A86" w:rsidRPr="00EA236D">
        <w:rPr>
          <w:rFonts w:cs="System Font Regular"/>
          <w:i/>
          <w:szCs w:val="20"/>
          <w:lang w:val="es-ES_tradnl"/>
        </w:rPr>
        <w:t>)</w:t>
      </w:r>
      <w:r w:rsidR="00EC2DB2" w:rsidRPr="00EA236D">
        <w:rPr>
          <w:rFonts w:cs="System Font Regular"/>
          <w:szCs w:val="20"/>
          <w:lang w:val="es-ES_tradnl"/>
        </w:rPr>
        <w:t xml:space="preserve"> </w:t>
      </w:r>
      <w:r w:rsidR="002C0A86" w:rsidRPr="00EA236D">
        <w:rPr>
          <w:rFonts w:cs="System Font Regular"/>
          <w:szCs w:val="20"/>
          <w:lang w:val="es-ES_tradnl"/>
        </w:rPr>
        <w:t>Las violaciones estructurales en el derecho intern</w:t>
      </w:r>
      <w:r w:rsidR="00453CF8" w:rsidRPr="00EA236D">
        <w:rPr>
          <w:rFonts w:cs="System Font Regular"/>
          <w:szCs w:val="20"/>
          <w:lang w:val="es-ES_tradnl"/>
        </w:rPr>
        <w:t>acional</w:t>
      </w:r>
      <w:r w:rsidR="00782A7A" w:rsidRPr="00EA236D">
        <w:rPr>
          <w:rFonts w:cs="System Font Regular"/>
          <w:szCs w:val="20"/>
          <w:lang w:val="es-ES_tradnl"/>
        </w:rPr>
        <w:t xml:space="preserve"> </w:t>
      </w:r>
      <w:r w:rsidR="00245B38" w:rsidRPr="00EA236D">
        <w:rPr>
          <w:rFonts w:cs="System Font Regular"/>
          <w:i/>
          <w:szCs w:val="20"/>
          <w:lang w:val="es-ES_tradnl"/>
        </w:rPr>
        <w:t>(párrs. 56-71</w:t>
      </w:r>
      <w:r w:rsidR="00782A7A" w:rsidRPr="00EA236D">
        <w:rPr>
          <w:rFonts w:cs="System Font Regular"/>
          <w:i/>
          <w:szCs w:val="20"/>
          <w:lang w:val="es-ES_tradnl"/>
        </w:rPr>
        <w:t>)</w:t>
      </w:r>
      <w:r w:rsidR="00453CF8" w:rsidRPr="00EA236D">
        <w:rPr>
          <w:rFonts w:cs="System Font Regular"/>
          <w:szCs w:val="20"/>
          <w:lang w:val="es-ES_tradnl"/>
        </w:rPr>
        <w:t xml:space="preserve">; </w:t>
      </w:r>
      <w:r w:rsidR="00DF2214" w:rsidRPr="00EA236D">
        <w:rPr>
          <w:rFonts w:cs="System Font Regular"/>
          <w:i/>
          <w:szCs w:val="20"/>
          <w:lang w:val="es-ES_tradnl"/>
        </w:rPr>
        <w:t xml:space="preserve">V) </w:t>
      </w:r>
      <w:r w:rsidR="00DF2214" w:rsidRPr="00EA236D">
        <w:rPr>
          <w:rFonts w:cs="System Font Regular"/>
          <w:szCs w:val="20"/>
          <w:lang w:val="es-ES_tradnl"/>
        </w:rPr>
        <w:t>Discriminación estructural, indirecta y de hecho en la jurisprudencia de la Corte Interamericana</w:t>
      </w:r>
      <w:r w:rsidR="00E11A65" w:rsidRPr="00EA236D">
        <w:rPr>
          <w:rFonts w:cs="System Font Regular"/>
          <w:szCs w:val="20"/>
          <w:lang w:val="es-ES_tradnl"/>
        </w:rPr>
        <w:t xml:space="preserve"> (párrs. 72-80</w:t>
      </w:r>
      <w:r w:rsidR="0013659B" w:rsidRPr="00EA236D">
        <w:rPr>
          <w:rFonts w:cs="System Font Regular"/>
          <w:szCs w:val="20"/>
          <w:lang w:val="es-ES_tradnl"/>
        </w:rPr>
        <w:t>)</w:t>
      </w:r>
      <w:r w:rsidR="00DF2214" w:rsidRPr="00EA236D">
        <w:rPr>
          <w:rFonts w:cs="System Font Regular"/>
          <w:szCs w:val="20"/>
          <w:lang w:val="es-ES_tradnl"/>
        </w:rPr>
        <w:t xml:space="preserve">; </w:t>
      </w:r>
      <w:r w:rsidR="002C0A86" w:rsidRPr="00EA236D">
        <w:rPr>
          <w:rFonts w:cs="System Font Regular"/>
          <w:i/>
          <w:szCs w:val="20"/>
          <w:lang w:val="es-ES_tradnl"/>
        </w:rPr>
        <w:t>V</w:t>
      </w:r>
      <w:r w:rsidR="00DF2214" w:rsidRPr="00EA236D">
        <w:rPr>
          <w:rFonts w:cs="System Font Regular"/>
          <w:i/>
          <w:szCs w:val="20"/>
          <w:lang w:val="es-ES_tradnl"/>
        </w:rPr>
        <w:t>I</w:t>
      </w:r>
      <w:r w:rsidR="002C0A86" w:rsidRPr="00EA236D">
        <w:rPr>
          <w:rFonts w:cs="System Font Regular"/>
          <w:i/>
          <w:szCs w:val="20"/>
          <w:lang w:val="es-ES_tradnl"/>
        </w:rPr>
        <w:t>)</w:t>
      </w:r>
      <w:r w:rsidR="00EC2DB2" w:rsidRPr="00EA236D">
        <w:rPr>
          <w:rFonts w:cs="System Font Regular"/>
          <w:szCs w:val="20"/>
          <w:lang w:val="es-ES_tradnl"/>
        </w:rPr>
        <w:t xml:space="preserve"> El alcance de la discriminación estructural histórica en el caso de los Trabajadores de la Hacienda Brasil Verde </w:t>
      </w:r>
      <w:r w:rsidR="00017CD0" w:rsidRPr="00EA236D">
        <w:rPr>
          <w:i/>
          <w:szCs w:val="20"/>
          <w:lang w:val="es-ES_tradnl"/>
        </w:rPr>
        <w:t>(pá</w:t>
      </w:r>
      <w:r w:rsidR="00E11A65" w:rsidRPr="00EA236D">
        <w:rPr>
          <w:i/>
          <w:szCs w:val="20"/>
          <w:lang w:val="es-ES_tradnl"/>
        </w:rPr>
        <w:t>rrs. 81-96</w:t>
      </w:r>
      <w:r w:rsidR="00EC2DB2" w:rsidRPr="00EA236D">
        <w:rPr>
          <w:i/>
          <w:szCs w:val="20"/>
          <w:lang w:val="es-ES_tradnl"/>
        </w:rPr>
        <w:t>)</w:t>
      </w:r>
      <w:r w:rsidR="00EA236D">
        <w:rPr>
          <w:rFonts w:cs="System Font Regular"/>
          <w:i/>
          <w:szCs w:val="20"/>
          <w:lang w:val="es-ES_tradnl"/>
        </w:rPr>
        <w:t>,</w:t>
      </w:r>
      <w:r w:rsidR="002C0A86" w:rsidRPr="00EA236D">
        <w:rPr>
          <w:rFonts w:cs="System Font Regular"/>
          <w:i/>
          <w:szCs w:val="20"/>
          <w:lang w:val="es-ES_tradnl"/>
        </w:rPr>
        <w:t xml:space="preserve"> </w:t>
      </w:r>
      <w:r w:rsidR="002C0A86" w:rsidRPr="00EA236D">
        <w:rPr>
          <w:rFonts w:cs="System Font Regular"/>
          <w:szCs w:val="20"/>
          <w:lang w:val="es-ES_tradnl"/>
        </w:rPr>
        <w:t xml:space="preserve">y </w:t>
      </w:r>
      <w:r w:rsidR="00340A9A" w:rsidRPr="00EA236D">
        <w:rPr>
          <w:i/>
          <w:szCs w:val="20"/>
          <w:lang w:val="es-ES_tradnl"/>
        </w:rPr>
        <w:t>V</w:t>
      </w:r>
      <w:r w:rsidR="00453CF8" w:rsidRPr="00EA236D">
        <w:rPr>
          <w:i/>
          <w:szCs w:val="20"/>
          <w:lang w:val="es-ES_tradnl"/>
        </w:rPr>
        <w:t>I</w:t>
      </w:r>
      <w:r w:rsidR="00DF2214" w:rsidRPr="00EA236D">
        <w:rPr>
          <w:i/>
          <w:szCs w:val="20"/>
          <w:lang w:val="es-ES_tradnl"/>
        </w:rPr>
        <w:t>I</w:t>
      </w:r>
      <w:r w:rsidR="00340A9A" w:rsidRPr="00EA236D">
        <w:rPr>
          <w:i/>
          <w:szCs w:val="20"/>
          <w:lang w:val="es-ES_tradnl"/>
        </w:rPr>
        <w:t>)</w:t>
      </w:r>
      <w:r w:rsidR="00787BB2" w:rsidRPr="00EA236D">
        <w:rPr>
          <w:szCs w:val="20"/>
          <w:lang w:val="es-ES_tradnl"/>
        </w:rPr>
        <w:t xml:space="preserve"> </w:t>
      </w:r>
      <w:r w:rsidR="00340A9A" w:rsidRPr="00EA236D">
        <w:rPr>
          <w:szCs w:val="20"/>
          <w:lang w:val="es-ES_tradnl"/>
        </w:rPr>
        <w:t>Conclusiones (</w:t>
      </w:r>
      <w:r w:rsidR="00340A9A" w:rsidRPr="00EA236D">
        <w:rPr>
          <w:i/>
          <w:szCs w:val="20"/>
          <w:lang w:val="es-ES_tradnl"/>
        </w:rPr>
        <w:t xml:space="preserve">párrs. </w:t>
      </w:r>
      <w:r w:rsidR="00E11A65" w:rsidRPr="00EA236D">
        <w:rPr>
          <w:i/>
          <w:szCs w:val="20"/>
          <w:lang w:val="es-ES_tradnl"/>
        </w:rPr>
        <w:t>97-100</w:t>
      </w:r>
      <w:r w:rsidR="00340A9A" w:rsidRPr="00EA236D">
        <w:rPr>
          <w:szCs w:val="20"/>
          <w:lang w:val="es-ES_tradnl"/>
        </w:rPr>
        <w:t xml:space="preserve">). </w:t>
      </w:r>
    </w:p>
    <w:p w14:paraId="5A525136" w14:textId="77777777" w:rsidR="00F6203A" w:rsidRPr="00EA236D" w:rsidRDefault="00F6203A" w:rsidP="00EC2DB2">
      <w:pPr>
        <w:pStyle w:val="ListParagraph"/>
        <w:ind w:left="0"/>
        <w:rPr>
          <w:b/>
          <w:i/>
          <w:szCs w:val="20"/>
          <w:lang w:val="es-ES_tradnl"/>
        </w:rPr>
      </w:pPr>
    </w:p>
    <w:p w14:paraId="3DD8D071" w14:textId="77777777" w:rsidR="00202440" w:rsidRPr="00EA236D" w:rsidRDefault="00453CF8" w:rsidP="00F6203A">
      <w:pPr>
        <w:pStyle w:val="ListParagraph"/>
        <w:spacing w:line="360" w:lineRule="auto"/>
        <w:ind w:left="0"/>
        <w:jc w:val="center"/>
        <w:rPr>
          <w:szCs w:val="20"/>
          <w:lang w:val="es-ES_tradnl"/>
        </w:rPr>
      </w:pPr>
      <w:r w:rsidRPr="00EA236D">
        <w:rPr>
          <w:szCs w:val="20"/>
          <w:lang w:val="es-ES_tradnl"/>
        </w:rPr>
        <w:t xml:space="preserve">I. </w:t>
      </w:r>
      <w:r w:rsidR="00384C56" w:rsidRPr="00EA236D">
        <w:rPr>
          <w:szCs w:val="20"/>
          <w:lang w:val="es-ES_tradnl"/>
        </w:rPr>
        <w:t xml:space="preserve">LA POBREZA COMO PARTE DE LA PROHIBICIÓN DE DISCRIMINAR POR LA </w:t>
      </w:r>
      <w:r w:rsidR="009E10B6" w:rsidRPr="00EA236D">
        <w:rPr>
          <w:szCs w:val="20"/>
          <w:lang w:val="es-ES_tradnl"/>
        </w:rPr>
        <w:t>“</w:t>
      </w:r>
      <w:r w:rsidR="00384C56" w:rsidRPr="00EA236D">
        <w:rPr>
          <w:szCs w:val="20"/>
          <w:lang w:val="es-ES_tradnl"/>
        </w:rPr>
        <w:t>POSICIÓN ECONÓMICA</w:t>
      </w:r>
      <w:r w:rsidR="009E10B6" w:rsidRPr="00EA236D">
        <w:rPr>
          <w:szCs w:val="20"/>
          <w:lang w:val="es-ES_tradnl"/>
        </w:rPr>
        <w:t>”</w:t>
      </w:r>
      <w:r w:rsidR="00671230" w:rsidRPr="00EA236D">
        <w:rPr>
          <w:szCs w:val="20"/>
          <w:lang w:val="es-ES_tradnl"/>
        </w:rPr>
        <w:t xml:space="preserve"> EN LOS SISTEMAS DE </w:t>
      </w:r>
      <w:r w:rsidRPr="00EA236D">
        <w:rPr>
          <w:szCs w:val="20"/>
          <w:lang w:val="es-ES_tradnl"/>
        </w:rPr>
        <w:t xml:space="preserve">PROTECCIÓN </w:t>
      </w:r>
    </w:p>
    <w:p w14:paraId="7CC6659B" w14:textId="41C164CE" w:rsidR="00251140" w:rsidRPr="00EA236D" w:rsidRDefault="00453CF8" w:rsidP="00F6203A">
      <w:pPr>
        <w:pStyle w:val="ListParagraph"/>
        <w:spacing w:line="360" w:lineRule="auto"/>
        <w:ind w:left="0"/>
        <w:jc w:val="center"/>
        <w:rPr>
          <w:szCs w:val="20"/>
          <w:lang w:val="es-ES_tradnl"/>
        </w:rPr>
      </w:pPr>
      <w:r w:rsidRPr="00EA236D">
        <w:rPr>
          <w:szCs w:val="20"/>
          <w:lang w:val="es-ES_tradnl"/>
        </w:rPr>
        <w:t xml:space="preserve">DE </w:t>
      </w:r>
      <w:r w:rsidR="00F6203A" w:rsidRPr="00EA236D">
        <w:rPr>
          <w:szCs w:val="20"/>
          <w:lang w:val="es-ES_tradnl"/>
        </w:rPr>
        <w:t>DERECHOS</w:t>
      </w:r>
      <w:r w:rsidR="00202440" w:rsidRPr="00EA236D">
        <w:rPr>
          <w:szCs w:val="20"/>
          <w:lang w:val="es-ES_tradnl"/>
        </w:rPr>
        <w:t xml:space="preserve"> </w:t>
      </w:r>
      <w:r w:rsidR="00671230" w:rsidRPr="00EA236D">
        <w:rPr>
          <w:szCs w:val="20"/>
          <w:lang w:val="es-ES_tradnl"/>
        </w:rPr>
        <w:t>HUMANOS</w:t>
      </w:r>
    </w:p>
    <w:p w14:paraId="096FDF5F" w14:textId="77777777" w:rsidR="00F27582" w:rsidRPr="00EA236D" w:rsidRDefault="00F27582" w:rsidP="00D13DA2">
      <w:pPr>
        <w:pStyle w:val="ListParagraph"/>
        <w:ind w:left="0"/>
        <w:rPr>
          <w:rFonts w:cs="System Font Regular"/>
          <w:szCs w:val="20"/>
          <w:lang w:val="es-ES_tradnl"/>
        </w:rPr>
      </w:pPr>
    </w:p>
    <w:p w14:paraId="055352E6" w14:textId="13C0B052" w:rsidR="004807CF" w:rsidRPr="00EA236D" w:rsidRDefault="003638F7" w:rsidP="003638F7">
      <w:pPr>
        <w:pStyle w:val="ListParagraph"/>
        <w:numPr>
          <w:ilvl w:val="0"/>
          <w:numId w:val="1"/>
        </w:numPr>
        <w:rPr>
          <w:rFonts w:cs="System Font Regular"/>
          <w:szCs w:val="20"/>
          <w:lang w:val="es-ES_tradnl"/>
        </w:rPr>
      </w:pPr>
      <w:r w:rsidRPr="00EA236D">
        <w:rPr>
          <w:rFonts w:cs="System Font Regular"/>
          <w:szCs w:val="20"/>
          <w:lang w:val="es-ES_tradnl"/>
        </w:rPr>
        <w:t>Tanto e</w:t>
      </w:r>
      <w:r w:rsidRPr="00EA236D">
        <w:rPr>
          <w:rFonts w:cs="System Font Regular"/>
          <w:lang w:val="es-ES_tradnl"/>
        </w:rPr>
        <w:t>ste Tribunal Interamericano, como el Tribunal Europeo de Derechos Humanos (en adelante “TEDH” o “Tribunal Europeo”), han coincidido en que los tratados de derechos humanos son instrumentos vivos cuya interpretación tiene que acompañar la evolución de los tiempos y las reglas generales de interpretación consagradas en el artículo 29 de la Convención Americana, así como las establecidas por la Convención de Viena sobre el Derecho de los Tratados. Esta interpretación evolutiva no sólo debe aplicarse a la interpretación de los derechos establecidos en los numerales 3 al 26 de la Convención Americana, sino también debe tenerse en consideración para configurar categorías especiales de protección a la luz del art</w:t>
      </w:r>
      <w:r w:rsidR="00E63C4F" w:rsidRPr="00EA236D">
        <w:rPr>
          <w:rFonts w:cs="System Font Regular"/>
          <w:lang w:val="es-ES_tradnl"/>
        </w:rPr>
        <w:t>í</w:t>
      </w:r>
      <w:r w:rsidRPr="00EA236D">
        <w:rPr>
          <w:rFonts w:cs="System Font Regular"/>
          <w:lang w:val="es-ES_tradnl"/>
        </w:rPr>
        <w:t>culo 1.1</w:t>
      </w:r>
      <w:r w:rsidR="00B83D26" w:rsidRPr="00EA236D">
        <w:rPr>
          <w:rStyle w:val="FootnoteReference"/>
          <w:lang w:val="es-ES_tradnl"/>
        </w:rPr>
        <w:footnoteReference w:id="3"/>
      </w:r>
      <w:r w:rsidRPr="00EA236D">
        <w:rPr>
          <w:rFonts w:cs="System Font Regular"/>
          <w:lang w:val="es-ES_tradnl"/>
        </w:rPr>
        <w:t xml:space="preserve">. </w:t>
      </w:r>
    </w:p>
    <w:p w14:paraId="01BEAEC2" w14:textId="77777777" w:rsidR="00051E5A" w:rsidRPr="00EA236D" w:rsidRDefault="00051E5A" w:rsidP="00051E5A">
      <w:pPr>
        <w:rPr>
          <w:rFonts w:ascii="Verdana" w:hAnsi="Verdana"/>
        </w:rPr>
      </w:pPr>
    </w:p>
    <w:p w14:paraId="1AA47316" w14:textId="413026C4" w:rsidR="004F62CD" w:rsidRPr="00EA236D" w:rsidRDefault="003638F7" w:rsidP="003638F7">
      <w:pPr>
        <w:pStyle w:val="ListParagraph"/>
        <w:numPr>
          <w:ilvl w:val="0"/>
          <w:numId w:val="1"/>
        </w:numPr>
        <w:rPr>
          <w:rFonts w:cs="System Font Regular"/>
          <w:szCs w:val="20"/>
          <w:lang w:val="es-ES_tradnl"/>
        </w:rPr>
      </w:pPr>
      <w:r w:rsidRPr="00EA236D">
        <w:rPr>
          <w:lang w:val="es-ES_tradnl"/>
        </w:rPr>
        <w:t xml:space="preserve">Así, al interpretar </w:t>
      </w:r>
      <w:r w:rsidR="00AE08CC" w:rsidRPr="00EA236D">
        <w:rPr>
          <w:lang w:val="es-ES_tradnl"/>
        </w:rPr>
        <w:t>el Pacto de San José</w:t>
      </w:r>
      <w:r w:rsidRPr="00EA236D">
        <w:rPr>
          <w:lang w:val="es-ES_tradnl"/>
        </w:rPr>
        <w:t xml:space="preserve"> debe siempre elegirse la alternativa más favorable para la tutela de los derechos protegidos por dicho tratado, según el principio de la norma más favorable al ser humano</w:t>
      </w:r>
      <w:r w:rsidRPr="00EA236D">
        <w:rPr>
          <w:rStyle w:val="FootnoteReference"/>
          <w:lang w:val="es-ES_tradnl"/>
        </w:rPr>
        <w:footnoteReference w:id="4"/>
      </w:r>
      <w:r w:rsidRPr="00EA236D">
        <w:rPr>
          <w:lang w:val="es-ES_tradnl"/>
        </w:rPr>
        <w:t xml:space="preserve">.  </w:t>
      </w:r>
      <w:r w:rsidR="004F62CD" w:rsidRPr="00EA236D">
        <w:rPr>
          <w:rFonts w:cs="Tahoma"/>
          <w:lang w:val="es-ES_tradnl"/>
        </w:rPr>
        <w:t>En su labor interpretativa</w:t>
      </w:r>
      <w:r w:rsidR="0062278B" w:rsidRPr="00EA236D">
        <w:rPr>
          <w:rFonts w:cs="Tahoma"/>
          <w:lang w:val="es-ES_tradnl"/>
        </w:rPr>
        <w:t>,</w:t>
      </w:r>
      <w:r w:rsidR="004F62CD" w:rsidRPr="00EA236D">
        <w:rPr>
          <w:rFonts w:cs="Tahoma"/>
          <w:lang w:val="es-ES_tradnl"/>
        </w:rPr>
        <w:t xml:space="preserve"> la Corte</w:t>
      </w:r>
      <w:r w:rsidR="00AE08CC" w:rsidRPr="00EA236D">
        <w:rPr>
          <w:rFonts w:cs="Tahoma"/>
          <w:lang w:val="es-ES_tradnl"/>
        </w:rPr>
        <w:t xml:space="preserve"> IDH</w:t>
      </w:r>
      <w:r w:rsidR="0062278B" w:rsidRPr="00EA236D">
        <w:rPr>
          <w:rFonts w:cs="Tahoma"/>
          <w:lang w:val="es-ES_tradnl"/>
        </w:rPr>
        <w:t>,</w:t>
      </w:r>
      <w:r w:rsidR="004F62CD" w:rsidRPr="00EA236D">
        <w:rPr>
          <w:rFonts w:cs="Tahoma"/>
          <w:lang w:val="es-ES_tradnl"/>
        </w:rPr>
        <w:t xml:space="preserve"> ha expresado que </w:t>
      </w:r>
      <w:r w:rsidR="004F62CD" w:rsidRPr="00EA236D">
        <w:rPr>
          <w:rFonts w:cs="Times New Roman"/>
          <w:szCs w:val="20"/>
          <w:lang w:val="es-ES_tradnl"/>
        </w:rPr>
        <w:t>la Convención Americana no contiene una definición explícita del concepto de “di</w:t>
      </w:r>
      <w:r w:rsidR="00AE08CC" w:rsidRPr="00EA236D">
        <w:rPr>
          <w:rFonts w:cs="Times New Roman"/>
          <w:szCs w:val="20"/>
          <w:lang w:val="es-ES_tradnl"/>
        </w:rPr>
        <w:t>scriminación” ni de qué</w:t>
      </w:r>
      <w:r w:rsidR="004807CF" w:rsidRPr="00EA236D">
        <w:rPr>
          <w:rFonts w:cs="Times New Roman"/>
          <w:szCs w:val="20"/>
          <w:lang w:val="es-ES_tradnl"/>
        </w:rPr>
        <w:t xml:space="preserve"> grupos </w:t>
      </w:r>
      <w:r w:rsidR="004F62CD" w:rsidRPr="00EA236D">
        <w:rPr>
          <w:rFonts w:cs="Times New Roman"/>
          <w:szCs w:val="20"/>
          <w:lang w:val="es-ES_tradnl"/>
        </w:rPr>
        <w:t xml:space="preserve">“son sometidos a discriminación”; sin </w:t>
      </w:r>
      <w:r w:rsidR="004F62CD" w:rsidRPr="00EA236D">
        <w:rPr>
          <w:rFonts w:cs="Times New Roman"/>
          <w:szCs w:val="20"/>
          <w:lang w:val="es-ES_tradnl"/>
        </w:rPr>
        <w:lastRenderedPageBreak/>
        <w:t xml:space="preserve">embargo, a partir de diversas referencias en el </w:t>
      </w:r>
      <w:r w:rsidR="004F62CD" w:rsidRPr="00EA236D">
        <w:rPr>
          <w:rFonts w:cs="Times New Roman"/>
          <w:i/>
          <w:iCs/>
          <w:szCs w:val="20"/>
          <w:lang w:val="es-ES_tradnl"/>
        </w:rPr>
        <w:t xml:space="preserve">corpus iuris </w:t>
      </w:r>
      <w:r w:rsidR="004F62CD" w:rsidRPr="00EA236D">
        <w:rPr>
          <w:rFonts w:cs="Times New Roman"/>
          <w:szCs w:val="20"/>
          <w:lang w:val="es-ES_tradnl"/>
        </w:rPr>
        <w:t xml:space="preserve">en la materia, </w:t>
      </w:r>
      <w:r w:rsidR="00AE08CC" w:rsidRPr="00EA236D">
        <w:rPr>
          <w:rFonts w:cs="Times New Roman"/>
          <w:szCs w:val="20"/>
          <w:lang w:val="es-ES_tradnl"/>
        </w:rPr>
        <w:t>el Tribunal Interamericano</w:t>
      </w:r>
      <w:r w:rsidR="004F62CD" w:rsidRPr="00EA236D">
        <w:rPr>
          <w:rFonts w:cs="Times New Roman"/>
          <w:szCs w:val="20"/>
          <w:lang w:val="es-ES_tradnl"/>
        </w:rPr>
        <w:t xml:space="preserve"> ha señalado que la discriminación se relaciona con:</w:t>
      </w:r>
      <w:r w:rsidR="004F62CD" w:rsidRPr="00EA236D">
        <w:rPr>
          <w:rFonts w:cs="Times New Roman"/>
          <w:b/>
          <w:szCs w:val="20"/>
          <w:lang w:val="es-ES_tradnl"/>
        </w:rPr>
        <w:t xml:space="preserve"> </w:t>
      </w:r>
    </w:p>
    <w:p w14:paraId="31DFD215" w14:textId="77777777" w:rsidR="004F62CD" w:rsidRPr="00EA236D" w:rsidRDefault="004F62CD" w:rsidP="004F62CD">
      <w:pPr>
        <w:pStyle w:val="ListParagraph"/>
        <w:ind w:left="0"/>
        <w:rPr>
          <w:rFonts w:cs="System Font Regular"/>
          <w:i/>
          <w:szCs w:val="20"/>
          <w:lang w:val="es-ES_tradnl"/>
        </w:rPr>
      </w:pPr>
    </w:p>
    <w:p w14:paraId="5BFC2CE3" w14:textId="023C2103" w:rsidR="00B10142" w:rsidRPr="00EA236D" w:rsidRDefault="004F62CD" w:rsidP="00051E5A">
      <w:pPr>
        <w:pStyle w:val="ListParagraph"/>
        <w:spacing w:before="100" w:beforeAutospacing="1" w:after="100" w:afterAutospacing="1"/>
        <w:ind w:left="708" w:right="758"/>
        <w:rPr>
          <w:rFonts w:cs="Times New Roman"/>
          <w:i/>
          <w:sz w:val="16"/>
          <w:szCs w:val="16"/>
          <w:lang w:val="es-ES_tradnl"/>
        </w:rPr>
      </w:pPr>
      <w:r w:rsidRPr="00EA236D">
        <w:rPr>
          <w:rFonts w:cs="Times New Roman"/>
          <w:i/>
          <w:sz w:val="16"/>
          <w:szCs w:val="16"/>
          <w:lang w:val="es-ES_tradnl"/>
        </w:rPr>
        <w:t>toda distinción, exclusión, restricción o preferencia que se basen en determinados motivos, como la raza, el color, el sexo, el idioma, la religión, la opinión política o de otra índole, el origen nacional o social, la propiedad, el nacimiento o cualquier otra condición social, y que tengan por objeto o por resultado anular o menoscabar el reconocimiento, goce o ejercicio, en condiciones de igualdad, de los derechos humanos y libertades fundamentales de todas las personas</w:t>
      </w:r>
      <w:r w:rsidRPr="00EA236D">
        <w:rPr>
          <w:rStyle w:val="FootnoteReference"/>
          <w:i/>
          <w:sz w:val="16"/>
          <w:lang w:val="es-ES_tradnl"/>
        </w:rPr>
        <w:footnoteReference w:id="5"/>
      </w:r>
      <w:r w:rsidR="00051E5A" w:rsidRPr="00EA236D">
        <w:rPr>
          <w:rFonts w:cs="Times New Roman"/>
          <w:i/>
          <w:sz w:val="16"/>
          <w:szCs w:val="16"/>
          <w:lang w:val="es-ES_tradnl"/>
        </w:rPr>
        <w:t xml:space="preserve">. </w:t>
      </w:r>
    </w:p>
    <w:p w14:paraId="37319A9F" w14:textId="77777777" w:rsidR="00507EFC" w:rsidRPr="00EA236D" w:rsidRDefault="00507EFC" w:rsidP="00051E5A">
      <w:pPr>
        <w:pStyle w:val="ListParagraph"/>
        <w:spacing w:before="100" w:beforeAutospacing="1" w:after="100" w:afterAutospacing="1"/>
        <w:ind w:left="708" w:right="758"/>
        <w:rPr>
          <w:rFonts w:cs="Times New Roman"/>
          <w:i/>
          <w:sz w:val="16"/>
          <w:szCs w:val="16"/>
          <w:lang w:val="es-ES_tradnl"/>
        </w:rPr>
      </w:pPr>
    </w:p>
    <w:p w14:paraId="20123DA1" w14:textId="3E1D7745" w:rsidR="00507EFC" w:rsidRPr="00EA236D" w:rsidRDefault="00507EFC" w:rsidP="00D53DEC">
      <w:pPr>
        <w:pStyle w:val="ListParagraph"/>
        <w:numPr>
          <w:ilvl w:val="0"/>
          <w:numId w:val="1"/>
        </w:numPr>
        <w:spacing w:before="100" w:beforeAutospacing="1" w:after="100" w:afterAutospacing="1"/>
        <w:ind w:right="49"/>
        <w:rPr>
          <w:rFonts w:cs="Times New Roman"/>
          <w:i/>
          <w:szCs w:val="20"/>
          <w:lang w:val="es-ES_tradnl"/>
        </w:rPr>
      </w:pPr>
      <w:r w:rsidRPr="00EA236D">
        <w:rPr>
          <w:rFonts w:cs="Times New Roman"/>
          <w:szCs w:val="20"/>
          <w:lang w:val="es-ES_tradnl"/>
        </w:rPr>
        <w:t xml:space="preserve">Bajo este panorama, generalmente, el derecho internacional y el derecho constitucional han identificado un conjunto determinado de grupos por los cuales la discriminación, con base en esos motivos, tendría que ser justificada de manera objetiva y razonable para considerar que no se viola el derecho a la igualdad en cuanto al disfrute y </w:t>
      </w:r>
      <w:r w:rsidR="006A56A4" w:rsidRPr="00EA236D">
        <w:rPr>
          <w:rFonts w:cs="Times New Roman"/>
          <w:szCs w:val="20"/>
          <w:lang w:val="es-ES_tradnl"/>
        </w:rPr>
        <w:t>garantía</w:t>
      </w:r>
      <w:r w:rsidRPr="00EA236D">
        <w:rPr>
          <w:rFonts w:cs="Times New Roman"/>
          <w:szCs w:val="20"/>
          <w:lang w:val="es-ES_tradnl"/>
        </w:rPr>
        <w:t xml:space="preserve"> de los derechos humanos reconocidos en los tratados </w:t>
      </w:r>
      <w:r w:rsidR="006A56A4" w:rsidRPr="00EA236D">
        <w:rPr>
          <w:rFonts w:cs="Times New Roman"/>
          <w:szCs w:val="20"/>
          <w:lang w:val="es-ES_tradnl"/>
        </w:rPr>
        <w:t>internacionales</w:t>
      </w:r>
      <w:r w:rsidRPr="00EA236D">
        <w:rPr>
          <w:rFonts w:cs="Times New Roman"/>
          <w:szCs w:val="20"/>
          <w:lang w:val="es-ES_tradnl"/>
        </w:rPr>
        <w:t xml:space="preserve"> o en las constituciones. No obstante, lo cierto es que este listado no es absoluto ni literal, por lo que en muchos casos</w:t>
      </w:r>
      <w:r w:rsidR="00AE08CC" w:rsidRPr="00EA236D">
        <w:rPr>
          <w:rFonts w:cs="Times New Roman"/>
          <w:szCs w:val="20"/>
          <w:lang w:val="es-ES_tradnl"/>
        </w:rPr>
        <w:t xml:space="preserve"> —</w:t>
      </w:r>
      <w:r w:rsidR="00D53DEC" w:rsidRPr="00EA236D">
        <w:rPr>
          <w:rFonts w:cs="Times New Roman"/>
          <w:szCs w:val="20"/>
          <w:lang w:val="es-ES_tradnl"/>
        </w:rPr>
        <w:t>como en el que nos ocupa</w:t>
      </w:r>
      <w:r w:rsidR="00AE08CC" w:rsidRPr="00EA236D">
        <w:rPr>
          <w:rFonts w:cs="Times New Roman"/>
          <w:szCs w:val="20"/>
          <w:lang w:val="es-ES_tradnl"/>
        </w:rPr>
        <w:t>—</w:t>
      </w:r>
      <w:r w:rsidR="00D53DEC" w:rsidRPr="00EA236D">
        <w:rPr>
          <w:rFonts w:cs="Times New Roman"/>
          <w:szCs w:val="20"/>
          <w:lang w:val="es-ES_tradnl"/>
        </w:rPr>
        <w:t xml:space="preserve"> será</w:t>
      </w:r>
      <w:r w:rsidRPr="00EA236D">
        <w:rPr>
          <w:rFonts w:cs="Times New Roman"/>
          <w:szCs w:val="20"/>
          <w:lang w:val="es-ES_tradnl"/>
        </w:rPr>
        <w:t xml:space="preserve"> necesario delimitar el contenido de esas </w:t>
      </w:r>
      <w:r w:rsidR="006A56A4" w:rsidRPr="00EA236D">
        <w:rPr>
          <w:rFonts w:cs="Times New Roman"/>
          <w:szCs w:val="20"/>
          <w:lang w:val="es-ES_tradnl"/>
        </w:rPr>
        <w:t>categorías</w:t>
      </w:r>
      <w:r w:rsidRPr="00EA236D">
        <w:rPr>
          <w:rFonts w:cs="Times New Roman"/>
          <w:szCs w:val="20"/>
          <w:lang w:val="es-ES_tradnl"/>
        </w:rPr>
        <w:t xml:space="preserve"> para ser aplicadas en el caso concreto. </w:t>
      </w:r>
    </w:p>
    <w:p w14:paraId="1BF8495F" w14:textId="77777777" w:rsidR="006A56A4" w:rsidRPr="00EA236D" w:rsidRDefault="006A56A4" w:rsidP="006A56A4">
      <w:pPr>
        <w:pStyle w:val="ListParagraph"/>
        <w:spacing w:before="100" w:beforeAutospacing="1" w:after="100" w:afterAutospacing="1"/>
        <w:ind w:left="0" w:right="49"/>
        <w:rPr>
          <w:rFonts w:cs="Times New Roman"/>
          <w:i/>
          <w:szCs w:val="20"/>
          <w:lang w:val="es-ES_tradnl"/>
        </w:rPr>
      </w:pPr>
    </w:p>
    <w:p w14:paraId="76D30641" w14:textId="6238F1E9" w:rsidR="00507EFC" w:rsidRPr="00EA236D" w:rsidRDefault="00D53DEC" w:rsidP="00273344">
      <w:pPr>
        <w:pStyle w:val="ListParagraph"/>
        <w:numPr>
          <w:ilvl w:val="0"/>
          <w:numId w:val="1"/>
        </w:numPr>
        <w:spacing w:before="100" w:beforeAutospacing="1" w:after="100" w:afterAutospacing="1"/>
        <w:ind w:right="49"/>
        <w:rPr>
          <w:rFonts w:cs="Times New Roman"/>
          <w:i/>
          <w:szCs w:val="20"/>
          <w:lang w:val="es-ES_tradnl"/>
        </w:rPr>
      </w:pPr>
      <w:r w:rsidRPr="00EA236D">
        <w:rPr>
          <w:rFonts w:cs="Times New Roman"/>
          <w:szCs w:val="20"/>
          <w:lang w:val="es-ES_tradnl"/>
        </w:rPr>
        <w:t xml:space="preserve">Así, </w:t>
      </w:r>
      <w:r w:rsidR="00273344" w:rsidRPr="00EA236D">
        <w:rPr>
          <w:rFonts w:cs="Times New Roman"/>
          <w:szCs w:val="20"/>
          <w:lang w:val="es-ES_tradnl"/>
        </w:rPr>
        <w:t xml:space="preserve">por ejemplo, </w:t>
      </w:r>
      <w:r w:rsidRPr="00EA236D">
        <w:rPr>
          <w:rFonts w:cs="Times New Roman"/>
          <w:szCs w:val="20"/>
          <w:lang w:val="es-ES_tradnl"/>
        </w:rPr>
        <w:t>l</w:t>
      </w:r>
      <w:r w:rsidR="00507EFC" w:rsidRPr="00EA236D">
        <w:rPr>
          <w:rFonts w:cs="Times New Roman"/>
          <w:szCs w:val="20"/>
          <w:lang w:val="es-ES_tradnl"/>
        </w:rPr>
        <w:t xml:space="preserve">a </w:t>
      </w:r>
      <w:r w:rsidR="00AE08CC" w:rsidRPr="00EA236D">
        <w:rPr>
          <w:rFonts w:cs="Times New Roman"/>
          <w:szCs w:val="20"/>
          <w:lang w:val="es-ES_tradnl"/>
        </w:rPr>
        <w:t>“</w:t>
      </w:r>
      <w:r w:rsidR="00507EFC" w:rsidRPr="00EA236D">
        <w:rPr>
          <w:rFonts w:cs="Times New Roman"/>
          <w:szCs w:val="20"/>
          <w:lang w:val="es-ES_tradnl"/>
        </w:rPr>
        <w:t>pobreza</w:t>
      </w:r>
      <w:r w:rsidR="00AE08CC" w:rsidRPr="00EA236D">
        <w:rPr>
          <w:rFonts w:cs="Times New Roman"/>
          <w:szCs w:val="20"/>
          <w:lang w:val="es-ES_tradnl"/>
        </w:rPr>
        <w:t>”</w:t>
      </w:r>
      <w:r w:rsidR="00507EFC" w:rsidRPr="00EA236D">
        <w:rPr>
          <w:rFonts w:cs="Times New Roman"/>
          <w:szCs w:val="20"/>
          <w:lang w:val="es-ES_tradnl"/>
        </w:rPr>
        <w:t xml:space="preserve"> no ha sido reconocida de manera expresa como una </w:t>
      </w:r>
      <w:r w:rsidR="006A56A4" w:rsidRPr="00EA236D">
        <w:rPr>
          <w:rFonts w:cs="Times New Roman"/>
          <w:szCs w:val="20"/>
          <w:lang w:val="es-ES_tradnl"/>
        </w:rPr>
        <w:t>categoría</w:t>
      </w:r>
      <w:r w:rsidR="00AE08CC" w:rsidRPr="00EA236D">
        <w:rPr>
          <w:rFonts w:cs="Times New Roman"/>
          <w:szCs w:val="20"/>
          <w:lang w:val="es-ES_tradnl"/>
        </w:rPr>
        <w:t xml:space="preserve"> de especial protección; </w:t>
      </w:r>
      <w:r w:rsidR="00507EFC" w:rsidRPr="00EA236D">
        <w:rPr>
          <w:rFonts w:cs="Times New Roman"/>
          <w:szCs w:val="20"/>
          <w:lang w:val="es-ES_tradnl"/>
        </w:rPr>
        <w:t>ello no significa</w:t>
      </w:r>
      <w:r w:rsidR="00AE08CC" w:rsidRPr="00EA236D">
        <w:rPr>
          <w:rFonts w:cs="Times New Roman"/>
          <w:szCs w:val="20"/>
          <w:lang w:val="es-ES_tradnl"/>
        </w:rPr>
        <w:t>, sin embargo,</w:t>
      </w:r>
      <w:r w:rsidR="00507EFC" w:rsidRPr="00EA236D">
        <w:rPr>
          <w:rFonts w:cs="Times New Roman"/>
          <w:szCs w:val="20"/>
          <w:lang w:val="es-ES_tradnl"/>
        </w:rPr>
        <w:t xml:space="preserve"> que la pobreza </w:t>
      </w:r>
      <w:r w:rsidR="005E2228" w:rsidRPr="00EA236D">
        <w:rPr>
          <w:rFonts w:cs="Times New Roman"/>
          <w:szCs w:val="20"/>
          <w:lang w:val="es-ES_tradnl"/>
        </w:rPr>
        <w:t xml:space="preserve">no </w:t>
      </w:r>
      <w:r w:rsidR="00507EFC" w:rsidRPr="00EA236D">
        <w:rPr>
          <w:rFonts w:cs="Times New Roman"/>
          <w:szCs w:val="20"/>
          <w:lang w:val="es-ES_tradnl"/>
        </w:rPr>
        <w:t xml:space="preserve">pueda ser valorada como parte de alguna </w:t>
      </w:r>
      <w:r w:rsidR="006A56A4" w:rsidRPr="00EA236D">
        <w:rPr>
          <w:rFonts w:cs="Times New Roman"/>
          <w:szCs w:val="20"/>
          <w:lang w:val="es-ES_tradnl"/>
        </w:rPr>
        <w:t>categoría</w:t>
      </w:r>
      <w:r w:rsidR="00507EFC" w:rsidRPr="00EA236D">
        <w:rPr>
          <w:rFonts w:cs="Times New Roman"/>
          <w:szCs w:val="20"/>
          <w:lang w:val="es-ES_tradnl"/>
        </w:rPr>
        <w:t xml:space="preserve"> </w:t>
      </w:r>
      <w:r w:rsidR="00273344" w:rsidRPr="00EA236D">
        <w:rPr>
          <w:rFonts w:cs="Times New Roman"/>
          <w:szCs w:val="20"/>
          <w:lang w:val="es-ES_tradnl"/>
        </w:rPr>
        <w:t>que s</w:t>
      </w:r>
      <w:r w:rsidR="00A8105F">
        <w:rPr>
          <w:rFonts w:cs="Times New Roman"/>
          <w:szCs w:val="20"/>
          <w:lang w:val="es-ES_tradnl"/>
        </w:rPr>
        <w:t>í</w:t>
      </w:r>
      <w:r w:rsidR="00273344" w:rsidRPr="00EA236D">
        <w:rPr>
          <w:rFonts w:cs="Times New Roman"/>
          <w:szCs w:val="20"/>
          <w:lang w:val="es-ES_tradnl"/>
        </w:rPr>
        <w:t xml:space="preserve"> </w:t>
      </w:r>
      <w:r w:rsidR="00F16B37" w:rsidRPr="00EA236D">
        <w:rPr>
          <w:rFonts w:cs="Times New Roman"/>
          <w:szCs w:val="20"/>
          <w:lang w:val="es-ES_tradnl"/>
        </w:rPr>
        <w:t xml:space="preserve">se </w:t>
      </w:r>
      <w:r w:rsidR="00273344" w:rsidRPr="00EA236D">
        <w:rPr>
          <w:rFonts w:cs="Times New Roman"/>
          <w:szCs w:val="20"/>
          <w:lang w:val="es-ES_tradnl"/>
        </w:rPr>
        <w:t xml:space="preserve">encuentre </w:t>
      </w:r>
      <w:r w:rsidR="00507EFC" w:rsidRPr="00EA236D">
        <w:rPr>
          <w:rFonts w:cs="Times New Roman"/>
          <w:szCs w:val="20"/>
          <w:lang w:val="es-ES_tradnl"/>
        </w:rPr>
        <w:t xml:space="preserve">reconocida de manera expresa o bien </w:t>
      </w:r>
      <w:r w:rsidR="00F16B37" w:rsidRPr="00EA236D">
        <w:rPr>
          <w:rFonts w:cs="Times New Roman"/>
          <w:szCs w:val="20"/>
          <w:lang w:val="es-ES_tradnl"/>
        </w:rPr>
        <w:t xml:space="preserve">que se incorpore </w:t>
      </w:r>
      <w:r w:rsidR="00507EFC" w:rsidRPr="00EA236D">
        <w:rPr>
          <w:rFonts w:cs="Times New Roman"/>
          <w:szCs w:val="20"/>
          <w:lang w:val="es-ES_tradnl"/>
        </w:rPr>
        <w:t xml:space="preserve">como parte de “otra </w:t>
      </w:r>
      <w:r w:rsidR="006A56A4" w:rsidRPr="00EA236D">
        <w:rPr>
          <w:rFonts w:cs="Times New Roman"/>
          <w:szCs w:val="20"/>
          <w:lang w:val="es-ES_tradnl"/>
        </w:rPr>
        <w:t>condición</w:t>
      </w:r>
      <w:r w:rsidR="00507EFC" w:rsidRPr="00EA236D">
        <w:rPr>
          <w:rFonts w:cs="Times New Roman"/>
          <w:szCs w:val="20"/>
          <w:lang w:val="es-ES_tradnl"/>
        </w:rPr>
        <w:t xml:space="preserve"> social”. En esta </w:t>
      </w:r>
      <w:r w:rsidR="006A56A4" w:rsidRPr="00EA236D">
        <w:rPr>
          <w:rFonts w:cs="Times New Roman"/>
          <w:szCs w:val="20"/>
          <w:lang w:val="es-ES_tradnl"/>
        </w:rPr>
        <w:t xml:space="preserve">tesitura, los diversos sistemas protección </w:t>
      </w:r>
      <w:r w:rsidR="00507EFC" w:rsidRPr="00EA236D">
        <w:rPr>
          <w:rFonts w:cs="Times New Roman"/>
          <w:szCs w:val="20"/>
          <w:lang w:val="es-ES_tradnl"/>
        </w:rPr>
        <w:t>de derechos humanos</w:t>
      </w:r>
      <w:r w:rsidR="006A56A4" w:rsidRPr="00EA236D">
        <w:rPr>
          <w:rFonts w:cs="Times New Roman"/>
          <w:szCs w:val="20"/>
          <w:lang w:val="es-ES_tradnl"/>
        </w:rPr>
        <w:t xml:space="preserve"> (regionales y universal)</w:t>
      </w:r>
      <w:r w:rsidR="00507EFC" w:rsidRPr="00EA236D">
        <w:rPr>
          <w:rFonts w:cs="Times New Roman"/>
          <w:szCs w:val="20"/>
          <w:lang w:val="es-ES_tradnl"/>
        </w:rPr>
        <w:t xml:space="preserve"> tienen sus particularidades en cuanto al reconocimiento de la pobreza como parte de la </w:t>
      </w:r>
      <w:r w:rsidR="006A56A4" w:rsidRPr="00EA236D">
        <w:rPr>
          <w:rFonts w:cs="Times New Roman"/>
          <w:szCs w:val="20"/>
          <w:lang w:val="es-ES_tradnl"/>
        </w:rPr>
        <w:t>categoría</w:t>
      </w:r>
      <w:r w:rsidR="00507EFC" w:rsidRPr="00EA236D">
        <w:rPr>
          <w:rFonts w:cs="Times New Roman"/>
          <w:szCs w:val="20"/>
          <w:lang w:val="es-ES_tradnl"/>
        </w:rPr>
        <w:t xml:space="preserve"> de prohibición de discrimin</w:t>
      </w:r>
      <w:r w:rsidR="006C40A8" w:rsidRPr="00EA236D">
        <w:rPr>
          <w:rFonts w:cs="Times New Roman"/>
          <w:szCs w:val="20"/>
          <w:lang w:val="es-ES_tradnl"/>
        </w:rPr>
        <w:t xml:space="preserve">ación “por </w:t>
      </w:r>
      <w:r w:rsidR="006A56A4" w:rsidRPr="00EA236D">
        <w:rPr>
          <w:rFonts w:cs="Times New Roman"/>
          <w:szCs w:val="20"/>
          <w:lang w:val="es-ES_tradnl"/>
        </w:rPr>
        <w:t>posición</w:t>
      </w:r>
      <w:r w:rsidR="006C40A8" w:rsidRPr="00EA236D">
        <w:rPr>
          <w:rFonts w:cs="Times New Roman"/>
          <w:szCs w:val="20"/>
          <w:lang w:val="es-ES_tradnl"/>
        </w:rPr>
        <w:t xml:space="preserve"> económica”; lo anterior, no ha</w:t>
      </w:r>
      <w:r w:rsidR="00507EFC" w:rsidRPr="00EA236D">
        <w:rPr>
          <w:rFonts w:cs="Times New Roman"/>
          <w:szCs w:val="20"/>
          <w:lang w:val="es-ES_tradnl"/>
        </w:rPr>
        <w:t xml:space="preserve"> sido impedimento para que se </w:t>
      </w:r>
      <w:r w:rsidR="006A56A4" w:rsidRPr="00EA236D">
        <w:rPr>
          <w:rFonts w:cs="Times New Roman"/>
          <w:szCs w:val="20"/>
          <w:lang w:val="es-ES_tradnl"/>
        </w:rPr>
        <w:t>permeen</w:t>
      </w:r>
      <w:r w:rsidR="00507EFC" w:rsidRPr="00EA236D">
        <w:rPr>
          <w:rFonts w:cs="Times New Roman"/>
          <w:szCs w:val="20"/>
          <w:lang w:val="es-ES_tradnl"/>
        </w:rPr>
        <w:t xml:space="preserve"> obligaciones en cuanto a la erradicación de la pobreza,</w:t>
      </w:r>
      <w:r w:rsidR="00AE08CC" w:rsidRPr="00EA236D">
        <w:rPr>
          <w:rFonts w:cs="Times New Roman"/>
          <w:szCs w:val="20"/>
          <w:lang w:val="es-ES_tradnl"/>
        </w:rPr>
        <w:t xml:space="preserve"> si bien</w:t>
      </w:r>
      <w:r w:rsidR="00507EFC" w:rsidRPr="00EA236D">
        <w:rPr>
          <w:rFonts w:cs="Times New Roman"/>
          <w:szCs w:val="20"/>
          <w:lang w:val="es-ES_tradnl"/>
        </w:rPr>
        <w:t xml:space="preserve"> no como parte de una </w:t>
      </w:r>
      <w:r w:rsidR="006A56A4" w:rsidRPr="00EA236D">
        <w:rPr>
          <w:rFonts w:cs="Times New Roman"/>
          <w:szCs w:val="20"/>
          <w:lang w:val="es-ES_tradnl"/>
        </w:rPr>
        <w:t>categoría</w:t>
      </w:r>
      <w:r w:rsidR="00B0215E" w:rsidRPr="00EA236D">
        <w:rPr>
          <w:rFonts w:cs="Times New Roman"/>
          <w:szCs w:val="20"/>
          <w:lang w:val="es-ES_tradnl"/>
        </w:rPr>
        <w:t xml:space="preserve"> de especial protección</w:t>
      </w:r>
      <w:r w:rsidR="00273344" w:rsidRPr="00EA236D">
        <w:rPr>
          <w:rFonts w:cs="Times New Roman"/>
          <w:szCs w:val="20"/>
          <w:lang w:val="es-ES_tradnl"/>
        </w:rPr>
        <w:t>,</w:t>
      </w:r>
      <w:r w:rsidR="00507EFC" w:rsidRPr="00EA236D">
        <w:rPr>
          <w:rFonts w:cs="Times New Roman"/>
          <w:szCs w:val="20"/>
          <w:lang w:val="es-ES_tradnl"/>
        </w:rPr>
        <w:t xml:space="preserve"> s</w:t>
      </w:r>
      <w:r w:rsidR="00B56C3B" w:rsidRPr="00EA236D">
        <w:rPr>
          <w:rFonts w:cs="Times New Roman"/>
          <w:szCs w:val="20"/>
          <w:lang w:val="es-ES_tradnl"/>
        </w:rPr>
        <w:t>í</w:t>
      </w:r>
      <w:r w:rsidR="00507EFC" w:rsidRPr="00EA236D">
        <w:rPr>
          <w:rFonts w:cs="Times New Roman"/>
          <w:szCs w:val="20"/>
          <w:lang w:val="es-ES_tradnl"/>
        </w:rPr>
        <w:t xml:space="preserve"> </w:t>
      </w:r>
      <w:r w:rsidR="00AE08CC" w:rsidRPr="00EA236D">
        <w:rPr>
          <w:rFonts w:cs="Times New Roman"/>
          <w:szCs w:val="20"/>
          <w:lang w:val="es-ES_tradnl"/>
        </w:rPr>
        <w:t xml:space="preserve">como </w:t>
      </w:r>
      <w:r w:rsidR="00507EFC" w:rsidRPr="00EA236D">
        <w:rPr>
          <w:rFonts w:cs="Times New Roman"/>
          <w:szCs w:val="20"/>
          <w:lang w:val="es-ES_tradnl"/>
        </w:rPr>
        <w:t>una situación agravante de las condiciones sociales</w:t>
      </w:r>
      <w:r w:rsidR="006C40A8" w:rsidRPr="00EA236D">
        <w:rPr>
          <w:rFonts w:cs="Times New Roman"/>
          <w:szCs w:val="20"/>
          <w:lang w:val="es-ES_tradnl"/>
        </w:rPr>
        <w:t xml:space="preserve"> en las que viven las p</w:t>
      </w:r>
      <w:r w:rsidR="00AE08CC" w:rsidRPr="00EA236D">
        <w:rPr>
          <w:rFonts w:cs="Times New Roman"/>
          <w:szCs w:val="20"/>
          <w:lang w:val="es-ES_tradnl"/>
        </w:rPr>
        <w:t xml:space="preserve">ersonas, y que pueden variar </w:t>
      </w:r>
      <w:r w:rsidR="006C40A8" w:rsidRPr="00EA236D">
        <w:rPr>
          <w:rFonts w:cs="Times New Roman"/>
          <w:szCs w:val="20"/>
          <w:lang w:val="es-ES_tradnl"/>
        </w:rPr>
        <w:t xml:space="preserve">caso a caso. </w:t>
      </w:r>
    </w:p>
    <w:p w14:paraId="2132DC13" w14:textId="77777777" w:rsidR="00507EFC" w:rsidRPr="00EA236D" w:rsidRDefault="00507EFC" w:rsidP="00384C56">
      <w:pPr>
        <w:pStyle w:val="ListParagraph"/>
        <w:ind w:left="0"/>
        <w:rPr>
          <w:rFonts w:cs="Times New Roman"/>
          <w:i/>
          <w:szCs w:val="20"/>
          <w:lang w:val="es-ES_tradnl"/>
        </w:rPr>
      </w:pPr>
    </w:p>
    <w:p w14:paraId="170CF939" w14:textId="4AD441A9" w:rsidR="00384C56" w:rsidRPr="00EA236D" w:rsidRDefault="00384C56" w:rsidP="00384C56">
      <w:pPr>
        <w:pStyle w:val="ListParagraph"/>
        <w:ind w:left="0"/>
        <w:rPr>
          <w:rFonts w:cs="Times New Roman"/>
          <w:i/>
          <w:szCs w:val="20"/>
          <w:lang w:val="es-ES_tradnl"/>
        </w:rPr>
      </w:pPr>
      <w:r w:rsidRPr="00EA236D">
        <w:rPr>
          <w:rFonts w:cs="Times New Roman"/>
          <w:i/>
          <w:szCs w:val="20"/>
          <w:lang w:val="es-ES_tradnl"/>
        </w:rPr>
        <w:t>i) Sistema Europeo de Derechos Humanos</w:t>
      </w:r>
    </w:p>
    <w:p w14:paraId="28005C3C" w14:textId="77777777" w:rsidR="006E24F3" w:rsidRPr="00EA236D" w:rsidRDefault="006E24F3" w:rsidP="006E24F3">
      <w:pPr>
        <w:rPr>
          <w:rFonts w:ascii="Verdana" w:hAnsi="Verdana" w:cs="System Font Regular"/>
          <w:b/>
          <w:i/>
          <w:szCs w:val="20"/>
        </w:rPr>
      </w:pPr>
    </w:p>
    <w:p w14:paraId="6A0152B4" w14:textId="3DA5535B" w:rsidR="006E24F3" w:rsidRPr="00EA236D" w:rsidRDefault="006E24F3" w:rsidP="006E24F3">
      <w:pPr>
        <w:pStyle w:val="ListParagraph"/>
        <w:numPr>
          <w:ilvl w:val="0"/>
          <w:numId w:val="1"/>
        </w:numPr>
        <w:rPr>
          <w:rFonts w:cs="Times New Roman"/>
          <w:szCs w:val="20"/>
          <w:lang w:val="es-ES_tradnl"/>
        </w:rPr>
      </w:pPr>
      <w:r w:rsidRPr="00EA236D">
        <w:rPr>
          <w:rFonts w:cs="Times New Roman"/>
          <w:szCs w:val="20"/>
          <w:lang w:val="es-ES_tradnl"/>
        </w:rPr>
        <w:t>En cuanto al Sistema Europeo de Derechos Humanos, en el art</w:t>
      </w:r>
      <w:r w:rsidR="00A8105F">
        <w:rPr>
          <w:rFonts w:cs="Times New Roman"/>
          <w:szCs w:val="20"/>
          <w:lang w:val="es-ES_tradnl"/>
        </w:rPr>
        <w:t>í</w:t>
      </w:r>
      <w:r w:rsidRPr="00EA236D">
        <w:rPr>
          <w:rFonts w:cs="Times New Roman"/>
          <w:szCs w:val="20"/>
          <w:lang w:val="es-ES_tradnl"/>
        </w:rPr>
        <w:t xml:space="preserve">culo 14 del Convenio Europeo de Derechos Humanos </w:t>
      </w:r>
      <w:r w:rsidR="00B0215E" w:rsidRPr="00EA236D">
        <w:rPr>
          <w:rFonts w:cs="Times New Roman"/>
          <w:szCs w:val="20"/>
          <w:lang w:val="es-ES_tradnl"/>
        </w:rPr>
        <w:t xml:space="preserve">(en adelante “el Convenio Europeo” o “el CEDH”) </w:t>
      </w:r>
      <w:r w:rsidRPr="00EA236D">
        <w:rPr>
          <w:rFonts w:cs="Times New Roman"/>
          <w:szCs w:val="20"/>
          <w:lang w:val="es-ES_tradnl"/>
        </w:rPr>
        <w:t>y en</w:t>
      </w:r>
      <w:r w:rsidR="00E63C4F" w:rsidRPr="00EA236D">
        <w:rPr>
          <w:rFonts w:cs="Times New Roman"/>
          <w:szCs w:val="20"/>
          <w:lang w:val="es-ES_tradnl"/>
        </w:rPr>
        <w:t xml:space="preserve"> el</w:t>
      </w:r>
      <w:r w:rsidRPr="00EA236D">
        <w:rPr>
          <w:rFonts w:cs="Times New Roman"/>
          <w:szCs w:val="20"/>
          <w:lang w:val="es-ES_tradnl"/>
        </w:rPr>
        <w:t xml:space="preserve"> art</w:t>
      </w:r>
      <w:r w:rsidR="00E63C4F" w:rsidRPr="00EA236D">
        <w:rPr>
          <w:rFonts w:cs="Times New Roman"/>
          <w:szCs w:val="20"/>
          <w:lang w:val="es-ES_tradnl"/>
        </w:rPr>
        <w:t>í</w:t>
      </w:r>
      <w:r w:rsidRPr="00EA236D">
        <w:rPr>
          <w:rFonts w:cs="Times New Roman"/>
          <w:szCs w:val="20"/>
          <w:lang w:val="es-ES_tradnl"/>
        </w:rPr>
        <w:t xml:space="preserve">culo 1º del Protocolo 12 al CEDH, se establecen las cláusulas de igual protección (subordinada </w:t>
      </w:r>
      <w:r w:rsidR="00AE08CC" w:rsidRPr="00EA236D">
        <w:rPr>
          <w:rFonts w:cs="Times New Roman"/>
          <w:szCs w:val="20"/>
          <w:lang w:val="es-ES_tradnl"/>
        </w:rPr>
        <w:t xml:space="preserve">y </w:t>
      </w:r>
      <w:r w:rsidR="00F16B37" w:rsidRPr="00EA236D">
        <w:rPr>
          <w:rFonts w:cs="Times New Roman"/>
          <w:szCs w:val="20"/>
          <w:lang w:val="es-ES_tradnl"/>
        </w:rPr>
        <w:t>autónoma</w:t>
      </w:r>
      <w:r w:rsidR="00AE08CC" w:rsidRPr="00EA236D">
        <w:rPr>
          <w:rFonts w:cs="Times New Roman"/>
          <w:szCs w:val="20"/>
          <w:lang w:val="es-ES_tradnl"/>
        </w:rPr>
        <w:t>, respetivamente). D</w:t>
      </w:r>
      <w:r w:rsidRPr="00EA236D">
        <w:rPr>
          <w:rFonts w:cs="Times New Roman"/>
          <w:szCs w:val="20"/>
          <w:lang w:val="es-ES_tradnl"/>
        </w:rPr>
        <w:t xml:space="preserve">ichas disposiciones </w:t>
      </w:r>
      <w:r w:rsidR="00AE08CC" w:rsidRPr="00EA236D">
        <w:rPr>
          <w:rFonts w:cs="Times New Roman"/>
          <w:szCs w:val="20"/>
          <w:lang w:val="es-ES_tradnl"/>
        </w:rPr>
        <w:t>establecen</w:t>
      </w:r>
      <w:r w:rsidRPr="00EA236D">
        <w:rPr>
          <w:rFonts w:cs="Times New Roman"/>
          <w:szCs w:val="20"/>
          <w:lang w:val="es-ES_tradnl"/>
        </w:rPr>
        <w:t xml:space="preserve">: </w:t>
      </w:r>
    </w:p>
    <w:p w14:paraId="4FCEA206" w14:textId="2B57293E" w:rsidR="006E24F3" w:rsidRPr="00EA236D" w:rsidRDefault="006E24F3" w:rsidP="006E24F3">
      <w:pPr>
        <w:spacing w:before="100" w:beforeAutospacing="1" w:after="100" w:afterAutospacing="1"/>
        <w:ind w:left="360"/>
        <w:jc w:val="both"/>
        <w:rPr>
          <w:rFonts w:ascii="Verdana" w:hAnsi="Verdana" w:cs="Times New Roman"/>
          <w:i/>
          <w:sz w:val="16"/>
          <w:szCs w:val="16"/>
        </w:rPr>
      </w:pPr>
      <w:r w:rsidRPr="00EA236D">
        <w:rPr>
          <w:rFonts w:ascii="Verdana" w:hAnsi="Verdana" w:cs="Times New Roman"/>
          <w:bCs/>
          <w:i/>
          <w:sz w:val="16"/>
          <w:szCs w:val="16"/>
        </w:rPr>
        <w:t xml:space="preserve">ARTÍCULO 14. </w:t>
      </w:r>
      <w:r w:rsidR="006A56A4" w:rsidRPr="00EA236D">
        <w:rPr>
          <w:rFonts w:ascii="Verdana" w:hAnsi="Verdana" w:cs="Times New Roman"/>
          <w:bCs/>
          <w:i/>
          <w:sz w:val="16"/>
          <w:szCs w:val="16"/>
        </w:rPr>
        <w:t>Prohibición</w:t>
      </w:r>
      <w:r w:rsidRPr="00EA236D">
        <w:rPr>
          <w:rFonts w:ascii="Verdana" w:hAnsi="Verdana" w:cs="Times New Roman"/>
          <w:bCs/>
          <w:i/>
          <w:sz w:val="16"/>
          <w:szCs w:val="16"/>
        </w:rPr>
        <w:t xml:space="preserve"> de </w:t>
      </w:r>
      <w:r w:rsidR="006A56A4" w:rsidRPr="00EA236D">
        <w:rPr>
          <w:rFonts w:ascii="Verdana" w:hAnsi="Verdana" w:cs="Times New Roman"/>
          <w:bCs/>
          <w:i/>
          <w:sz w:val="16"/>
          <w:szCs w:val="16"/>
        </w:rPr>
        <w:t>discriminación</w:t>
      </w:r>
      <w:r w:rsidRPr="00EA236D">
        <w:rPr>
          <w:rFonts w:ascii="Verdana" w:hAnsi="Verdana" w:cs="Times New Roman"/>
          <w:bCs/>
          <w:i/>
          <w:sz w:val="16"/>
          <w:szCs w:val="16"/>
        </w:rPr>
        <w:t xml:space="preserve">. </w:t>
      </w:r>
      <w:r w:rsidRPr="00EA236D">
        <w:rPr>
          <w:rFonts w:ascii="Verdana" w:hAnsi="Verdana" w:cs="Times New Roman"/>
          <w:i/>
          <w:sz w:val="16"/>
          <w:szCs w:val="16"/>
        </w:rPr>
        <w:t xml:space="preserve">El goce de los derechos y libertades reconocidos en el presente Convenio ha de ser asegurado sin </w:t>
      </w:r>
      <w:r w:rsidR="006A56A4" w:rsidRPr="00EA236D">
        <w:rPr>
          <w:rFonts w:ascii="Verdana" w:hAnsi="Verdana" w:cs="Times New Roman"/>
          <w:i/>
          <w:sz w:val="16"/>
          <w:szCs w:val="16"/>
        </w:rPr>
        <w:t>distinción</w:t>
      </w:r>
      <w:r w:rsidRPr="00EA236D">
        <w:rPr>
          <w:rFonts w:ascii="Verdana" w:hAnsi="Verdana" w:cs="Times New Roman"/>
          <w:i/>
          <w:sz w:val="16"/>
          <w:szCs w:val="16"/>
        </w:rPr>
        <w:t xml:space="preserve"> alguna, especialmente por razones de sexo, raza, color, lengua, </w:t>
      </w:r>
      <w:r w:rsidR="006A56A4" w:rsidRPr="00EA236D">
        <w:rPr>
          <w:rFonts w:ascii="Verdana" w:hAnsi="Verdana" w:cs="Times New Roman"/>
          <w:i/>
          <w:sz w:val="16"/>
          <w:szCs w:val="16"/>
        </w:rPr>
        <w:t>religión</w:t>
      </w:r>
      <w:r w:rsidRPr="00EA236D">
        <w:rPr>
          <w:rFonts w:ascii="Verdana" w:hAnsi="Verdana" w:cs="Times New Roman"/>
          <w:i/>
          <w:sz w:val="16"/>
          <w:szCs w:val="16"/>
        </w:rPr>
        <w:t xml:space="preserve">, opiniones </w:t>
      </w:r>
      <w:r w:rsidR="006A56A4" w:rsidRPr="00EA236D">
        <w:rPr>
          <w:rFonts w:ascii="Verdana" w:hAnsi="Verdana" w:cs="Times New Roman"/>
          <w:i/>
          <w:sz w:val="16"/>
          <w:szCs w:val="16"/>
        </w:rPr>
        <w:t>políticas</w:t>
      </w:r>
      <w:r w:rsidRPr="00EA236D">
        <w:rPr>
          <w:rFonts w:ascii="Verdana" w:hAnsi="Verdana" w:cs="Times New Roman"/>
          <w:i/>
          <w:sz w:val="16"/>
          <w:szCs w:val="16"/>
        </w:rPr>
        <w:t xml:space="preserve"> u otras, origen nacional o social, pertenencia a una </w:t>
      </w:r>
      <w:r w:rsidR="006A56A4" w:rsidRPr="00EA236D">
        <w:rPr>
          <w:rFonts w:ascii="Verdana" w:hAnsi="Verdana" w:cs="Times New Roman"/>
          <w:i/>
          <w:sz w:val="16"/>
          <w:szCs w:val="16"/>
        </w:rPr>
        <w:t>minoría</w:t>
      </w:r>
      <w:r w:rsidRPr="00EA236D">
        <w:rPr>
          <w:rFonts w:ascii="Verdana" w:hAnsi="Verdana" w:cs="Times New Roman"/>
          <w:i/>
          <w:sz w:val="16"/>
          <w:szCs w:val="16"/>
        </w:rPr>
        <w:t xml:space="preserve"> nacional, fortuna, nacimiento o cualquier otra </w:t>
      </w:r>
      <w:r w:rsidR="006A56A4" w:rsidRPr="00EA236D">
        <w:rPr>
          <w:rFonts w:ascii="Verdana" w:hAnsi="Verdana" w:cs="Times New Roman"/>
          <w:i/>
          <w:sz w:val="16"/>
          <w:szCs w:val="16"/>
        </w:rPr>
        <w:t>situación</w:t>
      </w:r>
      <w:r w:rsidR="006A56A4" w:rsidRPr="00EA236D">
        <w:rPr>
          <w:rStyle w:val="FootnoteReference"/>
          <w:rFonts w:ascii="Verdana" w:hAnsi="Verdana"/>
          <w:i/>
          <w:sz w:val="16"/>
        </w:rPr>
        <w:footnoteReference w:id="6"/>
      </w:r>
      <w:r w:rsidRPr="00EA236D">
        <w:rPr>
          <w:rFonts w:ascii="Verdana" w:hAnsi="Verdana" w:cs="Times New Roman"/>
          <w:i/>
          <w:sz w:val="16"/>
          <w:szCs w:val="16"/>
        </w:rPr>
        <w:t xml:space="preserve">. </w:t>
      </w:r>
    </w:p>
    <w:p w14:paraId="6D4B8814" w14:textId="67FC1D40" w:rsidR="006E24F3" w:rsidRPr="00EA236D" w:rsidRDefault="00E1400A" w:rsidP="006E24F3">
      <w:pPr>
        <w:spacing w:before="100" w:beforeAutospacing="1" w:after="100" w:afterAutospacing="1"/>
        <w:ind w:left="360"/>
        <w:jc w:val="both"/>
        <w:rPr>
          <w:rStyle w:val="sb8d990e2"/>
          <w:rFonts w:ascii="Verdana" w:hAnsi="Verdana"/>
          <w:i/>
          <w:sz w:val="16"/>
          <w:szCs w:val="16"/>
        </w:rPr>
      </w:pPr>
      <w:r w:rsidRPr="00EA236D">
        <w:rPr>
          <w:rFonts w:ascii="Verdana" w:hAnsi="Verdana" w:cs="Times New Roman"/>
          <w:bCs/>
          <w:i/>
          <w:sz w:val="16"/>
          <w:szCs w:val="16"/>
        </w:rPr>
        <w:lastRenderedPageBreak/>
        <w:t>ARTÍCULO 1 del</w:t>
      </w:r>
      <w:r w:rsidR="006E24F3" w:rsidRPr="00EA236D">
        <w:rPr>
          <w:rFonts w:ascii="Verdana" w:hAnsi="Verdana" w:cs="Times New Roman"/>
          <w:bCs/>
          <w:i/>
          <w:sz w:val="16"/>
          <w:szCs w:val="16"/>
        </w:rPr>
        <w:t xml:space="preserve"> Protocolo 12.</w:t>
      </w:r>
      <w:r w:rsidR="00A83C70" w:rsidRPr="00EA236D">
        <w:rPr>
          <w:rFonts w:ascii="Verdana" w:hAnsi="Verdana" w:cs="Times New Roman"/>
          <w:bCs/>
          <w:i/>
          <w:sz w:val="16"/>
          <w:szCs w:val="16"/>
        </w:rPr>
        <w:t xml:space="preserve"> </w:t>
      </w:r>
      <w:r w:rsidR="006A56A4" w:rsidRPr="00EA236D">
        <w:rPr>
          <w:rFonts w:ascii="Verdana" w:hAnsi="Verdana" w:cs="Times New Roman"/>
          <w:bCs/>
          <w:i/>
          <w:sz w:val="16"/>
          <w:szCs w:val="16"/>
        </w:rPr>
        <w:t>Prohibición</w:t>
      </w:r>
      <w:r w:rsidR="006E24F3" w:rsidRPr="00EA236D">
        <w:rPr>
          <w:rFonts w:ascii="Verdana" w:hAnsi="Verdana" w:cs="Times New Roman"/>
          <w:bCs/>
          <w:i/>
          <w:sz w:val="16"/>
          <w:szCs w:val="16"/>
        </w:rPr>
        <w:t xml:space="preserve"> general de la </w:t>
      </w:r>
      <w:r w:rsidR="006A56A4" w:rsidRPr="00EA236D">
        <w:rPr>
          <w:rFonts w:ascii="Verdana" w:hAnsi="Verdana" w:cs="Times New Roman"/>
          <w:bCs/>
          <w:i/>
          <w:sz w:val="16"/>
          <w:szCs w:val="16"/>
        </w:rPr>
        <w:t>discriminación</w:t>
      </w:r>
      <w:r w:rsidR="006E24F3" w:rsidRPr="00EA236D">
        <w:rPr>
          <w:rFonts w:ascii="Verdana" w:hAnsi="Verdana" w:cs="Times New Roman"/>
          <w:bCs/>
          <w:i/>
          <w:sz w:val="16"/>
          <w:szCs w:val="16"/>
        </w:rPr>
        <w:t xml:space="preserve">. </w:t>
      </w:r>
      <w:r w:rsidR="006E24F3" w:rsidRPr="00EA236D">
        <w:rPr>
          <w:rFonts w:ascii="Verdana" w:hAnsi="Verdana" w:cs="Times New Roman"/>
          <w:i/>
          <w:sz w:val="16"/>
          <w:szCs w:val="16"/>
        </w:rPr>
        <w:t xml:space="preserve">1. El goce de los derechos reconocidos por la ley ha de ser asegurado sin </w:t>
      </w:r>
      <w:r w:rsidR="006A56A4" w:rsidRPr="00EA236D">
        <w:rPr>
          <w:rFonts w:ascii="Verdana" w:hAnsi="Verdana" w:cs="Times New Roman"/>
          <w:i/>
          <w:sz w:val="16"/>
          <w:szCs w:val="16"/>
        </w:rPr>
        <w:t>discriminación</w:t>
      </w:r>
      <w:r w:rsidR="006E24F3" w:rsidRPr="00EA236D">
        <w:rPr>
          <w:rFonts w:ascii="Verdana" w:hAnsi="Verdana" w:cs="Times New Roman"/>
          <w:i/>
          <w:sz w:val="16"/>
          <w:szCs w:val="16"/>
        </w:rPr>
        <w:t xml:space="preserve"> alguna, especialmente por razones de sexo, raza, color, lengua, </w:t>
      </w:r>
      <w:r w:rsidR="006A56A4" w:rsidRPr="00EA236D">
        <w:rPr>
          <w:rFonts w:ascii="Verdana" w:hAnsi="Verdana" w:cs="Times New Roman"/>
          <w:i/>
          <w:sz w:val="16"/>
          <w:szCs w:val="16"/>
        </w:rPr>
        <w:t>religión</w:t>
      </w:r>
      <w:r w:rsidR="006E24F3" w:rsidRPr="00EA236D">
        <w:rPr>
          <w:rFonts w:ascii="Verdana" w:hAnsi="Verdana" w:cs="Times New Roman"/>
          <w:i/>
          <w:sz w:val="16"/>
          <w:szCs w:val="16"/>
        </w:rPr>
        <w:t xml:space="preserve">, opiniones </w:t>
      </w:r>
      <w:r w:rsidR="006A56A4" w:rsidRPr="00EA236D">
        <w:rPr>
          <w:rFonts w:ascii="Verdana" w:hAnsi="Verdana" w:cs="Times New Roman"/>
          <w:i/>
          <w:sz w:val="16"/>
          <w:szCs w:val="16"/>
        </w:rPr>
        <w:t>políticas</w:t>
      </w:r>
      <w:r w:rsidR="006E24F3" w:rsidRPr="00EA236D">
        <w:rPr>
          <w:rFonts w:ascii="Verdana" w:hAnsi="Verdana" w:cs="Times New Roman"/>
          <w:i/>
          <w:sz w:val="16"/>
          <w:szCs w:val="16"/>
        </w:rPr>
        <w:t xml:space="preserve"> o de </w:t>
      </w:r>
      <w:r w:rsidR="006E24F3" w:rsidRPr="00EA236D">
        <w:rPr>
          <w:rFonts w:ascii="Verdana" w:hAnsi="Verdana"/>
          <w:i/>
          <w:sz w:val="16"/>
          <w:szCs w:val="16"/>
        </w:rPr>
        <w:t xml:space="preserve">otro </w:t>
      </w:r>
      <w:r w:rsidR="005525C2" w:rsidRPr="00EA236D">
        <w:rPr>
          <w:rFonts w:ascii="Verdana" w:hAnsi="Verdana"/>
          <w:i/>
          <w:sz w:val="16"/>
          <w:szCs w:val="16"/>
        </w:rPr>
        <w:t>carácter</w:t>
      </w:r>
      <w:r w:rsidR="006E24F3" w:rsidRPr="00EA236D">
        <w:rPr>
          <w:rFonts w:ascii="Verdana" w:hAnsi="Verdana"/>
          <w:i/>
          <w:sz w:val="16"/>
          <w:szCs w:val="16"/>
        </w:rPr>
        <w:t xml:space="preserve">, origen nacional o social, pertenencia a una </w:t>
      </w:r>
      <w:r w:rsidR="005525C2" w:rsidRPr="00EA236D">
        <w:rPr>
          <w:rFonts w:ascii="Verdana" w:hAnsi="Verdana"/>
          <w:i/>
          <w:sz w:val="16"/>
          <w:szCs w:val="16"/>
        </w:rPr>
        <w:t>minoría</w:t>
      </w:r>
      <w:r w:rsidR="006E24F3" w:rsidRPr="00EA236D">
        <w:rPr>
          <w:rFonts w:ascii="Verdana" w:hAnsi="Verdana"/>
          <w:i/>
          <w:sz w:val="16"/>
          <w:szCs w:val="16"/>
        </w:rPr>
        <w:t xml:space="preserve"> nacional, fortuna, nacimiento o cualquier otra </w:t>
      </w:r>
      <w:r w:rsidR="005525C2" w:rsidRPr="00EA236D">
        <w:rPr>
          <w:rFonts w:ascii="Verdana" w:hAnsi="Verdana"/>
          <w:i/>
          <w:sz w:val="16"/>
          <w:szCs w:val="16"/>
        </w:rPr>
        <w:t>situación</w:t>
      </w:r>
      <w:r w:rsidR="006A56A4" w:rsidRPr="00EA236D">
        <w:rPr>
          <w:rStyle w:val="FootnoteReference"/>
          <w:rFonts w:ascii="Verdana" w:hAnsi="Verdana"/>
          <w:i/>
          <w:sz w:val="16"/>
        </w:rPr>
        <w:footnoteReference w:id="7"/>
      </w:r>
      <w:r w:rsidR="006E24F3" w:rsidRPr="00EA236D">
        <w:rPr>
          <w:rFonts w:ascii="Verdana" w:hAnsi="Verdana"/>
          <w:i/>
          <w:sz w:val="16"/>
          <w:szCs w:val="16"/>
        </w:rPr>
        <w:t xml:space="preserve">. </w:t>
      </w:r>
    </w:p>
    <w:p w14:paraId="10C20834" w14:textId="733C75EB" w:rsidR="006E24F3" w:rsidRPr="00EA236D" w:rsidRDefault="006E24F3" w:rsidP="006E24F3">
      <w:pPr>
        <w:pStyle w:val="ListParagraph"/>
        <w:numPr>
          <w:ilvl w:val="0"/>
          <w:numId w:val="1"/>
        </w:numPr>
        <w:rPr>
          <w:rStyle w:val="sb8d990e2"/>
          <w:rFonts w:cs="Arial"/>
          <w:szCs w:val="20"/>
          <w:lang w:val="es-ES_tradnl"/>
        </w:rPr>
      </w:pPr>
      <w:r w:rsidRPr="00EA236D">
        <w:rPr>
          <w:rStyle w:val="sb8d990e2"/>
          <w:rFonts w:cs="Arial"/>
          <w:szCs w:val="20"/>
          <w:lang w:val="es-ES_tradnl"/>
        </w:rPr>
        <w:t xml:space="preserve">En relación al alcance </w:t>
      </w:r>
      <w:r w:rsidR="00B56C3B" w:rsidRPr="00EA236D">
        <w:rPr>
          <w:rStyle w:val="sb8d990e2"/>
          <w:rFonts w:cs="Arial"/>
          <w:szCs w:val="20"/>
          <w:lang w:val="es-ES_tradnl"/>
        </w:rPr>
        <w:t>del artículo</w:t>
      </w:r>
      <w:r w:rsidRPr="00EA236D">
        <w:rPr>
          <w:rStyle w:val="sb8d990e2"/>
          <w:rFonts w:cs="Arial"/>
          <w:szCs w:val="20"/>
          <w:lang w:val="es-ES_tradnl"/>
        </w:rPr>
        <w:t xml:space="preserve"> 14 del Convenio Europeo (Prohibición de discriminación a la luz de las disposiciones de la Convención) y del </w:t>
      </w:r>
      <w:r w:rsidR="00B56C3B" w:rsidRPr="00EA236D">
        <w:rPr>
          <w:rStyle w:val="sb8d990e2"/>
          <w:rFonts w:cs="Arial"/>
          <w:szCs w:val="20"/>
          <w:lang w:val="es-ES_tradnl"/>
        </w:rPr>
        <w:t>a</w:t>
      </w:r>
      <w:r w:rsidRPr="00EA236D">
        <w:rPr>
          <w:rStyle w:val="sb8d990e2"/>
          <w:rFonts w:cs="Arial"/>
          <w:szCs w:val="20"/>
          <w:lang w:val="es-ES_tradnl"/>
        </w:rPr>
        <w:t xml:space="preserve">rtículo 1 del Protocolo No. 12 (Prohibición de discriminación a la luz de la normativa interna), </w:t>
      </w:r>
      <w:r w:rsidR="00B0215E" w:rsidRPr="00EA236D">
        <w:rPr>
          <w:rStyle w:val="sb8d990e2"/>
          <w:rFonts w:cs="Arial"/>
          <w:szCs w:val="20"/>
          <w:lang w:val="es-ES_tradnl"/>
        </w:rPr>
        <w:t xml:space="preserve">el Tribunal Europeo </w:t>
      </w:r>
      <w:r w:rsidRPr="00EA236D">
        <w:rPr>
          <w:rStyle w:val="sb8d990e2"/>
          <w:rFonts w:cs="Arial"/>
          <w:szCs w:val="20"/>
          <w:lang w:val="es-ES_tradnl"/>
        </w:rPr>
        <w:t xml:space="preserve">ha precisado que a pesar de la “diferencia” de alcance entre las mismas (disposiciones de la Convención y la </w:t>
      </w:r>
      <w:r w:rsidR="00B0215E" w:rsidRPr="00EA236D">
        <w:rPr>
          <w:rStyle w:val="sb8d990e2"/>
          <w:rFonts w:cs="Arial"/>
          <w:szCs w:val="20"/>
          <w:lang w:val="es-ES_tradnl"/>
        </w:rPr>
        <w:t>l</w:t>
      </w:r>
      <w:r w:rsidRPr="00EA236D">
        <w:rPr>
          <w:rStyle w:val="sb8d990e2"/>
          <w:rFonts w:cs="Arial"/>
          <w:szCs w:val="20"/>
          <w:lang w:val="es-ES_tradnl"/>
        </w:rPr>
        <w:t xml:space="preserve">ey </w:t>
      </w:r>
      <w:r w:rsidR="00B0215E" w:rsidRPr="00EA236D">
        <w:rPr>
          <w:rStyle w:val="sb8d990e2"/>
          <w:rFonts w:cs="Arial"/>
          <w:szCs w:val="20"/>
          <w:lang w:val="es-ES_tradnl"/>
        </w:rPr>
        <w:t>i</w:t>
      </w:r>
      <w:r w:rsidRPr="00EA236D">
        <w:rPr>
          <w:rStyle w:val="sb8d990e2"/>
          <w:rFonts w:cs="Arial"/>
          <w:szCs w:val="20"/>
          <w:lang w:val="es-ES_tradnl"/>
        </w:rPr>
        <w:t>nterna), la interpretación de “prohibición de discriminación” es idé</w:t>
      </w:r>
      <w:r w:rsidR="00AE08CC" w:rsidRPr="00EA236D">
        <w:rPr>
          <w:rStyle w:val="sb8d990e2"/>
          <w:rFonts w:cs="Arial"/>
          <w:szCs w:val="20"/>
          <w:lang w:val="es-ES_tradnl"/>
        </w:rPr>
        <w:t>ntica entre ambas disposiciones;</w:t>
      </w:r>
      <w:r w:rsidRPr="00EA236D">
        <w:rPr>
          <w:rStyle w:val="sb8d990e2"/>
          <w:rFonts w:cs="Arial"/>
          <w:szCs w:val="20"/>
          <w:lang w:val="es-ES_tradnl"/>
        </w:rPr>
        <w:t xml:space="preserve"> así</w:t>
      </w:r>
      <w:r w:rsidR="00B56C3B" w:rsidRPr="00EA236D">
        <w:rPr>
          <w:rStyle w:val="sb8d990e2"/>
          <w:rFonts w:cs="Arial"/>
          <w:szCs w:val="20"/>
          <w:lang w:val="es-ES_tradnl"/>
        </w:rPr>
        <w:t>,</w:t>
      </w:r>
      <w:r w:rsidRPr="00EA236D">
        <w:rPr>
          <w:rStyle w:val="sb8d990e2"/>
          <w:rFonts w:cs="Arial"/>
          <w:szCs w:val="20"/>
          <w:lang w:val="es-ES_tradnl"/>
        </w:rPr>
        <w:t xml:space="preserve"> el Tribunal Europeo aplica la misma interpretación sobre la prohibición de discriminación que ha desarrollado a la luz del art</w:t>
      </w:r>
      <w:r w:rsidR="00E63C4F" w:rsidRPr="00EA236D">
        <w:rPr>
          <w:rStyle w:val="sb8d990e2"/>
          <w:rFonts w:cs="Arial"/>
          <w:szCs w:val="20"/>
          <w:lang w:val="es-ES_tradnl"/>
        </w:rPr>
        <w:t>í</w:t>
      </w:r>
      <w:r w:rsidRPr="00EA236D">
        <w:rPr>
          <w:rStyle w:val="sb8d990e2"/>
          <w:rFonts w:cs="Arial"/>
          <w:szCs w:val="20"/>
          <w:lang w:val="es-ES_tradnl"/>
        </w:rPr>
        <w:t>culo 14 del Convenio Europeo para el artículo 1 del Protocolo No. 12</w:t>
      </w:r>
      <w:r w:rsidRPr="00EA236D">
        <w:rPr>
          <w:rStyle w:val="FootnoteReference"/>
          <w:rFonts w:cs="Arial"/>
          <w:lang w:val="es-ES_tradnl"/>
        </w:rPr>
        <w:footnoteReference w:id="8"/>
      </w:r>
      <w:r w:rsidRPr="00EA236D">
        <w:rPr>
          <w:rStyle w:val="sb8d990e2"/>
          <w:rFonts w:cs="Arial"/>
          <w:szCs w:val="20"/>
          <w:lang w:val="es-ES_tradnl"/>
        </w:rPr>
        <w:t>.</w:t>
      </w:r>
    </w:p>
    <w:p w14:paraId="40C6EBD6" w14:textId="77777777" w:rsidR="006A56A4" w:rsidRPr="00EA236D" w:rsidRDefault="006A56A4" w:rsidP="006E24F3">
      <w:pPr>
        <w:pStyle w:val="ListParagraph"/>
        <w:ind w:left="0"/>
        <w:rPr>
          <w:rFonts w:cs="System Font Regular"/>
          <w:b/>
          <w:i/>
          <w:szCs w:val="20"/>
          <w:lang w:val="es-ES_tradnl"/>
        </w:rPr>
      </w:pPr>
    </w:p>
    <w:p w14:paraId="6A718BA8" w14:textId="46104D4D" w:rsidR="006E24F3" w:rsidRPr="00EA236D" w:rsidRDefault="006E24F3" w:rsidP="006E24F3">
      <w:pPr>
        <w:pStyle w:val="ListParagraph"/>
        <w:numPr>
          <w:ilvl w:val="0"/>
          <w:numId w:val="1"/>
        </w:numPr>
        <w:rPr>
          <w:rFonts w:cs="System Font Regular"/>
          <w:b/>
          <w:i/>
          <w:szCs w:val="20"/>
          <w:lang w:val="es-ES_tradnl"/>
        </w:rPr>
      </w:pPr>
      <w:r w:rsidRPr="00EA236D">
        <w:rPr>
          <w:rFonts w:cs="Times New Roman"/>
          <w:szCs w:val="20"/>
          <w:lang w:val="es-ES_tradnl"/>
        </w:rPr>
        <w:t xml:space="preserve">Con independencia de lo anterior, el Convenio Europeo no contiene la discriminación por posición económica o por pobreza de manera expresa. </w:t>
      </w:r>
      <w:r w:rsidR="00AE08CC" w:rsidRPr="00EA236D">
        <w:rPr>
          <w:rFonts w:cs="Times New Roman"/>
          <w:szCs w:val="20"/>
          <w:lang w:val="es-ES_tradnl"/>
        </w:rPr>
        <w:t>L</w:t>
      </w:r>
      <w:r w:rsidRPr="00EA236D">
        <w:rPr>
          <w:rFonts w:cs="Times New Roman"/>
          <w:szCs w:val="20"/>
          <w:lang w:val="es-ES_tradnl"/>
        </w:rPr>
        <w:t xml:space="preserve">o anterior no ha sido obstáculo para que el Tribunal Europeo haya desarrollado jurisprudencia respecto </w:t>
      </w:r>
      <w:r w:rsidR="009E10B6" w:rsidRPr="00EA236D">
        <w:rPr>
          <w:rFonts w:cs="Times New Roman"/>
          <w:szCs w:val="20"/>
          <w:lang w:val="es-ES_tradnl"/>
        </w:rPr>
        <w:t>a las condiciones</w:t>
      </w:r>
      <w:r w:rsidRPr="00EA236D">
        <w:rPr>
          <w:rFonts w:cs="Times New Roman"/>
          <w:szCs w:val="20"/>
          <w:lang w:val="es-ES_tradnl"/>
        </w:rPr>
        <w:t xml:space="preserve"> económica</w:t>
      </w:r>
      <w:r w:rsidR="009E10B6" w:rsidRPr="00EA236D">
        <w:rPr>
          <w:rFonts w:cs="Times New Roman"/>
          <w:szCs w:val="20"/>
          <w:lang w:val="es-ES_tradnl"/>
        </w:rPr>
        <w:t>s</w:t>
      </w:r>
      <w:r w:rsidRPr="00EA236D">
        <w:rPr>
          <w:rFonts w:cs="Times New Roman"/>
          <w:szCs w:val="20"/>
          <w:lang w:val="es-ES_tradnl"/>
        </w:rPr>
        <w:t xml:space="preserve"> que muchas de las víctimas ha</w:t>
      </w:r>
      <w:r w:rsidR="00A83C70" w:rsidRPr="00EA236D">
        <w:rPr>
          <w:rFonts w:cs="Times New Roman"/>
          <w:szCs w:val="20"/>
          <w:lang w:val="es-ES_tradnl"/>
        </w:rPr>
        <w:t>n</w:t>
      </w:r>
      <w:r w:rsidRPr="00EA236D">
        <w:rPr>
          <w:rFonts w:cs="Times New Roman"/>
          <w:szCs w:val="20"/>
          <w:lang w:val="es-ES_tradnl"/>
        </w:rPr>
        <w:t xml:space="preserve"> enfrentado. </w:t>
      </w:r>
    </w:p>
    <w:p w14:paraId="7CDC5E88" w14:textId="77777777" w:rsidR="006E24F3" w:rsidRPr="00EA236D" w:rsidRDefault="006E24F3" w:rsidP="006E24F3">
      <w:pPr>
        <w:pStyle w:val="ListParagraph"/>
        <w:ind w:left="0"/>
        <w:rPr>
          <w:rFonts w:cs="System Font Regular"/>
          <w:b/>
          <w:i/>
          <w:szCs w:val="20"/>
          <w:lang w:val="es-ES_tradnl"/>
        </w:rPr>
      </w:pPr>
    </w:p>
    <w:p w14:paraId="24086477" w14:textId="0A7BB07D" w:rsidR="00384C56" w:rsidRPr="00EA236D" w:rsidRDefault="00384C56" w:rsidP="00384C56">
      <w:pPr>
        <w:pStyle w:val="ListParagraph"/>
        <w:numPr>
          <w:ilvl w:val="0"/>
          <w:numId w:val="1"/>
        </w:numPr>
        <w:rPr>
          <w:rFonts w:cs="System Font Regular"/>
          <w:b/>
          <w:i/>
          <w:szCs w:val="20"/>
          <w:lang w:val="es-ES_tradnl"/>
        </w:rPr>
      </w:pPr>
      <w:r w:rsidRPr="00EA236D">
        <w:rPr>
          <w:rFonts w:cs="System Font Regular"/>
          <w:szCs w:val="20"/>
          <w:lang w:val="es-ES_tradnl"/>
        </w:rPr>
        <w:t xml:space="preserve">En este sentido, el artículo 14 del CEDH, ha sido </w:t>
      </w:r>
      <w:r w:rsidR="003418B9" w:rsidRPr="00EA236D">
        <w:rPr>
          <w:rFonts w:cs="System Font Regular"/>
          <w:szCs w:val="20"/>
          <w:lang w:val="es-ES_tradnl"/>
        </w:rPr>
        <w:t>asociado</w:t>
      </w:r>
      <w:r w:rsidRPr="00EA236D">
        <w:rPr>
          <w:rFonts w:cs="System Font Regular"/>
          <w:szCs w:val="20"/>
          <w:lang w:val="es-ES_tradnl"/>
        </w:rPr>
        <w:t xml:space="preserve"> de manera </w:t>
      </w:r>
      <w:r w:rsidR="00B56C3B" w:rsidRPr="00EA236D">
        <w:rPr>
          <w:rFonts w:cs="System Font Regular"/>
          <w:szCs w:val="20"/>
          <w:lang w:val="es-ES_tradnl"/>
        </w:rPr>
        <w:t xml:space="preserve">implícita, </w:t>
      </w:r>
      <w:r w:rsidRPr="00EA236D">
        <w:rPr>
          <w:rFonts w:cs="System Font Regular"/>
          <w:szCs w:val="20"/>
          <w:lang w:val="es-ES_tradnl"/>
        </w:rPr>
        <w:t xml:space="preserve">accesoria e indirecta respecto de derechos y libertades protegidos por el CEDH. Así, la prohibición de discriminación contemplada en el Convenio </w:t>
      </w:r>
      <w:r w:rsidR="003418B9" w:rsidRPr="00EA236D">
        <w:rPr>
          <w:rFonts w:cs="System Font Regular"/>
          <w:szCs w:val="20"/>
          <w:lang w:val="es-ES_tradnl"/>
        </w:rPr>
        <w:t>Europeo</w:t>
      </w:r>
      <w:r w:rsidRPr="00EA236D">
        <w:rPr>
          <w:rFonts w:cs="System Font Regular"/>
          <w:szCs w:val="20"/>
          <w:lang w:val="es-ES_tradnl"/>
        </w:rPr>
        <w:t xml:space="preserve"> se ha relacionado con el derecho a la vida (art. 2 del CEDH) por las condicio</w:t>
      </w:r>
      <w:r w:rsidR="005F5714" w:rsidRPr="00EA236D">
        <w:rPr>
          <w:rFonts w:cs="System Font Regular"/>
          <w:szCs w:val="20"/>
          <w:lang w:val="es-ES_tradnl"/>
        </w:rPr>
        <w:t>nes de vida o asistencia</w:t>
      </w:r>
      <w:r w:rsidRPr="00EA236D">
        <w:rPr>
          <w:rStyle w:val="FootnoteReference"/>
          <w:lang w:val="es-ES_tradnl"/>
        </w:rPr>
        <w:footnoteReference w:id="9"/>
      </w:r>
      <w:r w:rsidR="00AE08CC" w:rsidRPr="00EA236D">
        <w:rPr>
          <w:rFonts w:cs="System Font Regular"/>
          <w:szCs w:val="20"/>
          <w:lang w:val="es-ES_tradnl"/>
        </w:rPr>
        <w:t>;</w:t>
      </w:r>
      <w:r w:rsidRPr="00EA236D">
        <w:rPr>
          <w:rFonts w:cs="System Font Regular"/>
          <w:szCs w:val="20"/>
          <w:lang w:val="es-ES_tradnl"/>
        </w:rPr>
        <w:t xml:space="preserve"> la prohibición de tratos crueles, inhumanos o degradantes o el respeto a la vida privada y familiar (arts. 3 y 8 del CEDH) relacionándolo con un nivel de vida digna</w:t>
      </w:r>
      <w:r w:rsidRPr="00EA236D">
        <w:rPr>
          <w:rStyle w:val="FootnoteReference"/>
          <w:lang w:val="es-ES_tradnl"/>
        </w:rPr>
        <w:footnoteReference w:id="10"/>
      </w:r>
      <w:r w:rsidR="00C3382F">
        <w:rPr>
          <w:rFonts w:cs="System Font Regular"/>
          <w:szCs w:val="20"/>
          <w:lang w:val="es-ES_tradnl"/>
        </w:rPr>
        <w:t>,</w:t>
      </w:r>
      <w:r w:rsidR="005F5714" w:rsidRPr="00EA236D">
        <w:rPr>
          <w:lang w:val="es-ES_tradnl"/>
        </w:rPr>
        <w:t xml:space="preserve"> o </w:t>
      </w:r>
      <w:r w:rsidRPr="00EA236D">
        <w:rPr>
          <w:lang w:val="es-ES_tradnl"/>
        </w:rPr>
        <w:t xml:space="preserve">el derecho a la protección de la vida privada y familiar (art. 8 del CEDH) respecto de la </w:t>
      </w:r>
      <w:r w:rsidR="00017CD0" w:rsidRPr="00EA236D">
        <w:rPr>
          <w:lang w:val="es-ES_tradnl"/>
        </w:rPr>
        <w:t>privación</w:t>
      </w:r>
      <w:r w:rsidRPr="00EA236D">
        <w:rPr>
          <w:lang w:val="es-ES_tradnl"/>
        </w:rPr>
        <w:t xml:space="preserve"> de los derechos custodia de </w:t>
      </w:r>
      <w:r w:rsidR="00AE08CC" w:rsidRPr="00EA236D">
        <w:rPr>
          <w:lang w:val="es-ES_tradnl"/>
        </w:rPr>
        <w:t xml:space="preserve">niñas y niños </w:t>
      </w:r>
      <w:r w:rsidRPr="00EA236D">
        <w:rPr>
          <w:lang w:val="es-ES_tradnl"/>
        </w:rPr>
        <w:t>y su colocación en una institución estatal</w:t>
      </w:r>
      <w:r w:rsidR="008121FE" w:rsidRPr="00EA236D">
        <w:rPr>
          <w:rStyle w:val="FootnoteReference"/>
          <w:lang w:val="es-ES_tradnl"/>
        </w:rPr>
        <w:footnoteReference w:id="11"/>
      </w:r>
      <w:r w:rsidR="005F5714" w:rsidRPr="00EA236D">
        <w:rPr>
          <w:lang w:val="es-ES_tradnl"/>
        </w:rPr>
        <w:t xml:space="preserve">  </w:t>
      </w:r>
      <w:r w:rsidR="00017CD0" w:rsidRPr="00EA236D">
        <w:rPr>
          <w:lang w:val="es-ES_tradnl"/>
        </w:rPr>
        <w:t xml:space="preserve">y </w:t>
      </w:r>
      <w:r w:rsidRPr="00EA236D">
        <w:rPr>
          <w:lang w:val="es-ES_tradnl"/>
        </w:rPr>
        <w:t>el derecho de propiedad (art.</w:t>
      </w:r>
      <w:r w:rsidR="00A83C70" w:rsidRPr="00EA236D">
        <w:rPr>
          <w:lang w:val="es-ES_tradnl"/>
        </w:rPr>
        <w:t xml:space="preserve"> 1 del Protocolo No. 1 del CEDH</w:t>
      </w:r>
      <w:r w:rsidR="00963A9F">
        <w:rPr>
          <w:lang w:val="es-ES_tradnl"/>
        </w:rPr>
        <w:t>)</w:t>
      </w:r>
      <w:r w:rsidRPr="00EA236D">
        <w:rPr>
          <w:rStyle w:val="FootnoteReference"/>
          <w:lang w:val="es-ES_tradnl"/>
        </w:rPr>
        <w:footnoteReference w:id="12"/>
      </w:r>
      <w:r w:rsidRPr="00EA236D">
        <w:rPr>
          <w:lang w:val="es-ES_tradnl"/>
        </w:rPr>
        <w:t>.</w:t>
      </w:r>
    </w:p>
    <w:p w14:paraId="0C6678FA" w14:textId="77777777" w:rsidR="006E24F3" w:rsidRPr="00EA236D" w:rsidRDefault="006E24F3" w:rsidP="006E24F3">
      <w:pPr>
        <w:rPr>
          <w:rFonts w:ascii="Verdana" w:hAnsi="Verdana" w:cs="System Font Regular"/>
          <w:b/>
          <w:i/>
          <w:szCs w:val="20"/>
        </w:rPr>
      </w:pPr>
    </w:p>
    <w:p w14:paraId="06FE2649" w14:textId="77777777" w:rsidR="00F6203A" w:rsidRPr="00EA236D" w:rsidRDefault="009E10B6" w:rsidP="005525C2">
      <w:pPr>
        <w:pStyle w:val="ListParagraph"/>
        <w:numPr>
          <w:ilvl w:val="0"/>
          <w:numId w:val="1"/>
        </w:numPr>
        <w:rPr>
          <w:rFonts w:cs="System Font Regular"/>
          <w:b/>
          <w:i/>
          <w:szCs w:val="20"/>
          <w:lang w:val="es-ES_tradnl"/>
        </w:rPr>
      </w:pPr>
      <w:r w:rsidRPr="00EA236D">
        <w:rPr>
          <w:rFonts w:cs="System Font Regular"/>
          <w:szCs w:val="20"/>
          <w:lang w:val="es-ES_tradnl"/>
        </w:rPr>
        <w:t>De igual manera</w:t>
      </w:r>
      <w:r w:rsidR="006E24F3" w:rsidRPr="00EA236D">
        <w:rPr>
          <w:rFonts w:cs="System Font Regular"/>
          <w:szCs w:val="20"/>
          <w:lang w:val="es-ES_tradnl"/>
        </w:rPr>
        <w:t>, en el seno del Sistema Europeo,</w:t>
      </w:r>
      <w:r w:rsidR="005525C2" w:rsidRPr="00EA236D">
        <w:rPr>
          <w:rFonts w:cs="System Font Regular"/>
          <w:szCs w:val="20"/>
          <w:lang w:val="es-ES_tradnl"/>
        </w:rPr>
        <w:t xml:space="preserve"> un dato sobresaliente lo encontramos en </w:t>
      </w:r>
      <w:r w:rsidR="006E24F3" w:rsidRPr="00EA236D">
        <w:rPr>
          <w:rFonts w:cs="System Font Regular"/>
          <w:szCs w:val="20"/>
          <w:lang w:val="es-ES_tradnl"/>
        </w:rPr>
        <w:t>la Carta Social Europea</w:t>
      </w:r>
      <w:r w:rsidRPr="00EA236D">
        <w:rPr>
          <w:rFonts w:cs="System Font Regular"/>
          <w:szCs w:val="20"/>
          <w:lang w:val="es-ES_tradnl"/>
        </w:rPr>
        <w:t xml:space="preserve">, </w:t>
      </w:r>
      <w:r w:rsidRPr="00EA236D">
        <w:rPr>
          <w:lang w:val="es-ES_tradnl"/>
        </w:rPr>
        <w:t xml:space="preserve">en el artículo 30, </w:t>
      </w:r>
      <w:r w:rsidR="005525C2" w:rsidRPr="00EA236D">
        <w:rPr>
          <w:lang w:val="es-ES_tradnl"/>
        </w:rPr>
        <w:t xml:space="preserve">que protege </w:t>
      </w:r>
      <w:r w:rsidR="005525C2" w:rsidRPr="00EA236D">
        <w:rPr>
          <w:i/>
          <w:lang w:val="es-ES_tradnl"/>
        </w:rPr>
        <w:t xml:space="preserve">a las personas contra la pobreza y la exclusión social, </w:t>
      </w:r>
      <w:r w:rsidR="005525C2" w:rsidRPr="00EA236D">
        <w:rPr>
          <w:lang w:val="es-ES_tradnl"/>
        </w:rPr>
        <w:t xml:space="preserve">por lo que los Estados se comprometen “a adoptar medidas en el marco de un planteamiento global y coordinado para promover el acceso efectivo, en particular al empleo, a la vivienda, a la formación, a la enseñanza, a la cultura, a la asistencia social y médica, </w:t>
      </w:r>
      <w:r w:rsidR="005525C2" w:rsidRPr="00EA236D">
        <w:rPr>
          <w:i/>
          <w:lang w:val="es-ES_tradnl"/>
        </w:rPr>
        <w:t>de las personas que se encuentren o corran el riesgo de encontrarse en una situación de exclusión social o de pobreza, así como de sus familias</w:t>
      </w:r>
      <w:r w:rsidR="005525C2" w:rsidRPr="00EA236D">
        <w:rPr>
          <w:lang w:val="es-ES_tradnl"/>
        </w:rPr>
        <w:t>”</w:t>
      </w:r>
      <w:r w:rsidR="006A56A4" w:rsidRPr="00EA236D">
        <w:rPr>
          <w:rStyle w:val="FootnoteReference"/>
          <w:lang w:val="es-ES_tradnl"/>
        </w:rPr>
        <w:footnoteReference w:id="13"/>
      </w:r>
      <w:r w:rsidR="005525C2" w:rsidRPr="00EA236D">
        <w:rPr>
          <w:lang w:val="es-ES_tradnl"/>
        </w:rPr>
        <w:t xml:space="preserve">. </w:t>
      </w:r>
    </w:p>
    <w:p w14:paraId="6EEB516D" w14:textId="77777777" w:rsidR="00F6203A" w:rsidRPr="00EA236D" w:rsidRDefault="00F6203A" w:rsidP="00F6203A">
      <w:pPr>
        <w:rPr>
          <w:rFonts w:ascii="Verdana" w:hAnsi="Verdana"/>
        </w:rPr>
      </w:pPr>
    </w:p>
    <w:p w14:paraId="6A939DC0" w14:textId="2B49C129" w:rsidR="005525C2" w:rsidRPr="00EA236D" w:rsidRDefault="00787BB2" w:rsidP="005525C2">
      <w:pPr>
        <w:pStyle w:val="ListParagraph"/>
        <w:numPr>
          <w:ilvl w:val="0"/>
          <w:numId w:val="1"/>
        </w:numPr>
        <w:rPr>
          <w:rFonts w:cs="System Font Regular"/>
          <w:b/>
          <w:i/>
          <w:szCs w:val="20"/>
          <w:lang w:val="es-ES_tradnl"/>
        </w:rPr>
      </w:pPr>
      <w:r w:rsidRPr="00EA236D">
        <w:rPr>
          <w:lang w:val="es-ES_tradnl"/>
        </w:rPr>
        <w:t xml:space="preserve">Este precepto de la </w:t>
      </w:r>
      <w:r w:rsidRPr="00EA236D">
        <w:rPr>
          <w:i/>
          <w:lang w:val="es-ES_tradnl"/>
        </w:rPr>
        <w:t>Carta Social Europea</w:t>
      </w:r>
      <w:r w:rsidR="000E0300" w:rsidRPr="00EA236D">
        <w:rPr>
          <w:lang w:val="es-ES_tradnl"/>
        </w:rPr>
        <w:t xml:space="preserve"> tiene explícitamente como finalidad aliviar la pobreza y la exclusión social obligando a los Estados a tener un enfoque integral con respecto de esas cuestiones. Así, se entiende </w:t>
      </w:r>
      <w:r w:rsidR="000E0300" w:rsidRPr="000C2F0F">
        <w:rPr>
          <w:i/>
          <w:lang w:val="es-ES_tradnl"/>
        </w:rPr>
        <w:t>pobreza</w:t>
      </w:r>
      <w:r w:rsidR="000E0300" w:rsidRPr="00EA236D">
        <w:rPr>
          <w:lang w:val="es-ES_tradnl"/>
        </w:rPr>
        <w:t xml:space="preserve"> como aquella que cubre a personas que se encuentran en situaciones que van de la pobreza extrema por varias generaciones en esas familias</w:t>
      </w:r>
      <w:r w:rsidR="00B126F4" w:rsidRPr="00EA236D">
        <w:rPr>
          <w:lang w:val="es-ES_tradnl"/>
        </w:rPr>
        <w:t>,</w:t>
      </w:r>
      <w:r w:rsidR="000E0300" w:rsidRPr="00EA236D">
        <w:rPr>
          <w:lang w:val="es-ES_tradnl"/>
        </w:rPr>
        <w:t xml:space="preserve"> a aquellos que es</w:t>
      </w:r>
      <w:r w:rsidR="00B126F4" w:rsidRPr="00EA236D">
        <w:rPr>
          <w:lang w:val="es-ES_tradnl"/>
        </w:rPr>
        <w:t xml:space="preserve">tán expuestos provisionalmente </w:t>
      </w:r>
      <w:r w:rsidR="00853D99">
        <w:rPr>
          <w:lang w:val="es-ES_tradnl"/>
        </w:rPr>
        <w:t>al</w:t>
      </w:r>
      <w:r w:rsidR="00853D99" w:rsidRPr="00EA236D">
        <w:rPr>
          <w:lang w:val="es-ES_tradnl"/>
        </w:rPr>
        <w:t xml:space="preserve"> </w:t>
      </w:r>
      <w:r w:rsidR="000E0300" w:rsidRPr="00EA236D">
        <w:rPr>
          <w:lang w:val="es-ES_tradnl"/>
        </w:rPr>
        <w:t xml:space="preserve">riesgo de sufrirla. Por su parte, la expresión </w:t>
      </w:r>
      <w:r w:rsidR="000E0300" w:rsidRPr="000C2F0F">
        <w:rPr>
          <w:i/>
          <w:lang w:val="es-ES_tradnl"/>
        </w:rPr>
        <w:t>exclusión social</w:t>
      </w:r>
      <w:r w:rsidR="000E0300" w:rsidRPr="00EA236D">
        <w:rPr>
          <w:lang w:val="es-ES_tradnl"/>
        </w:rPr>
        <w:t xml:space="preserve">, se entiende </w:t>
      </w:r>
      <w:r w:rsidR="005531E3" w:rsidRPr="00EA236D">
        <w:rPr>
          <w:lang w:val="es-ES_tradnl"/>
        </w:rPr>
        <w:t>como la situación de las personas</w:t>
      </w:r>
      <w:r w:rsidR="000E0300" w:rsidRPr="00EA236D">
        <w:rPr>
          <w:lang w:val="es-ES_tradnl"/>
        </w:rPr>
        <w:t xml:space="preserve"> que se encuentran en una posición de pobreza extrema debido a</w:t>
      </w:r>
      <w:r w:rsidR="00F51BFE" w:rsidRPr="00EA236D">
        <w:rPr>
          <w:lang w:val="es-ES_tradnl"/>
        </w:rPr>
        <w:t xml:space="preserve"> una acumulación de desventajas, que sufren situaciones o acontecimientos </w:t>
      </w:r>
      <w:r w:rsidR="0013659B" w:rsidRPr="00EA236D">
        <w:rPr>
          <w:lang w:val="es-ES_tradnl"/>
        </w:rPr>
        <w:t>degra</w:t>
      </w:r>
      <w:r w:rsidR="00F51BFE" w:rsidRPr="00EA236D">
        <w:rPr>
          <w:lang w:val="es-ES_tradnl"/>
        </w:rPr>
        <w:t xml:space="preserve">dantes o marginalización, cuyos derechos a recibir ciertos beneficios </w:t>
      </w:r>
      <w:r w:rsidR="00853D99">
        <w:rPr>
          <w:lang w:val="es-ES_tradnl"/>
        </w:rPr>
        <w:t>(</w:t>
      </w:r>
      <w:r w:rsidR="00F51BFE" w:rsidRPr="00EA236D">
        <w:rPr>
          <w:lang w:val="es-ES_tradnl"/>
        </w:rPr>
        <w:t>brindados por el Estado</w:t>
      </w:r>
      <w:r w:rsidR="00853D99">
        <w:rPr>
          <w:lang w:val="es-ES_tradnl"/>
        </w:rPr>
        <w:t>)</w:t>
      </w:r>
      <w:r w:rsidR="00F51BFE" w:rsidRPr="00EA236D">
        <w:rPr>
          <w:lang w:val="es-ES_tradnl"/>
        </w:rPr>
        <w:t xml:space="preserve"> pueden haber expirado hace tiempo o cuyas situaciones es producto de circunstancias concurrentes</w:t>
      </w:r>
      <w:r w:rsidR="00F51BFE" w:rsidRPr="00EA236D">
        <w:rPr>
          <w:rStyle w:val="FootnoteReference"/>
          <w:lang w:val="es-ES_tradnl"/>
        </w:rPr>
        <w:footnoteReference w:id="14"/>
      </w:r>
      <w:r w:rsidR="00F51BFE" w:rsidRPr="00EA236D">
        <w:rPr>
          <w:lang w:val="es-ES_tradnl"/>
        </w:rPr>
        <w:t xml:space="preserve">. </w:t>
      </w:r>
    </w:p>
    <w:p w14:paraId="16F1427E" w14:textId="77777777" w:rsidR="00CA6A86" w:rsidRPr="00EA236D" w:rsidRDefault="00CA6A86" w:rsidP="00CA6A86">
      <w:pPr>
        <w:pStyle w:val="ListParagraph"/>
        <w:ind w:left="0"/>
        <w:rPr>
          <w:rFonts w:cs="System Font Regular"/>
          <w:b/>
          <w:i/>
          <w:szCs w:val="20"/>
          <w:lang w:val="es-ES_tradnl"/>
        </w:rPr>
      </w:pPr>
    </w:p>
    <w:p w14:paraId="5481E9C0" w14:textId="0DE261BE" w:rsidR="00CA6A86" w:rsidRPr="00EA236D" w:rsidRDefault="00CA6A86" w:rsidP="00CA6A86">
      <w:pPr>
        <w:pStyle w:val="ListParagraph"/>
        <w:ind w:left="0"/>
        <w:rPr>
          <w:rFonts w:cs="Times New Roman"/>
          <w:i/>
          <w:szCs w:val="20"/>
          <w:lang w:val="es-ES_tradnl"/>
        </w:rPr>
      </w:pPr>
      <w:r w:rsidRPr="00EA236D">
        <w:rPr>
          <w:rFonts w:cs="Times New Roman"/>
          <w:i/>
          <w:szCs w:val="20"/>
          <w:lang w:val="es-ES_tradnl"/>
        </w:rPr>
        <w:t>ii) Sistema Africano de Derechos Humanos</w:t>
      </w:r>
    </w:p>
    <w:p w14:paraId="4090AA26" w14:textId="77777777" w:rsidR="00CA6A86" w:rsidRPr="00EA236D" w:rsidRDefault="00CA6A86" w:rsidP="00CA6A86">
      <w:pPr>
        <w:pStyle w:val="ListParagraph"/>
        <w:ind w:left="0"/>
        <w:rPr>
          <w:rFonts w:cs="Times New Roman"/>
          <w:b/>
          <w:i/>
          <w:szCs w:val="20"/>
          <w:lang w:val="es-ES_tradnl"/>
        </w:rPr>
      </w:pPr>
    </w:p>
    <w:p w14:paraId="10B82C17" w14:textId="44234630" w:rsidR="00CA6A86" w:rsidRPr="00EA236D" w:rsidRDefault="00453CF8" w:rsidP="00CA6A86">
      <w:pPr>
        <w:pStyle w:val="ListParagraph"/>
        <w:numPr>
          <w:ilvl w:val="0"/>
          <w:numId w:val="1"/>
        </w:numPr>
        <w:rPr>
          <w:rFonts w:cs="System Font Regular"/>
          <w:b/>
          <w:i/>
          <w:szCs w:val="20"/>
          <w:lang w:val="es-ES_tradnl"/>
        </w:rPr>
      </w:pPr>
      <w:r w:rsidRPr="00EA236D">
        <w:rPr>
          <w:rFonts w:cs="System Font Regular"/>
          <w:szCs w:val="20"/>
          <w:lang w:val="es-ES_tradnl"/>
        </w:rPr>
        <w:t>L</w:t>
      </w:r>
      <w:r w:rsidR="00CA6A86" w:rsidRPr="00EA236D">
        <w:rPr>
          <w:rFonts w:cs="System Font Regular"/>
          <w:szCs w:val="20"/>
          <w:lang w:val="es-ES_tradnl"/>
        </w:rPr>
        <w:t>a Carta Africana de Dere</w:t>
      </w:r>
      <w:r w:rsidRPr="00EA236D">
        <w:rPr>
          <w:rFonts w:cs="System Font Regular"/>
          <w:szCs w:val="20"/>
          <w:lang w:val="es-ES_tradnl"/>
        </w:rPr>
        <w:t>chos Humanos y de los Pueblos —</w:t>
      </w:r>
      <w:r w:rsidR="00CA6A86" w:rsidRPr="00EA236D">
        <w:rPr>
          <w:rFonts w:cs="System Font Regular"/>
          <w:szCs w:val="20"/>
          <w:lang w:val="es-ES_tradnl"/>
        </w:rPr>
        <w:t>o Carta de Banjul</w:t>
      </w:r>
      <w:r w:rsidRPr="00EA236D">
        <w:rPr>
          <w:rFonts w:cs="System Font Regular"/>
          <w:szCs w:val="20"/>
          <w:lang w:val="es-ES_tradnl"/>
        </w:rPr>
        <w:t>—</w:t>
      </w:r>
      <w:r w:rsidR="00CA6A86" w:rsidRPr="00EA236D">
        <w:rPr>
          <w:rFonts w:cs="System Font Regular"/>
          <w:szCs w:val="20"/>
          <w:lang w:val="es-ES_tradnl"/>
        </w:rPr>
        <w:t xml:space="preserve"> dispone en su artículo 2 que “[t]</w:t>
      </w:r>
      <w:proofErr w:type="spellStart"/>
      <w:r w:rsidR="00CA6A86" w:rsidRPr="00EA236D">
        <w:rPr>
          <w:rFonts w:cs="System Font Regular"/>
          <w:szCs w:val="20"/>
          <w:lang w:val="es-ES_tradnl"/>
        </w:rPr>
        <w:t>odo</w:t>
      </w:r>
      <w:proofErr w:type="spellEnd"/>
      <w:r w:rsidR="00CA6A86" w:rsidRPr="00EA236D">
        <w:rPr>
          <w:rFonts w:cs="System Font Regular"/>
          <w:szCs w:val="20"/>
          <w:lang w:val="es-ES_tradnl"/>
        </w:rPr>
        <w:t xml:space="preserve"> individuo tendrá derecho al disfrute de los derechos  reconocidos y garantizados en la presente Carta sin distinción de ningún tipo como raza, grupo étnico, color, sexo, lengua, religión, opinión política o de otra índole, origen social o nacional, fortuna, nacimiento u otro status”. En este sentido ni la posición económica ni la pobreza son categorías de protección especial</w:t>
      </w:r>
      <w:r w:rsidR="005531E3" w:rsidRPr="00EA236D">
        <w:rPr>
          <w:rFonts w:cs="System Font Regular"/>
          <w:szCs w:val="20"/>
          <w:lang w:val="es-ES_tradnl"/>
        </w:rPr>
        <w:t xml:space="preserve"> de manera expresa, lo que no impide que sean incorporadas mediante “</w:t>
      </w:r>
      <w:r w:rsidR="005531E3" w:rsidRPr="00EA236D">
        <w:rPr>
          <w:rFonts w:cs="System Font Regular"/>
          <w:i/>
          <w:szCs w:val="20"/>
          <w:lang w:val="es-ES_tradnl"/>
        </w:rPr>
        <w:t>u otro status</w:t>
      </w:r>
      <w:r w:rsidR="005531E3" w:rsidRPr="00EA236D">
        <w:rPr>
          <w:rFonts w:cs="System Font Regular"/>
          <w:szCs w:val="20"/>
          <w:lang w:val="es-ES_tradnl"/>
        </w:rPr>
        <w:t>”.</w:t>
      </w:r>
    </w:p>
    <w:p w14:paraId="160F7F47" w14:textId="77777777" w:rsidR="00CA6A86" w:rsidRPr="00EA236D" w:rsidRDefault="00CA6A86" w:rsidP="00CA6A86">
      <w:pPr>
        <w:pStyle w:val="ListParagraph"/>
        <w:ind w:left="0"/>
        <w:rPr>
          <w:rFonts w:cs="System Font Regular"/>
          <w:b/>
          <w:i/>
          <w:szCs w:val="20"/>
          <w:lang w:val="es-ES_tradnl"/>
        </w:rPr>
      </w:pPr>
    </w:p>
    <w:p w14:paraId="56230072" w14:textId="4783FD76" w:rsidR="00CA6A86" w:rsidRPr="00EA236D" w:rsidRDefault="00B0215E" w:rsidP="00CA6A86">
      <w:pPr>
        <w:pStyle w:val="ListParagraph"/>
        <w:numPr>
          <w:ilvl w:val="0"/>
          <w:numId w:val="1"/>
        </w:numPr>
        <w:rPr>
          <w:rFonts w:cs="System Font Regular"/>
          <w:b/>
          <w:i/>
          <w:szCs w:val="20"/>
          <w:lang w:val="es-ES_tradnl"/>
        </w:rPr>
      </w:pPr>
      <w:r w:rsidRPr="00EA236D">
        <w:rPr>
          <w:rFonts w:cs="System Font Regular"/>
          <w:szCs w:val="20"/>
          <w:lang w:val="es-ES_tradnl"/>
        </w:rPr>
        <w:t>En el</w:t>
      </w:r>
      <w:r w:rsidR="00CA6A86" w:rsidRPr="00EA236D">
        <w:rPr>
          <w:rFonts w:cs="System Font Regular"/>
          <w:szCs w:val="20"/>
          <w:lang w:val="es-ES_tradnl"/>
        </w:rPr>
        <w:t xml:space="preserve"> caso </w:t>
      </w:r>
      <w:proofErr w:type="spellStart"/>
      <w:r w:rsidR="006A56A4" w:rsidRPr="00EA236D">
        <w:rPr>
          <w:rFonts w:cs="System Font Regular"/>
          <w:i/>
          <w:szCs w:val="20"/>
          <w:lang w:val="es-ES_tradnl"/>
        </w:rPr>
        <w:t>Endorois</w:t>
      </w:r>
      <w:proofErr w:type="spellEnd"/>
      <w:r w:rsidR="006A56A4" w:rsidRPr="00EA236D">
        <w:rPr>
          <w:rFonts w:cs="System Font Regular"/>
          <w:i/>
          <w:szCs w:val="20"/>
          <w:lang w:val="es-ES_tradnl"/>
        </w:rPr>
        <w:t xml:space="preserve"> Vs. Ken</w:t>
      </w:r>
      <w:r w:rsidR="00853D99">
        <w:rPr>
          <w:rFonts w:cs="System Font Regular"/>
          <w:i/>
          <w:szCs w:val="20"/>
          <w:lang w:val="es-ES_tradnl"/>
        </w:rPr>
        <w:t>i</w:t>
      </w:r>
      <w:r w:rsidRPr="00EA236D">
        <w:rPr>
          <w:rFonts w:cs="System Font Regular"/>
          <w:szCs w:val="20"/>
          <w:lang w:val="es-ES_tradnl"/>
        </w:rPr>
        <w:t xml:space="preserve">a, </w:t>
      </w:r>
      <w:r w:rsidR="00787BB2" w:rsidRPr="00EA236D">
        <w:rPr>
          <w:rFonts w:cs="System Font Regular"/>
          <w:szCs w:val="20"/>
          <w:lang w:val="es-ES_tradnl"/>
        </w:rPr>
        <w:t>l</w:t>
      </w:r>
      <w:r w:rsidR="00CA6A86" w:rsidRPr="00EA236D">
        <w:rPr>
          <w:rFonts w:cs="System Font Regular"/>
          <w:szCs w:val="20"/>
          <w:lang w:val="es-ES_tradnl"/>
        </w:rPr>
        <w:t>a Comisión Africana de Derechos Humanos y de los Pueblos, consideró dentro de la violación del artículo 17</w:t>
      </w:r>
      <w:r w:rsidR="00B10142" w:rsidRPr="00EA236D">
        <w:rPr>
          <w:rFonts w:cs="System Font Regular"/>
          <w:szCs w:val="20"/>
          <w:lang w:val="es-ES_tradnl"/>
        </w:rPr>
        <w:t>.</w:t>
      </w:r>
      <w:r w:rsidR="00CA6A86" w:rsidRPr="00EA236D">
        <w:rPr>
          <w:rFonts w:cs="System Font Regular"/>
          <w:szCs w:val="20"/>
          <w:lang w:val="es-ES_tradnl"/>
        </w:rPr>
        <w:t>2 (participación en la vida cu</w:t>
      </w:r>
      <w:r w:rsidR="00B126F4" w:rsidRPr="00EA236D">
        <w:rPr>
          <w:rFonts w:cs="System Font Regular"/>
          <w:szCs w:val="20"/>
          <w:lang w:val="es-ES_tradnl"/>
        </w:rPr>
        <w:t xml:space="preserve">ltural de la comunidad) y 17.3 </w:t>
      </w:r>
      <w:r w:rsidR="00CA6A86" w:rsidRPr="00EA236D">
        <w:rPr>
          <w:rFonts w:cs="System Font Regular"/>
          <w:szCs w:val="20"/>
          <w:lang w:val="es-ES_tradnl"/>
        </w:rPr>
        <w:t xml:space="preserve">(protección de los valores culturales) </w:t>
      </w:r>
      <w:r w:rsidR="00B56C3B" w:rsidRPr="00EA236D">
        <w:rPr>
          <w:rFonts w:cs="System Font Regular"/>
          <w:szCs w:val="20"/>
          <w:lang w:val="es-ES_tradnl"/>
        </w:rPr>
        <w:t xml:space="preserve">que </w:t>
      </w:r>
      <w:r w:rsidR="00B10142" w:rsidRPr="00EA236D">
        <w:rPr>
          <w:rFonts w:cs="System Font Regular"/>
          <w:szCs w:val="20"/>
          <w:lang w:val="es-ES_tradnl"/>
        </w:rPr>
        <w:t xml:space="preserve">el Estado debía tomar acciones positivas para erradicar </w:t>
      </w:r>
      <w:r w:rsidR="00B56C3B" w:rsidRPr="00EA236D">
        <w:rPr>
          <w:rFonts w:cs="System Font Regular"/>
          <w:szCs w:val="20"/>
          <w:lang w:val="es-ES_tradnl"/>
        </w:rPr>
        <w:t xml:space="preserve">las </w:t>
      </w:r>
      <w:r w:rsidR="00B10142" w:rsidRPr="00EA236D">
        <w:rPr>
          <w:rFonts w:cs="System Font Regular"/>
          <w:szCs w:val="20"/>
          <w:lang w:val="es-ES_tradnl"/>
        </w:rPr>
        <w:t>dificultades que enfrenta</w:t>
      </w:r>
      <w:r w:rsidR="000824C4" w:rsidRPr="00EA236D">
        <w:rPr>
          <w:rFonts w:cs="System Font Regular"/>
          <w:szCs w:val="20"/>
          <w:lang w:val="es-ES_tradnl"/>
        </w:rPr>
        <w:t>ban</w:t>
      </w:r>
      <w:r w:rsidR="00B10142" w:rsidRPr="00EA236D">
        <w:rPr>
          <w:rFonts w:cs="System Font Regular"/>
          <w:szCs w:val="20"/>
          <w:lang w:val="es-ES_tradnl"/>
        </w:rPr>
        <w:t xml:space="preserve"> las comunidades in</w:t>
      </w:r>
      <w:r w:rsidR="009E10B6" w:rsidRPr="00EA236D">
        <w:rPr>
          <w:rFonts w:cs="System Font Regular"/>
          <w:szCs w:val="20"/>
          <w:lang w:val="es-ES_tradnl"/>
        </w:rPr>
        <w:t xml:space="preserve">dígenas, entre ellas, </w:t>
      </w:r>
      <w:r w:rsidR="00B10142" w:rsidRPr="00EA236D">
        <w:rPr>
          <w:rFonts w:cs="System Font Regular"/>
          <w:szCs w:val="20"/>
          <w:lang w:val="es-ES_tradnl"/>
        </w:rPr>
        <w:t>l</w:t>
      </w:r>
      <w:r w:rsidR="009E10B6" w:rsidRPr="00EA236D">
        <w:rPr>
          <w:rFonts w:cs="System Font Regular"/>
          <w:szCs w:val="20"/>
          <w:lang w:val="es-ES_tradnl"/>
        </w:rPr>
        <w:t>a pobreza extrema. Así</w:t>
      </w:r>
      <w:r w:rsidR="00853D99">
        <w:rPr>
          <w:rFonts w:cs="System Font Regular"/>
          <w:szCs w:val="20"/>
          <w:lang w:val="es-ES_tradnl"/>
        </w:rPr>
        <w:t>,</w:t>
      </w:r>
      <w:r w:rsidR="009E10B6" w:rsidRPr="00EA236D">
        <w:rPr>
          <w:rFonts w:cs="System Font Regular"/>
          <w:szCs w:val="20"/>
          <w:lang w:val="es-ES_tradnl"/>
        </w:rPr>
        <w:t xml:space="preserve"> estableció</w:t>
      </w:r>
      <w:r w:rsidR="00B10142" w:rsidRPr="00EA236D">
        <w:rPr>
          <w:rFonts w:cs="System Font Regular"/>
          <w:szCs w:val="20"/>
          <w:lang w:val="es-ES_tradnl"/>
        </w:rPr>
        <w:t xml:space="preserve"> </w:t>
      </w:r>
      <w:r w:rsidR="00CA6A86" w:rsidRPr="00EA236D">
        <w:rPr>
          <w:rFonts w:cs="System Font Regular"/>
          <w:szCs w:val="20"/>
          <w:lang w:val="es-ES_tradnl"/>
        </w:rPr>
        <w:t xml:space="preserve">que: </w:t>
      </w:r>
    </w:p>
    <w:p w14:paraId="5E0B2C5F" w14:textId="77777777" w:rsidR="00CA6A86" w:rsidRPr="00EA236D" w:rsidRDefault="00CA6A86" w:rsidP="00CA6A86">
      <w:pPr>
        <w:rPr>
          <w:rFonts w:ascii="Verdana" w:hAnsi="Verdana" w:cs="System Font Regular"/>
          <w:szCs w:val="20"/>
        </w:rPr>
      </w:pPr>
    </w:p>
    <w:p w14:paraId="2F6E6B51" w14:textId="3C3B1A44" w:rsidR="00CA6A86" w:rsidRPr="00EA236D" w:rsidRDefault="00CA6A86" w:rsidP="009B7F17">
      <w:pPr>
        <w:pStyle w:val="ListParagraph"/>
        <w:ind w:left="708"/>
        <w:rPr>
          <w:rFonts w:cs="System Font Regular"/>
          <w:b/>
          <w:i/>
          <w:sz w:val="16"/>
          <w:szCs w:val="16"/>
          <w:u w:val="single"/>
          <w:lang w:val="es-ES_tradnl"/>
        </w:rPr>
      </w:pPr>
      <w:r w:rsidRPr="00EA236D">
        <w:rPr>
          <w:rFonts w:cs="System Font Regular"/>
          <w:i/>
          <w:sz w:val="16"/>
          <w:szCs w:val="16"/>
          <w:lang w:val="es-ES_tradnl"/>
        </w:rPr>
        <w:t xml:space="preserve">48. […] el Estado demandado tiene una obligación reforzada en los términos de </w:t>
      </w:r>
      <w:r w:rsidR="009B7F17" w:rsidRPr="00EA236D">
        <w:rPr>
          <w:rFonts w:cs="System Font Regular"/>
          <w:i/>
          <w:sz w:val="16"/>
          <w:szCs w:val="16"/>
          <w:lang w:val="es-ES_tradnl"/>
        </w:rPr>
        <w:t xml:space="preserve">no sólo </w:t>
      </w:r>
      <w:r w:rsidRPr="00EA236D">
        <w:rPr>
          <w:rFonts w:cs="System Font Regular"/>
          <w:i/>
          <w:sz w:val="16"/>
          <w:szCs w:val="16"/>
          <w:lang w:val="es-ES_tradnl"/>
        </w:rPr>
        <w:t>tomar medidas positivas para proteger a los grupos y comunidades</w:t>
      </w:r>
      <w:r w:rsidR="003139EE" w:rsidRPr="00EA236D">
        <w:rPr>
          <w:rFonts w:cs="System Font Regular"/>
          <w:i/>
          <w:sz w:val="16"/>
          <w:szCs w:val="16"/>
          <w:lang w:val="es-ES_tradnl"/>
        </w:rPr>
        <w:t xml:space="preserve">, como los </w:t>
      </w:r>
      <w:proofErr w:type="spellStart"/>
      <w:r w:rsidR="003139EE" w:rsidRPr="00EA236D">
        <w:rPr>
          <w:rFonts w:cs="System Font Regular"/>
          <w:i/>
          <w:sz w:val="16"/>
          <w:szCs w:val="16"/>
          <w:lang w:val="es-ES_tradnl"/>
        </w:rPr>
        <w:t>Endoroi</w:t>
      </w:r>
      <w:r w:rsidR="009B7F17" w:rsidRPr="00EA236D">
        <w:rPr>
          <w:rFonts w:cs="System Font Regular"/>
          <w:i/>
          <w:sz w:val="16"/>
          <w:szCs w:val="16"/>
          <w:lang w:val="es-ES_tradnl"/>
        </w:rPr>
        <w:t>s</w:t>
      </w:r>
      <w:proofErr w:type="spellEnd"/>
      <w:r w:rsidR="009B7F17" w:rsidRPr="00EA236D">
        <w:rPr>
          <w:rFonts w:cs="System Font Regular"/>
          <w:i/>
          <w:sz w:val="16"/>
          <w:szCs w:val="16"/>
          <w:lang w:val="es-ES_tradnl"/>
        </w:rPr>
        <w:t xml:space="preserve">, sino que también debe promover los derechos culturales, incluyendo la creación </w:t>
      </w:r>
      <w:r w:rsidR="000824C4" w:rsidRPr="00EA236D">
        <w:rPr>
          <w:rFonts w:cs="System Font Regular"/>
          <w:i/>
          <w:sz w:val="16"/>
          <w:szCs w:val="16"/>
          <w:lang w:val="es-ES_tradnl"/>
        </w:rPr>
        <w:t xml:space="preserve">de </w:t>
      </w:r>
      <w:r w:rsidR="009B7F17" w:rsidRPr="00EA236D">
        <w:rPr>
          <w:rFonts w:cs="System Font Regular"/>
          <w:i/>
          <w:sz w:val="16"/>
          <w:szCs w:val="16"/>
          <w:lang w:val="es-ES_tradnl"/>
        </w:rPr>
        <w:t xml:space="preserve">políticas, instituciones u otros mecanismos que den oportunidades que permitan a las diferentes culturas y formas de vida su existencia, esto debido a los desafíos que enfrentan las comunidades indígenas. </w:t>
      </w:r>
      <w:r w:rsidR="009B7F17" w:rsidRPr="00EA236D">
        <w:rPr>
          <w:rFonts w:cs="System Font Regular"/>
          <w:i/>
          <w:sz w:val="16"/>
          <w:szCs w:val="16"/>
          <w:u w:val="single"/>
          <w:lang w:val="es-ES_tradnl"/>
        </w:rPr>
        <w:t>Estos desafíos incluyen la exclusión, la explotación, la discriminación y la pobreza extrema</w:t>
      </w:r>
      <w:r w:rsidR="00B10142" w:rsidRPr="00EA236D">
        <w:rPr>
          <w:rFonts w:cs="System Font Regular"/>
          <w:i/>
          <w:sz w:val="16"/>
          <w:szCs w:val="16"/>
          <w:u w:val="single"/>
          <w:lang w:val="es-ES_tradnl"/>
        </w:rPr>
        <w:t xml:space="preserve"> </w:t>
      </w:r>
      <w:r w:rsidR="00B10142" w:rsidRPr="00EA236D">
        <w:rPr>
          <w:rFonts w:cs="System Font Regular"/>
          <w:i/>
          <w:sz w:val="16"/>
          <w:szCs w:val="16"/>
          <w:lang w:val="es-ES_tradnl"/>
        </w:rPr>
        <w:t>[…]</w:t>
      </w:r>
      <w:r w:rsidR="00B10142" w:rsidRPr="00EA236D">
        <w:rPr>
          <w:rStyle w:val="FootnoteReference"/>
          <w:i/>
          <w:sz w:val="16"/>
          <w:szCs w:val="16"/>
          <w:lang w:val="es-ES_tradnl"/>
        </w:rPr>
        <w:footnoteReference w:id="15"/>
      </w:r>
      <w:r w:rsidR="00B10142" w:rsidRPr="00EA236D">
        <w:rPr>
          <w:rFonts w:cs="System Font Regular"/>
          <w:i/>
          <w:sz w:val="16"/>
          <w:szCs w:val="16"/>
          <w:lang w:val="es-ES_tradnl"/>
        </w:rPr>
        <w:t>.</w:t>
      </w:r>
    </w:p>
    <w:p w14:paraId="033185B6" w14:textId="77777777" w:rsidR="00CA6A86" w:rsidRPr="00EA236D" w:rsidRDefault="00CA6A86" w:rsidP="00CA6A86">
      <w:pPr>
        <w:rPr>
          <w:rFonts w:ascii="Verdana" w:hAnsi="Verdana" w:cs="System Font Regular"/>
          <w:b/>
          <w:i/>
          <w:szCs w:val="20"/>
        </w:rPr>
      </w:pPr>
    </w:p>
    <w:p w14:paraId="40CC5C3D" w14:textId="48B19A19" w:rsidR="00A83C70" w:rsidRPr="00EA236D" w:rsidRDefault="00B10142" w:rsidP="00384C56">
      <w:pPr>
        <w:pStyle w:val="ListParagraph"/>
        <w:numPr>
          <w:ilvl w:val="0"/>
          <w:numId w:val="1"/>
        </w:numPr>
        <w:rPr>
          <w:rFonts w:cs="System Font Regular"/>
          <w:b/>
          <w:szCs w:val="20"/>
          <w:lang w:val="es-ES_tradnl"/>
        </w:rPr>
      </w:pPr>
      <w:r w:rsidRPr="00EA236D">
        <w:rPr>
          <w:rFonts w:cs="System Font Regular"/>
          <w:szCs w:val="20"/>
          <w:lang w:val="es-ES_tradnl"/>
        </w:rPr>
        <w:t>Si bien la Carta de Banjul constituye uno de los instrumentos más progresistas en cuanto a la incorporación de derechos</w:t>
      </w:r>
      <w:r w:rsidR="00453CF8" w:rsidRPr="00EA236D">
        <w:rPr>
          <w:rFonts w:cs="System Font Regular"/>
          <w:szCs w:val="20"/>
          <w:lang w:val="es-ES_tradnl"/>
        </w:rPr>
        <w:t xml:space="preserve"> —al</w:t>
      </w:r>
      <w:r w:rsidRPr="00EA236D">
        <w:rPr>
          <w:rFonts w:cs="System Font Regular"/>
          <w:szCs w:val="20"/>
          <w:lang w:val="es-ES_tradnl"/>
        </w:rPr>
        <w:t xml:space="preserve"> reconoce</w:t>
      </w:r>
      <w:r w:rsidR="00453CF8" w:rsidRPr="00EA236D">
        <w:rPr>
          <w:rFonts w:cs="System Font Regular"/>
          <w:szCs w:val="20"/>
          <w:lang w:val="es-ES_tradnl"/>
        </w:rPr>
        <w:t>r</w:t>
      </w:r>
      <w:r w:rsidRPr="00EA236D">
        <w:rPr>
          <w:rFonts w:cs="System Font Regular"/>
          <w:szCs w:val="20"/>
          <w:lang w:val="es-ES_tradnl"/>
        </w:rPr>
        <w:t xml:space="preserve"> expresamente el </w:t>
      </w:r>
      <w:r w:rsidRPr="00EA236D">
        <w:rPr>
          <w:rFonts w:cs="System Font Regular"/>
          <w:i/>
          <w:szCs w:val="20"/>
          <w:lang w:val="es-ES_tradnl"/>
        </w:rPr>
        <w:t>Derecho al Desarrollo</w:t>
      </w:r>
      <w:r w:rsidRPr="00EA236D">
        <w:rPr>
          <w:rFonts w:cs="System Font Regular"/>
          <w:szCs w:val="20"/>
          <w:lang w:val="es-ES_tradnl"/>
        </w:rPr>
        <w:t xml:space="preserve"> en su artículo 22</w:t>
      </w:r>
      <w:r w:rsidR="00453CF8" w:rsidRPr="00EA236D">
        <w:rPr>
          <w:rFonts w:cs="System Font Regular"/>
          <w:szCs w:val="20"/>
          <w:lang w:val="es-ES_tradnl"/>
        </w:rPr>
        <w:t>—</w:t>
      </w:r>
      <w:r w:rsidRPr="00EA236D">
        <w:rPr>
          <w:rFonts w:cs="System Font Regular"/>
          <w:szCs w:val="20"/>
          <w:lang w:val="es-ES_tradnl"/>
        </w:rPr>
        <w:t xml:space="preserve"> lo cierto es que</w:t>
      </w:r>
      <w:r w:rsidR="00EE55A7" w:rsidRPr="00EA236D">
        <w:rPr>
          <w:rFonts w:cs="System Font Regular"/>
          <w:szCs w:val="20"/>
          <w:lang w:val="es-ES_tradnl"/>
        </w:rPr>
        <w:t xml:space="preserve"> el Sistema Africano</w:t>
      </w:r>
      <w:r w:rsidRPr="00EA236D">
        <w:rPr>
          <w:rFonts w:cs="System Font Regular"/>
          <w:szCs w:val="20"/>
          <w:lang w:val="es-ES_tradnl"/>
        </w:rPr>
        <w:t xml:space="preserve"> no cuenta con grandes desarrollos jurisprudenciales sobre la</w:t>
      </w:r>
      <w:r w:rsidR="00383ACF" w:rsidRPr="00EA236D">
        <w:rPr>
          <w:rFonts w:cs="System Font Regular"/>
          <w:szCs w:val="20"/>
          <w:lang w:val="es-ES_tradnl"/>
        </w:rPr>
        <w:t>s</w:t>
      </w:r>
      <w:r w:rsidRPr="00EA236D">
        <w:rPr>
          <w:rFonts w:cs="System Font Regular"/>
          <w:szCs w:val="20"/>
          <w:lang w:val="es-ES_tradnl"/>
        </w:rPr>
        <w:t xml:space="preserve"> condicion</w:t>
      </w:r>
      <w:r w:rsidR="006A04D7" w:rsidRPr="00EA236D">
        <w:rPr>
          <w:rFonts w:cs="System Font Regular"/>
          <w:szCs w:val="20"/>
          <w:lang w:val="es-ES_tradnl"/>
        </w:rPr>
        <w:t>es</w:t>
      </w:r>
      <w:r w:rsidRPr="00EA236D">
        <w:rPr>
          <w:rFonts w:cs="System Font Regular"/>
          <w:szCs w:val="20"/>
          <w:lang w:val="es-ES_tradnl"/>
        </w:rPr>
        <w:t xml:space="preserve"> de pobreza o la </w:t>
      </w:r>
      <w:r w:rsidR="003139EE" w:rsidRPr="00EA236D">
        <w:rPr>
          <w:rFonts w:cs="System Font Regular"/>
          <w:szCs w:val="20"/>
          <w:lang w:val="es-ES_tradnl"/>
        </w:rPr>
        <w:t>posición</w:t>
      </w:r>
      <w:r w:rsidRPr="00EA236D">
        <w:rPr>
          <w:rFonts w:cs="System Font Regular"/>
          <w:szCs w:val="20"/>
          <w:lang w:val="es-ES_tradnl"/>
        </w:rPr>
        <w:t xml:space="preserve"> económica</w:t>
      </w:r>
      <w:r w:rsidR="00EC25BC" w:rsidRPr="00EA236D">
        <w:rPr>
          <w:rStyle w:val="FootnoteReference"/>
          <w:lang w:val="es-ES_tradnl"/>
        </w:rPr>
        <w:footnoteReference w:id="16"/>
      </w:r>
      <w:r w:rsidR="006A04D7" w:rsidRPr="00EA236D">
        <w:rPr>
          <w:rFonts w:cs="System Font Regular"/>
          <w:szCs w:val="20"/>
          <w:lang w:val="es-ES_tradnl"/>
        </w:rPr>
        <w:t xml:space="preserve">, en gran medida dado el contexto del continente africano. </w:t>
      </w:r>
      <w:r w:rsidRPr="00EA236D">
        <w:rPr>
          <w:rFonts w:cs="System Font Regular"/>
          <w:szCs w:val="20"/>
          <w:lang w:val="es-ES_tradnl"/>
        </w:rPr>
        <w:t xml:space="preserve"> </w:t>
      </w:r>
    </w:p>
    <w:p w14:paraId="762CA775" w14:textId="77777777" w:rsidR="008D2AE6" w:rsidRPr="00EA236D" w:rsidRDefault="008D2AE6" w:rsidP="00384C56">
      <w:pPr>
        <w:pStyle w:val="ListParagraph"/>
        <w:ind w:left="0"/>
        <w:rPr>
          <w:rFonts w:cs="Times New Roman"/>
          <w:i/>
          <w:szCs w:val="20"/>
          <w:lang w:val="es-ES_tradnl"/>
        </w:rPr>
      </w:pPr>
    </w:p>
    <w:p w14:paraId="53379A65" w14:textId="207407E3" w:rsidR="00384C56" w:rsidRPr="00EA236D" w:rsidRDefault="00384C56" w:rsidP="00384C56">
      <w:pPr>
        <w:pStyle w:val="ListParagraph"/>
        <w:ind w:left="0"/>
        <w:rPr>
          <w:rFonts w:cs="Times New Roman"/>
          <w:i/>
          <w:szCs w:val="20"/>
          <w:lang w:val="es-ES_tradnl"/>
        </w:rPr>
      </w:pPr>
      <w:r w:rsidRPr="00EA236D">
        <w:rPr>
          <w:rFonts w:cs="Times New Roman"/>
          <w:i/>
          <w:szCs w:val="20"/>
          <w:lang w:val="es-ES_tradnl"/>
        </w:rPr>
        <w:t xml:space="preserve">iii) </w:t>
      </w:r>
      <w:r w:rsidR="00A83C70" w:rsidRPr="00EA236D">
        <w:rPr>
          <w:rFonts w:cs="Times New Roman"/>
          <w:i/>
          <w:szCs w:val="20"/>
          <w:lang w:val="es-ES_tradnl"/>
        </w:rPr>
        <w:t>Sistema Universal de Derechos Humanos</w:t>
      </w:r>
      <w:r w:rsidR="00B42DF8" w:rsidRPr="00EA236D">
        <w:rPr>
          <w:rFonts w:cs="Times New Roman"/>
          <w:i/>
          <w:szCs w:val="20"/>
          <w:lang w:val="es-ES_tradnl"/>
        </w:rPr>
        <w:t xml:space="preserve"> </w:t>
      </w:r>
      <w:r w:rsidRPr="00EA236D">
        <w:rPr>
          <w:rFonts w:cs="Times New Roman"/>
          <w:i/>
          <w:szCs w:val="20"/>
          <w:lang w:val="es-ES_tradnl"/>
        </w:rPr>
        <w:t xml:space="preserve"> </w:t>
      </w:r>
    </w:p>
    <w:p w14:paraId="7C8AF652" w14:textId="77777777" w:rsidR="00384C56" w:rsidRPr="00EA236D" w:rsidRDefault="00384C56" w:rsidP="00384C56">
      <w:pPr>
        <w:pStyle w:val="ListParagraph"/>
        <w:ind w:left="0"/>
        <w:rPr>
          <w:rFonts w:cs="Times New Roman"/>
          <w:i/>
          <w:szCs w:val="20"/>
          <w:lang w:val="es-ES_tradnl"/>
        </w:rPr>
      </w:pPr>
    </w:p>
    <w:p w14:paraId="1C84AE81" w14:textId="5B2D03A7" w:rsidR="00AD4FE9" w:rsidRPr="00EA236D" w:rsidRDefault="00453CF8" w:rsidP="009C7F63">
      <w:pPr>
        <w:pStyle w:val="ListParagraph"/>
        <w:numPr>
          <w:ilvl w:val="0"/>
          <w:numId w:val="1"/>
        </w:numPr>
        <w:rPr>
          <w:rFonts w:cs="Times New Roman"/>
          <w:szCs w:val="20"/>
          <w:lang w:val="es-ES_tradnl"/>
        </w:rPr>
      </w:pPr>
      <w:r w:rsidRPr="00EA236D">
        <w:rPr>
          <w:rFonts w:cs="Times New Roman"/>
          <w:szCs w:val="20"/>
          <w:lang w:val="es-ES_tradnl"/>
        </w:rPr>
        <w:t>En cuanto</w:t>
      </w:r>
      <w:r w:rsidR="00D16218" w:rsidRPr="00EA236D">
        <w:rPr>
          <w:rFonts w:cs="Times New Roman"/>
          <w:szCs w:val="20"/>
          <w:lang w:val="es-ES_tradnl"/>
        </w:rPr>
        <w:t xml:space="preserve"> al Sistema </w:t>
      </w:r>
      <w:r w:rsidR="009E10B6" w:rsidRPr="00EA236D">
        <w:rPr>
          <w:rFonts w:cs="Times New Roman"/>
          <w:szCs w:val="20"/>
          <w:lang w:val="es-ES_tradnl"/>
        </w:rPr>
        <w:t xml:space="preserve">Universal de Derechos Humanos, </w:t>
      </w:r>
      <w:r w:rsidR="00AD4FE9" w:rsidRPr="00EA236D">
        <w:rPr>
          <w:rFonts w:cs="Times New Roman"/>
          <w:szCs w:val="20"/>
          <w:lang w:val="es-ES_tradnl"/>
        </w:rPr>
        <w:t>cuatro</w:t>
      </w:r>
      <w:r w:rsidR="00D16218" w:rsidRPr="00EA236D">
        <w:rPr>
          <w:rFonts w:cs="Times New Roman"/>
          <w:szCs w:val="20"/>
          <w:lang w:val="es-ES_tradnl"/>
        </w:rPr>
        <w:t xml:space="preserve"> instrumentos son los que han definido lo que debe entenderse por</w:t>
      </w:r>
      <w:r w:rsidR="00AD4FE9" w:rsidRPr="00EA236D">
        <w:rPr>
          <w:rFonts w:cs="Times New Roman"/>
          <w:szCs w:val="20"/>
          <w:lang w:val="es-ES_tradnl"/>
        </w:rPr>
        <w:t xml:space="preserve"> el t</w:t>
      </w:r>
      <w:r w:rsidR="00EE55A7" w:rsidRPr="00EA236D">
        <w:rPr>
          <w:rFonts w:cs="Times New Roman"/>
          <w:szCs w:val="20"/>
          <w:lang w:val="es-ES_tradnl"/>
        </w:rPr>
        <w:t>é</w:t>
      </w:r>
      <w:r w:rsidR="00AD4FE9" w:rsidRPr="00EA236D">
        <w:rPr>
          <w:rFonts w:cs="Times New Roman"/>
          <w:szCs w:val="20"/>
          <w:lang w:val="es-ES_tradnl"/>
        </w:rPr>
        <w:t>rmino</w:t>
      </w:r>
      <w:r w:rsidR="00D16218" w:rsidRPr="00EA236D">
        <w:rPr>
          <w:rFonts w:cs="Times New Roman"/>
          <w:szCs w:val="20"/>
          <w:lang w:val="es-ES_tradnl"/>
        </w:rPr>
        <w:t xml:space="preserve"> “discriminación</w:t>
      </w:r>
      <w:r w:rsidR="00AD4FE9" w:rsidRPr="00EA236D">
        <w:rPr>
          <w:rFonts w:cs="Times New Roman"/>
          <w:szCs w:val="20"/>
          <w:lang w:val="es-ES_tradnl"/>
        </w:rPr>
        <w:t>”</w:t>
      </w:r>
      <w:r w:rsidR="00D16218" w:rsidRPr="00EA236D">
        <w:rPr>
          <w:rFonts w:cs="Times New Roman"/>
          <w:szCs w:val="20"/>
          <w:lang w:val="es-ES_tradnl"/>
        </w:rPr>
        <w:t xml:space="preserve">: i) </w:t>
      </w:r>
      <w:r w:rsidR="00131358">
        <w:rPr>
          <w:rFonts w:cs="Times New Roman"/>
          <w:szCs w:val="20"/>
          <w:lang w:val="es-ES_tradnl"/>
        </w:rPr>
        <w:t xml:space="preserve">el </w:t>
      </w:r>
      <w:r w:rsidR="00D16218" w:rsidRPr="00EA236D">
        <w:rPr>
          <w:rFonts w:cs="Times New Roman"/>
          <w:szCs w:val="20"/>
          <w:lang w:val="es-ES_tradnl"/>
        </w:rPr>
        <w:t>Convenio 111 de la Organización Internaci</w:t>
      </w:r>
      <w:r w:rsidR="003139EE" w:rsidRPr="00EA236D">
        <w:rPr>
          <w:rFonts w:cs="Times New Roman"/>
          <w:szCs w:val="20"/>
          <w:lang w:val="es-ES_tradnl"/>
        </w:rPr>
        <w:t>onal del Trabajo relativo a la discriminación en materia de empleo y o</w:t>
      </w:r>
      <w:r w:rsidR="00D16218" w:rsidRPr="00EA236D">
        <w:rPr>
          <w:rFonts w:cs="Times New Roman"/>
          <w:szCs w:val="20"/>
          <w:lang w:val="es-ES_tradnl"/>
        </w:rPr>
        <w:t>cupación (1958)</w:t>
      </w:r>
      <w:r w:rsidR="00D16218" w:rsidRPr="00EA236D">
        <w:rPr>
          <w:rStyle w:val="FootnoteReference"/>
          <w:lang w:val="es-ES_tradnl"/>
        </w:rPr>
        <w:footnoteReference w:id="17"/>
      </w:r>
      <w:r w:rsidR="00D16218" w:rsidRPr="00EA236D">
        <w:rPr>
          <w:rFonts w:cs="Times New Roman"/>
          <w:szCs w:val="20"/>
          <w:lang w:val="es-ES_tradnl"/>
        </w:rPr>
        <w:t xml:space="preserve">; ii) </w:t>
      </w:r>
      <w:r w:rsidR="00D16218" w:rsidRPr="00EA236D">
        <w:rPr>
          <w:rFonts w:cs="Georgia"/>
          <w:szCs w:val="20"/>
          <w:lang w:val="es-ES_tradnl"/>
        </w:rPr>
        <w:t xml:space="preserve">la Convención de la UNESCO relativa a la </w:t>
      </w:r>
      <w:r w:rsidR="000824C4" w:rsidRPr="00EA236D">
        <w:rPr>
          <w:rFonts w:cs="Georgia"/>
          <w:szCs w:val="20"/>
          <w:lang w:val="es-ES_tradnl"/>
        </w:rPr>
        <w:t>l</w:t>
      </w:r>
      <w:r w:rsidR="00D16218" w:rsidRPr="00EA236D">
        <w:rPr>
          <w:rFonts w:cs="Georgia"/>
          <w:szCs w:val="20"/>
          <w:lang w:val="es-ES_tradnl"/>
        </w:rPr>
        <w:t>ucha con</w:t>
      </w:r>
      <w:r w:rsidR="003139EE" w:rsidRPr="00EA236D">
        <w:rPr>
          <w:rFonts w:cs="Georgia"/>
          <w:szCs w:val="20"/>
          <w:lang w:val="es-ES_tradnl"/>
        </w:rPr>
        <w:t xml:space="preserve">tra las </w:t>
      </w:r>
      <w:r w:rsidR="000824C4" w:rsidRPr="00EA236D">
        <w:rPr>
          <w:rFonts w:cs="Georgia"/>
          <w:szCs w:val="20"/>
          <w:lang w:val="es-ES_tradnl"/>
        </w:rPr>
        <w:t>d</w:t>
      </w:r>
      <w:r w:rsidR="003139EE" w:rsidRPr="00EA236D">
        <w:rPr>
          <w:rFonts w:cs="Georgia"/>
          <w:szCs w:val="20"/>
          <w:lang w:val="es-ES_tradnl"/>
        </w:rPr>
        <w:t>iscriminaciones en la esfera de la e</w:t>
      </w:r>
      <w:r w:rsidR="00D16218" w:rsidRPr="00EA236D">
        <w:rPr>
          <w:rFonts w:cs="Georgia"/>
          <w:szCs w:val="20"/>
          <w:lang w:val="es-ES_tradnl"/>
        </w:rPr>
        <w:t>nseñanza</w:t>
      </w:r>
      <w:r w:rsidR="00963A9F">
        <w:rPr>
          <w:rFonts w:cs="Georgia"/>
          <w:szCs w:val="20"/>
          <w:lang w:val="es-ES_tradnl"/>
        </w:rPr>
        <w:t xml:space="preserve"> </w:t>
      </w:r>
      <w:r w:rsidR="00D16218" w:rsidRPr="00EA236D">
        <w:rPr>
          <w:rFonts w:cs="Georgia"/>
          <w:szCs w:val="20"/>
          <w:lang w:val="es-ES_tradnl"/>
        </w:rPr>
        <w:t>(1960)</w:t>
      </w:r>
      <w:r w:rsidR="00D16218" w:rsidRPr="00EA236D">
        <w:rPr>
          <w:rStyle w:val="FootnoteReference"/>
          <w:rFonts w:cs="Georgia"/>
          <w:lang w:val="es-ES_tradnl"/>
        </w:rPr>
        <w:footnoteReference w:id="18"/>
      </w:r>
      <w:r w:rsidR="00D16218" w:rsidRPr="00EA236D">
        <w:rPr>
          <w:rFonts w:cs="Times New Roman"/>
          <w:szCs w:val="20"/>
          <w:lang w:val="es-ES_tradnl"/>
        </w:rPr>
        <w:t>; iii) la Convención sob</w:t>
      </w:r>
      <w:r w:rsidR="003139EE" w:rsidRPr="00EA236D">
        <w:rPr>
          <w:rFonts w:cs="Times New Roman"/>
          <w:szCs w:val="20"/>
          <w:lang w:val="es-ES_tradnl"/>
        </w:rPr>
        <w:t>re la eliminación de todas las formas de discriminación r</w:t>
      </w:r>
      <w:r w:rsidR="00D16218" w:rsidRPr="00EA236D">
        <w:rPr>
          <w:rFonts w:cs="Times New Roman"/>
          <w:szCs w:val="20"/>
          <w:lang w:val="es-ES_tradnl"/>
        </w:rPr>
        <w:t>acial (1965)</w:t>
      </w:r>
      <w:r w:rsidR="00D16218" w:rsidRPr="00EA236D">
        <w:rPr>
          <w:rStyle w:val="FootnoteReference"/>
          <w:lang w:val="es-ES_tradnl"/>
        </w:rPr>
        <w:footnoteReference w:id="19"/>
      </w:r>
      <w:r w:rsidR="00131358">
        <w:rPr>
          <w:rFonts w:cs="Times New Roman"/>
          <w:szCs w:val="20"/>
          <w:lang w:val="es-ES_tradnl"/>
        </w:rPr>
        <w:t>,</w:t>
      </w:r>
      <w:r w:rsidR="00D16218" w:rsidRPr="00EA236D">
        <w:rPr>
          <w:rFonts w:cs="Times New Roman"/>
          <w:szCs w:val="20"/>
          <w:lang w:val="es-ES_tradnl"/>
        </w:rPr>
        <w:t xml:space="preserve"> </w:t>
      </w:r>
      <w:r w:rsidR="00D16218" w:rsidRPr="00EA236D">
        <w:rPr>
          <w:rFonts w:cs="Georgia"/>
          <w:szCs w:val="20"/>
          <w:lang w:val="es-ES_tradnl"/>
        </w:rPr>
        <w:t xml:space="preserve">y iv) </w:t>
      </w:r>
      <w:r w:rsidR="003139EE" w:rsidRPr="00EA236D">
        <w:rPr>
          <w:rFonts w:cs="Times New Roman"/>
          <w:szCs w:val="20"/>
          <w:lang w:val="es-ES_tradnl"/>
        </w:rPr>
        <w:t>la Convención sobre la eliminación de todas las formas de d</w:t>
      </w:r>
      <w:r w:rsidR="00D16218" w:rsidRPr="00EA236D">
        <w:rPr>
          <w:rFonts w:cs="Times New Roman"/>
          <w:szCs w:val="20"/>
          <w:lang w:val="es-ES_tradnl"/>
        </w:rPr>
        <w:t xml:space="preserve">iscriminación contra la </w:t>
      </w:r>
      <w:r w:rsidR="003139EE" w:rsidRPr="00EA236D">
        <w:rPr>
          <w:rFonts w:cs="Times New Roman"/>
          <w:szCs w:val="20"/>
          <w:lang w:val="es-ES_tradnl"/>
        </w:rPr>
        <w:t>m</w:t>
      </w:r>
      <w:r w:rsidR="00D16218" w:rsidRPr="00EA236D">
        <w:rPr>
          <w:rFonts w:cs="Times New Roman"/>
          <w:szCs w:val="20"/>
          <w:lang w:val="es-ES_tradnl"/>
        </w:rPr>
        <w:t>ujer</w:t>
      </w:r>
      <w:r w:rsidR="00D10354" w:rsidRPr="00EA236D">
        <w:rPr>
          <w:rFonts w:cs="Times New Roman"/>
          <w:szCs w:val="20"/>
          <w:lang w:val="es-ES_tradnl"/>
        </w:rPr>
        <w:t xml:space="preserve"> </w:t>
      </w:r>
      <w:r w:rsidR="00D16218" w:rsidRPr="00EA236D">
        <w:rPr>
          <w:rFonts w:cs="Times New Roman"/>
          <w:szCs w:val="20"/>
          <w:lang w:val="es-ES_tradnl"/>
        </w:rPr>
        <w:t>(1979)</w:t>
      </w:r>
      <w:r w:rsidR="00D16218" w:rsidRPr="00EA236D">
        <w:rPr>
          <w:rStyle w:val="FootnoteReference"/>
          <w:lang w:val="es-ES_tradnl"/>
        </w:rPr>
        <w:footnoteReference w:id="20"/>
      </w:r>
      <w:r w:rsidR="00D16218" w:rsidRPr="00EA236D">
        <w:rPr>
          <w:rFonts w:cs="Times New Roman"/>
          <w:szCs w:val="20"/>
          <w:lang w:val="es-ES_tradnl"/>
        </w:rPr>
        <w:t xml:space="preserve">. </w:t>
      </w:r>
      <w:r w:rsidR="009C7F63" w:rsidRPr="00EA236D">
        <w:rPr>
          <w:rFonts w:cs="Times New Roman"/>
          <w:szCs w:val="20"/>
          <w:lang w:val="es-ES_tradnl"/>
        </w:rPr>
        <w:t xml:space="preserve">Es decir, </w:t>
      </w:r>
      <w:r w:rsidRPr="00EA236D">
        <w:rPr>
          <w:rFonts w:cs="Times New Roman"/>
          <w:szCs w:val="20"/>
          <w:lang w:val="es-ES_tradnl"/>
        </w:rPr>
        <w:t>e</w:t>
      </w:r>
      <w:r w:rsidR="00A83C70" w:rsidRPr="00EA236D">
        <w:rPr>
          <w:rFonts w:cs="Times New Roman"/>
          <w:szCs w:val="20"/>
          <w:lang w:val="es-ES_tradnl"/>
        </w:rPr>
        <w:t xml:space="preserve">stas definiciones </w:t>
      </w:r>
      <w:r w:rsidR="009C7F63" w:rsidRPr="00EA236D">
        <w:rPr>
          <w:rFonts w:cs="Times New Roman"/>
          <w:szCs w:val="20"/>
          <w:lang w:val="es-ES_tradnl"/>
        </w:rPr>
        <w:t xml:space="preserve">reconocen como </w:t>
      </w:r>
      <w:r w:rsidR="003139EE" w:rsidRPr="00EA236D">
        <w:rPr>
          <w:rFonts w:cs="Times New Roman"/>
          <w:szCs w:val="20"/>
          <w:lang w:val="es-ES_tradnl"/>
        </w:rPr>
        <w:t>categorías</w:t>
      </w:r>
      <w:r w:rsidR="009C7F63" w:rsidRPr="00EA236D">
        <w:rPr>
          <w:rFonts w:cs="Times New Roman"/>
          <w:szCs w:val="20"/>
          <w:lang w:val="es-ES_tradnl"/>
        </w:rPr>
        <w:t xml:space="preserve"> expresas </w:t>
      </w:r>
      <w:r w:rsidR="009C7F63" w:rsidRPr="00EA236D">
        <w:rPr>
          <w:rFonts w:cs="Verdana"/>
          <w:szCs w:val="20"/>
          <w:lang w:val="es-ES_tradnl"/>
        </w:rPr>
        <w:t xml:space="preserve">la prohibición de discriminación centrada por raza, color, linaje u origen nacional, origen étnico, origen social, sexo, religión, idioma, opinión política o de cualquier otra índole, de nacimiento, ascendencia nacional u origen social. En cuanto a la </w:t>
      </w:r>
      <w:r w:rsidR="00787BB2" w:rsidRPr="00EA236D">
        <w:rPr>
          <w:rFonts w:cs="Verdana"/>
          <w:szCs w:val="20"/>
          <w:lang w:val="es-ES_tradnl"/>
        </w:rPr>
        <w:t>“</w:t>
      </w:r>
      <w:r w:rsidR="009C7F63" w:rsidRPr="00EA236D">
        <w:rPr>
          <w:rFonts w:cs="Verdana"/>
          <w:szCs w:val="20"/>
          <w:lang w:val="es-ES_tradnl"/>
        </w:rPr>
        <w:t>posición económica</w:t>
      </w:r>
      <w:r w:rsidR="00787BB2" w:rsidRPr="00EA236D">
        <w:rPr>
          <w:rFonts w:cs="Verdana"/>
          <w:szCs w:val="20"/>
          <w:lang w:val="es-ES_tradnl"/>
        </w:rPr>
        <w:t>”</w:t>
      </w:r>
      <w:r w:rsidR="009C7F63" w:rsidRPr="00EA236D">
        <w:rPr>
          <w:rFonts w:cs="Verdana"/>
          <w:szCs w:val="20"/>
          <w:lang w:val="es-ES_tradnl"/>
        </w:rPr>
        <w:t xml:space="preserve"> sólo la </w:t>
      </w:r>
      <w:r w:rsidR="009C7F63" w:rsidRPr="00EA236D">
        <w:rPr>
          <w:rFonts w:cs="Georgia"/>
          <w:szCs w:val="20"/>
          <w:lang w:val="es-ES_tradnl"/>
        </w:rPr>
        <w:t>Convenc</w:t>
      </w:r>
      <w:r w:rsidR="003139EE" w:rsidRPr="00EA236D">
        <w:rPr>
          <w:rFonts w:cs="Georgia"/>
          <w:szCs w:val="20"/>
          <w:lang w:val="es-ES_tradnl"/>
        </w:rPr>
        <w:t>ión de la UNESCO relativa a la lucha contra las discriminaciones en la esfera de la e</w:t>
      </w:r>
      <w:r w:rsidR="009C7F63" w:rsidRPr="00EA236D">
        <w:rPr>
          <w:rFonts w:cs="Georgia"/>
          <w:szCs w:val="20"/>
          <w:lang w:val="es-ES_tradnl"/>
        </w:rPr>
        <w:t>ns</w:t>
      </w:r>
      <w:r w:rsidRPr="00EA236D">
        <w:rPr>
          <w:rFonts w:cs="Georgia"/>
          <w:szCs w:val="20"/>
          <w:lang w:val="es-ES_tradnl"/>
        </w:rPr>
        <w:t>eñanza</w:t>
      </w:r>
      <w:r w:rsidR="00B56C3B" w:rsidRPr="00EA236D">
        <w:rPr>
          <w:rFonts w:cs="Georgia"/>
          <w:szCs w:val="20"/>
          <w:lang w:val="es-ES_tradnl"/>
        </w:rPr>
        <w:t>,</w:t>
      </w:r>
      <w:r w:rsidRPr="00EA236D">
        <w:rPr>
          <w:rFonts w:cs="Georgia"/>
          <w:szCs w:val="20"/>
          <w:lang w:val="es-ES_tradnl"/>
        </w:rPr>
        <w:t xml:space="preserve"> reconoce e</w:t>
      </w:r>
      <w:r w:rsidR="009C7F63" w:rsidRPr="00EA236D">
        <w:rPr>
          <w:rFonts w:cs="Georgia"/>
          <w:szCs w:val="20"/>
          <w:lang w:val="es-ES_tradnl"/>
        </w:rPr>
        <w:t xml:space="preserve">ste motivo de discriminación. </w:t>
      </w:r>
    </w:p>
    <w:p w14:paraId="042E7214" w14:textId="77777777" w:rsidR="009C7F63" w:rsidRPr="00EA236D" w:rsidRDefault="009C7F63" w:rsidP="009C7F63">
      <w:pPr>
        <w:pStyle w:val="ListParagraph"/>
        <w:ind w:left="0"/>
        <w:rPr>
          <w:rFonts w:cs="Times New Roman"/>
          <w:szCs w:val="20"/>
          <w:lang w:val="es-ES_tradnl"/>
        </w:rPr>
      </w:pPr>
    </w:p>
    <w:p w14:paraId="2C2CA3EB" w14:textId="10930FA4" w:rsidR="00F6203A" w:rsidRPr="00EA236D" w:rsidRDefault="009C7F63" w:rsidP="00EF7DCD">
      <w:pPr>
        <w:pStyle w:val="ListParagraph"/>
        <w:numPr>
          <w:ilvl w:val="0"/>
          <w:numId w:val="1"/>
        </w:numPr>
        <w:rPr>
          <w:rFonts w:cs="Times New Roman"/>
          <w:szCs w:val="20"/>
          <w:lang w:val="es-ES_tradnl"/>
        </w:rPr>
      </w:pPr>
      <w:r w:rsidRPr="00EA236D">
        <w:rPr>
          <w:rFonts w:cs="Times New Roman"/>
          <w:szCs w:val="20"/>
          <w:lang w:val="es-ES_tradnl"/>
        </w:rPr>
        <w:t>En cuanto al Pacto Internacional de Derechos Civiles y Políticos y el P</w:t>
      </w:r>
      <w:r w:rsidR="009E10B6" w:rsidRPr="00EA236D">
        <w:rPr>
          <w:rFonts w:cs="Times New Roman"/>
          <w:szCs w:val="20"/>
          <w:lang w:val="es-ES_tradnl"/>
        </w:rPr>
        <w:t xml:space="preserve">acto Internacional de Derechos </w:t>
      </w:r>
      <w:r w:rsidRPr="00EA236D">
        <w:rPr>
          <w:rFonts w:cs="Times New Roman"/>
          <w:szCs w:val="20"/>
          <w:lang w:val="es-ES_tradnl"/>
        </w:rPr>
        <w:t xml:space="preserve">Económicos Sociales y Culturales (1966), ambos pactos contemplan la prohibición de discriminación por </w:t>
      </w:r>
      <w:r w:rsidR="00D10354" w:rsidRPr="00EA236D">
        <w:rPr>
          <w:rFonts w:cs="Times New Roman"/>
          <w:szCs w:val="20"/>
          <w:lang w:val="es-ES_tradnl"/>
        </w:rPr>
        <w:t>“</w:t>
      </w:r>
      <w:r w:rsidRPr="00EA236D">
        <w:rPr>
          <w:rFonts w:cs="Times New Roman"/>
          <w:szCs w:val="20"/>
          <w:lang w:val="es-ES_tradnl"/>
        </w:rPr>
        <w:t>posición económica</w:t>
      </w:r>
      <w:r w:rsidR="00D10354" w:rsidRPr="00EA236D">
        <w:rPr>
          <w:rFonts w:cs="Times New Roman"/>
          <w:szCs w:val="20"/>
          <w:lang w:val="es-ES_tradnl"/>
        </w:rPr>
        <w:t>”</w:t>
      </w:r>
      <w:r w:rsidRPr="00EA236D">
        <w:rPr>
          <w:rStyle w:val="FootnoteReference"/>
          <w:lang w:val="es-ES_tradnl"/>
        </w:rPr>
        <w:footnoteReference w:id="21"/>
      </w:r>
      <w:r w:rsidRPr="00EA236D">
        <w:rPr>
          <w:rFonts w:cs="Times New Roman"/>
          <w:szCs w:val="20"/>
          <w:lang w:val="es-ES_tradnl"/>
        </w:rPr>
        <w:t xml:space="preserve">. </w:t>
      </w:r>
      <w:r w:rsidR="00EF7DCD" w:rsidRPr="00EA236D">
        <w:rPr>
          <w:rFonts w:cs="Times New Roman"/>
          <w:szCs w:val="20"/>
          <w:lang w:val="es-ES_tradnl"/>
        </w:rPr>
        <w:t>E</w:t>
      </w:r>
      <w:r w:rsidR="00EF7DCD" w:rsidRPr="00EA236D">
        <w:rPr>
          <w:rFonts w:cs="Times"/>
          <w:szCs w:val="20"/>
          <w:lang w:val="es-ES_tradnl"/>
        </w:rPr>
        <w:t xml:space="preserve">l Comité de </w:t>
      </w:r>
      <w:r w:rsidR="00EF7DCD" w:rsidRPr="00EA236D">
        <w:rPr>
          <w:rFonts w:cs="Times"/>
          <w:szCs w:val="20"/>
          <w:lang w:val="es-ES_tradnl"/>
        </w:rPr>
        <w:lastRenderedPageBreak/>
        <w:t>Derechos Económicos, Sociales y Culturales (en adelante “el Comité DESC”)</w:t>
      </w:r>
      <w:r w:rsidR="00EF7DCD" w:rsidRPr="00EA236D">
        <w:rPr>
          <w:rFonts w:cs="Times New Roman"/>
          <w:szCs w:val="20"/>
          <w:lang w:val="es-ES_tradnl"/>
        </w:rPr>
        <w:t xml:space="preserve">, en </w:t>
      </w:r>
      <w:r w:rsidR="00453CF8" w:rsidRPr="00EA236D">
        <w:rPr>
          <w:rFonts w:cs="Times New Roman"/>
          <w:szCs w:val="20"/>
          <w:lang w:val="es-ES_tradnl"/>
        </w:rPr>
        <w:t xml:space="preserve">su Observación General No. 20, </w:t>
      </w:r>
      <w:r w:rsidR="00EF7DCD" w:rsidRPr="00EA236D">
        <w:rPr>
          <w:rFonts w:cs="Times New Roman"/>
          <w:szCs w:val="20"/>
          <w:lang w:val="es-ES_tradnl"/>
        </w:rPr>
        <w:t>ha señalado que el crecimiento económico no ha conducido por sí mismo a un desarrollo sostenible y hay personas y grupo</w:t>
      </w:r>
      <w:r w:rsidR="000824C4" w:rsidRPr="00EA236D">
        <w:rPr>
          <w:rFonts w:cs="Times New Roman"/>
          <w:szCs w:val="20"/>
          <w:lang w:val="es-ES_tradnl"/>
        </w:rPr>
        <w:t>s</w:t>
      </w:r>
      <w:r w:rsidR="00EF7DCD" w:rsidRPr="00EA236D">
        <w:rPr>
          <w:rFonts w:cs="Times New Roman"/>
          <w:szCs w:val="20"/>
          <w:lang w:val="es-ES_tradnl"/>
        </w:rPr>
        <w:t xml:space="preserve"> de personas que siguen enfrentando desigualdades socioeconómicas, a menudo como consecuencia de arraigados patrones históricos y formas contemporáneas de discriminación</w:t>
      </w:r>
      <w:r w:rsidR="003139EE" w:rsidRPr="00EA236D">
        <w:rPr>
          <w:rStyle w:val="FootnoteReference"/>
          <w:lang w:val="es-ES_tradnl"/>
        </w:rPr>
        <w:footnoteReference w:id="22"/>
      </w:r>
      <w:r w:rsidR="003139EE" w:rsidRPr="00EA236D">
        <w:rPr>
          <w:rFonts w:cs="Times New Roman"/>
          <w:szCs w:val="20"/>
          <w:lang w:val="es-ES_tradnl"/>
        </w:rPr>
        <w:t>.</w:t>
      </w:r>
      <w:r w:rsidR="00EF7DCD" w:rsidRPr="00EA236D">
        <w:rPr>
          <w:rFonts w:cs="Times New Roman"/>
          <w:szCs w:val="20"/>
          <w:lang w:val="es-ES_tradnl"/>
        </w:rPr>
        <w:t xml:space="preserve"> </w:t>
      </w:r>
    </w:p>
    <w:p w14:paraId="5CAB05DA" w14:textId="77777777" w:rsidR="00F6203A" w:rsidRPr="00EA236D" w:rsidRDefault="00F6203A" w:rsidP="00F6203A">
      <w:pPr>
        <w:rPr>
          <w:rFonts w:ascii="Verdana" w:hAnsi="Verdana" w:cs="Times New Roman"/>
          <w:szCs w:val="20"/>
        </w:rPr>
      </w:pPr>
    </w:p>
    <w:p w14:paraId="06C97688" w14:textId="6B6E1BD9" w:rsidR="00B56C3B" w:rsidRPr="00EA236D" w:rsidRDefault="00EF7DCD" w:rsidP="00EF7DCD">
      <w:pPr>
        <w:pStyle w:val="ListParagraph"/>
        <w:numPr>
          <w:ilvl w:val="0"/>
          <w:numId w:val="1"/>
        </w:numPr>
        <w:rPr>
          <w:rFonts w:cs="Times New Roman"/>
          <w:szCs w:val="20"/>
          <w:lang w:val="es-ES_tradnl"/>
        </w:rPr>
      </w:pPr>
      <w:r w:rsidRPr="00EA236D">
        <w:rPr>
          <w:rFonts w:cs="Times New Roman"/>
          <w:szCs w:val="20"/>
          <w:lang w:val="es-ES_tradnl"/>
        </w:rPr>
        <w:t>Además, el Comité</w:t>
      </w:r>
      <w:r w:rsidR="00B56C3B" w:rsidRPr="00EA236D">
        <w:rPr>
          <w:rFonts w:cs="Times New Roman"/>
          <w:szCs w:val="20"/>
          <w:lang w:val="es-ES_tradnl"/>
        </w:rPr>
        <w:t xml:space="preserve"> DESC</w:t>
      </w:r>
      <w:r w:rsidRPr="00EA236D">
        <w:rPr>
          <w:rFonts w:cs="Times New Roman"/>
          <w:szCs w:val="20"/>
          <w:lang w:val="es-ES_tradnl"/>
        </w:rPr>
        <w:t xml:space="preserve"> ha constatado que la discriminación contra algunos grupos subsiste, es omnipresente, est</w:t>
      </w:r>
      <w:r w:rsidR="005531E3" w:rsidRPr="00EA236D">
        <w:rPr>
          <w:rFonts w:cs="Times New Roman"/>
          <w:szCs w:val="20"/>
          <w:lang w:val="es-ES_tradnl"/>
        </w:rPr>
        <w:t>á</w:t>
      </w:r>
      <w:r w:rsidRPr="00EA236D">
        <w:rPr>
          <w:rFonts w:cs="Times New Roman"/>
          <w:szCs w:val="20"/>
          <w:lang w:val="es-ES_tradnl"/>
        </w:rPr>
        <w:t xml:space="preserve"> frecuentemente arraigada al comportamiento y a la organización de la sociedad y a menudo implica actos de discriminación indirecta o no cuestionada. </w:t>
      </w:r>
      <w:r w:rsidRPr="00EA236D">
        <w:rPr>
          <w:rFonts w:cs="Times New Roman"/>
          <w:szCs w:val="20"/>
          <w:u w:val="single"/>
          <w:lang w:val="es-ES_tradnl"/>
        </w:rPr>
        <w:t xml:space="preserve">Esta discriminación sistémica </w:t>
      </w:r>
      <w:r w:rsidR="00664499">
        <w:rPr>
          <w:rFonts w:cs="Times New Roman"/>
          <w:szCs w:val="20"/>
          <w:u w:val="single"/>
          <w:lang w:val="es-ES_tradnl"/>
        </w:rPr>
        <w:t>(</w:t>
      </w:r>
      <w:r w:rsidRPr="00EA236D">
        <w:rPr>
          <w:rFonts w:cs="Times New Roman"/>
          <w:szCs w:val="20"/>
          <w:u w:val="single"/>
          <w:lang w:val="es-ES_tradnl"/>
        </w:rPr>
        <w:t>e histórica en algunos casos</w:t>
      </w:r>
      <w:r w:rsidR="00664499">
        <w:rPr>
          <w:rFonts w:cs="Times New Roman"/>
          <w:szCs w:val="20"/>
          <w:u w:val="single"/>
          <w:lang w:val="es-ES_tradnl"/>
        </w:rPr>
        <w:t>)</w:t>
      </w:r>
      <w:r w:rsidRPr="00EA236D">
        <w:rPr>
          <w:rFonts w:cs="Times New Roman"/>
          <w:szCs w:val="20"/>
          <w:u w:val="single"/>
          <w:lang w:val="es-ES_tradnl"/>
        </w:rPr>
        <w:t>, puede consistir en normas legales, políticas, prácticas o actitudes culturales predominantes en el sector público o privado que generan desventajas comparativas para algunos grupos sociales y privilegios para otros</w:t>
      </w:r>
      <w:r w:rsidR="003139EE" w:rsidRPr="00EA236D">
        <w:rPr>
          <w:rStyle w:val="FootnoteReference"/>
          <w:lang w:val="es-ES_tradnl"/>
        </w:rPr>
        <w:footnoteReference w:id="23"/>
      </w:r>
      <w:r w:rsidR="00453CF8" w:rsidRPr="00EA236D">
        <w:rPr>
          <w:rFonts w:cs="Times New Roman"/>
          <w:szCs w:val="20"/>
          <w:lang w:val="es-ES_tradnl"/>
        </w:rPr>
        <w:t xml:space="preserve">. </w:t>
      </w:r>
    </w:p>
    <w:p w14:paraId="77153530" w14:textId="77777777" w:rsidR="00B56C3B" w:rsidRPr="00EA236D" w:rsidRDefault="00B56C3B" w:rsidP="008E3830">
      <w:pPr>
        <w:pStyle w:val="ListParagraph"/>
        <w:ind w:left="0"/>
        <w:rPr>
          <w:rFonts w:cs="Times New Roman"/>
          <w:szCs w:val="20"/>
          <w:lang w:val="es-ES_tradnl"/>
        </w:rPr>
      </w:pPr>
    </w:p>
    <w:p w14:paraId="23027503" w14:textId="24DD8677" w:rsidR="00F6203A" w:rsidRPr="00EA236D" w:rsidRDefault="00EF7DCD" w:rsidP="00B56C3B">
      <w:pPr>
        <w:pStyle w:val="ListParagraph"/>
        <w:numPr>
          <w:ilvl w:val="0"/>
          <w:numId w:val="1"/>
        </w:numPr>
        <w:rPr>
          <w:rFonts w:cs="Times New Roman"/>
          <w:szCs w:val="20"/>
          <w:lang w:val="es-ES_tradnl"/>
        </w:rPr>
      </w:pPr>
      <w:r w:rsidRPr="00EA236D">
        <w:rPr>
          <w:rFonts w:cs="Times New Roman"/>
          <w:szCs w:val="20"/>
          <w:lang w:val="es-ES_tradnl"/>
        </w:rPr>
        <w:t>En</w:t>
      </w:r>
      <w:r w:rsidRPr="00EA236D">
        <w:rPr>
          <w:rFonts w:cs="Times New Roman"/>
          <w:b/>
          <w:szCs w:val="20"/>
          <w:lang w:val="es-ES_tradnl"/>
        </w:rPr>
        <w:t xml:space="preserve"> </w:t>
      </w:r>
      <w:r w:rsidRPr="00EA236D">
        <w:rPr>
          <w:rFonts w:cs="Times New Roman"/>
          <w:szCs w:val="20"/>
          <w:lang w:val="es-ES_tradnl"/>
        </w:rPr>
        <w:t>cuanto a la posición económica</w:t>
      </w:r>
      <w:r w:rsidR="007A64F5" w:rsidRPr="00EA236D">
        <w:rPr>
          <w:rFonts w:cs="Times New Roman"/>
          <w:szCs w:val="20"/>
          <w:lang w:val="es-ES_tradnl"/>
        </w:rPr>
        <w:t xml:space="preserve"> como categoría de</w:t>
      </w:r>
      <w:r w:rsidR="00B56C3B" w:rsidRPr="00EA236D">
        <w:rPr>
          <w:rFonts w:cs="Times New Roman"/>
          <w:szCs w:val="20"/>
          <w:lang w:val="es-ES_tradnl"/>
        </w:rPr>
        <w:t xml:space="preserve"> especial protección, el Comité DESC</w:t>
      </w:r>
      <w:r w:rsidRPr="00EA236D">
        <w:rPr>
          <w:rFonts w:cs="Times New Roman"/>
          <w:szCs w:val="20"/>
          <w:lang w:val="es-ES_tradnl"/>
        </w:rPr>
        <w:t xml:space="preserve"> ha señalado que, como motivo prohibido de discriminación, es un concepto amplio que incluye los bienes raíces y los bienes personales o la carencia de ellos</w:t>
      </w:r>
      <w:r w:rsidRPr="00EA236D">
        <w:rPr>
          <w:rStyle w:val="FootnoteReference"/>
          <w:lang w:val="es-ES_tradnl"/>
        </w:rPr>
        <w:footnoteReference w:id="24"/>
      </w:r>
      <w:r w:rsidR="00DB2721" w:rsidRPr="00EA236D">
        <w:rPr>
          <w:rFonts w:cs="Times New Roman"/>
          <w:szCs w:val="20"/>
          <w:lang w:val="es-ES_tradnl"/>
        </w:rPr>
        <w:t>,</w:t>
      </w:r>
      <w:r w:rsidRPr="00EA236D">
        <w:rPr>
          <w:rFonts w:cs="Times New Roman"/>
          <w:szCs w:val="20"/>
          <w:lang w:val="es-ES_tradnl"/>
        </w:rPr>
        <w:t xml:space="preserve"> es decir, una de las facetas de la pobreza.</w:t>
      </w:r>
      <w:r w:rsidR="00B56C3B" w:rsidRPr="00EA236D">
        <w:rPr>
          <w:rFonts w:cs="Times New Roman"/>
          <w:szCs w:val="20"/>
          <w:lang w:val="es-ES_tradnl"/>
        </w:rPr>
        <w:t xml:space="preserve"> </w:t>
      </w:r>
      <w:r w:rsidR="009C7F63" w:rsidRPr="00EA236D">
        <w:rPr>
          <w:rFonts w:cs="Times New Roman"/>
          <w:szCs w:val="20"/>
          <w:lang w:val="es-ES_tradnl"/>
        </w:rPr>
        <w:t>Sobre este punto,</w:t>
      </w:r>
      <w:r w:rsidRPr="00EA236D">
        <w:rPr>
          <w:rFonts w:cs="Times New Roman"/>
          <w:szCs w:val="20"/>
          <w:lang w:val="es-ES_tradnl"/>
        </w:rPr>
        <w:t xml:space="preserve"> </w:t>
      </w:r>
      <w:r w:rsidRPr="00EA236D">
        <w:rPr>
          <w:rFonts w:cs="Times"/>
          <w:szCs w:val="20"/>
          <w:lang w:val="es-ES_tradnl"/>
        </w:rPr>
        <w:t>el Comité DESC</w:t>
      </w:r>
      <w:r w:rsidR="009C7F63" w:rsidRPr="00EA236D">
        <w:rPr>
          <w:rFonts w:cs="Times"/>
          <w:szCs w:val="20"/>
          <w:lang w:val="es-ES_tradnl"/>
        </w:rPr>
        <w:t xml:space="preserve"> ha considerado que la </w:t>
      </w:r>
      <w:r w:rsidR="009C7F63" w:rsidRPr="00EA236D">
        <w:rPr>
          <w:rFonts w:cs="Times"/>
          <w:i/>
          <w:szCs w:val="20"/>
          <w:lang w:val="es-ES_tradnl"/>
        </w:rPr>
        <w:t>pobreza</w:t>
      </w:r>
      <w:r w:rsidR="009C7F63" w:rsidRPr="00EA236D">
        <w:rPr>
          <w:rFonts w:cs="Times"/>
          <w:szCs w:val="20"/>
          <w:lang w:val="es-ES_tradnl"/>
        </w:rPr>
        <w:t xml:space="preserve"> es una </w:t>
      </w:r>
      <w:r w:rsidR="009C7F63" w:rsidRPr="00EA236D">
        <w:rPr>
          <w:rFonts w:cs="Times"/>
          <w:i/>
          <w:szCs w:val="20"/>
          <w:lang w:val="es-ES_tradnl"/>
        </w:rPr>
        <w:t>condición humana que se caracteriza por la privación continua o crónica de los recursos</w:t>
      </w:r>
      <w:r w:rsidR="009C7F63" w:rsidRPr="00EA236D">
        <w:rPr>
          <w:rFonts w:cs="Times"/>
          <w:szCs w:val="20"/>
          <w:lang w:val="es-ES_tradnl"/>
        </w:rPr>
        <w:t xml:space="preserve">, </w:t>
      </w:r>
      <w:r w:rsidR="009C7F63" w:rsidRPr="000C2F0F">
        <w:rPr>
          <w:rFonts w:cs="Times"/>
          <w:i/>
          <w:szCs w:val="20"/>
          <w:lang w:val="es-ES_tradnl"/>
        </w:rPr>
        <w:t>la capacidad, las opciones, la seguridad y el poder necesarios para disfrutar de un nivel  de vida adecuado y de otros derechos civiles, culturales, económicos, políticos y sociales</w:t>
      </w:r>
      <w:r w:rsidR="009C7F63" w:rsidRPr="00EA236D">
        <w:rPr>
          <w:rStyle w:val="FootnoteReference"/>
          <w:lang w:val="es-ES_tradnl"/>
        </w:rPr>
        <w:footnoteReference w:id="25"/>
      </w:r>
      <w:r w:rsidR="009C7F63" w:rsidRPr="00EA236D">
        <w:rPr>
          <w:rFonts w:cs="Times"/>
          <w:szCs w:val="20"/>
          <w:lang w:val="es-ES_tradnl"/>
        </w:rPr>
        <w:t xml:space="preserve">. </w:t>
      </w:r>
    </w:p>
    <w:p w14:paraId="7D8298D3" w14:textId="77777777" w:rsidR="00F6203A" w:rsidRPr="00EA236D" w:rsidRDefault="00F6203A" w:rsidP="00F6203A">
      <w:pPr>
        <w:rPr>
          <w:rFonts w:ascii="Verdana" w:hAnsi="Verdana" w:cs="Times"/>
          <w:szCs w:val="20"/>
        </w:rPr>
      </w:pPr>
    </w:p>
    <w:p w14:paraId="7B5B185E" w14:textId="304FB940" w:rsidR="009C7F63" w:rsidRPr="00EA236D" w:rsidRDefault="009C7F63" w:rsidP="00B56C3B">
      <w:pPr>
        <w:pStyle w:val="ListParagraph"/>
        <w:numPr>
          <w:ilvl w:val="0"/>
          <w:numId w:val="1"/>
        </w:numPr>
        <w:rPr>
          <w:rFonts w:cs="Times New Roman"/>
          <w:szCs w:val="20"/>
          <w:lang w:val="es-ES_tradnl"/>
        </w:rPr>
      </w:pPr>
      <w:r w:rsidRPr="00EA236D">
        <w:rPr>
          <w:rFonts w:cs="Times"/>
          <w:szCs w:val="20"/>
          <w:lang w:val="es-ES_tradnl"/>
        </w:rPr>
        <w:t xml:space="preserve">Por su parte, los </w:t>
      </w:r>
      <w:r w:rsidRPr="00EA236D">
        <w:rPr>
          <w:lang w:val="es-ES_tradnl"/>
        </w:rPr>
        <w:t>Principios Rectores sobre Extrema Pobreza y Derechos Humanos</w:t>
      </w:r>
      <w:r w:rsidR="000824C4" w:rsidRPr="00EA236D">
        <w:rPr>
          <w:lang w:val="es-ES_tradnl"/>
        </w:rPr>
        <w:t xml:space="preserve"> (en adelante “los PREPDH”)</w:t>
      </w:r>
      <w:r w:rsidRPr="00EA236D">
        <w:rPr>
          <w:rFonts w:cs="Times"/>
          <w:szCs w:val="20"/>
          <w:lang w:val="es-ES_tradnl"/>
        </w:rPr>
        <w:t xml:space="preserve">, definen a </w:t>
      </w:r>
      <w:r w:rsidRPr="00EA236D">
        <w:rPr>
          <w:rFonts w:cs="Times"/>
          <w:i/>
          <w:szCs w:val="20"/>
          <w:lang w:val="es-ES_tradnl"/>
        </w:rPr>
        <w:t>la extrema pobreza</w:t>
      </w:r>
      <w:r w:rsidRPr="00EA236D">
        <w:rPr>
          <w:rFonts w:cs="Times"/>
          <w:szCs w:val="20"/>
          <w:lang w:val="es-ES_tradnl"/>
        </w:rPr>
        <w:t xml:space="preserve">, como </w:t>
      </w:r>
      <w:r w:rsidRPr="00EA236D">
        <w:rPr>
          <w:rFonts w:cs="Times"/>
          <w:i/>
          <w:szCs w:val="20"/>
          <w:lang w:val="es-ES_tradnl"/>
        </w:rPr>
        <w:t>“una combinación de escasez de ingresos</w:t>
      </w:r>
      <w:r w:rsidRPr="00EA236D">
        <w:rPr>
          <w:rFonts w:cs="Times"/>
          <w:szCs w:val="20"/>
          <w:lang w:val="es-ES_tradnl"/>
        </w:rPr>
        <w:t xml:space="preserve">, </w:t>
      </w:r>
      <w:r w:rsidRPr="000C2F0F">
        <w:rPr>
          <w:rFonts w:cs="Times"/>
          <w:i/>
          <w:szCs w:val="20"/>
          <w:lang w:val="es-ES_tradnl"/>
        </w:rPr>
        <w:t>falta de desarrollo humano y exclusión social</w:t>
      </w:r>
      <w:r w:rsidRPr="00EA236D">
        <w:rPr>
          <w:rFonts w:cs="Times"/>
          <w:szCs w:val="20"/>
          <w:lang w:val="es-ES_tradnl"/>
        </w:rPr>
        <w:t>”</w:t>
      </w:r>
      <w:r w:rsidRPr="00EA236D">
        <w:rPr>
          <w:rStyle w:val="FootnoteReference"/>
          <w:lang w:val="es-ES_tradnl"/>
        </w:rPr>
        <w:footnoteReference w:id="26"/>
      </w:r>
      <w:r w:rsidRPr="00EA236D">
        <w:rPr>
          <w:rFonts w:cs="Times"/>
          <w:szCs w:val="20"/>
          <w:lang w:val="es-ES_tradnl"/>
        </w:rPr>
        <w:t xml:space="preserve">, en que una falta prolongada de seguridad básica afecta a varios ámbitos de la </w:t>
      </w:r>
      <w:r w:rsidRPr="00EA236D">
        <w:rPr>
          <w:rFonts w:cs="Times"/>
          <w:szCs w:val="20"/>
          <w:lang w:val="es-ES_tradnl"/>
        </w:rPr>
        <w:lastRenderedPageBreak/>
        <w:t>existencia al mismo tiempo, comprometiendo gravemente las posibilidades de las personas de ejercer o recobrar sus derechos en un futuro previsible</w:t>
      </w:r>
      <w:r w:rsidRPr="00EA236D">
        <w:rPr>
          <w:rStyle w:val="FootnoteReference"/>
          <w:lang w:val="es-ES_tradnl"/>
        </w:rPr>
        <w:footnoteReference w:id="27"/>
      </w:r>
      <w:r w:rsidRPr="00EA236D">
        <w:rPr>
          <w:rFonts w:cs="Times"/>
          <w:szCs w:val="20"/>
          <w:lang w:val="es-ES_tradnl"/>
        </w:rPr>
        <w:t xml:space="preserve">. </w:t>
      </w:r>
    </w:p>
    <w:p w14:paraId="339E927B" w14:textId="77777777" w:rsidR="00D16218" w:rsidRPr="00EA236D" w:rsidRDefault="00D16218" w:rsidP="009C7F63">
      <w:pPr>
        <w:pStyle w:val="ListParagraph"/>
        <w:ind w:left="0"/>
        <w:rPr>
          <w:rFonts w:cs="Times New Roman"/>
          <w:szCs w:val="20"/>
          <w:lang w:val="es-ES_tradnl"/>
        </w:rPr>
      </w:pPr>
    </w:p>
    <w:p w14:paraId="1AEF8EAF" w14:textId="674D5B5A" w:rsidR="00B42DF8" w:rsidRPr="00EA236D" w:rsidRDefault="00B42DF8" w:rsidP="00B42DF8">
      <w:pPr>
        <w:pStyle w:val="ListParagraph"/>
        <w:numPr>
          <w:ilvl w:val="0"/>
          <w:numId w:val="1"/>
        </w:numPr>
        <w:rPr>
          <w:rFonts w:cs="Times New Roman"/>
          <w:b/>
          <w:szCs w:val="20"/>
          <w:lang w:val="es-ES_tradnl"/>
        </w:rPr>
      </w:pPr>
      <w:r w:rsidRPr="00EA236D">
        <w:rPr>
          <w:rFonts w:cs="Times New Roman"/>
          <w:szCs w:val="20"/>
          <w:lang w:val="es-ES_tradnl"/>
        </w:rPr>
        <w:t xml:space="preserve"> </w:t>
      </w:r>
      <w:r w:rsidR="0032014E" w:rsidRPr="00EA236D">
        <w:rPr>
          <w:rFonts w:cs="Times New Roman"/>
          <w:szCs w:val="20"/>
          <w:lang w:val="es-ES_tradnl"/>
        </w:rPr>
        <w:t>Adicionalmente</w:t>
      </w:r>
      <w:r w:rsidR="008F4B93" w:rsidRPr="00EA236D">
        <w:rPr>
          <w:rFonts w:cs="Times New Roman"/>
          <w:szCs w:val="20"/>
          <w:lang w:val="es-ES_tradnl"/>
        </w:rPr>
        <w:t>,</w:t>
      </w:r>
      <w:r w:rsidRPr="00EA236D">
        <w:rPr>
          <w:rFonts w:cs="Times New Roman"/>
          <w:szCs w:val="20"/>
          <w:lang w:val="es-ES_tradnl"/>
        </w:rPr>
        <w:t xml:space="preserve"> </w:t>
      </w:r>
      <w:r w:rsidR="005531E3" w:rsidRPr="00EA236D">
        <w:rPr>
          <w:rFonts w:cs="Times New Roman"/>
          <w:szCs w:val="20"/>
          <w:lang w:val="es-ES_tradnl"/>
        </w:rPr>
        <w:t xml:space="preserve">en </w:t>
      </w:r>
      <w:r w:rsidR="000824C4" w:rsidRPr="00EA236D">
        <w:rPr>
          <w:lang w:val="es-ES_tradnl"/>
        </w:rPr>
        <w:t>los PREPDH</w:t>
      </w:r>
      <w:r w:rsidR="005531E3" w:rsidRPr="00EA236D">
        <w:rPr>
          <w:rFonts w:cs="Times New Roman"/>
          <w:szCs w:val="20"/>
          <w:lang w:val="es-ES_tradnl"/>
        </w:rPr>
        <w:t xml:space="preserve"> se </w:t>
      </w:r>
      <w:r w:rsidRPr="00EA236D">
        <w:rPr>
          <w:rFonts w:cs="Times New Roman"/>
          <w:szCs w:val="20"/>
          <w:lang w:val="es-ES_tradnl"/>
        </w:rPr>
        <w:t xml:space="preserve">considera que: </w:t>
      </w:r>
    </w:p>
    <w:p w14:paraId="73417CFA" w14:textId="77777777" w:rsidR="00B42DF8" w:rsidRPr="00EA236D" w:rsidRDefault="00B42DF8" w:rsidP="00B42DF8">
      <w:pPr>
        <w:rPr>
          <w:rFonts w:ascii="Verdana" w:hAnsi="Verdana" w:cs="Times New Roman"/>
          <w:b/>
          <w:szCs w:val="20"/>
        </w:rPr>
      </w:pPr>
    </w:p>
    <w:p w14:paraId="326485DF" w14:textId="77777777" w:rsidR="00B42DF8" w:rsidRPr="00EA236D" w:rsidRDefault="00B42DF8" w:rsidP="00B42DF8">
      <w:pPr>
        <w:pStyle w:val="ListParagraph"/>
        <w:widowControl w:val="0"/>
        <w:autoSpaceDE w:val="0"/>
        <w:autoSpaceDN w:val="0"/>
        <w:adjustRightInd w:val="0"/>
        <w:ind w:left="709"/>
        <w:rPr>
          <w:rFonts w:cs="Times"/>
          <w:sz w:val="16"/>
          <w:szCs w:val="16"/>
          <w:lang w:val="es-ES_tradnl"/>
        </w:rPr>
      </w:pPr>
      <w:r w:rsidRPr="00EA236D">
        <w:rPr>
          <w:rFonts w:cs="Times"/>
          <w:sz w:val="16"/>
          <w:szCs w:val="16"/>
          <w:lang w:val="es-ES_tradnl"/>
        </w:rPr>
        <w:t xml:space="preserve">3. La pobreza es en sí misma un problema de derechos humanos urgente. A la vez causa y consecuencia de violaciones de los derechos humanos, es una condición que conduce a otras violaciones. </w:t>
      </w:r>
      <w:r w:rsidRPr="00EA236D">
        <w:rPr>
          <w:rFonts w:cs="Times"/>
          <w:i/>
          <w:sz w:val="16"/>
          <w:szCs w:val="16"/>
          <w:u w:val="single"/>
          <w:lang w:val="es-ES_tradnl"/>
        </w:rPr>
        <w:t xml:space="preserve">La extrema pobreza se caracteriza por vulneraciones múltiples e </w:t>
      </w:r>
      <w:proofErr w:type="spellStart"/>
      <w:r w:rsidRPr="00EA236D">
        <w:rPr>
          <w:rFonts w:cs="Times"/>
          <w:i/>
          <w:sz w:val="16"/>
          <w:szCs w:val="16"/>
          <w:u w:val="single"/>
          <w:lang w:val="es-ES_tradnl"/>
        </w:rPr>
        <w:t>interconexas</w:t>
      </w:r>
      <w:proofErr w:type="spellEnd"/>
      <w:r w:rsidRPr="00EA236D">
        <w:rPr>
          <w:rFonts w:cs="Times"/>
          <w:i/>
          <w:sz w:val="16"/>
          <w:szCs w:val="16"/>
          <w:u w:val="single"/>
          <w:lang w:val="es-ES_tradnl"/>
        </w:rPr>
        <w:t xml:space="preserve"> de los derechos civiles, políticos, económicos, sociales y culturales, y las personas que viven en la pobreza se ven expuestas regularmente a la denegación de su dignidad e igualdad</w:t>
      </w:r>
      <w:r w:rsidRPr="00EA236D">
        <w:rPr>
          <w:rFonts w:cs="Times"/>
          <w:sz w:val="16"/>
          <w:szCs w:val="16"/>
          <w:lang w:val="es-ES_tradnl"/>
        </w:rPr>
        <w:t xml:space="preserve">. </w:t>
      </w:r>
    </w:p>
    <w:p w14:paraId="55708A03" w14:textId="77777777" w:rsidR="00B42DF8" w:rsidRPr="00EA236D" w:rsidRDefault="00B42DF8" w:rsidP="00B42DF8">
      <w:pPr>
        <w:pStyle w:val="ListParagraph"/>
        <w:widowControl w:val="0"/>
        <w:autoSpaceDE w:val="0"/>
        <w:autoSpaceDN w:val="0"/>
        <w:adjustRightInd w:val="0"/>
        <w:ind w:left="709"/>
        <w:rPr>
          <w:rFonts w:cs="Times"/>
          <w:sz w:val="16"/>
          <w:szCs w:val="16"/>
          <w:lang w:val="es-ES_tradnl"/>
        </w:rPr>
      </w:pPr>
    </w:p>
    <w:p w14:paraId="596B724D" w14:textId="770BFB3F" w:rsidR="00B42DF8" w:rsidRPr="00EA236D" w:rsidRDefault="00B42DF8" w:rsidP="00B42DF8">
      <w:pPr>
        <w:pStyle w:val="ListParagraph"/>
        <w:widowControl w:val="0"/>
        <w:autoSpaceDE w:val="0"/>
        <w:autoSpaceDN w:val="0"/>
        <w:adjustRightInd w:val="0"/>
        <w:ind w:left="709"/>
        <w:rPr>
          <w:rFonts w:cs="Times"/>
          <w:sz w:val="16"/>
          <w:szCs w:val="16"/>
          <w:lang w:val="es-ES_tradnl"/>
        </w:rPr>
      </w:pPr>
      <w:r w:rsidRPr="00EA236D">
        <w:rPr>
          <w:rFonts w:cs="Times"/>
          <w:sz w:val="16"/>
          <w:szCs w:val="16"/>
          <w:lang w:val="es-ES_tradnl"/>
        </w:rPr>
        <w:t xml:space="preserve">4. Las personas que viven en la pobreza tropiezan con enormes obstáculos, de índole física, económica, cultural y social, para ejercer sus derechos. En consecuencia, sufren muchas privaciones que se relacionan entre sí y se refuerzan mutuamente —como las condiciones de trabajo peligrosas, la insalubridad de la vivienda, la falta de alimentos nutritivos, el acceso desigual a la justicia, la falta de poder político y el limitado acceso a la atención de salud—, que les impiden hacer realidad sus derechos y perpetúan su pobreza. </w:t>
      </w:r>
      <w:r w:rsidR="00DB2721" w:rsidRPr="00EA236D">
        <w:rPr>
          <w:rFonts w:cs="Times"/>
          <w:i/>
          <w:sz w:val="16"/>
          <w:szCs w:val="16"/>
          <w:u w:val="single"/>
          <w:lang w:val="es-ES_tradnl"/>
        </w:rPr>
        <w:t xml:space="preserve">Las personas sumidas en </w:t>
      </w:r>
      <w:r w:rsidRPr="00EA236D">
        <w:rPr>
          <w:rFonts w:cs="Times"/>
          <w:i/>
          <w:sz w:val="16"/>
          <w:szCs w:val="16"/>
          <w:u w:val="single"/>
          <w:lang w:val="es-ES_tradnl"/>
        </w:rPr>
        <w:t>la extrema pobreza viven en un círculo vicioso de impotencia, estigmatización, discriminación, exclusión y privación material que se alimentan mutuamente</w:t>
      </w:r>
      <w:r w:rsidRPr="00EA236D">
        <w:rPr>
          <w:rStyle w:val="FootnoteReference"/>
          <w:i/>
          <w:sz w:val="16"/>
          <w:u w:val="single"/>
          <w:lang w:val="es-ES_tradnl"/>
        </w:rPr>
        <w:footnoteReference w:id="28"/>
      </w:r>
      <w:r w:rsidRPr="00EA236D">
        <w:rPr>
          <w:rFonts w:cs="Times"/>
          <w:i/>
          <w:sz w:val="16"/>
          <w:szCs w:val="16"/>
          <w:lang w:val="es-ES_tradnl"/>
        </w:rPr>
        <w:t>.</w:t>
      </w:r>
      <w:r w:rsidRPr="00EA236D">
        <w:rPr>
          <w:rFonts w:cs="Times"/>
          <w:sz w:val="16"/>
          <w:szCs w:val="16"/>
          <w:lang w:val="es-ES_tradnl"/>
        </w:rPr>
        <w:t xml:space="preserve"> </w:t>
      </w:r>
      <w:r w:rsidR="00D10354" w:rsidRPr="00EA236D">
        <w:rPr>
          <w:rFonts w:cs="Times"/>
          <w:sz w:val="16"/>
          <w:szCs w:val="16"/>
          <w:lang w:val="es-ES_tradnl"/>
        </w:rPr>
        <w:t>(Énfasis añadido).</w:t>
      </w:r>
    </w:p>
    <w:p w14:paraId="0A0CCC51" w14:textId="77777777" w:rsidR="00B42DF8" w:rsidRPr="00EA236D" w:rsidRDefault="00B42DF8" w:rsidP="00B42DF8">
      <w:pPr>
        <w:widowControl w:val="0"/>
        <w:autoSpaceDE w:val="0"/>
        <w:autoSpaceDN w:val="0"/>
        <w:adjustRightInd w:val="0"/>
        <w:rPr>
          <w:rFonts w:ascii="Verdana" w:hAnsi="Verdana" w:cs="Times"/>
          <w:sz w:val="20"/>
          <w:szCs w:val="20"/>
        </w:rPr>
      </w:pPr>
    </w:p>
    <w:p w14:paraId="2806F8D3" w14:textId="21B2A8EF" w:rsidR="00B42DF8" w:rsidRPr="00EA236D" w:rsidRDefault="00B42DF8" w:rsidP="00B42DF8">
      <w:pPr>
        <w:pStyle w:val="ListParagraph"/>
        <w:widowControl w:val="0"/>
        <w:numPr>
          <w:ilvl w:val="0"/>
          <w:numId w:val="1"/>
        </w:numPr>
        <w:autoSpaceDE w:val="0"/>
        <w:autoSpaceDN w:val="0"/>
        <w:adjustRightInd w:val="0"/>
        <w:rPr>
          <w:rFonts w:cs="Times New Roman"/>
          <w:szCs w:val="20"/>
          <w:lang w:val="es-ES_tradnl"/>
        </w:rPr>
      </w:pPr>
      <w:r w:rsidRPr="00EA236D">
        <w:rPr>
          <w:rFonts w:cs="Times New Roman"/>
          <w:szCs w:val="20"/>
          <w:lang w:val="es-ES_tradnl"/>
        </w:rPr>
        <w:t>La Relatora Especial para l</w:t>
      </w:r>
      <w:r w:rsidR="00B56C3B" w:rsidRPr="00EA236D">
        <w:rPr>
          <w:rFonts w:cs="Times New Roman"/>
          <w:szCs w:val="20"/>
          <w:lang w:val="es-ES_tradnl"/>
        </w:rPr>
        <w:t>a</w:t>
      </w:r>
      <w:r w:rsidRPr="00EA236D">
        <w:rPr>
          <w:rFonts w:cs="Times New Roman"/>
          <w:szCs w:val="20"/>
          <w:lang w:val="es-ES_tradnl"/>
        </w:rPr>
        <w:t xml:space="preserve"> Extrema Pobreza y los Derechos Humanos ha </w:t>
      </w:r>
      <w:r w:rsidRPr="000C2F0F">
        <w:rPr>
          <w:rFonts w:cs="Times New Roman"/>
          <w:szCs w:val="20"/>
          <w:lang w:val="es-ES_tradnl"/>
        </w:rPr>
        <w:t xml:space="preserve">considerado que </w:t>
      </w:r>
      <w:r w:rsidRPr="00EA236D">
        <w:rPr>
          <w:rFonts w:cs="Times"/>
          <w:szCs w:val="20"/>
          <w:u w:val="single"/>
          <w:lang w:val="es-ES_tradnl"/>
        </w:rPr>
        <w:t>las personas que viven en la pobreza son objeto de discriminación por la propia pobreza</w:t>
      </w:r>
      <w:r w:rsidR="00DB2721" w:rsidRPr="00EA236D">
        <w:rPr>
          <w:rFonts w:cs="Times"/>
          <w:szCs w:val="20"/>
          <w:u w:val="single"/>
          <w:lang w:val="es-ES_tradnl"/>
        </w:rPr>
        <w:t>;</w:t>
      </w:r>
      <w:r w:rsidRPr="00EA236D">
        <w:rPr>
          <w:rFonts w:cs="Times"/>
          <w:szCs w:val="20"/>
          <w:lang w:val="es-ES_tradnl"/>
        </w:rPr>
        <w:t xml:space="preserve"> y muchas veces también porque pertenecen a otros sectores desfavorecidos de la población, como los pueblos indígenas, las personas con discapacidad, las minorías étnicas y las personas que viven con el VIH/SIDA, entre otros</w:t>
      </w:r>
      <w:r w:rsidRPr="00EA236D">
        <w:rPr>
          <w:rStyle w:val="FootnoteReference"/>
          <w:lang w:val="es-ES_tradnl"/>
        </w:rPr>
        <w:footnoteReference w:id="29"/>
      </w:r>
      <w:r w:rsidRPr="00EA236D">
        <w:rPr>
          <w:rFonts w:cs="Times"/>
          <w:szCs w:val="20"/>
          <w:lang w:val="es-ES_tradnl"/>
        </w:rPr>
        <w:t xml:space="preserve">. </w:t>
      </w:r>
      <w:r w:rsidR="00E1400A" w:rsidRPr="00EA236D">
        <w:rPr>
          <w:rFonts w:cs="Times"/>
          <w:szCs w:val="20"/>
          <w:lang w:val="es-ES_tradnl"/>
        </w:rPr>
        <w:t>Es decir, si bien generalmente las personas que se encuentran en condiciones de pobreza coincidentemente pueden pertenecer a otros sectores vulnerables (mujeres, niños, personas con d</w:t>
      </w:r>
      <w:r w:rsidR="00453CF8" w:rsidRPr="00EA236D">
        <w:rPr>
          <w:rFonts w:cs="Times"/>
          <w:szCs w:val="20"/>
          <w:lang w:val="es-ES_tradnl"/>
        </w:rPr>
        <w:t>iscapacidad, indígenas, afrodesc</w:t>
      </w:r>
      <w:r w:rsidR="00E1400A" w:rsidRPr="00EA236D">
        <w:rPr>
          <w:rFonts w:cs="Times"/>
          <w:szCs w:val="20"/>
          <w:lang w:val="es-ES_tradnl"/>
        </w:rPr>
        <w:t xml:space="preserve">endientes, personas adultas, etc.), no excluye que </w:t>
      </w:r>
      <w:r w:rsidR="005531E3" w:rsidRPr="00EA236D">
        <w:rPr>
          <w:rFonts w:cs="Times"/>
          <w:szCs w:val="20"/>
          <w:lang w:val="es-ES_tradnl"/>
        </w:rPr>
        <w:t xml:space="preserve">las personas en situación de pobreza no </w:t>
      </w:r>
      <w:r w:rsidR="00E1400A" w:rsidRPr="00EA236D">
        <w:rPr>
          <w:rFonts w:cs="Times"/>
          <w:szCs w:val="20"/>
          <w:lang w:val="es-ES_tradnl"/>
        </w:rPr>
        <w:t>se vincule</w:t>
      </w:r>
      <w:r w:rsidR="005531E3" w:rsidRPr="00EA236D">
        <w:rPr>
          <w:rFonts w:cs="Times"/>
          <w:szCs w:val="20"/>
          <w:lang w:val="es-ES_tradnl"/>
        </w:rPr>
        <w:t>n</w:t>
      </w:r>
      <w:r w:rsidR="00E1400A" w:rsidRPr="00EA236D">
        <w:rPr>
          <w:rFonts w:cs="Times"/>
          <w:szCs w:val="20"/>
          <w:lang w:val="es-ES_tradnl"/>
        </w:rPr>
        <w:t xml:space="preserve"> con otra categoría.  </w:t>
      </w:r>
    </w:p>
    <w:p w14:paraId="2732F033" w14:textId="77777777" w:rsidR="00E1400A" w:rsidRPr="00EA236D" w:rsidRDefault="00E1400A" w:rsidP="00E1400A">
      <w:pPr>
        <w:pStyle w:val="ListParagraph"/>
        <w:widowControl w:val="0"/>
        <w:autoSpaceDE w:val="0"/>
        <w:autoSpaceDN w:val="0"/>
        <w:adjustRightInd w:val="0"/>
        <w:ind w:left="0"/>
        <w:rPr>
          <w:rFonts w:cs="Times New Roman"/>
          <w:szCs w:val="20"/>
          <w:lang w:val="es-ES_tradnl"/>
        </w:rPr>
      </w:pPr>
    </w:p>
    <w:p w14:paraId="1FC2ECAD" w14:textId="77777777" w:rsidR="00F6203A" w:rsidRPr="00EA236D" w:rsidRDefault="00B42DF8" w:rsidP="002E197C">
      <w:pPr>
        <w:pStyle w:val="ListParagraph"/>
        <w:numPr>
          <w:ilvl w:val="0"/>
          <w:numId w:val="1"/>
        </w:numPr>
        <w:rPr>
          <w:rFonts w:cs="Times New Roman"/>
          <w:szCs w:val="20"/>
          <w:lang w:val="es-ES_tradnl"/>
        </w:rPr>
      </w:pPr>
      <w:r w:rsidRPr="00EA236D">
        <w:rPr>
          <w:rFonts w:cs="Times New Roman"/>
          <w:szCs w:val="20"/>
          <w:lang w:val="es-ES_tradnl"/>
        </w:rPr>
        <w:t>Esta tendencia también ha sido recogida por otros Relatores de Naciones Unidas que hacen una diferenciación entre los grupos tradicionalmente reconocidos y las personas que</w:t>
      </w:r>
      <w:r w:rsidR="00E1400A" w:rsidRPr="00EA236D">
        <w:rPr>
          <w:rFonts w:cs="Times New Roman"/>
          <w:szCs w:val="20"/>
          <w:lang w:val="es-ES_tradnl"/>
        </w:rPr>
        <w:t xml:space="preserve"> viven en situación de pobreza, reconociéndolas como personas que merecen especial protección en el respeto y la garantía de los derechos humanos internacionalmente reconocidos. </w:t>
      </w:r>
    </w:p>
    <w:p w14:paraId="1FBE529D" w14:textId="77777777" w:rsidR="00F6203A" w:rsidRPr="00EA236D" w:rsidRDefault="00F6203A" w:rsidP="00F6203A">
      <w:pPr>
        <w:rPr>
          <w:rFonts w:ascii="Verdana" w:hAnsi="Verdana" w:cs="Times New Roman"/>
          <w:szCs w:val="20"/>
        </w:rPr>
      </w:pPr>
    </w:p>
    <w:p w14:paraId="6BE13CF3" w14:textId="7A2F3F33" w:rsidR="002E197C" w:rsidRPr="00EA236D" w:rsidRDefault="00E1400A" w:rsidP="002E197C">
      <w:pPr>
        <w:pStyle w:val="ListParagraph"/>
        <w:numPr>
          <w:ilvl w:val="0"/>
          <w:numId w:val="1"/>
        </w:numPr>
        <w:rPr>
          <w:rFonts w:cs="Times New Roman"/>
          <w:szCs w:val="20"/>
          <w:lang w:val="es-ES_tradnl"/>
        </w:rPr>
      </w:pPr>
      <w:r w:rsidRPr="00EA236D">
        <w:rPr>
          <w:rFonts w:cs="Times New Roman"/>
          <w:szCs w:val="20"/>
          <w:lang w:val="es-ES_tradnl"/>
        </w:rPr>
        <w:t>De este modo encontramos pronunciamientos de</w:t>
      </w:r>
      <w:r w:rsidR="00B466AA" w:rsidRPr="00EA236D">
        <w:rPr>
          <w:rFonts w:cs="Times New Roman"/>
          <w:szCs w:val="20"/>
          <w:lang w:val="es-ES_tradnl"/>
        </w:rPr>
        <w:t xml:space="preserve"> las Relatorías Especiales de Naciones Unidas sobre</w:t>
      </w:r>
      <w:r w:rsidRPr="00EA236D">
        <w:rPr>
          <w:rFonts w:cs="Times New Roman"/>
          <w:szCs w:val="20"/>
          <w:lang w:val="es-ES_tradnl"/>
        </w:rPr>
        <w:t xml:space="preserve">: </w:t>
      </w:r>
      <w:r w:rsidR="00B466AA" w:rsidRPr="00EA236D">
        <w:rPr>
          <w:rFonts w:cs="Times New Roman"/>
          <w:szCs w:val="20"/>
          <w:lang w:val="es-ES_tradnl"/>
        </w:rPr>
        <w:t xml:space="preserve">i) </w:t>
      </w:r>
      <w:r w:rsidR="00384C56" w:rsidRPr="00EA236D">
        <w:rPr>
          <w:rFonts w:cs="Times New Roman"/>
          <w:szCs w:val="20"/>
          <w:lang w:val="es-ES_tradnl"/>
        </w:rPr>
        <w:t>la trata de personas, especialmente las mujeres y niños</w:t>
      </w:r>
      <w:r w:rsidR="00384C56" w:rsidRPr="00EA236D">
        <w:rPr>
          <w:rStyle w:val="FootnoteReference"/>
          <w:lang w:val="es-ES_tradnl"/>
        </w:rPr>
        <w:footnoteReference w:id="30"/>
      </w:r>
      <w:r w:rsidR="00B466AA" w:rsidRPr="00EA236D">
        <w:rPr>
          <w:rFonts w:cs="Times New Roman"/>
          <w:szCs w:val="20"/>
          <w:lang w:val="es-ES_tradnl"/>
        </w:rPr>
        <w:t xml:space="preserve">; ii) </w:t>
      </w:r>
      <w:r w:rsidR="00384C56" w:rsidRPr="00EA236D">
        <w:rPr>
          <w:rFonts w:cs="Times New Roman"/>
          <w:szCs w:val="20"/>
          <w:lang w:val="es-ES_tradnl"/>
        </w:rPr>
        <w:t>el derecho al agua</w:t>
      </w:r>
      <w:r w:rsidR="00384C56" w:rsidRPr="00EA236D">
        <w:rPr>
          <w:rStyle w:val="FootnoteReference"/>
          <w:lang w:val="es-ES_tradnl"/>
        </w:rPr>
        <w:footnoteReference w:id="31"/>
      </w:r>
      <w:r w:rsidR="00B466AA" w:rsidRPr="00EA236D">
        <w:rPr>
          <w:rFonts w:cs="Times New Roman"/>
          <w:szCs w:val="20"/>
          <w:lang w:val="es-ES_tradnl"/>
        </w:rPr>
        <w:t>; iii) defensoras y d</w:t>
      </w:r>
      <w:r w:rsidR="008F4B93" w:rsidRPr="00EA236D">
        <w:rPr>
          <w:rFonts w:cs="Times New Roman"/>
          <w:szCs w:val="20"/>
          <w:lang w:val="es-ES_tradnl"/>
        </w:rPr>
        <w:t>efensores de d</w:t>
      </w:r>
      <w:r w:rsidR="00384C56" w:rsidRPr="00EA236D">
        <w:rPr>
          <w:rFonts w:cs="Times New Roman"/>
          <w:szCs w:val="20"/>
          <w:lang w:val="es-ES_tradnl"/>
        </w:rPr>
        <w:t xml:space="preserve">erechos </w:t>
      </w:r>
      <w:r w:rsidR="008F4B93" w:rsidRPr="00EA236D">
        <w:rPr>
          <w:rFonts w:cs="Times New Roman"/>
          <w:szCs w:val="20"/>
          <w:lang w:val="es-ES_tradnl"/>
        </w:rPr>
        <w:t>h</w:t>
      </w:r>
      <w:r w:rsidR="00384C56" w:rsidRPr="00EA236D">
        <w:rPr>
          <w:rFonts w:cs="Times New Roman"/>
          <w:szCs w:val="20"/>
          <w:lang w:val="es-ES_tradnl"/>
        </w:rPr>
        <w:t>umanos</w:t>
      </w:r>
      <w:r w:rsidR="00384C56" w:rsidRPr="00EA236D">
        <w:rPr>
          <w:rStyle w:val="FootnoteReference"/>
          <w:lang w:val="es-ES_tradnl"/>
        </w:rPr>
        <w:footnoteReference w:id="32"/>
      </w:r>
      <w:r w:rsidR="00B466AA" w:rsidRPr="00EA236D">
        <w:rPr>
          <w:rFonts w:cs="Times New Roman"/>
          <w:szCs w:val="20"/>
          <w:lang w:val="es-ES_tradnl"/>
        </w:rPr>
        <w:t xml:space="preserve">; iv) el </w:t>
      </w:r>
      <w:r w:rsidR="00B466AA" w:rsidRPr="00EA236D">
        <w:rPr>
          <w:rFonts w:cs="Times New Roman"/>
          <w:szCs w:val="20"/>
          <w:lang w:val="es-ES_tradnl"/>
        </w:rPr>
        <w:lastRenderedPageBreak/>
        <w:t>derecho a la e</w:t>
      </w:r>
      <w:r w:rsidR="00384C56" w:rsidRPr="00EA236D">
        <w:rPr>
          <w:rFonts w:cs="Times New Roman"/>
          <w:szCs w:val="20"/>
          <w:lang w:val="es-ES_tradnl"/>
        </w:rPr>
        <w:t>ducación</w:t>
      </w:r>
      <w:r w:rsidR="00384C56" w:rsidRPr="00EA236D">
        <w:rPr>
          <w:rStyle w:val="FootnoteReference"/>
          <w:lang w:val="es-ES_tradnl"/>
        </w:rPr>
        <w:footnoteReference w:id="33"/>
      </w:r>
      <w:r w:rsidR="00B466AA" w:rsidRPr="00EA236D">
        <w:rPr>
          <w:rFonts w:cs="Times New Roman"/>
          <w:szCs w:val="20"/>
          <w:lang w:val="es-ES_tradnl"/>
        </w:rPr>
        <w:t>; v)</w:t>
      </w:r>
      <w:r w:rsidR="00384C56" w:rsidRPr="00EA236D">
        <w:rPr>
          <w:rFonts w:cs="Times New Roman"/>
          <w:szCs w:val="20"/>
          <w:lang w:val="es-ES_tradnl"/>
        </w:rPr>
        <w:t xml:space="preserve"> la cuestión de las obligaciones de derechos humanos relacionadas con el disfrute de un medio ambiente sin riesgos, limpio, saludable y sostenible</w:t>
      </w:r>
      <w:r w:rsidR="00384C56" w:rsidRPr="00EA236D">
        <w:rPr>
          <w:rStyle w:val="FootnoteReference"/>
          <w:lang w:val="es-ES_tradnl"/>
        </w:rPr>
        <w:footnoteReference w:id="34"/>
      </w:r>
      <w:r w:rsidR="00B466AA" w:rsidRPr="00EA236D">
        <w:rPr>
          <w:rFonts w:cs="Times New Roman"/>
          <w:szCs w:val="20"/>
          <w:lang w:val="es-ES_tradnl"/>
        </w:rPr>
        <w:t>;</w:t>
      </w:r>
      <w:r w:rsidR="000824C4" w:rsidRPr="00EA236D">
        <w:rPr>
          <w:rFonts w:cs="Times New Roman"/>
          <w:szCs w:val="20"/>
          <w:lang w:val="es-ES_tradnl"/>
        </w:rPr>
        <w:t xml:space="preserve"> </w:t>
      </w:r>
      <w:r w:rsidR="00B466AA" w:rsidRPr="00EA236D">
        <w:rPr>
          <w:rFonts w:cs="Times New Roman"/>
          <w:szCs w:val="20"/>
          <w:lang w:val="es-ES_tradnl"/>
        </w:rPr>
        <w:t xml:space="preserve">vi) </w:t>
      </w:r>
      <w:r w:rsidR="00384C56" w:rsidRPr="00EA236D">
        <w:rPr>
          <w:rFonts w:cs="Times New Roman"/>
          <w:szCs w:val="20"/>
          <w:lang w:val="es-ES_tradnl"/>
        </w:rPr>
        <w:t>el derecho a una vivienda adecuada</w:t>
      </w:r>
      <w:r w:rsidR="00384C56" w:rsidRPr="00EA236D">
        <w:rPr>
          <w:rStyle w:val="FootnoteReference"/>
          <w:lang w:val="es-ES_tradnl"/>
        </w:rPr>
        <w:footnoteReference w:id="35"/>
      </w:r>
      <w:r w:rsidR="0055062F">
        <w:rPr>
          <w:rFonts w:cs="Times New Roman"/>
          <w:szCs w:val="20"/>
          <w:lang w:val="es-ES_tradnl"/>
        </w:rPr>
        <w:t>,</w:t>
      </w:r>
      <w:r w:rsidR="000824C4" w:rsidRPr="00EA236D">
        <w:rPr>
          <w:rFonts w:cs="Times New Roman"/>
          <w:szCs w:val="20"/>
          <w:lang w:val="es-ES_tradnl"/>
        </w:rPr>
        <w:t xml:space="preserve"> </w:t>
      </w:r>
      <w:r w:rsidR="00B466AA" w:rsidRPr="00EA236D">
        <w:rPr>
          <w:rFonts w:cs="Times New Roman"/>
          <w:szCs w:val="20"/>
          <w:lang w:val="es-ES_tradnl"/>
        </w:rPr>
        <w:t xml:space="preserve">y </w:t>
      </w:r>
      <w:r w:rsidR="008F4B93" w:rsidRPr="00EA236D">
        <w:rPr>
          <w:rFonts w:cs="Times New Roman"/>
          <w:szCs w:val="20"/>
          <w:lang w:val="es-ES_tradnl"/>
        </w:rPr>
        <w:t>vii) el derecho a la alimentación</w:t>
      </w:r>
      <w:r w:rsidR="008F4B93" w:rsidRPr="00EA236D">
        <w:rPr>
          <w:rStyle w:val="FootnoteReference"/>
          <w:lang w:val="es-ES_tradnl"/>
        </w:rPr>
        <w:footnoteReference w:id="36"/>
      </w:r>
      <w:r w:rsidR="008F4B93" w:rsidRPr="00EA236D">
        <w:rPr>
          <w:rFonts w:cs="Times New Roman"/>
          <w:szCs w:val="20"/>
          <w:lang w:val="es-ES_tradnl"/>
        </w:rPr>
        <w:t xml:space="preserve">. </w:t>
      </w:r>
    </w:p>
    <w:p w14:paraId="13595364" w14:textId="77777777" w:rsidR="00F6203A" w:rsidRPr="008060A3" w:rsidRDefault="00F6203A" w:rsidP="00D13DA2">
      <w:pPr>
        <w:pStyle w:val="ListParagraph"/>
        <w:ind w:left="0"/>
        <w:rPr>
          <w:rFonts w:cs="Times New Roman"/>
          <w:szCs w:val="20"/>
          <w:lang w:val="es-ES_tradnl"/>
        </w:rPr>
      </w:pPr>
    </w:p>
    <w:p w14:paraId="16994E0B" w14:textId="4B492164" w:rsidR="00D13DA2" w:rsidRPr="00EA236D" w:rsidRDefault="004208BA" w:rsidP="00E11A65">
      <w:pPr>
        <w:pStyle w:val="ListParagraph"/>
        <w:spacing w:line="360" w:lineRule="auto"/>
        <w:ind w:left="0"/>
        <w:jc w:val="center"/>
        <w:rPr>
          <w:rFonts w:cs="Times New Roman"/>
          <w:szCs w:val="20"/>
          <w:lang w:val="es-ES_tradnl"/>
        </w:rPr>
      </w:pPr>
      <w:r w:rsidRPr="00EA236D">
        <w:rPr>
          <w:rFonts w:cs="Times New Roman"/>
          <w:szCs w:val="20"/>
          <w:lang w:val="es-ES_tradnl"/>
        </w:rPr>
        <w:t>II.</w:t>
      </w:r>
      <w:r w:rsidR="00D13DA2" w:rsidRPr="00EA236D">
        <w:rPr>
          <w:rFonts w:cs="Times New Roman"/>
          <w:szCs w:val="20"/>
          <w:lang w:val="es-ES_tradnl"/>
        </w:rPr>
        <w:t xml:space="preserve"> L</w:t>
      </w:r>
      <w:r w:rsidRPr="00EA236D">
        <w:rPr>
          <w:rFonts w:cs="Times New Roman"/>
          <w:szCs w:val="20"/>
          <w:lang w:val="es-ES_tradnl"/>
        </w:rPr>
        <w:t xml:space="preserve">A POBREZA Y LA POSICIÓN ECONÓMICA EN LA JURISPRUDENCIA </w:t>
      </w:r>
      <w:r w:rsidR="00457907" w:rsidRPr="00EA236D">
        <w:rPr>
          <w:rFonts w:cs="Times New Roman"/>
          <w:szCs w:val="20"/>
          <w:lang w:val="es-ES_tradnl"/>
        </w:rPr>
        <w:t>INTERAMERICANA</w:t>
      </w:r>
    </w:p>
    <w:p w14:paraId="06F76A29" w14:textId="77777777" w:rsidR="00D13DA2" w:rsidRPr="008060A3" w:rsidRDefault="00D13DA2" w:rsidP="00D13DA2">
      <w:pPr>
        <w:pStyle w:val="ListParagraph"/>
        <w:ind w:left="0"/>
        <w:rPr>
          <w:rFonts w:cs="Times New Roman"/>
          <w:szCs w:val="20"/>
          <w:lang w:val="es-ES_tradnl"/>
        </w:rPr>
      </w:pPr>
    </w:p>
    <w:p w14:paraId="69255BC7" w14:textId="019892F9" w:rsidR="00D13DA2" w:rsidRPr="00EA236D" w:rsidRDefault="004208BA" w:rsidP="00C95D8B">
      <w:pPr>
        <w:pStyle w:val="ListParagraph"/>
        <w:numPr>
          <w:ilvl w:val="0"/>
          <w:numId w:val="1"/>
        </w:numPr>
        <w:rPr>
          <w:rFonts w:cs="Times New Roman"/>
          <w:szCs w:val="20"/>
          <w:lang w:val="es-ES_tradnl"/>
        </w:rPr>
      </w:pPr>
      <w:r w:rsidRPr="00EA236D">
        <w:rPr>
          <w:rFonts w:cs="Times New Roman"/>
          <w:szCs w:val="20"/>
          <w:lang w:val="es-ES_tradnl"/>
        </w:rPr>
        <w:t>E</w:t>
      </w:r>
      <w:r w:rsidR="00EC7DC2">
        <w:rPr>
          <w:rFonts w:cs="Times New Roman"/>
          <w:szCs w:val="20"/>
          <w:lang w:val="es-ES_tradnl"/>
        </w:rPr>
        <w:t>l</w:t>
      </w:r>
      <w:r w:rsidR="00D13DA2" w:rsidRPr="00EA236D">
        <w:rPr>
          <w:rFonts w:cs="Times New Roman"/>
          <w:szCs w:val="20"/>
          <w:lang w:val="es-ES_tradnl"/>
        </w:rPr>
        <w:t xml:space="preserve"> tema de la pobreza</w:t>
      </w:r>
      <w:r w:rsidR="00384C56" w:rsidRPr="00EA236D">
        <w:rPr>
          <w:rFonts w:cs="Times New Roman"/>
          <w:szCs w:val="20"/>
          <w:lang w:val="es-ES_tradnl"/>
        </w:rPr>
        <w:t xml:space="preserve"> y la posición económica</w:t>
      </w:r>
      <w:r w:rsidR="00D13DA2" w:rsidRPr="00EA236D">
        <w:rPr>
          <w:rFonts w:cs="Times New Roman"/>
          <w:szCs w:val="20"/>
          <w:lang w:val="es-ES_tradnl"/>
        </w:rPr>
        <w:t xml:space="preserve"> ha estado presente </w:t>
      </w:r>
      <w:r w:rsidR="0032014E" w:rsidRPr="00EA236D">
        <w:rPr>
          <w:rFonts w:cs="Times New Roman"/>
          <w:szCs w:val="20"/>
          <w:lang w:val="es-ES_tradnl"/>
        </w:rPr>
        <w:t>a lo largo de</w:t>
      </w:r>
      <w:r w:rsidR="00D13DA2" w:rsidRPr="00EA236D">
        <w:rPr>
          <w:rFonts w:cs="Times New Roman"/>
          <w:szCs w:val="20"/>
          <w:lang w:val="es-ES_tradnl"/>
        </w:rPr>
        <w:t xml:space="preserve"> la jurisprudencia de es</w:t>
      </w:r>
      <w:r w:rsidR="00042893" w:rsidRPr="00EA236D">
        <w:rPr>
          <w:rFonts w:cs="Times New Roman"/>
          <w:szCs w:val="20"/>
          <w:lang w:val="es-ES_tradnl"/>
        </w:rPr>
        <w:t xml:space="preserve">te Tribunal Interamericano; </w:t>
      </w:r>
      <w:r w:rsidR="00D13DA2" w:rsidRPr="00EA236D">
        <w:rPr>
          <w:rFonts w:cs="Times New Roman"/>
          <w:szCs w:val="20"/>
          <w:lang w:val="es-ES_tradnl"/>
        </w:rPr>
        <w:t>muchas violaciones de derechos humanos traen aparejadas situaciones</w:t>
      </w:r>
      <w:r w:rsidR="008F4B93" w:rsidRPr="00EA236D">
        <w:rPr>
          <w:rFonts w:cs="Times New Roman"/>
          <w:szCs w:val="20"/>
          <w:lang w:val="es-ES_tradnl"/>
        </w:rPr>
        <w:t xml:space="preserve"> de exclusión y de marginación por la propia situa</w:t>
      </w:r>
      <w:r w:rsidR="0052228E" w:rsidRPr="00EA236D">
        <w:rPr>
          <w:rFonts w:cs="Times New Roman"/>
          <w:szCs w:val="20"/>
          <w:lang w:val="es-ES_tradnl"/>
        </w:rPr>
        <w:t>ción de pobreza de las ví</w:t>
      </w:r>
      <w:r w:rsidR="0032014E" w:rsidRPr="00EA236D">
        <w:rPr>
          <w:rFonts w:cs="Times New Roman"/>
          <w:szCs w:val="20"/>
          <w:lang w:val="es-ES_tradnl"/>
        </w:rPr>
        <w:t xml:space="preserve">ctimas. </w:t>
      </w:r>
      <w:r w:rsidR="00C95D8B" w:rsidRPr="00EA236D">
        <w:rPr>
          <w:rFonts w:cs="Times New Roman"/>
          <w:szCs w:val="20"/>
          <w:lang w:val="es-ES_tradnl"/>
        </w:rPr>
        <w:t xml:space="preserve">Hasta ahora, en la totalidad de los casos, se ha identificado a la pobreza como un factor de vulnerabilidad que profundiza el impacto que tienen las víctimas de violaciones a derechos humanos sometidas a esta condición. </w:t>
      </w:r>
    </w:p>
    <w:p w14:paraId="593ED4FB" w14:textId="77777777" w:rsidR="00D13DA2" w:rsidRPr="00EA236D" w:rsidRDefault="00D13DA2" w:rsidP="00D13DA2">
      <w:pPr>
        <w:rPr>
          <w:rFonts w:ascii="Verdana" w:hAnsi="Verdana" w:cs="Times New Roman"/>
          <w:szCs w:val="20"/>
        </w:rPr>
      </w:pPr>
    </w:p>
    <w:p w14:paraId="33A77329" w14:textId="554B0F48" w:rsidR="00B93793" w:rsidRPr="00EA236D" w:rsidRDefault="00B93793" w:rsidP="00B93793">
      <w:pPr>
        <w:pStyle w:val="ListParagraph"/>
        <w:numPr>
          <w:ilvl w:val="0"/>
          <w:numId w:val="1"/>
        </w:numPr>
        <w:rPr>
          <w:rFonts w:cs="Times New Roman"/>
          <w:b/>
          <w:szCs w:val="20"/>
          <w:lang w:val="es-ES_tradnl"/>
        </w:rPr>
      </w:pPr>
      <w:r w:rsidRPr="00EA236D">
        <w:rPr>
          <w:rFonts w:cs="Times New Roman"/>
          <w:szCs w:val="20"/>
          <w:lang w:val="es-ES_tradnl"/>
        </w:rPr>
        <w:lastRenderedPageBreak/>
        <w:t xml:space="preserve">En el caso del </w:t>
      </w:r>
      <w:r w:rsidRPr="00EA236D">
        <w:rPr>
          <w:rFonts w:cs="Times New Roman"/>
          <w:i/>
          <w:szCs w:val="20"/>
          <w:lang w:val="es-ES_tradnl"/>
        </w:rPr>
        <w:t xml:space="preserve">Instituto de Reeducación del </w:t>
      </w:r>
      <w:r w:rsidR="00963A9F">
        <w:rPr>
          <w:rFonts w:cs="Times New Roman"/>
          <w:i/>
          <w:szCs w:val="20"/>
          <w:lang w:val="es-ES_tradnl"/>
        </w:rPr>
        <w:t>M</w:t>
      </w:r>
      <w:r w:rsidRPr="00EA236D">
        <w:rPr>
          <w:rFonts w:cs="Times New Roman"/>
          <w:i/>
          <w:szCs w:val="20"/>
          <w:lang w:val="es-ES_tradnl"/>
        </w:rPr>
        <w:t xml:space="preserve">enor Vs Paraguay </w:t>
      </w:r>
      <w:r w:rsidRPr="00EA236D">
        <w:rPr>
          <w:rFonts w:cs="Times New Roman"/>
          <w:szCs w:val="20"/>
          <w:lang w:val="es-ES_tradnl"/>
        </w:rPr>
        <w:t xml:space="preserve">(2004), en cuanto a las reparaciones, la Corte </w:t>
      </w:r>
      <w:r w:rsidR="00042893" w:rsidRPr="00EA236D">
        <w:rPr>
          <w:rFonts w:cs="Times New Roman"/>
          <w:szCs w:val="20"/>
          <w:lang w:val="es-ES_tradnl"/>
        </w:rPr>
        <w:t xml:space="preserve">IDH </w:t>
      </w:r>
      <w:r w:rsidRPr="00EA236D">
        <w:rPr>
          <w:rFonts w:cs="Times New Roman"/>
          <w:szCs w:val="20"/>
          <w:lang w:val="es-ES_tradnl"/>
        </w:rPr>
        <w:t xml:space="preserve">tuvo presente que en este caso había niños que se en encontraban en un </w:t>
      </w:r>
      <w:r w:rsidR="00B56C3B" w:rsidRPr="00EA236D">
        <w:rPr>
          <w:rFonts w:cs="Times New Roman"/>
          <w:szCs w:val="20"/>
          <w:lang w:val="es-ES_tradnl"/>
        </w:rPr>
        <w:t>e</w:t>
      </w:r>
      <w:r w:rsidRPr="00EA236D">
        <w:rPr>
          <w:rFonts w:cs="Times New Roman"/>
          <w:szCs w:val="20"/>
          <w:lang w:val="es-ES_tradnl"/>
        </w:rPr>
        <w:t>stado manifiesto de pobreza y que habían sido víctimas de graves violaciones a derechos humanos</w:t>
      </w:r>
      <w:r w:rsidRPr="00EA236D">
        <w:rPr>
          <w:rStyle w:val="FootnoteReference"/>
          <w:lang w:val="es-ES_tradnl"/>
        </w:rPr>
        <w:footnoteReference w:id="37"/>
      </w:r>
      <w:r w:rsidRPr="00EA236D">
        <w:rPr>
          <w:rFonts w:cs="Times New Roman"/>
          <w:szCs w:val="20"/>
          <w:lang w:val="es-ES_tradnl"/>
        </w:rPr>
        <w:t xml:space="preserve">. </w:t>
      </w:r>
    </w:p>
    <w:p w14:paraId="39F9C942" w14:textId="77777777" w:rsidR="00B93793" w:rsidRPr="00EA236D" w:rsidRDefault="00B93793" w:rsidP="00B93793">
      <w:pPr>
        <w:rPr>
          <w:rFonts w:ascii="Verdana" w:hAnsi="Verdana" w:cs="Times New Roman"/>
          <w:szCs w:val="20"/>
        </w:rPr>
      </w:pPr>
    </w:p>
    <w:p w14:paraId="5A7D8C68" w14:textId="5E4B7E2D" w:rsidR="00D13DA2" w:rsidRPr="00EA236D" w:rsidRDefault="00D13DA2" w:rsidP="00D13DA2">
      <w:pPr>
        <w:pStyle w:val="ListParagraph"/>
        <w:numPr>
          <w:ilvl w:val="0"/>
          <w:numId w:val="1"/>
        </w:numPr>
        <w:rPr>
          <w:rFonts w:cs="Times New Roman"/>
          <w:szCs w:val="20"/>
          <w:lang w:val="es-ES_tradnl"/>
        </w:rPr>
      </w:pPr>
      <w:r w:rsidRPr="00EA236D">
        <w:rPr>
          <w:rFonts w:cs="Times New Roman"/>
          <w:szCs w:val="20"/>
          <w:lang w:val="es-ES_tradnl"/>
        </w:rPr>
        <w:t xml:space="preserve">En el caso de la </w:t>
      </w:r>
      <w:r w:rsidR="0001065E" w:rsidRPr="00EA236D">
        <w:rPr>
          <w:rFonts w:cs="Times New Roman"/>
          <w:i/>
          <w:szCs w:val="20"/>
          <w:lang w:val="es-ES_tradnl"/>
        </w:rPr>
        <w:t>Comunidad Moiwana Vs. Surinam</w:t>
      </w:r>
      <w:r w:rsidR="00963A9F">
        <w:rPr>
          <w:rFonts w:cs="Times New Roman"/>
          <w:i/>
          <w:szCs w:val="20"/>
          <w:lang w:val="es-ES_tradnl"/>
        </w:rPr>
        <w:t>e</w:t>
      </w:r>
      <w:r w:rsidR="000824C4" w:rsidRPr="00EA236D">
        <w:rPr>
          <w:rFonts w:cs="Times New Roman"/>
          <w:i/>
          <w:szCs w:val="20"/>
          <w:lang w:val="es-ES_tradnl"/>
        </w:rPr>
        <w:t xml:space="preserve"> </w:t>
      </w:r>
      <w:r w:rsidR="00B93793" w:rsidRPr="00EA236D">
        <w:rPr>
          <w:rFonts w:cs="Times New Roman"/>
          <w:szCs w:val="20"/>
          <w:lang w:val="es-ES_tradnl"/>
        </w:rPr>
        <w:t>(2005</w:t>
      </w:r>
      <w:r w:rsidR="0001065E" w:rsidRPr="00EA236D">
        <w:rPr>
          <w:rFonts w:cs="Times New Roman"/>
          <w:szCs w:val="20"/>
          <w:lang w:val="es-ES_tradnl"/>
        </w:rPr>
        <w:t>),</w:t>
      </w:r>
      <w:r w:rsidR="0032014E" w:rsidRPr="00EA236D">
        <w:rPr>
          <w:rFonts w:cs="Times New Roman"/>
          <w:szCs w:val="20"/>
          <w:lang w:val="es-ES_tradnl"/>
        </w:rPr>
        <w:t xml:space="preserve"> </w:t>
      </w:r>
      <w:r w:rsidR="00042893" w:rsidRPr="00EA236D">
        <w:rPr>
          <w:rFonts w:cs="Times New Roman"/>
          <w:szCs w:val="20"/>
          <w:lang w:val="es-ES_tradnl"/>
        </w:rPr>
        <w:t>el Tribunal Interamericano</w:t>
      </w:r>
      <w:r w:rsidR="0032014E" w:rsidRPr="00EA236D">
        <w:rPr>
          <w:rFonts w:cs="Times New Roman"/>
          <w:szCs w:val="20"/>
          <w:lang w:val="es-ES_tradnl"/>
        </w:rPr>
        <w:t xml:space="preserve"> dio por</w:t>
      </w:r>
      <w:r w:rsidRPr="00EA236D">
        <w:rPr>
          <w:rFonts w:cs="Times New Roman"/>
          <w:szCs w:val="20"/>
          <w:lang w:val="es-ES_tradnl"/>
        </w:rPr>
        <w:t xml:space="preserve"> probado que los miembros de dicha comunidad habían sido forzados a dejar sus hogares y tierras tradicio</w:t>
      </w:r>
      <w:r w:rsidR="0032014E" w:rsidRPr="00EA236D">
        <w:rPr>
          <w:rFonts w:cs="Times New Roman"/>
          <w:szCs w:val="20"/>
          <w:lang w:val="es-ES_tradnl"/>
        </w:rPr>
        <w:t>nales abruptamente</w:t>
      </w:r>
      <w:r w:rsidRPr="00EA236D">
        <w:rPr>
          <w:rFonts w:cs="Times New Roman"/>
          <w:szCs w:val="20"/>
          <w:lang w:val="es-ES_tradnl"/>
        </w:rPr>
        <w:t>, y se encontraro</w:t>
      </w:r>
      <w:r w:rsidR="0032014E" w:rsidRPr="00EA236D">
        <w:rPr>
          <w:rFonts w:cs="Times New Roman"/>
          <w:szCs w:val="20"/>
          <w:lang w:val="es-ES_tradnl"/>
        </w:rPr>
        <w:t>n en situación</w:t>
      </w:r>
      <w:r w:rsidRPr="00EA236D">
        <w:rPr>
          <w:rFonts w:cs="Times New Roman"/>
          <w:szCs w:val="20"/>
          <w:lang w:val="es-ES_tradnl"/>
        </w:rPr>
        <w:t xml:space="preserve"> de desplazamiento continuo, en la Guyana Francesa o en otras partes de </w:t>
      </w:r>
      <w:r w:rsidR="00042893" w:rsidRPr="00EA236D">
        <w:rPr>
          <w:rFonts w:cs="Times New Roman"/>
          <w:szCs w:val="20"/>
          <w:lang w:val="es-ES_tradnl"/>
        </w:rPr>
        <w:t>Surinam</w:t>
      </w:r>
      <w:r w:rsidR="00963A9F">
        <w:rPr>
          <w:rFonts w:cs="Times New Roman"/>
          <w:szCs w:val="20"/>
          <w:lang w:val="es-ES_tradnl"/>
        </w:rPr>
        <w:t>e</w:t>
      </w:r>
      <w:r w:rsidR="00042893" w:rsidRPr="00EA236D">
        <w:rPr>
          <w:rFonts w:cs="Times New Roman"/>
          <w:szCs w:val="20"/>
          <w:lang w:val="es-ES_tradnl"/>
        </w:rPr>
        <w:t>. Asimismo, la Corte IDH</w:t>
      </w:r>
      <w:r w:rsidRPr="00EA236D">
        <w:rPr>
          <w:rFonts w:cs="Times New Roman"/>
          <w:szCs w:val="20"/>
          <w:lang w:val="es-ES_tradnl"/>
        </w:rPr>
        <w:t xml:space="preserve"> consideró que los miembros de la Comunidad habían sufrido po</w:t>
      </w:r>
      <w:r w:rsidR="003D1876" w:rsidRPr="00EA236D">
        <w:rPr>
          <w:rFonts w:cs="Times New Roman"/>
          <w:szCs w:val="20"/>
          <w:lang w:val="es-ES_tradnl"/>
        </w:rPr>
        <w:t>breza y privaciones desde su huida de la Aldea de Moiwana</w:t>
      </w:r>
      <w:r w:rsidRPr="00EA236D">
        <w:rPr>
          <w:rFonts w:cs="Times New Roman"/>
          <w:szCs w:val="20"/>
          <w:lang w:val="es-ES_tradnl"/>
        </w:rPr>
        <w:t xml:space="preserve">, dado que la posibilidad de utilizar sus medios tradicionales </w:t>
      </w:r>
      <w:r w:rsidR="00370A5E" w:rsidRPr="00EA236D">
        <w:rPr>
          <w:rFonts w:cs="Times New Roman"/>
          <w:szCs w:val="20"/>
          <w:lang w:val="es-ES_tradnl"/>
        </w:rPr>
        <w:t>de</w:t>
      </w:r>
      <w:r w:rsidRPr="00EA236D">
        <w:rPr>
          <w:rFonts w:cs="Times New Roman"/>
          <w:szCs w:val="20"/>
          <w:lang w:val="es-ES_tradnl"/>
        </w:rPr>
        <w:t xml:space="preserve"> subsistencia se había visto limitada drásticamente</w:t>
      </w:r>
      <w:r w:rsidR="008F4B93" w:rsidRPr="00EA236D">
        <w:rPr>
          <w:rStyle w:val="FootnoteReference"/>
          <w:lang w:val="es-ES_tradnl"/>
        </w:rPr>
        <w:footnoteReference w:id="38"/>
      </w:r>
      <w:r w:rsidR="008F4B93" w:rsidRPr="00EA236D">
        <w:rPr>
          <w:rFonts w:cs="Times New Roman"/>
          <w:szCs w:val="20"/>
          <w:lang w:val="es-ES_tradnl"/>
        </w:rPr>
        <w:t xml:space="preserve">. </w:t>
      </w:r>
    </w:p>
    <w:p w14:paraId="1D8048DA" w14:textId="77777777" w:rsidR="00D13DA2" w:rsidRPr="00EA236D" w:rsidRDefault="00D13DA2" w:rsidP="00D13DA2">
      <w:pPr>
        <w:rPr>
          <w:rFonts w:ascii="Verdana" w:hAnsi="Verdana" w:cs="Times New Roman"/>
          <w:szCs w:val="20"/>
        </w:rPr>
      </w:pPr>
    </w:p>
    <w:p w14:paraId="4DD801C2" w14:textId="2057150F" w:rsidR="00D13DA2" w:rsidRPr="00EA236D" w:rsidRDefault="00D13DA2" w:rsidP="00D13DA2">
      <w:pPr>
        <w:pStyle w:val="ListParagraph"/>
        <w:numPr>
          <w:ilvl w:val="0"/>
          <w:numId w:val="1"/>
        </w:numPr>
        <w:rPr>
          <w:rFonts w:cs="Times New Roman"/>
          <w:b/>
          <w:szCs w:val="20"/>
          <w:lang w:val="es-ES_tradnl"/>
        </w:rPr>
      </w:pPr>
      <w:r w:rsidRPr="00EA236D">
        <w:rPr>
          <w:rFonts w:cs="Times New Roman"/>
          <w:szCs w:val="20"/>
          <w:lang w:val="es-ES_tradnl"/>
        </w:rPr>
        <w:t xml:space="preserve">En el caso </w:t>
      </w:r>
      <w:proofErr w:type="spellStart"/>
      <w:r w:rsidRPr="00EA236D">
        <w:rPr>
          <w:rFonts w:cs="Times New Roman"/>
          <w:i/>
          <w:szCs w:val="20"/>
          <w:lang w:val="es-ES_tradnl"/>
        </w:rPr>
        <w:t>Servellón</w:t>
      </w:r>
      <w:proofErr w:type="spellEnd"/>
      <w:r w:rsidRPr="00EA236D">
        <w:rPr>
          <w:rFonts w:cs="Times New Roman"/>
          <w:i/>
          <w:szCs w:val="20"/>
          <w:lang w:val="es-ES_tradnl"/>
        </w:rPr>
        <w:t xml:space="preserve"> García Vs. Honduras</w:t>
      </w:r>
      <w:r w:rsidR="0001065E" w:rsidRPr="00EA236D">
        <w:rPr>
          <w:rFonts w:cs="Times New Roman"/>
          <w:i/>
          <w:szCs w:val="20"/>
          <w:lang w:val="es-ES_tradnl"/>
        </w:rPr>
        <w:t xml:space="preserve"> </w:t>
      </w:r>
      <w:r w:rsidR="0001065E" w:rsidRPr="00EA236D">
        <w:rPr>
          <w:rFonts w:cs="Times New Roman"/>
          <w:szCs w:val="20"/>
          <w:lang w:val="es-ES_tradnl"/>
        </w:rPr>
        <w:t>(</w:t>
      </w:r>
      <w:r w:rsidR="005B729F" w:rsidRPr="00EA236D">
        <w:rPr>
          <w:rFonts w:cs="Times New Roman"/>
          <w:szCs w:val="20"/>
          <w:lang w:val="es-ES_tradnl"/>
        </w:rPr>
        <w:t>2005</w:t>
      </w:r>
      <w:r w:rsidR="0001065E" w:rsidRPr="00EA236D">
        <w:rPr>
          <w:rFonts w:cs="Times New Roman"/>
          <w:szCs w:val="20"/>
          <w:lang w:val="es-ES_tradnl"/>
        </w:rPr>
        <w:t>)</w:t>
      </w:r>
      <w:r w:rsidR="0001065E" w:rsidRPr="00EA236D">
        <w:rPr>
          <w:rFonts w:cs="Times New Roman"/>
          <w:i/>
          <w:szCs w:val="20"/>
          <w:lang w:val="es-ES_tradnl"/>
        </w:rPr>
        <w:t xml:space="preserve">, </w:t>
      </w:r>
      <w:r w:rsidRPr="00EA236D">
        <w:rPr>
          <w:rFonts w:cs="Times New Roman"/>
          <w:szCs w:val="20"/>
          <w:lang w:val="es-ES_tradnl"/>
        </w:rPr>
        <w:t xml:space="preserve">la Corte </w:t>
      </w:r>
      <w:r w:rsidR="003D1876" w:rsidRPr="00EA236D">
        <w:rPr>
          <w:rFonts w:cs="Times New Roman"/>
          <w:szCs w:val="20"/>
          <w:lang w:val="es-ES_tradnl"/>
        </w:rPr>
        <w:t xml:space="preserve">IDH </w:t>
      </w:r>
      <w:r w:rsidRPr="00EA236D">
        <w:rPr>
          <w:rFonts w:cs="Times New Roman"/>
          <w:szCs w:val="20"/>
          <w:lang w:val="es-ES_tradnl"/>
        </w:rPr>
        <w:t>consideró que los Estados tenían la obligación de asegurar la protección de los niños y jóvenes afectados por la pobreza que estén socialmente marginados. Del mismo modo, el Tribunal destacó</w:t>
      </w:r>
      <w:r w:rsidR="00370A5E" w:rsidRPr="00EA236D">
        <w:rPr>
          <w:rFonts w:cs="Times New Roman"/>
          <w:szCs w:val="20"/>
          <w:lang w:val="es-ES_tradnl"/>
        </w:rPr>
        <w:t>,</w:t>
      </w:r>
      <w:r w:rsidRPr="00EA236D">
        <w:rPr>
          <w:rFonts w:cs="Times New Roman"/>
          <w:szCs w:val="20"/>
          <w:lang w:val="es-ES_tradnl"/>
        </w:rPr>
        <w:t xml:space="preserve"> como lo había hecho en el caso </w:t>
      </w:r>
      <w:r w:rsidR="004208BA" w:rsidRPr="00EA236D">
        <w:rPr>
          <w:rFonts w:cs="Times New Roman"/>
          <w:i/>
          <w:szCs w:val="20"/>
          <w:lang w:val="es-ES_tradnl"/>
        </w:rPr>
        <w:t xml:space="preserve">Niños </w:t>
      </w:r>
      <w:r w:rsidRPr="00EA236D">
        <w:rPr>
          <w:rFonts w:cs="Times New Roman"/>
          <w:i/>
          <w:szCs w:val="20"/>
          <w:lang w:val="es-ES_tradnl"/>
        </w:rPr>
        <w:t xml:space="preserve">de la Calle (Villagrán Morales y otros) Vs. Guatemala, </w:t>
      </w:r>
      <w:r w:rsidRPr="00EA236D">
        <w:rPr>
          <w:rFonts w:cs="Times New Roman"/>
          <w:szCs w:val="20"/>
          <w:lang w:val="es-ES_tradnl"/>
        </w:rPr>
        <w:t>que si los Estados tienen elementos para creer que los niños en situación de riesgo están afectados por factores que pueden condu</w:t>
      </w:r>
      <w:r w:rsidR="004208BA" w:rsidRPr="00EA236D">
        <w:rPr>
          <w:rFonts w:cs="Times New Roman"/>
          <w:szCs w:val="20"/>
          <w:lang w:val="es-ES_tradnl"/>
        </w:rPr>
        <w:t>cirlos a cometer actos ilícitos</w:t>
      </w:r>
      <w:r w:rsidRPr="00EA236D">
        <w:rPr>
          <w:rFonts w:cs="Times New Roman"/>
          <w:szCs w:val="20"/>
          <w:lang w:val="es-ES_tradnl"/>
        </w:rPr>
        <w:t>, deben extremar las medidas de prevención del delito. El Estado debe asumir su posición especial de garante con mayor cuidado y responsabilidad y debe tomar medidas especiales orientadas en el principio del interés superior del niño</w:t>
      </w:r>
      <w:r w:rsidR="008F4B93" w:rsidRPr="00EA236D">
        <w:rPr>
          <w:rStyle w:val="FootnoteReference"/>
          <w:lang w:val="es-ES_tradnl"/>
        </w:rPr>
        <w:footnoteReference w:id="39"/>
      </w:r>
      <w:r w:rsidRPr="00EA236D">
        <w:rPr>
          <w:rFonts w:cs="Times New Roman"/>
          <w:szCs w:val="20"/>
          <w:lang w:val="es-ES_tradnl"/>
        </w:rPr>
        <w:t xml:space="preserve">. </w:t>
      </w:r>
    </w:p>
    <w:p w14:paraId="47FAE562" w14:textId="77777777" w:rsidR="00D13DA2" w:rsidRPr="00EA236D" w:rsidRDefault="00D13DA2" w:rsidP="00D13DA2">
      <w:pPr>
        <w:rPr>
          <w:rFonts w:ascii="Verdana" w:hAnsi="Verdana" w:cs="Times New Roman"/>
          <w:b/>
          <w:szCs w:val="20"/>
        </w:rPr>
      </w:pPr>
    </w:p>
    <w:p w14:paraId="205C1772" w14:textId="3B96192C" w:rsidR="005531E3" w:rsidRPr="00EA236D" w:rsidRDefault="00D13DA2" w:rsidP="009C30BC">
      <w:pPr>
        <w:pStyle w:val="ListParagraph"/>
        <w:numPr>
          <w:ilvl w:val="0"/>
          <w:numId w:val="1"/>
        </w:numPr>
        <w:rPr>
          <w:rFonts w:cs="Times New Roman"/>
          <w:szCs w:val="20"/>
          <w:lang w:val="es-ES_tradnl"/>
        </w:rPr>
      </w:pPr>
      <w:r w:rsidRPr="00EA236D">
        <w:rPr>
          <w:rFonts w:cs="Times New Roman"/>
          <w:szCs w:val="20"/>
          <w:lang w:val="es-ES_tradnl"/>
        </w:rPr>
        <w:t xml:space="preserve">En el caso de la </w:t>
      </w:r>
      <w:r w:rsidRPr="00EA236D">
        <w:rPr>
          <w:rFonts w:cs="Times New Roman"/>
          <w:i/>
          <w:szCs w:val="20"/>
          <w:lang w:val="es-ES_tradnl"/>
        </w:rPr>
        <w:t>Comunidad Indígena Yakye Axa Vs. Paraguay</w:t>
      </w:r>
      <w:r w:rsidR="00B93793" w:rsidRPr="00EA236D">
        <w:rPr>
          <w:rFonts w:cs="Times New Roman"/>
          <w:i/>
          <w:szCs w:val="20"/>
          <w:lang w:val="es-ES_tradnl"/>
        </w:rPr>
        <w:t xml:space="preserve"> (</w:t>
      </w:r>
      <w:r w:rsidR="00B93793" w:rsidRPr="00EA236D">
        <w:rPr>
          <w:rFonts w:cs="Times New Roman"/>
          <w:szCs w:val="20"/>
          <w:lang w:val="es-ES_tradnl"/>
        </w:rPr>
        <w:t xml:space="preserve">2005), </w:t>
      </w:r>
      <w:r w:rsidRPr="00EA236D">
        <w:rPr>
          <w:rFonts w:cs="Times New Roman"/>
          <w:szCs w:val="20"/>
          <w:lang w:val="es-ES_tradnl"/>
        </w:rPr>
        <w:t xml:space="preserve">el juez </w:t>
      </w:r>
      <w:r w:rsidR="00126EEE" w:rsidRPr="000C2F0F">
        <w:rPr>
          <w:rFonts w:cs="Times New Roman"/>
          <w:i/>
          <w:szCs w:val="20"/>
          <w:lang w:val="es-ES_tradnl"/>
        </w:rPr>
        <w:t>ad-hoc</w:t>
      </w:r>
      <w:r w:rsidR="00126EEE">
        <w:rPr>
          <w:rFonts w:cs="Times New Roman"/>
          <w:szCs w:val="20"/>
          <w:lang w:val="es-ES_tradnl"/>
        </w:rPr>
        <w:t xml:space="preserve"> </w:t>
      </w:r>
      <w:r w:rsidRPr="00EA236D">
        <w:rPr>
          <w:rFonts w:cs="Times New Roman"/>
          <w:szCs w:val="20"/>
          <w:lang w:val="es-ES_tradnl"/>
        </w:rPr>
        <w:t xml:space="preserve">Ramón </w:t>
      </w:r>
      <w:proofErr w:type="spellStart"/>
      <w:r w:rsidRPr="00EA236D">
        <w:rPr>
          <w:rFonts w:cs="Times New Roman"/>
          <w:szCs w:val="20"/>
          <w:lang w:val="es-ES_tradnl"/>
        </w:rPr>
        <w:t>Foguel</w:t>
      </w:r>
      <w:proofErr w:type="spellEnd"/>
      <w:r w:rsidRPr="00EA236D">
        <w:rPr>
          <w:rFonts w:cs="Times New Roman"/>
          <w:szCs w:val="20"/>
          <w:lang w:val="es-ES_tradnl"/>
        </w:rPr>
        <w:t xml:space="preserve"> en su Voto parcialmente concurrente y parcialmente disidente, explicitó que la extrema pobreza en el caso de las comunidades indígenas, en especial las afectadas por la pobreza dura, implica la denegación sistemática de la posibilidad de gozar de derechos inherentes al ser humano. Para el juez</w:t>
      </w:r>
      <w:r w:rsidR="00F141AA">
        <w:rPr>
          <w:rFonts w:cs="Times New Roman"/>
          <w:szCs w:val="20"/>
          <w:lang w:val="es-ES_tradnl"/>
        </w:rPr>
        <w:t xml:space="preserve"> </w:t>
      </w:r>
      <w:r w:rsidR="00F141AA" w:rsidRPr="009C14BD">
        <w:rPr>
          <w:rFonts w:cs="Times New Roman"/>
          <w:i/>
          <w:szCs w:val="20"/>
          <w:lang w:val="es-ES_tradnl"/>
        </w:rPr>
        <w:t>ad-hoc</w:t>
      </w:r>
      <w:r w:rsidRPr="00EA236D">
        <w:rPr>
          <w:rFonts w:cs="Times New Roman"/>
          <w:szCs w:val="20"/>
          <w:lang w:val="es-ES_tradnl"/>
        </w:rPr>
        <w:t>, la Comunidad Yakye Axa, ciertamente estaba afectada por la extrema pobreza</w:t>
      </w:r>
      <w:r w:rsidR="008F4B93" w:rsidRPr="00EA236D">
        <w:rPr>
          <w:rStyle w:val="FootnoteReference"/>
          <w:lang w:val="es-ES_tradnl"/>
        </w:rPr>
        <w:footnoteReference w:id="40"/>
      </w:r>
      <w:r w:rsidR="008F4B93" w:rsidRPr="00EA236D">
        <w:rPr>
          <w:rFonts w:cs="Times New Roman"/>
          <w:szCs w:val="20"/>
          <w:lang w:val="es-ES_tradnl"/>
        </w:rPr>
        <w:t>.</w:t>
      </w:r>
      <w:r w:rsidRPr="00EA236D">
        <w:rPr>
          <w:rFonts w:cs="Times New Roman"/>
          <w:b/>
          <w:szCs w:val="20"/>
          <w:lang w:val="es-ES_tradnl"/>
        </w:rPr>
        <w:t xml:space="preserve"> </w:t>
      </w:r>
      <w:r w:rsidRPr="00EA236D">
        <w:rPr>
          <w:rFonts w:cs="Times New Roman"/>
          <w:szCs w:val="20"/>
          <w:lang w:val="es-ES_tradnl"/>
        </w:rPr>
        <w:t xml:space="preserve">De igual manera, el juez </w:t>
      </w:r>
      <w:r w:rsidR="00F141AA" w:rsidRPr="009C14BD">
        <w:rPr>
          <w:rFonts w:cs="Times New Roman"/>
          <w:i/>
          <w:szCs w:val="20"/>
          <w:lang w:val="es-ES_tradnl"/>
        </w:rPr>
        <w:t>ad-hoc</w:t>
      </w:r>
      <w:r w:rsidR="00F141AA" w:rsidRPr="00EA236D">
        <w:rPr>
          <w:rFonts w:cs="Times New Roman"/>
          <w:szCs w:val="20"/>
          <w:lang w:val="es-ES_tradnl"/>
        </w:rPr>
        <w:t xml:space="preserve"> </w:t>
      </w:r>
      <w:r w:rsidRPr="00EA236D">
        <w:rPr>
          <w:rFonts w:cs="Times New Roman"/>
          <w:szCs w:val="20"/>
          <w:lang w:val="es-ES_tradnl"/>
        </w:rPr>
        <w:t>sugiere que en este punto debe tomarse en consideración lo seña</w:t>
      </w:r>
      <w:r w:rsidR="003D1876" w:rsidRPr="00EA236D">
        <w:rPr>
          <w:rFonts w:cs="Times New Roman"/>
          <w:szCs w:val="20"/>
          <w:lang w:val="es-ES_tradnl"/>
        </w:rPr>
        <w:t>lado por la Corte IDH</w:t>
      </w:r>
      <w:r w:rsidRPr="00EA236D">
        <w:rPr>
          <w:rFonts w:cs="Times New Roman"/>
          <w:szCs w:val="20"/>
          <w:lang w:val="es-ES_tradnl"/>
        </w:rPr>
        <w:t xml:space="preserve"> en el sentido </w:t>
      </w:r>
      <w:r w:rsidR="003D1876" w:rsidRPr="00EA236D">
        <w:rPr>
          <w:rFonts w:cs="Times New Roman"/>
          <w:szCs w:val="20"/>
          <w:lang w:val="es-ES_tradnl"/>
        </w:rPr>
        <w:t xml:space="preserve">de </w:t>
      </w:r>
      <w:r w:rsidRPr="00EA236D">
        <w:rPr>
          <w:rFonts w:cs="Times New Roman"/>
          <w:szCs w:val="20"/>
          <w:lang w:val="es-ES_tradnl"/>
        </w:rPr>
        <w:t>que la interpretación de un instrumento internacional de protección debe acompañar la evolución de los tiempos y la</w:t>
      </w:r>
      <w:r w:rsidR="0032014E" w:rsidRPr="00EA236D">
        <w:rPr>
          <w:rFonts w:cs="Times New Roman"/>
          <w:szCs w:val="20"/>
          <w:lang w:val="es-ES_tradnl"/>
        </w:rPr>
        <w:t>s condiciones de vida actuales pues l</w:t>
      </w:r>
      <w:r w:rsidRPr="00EA236D">
        <w:rPr>
          <w:rFonts w:cs="Times New Roman"/>
          <w:szCs w:val="20"/>
          <w:lang w:val="es-ES_tradnl"/>
        </w:rPr>
        <w:t>a Corte ha señalado también que la interpretación evolutiva, en concordancia con las reglas generales de interpretación de los tratados, ha co</w:t>
      </w:r>
      <w:r w:rsidR="003D1876" w:rsidRPr="00EA236D">
        <w:rPr>
          <w:rFonts w:cs="Times New Roman"/>
          <w:szCs w:val="20"/>
          <w:lang w:val="es-ES_tradnl"/>
        </w:rPr>
        <w:t xml:space="preserve">ntribuido en medida importante </w:t>
      </w:r>
      <w:r w:rsidRPr="00EA236D">
        <w:rPr>
          <w:rFonts w:cs="Times New Roman"/>
          <w:szCs w:val="20"/>
          <w:lang w:val="es-ES_tradnl"/>
        </w:rPr>
        <w:t>a los avanc</w:t>
      </w:r>
      <w:r w:rsidR="003D1876" w:rsidRPr="00EA236D">
        <w:rPr>
          <w:rFonts w:cs="Times New Roman"/>
          <w:szCs w:val="20"/>
          <w:lang w:val="es-ES_tradnl"/>
        </w:rPr>
        <w:t>es del Derecho I</w:t>
      </w:r>
      <w:r w:rsidRPr="00EA236D">
        <w:rPr>
          <w:rFonts w:cs="Times New Roman"/>
          <w:szCs w:val="20"/>
          <w:lang w:val="es-ES_tradnl"/>
        </w:rPr>
        <w:t>nternacional de los Derechos Humanos</w:t>
      </w:r>
      <w:r w:rsidR="008F4B93" w:rsidRPr="00EA236D">
        <w:rPr>
          <w:rStyle w:val="FootnoteReference"/>
          <w:lang w:val="es-ES_tradnl"/>
        </w:rPr>
        <w:footnoteReference w:id="41"/>
      </w:r>
      <w:r w:rsidRPr="00EA236D">
        <w:rPr>
          <w:rFonts w:cs="Times New Roman"/>
          <w:szCs w:val="20"/>
          <w:lang w:val="es-ES_tradnl"/>
        </w:rPr>
        <w:t>.</w:t>
      </w:r>
    </w:p>
    <w:p w14:paraId="73270363" w14:textId="77777777" w:rsidR="005531E3" w:rsidRPr="00EA236D" w:rsidRDefault="005531E3" w:rsidP="009C30BC">
      <w:pPr>
        <w:rPr>
          <w:rFonts w:ascii="Verdana" w:hAnsi="Verdana" w:cs="Times New Roman"/>
          <w:szCs w:val="20"/>
        </w:rPr>
      </w:pPr>
    </w:p>
    <w:p w14:paraId="3FE66E2E" w14:textId="73BF5F76" w:rsidR="00D13DA2" w:rsidRPr="00EA236D" w:rsidRDefault="00D13DA2" w:rsidP="009C30BC">
      <w:pPr>
        <w:pStyle w:val="ListParagraph"/>
        <w:numPr>
          <w:ilvl w:val="0"/>
          <w:numId w:val="1"/>
        </w:numPr>
      </w:pPr>
      <w:r w:rsidRPr="00EA236D">
        <w:rPr>
          <w:rFonts w:cs="Times New Roman"/>
          <w:szCs w:val="20"/>
        </w:rPr>
        <w:lastRenderedPageBreak/>
        <w:t xml:space="preserve">Bajo esta óptica, el juez </w:t>
      </w:r>
      <w:r w:rsidR="006D4A67" w:rsidRPr="009C14BD">
        <w:rPr>
          <w:rFonts w:cs="Times New Roman"/>
          <w:i/>
          <w:szCs w:val="20"/>
          <w:lang w:val="es-ES_tradnl"/>
        </w:rPr>
        <w:t>ad-hoc</w:t>
      </w:r>
      <w:r w:rsidR="006D4A67" w:rsidRPr="00EA236D">
        <w:rPr>
          <w:rFonts w:cs="Times New Roman"/>
          <w:szCs w:val="20"/>
        </w:rPr>
        <w:t xml:space="preserve"> </w:t>
      </w:r>
      <w:r w:rsidRPr="00EA236D">
        <w:rPr>
          <w:rFonts w:cs="Times New Roman"/>
          <w:szCs w:val="20"/>
        </w:rPr>
        <w:t>señala que, a su juicio, en la interpretación evolutiva del derecho a la vida, consagrada en la Convención Americana,</w:t>
      </w:r>
      <w:r w:rsidR="00370A5E" w:rsidRPr="00EA236D">
        <w:rPr>
          <w:rFonts w:cs="Times New Roman"/>
          <w:szCs w:val="20"/>
        </w:rPr>
        <w:t xml:space="preserve"> </w:t>
      </w:r>
      <w:r w:rsidRPr="00EA236D">
        <w:rPr>
          <w:rFonts w:cs="Times New Roman"/>
          <w:szCs w:val="20"/>
        </w:rPr>
        <w:t xml:space="preserve">debe tomarse en consideración la </w:t>
      </w:r>
      <w:r w:rsidRPr="00EA236D">
        <w:rPr>
          <w:rFonts w:cs="Times New Roman"/>
          <w:i/>
          <w:szCs w:val="20"/>
        </w:rPr>
        <w:t xml:space="preserve">condición socio económica </w:t>
      </w:r>
      <w:r w:rsidRPr="00EA236D">
        <w:rPr>
          <w:rFonts w:cs="Times New Roman"/>
          <w:szCs w:val="20"/>
        </w:rPr>
        <w:t>del Paraguay y de la mayoría de los países latinoamericanos, marcada por el cr</w:t>
      </w:r>
      <w:r w:rsidR="0032014E" w:rsidRPr="00EA236D">
        <w:rPr>
          <w:rFonts w:cs="Times New Roman"/>
          <w:szCs w:val="20"/>
        </w:rPr>
        <w:t>ecimiento de la pobreza extrema</w:t>
      </w:r>
      <w:r w:rsidRPr="00EA236D">
        <w:rPr>
          <w:rFonts w:cs="Times New Roman"/>
          <w:szCs w:val="20"/>
        </w:rPr>
        <w:t>, en términos absolutos y relativos, a pesar de la implementación de las políticas</w:t>
      </w:r>
      <w:r w:rsidR="00DB2721" w:rsidRPr="00EA236D">
        <w:rPr>
          <w:rFonts w:cs="Times New Roman"/>
          <w:szCs w:val="20"/>
        </w:rPr>
        <w:t xml:space="preserve"> de protección social. Para el j</w:t>
      </w:r>
      <w:r w:rsidRPr="00EA236D">
        <w:rPr>
          <w:rFonts w:cs="Times New Roman"/>
          <w:szCs w:val="20"/>
        </w:rPr>
        <w:t>uez Foguel, la interpretación del derecho a la vida no solo se trata de observar el cumplimiento, por parte del Estado, de prestaciones propias de protección social, que garanticen temporalmente condiciones de vida mínimas, sin atender las causas que subyacen a la producción de la pobreza, que reproducen sus condic</w:t>
      </w:r>
      <w:r w:rsidR="0032014E" w:rsidRPr="00EA236D">
        <w:rPr>
          <w:rFonts w:cs="Times New Roman"/>
          <w:szCs w:val="20"/>
        </w:rPr>
        <w:t xml:space="preserve">iones y producen nuevos pobres. </w:t>
      </w:r>
      <w:r w:rsidR="003D1876" w:rsidRPr="00EA236D">
        <w:rPr>
          <w:rFonts w:cs="Times New Roman"/>
          <w:szCs w:val="20"/>
        </w:rPr>
        <w:t xml:space="preserve">El </w:t>
      </w:r>
      <w:r w:rsidR="002429E1" w:rsidRPr="00EA236D">
        <w:rPr>
          <w:rFonts w:cs="Times New Roman"/>
          <w:szCs w:val="20"/>
        </w:rPr>
        <w:t>juez c</w:t>
      </w:r>
      <w:r w:rsidRPr="00EA236D">
        <w:rPr>
          <w:rFonts w:cs="Times New Roman"/>
          <w:szCs w:val="20"/>
        </w:rPr>
        <w:t>onsidera que lo anterior</w:t>
      </w:r>
      <w:r w:rsidR="005531E3" w:rsidRPr="00EA236D">
        <w:t xml:space="preserve"> plantea la necesidad de vincular las medidas de erradicación de la pobreza del conjunto de fenómenos que la originan, teniendo en cuenta la incidencia de las decisiones que se toman a nivel de estados, de órganos multinacionales y multilaterales pues</w:t>
      </w:r>
      <w:r w:rsidR="009C30BC" w:rsidRPr="00EA236D">
        <w:t xml:space="preserve"> </w:t>
      </w:r>
      <w:r w:rsidR="009C30BC" w:rsidRPr="00EA236D">
        <w:rPr>
          <w:rFonts w:cs="Times New Roman"/>
          <w:szCs w:val="20"/>
          <w:lang w:val="es-MX"/>
        </w:rPr>
        <w:t>en la reproducción de las condiciones de pobreza existen responsabilidades de actores e instituciones internacionales y nacionales comprometidas</w:t>
      </w:r>
      <w:r w:rsidR="00B6604A" w:rsidRPr="00EA236D">
        <w:rPr>
          <w:rStyle w:val="FootnoteReference"/>
          <w:lang w:val="es-ES_tradnl"/>
        </w:rPr>
        <w:footnoteReference w:id="42"/>
      </w:r>
      <w:r w:rsidRPr="00EA236D">
        <w:rPr>
          <w:rFonts w:cs="Times New Roman"/>
          <w:szCs w:val="20"/>
          <w:lang w:val="es-ES_tradnl"/>
        </w:rPr>
        <w:t>.</w:t>
      </w:r>
      <w:r w:rsidR="00B6604A" w:rsidRPr="00EA236D">
        <w:rPr>
          <w:rFonts w:cs="Times New Roman"/>
          <w:szCs w:val="20"/>
          <w:lang w:val="es-ES_tradnl"/>
        </w:rPr>
        <w:t xml:space="preserve"> </w:t>
      </w:r>
      <w:r w:rsidR="0032014E" w:rsidRPr="00EA236D">
        <w:rPr>
          <w:rFonts w:cs="Times New Roman"/>
          <w:szCs w:val="20"/>
          <w:lang w:val="es-ES_tradnl"/>
        </w:rPr>
        <w:t>Así, c</w:t>
      </w:r>
      <w:r w:rsidRPr="00EA236D">
        <w:rPr>
          <w:rFonts w:cs="Times New Roman"/>
          <w:szCs w:val="20"/>
          <w:lang w:val="es-ES_tradnl"/>
        </w:rPr>
        <w:t>oncluye considerando que:</w:t>
      </w:r>
    </w:p>
    <w:p w14:paraId="061DAC16" w14:textId="77777777" w:rsidR="00D13DA2" w:rsidRPr="00EA236D" w:rsidRDefault="00D13DA2" w:rsidP="00D13DA2">
      <w:pPr>
        <w:pStyle w:val="ListParagraph"/>
        <w:ind w:left="0"/>
        <w:rPr>
          <w:rFonts w:cs="Times New Roman"/>
          <w:szCs w:val="20"/>
          <w:lang w:val="es-ES_tradnl"/>
        </w:rPr>
      </w:pPr>
    </w:p>
    <w:p w14:paraId="3B5F8582" w14:textId="71FA45BB" w:rsidR="00D13DA2" w:rsidRPr="00EA236D" w:rsidRDefault="00D13DA2" w:rsidP="00D13DA2">
      <w:pPr>
        <w:pStyle w:val="ListParagraph"/>
        <w:ind w:left="708"/>
        <w:rPr>
          <w:rFonts w:cs="Times New Roman"/>
          <w:i/>
          <w:sz w:val="16"/>
          <w:szCs w:val="16"/>
          <w:lang w:val="es-ES_tradnl"/>
        </w:rPr>
      </w:pPr>
      <w:r w:rsidRPr="00EA236D">
        <w:rPr>
          <w:rFonts w:cs="Times New Roman"/>
          <w:i/>
          <w:sz w:val="16"/>
          <w:szCs w:val="16"/>
          <w:lang w:val="es-ES_tradnl"/>
        </w:rPr>
        <w:t>36. En los avances del Derecho Internacional de los Derechos Humanos se requiere que la comunidad internacional asuma que la pobreza, y particularmente, la pobreza extrema, es una forma de negación de todos los derechos humanos (civiles, políticos, económicos, sociales y culturales) y act</w:t>
      </w:r>
      <w:r w:rsidR="00963A9F">
        <w:rPr>
          <w:rFonts w:cs="Times New Roman"/>
          <w:i/>
          <w:sz w:val="16"/>
          <w:szCs w:val="16"/>
          <w:lang w:val="es-ES_tradnl"/>
        </w:rPr>
        <w:t>úe</w:t>
      </w:r>
      <w:r w:rsidRPr="00EA236D">
        <w:rPr>
          <w:rFonts w:cs="Times New Roman"/>
          <w:i/>
          <w:sz w:val="16"/>
          <w:szCs w:val="16"/>
          <w:lang w:val="es-ES_tradnl"/>
        </w:rPr>
        <w:t xml:space="preserve"> en consecuencia, de modo a facilitar la identificación de perpetradores sobre los cuales recae la responsabilidad internacional. El sistema de crecimiento económico ligada a una forma de globalización que empobrece a crecientes sectores constituye una “masiva, flagrante y sistemática violación de derechos humanos”, en un mundo crecientemente in</w:t>
      </w:r>
      <w:r w:rsidR="00963A9F">
        <w:rPr>
          <w:rFonts w:cs="Times New Roman"/>
          <w:i/>
          <w:sz w:val="16"/>
          <w:szCs w:val="16"/>
          <w:lang w:val="es-ES_tradnl"/>
        </w:rPr>
        <w:t>ter</w:t>
      </w:r>
      <w:r w:rsidRPr="00EA236D">
        <w:rPr>
          <w:rFonts w:cs="Times New Roman"/>
          <w:i/>
          <w:sz w:val="16"/>
          <w:szCs w:val="16"/>
          <w:lang w:val="es-ES_tradnl"/>
        </w:rPr>
        <w:t>dependiente. En est</w:t>
      </w:r>
      <w:r w:rsidR="000824C4" w:rsidRPr="00EA236D">
        <w:rPr>
          <w:rFonts w:cs="Times New Roman"/>
          <w:i/>
          <w:sz w:val="16"/>
          <w:szCs w:val="16"/>
          <w:lang w:val="es-ES_tradnl"/>
        </w:rPr>
        <w:t>a</w:t>
      </w:r>
      <w:r w:rsidRPr="00EA236D">
        <w:rPr>
          <w:rFonts w:cs="Times New Roman"/>
          <w:i/>
          <w:sz w:val="16"/>
          <w:szCs w:val="16"/>
          <w:lang w:val="es-ES_tradnl"/>
        </w:rPr>
        <w:t xml:space="preserve"> interpretación del derecho a </w:t>
      </w:r>
      <w:r w:rsidR="000824C4" w:rsidRPr="00EA236D">
        <w:rPr>
          <w:rFonts w:cs="Times New Roman"/>
          <w:i/>
          <w:sz w:val="16"/>
          <w:szCs w:val="16"/>
          <w:lang w:val="es-ES_tradnl"/>
        </w:rPr>
        <w:t>la</w:t>
      </w:r>
      <w:r w:rsidRPr="00EA236D">
        <w:rPr>
          <w:rFonts w:cs="Times New Roman"/>
          <w:i/>
          <w:sz w:val="16"/>
          <w:szCs w:val="16"/>
          <w:lang w:val="es-ES_tradnl"/>
        </w:rPr>
        <w:t xml:space="preserve"> vida que acompañe la evolución de los tiempos y las condiciones de vida actuales se debe prestar atención a las causas productoras de pobreza extrema y a los perpetradores que están detrás de ellas. En esta perspectiva no cesan las responsabilidades internacionales del Estado […] y de los otros Estados signatarios con la Comunidad Internacional que requiere nuevos instrumentos</w:t>
      </w:r>
      <w:r w:rsidR="00B93793" w:rsidRPr="00EA236D">
        <w:rPr>
          <w:rStyle w:val="FootnoteReference"/>
          <w:i/>
          <w:sz w:val="16"/>
          <w:lang w:val="es-ES_tradnl"/>
        </w:rPr>
        <w:footnoteReference w:id="43"/>
      </w:r>
      <w:r w:rsidRPr="00EA236D">
        <w:rPr>
          <w:rFonts w:cs="Times New Roman"/>
          <w:i/>
          <w:sz w:val="16"/>
          <w:szCs w:val="16"/>
          <w:lang w:val="es-ES_tradnl"/>
        </w:rPr>
        <w:t xml:space="preserve">. </w:t>
      </w:r>
    </w:p>
    <w:p w14:paraId="5A91AAEF" w14:textId="77777777" w:rsidR="00D13DA2" w:rsidRPr="00EA236D" w:rsidRDefault="00D13DA2" w:rsidP="00D13DA2">
      <w:pPr>
        <w:rPr>
          <w:rFonts w:ascii="Verdana" w:hAnsi="Verdana" w:cs="Times New Roman"/>
          <w:i/>
          <w:sz w:val="16"/>
          <w:szCs w:val="16"/>
        </w:rPr>
      </w:pPr>
    </w:p>
    <w:p w14:paraId="21578372" w14:textId="2952029B" w:rsidR="00D13DA2" w:rsidRPr="00EA236D" w:rsidRDefault="00D13DA2" w:rsidP="00D13DA2">
      <w:pPr>
        <w:pStyle w:val="ListParagraph"/>
        <w:numPr>
          <w:ilvl w:val="0"/>
          <w:numId w:val="1"/>
        </w:numPr>
        <w:rPr>
          <w:rFonts w:cs="Times New Roman"/>
          <w:i/>
          <w:sz w:val="16"/>
          <w:szCs w:val="16"/>
          <w:lang w:val="es-ES_tradnl"/>
        </w:rPr>
      </w:pPr>
      <w:r w:rsidRPr="00EA236D">
        <w:rPr>
          <w:rFonts w:cs="Times New Roman"/>
          <w:szCs w:val="20"/>
          <w:lang w:val="es-ES_tradnl"/>
        </w:rPr>
        <w:t xml:space="preserve">En el caso de la </w:t>
      </w:r>
      <w:r w:rsidR="0032014E" w:rsidRPr="00EA236D">
        <w:rPr>
          <w:rFonts w:cs="Times New Roman"/>
          <w:i/>
          <w:szCs w:val="20"/>
          <w:lang w:val="es-ES_tradnl"/>
        </w:rPr>
        <w:t>Masacre</w:t>
      </w:r>
      <w:r w:rsidRPr="00EA236D">
        <w:rPr>
          <w:rFonts w:cs="Times New Roman"/>
          <w:i/>
          <w:szCs w:val="20"/>
          <w:lang w:val="es-ES_tradnl"/>
        </w:rPr>
        <w:t xml:space="preserve"> de </w:t>
      </w:r>
      <w:proofErr w:type="spellStart"/>
      <w:r w:rsidRPr="00EA236D">
        <w:rPr>
          <w:rFonts w:cs="Times New Roman"/>
          <w:i/>
          <w:szCs w:val="20"/>
          <w:lang w:val="es-ES_tradnl"/>
        </w:rPr>
        <w:t>Mapiripán</w:t>
      </w:r>
      <w:proofErr w:type="spellEnd"/>
      <w:r w:rsidRPr="00EA236D">
        <w:rPr>
          <w:rFonts w:cs="Times New Roman"/>
          <w:i/>
          <w:szCs w:val="20"/>
          <w:lang w:val="es-ES_tradnl"/>
        </w:rPr>
        <w:t xml:space="preserve"> Vs. Colombia</w:t>
      </w:r>
      <w:r w:rsidR="00B93793" w:rsidRPr="00EA236D">
        <w:rPr>
          <w:rFonts w:cs="Times New Roman"/>
          <w:i/>
          <w:szCs w:val="20"/>
          <w:lang w:val="es-ES_tradnl"/>
        </w:rPr>
        <w:t xml:space="preserve"> </w:t>
      </w:r>
      <w:r w:rsidR="00B93793" w:rsidRPr="00EA236D">
        <w:rPr>
          <w:rFonts w:cs="Times New Roman"/>
          <w:szCs w:val="20"/>
          <w:lang w:val="es-ES_tradnl"/>
        </w:rPr>
        <w:t>(2005)</w:t>
      </w:r>
      <w:r w:rsidRPr="00EA236D">
        <w:rPr>
          <w:rFonts w:cs="Times New Roman"/>
          <w:szCs w:val="20"/>
          <w:lang w:val="es-ES_tradnl"/>
        </w:rPr>
        <w:t xml:space="preserve">, la Corte </w:t>
      </w:r>
      <w:r w:rsidR="004208BA" w:rsidRPr="00EA236D">
        <w:rPr>
          <w:rFonts w:cs="Times New Roman"/>
          <w:szCs w:val="20"/>
          <w:lang w:val="es-ES_tradnl"/>
        </w:rPr>
        <w:t xml:space="preserve">IDH </w:t>
      </w:r>
      <w:r w:rsidRPr="00EA236D">
        <w:rPr>
          <w:rFonts w:cs="Times New Roman"/>
          <w:szCs w:val="20"/>
          <w:lang w:val="es-ES_tradnl"/>
        </w:rPr>
        <w:t>constató que, dadas las características de las masacres, los</w:t>
      </w:r>
      <w:r w:rsidR="00102B4F" w:rsidRPr="00EA236D">
        <w:rPr>
          <w:rFonts w:cs="Times New Roman"/>
          <w:szCs w:val="20"/>
          <w:lang w:val="es-ES_tradnl"/>
        </w:rPr>
        <w:t xml:space="preserve"> daños sufridos por las familias, aunado</w:t>
      </w:r>
      <w:r w:rsidRPr="00EA236D">
        <w:rPr>
          <w:rFonts w:cs="Times New Roman"/>
          <w:szCs w:val="20"/>
          <w:lang w:val="es-ES_tradnl"/>
        </w:rPr>
        <w:t xml:space="preserve"> al miedo de los familiares a que se repitieran hechos similares, al amedrentamiento y amenazas recibidas por algunos hechos por parte de paramilitares, así como a dar su testimonio o de haberlo dado, pro</w:t>
      </w:r>
      <w:r w:rsidR="003D1876" w:rsidRPr="00EA236D">
        <w:rPr>
          <w:rFonts w:cs="Times New Roman"/>
          <w:szCs w:val="20"/>
          <w:lang w:val="es-ES_tradnl"/>
        </w:rPr>
        <w:t xml:space="preserve">vocó el desplazamiento interno </w:t>
      </w:r>
      <w:r w:rsidRPr="00EA236D">
        <w:rPr>
          <w:rFonts w:cs="Times New Roman"/>
          <w:szCs w:val="20"/>
          <w:lang w:val="es-ES_tradnl"/>
        </w:rPr>
        <w:t xml:space="preserve">de muchas familias de </w:t>
      </w:r>
      <w:proofErr w:type="spellStart"/>
      <w:r w:rsidRPr="00EA236D">
        <w:rPr>
          <w:rFonts w:cs="Times New Roman"/>
          <w:szCs w:val="20"/>
          <w:lang w:val="es-ES_tradnl"/>
        </w:rPr>
        <w:t>Mapiripán</w:t>
      </w:r>
      <w:proofErr w:type="spellEnd"/>
      <w:r w:rsidRPr="00EA236D">
        <w:rPr>
          <w:rFonts w:cs="Times New Roman"/>
          <w:szCs w:val="20"/>
          <w:lang w:val="es-ES_tradnl"/>
        </w:rPr>
        <w:t xml:space="preserve">. Además, el Tribunal </w:t>
      </w:r>
      <w:r w:rsidR="009C30BC" w:rsidRPr="00EA236D">
        <w:rPr>
          <w:rFonts w:cs="Times New Roman"/>
          <w:szCs w:val="20"/>
          <w:lang w:val="es-ES_tradnl"/>
        </w:rPr>
        <w:t>I</w:t>
      </w:r>
      <w:r w:rsidR="003D1876" w:rsidRPr="00EA236D">
        <w:rPr>
          <w:rFonts w:cs="Times New Roman"/>
          <w:szCs w:val="20"/>
          <w:lang w:val="es-ES_tradnl"/>
        </w:rPr>
        <w:t>nteramericano consideró que</w:t>
      </w:r>
      <w:r w:rsidRPr="00EA236D">
        <w:rPr>
          <w:rFonts w:cs="Times New Roman"/>
          <w:szCs w:val="20"/>
          <w:lang w:val="es-ES_tradnl"/>
        </w:rPr>
        <w:t xml:space="preserve"> era posible que algunos de los familiares desplazados no vivieran en </w:t>
      </w:r>
      <w:proofErr w:type="spellStart"/>
      <w:r w:rsidRPr="00EA236D">
        <w:rPr>
          <w:rFonts w:cs="Times New Roman"/>
          <w:szCs w:val="20"/>
          <w:lang w:val="es-ES_tradnl"/>
        </w:rPr>
        <w:t>Mapiripán</w:t>
      </w:r>
      <w:proofErr w:type="spellEnd"/>
      <w:r w:rsidRPr="00EA236D">
        <w:rPr>
          <w:rFonts w:cs="Times New Roman"/>
          <w:szCs w:val="20"/>
          <w:lang w:val="es-ES_tradnl"/>
        </w:rPr>
        <w:t xml:space="preserve"> al momento de los hechos sino en los alrededores, pero se vieron igualmente obligadas a desplazarse como consecuencias de los mismos. La Corte IDH constató que tal como se desprendía de los propios testimonios, muchas de esas personas habían enfrentado graves condiciones de pobreza y la falta de acceso a muchos servicios básicos</w:t>
      </w:r>
      <w:r w:rsidR="008F4B93" w:rsidRPr="00EA236D">
        <w:rPr>
          <w:rStyle w:val="FootnoteReference"/>
          <w:lang w:val="es-ES_tradnl"/>
        </w:rPr>
        <w:footnoteReference w:id="44"/>
      </w:r>
      <w:r w:rsidRPr="00EA236D">
        <w:rPr>
          <w:rFonts w:cs="Times New Roman"/>
          <w:szCs w:val="20"/>
          <w:lang w:val="es-ES_tradnl"/>
        </w:rPr>
        <w:t xml:space="preserve">.  </w:t>
      </w:r>
    </w:p>
    <w:p w14:paraId="355A601E" w14:textId="77777777" w:rsidR="00D13DA2" w:rsidRPr="00EA236D" w:rsidRDefault="00D13DA2" w:rsidP="00D13DA2">
      <w:pPr>
        <w:pStyle w:val="ListParagraph"/>
        <w:ind w:left="0"/>
        <w:rPr>
          <w:rFonts w:cs="Times New Roman"/>
          <w:i/>
          <w:sz w:val="16"/>
          <w:szCs w:val="16"/>
          <w:lang w:val="es-ES_tradnl"/>
        </w:rPr>
      </w:pPr>
    </w:p>
    <w:p w14:paraId="67261F1C" w14:textId="6238622D" w:rsidR="00D13DA2" w:rsidRPr="00EA236D" w:rsidRDefault="00D13DA2" w:rsidP="00D13DA2">
      <w:pPr>
        <w:pStyle w:val="ListParagraph"/>
        <w:numPr>
          <w:ilvl w:val="0"/>
          <w:numId w:val="1"/>
        </w:numPr>
        <w:rPr>
          <w:rFonts w:cs="Times New Roman"/>
          <w:i/>
          <w:szCs w:val="20"/>
          <w:lang w:val="es-ES_tradnl"/>
        </w:rPr>
      </w:pPr>
      <w:r w:rsidRPr="00EA236D">
        <w:rPr>
          <w:rFonts w:cs="Times New Roman"/>
          <w:szCs w:val="20"/>
          <w:lang w:val="es-ES_tradnl"/>
        </w:rPr>
        <w:t xml:space="preserve">En el caso de la </w:t>
      </w:r>
      <w:r w:rsidRPr="00EA236D">
        <w:rPr>
          <w:rFonts w:cs="Times New Roman"/>
          <w:i/>
          <w:szCs w:val="20"/>
          <w:lang w:val="es-ES_tradnl"/>
        </w:rPr>
        <w:t xml:space="preserve">Comunidad Indígena </w:t>
      </w:r>
      <w:proofErr w:type="spellStart"/>
      <w:r w:rsidRPr="00EA236D">
        <w:rPr>
          <w:rFonts w:cs="Times New Roman"/>
          <w:i/>
          <w:szCs w:val="20"/>
          <w:lang w:val="es-ES_tradnl"/>
        </w:rPr>
        <w:t>Sawhoyamaxa</w:t>
      </w:r>
      <w:proofErr w:type="spellEnd"/>
      <w:r w:rsidRPr="00EA236D">
        <w:rPr>
          <w:rFonts w:cs="Times New Roman"/>
          <w:i/>
          <w:szCs w:val="20"/>
          <w:lang w:val="es-ES_tradnl"/>
        </w:rPr>
        <w:t xml:space="preserve"> Vs. Paraguay</w:t>
      </w:r>
      <w:r w:rsidR="00BA2600" w:rsidRPr="00EA236D">
        <w:rPr>
          <w:rFonts w:cs="Times New Roman"/>
          <w:i/>
          <w:szCs w:val="20"/>
          <w:lang w:val="es-ES_tradnl"/>
        </w:rPr>
        <w:t xml:space="preserve"> </w:t>
      </w:r>
      <w:r w:rsidR="00BA2600" w:rsidRPr="00EA236D">
        <w:rPr>
          <w:rFonts w:cs="Times New Roman"/>
          <w:szCs w:val="20"/>
          <w:lang w:val="es-ES_tradnl"/>
        </w:rPr>
        <w:t>(2006)</w:t>
      </w:r>
      <w:r w:rsidRPr="00EA236D">
        <w:rPr>
          <w:rFonts w:cs="Times New Roman"/>
          <w:szCs w:val="20"/>
          <w:lang w:val="es-ES_tradnl"/>
        </w:rPr>
        <w:t xml:space="preserve">, la Corte IDH estableció que la responsabilidad internacional de los Estados en el marco de la Convención Americana, surge en el momento de la violación de las obligaciones generales recogidas en los artículos 1.1 y 2 de dicho tratado. De estas obligaciones generales derivan deberes especiales, determinables en función de las particulares necesidades de protección del sujeto de derecho, ya sea por su condición personal o </w:t>
      </w:r>
      <w:r w:rsidRPr="00EA236D">
        <w:rPr>
          <w:rFonts w:cs="Times New Roman"/>
          <w:szCs w:val="20"/>
          <w:lang w:val="es-ES_tradnl"/>
        </w:rPr>
        <w:lastRenderedPageBreak/>
        <w:t>por la situación espec</w:t>
      </w:r>
      <w:r w:rsidR="00370A5E" w:rsidRPr="00EA236D">
        <w:rPr>
          <w:rFonts w:cs="Times New Roman"/>
          <w:szCs w:val="20"/>
          <w:lang w:val="es-ES_tradnl"/>
        </w:rPr>
        <w:t>í</w:t>
      </w:r>
      <w:r w:rsidRPr="00EA236D">
        <w:rPr>
          <w:rFonts w:cs="Times New Roman"/>
          <w:szCs w:val="20"/>
          <w:lang w:val="es-ES_tradnl"/>
        </w:rPr>
        <w:t>fica en que se encuentre como extrema pobreza, marginación y niñez</w:t>
      </w:r>
      <w:r w:rsidR="00FE1453" w:rsidRPr="00EA236D">
        <w:rPr>
          <w:rStyle w:val="FootnoteReference"/>
          <w:lang w:val="es-ES_tradnl"/>
        </w:rPr>
        <w:footnoteReference w:id="45"/>
      </w:r>
      <w:r w:rsidRPr="00EA236D">
        <w:rPr>
          <w:rFonts w:cs="Times New Roman"/>
          <w:szCs w:val="20"/>
          <w:lang w:val="es-ES_tradnl"/>
        </w:rPr>
        <w:t xml:space="preserve">. </w:t>
      </w:r>
    </w:p>
    <w:p w14:paraId="3C846890" w14:textId="77777777" w:rsidR="00D13DA2" w:rsidRPr="00EA236D" w:rsidRDefault="00D13DA2" w:rsidP="00D13DA2">
      <w:pPr>
        <w:rPr>
          <w:rFonts w:ascii="Verdana" w:hAnsi="Verdana" w:cs="Times New Roman"/>
          <w:i/>
          <w:sz w:val="20"/>
          <w:szCs w:val="20"/>
        </w:rPr>
      </w:pPr>
    </w:p>
    <w:p w14:paraId="3EAC2BA9" w14:textId="5D03533F" w:rsidR="00D13DA2" w:rsidRPr="00EA236D" w:rsidRDefault="00D13DA2" w:rsidP="00D13DA2">
      <w:pPr>
        <w:pStyle w:val="ListParagraph"/>
        <w:numPr>
          <w:ilvl w:val="0"/>
          <w:numId w:val="1"/>
        </w:numPr>
        <w:rPr>
          <w:rFonts w:cs="Times New Roman"/>
          <w:i/>
          <w:szCs w:val="20"/>
          <w:lang w:val="es-ES_tradnl"/>
        </w:rPr>
      </w:pPr>
      <w:r w:rsidRPr="00EA236D">
        <w:rPr>
          <w:rFonts w:cs="Times New Roman"/>
          <w:szCs w:val="20"/>
          <w:lang w:val="es-ES_tradnl"/>
        </w:rPr>
        <w:t xml:space="preserve">En el caso </w:t>
      </w:r>
      <w:proofErr w:type="spellStart"/>
      <w:r w:rsidRPr="00EA236D">
        <w:rPr>
          <w:rFonts w:cs="Times New Roman"/>
          <w:i/>
          <w:szCs w:val="20"/>
          <w:lang w:val="es-ES_tradnl"/>
        </w:rPr>
        <w:t>Ximenes</w:t>
      </w:r>
      <w:proofErr w:type="spellEnd"/>
      <w:r w:rsidRPr="00EA236D">
        <w:rPr>
          <w:rFonts w:cs="Times New Roman"/>
          <w:i/>
          <w:szCs w:val="20"/>
          <w:lang w:val="es-ES_tradnl"/>
        </w:rPr>
        <w:t xml:space="preserve"> </w:t>
      </w:r>
      <w:proofErr w:type="spellStart"/>
      <w:r w:rsidRPr="00EA236D">
        <w:rPr>
          <w:rFonts w:cs="Times New Roman"/>
          <w:i/>
          <w:szCs w:val="20"/>
          <w:lang w:val="es-ES_tradnl"/>
        </w:rPr>
        <w:t>Lopes</w:t>
      </w:r>
      <w:proofErr w:type="spellEnd"/>
      <w:r w:rsidRPr="00EA236D">
        <w:rPr>
          <w:rFonts w:cs="Times New Roman"/>
          <w:i/>
          <w:szCs w:val="20"/>
          <w:lang w:val="es-ES_tradnl"/>
        </w:rPr>
        <w:t xml:space="preserve"> Vs. Brasil</w:t>
      </w:r>
      <w:r w:rsidR="00BA2600" w:rsidRPr="00EA236D">
        <w:rPr>
          <w:rFonts w:cs="Times New Roman"/>
          <w:i/>
          <w:szCs w:val="20"/>
          <w:lang w:val="es-ES_tradnl"/>
        </w:rPr>
        <w:t xml:space="preserve"> </w:t>
      </w:r>
      <w:r w:rsidR="00BA2600" w:rsidRPr="00EA236D">
        <w:rPr>
          <w:rFonts w:cs="Times New Roman"/>
          <w:szCs w:val="20"/>
          <w:lang w:val="es-ES_tradnl"/>
        </w:rPr>
        <w:t>(2006)</w:t>
      </w:r>
      <w:r w:rsidRPr="00EA236D">
        <w:rPr>
          <w:rFonts w:cs="Times New Roman"/>
          <w:szCs w:val="20"/>
          <w:lang w:val="es-ES_tradnl"/>
        </w:rPr>
        <w:t xml:space="preserve">, </w:t>
      </w:r>
      <w:r w:rsidR="00DB2721" w:rsidRPr="00EA236D">
        <w:rPr>
          <w:rFonts w:cs="Times New Roman"/>
          <w:szCs w:val="20"/>
          <w:lang w:val="es-ES_tradnl"/>
        </w:rPr>
        <w:t xml:space="preserve">el Tribunal Interamericano </w:t>
      </w:r>
      <w:r w:rsidRPr="00EA236D">
        <w:rPr>
          <w:rFonts w:cs="Times New Roman"/>
          <w:szCs w:val="20"/>
          <w:lang w:val="es-ES_tradnl"/>
        </w:rPr>
        <w:t>tomó e</w:t>
      </w:r>
      <w:r w:rsidR="00D2737B" w:rsidRPr="00EA236D">
        <w:rPr>
          <w:rFonts w:cs="Times New Roman"/>
          <w:szCs w:val="20"/>
          <w:lang w:val="es-ES_tradnl"/>
        </w:rPr>
        <w:t>n</w:t>
      </w:r>
      <w:r w:rsidRPr="00EA236D">
        <w:rPr>
          <w:rFonts w:cs="Times New Roman"/>
          <w:szCs w:val="20"/>
          <w:lang w:val="es-ES_tradnl"/>
        </w:rPr>
        <w:t xml:space="preserve"> cuenta que los grupos que viven en circunstancias adversas y con menos recursos, tales como las personas que viven en condiciones de extrema pobreza, niños, y adolescentes en situación de riesgo, y poblaciones indígenas, enfrentan un incremento de riesgo p</w:t>
      </w:r>
      <w:r w:rsidR="000C2F0F">
        <w:rPr>
          <w:rFonts w:cs="Times New Roman"/>
          <w:szCs w:val="20"/>
          <w:lang w:val="es-ES_tradnl"/>
        </w:rPr>
        <w:t>or</w:t>
      </w:r>
      <w:r w:rsidRPr="00EA236D">
        <w:rPr>
          <w:rFonts w:cs="Times New Roman"/>
          <w:szCs w:val="20"/>
          <w:lang w:val="es-ES_tradnl"/>
        </w:rPr>
        <w:t xml:space="preserve"> padecer discapacidades […]. De esta manera, </w:t>
      </w:r>
      <w:r w:rsidR="00DB2721" w:rsidRPr="00EA236D">
        <w:rPr>
          <w:rFonts w:cs="Times New Roman"/>
          <w:szCs w:val="20"/>
          <w:lang w:val="es-ES_tradnl"/>
        </w:rPr>
        <w:t xml:space="preserve">la Corte IDH </w:t>
      </w:r>
      <w:r w:rsidRPr="00EA236D">
        <w:rPr>
          <w:rFonts w:cs="Times New Roman"/>
          <w:szCs w:val="20"/>
          <w:lang w:val="es-ES_tradnl"/>
        </w:rPr>
        <w:t>consideró que era directo y significativo el v</w:t>
      </w:r>
      <w:r w:rsidR="00F80DF4">
        <w:rPr>
          <w:rFonts w:cs="Times New Roman"/>
          <w:szCs w:val="20"/>
          <w:lang w:val="es-ES_tradnl"/>
        </w:rPr>
        <w:t>í</w:t>
      </w:r>
      <w:r w:rsidRPr="00EA236D">
        <w:rPr>
          <w:rFonts w:cs="Times New Roman"/>
          <w:szCs w:val="20"/>
          <w:lang w:val="es-ES_tradnl"/>
        </w:rPr>
        <w:t xml:space="preserve">nculo existente entre la discapacidad, por un lado, y la pobreza y la exclusión social, por otro. En razón de lo anterior, entre las medidas positivas a cargo de los Estados se encuentran aquellas necesarias, para prevenir las formas de discapacidad prevenibles, y dar a las personas que </w:t>
      </w:r>
      <w:r w:rsidR="00F80DF4">
        <w:rPr>
          <w:rFonts w:cs="Times New Roman"/>
          <w:szCs w:val="20"/>
          <w:lang w:val="es-ES_tradnl"/>
        </w:rPr>
        <w:t>(</w:t>
      </w:r>
      <w:r w:rsidRPr="00EA236D">
        <w:rPr>
          <w:rFonts w:cs="Times New Roman"/>
          <w:szCs w:val="20"/>
          <w:lang w:val="es-ES_tradnl"/>
        </w:rPr>
        <w:t>tengan alguna limitación</w:t>
      </w:r>
      <w:r w:rsidR="00F80DF4">
        <w:rPr>
          <w:rFonts w:cs="Times New Roman"/>
          <w:szCs w:val="20"/>
          <w:lang w:val="es-ES_tradnl"/>
        </w:rPr>
        <w:t>)</w:t>
      </w:r>
      <w:r w:rsidRPr="00EA236D">
        <w:rPr>
          <w:rFonts w:cs="Times New Roman"/>
          <w:szCs w:val="20"/>
          <w:lang w:val="es-ES_tradnl"/>
        </w:rPr>
        <w:t xml:space="preserve"> el tratamiento preferencial apropiado a su condición </w:t>
      </w:r>
      <w:r w:rsidR="00F80DF4">
        <w:rPr>
          <w:rFonts w:cs="Times New Roman"/>
          <w:szCs w:val="20"/>
          <w:lang w:val="es-ES_tradnl"/>
        </w:rPr>
        <w:t>(</w:t>
      </w:r>
      <w:r w:rsidRPr="00EA236D">
        <w:rPr>
          <w:rFonts w:cs="Times New Roman"/>
          <w:szCs w:val="20"/>
          <w:lang w:val="es-ES_tradnl"/>
        </w:rPr>
        <w:t>especial de vulnerabilidad</w:t>
      </w:r>
      <w:r w:rsidR="00F80DF4">
        <w:rPr>
          <w:rFonts w:cs="Times New Roman"/>
          <w:szCs w:val="20"/>
          <w:lang w:val="es-ES_tradnl"/>
        </w:rPr>
        <w:t>)</w:t>
      </w:r>
      <w:r w:rsidR="00FE1453" w:rsidRPr="00EA236D">
        <w:rPr>
          <w:rStyle w:val="FootnoteReference"/>
          <w:lang w:val="es-ES_tradnl"/>
        </w:rPr>
        <w:footnoteReference w:id="46"/>
      </w:r>
      <w:r w:rsidRPr="00EA236D">
        <w:rPr>
          <w:rFonts w:cs="Times New Roman"/>
          <w:szCs w:val="20"/>
          <w:lang w:val="es-ES_tradnl"/>
        </w:rPr>
        <w:t xml:space="preserve">. </w:t>
      </w:r>
    </w:p>
    <w:p w14:paraId="6E13D9F1" w14:textId="77777777" w:rsidR="00D13DA2" w:rsidRPr="00EA236D" w:rsidRDefault="00D13DA2" w:rsidP="00D13DA2">
      <w:pPr>
        <w:rPr>
          <w:rFonts w:ascii="Verdana" w:hAnsi="Verdana" w:cs="Times New Roman"/>
          <w:i/>
          <w:szCs w:val="20"/>
        </w:rPr>
      </w:pPr>
    </w:p>
    <w:p w14:paraId="0D6CAFDE" w14:textId="6C92EC70" w:rsidR="00B93793" w:rsidRPr="00EA236D" w:rsidRDefault="00B93793" w:rsidP="00B93793">
      <w:pPr>
        <w:pStyle w:val="ListParagraph"/>
        <w:numPr>
          <w:ilvl w:val="0"/>
          <w:numId w:val="1"/>
        </w:numPr>
        <w:rPr>
          <w:rFonts w:cs="Times New Roman"/>
          <w:szCs w:val="20"/>
          <w:lang w:val="es-ES_tradnl"/>
        </w:rPr>
      </w:pPr>
      <w:r w:rsidRPr="00EA236D">
        <w:rPr>
          <w:rFonts w:cs="Times New Roman"/>
          <w:szCs w:val="20"/>
          <w:lang w:val="es-ES_tradnl"/>
        </w:rPr>
        <w:t xml:space="preserve">En el caso de la </w:t>
      </w:r>
      <w:r w:rsidRPr="00EA236D">
        <w:rPr>
          <w:rFonts w:cs="Times New Roman"/>
          <w:i/>
          <w:szCs w:val="20"/>
          <w:lang w:val="es-ES_tradnl"/>
        </w:rPr>
        <w:t xml:space="preserve">Comunidad Indígena </w:t>
      </w:r>
      <w:proofErr w:type="spellStart"/>
      <w:r w:rsidRPr="00EA236D">
        <w:rPr>
          <w:rFonts w:cs="Times New Roman"/>
          <w:i/>
          <w:szCs w:val="20"/>
          <w:lang w:val="es-ES_tradnl"/>
        </w:rPr>
        <w:t>Xákmok</w:t>
      </w:r>
      <w:proofErr w:type="spellEnd"/>
      <w:r w:rsidRPr="00EA236D">
        <w:rPr>
          <w:rFonts w:cs="Times New Roman"/>
          <w:i/>
          <w:szCs w:val="20"/>
          <w:lang w:val="es-ES_tradnl"/>
        </w:rPr>
        <w:t xml:space="preserve"> </w:t>
      </w:r>
      <w:proofErr w:type="spellStart"/>
      <w:r w:rsidRPr="00EA236D">
        <w:rPr>
          <w:rFonts w:cs="Times New Roman"/>
          <w:i/>
          <w:szCs w:val="20"/>
          <w:lang w:val="es-ES_tradnl"/>
        </w:rPr>
        <w:t>Kásek</w:t>
      </w:r>
      <w:proofErr w:type="spellEnd"/>
      <w:r w:rsidRPr="00EA236D">
        <w:rPr>
          <w:rFonts w:cs="Times New Roman"/>
          <w:i/>
          <w:szCs w:val="20"/>
          <w:lang w:val="es-ES_tradnl"/>
        </w:rPr>
        <w:t xml:space="preserve"> Vs. Paraguay </w:t>
      </w:r>
      <w:r w:rsidRPr="00EA236D">
        <w:rPr>
          <w:rFonts w:cs="Times New Roman"/>
          <w:szCs w:val="20"/>
          <w:lang w:val="es-ES_tradnl"/>
        </w:rPr>
        <w:t xml:space="preserve">(2010), </w:t>
      </w:r>
      <w:r w:rsidR="000824C4" w:rsidRPr="00EA236D">
        <w:rPr>
          <w:rFonts w:cs="Times New Roman"/>
          <w:szCs w:val="20"/>
          <w:lang w:val="es-ES_tradnl"/>
        </w:rPr>
        <w:t>el</w:t>
      </w:r>
      <w:r w:rsidR="004208BA" w:rsidRPr="00EA236D">
        <w:rPr>
          <w:rFonts w:cs="Times New Roman"/>
          <w:szCs w:val="20"/>
          <w:lang w:val="es-ES_tradnl"/>
        </w:rPr>
        <w:t xml:space="preserve"> Tribunal Interamericano</w:t>
      </w:r>
      <w:r w:rsidRPr="00EA236D">
        <w:rPr>
          <w:rFonts w:cs="Times New Roman"/>
          <w:szCs w:val="20"/>
          <w:lang w:val="es-ES_tradnl"/>
        </w:rPr>
        <w:t xml:space="preserve"> expresó que resaltaba la extrema pobreza y la falta de adecuada atención médica a mujeres en estado de embarazo o post embarazo </w:t>
      </w:r>
      <w:r w:rsidR="004175FB" w:rsidRPr="00EA236D">
        <w:rPr>
          <w:rFonts w:cs="Times New Roman"/>
          <w:szCs w:val="20"/>
          <w:lang w:val="es-ES_tradnl"/>
        </w:rPr>
        <w:t xml:space="preserve">y que </w:t>
      </w:r>
      <w:r w:rsidRPr="00EA236D">
        <w:rPr>
          <w:rFonts w:cs="Times New Roman"/>
          <w:szCs w:val="20"/>
          <w:lang w:val="es-ES_tradnl"/>
        </w:rPr>
        <w:t xml:space="preserve">eran causas de alta mortalidad y morbilidad. Por ello, los Estados debían de brindar políticas de salud adecuadas que permitan ofrecer asistencia con personal entrenado adecuadamente para la atención de nacimientos, políticas de prevención de la mortalidad materna a través de controles prenatales </w:t>
      </w:r>
      <w:r w:rsidR="003D1876" w:rsidRPr="00EA236D">
        <w:rPr>
          <w:rFonts w:cs="Times New Roman"/>
          <w:szCs w:val="20"/>
          <w:lang w:val="es-ES_tradnl"/>
        </w:rPr>
        <w:t>y pos</w:t>
      </w:r>
      <w:r w:rsidRPr="00EA236D">
        <w:rPr>
          <w:rFonts w:cs="Times New Roman"/>
          <w:szCs w:val="20"/>
          <w:lang w:val="es-ES_tradnl"/>
        </w:rPr>
        <w:t>parto adecuados, e instrumentos legales y administrativos en políticas de salud que permitan documentar adecuadamente los casos de mortalidad materna. Lo anterior, en razón a que las mujeres en estado de embarazo requieren medidas de especial protección</w:t>
      </w:r>
      <w:r w:rsidRPr="00EA236D">
        <w:rPr>
          <w:rStyle w:val="FootnoteReference"/>
          <w:lang w:val="es-ES_tradnl"/>
        </w:rPr>
        <w:footnoteReference w:id="47"/>
      </w:r>
      <w:r w:rsidRPr="00EA236D">
        <w:rPr>
          <w:rFonts w:cs="Times New Roman"/>
          <w:szCs w:val="20"/>
          <w:lang w:val="es-ES_tradnl"/>
        </w:rPr>
        <w:t xml:space="preserve">. </w:t>
      </w:r>
    </w:p>
    <w:p w14:paraId="1DA38D39" w14:textId="77777777" w:rsidR="00B93793" w:rsidRPr="00EA236D" w:rsidRDefault="00B93793" w:rsidP="00B93793">
      <w:pPr>
        <w:rPr>
          <w:rFonts w:ascii="Verdana" w:hAnsi="Verdana" w:cs="Times New Roman"/>
          <w:szCs w:val="20"/>
        </w:rPr>
      </w:pPr>
    </w:p>
    <w:p w14:paraId="370BAB97" w14:textId="2DFD91C1" w:rsidR="00B93793" w:rsidRPr="00EA236D" w:rsidRDefault="00B93793" w:rsidP="00E223D4">
      <w:pPr>
        <w:pStyle w:val="ListParagraph"/>
        <w:numPr>
          <w:ilvl w:val="0"/>
          <w:numId w:val="1"/>
        </w:numPr>
        <w:rPr>
          <w:rFonts w:cs="Times New Roman"/>
          <w:szCs w:val="20"/>
          <w:lang w:val="es-ES_tradnl"/>
        </w:rPr>
      </w:pPr>
      <w:r w:rsidRPr="00EA236D">
        <w:rPr>
          <w:rFonts w:cs="Times New Roman"/>
          <w:szCs w:val="20"/>
          <w:lang w:val="es-ES_tradnl"/>
        </w:rPr>
        <w:t xml:space="preserve">En el caso </w:t>
      </w:r>
      <w:r w:rsidRPr="00EA236D">
        <w:rPr>
          <w:rFonts w:cs="Times New Roman"/>
          <w:i/>
          <w:szCs w:val="20"/>
          <w:lang w:val="es-ES_tradnl"/>
        </w:rPr>
        <w:t xml:space="preserve">Rosendo Cantú y otra Vs. México </w:t>
      </w:r>
      <w:r w:rsidR="003D1876" w:rsidRPr="00EA236D">
        <w:rPr>
          <w:rFonts w:cs="Times New Roman"/>
          <w:szCs w:val="20"/>
          <w:lang w:val="es-ES_tradnl"/>
        </w:rPr>
        <w:t>(2010), la Corte IDH</w:t>
      </w:r>
      <w:r w:rsidRPr="00EA236D">
        <w:rPr>
          <w:rFonts w:cs="Times New Roman"/>
          <w:szCs w:val="20"/>
          <w:lang w:val="es-ES_tradnl"/>
        </w:rPr>
        <w:t xml:space="preserve"> señal</w:t>
      </w:r>
      <w:r w:rsidR="00F71A34" w:rsidRPr="00EA236D">
        <w:rPr>
          <w:rFonts w:cs="Times New Roman"/>
          <w:szCs w:val="20"/>
          <w:lang w:val="es-ES_tradnl"/>
        </w:rPr>
        <w:t>ó</w:t>
      </w:r>
      <w:r w:rsidRPr="00EA236D">
        <w:rPr>
          <w:rFonts w:cs="Times New Roman"/>
          <w:szCs w:val="20"/>
          <w:lang w:val="es-ES_tradnl"/>
        </w:rPr>
        <w:t>, que de conformidad con el artículo 19 de la Convención Americana, los Estados deb</w:t>
      </w:r>
      <w:r w:rsidR="00F71A34" w:rsidRPr="00EA236D">
        <w:rPr>
          <w:rFonts w:cs="Times New Roman"/>
          <w:szCs w:val="20"/>
          <w:lang w:val="es-ES_tradnl"/>
        </w:rPr>
        <w:t>ían</w:t>
      </w:r>
      <w:r w:rsidRPr="00EA236D">
        <w:rPr>
          <w:rFonts w:cs="Times New Roman"/>
          <w:szCs w:val="20"/>
          <w:lang w:val="es-ES_tradnl"/>
        </w:rPr>
        <w:t xml:space="preserve"> de asumir una posición especial de garante con mayor cuidado y responsabilidad, y debe</w:t>
      </w:r>
      <w:r w:rsidR="004175FB" w:rsidRPr="00EA236D">
        <w:rPr>
          <w:rFonts w:cs="Times New Roman"/>
          <w:szCs w:val="20"/>
          <w:lang w:val="es-ES_tradnl"/>
        </w:rPr>
        <w:t>n</w:t>
      </w:r>
      <w:r w:rsidRPr="00EA236D">
        <w:rPr>
          <w:rFonts w:cs="Times New Roman"/>
          <w:szCs w:val="20"/>
          <w:lang w:val="es-ES_tradnl"/>
        </w:rPr>
        <w:t xml:space="preserve"> tomar medidas o cuidados especiales orientados en el principio </w:t>
      </w:r>
      <w:r w:rsidR="003D1876" w:rsidRPr="00EA236D">
        <w:rPr>
          <w:rFonts w:cs="Times New Roman"/>
          <w:szCs w:val="20"/>
          <w:lang w:val="es-ES_tradnl"/>
        </w:rPr>
        <w:t>del interés superior del menor</w:t>
      </w:r>
      <w:r w:rsidRPr="00EA236D">
        <w:rPr>
          <w:rFonts w:cs="Times New Roman"/>
          <w:szCs w:val="20"/>
          <w:lang w:val="es-ES_tradnl"/>
        </w:rPr>
        <w:t>. En tal sentido, el Estado debe prestar especial atención a las necesidades y a los derechos de l</w:t>
      </w:r>
      <w:r w:rsidR="00F71A34" w:rsidRPr="00EA236D">
        <w:rPr>
          <w:rFonts w:cs="Times New Roman"/>
          <w:szCs w:val="20"/>
          <w:lang w:val="es-ES_tradnl"/>
        </w:rPr>
        <w:t>as niñas y los</w:t>
      </w:r>
      <w:r w:rsidR="003D1876" w:rsidRPr="00EA236D">
        <w:rPr>
          <w:rFonts w:cs="Times New Roman"/>
          <w:szCs w:val="20"/>
          <w:lang w:val="es-ES_tradnl"/>
        </w:rPr>
        <w:t xml:space="preserve"> niños</w:t>
      </w:r>
      <w:r w:rsidRPr="00EA236D">
        <w:rPr>
          <w:rFonts w:cs="Times New Roman"/>
          <w:szCs w:val="20"/>
          <w:lang w:val="es-ES_tradnl"/>
        </w:rPr>
        <w:t xml:space="preserve">, en condición particular de vulnerabilidad. En este caso, </w:t>
      </w:r>
      <w:r w:rsidR="003D1876" w:rsidRPr="00EA236D">
        <w:rPr>
          <w:rFonts w:cs="Times New Roman"/>
          <w:szCs w:val="20"/>
          <w:lang w:val="es-ES_tradnl"/>
        </w:rPr>
        <w:t xml:space="preserve">se </w:t>
      </w:r>
      <w:r w:rsidRPr="00EA236D">
        <w:rPr>
          <w:rFonts w:cs="Times New Roman"/>
          <w:szCs w:val="20"/>
          <w:lang w:val="es-ES_tradnl"/>
        </w:rPr>
        <w:t xml:space="preserve">consideró que de conformidad con sus obligaciones convencionales, efectivamente, el Estado debió haber adoptado medidas especiales a favor de la señora Rosendo Cantú, no sólo durante la denuncia penal, sino durante todo el tiempo en que, siendo una niña, estuvo vinculada a las investigaciones ministeriales seguidas con motivo del delito que había denunciado, máxime por tratarse de una </w:t>
      </w:r>
      <w:r w:rsidR="00446157">
        <w:rPr>
          <w:rFonts w:cs="Times New Roman"/>
          <w:szCs w:val="20"/>
          <w:lang w:val="es-ES_tradnl"/>
        </w:rPr>
        <w:t>(</w:t>
      </w:r>
      <w:r w:rsidRPr="00EA236D">
        <w:rPr>
          <w:rFonts w:cs="Times New Roman"/>
          <w:szCs w:val="20"/>
          <w:lang w:val="es-ES_tradnl"/>
        </w:rPr>
        <w:t>mujer</w:t>
      </w:r>
      <w:r w:rsidR="00446157">
        <w:rPr>
          <w:rFonts w:cs="Times New Roman"/>
          <w:szCs w:val="20"/>
          <w:lang w:val="es-ES_tradnl"/>
        </w:rPr>
        <w:t>)</w:t>
      </w:r>
      <w:r w:rsidRPr="00EA236D">
        <w:rPr>
          <w:rFonts w:cs="Times New Roman"/>
          <w:szCs w:val="20"/>
          <w:lang w:val="es-ES_tradnl"/>
        </w:rPr>
        <w:t xml:space="preserve"> indígena, pues los niños indígenas cuyas comunidades son afectadas por la pobreza se encuentran en una especial situación de vulnerabilidad</w:t>
      </w:r>
      <w:r w:rsidRPr="00EA236D">
        <w:rPr>
          <w:rStyle w:val="FootnoteReference"/>
          <w:lang w:val="es-ES_tradnl"/>
        </w:rPr>
        <w:footnoteReference w:id="48"/>
      </w:r>
      <w:r w:rsidRPr="00EA236D">
        <w:rPr>
          <w:rFonts w:cs="Times New Roman"/>
          <w:szCs w:val="20"/>
          <w:lang w:val="es-ES_tradnl"/>
        </w:rPr>
        <w:t xml:space="preserve">. </w:t>
      </w:r>
      <w:r w:rsidR="00D13DA2" w:rsidRPr="00EA236D">
        <w:rPr>
          <w:rFonts w:cs="Times New Roman"/>
          <w:szCs w:val="20"/>
          <w:lang w:val="es-ES_tradnl"/>
        </w:rPr>
        <w:t xml:space="preserve"> </w:t>
      </w:r>
    </w:p>
    <w:p w14:paraId="22C07F22" w14:textId="77777777" w:rsidR="00B93793" w:rsidRPr="00EA236D" w:rsidRDefault="00B93793" w:rsidP="00B93793">
      <w:pPr>
        <w:rPr>
          <w:rFonts w:ascii="Verdana" w:hAnsi="Verdana" w:cs="Times New Roman"/>
          <w:szCs w:val="20"/>
        </w:rPr>
      </w:pPr>
    </w:p>
    <w:p w14:paraId="0A9CF3CE" w14:textId="73CD744C" w:rsidR="00D13DA2" w:rsidRPr="00EA236D" w:rsidRDefault="00D13DA2" w:rsidP="00D13DA2">
      <w:pPr>
        <w:pStyle w:val="ListParagraph"/>
        <w:numPr>
          <w:ilvl w:val="0"/>
          <w:numId w:val="1"/>
        </w:numPr>
        <w:rPr>
          <w:rFonts w:cs="Times New Roman"/>
          <w:i/>
          <w:szCs w:val="20"/>
          <w:lang w:val="es-ES_tradnl"/>
        </w:rPr>
      </w:pPr>
      <w:r w:rsidRPr="00EA236D">
        <w:rPr>
          <w:rFonts w:cs="Times New Roman"/>
          <w:szCs w:val="20"/>
          <w:lang w:val="es-ES_tradnl"/>
        </w:rPr>
        <w:t>En el caso</w:t>
      </w:r>
      <w:r w:rsidRPr="00EA236D">
        <w:rPr>
          <w:rFonts w:cs="Times New Roman"/>
          <w:i/>
          <w:szCs w:val="20"/>
          <w:lang w:val="es-ES_tradnl"/>
        </w:rPr>
        <w:t xml:space="preserve"> Furlan y otros Vs. Argentina</w:t>
      </w:r>
      <w:r w:rsidR="00BA2600" w:rsidRPr="00EA236D">
        <w:rPr>
          <w:rFonts w:cs="Times New Roman"/>
          <w:i/>
          <w:szCs w:val="20"/>
          <w:lang w:val="es-ES_tradnl"/>
        </w:rPr>
        <w:t xml:space="preserve"> </w:t>
      </w:r>
      <w:r w:rsidR="00BA2600" w:rsidRPr="00EA236D">
        <w:rPr>
          <w:rFonts w:cs="Times New Roman"/>
          <w:szCs w:val="20"/>
          <w:lang w:val="es-ES_tradnl"/>
        </w:rPr>
        <w:t>(2012)</w:t>
      </w:r>
      <w:r w:rsidRPr="00EA236D">
        <w:rPr>
          <w:rFonts w:cs="Times New Roman"/>
          <w:szCs w:val="20"/>
          <w:lang w:val="es-ES_tradnl"/>
        </w:rPr>
        <w:t>, reiterando la relación entre la pobreza y la discapacidad</w:t>
      </w:r>
      <w:r w:rsidR="00FE1453" w:rsidRPr="00EA236D">
        <w:rPr>
          <w:rStyle w:val="FootnoteReference"/>
          <w:lang w:val="es-ES_tradnl"/>
        </w:rPr>
        <w:footnoteReference w:id="49"/>
      </w:r>
      <w:r w:rsidR="003D1876" w:rsidRPr="00EA236D">
        <w:rPr>
          <w:rFonts w:cs="Times New Roman"/>
          <w:szCs w:val="20"/>
          <w:lang w:val="es-ES_tradnl"/>
        </w:rPr>
        <w:t>,</w:t>
      </w:r>
      <w:r w:rsidRPr="00EA236D">
        <w:rPr>
          <w:rFonts w:cs="Times New Roman"/>
          <w:szCs w:val="20"/>
          <w:lang w:val="es-ES_tradnl"/>
        </w:rPr>
        <w:t xml:space="preserve"> la Corte IDH observó que el asesor de menores no fue </w:t>
      </w:r>
      <w:r w:rsidRPr="00EA236D">
        <w:rPr>
          <w:rFonts w:cs="Times New Roman"/>
          <w:szCs w:val="20"/>
          <w:lang w:val="es-ES_tradnl"/>
        </w:rPr>
        <w:lastRenderedPageBreak/>
        <w:t>notificado por el juez de proceso civil mientras Sebastián Furlan</w:t>
      </w:r>
      <w:r w:rsidR="00737DF4" w:rsidRPr="00EA236D">
        <w:rPr>
          <w:rFonts w:cs="Times New Roman"/>
          <w:szCs w:val="20"/>
          <w:lang w:val="es-ES_tradnl"/>
        </w:rPr>
        <w:t xml:space="preserve"> era un </w:t>
      </w:r>
      <w:r w:rsidR="00477145">
        <w:rPr>
          <w:rFonts w:cs="Times New Roman"/>
          <w:szCs w:val="20"/>
          <w:lang w:val="es-ES_tradnl"/>
        </w:rPr>
        <w:t>niño</w:t>
      </w:r>
      <w:r w:rsidR="00737DF4" w:rsidRPr="00EA236D">
        <w:rPr>
          <w:rFonts w:cs="Times New Roman"/>
          <w:szCs w:val="20"/>
          <w:lang w:val="es-ES_tradnl"/>
        </w:rPr>
        <w:t>,</w:t>
      </w:r>
      <w:r w:rsidRPr="00EA236D">
        <w:rPr>
          <w:rFonts w:cs="Times New Roman"/>
          <w:szCs w:val="20"/>
          <w:lang w:val="es-ES_tradnl"/>
        </w:rPr>
        <w:t xml:space="preserve"> cuando se contó con los peritajes que daban cuen</w:t>
      </w:r>
      <w:r w:rsidR="00737DF4" w:rsidRPr="00EA236D">
        <w:rPr>
          <w:rFonts w:cs="Times New Roman"/>
          <w:szCs w:val="20"/>
          <w:lang w:val="es-ES_tradnl"/>
        </w:rPr>
        <w:t>ta del grado de su discapacidad;</w:t>
      </w:r>
      <w:r w:rsidRPr="00EA236D">
        <w:rPr>
          <w:rFonts w:cs="Times New Roman"/>
          <w:szCs w:val="20"/>
          <w:lang w:val="es-ES_tradnl"/>
        </w:rPr>
        <w:t xml:space="preserve"> razón por la cual Sebastián Furlan no contó con una garantía, no solo obligatoria en el ámbito interno, sino que además habría podido intervenir mediante las facultades que le concedía la ley a coadyuvar en el proceso civil. Teniendo en cuenta lo anterior, en las circunstancias espec</w:t>
      </w:r>
      <w:r w:rsidR="00370A5E" w:rsidRPr="00EA236D">
        <w:rPr>
          <w:rFonts w:cs="Times New Roman"/>
          <w:szCs w:val="20"/>
          <w:lang w:val="es-ES_tradnl"/>
        </w:rPr>
        <w:t>í</w:t>
      </w:r>
      <w:r w:rsidRPr="00EA236D">
        <w:rPr>
          <w:rFonts w:cs="Times New Roman"/>
          <w:szCs w:val="20"/>
          <w:lang w:val="es-ES_tradnl"/>
        </w:rPr>
        <w:t>ficas del caso</w:t>
      </w:r>
      <w:r w:rsidR="00D2737B" w:rsidRPr="00EA236D">
        <w:rPr>
          <w:rFonts w:cs="Times New Roman"/>
          <w:szCs w:val="20"/>
          <w:lang w:val="es-ES_tradnl"/>
        </w:rPr>
        <w:t>,</w:t>
      </w:r>
      <w:r w:rsidRPr="00EA236D">
        <w:rPr>
          <w:rFonts w:cs="Times New Roman"/>
          <w:szCs w:val="20"/>
          <w:lang w:val="es-ES_tradnl"/>
        </w:rPr>
        <w:t xml:space="preserve"> la Corte IDH notó que el asesor de menores e incapaces [sic] constituía una herramienta esencial para enfrentar la vulnerabilidad de Sebastián Furlan por el efecto negativo que generaba la interrelación entre su discapacidad y los escasos recursos económicos con que contaban él y su familia, generando que la pobreza de su entorno tuviera un impacto desproporcionado en su condición de persona con discapacidad</w:t>
      </w:r>
      <w:r w:rsidR="00FE1453" w:rsidRPr="00EA236D">
        <w:rPr>
          <w:rStyle w:val="FootnoteReference"/>
          <w:lang w:val="es-ES_tradnl"/>
        </w:rPr>
        <w:footnoteReference w:id="50"/>
      </w:r>
      <w:r w:rsidRPr="00EA236D">
        <w:rPr>
          <w:rFonts w:cs="Times New Roman"/>
          <w:szCs w:val="20"/>
          <w:lang w:val="es-ES_tradnl"/>
        </w:rPr>
        <w:t xml:space="preserve">. </w:t>
      </w:r>
    </w:p>
    <w:p w14:paraId="4241E60D" w14:textId="77777777" w:rsidR="00D13DA2" w:rsidRPr="00EA236D" w:rsidRDefault="00D13DA2" w:rsidP="00D13DA2">
      <w:pPr>
        <w:rPr>
          <w:rFonts w:ascii="Verdana" w:hAnsi="Verdana" w:cs="Times New Roman"/>
          <w:i/>
          <w:szCs w:val="20"/>
        </w:rPr>
      </w:pPr>
    </w:p>
    <w:p w14:paraId="75234DBF" w14:textId="1F43F176" w:rsidR="00D13DA2" w:rsidRPr="00EA236D" w:rsidRDefault="00D13DA2" w:rsidP="00D13DA2">
      <w:pPr>
        <w:pStyle w:val="ListParagraph"/>
        <w:numPr>
          <w:ilvl w:val="0"/>
          <w:numId w:val="1"/>
        </w:numPr>
        <w:rPr>
          <w:rFonts w:cs="Times New Roman"/>
          <w:i/>
          <w:szCs w:val="20"/>
          <w:lang w:val="es-ES_tradnl"/>
        </w:rPr>
      </w:pPr>
      <w:r w:rsidRPr="00EA236D">
        <w:rPr>
          <w:rFonts w:cs="Times New Roman"/>
          <w:szCs w:val="20"/>
          <w:lang w:val="es-ES_tradnl"/>
        </w:rPr>
        <w:t xml:space="preserve">En el caso </w:t>
      </w:r>
      <w:proofErr w:type="spellStart"/>
      <w:r w:rsidRPr="00EA236D">
        <w:rPr>
          <w:rFonts w:cs="Times New Roman"/>
          <w:i/>
          <w:szCs w:val="20"/>
          <w:lang w:val="es-ES_tradnl"/>
        </w:rPr>
        <w:t>Uzcátegui</w:t>
      </w:r>
      <w:proofErr w:type="spellEnd"/>
      <w:r w:rsidRPr="00EA236D">
        <w:rPr>
          <w:rFonts w:cs="Times New Roman"/>
          <w:i/>
          <w:szCs w:val="20"/>
          <w:lang w:val="es-ES_tradnl"/>
        </w:rPr>
        <w:t xml:space="preserve"> y otros Vs. Venezuela</w:t>
      </w:r>
      <w:r w:rsidR="00BA2600" w:rsidRPr="00EA236D">
        <w:rPr>
          <w:rFonts w:cs="Times New Roman"/>
          <w:i/>
          <w:szCs w:val="20"/>
          <w:lang w:val="es-ES_tradnl"/>
        </w:rPr>
        <w:t xml:space="preserve"> </w:t>
      </w:r>
      <w:r w:rsidR="00BA2600" w:rsidRPr="00EA236D">
        <w:rPr>
          <w:rFonts w:cs="Times New Roman"/>
          <w:szCs w:val="20"/>
          <w:lang w:val="es-ES_tradnl"/>
        </w:rPr>
        <w:t>(2012)</w:t>
      </w:r>
      <w:r w:rsidRPr="00EA236D">
        <w:rPr>
          <w:rFonts w:cs="Times New Roman"/>
          <w:szCs w:val="20"/>
          <w:lang w:val="es-ES_tradnl"/>
        </w:rPr>
        <w:t xml:space="preserve">, respecto del derecho de propiedad, </w:t>
      </w:r>
      <w:r w:rsidR="009B0F46">
        <w:rPr>
          <w:rFonts w:cs="Times New Roman"/>
          <w:szCs w:val="20"/>
          <w:lang w:val="es-ES_tradnl"/>
        </w:rPr>
        <w:t xml:space="preserve">la Corte IDH </w:t>
      </w:r>
      <w:r w:rsidRPr="00EA236D">
        <w:rPr>
          <w:rFonts w:cs="Times New Roman"/>
          <w:szCs w:val="20"/>
          <w:lang w:val="es-ES_tradnl"/>
        </w:rPr>
        <w:t>consideró que por las circunstancias en las que tuvieron lugar y, muy especialmente, por la condi</w:t>
      </w:r>
      <w:r w:rsidR="00102B4F" w:rsidRPr="00EA236D">
        <w:rPr>
          <w:rFonts w:cs="Times New Roman"/>
          <w:szCs w:val="20"/>
          <w:lang w:val="es-ES_tradnl"/>
        </w:rPr>
        <w:t xml:space="preserve">ción socio económica </w:t>
      </w:r>
      <w:r w:rsidRPr="00EA236D">
        <w:rPr>
          <w:rFonts w:cs="Times New Roman"/>
          <w:szCs w:val="20"/>
          <w:lang w:val="es-ES_tradnl"/>
        </w:rPr>
        <w:t xml:space="preserve">de vulnerabilidad de la familia </w:t>
      </w:r>
      <w:proofErr w:type="spellStart"/>
      <w:r w:rsidRPr="00EA236D">
        <w:rPr>
          <w:rFonts w:cs="Times New Roman"/>
          <w:szCs w:val="20"/>
          <w:lang w:val="es-ES_tradnl"/>
        </w:rPr>
        <w:t>Uzcátegui</w:t>
      </w:r>
      <w:proofErr w:type="spellEnd"/>
      <w:r w:rsidRPr="00EA236D">
        <w:rPr>
          <w:rFonts w:cs="Times New Roman"/>
          <w:szCs w:val="20"/>
          <w:lang w:val="es-ES_tradnl"/>
        </w:rPr>
        <w:t>, los daños ocasionados a la propieda</w:t>
      </w:r>
      <w:r w:rsidR="00737DF4" w:rsidRPr="00EA236D">
        <w:rPr>
          <w:rFonts w:cs="Times New Roman"/>
          <w:szCs w:val="20"/>
          <w:lang w:val="es-ES_tradnl"/>
        </w:rPr>
        <w:t>d con motivo de su allanamiento</w:t>
      </w:r>
      <w:r w:rsidRPr="00EA236D">
        <w:rPr>
          <w:rFonts w:cs="Times New Roman"/>
          <w:szCs w:val="20"/>
          <w:lang w:val="es-ES_tradnl"/>
        </w:rPr>
        <w:t xml:space="preserve">, tuvieron para aquella un efecto o magnitud mayores que los que hubiesen tenido </w:t>
      </w:r>
      <w:r w:rsidR="00FE1453" w:rsidRPr="00EA236D">
        <w:rPr>
          <w:rFonts w:cs="Times New Roman"/>
          <w:szCs w:val="20"/>
          <w:lang w:val="es-ES_tradnl"/>
        </w:rPr>
        <w:t>p</w:t>
      </w:r>
      <w:r w:rsidRPr="00EA236D">
        <w:rPr>
          <w:rFonts w:cs="Times New Roman"/>
          <w:szCs w:val="20"/>
          <w:lang w:val="es-ES_tradnl"/>
        </w:rPr>
        <w:t xml:space="preserve">ara </w:t>
      </w:r>
      <w:r w:rsidR="004175FB" w:rsidRPr="00EA236D">
        <w:rPr>
          <w:rFonts w:cs="Times New Roman"/>
          <w:szCs w:val="20"/>
          <w:lang w:val="es-ES_tradnl"/>
        </w:rPr>
        <w:t xml:space="preserve">otros </w:t>
      </w:r>
      <w:r w:rsidRPr="00EA236D">
        <w:rPr>
          <w:rFonts w:cs="Times New Roman"/>
          <w:szCs w:val="20"/>
          <w:lang w:val="es-ES_tradnl"/>
        </w:rPr>
        <w:t xml:space="preserve">grupos familiares. En este sentido, la Corte </w:t>
      </w:r>
      <w:r w:rsidR="003D1876" w:rsidRPr="00EA236D">
        <w:rPr>
          <w:rFonts w:cs="Times New Roman"/>
          <w:szCs w:val="20"/>
          <w:lang w:val="es-ES_tradnl"/>
        </w:rPr>
        <w:t xml:space="preserve">IDH </w:t>
      </w:r>
      <w:r w:rsidRPr="00EA236D">
        <w:rPr>
          <w:rFonts w:cs="Times New Roman"/>
          <w:szCs w:val="20"/>
          <w:lang w:val="es-ES_tradnl"/>
        </w:rPr>
        <w:t>estimó que los Estados deben tomar en cuenta que los grupos de personas que viven en circunstancias adversas y con menos recursos, tales como las personas que viven en condiciones de pobreza, enfrentan un incremento de grado de afectación a sus derechos precisamente por su situación de mayor vulnerabilidad</w:t>
      </w:r>
      <w:r w:rsidR="00FE1453" w:rsidRPr="00EA236D">
        <w:rPr>
          <w:rStyle w:val="FootnoteReference"/>
          <w:lang w:val="es-ES_tradnl"/>
        </w:rPr>
        <w:footnoteReference w:id="51"/>
      </w:r>
      <w:r w:rsidR="00FE1453" w:rsidRPr="00EA236D">
        <w:rPr>
          <w:rFonts w:cs="Times New Roman"/>
          <w:szCs w:val="20"/>
          <w:lang w:val="es-ES_tradnl"/>
        </w:rPr>
        <w:t>.</w:t>
      </w:r>
      <w:r w:rsidRPr="00EA236D">
        <w:rPr>
          <w:rFonts w:cs="Times New Roman"/>
          <w:szCs w:val="20"/>
          <w:lang w:val="es-ES_tradnl"/>
        </w:rPr>
        <w:t xml:space="preserve"> </w:t>
      </w:r>
    </w:p>
    <w:p w14:paraId="666A8E19" w14:textId="77777777" w:rsidR="00D13DA2" w:rsidRPr="00EA236D" w:rsidRDefault="00D13DA2" w:rsidP="00D13DA2">
      <w:pPr>
        <w:rPr>
          <w:rFonts w:ascii="Verdana" w:hAnsi="Verdana" w:cs="Times New Roman"/>
          <w:i/>
          <w:szCs w:val="20"/>
        </w:rPr>
      </w:pPr>
    </w:p>
    <w:p w14:paraId="6F57CD9C" w14:textId="7EEB8893" w:rsidR="00D13DA2" w:rsidRPr="00EA236D" w:rsidRDefault="00D13DA2" w:rsidP="00D13DA2">
      <w:pPr>
        <w:pStyle w:val="ListParagraph"/>
        <w:numPr>
          <w:ilvl w:val="0"/>
          <w:numId w:val="1"/>
        </w:numPr>
        <w:rPr>
          <w:rFonts w:cs="Times New Roman"/>
          <w:b/>
          <w:i/>
          <w:szCs w:val="20"/>
          <w:lang w:val="es-ES_tradnl"/>
        </w:rPr>
      </w:pPr>
      <w:r w:rsidRPr="00EA236D">
        <w:rPr>
          <w:rFonts w:cs="Times New Roman"/>
          <w:szCs w:val="20"/>
          <w:lang w:val="es-ES_tradnl"/>
        </w:rPr>
        <w:t>En el marco del conflicto armado interno y de aplicación del D</w:t>
      </w:r>
      <w:r w:rsidR="00F71A34" w:rsidRPr="00EA236D">
        <w:rPr>
          <w:rFonts w:cs="Times New Roman"/>
          <w:szCs w:val="20"/>
          <w:lang w:val="es-ES_tradnl"/>
        </w:rPr>
        <w:t>erecho Internacional Humanitario</w:t>
      </w:r>
      <w:r w:rsidRPr="00EA236D">
        <w:rPr>
          <w:rFonts w:cs="Times New Roman"/>
          <w:szCs w:val="20"/>
          <w:lang w:val="es-ES_tradnl"/>
        </w:rPr>
        <w:t>, la Corte IDH ha considerado que las personas en situación de pobreza dada su condición socioeconómica y vulnerabilidad enfrentan de diferente manera (en mayor magnitud) la violación de derechos humanos que los que hubieren enfrentado otras personas o grupos en otras condiciones</w:t>
      </w:r>
      <w:r w:rsidR="00FE1453" w:rsidRPr="00EA236D">
        <w:rPr>
          <w:rStyle w:val="FootnoteReference"/>
          <w:lang w:val="es-ES_tradnl"/>
        </w:rPr>
        <w:footnoteReference w:id="52"/>
      </w:r>
      <w:r w:rsidR="005D4AF8" w:rsidRPr="00EA236D">
        <w:rPr>
          <w:rFonts w:cs="Times New Roman"/>
          <w:szCs w:val="20"/>
          <w:lang w:val="es-ES_tradnl"/>
        </w:rPr>
        <w:t xml:space="preserve">. </w:t>
      </w:r>
      <w:r w:rsidRPr="00EA236D">
        <w:rPr>
          <w:rFonts w:cs="Times New Roman"/>
          <w:szCs w:val="20"/>
          <w:lang w:val="es-ES_tradnl"/>
        </w:rPr>
        <w:t xml:space="preserve">En el caso </w:t>
      </w:r>
      <w:r w:rsidRPr="00EA236D">
        <w:rPr>
          <w:rFonts w:cs="Times New Roman"/>
          <w:i/>
          <w:szCs w:val="20"/>
          <w:lang w:val="es-ES_tradnl"/>
        </w:rPr>
        <w:t>Masacre de Santo Domingo Vs. Colombia</w:t>
      </w:r>
      <w:r w:rsidR="009566EF" w:rsidRPr="00EA236D">
        <w:rPr>
          <w:rFonts w:cs="Times New Roman"/>
          <w:i/>
          <w:szCs w:val="20"/>
          <w:lang w:val="es-ES_tradnl"/>
        </w:rPr>
        <w:t xml:space="preserve"> </w:t>
      </w:r>
      <w:r w:rsidR="009566EF" w:rsidRPr="00EA236D">
        <w:rPr>
          <w:rFonts w:cs="Times New Roman"/>
          <w:szCs w:val="20"/>
          <w:lang w:val="es-ES_tradnl"/>
        </w:rPr>
        <w:t>(2012)</w:t>
      </w:r>
      <w:r w:rsidRPr="00EA236D">
        <w:rPr>
          <w:rFonts w:cs="Times New Roman"/>
          <w:i/>
          <w:szCs w:val="20"/>
          <w:lang w:val="es-ES_tradnl"/>
        </w:rPr>
        <w:t xml:space="preserve">, </w:t>
      </w:r>
      <w:r w:rsidR="003D1876" w:rsidRPr="00EA236D">
        <w:rPr>
          <w:rFonts w:cs="Times New Roman"/>
          <w:szCs w:val="20"/>
          <w:lang w:val="es-ES_tradnl"/>
        </w:rPr>
        <w:t>el Tribunal Interamericano</w:t>
      </w:r>
      <w:r w:rsidRPr="00EA236D">
        <w:rPr>
          <w:rFonts w:cs="Times New Roman"/>
          <w:szCs w:val="20"/>
          <w:lang w:val="es-ES_tradnl"/>
        </w:rPr>
        <w:t xml:space="preserve"> probó que después de que los pobladores de Santo Domingo tuvi</w:t>
      </w:r>
      <w:r w:rsidR="00E223D4" w:rsidRPr="00EA236D">
        <w:rPr>
          <w:rFonts w:cs="Times New Roman"/>
          <w:szCs w:val="20"/>
          <w:lang w:val="es-ES_tradnl"/>
        </w:rPr>
        <w:t xml:space="preserve">eron que abandonar sus hogares y </w:t>
      </w:r>
      <w:r w:rsidRPr="00EA236D">
        <w:rPr>
          <w:rFonts w:cs="Times New Roman"/>
          <w:szCs w:val="20"/>
          <w:lang w:val="es-ES_tradnl"/>
        </w:rPr>
        <w:t>desplazarse</w:t>
      </w:r>
      <w:r w:rsidR="00B31A59">
        <w:rPr>
          <w:rFonts w:cs="Times New Roman"/>
          <w:szCs w:val="20"/>
          <w:lang w:val="es-ES_tradnl"/>
        </w:rPr>
        <w:t>,</w:t>
      </w:r>
      <w:r w:rsidRPr="00EA236D">
        <w:rPr>
          <w:rFonts w:cs="Times New Roman"/>
          <w:szCs w:val="20"/>
          <w:lang w:val="es-ES_tradnl"/>
        </w:rPr>
        <w:t xml:space="preserve"> como consecuencia de los hechos violentos de los cuales habían sido objeto</w:t>
      </w:r>
      <w:r w:rsidR="00B31A59">
        <w:rPr>
          <w:rFonts w:cs="Times New Roman"/>
          <w:szCs w:val="20"/>
          <w:lang w:val="es-ES_tradnl"/>
        </w:rPr>
        <w:t>,</w:t>
      </w:r>
      <w:r w:rsidRPr="00EA236D">
        <w:rPr>
          <w:rFonts w:cs="Times New Roman"/>
          <w:szCs w:val="20"/>
          <w:lang w:val="es-ES_tradnl"/>
        </w:rPr>
        <w:t xml:space="preserve"> se produjeron saqueos en algunas de las viviendas y tiendas de Santo Domingo, así como los daños y destrucciones a los bienes muebles e inmuebles</w:t>
      </w:r>
      <w:r w:rsidR="00FE1453" w:rsidRPr="00EA236D">
        <w:rPr>
          <w:rStyle w:val="FootnoteReference"/>
          <w:lang w:val="es-ES_tradnl"/>
        </w:rPr>
        <w:footnoteReference w:id="53"/>
      </w:r>
      <w:r w:rsidRPr="00EA236D">
        <w:rPr>
          <w:rFonts w:cs="Times New Roman"/>
          <w:szCs w:val="20"/>
          <w:lang w:val="es-ES_tradnl"/>
        </w:rPr>
        <w:t xml:space="preserve">.  </w:t>
      </w:r>
    </w:p>
    <w:p w14:paraId="7DF9D7D4" w14:textId="77777777" w:rsidR="00FE1453" w:rsidRPr="00EA236D" w:rsidRDefault="00FE1453" w:rsidP="00FE1453">
      <w:pPr>
        <w:pStyle w:val="ListParagraph"/>
        <w:ind w:left="0"/>
        <w:rPr>
          <w:rFonts w:cs="Times New Roman"/>
          <w:b/>
          <w:i/>
          <w:szCs w:val="20"/>
          <w:lang w:val="es-ES_tradnl"/>
        </w:rPr>
      </w:pPr>
    </w:p>
    <w:p w14:paraId="6B793BBB" w14:textId="041E788C" w:rsidR="00D73E74" w:rsidRPr="00EA236D" w:rsidRDefault="00D73E74" w:rsidP="00D73E74">
      <w:pPr>
        <w:pStyle w:val="ListParagraph"/>
        <w:numPr>
          <w:ilvl w:val="0"/>
          <w:numId w:val="1"/>
        </w:numPr>
        <w:rPr>
          <w:rFonts w:cs="Times New Roman"/>
          <w:b/>
          <w:szCs w:val="20"/>
          <w:lang w:val="es-ES_tradnl"/>
        </w:rPr>
      </w:pPr>
      <w:r w:rsidRPr="00EA236D">
        <w:rPr>
          <w:rFonts w:cs="Times New Roman"/>
          <w:szCs w:val="20"/>
          <w:lang w:val="es-ES_tradnl"/>
        </w:rPr>
        <w:t xml:space="preserve">En el caso </w:t>
      </w:r>
      <w:proofErr w:type="spellStart"/>
      <w:r w:rsidRPr="00EA236D">
        <w:rPr>
          <w:rFonts w:cs="Times New Roman"/>
          <w:i/>
          <w:szCs w:val="20"/>
          <w:lang w:val="es-ES_tradnl"/>
        </w:rPr>
        <w:t>Artavia</w:t>
      </w:r>
      <w:proofErr w:type="spellEnd"/>
      <w:r w:rsidRPr="00EA236D">
        <w:rPr>
          <w:rFonts w:cs="Times New Roman"/>
          <w:i/>
          <w:szCs w:val="20"/>
          <w:lang w:val="es-ES_tradnl"/>
        </w:rPr>
        <w:t xml:space="preserve"> Murillo y otros (Fecundación in Vitro) Vs. Costa Rica </w:t>
      </w:r>
      <w:r w:rsidRPr="00EA236D">
        <w:rPr>
          <w:rFonts w:cs="Times New Roman"/>
          <w:szCs w:val="20"/>
          <w:lang w:val="es-ES_tradnl"/>
        </w:rPr>
        <w:t xml:space="preserve">(2012), respecto al análisis de </w:t>
      </w:r>
      <w:r w:rsidRPr="00EA236D">
        <w:rPr>
          <w:lang w:val="es-ES_tradnl"/>
        </w:rPr>
        <w:t xml:space="preserve">la prohibición de la </w:t>
      </w:r>
      <w:r w:rsidR="003E614A">
        <w:rPr>
          <w:lang w:val="es-ES_tradnl"/>
        </w:rPr>
        <w:t>f</w:t>
      </w:r>
      <w:r w:rsidR="00F71A34" w:rsidRPr="00EA236D">
        <w:rPr>
          <w:lang w:val="es-ES_tradnl"/>
        </w:rPr>
        <w:t xml:space="preserve">ecundación in </w:t>
      </w:r>
      <w:r w:rsidR="003E614A">
        <w:rPr>
          <w:lang w:val="es-ES_tradnl"/>
        </w:rPr>
        <w:t>v</w:t>
      </w:r>
      <w:r w:rsidR="00F71A34" w:rsidRPr="00EA236D">
        <w:rPr>
          <w:lang w:val="es-ES_tradnl"/>
        </w:rPr>
        <w:t>itro</w:t>
      </w:r>
      <w:r w:rsidR="004175FB" w:rsidRPr="00EA236D">
        <w:rPr>
          <w:lang w:val="es-ES_tradnl"/>
        </w:rPr>
        <w:t>, la Corte IDH señaló que ésta</w:t>
      </w:r>
      <w:r w:rsidRPr="00EA236D">
        <w:rPr>
          <w:lang w:val="es-ES_tradnl"/>
        </w:rPr>
        <w:t xml:space="preserve"> tuvo un impacto desproporcionado en las parejas infértiles que no contaban con los recursos económicos para practicarse la FIV en el </w:t>
      </w:r>
      <w:r w:rsidR="0052228E" w:rsidRPr="00EA236D">
        <w:rPr>
          <w:lang w:val="es-ES_tradnl"/>
        </w:rPr>
        <w:t>extranjero</w:t>
      </w:r>
      <w:r w:rsidR="004175FB" w:rsidRPr="00EA236D">
        <w:rPr>
          <w:lang w:val="es-ES_tradnl"/>
        </w:rPr>
        <w:t>;</w:t>
      </w:r>
      <w:r w:rsidR="0052228E" w:rsidRPr="00EA236D">
        <w:rPr>
          <w:lang w:val="es-ES_tradnl"/>
        </w:rPr>
        <w:t xml:space="preserve"> así</w:t>
      </w:r>
      <w:r w:rsidR="00202440" w:rsidRPr="00EA236D">
        <w:rPr>
          <w:lang w:val="es-ES_tradnl"/>
        </w:rPr>
        <w:t>,</w:t>
      </w:r>
      <w:r w:rsidR="0052228E" w:rsidRPr="00EA236D">
        <w:rPr>
          <w:lang w:val="es-ES_tradnl"/>
        </w:rPr>
        <w:t xml:space="preserve"> varias de las ví</w:t>
      </w:r>
      <w:r w:rsidRPr="00EA236D">
        <w:rPr>
          <w:lang w:val="es-ES_tradnl"/>
        </w:rPr>
        <w:t xml:space="preserve">ctimas no tenían los recursos económicos para realizar </w:t>
      </w:r>
      <w:r w:rsidRPr="00EA236D">
        <w:rPr>
          <w:szCs w:val="20"/>
          <w:lang w:val="es-ES_tradnl"/>
        </w:rPr>
        <w:t xml:space="preserve">de manera exitosa el </w:t>
      </w:r>
      <w:r w:rsidRPr="00EA236D">
        <w:rPr>
          <w:szCs w:val="20"/>
          <w:lang w:val="es-ES_tradnl"/>
        </w:rPr>
        <w:lastRenderedPageBreak/>
        <w:t xml:space="preserve">tratamiento de la </w:t>
      </w:r>
      <w:r w:rsidR="003E614A">
        <w:rPr>
          <w:szCs w:val="20"/>
          <w:lang w:val="es-ES_tradnl"/>
        </w:rPr>
        <w:t>f</w:t>
      </w:r>
      <w:r w:rsidR="00F71A34" w:rsidRPr="00EA236D">
        <w:rPr>
          <w:szCs w:val="20"/>
          <w:lang w:val="es-ES_tradnl"/>
        </w:rPr>
        <w:t xml:space="preserve">ecundación in </w:t>
      </w:r>
      <w:r w:rsidR="003E614A">
        <w:rPr>
          <w:szCs w:val="20"/>
          <w:lang w:val="es-ES_tradnl"/>
        </w:rPr>
        <w:t>v</w:t>
      </w:r>
      <w:r w:rsidR="00F71A34" w:rsidRPr="00EA236D">
        <w:rPr>
          <w:szCs w:val="20"/>
          <w:lang w:val="es-ES_tradnl"/>
        </w:rPr>
        <w:t>itro</w:t>
      </w:r>
      <w:r w:rsidRPr="00EA236D">
        <w:rPr>
          <w:szCs w:val="20"/>
          <w:lang w:val="es-ES_tradnl"/>
        </w:rPr>
        <w:t xml:space="preserve"> en el extranjer</w:t>
      </w:r>
      <w:r w:rsidR="003D1876" w:rsidRPr="00EA236D">
        <w:rPr>
          <w:szCs w:val="20"/>
          <w:lang w:val="es-ES_tradnl"/>
        </w:rPr>
        <w:t>o</w:t>
      </w:r>
      <w:r w:rsidRPr="00EA236D">
        <w:rPr>
          <w:rStyle w:val="FootnoteReference"/>
          <w:lang w:val="es-ES_tradnl"/>
        </w:rPr>
        <w:footnoteReference w:id="54"/>
      </w:r>
      <w:r w:rsidRPr="00EA236D">
        <w:rPr>
          <w:szCs w:val="20"/>
          <w:lang w:val="es-ES_tradnl"/>
        </w:rPr>
        <w:t xml:space="preserve"> constituyéndose una discriminación indirecta</w:t>
      </w:r>
      <w:r w:rsidRPr="00EA236D">
        <w:rPr>
          <w:rStyle w:val="FootnoteReference"/>
          <w:lang w:val="es-ES_tradnl"/>
        </w:rPr>
        <w:footnoteReference w:id="55"/>
      </w:r>
      <w:r w:rsidRPr="00EA236D">
        <w:rPr>
          <w:szCs w:val="20"/>
          <w:lang w:val="es-ES_tradnl"/>
        </w:rPr>
        <w:t xml:space="preserve">. </w:t>
      </w:r>
    </w:p>
    <w:p w14:paraId="7B4CFAA8" w14:textId="77777777" w:rsidR="00D73E74" w:rsidRPr="00EA236D" w:rsidRDefault="00D73E74" w:rsidP="00D73E74">
      <w:pPr>
        <w:pStyle w:val="ListParagraph"/>
        <w:ind w:left="0"/>
        <w:rPr>
          <w:rFonts w:cs="Times New Roman"/>
          <w:b/>
          <w:i/>
          <w:szCs w:val="20"/>
          <w:lang w:val="es-ES_tradnl"/>
        </w:rPr>
      </w:pPr>
    </w:p>
    <w:p w14:paraId="0A762B99" w14:textId="055FA726" w:rsidR="00D13DA2" w:rsidRPr="00EA236D" w:rsidRDefault="00D13DA2" w:rsidP="00FE1453">
      <w:pPr>
        <w:pStyle w:val="ListParagraph"/>
        <w:numPr>
          <w:ilvl w:val="0"/>
          <w:numId w:val="1"/>
        </w:numPr>
        <w:rPr>
          <w:rFonts w:cs="Times New Roman"/>
          <w:b/>
          <w:i/>
          <w:szCs w:val="20"/>
          <w:lang w:val="es-ES_tradnl"/>
        </w:rPr>
      </w:pPr>
      <w:r w:rsidRPr="00EA236D">
        <w:rPr>
          <w:rFonts w:cs="Times New Roman"/>
          <w:szCs w:val="20"/>
          <w:lang w:val="es-ES_tradnl"/>
        </w:rPr>
        <w:t xml:space="preserve">En los casos </w:t>
      </w:r>
      <w:proofErr w:type="spellStart"/>
      <w:r w:rsidRPr="00EA236D">
        <w:rPr>
          <w:rFonts w:cs="Times New Roman"/>
          <w:i/>
          <w:szCs w:val="20"/>
          <w:lang w:val="es-ES_tradnl"/>
        </w:rPr>
        <w:t>Yean</w:t>
      </w:r>
      <w:proofErr w:type="spellEnd"/>
      <w:r w:rsidRPr="00EA236D">
        <w:rPr>
          <w:rFonts w:cs="Times New Roman"/>
          <w:i/>
          <w:szCs w:val="20"/>
          <w:lang w:val="es-ES_tradnl"/>
        </w:rPr>
        <w:t xml:space="preserve"> y </w:t>
      </w:r>
      <w:proofErr w:type="spellStart"/>
      <w:r w:rsidRPr="00EA236D">
        <w:rPr>
          <w:rFonts w:cs="Times New Roman"/>
          <w:i/>
          <w:szCs w:val="20"/>
          <w:lang w:val="es-ES_tradnl"/>
        </w:rPr>
        <w:t>Bosico</w:t>
      </w:r>
      <w:proofErr w:type="spellEnd"/>
      <w:r w:rsidR="00D73E74" w:rsidRPr="00EA236D">
        <w:rPr>
          <w:rFonts w:cs="Times New Roman"/>
          <w:i/>
          <w:szCs w:val="20"/>
          <w:lang w:val="es-ES_tradnl"/>
        </w:rPr>
        <w:t xml:space="preserve"> </w:t>
      </w:r>
      <w:r w:rsidR="00D73E74" w:rsidRPr="00EA236D">
        <w:rPr>
          <w:rFonts w:cs="Times New Roman"/>
          <w:szCs w:val="20"/>
          <w:lang w:val="es-ES_tradnl"/>
        </w:rPr>
        <w:t>(2005)</w:t>
      </w:r>
      <w:r w:rsidRPr="00EA236D">
        <w:rPr>
          <w:rFonts w:cs="Times New Roman"/>
          <w:szCs w:val="20"/>
          <w:lang w:val="es-ES_tradnl"/>
        </w:rPr>
        <w:t xml:space="preserve"> y de las </w:t>
      </w:r>
      <w:r w:rsidRPr="00EA236D">
        <w:rPr>
          <w:rFonts w:cs="Times New Roman"/>
          <w:i/>
          <w:szCs w:val="20"/>
          <w:lang w:val="es-ES_tradnl"/>
        </w:rPr>
        <w:t>Personas Dominicanas y Haitianas expulsadas</w:t>
      </w:r>
      <w:r w:rsidR="00D73E74" w:rsidRPr="00EA236D">
        <w:rPr>
          <w:rFonts w:cs="Times New Roman"/>
          <w:i/>
          <w:szCs w:val="20"/>
          <w:lang w:val="es-ES_tradnl"/>
        </w:rPr>
        <w:t xml:space="preserve"> </w:t>
      </w:r>
      <w:r w:rsidR="00D73E74" w:rsidRPr="00EA236D">
        <w:rPr>
          <w:rFonts w:cs="Times New Roman"/>
          <w:szCs w:val="20"/>
          <w:lang w:val="es-ES_tradnl"/>
        </w:rPr>
        <w:t>(2014)</w:t>
      </w:r>
      <w:r w:rsidRPr="00EA236D">
        <w:rPr>
          <w:rFonts w:cs="Times New Roman"/>
          <w:szCs w:val="20"/>
          <w:lang w:val="es-ES_tradnl"/>
        </w:rPr>
        <w:t>, ambos contra República Dominicana</w:t>
      </w:r>
      <w:r w:rsidR="00D2737B" w:rsidRPr="00EA236D">
        <w:rPr>
          <w:rFonts w:cs="Times New Roman"/>
          <w:szCs w:val="20"/>
          <w:lang w:val="es-ES_tradnl"/>
        </w:rPr>
        <w:t>,</w:t>
      </w:r>
      <w:r w:rsidR="00F71A34" w:rsidRPr="00EA236D">
        <w:rPr>
          <w:rFonts w:cs="Times New Roman"/>
          <w:szCs w:val="20"/>
          <w:lang w:val="es-ES_tradnl"/>
        </w:rPr>
        <w:t xml:space="preserve"> se</w:t>
      </w:r>
      <w:r w:rsidRPr="00EA236D">
        <w:rPr>
          <w:rFonts w:cs="Times New Roman"/>
          <w:szCs w:val="20"/>
          <w:lang w:val="es-ES_tradnl"/>
        </w:rPr>
        <w:t xml:space="preserve"> dio por probado que muchas de las personas haitianas en Rep</w:t>
      </w:r>
      <w:r w:rsidR="00370A5E" w:rsidRPr="00EA236D">
        <w:rPr>
          <w:rFonts w:cs="Times New Roman"/>
          <w:szCs w:val="20"/>
          <w:lang w:val="es-ES_tradnl"/>
        </w:rPr>
        <w:t>ú</w:t>
      </w:r>
      <w:r w:rsidRPr="00EA236D">
        <w:rPr>
          <w:rFonts w:cs="Times New Roman"/>
          <w:szCs w:val="20"/>
          <w:lang w:val="es-ES_tradnl"/>
        </w:rPr>
        <w:t xml:space="preserve">blica Dominicana sufrían condiciones de pobreza </w:t>
      </w:r>
      <w:r w:rsidR="00D2737B" w:rsidRPr="00EA236D">
        <w:rPr>
          <w:rFonts w:cs="Times New Roman"/>
          <w:szCs w:val="20"/>
          <w:lang w:val="es-ES_tradnl"/>
        </w:rPr>
        <w:t xml:space="preserve">y </w:t>
      </w:r>
      <w:r w:rsidRPr="00EA236D">
        <w:rPr>
          <w:rFonts w:cs="Times New Roman"/>
          <w:szCs w:val="20"/>
          <w:lang w:val="es-ES_tradnl"/>
        </w:rPr>
        <w:t>marginalidad derivada de su estatus legal y de su falta de oportunidades</w:t>
      </w:r>
      <w:r w:rsidR="00FE1453" w:rsidRPr="00EA236D">
        <w:rPr>
          <w:rStyle w:val="FootnoteReference"/>
          <w:lang w:val="es-ES_tradnl"/>
        </w:rPr>
        <w:footnoteReference w:id="56"/>
      </w:r>
      <w:r w:rsidRPr="00EA236D">
        <w:rPr>
          <w:rFonts w:cs="Times New Roman"/>
          <w:szCs w:val="20"/>
          <w:lang w:val="es-ES_tradnl"/>
        </w:rPr>
        <w:t>.</w:t>
      </w:r>
      <w:r w:rsidRPr="00EA236D">
        <w:rPr>
          <w:rFonts w:cs="Times New Roman"/>
          <w:b/>
          <w:szCs w:val="20"/>
          <w:lang w:val="es-ES_tradnl"/>
        </w:rPr>
        <w:t xml:space="preserve"> </w:t>
      </w:r>
    </w:p>
    <w:p w14:paraId="34C8B610" w14:textId="77777777" w:rsidR="00102B4F" w:rsidRPr="00EA236D" w:rsidRDefault="00102B4F" w:rsidP="00102B4F">
      <w:pPr>
        <w:pStyle w:val="ListParagraph"/>
        <w:ind w:left="0"/>
        <w:rPr>
          <w:rFonts w:cs="Times New Roman"/>
          <w:b/>
          <w:szCs w:val="20"/>
          <w:lang w:val="es-ES_tradnl"/>
        </w:rPr>
      </w:pPr>
    </w:p>
    <w:p w14:paraId="64E0CEA2" w14:textId="73AE26B2" w:rsidR="00F6203A" w:rsidRPr="00EA236D" w:rsidRDefault="00D13DA2" w:rsidP="00102B4F">
      <w:pPr>
        <w:pStyle w:val="ListParagraph"/>
        <w:numPr>
          <w:ilvl w:val="0"/>
          <w:numId w:val="1"/>
        </w:numPr>
        <w:rPr>
          <w:rFonts w:cs="Times New Roman"/>
          <w:b/>
          <w:szCs w:val="20"/>
          <w:lang w:val="es-ES_tradnl"/>
        </w:rPr>
      </w:pPr>
      <w:r w:rsidRPr="00EA236D">
        <w:rPr>
          <w:rFonts w:cs="Times New Roman"/>
          <w:szCs w:val="20"/>
          <w:lang w:val="es-ES_tradnl"/>
        </w:rPr>
        <w:t xml:space="preserve">En el caso </w:t>
      </w:r>
      <w:r w:rsidRPr="00EA236D">
        <w:rPr>
          <w:rFonts w:cs="Times New Roman"/>
          <w:i/>
          <w:szCs w:val="20"/>
          <w:lang w:val="es-ES_tradnl"/>
        </w:rPr>
        <w:t>Gonz</w:t>
      </w:r>
      <w:r w:rsidR="00F71A34" w:rsidRPr="00EA236D">
        <w:rPr>
          <w:rFonts w:cs="Times New Roman"/>
          <w:i/>
          <w:szCs w:val="20"/>
          <w:lang w:val="es-ES_tradnl"/>
        </w:rPr>
        <w:t>a</w:t>
      </w:r>
      <w:r w:rsidRPr="00EA236D">
        <w:rPr>
          <w:rFonts w:cs="Times New Roman"/>
          <w:i/>
          <w:szCs w:val="20"/>
          <w:lang w:val="es-ES_tradnl"/>
        </w:rPr>
        <w:t xml:space="preserve">les </w:t>
      </w:r>
      <w:proofErr w:type="spellStart"/>
      <w:r w:rsidRPr="00EA236D">
        <w:rPr>
          <w:rFonts w:cs="Times New Roman"/>
          <w:i/>
          <w:szCs w:val="20"/>
          <w:lang w:val="es-ES_tradnl"/>
        </w:rPr>
        <w:t>Lluy</w:t>
      </w:r>
      <w:proofErr w:type="spellEnd"/>
      <w:r w:rsidRPr="00EA236D">
        <w:rPr>
          <w:rFonts w:cs="Times New Roman"/>
          <w:i/>
          <w:szCs w:val="20"/>
          <w:lang w:val="es-ES_tradnl"/>
        </w:rPr>
        <w:t xml:space="preserve"> y otros Vs. Ecuador</w:t>
      </w:r>
      <w:r w:rsidR="00D73E74" w:rsidRPr="00EA236D">
        <w:rPr>
          <w:rFonts w:cs="Times New Roman"/>
          <w:i/>
          <w:szCs w:val="20"/>
          <w:lang w:val="es-ES_tradnl"/>
        </w:rPr>
        <w:t xml:space="preserve"> </w:t>
      </w:r>
      <w:r w:rsidR="00D73E74" w:rsidRPr="00EA236D">
        <w:rPr>
          <w:rFonts w:cs="Times New Roman"/>
          <w:szCs w:val="20"/>
          <w:lang w:val="es-ES_tradnl"/>
        </w:rPr>
        <w:t>(2015)</w:t>
      </w:r>
      <w:r w:rsidRPr="00EA236D">
        <w:rPr>
          <w:rFonts w:cs="Times New Roman"/>
          <w:szCs w:val="20"/>
          <w:lang w:val="es-ES_tradnl"/>
        </w:rPr>
        <w:t>, en relación a la salud de la víctima,</w:t>
      </w:r>
      <w:r w:rsidRPr="00EA236D">
        <w:rPr>
          <w:rFonts w:cs="Times New Roman"/>
          <w:b/>
          <w:szCs w:val="20"/>
          <w:lang w:val="es-ES_tradnl"/>
        </w:rPr>
        <w:t xml:space="preserve"> </w:t>
      </w:r>
      <w:r w:rsidRPr="00EA236D">
        <w:rPr>
          <w:rFonts w:cs="Times New Roman"/>
          <w:szCs w:val="20"/>
          <w:lang w:val="es-ES_tradnl"/>
        </w:rPr>
        <w:t>la Corte IDH notó que e</w:t>
      </w:r>
      <w:r w:rsidR="00737DF4" w:rsidRPr="00EA236D">
        <w:rPr>
          <w:rFonts w:cs="Times New Roman"/>
          <w:szCs w:val="20"/>
          <w:lang w:val="es-ES_tradnl"/>
        </w:rPr>
        <w:t>n el Protocolo de San Salvador</w:t>
      </w:r>
      <w:r w:rsidR="004175FB" w:rsidRPr="00EA236D">
        <w:rPr>
          <w:rFonts w:cs="Times New Roman"/>
          <w:szCs w:val="20"/>
          <w:lang w:val="es-ES_tradnl"/>
        </w:rPr>
        <w:t>,</w:t>
      </w:r>
      <w:r w:rsidRPr="00EA236D">
        <w:rPr>
          <w:rFonts w:cs="Times New Roman"/>
          <w:szCs w:val="20"/>
          <w:lang w:val="es-ES_tradnl"/>
        </w:rPr>
        <w:t xml:space="preserve"> entre las medidas para garantizar el derecho a la salud, los Estados debían impulsar la total inmunización contra las princ</w:t>
      </w:r>
      <w:r w:rsidR="004208BA" w:rsidRPr="00EA236D">
        <w:rPr>
          <w:rFonts w:cs="Times New Roman"/>
          <w:szCs w:val="20"/>
          <w:lang w:val="es-ES_tradnl"/>
        </w:rPr>
        <w:t>ipales enfermedades infecciosas</w:t>
      </w:r>
      <w:r w:rsidRPr="00EA236D">
        <w:rPr>
          <w:rFonts w:cs="Times New Roman"/>
          <w:szCs w:val="20"/>
          <w:lang w:val="es-ES_tradnl"/>
        </w:rPr>
        <w:t>;</w:t>
      </w:r>
      <w:r w:rsidR="004208BA" w:rsidRPr="00EA236D">
        <w:rPr>
          <w:rFonts w:cs="Times New Roman"/>
          <w:szCs w:val="20"/>
          <w:lang w:val="es-ES_tradnl"/>
        </w:rPr>
        <w:t xml:space="preserve"> </w:t>
      </w:r>
      <w:r w:rsidRPr="00EA236D">
        <w:rPr>
          <w:rFonts w:cs="Times New Roman"/>
          <w:szCs w:val="20"/>
          <w:lang w:val="es-ES_tradnl"/>
        </w:rPr>
        <w:t>la prevención y el tratamiento de las enfermedades endémicas,</w:t>
      </w:r>
      <w:r w:rsidR="004208BA" w:rsidRPr="00EA236D">
        <w:rPr>
          <w:rFonts w:cs="Times New Roman"/>
          <w:szCs w:val="20"/>
          <w:lang w:val="es-ES_tradnl"/>
        </w:rPr>
        <w:t xml:space="preserve"> profesionales y de otra índole</w:t>
      </w:r>
      <w:r w:rsidRPr="00EA236D">
        <w:rPr>
          <w:rFonts w:cs="Times New Roman"/>
          <w:szCs w:val="20"/>
          <w:lang w:val="es-ES_tradnl"/>
        </w:rPr>
        <w:t>, y la satisfacción de la necesidades de salud de los grupos de más alto riesgo y que por sus condiciones de pobreza sean más vulnerables</w:t>
      </w:r>
      <w:r w:rsidR="00D73E74" w:rsidRPr="00EA236D">
        <w:rPr>
          <w:rStyle w:val="FootnoteReference"/>
          <w:lang w:val="es-ES_tradnl"/>
        </w:rPr>
        <w:footnoteReference w:id="57"/>
      </w:r>
      <w:r w:rsidR="00D73E74" w:rsidRPr="00EA236D">
        <w:rPr>
          <w:rFonts w:cs="Times New Roman"/>
          <w:szCs w:val="20"/>
          <w:lang w:val="es-ES_tradnl"/>
        </w:rPr>
        <w:t xml:space="preserve">. </w:t>
      </w:r>
    </w:p>
    <w:p w14:paraId="5EAA3488" w14:textId="77777777" w:rsidR="00F6203A" w:rsidRPr="00EA236D" w:rsidRDefault="00F6203A" w:rsidP="00F6203A">
      <w:pPr>
        <w:rPr>
          <w:rFonts w:ascii="Verdana" w:hAnsi="Verdana" w:cs="Times New Roman"/>
          <w:szCs w:val="20"/>
        </w:rPr>
      </w:pPr>
    </w:p>
    <w:p w14:paraId="55AEC534" w14:textId="549A183D" w:rsidR="00102B4F" w:rsidRPr="00EA236D" w:rsidRDefault="00D13DA2" w:rsidP="00102B4F">
      <w:pPr>
        <w:pStyle w:val="ListParagraph"/>
        <w:numPr>
          <w:ilvl w:val="0"/>
          <w:numId w:val="1"/>
        </w:numPr>
        <w:rPr>
          <w:rFonts w:cs="Times New Roman"/>
          <w:b/>
          <w:szCs w:val="20"/>
          <w:lang w:val="es-ES_tradnl"/>
        </w:rPr>
      </w:pPr>
      <w:r w:rsidRPr="00EA236D">
        <w:rPr>
          <w:rFonts w:cs="Times New Roman"/>
          <w:szCs w:val="20"/>
          <w:lang w:val="es-ES_tradnl"/>
        </w:rPr>
        <w:t>En es</w:t>
      </w:r>
      <w:r w:rsidR="00F71A34" w:rsidRPr="00EA236D">
        <w:rPr>
          <w:rFonts w:cs="Times New Roman"/>
          <w:szCs w:val="20"/>
          <w:lang w:val="es-ES_tradnl"/>
        </w:rPr>
        <w:t>t</w:t>
      </w:r>
      <w:r w:rsidRPr="00EA236D">
        <w:rPr>
          <w:rFonts w:cs="Times New Roman"/>
          <w:szCs w:val="20"/>
          <w:lang w:val="es-ES_tradnl"/>
        </w:rPr>
        <w:t>e caso, la Corte</w:t>
      </w:r>
      <w:r w:rsidR="004175FB" w:rsidRPr="00EA236D">
        <w:rPr>
          <w:rFonts w:cs="Times New Roman"/>
          <w:szCs w:val="20"/>
          <w:lang w:val="es-ES_tradnl"/>
        </w:rPr>
        <w:t xml:space="preserve"> IDH</w:t>
      </w:r>
      <w:r w:rsidRPr="00EA236D">
        <w:rPr>
          <w:rFonts w:cs="Times New Roman"/>
          <w:szCs w:val="20"/>
          <w:lang w:val="es-ES_tradnl"/>
        </w:rPr>
        <w:t xml:space="preserve"> </w:t>
      </w:r>
      <w:r w:rsidR="00F71A34" w:rsidRPr="00EA236D">
        <w:rPr>
          <w:rFonts w:cs="Times New Roman"/>
          <w:szCs w:val="20"/>
          <w:lang w:val="es-ES_tradnl"/>
        </w:rPr>
        <w:t xml:space="preserve">consideró </w:t>
      </w:r>
      <w:r w:rsidRPr="00EA236D">
        <w:rPr>
          <w:rFonts w:cs="Times New Roman"/>
          <w:szCs w:val="20"/>
          <w:lang w:val="es-ES_tradnl"/>
        </w:rPr>
        <w:t xml:space="preserve">que confluyeron de forma </w:t>
      </w:r>
      <w:proofErr w:type="spellStart"/>
      <w:r w:rsidRPr="00EA236D">
        <w:rPr>
          <w:rFonts w:cs="Times New Roman"/>
          <w:szCs w:val="20"/>
          <w:lang w:val="es-ES_tradnl"/>
        </w:rPr>
        <w:t>intersec</w:t>
      </w:r>
      <w:r w:rsidR="0052556D" w:rsidRPr="00EA236D">
        <w:rPr>
          <w:rFonts w:cs="Times New Roman"/>
          <w:szCs w:val="20"/>
          <w:lang w:val="es-ES_tradnl"/>
        </w:rPr>
        <w:t>cional</w:t>
      </w:r>
      <w:proofErr w:type="spellEnd"/>
      <w:r w:rsidRPr="00EA236D">
        <w:rPr>
          <w:rFonts w:cs="Times New Roman"/>
          <w:szCs w:val="20"/>
          <w:lang w:val="es-ES_tradnl"/>
        </w:rPr>
        <w:t xml:space="preserve"> múltiples factores de vulnerabilidad y riesgo de discriminación asociados </w:t>
      </w:r>
      <w:r w:rsidR="004175FB" w:rsidRPr="00EA236D">
        <w:rPr>
          <w:rFonts w:cs="Times New Roman"/>
          <w:szCs w:val="20"/>
          <w:lang w:val="es-ES_tradnl"/>
        </w:rPr>
        <w:t>a</w:t>
      </w:r>
      <w:r w:rsidRPr="00EA236D">
        <w:rPr>
          <w:rFonts w:cs="Times New Roman"/>
          <w:szCs w:val="20"/>
          <w:lang w:val="es-ES_tradnl"/>
        </w:rPr>
        <w:t xml:space="preserve"> su condición de niña, mujer, persona en situación de pobreza y persona con VIH</w:t>
      </w:r>
      <w:r w:rsidR="00521974" w:rsidRPr="00EA236D">
        <w:rPr>
          <w:rFonts w:cs="Times New Roman"/>
          <w:szCs w:val="20"/>
          <w:lang w:val="es-ES_tradnl"/>
        </w:rPr>
        <w:t xml:space="preserve">. </w:t>
      </w:r>
      <w:r w:rsidRPr="00EA236D">
        <w:rPr>
          <w:rFonts w:cs="Times New Roman"/>
          <w:szCs w:val="20"/>
          <w:lang w:val="es-ES_tradnl"/>
        </w:rPr>
        <w:t xml:space="preserve">De igual manera, la Corte </w:t>
      </w:r>
      <w:r w:rsidR="003D1876" w:rsidRPr="00EA236D">
        <w:rPr>
          <w:rFonts w:cs="Times New Roman"/>
          <w:szCs w:val="20"/>
          <w:lang w:val="es-ES_tradnl"/>
        </w:rPr>
        <w:t xml:space="preserve">IDH </w:t>
      </w:r>
      <w:r w:rsidR="00521974" w:rsidRPr="00EA236D">
        <w:rPr>
          <w:rFonts w:cs="Times New Roman"/>
          <w:szCs w:val="20"/>
          <w:lang w:val="es-ES_tradnl"/>
        </w:rPr>
        <w:t>expresó</w:t>
      </w:r>
      <w:r w:rsidRPr="00EA236D">
        <w:rPr>
          <w:rFonts w:cs="Times New Roman"/>
          <w:szCs w:val="20"/>
          <w:lang w:val="es-ES_tradnl"/>
        </w:rPr>
        <w:t xml:space="preserve"> que la pobreza impact</w:t>
      </w:r>
      <w:r w:rsidR="009C30BC" w:rsidRPr="00EA236D">
        <w:rPr>
          <w:rFonts w:cs="Times New Roman"/>
          <w:szCs w:val="20"/>
          <w:lang w:val="es-ES_tradnl"/>
        </w:rPr>
        <w:t>ó</w:t>
      </w:r>
      <w:r w:rsidRPr="00EA236D">
        <w:rPr>
          <w:rFonts w:cs="Times New Roman"/>
          <w:szCs w:val="20"/>
          <w:lang w:val="es-ES_tradnl"/>
        </w:rPr>
        <w:t xml:space="preserve"> en el acceso inicial a una atención de salud que no fue de calidad y, que por el contrario, generó el contagio </w:t>
      </w:r>
      <w:r w:rsidR="006D5B44">
        <w:rPr>
          <w:rFonts w:cs="Times New Roman"/>
          <w:szCs w:val="20"/>
          <w:lang w:val="es-ES_tradnl"/>
        </w:rPr>
        <w:t>con</w:t>
      </w:r>
      <w:r w:rsidR="006D5B44" w:rsidRPr="00EA236D">
        <w:rPr>
          <w:rFonts w:cs="Times New Roman"/>
          <w:szCs w:val="20"/>
          <w:lang w:val="es-ES_tradnl"/>
        </w:rPr>
        <w:t xml:space="preserve"> </w:t>
      </w:r>
      <w:r w:rsidRPr="00EA236D">
        <w:rPr>
          <w:rFonts w:cs="Times New Roman"/>
          <w:szCs w:val="20"/>
          <w:lang w:val="es-ES_tradnl"/>
        </w:rPr>
        <w:t>VIH. La situación de pobreza impactó también en las dificultades para encontrar un mejor acceso al sistema educativo y tener una vivienda digna. Posteriormente</w:t>
      </w:r>
      <w:r w:rsidR="000C2F0F">
        <w:rPr>
          <w:rFonts w:cs="Times New Roman"/>
          <w:szCs w:val="20"/>
          <w:lang w:val="es-ES_tradnl"/>
        </w:rPr>
        <w:t>,</w:t>
      </w:r>
      <w:r w:rsidRPr="00EA236D">
        <w:rPr>
          <w:rFonts w:cs="Times New Roman"/>
          <w:szCs w:val="20"/>
          <w:lang w:val="es-ES_tradnl"/>
        </w:rPr>
        <w:t xml:space="preserve"> siendo una niña con VIH, los obstáculos que sufrió </w:t>
      </w:r>
      <w:r w:rsidR="006D5B44">
        <w:rPr>
          <w:rFonts w:cs="Times New Roman"/>
          <w:szCs w:val="20"/>
          <w:lang w:val="es-ES_tradnl"/>
        </w:rPr>
        <w:t>la víctima</w:t>
      </w:r>
      <w:r w:rsidR="006D5B44" w:rsidRPr="00EA236D">
        <w:rPr>
          <w:rFonts w:cs="Times New Roman"/>
          <w:szCs w:val="20"/>
          <w:lang w:val="es-ES_tradnl"/>
        </w:rPr>
        <w:t xml:space="preserve"> </w:t>
      </w:r>
      <w:r w:rsidRPr="00EA236D">
        <w:rPr>
          <w:rFonts w:cs="Times New Roman"/>
          <w:szCs w:val="20"/>
          <w:lang w:val="es-ES_tradnl"/>
        </w:rPr>
        <w:t xml:space="preserve">en el acceso a la educación tuvieron un impacto negativo para su desarrollo integral, que es también un impacto diferenciado teniendo en cuenta el rol de la educación para superar los estereotipos de género. En suma, a criterio del Tribunal Interamericano, el caso de </w:t>
      </w:r>
      <w:r w:rsidR="006D5B44">
        <w:rPr>
          <w:rFonts w:cs="Times New Roman"/>
          <w:szCs w:val="20"/>
          <w:lang w:val="es-ES_tradnl"/>
        </w:rPr>
        <w:t>la víctima</w:t>
      </w:r>
      <w:r w:rsidR="006D5B44" w:rsidRPr="00EA236D" w:rsidDel="006D5B44">
        <w:rPr>
          <w:rFonts w:cs="Times New Roman"/>
          <w:szCs w:val="20"/>
          <w:lang w:val="es-ES_tradnl"/>
        </w:rPr>
        <w:t xml:space="preserve"> </w:t>
      </w:r>
      <w:r w:rsidRPr="00EA236D">
        <w:rPr>
          <w:rFonts w:cs="Times New Roman"/>
          <w:szCs w:val="20"/>
          <w:lang w:val="es-ES_tradnl"/>
        </w:rPr>
        <w:t>ilustraba como la estigmatización relacionada con el VIH no impactaba de forma homogénea en todas las personas y que resultan más graves los impactos en los grupos que de por sí son marginados</w:t>
      </w:r>
      <w:r w:rsidR="00D73E74" w:rsidRPr="00EA236D">
        <w:rPr>
          <w:rStyle w:val="FootnoteReference"/>
          <w:lang w:val="es-ES_tradnl"/>
        </w:rPr>
        <w:footnoteReference w:id="58"/>
      </w:r>
      <w:r w:rsidR="00737DF4" w:rsidRPr="00EA236D">
        <w:rPr>
          <w:rFonts w:cs="Times New Roman"/>
          <w:szCs w:val="20"/>
          <w:lang w:val="es-ES_tradnl"/>
        </w:rPr>
        <w:t xml:space="preserve">. </w:t>
      </w:r>
      <w:r w:rsidRPr="00EA236D">
        <w:rPr>
          <w:rFonts w:cs="Times New Roman"/>
          <w:szCs w:val="20"/>
          <w:lang w:val="es-ES_tradnl"/>
        </w:rPr>
        <w:t>Teniendo en cuenta lo anterior, la Co</w:t>
      </w:r>
      <w:r w:rsidR="004175FB" w:rsidRPr="00EA236D">
        <w:rPr>
          <w:rFonts w:cs="Times New Roman"/>
          <w:szCs w:val="20"/>
          <w:lang w:val="es-ES_tradnl"/>
        </w:rPr>
        <w:t>rte</w:t>
      </w:r>
      <w:r w:rsidRPr="00EA236D">
        <w:rPr>
          <w:rFonts w:cs="Times New Roman"/>
          <w:szCs w:val="20"/>
          <w:lang w:val="es-ES_tradnl"/>
        </w:rPr>
        <w:t xml:space="preserve"> IDH concluyó que </w:t>
      </w:r>
      <w:r w:rsidR="006D5B44">
        <w:rPr>
          <w:rFonts w:cs="Times New Roman"/>
          <w:szCs w:val="20"/>
          <w:lang w:val="es-ES_tradnl"/>
        </w:rPr>
        <w:t>la víctima</w:t>
      </w:r>
      <w:r w:rsidRPr="00EA236D">
        <w:rPr>
          <w:rFonts w:cs="Times New Roman"/>
          <w:szCs w:val="20"/>
          <w:lang w:val="es-ES_tradnl"/>
        </w:rPr>
        <w:t xml:space="preserve"> sufrió una discriminación derivada </w:t>
      </w:r>
      <w:r w:rsidR="00215CE9" w:rsidRPr="00EA236D">
        <w:rPr>
          <w:rFonts w:cs="Times New Roman"/>
          <w:szCs w:val="20"/>
          <w:lang w:val="es-ES_tradnl"/>
        </w:rPr>
        <w:t>d</w:t>
      </w:r>
      <w:r w:rsidRPr="00EA236D">
        <w:rPr>
          <w:rFonts w:cs="Times New Roman"/>
          <w:szCs w:val="20"/>
          <w:lang w:val="es-ES_tradnl"/>
        </w:rPr>
        <w:t>e su condición de persona con VIH, niña, mujer y viviendo en situación de pobreza</w:t>
      </w:r>
      <w:r w:rsidR="005736BA" w:rsidRPr="00EA236D">
        <w:rPr>
          <w:rStyle w:val="FootnoteReference"/>
          <w:lang w:val="es-ES_tradnl"/>
        </w:rPr>
        <w:footnoteReference w:id="59"/>
      </w:r>
      <w:r w:rsidRPr="00EA236D">
        <w:rPr>
          <w:rFonts w:cs="Times New Roman"/>
          <w:szCs w:val="20"/>
          <w:lang w:val="es-ES_tradnl"/>
        </w:rPr>
        <w:t>.</w:t>
      </w:r>
    </w:p>
    <w:p w14:paraId="0D13E70E" w14:textId="0BA32C29" w:rsidR="00102B4F" w:rsidRPr="00EA236D" w:rsidRDefault="00102B4F" w:rsidP="00102B4F">
      <w:pPr>
        <w:pStyle w:val="ListParagraph"/>
        <w:ind w:left="0"/>
        <w:rPr>
          <w:rFonts w:cs="Times New Roman"/>
          <w:b/>
          <w:szCs w:val="20"/>
          <w:lang w:val="es-ES_tradnl"/>
        </w:rPr>
      </w:pPr>
    </w:p>
    <w:p w14:paraId="5E84C44D" w14:textId="0DCEC500" w:rsidR="004E56F8" w:rsidRPr="008060A3" w:rsidRDefault="00521974" w:rsidP="008060A3">
      <w:pPr>
        <w:pStyle w:val="ListParagraph"/>
        <w:numPr>
          <w:ilvl w:val="0"/>
          <w:numId w:val="1"/>
        </w:numPr>
        <w:rPr>
          <w:rFonts w:cs="Times New Roman"/>
          <w:b/>
          <w:szCs w:val="20"/>
          <w:lang w:val="es-ES_tradnl"/>
        </w:rPr>
      </w:pPr>
      <w:r w:rsidRPr="00EA236D">
        <w:rPr>
          <w:rFonts w:cs="Times New Roman"/>
          <w:szCs w:val="20"/>
          <w:lang w:val="es-ES_tradnl"/>
        </w:rPr>
        <w:lastRenderedPageBreak/>
        <w:t xml:space="preserve">Como podemos observar, </w:t>
      </w:r>
      <w:r w:rsidR="00600463" w:rsidRPr="00EA236D">
        <w:rPr>
          <w:rFonts w:cs="Times New Roman"/>
          <w:szCs w:val="20"/>
          <w:lang w:val="es-ES_tradnl"/>
        </w:rPr>
        <w:t>la</w:t>
      </w:r>
      <w:r w:rsidR="00102B4F" w:rsidRPr="00EA236D">
        <w:rPr>
          <w:rFonts w:cs="Times New Roman"/>
          <w:szCs w:val="20"/>
          <w:lang w:val="es-ES_tradnl"/>
        </w:rPr>
        <w:t xml:space="preserve"> posición económica (pobreza o condición económica) en la jurisprudencia interamericana ha estado vinculada de tres manera</w:t>
      </w:r>
      <w:r w:rsidR="002C6205" w:rsidRPr="00EA236D">
        <w:rPr>
          <w:rFonts w:cs="Times New Roman"/>
          <w:szCs w:val="20"/>
          <w:lang w:val="es-ES_tradnl"/>
        </w:rPr>
        <w:t xml:space="preserve">s distintas: en primer lugar, pobreza o condición económica </w:t>
      </w:r>
      <w:r w:rsidR="00102B4F" w:rsidRPr="00EA236D">
        <w:rPr>
          <w:rFonts w:cs="Times New Roman"/>
          <w:szCs w:val="20"/>
          <w:lang w:val="es-ES_tradnl"/>
        </w:rPr>
        <w:t xml:space="preserve">asociada a grupos de vulnerabilidad tradicionalmente identificados (niños, mujeres, indígenas, personas con discapacidad, migrantes, etc.); en segundo lugar, </w:t>
      </w:r>
      <w:r w:rsidR="002C6205" w:rsidRPr="00EA236D">
        <w:rPr>
          <w:rFonts w:cs="Times New Roman"/>
          <w:szCs w:val="20"/>
          <w:lang w:val="es-ES_tradnl"/>
        </w:rPr>
        <w:t xml:space="preserve">pobreza o condición económica </w:t>
      </w:r>
      <w:r w:rsidR="00102B4F" w:rsidRPr="00EA236D">
        <w:rPr>
          <w:rFonts w:cs="Times New Roman"/>
          <w:szCs w:val="20"/>
          <w:lang w:val="es-ES_tradnl"/>
        </w:rPr>
        <w:t>analizada como una discriminación múltiple</w:t>
      </w:r>
      <w:r w:rsidRPr="00EA236D">
        <w:rPr>
          <w:rFonts w:cs="Times New Roman"/>
          <w:szCs w:val="20"/>
          <w:lang w:val="es-ES_tradnl"/>
        </w:rPr>
        <w:t>/</w:t>
      </w:r>
      <w:r w:rsidR="00102B4F" w:rsidRPr="00EA236D">
        <w:rPr>
          <w:rFonts w:cs="Times New Roman"/>
          <w:szCs w:val="20"/>
          <w:lang w:val="es-ES_tradnl"/>
        </w:rPr>
        <w:t>compuesta</w:t>
      </w:r>
      <w:r w:rsidR="00102B4F" w:rsidRPr="00EA236D">
        <w:rPr>
          <w:rStyle w:val="FootnoteReference"/>
          <w:lang w:val="es-ES_tradnl"/>
        </w:rPr>
        <w:footnoteReference w:id="60"/>
      </w:r>
      <w:r w:rsidR="00102B4F" w:rsidRPr="00EA236D">
        <w:rPr>
          <w:rFonts w:cs="Times New Roman"/>
          <w:szCs w:val="20"/>
          <w:lang w:val="es-ES_tradnl"/>
        </w:rPr>
        <w:t xml:space="preserve"> o </w:t>
      </w:r>
      <w:proofErr w:type="spellStart"/>
      <w:r w:rsidR="00102B4F" w:rsidRPr="00EA236D">
        <w:rPr>
          <w:rFonts w:cs="Times New Roman"/>
          <w:szCs w:val="20"/>
          <w:lang w:val="es-ES_tradnl"/>
        </w:rPr>
        <w:t>interseccionada</w:t>
      </w:r>
      <w:proofErr w:type="spellEnd"/>
      <w:r w:rsidR="00102B4F" w:rsidRPr="00EA236D">
        <w:rPr>
          <w:rStyle w:val="FootnoteReference"/>
          <w:lang w:val="es-ES_tradnl"/>
        </w:rPr>
        <w:footnoteReference w:id="61"/>
      </w:r>
      <w:r w:rsidR="004208BA" w:rsidRPr="00EA236D">
        <w:rPr>
          <w:rFonts w:cs="Times New Roman"/>
          <w:szCs w:val="20"/>
          <w:lang w:val="es-ES_tradnl"/>
        </w:rPr>
        <w:t xml:space="preserve"> con otras categorías;</w:t>
      </w:r>
      <w:r w:rsidR="00102B4F" w:rsidRPr="00EA236D">
        <w:rPr>
          <w:rFonts w:cs="Times New Roman"/>
          <w:szCs w:val="20"/>
          <w:lang w:val="es-ES_tradnl"/>
        </w:rPr>
        <w:t xml:space="preserve"> y, en tercer lugar, </w:t>
      </w:r>
      <w:r w:rsidR="002C6205" w:rsidRPr="00EA236D">
        <w:rPr>
          <w:rFonts w:cs="Times New Roman"/>
          <w:szCs w:val="20"/>
          <w:lang w:val="es-ES_tradnl"/>
        </w:rPr>
        <w:t xml:space="preserve">pobreza o condición económica </w:t>
      </w:r>
      <w:r w:rsidR="00102B4F" w:rsidRPr="00EA236D">
        <w:rPr>
          <w:rFonts w:cs="Times New Roman"/>
          <w:szCs w:val="20"/>
          <w:lang w:val="es-ES_tradnl"/>
        </w:rPr>
        <w:t xml:space="preserve">analizada de manera aislada </w:t>
      </w:r>
      <w:r w:rsidR="00BD5293" w:rsidRPr="00EA236D">
        <w:rPr>
          <w:rFonts w:cs="Times New Roman"/>
          <w:szCs w:val="20"/>
          <w:lang w:val="es-ES_tradnl"/>
        </w:rPr>
        <w:t xml:space="preserve">dadas las circunstancias del caso </w:t>
      </w:r>
      <w:r w:rsidR="00102B4F" w:rsidRPr="00EA236D">
        <w:rPr>
          <w:rFonts w:cs="Times New Roman"/>
          <w:szCs w:val="20"/>
          <w:lang w:val="es-ES_tradnl"/>
        </w:rPr>
        <w:t>sin vincularla con otra categoría de especial protección</w:t>
      </w:r>
      <w:r w:rsidR="00102B4F" w:rsidRPr="00EA236D">
        <w:rPr>
          <w:rStyle w:val="FootnoteReference"/>
          <w:lang w:val="es-ES_tradnl"/>
        </w:rPr>
        <w:footnoteReference w:id="62"/>
      </w:r>
      <w:r w:rsidR="00102B4F" w:rsidRPr="00EA236D">
        <w:rPr>
          <w:rFonts w:cs="Times New Roman"/>
          <w:szCs w:val="20"/>
          <w:lang w:val="es-ES_tradnl"/>
        </w:rPr>
        <w:t xml:space="preserve">. </w:t>
      </w:r>
      <w:r w:rsidR="002C6205" w:rsidRPr="00EA236D">
        <w:rPr>
          <w:rFonts w:cs="Times New Roman"/>
          <w:szCs w:val="20"/>
          <w:lang w:val="es-ES_tradnl"/>
        </w:rPr>
        <w:t>No obstante, en ningún caso había sido analizado este tercer supuesto a la luz de la pobreza como parte de la posición económica</w:t>
      </w:r>
      <w:r w:rsidR="00BD5293" w:rsidRPr="00EA236D">
        <w:rPr>
          <w:rFonts w:cs="Times New Roman"/>
          <w:szCs w:val="20"/>
          <w:lang w:val="es-ES_tradnl"/>
        </w:rPr>
        <w:t>,</w:t>
      </w:r>
      <w:r w:rsidR="002C6205" w:rsidRPr="00EA236D">
        <w:rPr>
          <w:rFonts w:cs="Times New Roman"/>
          <w:szCs w:val="20"/>
          <w:lang w:val="es-ES_tradnl"/>
        </w:rPr>
        <w:t xml:space="preserve"> según lo dispuesto en el artículo 1.1 d</w:t>
      </w:r>
      <w:r w:rsidR="004208BA" w:rsidRPr="00EA236D">
        <w:rPr>
          <w:rFonts w:cs="Times New Roman"/>
          <w:szCs w:val="20"/>
          <w:lang w:val="es-ES_tradnl"/>
        </w:rPr>
        <w:t>e la Convención Americana, siendo la primera ve</w:t>
      </w:r>
      <w:r w:rsidR="004175FB" w:rsidRPr="00EA236D">
        <w:rPr>
          <w:rFonts w:cs="Times New Roman"/>
          <w:szCs w:val="20"/>
          <w:lang w:val="es-ES_tradnl"/>
        </w:rPr>
        <w:t>z</w:t>
      </w:r>
      <w:r w:rsidR="00C32BFA" w:rsidRPr="00EA236D">
        <w:rPr>
          <w:rFonts w:cs="Times New Roman"/>
          <w:szCs w:val="20"/>
          <w:lang w:val="es-ES_tradnl"/>
        </w:rPr>
        <w:t xml:space="preserve"> </w:t>
      </w:r>
      <w:r w:rsidR="004208BA" w:rsidRPr="00EA236D">
        <w:rPr>
          <w:rFonts w:cs="Times New Roman"/>
          <w:szCs w:val="20"/>
          <w:lang w:val="es-ES_tradnl"/>
        </w:rPr>
        <w:t xml:space="preserve">el </w:t>
      </w:r>
      <w:r w:rsidR="004208BA" w:rsidRPr="00EA236D">
        <w:rPr>
          <w:rFonts w:cs="Times New Roman"/>
          <w:i/>
          <w:szCs w:val="20"/>
          <w:lang w:val="es-ES_tradnl"/>
        </w:rPr>
        <w:t>Caso Trabajadores de la Hacienda Brasil Verde</w:t>
      </w:r>
      <w:r w:rsidR="004175FB" w:rsidRPr="00EA236D">
        <w:rPr>
          <w:rFonts w:cs="Times New Roman"/>
          <w:szCs w:val="20"/>
          <w:lang w:val="es-ES_tradnl"/>
        </w:rPr>
        <w:t>,</w:t>
      </w:r>
      <w:r w:rsidR="004208BA" w:rsidRPr="00EA236D">
        <w:rPr>
          <w:rFonts w:cs="Times New Roman"/>
          <w:szCs w:val="20"/>
          <w:lang w:val="es-ES_tradnl"/>
        </w:rPr>
        <w:t xml:space="preserve"> que motiva el presente voto razonado.</w:t>
      </w:r>
    </w:p>
    <w:p w14:paraId="08D23BC2" w14:textId="77777777" w:rsidR="00245B38" w:rsidRPr="00EA236D" w:rsidRDefault="00245B38" w:rsidP="008060A3">
      <w:pPr>
        <w:pStyle w:val="ListParagraph"/>
        <w:spacing w:line="360" w:lineRule="auto"/>
        <w:ind w:left="0"/>
        <w:jc w:val="center"/>
        <w:rPr>
          <w:rFonts w:cs="Times New Roman"/>
          <w:b/>
          <w:szCs w:val="20"/>
          <w:lang w:val="es-ES_tradnl"/>
        </w:rPr>
      </w:pPr>
    </w:p>
    <w:p w14:paraId="34C0C482" w14:textId="7B010D3F" w:rsidR="004F7841" w:rsidRPr="00EA236D" w:rsidRDefault="00671230" w:rsidP="00E11A65">
      <w:pPr>
        <w:pStyle w:val="ListParagraph"/>
        <w:spacing w:line="360" w:lineRule="auto"/>
        <w:ind w:left="0"/>
        <w:jc w:val="center"/>
        <w:rPr>
          <w:rFonts w:cs="Times New Roman"/>
          <w:szCs w:val="20"/>
          <w:lang w:val="es-ES_tradnl"/>
        </w:rPr>
      </w:pPr>
      <w:r w:rsidRPr="00EA236D">
        <w:rPr>
          <w:rFonts w:cs="Times New Roman"/>
          <w:szCs w:val="20"/>
          <w:lang w:val="es-ES_tradnl"/>
        </w:rPr>
        <w:t>II</w:t>
      </w:r>
      <w:r w:rsidR="004208BA" w:rsidRPr="00EA236D">
        <w:rPr>
          <w:rFonts w:cs="Times New Roman"/>
          <w:szCs w:val="20"/>
          <w:lang w:val="es-ES_tradnl"/>
        </w:rPr>
        <w:t>I.</w:t>
      </w:r>
      <w:r w:rsidRPr="00EA236D">
        <w:rPr>
          <w:rFonts w:cs="Times New Roman"/>
          <w:szCs w:val="20"/>
          <w:lang w:val="es-ES_tradnl"/>
        </w:rPr>
        <w:t xml:space="preserve"> LA POBREZA COMO PARTE DE LA </w:t>
      </w:r>
      <w:r w:rsidR="00245B38" w:rsidRPr="00EA236D">
        <w:rPr>
          <w:rFonts w:cs="Times New Roman"/>
          <w:szCs w:val="20"/>
          <w:lang w:val="es-ES_tradnl"/>
        </w:rPr>
        <w:t>“</w:t>
      </w:r>
      <w:r w:rsidRPr="00EA236D">
        <w:rPr>
          <w:rFonts w:cs="Times New Roman"/>
          <w:szCs w:val="20"/>
          <w:lang w:val="es-ES_tradnl"/>
        </w:rPr>
        <w:t>POSICIÓN ECONÓMICA</w:t>
      </w:r>
      <w:r w:rsidR="00245B38" w:rsidRPr="00EA236D">
        <w:rPr>
          <w:rFonts w:cs="Times New Roman"/>
          <w:szCs w:val="20"/>
          <w:lang w:val="es-ES_tradnl"/>
        </w:rPr>
        <w:t>”</w:t>
      </w:r>
      <w:r w:rsidRPr="00EA236D">
        <w:rPr>
          <w:rFonts w:cs="Times New Roman"/>
          <w:szCs w:val="20"/>
          <w:lang w:val="es-ES_tradnl"/>
        </w:rPr>
        <w:t xml:space="preserve"> CONTEMPLADA EN LA CONVENCIÓ</w:t>
      </w:r>
      <w:r w:rsidR="004208BA" w:rsidRPr="00EA236D">
        <w:rPr>
          <w:rFonts w:cs="Times New Roman"/>
          <w:szCs w:val="20"/>
          <w:lang w:val="es-ES_tradnl"/>
        </w:rPr>
        <w:t>N AMERICANA EN EL PRESENTE CASO</w:t>
      </w:r>
    </w:p>
    <w:p w14:paraId="266BAE85" w14:textId="77777777" w:rsidR="004E56F8" w:rsidRPr="00EA236D" w:rsidRDefault="004E56F8" w:rsidP="002C0A86">
      <w:pPr>
        <w:pStyle w:val="ListParagraph"/>
        <w:spacing w:line="276" w:lineRule="auto"/>
        <w:ind w:left="0"/>
        <w:contextualSpacing w:val="0"/>
        <w:rPr>
          <w:lang w:val="es-ES_tradnl"/>
        </w:rPr>
      </w:pPr>
    </w:p>
    <w:p w14:paraId="0BDE73D4" w14:textId="07FE5A9E" w:rsidR="00215CE9" w:rsidRPr="00EA236D" w:rsidRDefault="00E141C4" w:rsidP="00215CE9">
      <w:pPr>
        <w:pStyle w:val="ListParagraph"/>
        <w:numPr>
          <w:ilvl w:val="0"/>
          <w:numId w:val="1"/>
        </w:numPr>
        <w:rPr>
          <w:rFonts w:cs="Times New Roman"/>
          <w:szCs w:val="20"/>
          <w:lang w:val="es-ES_tradnl"/>
        </w:rPr>
      </w:pPr>
      <w:r w:rsidRPr="00EA236D">
        <w:rPr>
          <w:rFonts w:cs="Times New Roman"/>
          <w:szCs w:val="20"/>
          <w:lang w:val="es-ES_tradnl"/>
        </w:rPr>
        <w:t>Si bien los tribunales regionales de derechos humanos no se han pronunciado sobre la discriminación por la posición económica derivada de la pobreza que sufren las personas en sus jurisdicciones</w:t>
      </w:r>
      <w:r w:rsidR="00C32BFA" w:rsidRPr="00EA236D">
        <w:rPr>
          <w:rFonts w:cs="Times New Roman"/>
          <w:szCs w:val="20"/>
          <w:lang w:val="es-ES_tradnl"/>
        </w:rPr>
        <w:t xml:space="preserve"> —</w:t>
      </w:r>
      <w:r w:rsidRPr="00EA236D">
        <w:rPr>
          <w:rFonts w:cs="Times New Roman"/>
          <w:szCs w:val="20"/>
          <w:lang w:val="es-ES_tradnl"/>
        </w:rPr>
        <w:t xml:space="preserve">factor que </w:t>
      </w:r>
      <w:r w:rsidR="004175FB" w:rsidRPr="00EA236D">
        <w:rPr>
          <w:rFonts w:cs="Times New Roman"/>
          <w:szCs w:val="20"/>
          <w:lang w:val="es-ES_tradnl"/>
        </w:rPr>
        <w:t xml:space="preserve">quizá </w:t>
      </w:r>
      <w:r w:rsidRPr="00EA236D">
        <w:rPr>
          <w:rFonts w:cs="Times New Roman"/>
          <w:szCs w:val="20"/>
          <w:lang w:val="es-ES_tradnl"/>
        </w:rPr>
        <w:t>se deba a que</w:t>
      </w:r>
      <w:r w:rsidR="00703F41">
        <w:rPr>
          <w:rFonts w:cs="Times New Roman"/>
          <w:szCs w:val="20"/>
          <w:lang w:val="es-ES_tradnl"/>
        </w:rPr>
        <w:t>,</w:t>
      </w:r>
      <w:r w:rsidRPr="00EA236D">
        <w:rPr>
          <w:rFonts w:cs="Times New Roman"/>
          <w:szCs w:val="20"/>
          <w:lang w:val="es-ES_tradnl"/>
        </w:rPr>
        <w:t xml:space="preserve"> </w:t>
      </w:r>
      <w:r w:rsidR="004321C1" w:rsidRPr="00EA236D">
        <w:rPr>
          <w:rFonts w:cs="Times New Roman"/>
          <w:szCs w:val="20"/>
          <w:lang w:val="es-ES_tradnl"/>
        </w:rPr>
        <w:t xml:space="preserve">a </w:t>
      </w:r>
      <w:r w:rsidRPr="00EA236D">
        <w:rPr>
          <w:rFonts w:cs="Times New Roman"/>
          <w:szCs w:val="20"/>
          <w:lang w:val="es-ES_tradnl"/>
        </w:rPr>
        <w:t>diferencia de la CADH</w:t>
      </w:r>
      <w:r w:rsidR="00703F41">
        <w:rPr>
          <w:rFonts w:cs="Times New Roman"/>
          <w:szCs w:val="20"/>
          <w:lang w:val="es-ES_tradnl"/>
        </w:rPr>
        <w:t>,</w:t>
      </w:r>
      <w:r w:rsidRPr="00EA236D">
        <w:rPr>
          <w:rFonts w:cs="Times New Roman"/>
          <w:szCs w:val="20"/>
          <w:lang w:val="es-ES_tradnl"/>
        </w:rPr>
        <w:t xml:space="preserve"> el Convenio Europeo </w:t>
      </w:r>
      <w:r w:rsidR="00703F41">
        <w:rPr>
          <w:rFonts w:cs="Times New Roman"/>
          <w:szCs w:val="20"/>
          <w:lang w:val="es-ES_tradnl"/>
        </w:rPr>
        <w:t>y</w:t>
      </w:r>
      <w:r w:rsidR="00703F41" w:rsidRPr="00EA236D">
        <w:rPr>
          <w:rFonts w:cs="Times New Roman"/>
          <w:szCs w:val="20"/>
          <w:lang w:val="es-ES_tradnl"/>
        </w:rPr>
        <w:t xml:space="preserve"> </w:t>
      </w:r>
      <w:r w:rsidRPr="00EA236D">
        <w:rPr>
          <w:rFonts w:cs="Times New Roman"/>
          <w:szCs w:val="20"/>
          <w:lang w:val="es-ES_tradnl"/>
        </w:rPr>
        <w:t xml:space="preserve">la Carta Africana </w:t>
      </w:r>
      <w:r w:rsidR="00703F41">
        <w:rPr>
          <w:rFonts w:cs="Times New Roman"/>
          <w:szCs w:val="20"/>
          <w:lang w:val="es-ES_tradnl"/>
        </w:rPr>
        <w:t xml:space="preserve">no </w:t>
      </w:r>
      <w:r w:rsidRPr="00EA236D">
        <w:rPr>
          <w:rFonts w:cs="Times New Roman"/>
          <w:szCs w:val="20"/>
          <w:lang w:val="es-ES_tradnl"/>
        </w:rPr>
        <w:t>contienen expresamente la prohibición de discriminación por “posición económica”</w:t>
      </w:r>
      <w:r w:rsidR="00C32BFA" w:rsidRPr="00EA236D">
        <w:rPr>
          <w:rFonts w:cs="Times New Roman"/>
          <w:szCs w:val="20"/>
          <w:lang w:val="es-ES_tradnl"/>
        </w:rPr>
        <w:t>—;</w:t>
      </w:r>
      <w:r w:rsidRPr="00EA236D">
        <w:rPr>
          <w:rFonts w:cs="Times New Roman"/>
          <w:szCs w:val="20"/>
          <w:lang w:val="es-ES_tradnl"/>
        </w:rPr>
        <w:t xml:space="preserve"> lo cierto es que la Corte IDH</w:t>
      </w:r>
      <w:r w:rsidR="00BD764F" w:rsidRPr="00EA236D">
        <w:rPr>
          <w:rFonts w:cs="Times New Roman"/>
          <w:szCs w:val="20"/>
          <w:lang w:val="es-ES_tradnl"/>
        </w:rPr>
        <w:t>,</w:t>
      </w:r>
      <w:r w:rsidRPr="00EA236D">
        <w:rPr>
          <w:rFonts w:cs="Times New Roman"/>
          <w:szCs w:val="20"/>
          <w:lang w:val="es-ES_tradnl"/>
        </w:rPr>
        <w:t xml:space="preserve"> como </w:t>
      </w:r>
      <w:r w:rsidR="00BD764F" w:rsidRPr="00EA236D">
        <w:rPr>
          <w:rFonts w:cs="Times New Roman"/>
          <w:szCs w:val="20"/>
          <w:lang w:val="es-ES_tradnl"/>
        </w:rPr>
        <w:t xml:space="preserve">se ha evidenciado, </w:t>
      </w:r>
      <w:r w:rsidR="00C32BFA" w:rsidRPr="00EA236D">
        <w:rPr>
          <w:rFonts w:cs="Times New Roman"/>
          <w:szCs w:val="20"/>
          <w:lang w:val="es-ES_tradnl"/>
        </w:rPr>
        <w:t>va en la misma dirección</w:t>
      </w:r>
      <w:r w:rsidR="004321C1" w:rsidRPr="00EA236D">
        <w:rPr>
          <w:rFonts w:cs="Times New Roman"/>
          <w:szCs w:val="20"/>
          <w:lang w:val="es-ES_tradnl"/>
        </w:rPr>
        <w:t xml:space="preserve"> </w:t>
      </w:r>
      <w:r w:rsidR="00737DF4" w:rsidRPr="00EA236D">
        <w:rPr>
          <w:rFonts w:cs="Times New Roman"/>
          <w:szCs w:val="20"/>
          <w:lang w:val="es-ES_tradnl"/>
        </w:rPr>
        <w:t xml:space="preserve">que </w:t>
      </w:r>
      <w:r w:rsidRPr="00EA236D">
        <w:rPr>
          <w:rFonts w:cs="Times New Roman"/>
          <w:szCs w:val="20"/>
          <w:lang w:val="es-ES_tradnl"/>
        </w:rPr>
        <w:t xml:space="preserve">el </w:t>
      </w:r>
      <w:r w:rsidR="004175FB" w:rsidRPr="00EA236D">
        <w:rPr>
          <w:rFonts w:cs="Times New Roman"/>
          <w:szCs w:val="20"/>
          <w:lang w:val="es-ES_tradnl"/>
        </w:rPr>
        <w:t>Sistema Universal</w:t>
      </w:r>
      <w:r w:rsidRPr="00EA236D">
        <w:rPr>
          <w:rFonts w:cs="Times New Roman"/>
          <w:szCs w:val="20"/>
          <w:lang w:val="es-ES_tradnl"/>
        </w:rPr>
        <w:t xml:space="preserve"> al reconocer que las personas que viven en situación de pobreza son personas que se encuentran protegidas por el art</w:t>
      </w:r>
      <w:r w:rsidR="007E07BB">
        <w:rPr>
          <w:rFonts w:cs="Times New Roman"/>
          <w:szCs w:val="20"/>
          <w:lang w:val="es-ES_tradnl"/>
        </w:rPr>
        <w:t>í</w:t>
      </w:r>
      <w:r w:rsidRPr="00EA236D">
        <w:rPr>
          <w:rFonts w:cs="Times New Roman"/>
          <w:szCs w:val="20"/>
          <w:lang w:val="es-ES_tradnl"/>
        </w:rPr>
        <w:t xml:space="preserve">culo 1.1 de la Convención Americana por su posición económica. </w:t>
      </w:r>
      <w:r w:rsidR="00A21164" w:rsidRPr="00EA236D">
        <w:rPr>
          <w:rFonts w:cs="Times New Roman"/>
          <w:szCs w:val="20"/>
          <w:lang w:val="es-ES_tradnl"/>
        </w:rPr>
        <w:t xml:space="preserve">De esta forma, </w:t>
      </w:r>
      <w:r w:rsidR="00215CE9" w:rsidRPr="00EA236D">
        <w:rPr>
          <w:rFonts w:cs="Times New Roman"/>
          <w:szCs w:val="20"/>
          <w:lang w:val="es-ES_tradnl"/>
        </w:rPr>
        <w:t>el Tribunal Interamericano</w:t>
      </w:r>
      <w:r w:rsidR="00A21164" w:rsidRPr="00EA236D">
        <w:rPr>
          <w:rFonts w:cs="Times New Roman"/>
          <w:szCs w:val="20"/>
          <w:lang w:val="es-ES_tradnl"/>
        </w:rPr>
        <w:t>, adiciona una forma más de entender la pobreza, como parte de una categoría de protección</w:t>
      </w:r>
      <w:r w:rsidR="00215CE9" w:rsidRPr="00EA236D">
        <w:rPr>
          <w:rFonts w:cs="Times New Roman"/>
          <w:szCs w:val="20"/>
          <w:lang w:val="es-ES_tradnl"/>
        </w:rPr>
        <w:t xml:space="preserve"> especial.</w:t>
      </w:r>
    </w:p>
    <w:p w14:paraId="3ED01DB7" w14:textId="700E4F39" w:rsidR="00E141C4" w:rsidRPr="00EA236D" w:rsidRDefault="00215CE9" w:rsidP="00215CE9">
      <w:pPr>
        <w:pStyle w:val="ListParagraph"/>
        <w:ind w:left="0"/>
        <w:rPr>
          <w:rFonts w:cs="Times New Roman"/>
          <w:szCs w:val="20"/>
          <w:lang w:val="es-ES_tradnl"/>
        </w:rPr>
      </w:pPr>
      <w:r w:rsidRPr="00EA236D">
        <w:rPr>
          <w:rFonts w:cs="Times New Roman"/>
          <w:szCs w:val="20"/>
          <w:lang w:val="es-ES_tradnl"/>
        </w:rPr>
        <w:t xml:space="preserve"> </w:t>
      </w:r>
    </w:p>
    <w:p w14:paraId="737DBDDF" w14:textId="29F2E91D" w:rsidR="004F7841" w:rsidRPr="00EA236D" w:rsidRDefault="004F7841" w:rsidP="00E141C4">
      <w:pPr>
        <w:pStyle w:val="ListParagraph"/>
        <w:numPr>
          <w:ilvl w:val="0"/>
          <w:numId w:val="1"/>
        </w:numPr>
        <w:rPr>
          <w:rFonts w:cs="Times New Roman"/>
          <w:szCs w:val="20"/>
          <w:lang w:val="es-ES_tradnl"/>
        </w:rPr>
      </w:pPr>
      <w:r w:rsidRPr="00EA236D">
        <w:rPr>
          <w:lang w:val="es-ES_tradnl"/>
        </w:rPr>
        <w:t>La Corte</w:t>
      </w:r>
      <w:r w:rsidR="00E141C4" w:rsidRPr="00EA236D">
        <w:rPr>
          <w:lang w:val="es-ES_tradnl"/>
        </w:rPr>
        <w:t xml:space="preserve"> IDH</w:t>
      </w:r>
      <w:r w:rsidRPr="00EA236D">
        <w:rPr>
          <w:lang w:val="es-ES_tradnl"/>
        </w:rPr>
        <w:t xml:space="preserve"> reconoció</w:t>
      </w:r>
      <w:r w:rsidR="00BD764F" w:rsidRPr="00EA236D">
        <w:rPr>
          <w:lang w:val="es-ES_tradnl"/>
        </w:rPr>
        <w:t xml:space="preserve"> en </w:t>
      </w:r>
      <w:r w:rsidR="00C32BFA" w:rsidRPr="00EA236D">
        <w:rPr>
          <w:lang w:val="es-ES_tradnl"/>
        </w:rPr>
        <w:t>la Sentencia</w:t>
      </w:r>
      <w:r w:rsidR="00E141C4" w:rsidRPr="00EA236D">
        <w:rPr>
          <w:lang w:val="es-ES_tradnl"/>
        </w:rPr>
        <w:t xml:space="preserve">, por primera vez, </w:t>
      </w:r>
      <w:r w:rsidRPr="00EA236D">
        <w:rPr>
          <w:lang w:val="es-ES_tradnl"/>
        </w:rPr>
        <w:t xml:space="preserve">que los hechos discriminatorios del presente caso se derivaron por la posición </w:t>
      </w:r>
      <w:r w:rsidR="00D73E74" w:rsidRPr="00EA236D">
        <w:rPr>
          <w:lang w:val="es-ES_tradnl"/>
        </w:rPr>
        <w:t>económica</w:t>
      </w:r>
      <w:r w:rsidR="00C32BFA" w:rsidRPr="00EA236D">
        <w:rPr>
          <w:lang w:val="es-ES_tradnl"/>
        </w:rPr>
        <w:t xml:space="preserve"> </w:t>
      </w:r>
      <w:r w:rsidR="00C32BFA" w:rsidRPr="00EA236D">
        <w:rPr>
          <w:rFonts w:cs="Times New Roman"/>
          <w:szCs w:val="20"/>
          <w:lang w:val="es-ES_tradnl"/>
        </w:rPr>
        <w:t>—</w:t>
      </w:r>
      <w:r w:rsidR="006032DA" w:rsidRPr="00EA236D">
        <w:rPr>
          <w:lang w:val="es-ES_tradnl"/>
        </w:rPr>
        <w:t>por</w:t>
      </w:r>
      <w:r w:rsidRPr="00EA236D">
        <w:rPr>
          <w:lang w:val="es-ES_tradnl"/>
        </w:rPr>
        <w:t xml:space="preserve"> su situación de pobreza</w:t>
      </w:r>
      <w:r w:rsidR="00C32BFA" w:rsidRPr="00EA236D">
        <w:rPr>
          <w:rFonts w:cs="Times New Roman"/>
          <w:szCs w:val="20"/>
          <w:lang w:val="es-ES_tradnl"/>
        </w:rPr>
        <w:t>—</w:t>
      </w:r>
      <w:r w:rsidR="00C32BFA" w:rsidRPr="00EA236D">
        <w:rPr>
          <w:lang w:val="es-ES_tradnl"/>
        </w:rPr>
        <w:t xml:space="preserve"> </w:t>
      </w:r>
      <w:r w:rsidR="0052228E" w:rsidRPr="00EA236D">
        <w:rPr>
          <w:lang w:val="es-ES_tradnl"/>
        </w:rPr>
        <w:t>de las 85 ví</w:t>
      </w:r>
      <w:r w:rsidRPr="00EA236D">
        <w:rPr>
          <w:lang w:val="es-ES_tradnl"/>
        </w:rPr>
        <w:t xml:space="preserve">ctimas que se </w:t>
      </w:r>
      <w:r w:rsidR="00D73E74" w:rsidRPr="00EA236D">
        <w:rPr>
          <w:lang w:val="es-ES_tradnl"/>
        </w:rPr>
        <w:t>encontraban</w:t>
      </w:r>
      <w:r w:rsidRPr="00EA236D">
        <w:rPr>
          <w:lang w:val="es-ES_tradnl"/>
        </w:rPr>
        <w:t xml:space="preserve"> dentro de la Hacie</w:t>
      </w:r>
      <w:r w:rsidR="001D14C4" w:rsidRPr="00EA236D">
        <w:rPr>
          <w:lang w:val="es-ES_tradnl"/>
        </w:rPr>
        <w:t>nda Brasil Verde. Así, se pronunció en el sentido de estable</w:t>
      </w:r>
      <w:r w:rsidR="00C32BFA" w:rsidRPr="00EA236D">
        <w:rPr>
          <w:lang w:val="es-ES_tradnl"/>
        </w:rPr>
        <w:t>ce</w:t>
      </w:r>
      <w:r w:rsidR="001D14C4" w:rsidRPr="00EA236D">
        <w:rPr>
          <w:lang w:val="es-ES_tradnl"/>
        </w:rPr>
        <w:t xml:space="preserve">r </w:t>
      </w:r>
      <w:r w:rsidRPr="00EA236D">
        <w:rPr>
          <w:lang w:val="es-ES_tradnl"/>
        </w:rPr>
        <w:t xml:space="preserve">que: </w:t>
      </w:r>
    </w:p>
    <w:p w14:paraId="39E9F80B" w14:textId="77777777" w:rsidR="004F7841" w:rsidRPr="00EA236D" w:rsidRDefault="004F7841" w:rsidP="004F7841">
      <w:pPr>
        <w:pStyle w:val="ListParagraph"/>
        <w:ind w:left="0"/>
        <w:contextualSpacing w:val="0"/>
        <w:rPr>
          <w:lang w:val="es-ES_tradnl"/>
        </w:rPr>
      </w:pPr>
    </w:p>
    <w:p w14:paraId="61342357" w14:textId="77777777" w:rsidR="00403956" w:rsidRPr="00EA236D" w:rsidRDefault="00134D3E" w:rsidP="00134D3E">
      <w:pPr>
        <w:pStyle w:val="ListParagraph"/>
        <w:ind w:left="708"/>
        <w:rPr>
          <w:sz w:val="16"/>
          <w:szCs w:val="16"/>
          <w:lang w:val="es-ES_tradnl"/>
        </w:rPr>
      </w:pPr>
      <w:r w:rsidRPr="00EA236D">
        <w:rPr>
          <w:sz w:val="16"/>
          <w:szCs w:val="16"/>
          <w:lang w:val="es-ES_tradnl"/>
        </w:rPr>
        <w:t>339. […] en el presente caso</w:t>
      </w:r>
      <w:r w:rsidRPr="00EA236D">
        <w:rPr>
          <w:sz w:val="16"/>
          <w:szCs w:val="16"/>
          <w:u w:val="single"/>
          <w:lang w:val="es-ES_tradnl"/>
        </w:rPr>
        <w:t xml:space="preserve"> algunas características de particular victimización compartidas por los 85 trabajadores rescatados</w:t>
      </w:r>
      <w:r w:rsidRPr="00EA236D">
        <w:rPr>
          <w:sz w:val="16"/>
          <w:szCs w:val="16"/>
          <w:lang w:val="es-ES_tradnl"/>
        </w:rPr>
        <w:t xml:space="preserve"> el 15 de marzo de 2000: </w:t>
      </w:r>
      <w:r w:rsidRPr="00EA236D">
        <w:rPr>
          <w:b/>
          <w:sz w:val="16"/>
          <w:szCs w:val="16"/>
          <w:lang w:val="es-ES_tradnl"/>
        </w:rPr>
        <w:t>[i)]</w:t>
      </w:r>
      <w:r w:rsidRPr="00EA236D">
        <w:rPr>
          <w:b/>
          <w:sz w:val="16"/>
          <w:szCs w:val="16"/>
          <w:u w:val="single"/>
          <w:lang w:val="es-ES_tradnl"/>
        </w:rPr>
        <w:t>se encontraban en una situación de pobreza</w:t>
      </w:r>
      <w:r w:rsidRPr="00EA236D">
        <w:rPr>
          <w:b/>
          <w:sz w:val="16"/>
          <w:szCs w:val="16"/>
          <w:lang w:val="es-ES_tradnl"/>
        </w:rPr>
        <w:t>, [ii)]</w:t>
      </w:r>
      <w:r w:rsidRPr="00EA236D">
        <w:rPr>
          <w:b/>
          <w:sz w:val="16"/>
          <w:szCs w:val="16"/>
          <w:u w:val="single"/>
          <w:lang w:val="es-ES_tradnl"/>
        </w:rPr>
        <w:t>provenían de las regiones más pobres del país</w:t>
      </w:r>
      <w:r w:rsidRPr="00EA236D">
        <w:rPr>
          <w:b/>
          <w:sz w:val="16"/>
          <w:szCs w:val="16"/>
          <w:lang w:val="es-ES_tradnl"/>
        </w:rPr>
        <w:t>, [iii)]</w:t>
      </w:r>
      <w:r w:rsidRPr="00EA236D">
        <w:rPr>
          <w:b/>
          <w:sz w:val="16"/>
          <w:szCs w:val="16"/>
          <w:u w:val="single"/>
          <w:lang w:val="es-ES_tradnl"/>
        </w:rPr>
        <w:t>con menor desarrollo humano y perspectivas de trabajo y empleo</w:t>
      </w:r>
      <w:r w:rsidRPr="00EA236D">
        <w:rPr>
          <w:b/>
          <w:sz w:val="16"/>
          <w:szCs w:val="16"/>
          <w:lang w:val="es-ES_tradnl"/>
        </w:rPr>
        <w:t>, [iv)] eran analfabetas, y [v)] tenían poca o nula escolarización […].</w:t>
      </w:r>
      <w:r w:rsidRPr="00EA236D">
        <w:rPr>
          <w:sz w:val="16"/>
          <w:szCs w:val="16"/>
          <w:lang w:val="es-ES_tradnl"/>
        </w:rPr>
        <w:t xml:space="preserve"> Lo anterior los colocaba en una situación que los hacía más susceptibles de ser reclutados mediante falsas promesas y engaños. </w:t>
      </w:r>
      <w:r w:rsidRPr="00EA236D">
        <w:rPr>
          <w:b/>
          <w:sz w:val="16"/>
          <w:szCs w:val="16"/>
          <w:lang w:val="es-ES_tradnl"/>
        </w:rPr>
        <w:t xml:space="preserve">Dicha situación de riesgo inmediato para un grupo determinado de personas con características idénticas y originarios de las mismas regiones del país, </w:t>
      </w:r>
      <w:r w:rsidRPr="00EA236D">
        <w:rPr>
          <w:b/>
          <w:sz w:val="16"/>
          <w:szCs w:val="16"/>
          <w:u w:val="single"/>
          <w:lang w:val="es-ES_tradnl"/>
        </w:rPr>
        <w:t>tiene orígenes históricos y era conocida</w:t>
      </w:r>
      <w:r w:rsidRPr="00EA236D">
        <w:rPr>
          <w:b/>
          <w:sz w:val="16"/>
          <w:szCs w:val="16"/>
          <w:lang w:val="es-ES_tradnl"/>
        </w:rPr>
        <w:t xml:space="preserve"> desde, al menos, 1995,</w:t>
      </w:r>
      <w:r w:rsidRPr="00EA236D">
        <w:rPr>
          <w:sz w:val="16"/>
          <w:szCs w:val="16"/>
          <w:lang w:val="es-ES_tradnl"/>
        </w:rPr>
        <w:t xml:space="preserve"> cuando el Gobierno de Brasil reconoció expresamente la existencia de “trabajo esclavo” en el país </w:t>
      </w:r>
    </w:p>
    <w:p w14:paraId="55FA2AB7" w14:textId="283C9A99" w:rsidR="00134D3E" w:rsidRPr="00EA236D" w:rsidRDefault="00134D3E" w:rsidP="00134D3E">
      <w:pPr>
        <w:pStyle w:val="ListParagraph"/>
        <w:ind w:left="708"/>
        <w:rPr>
          <w:sz w:val="16"/>
          <w:szCs w:val="16"/>
          <w:lang w:val="es-ES_tradnl"/>
        </w:rPr>
      </w:pPr>
      <w:r w:rsidRPr="00EA236D">
        <w:rPr>
          <w:sz w:val="16"/>
          <w:szCs w:val="16"/>
          <w:lang w:val="es-ES_tradnl"/>
        </w:rPr>
        <w:t>[…].</w:t>
      </w:r>
    </w:p>
    <w:p w14:paraId="39DF74AB" w14:textId="77777777" w:rsidR="00134D3E" w:rsidRPr="00EA236D" w:rsidRDefault="00134D3E" w:rsidP="004F7841">
      <w:pPr>
        <w:pStyle w:val="ListParagraph"/>
        <w:ind w:left="708"/>
        <w:contextualSpacing w:val="0"/>
        <w:rPr>
          <w:i/>
          <w:sz w:val="16"/>
          <w:szCs w:val="16"/>
          <w:lang w:val="es-ES_tradnl"/>
        </w:rPr>
      </w:pPr>
    </w:p>
    <w:p w14:paraId="4C8B8DA0" w14:textId="77777777" w:rsidR="00134D3E" w:rsidRPr="00EA236D" w:rsidRDefault="00134D3E" w:rsidP="004F7841">
      <w:pPr>
        <w:pStyle w:val="ListParagraph"/>
        <w:ind w:left="708"/>
        <w:contextualSpacing w:val="0"/>
        <w:rPr>
          <w:i/>
          <w:sz w:val="16"/>
          <w:szCs w:val="16"/>
          <w:lang w:val="es-ES_tradnl"/>
        </w:rPr>
      </w:pPr>
    </w:p>
    <w:p w14:paraId="7CBCD67F" w14:textId="45865841" w:rsidR="004F7841" w:rsidRPr="00EA236D" w:rsidRDefault="004F7841" w:rsidP="004F7841">
      <w:pPr>
        <w:pStyle w:val="ListParagraph"/>
        <w:ind w:left="708"/>
        <w:contextualSpacing w:val="0"/>
        <w:rPr>
          <w:i/>
          <w:sz w:val="16"/>
          <w:szCs w:val="16"/>
          <w:lang w:val="es-ES_tradnl"/>
        </w:rPr>
      </w:pPr>
      <w:r w:rsidRPr="000C2F0F">
        <w:rPr>
          <w:sz w:val="16"/>
          <w:szCs w:val="16"/>
          <w:lang w:val="es-ES_tradnl"/>
        </w:rPr>
        <w:t xml:space="preserve">341. Una vez constatada la situación anterior, </w:t>
      </w:r>
      <w:r w:rsidRPr="000C2F0F">
        <w:rPr>
          <w:sz w:val="16"/>
          <w:szCs w:val="16"/>
          <w:u w:val="single"/>
          <w:lang w:val="es-ES_tradnl"/>
        </w:rPr>
        <w:t>la Corte estima que el Estado no consideró la vulnerabilidad de los 85 trabajadores</w:t>
      </w:r>
      <w:r w:rsidRPr="000C2F0F">
        <w:rPr>
          <w:sz w:val="16"/>
          <w:szCs w:val="16"/>
          <w:lang w:val="es-ES_tradnl"/>
        </w:rPr>
        <w:t xml:space="preserve"> rescatados el 15 de marzo de 2000 </w:t>
      </w:r>
      <w:r w:rsidRPr="000C2F0F">
        <w:rPr>
          <w:b/>
          <w:sz w:val="16"/>
          <w:szCs w:val="16"/>
          <w:u w:val="single"/>
          <w:lang w:val="es-ES_tradnl"/>
        </w:rPr>
        <w:t xml:space="preserve">en virtud de la </w:t>
      </w:r>
      <w:r w:rsidRPr="000C2F0F">
        <w:rPr>
          <w:b/>
          <w:sz w:val="16"/>
          <w:szCs w:val="16"/>
          <w:u w:val="single"/>
          <w:lang w:val="es-ES_tradnl"/>
        </w:rPr>
        <w:lastRenderedPageBreak/>
        <w:t>discriminación en razón de la posición económica a la que estaban sometido</w:t>
      </w:r>
      <w:r w:rsidRPr="000C2F0F">
        <w:rPr>
          <w:b/>
          <w:sz w:val="16"/>
          <w:szCs w:val="16"/>
          <w:lang w:val="es-ES_tradnl"/>
        </w:rPr>
        <w:t xml:space="preserve">s. </w:t>
      </w:r>
      <w:r w:rsidRPr="000C2F0F">
        <w:rPr>
          <w:sz w:val="16"/>
          <w:szCs w:val="16"/>
          <w:lang w:val="es-ES_tradnl"/>
        </w:rPr>
        <w:t>Lo anterior constituye una violación al artículo 6.1 de la Convención Americana, en relación con el artículo 1.1 del mismo instrumento, en perjuicio de ellos</w:t>
      </w:r>
      <w:r w:rsidR="00D73E74" w:rsidRPr="000C2F0F">
        <w:rPr>
          <w:rStyle w:val="FootnoteReference"/>
          <w:sz w:val="16"/>
          <w:lang w:val="es-ES_tradnl"/>
        </w:rPr>
        <w:footnoteReference w:id="63"/>
      </w:r>
      <w:r w:rsidRPr="000C2F0F">
        <w:rPr>
          <w:sz w:val="16"/>
          <w:szCs w:val="16"/>
          <w:lang w:val="es-ES_tradnl"/>
        </w:rPr>
        <w:t>.</w:t>
      </w:r>
      <w:r w:rsidR="00737DF4" w:rsidRPr="00EA236D">
        <w:rPr>
          <w:i/>
          <w:sz w:val="16"/>
          <w:szCs w:val="16"/>
          <w:lang w:val="es-ES_tradnl"/>
        </w:rPr>
        <w:t xml:space="preserve"> </w:t>
      </w:r>
      <w:r w:rsidR="00737DF4" w:rsidRPr="000C2F0F">
        <w:rPr>
          <w:sz w:val="16"/>
          <w:szCs w:val="16"/>
          <w:lang w:val="es-ES_tradnl"/>
        </w:rPr>
        <w:t>(Énfasis añadido</w:t>
      </w:r>
      <w:r w:rsidR="00C32BFA" w:rsidRPr="000C2F0F">
        <w:rPr>
          <w:sz w:val="16"/>
          <w:szCs w:val="16"/>
          <w:lang w:val="es-ES_tradnl"/>
        </w:rPr>
        <w:t>).</w:t>
      </w:r>
      <w:r w:rsidRPr="00EA236D">
        <w:rPr>
          <w:i/>
          <w:sz w:val="16"/>
          <w:szCs w:val="16"/>
          <w:lang w:val="es-ES_tradnl"/>
        </w:rPr>
        <w:t xml:space="preserve"> </w:t>
      </w:r>
    </w:p>
    <w:p w14:paraId="64BB3D1D" w14:textId="77777777" w:rsidR="00134D3E" w:rsidRPr="00EA236D" w:rsidRDefault="00134D3E" w:rsidP="004F7841">
      <w:pPr>
        <w:pStyle w:val="ListParagraph"/>
        <w:ind w:left="708"/>
        <w:contextualSpacing w:val="0"/>
        <w:rPr>
          <w:i/>
          <w:sz w:val="16"/>
          <w:szCs w:val="16"/>
          <w:lang w:val="es-ES_tradnl"/>
        </w:rPr>
      </w:pPr>
    </w:p>
    <w:p w14:paraId="195146A9" w14:textId="0ACC8F05" w:rsidR="00C32BFA" w:rsidRPr="00EA236D" w:rsidRDefault="004F7841" w:rsidP="006032DA">
      <w:pPr>
        <w:pStyle w:val="ListParagraph"/>
        <w:numPr>
          <w:ilvl w:val="0"/>
          <w:numId w:val="1"/>
        </w:numPr>
        <w:rPr>
          <w:rFonts w:cs="Times New Roman"/>
          <w:b/>
          <w:szCs w:val="20"/>
          <w:lang w:val="es-ES_tradnl"/>
        </w:rPr>
      </w:pPr>
      <w:r w:rsidRPr="00EA236D">
        <w:rPr>
          <w:rFonts w:cs="Times New Roman"/>
          <w:szCs w:val="20"/>
          <w:lang w:val="es-ES_tradnl"/>
        </w:rPr>
        <w:t>En este sentido, los criterios específicos en virtud de los cuales está prohibido discriminar, según el artículo 1.1 de la Convención Americana, no son un listado taxativo, ni literal o limitativo sino meramente enunciativo</w:t>
      </w:r>
      <w:r w:rsidRPr="00EA236D">
        <w:rPr>
          <w:rStyle w:val="FootnoteReference"/>
          <w:lang w:val="es-ES_tradnl"/>
        </w:rPr>
        <w:footnoteReference w:id="64"/>
      </w:r>
      <w:r w:rsidRPr="00EA236D">
        <w:rPr>
          <w:rFonts w:cs="Times New Roman"/>
          <w:szCs w:val="20"/>
          <w:lang w:val="es-ES_tradnl"/>
        </w:rPr>
        <w:t xml:space="preserve">. </w:t>
      </w:r>
      <w:r w:rsidR="00E54085" w:rsidRPr="00EA236D">
        <w:rPr>
          <w:rFonts w:cs="Times New Roman"/>
          <w:szCs w:val="20"/>
          <w:lang w:val="es-ES_tradnl"/>
        </w:rPr>
        <w:t>A diferencia de otros casos en los cuales la Corte</w:t>
      </w:r>
      <w:r w:rsidR="006032DA" w:rsidRPr="00EA236D">
        <w:rPr>
          <w:rFonts w:cs="Times New Roman"/>
          <w:szCs w:val="20"/>
          <w:lang w:val="es-ES_tradnl"/>
        </w:rPr>
        <w:t xml:space="preserve"> IDH</w:t>
      </w:r>
      <w:r w:rsidR="00E54085" w:rsidRPr="00EA236D">
        <w:rPr>
          <w:rFonts w:cs="Times New Roman"/>
          <w:szCs w:val="20"/>
          <w:lang w:val="es-ES_tradnl"/>
        </w:rPr>
        <w:t xml:space="preserve"> ha ampliado el catálogo de categorías de especial protección dispuesto en el artículo</w:t>
      </w:r>
      <w:r w:rsidR="00D237E1" w:rsidRPr="00EA236D">
        <w:rPr>
          <w:rFonts w:cs="Times New Roman"/>
          <w:szCs w:val="20"/>
          <w:lang w:val="es-ES_tradnl"/>
        </w:rPr>
        <w:t xml:space="preserve"> 1.1 del Pacto de San José</w:t>
      </w:r>
      <w:r w:rsidR="00E54085" w:rsidRPr="00EA236D">
        <w:rPr>
          <w:rStyle w:val="FootnoteReference"/>
          <w:lang w:val="es-ES_tradnl"/>
        </w:rPr>
        <w:footnoteReference w:id="65"/>
      </w:r>
      <w:r w:rsidR="00C32BFA" w:rsidRPr="00EA236D">
        <w:rPr>
          <w:rFonts w:cs="Times New Roman"/>
          <w:szCs w:val="20"/>
          <w:lang w:val="es-ES_tradnl"/>
        </w:rPr>
        <w:t>,</w:t>
      </w:r>
      <w:r w:rsidR="00D237E1" w:rsidRPr="00EA236D">
        <w:rPr>
          <w:rFonts w:cs="Times New Roman"/>
          <w:szCs w:val="20"/>
          <w:lang w:val="es-ES_tradnl"/>
        </w:rPr>
        <w:t xml:space="preserve"> incorporando, por ejemplo, la identidad de género o la orientación sexual</w:t>
      </w:r>
      <w:r w:rsidR="00D237E1" w:rsidRPr="00EA236D">
        <w:rPr>
          <w:rStyle w:val="FootnoteReference"/>
          <w:lang w:val="es-ES_tradnl"/>
        </w:rPr>
        <w:footnoteReference w:id="66"/>
      </w:r>
      <w:r w:rsidR="00112D48">
        <w:rPr>
          <w:rFonts w:cs="Times New Roman"/>
          <w:szCs w:val="20"/>
          <w:lang w:val="es-ES_tradnl"/>
        </w:rPr>
        <w:t>,</w:t>
      </w:r>
      <w:r w:rsidR="00D237E1" w:rsidRPr="00EA236D">
        <w:rPr>
          <w:rFonts w:cs="Times New Roman"/>
          <w:szCs w:val="20"/>
          <w:lang w:val="es-ES_tradnl"/>
        </w:rPr>
        <w:t xml:space="preserve"> o la discapacidad</w:t>
      </w:r>
      <w:r w:rsidR="00D237E1" w:rsidRPr="00EA236D">
        <w:rPr>
          <w:rStyle w:val="FootnoteReference"/>
          <w:lang w:val="es-ES_tradnl"/>
        </w:rPr>
        <w:footnoteReference w:id="67"/>
      </w:r>
      <w:r w:rsidR="00C32BFA" w:rsidRPr="00EA236D">
        <w:rPr>
          <w:rFonts w:cs="Times New Roman"/>
          <w:szCs w:val="20"/>
          <w:lang w:val="es-ES_tradnl"/>
        </w:rPr>
        <w:t>;</w:t>
      </w:r>
      <w:r w:rsidR="00737DF4" w:rsidRPr="00EA236D">
        <w:rPr>
          <w:rFonts w:cs="Times New Roman"/>
          <w:szCs w:val="20"/>
          <w:lang w:val="es-ES_tradnl"/>
        </w:rPr>
        <w:t xml:space="preserve"> en la Sentencia,</w:t>
      </w:r>
      <w:r w:rsidR="00E54085" w:rsidRPr="00EA236D">
        <w:rPr>
          <w:rFonts w:cs="Times New Roman"/>
          <w:szCs w:val="20"/>
          <w:lang w:val="es-ES_tradnl"/>
        </w:rPr>
        <w:t xml:space="preserve"> lo que la Corte IDH hace es delimitar el alcanc</w:t>
      </w:r>
      <w:r w:rsidR="006032DA" w:rsidRPr="00EA236D">
        <w:rPr>
          <w:rFonts w:cs="Times New Roman"/>
          <w:szCs w:val="20"/>
          <w:lang w:val="es-ES_tradnl"/>
        </w:rPr>
        <w:t xml:space="preserve">e y el contenido de la prohibición </w:t>
      </w:r>
      <w:r w:rsidR="00E141C4" w:rsidRPr="00EA236D">
        <w:rPr>
          <w:rFonts w:cs="Times New Roman"/>
          <w:szCs w:val="20"/>
          <w:lang w:val="es-ES_tradnl"/>
        </w:rPr>
        <w:t xml:space="preserve">de discriminación </w:t>
      </w:r>
      <w:r w:rsidR="006032DA" w:rsidRPr="00EA236D">
        <w:rPr>
          <w:rFonts w:cs="Times New Roman"/>
          <w:szCs w:val="20"/>
          <w:lang w:val="es-ES_tradnl"/>
        </w:rPr>
        <w:t>por</w:t>
      </w:r>
      <w:r w:rsidR="00E54085" w:rsidRPr="00EA236D">
        <w:rPr>
          <w:rFonts w:cs="Times New Roman"/>
          <w:szCs w:val="20"/>
          <w:lang w:val="es-ES_tradnl"/>
        </w:rPr>
        <w:t xml:space="preserve"> “posición económica” mediante el análisis de las circunstancias de pobreza en las</w:t>
      </w:r>
      <w:r w:rsidR="0052228E" w:rsidRPr="00EA236D">
        <w:rPr>
          <w:rFonts w:cs="Times New Roman"/>
          <w:szCs w:val="20"/>
          <w:lang w:val="es-ES_tradnl"/>
        </w:rPr>
        <w:t xml:space="preserve"> cuales se encontraban 85 </w:t>
      </w:r>
      <w:r w:rsidR="00112D48">
        <w:rPr>
          <w:rFonts w:cs="Times New Roman"/>
          <w:szCs w:val="20"/>
          <w:lang w:val="es-ES_tradnl"/>
        </w:rPr>
        <w:t xml:space="preserve">de las </w:t>
      </w:r>
      <w:r w:rsidR="0052228E" w:rsidRPr="00EA236D">
        <w:rPr>
          <w:rFonts w:cs="Times New Roman"/>
          <w:szCs w:val="20"/>
          <w:lang w:val="es-ES_tradnl"/>
        </w:rPr>
        <w:t>ví</w:t>
      </w:r>
      <w:r w:rsidR="00E54085" w:rsidRPr="00EA236D">
        <w:rPr>
          <w:rFonts w:cs="Times New Roman"/>
          <w:szCs w:val="20"/>
          <w:lang w:val="es-ES_tradnl"/>
        </w:rPr>
        <w:t xml:space="preserve">ctimas del presente caso. </w:t>
      </w:r>
    </w:p>
    <w:p w14:paraId="3C909072" w14:textId="77777777" w:rsidR="00C32BFA" w:rsidRPr="00EA236D" w:rsidRDefault="00C32BFA" w:rsidP="00C32BFA">
      <w:pPr>
        <w:pStyle w:val="ListParagraph"/>
        <w:ind w:left="0"/>
        <w:rPr>
          <w:rFonts w:cs="Times New Roman"/>
          <w:b/>
          <w:szCs w:val="20"/>
          <w:lang w:val="es-ES_tradnl"/>
        </w:rPr>
      </w:pPr>
    </w:p>
    <w:p w14:paraId="6545B247" w14:textId="70023B49" w:rsidR="004F7841" w:rsidRPr="00EA236D" w:rsidRDefault="00E54085" w:rsidP="006032DA">
      <w:pPr>
        <w:pStyle w:val="ListParagraph"/>
        <w:numPr>
          <w:ilvl w:val="0"/>
          <w:numId w:val="1"/>
        </w:numPr>
        <w:rPr>
          <w:rFonts w:cs="Times New Roman"/>
          <w:b/>
          <w:szCs w:val="20"/>
          <w:lang w:val="es-ES_tradnl"/>
        </w:rPr>
      </w:pPr>
      <w:r w:rsidRPr="00EA236D">
        <w:rPr>
          <w:rFonts w:cs="Times New Roman"/>
          <w:szCs w:val="20"/>
          <w:lang w:val="es-ES_tradnl"/>
        </w:rPr>
        <w:t xml:space="preserve">Al </w:t>
      </w:r>
      <w:r w:rsidR="004F7841" w:rsidRPr="00EA236D">
        <w:rPr>
          <w:rFonts w:cs="Times New Roman"/>
          <w:szCs w:val="20"/>
          <w:lang w:val="es-ES_tradnl"/>
        </w:rPr>
        <w:t xml:space="preserve">respecto, la Relatora Especial sobre la Extrema Pobreza y los Derechos Humanos, ha expresado que: </w:t>
      </w:r>
    </w:p>
    <w:p w14:paraId="3DD53A37" w14:textId="77777777" w:rsidR="004F7841" w:rsidRPr="00EA236D" w:rsidRDefault="004F7841" w:rsidP="004F7841">
      <w:pPr>
        <w:pStyle w:val="ListParagraph"/>
        <w:ind w:left="0"/>
        <w:rPr>
          <w:rFonts w:cs="Times New Roman"/>
          <w:b/>
          <w:szCs w:val="20"/>
          <w:lang w:val="es-ES_tradnl"/>
        </w:rPr>
      </w:pPr>
    </w:p>
    <w:p w14:paraId="38272374" w14:textId="09DAE60D" w:rsidR="004F7841" w:rsidRPr="00EA236D" w:rsidRDefault="004F7841" w:rsidP="004F7841">
      <w:pPr>
        <w:pStyle w:val="ListParagraph"/>
        <w:ind w:left="708"/>
        <w:rPr>
          <w:rFonts w:cs="Times New Roman"/>
          <w:i/>
          <w:sz w:val="16"/>
          <w:szCs w:val="16"/>
          <w:lang w:val="es-ES_tradnl"/>
        </w:rPr>
      </w:pPr>
      <w:r w:rsidRPr="00EA236D">
        <w:rPr>
          <w:rFonts w:cs="Times New Roman"/>
          <w:i/>
          <w:sz w:val="16"/>
          <w:szCs w:val="16"/>
          <w:lang w:val="es-ES_tradnl"/>
        </w:rPr>
        <w:t>“18. [L]a discriminación est</w:t>
      </w:r>
      <w:r w:rsidR="00370A5E" w:rsidRPr="00EA236D">
        <w:rPr>
          <w:rFonts w:cs="Times New Roman"/>
          <w:i/>
          <w:sz w:val="16"/>
          <w:szCs w:val="16"/>
          <w:lang w:val="es-ES_tradnl"/>
        </w:rPr>
        <w:t>á</w:t>
      </w:r>
      <w:r w:rsidRPr="00EA236D">
        <w:rPr>
          <w:rFonts w:cs="Times New Roman"/>
          <w:i/>
          <w:sz w:val="16"/>
          <w:szCs w:val="16"/>
          <w:lang w:val="es-ES_tradnl"/>
        </w:rPr>
        <w:t xml:space="preserve"> prohibida por varios motivos enumerados, </w:t>
      </w:r>
      <w:r w:rsidRPr="00EA236D">
        <w:rPr>
          <w:rFonts w:cs="Times New Roman"/>
          <w:i/>
          <w:sz w:val="16"/>
          <w:szCs w:val="16"/>
          <w:u w:val="single"/>
          <w:lang w:val="es-ES_tradnl"/>
        </w:rPr>
        <w:t>entre los cuales figuran la posición económica y social</w:t>
      </w:r>
      <w:r w:rsidRPr="00EA236D">
        <w:rPr>
          <w:rFonts w:cs="Times New Roman"/>
          <w:i/>
          <w:sz w:val="16"/>
          <w:szCs w:val="16"/>
          <w:lang w:val="es-ES_tradnl"/>
        </w:rPr>
        <w:t xml:space="preserve">, como lo da a entender la frase `cualquier otra condición social´, que se incluye como motivo de discriminación en el Pacto Internacional de Derechos Económicos, Sociales y Culturales y en el Pacto Internacional de Derechos Civiles y Políticos. Las medidas de penalización están dirigidas a las personas por sus ingresos, apariencia, modo de hablar, domicilio o necesidades </w:t>
      </w:r>
      <w:r w:rsidRPr="00EA236D">
        <w:rPr>
          <w:rFonts w:cs="Times New Roman"/>
          <w:i/>
          <w:sz w:val="16"/>
          <w:szCs w:val="16"/>
          <w:lang w:val="es-ES_tradnl"/>
        </w:rPr>
        <w:lastRenderedPageBreak/>
        <w:t>se les identifica como pobres. Es por ello que tales medidas claramente constituyen discriminación basada en la condición económica y social”</w:t>
      </w:r>
      <w:r w:rsidRPr="00EA236D">
        <w:rPr>
          <w:rStyle w:val="FootnoteReference"/>
          <w:i/>
          <w:sz w:val="16"/>
          <w:lang w:val="es-ES_tradnl"/>
        </w:rPr>
        <w:footnoteReference w:id="68"/>
      </w:r>
      <w:r w:rsidRPr="00EA236D">
        <w:rPr>
          <w:rFonts w:cs="Times New Roman"/>
          <w:i/>
          <w:sz w:val="16"/>
          <w:szCs w:val="16"/>
          <w:lang w:val="es-ES_tradnl"/>
        </w:rPr>
        <w:t>.</w:t>
      </w:r>
    </w:p>
    <w:p w14:paraId="5087D9F4" w14:textId="77777777" w:rsidR="004F7841" w:rsidRPr="00EA236D" w:rsidRDefault="004F7841" w:rsidP="004F7841">
      <w:pPr>
        <w:rPr>
          <w:rFonts w:ascii="Verdana" w:hAnsi="Verdana" w:cs="Times New Roman"/>
          <w:b/>
          <w:szCs w:val="20"/>
        </w:rPr>
      </w:pPr>
    </w:p>
    <w:p w14:paraId="06C1440E" w14:textId="77777777" w:rsidR="004F7841" w:rsidRPr="00EA236D" w:rsidRDefault="004F7841" w:rsidP="004F7841">
      <w:pPr>
        <w:pStyle w:val="ListParagraph"/>
        <w:ind w:left="0"/>
        <w:rPr>
          <w:rFonts w:cs="Times New Roman"/>
          <w:szCs w:val="20"/>
          <w:lang w:val="es-ES_tradnl"/>
        </w:rPr>
      </w:pPr>
      <w:r w:rsidRPr="00EA236D">
        <w:rPr>
          <w:rFonts w:cs="Times New Roman"/>
          <w:szCs w:val="20"/>
          <w:lang w:val="es-ES_tradnl"/>
        </w:rPr>
        <w:t xml:space="preserve">Además, añadió: </w:t>
      </w:r>
    </w:p>
    <w:p w14:paraId="3F5C7B78" w14:textId="77777777" w:rsidR="004F7841" w:rsidRPr="00EA236D" w:rsidRDefault="004F7841" w:rsidP="004F7841">
      <w:pPr>
        <w:pStyle w:val="ListParagraph"/>
        <w:ind w:left="0"/>
        <w:rPr>
          <w:rFonts w:cs="Times New Roman"/>
          <w:szCs w:val="20"/>
          <w:lang w:val="es-ES_tradnl"/>
        </w:rPr>
      </w:pPr>
    </w:p>
    <w:p w14:paraId="511BAD5F" w14:textId="5A8D246B" w:rsidR="004F7841" w:rsidRPr="00EA236D" w:rsidRDefault="004F7841" w:rsidP="006032DA">
      <w:pPr>
        <w:pStyle w:val="ListParagraph"/>
        <w:ind w:left="708"/>
        <w:rPr>
          <w:rFonts w:cs="Times"/>
          <w:lang w:val="es-ES_tradnl"/>
        </w:rPr>
      </w:pPr>
      <w:r w:rsidRPr="00EA236D">
        <w:rPr>
          <w:rFonts w:cs="Arial"/>
          <w:i/>
          <w:sz w:val="16"/>
          <w:szCs w:val="16"/>
          <w:lang w:val="es-ES_tradnl"/>
        </w:rPr>
        <w:t>“En su jurisprudencia, el Comité de Derechos Humanos ha reiterado que la lista de motivos de discriminación no es exhaustiva y que la frase “cualquier otra condición social” no está sujeta a una sola interpretación. [Por otro lado,]</w:t>
      </w:r>
      <w:r w:rsidRPr="00EA236D">
        <w:rPr>
          <w:rFonts w:cs="Arial"/>
          <w:i/>
          <w:sz w:val="16"/>
          <w:szCs w:val="16"/>
          <w:u w:val="single"/>
          <w:lang w:val="es-ES_tradnl"/>
        </w:rPr>
        <w:t>en el artículo</w:t>
      </w:r>
      <w:r w:rsidR="00737DF4" w:rsidRPr="00EA236D">
        <w:rPr>
          <w:rFonts w:cs="Arial"/>
          <w:i/>
          <w:sz w:val="16"/>
          <w:szCs w:val="16"/>
          <w:u w:val="single"/>
          <w:lang w:val="es-ES_tradnl"/>
        </w:rPr>
        <w:t xml:space="preserve"> 1 de la Convención Americana sobre</w:t>
      </w:r>
      <w:r w:rsidRPr="00EA236D">
        <w:rPr>
          <w:rFonts w:cs="Arial"/>
          <w:i/>
          <w:sz w:val="16"/>
          <w:szCs w:val="16"/>
          <w:u w:val="single"/>
          <w:lang w:val="es-ES_tradnl"/>
        </w:rPr>
        <w:t xml:space="preserve"> Derechos Humanos se incluye de manera expresa la [posición] económica y [origen] social entre los motivos de discriminación. Otros motivos prohibidos de discriminación, como “la posición económica” e incluso “el origen social”, también pueden ser pertinentes al abordar cuestiones relacionadas con la pobreza</w:t>
      </w:r>
      <w:r w:rsidRPr="00EA236D">
        <w:rPr>
          <w:rStyle w:val="FootnoteReference"/>
          <w:i/>
          <w:sz w:val="16"/>
          <w:u w:val="single"/>
          <w:lang w:val="es-ES_tradnl"/>
        </w:rPr>
        <w:footnoteReference w:id="69"/>
      </w:r>
      <w:r w:rsidRPr="00EA236D">
        <w:rPr>
          <w:rFonts w:cs="Arial"/>
          <w:i/>
          <w:sz w:val="16"/>
          <w:szCs w:val="16"/>
          <w:lang w:val="es-ES_tradnl"/>
        </w:rPr>
        <w:t xml:space="preserve">. </w:t>
      </w:r>
      <w:r w:rsidRPr="000C2F0F">
        <w:rPr>
          <w:rFonts w:cs="Arial"/>
          <w:sz w:val="16"/>
          <w:szCs w:val="16"/>
          <w:lang w:val="es-ES_tradnl"/>
        </w:rPr>
        <w:t>(Énfasis añadido</w:t>
      </w:r>
      <w:r w:rsidRPr="001770E0">
        <w:rPr>
          <w:rFonts w:cs="Times"/>
          <w:lang w:val="es-ES_tradnl"/>
        </w:rPr>
        <w:t>)</w:t>
      </w:r>
      <w:r w:rsidR="00737DF4" w:rsidRPr="00DE2344">
        <w:rPr>
          <w:rFonts w:cs="Times"/>
          <w:lang w:val="es-ES_tradnl"/>
        </w:rPr>
        <w:t>.</w:t>
      </w:r>
      <w:r w:rsidRPr="00EA236D">
        <w:rPr>
          <w:rFonts w:cs="Times"/>
          <w:lang w:val="es-ES_tradnl"/>
        </w:rPr>
        <w:t xml:space="preserve"> </w:t>
      </w:r>
    </w:p>
    <w:p w14:paraId="3E72A258" w14:textId="77777777" w:rsidR="00E141C4" w:rsidRPr="00EA236D" w:rsidRDefault="00E141C4" w:rsidP="006032DA">
      <w:pPr>
        <w:pStyle w:val="ListParagraph"/>
        <w:ind w:left="708"/>
        <w:rPr>
          <w:rFonts w:cs="Times"/>
          <w:lang w:val="es-ES_tradnl"/>
        </w:rPr>
      </w:pPr>
    </w:p>
    <w:p w14:paraId="4A41643A" w14:textId="73BAFEBA" w:rsidR="001D14C4" w:rsidRPr="00EA236D" w:rsidRDefault="00C32BFA" w:rsidP="001D14C4">
      <w:pPr>
        <w:pStyle w:val="ListParagraph"/>
        <w:numPr>
          <w:ilvl w:val="0"/>
          <w:numId w:val="1"/>
        </w:numPr>
        <w:rPr>
          <w:rFonts w:cs="Times New Roman"/>
          <w:b/>
          <w:szCs w:val="20"/>
          <w:lang w:val="es-ES_tradnl"/>
        </w:rPr>
      </w:pPr>
      <w:r w:rsidRPr="00EA236D">
        <w:rPr>
          <w:lang w:val="es-ES_tradnl"/>
        </w:rPr>
        <w:t>En ese sentido</w:t>
      </w:r>
      <w:r w:rsidR="00737DF4" w:rsidRPr="00EA236D">
        <w:rPr>
          <w:lang w:val="es-ES_tradnl"/>
        </w:rPr>
        <w:t>,</w:t>
      </w:r>
      <w:r w:rsidRPr="00EA236D">
        <w:rPr>
          <w:lang w:val="es-ES_tradnl"/>
        </w:rPr>
        <w:t xml:space="preserve"> la Corte IDH </w:t>
      </w:r>
      <w:r w:rsidRPr="00EA236D">
        <w:rPr>
          <w:rFonts w:cs="Times New Roman"/>
          <w:szCs w:val="20"/>
          <w:lang w:val="es-ES_tradnl"/>
        </w:rPr>
        <w:t>—</w:t>
      </w:r>
      <w:r w:rsidR="001D14C4" w:rsidRPr="00EA236D">
        <w:rPr>
          <w:lang w:val="es-ES_tradnl"/>
        </w:rPr>
        <w:t>como bien lo señala la Sentencia</w:t>
      </w:r>
      <w:r w:rsidRPr="00EA236D">
        <w:rPr>
          <w:rFonts w:cs="Times New Roman"/>
          <w:szCs w:val="20"/>
          <w:lang w:val="es-ES_tradnl"/>
        </w:rPr>
        <w:t>—</w:t>
      </w:r>
      <w:r w:rsidR="001D14C4" w:rsidRPr="00EA236D">
        <w:rPr>
          <w:lang w:val="es-ES_tradnl"/>
        </w:rPr>
        <w:t xml:space="preserve"> se ha pronunciado en el sentido de establecer que 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El Tribunal </w:t>
      </w:r>
      <w:r w:rsidRPr="00EA236D">
        <w:rPr>
          <w:lang w:val="es-ES_tradnl"/>
        </w:rPr>
        <w:t xml:space="preserve">Interamericano </w:t>
      </w:r>
      <w:r w:rsidR="001D14C4" w:rsidRPr="00EA236D">
        <w:rPr>
          <w:lang w:val="es-ES_tradnl"/>
        </w:rPr>
        <w:t>rec</w:t>
      </w:r>
      <w:r w:rsidR="004321C1" w:rsidRPr="00EA236D">
        <w:rPr>
          <w:lang w:val="es-ES_tradnl"/>
        </w:rPr>
        <w:t>ordó</w:t>
      </w:r>
      <w:r w:rsidR="001D14C4" w:rsidRPr="00EA236D">
        <w:rPr>
          <w:lang w:val="es-ES_tradnl"/>
        </w:rPr>
        <w:t xml:space="preserve">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001D14C4" w:rsidRPr="00EA236D">
        <w:rPr>
          <w:rStyle w:val="FootnoteReference"/>
          <w:lang w:val="es-ES_tradnl"/>
        </w:rPr>
        <w:footnoteReference w:id="70"/>
      </w:r>
      <w:r w:rsidR="001D14C4" w:rsidRPr="00EA236D">
        <w:rPr>
          <w:lang w:val="es-ES_tradnl"/>
        </w:rPr>
        <w:t xml:space="preserve">, </w:t>
      </w:r>
      <w:r w:rsidR="001D14C4" w:rsidRPr="00EA236D">
        <w:rPr>
          <w:i/>
          <w:lang w:val="es-ES_tradnl"/>
        </w:rPr>
        <w:t xml:space="preserve">como la </w:t>
      </w:r>
      <w:r w:rsidR="00215CE9" w:rsidRPr="00EA236D">
        <w:rPr>
          <w:i/>
          <w:lang w:val="es-ES_tradnl"/>
        </w:rPr>
        <w:t xml:space="preserve">extrema pobreza </w:t>
      </w:r>
      <w:r w:rsidR="001D14C4" w:rsidRPr="00EA236D">
        <w:rPr>
          <w:i/>
          <w:lang w:val="es-ES_tradnl"/>
        </w:rPr>
        <w:t>o marginación</w:t>
      </w:r>
      <w:r w:rsidR="001D14C4" w:rsidRPr="00EA236D">
        <w:rPr>
          <w:rStyle w:val="FootnoteReference"/>
          <w:lang w:val="es-ES_tradnl"/>
        </w:rPr>
        <w:footnoteReference w:id="71"/>
      </w:r>
      <w:r w:rsidR="001D14C4" w:rsidRPr="00EA236D">
        <w:rPr>
          <w:lang w:val="es-ES_tradnl"/>
        </w:rPr>
        <w:t xml:space="preserve">. </w:t>
      </w:r>
    </w:p>
    <w:p w14:paraId="380398D4" w14:textId="77777777" w:rsidR="00403956" w:rsidRPr="00EA236D" w:rsidRDefault="00403956" w:rsidP="00403956">
      <w:pPr>
        <w:pStyle w:val="ListParagraph"/>
        <w:ind w:left="0"/>
        <w:rPr>
          <w:rFonts w:cs="Times New Roman"/>
          <w:b/>
          <w:szCs w:val="20"/>
          <w:lang w:val="es-ES_tradnl"/>
        </w:rPr>
      </w:pPr>
    </w:p>
    <w:p w14:paraId="2DD6F0A0" w14:textId="54A665D0" w:rsidR="004F7841" w:rsidRPr="00EA236D" w:rsidRDefault="004F7841" w:rsidP="004F7841">
      <w:pPr>
        <w:pStyle w:val="ListParagraph"/>
        <w:numPr>
          <w:ilvl w:val="0"/>
          <w:numId w:val="1"/>
        </w:numPr>
        <w:rPr>
          <w:rFonts w:cs="Times New Roman"/>
          <w:szCs w:val="20"/>
          <w:lang w:val="es-ES_tradnl"/>
        </w:rPr>
      </w:pPr>
      <w:r w:rsidRPr="00EA236D">
        <w:rPr>
          <w:rFonts w:cs="Times New Roman"/>
          <w:szCs w:val="20"/>
          <w:lang w:val="es-ES_tradnl"/>
        </w:rPr>
        <w:t>Así</w:t>
      </w:r>
      <w:r w:rsidR="00E54085" w:rsidRPr="00EA236D">
        <w:rPr>
          <w:rFonts w:cs="Times New Roman"/>
          <w:szCs w:val="20"/>
          <w:lang w:val="es-ES_tradnl"/>
        </w:rPr>
        <w:t>,</w:t>
      </w:r>
      <w:r w:rsidRPr="00EA236D">
        <w:rPr>
          <w:rFonts w:cs="Times New Roman"/>
          <w:szCs w:val="20"/>
          <w:lang w:val="es-ES_tradnl"/>
        </w:rPr>
        <w:t xml:space="preserve"> la pobreza forma parte del contenido de la prohibición de discriminar por la posición</w:t>
      </w:r>
      <w:r w:rsidR="00E54085" w:rsidRPr="00EA236D">
        <w:rPr>
          <w:rFonts w:cs="Times New Roman"/>
          <w:szCs w:val="20"/>
          <w:lang w:val="es-ES_tradnl"/>
        </w:rPr>
        <w:t xml:space="preserve"> económica de una</w:t>
      </w:r>
      <w:r w:rsidRPr="00EA236D">
        <w:rPr>
          <w:rFonts w:cs="Times New Roman"/>
          <w:szCs w:val="20"/>
          <w:lang w:val="es-ES_tradnl"/>
        </w:rPr>
        <w:t xml:space="preserve"> persona</w:t>
      </w:r>
      <w:r w:rsidR="00E54085" w:rsidRPr="00EA236D">
        <w:rPr>
          <w:rFonts w:cs="Times New Roman"/>
          <w:szCs w:val="20"/>
          <w:lang w:val="es-ES_tradnl"/>
        </w:rPr>
        <w:t xml:space="preserve"> o de un grupo de personas</w:t>
      </w:r>
      <w:r w:rsidRPr="00EA236D">
        <w:rPr>
          <w:rFonts w:cs="Times New Roman"/>
          <w:szCs w:val="20"/>
          <w:lang w:val="es-ES_tradnl"/>
        </w:rPr>
        <w:t>. Además, la pobreza, al ser un fenómeno multidimensional</w:t>
      </w:r>
      <w:r w:rsidRPr="00EA236D">
        <w:rPr>
          <w:rStyle w:val="FootnoteReference"/>
          <w:lang w:val="es-ES_tradnl"/>
        </w:rPr>
        <w:footnoteReference w:id="72"/>
      </w:r>
      <w:r w:rsidRPr="00EA236D">
        <w:rPr>
          <w:rFonts w:cs="Times New Roman"/>
          <w:szCs w:val="20"/>
          <w:lang w:val="es-ES_tradnl"/>
        </w:rPr>
        <w:t xml:space="preserve"> puede ser abordada desde diferentes categorías de protección a la luz del artículo 1.1 de la Convención Americ</w:t>
      </w:r>
      <w:r w:rsidR="00C32BFA" w:rsidRPr="00EA236D">
        <w:rPr>
          <w:rFonts w:cs="Times New Roman"/>
          <w:szCs w:val="20"/>
          <w:lang w:val="es-ES_tradnl"/>
        </w:rPr>
        <w:t>ana;</w:t>
      </w:r>
      <w:r w:rsidRPr="00EA236D">
        <w:rPr>
          <w:rFonts w:cs="Times New Roman"/>
          <w:szCs w:val="20"/>
          <w:lang w:val="es-ES_tradnl"/>
        </w:rPr>
        <w:t xml:space="preserve"> como lo puede ser </w:t>
      </w:r>
      <w:r w:rsidRPr="00EA236D">
        <w:rPr>
          <w:rFonts w:cs="Times New Roman"/>
          <w:szCs w:val="20"/>
          <w:lang w:val="es-ES_tradnl"/>
        </w:rPr>
        <w:lastRenderedPageBreak/>
        <w:t>la posición económica, el origen social o bien mediante otra condición social</w:t>
      </w:r>
      <w:r w:rsidRPr="00EA236D">
        <w:rPr>
          <w:rStyle w:val="FootnoteReference"/>
          <w:lang w:val="es-ES_tradnl"/>
        </w:rPr>
        <w:footnoteReference w:id="73"/>
      </w:r>
      <w:r w:rsidRPr="00EA236D">
        <w:rPr>
          <w:rFonts w:cs="Times New Roman"/>
          <w:szCs w:val="20"/>
          <w:lang w:val="es-ES_tradnl"/>
        </w:rPr>
        <w:t xml:space="preserve">, pudiendo darse de manera separada, múltiple o </w:t>
      </w:r>
      <w:proofErr w:type="spellStart"/>
      <w:r w:rsidR="0052556D" w:rsidRPr="00EA236D">
        <w:rPr>
          <w:rFonts w:cs="Times New Roman"/>
          <w:szCs w:val="20"/>
          <w:lang w:val="es-ES_tradnl"/>
        </w:rPr>
        <w:t>interseccional</w:t>
      </w:r>
      <w:proofErr w:type="spellEnd"/>
      <w:r w:rsidRPr="00EA236D">
        <w:rPr>
          <w:rFonts w:cs="Times New Roman"/>
          <w:szCs w:val="20"/>
          <w:lang w:val="es-ES_tradnl"/>
        </w:rPr>
        <w:t xml:space="preserve"> la protección de estas categorías de protección, atendiendo al caso en concreto</w:t>
      </w:r>
      <w:r w:rsidRPr="00EA236D">
        <w:rPr>
          <w:rStyle w:val="FootnoteReference"/>
          <w:lang w:val="es-ES_tradnl"/>
        </w:rPr>
        <w:footnoteReference w:id="74"/>
      </w:r>
      <w:r w:rsidRPr="00EA236D">
        <w:rPr>
          <w:rFonts w:cs="Times New Roman"/>
          <w:szCs w:val="20"/>
          <w:lang w:val="es-ES_tradnl"/>
        </w:rPr>
        <w:t xml:space="preserve">. </w:t>
      </w:r>
    </w:p>
    <w:p w14:paraId="396BEF01" w14:textId="77777777" w:rsidR="004F7841" w:rsidRPr="00EA236D" w:rsidRDefault="004F7841" w:rsidP="004F7841">
      <w:pPr>
        <w:pStyle w:val="ListParagraph"/>
        <w:widowControl w:val="0"/>
        <w:autoSpaceDE w:val="0"/>
        <w:autoSpaceDN w:val="0"/>
        <w:adjustRightInd w:val="0"/>
        <w:ind w:left="0"/>
        <w:rPr>
          <w:rFonts w:cs="Times"/>
          <w:sz w:val="16"/>
          <w:szCs w:val="16"/>
          <w:lang w:val="es-ES_tradnl"/>
        </w:rPr>
      </w:pPr>
    </w:p>
    <w:p w14:paraId="1AA96B6C" w14:textId="0F0143D5" w:rsidR="00E1400A" w:rsidRPr="00EA236D" w:rsidRDefault="00E1400A" w:rsidP="006032DA">
      <w:pPr>
        <w:pStyle w:val="ListParagraph"/>
        <w:widowControl w:val="0"/>
        <w:numPr>
          <w:ilvl w:val="0"/>
          <w:numId w:val="1"/>
        </w:numPr>
        <w:autoSpaceDE w:val="0"/>
        <w:autoSpaceDN w:val="0"/>
        <w:adjustRightInd w:val="0"/>
        <w:rPr>
          <w:rFonts w:cs="Times"/>
          <w:sz w:val="16"/>
          <w:szCs w:val="16"/>
          <w:lang w:val="es-ES_tradnl"/>
        </w:rPr>
      </w:pPr>
      <w:r w:rsidRPr="00EA236D">
        <w:rPr>
          <w:rFonts w:cs="Times"/>
          <w:szCs w:val="20"/>
          <w:lang w:val="es-ES_tradnl"/>
        </w:rPr>
        <w:t xml:space="preserve">En relación </w:t>
      </w:r>
      <w:r w:rsidR="004F7841" w:rsidRPr="00EA236D">
        <w:rPr>
          <w:rFonts w:cs="Times"/>
          <w:szCs w:val="20"/>
          <w:lang w:val="es-ES_tradnl"/>
        </w:rPr>
        <w:t>a los hechos del presente caso, el Tribunal Interamericano arribó a esta conclusión debido</w:t>
      </w:r>
      <w:r w:rsidR="001415D7" w:rsidRPr="00EA236D">
        <w:rPr>
          <w:rFonts w:cs="Times"/>
          <w:szCs w:val="20"/>
          <w:lang w:val="es-ES_tradnl"/>
        </w:rPr>
        <w:t xml:space="preserve"> a que las personas que se encuentran en situación de pobreza son más propensas a sufrir trata de personas</w:t>
      </w:r>
      <w:r w:rsidR="001415D7" w:rsidRPr="00EA236D">
        <w:rPr>
          <w:rStyle w:val="FootnoteReference"/>
          <w:lang w:val="es-ES_tradnl"/>
        </w:rPr>
        <w:footnoteReference w:id="75"/>
      </w:r>
      <w:r w:rsidR="001415D7" w:rsidRPr="00EA236D">
        <w:rPr>
          <w:rFonts w:cs="Times"/>
          <w:szCs w:val="20"/>
          <w:lang w:val="es-ES_tradnl"/>
        </w:rPr>
        <w:t xml:space="preserve">, como sucedió en el caso de los 85 trabajadores de la Hacienda Brasil Verde. Respecto </w:t>
      </w:r>
      <w:r w:rsidR="006032DA" w:rsidRPr="00EA236D">
        <w:rPr>
          <w:rFonts w:cs="Times"/>
          <w:szCs w:val="20"/>
          <w:lang w:val="es-ES_tradnl"/>
        </w:rPr>
        <w:t xml:space="preserve">al vínculo del trabajo, la pobreza </w:t>
      </w:r>
      <w:r w:rsidRPr="00EA236D">
        <w:rPr>
          <w:rFonts w:cs="Times"/>
          <w:szCs w:val="20"/>
          <w:lang w:val="es-ES_tradnl"/>
        </w:rPr>
        <w:t xml:space="preserve">y las nuevas formas de esclavitud, </w:t>
      </w:r>
      <w:r w:rsidR="004321C1" w:rsidRPr="00EA236D">
        <w:rPr>
          <w:lang w:val="es-ES_tradnl"/>
        </w:rPr>
        <w:t>los PREPDH</w:t>
      </w:r>
      <w:r w:rsidR="004321C1" w:rsidRPr="00EA236D" w:rsidDel="004321C1">
        <w:rPr>
          <w:rFonts w:cs="Times"/>
          <w:szCs w:val="20"/>
          <w:lang w:val="es-ES_tradnl"/>
        </w:rPr>
        <w:t xml:space="preserve"> </w:t>
      </w:r>
      <w:r w:rsidRPr="00EA236D">
        <w:rPr>
          <w:rFonts w:cs="Times"/>
          <w:szCs w:val="20"/>
          <w:lang w:val="es-ES_tradnl"/>
        </w:rPr>
        <w:t xml:space="preserve">señalan que: </w:t>
      </w:r>
    </w:p>
    <w:p w14:paraId="708ABBB7" w14:textId="77777777" w:rsidR="00E1400A" w:rsidRPr="00EA236D" w:rsidRDefault="00E1400A" w:rsidP="00E1400A">
      <w:pPr>
        <w:pStyle w:val="ListParagraph"/>
        <w:widowControl w:val="0"/>
        <w:autoSpaceDE w:val="0"/>
        <w:autoSpaceDN w:val="0"/>
        <w:adjustRightInd w:val="0"/>
        <w:ind w:left="0"/>
        <w:rPr>
          <w:rFonts w:cs="Times"/>
          <w:szCs w:val="20"/>
          <w:lang w:val="es-ES_tradnl"/>
        </w:rPr>
      </w:pPr>
    </w:p>
    <w:p w14:paraId="15503F23" w14:textId="60B0A737" w:rsidR="00E1400A" w:rsidRPr="00EA236D" w:rsidRDefault="00E1400A" w:rsidP="00E1400A">
      <w:pPr>
        <w:pStyle w:val="ListParagraph"/>
        <w:widowControl w:val="0"/>
        <w:autoSpaceDE w:val="0"/>
        <w:autoSpaceDN w:val="0"/>
        <w:adjustRightInd w:val="0"/>
        <w:ind w:left="709"/>
        <w:rPr>
          <w:rFonts w:cs="Times"/>
          <w:sz w:val="16"/>
          <w:szCs w:val="16"/>
          <w:lang w:val="es-ES_tradnl"/>
        </w:rPr>
      </w:pPr>
      <w:r w:rsidRPr="00EA236D">
        <w:rPr>
          <w:rFonts w:cs="Times"/>
          <w:sz w:val="16"/>
          <w:szCs w:val="16"/>
          <w:lang w:val="es-ES_tradnl"/>
        </w:rPr>
        <w:t xml:space="preserve">83. </w:t>
      </w:r>
      <w:r w:rsidR="00737DF4" w:rsidRPr="00EA236D">
        <w:rPr>
          <w:rFonts w:cs="Times"/>
          <w:i/>
          <w:sz w:val="16"/>
          <w:szCs w:val="16"/>
          <w:u w:val="single"/>
          <w:lang w:val="es-ES_tradnl"/>
        </w:rPr>
        <w:t xml:space="preserve">Tanto en las zonas rurales como </w:t>
      </w:r>
      <w:r w:rsidRPr="00EA236D">
        <w:rPr>
          <w:rFonts w:cs="Times"/>
          <w:i/>
          <w:sz w:val="16"/>
          <w:szCs w:val="16"/>
          <w:u w:val="single"/>
          <w:lang w:val="es-ES_tradnl"/>
        </w:rPr>
        <w:t>en las urbanas, las personas que viven en la pobreza se ven enfrentadas al desempleo o el subempleo y al trabajo ocasional sin garantías</w:t>
      </w:r>
      <w:r w:rsidRPr="00EA236D">
        <w:rPr>
          <w:rFonts w:cs="Times"/>
          <w:i/>
          <w:sz w:val="16"/>
          <w:szCs w:val="16"/>
          <w:lang w:val="es-ES_tradnl"/>
        </w:rPr>
        <w:t>, con bajos salarios y c</w:t>
      </w:r>
      <w:r w:rsidR="00737DF4" w:rsidRPr="00EA236D">
        <w:rPr>
          <w:rFonts w:cs="Times"/>
          <w:i/>
          <w:sz w:val="16"/>
          <w:szCs w:val="16"/>
          <w:lang w:val="es-ES_tradnl"/>
        </w:rPr>
        <w:t xml:space="preserve">ondiciones de trabajo inseguras </w:t>
      </w:r>
      <w:r w:rsidRPr="00EA236D">
        <w:rPr>
          <w:rFonts w:cs="Times"/>
          <w:i/>
          <w:sz w:val="16"/>
          <w:szCs w:val="16"/>
          <w:lang w:val="es-ES_tradnl"/>
        </w:rPr>
        <w:t>y degradantes</w:t>
      </w:r>
      <w:r w:rsidRPr="00EA236D">
        <w:rPr>
          <w:rFonts w:cs="Times"/>
          <w:sz w:val="16"/>
          <w:szCs w:val="16"/>
          <w:lang w:val="es-ES_tradnl"/>
        </w:rPr>
        <w:t xml:space="preserve">. Esas personas suelen trabajar </w:t>
      </w:r>
      <w:r w:rsidR="00737DF4" w:rsidRPr="00EA236D">
        <w:rPr>
          <w:rFonts w:cs="Times"/>
          <w:sz w:val="16"/>
          <w:szCs w:val="16"/>
          <w:lang w:val="es-ES_tradnl"/>
        </w:rPr>
        <w:t xml:space="preserve">al margen de la economía formal </w:t>
      </w:r>
      <w:r w:rsidRPr="00EA236D">
        <w:rPr>
          <w:rFonts w:cs="Times"/>
          <w:sz w:val="16"/>
          <w:szCs w:val="16"/>
          <w:lang w:val="es-ES_tradnl"/>
        </w:rPr>
        <w:t xml:space="preserve">y sin prestaciones de la seguridad social, por ejemplo, sin licencias de maternidad, licencias por enfermedad, pensiones o prestaciones por discapacidad. Pueden pasar la mayor parte de las horas del día en el lugar de trabajo, logrando apenas sobrevivir con sus ingresos y </w:t>
      </w:r>
      <w:r w:rsidRPr="00EA236D">
        <w:rPr>
          <w:rFonts w:cs="Times"/>
          <w:i/>
          <w:sz w:val="16"/>
          <w:szCs w:val="16"/>
          <w:u w:val="single"/>
          <w:lang w:val="es-ES_tradnl"/>
        </w:rPr>
        <w:t>sufriendo la explotación, en forma de trabajo forzoso o en régimen de servidumbre</w:t>
      </w:r>
      <w:r w:rsidRPr="00EA236D">
        <w:rPr>
          <w:rFonts w:cs="Times"/>
          <w:sz w:val="16"/>
          <w:szCs w:val="16"/>
          <w:lang w:val="es-ES_tradnl"/>
        </w:rPr>
        <w:t>, despidos arbitrarios y abusos</w:t>
      </w:r>
      <w:r w:rsidRPr="00EA236D">
        <w:rPr>
          <w:rStyle w:val="FootnoteReference"/>
          <w:sz w:val="16"/>
          <w:lang w:val="es-ES_tradnl"/>
        </w:rPr>
        <w:footnoteReference w:id="76"/>
      </w:r>
      <w:r w:rsidRPr="00EA236D">
        <w:rPr>
          <w:rFonts w:cs="Times"/>
          <w:sz w:val="16"/>
          <w:szCs w:val="16"/>
          <w:lang w:val="es-ES_tradnl"/>
        </w:rPr>
        <w:t>.</w:t>
      </w:r>
      <w:r w:rsidR="009B33ED" w:rsidRPr="00EA236D">
        <w:rPr>
          <w:rFonts w:cs="Times"/>
          <w:sz w:val="16"/>
          <w:szCs w:val="16"/>
          <w:lang w:val="es-ES_tradnl"/>
        </w:rPr>
        <w:t xml:space="preserve"> (Énfasis añadido).</w:t>
      </w:r>
      <w:r w:rsidRPr="00EA236D">
        <w:rPr>
          <w:rFonts w:cs="Times"/>
          <w:sz w:val="16"/>
          <w:szCs w:val="16"/>
          <w:lang w:val="es-ES_tradnl"/>
        </w:rPr>
        <w:t xml:space="preserve"> </w:t>
      </w:r>
    </w:p>
    <w:p w14:paraId="4292EBAB" w14:textId="77777777" w:rsidR="00E1400A" w:rsidRPr="00EA236D" w:rsidRDefault="00E1400A" w:rsidP="00E1400A">
      <w:pPr>
        <w:pStyle w:val="ListParagraph"/>
        <w:widowControl w:val="0"/>
        <w:autoSpaceDE w:val="0"/>
        <w:autoSpaceDN w:val="0"/>
        <w:adjustRightInd w:val="0"/>
        <w:ind w:left="0"/>
        <w:rPr>
          <w:rFonts w:cs="Times New Roman"/>
          <w:lang w:val="es-ES_tradnl"/>
        </w:rPr>
      </w:pPr>
    </w:p>
    <w:p w14:paraId="1967E3AD" w14:textId="5470DAFA" w:rsidR="00E1400A" w:rsidRPr="00EA236D" w:rsidRDefault="00311F2F" w:rsidP="00E1400A">
      <w:pPr>
        <w:pStyle w:val="ListParagraph"/>
        <w:numPr>
          <w:ilvl w:val="0"/>
          <w:numId w:val="1"/>
        </w:numPr>
        <w:rPr>
          <w:rFonts w:cs="Times New Roman"/>
          <w:lang w:val="es-ES_tradnl"/>
        </w:rPr>
      </w:pPr>
      <w:r w:rsidRPr="00EA236D">
        <w:rPr>
          <w:rFonts w:cs="Times New Roman"/>
          <w:lang w:val="es-ES_tradnl"/>
        </w:rPr>
        <w:t xml:space="preserve">En este sentido, </w:t>
      </w:r>
      <w:r w:rsidR="00E1400A" w:rsidRPr="00EA236D">
        <w:rPr>
          <w:rFonts w:cs="Times New Roman"/>
          <w:lang w:val="es-ES_tradnl"/>
        </w:rPr>
        <w:t xml:space="preserve">la </w:t>
      </w:r>
      <w:r w:rsidR="00E1400A" w:rsidRPr="000C2F0F">
        <w:rPr>
          <w:rFonts w:cs="Times New Roman"/>
          <w:lang w:val="es-ES_tradnl"/>
        </w:rPr>
        <w:t>Relatora Especial sobre formas contemporáneas de esclavitud, incluidas sus causas</w:t>
      </w:r>
      <w:r w:rsidR="00E1400A" w:rsidRPr="00681888">
        <w:rPr>
          <w:rFonts w:cs="Times New Roman"/>
          <w:lang w:val="es-ES_tradnl"/>
        </w:rPr>
        <w:t xml:space="preserve"> </w:t>
      </w:r>
      <w:r w:rsidR="00E1400A" w:rsidRPr="000C2F0F">
        <w:rPr>
          <w:rFonts w:cs="Times New Roman"/>
          <w:lang w:val="es-ES_tradnl"/>
        </w:rPr>
        <w:t>y consecuencias</w:t>
      </w:r>
      <w:r w:rsidR="00E1400A" w:rsidRPr="00EA236D">
        <w:rPr>
          <w:rFonts w:cs="Times New Roman"/>
          <w:i/>
          <w:lang w:val="es-ES_tradnl"/>
        </w:rPr>
        <w:t xml:space="preserve"> </w:t>
      </w:r>
      <w:r w:rsidR="00E1400A" w:rsidRPr="00EA236D">
        <w:rPr>
          <w:rFonts w:cs="Times New Roman"/>
          <w:lang w:val="es-ES_tradnl"/>
        </w:rPr>
        <w:t>ha expresado que:</w:t>
      </w:r>
    </w:p>
    <w:p w14:paraId="4196348C" w14:textId="77777777" w:rsidR="00E1400A" w:rsidRPr="00EA236D" w:rsidRDefault="00E1400A" w:rsidP="00E1400A">
      <w:pPr>
        <w:pStyle w:val="ListParagraph"/>
        <w:ind w:left="0"/>
        <w:rPr>
          <w:rFonts w:cs="Times New Roman"/>
          <w:lang w:val="es-ES_tradnl"/>
        </w:rPr>
      </w:pPr>
    </w:p>
    <w:p w14:paraId="00842CA8" w14:textId="2073F2A9" w:rsidR="00C10F59" w:rsidRPr="00EA236D" w:rsidRDefault="00E1400A" w:rsidP="00403956">
      <w:pPr>
        <w:ind w:left="708"/>
        <w:jc w:val="both"/>
        <w:rPr>
          <w:rFonts w:ascii="Verdana" w:hAnsi="Verdana" w:cs="Times"/>
          <w:sz w:val="16"/>
          <w:szCs w:val="16"/>
        </w:rPr>
      </w:pPr>
      <w:r w:rsidRPr="00EA236D">
        <w:rPr>
          <w:rFonts w:ascii="Verdana" w:hAnsi="Verdana" w:cs="Times"/>
          <w:sz w:val="16"/>
          <w:szCs w:val="16"/>
        </w:rPr>
        <w:t xml:space="preserve">48. Los trabajadores en condiciones de servidumbre </w:t>
      </w:r>
      <w:r w:rsidRPr="00EA236D">
        <w:rPr>
          <w:rFonts w:ascii="Verdana" w:hAnsi="Verdana" w:cs="Times"/>
          <w:i/>
          <w:sz w:val="16"/>
          <w:szCs w:val="16"/>
        </w:rPr>
        <w:t>pertenecen casi siempre</w:t>
      </w:r>
      <w:r w:rsidRPr="00EA236D">
        <w:rPr>
          <w:rFonts w:ascii="Verdana" w:hAnsi="Verdana" w:cs="Times"/>
          <w:sz w:val="16"/>
          <w:szCs w:val="16"/>
        </w:rPr>
        <w:t xml:space="preserve"> a grupos socialmente excluidos, como los indígenas, las minorías y los migrantes, que sufren aun más que otros discriminación y exclusión política</w:t>
      </w:r>
      <w:r w:rsidRPr="00EA236D">
        <w:rPr>
          <w:rStyle w:val="FootnoteReference"/>
          <w:rFonts w:ascii="Verdana" w:hAnsi="Verdana"/>
          <w:sz w:val="16"/>
        </w:rPr>
        <w:footnoteReference w:id="77"/>
      </w:r>
      <w:r w:rsidRPr="00EA236D">
        <w:rPr>
          <w:rFonts w:ascii="Verdana" w:hAnsi="Verdana" w:cs="Times"/>
          <w:sz w:val="16"/>
          <w:szCs w:val="16"/>
        </w:rPr>
        <w:t>.</w:t>
      </w:r>
    </w:p>
    <w:p w14:paraId="69B1CABF" w14:textId="77777777" w:rsidR="00C10F59" w:rsidRPr="00EA236D" w:rsidRDefault="00C10F59" w:rsidP="00E1400A">
      <w:pPr>
        <w:rPr>
          <w:rFonts w:ascii="Verdana" w:hAnsi="Verdana" w:cs="Times New Roman"/>
          <w:sz w:val="20"/>
          <w:szCs w:val="20"/>
        </w:rPr>
      </w:pPr>
    </w:p>
    <w:p w14:paraId="0427D85F" w14:textId="77777777" w:rsidR="00E1400A" w:rsidRPr="00EA236D" w:rsidRDefault="00E1400A" w:rsidP="00E1400A">
      <w:pPr>
        <w:rPr>
          <w:rFonts w:ascii="Verdana" w:hAnsi="Verdana" w:cs="Times New Roman"/>
          <w:sz w:val="20"/>
          <w:szCs w:val="20"/>
        </w:rPr>
      </w:pPr>
      <w:r w:rsidRPr="00EA236D">
        <w:rPr>
          <w:rFonts w:ascii="Verdana" w:hAnsi="Verdana" w:cs="Times New Roman"/>
          <w:sz w:val="20"/>
          <w:szCs w:val="20"/>
        </w:rPr>
        <w:t xml:space="preserve">además: </w:t>
      </w:r>
    </w:p>
    <w:p w14:paraId="07A46E5C" w14:textId="77777777" w:rsidR="00E1400A" w:rsidRPr="00EA236D" w:rsidRDefault="00E1400A" w:rsidP="00E1400A">
      <w:pPr>
        <w:rPr>
          <w:rFonts w:ascii="Verdana" w:hAnsi="Verdana" w:cs="Times New Roman"/>
          <w:sz w:val="20"/>
          <w:szCs w:val="20"/>
        </w:rPr>
      </w:pPr>
    </w:p>
    <w:p w14:paraId="45F1D280" w14:textId="463561ED" w:rsidR="00D13DA2" w:rsidRPr="00EA236D" w:rsidRDefault="00E1400A" w:rsidP="001415D7">
      <w:pPr>
        <w:pStyle w:val="ListParagraph"/>
        <w:ind w:left="708"/>
        <w:rPr>
          <w:rFonts w:cs="Times"/>
          <w:sz w:val="16"/>
          <w:szCs w:val="16"/>
          <w:lang w:val="es-ES_tradnl"/>
        </w:rPr>
      </w:pPr>
      <w:r w:rsidRPr="00EA236D">
        <w:rPr>
          <w:rFonts w:cs="Times New Roman"/>
          <w:sz w:val="16"/>
          <w:szCs w:val="16"/>
          <w:lang w:val="es-ES_tradnl"/>
        </w:rPr>
        <w:t xml:space="preserve">38. En muchos países en donde se dan los casos de esclavitud, las víctimas son pobres, con pocas conexiones políticas y escaso poder de expresar quejas. </w:t>
      </w:r>
      <w:r w:rsidRPr="00EA236D">
        <w:rPr>
          <w:rFonts w:cs="Times"/>
          <w:i/>
          <w:sz w:val="16"/>
          <w:szCs w:val="16"/>
          <w:lang w:val="es-ES_tradnl"/>
        </w:rPr>
        <w:t xml:space="preserve">Estos grupos están normalmente </w:t>
      </w:r>
      <w:r w:rsidRPr="00EA236D">
        <w:rPr>
          <w:rFonts w:cs="Times"/>
          <w:i/>
          <w:sz w:val="16"/>
          <w:szCs w:val="16"/>
          <w:lang w:val="es-ES_tradnl"/>
        </w:rPr>
        <w:lastRenderedPageBreak/>
        <w:t>marginados y discriminados</w:t>
      </w:r>
      <w:r w:rsidRPr="00EA236D">
        <w:rPr>
          <w:rFonts w:cs="Times"/>
          <w:sz w:val="16"/>
          <w:szCs w:val="16"/>
          <w:lang w:val="es-ES_tradnl"/>
        </w:rPr>
        <w:t xml:space="preserve"> por motivo de su casta, raza, sexo, y/o su origen como migrantes indígenas</w:t>
      </w:r>
      <w:r w:rsidRPr="00EA236D">
        <w:rPr>
          <w:rStyle w:val="FootnoteReference"/>
          <w:sz w:val="16"/>
          <w:lang w:val="es-ES_tradnl"/>
        </w:rPr>
        <w:footnoteReference w:id="78"/>
      </w:r>
      <w:r w:rsidRPr="00EA236D">
        <w:rPr>
          <w:rFonts w:cs="Times"/>
          <w:sz w:val="16"/>
          <w:szCs w:val="16"/>
          <w:lang w:val="es-ES_tradnl"/>
        </w:rPr>
        <w:t>.</w:t>
      </w:r>
    </w:p>
    <w:p w14:paraId="3F153B3C" w14:textId="77777777" w:rsidR="00D237E1" w:rsidRPr="00EA236D" w:rsidRDefault="00D237E1" w:rsidP="001415D7">
      <w:pPr>
        <w:pStyle w:val="ListParagraph"/>
        <w:ind w:left="708"/>
        <w:rPr>
          <w:rFonts w:cs="Times"/>
          <w:sz w:val="16"/>
          <w:szCs w:val="16"/>
          <w:lang w:val="es-ES_tradnl"/>
        </w:rPr>
      </w:pPr>
    </w:p>
    <w:p w14:paraId="705929C9" w14:textId="4BF2310D" w:rsidR="00E1400A" w:rsidRPr="00EA236D" w:rsidRDefault="00E1400A" w:rsidP="00576476">
      <w:pPr>
        <w:pStyle w:val="ListParagraph"/>
        <w:numPr>
          <w:ilvl w:val="0"/>
          <w:numId w:val="1"/>
        </w:numPr>
        <w:rPr>
          <w:rFonts w:cs="Times New Roman"/>
          <w:lang w:val="es-ES_tradnl"/>
        </w:rPr>
      </w:pPr>
      <w:r w:rsidRPr="00EA236D">
        <w:rPr>
          <w:rFonts w:cs="Times New Roman"/>
          <w:lang w:val="es-ES_tradnl"/>
        </w:rPr>
        <w:t xml:space="preserve">Es decir, </w:t>
      </w:r>
      <w:r w:rsidRPr="00EA236D">
        <w:rPr>
          <w:rFonts w:cs="Times New Roman"/>
          <w:szCs w:val="20"/>
          <w:lang w:val="es-ES_tradnl"/>
        </w:rPr>
        <w:t xml:space="preserve">si bien </w:t>
      </w:r>
      <w:r w:rsidRPr="00EA236D">
        <w:rPr>
          <w:rFonts w:cs="Times New Roman"/>
          <w:i/>
          <w:szCs w:val="20"/>
          <w:lang w:val="es-ES_tradnl"/>
        </w:rPr>
        <w:t xml:space="preserve">generalmente, normalmente o casi siempre </w:t>
      </w:r>
      <w:r w:rsidRPr="00EA236D">
        <w:rPr>
          <w:rFonts w:cs="Times New Roman"/>
          <w:szCs w:val="20"/>
          <w:lang w:val="es-ES_tradnl"/>
        </w:rPr>
        <w:t xml:space="preserve">las víctimas que son </w:t>
      </w:r>
      <w:r w:rsidR="006032DA" w:rsidRPr="00EA236D">
        <w:rPr>
          <w:rFonts w:cs="Times New Roman"/>
          <w:szCs w:val="20"/>
          <w:lang w:val="es-ES_tradnl"/>
        </w:rPr>
        <w:t>objeto</w:t>
      </w:r>
      <w:r w:rsidRPr="00EA236D">
        <w:rPr>
          <w:rFonts w:cs="Times New Roman"/>
          <w:szCs w:val="20"/>
          <w:lang w:val="es-ES_tradnl"/>
        </w:rPr>
        <w:t xml:space="preserve"> de esclavitud y sus formas análogas son personas </w:t>
      </w:r>
      <w:r w:rsidR="00576476" w:rsidRPr="00EA236D">
        <w:rPr>
          <w:rFonts w:cs="Times New Roman"/>
          <w:szCs w:val="20"/>
          <w:lang w:val="es-ES_tradnl"/>
        </w:rPr>
        <w:t xml:space="preserve">pobres </w:t>
      </w:r>
      <w:r w:rsidR="006032DA" w:rsidRPr="00EA236D">
        <w:rPr>
          <w:rFonts w:cs="Times New Roman"/>
          <w:szCs w:val="20"/>
          <w:lang w:val="es-ES_tradnl"/>
        </w:rPr>
        <w:t>que han sido históricamente</w:t>
      </w:r>
      <w:r w:rsidR="00576476" w:rsidRPr="00EA236D">
        <w:rPr>
          <w:rFonts w:cs="Times New Roman"/>
          <w:szCs w:val="20"/>
          <w:lang w:val="es-ES_tradnl"/>
        </w:rPr>
        <w:t xml:space="preserve"> discriminad</w:t>
      </w:r>
      <w:r w:rsidR="000C2F0F">
        <w:rPr>
          <w:rFonts w:cs="Times New Roman"/>
          <w:szCs w:val="20"/>
          <w:lang w:val="es-ES_tradnl"/>
        </w:rPr>
        <w:t>a</w:t>
      </w:r>
      <w:r w:rsidR="00576476" w:rsidRPr="00EA236D">
        <w:rPr>
          <w:rFonts w:cs="Times New Roman"/>
          <w:szCs w:val="20"/>
          <w:lang w:val="es-ES_tradnl"/>
        </w:rPr>
        <w:t>s</w:t>
      </w:r>
      <w:r w:rsidR="006032DA" w:rsidRPr="00EA236D">
        <w:rPr>
          <w:rFonts w:cs="Times"/>
          <w:szCs w:val="20"/>
          <w:lang w:val="es-ES_tradnl"/>
        </w:rPr>
        <w:t xml:space="preserve"> por motivo de su raza, sexo, y/o su</w:t>
      </w:r>
      <w:r w:rsidR="00576476" w:rsidRPr="00EA236D">
        <w:rPr>
          <w:rFonts w:cs="Times"/>
          <w:szCs w:val="20"/>
          <w:lang w:val="es-ES_tradnl"/>
        </w:rPr>
        <w:t xml:space="preserve"> origen como migrantes indígenas, </w:t>
      </w:r>
      <w:r w:rsidRPr="00EA236D">
        <w:rPr>
          <w:rFonts w:cs="Times New Roman"/>
          <w:szCs w:val="20"/>
          <w:lang w:val="es-ES_tradnl"/>
        </w:rPr>
        <w:t>no excluye que existan personas que no necesariamente se encuentren incluidas dentro de estas categorías expresas</w:t>
      </w:r>
      <w:r w:rsidR="009B33ED" w:rsidRPr="00EA236D">
        <w:rPr>
          <w:rFonts w:cs="Times New Roman"/>
          <w:szCs w:val="20"/>
          <w:lang w:val="es-ES_tradnl"/>
        </w:rPr>
        <w:t>,</w:t>
      </w:r>
      <w:r w:rsidRPr="00EA236D">
        <w:rPr>
          <w:rFonts w:cs="Times New Roman"/>
          <w:szCs w:val="20"/>
          <w:lang w:val="es-ES_tradnl"/>
        </w:rPr>
        <w:t xml:space="preserve"> pero que de igual manera sean pobres, marginados o excluidos.</w:t>
      </w:r>
      <w:r w:rsidR="001415D7" w:rsidRPr="00EA236D">
        <w:rPr>
          <w:rFonts w:cs="Times New Roman"/>
          <w:szCs w:val="20"/>
          <w:lang w:val="es-ES_tradnl"/>
        </w:rPr>
        <w:t xml:space="preserve"> No obstante, es de resaltar que cuando, además de la situación pobreza medie otra categoría, como la raza, género, el origen étnico, etc., dispuest</w:t>
      </w:r>
      <w:r w:rsidR="00C145D3">
        <w:rPr>
          <w:rFonts w:cs="Times New Roman"/>
          <w:szCs w:val="20"/>
          <w:lang w:val="es-ES_tradnl"/>
        </w:rPr>
        <w:t>a</w:t>
      </w:r>
      <w:r w:rsidR="001415D7" w:rsidRPr="00EA236D">
        <w:rPr>
          <w:rFonts w:cs="Times New Roman"/>
          <w:szCs w:val="20"/>
          <w:lang w:val="es-ES_tradnl"/>
        </w:rPr>
        <w:t xml:space="preserve"> en el artículo 1.1 se estará ante una situación múltiple</w:t>
      </w:r>
      <w:r w:rsidR="00A14D50" w:rsidRPr="00EA236D">
        <w:rPr>
          <w:rFonts w:cs="Times New Roman"/>
          <w:szCs w:val="20"/>
          <w:lang w:val="es-ES_tradnl"/>
        </w:rPr>
        <w:t>/</w:t>
      </w:r>
      <w:r w:rsidR="00A35855" w:rsidRPr="00EA236D">
        <w:rPr>
          <w:rFonts w:cs="Times New Roman"/>
          <w:szCs w:val="20"/>
          <w:lang w:val="es-ES_tradnl"/>
        </w:rPr>
        <w:t>compuesta</w:t>
      </w:r>
      <w:r w:rsidR="001415D7" w:rsidRPr="00EA236D">
        <w:rPr>
          <w:rFonts w:cs="Times New Roman"/>
          <w:szCs w:val="20"/>
          <w:lang w:val="es-ES_tradnl"/>
        </w:rPr>
        <w:t xml:space="preserve"> o </w:t>
      </w:r>
      <w:proofErr w:type="spellStart"/>
      <w:r w:rsidR="001415D7" w:rsidRPr="00EA236D">
        <w:rPr>
          <w:rFonts w:cs="Times New Roman"/>
          <w:szCs w:val="20"/>
          <w:lang w:val="es-ES_tradnl"/>
        </w:rPr>
        <w:t>intersec</w:t>
      </w:r>
      <w:r w:rsidR="0052556D" w:rsidRPr="00EA236D">
        <w:rPr>
          <w:rFonts w:cs="Times New Roman"/>
          <w:szCs w:val="20"/>
          <w:lang w:val="es-ES_tradnl"/>
        </w:rPr>
        <w:t>cional</w:t>
      </w:r>
      <w:proofErr w:type="spellEnd"/>
      <w:r w:rsidR="001415D7" w:rsidRPr="00EA236D">
        <w:rPr>
          <w:rFonts w:cs="Times New Roman"/>
          <w:szCs w:val="20"/>
          <w:lang w:val="es-ES_tradnl"/>
        </w:rPr>
        <w:t xml:space="preserve"> de discriminación, atendiendo a las particularidades</w:t>
      </w:r>
      <w:r w:rsidR="001415D7" w:rsidRPr="00EA236D">
        <w:rPr>
          <w:rFonts w:cs="Times New Roman"/>
          <w:lang w:val="es-ES_tradnl"/>
        </w:rPr>
        <w:t xml:space="preserve"> del caso</w:t>
      </w:r>
      <w:r w:rsidR="001415D7" w:rsidRPr="00EA236D">
        <w:rPr>
          <w:rStyle w:val="FootnoteReference"/>
          <w:lang w:val="es-ES_tradnl"/>
        </w:rPr>
        <w:footnoteReference w:id="79"/>
      </w:r>
      <w:r w:rsidR="00A35855" w:rsidRPr="00EA236D">
        <w:rPr>
          <w:rFonts w:cs="Times New Roman"/>
          <w:lang w:val="es-ES_tradnl"/>
        </w:rPr>
        <w:t xml:space="preserve"> y como ha sido reconocido en otras ocasiones por el Tribunal Interamericano</w:t>
      </w:r>
      <w:r w:rsidR="00A35855" w:rsidRPr="00EA236D">
        <w:rPr>
          <w:rStyle w:val="FootnoteReference"/>
          <w:lang w:val="es-ES_tradnl"/>
        </w:rPr>
        <w:footnoteReference w:id="80"/>
      </w:r>
      <w:r w:rsidR="00A35855" w:rsidRPr="00EA236D">
        <w:rPr>
          <w:rFonts w:cs="Times New Roman"/>
          <w:lang w:val="es-ES_tradnl"/>
        </w:rPr>
        <w:t xml:space="preserve">. </w:t>
      </w:r>
    </w:p>
    <w:p w14:paraId="08C5B3DC" w14:textId="77777777" w:rsidR="004326E6" w:rsidRPr="00EA236D" w:rsidRDefault="004326E6" w:rsidP="004326E6">
      <w:pPr>
        <w:pStyle w:val="ListParagraph"/>
        <w:ind w:left="0"/>
        <w:rPr>
          <w:rFonts w:cs="Times New Roman"/>
          <w:lang w:val="es-ES_tradnl"/>
        </w:rPr>
      </w:pPr>
    </w:p>
    <w:p w14:paraId="1A3B2BE3" w14:textId="49B91289" w:rsidR="00F9368F" w:rsidRPr="00F9368F" w:rsidRDefault="004326E6" w:rsidP="005A0278">
      <w:pPr>
        <w:pStyle w:val="ListParagraph"/>
        <w:numPr>
          <w:ilvl w:val="0"/>
          <w:numId w:val="1"/>
        </w:numPr>
        <w:rPr>
          <w:rFonts w:cs="Times New Roman"/>
          <w:szCs w:val="20"/>
          <w:lang w:val="es-ES_tradnl"/>
        </w:rPr>
      </w:pPr>
      <w:r w:rsidRPr="00EA236D">
        <w:rPr>
          <w:rFonts w:cs="Times New Roman"/>
          <w:lang w:val="es-ES_tradnl"/>
        </w:rPr>
        <w:t>Para los fines del derecho antidiscrim</w:t>
      </w:r>
      <w:r w:rsidR="00737DF4" w:rsidRPr="00EA236D">
        <w:rPr>
          <w:rFonts w:cs="Times New Roman"/>
          <w:lang w:val="es-ES_tradnl"/>
        </w:rPr>
        <w:t>inatorio, la posición económica</w:t>
      </w:r>
      <w:r w:rsidRPr="00EA236D">
        <w:rPr>
          <w:rFonts w:cs="Times New Roman"/>
          <w:lang w:val="es-ES_tradnl"/>
        </w:rPr>
        <w:t xml:space="preserve"> alude a situaciones estructurales </w:t>
      </w:r>
      <w:r w:rsidR="00D502F1" w:rsidRPr="00EA236D">
        <w:rPr>
          <w:rFonts w:cs="Times New Roman"/>
          <w:lang w:val="es-ES_tradnl"/>
        </w:rPr>
        <w:t>de negación, por diversas circunstancias, a un sector de la población, de</w:t>
      </w:r>
      <w:r w:rsidRPr="00EA236D">
        <w:rPr>
          <w:rFonts w:cs="Times New Roman"/>
          <w:lang w:val="es-ES_tradnl"/>
        </w:rPr>
        <w:t xml:space="preserve"> necesidad</w:t>
      </w:r>
      <w:r w:rsidR="00934D62" w:rsidRPr="00EA236D">
        <w:rPr>
          <w:rFonts w:cs="Times New Roman"/>
          <w:lang w:val="es-ES_tradnl"/>
        </w:rPr>
        <w:t>es</w:t>
      </w:r>
      <w:r w:rsidRPr="00EA236D">
        <w:rPr>
          <w:rFonts w:cs="Times New Roman"/>
          <w:lang w:val="es-ES_tradnl"/>
        </w:rPr>
        <w:t xml:space="preserve"> gen</w:t>
      </w:r>
      <w:r w:rsidR="00D502F1" w:rsidRPr="00EA236D">
        <w:rPr>
          <w:rFonts w:cs="Times New Roman"/>
          <w:lang w:val="es-ES_tradnl"/>
        </w:rPr>
        <w:t>erales de vida digna y autónoma</w:t>
      </w:r>
      <w:r w:rsidRPr="00EA236D">
        <w:rPr>
          <w:rFonts w:cs="Times New Roman"/>
          <w:lang w:val="es-ES_tradnl"/>
        </w:rPr>
        <w:t xml:space="preserve">. </w:t>
      </w:r>
      <w:r w:rsidR="00D502F1" w:rsidRPr="00EA236D">
        <w:rPr>
          <w:rFonts w:cs="Times New Roman"/>
          <w:lang w:val="es-ES_tradnl"/>
        </w:rPr>
        <w:t>Debe entenderse, pues, dentro del conjunto de situaciones que impiden que una persona desarroll</w:t>
      </w:r>
      <w:r w:rsidR="004175FB" w:rsidRPr="00EA236D">
        <w:rPr>
          <w:rFonts w:cs="Times New Roman"/>
          <w:lang w:val="es-ES_tradnl"/>
        </w:rPr>
        <w:t>e</w:t>
      </w:r>
      <w:r w:rsidR="00D502F1" w:rsidRPr="00EA236D">
        <w:rPr>
          <w:rFonts w:cs="Times New Roman"/>
          <w:lang w:val="es-ES_tradnl"/>
        </w:rPr>
        <w:t xml:space="preserve"> una vida digna, como el acceso y disfrute a los servicios sociales más básicos. En este sentido, las condiciones de dignidad se refieren a la posibilidad, por ejemplo, de ejercer un trabajo o bien </w:t>
      </w:r>
      <w:r w:rsidR="00D502F1" w:rsidRPr="00EA236D">
        <w:rPr>
          <w:rFonts w:cs="Times New Roman"/>
          <w:szCs w:val="20"/>
          <w:lang w:val="es-ES_tradnl"/>
        </w:rPr>
        <w:t xml:space="preserve">el </w:t>
      </w:r>
      <w:r w:rsidR="00D502F1" w:rsidRPr="00EA236D">
        <w:rPr>
          <w:rFonts w:cs="Times New Roman"/>
          <w:lang w:val="es-ES_tradnl"/>
        </w:rPr>
        <w:t>goce de bienes, tales como vivienda, educación, salud, esparcimiento, servicios públicos, seguridad social, cultura, dado que es la situación frente a ellos la que co</w:t>
      </w:r>
      <w:r w:rsidR="00737DF4" w:rsidRPr="00EA236D">
        <w:rPr>
          <w:rFonts w:cs="Times New Roman"/>
          <w:lang w:val="es-ES_tradnl"/>
        </w:rPr>
        <w:t xml:space="preserve">nfigura la condición económica </w:t>
      </w:r>
      <w:r w:rsidR="00D502F1" w:rsidRPr="00EA236D">
        <w:rPr>
          <w:rFonts w:cs="Times New Roman"/>
          <w:lang w:val="es-ES_tradnl"/>
        </w:rPr>
        <w:t>social del individuo</w:t>
      </w:r>
      <w:r w:rsidR="00D502F1" w:rsidRPr="00EA236D">
        <w:rPr>
          <w:rStyle w:val="FootnoteReference"/>
          <w:lang w:val="es-ES_tradnl"/>
        </w:rPr>
        <w:footnoteReference w:id="81"/>
      </w:r>
      <w:r w:rsidR="00BB236A" w:rsidRPr="00EA236D">
        <w:rPr>
          <w:rFonts w:cs="Times New Roman"/>
          <w:lang w:val="es-ES_tradnl"/>
        </w:rPr>
        <w:t xml:space="preserve">. </w:t>
      </w:r>
      <w:r w:rsidR="00F9368F">
        <w:rPr>
          <w:rFonts w:cs="Times New Roman"/>
          <w:lang w:val="es-ES_tradnl"/>
        </w:rPr>
        <w:t>Lo anterior se hace más evidente en América Latina respecto a las mujeres</w:t>
      </w:r>
      <w:r w:rsidR="005A0278">
        <w:rPr>
          <w:rFonts w:cs="Times New Roman"/>
          <w:lang w:val="es-ES_tradnl"/>
        </w:rPr>
        <w:t xml:space="preserve">, en razón de la </w:t>
      </w:r>
      <w:r w:rsidR="00F9368F">
        <w:rPr>
          <w:rFonts w:cs="Times New Roman"/>
          <w:lang w:val="es-ES_tradnl"/>
        </w:rPr>
        <w:t xml:space="preserve">falta de autonomía económica y </w:t>
      </w:r>
      <w:r w:rsidR="005A0278">
        <w:rPr>
          <w:rFonts w:cs="Times New Roman"/>
          <w:lang w:val="es-ES_tradnl"/>
        </w:rPr>
        <w:t>de circunstancias más agudas de incidencia de pobreza en relación con los hombres, lo que exige de los Estados la adopción de acciones específicas para solucionar esa situación de desigualdad de género en el impacto de la pobreza</w:t>
      </w:r>
      <w:r w:rsidR="005A0278">
        <w:rPr>
          <w:rStyle w:val="FootnoteReference"/>
          <w:lang w:val="es-ES_tradnl"/>
        </w:rPr>
        <w:footnoteReference w:id="82"/>
      </w:r>
      <w:r w:rsidR="005A0278">
        <w:rPr>
          <w:rFonts w:cs="Times New Roman"/>
          <w:lang w:val="es-ES_tradnl"/>
        </w:rPr>
        <w:t xml:space="preserve">. </w:t>
      </w:r>
    </w:p>
    <w:p w14:paraId="6FC06A6F" w14:textId="5D2E0155" w:rsidR="00D502F1" w:rsidRPr="00EA236D" w:rsidRDefault="00D502F1" w:rsidP="00D502F1">
      <w:pPr>
        <w:pStyle w:val="ListParagraph"/>
        <w:ind w:left="0"/>
        <w:rPr>
          <w:rFonts w:cs="Times New Roman"/>
          <w:szCs w:val="20"/>
          <w:lang w:val="es-ES_tradnl"/>
        </w:rPr>
      </w:pPr>
      <w:r w:rsidRPr="00EA236D">
        <w:rPr>
          <w:rFonts w:cs="Times New Roman"/>
          <w:lang w:val="es-ES_tradnl"/>
        </w:rPr>
        <w:t xml:space="preserve"> </w:t>
      </w:r>
    </w:p>
    <w:p w14:paraId="72661ED9" w14:textId="0020B19C" w:rsidR="00245B38" w:rsidRPr="00332532" w:rsidRDefault="00934D62" w:rsidP="00C54A99">
      <w:pPr>
        <w:pStyle w:val="ListParagraph"/>
        <w:numPr>
          <w:ilvl w:val="0"/>
          <w:numId w:val="1"/>
        </w:numPr>
        <w:rPr>
          <w:rFonts w:cs="Times New Roman"/>
          <w:b/>
          <w:szCs w:val="20"/>
          <w:lang w:val="es-ES_tradnl"/>
        </w:rPr>
      </w:pPr>
      <w:r w:rsidRPr="00EA236D">
        <w:rPr>
          <w:rFonts w:cs="Times New Roman"/>
          <w:szCs w:val="20"/>
          <w:lang w:val="es-ES_tradnl"/>
        </w:rPr>
        <w:t>En suma,</w:t>
      </w:r>
      <w:r w:rsidR="003A5728" w:rsidRPr="00EA236D">
        <w:rPr>
          <w:rFonts w:cs="Times New Roman"/>
          <w:szCs w:val="20"/>
          <w:lang w:val="es-ES_tradnl"/>
        </w:rPr>
        <w:t xml:space="preserve"> el</w:t>
      </w:r>
      <w:r w:rsidR="004F62CD" w:rsidRPr="00EA236D">
        <w:rPr>
          <w:rFonts w:cs="Times New Roman"/>
          <w:szCs w:val="20"/>
          <w:lang w:val="es-ES_tradnl"/>
        </w:rPr>
        <w:t xml:space="preserve"> Tribunal Interamericano ha ido ampliando </w:t>
      </w:r>
      <w:r w:rsidR="005C2952" w:rsidRPr="00EA236D">
        <w:rPr>
          <w:rFonts w:cs="Times New Roman"/>
          <w:szCs w:val="20"/>
          <w:lang w:val="es-ES_tradnl"/>
        </w:rPr>
        <w:t xml:space="preserve">y delimitando el contenido de </w:t>
      </w:r>
      <w:r w:rsidR="004F62CD" w:rsidRPr="00EA236D">
        <w:rPr>
          <w:rFonts w:cs="Times New Roman"/>
          <w:szCs w:val="20"/>
          <w:lang w:val="es-ES_tradnl"/>
        </w:rPr>
        <w:t xml:space="preserve">las categorías por las cuales personas o grupos </w:t>
      </w:r>
      <w:r w:rsidR="00370A5E" w:rsidRPr="00EA236D">
        <w:rPr>
          <w:rFonts w:cs="Times New Roman"/>
          <w:szCs w:val="20"/>
          <w:lang w:val="es-ES_tradnl"/>
        </w:rPr>
        <w:t xml:space="preserve">de </w:t>
      </w:r>
      <w:r w:rsidR="004F62CD" w:rsidRPr="00EA236D">
        <w:rPr>
          <w:rFonts w:cs="Times New Roman"/>
          <w:szCs w:val="20"/>
          <w:lang w:val="es-ES_tradnl"/>
        </w:rPr>
        <w:t xml:space="preserve">personas </w:t>
      </w:r>
      <w:r w:rsidR="003A5728" w:rsidRPr="00EA236D">
        <w:rPr>
          <w:rFonts w:cs="Times New Roman"/>
          <w:szCs w:val="20"/>
          <w:lang w:val="es-ES_tradnl"/>
        </w:rPr>
        <w:t>no pueden ser discriminadas</w:t>
      </w:r>
      <w:r w:rsidR="009B33ED" w:rsidRPr="00EA236D">
        <w:rPr>
          <w:rFonts w:cs="Times New Roman"/>
          <w:szCs w:val="20"/>
          <w:lang w:val="es-ES_tradnl"/>
        </w:rPr>
        <w:t>,</w:t>
      </w:r>
      <w:r w:rsidR="003A5728" w:rsidRPr="00EA236D">
        <w:rPr>
          <w:rFonts w:cs="Times New Roman"/>
          <w:szCs w:val="20"/>
          <w:lang w:val="es-ES_tradnl"/>
        </w:rPr>
        <w:t xml:space="preserve"> que</w:t>
      </w:r>
      <w:r w:rsidR="004F62CD" w:rsidRPr="00EA236D">
        <w:rPr>
          <w:rFonts w:cs="Times New Roman"/>
          <w:szCs w:val="20"/>
          <w:lang w:val="es-ES_tradnl"/>
        </w:rPr>
        <w:t xml:space="preserve"> en algunos casos, han respondido a las realidades sociales que se han ido presentando</w:t>
      </w:r>
      <w:r w:rsidR="009B33ED" w:rsidRPr="00EA236D">
        <w:rPr>
          <w:rFonts w:cs="Times New Roman"/>
          <w:szCs w:val="20"/>
          <w:lang w:val="es-ES_tradnl"/>
        </w:rPr>
        <w:t xml:space="preserve"> con la evolución de las mismas;</w:t>
      </w:r>
      <w:r w:rsidR="004F62CD" w:rsidRPr="00EA236D">
        <w:rPr>
          <w:rFonts w:cs="Times New Roman"/>
          <w:szCs w:val="20"/>
          <w:lang w:val="es-ES_tradnl"/>
        </w:rPr>
        <w:t xml:space="preserve"> en donde, además, no se vinculan de manera individual sino que responden a diversos factores y barreras sociales y culturales de manera conjunta, como lo ha sido la condición de VIH que puede ser generadora de discapacidad, la infertilidad como forma de discapacidad que tiene otras repercusione</w:t>
      </w:r>
      <w:r w:rsidR="006032DA" w:rsidRPr="00EA236D">
        <w:rPr>
          <w:rFonts w:cs="Times New Roman"/>
          <w:szCs w:val="20"/>
          <w:lang w:val="es-ES_tradnl"/>
        </w:rPr>
        <w:t xml:space="preserve">s en el género, </w:t>
      </w:r>
      <w:r w:rsidR="004F62CD" w:rsidRPr="00EA236D">
        <w:rPr>
          <w:rFonts w:cs="Times New Roman"/>
          <w:szCs w:val="20"/>
          <w:lang w:val="es-ES_tradnl"/>
        </w:rPr>
        <w:t xml:space="preserve">o la situación de desventaja de un trabajador </w:t>
      </w:r>
      <w:r w:rsidR="004F62CD" w:rsidRPr="00EA236D">
        <w:rPr>
          <w:rFonts w:cs="Times New Roman"/>
          <w:szCs w:val="20"/>
          <w:lang w:val="es-ES_tradnl"/>
        </w:rPr>
        <w:lastRenderedPageBreak/>
        <w:t xml:space="preserve">por su </w:t>
      </w:r>
      <w:r w:rsidR="006032DA" w:rsidRPr="00EA236D">
        <w:rPr>
          <w:rFonts w:cs="Times New Roman"/>
          <w:szCs w:val="20"/>
          <w:lang w:val="es-ES_tradnl"/>
        </w:rPr>
        <w:t xml:space="preserve">estatus de migrante irregular y, </w:t>
      </w:r>
      <w:r w:rsidR="00583C93" w:rsidRPr="00EA236D">
        <w:rPr>
          <w:rFonts w:cs="Times New Roman"/>
          <w:szCs w:val="20"/>
          <w:lang w:val="es-ES_tradnl"/>
        </w:rPr>
        <w:t xml:space="preserve">ahora, la situación de pobreza como parte de la posición económica. </w:t>
      </w:r>
    </w:p>
    <w:p w14:paraId="3F9AE714" w14:textId="77777777" w:rsidR="00802141" w:rsidRPr="00EA236D" w:rsidRDefault="00802141" w:rsidP="00332532">
      <w:pPr>
        <w:pStyle w:val="ListParagraph"/>
        <w:spacing w:line="360" w:lineRule="auto"/>
        <w:ind w:left="0"/>
        <w:rPr>
          <w:rFonts w:cs="Times New Roman"/>
          <w:b/>
          <w:szCs w:val="20"/>
          <w:lang w:val="es-ES_tradnl"/>
        </w:rPr>
      </w:pPr>
    </w:p>
    <w:p w14:paraId="425AD09D" w14:textId="7DF5AF64" w:rsidR="00631462" w:rsidRPr="00EA236D" w:rsidRDefault="009B33ED" w:rsidP="002C0A86">
      <w:pPr>
        <w:pStyle w:val="ListParagraph"/>
        <w:spacing w:line="276" w:lineRule="auto"/>
        <w:ind w:left="0"/>
        <w:jc w:val="center"/>
        <w:rPr>
          <w:rFonts w:cs="System Font Regular"/>
          <w:szCs w:val="20"/>
          <w:lang w:val="es-ES_tradnl"/>
        </w:rPr>
      </w:pPr>
      <w:r w:rsidRPr="00EA236D">
        <w:rPr>
          <w:rFonts w:cs="System Font Regular"/>
          <w:szCs w:val="20"/>
          <w:lang w:val="es-ES_tradnl"/>
        </w:rPr>
        <w:t>IV.</w:t>
      </w:r>
      <w:r w:rsidR="00671230" w:rsidRPr="00EA236D">
        <w:rPr>
          <w:rFonts w:cs="System Font Regular"/>
          <w:szCs w:val="20"/>
          <w:lang w:val="es-ES_tradnl"/>
        </w:rPr>
        <w:t xml:space="preserve"> LAS VIOLACIONES </w:t>
      </w:r>
      <w:r w:rsidR="002B4857" w:rsidRPr="00EA236D">
        <w:rPr>
          <w:rFonts w:cs="System Font Regular"/>
          <w:szCs w:val="20"/>
          <w:lang w:val="es-ES_tradnl"/>
        </w:rPr>
        <w:t>ESTRUCTURAL</w:t>
      </w:r>
      <w:r w:rsidR="00671230" w:rsidRPr="00EA236D">
        <w:rPr>
          <w:rFonts w:cs="System Font Regular"/>
          <w:szCs w:val="20"/>
          <w:lang w:val="es-ES_tradnl"/>
        </w:rPr>
        <w:t>ES</w:t>
      </w:r>
      <w:r w:rsidR="002B4857" w:rsidRPr="00EA236D">
        <w:rPr>
          <w:rFonts w:cs="System Font Regular"/>
          <w:szCs w:val="20"/>
          <w:lang w:val="es-ES_tradnl"/>
        </w:rPr>
        <w:t xml:space="preserve"> EN EL DERECHO INTERNACIONAL </w:t>
      </w:r>
    </w:p>
    <w:p w14:paraId="43CEDA8A" w14:textId="77777777" w:rsidR="00B36D1E" w:rsidRPr="00EA236D" w:rsidRDefault="00B36D1E" w:rsidP="00671230">
      <w:pPr>
        <w:pStyle w:val="ListParagraph"/>
        <w:ind w:left="0"/>
        <w:jc w:val="center"/>
        <w:rPr>
          <w:rFonts w:cs="System Font Regular"/>
          <w:b/>
          <w:szCs w:val="20"/>
          <w:lang w:val="es-ES_tradnl"/>
        </w:rPr>
      </w:pPr>
    </w:p>
    <w:p w14:paraId="42670289" w14:textId="3D6C8614" w:rsidR="005E2228" w:rsidRPr="00EA236D" w:rsidRDefault="00866626" w:rsidP="005E2228">
      <w:pPr>
        <w:pStyle w:val="ListParagraph"/>
        <w:numPr>
          <w:ilvl w:val="0"/>
          <w:numId w:val="1"/>
        </w:numPr>
        <w:contextualSpacing w:val="0"/>
        <w:rPr>
          <w:rFonts w:cs="System Font Regular"/>
          <w:szCs w:val="20"/>
          <w:lang w:val="es-ES_tradnl"/>
        </w:rPr>
      </w:pPr>
      <w:r w:rsidRPr="00EA236D">
        <w:rPr>
          <w:rFonts w:cs="System Font Regular"/>
          <w:szCs w:val="20"/>
          <w:lang w:val="es-ES_tradnl"/>
        </w:rPr>
        <w:t xml:space="preserve">El </w:t>
      </w:r>
      <w:r w:rsidR="00B36D1E" w:rsidRPr="00EA236D">
        <w:rPr>
          <w:rFonts w:cs="System Font Regular"/>
          <w:szCs w:val="20"/>
          <w:lang w:val="es-ES_tradnl"/>
        </w:rPr>
        <w:t>presente apartado</w:t>
      </w:r>
      <w:r w:rsidR="005E2228" w:rsidRPr="00EA236D">
        <w:rPr>
          <w:rFonts w:cs="System Font Regular"/>
          <w:szCs w:val="20"/>
          <w:lang w:val="es-ES_tradnl"/>
        </w:rPr>
        <w:t xml:space="preserve"> tiene como finalidad</w:t>
      </w:r>
      <w:r w:rsidR="00B36D1E" w:rsidRPr="00EA236D">
        <w:rPr>
          <w:rFonts w:cs="System Font Regular"/>
          <w:szCs w:val="20"/>
          <w:lang w:val="es-ES_tradnl"/>
        </w:rPr>
        <w:t xml:space="preserve"> enmarcar los avances</w:t>
      </w:r>
      <w:r w:rsidR="00215CE9" w:rsidRPr="00EA236D">
        <w:rPr>
          <w:rFonts w:cs="System Font Regular"/>
          <w:szCs w:val="20"/>
          <w:lang w:val="es-ES_tradnl"/>
        </w:rPr>
        <w:t xml:space="preserve"> </w:t>
      </w:r>
      <w:r w:rsidR="00B36D1E" w:rsidRPr="00EA236D">
        <w:rPr>
          <w:rFonts w:cs="System Font Regular"/>
          <w:szCs w:val="20"/>
          <w:lang w:val="es-ES_tradnl"/>
        </w:rPr>
        <w:t xml:space="preserve">que se han ido desarrollando en </w:t>
      </w:r>
      <w:r w:rsidR="005E2228" w:rsidRPr="00EA236D">
        <w:rPr>
          <w:rFonts w:cs="System Font Regular"/>
          <w:szCs w:val="20"/>
          <w:lang w:val="es-ES_tradnl"/>
        </w:rPr>
        <w:t>la materia del reconocimiento de la discriminación estructural</w:t>
      </w:r>
      <w:r w:rsidR="00B36D1E" w:rsidRPr="00EA236D">
        <w:rPr>
          <w:rFonts w:cs="System Font Regular"/>
          <w:szCs w:val="20"/>
          <w:lang w:val="es-ES_tradnl"/>
        </w:rPr>
        <w:t>. De esta manera, resulta de vital importancia que los Estados consideren la</w:t>
      </w:r>
      <w:r w:rsidR="005E2228" w:rsidRPr="00EA236D">
        <w:rPr>
          <w:rFonts w:cs="System Font Regular"/>
          <w:szCs w:val="20"/>
          <w:lang w:val="es-ES_tradnl"/>
        </w:rPr>
        <w:t xml:space="preserve"> existencia de estas situaciones sistémica</w:t>
      </w:r>
      <w:r w:rsidR="009B33ED" w:rsidRPr="00EA236D">
        <w:rPr>
          <w:rFonts w:cs="System Font Regular"/>
          <w:szCs w:val="20"/>
          <w:lang w:val="es-ES_tradnl"/>
        </w:rPr>
        <w:t>s de discriminación;</w:t>
      </w:r>
      <w:r w:rsidR="005E2228" w:rsidRPr="00EA236D">
        <w:rPr>
          <w:rFonts w:cs="System Font Regular"/>
          <w:szCs w:val="20"/>
          <w:lang w:val="es-ES_tradnl"/>
        </w:rPr>
        <w:t xml:space="preserve"> </w:t>
      </w:r>
      <w:r w:rsidR="00215CE9" w:rsidRPr="00EA236D">
        <w:rPr>
          <w:rFonts w:cs="System Font Regular"/>
          <w:szCs w:val="20"/>
          <w:lang w:val="es-ES_tradnl"/>
        </w:rPr>
        <w:t>ya que</w:t>
      </w:r>
      <w:r w:rsidR="005E2228" w:rsidRPr="00EA236D">
        <w:rPr>
          <w:rFonts w:cs="System Font Regular"/>
          <w:szCs w:val="20"/>
          <w:lang w:val="es-ES_tradnl"/>
        </w:rPr>
        <w:t xml:space="preserve"> no todas las violaciones de derechos humanos se presentan como hechos aislados, sino que en ocasiones éstas responden a contextos específicos e institucionales de negación de derechos humanos. </w:t>
      </w:r>
    </w:p>
    <w:p w14:paraId="0020743F" w14:textId="77777777" w:rsidR="005E2228" w:rsidRPr="00EA236D" w:rsidRDefault="005E2228" w:rsidP="005E2228">
      <w:pPr>
        <w:pStyle w:val="ListParagraph"/>
        <w:ind w:left="0"/>
        <w:contextualSpacing w:val="0"/>
        <w:rPr>
          <w:rFonts w:cs="System Font Regular"/>
          <w:szCs w:val="20"/>
          <w:lang w:val="es-ES_tradnl"/>
        </w:rPr>
      </w:pPr>
    </w:p>
    <w:p w14:paraId="6065A827" w14:textId="590E745A" w:rsidR="004175FB" w:rsidRPr="00EA236D" w:rsidRDefault="005E2228" w:rsidP="008E3830">
      <w:pPr>
        <w:pStyle w:val="ListParagraph"/>
        <w:numPr>
          <w:ilvl w:val="0"/>
          <w:numId w:val="1"/>
        </w:numPr>
        <w:contextualSpacing w:val="0"/>
        <w:rPr>
          <w:rFonts w:cs="System Font Regular"/>
          <w:b/>
          <w:i/>
          <w:szCs w:val="20"/>
          <w:lang w:val="es-ES_tradnl"/>
        </w:rPr>
      </w:pPr>
      <w:r w:rsidRPr="00EA236D">
        <w:rPr>
          <w:rFonts w:cs="System Font Regular"/>
          <w:szCs w:val="20"/>
          <w:lang w:val="es-ES_tradnl"/>
        </w:rPr>
        <w:t xml:space="preserve">Si bien en el estado actual del </w:t>
      </w:r>
      <w:r w:rsidR="009C30BC" w:rsidRPr="00EA236D">
        <w:rPr>
          <w:rFonts w:cs="System Font Regular"/>
          <w:szCs w:val="20"/>
          <w:lang w:val="es-ES_tradnl"/>
        </w:rPr>
        <w:t>D</w:t>
      </w:r>
      <w:r w:rsidRPr="00EA236D">
        <w:rPr>
          <w:rFonts w:cs="System Font Regular"/>
          <w:szCs w:val="20"/>
          <w:lang w:val="es-ES_tradnl"/>
        </w:rPr>
        <w:t xml:space="preserve">erecho </w:t>
      </w:r>
      <w:r w:rsidR="009C30BC" w:rsidRPr="00EA236D">
        <w:rPr>
          <w:rFonts w:cs="System Font Regular"/>
          <w:szCs w:val="20"/>
          <w:lang w:val="es-ES_tradnl"/>
        </w:rPr>
        <w:t>I</w:t>
      </w:r>
      <w:r w:rsidRPr="00EA236D">
        <w:rPr>
          <w:rFonts w:cs="System Font Regular"/>
          <w:szCs w:val="20"/>
          <w:lang w:val="es-ES_tradnl"/>
        </w:rPr>
        <w:t xml:space="preserve">nternacional y </w:t>
      </w:r>
      <w:r w:rsidR="009C30BC" w:rsidRPr="00EA236D">
        <w:rPr>
          <w:rFonts w:cs="System Font Regular"/>
          <w:szCs w:val="20"/>
          <w:lang w:val="es-ES_tradnl"/>
        </w:rPr>
        <w:t>C</w:t>
      </w:r>
      <w:r w:rsidRPr="00EA236D">
        <w:rPr>
          <w:rFonts w:cs="System Font Regular"/>
          <w:szCs w:val="20"/>
          <w:lang w:val="es-ES_tradnl"/>
        </w:rPr>
        <w:t xml:space="preserve">onstitucional de los </w:t>
      </w:r>
      <w:r w:rsidR="009C30BC" w:rsidRPr="00EA236D">
        <w:rPr>
          <w:rFonts w:cs="System Font Regular"/>
          <w:szCs w:val="20"/>
          <w:lang w:val="es-ES_tradnl"/>
        </w:rPr>
        <w:t>D</w:t>
      </w:r>
      <w:r w:rsidRPr="00EA236D">
        <w:rPr>
          <w:rFonts w:cs="System Font Regular"/>
          <w:szCs w:val="20"/>
          <w:lang w:val="es-ES_tradnl"/>
        </w:rPr>
        <w:t xml:space="preserve">erechos </w:t>
      </w:r>
      <w:r w:rsidR="009C30BC" w:rsidRPr="00EA236D">
        <w:rPr>
          <w:rFonts w:cs="System Font Regular"/>
          <w:szCs w:val="20"/>
          <w:lang w:val="es-ES_tradnl"/>
        </w:rPr>
        <w:t>H</w:t>
      </w:r>
      <w:r w:rsidRPr="00EA236D">
        <w:rPr>
          <w:rFonts w:cs="System Font Regular"/>
          <w:szCs w:val="20"/>
          <w:lang w:val="es-ES_tradnl"/>
        </w:rPr>
        <w:t>umanos no se cuenta con una visión arraigada de este fenómeno, ello no implica que</w:t>
      </w:r>
      <w:r w:rsidR="004175FB" w:rsidRPr="00EA236D">
        <w:rPr>
          <w:rFonts w:cs="System Font Regular"/>
          <w:szCs w:val="20"/>
          <w:lang w:val="es-ES_tradnl"/>
        </w:rPr>
        <w:t>,</w:t>
      </w:r>
      <w:r w:rsidRPr="00EA236D">
        <w:rPr>
          <w:rFonts w:cs="System Font Regular"/>
          <w:szCs w:val="20"/>
          <w:lang w:val="es-ES_tradnl"/>
        </w:rPr>
        <w:t xml:space="preserve"> poco a poco</w:t>
      </w:r>
      <w:r w:rsidR="004175FB" w:rsidRPr="00EA236D">
        <w:rPr>
          <w:rFonts w:cs="System Font Regular"/>
          <w:szCs w:val="20"/>
          <w:lang w:val="es-ES_tradnl"/>
        </w:rPr>
        <w:t>,</w:t>
      </w:r>
      <w:r w:rsidRPr="00EA236D">
        <w:rPr>
          <w:rFonts w:cs="System Font Regular"/>
          <w:szCs w:val="20"/>
          <w:lang w:val="es-ES_tradnl"/>
        </w:rPr>
        <w:t xml:space="preserve">  diversas instancias se hayan pronunciado sobre la existencia y materi</w:t>
      </w:r>
      <w:r w:rsidR="00E27E56" w:rsidRPr="00EA236D">
        <w:rPr>
          <w:rFonts w:cs="System Font Regular"/>
          <w:szCs w:val="20"/>
          <w:lang w:val="es-ES_tradnl"/>
        </w:rPr>
        <w:t>alización de esta situación</w:t>
      </w:r>
      <w:r w:rsidRPr="00EA236D">
        <w:rPr>
          <w:rFonts w:cs="System Font Regular"/>
          <w:szCs w:val="20"/>
          <w:lang w:val="es-ES_tradnl"/>
        </w:rPr>
        <w:t>. Así</w:t>
      </w:r>
      <w:r w:rsidR="00E27E56" w:rsidRPr="00EA236D">
        <w:rPr>
          <w:rFonts w:cs="System Font Regular"/>
          <w:szCs w:val="20"/>
          <w:lang w:val="es-ES_tradnl"/>
        </w:rPr>
        <w:t xml:space="preserve">, </w:t>
      </w:r>
      <w:r w:rsidRPr="00EA236D">
        <w:rPr>
          <w:rFonts w:cs="System Font Regular"/>
          <w:szCs w:val="20"/>
          <w:lang w:val="es-ES_tradnl"/>
        </w:rPr>
        <w:t xml:space="preserve">encontramos algunos rasgos </w:t>
      </w:r>
      <w:r w:rsidR="00E27E56" w:rsidRPr="00EA236D">
        <w:rPr>
          <w:rFonts w:cs="System Font Regular"/>
          <w:szCs w:val="20"/>
          <w:lang w:val="es-ES_tradnl"/>
        </w:rPr>
        <w:t xml:space="preserve">coincidentes </w:t>
      </w:r>
      <w:r w:rsidR="00802141" w:rsidRPr="00EA236D">
        <w:rPr>
          <w:rFonts w:cs="System Font Regular"/>
          <w:szCs w:val="20"/>
          <w:lang w:val="es-ES_tradnl"/>
        </w:rPr>
        <w:t>en el ámbito</w:t>
      </w:r>
      <w:r w:rsidR="00E27E56" w:rsidRPr="00EA236D">
        <w:rPr>
          <w:rFonts w:cs="System Font Regular"/>
          <w:szCs w:val="20"/>
          <w:lang w:val="es-ES_tradnl"/>
        </w:rPr>
        <w:t xml:space="preserve"> internacional</w:t>
      </w:r>
      <w:r w:rsidR="00802141" w:rsidRPr="00EA236D">
        <w:rPr>
          <w:rFonts w:cs="System Font Regular"/>
          <w:szCs w:val="20"/>
          <w:lang w:val="es-ES_tradnl"/>
        </w:rPr>
        <w:t>.</w:t>
      </w:r>
    </w:p>
    <w:p w14:paraId="67412ED9" w14:textId="0EBF0394" w:rsidR="00E27E56" w:rsidRPr="00EA236D" w:rsidRDefault="00E27E56" w:rsidP="004175FB">
      <w:pPr>
        <w:pStyle w:val="ListParagraph"/>
        <w:ind w:left="0"/>
        <w:contextualSpacing w:val="0"/>
        <w:rPr>
          <w:rFonts w:cs="System Font Regular"/>
          <w:b/>
          <w:i/>
          <w:szCs w:val="20"/>
          <w:highlight w:val="yellow"/>
          <w:lang w:val="es-ES_tradnl"/>
        </w:rPr>
      </w:pPr>
      <w:r w:rsidRPr="00EA236D">
        <w:rPr>
          <w:rFonts w:cs="System Font Regular"/>
          <w:szCs w:val="20"/>
          <w:lang w:val="es-ES_tradnl"/>
        </w:rPr>
        <w:t xml:space="preserve"> </w:t>
      </w:r>
    </w:p>
    <w:p w14:paraId="53D0A503" w14:textId="2525C9F8" w:rsidR="002B4857" w:rsidRPr="00EA236D" w:rsidRDefault="002B4857" w:rsidP="00D13DA2">
      <w:pPr>
        <w:pStyle w:val="ListParagraph"/>
        <w:ind w:left="0"/>
        <w:rPr>
          <w:rFonts w:cs="System Font Regular"/>
          <w:i/>
          <w:szCs w:val="20"/>
          <w:lang w:val="es-ES_tradnl"/>
        </w:rPr>
      </w:pPr>
      <w:r w:rsidRPr="00EA236D">
        <w:rPr>
          <w:rFonts w:cs="System Font Regular"/>
          <w:i/>
          <w:szCs w:val="20"/>
          <w:lang w:val="es-ES_tradnl"/>
        </w:rPr>
        <w:t xml:space="preserve">i) Tribunal Europeo de Derechos Humanos </w:t>
      </w:r>
    </w:p>
    <w:p w14:paraId="7801A136" w14:textId="77777777" w:rsidR="00631462" w:rsidRPr="00EA236D" w:rsidRDefault="00631462" w:rsidP="00291466">
      <w:pPr>
        <w:pStyle w:val="ListParagraph"/>
        <w:ind w:left="0"/>
        <w:contextualSpacing w:val="0"/>
        <w:rPr>
          <w:rFonts w:cs="System Font Regular"/>
          <w:b/>
          <w:i/>
          <w:szCs w:val="20"/>
          <w:lang w:val="es-ES_tradnl"/>
        </w:rPr>
      </w:pPr>
    </w:p>
    <w:p w14:paraId="44A2614D" w14:textId="56971E44" w:rsidR="00C44E6B" w:rsidRPr="00EA236D" w:rsidRDefault="004175FB" w:rsidP="00C44E6B">
      <w:pPr>
        <w:pStyle w:val="ListParagraph"/>
        <w:numPr>
          <w:ilvl w:val="0"/>
          <w:numId w:val="1"/>
        </w:numPr>
        <w:contextualSpacing w:val="0"/>
        <w:rPr>
          <w:rFonts w:cs="System Font Regular"/>
          <w:i/>
          <w:szCs w:val="20"/>
          <w:lang w:val="es-ES_tradnl"/>
        </w:rPr>
      </w:pPr>
      <w:r w:rsidRPr="00EA236D">
        <w:rPr>
          <w:rFonts w:cs="System Font Regular"/>
          <w:szCs w:val="20"/>
          <w:lang w:val="es-ES_tradnl"/>
        </w:rPr>
        <w:t>E</w:t>
      </w:r>
      <w:r w:rsidR="002B4857" w:rsidRPr="00EA236D">
        <w:rPr>
          <w:rFonts w:cs="System Font Regular"/>
          <w:szCs w:val="20"/>
          <w:lang w:val="es-ES_tradnl"/>
        </w:rPr>
        <w:t xml:space="preserve">l Tribunal Europeo, a la fecha, no ha reconocido el concepto de </w:t>
      </w:r>
      <w:r w:rsidR="002B4857" w:rsidRPr="00EA236D">
        <w:rPr>
          <w:rFonts w:cs="System Font Regular"/>
          <w:i/>
          <w:szCs w:val="20"/>
          <w:lang w:val="es-ES_tradnl"/>
        </w:rPr>
        <w:t xml:space="preserve">“discriminación estructural” </w:t>
      </w:r>
      <w:r w:rsidR="002B4857" w:rsidRPr="00EA236D">
        <w:rPr>
          <w:rFonts w:cs="System Font Regular"/>
          <w:szCs w:val="20"/>
          <w:lang w:val="es-ES_tradnl"/>
        </w:rPr>
        <w:t>por categorías de especial protección</w:t>
      </w:r>
      <w:r w:rsidR="002B4857" w:rsidRPr="00EA236D">
        <w:rPr>
          <w:rFonts w:cs="System Font Regular"/>
          <w:i/>
          <w:szCs w:val="20"/>
          <w:lang w:val="es-ES_tradnl"/>
        </w:rPr>
        <w:t xml:space="preserve">, </w:t>
      </w:r>
      <w:r w:rsidR="002B4857" w:rsidRPr="00EA236D">
        <w:rPr>
          <w:rFonts w:cs="System Font Regular"/>
          <w:szCs w:val="20"/>
          <w:lang w:val="es-ES_tradnl"/>
        </w:rPr>
        <w:t>que pudiera protegerse en el artículo 14 del Convenio Europeo, o bien mediante el</w:t>
      </w:r>
      <w:r w:rsidR="00737DF4" w:rsidRPr="00EA236D">
        <w:rPr>
          <w:rFonts w:cs="System Font Regular"/>
          <w:szCs w:val="20"/>
          <w:lang w:val="es-ES_tradnl"/>
        </w:rPr>
        <w:t xml:space="preserve"> artículo 1º del Protocolo 12 de dicho Convenio</w:t>
      </w:r>
      <w:r w:rsidR="00215CE9" w:rsidRPr="00EA236D">
        <w:rPr>
          <w:rFonts w:cs="System Font Regular"/>
          <w:szCs w:val="20"/>
          <w:lang w:val="es-ES_tradnl"/>
        </w:rPr>
        <w:t>; lo anterior</w:t>
      </w:r>
      <w:r w:rsidR="00C44E6B" w:rsidRPr="00EA236D">
        <w:rPr>
          <w:rFonts w:cs="System Font Regular"/>
          <w:szCs w:val="20"/>
          <w:lang w:val="es-ES_tradnl"/>
        </w:rPr>
        <w:t xml:space="preserve"> no ha sido impedimento para que, derivadas de un contexto sistemático de negación de derechos, las violaciones estructurales a estos derechos contemplados en el Convenio Europeo no sean protegidos. </w:t>
      </w:r>
      <w:r w:rsidR="002B4857" w:rsidRPr="00EA236D">
        <w:rPr>
          <w:rFonts w:cs="System Font Regular"/>
          <w:szCs w:val="20"/>
          <w:lang w:val="es-ES_tradnl"/>
        </w:rPr>
        <w:t>En este sentido, cabe destacar que a diferencia de la Convención Americana en donde existe un mandato convencional de adecuar o adoptar medidas de derecho interno (Artículo 2 de</w:t>
      </w:r>
      <w:r w:rsidR="009B33ED" w:rsidRPr="00EA236D">
        <w:rPr>
          <w:rFonts w:cs="System Font Regular"/>
          <w:szCs w:val="20"/>
          <w:lang w:val="es-ES_tradnl"/>
        </w:rPr>
        <w:t>l Pacto de San José</w:t>
      </w:r>
      <w:r w:rsidR="002B4857" w:rsidRPr="00EA236D">
        <w:rPr>
          <w:rFonts w:cs="System Font Regular"/>
          <w:szCs w:val="20"/>
          <w:lang w:val="es-ES_tradnl"/>
        </w:rPr>
        <w:t>)</w:t>
      </w:r>
      <w:r w:rsidR="009B33ED" w:rsidRPr="00EA236D">
        <w:rPr>
          <w:rFonts w:cs="System Font Regular"/>
          <w:szCs w:val="20"/>
          <w:lang w:val="es-ES_tradnl"/>
        </w:rPr>
        <w:t>, en el</w:t>
      </w:r>
      <w:r w:rsidR="002B4857" w:rsidRPr="00EA236D">
        <w:rPr>
          <w:rFonts w:cs="System Font Regular"/>
          <w:szCs w:val="20"/>
          <w:lang w:val="es-ES_tradnl"/>
        </w:rPr>
        <w:t xml:space="preserve"> Convenio</w:t>
      </w:r>
      <w:r w:rsidR="00C44E6B" w:rsidRPr="00EA236D">
        <w:rPr>
          <w:rFonts w:cs="System Font Regular"/>
          <w:szCs w:val="20"/>
          <w:lang w:val="es-ES_tradnl"/>
        </w:rPr>
        <w:t xml:space="preserve"> Europeo</w:t>
      </w:r>
      <w:r w:rsidR="002B4857" w:rsidRPr="00EA236D">
        <w:rPr>
          <w:rFonts w:cs="System Font Regular"/>
          <w:szCs w:val="20"/>
          <w:lang w:val="es-ES_tradnl"/>
        </w:rPr>
        <w:t xml:space="preserve"> no encontramos una disposición de similar amplitud y dimensión</w:t>
      </w:r>
      <w:r w:rsidR="00C44E6B" w:rsidRPr="00EA236D">
        <w:rPr>
          <w:rFonts w:cs="System Font Regular"/>
          <w:szCs w:val="20"/>
          <w:lang w:val="es-ES_tradnl"/>
        </w:rPr>
        <w:t xml:space="preserve">. </w:t>
      </w:r>
    </w:p>
    <w:p w14:paraId="387B7EB7" w14:textId="77777777" w:rsidR="00C44E6B" w:rsidRPr="00EA236D" w:rsidRDefault="00C44E6B" w:rsidP="00C44E6B">
      <w:pPr>
        <w:pStyle w:val="ListParagraph"/>
        <w:ind w:left="0"/>
        <w:contextualSpacing w:val="0"/>
        <w:rPr>
          <w:rFonts w:cs="System Font Regular"/>
          <w:i/>
          <w:szCs w:val="20"/>
          <w:lang w:val="es-ES_tradnl"/>
        </w:rPr>
      </w:pPr>
    </w:p>
    <w:p w14:paraId="6427F9CC" w14:textId="0892876B" w:rsidR="000E2E21" w:rsidRPr="00EA236D" w:rsidRDefault="00C44E6B" w:rsidP="000E2E21">
      <w:pPr>
        <w:pStyle w:val="ListParagraph"/>
        <w:numPr>
          <w:ilvl w:val="0"/>
          <w:numId w:val="1"/>
        </w:numPr>
        <w:contextualSpacing w:val="0"/>
        <w:rPr>
          <w:rFonts w:cs="System Font Regular"/>
          <w:i/>
          <w:szCs w:val="20"/>
          <w:lang w:val="es-ES_tradnl"/>
        </w:rPr>
      </w:pPr>
      <w:r w:rsidRPr="00EA236D">
        <w:rPr>
          <w:rFonts w:cs="System Font Regular"/>
          <w:szCs w:val="20"/>
          <w:lang w:val="es-ES_tradnl"/>
        </w:rPr>
        <w:t>De esta manera, el medio</w:t>
      </w:r>
      <w:r w:rsidR="002B4857" w:rsidRPr="00EA236D">
        <w:rPr>
          <w:rFonts w:cs="System Font Regular"/>
          <w:szCs w:val="20"/>
          <w:lang w:val="es-ES_tradnl"/>
        </w:rPr>
        <w:t xml:space="preserve"> </w:t>
      </w:r>
      <w:r w:rsidR="00B966B9">
        <w:rPr>
          <w:rFonts w:cs="System Font Regular"/>
          <w:szCs w:val="20"/>
          <w:lang w:val="es-ES_tradnl"/>
        </w:rPr>
        <w:t>que</w:t>
      </w:r>
      <w:r w:rsidRPr="00EA236D">
        <w:rPr>
          <w:rFonts w:cs="System Font Regular"/>
          <w:szCs w:val="20"/>
          <w:lang w:val="es-ES_tradnl"/>
        </w:rPr>
        <w:t xml:space="preserve"> el TEDH ha considerado como la vía idónea para </w:t>
      </w:r>
      <w:r w:rsidR="00934D62" w:rsidRPr="00EA236D">
        <w:rPr>
          <w:rFonts w:cs="System Font Regular"/>
          <w:szCs w:val="20"/>
          <w:lang w:val="es-ES_tradnl"/>
        </w:rPr>
        <w:t xml:space="preserve">hacer frente a </w:t>
      </w:r>
      <w:r w:rsidRPr="00EA236D">
        <w:rPr>
          <w:rFonts w:cs="System Font Regular"/>
          <w:szCs w:val="20"/>
          <w:lang w:val="es-ES_tradnl"/>
        </w:rPr>
        <w:t xml:space="preserve">las violaciones de derechos humanos en </w:t>
      </w:r>
      <w:r w:rsidR="002B4857" w:rsidRPr="00EA236D">
        <w:rPr>
          <w:rFonts w:cs="System Font Regular"/>
          <w:szCs w:val="20"/>
          <w:lang w:val="es-ES_tradnl"/>
        </w:rPr>
        <w:t>las situaciones estructurales</w:t>
      </w:r>
      <w:r w:rsidRPr="00EA236D">
        <w:rPr>
          <w:rFonts w:cs="System Font Regular"/>
          <w:szCs w:val="20"/>
          <w:lang w:val="es-ES_tradnl"/>
        </w:rPr>
        <w:t>,</w:t>
      </w:r>
      <w:r w:rsidR="002B4857" w:rsidRPr="00EA236D">
        <w:rPr>
          <w:rFonts w:cs="System Font Regular"/>
          <w:szCs w:val="20"/>
          <w:lang w:val="es-ES_tradnl"/>
        </w:rPr>
        <w:t xml:space="preserve"> es la adopción de medidas que ayuden a revertir estas circunstancias desfavorables para un sector de la población. </w:t>
      </w:r>
      <w:r w:rsidRPr="00EA236D">
        <w:rPr>
          <w:rFonts w:cs="System Font Regular"/>
          <w:szCs w:val="20"/>
          <w:lang w:val="es-ES_tradnl"/>
        </w:rPr>
        <w:t>L</w:t>
      </w:r>
      <w:r w:rsidR="002B4857" w:rsidRPr="00EA236D">
        <w:rPr>
          <w:rFonts w:cs="System Font Regular"/>
          <w:szCs w:val="20"/>
          <w:lang w:val="es-ES_tradnl"/>
        </w:rPr>
        <w:t xml:space="preserve">a ausencia del mandato convencional en el CEDH no ha sido impedimento para que en la práctica jurisprudencial del Tribunal de Estrasburgo reconozca la existencia de </w:t>
      </w:r>
      <w:r w:rsidR="002B4857" w:rsidRPr="00EA236D">
        <w:rPr>
          <w:rFonts w:cs="System Font Regular"/>
          <w:i/>
          <w:szCs w:val="20"/>
          <w:lang w:val="es-ES_tradnl"/>
        </w:rPr>
        <w:t>problemas estructurales y sistémicos</w:t>
      </w:r>
      <w:r w:rsidR="002B4857" w:rsidRPr="00EA236D">
        <w:rPr>
          <w:rFonts w:cs="System Font Regular"/>
          <w:szCs w:val="20"/>
          <w:lang w:val="es-ES_tradnl"/>
        </w:rPr>
        <w:t xml:space="preserve"> en relación a otros derecho</w:t>
      </w:r>
      <w:r w:rsidR="004175FB" w:rsidRPr="00EA236D">
        <w:rPr>
          <w:rFonts w:cs="System Font Regular"/>
          <w:szCs w:val="20"/>
          <w:lang w:val="es-ES_tradnl"/>
        </w:rPr>
        <w:t>s</w:t>
      </w:r>
      <w:r w:rsidR="002B4857" w:rsidRPr="00EA236D">
        <w:rPr>
          <w:rFonts w:cs="System Font Regular"/>
          <w:szCs w:val="20"/>
          <w:lang w:val="es-ES_tradnl"/>
        </w:rPr>
        <w:t xml:space="preserve"> protegidos por el Convenio de </w:t>
      </w:r>
      <w:r w:rsidR="00D97499">
        <w:rPr>
          <w:rFonts w:cs="System Font Regular"/>
          <w:szCs w:val="20"/>
          <w:lang w:val="es-ES_tradnl"/>
        </w:rPr>
        <w:t>Roma</w:t>
      </w:r>
      <w:r w:rsidR="00D97499" w:rsidRPr="00EA236D">
        <w:rPr>
          <w:rFonts w:cs="System Font Regular"/>
          <w:szCs w:val="20"/>
          <w:lang w:val="es-ES_tradnl"/>
        </w:rPr>
        <w:t xml:space="preserve"> </w:t>
      </w:r>
      <w:r w:rsidR="002B4857" w:rsidRPr="00EA236D">
        <w:rPr>
          <w:rFonts w:cs="System Font Regular"/>
          <w:szCs w:val="20"/>
          <w:lang w:val="es-ES_tradnl"/>
        </w:rPr>
        <w:t>y, de est</w:t>
      </w:r>
      <w:r w:rsidR="009C30BC" w:rsidRPr="00EA236D">
        <w:rPr>
          <w:rFonts w:cs="System Font Regular"/>
          <w:szCs w:val="20"/>
          <w:lang w:val="es-ES_tradnl"/>
        </w:rPr>
        <w:t>e modo</w:t>
      </w:r>
      <w:r w:rsidR="002B4857" w:rsidRPr="00EA236D">
        <w:rPr>
          <w:rFonts w:cs="System Font Regular"/>
          <w:szCs w:val="20"/>
          <w:lang w:val="es-ES_tradnl"/>
        </w:rPr>
        <w:t>, ordene la implementación de medidas positivas para garantizar los derechos protegidos en el Convenio Europeo</w:t>
      </w:r>
      <w:r w:rsidR="001A593F" w:rsidRPr="00EA236D">
        <w:rPr>
          <w:rStyle w:val="FootnoteReference"/>
          <w:lang w:val="es-ES_tradnl"/>
        </w:rPr>
        <w:footnoteReference w:id="83"/>
      </w:r>
      <w:r w:rsidR="002B4857" w:rsidRPr="00EA236D">
        <w:rPr>
          <w:rFonts w:cs="System Font Regular"/>
          <w:szCs w:val="20"/>
          <w:lang w:val="es-ES_tradnl"/>
        </w:rPr>
        <w:t xml:space="preserve">. </w:t>
      </w:r>
    </w:p>
    <w:p w14:paraId="37269EA7" w14:textId="77777777" w:rsidR="005E4D53" w:rsidRPr="00EA236D" w:rsidRDefault="005E4D53" w:rsidP="005E4D53">
      <w:pPr>
        <w:pStyle w:val="ListParagraph"/>
        <w:ind w:left="0"/>
        <w:contextualSpacing w:val="0"/>
        <w:rPr>
          <w:rFonts w:cs="System Font Regular"/>
          <w:i/>
          <w:szCs w:val="20"/>
          <w:lang w:val="es-ES_tradnl"/>
        </w:rPr>
      </w:pPr>
    </w:p>
    <w:p w14:paraId="67488520" w14:textId="1A927CEF" w:rsidR="000E2E21" w:rsidRPr="00EA236D" w:rsidRDefault="004175FB" w:rsidP="002B4857">
      <w:pPr>
        <w:pStyle w:val="ListParagraph"/>
        <w:numPr>
          <w:ilvl w:val="0"/>
          <w:numId w:val="1"/>
        </w:numPr>
        <w:contextualSpacing w:val="0"/>
        <w:rPr>
          <w:rFonts w:cs="System Font Regular"/>
          <w:i/>
          <w:szCs w:val="20"/>
          <w:lang w:val="es-ES_tradnl"/>
        </w:rPr>
      </w:pPr>
      <w:r w:rsidRPr="00EA236D">
        <w:rPr>
          <w:rFonts w:cs="System Font Regular"/>
          <w:szCs w:val="20"/>
          <w:lang w:val="es-ES_tradnl"/>
        </w:rPr>
        <w:t>E</w:t>
      </w:r>
      <w:r w:rsidR="00934D62" w:rsidRPr="00EA236D">
        <w:rPr>
          <w:rFonts w:cs="System Font Regular"/>
          <w:szCs w:val="20"/>
          <w:lang w:val="es-ES_tradnl"/>
        </w:rPr>
        <w:t>l</w:t>
      </w:r>
      <w:r w:rsidR="000E2E21" w:rsidRPr="00EA236D">
        <w:rPr>
          <w:rFonts w:cs="System Font Regular"/>
          <w:szCs w:val="20"/>
          <w:lang w:val="es-ES_tradnl"/>
        </w:rPr>
        <w:t xml:space="preserve"> reconocimiento de los problemas estructurales y sistémicos en la jurisprudencia europea se ha realizado a través de las denominadas </w:t>
      </w:r>
      <w:r w:rsidR="000E2E21" w:rsidRPr="00EA236D">
        <w:rPr>
          <w:rFonts w:cs="System Font Regular"/>
          <w:i/>
          <w:szCs w:val="20"/>
          <w:lang w:val="es-ES_tradnl"/>
        </w:rPr>
        <w:t>sentencias piloto</w:t>
      </w:r>
      <w:r w:rsidR="00454A3D" w:rsidRPr="00EA236D">
        <w:rPr>
          <w:rStyle w:val="FootnoteReference"/>
          <w:lang w:val="es-ES_tradnl"/>
        </w:rPr>
        <w:footnoteReference w:id="84"/>
      </w:r>
      <w:r w:rsidR="002878DC" w:rsidRPr="00EA236D">
        <w:rPr>
          <w:rFonts w:cs="System Font Regular"/>
          <w:szCs w:val="20"/>
          <w:lang w:val="es-ES_tradnl"/>
        </w:rPr>
        <w:t>. De esta manera, las sentencias piloto son aquellas que el Tribunal Europeo ha adopta</w:t>
      </w:r>
      <w:r w:rsidR="009267D9" w:rsidRPr="00EA236D">
        <w:rPr>
          <w:rFonts w:cs="System Font Regular"/>
          <w:szCs w:val="20"/>
          <w:lang w:val="es-ES_tradnl"/>
        </w:rPr>
        <w:t xml:space="preserve">do contra el Estado implicado </w:t>
      </w:r>
      <w:r w:rsidR="009267D9" w:rsidRPr="00EA236D">
        <w:rPr>
          <w:rFonts w:cs="Times New Roman"/>
          <w:szCs w:val="20"/>
          <w:lang w:val="es-ES_tradnl"/>
        </w:rPr>
        <w:t>—</w:t>
      </w:r>
      <w:r w:rsidR="002878DC" w:rsidRPr="00EA236D">
        <w:rPr>
          <w:rFonts w:cs="System Font Regular"/>
          <w:szCs w:val="20"/>
          <w:lang w:val="es-ES_tradnl"/>
        </w:rPr>
        <w:t xml:space="preserve">derivado de la acumulación de diversos casos </w:t>
      </w:r>
      <w:r w:rsidR="002878DC" w:rsidRPr="00EA236D">
        <w:rPr>
          <w:rFonts w:cs="System Font Regular"/>
          <w:szCs w:val="20"/>
          <w:lang w:val="es-ES_tradnl"/>
        </w:rPr>
        <w:lastRenderedPageBreak/>
        <w:t>que presentan características similares</w:t>
      </w:r>
      <w:r w:rsidR="009267D9" w:rsidRPr="00EA236D">
        <w:rPr>
          <w:rFonts w:cs="Times New Roman"/>
          <w:szCs w:val="20"/>
          <w:lang w:val="es-ES_tradnl"/>
        </w:rPr>
        <w:t>—</w:t>
      </w:r>
      <w:r w:rsidR="002878DC" w:rsidRPr="00EA236D">
        <w:rPr>
          <w:rFonts w:cs="System Font Regular"/>
          <w:szCs w:val="20"/>
          <w:lang w:val="es-ES_tradnl"/>
        </w:rPr>
        <w:t xml:space="preserve"> obligán</w:t>
      </w:r>
      <w:r w:rsidR="009267D9" w:rsidRPr="00EA236D">
        <w:rPr>
          <w:rFonts w:cs="System Font Regular"/>
          <w:szCs w:val="20"/>
          <w:lang w:val="es-ES_tradnl"/>
        </w:rPr>
        <w:t>dolos a adoptar leyes internas (</w:t>
      </w:r>
      <w:r w:rsidR="002878DC" w:rsidRPr="00EA236D">
        <w:rPr>
          <w:rFonts w:cs="System Font Regular"/>
          <w:szCs w:val="20"/>
          <w:lang w:val="es-ES_tradnl"/>
        </w:rPr>
        <w:t>medidas generales</w:t>
      </w:r>
      <w:r w:rsidR="009267D9" w:rsidRPr="00EA236D">
        <w:rPr>
          <w:rFonts w:cs="System Font Regular"/>
          <w:szCs w:val="20"/>
          <w:lang w:val="es-ES_tradnl"/>
        </w:rPr>
        <w:t>)</w:t>
      </w:r>
      <w:r w:rsidR="002878DC" w:rsidRPr="00EA236D">
        <w:rPr>
          <w:rFonts w:cs="System Font Regular"/>
          <w:szCs w:val="20"/>
          <w:lang w:val="es-ES_tradnl"/>
        </w:rPr>
        <w:t xml:space="preserve"> que corrijan un </w:t>
      </w:r>
      <w:r w:rsidR="002878DC" w:rsidRPr="00EA236D">
        <w:rPr>
          <w:rFonts w:cs="System Font Regular"/>
          <w:i/>
          <w:szCs w:val="20"/>
          <w:lang w:val="es-ES_tradnl"/>
        </w:rPr>
        <w:t xml:space="preserve">problema estructural </w:t>
      </w:r>
      <w:r w:rsidR="002878DC" w:rsidRPr="00EA236D">
        <w:rPr>
          <w:rFonts w:cs="System Font Regular"/>
          <w:szCs w:val="20"/>
          <w:lang w:val="es-ES_tradnl"/>
        </w:rPr>
        <w:t xml:space="preserve">que, precisamente origina la violación del Convenio Europeo. En este sentido, en este tipo de casos, el TEDH constata </w:t>
      </w:r>
      <w:r w:rsidR="00802141" w:rsidRPr="00EA236D">
        <w:rPr>
          <w:rFonts w:cs="System Font Regular"/>
          <w:szCs w:val="20"/>
          <w:lang w:val="es-ES_tradnl"/>
        </w:rPr>
        <w:t>l</w:t>
      </w:r>
      <w:r w:rsidR="002878DC" w:rsidRPr="00EA236D">
        <w:rPr>
          <w:rFonts w:cs="System Font Regular"/>
          <w:szCs w:val="20"/>
          <w:lang w:val="es-ES_tradnl"/>
        </w:rPr>
        <w:t>a existencia de un problema sistémico, suspende los p</w:t>
      </w:r>
      <w:r w:rsidR="009267D9" w:rsidRPr="00EA236D">
        <w:rPr>
          <w:rFonts w:cs="System Font Regular"/>
          <w:szCs w:val="20"/>
          <w:lang w:val="es-ES_tradnl"/>
        </w:rPr>
        <w:t xml:space="preserve">rocesos sobre casos idénticos </w:t>
      </w:r>
      <w:r w:rsidR="009267D9" w:rsidRPr="00EA236D">
        <w:rPr>
          <w:rFonts w:cs="Times New Roman"/>
          <w:szCs w:val="20"/>
          <w:lang w:val="es-ES_tradnl"/>
        </w:rPr>
        <w:t>—</w:t>
      </w:r>
      <w:r w:rsidR="002878DC" w:rsidRPr="00EA236D">
        <w:rPr>
          <w:rFonts w:cs="System Font Regular"/>
          <w:szCs w:val="20"/>
          <w:lang w:val="es-ES_tradnl"/>
        </w:rPr>
        <w:t>efecto dominó</w:t>
      </w:r>
      <w:r w:rsidR="009267D9" w:rsidRPr="00EA236D">
        <w:rPr>
          <w:rFonts w:cs="Times New Roman"/>
          <w:szCs w:val="20"/>
          <w:lang w:val="es-ES_tradnl"/>
        </w:rPr>
        <w:t>—</w:t>
      </w:r>
      <w:r w:rsidR="002878DC" w:rsidRPr="00EA236D">
        <w:rPr>
          <w:rFonts w:cs="System Font Regular"/>
          <w:szCs w:val="20"/>
          <w:lang w:val="es-ES_tradnl"/>
        </w:rPr>
        <w:t xml:space="preserve"> y exige al Estado que adopte medidas generales. El demandante (caso piloto) y todos los individuos afectados por el problema estructural verán aplazados sus procedimientos hasta que el Estado adopte esas medidas</w:t>
      </w:r>
      <w:r w:rsidR="001C0016" w:rsidRPr="00EA236D">
        <w:rPr>
          <w:rStyle w:val="FootnoteReference"/>
          <w:lang w:val="es-ES_tradnl"/>
        </w:rPr>
        <w:footnoteReference w:id="85"/>
      </w:r>
      <w:r w:rsidR="002878DC" w:rsidRPr="00EA236D">
        <w:rPr>
          <w:rFonts w:cs="System Font Regular"/>
          <w:szCs w:val="20"/>
          <w:lang w:val="es-ES_tradnl"/>
        </w:rPr>
        <w:t xml:space="preserve">. </w:t>
      </w:r>
    </w:p>
    <w:p w14:paraId="7929C9ED" w14:textId="77777777" w:rsidR="00EC05CA" w:rsidRPr="00EA236D" w:rsidRDefault="00EC05CA" w:rsidP="00EC05CA">
      <w:pPr>
        <w:rPr>
          <w:rFonts w:ascii="Verdana" w:hAnsi="Verdana" w:cs="System Font Regular"/>
          <w:i/>
          <w:szCs w:val="20"/>
        </w:rPr>
      </w:pPr>
    </w:p>
    <w:p w14:paraId="03836922" w14:textId="232AF7F0" w:rsidR="00313868" w:rsidRPr="00EA236D" w:rsidRDefault="00EC05CA" w:rsidP="00313868">
      <w:pPr>
        <w:pStyle w:val="ListParagraph"/>
        <w:numPr>
          <w:ilvl w:val="0"/>
          <w:numId w:val="1"/>
        </w:numPr>
        <w:contextualSpacing w:val="0"/>
        <w:rPr>
          <w:rFonts w:cs="Times"/>
          <w:iCs/>
          <w:szCs w:val="20"/>
          <w:lang w:val="es-ES_tradnl"/>
        </w:rPr>
      </w:pPr>
      <w:r w:rsidRPr="00EA236D">
        <w:rPr>
          <w:rFonts w:cs="System Font Regular"/>
          <w:szCs w:val="20"/>
          <w:lang w:val="es-ES_tradnl"/>
        </w:rPr>
        <w:t xml:space="preserve">El </w:t>
      </w:r>
      <w:proofErr w:type="spellStart"/>
      <w:r w:rsidR="00476A01" w:rsidRPr="00EA236D">
        <w:rPr>
          <w:rFonts w:cs="System Font Regular"/>
          <w:i/>
          <w:szCs w:val="20"/>
          <w:lang w:val="es-ES_tradnl"/>
        </w:rPr>
        <w:t>leading</w:t>
      </w:r>
      <w:proofErr w:type="spellEnd"/>
      <w:r w:rsidR="00476A01" w:rsidRPr="00EA236D">
        <w:rPr>
          <w:rFonts w:cs="System Font Regular"/>
          <w:i/>
          <w:szCs w:val="20"/>
          <w:lang w:val="es-ES_tradnl"/>
        </w:rPr>
        <w:t xml:space="preserve"> case</w:t>
      </w:r>
      <w:r w:rsidRPr="00EA236D">
        <w:rPr>
          <w:rFonts w:cs="System Font Regular"/>
          <w:szCs w:val="20"/>
          <w:lang w:val="es-ES_tradnl"/>
        </w:rPr>
        <w:t xml:space="preserve"> en el que el TEDH utilizó las sentencias piloto fue en el caso </w:t>
      </w:r>
      <w:proofErr w:type="spellStart"/>
      <w:r w:rsidRPr="00EA236D">
        <w:rPr>
          <w:rFonts w:cs="Times"/>
          <w:i/>
          <w:iCs/>
          <w:szCs w:val="20"/>
          <w:lang w:val="es-ES_tradnl"/>
        </w:rPr>
        <w:t>Broniowski</w:t>
      </w:r>
      <w:proofErr w:type="spellEnd"/>
      <w:r w:rsidR="00934D62" w:rsidRPr="00EA236D">
        <w:rPr>
          <w:rFonts w:cs="Times"/>
          <w:i/>
          <w:iCs/>
          <w:szCs w:val="20"/>
          <w:lang w:val="es-ES_tradnl"/>
        </w:rPr>
        <w:t xml:space="preserve"> Vs.</w:t>
      </w:r>
      <w:r w:rsidRPr="00EA236D">
        <w:rPr>
          <w:rFonts w:cs="Times"/>
          <w:i/>
          <w:iCs/>
          <w:szCs w:val="20"/>
          <w:lang w:val="es-ES_tradnl"/>
        </w:rPr>
        <w:t xml:space="preserve"> Polonia, </w:t>
      </w:r>
      <w:r w:rsidR="00704FC2" w:rsidRPr="00EA236D">
        <w:rPr>
          <w:rFonts w:cs="Times"/>
          <w:iCs/>
          <w:szCs w:val="20"/>
          <w:lang w:val="es-ES_tradnl"/>
        </w:rPr>
        <w:t>de</w:t>
      </w:r>
      <w:r w:rsidRPr="00EA236D">
        <w:rPr>
          <w:rFonts w:cs="Times"/>
          <w:iCs/>
          <w:szCs w:val="20"/>
          <w:lang w:val="es-ES_tradnl"/>
        </w:rPr>
        <w:t xml:space="preserve"> 2004,</w:t>
      </w:r>
      <w:r w:rsidRPr="00EA236D">
        <w:rPr>
          <w:rFonts w:cs="Times"/>
          <w:i/>
          <w:iCs/>
          <w:szCs w:val="20"/>
          <w:lang w:val="es-ES_tradnl"/>
        </w:rPr>
        <w:t xml:space="preserve"> </w:t>
      </w:r>
      <w:r w:rsidRPr="00EA236D">
        <w:rPr>
          <w:rFonts w:cs="Times"/>
          <w:iCs/>
          <w:szCs w:val="20"/>
          <w:lang w:val="es-ES_tradnl"/>
        </w:rPr>
        <w:t>respecto del derecho de propiedad</w:t>
      </w:r>
      <w:r w:rsidRPr="00EA236D">
        <w:rPr>
          <w:rFonts w:cs="Times"/>
          <w:i/>
          <w:iCs/>
          <w:szCs w:val="20"/>
          <w:lang w:val="es-ES_tradnl"/>
        </w:rPr>
        <w:t xml:space="preserve"> </w:t>
      </w:r>
      <w:r w:rsidRPr="00EA236D">
        <w:rPr>
          <w:rFonts w:cs="Times"/>
          <w:iCs/>
          <w:szCs w:val="20"/>
          <w:lang w:val="es-ES_tradnl"/>
        </w:rPr>
        <w:t>(violación al art</w:t>
      </w:r>
      <w:r w:rsidR="00370A5E" w:rsidRPr="00EA236D">
        <w:rPr>
          <w:rFonts w:cs="Times"/>
          <w:iCs/>
          <w:szCs w:val="20"/>
          <w:lang w:val="es-ES_tradnl"/>
        </w:rPr>
        <w:t>í</w:t>
      </w:r>
      <w:r w:rsidRPr="00EA236D">
        <w:rPr>
          <w:rFonts w:cs="Times"/>
          <w:iCs/>
          <w:szCs w:val="20"/>
          <w:lang w:val="es-ES_tradnl"/>
        </w:rPr>
        <w:t>culo 1º del Protocolo 1 del CEDH). En esa oportunidad la Corte Europea consideró</w:t>
      </w:r>
      <w:r w:rsidR="00476A01" w:rsidRPr="00EA236D">
        <w:rPr>
          <w:rFonts w:cs="Times"/>
          <w:iCs/>
          <w:szCs w:val="20"/>
          <w:lang w:val="es-ES_tradnl"/>
        </w:rPr>
        <w:t>, en el análisis del artículo 46, que era inherente a las conclusiones del Tribunal que la violación del derecho a la propiedad en este caso se había originado de un problema generalizado, y que fue resultado de un mal funcionami</w:t>
      </w:r>
      <w:r w:rsidR="00313868" w:rsidRPr="00EA236D">
        <w:rPr>
          <w:rFonts w:cs="Times"/>
          <w:iCs/>
          <w:szCs w:val="20"/>
          <w:lang w:val="es-ES_tradnl"/>
        </w:rPr>
        <w:t>ento de la legislación polaca, de</w:t>
      </w:r>
      <w:r w:rsidR="00476A01" w:rsidRPr="00EA236D">
        <w:rPr>
          <w:rFonts w:cs="Times"/>
          <w:iCs/>
          <w:szCs w:val="20"/>
          <w:lang w:val="es-ES_tradnl"/>
        </w:rPr>
        <w:t xml:space="preserve"> la práctica administrativa</w:t>
      </w:r>
      <w:r w:rsidR="00313868" w:rsidRPr="00EA236D">
        <w:rPr>
          <w:rFonts w:cs="Times"/>
          <w:iCs/>
          <w:szCs w:val="20"/>
          <w:lang w:val="es-ES_tradnl"/>
        </w:rPr>
        <w:t xml:space="preserve"> y que había afectado a un gran número de personas; </w:t>
      </w:r>
      <w:r w:rsidR="00313868" w:rsidRPr="00EA236D">
        <w:rPr>
          <w:rFonts w:cs="Arial"/>
          <w:szCs w:val="20"/>
          <w:lang w:val="es-ES_tradnl"/>
        </w:rPr>
        <w:t xml:space="preserve">la afectación a los bienes en este caso no </w:t>
      </w:r>
      <w:r w:rsidR="00FB36DA" w:rsidRPr="00EA236D">
        <w:rPr>
          <w:rFonts w:cs="Arial"/>
          <w:szCs w:val="20"/>
          <w:lang w:val="es-ES_tradnl"/>
        </w:rPr>
        <w:t>había</w:t>
      </w:r>
      <w:r w:rsidR="00313868" w:rsidRPr="00EA236D">
        <w:rPr>
          <w:rFonts w:cs="Arial"/>
          <w:szCs w:val="20"/>
          <w:lang w:val="es-ES_tradnl"/>
        </w:rPr>
        <w:t xml:space="preserve"> sido motivada por un incidente aislado</w:t>
      </w:r>
      <w:r w:rsidR="00802141" w:rsidRPr="00EA236D">
        <w:rPr>
          <w:rFonts w:cs="Arial"/>
          <w:szCs w:val="20"/>
          <w:lang w:val="es-ES_tradnl"/>
        </w:rPr>
        <w:t>;</w:t>
      </w:r>
      <w:r w:rsidR="00313868" w:rsidRPr="00EA236D">
        <w:rPr>
          <w:rFonts w:cs="Arial"/>
          <w:szCs w:val="20"/>
          <w:lang w:val="es-ES_tradnl"/>
        </w:rPr>
        <w:t xml:space="preserve"> por el contrario</w:t>
      </w:r>
      <w:r w:rsidR="00802141" w:rsidRPr="00EA236D">
        <w:rPr>
          <w:rFonts w:cs="Arial"/>
          <w:szCs w:val="20"/>
          <w:lang w:val="es-ES_tradnl"/>
        </w:rPr>
        <w:t>,</w:t>
      </w:r>
      <w:r w:rsidR="00313868" w:rsidRPr="00EA236D">
        <w:rPr>
          <w:rFonts w:cs="Arial"/>
          <w:szCs w:val="20"/>
          <w:lang w:val="es-ES_tradnl"/>
        </w:rPr>
        <w:t xml:space="preserve"> el problema en el caso </w:t>
      </w:r>
      <w:r w:rsidR="00FB36DA" w:rsidRPr="00EA236D">
        <w:rPr>
          <w:rFonts w:cs="Arial"/>
          <w:szCs w:val="20"/>
          <w:lang w:val="es-ES_tradnl"/>
        </w:rPr>
        <w:t>había</w:t>
      </w:r>
      <w:r w:rsidR="00313868" w:rsidRPr="00EA236D">
        <w:rPr>
          <w:rFonts w:cs="Arial"/>
          <w:szCs w:val="20"/>
          <w:lang w:val="es-ES_tradnl"/>
        </w:rPr>
        <w:t xml:space="preserve"> sido </w:t>
      </w:r>
      <w:r w:rsidR="00FB36DA" w:rsidRPr="00EA236D">
        <w:rPr>
          <w:rFonts w:cs="Arial"/>
          <w:szCs w:val="20"/>
          <w:lang w:val="es-ES_tradnl"/>
        </w:rPr>
        <w:t>consecuencia</w:t>
      </w:r>
      <w:r w:rsidR="00313868" w:rsidRPr="00EA236D">
        <w:rPr>
          <w:rFonts w:cs="Arial"/>
          <w:szCs w:val="20"/>
          <w:lang w:val="es-ES_tradnl"/>
        </w:rPr>
        <w:t xml:space="preserve"> de la conducta administrativa y normativa por parte de las autoridades hacia una clase especifica de ciudadanos (en concreto los ciudadanos que reclamaban su derecho a la propiedad </w:t>
      </w:r>
      <w:r w:rsidR="004175FB" w:rsidRPr="00EA236D">
        <w:rPr>
          <w:rFonts w:cs="Arial"/>
          <w:szCs w:val="20"/>
          <w:lang w:val="es-ES_tradnl"/>
        </w:rPr>
        <w:t xml:space="preserve">eran </w:t>
      </w:r>
      <w:r w:rsidR="00313868" w:rsidRPr="00EA236D">
        <w:rPr>
          <w:rFonts w:cs="Arial"/>
          <w:szCs w:val="20"/>
          <w:lang w:val="es-ES_tradnl"/>
        </w:rPr>
        <w:t xml:space="preserve">provenientes de las </w:t>
      </w:r>
      <w:r w:rsidR="00FB36DA" w:rsidRPr="00EA236D">
        <w:rPr>
          <w:rFonts w:cs="Arial"/>
          <w:szCs w:val="20"/>
          <w:lang w:val="es-ES_tradnl"/>
        </w:rPr>
        <w:t>cercanías</w:t>
      </w:r>
      <w:r w:rsidR="00313868" w:rsidRPr="00EA236D">
        <w:rPr>
          <w:rFonts w:cs="Arial"/>
          <w:szCs w:val="20"/>
          <w:lang w:val="es-ES_tradnl"/>
        </w:rPr>
        <w:t xml:space="preserve"> del Ri</w:t>
      </w:r>
      <w:r w:rsidR="00802141" w:rsidRPr="00EA236D">
        <w:rPr>
          <w:rFonts w:cs="Arial"/>
          <w:szCs w:val="20"/>
          <w:lang w:val="es-ES_tradnl"/>
        </w:rPr>
        <w:t>o Bug). De esta manera, el TEDH</w:t>
      </w:r>
      <w:r w:rsidR="00313868" w:rsidRPr="00EA236D">
        <w:rPr>
          <w:rFonts w:cs="Arial"/>
          <w:szCs w:val="20"/>
          <w:lang w:val="es-ES_tradnl"/>
        </w:rPr>
        <w:t xml:space="preserve"> consideró que la existencia y la naturaleza </w:t>
      </w:r>
      <w:r w:rsidR="00C27E74" w:rsidRPr="00EA236D">
        <w:rPr>
          <w:rFonts w:cs="Arial"/>
          <w:szCs w:val="20"/>
          <w:lang w:val="es-ES_tradnl"/>
        </w:rPr>
        <w:t>sistémica</w:t>
      </w:r>
      <w:r w:rsidR="00313868" w:rsidRPr="00EA236D">
        <w:rPr>
          <w:rFonts w:cs="Arial"/>
          <w:szCs w:val="20"/>
          <w:lang w:val="es-ES_tradnl"/>
        </w:rPr>
        <w:t xml:space="preserve"> del problema, que ya </w:t>
      </w:r>
      <w:r w:rsidR="00FB36DA" w:rsidRPr="00EA236D">
        <w:rPr>
          <w:rFonts w:cs="Arial"/>
          <w:szCs w:val="20"/>
          <w:lang w:val="es-ES_tradnl"/>
        </w:rPr>
        <w:t>había</w:t>
      </w:r>
      <w:r w:rsidR="00313868" w:rsidRPr="00EA236D">
        <w:rPr>
          <w:rFonts w:cs="Arial"/>
          <w:szCs w:val="20"/>
          <w:lang w:val="es-ES_tradnl"/>
        </w:rPr>
        <w:t xml:space="preserve"> sido reconocido por las autoridades judiciales polacas como una “disfunción </w:t>
      </w:r>
      <w:r w:rsidR="00FB36DA" w:rsidRPr="00EA236D">
        <w:rPr>
          <w:rFonts w:cs="Arial"/>
          <w:szCs w:val="20"/>
          <w:lang w:val="es-ES_tradnl"/>
        </w:rPr>
        <w:t>sistémica</w:t>
      </w:r>
      <w:r w:rsidR="00313868" w:rsidRPr="00EA236D">
        <w:rPr>
          <w:rFonts w:cs="Arial"/>
          <w:szCs w:val="20"/>
          <w:lang w:val="es-ES_tradnl"/>
        </w:rPr>
        <w:t xml:space="preserve"> inadmisible”,</w:t>
      </w:r>
      <w:r w:rsidR="00313868" w:rsidRPr="00EA236D">
        <w:rPr>
          <w:rFonts w:cs="Arial"/>
          <w:i/>
          <w:szCs w:val="20"/>
          <w:lang w:val="es-ES_tradnl"/>
        </w:rPr>
        <w:t xml:space="preserve"> </w:t>
      </w:r>
      <w:r w:rsidR="00313868" w:rsidRPr="00EA236D">
        <w:rPr>
          <w:rFonts w:cs="Arial"/>
          <w:szCs w:val="20"/>
          <w:lang w:val="es-ES_tradnl"/>
        </w:rPr>
        <w:t>generó que a toda una clase espec</w:t>
      </w:r>
      <w:r w:rsidR="004E67A6">
        <w:rPr>
          <w:rFonts w:cs="Arial"/>
          <w:szCs w:val="20"/>
          <w:lang w:val="es-ES_tradnl"/>
        </w:rPr>
        <w:t>í</w:t>
      </w:r>
      <w:r w:rsidR="00313868" w:rsidRPr="00EA236D">
        <w:rPr>
          <w:rFonts w:cs="Arial"/>
          <w:szCs w:val="20"/>
          <w:lang w:val="es-ES_tradnl"/>
        </w:rPr>
        <w:t xml:space="preserve">fica de ciudadanos se les negara el disfrute pacífico de sus posesiones, a lo que también </w:t>
      </w:r>
      <w:r w:rsidR="00C27E74" w:rsidRPr="00EA236D">
        <w:rPr>
          <w:rFonts w:cs="Arial"/>
          <w:szCs w:val="20"/>
          <w:lang w:val="es-ES_tradnl"/>
        </w:rPr>
        <w:t>había</w:t>
      </w:r>
      <w:r w:rsidR="00313868" w:rsidRPr="00EA236D">
        <w:rPr>
          <w:rFonts w:cs="Arial"/>
          <w:szCs w:val="20"/>
          <w:lang w:val="es-ES_tradnl"/>
        </w:rPr>
        <w:t xml:space="preserve"> que sumar las deficiencias en la legislación nacional y la</w:t>
      </w:r>
      <w:r w:rsidR="003F759C" w:rsidRPr="00EA236D">
        <w:rPr>
          <w:rFonts w:cs="Arial"/>
          <w:szCs w:val="20"/>
          <w:lang w:val="es-ES_tradnl"/>
        </w:rPr>
        <w:t>s</w:t>
      </w:r>
      <w:r w:rsidR="00313868" w:rsidRPr="00EA236D">
        <w:rPr>
          <w:rFonts w:cs="Arial"/>
          <w:szCs w:val="20"/>
          <w:lang w:val="es-ES_tradnl"/>
        </w:rPr>
        <w:t xml:space="preserve"> práctica</w:t>
      </w:r>
      <w:r w:rsidR="003F759C" w:rsidRPr="00EA236D">
        <w:rPr>
          <w:rFonts w:cs="Arial"/>
          <w:szCs w:val="20"/>
          <w:lang w:val="es-ES_tradnl"/>
        </w:rPr>
        <w:t>s</w:t>
      </w:r>
      <w:r w:rsidR="00313868" w:rsidRPr="00EA236D">
        <w:rPr>
          <w:rFonts w:cs="Arial"/>
          <w:szCs w:val="20"/>
          <w:lang w:val="es-ES_tradnl"/>
        </w:rPr>
        <w:t xml:space="preserve"> identificadas en el caso individual</w:t>
      </w:r>
      <w:r w:rsidR="007C2CBF" w:rsidRPr="00EA236D">
        <w:rPr>
          <w:rStyle w:val="FootnoteReference"/>
          <w:lang w:val="es-ES_tradnl"/>
        </w:rPr>
        <w:footnoteReference w:id="86"/>
      </w:r>
      <w:r w:rsidR="00313868" w:rsidRPr="00EA236D">
        <w:rPr>
          <w:rFonts w:cs="Arial"/>
          <w:szCs w:val="20"/>
          <w:lang w:val="es-ES_tradnl"/>
        </w:rPr>
        <w:t xml:space="preserve">. </w:t>
      </w:r>
    </w:p>
    <w:p w14:paraId="1766A17C" w14:textId="77777777" w:rsidR="00476A01" w:rsidRPr="00EA236D" w:rsidRDefault="00476A01" w:rsidP="00476A01">
      <w:pPr>
        <w:pStyle w:val="ListParagraph"/>
        <w:ind w:left="0"/>
        <w:contextualSpacing w:val="0"/>
        <w:rPr>
          <w:rFonts w:cs="Times"/>
          <w:iCs/>
          <w:szCs w:val="20"/>
          <w:lang w:val="es-ES_tradnl"/>
        </w:rPr>
      </w:pPr>
    </w:p>
    <w:p w14:paraId="32447C48" w14:textId="5831A25C" w:rsidR="002B4857" w:rsidRPr="00EA236D" w:rsidRDefault="00332905" w:rsidP="002B4857">
      <w:pPr>
        <w:pStyle w:val="ListParagraph"/>
        <w:numPr>
          <w:ilvl w:val="0"/>
          <w:numId w:val="1"/>
        </w:numPr>
        <w:contextualSpacing w:val="0"/>
        <w:rPr>
          <w:rFonts w:cs="System Font Regular"/>
          <w:i/>
          <w:szCs w:val="20"/>
          <w:lang w:val="es-ES_tradnl"/>
        </w:rPr>
      </w:pPr>
      <w:r w:rsidRPr="00EA236D">
        <w:rPr>
          <w:rFonts w:cs="Times"/>
          <w:iCs/>
          <w:szCs w:val="20"/>
          <w:lang w:val="es-ES_tradnl"/>
        </w:rPr>
        <w:t>Las sentencias piloto, como mecanismo de corrección y reconocimiento de  problemas estructurales y sistémicos dentro de los Estados parte del Convenio Europeo no ha sido una práctica aislada en el 2004, sino que se ha reiterado hasta el 2016</w:t>
      </w:r>
      <w:r w:rsidR="00145959" w:rsidRPr="00EA236D">
        <w:rPr>
          <w:rStyle w:val="FootnoteReference"/>
          <w:iCs/>
          <w:lang w:val="es-ES_tradnl"/>
        </w:rPr>
        <w:footnoteReference w:id="87"/>
      </w:r>
      <w:r w:rsidR="00802141" w:rsidRPr="00EA236D">
        <w:rPr>
          <w:rFonts w:cs="Times"/>
          <w:iCs/>
          <w:szCs w:val="20"/>
          <w:lang w:val="es-ES_tradnl"/>
        </w:rPr>
        <w:t xml:space="preserve">; </w:t>
      </w:r>
      <w:r w:rsidRPr="00EA236D">
        <w:rPr>
          <w:rFonts w:cs="Times"/>
          <w:iCs/>
          <w:szCs w:val="20"/>
          <w:lang w:val="es-ES_tradnl"/>
        </w:rPr>
        <w:lastRenderedPageBreak/>
        <w:t>abarca</w:t>
      </w:r>
      <w:r w:rsidR="000C2F0F">
        <w:rPr>
          <w:rFonts w:cs="Times"/>
          <w:iCs/>
          <w:szCs w:val="20"/>
          <w:lang w:val="es-ES_tradnl"/>
        </w:rPr>
        <w:t>n</w:t>
      </w:r>
      <w:r w:rsidRPr="00EA236D">
        <w:rPr>
          <w:rFonts w:cs="Times"/>
          <w:iCs/>
          <w:szCs w:val="20"/>
          <w:lang w:val="es-ES_tradnl"/>
        </w:rPr>
        <w:t xml:space="preserve">do temas como: i) tiempos excesivos en los procedimientos internos; ii) la exclusión del derecho al voto de personas privadas de la libertad; iii) </w:t>
      </w:r>
      <w:r w:rsidR="00476A01" w:rsidRPr="00EA236D">
        <w:rPr>
          <w:rFonts w:cs="Times"/>
          <w:iCs/>
          <w:szCs w:val="20"/>
          <w:lang w:val="es-ES_tradnl"/>
        </w:rPr>
        <w:t>la falta de regularización del estatus de residente de personas que habían sido eliminadas ilegalmente del registro de residentes permanentes; iv) condiciones inhuma</w:t>
      </w:r>
      <w:r w:rsidR="000C2F0F">
        <w:rPr>
          <w:rFonts w:cs="Times"/>
          <w:iCs/>
          <w:szCs w:val="20"/>
          <w:lang w:val="es-ES_tradnl"/>
        </w:rPr>
        <w:t>n</w:t>
      </w:r>
      <w:r w:rsidR="00476A01" w:rsidRPr="00EA236D">
        <w:rPr>
          <w:rFonts w:cs="Times"/>
          <w:iCs/>
          <w:szCs w:val="20"/>
          <w:lang w:val="es-ES_tradnl"/>
        </w:rPr>
        <w:t>as y degradantes de detención; v) retardo injustificado en la ejecución de resoluciones judiciales a nivel interno</w:t>
      </w:r>
      <w:r w:rsidR="00001DD4">
        <w:rPr>
          <w:rFonts w:cs="Times"/>
          <w:iCs/>
          <w:szCs w:val="20"/>
          <w:lang w:val="es-ES_tradnl"/>
        </w:rPr>
        <w:t>,</w:t>
      </w:r>
      <w:r w:rsidR="00476A01" w:rsidRPr="00EA236D">
        <w:rPr>
          <w:rFonts w:cs="Times"/>
          <w:iCs/>
          <w:szCs w:val="20"/>
          <w:lang w:val="es-ES_tradnl"/>
        </w:rPr>
        <w:t xml:space="preserve"> y vi) </w:t>
      </w:r>
      <w:r w:rsidR="00476A01" w:rsidRPr="00EA236D">
        <w:rPr>
          <w:rFonts w:cs="System Font Regular"/>
          <w:szCs w:val="20"/>
          <w:lang w:val="es-ES_tradnl"/>
        </w:rPr>
        <w:t>violaciones relacionadas al derecho a la propiedad.</w:t>
      </w:r>
      <w:r w:rsidR="00476A01" w:rsidRPr="00EA236D">
        <w:rPr>
          <w:rFonts w:cs="Times"/>
          <w:i/>
          <w:iCs/>
          <w:sz w:val="16"/>
          <w:szCs w:val="16"/>
          <w:lang w:val="es-ES_tradnl"/>
        </w:rPr>
        <w:t xml:space="preserve"> </w:t>
      </w:r>
    </w:p>
    <w:p w14:paraId="04C3B144" w14:textId="77777777" w:rsidR="00944DA0" w:rsidRPr="00EA236D" w:rsidRDefault="00944DA0" w:rsidP="009C257C">
      <w:pPr>
        <w:pStyle w:val="ListParagraph"/>
        <w:ind w:left="0"/>
        <w:contextualSpacing w:val="0"/>
        <w:rPr>
          <w:rFonts w:cs="System Font Regular"/>
          <w:i/>
          <w:szCs w:val="20"/>
          <w:lang w:val="es-ES_tradnl"/>
        </w:rPr>
      </w:pPr>
    </w:p>
    <w:p w14:paraId="11A11001" w14:textId="77777777" w:rsidR="00F755B9" w:rsidRPr="00EA236D" w:rsidRDefault="00F755B9" w:rsidP="00F755B9">
      <w:pPr>
        <w:pStyle w:val="ListParagraph"/>
        <w:ind w:left="0"/>
        <w:contextualSpacing w:val="0"/>
        <w:rPr>
          <w:rFonts w:cs="System Font Regular"/>
          <w:i/>
          <w:szCs w:val="20"/>
          <w:lang w:val="es-ES_tradnl"/>
        </w:rPr>
      </w:pPr>
      <w:r w:rsidRPr="00EA236D">
        <w:rPr>
          <w:rFonts w:cs="System Font Regular"/>
          <w:i/>
          <w:szCs w:val="20"/>
          <w:lang w:val="es-ES_tradnl"/>
        </w:rPr>
        <w:t>ii) Sistema Universal de Derechos Humanos</w:t>
      </w:r>
    </w:p>
    <w:p w14:paraId="6AEFA51E" w14:textId="77777777" w:rsidR="00F755B9" w:rsidRPr="00EA236D" w:rsidRDefault="00F755B9" w:rsidP="00F755B9">
      <w:pPr>
        <w:rPr>
          <w:rFonts w:ascii="Verdana" w:hAnsi="Verdana" w:cs="System Font Regular"/>
          <w:i/>
          <w:szCs w:val="20"/>
        </w:rPr>
      </w:pPr>
    </w:p>
    <w:p w14:paraId="2632756D" w14:textId="032E9A43" w:rsidR="0070104A" w:rsidRPr="00EA236D" w:rsidRDefault="0070104A" w:rsidP="0070104A">
      <w:pPr>
        <w:pStyle w:val="ListParagraph"/>
        <w:numPr>
          <w:ilvl w:val="0"/>
          <w:numId w:val="1"/>
        </w:numPr>
        <w:contextualSpacing w:val="0"/>
        <w:rPr>
          <w:rFonts w:cs="System Font Regular"/>
          <w:i/>
          <w:szCs w:val="20"/>
          <w:lang w:val="es-ES_tradnl"/>
        </w:rPr>
      </w:pPr>
      <w:r w:rsidRPr="00EA236D">
        <w:rPr>
          <w:rFonts w:cs="System Font Regular"/>
          <w:szCs w:val="20"/>
          <w:lang w:val="es-ES_tradnl"/>
        </w:rPr>
        <w:t xml:space="preserve">El Comité DESC, en su </w:t>
      </w:r>
      <w:r w:rsidR="00802141" w:rsidRPr="00EA236D">
        <w:rPr>
          <w:szCs w:val="20"/>
          <w:lang w:val="es-ES_tradnl"/>
        </w:rPr>
        <w:t>Observación General No. 20</w:t>
      </w:r>
      <w:r w:rsidR="00704FC2" w:rsidRPr="00EA236D">
        <w:rPr>
          <w:szCs w:val="20"/>
          <w:lang w:val="es-ES_tradnl"/>
        </w:rPr>
        <w:t>,</w:t>
      </w:r>
      <w:r w:rsidR="00802141" w:rsidRPr="00EA236D">
        <w:rPr>
          <w:szCs w:val="20"/>
          <w:lang w:val="es-ES_tradnl"/>
        </w:rPr>
        <w:t xml:space="preserve"> </w:t>
      </w:r>
      <w:r w:rsidR="00802141" w:rsidRPr="00EA236D">
        <w:rPr>
          <w:i/>
          <w:szCs w:val="20"/>
          <w:lang w:val="es-ES_tradnl"/>
        </w:rPr>
        <w:t>sobre</w:t>
      </w:r>
      <w:r w:rsidRPr="00EA236D">
        <w:rPr>
          <w:i/>
          <w:szCs w:val="20"/>
          <w:lang w:val="es-ES_tradnl"/>
        </w:rPr>
        <w:t xml:space="preserve"> </w:t>
      </w:r>
      <w:r w:rsidR="00215CE9" w:rsidRPr="00EA236D">
        <w:rPr>
          <w:i/>
          <w:szCs w:val="20"/>
          <w:lang w:val="es-ES_tradnl"/>
        </w:rPr>
        <w:t>l</w:t>
      </w:r>
      <w:r w:rsidRPr="00EA236D">
        <w:rPr>
          <w:i/>
          <w:szCs w:val="20"/>
          <w:lang w:val="es-ES_tradnl"/>
        </w:rPr>
        <w:t>a no discriminación y los derechos económicos, sociales y culturales</w:t>
      </w:r>
      <w:r w:rsidR="00934D62" w:rsidRPr="00EA236D">
        <w:rPr>
          <w:rFonts w:cs="System Font Regular"/>
          <w:szCs w:val="20"/>
          <w:lang w:val="es-ES_tradnl"/>
        </w:rPr>
        <w:t xml:space="preserve"> </w:t>
      </w:r>
      <w:r w:rsidR="00802141" w:rsidRPr="00EA236D">
        <w:rPr>
          <w:rFonts w:cs="System Font Regular"/>
          <w:szCs w:val="20"/>
          <w:lang w:val="es-ES_tradnl"/>
        </w:rPr>
        <w:t>(2009)</w:t>
      </w:r>
      <w:r w:rsidRPr="00EA236D">
        <w:rPr>
          <w:rFonts w:cs="System Font Regular"/>
          <w:szCs w:val="20"/>
          <w:lang w:val="es-ES_tradnl"/>
        </w:rPr>
        <w:t xml:space="preserve">, ha considerado que: </w:t>
      </w:r>
    </w:p>
    <w:p w14:paraId="78CFA5F2" w14:textId="77777777" w:rsidR="0070104A" w:rsidRPr="00EA236D" w:rsidRDefault="0070104A" w:rsidP="0070104A">
      <w:pPr>
        <w:pStyle w:val="ListParagraph"/>
        <w:ind w:left="708"/>
        <w:contextualSpacing w:val="0"/>
        <w:rPr>
          <w:rFonts w:cs="Times"/>
          <w:sz w:val="32"/>
          <w:szCs w:val="32"/>
          <w:lang w:val="es-ES_tradnl"/>
        </w:rPr>
      </w:pPr>
    </w:p>
    <w:p w14:paraId="511E1C77" w14:textId="77777777" w:rsidR="0070104A" w:rsidRPr="00EA236D" w:rsidRDefault="0070104A" w:rsidP="0070104A">
      <w:pPr>
        <w:pStyle w:val="ListParagraph"/>
        <w:ind w:left="708"/>
        <w:contextualSpacing w:val="0"/>
        <w:rPr>
          <w:rFonts w:cs="Times"/>
          <w:i/>
          <w:sz w:val="16"/>
          <w:szCs w:val="16"/>
          <w:lang w:val="es-ES_tradnl"/>
        </w:rPr>
      </w:pPr>
      <w:r w:rsidRPr="00EA236D">
        <w:rPr>
          <w:rFonts w:cs="Times"/>
          <w:i/>
          <w:sz w:val="16"/>
          <w:szCs w:val="16"/>
          <w:lang w:val="es-ES_tradnl"/>
        </w:rPr>
        <w:t>40. En los planes, las políticas, las estrategias y la legislación nacionales debe preverse el establecimiento de mecanismos e instituciones que aborden de manera eficaz el carácter individual y estructural del daño ocasionado por la discriminación en la esfera de los derechos económicos, sociales y culturales […]</w:t>
      </w:r>
      <w:r w:rsidRPr="00EA236D">
        <w:rPr>
          <w:rStyle w:val="FootnoteReference"/>
          <w:i/>
          <w:sz w:val="16"/>
          <w:lang w:val="es-ES_tradnl"/>
        </w:rPr>
        <w:footnoteReference w:id="88"/>
      </w:r>
      <w:r w:rsidRPr="00EA236D">
        <w:rPr>
          <w:rFonts w:cs="Times"/>
          <w:i/>
          <w:sz w:val="16"/>
          <w:szCs w:val="16"/>
          <w:lang w:val="es-ES_tradnl"/>
        </w:rPr>
        <w:t xml:space="preserve">. </w:t>
      </w:r>
    </w:p>
    <w:p w14:paraId="54777642" w14:textId="77777777" w:rsidR="0070104A" w:rsidRPr="00EA236D" w:rsidRDefault="0070104A" w:rsidP="0070104A">
      <w:pPr>
        <w:pStyle w:val="ListParagraph"/>
        <w:ind w:left="708"/>
        <w:contextualSpacing w:val="0"/>
        <w:rPr>
          <w:rFonts w:cs="Times"/>
          <w:i/>
          <w:sz w:val="16"/>
          <w:szCs w:val="16"/>
          <w:lang w:val="es-ES_tradnl"/>
        </w:rPr>
      </w:pPr>
    </w:p>
    <w:p w14:paraId="069E56EE" w14:textId="20FE009C" w:rsidR="00F755B9" w:rsidRPr="00EA236D" w:rsidRDefault="00941762" w:rsidP="00F755B9">
      <w:pPr>
        <w:pStyle w:val="ListParagraph"/>
        <w:widowControl w:val="0"/>
        <w:numPr>
          <w:ilvl w:val="0"/>
          <w:numId w:val="1"/>
        </w:numPr>
        <w:autoSpaceDE w:val="0"/>
        <w:autoSpaceDN w:val="0"/>
        <w:adjustRightInd w:val="0"/>
        <w:rPr>
          <w:rFonts w:cs="Times"/>
          <w:szCs w:val="20"/>
          <w:lang w:val="es-ES_tradnl"/>
        </w:rPr>
      </w:pPr>
      <w:r w:rsidRPr="00EA236D">
        <w:rPr>
          <w:rFonts w:cs="Times"/>
          <w:szCs w:val="20"/>
          <w:lang w:val="es-ES_tradnl"/>
        </w:rPr>
        <w:t>Por su parte, e</w:t>
      </w:r>
      <w:r w:rsidR="00F755B9" w:rsidRPr="00EA236D">
        <w:rPr>
          <w:rFonts w:cs="Times"/>
          <w:szCs w:val="20"/>
          <w:lang w:val="es-ES_tradnl"/>
        </w:rPr>
        <w:t>l Comité para la Eliminación de la Violencia contra la Mujer</w:t>
      </w:r>
      <w:r w:rsidR="00802141" w:rsidRPr="00EA236D">
        <w:rPr>
          <w:rFonts w:cs="Times"/>
          <w:szCs w:val="20"/>
          <w:lang w:val="es-ES_tradnl"/>
        </w:rPr>
        <w:t xml:space="preserve"> (2010)</w:t>
      </w:r>
      <w:r w:rsidR="00F755B9" w:rsidRPr="00EA236D">
        <w:rPr>
          <w:rFonts w:cs="Times"/>
          <w:szCs w:val="20"/>
          <w:lang w:val="es-ES_tradnl"/>
        </w:rPr>
        <w:t xml:space="preserve">, en su </w:t>
      </w:r>
      <w:r w:rsidR="00802141" w:rsidRPr="00EA236D">
        <w:rPr>
          <w:rFonts w:cs="Times"/>
          <w:bCs/>
          <w:szCs w:val="20"/>
          <w:lang w:val="es-ES_tradnl"/>
        </w:rPr>
        <w:t>Recomendación General No.</w:t>
      </w:r>
      <w:r w:rsidR="0070104A" w:rsidRPr="00EA236D">
        <w:rPr>
          <w:rFonts w:cs="Times"/>
          <w:bCs/>
          <w:szCs w:val="20"/>
          <w:lang w:val="es-ES_tradnl"/>
        </w:rPr>
        <w:t xml:space="preserve"> 28</w:t>
      </w:r>
      <w:r w:rsidR="00704FC2" w:rsidRPr="00EA236D">
        <w:rPr>
          <w:rFonts w:cs="Times"/>
          <w:bCs/>
          <w:szCs w:val="20"/>
          <w:lang w:val="es-ES_tradnl"/>
        </w:rPr>
        <w:t>,</w:t>
      </w:r>
      <w:r w:rsidR="0070104A" w:rsidRPr="00EA236D">
        <w:rPr>
          <w:rFonts w:cs="Times"/>
          <w:bCs/>
          <w:szCs w:val="20"/>
          <w:lang w:val="es-ES_tradnl"/>
        </w:rPr>
        <w:t xml:space="preserve"> relativa a las obligaciones básicas de los Estados partes</w:t>
      </w:r>
      <w:r w:rsidR="00704FC2" w:rsidRPr="00EA236D">
        <w:rPr>
          <w:rFonts w:cs="Times"/>
          <w:szCs w:val="20"/>
          <w:lang w:val="es-ES_tradnl"/>
        </w:rPr>
        <w:t xml:space="preserve">, </w:t>
      </w:r>
      <w:r w:rsidR="00F755B9" w:rsidRPr="00EA236D">
        <w:rPr>
          <w:rFonts w:cs="Times"/>
          <w:szCs w:val="20"/>
          <w:lang w:val="es-ES_tradnl"/>
        </w:rPr>
        <w:t xml:space="preserve">ha expresado que: </w:t>
      </w:r>
    </w:p>
    <w:p w14:paraId="037992A6" w14:textId="77777777" w:rsidR="00F755B9" w:rsidRPr="00EA236D" w:rsidRDefault="00F755B9" w:rsidP="00F755B9">
      <w:pPr>
        <w:widowControl w:val="0"/>
        <w:autoSpaceDE w:val="0"/>
        <w:autoSpaceDN w:val="0"/>
        <w:adjustRightInd w:val="0"/>
        <w:jc w:val="both"/>
        <w:rPr>
          <w:rFonts w:ascii="Verdana" w:hAnsi="Verdana" w:cs="Times"/>
          <w:sz w:val="20"/>
          <w:szCs w:val="20"/>
        </w:rPr>
      </w:pPr>
    </w:p>
    <w:p w14:paraId="3289076F" w14:textId="21721783" w:rsidR="00F755B9" w:rsidRPr="00EA236D" w:rsidRDefault="00F755B9" w:rsidP="0070104A">
      <w:pPr>
        <w:widowControl w:val="0"/>
        <w:autoSpaceDE w:val="0"/>
        <w:autoSpaceDN w:val="0"/>
        <w:adjustRightInd w:val="0"/>
        <w:ind w:left="708"/>
        <w:jc w:val="both"/>
        <w:rPr>
          <w:rFonts w:ascii="Verdana" w:hAnsi="Verdana" w:cs="Times"/>
          <w:i/>
          <w:sz w:val="16"/>
          <w:szCs w:val="16"/>
        </w:rPr>
      </w:pPr>
      <w:r w:rsidRPr="00EA236D">
        <w:rPr>
          <w:rFonts w:ascii="Verdana" w:hAnsi="Verdana" w:cs="Times"/>
          <w:i/>
          <w:sz w:val="16"/>
          <w:szCs w:val="16"/>
        </w:rPr>
        <w:t xml:space="preserve">16. Los Estados partes tienen la obligación de respetar, proteger y cumplir el derecho de no discriminación de la mujer y asegurar el desarrollo y el adelanto de la mujer a fin de mejorar su situación y hacer efectivo su derecho a la igualdad </w:t>
      </w:r>
      <w:r w:rsidRPr="00EA236D">
        <w:rPr>
          <w:rFonts w:ascii="Verdana" w:hAnsi="Verdana" w:cs="Times"/>
          <w:i/>
          <w:iCs/>
          <w:sz w:val="16"/>
          <w:szCs w:val="16"/>
        </w:rPr>
        <w:t xml:space="preserve">de jure </w:t>
      </w:r>
      <w:r w:rsidRPr="00EA236D">
        <w:rPr>
          <w:rFonts w:ascii="Verdana" w:hAnsi="Verdana" w:cs="Times"/>
          <w:i/>
          <w:sz w:val="16"/>
          <w:szCs w:val="16"/>
        </w:rPr>
        <w:t>y</w:t>
      </w:r>
      <w:r w:rsidRPr="00EA236D">
        <w:rPr>
          <w:rFonts w:ascii="Verdana" w:hAnsi="Verdana" w:cs="Times"/>
          <w:i/>
          <w:iCs/>
          <w:sz w:val="16"/>
          <w:szCs w:val="16"/>
        </w:rPr>
        <w:t xml:space="preserve"> de facto</w:t>
      </w:r>
      <w:r w:rsidRPr="00EA236D">
        <w:rPr>
          <w:rFonts w:ascii="Verdana" w:hAnsi="Verdana" w:cs="Times"/>
          <w:i/>
          <w:sz w:val="16"/>
          <w:szCs w:val="16"/>
        </w:rPr>
        <w:t xml:space="preserve"> o sustantiva con el hombre. Los Estados partes deberán asegurar que no haya discriminación directa ni indirecta contra la mujer. Se entiende por discriminación directa contra la mujer la que supone un trato diferente fundado explícitamente en las diferencias de sexo y género. La discriminación indirecta contra la mujer tiene lugar cuando una ley, una política, un programa o una práctica parece ser neutra por cuanto se refiere tanto a los hombres como a las mujeres, pero en la práctica tiene un efecto discriminatorio contra la mujer porque las desigualdades preexistentes no se han tenido en cuenta en la medida aparentemente neutra. Además, la discriminación indirecta puede exacerbar las desigualdades existentes por la falta de reconocimiento de los patrones estructurales e históricos de discriminación y el desequilibrio de las relaciones de poder entre la mujer y el hombre</w:t>
      </w:r>
      <w:r w:rsidRPr="00EA236D">
        <w:rPr>
          <w:rStyle w:val="FootnoteReference"/>
          <w:rFonts w:ascii="Verdana" w:hAnsi="Verdana"/>
          <w:i/>
          <w:sz w:val="16"/>
        </w:rPr>
        <w:footnoteReference w:id="89"/>
      </w:r>
      <w:r w:rsidRPr="00EA236D">
        <w:rPr>
          <w:rFonts w:ascii="Verdana" w:hAnsi="Verdana" w:cs="Times"/>
          <w:i/>
          <w:sz w:val="16"/>
          <w:szCs w:val="16"/>
        </w:rPr>
        <w:t>.</w:t>
      </w:r>
    </w:p>
    <w:p w14:paraId="7E8F8AA2" w14:textId="77777777" w:rsidR="007C2CBF" w:rsidRPr="00EA236D" w:rsidRDefault="007C2CBF" w:rsidP="0070104A">
      <w:pPr>
        <w:widowControl w:val="0"/>
        <w:autoSpaceDE w:val="0"/>
        <w:autoSpaceDN w:val="0"/>
        <w:adjustRightInd w:val="0"/>
        <w:ind w:left="708"/>
        <w:jc w:val="both"/>
        <w:rPr>
          <w:rFonts w:ascii="Verdana" w:hAnsi="Verdana" w:cs="Times"/>
          <w:i/>
          <w:sz w:val="16"/>
          <w:szCs w:val="16"/>
        </w:rPr>
      </w:pPr>
    </w:p>
    <w:p w14:paraId="4DEEEDE9" w14:textId="4B6A2468" w:rsidR="00F755B9" w:rsidRPr="00EA236D" w:rsidRDefault="00941762" w:rsidP="00F755B9">
      <w:pPr>
        <w:pStyle w:val="ListParagraph"/>
        <w:numPr>
          <w:ilvl w:val="0"/>
          <w:numId w:val="1"/>
        </w:numPr>
        <w:contextualSpacing w:val="0"/>
        <w:rPr>
          <w:rFonts w:cs="System Font Regular"/>
          <w:i/>
          <w:szCs w:val="20"/>
          <w:lang w:val="es-ES_tradnl"/>
        </w:rPr>
      </w:pPr>
      <w:r w:rsidRPr="00EA236D">
        <w:rPr>
          <w:rFonts w:cs="System Font Regular"/>
          <w:szCs w:val="20"/>
          <w:lang w:val="es-ES_tradnl"/>
        </w:rPr>
        <w:t xml:space="preserve">En lo </w:t>
      </w:r>
      <w:r w:rsidR="00802141" w:rsidRPr="00EA236D">
        <w:rPr>
          <w:rFonts w:cs="System Font Regular"/>
          <w:szCs w:val="20"/>
          <w:lang w:val="es-ES_tradnl"/>
        </w:rPr>
        <w:t xml:space="preserve">referente </w:t>
      </w:r>
      <w:r w:rsidRPr="00EA236D">
        <w:rPr>
          <w:rFonts w:cs="System Font Regular"/>
          <w:szCs w:val="20"/>
          <w:lang w:val="es-ES_tradnl"/>
        </w:rPr>
        <w:t>al</w:t>
      </w:r>
      <w:r w:rsidR="00F755B9" w:rsidRPr="00EA236D">
        <w:rPr>
          <w:rFonts w:cs="System Font Regular"/>
          <w:szCs w:val="20"/>
          <w:lang w:val="es-ES_tradnl"/>
        </w:rPr>
        <w:t xml:space="preserve"> Comité para la Eliminación de la Discriminación Racial, en</w:t>
      </w:r>
      <w:r w:rsidR="0070104A" w:rsidRPr="00EA236D">
        <w:rPr>
          <w:rFonts w:cs="System Font Regular"/>
          <w:szCs w:val="20"/>
          <w:lang w:val="es-ES_tradnl"/>
        </w:rPr>
        <w:t xml:space="preserve"> su </w:t>
      </w:r>
      <w:r w:rsidR="007C2CBF" w:rsidRPr="00EA236D">
        <w:rPr>
          <w:szCs w:val="20"/>
          <w:lang w:val="es-ES_tradnl"/>
        </w:rPr>
        <w:t>Recomendación</w:t>
      </w:r>
      <w:r w:rsidR="0070104A" w:rsidRPr="00EA236D">
        <w:rPr>
          <w:szCs w:val="20"/>
          <w:lang w:val="es-ES_tradnl"/>
        </w:rPr>
        <w:t xml:space="preserve"> </w:t>
      </w:r>
      <w:r w:rsidR="00734B35" w:rsidRPr="00EA236D">
        <w:rPr>
          <w:szCs w:val="20"/>
          <w:lang w:val="es-ES_tradnl"/>
        </w:rPr>
        <w:t>G</w:t>
      </w:r>
      <w:r w:rsidR="0070104A" w:rsidRPr="00EA236D">
        <w:rPr>
          <w:szCs w:val="20"/>
          <w:lang w:val="es-ES_tradnl"/>
        </w:rPr>
        <w:t>eneral No 34</w:t>
      </w:r>
      <w:r w:rsidR="00704FC2" w:rsidRPr="00EA236D">
        <w:rPr>
          <w:szCs w:val="20"/>
          <w:lang w:val="es-ES_tradnl"/>
        </w:rPr>
        <w:t>,</w:t>
      </w:r>
      <w:r w:rsidR="0070104A" w:rsidRPr="00EA236D">
        <w:rPr>
          <w:szCs w:val="20"/>
          <w:lang w:val="es-ES_tradnl"/>
        </w:rPr>
        <w:t xml:space="preserve"> </w:t>
      </w:r>
      <w:r w:rsidR="0070104A" w:rsidRPr="00EA236D">
        <w:rPr>
          <w:i/>
          <w:szCs w:val="20"/>
          <w:lang w:val="es-ES_tradnl"/>
        </w:rPr>
        <w:t xml:space="preserve">sobre </w:t>
      </w:r>
      <w:r w:rsidR="007C2CBF" w:rsidRPr="00EA236D">
        <w:rPr>
          <w:i/>
          <w:szCs w:val="20"/>
          <w:lang w:val="es-ES_tradnl"/>
        </w:rPr>
        <w:t>Discriminación</w:t>
      </w:r>
      <w:r w:rsidR="0070104A" w:rsidRPr="00EA236D">
        <w:rPr>
          <w:i/>
          <w:szCs w:val="20"/>
          <w:lang w:val="es-ES_tradnl"/>
        </w:rPr>
        <w:t xml:space="preserve"> racial contra afrodescendientes</w:t>
      </w:r>
      <w:r w:rsidR="009267D9" w:rsidRPr="00EA236D">
        <w:rPr>
          <w:rFonts w:cs="System Font Regular"/>
          <w:szCs w:val="20"/>
          <w:lang w:val="es-ES_tradnl"/>
        </w:rPr>
        <w:t xml:space="preserve"> </w:t>
      </w:r>
      <w:r w:rsidR="00802141" w:rsidRPr="00EA236D">
        <w:rPr>
          <w:rFonts w:cs="System Font Regular"/>
          <w:szCs w:val="20"/>
          <w:lang w:val="es-ES_tradnl"/>
        </w:rPr>
        <w:t>(2011)</w:t>
      </w:r>
      <w:r w:rsidR="0070104A" w:rsidRPr="00EA236D">
        <w:rPr>
          <w:rFonts w:cs="System Font Regular"/>
          <w:szCs w:val="20"/>
          <w:lang w:val="es-ES_tradnl"/>
        </w:rPr>
        <w:t>,</w:t>
      </w:r>
      <w:r w:rsidR="00F755B9" w:rsidRPr="00EA236D">
        <w:rPr>
          <w:rFonts w:cs="System Font Regular"/>
          <w:szCs w:val="20"/>
          <w:lang w:val="es-ES_tradnl"/>
        </w:rPr>
        <w:t xml:space="preserve"> ha entendido que</w:t>
      </w:r>
      <w:r w:rsidR="00866626" w:rsidRPr="00EA236D">
        <w:rPr>
          <w:rFonts w:cs="System Font Regular"/>
          <w:szCs w:val="20"/>
          <w:lang w:val="es-ES_tradnl"/>
        </w:rPr>
        <w:t xml:space="preserve">: </w:t>
      </w:r>
    </w:p>
    <w:p w14:paraId="6229F383" w14:textId="77777777" w:rsidR="00F755B9" w:rsidRPr="00EA236D" w:rsidRDefault="00F755B9" w:rsidP="00F755B9">
      <w:pPr>
        <w:pStyle w:val="ListParagraph"/>
        <w:ind w:left="0"/>
        <w:contextualSpacing w:val="0"/>
        <w:rPr>
          <w:rFonts w:cs="System Font Regular"/>
          <w:i/>
          <w:sz w:val="16"/>
          <w:szCs w:val="16"/>
          <w:lang w:val="es-ES_tradnl"/>
        </w:rPr>
      </w:pPr>
    </w:p>
    <w:p w14:paraId="7E6FC9B2" w14:textId="26209ACC" w:rsidR="00F755B9" w:rsidRPr="00EA236D" w:rsidRDefault="00F755B9" w:rsidP="00F755B9">
      <w:pPr>
        <w:pStyle w:val="ListParagraph"/>
        <w:ind w:left="708"/>
        <w:contextualSpacing w:val="0"/>
        <w:rPr>
          <w:rFonts w:cs="System Font Regular"/>
          <w:sz w:val="16"/>
          <w:szCs w:val="16"/>
          <w:lang w:val="es-ES_tradnl"/>
        </w:rPr>
      </w:pPr>
      <w:r w:rsidRPr="00EA236D">
        <w:rPr>
          <w:rFonts w:cs="Times New Roman"/>
          <w:i/>
          <w:sz w:val="16"/>
          <w:szCs w:val="16"/>
          <w:lang w:val="es-ES_tradnl"/>
        </w:rPr>
        <w:t xml:space="preserve">6. El racismo y la discriminación estructural contra afrodescendientes, </w:t>
      </w:r>
      <w:r w:rsidRPr="00EA236D">
        <w:rPr>
          <w:rFonts w:cs="Times New Roman"/>
          <w:i/>
          <w:sz w:val="16"/>
          <w:szCs w:val="16"/>
          <w:u w:val="single"/>
          <w:lang w:val="es-ES_tradnl"/>
        </w:rPr>
        <w:t>enraizados en el infame régimen de la esclavitud,</w:t>
      </w:r>
      <w:r w:rsidRPr="00EA236D">
        <w:rPr>
          <w:rFonts w:cs="Times New Roman"/>
          <w:i/>
          <w:sz w:val="16"/>
          <w:szCs w:val="16"/>
          <w:lang w:val="es-ES_tradnl"/>
        </w:rPr>
        <w:t xml:space="preserve"> se manifiestan en situaciones de desigualdad que afectan a estas personas y que se reflejan, entre otras cosas, en lo siguiente: el hecho de que formen parte, junto con las poblaciones indígenas, </w:t>
      </w:r>
      <w:r w:rsidRPr="00EA236D">
        <w:rPr>
          <w:rFonts w:cs="Times New Roman"/>
          <w:i/>
          <w:sz w:val="16"/>
          <w:szCs w:val="16"/>
          <w:u w:val="single"/>
          <w:lang w:val="es-ES_tradnl"/>
        </w:rPr>
        <w:t>de los grupos más pobres de la población</w:t>
      </w:r>
      <w:r w:rsidRPr="00EA236D">
        <w:rPr>
          <w:rFonts w:cs="Times New Roman"/>
          <w:i/>
          <w:sz w:val="16"/>
          <w:szCs w:val="16"/>
          <w:lang w:val="es-ES_tradnl"/>
        </w:rPr>
        <w:t xml:space="preserve">; sus bajas tasas de participación y representación en los procesos políticos e institucionales de adopción de decisiones; las dificultades adicionales a que hacen frente en el acceso a la educación, la calidad de esta y las posibilidades de completarla, </w:t>
      </w:r>
      <w:r w:rsidRPr="00EA236D">
        <w:rPr>
          <w:rFonts w:cs="Times New Roman"/>
          <w:i/>
          <w:sz w:val="16"/>
          <w:szCs w:val="16"/>
          <w:u w:val="single"/>
          <w:lang w:val="es-ES_tradnl"/>
        </w:rPr>
        <w:t>lo que hace que la pobreza se transmita de generación en generación</w:t>
      </w:r>
      <w:r w:rsidRPr="00EA236D">
        <w:rPr>
          <w:rFonts w:cs="Times New Roman"/>
          <w:i/>
          <w:sz w:val="16"/>
          <w:szCs w:val="16"/>
          <w:lang w:val="es-ES_tradnl"/>
        </w:rPr>
        <w:t>; el acceso desigual al mercado del trabajo; el limitado reconocimiento social y la escasa valoración de su diversidad étnica y cultural, y su desproporcionada presencia en la población carcelaria</w:t>
      </w:r>
      <w:r w:rsidRPr="00EA236D">
        <w:rPr>
          <w:rFonts w:cs="System Font Regular"/>
          <w:i/>
          <w:sz w:val="16"/>
          <w:szCs w:val="16"/>
          <w:lang w:val="es-ES_tradnl"/>
        </w:rPr>
        <w:t>”</w:t>
      </w:r>
      <w:r w:rsidRPr="00EA236D">
        <w:rPr>
          <w:rStyle w:val="FootnoteReference"/>
          <w:i/>
          <w:sz w:val="16"/>
          <w:szCs w:val="16"/>
          <w:lang w:val="es-ES_tradnl"/>
        </w:rPr>
        <w:footnoteReference w:id="90"/>
      </w:r>
      <w:r w:rsidRPr="00EA236D">
        <w:rPr>
          <w:rFonts w:cs="System Font Regular"/>
          <w:i/>
          <w:sz w:val="16"/>
          <w:szCs w:val="16"/>
          <w:lang w:val="es-ES_tradnl"/>
        </w:rPr>
        <w:t>.</w:t>
      </w:r>
      <w:r w:rsidR="00704FC2" w:rsidRPr="00EA236D">
        <w:rPr>
          <w:rFonts w:cs="System Font Regular"/>
          <w:i/>
          <w:sz w:val="16"/>
          <w:szCs w:val="16"/>
          <w:lang w:val="es-ES_tradnl"/>
        </w:rPr>
        <w:t xml:space="preserve"> </w:t>
      </w:r>
      <w:r w:rsidR="00704FC2" w:rsidRPr="00EA236D">
        <w:rPr>
          <w:rFonts w:cs="System Font Regular"/>
          <w:sz w:val="16"/>
          <w:szCs w:val="16"/>
          <w:lang w:val="es-ES_tradnl"/>
        </w:rPr>
        <w:t>(Énfasis añadido).</w:t>
      </w:r>
    </w:p>
    <w:p w14:paraId="21999B17" w14:textId="77777777" w:rsidR="00F755B9" w:rsidRPr="00EA236D" w:rsidRDefault="00F755B9" w:rsidP="00F755B9">
      <w:pPr>
        <w:pStyle w:val="ListParagraph"/>
        <w:ind w:left="0"/>
        <w:contextualSpacing w:val="0"/>
        <w:rPr>
          <w:rFonts w:cs="System Font Regular"/>
          <w:i/>
          <w:szCs w:val="20"/>
          <w:lang w:val="es-ES_tradnl"/>
        </w:rPr>
      </w:pPr>
    </w:p>
    <w:p w14:paraId="1CDF8AB6" w14:textId="4BDF3AE2" w:rsidR="00F755B9" w:rsidRPr="00EA236D" w:rsidRDefault="00941762" w:rsidP="00F755B9">
      <w:pPr>
        <w:pStyle w:val="ListParagraph"/>
        <w:numPr>
          <w:ilvl w:val="0"/>
          <w:numId w:val="1"/>
        </w:numPr>
        <w:contextualSpacing w:val="0"/>
        <w:rPr>
          <w:rFonts w:cs="System Font Regular"/>
          <w:i/>
          <w:szCs w:val="20"/>
          <w:lang w:val="es-ES_tradnl"/>
        </w:rPr>
      </w:pPr>
      <w:r w:rsidRPr="00EA236D">
        <w:rPr>
          <w:rFonts w:cs="System Font Regular"/>
          <w:szCs w:val="20"/>
          <w:lang w:val="es-ES_tradnl"/>
        </w:rPr>
        <w:t>Finalmente, l</w:t>
      </w:r>
      <w:r w:rsidR="00F755B9" w:rsidRPr="00EA236D">
        <w:rPr>
          <w:rFonts w:cs="System Font Regular"/>
          <w:szCs w:val="20"/>
          <w:lang w:val="es-ES_tradnl"/>
        </w:rPr>
        <w:t xml:space="preserve">a definición más completa sobre la discriminación estructural o sistemática ha sido la que recientemente ha aportado el Comité de los Derechos de las Personas </w:t>
      </w:r>
      <w:r w:rsidR="00202440" w:rsidRPr="00EA236D">
        <w:rPr>
          <w:rFonts w:cs="System Font Regular"/>
          <w:szCs w:val="20"/>
          <w:lang w:val="es-ES_tradnl"/>
        </w:rPr>
        <w:t xml:space="preserve">con </w:t>
      </w:r>
      <w:r w:rsidR="00F755B9" w:rsidRPr="00EA236D">
        <w:rPr>
          <w:rFonts w:cs="System Font Regular"/>
          <w:szCs w:val="20"/>
          <w:lang w:val="es-ES_tradnl"/>
        </w:rPr>
        <w:t>Discapacidad</w:t>
      </w:r>
      <w:r w:rsidR="00202440" w:rsidRPr="00EA236D">
        <w:rPr>
          <w:rFonts w:cs="System Font Regular"/>
          <w:szCs w:val="20"/>
          <w:lang w:val="es-ES_tradnl"/>
        </w:rPr>
        <w:t>,</w:t>
      </w:r>
      <w:r w:rsidR="00F755B9" w:rsidRPr="00EA236D">
        <w:rPr>
          <w:rFonts w:cs="System Font Regular"/>
          <w:szCs w:val="20"/>
          <w:lang w:val="es-ES_tradnl"/>
        </w:rPr>
        <w:t xml:space="preserve"> en su Observación General No. 3</w:t>
      </w:r>
      <w:r w:rsidR="00704FC2" w:rsidRPr="00EA236D">
        <w:rPr>
          <w:rFonts w:cs="System Font Regular"/>
          <w:szCs w:val="20"/>
          <w:lang w:val="es-ES_tradnl"/>
        </w:rPr>
        <w:t>,</w:t>
      </w:r>
      <w:r w:rsidR="00F755B9" w:rsidRPr="00EA236D">
        <w:rPr>
          <w:rFonts w:cs="System Font Regular"/>
          <w:szCs w:val="20"/>
          <w:lang w:val="es-ES_tradnl"/>
        </w:rPr>
        <w:t xml:space="preserve"> sobre los derechos de la mujer con discapacidad. En este sentido, dicho Comité entiende que existe discriminación estructural o sistemática cuando: </w:t>
      </w:r>
    </w:p>
    <w:p w14:paraId="46D93B4A" w14:textId="77777777" w:rsidR="00F755B9" w:rsidRPr="00EA236D" w:rsidRDefault="00F755B9" w:rsidP="00F755B9">
      <w:pPr>
        <w:pStyle w:val="ListParagraph"/>
        <w:ind w:left="708"/>
        <w:contextualSpacing w:val="0"/>
        <w:rPr>
          <w:rFonts w:cs="Arial"/>
          <w:sz w:val="16"/>
          <w:szCs w:val="16"/>
          <w:lang w:val="es-ES_tradnl"/>
        </w:rPr>
      </w:pPr>
    </w:p>
    <w:p w14:paraId="16C45130" w14:textId="40C38BC6" w:rsidR="00F755B9" w:rsidRPr="00EA236D" w:rsidRDefault="00F755B9" w:rsidP="00F755B9">
      <w:pPr>
        <w:pStyle w:val="ListParagraph"/>
        <w:ind w:left="708"/>
        <w:contextualSpacing w:val="0"/>
        <w:rPr>
          <w:rFonts w:cs="Arial"/>
          <w:i/>
          <w:sz w:val="16"/>
          <w:szCs w:val="16"/>
          <w:lang w:val="es-ES_tradnl"/>
        </w:rPr>
      </w:pPr>
      <w:r w:rsidRPr="00EA236D">
        <w:rPr>
          <w:rFonts w:cs="Arial"/>
          <w:i/>
          <w:sz w:val="16"/>
          <w:szCs w:val="16"/>
          <w:lang w:val="es-ES_tradnl"/>
        </w:rPr>
        <w:t>17. e) La discriminación estr</w:t>
      </w:r>
      <w:r w:rsidR="00245DB0" w:rsidRPr="00EA236D">
        <w:rPr>
          <w:rFonts w:cs="Arial"/>
          <w:i/>
          <w:sz w:val="16"/>
          <w:szCs w:val="16"/>
          <w:lang w:val="es-ES_tradnl"/>
        </w:rPr>
        <w:t>uctural o sistémica oculta</w:t>
      </w:r>
      <w:r w:rsidRPr="00EA236D">
        <w:rPr>
          <w:rFonts w:cs="Arial"/>
          <w:i/>
          <w:sz w:val="16"/>
          <w:szCs w:val="16"/>
          <w:lang w:val="es-ES_tradnl"/>
        </w:rPr>
        <w:t xml:space="preserve"> patrones claros de comportamiento institucional discriminatorio, tradiciones culturales discriminatorias, normas </w:t>
      </w:r>
      <w:r w:rsidR="00F86180" w:rsidRPr="00EA236D">
        <w:rPr>
          <w:rFonts w:cs="Arial"/>
          <w:i/>
          <w:sz w:val="16"/>
          <w:szCs w:val="16"/>
          <w:lang w:val="es-ES_tradnl"/>
        </w:rPr>
        <w:t>y / o reglas sociales,</w:t>
      </w:r>
      <w:r w:rsidRPr="00EA236D">
        <w:rPr>
          <w:rFonts w:cs="Arial"/>
          <w:i/>
          <w:sz w:val="16"/>
          <w:szCs w:val="16"/>
          <w:lang w:val="es-ES_tradnl"/>
        </w:rPr>
        <w:t xml:space="preserve"> de género y los estereotipos perjudiciales</w:t>
      </w:r>
      <w:r w:rsidR="00F86180" w:rsidRPr="00EA236D">
        <w:rPr>
          <w:rFonts w:cs="Arial"/>
          <w:i/>
          <w:sz w:val="16"/>
          <w:szCs w:val="16"/>
          <w:lang w:val="es-ES_tradnl"/>
        </w:rPr>
        <w:t xml:space="preserve"> que </w:t>
      </w:r>
      <w:r w:rsidRPr="00EA236D">
        <w:rPr>
          <w:rFonts w:cs="Arial"/>
          <w:i/>
          <w:sz w:val="16"/>
          <w:szCs w:val="16"/>
          <w:lang w:val="es-ES_tradnl"/>
        </w:rPr>
        <w:t>pueden llevar a tal discriminación</w:t>
      </w:r>
      <w:r w:rsidR="00F86180" w:rsidRPr="00EA236D">
        <w:rPr>
          <w:rFonts w:cs="Arial"/>
          <w:i/>
          <w:sz w:val="16"/>
          <w:szCs w:val="16"/>
          <w:lang w:val="es-ES_tradnl"/>
        </w:rPr>
        <w:t xml:space="preserve"> discapacidad, intrínsecamente ligada</w:t>
      </w:r>
      <w:r w:rsidRPr="00EA236D">
        <w:rPr>
          <w:rFonts w:cs="Arial"/>
          <w:i/>
          <w:sz w:val="16"/>
          <w:szCs w:val="16"/>
          <w:lang w:val="es-ES_tradnl"/>
        </w:rPr>
        <w:t xml:space="preserve"> a la falta de políticas, regulación y prestación de servicios específicamente pa</w:t>
      </w:r>
      <w:r w:rsidR="00F86180" w:rsidRPr="00EA236D">
        <w:rPr>
          <w:rFonts w:cs="Arial"/>
          <w:i/>
          <w:sz w:val="16"/>
          <w:szCs w:val="16"/>
          <w:lang w:val="es-ES_tradnl"/>
        </w:rPr>
        <w:t>ra las mujeres con discapacidad</w:t>
      </w:r>
      <w:r w:rsidRPr="00EA236D">
        <w:rPr>
          <w:rFonts w:cs="Arial"/>
          <w:i/>
          <w:sz w:val="16"/>
          <w:szCs w:val="16"/>
          <w:lang w:val="es-ES_tradnl"/>
        </w:rPr>
        <w:t xml:space="preserve"> </w:t>
      </w:r>
      <w:r w:rsidR="00F86180" w:rsidRPr="00EA236D">
        <w:rPr>
          <w:rFonts w:cs="Arial"/>
          <w:i/>
          <w:sz w:val="16"/>
          <w:szCs w:val="16"/>
          <w:lang w:val="es-ES_tradnl"/>
        </w:rPr>
        <w:t>[…]</w:t>
      </w:r>
      <w:r w:rsidR="000468E5" w:rsidRPr="00EA236D">
        <w:rPr>
          <w:rStyle w:val="FootnoteReference"/>
          <w:i/>
          <w:sz w:val="16"/>
          <w:lang w:val="es-ES_tradnl"/>
        </w:rPr>
        <w:footnoteReference w:id="91"/>
      </w:r>
      <w:r w:rsidRPr="00EA236D">
        <w:rPr>
          <w:rFonts w:cs="Arial"/>
          <w:i/>
          <w:sz w:val="16"/>
          <w:szCs w:val="16"/>
          <w:lang w:val="es-ES_tradnl"/>
        </w:rPr>
        <w:t>.</w:t>
      </w:r>
    </w:p>
    <w:p w14:paraId="046B66F9" w14:textId="77777777" w:rsidR="00F755B9" w:rsidRPr="00EA236D" w:rsidRDefault="00F755B9" w:rsidP="00F755B9">
      <w:pPr>
        <w:pStyle w:val="ListParagraph"/>
        <w:ind w:left="0"/>
        <w:contextualSpacing w:val="0"/>
        <w:rPr>
          <w:rFonts w:cs="System Font Regular"/>
          <w:i/>
          <w:szCs w:val="20"/>
          <w:lang w:val="es-ES_tradnl"/>
        </w:rPr>
      </w:pPr>
    </w:p>
    <w:p w14:paraId="275A0B57" w14:textId="0F2522D7" w:rsidR="00F755B9" w:rsidRPr="00EA236D" w:rsidRDefault="00F755B9" w:rsidP="00F755B9">
      <w:pPr>
        <w:pStyle w:val="ListParagraph"/>
        <w:numPr>
          <w:ilvl w:val="0"/>
          <w:numId w:val="1"/>
        </w:numPr>
        <w:contextualSpacing w:val="0"/>
        <w:rPr>
          <w:rFonts w:cs="System Font Regular"/>
          <w:i/>
          <w:szCs w:val="20"/>
          <w:lang w:val="es-ES_tradnl"/>
        </w:rPr>
      </w:pPr>
      <w:r w:rsidRPr="00EA236D">
        <w:rPr>
          <w:rFonts w:cs="System Font Regular"/>
          <w:szCs w:val="20"/>
          <w:lang w:val="es-ES_tradnl"/>
        </w:rPr>
        <w:t xml:space="preserve">Sobre la existencia de pobreza estructural, el Relator </w:t>
      </w:r>
      <w:r w:rsidR="00734B35" w:rsidRPr="00EA236D">
        <w:rPr>
          <w:rFonts w:cs="System Font Regular"/>
          <w:szCs w:val="20"/>
          <w:lang w:val="es-ES_tradnl"/>
        </w:rPr>
        <w:t>E</w:t>
      </w:r>
      <w:r w:rsidRPr="00EA236D">
        <w:rPr>
          <w:rFonts w:cs="System Font Regular"/>
          <w:szCs w:val="20"/>
          <w:lang w:val="es-ES_tradnl"/>
        </w:rPr>
        <w:t xml:space="preserve">special de Naciones Unidas sobre el Derecho a la </w:t>
      </w:r>
      <w:r w:rsidR="00734B35" w:rsidRPr="00EA236D">
        <w:rPr>
          <w:rFonts w:cs="System Font Regular"/>
          <w:szCs w:val="20"/>
          <w:lang w:val="es-ES_tradnl"/>
        </w:rPr>
        <w:t>A</w:t>
      </w:r>
      <w:r w:rsidRPr="00EA236D">
        <w:rPr>
          <w:rFonts w:cs="System Font Regular"/>
          <w:szCs w:val="20"/>
          <w:lang w:val="es-ES_tradnl"/>
        </w:rPr>
        <w:t>limentación</w:t>
      </w:r>
      <w:r w:rsidR="00941762" w:rsidRPr="00EA236D">
        <w:rPr>
          <w:rFonts w:cs="System Font Regular"/>
          <w:szCs w:val="20"/>
          <w:lang w:val="es-ES_tradnl"/>
        </w:rPr>
        <w:t>,</w:t>
      </w:r>
      <w:r w:rsidRPr="00EA236D">
        <w:rPr>
          <w:rFonts w:cs="System Font Regular"/>
          <w:szCs w:val="20"/>
          <w:lang w:val="es-ES_tradnl"/>
        </w:rPr>
        <w:t xml:space="preserve"> analizando la prestación de asistencia social condicionada</w:t>
      </w:r>
      <w:r w:rsidR="009C30BC" w:rsidRPr="00EA236D">
        <w:rPr>
          <w:rFonts w:cs="System Font Regular"/>
          <w:szCs w:val="20"/>
          <w:lang w:val="es-ES_tradnl"/>
        </w:rPr>
        <w:t xml:space="preserve"> </w:t>
      </w:r>
      <w:r w:rsidR="00A06B5F" w:rsidRPr="00EA236D">
        <w:rPr>
          <w:rFonts w:cs="System Font Regular"/>
          <w:szCs w:val="20"/>
          <w:lang w:val="es-ES_tradnl"/>
        </w:rPr>
        <w:t>—</w:t>
      </w:r>
      <w:r w:rsidRPr="00EA236D">
        <w:rPr>
          <w:rFonts w:cs="System Font Regular"/>
          <w:szCs w:val="20"/>
          <w:lang w:val="es-ES_tradnl"/>
        </w:rPr>
        <w:t>para las que deben satisfacerse ciertos requisitos de elegibilidad</w:t>
      </w:r>
      <w:r w:rsidR="00A06B5F" w:rsidRPr="00EA236D">
        <w:rPr>
          <w:rFonts w:cs="System Font Regular"/>
          <w:szCs w:val="20"/>
          <w:lang w:val="es-ES_tradnl"/>
        </w:rPr>
        <w:t>—</w:t>
      </w:r>
      <w:r w:rsidR="00704FC2" w:rsidRPr="00EA236D">
        <w:rPr>
          <w:rFonts w:cs="System Font Regular"/>
          <w:szCs w:val="20"/>
          <w:lang w:val="es-ES_tradnl"/>
        </w:rPr>
        <w:t xml:space="preserve"> consideró que</w:t>
      </w:r>
      <w:r w:rsidRPr="00EA236D">
        <w:rPr>
          <w:rFonts w:cs="System Font Regular"/>
          <w:szCs w:val="20"/>
          <w:lang w:val="es-ES_tradnl"/>
        </w:rPr>
        <w:t>:</w:t>
      </w:r>
    </w:p>
    <w:p w14:paraId="4471DAE0" w14:textId="77777777" w:rsidR="00F755B9" w:rsidRPr="00EA236D" w:rsidRDefault="00F755B9" w:rsidP="00F755B9">
      <w:pPr>
        <w:pStyle w:val="ListParagraph"/>
        <w:ind w:left="0"/>
        <w:contextualSpacing w:val="0"/>
        <w:rPr>
          <w:rFonts w:cs="System Font Regular"/>
          <w:i/>
          <w:szCs w:val="20"/>
          <w:lang w:val="es-ES_tradnl"/>
        </w:rPr>
      </w:pPr>
    </w:p>
    <w:p w14:paraId="69FC1E6D" w14:textId="707EB36A" w:rsidR="00F755B9" w:rsidRPr="00EA236D" w:rsidRDefault="00F755B9" w:rsidP="00D426A6">
      <w:pPr>
        <w:pStyle w:val="ListParagraph"/>
        <w:ind w:left="708"/>
        <w:contextualSpacing w:val="0"/>
        <w:rPr>
          <w:rFonts w:cs="Times"/>
          <w:i/>
          <w:sz w:val="16"/>
          <w:szCs w:val="16"/>
          <w:lang w:val="es-ES_tradnl"/>
        </w:rPr>
      </w:pPr>
      <w:r w:rsidRPr="00EA236D">
        <w:rPr>
          <w:rFonts w:cs="Times"/>
          <w:i/>
          <w:sz w:val="16"/>
          <w:szCs w:val="16"/>
          <w:lang w:val="es-ES_tradnl"/>
        </w:rPr>
        <w:t>30. Los programas de asistencia condicionada están diseñados generalmente para hacer frente a la pobreza estructural, a largo plazo, más que a la perturbación de los ingresos, especialmente si se prevé que esa perturbación será de corta duración; no son el instrumento ideal para hacer frente a la pobreza coyuntural</w:t>
      </w:r>
      <w:r w:rsidR="00704FC2" w:rsidRPr="00EA236D">
        <w:rPr>
          <w:rStyle w:val="FootnoteReference"/>
          <w:i/>
          <w:sz w:val="16"/>
          <w:lang w:val="es-ES_tradnl"/>
        </w:rPr>
        <w:footnoteReference w:id="92"/>
      </w:r>
      <w:r w:rsidRPr="00EA236D">
        <w:rPr>
          <w:rFonts w:cs="Times"/>
          <w:i/>
          <w:sz w:val="16"/>
          <w:szCs w:val="16"/>
          <w:lang w:val="es-ES_tradnl"/>
        </w:rPr>
        <w:t xml:space="preserve">. </w:t>
      </w:r>
    </w:p>
    <w:p w14:paraId="2330782E" w14:textId="77777777" w:rsidR="009C257C" w:rsidRPr="00EA236D" w:rsidRDefault="009C257C" w:rsidP="009C257C">
      <w:pPr>
        <w:pStyle w:val="ListParagraph"/>
        <w:ind w:left="0"/>
        <w:contextualSpacing w:val="0"/>
        <w:rPr>
          <w:rFonts w:cs="System Font Regular"/>
          <w:i/>
          <w:szCs w:val="20"/>
          <w:lang w:val="es-ES_tradnl"/>
        </w:rPr>
      </w:pPr>
    </w:p>
    <w:p w14:paraId="4C1C611D" w14:textId="10A81F53" w:rsidR="0044309D" w:rsidRPr="00EA236D" w:rsidRDefault="00D426A6" w:rsidP="0044309D">
      <w:pPr>
        <w:pStyle w:val="ListParagraph"/>
        <w:widowControl w:val="0"/>
        <w:numPr>
          <w:ilvl w:val="0"/>
          <w:numId w:val="1"/>
        </w:numPr>
        <w:autoSpaceDE w:val="0"/>
        <w:autoSpaceDN w:val="0"/>
        <w:adjustRightInd w:val="0"/>
        <w:spacing w:after="240"/>
        <w:rPr>
          <w:rFonts w:cs="Times"/>
          <w:szCs w:val="20"/>
          <w:lang w:val="es-ES_tradnl"/>
        </w:rPr>
      </w:pPr>
      <w:r w:rsidRPr="00EA236D">
        <w:rPr>
          <w:rFonts w:cs="System Font Regular"/>
          <w:szCs w:val="20"/>
          <w:lang w:val="es-ES_tradnl"/>
        </w:rPr>
        <w:t>Si bien a la fecha</w:t>
      </w:r>
      <w:r w:rsidR="007E5939" w:rsidRPr="00EA236D">
        <w:rPr>
          <w:rFonts w:cs="System Font Regular"/>
          <w:szCs w:val="20"/>
          <w:lang w:val="es-ES_tradnl"/>
        </w:rPr>
        <w:t xml:space="preserve"> </w:t>
      </w:r>
      <w:r w:rsidR="00751800" w:rsidRPr="00EA236D">
        <w:rPr>
          <w:rFonts w:cs="System Font Regular"/>
          <w:szCs w:val="20"/>
          <w:lang w:val="es-ES_tradnl"/>
        </w:rPr>
        <w:t xml:space="preserve">no existe una definición </w:t>
      </w:r>
      <w:r w:rsidR="00656C67" w:rsidRPr="00EA236D">
        <w:rPr>
          <w:rFonts w:cs="System Font Regular"/>
          <w:szCs w:val="20"/>
          <w:lang w:val="es-ES_tradnl"/>
        </w:rPr>
        <w:t xml:space="preserve">expresa aportada en el Derecho Internacional </w:t>
      </w:r>
      <w:r w:rsidR="00751800" w:rsidRPr="00EA236D">
        <w:rPr>
          <w:rFonts w:cs="System Font Regular"/>
          <w:szCs w:val="20"/>
          <w:lang w:val="es-ES_tradnl"/>
        </w:rPr>
        <w:t xml:space="preserve">de lo que debe entenderse por </w:t>
      </w:r>
      <w:r w:rsidR="00751800" w:rsidRPr="00EA236D">
        <w:rPr>
          <w:rFonts w:cs="System Font Regular"/>
          <w:i/>
          <w:szCs w:val="20"/>
          <w:lang w:val="es-ES_tradnl"/>
        </w:rPr>
        <w:t>pobreza estructural</w:t>
      </w:r>
      <w:r w:rsidR="00E15CAF" w:rsidRPr="00EA236D">
        <w:rPr>
          <w:rStyle w:val="FootnoteReference"/>
          <w:lang w:val="es-ES_tradnl"/>
        </w:rPr>
        <w:footnoteReference w:id="93"/>
      </w:r>
      <w:r w:rsidR="00751800" w:rsidRPr="00EA236D">
        <w:rPr>
          <w:rFonts w:cs="System Font Regular"/>
          <w:i/>
          <w:szCs w:val="20"/>
          <w:lang w:val="es-ES_tradnl"/>
        </w:rPr>
        <w:t xml:space="preserve"> </w:t>
      </w:r>
      <w:r w:rsidR="00656C67" w:rsidRPr="00EA236D">
        <w:rPr>
          <w:rFonts w:cs="System Font Regular"/>
          <w:szCs w:val="20"/>
          <w:lang w:val="es-ES_tradnl"/>
        </w:rPr>
        <w:t xml:space="preserve">como forma de </w:t>
      </w:r>
      <w:r w:rsidR="00656C67" w:rsidRPr="00EA236D">
        <w:rPr>
          <w:rFonts w:cs="System Font Regular"/>
          <w:szCs w:val="20"/>
          <w:lang w:val="es-ES_tradnl"/>
        </w:rPr>
        <w:lastRenderedPageBreak/>
        <w:t>discriminación</w:t>
      </w:r>
      <w:r w:rsidR="00751800" w:rsidRPr="00EA236D">
        <w:rPr>
          <w:rFonts w:cs="System Font Regular"/>
          <w:szCs w:val="20"/>
          <w:lang w:val="es-ES_tradnl"/>
        </w:rPr>
        <w:t xml:space="preserve">, existen pronunciamientos de los Relatores Especiales sobre la </w:t>
      </w:r>
      <w:r w:rsidR="00734B35" w:rsidRPr="00EA236D">
        <w:rPr>
          <w:rFonts w:cs="System Font Regular"/>
          <w:szCs w:val="20"/>
          <w:lang w:val="es-ES_tradnl"/>
        </w:rPr>
        <w:t>P</w:t>
      </w:r>
      <w:r w:rsidR="00751800" w:rsidRPr="00EA236D">
        <w:rPr>
          <w:rFonts w:cs="System Font Regular"/>
          <w:szCs w:val="20"/>
          <w:lang w:val="es-ES_tradnl"/>
        </w:rPr>
        <w:t xml:space="preserve">obreza </w:t>
      </w:r>
      <w:r w:rsidR="00734B35" w:rsidRPr="00EA236D">
        <w:rPr>
          <w:rFonts w:cs="System Font Regular"/>
          <w:szCs w:val="20"/>
          <w:lang w:val="es-ES_tradnl"/>
        </w:rPr>
        <w:t>E</w:t>
      </w:r>
      <w:r w:rsidR="00751800" w:rsidRPr="00EA236D">
        <w:rPr>
          <w:rFonts w:cs="System Font Regular"/>
          <w:szCs w:val="20"/>
          <w:lang w:val="es-ES_tradnl"/>
        </w:rPr>
        <w:t xml:space="preserve">xtrema que permiten determinar aquellas personas que podrían encontrarse afectadas por esta situación en particular. En este sentido, por ejemplo, </w:t>
      </w:r>
      <w:r w:rsidR="00941762" w:rsidRPr="00EA236D">
        <w:rPr>
          <w:lang w:val="es-ES_tradnl"/>
        </w:rPr>
        <w:t>los PREPDH</w:t>
      </w:r>
      <w:r w:rsidR="00751800" w:rsidRPr="00EA236D">
        <w:rPr>
          <w:rFonts w:cs="System Font Regular"/>
          <w:i/>
          <w:szCs w:val="20"/>
          <w:lang w:val="es-ES_tradnl"/>
        </w:rPr>
        <w:t xml:space="preserve"> </w:t>
      </w:r>
      <w:r w:rsidR="00751800" w:rsidRPr="00EA236D">
        <w:rPr>
          <w:rFonts w:cs="System Font Regular"/>
          <w:szCs w:val="20"/>
          <w:lang w:val="es-ES_tradnl"/>
        </w:rPr>
        <w:t>han señalado que la pobreza extrema es una situación creada, propiciada y perpetuada por acciones y omisiones de los Estados y otros agentes. Al dejar de lado a las personas que vivían en la pobreza extrema, las políticas públicas del pasado han transmitido la pobreza de generación en generación. Las desigualdades estructurales y sistémicas, de orden social, político, económico</w:t>
      </w:r>
      <w:r w:rsidR="00E36F15" w:rsidRPr="00EA236D">
        <w:rPr>
          <w:rFonts w:cs="System Font Regular"/>
          <w:szCs w:val="20"/>
          <w:lang w:val="es-ES_tradnl"/>
        </w:rPr>
        <w:t xml:space="preserve"> y cultural, que </w:t>
      </w:r>
      <w:r w:rsidR="00751800" w:rsidRPr="00EA236D">
        <w:rPr>
          <w:rFonts w:cs="System Font Regular"/>
          <w:szCs w:val="20"/>
          <w:lang w:val="es-ES_tradnl"/>
        </w:rPr>
        <w:t xml:space="preserve">a menudo </w:t>
      </w:r>
      <w:r w:rsidR="00E36F15" w:rsidRPr="00EA236D">
        <w:rPr>
          <w:rFonts w:cs="System Font Regular"/>
          <w:szCs w:val="20"/>
          <w:lang w:val="es-ES_tradnl"/>
        </w:rPr>
        <w:t>no se abordan, profundiza más la pobreza</w:t>
      </w:r>
      <w:r w:rsidR="00E36F15" w:rsidRPr="00EA236D">
        <w:rPr>
          <w:rStyle w:val="FootnoteReference"/>
          <w:lang w:val="es-ES_tradnl"/>
        </w:rPr>
        <w:footnoteReference w:id="94"/>
      </w:r>
      <w:r w:rsidR="0044309D" w:rsidRPr="00EA236D">
        <w:rPr>
          <w:rFonts w:cs="System Font Regular"/>
          <w:szCs w:val="20"/>
          <w:lang w:val="es-ES_tradnl"/>
        </w:rPr>
        <w:t xml:space="preserve">. </w:t>
      </w:r>
    </w:p>
    <w:p w14:paraId="106401CE" w14:textId="77777777" w:rsidR="0044309D" w:rsidRPr="00EA236D" w:rsidRDefault="0044309D" w:rsidP="0044309D">
      <w:pPr>
        <w:pStyle w:val="ListParagraph"/>
        <w:widowControl w:val="0"/>
        <w:autoSpaceDE w:val="0"/>
        <w:autoSpaceDN w:val="0"/>
        <w:adjustRightInd w:val="0"/>
        <w:spacing w:after="240"/>
        <w:ind w:left="0"/>
        <w:rPr>
          <w:rFonts w:cs="Times"/>
          <w:szCs w:val="20"/>
          <w:lang w:val="es-ES_tradnl"/>
        </w:rPr>
      </w:pPr>
    </w:p>
    <w:p w14:paraId="4439C967" w14:textId="25FB716F" w:rsidR="00F6203A" w:rsidRPr="00EA236D" w:rsidRDefault="00E36F15" w:rsidP="00F6203A">
      <w:pPr>
        <w:pStyle w:val="ListParagraph"/>
        <w:widowControl w:val="0"/>
        <w:numPr>
          <w:ilvl w:val="0"/>
          <w:numId w:val="1"/>
        </w:numPr>
        <w:autoSpaceDE w:val="0"/>
        <w:autoSpaceDN w:val="0"/>
        <w:adjustRightInd w:val="0"/>
        <w:spacing w:after="240"/>
        <w:rPr>
          <w:rFonts w:cs="Times"/>
          <w:szCs w:val="20"/>
          <w:lang w:val="es-ES_tradnl"/>
        </w:rPr>
      </w:pPr>
      <w:r w:rsidRPr="00EA236D">
        <w:rPr>
          <w:rFonts w:cs="System Font Regular"/>
          <w:szCs w:val="20"/>
          <w:lang w:val="es-ES_tradnl"/>
        </w:rPr>
        <w:t xml:space="preserve">Además, </w:t>
      </w:r>
      <w:r w:rsidR="00E268B8" w:rsidRPr="00EA236D">
        <w:rPr>
          <w:rFonts w:cs="Times"/>
          <w:szCs w:val="20"/>
          <w:lang w:val="es-ES_tradnl"/>
        </w:rPr>
        <w:t>e</w:t>
      </w:r>
      <w:r w:rsidRPr="00EA236D">
        <w:rPr>
          <w:rFonts w:cs="Times"/>
          <w:szCs w:val="20"/>
          <w:lang w:val="es-ES_tradnl"/>
        </w:rPr>
        <w:t>l derecho de las personas que viven en la pobreza a participar plenamente en la sociedad y en la adopción de decisiones tropieza con una gran cantidad de obstáculos que agravan la situación, obstáculos de tipo económico, social, estructural, jurídico y sistémico</w:t>
      </w:r>
      <w:r w:rsidRPr="00EA236D">
        <w:rPr>
          <w:rStyle w:val="FootnoteReference"/>
          <w:lang w:val="es-ES_tradnl"/>
        </w:rPr>
        <w:footnoteReference w:id="95"/>
      </w:r>
      <w:r w:rsidRPr="00EA236D">
        <w:rPr>
          <w:rFonts w:cs="Times"/>
          <w:szCs w:val="20"/>
          <w:lang w:val="es-ES_tradnl"/>
        </w:rPr>
        <w:t>. Por otro lado</w:t>
      </w:r>
      <w:r w:rsidR="0037171E" w:rsidRPr="00EA236D">
        <w:rPr>
          <w:rFonts w:cs="Times"/>
          <w:szCs w:val="20"/>
          <w:lang w:val="es-ES_tradnl"/>
        </w:rPr>
        <w:t>, a</w:t>
      </w:r>
      <w:r w:rsidR="00A06B5F" w:rsidRPr="00EA236D">
        <w:rPr>
          <w:rFonts w:cs="Times"/>
          <w:szCs w:val="20"/>
          <w:lang w:val="es-ES_tradnl"/>
        </w:rPr>
        <w:t>u</w:t>
      </w:r>
      <w:r w:rsidRPr="00EA236D">
        <w:rPr>
          <w:rFonts w:cs="Times"/>
          <w:szCs w:val="20"/>
          <w:lang w:val="es-ES_tradnl"/>
        </w:rPr>
        <w:t>n cuando existen mecanismos participativos, las personas que viven en la pobreza tienen serias dificultades para usarlos o ejercer su influencia a través de ellos</w:t>
      </w:r>
      <w:r w:rsidRPr="00EA236D">
        <w:rPr>
          <w:rFonts w:cs="Times"/>
          <w:position w:val="10"/>
          <w:szCs w:val="20"/>
          <w:lang w:val="es-ES_tradnl"/>
        </w:rPr>
        <w:t xml:space="preserve"> </w:t>
      </w:r>
      <w:r w:rsidRPr="00EA236D">
        <w:rPr>
          <w:rFonts w:cs="Times"/>
          <w:szCs w:val="20"/>
          <w:lang w:val="es-ES_tradnl"/>
        </w:rPr>
        <w:t>por falta de información, una educación escasa o analfabetismo</w:t>
      </w:r>
      <w:r w:rsidRPr="00EA236D">
        <w:rPr>
          <w:rStyle w:val="FootnoteReference"/>
          <w:lang w:val="es-ES_tradnl"/>
        </w:rPr>
        <w:footnoteReference w:id="96"/>
      </w:r>
      <w:r w:rsidRPr="00EA236D">
        <w:rPr>
          <w:rFonts w:cs="Times"/>
          <w:szCs w:val="20"/>
          <w:lang w:val="es-ES_tradnl"/>
        </w:rPr>
        <w:t xml:space="preserve">. </w:t>
      </w:r>
      <w:r w:rsidR="0044309D" w:rsidRPr="00EA236D">
        <w:rPr>
          <w:rFonts w:cs="Times"/>
          <w:szCs w:val="20"/>
          <w:lang w:val="es-ES_tradnl"/>
        </w:rPr>
        <w:t xml:space="preserve">Como respuesta a estas situaciones de discriminación estructural, en muchas jurisdicciones, los fallos afectan solo a las partes del litigio o a quienes interponen una demanda, incluso cuando las causas tienen repercusiones más amplias. Esto quiere decir que solo las personas que tengan capacidad o tenacidad para superar todas las barreras de acceso a la justicia podrán beneficiarse de fallos importantes. </w:t>
      </w:r>
    </w:p>
    <w:p w14:paraId="606A9F2F" w14:textId="77777777" w:rsidR="00F6203A" w:rsidRPr="00EA236D" w:rsidRDefault="00F6203A" w:rsidP="00F6203A">
      <w:pPr>
        <w:pStyle w:val="ListParagraph"/>
        <w:widowControl w:val="0"/>
        <w:autoSpaceDE w:val="0"/>
        <w:autoSpaceDN w:val="0"/>
        <w:adjustRightInd w:val="0"/>
        <w:spacing w:after="240"/>
        <w:ind w:left="0"/>
        <w:rPr>
          <w:rFonts w:cs="Times"/>
          <w:szCs w:val="20"/>
          <w:lang w:val="es-ES_tradnl"/>
        </w:rPr>
      </w:pPr>
    </w:p>
    <w:p w14:paraId="47BC0D8C" w14:textId="1788B343" w:rsidR="00E268B8" w:rsidRPr="00EA236D" w:rsidRDefault="0044309D" w:rsidP="00E268B8">
      <w:pPr>
        <w:pStyle w:val="ListParagraph"/>
        <w:widowControl w:val="0"/>
        <w:numPr>
          <w:ilvl w:val="0"/>
          <w:numId w:val="1"/>
        </w:numPr>
        <w:autoSpaceDE w:val="0"/>
        <w:autoSpaceDN w:val="0"/>
        <w:adjustRightInd w:val="0"/>
        <w:spacing w:after="240"/>
        <w:rPr>
          <w:rFonts w:cs="Times"/>
          <w:szCs w:val="20"/>
          <w:lang w:val="es-ES_tradnl"/>
        </w:rPr>
      </w:pPr>
      <w:r w:rsidRPr="00EA236D">
        <w:rPr>
          <w:rFonts w:cs="Times"/>
          <w:szCs w:val="20"/>
          <w:lang w:val="es-ES_tradnl"/>
        </w:rPr>
        <w:t>No obstante, quienes viven en la pobreza suelen sufrir las consecuencias de prácticas extendidas o de medidas gubernamentales de amplio alcance que generan situaciones en las que están en juego los derechos de muchas personas</w:t>
      </w:r>
      <w:r w:rsidR="00A06B5F" w:rsidRPr="00EA236D">
        <w:rPr>
          <w:rFonts w:cs="Times"/>
          <w:szCs w:val="20"/>
          <w:lang w:val="es-ES_tradnl"/>
        </w:rPr>
        <w:t>;</w:t>
      </w:r>
      <w:r w:rsidRPr="00EA236D">
        <w:rPr>
          <w:rFonts w:cs="Times"/>
          <w:szCs w:val="20"/>
          <w:lang w:val="es-ES_tradnl"/>
        </w:rPr>
        <w:t xml:space="preserve"> por ello, en los sistemas jurídicos en que los tribunales pueden ejercer un control jurisdiccional o emitir fallos </w:t>
      </w:r>
      <w:r w:rsidRPr="00EA236D">
        <w:rPr>
          <w:rFonts w:cs="Times"/>
          <w:i/>
          <w:szCs w:val="20"/>
          <w:lang w:val="es-ES_tradnl"/>
        </w:rPr>
        <w:t>erga omnes</w:t>
      </w:r>
      <w:r w:rsidRPr="00EA236D">
        <w:rPr>
          <w:rFonts w:cs="Times"/>
          <w:szCs w:val="20"/>
          <w:lang w:val="es-ES_tradnl"/>
        </w:rPr>
        <w:t>, con capacidad para declarar inconstitucionales ciertas leyes o situaciones, esto puede tener un efecto positivo a la hora de garantizar la justicia a las personas que viven en la pobreza</w:t>
      </w:r>
      <w:r w:rsidRPr="00EA236D">
        <w:rPr>
          <w:rStyle w:val="FootnoteReference"/>
          <w:lang w:val="es-ES_tradnl"/>
        </w:rPr>
        <w:footnoteReference w:id="97"/>
      </w:r>
      <w:r w:rsidRPr="00EA236D">
        <w:rPr>
          <w:rFonts w:cs="Times"/>
          <w:szCs w:val="20"/>
          <w:lang w:val="es-ES_tradnl"/>
        </w:rPr>
        <w:t xml:space="preserve">. </w:t>
      </w:r>
    </w:p>
    <w:p w14:paraId="0F3F4123" w14:textId="3AD0B626" w:rsidR="00E268B8" w:rsidRPr="00EA236D" w:rsidRDefault="00E268B8" w:rsidP="00E268B8">
      <w:pPr>
        <w:pStyle w:val="ListParagraph"/>
        <w:widowControl w:val="0"/>
        <w:autoSpaceDE w:val="0"/>
        <w:autoSpaceDN w:val="0"/>
        <w:adjustRightInd w:val="0"/>
        <w:spacing w:after="240"/>
        <w:ind w:left="0"/>
        <w:rPr>
          <w:rFonts w:cs="Times"/>
          <w:szCs w:val="20"/>
          <w:lang w:val="es-ES_tradnl"/>
        </w:rPr>
      </w:pPr>
    </w:p>
    <w:p w14:paraId="6226E462" w14:textId="3BCB57BF" w:rsidR="00E268B8" w:rsidRPr="00EA236D" w:rsidRDefault="00E268B8" w:rsidP="00E268B8">
      <w:pPr>
        <w:pStyle w:val="ListParagraph"/>
        <w:widowControl w:val="0"/>
        <w:numPr>
          <w:ilvl w:val="0"/>
          <w:numId w:val="1"/>
        </w:numPr>
        <w:autoSpaceDE w:val="0"/>
        <w:autoSpaceDN w:val="0"/>
        <w:adjustRightInd w:val="0"/>
        <w:spacing w:after="240"/>
        <w:rPr>
          <w:rFonts w:cs="Times"/>
          <w:szCs w:val="20"/>
          <w:lang w:val="es-ES_tradnl"/>
        </w:rPr>
      </w:pPr>
      <w:r w:rsidRPr="00EA236D">
        <w:rPr>
          <w:rFonts w:cs="Times"/>
          <w:szCs w:val="20"/>
          <w:lang w:val="es-ES_tradnl"/>
        </w:rPr>
        <w:t>Así, las personas que sufren pobreza estructural son personas que</w:t>
      </w:r>
      <w:r w:rsidR="00574CA6">
        <w:rPr>
          <w:rFonts w:cs="Times"/>
          <w:szCs w:val="20"/>
          <w:lang w:val="es-ES_tradnl"/>
        </w:rPr>
        <w:t>,</w:t>
      </w:r>
      <w:r w:rsidRPr="00EA236D">
        <w:rPr>
          <w:rFonts w:cs="Times"/>
          <w:szCs w:val="20"/>
          <w:lang w:val="es-ES_tradnl"/>
        </w:rPr>
        <w:t xml:space="preserve"> </w:t>
      </w:r>
      <w:r w:rsidR="00A06B5F" w:rsidRPr="00EA236D">
        <w:rPr>
          <w:rFonts w:cs="Times"/>
          <w:szCs w:val="20"/>
          <w:lang w:val="es-ES_tradnl"/>
        </w:rPr>
        <w:t>en general</w:t>
      </w:r>
      <w:r w:rsidR="00574CA6">
        <w:rPr>
          <w:rFonts w:cs="Times"/>
          <w:szCs w:val="20"/>
          <w:lang w:val="es-ES_tradnl"/>
        </w:rPr>
        <w:t>,</w:t>
      </w:r>
      <w:r w:rsidR="00A06B5F" w:rsidRPr="00EA236D">
        <w:rPr>
          <w:rFonts w:cs="Times"/>
          <w:szCs w:val="20"/>
          <w:lang w:val="es-ES_tradnl"/>
        </w:rPr>
        <w:t xml:space="preserve"> </w:t>
      </w:r>
      <w:r w:rsidRPr="00EA236D">
        <w:rPr>
          <w:rFonts w:cs="Times"/>
          <w:szCs w:val="20"/>
          <w:lang w:val="es-ES_tradnl"/>
        </w:rPr>
        <w:lastRenderedPageBreak/>
        <w:t>transmiten esta situación generacionalmente y de manera histórica, que sus posibilidades de participación política se ven disminuidas y también la negación a servicios básicos</w:t>
      </w:r>
      <w:r w:rsidR="00FB1738" w:rsidRPr="00EA236D">
        <w:rPr>
          <w:rFonts w:cs="Times"/>
          <w:szCs w:val="20"/>
          <w:lang w:val="es-ES_tradnl"/>
        </w:rPr>
        <w:t>;</w:t>
      </w:r>
      <w:r w:rsidR="00A06B5F" w:rsidRPr="00EA236D">
        <w:rPr>
          <w:rFonts w:cs="Times"/>
          <w:szCs w:val="20"/>
          <w:lang w:val="es-ES_tradnl"/>
        </w:rPr>
        <w:t xml:space="preserve"> </w:t>
      </w:r>
      <w:r w:rsidRPr="00EA236D">
        <w:rPr>
          <w:rFonts w:cs="Times"/>
          <w:szCs w:val="20"/>
          <w:lang w:val="es-ES_tradnl"/>
        </w:rPr>
        <w:t xml:space="preserve">ante las cuales el acceso a la justicia dependerá de que tengan las capacidades para superar la propia condición </w:t>
      </w:r>
      <w:r w:rsidR="0079637A" w:rsidRPr="00EA236D">
        <w:rPr>
          <w:rFonts w:cs="Times"/>
          <w:szCs w:val="20"/>
          <w:lang w:val="es-ES_tradnl"/>
        </w:rPr>
        <w:t xml:space="preserve">de pobreza con independencia de que coincidentemente, o no, pertenezcan a grupos históricamente marginados o excluidos. </w:t>
      </w:r>
    </w:p>
    <w:p w14:paraId="06B6D14F" w14:textId="77777777" w:rsidR="00F6203A" w:rsidRPr="00EA236D" w:rsidRDefault="00F6203A" w:rsidP="00332532">
      <w:pPr>
        <w:pStyle w:val="ListParagraph"/>
        <w:spacing w:line="360" w:lineRule="auto"/>
        <w:ind w:left="0"/>
        <w:contextualSpacing w:val="0"/>
        <w:rPr>
          <w:rFonts w:cs="System Font Regular"/>
          <w:i/>
          <w:sz w:val="16"/>
          <w:szCs w:val="16"/>
          <w:lang w:val="es-ES_tradnl"/>
        </w:rPr>
      </w:pPr>
    </w:p>
    <w:p w14:paraId="59553570" w14:textId="77777777" w:rsidR="00526267" w:rsidRPr="00EA236D" w:rsidRDefault="00DF2214" w:rsidP="00E11A65">
      <w:pPr>
        <w:pStyle w:val="ListParagraph"/>
        <w:spacing w:line="360" w:lineRule="auto"/>
        <w:ind w:left="0"/>
        <w:contextualSpacing w:val="0"/>
        <w:jc w:val="center"/>
        <w:rPr>
          <w:rFonts w:cs="System Font Regular"/>
          <w:caps/>
          <w:szCs w:val="20"/>
          <w:lang w:val="es-ES_tradnl"/>
        </w:rPr>
      </w:pPr>
      <w:r w:rsidRPr="00EA236D">
        <w:rPr>
          <w:rFonts w:cs="System Font Regular"/>
          <w:caps/>
          <w:szCs w:val="20"/>
          <w:lang w:val="es-ES_tradnl"/>
        </w:rPr>
        <w:t>V.</w:t>
      </w:r>
      <w:r w:rsidR="00BD2B08" w:rsidRPr="00EA236D">
        <w:rPr>
          <w:rFonts w:cs="System Font Regular"/>
          <w:caps/>
          <w:szCs w:val="20"/>
          <w:lang w:val="es-ES_tradnl"/>
        </w:rPr>
        <w:t xml:space="preserve"> Discriminación estructural, indirecta y de hecho </w:t>
      </w:r>
    </w:p>
    <w:p w14:paraId="45033316" w14:textId="34EFFBA8" w:rsidR="00BD2B08" w:rsidRPr="00EA236D" w:rsidRDefault="00BD2B08" w:rsidP="00E11A65">
      <w:pPr>
        <w:pStyle w:val="ListParagraph"/>
        <w:spacing w:line="360" w:lineRule="auto"/>
        <w:ind w:left="0"/>
        <w:contextualSpacing w:val="0"/>
        <w:jc w:val="center"/>
        <w:rPr>
          <w:rFonts w:cs="System Font Regular"/>
          <w:caps/>
          <w:szCs w:val="20"/>
          <w:lang w:val="es-ES_tradnl"/>
        </w:rPr>
      </w:pPr>
      <w:r w:rsidRPr="00EA236D">
        <w:rPr>
          <w:rFonts w:cs="System Font Regular"/>
          <w:caps/>
          <w:szCs w:val="20"/>
          <w:lang w:val="es-ES_tradnl"/>
        </w:rPr>
        <w:t>en la jurisprude</w:t>
      </w:r>
      <w:r w:rsidR="00DF2214" w:rsidRPr="00EA236D">
        <w:rPr>
          <w:rFonts w:cs="System Font Regular"/>
          <w:caps/>
          <w:szCs w:val="20"/>
          <w:lang w:val="es-ES_tradnl"/>
        </w:rPr>
        <w:t>ncia de la Corte Interamericana</w:t>
      </w:r>
    </w:p>
    <w:p w14:paraId="26CB9AC6" w14:textId="77777777" w:rsidR="00BD2B08" w:rsidRPr="00EA236D" w:rsidRDefault="00BD2B08" w:rsidP="00BD2B08">
      <w:pPr>
        <w:pStyle w:val="ListParagraph"/>
        <w:ind w:left="0"/>
        <w:contextualSpacing w:val="0"/>
        <w:rPr>
          <w:rFonts w:cs="System Font Regular"/>
          <w:szCs w:val="20"/>
          <w:lang w:val="es-ES_tradnl"/>
        </w:rPr>
      </w:pPr>
    </w:p>
    <w:p w14:paraId="6BFD7837" w14:textId="0B8A80A4" w:rsidR="00BD2B08" w:rsidRPr="00EA236D" w:rsidRDefault="00BD2B08" w:rsidP="00BD2B08">
      <w:pPr>
        <w:pStyle w:val="ListParagraph"/>
        <w:numPr>
          <w:ilvl w:val="0"/>
          <w:numId w:val="1"/>
        </w:numPr>
        <w:contextualSpacing w:val="0"/>
        <w:rPr>
          <w:rFonts w:cs="System Font Regular"/>
          <w:szCs w:val="20"/>
          <w:lang w:val="es-ES_tradnl"/>
        </w:rPr>
      </w:pPr>
      <w:r w:rsidRPr="00EA236D">
        <w:rPr>
          <w:rFonts w:cs="System Font Regular"/>
          <w:szCs w:val="20"/>
          <w:lang w:val="es-ES_tradnl"/>
        </w:rPr>
        <w:t>La jurisprudencia constante de la Corte I</w:t>
      </w:r>
      <w:r w:rsidR="00A06B5F" w:rsidRPr="00EA236D">
        <w:rPr>
          <w:rFonts w:cs="System Font Regular"/>
          <w:szCs w:val="20"/>
          <w:lang w:val="es-ES_tradnl"/>
        </w:rPr>
        <w:t>DH</w:t>
      </w:r>
      <w:r w:rsidRPr="00EA236D">
        <w:rPr>
          <w:rFonts w:cs="System Font Regular"/>
          <w:szCs w:val="20"/>
          <w:lang w:val="es-ES_tradnl"/>
        </w:rPr>
        <w:t xml:space="preserve"> ha versado en su gran mayoría y visibilizado la discriminación directa que sufren ciertos grupos de personas dentro de las sociedades. Sin embargo, lo anterior no ha excluido que el Tribunal Interamericano se pronuncie, de manera aislada, en</w:t>
      </w:r>
      <w:r w:rsidR="00734B35" w:rsidRPr="00EA236D">
        <w:rPr>
          <w:rFonts w:cs="System Font Regular"/>
          <w:szCs w:val="20"/>
          <w:lang w:val="es-ES_tradnl"/>
        </w:rPr>
        <w:t xml:space="preserve"> el</w:t>
      </w:r>
      <w:r w:rsidRPr="00EA236D">
        <w:rPr>
          <w:rFonts w:cs="System Font Regular"/>
          <w:szCs w:val="20"/>
          <w:lang w:val="es-ES_tradnl"/>
        </w:rPr>
        <w:t xml:space="preserve"> sentido de establecer que en ciertos contextos se tome en consideración la discriminación estructural, la discriminación de hecho o la discriminación indirecta. </w:t>
      </w:r>
    </w:p>
    <w:p w14:paraId="75F9D176" w14:textId="77777777" w:rsidR="00BD2B08" w:rsidRPr="00EA236D" w:rsidRDefault="00BD2B08" w:rsidP="00BD2B08">
      <w:pPr>
        <w:pStyle w:val="ListParagraph"/>
        <w:ind w:left="0"/>
        <w:contextualSpacing w:val="0"/>
        <w:rPr>
          <w:rFonts w:cs="System Font Regular"/>
          <w:szCs w:val="20"/>
          <w:lang w:val="es-ES_tradnl"/>
        </w:rPr>
      </w:pPr>
    </w:p>
    <w:p w14:paraId="0BE582E6" w14:textId="56F8DA33" w:rsidR="00BD2B08" w:rsidRPr="00EA236D" w:rsidRDefault="00BD2B08" w:rsidP="00BD2B08">
      <w:pPr>
        <w:pStyle w:val="ListParagraph"/>
        <w:numPr>
          <w:ilvl w:val="0"/>
          <w:numId w:val="1"/>
        </w:numPr>
        <w:contextualSpacing w:val="0"/>
        <w:rPr>
          <w:rFonts w:cs="System Font Regular"/>
          <w:szCs w:val="20"/>
          <w:lang w:val="es-ES_tradnl"/>
        </w:rPr>
      </w:pPr>
      <w:r w:rsidRPr="00EA236D">
        <w:rPr>
          <w:rFonts w:cs="System Font Regular"/>
          <w:szCs w:val="20"/>
          <w:lang w:val="es-ES_tradnl"/>
        </w:rPr>
        <w:t xml:space="preserve">En este sentido, en el caso </w:t>
      </w:r>
      <w:r w:rsidRPr="00EA236D">
        <w:rPr>
          <w:rFonts w:cs="System Font Regular"/>
          <w:i/>
          <w:szCs w:val="20"/>
          <w:lang w:val="es-ES_tradnl"/>
        </w:rPr>
        <w:t xml:space="preserve">Gonzáles y otras (“Campo Algodonero”) Vs. México </w:t>
      </w:r>
      <w:r w:rsidR="00FB1738" w:rsidRPr="00EA236D">
        <w:rPr>
          <w:rFonts w:cs="System Font Regular"/>
          <w:szCs w:val="20"/>
          <w:lang w:val="es-ES_tradnl"/>
        </w:rPr>
        <w:t>de</w:t>
      </w:r>
      <w:r w:rsidRPr="00EA236D">
        <w:rPr>
          <w:rFonts w:cs="System Font Regular"/>
          <w:szCs w:val="20"/>
          <w:lang w:val="es-ES_tradnl"/>
        </w:rPr>
        <w:t xml:space="preserve"> 2009, en el apartado de reparaciones de la Sentencia refiriéndose a la discriminación estructural, el Tribunal expresó que: </w:t>
      </w:r>
    </w:p>
    <w:p w14:paraId="7EDB5BBC" w14:textId="77777777" w:rsidR="00BD2B08" w:rsidRPr="00EA236D" w:rsidRDefault="00BD2B08" w:rsidP="00BD2B08">
      <w:pPr>
        <w:pStyle w:val="ListParagraph"/>
        <w:spacing w:before="100" w:beforeAutospacing="1" w:after="100" w:afterAutospacing="1"/>
        <w:ind w:left="0"/>
        <w:rPr>
          <w:rFonts w:eastAsiaTheme="minorEastAsia" w:cs="System Font Regular"/>
          <w:sz w:val="24"/>
          <w:szCs w:val="20"/>
          <w:lang w:val="es-ES_tradnl" w:eastAsia="es-ES"/>
        </w:rPr>
      </w:pPr>
    </w:p>
    <w:p w14:paraId="405B459D" w14:textId="23D7AFC5" w:rsidR="00BD2B08" w:rsidRPr="00EA236D" w:rsidRDefault="00BD2B08" w:rsidP="00BD2B08">
      <w:pPr>
        <w:pStyle w:val="ListParagraph"/>
        <w:spacing w:before="100" w:beforeAutospacing="1" w:after="100" w:afterAutospacing="1"/>
        <w:ind w:left="708"/>
        <w:rPr>
          <w:rFonts w:cs="Times New Roman"/>
          <w:i/>
          <w:sz w:val="16"/>
          <w:szCs w:val="16"/>
          <w:lang w:val="es-ES_tradnl"/>
        </w:rPr>
      </w:pPr>
      <w:r w:rsidRPr="00EA236D">
        <w:rPr>
          <w:rFonts w:cs="Times New Roman"/>
          <w:i/>
          <w:sz w:val="16"/>
          <w:szCs w:val="16"/>
          <w:lang w:val="es-ES_tradnl"/>
        </w:rPr>
        <w:t xml:space="preserve">450 […]. Sin embargo, teniendo en cuenta </w:t>
      </w:r>
      <w:r w:rsidRPr="00EA236D">
        <w:rPr>
          <w:rFonts w:cs="Times New Roman"/>
          <w:i/>
          <w:sz w:val="16"/>
          <w:szCs w:val="16"/>
          <w:u w:val="single"/>
          <w:lang w:val="es-ES_tradnl"/>
        </w:rPr>
        <w:t>la situación de discriminación estructural</w:t>
      </w:r>
      <w:r w:rsidRPr="00EA236D">
        <w:rPr>
          <w:rFonts w:cs="Times New Roman"/>
          <w:i/>
          <w:sz w:val="16"/>
          <w:szCs w:val="16"/>
          <w:lang w:val="es-ES_tradnl"/>
        </w:rPr>
        <w:t xml:space="preserve"> en la que se enmarcan los hechos ocurridos en el presente caso y que fue reconocida por el Estado […], las </w:t>
      </w:r>
      <w:r w:rsidRPr="00EA236D">
        <w:rPr>
          <w:rFonts w:cs="Times New Roman"/>
          <w:i/>
          <w:sz w:val="16"/>
          <w:szCs w:val="16"/>
          <w:u w:val="single"/>
          <w:lang w:val="es-ES_tradnl"/>
        </w:rPr>
        <w:t>reparaciones deben tener una vocación transformadora de dicha situación</w:t>
      </w:r>
      <w:r w:rsidRPr="00EA236D">
        <w:rPr>
          <w:rFonts w:cs="Times New Roman"/>
          <w:i/>
          <w:sz w:val="16"/>
          <w:szCs w:val="16"/>
          <w:lang w:val="es-ES_tradnl"/>
        </w:rPr>
        <w:t xml:space="preserve">, de tal forma que las mismas tengan un efecto no solo sustitutivo sino también correctivo. </w:t>
      </w:r>
      <w:r w:rsidRPr="00EA236D">
        <w:rPr>
          <w:rFonts w:cs="Times New Roman"/>
          <w:i/>
          <w:sz w:val="16"/>
          <w:szCs w:val="16"/>
          <w:u w:val="single"/>
          <w:lang w:val="es-ES_tradnl"/>
        </w:rPr>
        <w:t>En este sentido, no es admisible una restitución a la misma situación estructural de violencia y discriminación</w:t>
      </w:r>
      <w:r w:rsidRPr="00EA236D">
        <w:rPr>
          <w:rFonts w:cs="Times New Roman"/>
          <w:i/>
          <w:sz w:val="16"/>
          <w:szCs w:val="16"/>
          <w:lang w:val="es-ES_tradnl"/>
        </w:rPr>
        <w:t xml:space="preserve"> […] </w:t>
      </w:r>
      <w:r w:rsidRPr="00EA236D">
        <w:rPr>
          <w:rStyle w:val="FootnoteReference"/>
          <w:i/>
          <w:sz w:val="16"/>
          <w:lang w:val="es-ES_tradnl"/>
        </w:rPr>
        <w:footnoteReference w:id="98"/>
      </w:r>
      <w:r w:rsidRPr="00EA236D">
        <w:rPr>
          <w:rFonts w:cs="Times New Roman"/>
          <w:i/>
          <w:sz w:val="16"/>
          <w:szCs w:val="16"/>
          <w:lang w:val="es-ES_tradnl"/>
        </w:rPr>
        <w:t xml:space="preserve">. </w:t>
      </w:r>
      <w:r w:rsidRPr="000C2F0F">
        <w:rPr>
          <w:rFonts w:cs="Times New Roman"/>
          <w:sz w:val="16"/>
          <w:szCs w:val="16"/>
          <w:lang w:val="es-ES_tradnl"/>
        </w:rPr>
        <w:t>(Énfasis añadido)</w:t>
      </w:r>
      <w:r w:rsidR="00FB1738" w:rsidRPr="000C2F0F">
        <w:rPr>
          <w:rFonts w:cs="Times New Roman"/>
          <w:sz w:val="16"/>
          <w:szCs w:val="16"/>
          <w:lang w:val="es-ES_tradnl"/>
        </w:rPr>
        <w:t>.</w:t>
      </w:r>
    </w:p>
    <w:p w14:paraId="088A7DDE" w14:textId="77777777" w:rsidR="00BD2B08" w:rsidRPr="00EA236D" w:rsidRDefault="00BD2B08" w:rsidP="00BD2B08">
      <w:pPr>
        <w:pStyle w:val="ListParagraph"/>
        <w:spacing w:before="100" w:beforeAutospacing="1" w:after="100" w:afterAutospacing="1"/>
        <w:ind w:left="708"/>
        <w:rPr>
          <w:rFonts w:cs="Times New Roman"/>
          <w:i/>
          <w:sz w:val="16"/>
          <w:szCs w:val="16"/>
          <w:lang w:val="es-ES_tradnl"/>
        </w:rPr>
      </w:pPr>
    </w:p>
    <w:p w14:paraId="440B5B5B" w14:textId="31521D8E" w:rsidR="00BD2B08" w:rsidRPr="00EA236D" w:rsidRDefault="00BD2B08" w:rsidP="00BD2B08">
      <w:pPr>
        <w:pStyle w:val="ListParagraph"/>
        <w:numPr>
          <w:ilvl w:val="0"/>
          <w:numId w:val="1"/>
        </w:numPr>
        <w:spacing w:before="100" w:beforeAutospacing="1" w:after="100" w:afterAutospacing="1"/>
        <w:rPr>
          <w:rFonts w:cs="Times New Roman"/>
          <w:i/>
          <w:sz w:val="16"/>
          <w:szCs w:val="16"/>
          <w:lang w:val="es-ES_tradnl"/>
        </w:rPr>
      </w:pPr>
      <w:r w:rsidRPr="00EA236D">
        <w:rPr>
          <w:rFonts w:cs="Times New Roman"/>
          <w:szCs w:val="20"/>
          <w:lang w:val="es-ES_tradnl"/>
        </w:rPr>
        <w:t xml:space="preserve">En el caso de la </w:t>
      </w:r>
      <w:r w:rsidRPr="00EA236D">
        <w:rPr>
          <w:rFonts w:cs="Times New Roman"/>
          <w:i/>
          <w:szCs w:val="20"/>
          <w:lang w:val="es-ES_tradnl"/>
        </w:rPr>
        <w:t xml:space="preserve">Comunidad Indígena </w:t>
      </w:r>
      <w:proofErr w:type="spellStart"/>
      <w:r w:rsidRPr="00EA236D">
        <w:rPr>
          <w:rFonts w:cs="Times New Roman"/>
          <w:i/>
          <w:szCs w:val="20"/>
          <w:lang w:val="es-ES_tradnl"/>
        </w:rPr>
        <w:t>Xákmok</w:t>
      </w:r>
      <w:proofErr w:type="spellEnd"/>
      <w:r w:rsidRPr="00EA236D">
        <w:rPr>
          <w:rFonts w:cs="Times New Roman"/>
          <w:i/>
          <w:szCs w:val="20"/>
          <w:lang w:val="es-ES_tradnl"/>
        </w:rPr>
        <w:t xml:space="preserve"> </w:t>
      </w:r>
      <w:proofErr w:type="spellStart"/>
      <w:r w:rsidRPr="00EA236D">
        <w:rPr>
          <w:rFonts w:cs="Times New Roman"/>
          <w:i/>
          <w:szCs w:val="20"/>
          <w:lang w:val="es-ES_tradnl"/>
        </w:rPr>
        <w:t>Kásek</w:t>
      </w:r>
      <w:proofErr w:type="spellEnd"/>
      <w:r w:rsidRPr="00EA236D">
        <w:rPr>
          <w:rFonts w:cs="Times New Roman"/>
          <w:i/>
          <w:szCs w:val="20"/>
          <w:lang w:val="es-ES_tradnl"/>
        </w:rPr>
        <w:t xml:space="preserve"> Vs. Paraguay</w:t>
      </w:r>
      <w:r w:rsidR="00FB1738" w:rsidRPr="00EA236D">
        <w:rPr>
          <w:rFonts w:cs="Times New Roman"/>
          <w:szCs w:val="20"/>
          <w:lang w:val="es-ES_tradnl"/>
        </w:rPr>
        <w:t>, de</w:t>
      </w:r>
      <w:r w:rsidRPr="00EA236D">
        <w:rPr>
          <w:rFonts w:cs="Times New Roman"/>
          <w:szCs w:val="20"/>
          <w:lang w:val="es-ES_tradnl"/>
        </w:rPr>
        <w:t xml:space="preserve"> 2010, refiriéndose a la discriminación </w:t>
      </w:r>
      <w:r w:rsidRPr="000C2F0F">
        <w:rPr>
          <w:rFonts w:cs="Times New Roman"/>
          <w:i/>
          <w:szCs w:val="20"/>
          <w:lang w:val="es-ES_tradnl"/>
        </w:rPr>
        <w:t>de</w:t>
      </w:r>
      <w:r w:rsidRPr="00EA236D">
        <w:rPr>
          <w:rFonts w:cs="Times New Roman"/>
          <w:szCs w:val="20"/>
          <w:lang w:val="es-ES_tradnl"/>
        </w:rPr>
        <w:t xml:space="preserve"> </w:t>
      </w:r>
      <w:r w:rsidRPr="00EA236D">
        <w:rPr>
          <w:rFonts w:cs="Times New Roman"/>
          <w:i/>
          <w:szCs w:val="20"/>
          <w:lang w:val="es-ES_tradnl"/>
        </w:rPr>
        <w:t xml:space="preserve">facto </w:t>
      </w:r>
      <w:r w:rsidRPr="00EA236D">
        <w:rPr>
          <w:rFonts w:cs="Times New Roman"/>
          <w:szCs w:val="20"/>
          <w:lang w:val="es-ES_tradnl"/>
        </w:rPr>
        <w:t xml:space="preserve">consideró que: </w:t>
      </w:r>
    </w:p>
    <w:p w14:paraId="02BC8442" w14:textId="77777777" w:rsidR="00BD2B08" w:rsidRPr="00EA236D" w:rsidRDefault="00BD2B08" w:rsidP="00BD2B08">
      <w:pPr>
        <w:pStyle w:val="ListParagraph"/>
        <w:spacing w:before="100" w:beforeAutospacing="1" w:after="100" w:afterAutospacing="1"/>
        <w:ind w:left="0"/>
        <w:rPr>
          <w:rFonts w:cs="Times New Roman"/>
          <w:i/>
          <w:sz w:val="16"/>
          <w:szCs w:val="16"/>
          <w:lang w:val="es-ES_tradnl"/>
        </w:rPr>
      </w:pPr>
    </w:p>
    <w:p w14:paraId="152A956C" w14:textId="2DE0B2F7" w:rsidR="00BD2B08" w:rsidRPr="00EA236D" w:rsidRDefault="00BD2B08" w:rsidP="00BD2B08">
      <w:pPr>
        <w:pStyle w:val="ListParagraph"/>
        <w:spacing w:before="100" w:beforeAutospacing="1" w:after="100" w:afterAutospacing="1"/>
        <w:ind w:left="708"/>
        <w:rPr>
          <w:rFonts w:cs="Times New Roman"/>
          <w:i/>
          <w:sz w:val="16"/>
          <w:szCs w:val="16"/>
          <w:lang w:val="es-ES_tradnl"/>
        </w:rPr>
      </w:pPr>
      <w:r w:rsidRPr="00EA236D">
        <w:rPr>
          <w:rFonts w:cs="Times New Roman"/>
          <w:i/>
          <w:sz w:val="16"/>
          <w:szCs w:val="16"/>
          <w:lang w:val="es-ES_tradnl"/>
        </w:rPr>
        <w:t xml:space="preserve">273. En el presente caso está establecido que la situación de extrema y especial vulnerabilidad de los miembros de la Comunidad se debe, </w:t>
      </w:r>
      <w:r w:rsidRPr="00EA236D">
        <w:rPr>
          <w:rFonts w:cs="Times New Roman"/>
          <w:i/>
          <w:iCs/>
          <w:sz w:val="16"/>
          <w:szCs w:val="16"/>
          <w:lang w:val="es-ES_tradnl"/>
        </w:rPr>
        <w:t>inter alia</w:t>
      </w:r>
      <w:r w:rsidRPr="00EA236D">
        <w:rPr>
          <w:rFonts w:cs="Times New Roman"/>
          <w:i/>
          <w:iCs/>
          <w:sz w:val="16"/>
          <w:szCs w:val="16"/>
          <w:u w:val="single"/>
          <w:lang w:val="es-ES_tradnl"/>
        </w:rPr>
        <w:t xml:space="preserve">, </w:t>
      </w:r>
      <w:r w:rsidRPr="00EA236D">
        <w:rPr>
          <w:rFonts w:cs="Times New Roman"/>
          <w:i/>
          <w:sz w:val="16"/>
          <w:szCs w:val="16"/>
          <w:u w:val="single"/>
          <w:lang w:val="es-ES_tradnl"/>
        </w:rPr>
        <w:t>a la falta de recursos adecuados y efectivos que en los hechos proteja los derechos de los indígenas y no sólo de manera formal</w:t>
      </w:r>
      <w:r w:rsidRPr="00EA236D">
        <w:rPr>
          <w:rFonts w:cs="Times New Roman"/>
          <w:i/>
          <w:sz w:val="16"/>
          <w:szCs w:val="16"/>
          <w:lang w:val="es-ES_tradnl"/>
        </w:rPr>
        <w:t xml:space="preserve">; </w:t>
      </w:r>
      <w:r w:rsidRPr="00EA236D">
        <w:rPr>
          <w:rFonts w:cs="Times New Roman"/>
          <w:i/>
          <w:sz w:val="16"/>
          <w:szCs w:val="16"/>
          <w:u w:val="single"/>
          <w:lang w:val="es-ES_tradnl"/>
        </w:rPr>
        <w:t>la débil presencia de instituciones estatales obligadas a prestar servicios y bienes a los miembros de la Comunidad, en especial, alimentación, agua, salud y educación</w:t>
      </w:r>
      <w:r w:rsidRPr="00EA236D">
        <w:rPr>
          <w:rFonts w:cs="Times New Roman"/>
          <w:i/>
          <w:sz w:val="16"/>
          <w:szCs w:val="16"/>
          <w:lang w:val="es-ES_tradnl"/>
        </w:rPr>
        <w:t xml:space="preserve"> […]. </w:t>
      </w:r>
    </w:p>
    <w:p w14:paraId="1DB3019E" w14:textId="77777777" w:rsidR="00BD2B08" w:rsidRPr="00EA236D" w:rsidRDefault="00BD2B08" w:rsidP="00BD2B08">
      <w:pPr>
        <w:pStyle w:val="ListParagraph"/>
        <w:spacing w:before="100" w:beforeAutospacing="1" w:after="100" w:afterAutospacing="1"/>
        <w:ind w:left="0"/>
        <w:rPr>
          <w:rFonts w:cs="Times New Roman"/>
          <w:sz w:val="16"/>
          <w:szCs w:val="16"/>
          <w:lang w:val="es-ES_tradnl"/>
        </w:rPr>
      </w:pPr>
    </w:p>
    <w:p w14:paraId="7751C969" w14:textId="02F2065E" w:rsidR="00BD2B08" w:rsidRPr="00EA236D" w:rsidRDefault="00BD2B08" w:rsidP="00BD2B08">
      <w:pPr>
        <w:pStyle w:val="ListParagraph"/>
        <w:ind w:left="708"/>
        <w:rPr>
          <w:rFonts w:cs="Times New Roman"/>
          <w:i/>
          <w:sz w:val="16"/>
          <w:szCs w:val="16"/>
          <w:lang w:val="es-ES_tradnl"/>
        </w:rPr>
      </w:pPr>
      <w:r w:rsidRPr="00EA236D">
        <w:rPr>
          <w:rFonts w:cs="Times New Roman"/>
          <w:i/>
          <w:sz w:val="16"/>
          <w:szCs w:val="16"/>
          <w:lang w:val="es-ES_tradnl"/>
        </w:rPr>
        <w:t xml:space="preserve">274. […] </w:t>
      </w:r>
      <w:r w:rsidRPr="00EA236D">
        <w:rPr>
          <w:rFonts w:cs="Times New Roman"/>
          <w:i/>
          <w:sz w:val="16"/>
          <w:szCs w:val="16"/>
          <w:u w:val="single"/>
          <w:lang w:val="es-ES_tradnl"/>
        </w:rPr>
        <w:t xml:space="preserve">evidencia una discriminación </w:t>
      </w:r>
      <w:r w:rsidRPr="00EA236D">
        <w:rPr>
          <w:rFonts w:cs="Times New Roman"/>
          <w:i/>
          <w:iCs/>
          <w:sz w:val="16"/>
          <w:szCs w:val="16"/>
          <w:u w:val="single"/>
          <w:lang w:val="es-ES_tradnl"/>
        </w:rPr>
        <w:t xml:space="preserve">de facto </w:t>
      </w:r>
      <w:r w:rsidRPr="00EA236D">
        <w:rPr>
          <w:rFonts w:cs="Times New Roman"/>
          <w:i/>
          <w:sz w:val="16"/>
          <w:szCs w:val="16"/>
          <w:u w:val="single"/>
          <w:lang w:val="es-ES_tradnl"/>
        </w:rPr>
        <w:t xml:space="preserve">en contra de los miembros de la Comunidad </w:t>
      </w:r>
      <w:proofErr w:type="spellStart"/>
      <w:r w:rsidRPr="00EA236D">
        <w:rPr>
          <w:rFonts w:cs="Times New Roman"/>
          <w:i/>
          <w:sz w:val="16"/>
          <w:szCs w:val="16"/>
          <w:u w:val="single"/>
          <w:lang w:val="es-ES_tradnl"/>
        </w:rPr>
        <w:t>Xákmok</w:t>
      </w:r>
      <w:proofErr w:type="spellEnd"/>
      <w:r w:rsidRPr="00EA236D">
        <w:rPr>
          <w:rFonts w:cs="Times New Roman"/>
          <w:i/>
          <w:sz w:val="16"/>
          <w:szCs w:val="16"/>
          <w:u w:val="single"/>
          <w:lang w:val="es-ES_tradnl"/>
        </w:rPr>
        <w:t xml:space="preserve"> </w:t>
      </w:r>
      <w:proofErr w:type="spellStart"/>
      <w:r w:rsidRPr="00EA236D">
        <w:rPr>
          <w:rFonts w:cs="Times New Roman"/>
          <w:i/>
          <w:sz w:val="16"/>
          <w:szCs w:val="16"/>
          <w:u w:val="single"/>
          <w:lang w:val="es-ES_tradnl"/>
        </w:rPr>
        <w:t>Kásek</w:t>
      </w:r>
      <w:proofErr w:type="spellEnd"/>
      <w:r w:rsidRPr="00EA236D">
        <w:rPr>
          <w:rFonts w:cs="Times New Roman"/>
          <w:i/>
          <w:sz w:val="16"/>
          <w:szCs w:val="16"/>
          <w:u w:val="single"/>
          <w:lang w:val="es-ES_tradnl"/>
        </w:rPr>
        <w:t>, marginalizados en el goce de los derechos</w:t>
      </w:r>
      <w:r w:rsidRPr="00EA236D">
        <w:rPr>
          <w:rFonts w:cs="Times New Roman"/>
          <w:i/>
          <w:sz w:val="16"/>
          <w:szCs w:val="16"/>
          <w:lang w:val="es-ES_tradnl"/>
        </w:rPr>
        <w:t xml:space="preserve"> que el Tribunal declara violados en esta Sentencia. </w:t>
      </w:r>
      <w:r w:rsidRPr="00EA236D">
        <w:rPr>
          <w:rFonts w:cs="Times New Roman"/>
          <w:i/>
          <w:sz w:val="16"/>
          <w:szCs w:val="16"/>
          <w:u w:val="single"/>
          <w:lang w:val="es-ES_tradnl"/>
        </w:rPr>
        <w:t>Asimismo, se evidencia que el Estado no ha adoptado las medidas positivas necesarias para revertir tal exclusión.</w:t>
      </w:r>
      <w:r w:rsidRPr="00EA236D">
        <w:rPr>
          <w:rStyle w:val="FootnoteReference"/>
          <w:i/>
          <w:sz w:val="16"/>
          <w:lang w:val="es-ES_tradnl"/>
        </w:rPr>
        <w:footnoteReference w:id="99"/>
      </w:r>
      <w:r w:rsidRPr="00EA236D">
        <w:rPr>
          <w:rFonts w:cs="Times New Roman"/>
          <w:i/>
          <w:sz w:val="16"/>
          <w:szCs w:val="16"/>
          <w:lang w:val="es-ES_tradnl"/>
        </w:rPr>
        <w:t xml:space="preserve">. </w:t>
      </w:r>
      <w:r w:rsidRPr="000C2F0F">
        <w:rPr>
          <w:rFonts w:cs="Times New Roman"/>
          <w:sz w:val="16"/>
          <w:szCs w:val="16"/>
          <w:lang w:val="es-ES_tradnl"/>
        </w:rPr>
        <w:t>(Énfasis añadido)</w:t>
      </w:r>
      <w:r w:rsidR="00574CA6" w:rsidRPr="000C2F0F">
        <w:rPr>
          <w:rFonts w:cs="Times New Roman"/>
          <w:sz w:val="16"/>
          <w:szCs w:val="16"/>
          <w:lang w:val="es-ES_tradnl"/>
        </w:rPr>
        <w:t>.</w:t>
      </w:r>
    </w:p>
    <w:p w14:paraId="17A8B822" w14:textId="77777777" w:rsidR="00BD2B08" w:rsidRPr="00EA236D" w:rsidRDefault="00BD2B08" w:rsidP="00BD2B08">
      <w:pPr>
        <w:rPr>
          <w:rFonts w:ascii="Verdana" w:hAnsi="Verdana" w:cs="Times New Roman"/>
          <w:i/>
          <w:sz w:val="16"/>
          <w:szCs w:val="16"/>
        </w:rPr>
      </w:pPr>
    </w:p>
    <w:p w14:paraId="3EACB4E9" w14:textId="011A627E" w:rsidR="00BD2B08" w:rsidRPr="00EA236D" w:rsidRDefault="00BD2B08" w:rsidP="00BD2B08">
      <w:pPr>
        <w:pStyle w:val="ListParagraph"/>
        <w:numPr>
          <w:ilvl w:val="0"/>
          <w:numId w:val="1"/>
        </w:numPr>
        <w:rPr>
          <w:rFonts w:cs="Times New Roman"/>
          <w:i/>
          <w:szCs w:val="20"/>
          <w:lang w:val="es-ES_tradnl"/>
        </w:rPr>
      </w:pPr>
      <w:r w:rsidRPr="00EA236D">
        <w:rPr>
          <w:rFonts w:cs="Times New Roman"/>
          <w:szCs w:val="20"/>
          <w:lang w:val="es-ES_tradnl"/>
        </w:rPr>
        <w:t xml:space="preserve">En el caso </w:t>
      </w:r>
      <w:proofErr w:type="spellStart"/>
      <w:r w:rsidRPr="00EA236D">
        <w:rPr>
          <w:rFonts w:cs="Times New Roman"/>
          <w:i/>
          <w:szCs w:val="20"/>
          <w:lang w:val="es-ES_tradnl"/>
        </w:rPr>
        <w:t>Atala</w:t>
      </w:r>
      <w:proofErr w:type="spellEnd"/>
      <w:r w:rsidRPr="00EA236D">
        <w:rPr>
          <w:rFonts w:cs="Times New Roman"/>
          <w:i/>
          <w:szCs w:val="20"/>
          <w:lang w:val="es-ES_tradnl"/>
        </w:rPr>
        <w:t xml:space="preserve"> </w:t>
      </w:r>
      <w:proofErr w:type="spellStart"/>
      <w:r w:rsidRPr="00EA236D">
        <w:rPr>
          <w:rFonts w:cs="Times New Roman"/>
          <w:i/>
          <w:szCs w:val="20"/>
          <w:lang w:val="es-ES_tradnl"/>
        </w:rPr>
        <w:t>Riffo</w:t>
      </w:r>
      <w:proofErr w:type="spellEnd"/>
      <w:r w:rsidRPr="00EA236D">
        <w:rPr>
          <w:rFonts w:cs="Times New Roman"/>
          <w:i/>
          <w:szCs w:val="20"/>
          <w:lang w:val="es-ES_tradnl"/>
        </w:rPr>
        <w:t xml:space="preserve"> y niñas Vs. Chile</w:t>
      </w:r>
      <w:r w:rsidR="00FB1738" w:rsidRPr="00EA236D">
        <w:rPr>
          <w:rFonts w:cs="Times New Roman"/>
          <w:szCs w:val="20"/>
          <w:lang w:val="es-ES_tradnl"/>
        </w:rPr>
        <w:t>, de</w:t>
      </w:r>
      <w:r w:rsidRPr="00EA236D">
        <w:rPr>
          <w:rFonts w:cs="Times New Roman"/>
          <w:szCs w:val="20"/>
          <w:lang w:val="es-ES_tradnl"/>
        </w:rPr>
        <w:t xml:space="preserve"> 2012, el Tribunal expresó respecto a la discriminación estructural que: </w:t>
      </w:r>
    </w:p>
    <w:p w14:paraId="02A53035" w14:textId="77777777" w:rsidR="00BD2B08" w:rsidRPr="00EA236D" w:rsidRDefault="00BD2B08" w:rsidP="00BD2B08">
      <w:pPr>
        <w:pStyle w:val="ListParagraph"/>
        <w:ind w:left="0"/>
        <w:rPr>
          <w:rFonts w:cs="Times New Roman"/>
          <w:i/>
          <w:szCs w:val="20"/>
          <w:lang w:val="es-ES_tradnl"/>
        </w:rPr>
      </w:pPr>
    </w:p>
    <w:p w14:paraId="3A692B2E" w14:textId="19EAFEAC" w:rsidR="00245B38" w:rsidRPr="00EA236D" w:rsidRDefault="00BD2B08" w:rsidP="00245B38">
      <w:pPr>
        <w:ind w:left="708"/>
        <w:jc w:val="both"/>
        <w:rPr>
          <w:rFonts w:ascii="Verdana" w:hAnsi="Verdana" w:cs="Times New Roman"/>
          <w:i/>
          <w:sz w:val="16"/>
          <w:szCs w:val="16"/>
        </w:rPr>
      </w:pPr>
      <w:r w:rsidRPr="00EA236D">
        <w:rPr>
          <w:rFonts w:ascii="Verdana" w:hAnsi="Verdana" w:cs="Times New Roman"/>
          <w:i/>
          <w:sz w:val="16"/>
          <w:szCs w:val="16"/>
        </w:rPr>
        <w:t xml:space="preserve">92. En lo que respecta al argumento del Estado de que para la fecha de emisión de la sentencia de la Corte Suprema no habría existido un consenso respecto a la orientación sexual como categoría prohibida de discriminación, </w:t>
      </w:r>
      <w:r w:rsidRPr="00EA236D">
        <w:rPr>
          <w:rFonts w:ascii="Verdana" w:hAnsi="Verdana" w:cs="Times New Roman"/>
          <w:i/>
          <w:sz w:val="16"/>
          <w:szCs w:val="16"/>
          <w:u w:val="single"/>
        </w:rPr>
        <w:t>la Corte resalta que la presunta falta de un consenso al interior de algunos países sobre el respeto pleno por los derechos de las minorías sexuales no puede ser considerado</w:t>
      </w:r>
      <w:r w:rsidRPr="00EA236D">
        <w:rPr>
          <w:rFonts w:ascii="Verdana" w:hAnsi="Verdana" w:cs="Times New Roman"/>
          <w:i/>
          <w:sz w:val="16"/>
          <w:szCs w:val="16"/>
        </w:rPr>
        <w:t xml:space="preserve"> como un argumento válido para negarles o restringirles sus derechos humanos o </w:t>
      </w:r>
      <w:r w:rsidRPr="00EA236D">
        <w:rPr>
          <w:rFonts w:ascii="Verdana" w:hAnsi="Verdana" w:cs="Times New Roman"/>
          <w:i/>
          <w:sz w:val="16"/>
          <w:szCs w:val="16"/>
          <w:u w:val="single"/>
        </w:rPr>
        <w:t>para perpetuar y reproducir la discriminación histórica y estructural que estas minorías han sufrido</w:t>
      </w:r>
      <w:r w:rsidRPr="00EA236D">
        <w:rPr>
          <w:rFonts w:ascii="Verdana" w:hAnsi="Verdana" w:cs="Times New Roman"/>
          <w:i/>
          <w:sz w:val="16"/>
          <w:szCs w:val="16"/>
        </w:rPr>
        <w:t xml:space="preserve"> […].</w:t>
      </w:r>
      <w:r w:rsidR="00574CA6">
        <w:rPr>
          <w:rFonts w:ascii="Verdana" w:hAnsi="Verdana" w:cs="Times New Roman"/>
          <w:i/>
          <w:sz w:val="16"/>
          <w:szCs w:val="16"/>
        </w:rPr>
        <w:t xml:space="preserve"> </w:t>
      </w:r>
      <w:r w:rsidRPr="000C2F0F">
        <w:rPr>
          <w:rFonts w:ascii="Verdana" w:hAnsi="Verdana" w:cs="Times New Roman"/>
          <w:sz w:val="16"/>
          <w:szCs w:val="16"/>
        </w:rPr>
        <w:t>(Énfasis añadido)</w:t>
      </w:r>
      <w:r w:rsidR="00FB1738" w:rsidRPr="000C2F0F">
        <w:rPr>
          <w:rFonts w:ascii="Verdana" w:hAnsi="Verdana" w:cs="Times New Roman"/>
          <w:sz w:val="16"/>
          <w:szCs w:val="16"/>
        </w:rPr>
        <w:t>.</w:t>
      </w:r>
    </w:p>
    <w:p w14:paraId="764F5655" w14:textId="77777777" w:rsidR="00245B38" w:rsidRPr="00EA236D" w:rsidRDefault="00245B38" w:rsidP="00245B38">
      <w:pPr>
        <w:ind w:left="708"/>
        <w:jc w:val="both"/>
        <w:rPr>
          <w:rFonts w:ascii="Verdana" w:hAnsi="Verdana" w:cs="Times New Roman"/>
          <w:i/>
          <w:sz w:val="16"/>
          <w:szCs w:val="16"/>
        </w:rPr>
      </w:pPr>
    </w:p>
    <w:p w14:paraId="25A09106" w14:textId="77777777" w:rsidR="00245B38" w:rsidRPr="00EA236D" w:rsidRDefault="00245B38" w:rsidP="00245B38">
      <w:pPr>
        <w:rPr>
          <w:rFonts w:ascii="Verdana" w:hAnsi="Verdana" w:cs="Times New Roman"/>
          <w:i/>
          <w:sz w:val="16"/>
          <w:szCs w:val="16"/>
        </w:rPr>
      </w:pPr>
    </w:p>
    <w:p w14:paraId="6CF041E8" w14:textId="0DC04C06" w:rsidR="00BD2B08" w:rsidRPr="00EA236D" w:rsidRDefault="00245B38" w:rsidP="00245B38">
      <w:pPr>
        <w:pStyle w:val="ListParagraph"/>
        <w:numPr>
          <w:ilvl w:val="0"/>
          <w:numId w:val="1"/>
        </w:numPr>
        <w:rPr>
          <w:rFonts w:cs="Times New Roman"/>
          <w:i/>
          <w:szCs w:val="20"/>
          <w:lang w:val="es-ES_tradnl"/>
        </w:rPr>
      </w:pPr>
      <w:r w:rsidRPr="00EA236D">
        <w:rPr>
          <w:rFonts w:cs="Times New Roman"/>
          <w:szCs w:val="20"/>
        </w:rPr>
        <w:t>E</w:t>
      </w:r>
      <w:r w:rsidR="00BD2B08" w:rsidRPr="00EA236D">
        <w:rPr>
          <w:rFonts w:cs="Times New Roman"/>
          <w:szCs w:val="20"/>
          <w:lang w:val="es-ES_tradnl"/>
        </w:rPr>
        <w:t xml:space="preserve">n cuanto a las reparaciones </w:t>
      </w:r>
      <w:r w:rsidRPr="00EA236D">
        <w:rPr>
          <w:rFonts w:cs="Times New Roman"/>
          <w:szCs w:val="20"/>
          <w:lang w:val="es-ES_tradnl"/>
        </w:rPr>
        <w:t xml:space="preserve">el Tribunal Interamericano en dicho caso </w:t>
      </w:r>
      <w:r w:rsidR="00BD2B08" w:rsidRPr="00EA236D">
        <w:rPr>
          <w:rFonts w:cs="Times New Roman"/>
          <w:szCs w:val="20"/>
          <w:lang w:val="es-ES_tradnl"/>
        </w:rPr>
        <w:t xml:space="preserve">consideró que: </w:t>
      </w:r>
    </w:p>
    <w:p w14:paraId="581D5F3C" w14:textId="77777777" w:rsidR="00BD2B08" w:rsidRPr="00EA236D" w:rsidRDefault="00BD2B08" w:rsidP="00BD2B08">
      <w:pPr>
        <w:pStyle w:val="ListParagraph"/>
        <w:ind w:left="0"/>
        <w:rPr>
          <w:rFonts w:cs="Times New Roman"/>
          <w:i/>
          <w:szCs w:val="20"/>
          <w:lang w:val="es-ES_tradnl"/>
        </w:rPr>
      </w:pPr>
    </w:p>
    <w:p w14:paraId="79DB67AC" w14:textId="5B75BD89" w:rsidR="00BD2B08" w:rsidRPr="00EA236D" w:rsidRDefault="00BD2B08" w:rsidP="00BD2B08">
      <w:pPr>
        <w:pStyle w:val="NormalWeb"/>
        <w:spacing w:before="0" w:beforeAutospacing="0" w:after="0" w:afterAutospacing="0"/>
        <w:ind w:left="708"/>
        <w:jc w:val="both"/>
        <w:rPr>
          <w:rFonts w:ascii="Verdana" w:hAnsi="Verdana"/>
          <w:i/>
          <w:sz w:val="16"/>
          <w:szCs w:val="16"/>
          <w:lang w:val="es-ES_tradnl"/>
        </w:rPr>
      </w:pPr>
      <w:r w:rsidRPr="00EA236D">
        <w:rPr>
          <w:rFonts w:ascii="Verdana" w:hAnsi="Verdana"/>
          <w:i/>
          <w:sz w:val="16"/>
          <w:szCs w:val="16"/>
          <w:lang w:val="es-ES_tradnl"/>
        </w:rPr>
        <w:t xml:space="preserve">267. La Corte resalta que algunos actos discriminatorios analizados en capítulos previos </w:t>
      </w:r>
      <w:r w:rsidRPr="00EA236D">
        <w:rPr>
          <w:rFonts w:ascii="Verdana" w:hAnsi="Verdana"/>
          <w:i/>
          <w:sz w:val="16"/>
          <w:szCs w:val="16"/>
          <w:u w:val="single"/>
          <w:lang w:val="es-ES_tradnl"/>
        </w:rPr>
        <w:t>se relacionaron con la reproducción de estereotipos que están asociados a la discriminación estructural e histórica que han sufrido las minorías sexuales</w:t>
      </w:r>
      <w:r w:rsidRPr="00EA236D">
        <w:rPr>
          <w:rFonts w:ascii="Verdana" w:hAnsi="Verdana"/>
          <w:i/>
          <w:sz w:val="16"/>
          <w:szCs w:val="16"/>
          <w:lang w:val="es-ES_tradnl"/>
        </w:rPr>
        <w:t xml:space="preserve"> […], particularmente en cuestiones relacionadas con el acceso a la justicia y la aplicación del derecho interno. Por ello, algunas de </w:t>
      </w:r>
      <w:r w:rsidRPr="00EA236D">
        <w:rPr>
          <w:rFonts w:ascii="Verdana" w:hAnsi="Verdana"/>
          <w:i/>
          <w:sz w:val="16"/>
          <w:szCs w:val="16"/>
          <w:u w:val="single"/>
          <w:lang w:val="es-ES_tradnl"/>
        </w:rPr>
        <w:t>las reparaciones deben tener una vocación transformadora de dicha situación, de tal forma que las mismas tengan un efecto no solo sustitutivo sino también correctivo</w:t>
      </w:r>
      <w:r w:rsidRPr="00EA236D">
        <w:rPr>
          <w:rFonts w:ascii="Verdana" w:hAnsi="Verdana"/>
          <w:i/>
          <w:sz w:val="16"/>
          <w:szCs w:val="16"/>
          <w:lang w:val="es-ES_tradnl"/>
        </w:rPr>
        <w:t xml:space="preserve"> hacia cambios estructurales que desarticulen aquellos estereotipos y prácticas que perpetúan la discriminación contra la población LGTBI. (</w:t>
      </w:r>
      <w:r w:rsidRPr="000C2F0F">
        <w:rPr>
          <w:rFonts w:ascii="Verdana" w:hAnsi="Verdana"/>
          <w:sz w:val="16"/>
          <w:szCs w:val="16"/>
          <w:lang w:val="es-ES_tradnl"/>
        </w:rPr>
        <w:t>Énfasis añadido)</w:t>
      </w:r>
      <w:r w:rsidRPr="000C2F0F">
        <w:rPr>
          <w:rStyle w:val="FootnoteReference"/>
          <w:rFonts w:ascii="Verdana" w:hAnsi="Verdana"/>
          <w:sz w:val="16"/>
          <w:lang w:val="es-ES_tradnl"/>
        </w:rPr>
        <w:footnoteReference w:id="100"/>
      </w:r>
      <w:r w:rsidRPr="000C2F0F">
        <w:rPr>
          <w:rFonts w:ascii="Verdana" w:hAnsi="Verdana"/>
          <w:sz w:val="16"/>
          <w:szCs w:val="16"/>
          <w:lang w:val="es-ES_tradnl"/>
        </w:rPr>
        <w:t>.</w:t>
      </w:r>
      <w:r w:rsidRPr="00EA236D">
        <w:rPr>
          <w:rFonts w:ascii="Verdana" w:hAnsi="Verdana"/>
          <w:i/>
          <w:sz w:val="16"/>
          <w:szCs w:val="16"/>
          <w:lang w:val="es-ES_tradnl"/>
        </w:rPr>
        <w:t xml:space="preserve"> </w:t>
      </w:r>
    </w:p>
    <w:p w14:paraId="71251A62" w14:textId="77777777" w:rsidR="00BD2B08" w:rsidRPr="00EA236D" w:rsidRDefault="00BD2B08" w:rsidP="00BD2B08">
      <w:pPr>
        <w:pStyle w:val="NormalWeb"/>
        <w:spacing w:before="0" w:beforeAutospacing="0" w:after="0" w:afterAutospacing="0"/>
        <w:rPr>
          <w:rFonts w:ascii="Verdana" w:hAnsi="Verdana"/>
          <w:lang w:val="es-ES_tradnl"/>
        </w:rPr>
      </w:pPr>
    </w:p>
    <w:p w14:paraId="377206D5" w14:textId="203E712C" w:rsidR="00BD2B08" w:rsidRPr="00EA236D" w:rsidRDefault="00BD2B08" w:rsidP="00BD2B08">
      <w:pPr>
        <w:pStyle w:val="NormalWeb"/>
        <w:numPr>
          <w:ilvl w:val="0"/>
          <w:numId w:val="1"/>
        </w:numPr>
        <w:spacing w:before="0" w:beforeAutospacing="0" w:after="0" w:afterAutospacing="0"/>
        <w:jc w:val="both"/>
        <w:rPr>
          <w:rFonts w:ascii="Verdana" w:hAnsi="Verdana"/>
          <w:lang w:val="es-ES_tradnl"/>
        </w:rPr>
      </w:pPr>
      <w:r w:rsidRPr="00EA236D">
        <w:rPr>
          <w:rFonts w:ascii="Verdana" w:hAnsi="Verdana"/>
          <w:lang w:val="es-ES_tradnl"/>
        </w:rPr>
        <w:t xml:space="preserve">Finalmente, en el caso </w:t>
      </w:r>
      <w:r w:rsidRPr="00EA236D">
        <w:rPr>
          <w:rFonts w:ascii="Verdana" w:hAnsi="Verdana"/>
          <w:i/>
          <w:lang w:val="es-ES_tradnl"/>
        </w:rPr>
        <w:t>Nadege Dorzema y otros Vs. República Dominicana</w:t>
      </w:r>
      <w:r w:rsidR="00FB1738" w:rsidRPr="00EA236D">
        <w:rPr>
          <w:rFonts w:ascii="Verdana" w:hAnsi="Verdana"/>
          <w:lang w:val="es-ES_tradnl"/>
        </w:rPr>
        <w:t>, de</w:t>
      </w:r>
      <w:r w:rsidRPr="00EA236D">
        <w:rPr>
          <w:rFonts w:ascii="Verdana" w:hAnsi="Verdana"/>
          <w:lang w:val="es-ES_tradnl"/>
        </w:rPr>
        <w:t xml:space="preserve"> 2012, sin pronunciarse sobre la discriminación estructural, consideró sobre la discriminación indirecta y de facto lo siguiente: </w:t>
      </w:r>
    </w:p>
    <w:p w14:paraId="2C7CDC24" w14:textId="77777777" w:rsidR="00BD2B08" w:rsidRPr="00EA236D" w:rsidRDefault="00BD2B08" w:rsidP="00BD2B08">
      <w:pPr>
        <w:pStyle w:val="NormalWeb"/>
        <w:spacing w:before="0" w:beforeAutospacing="0" w:after="0" w:afterAutospacing="0"/>
        <w:rPr>
          <w:rFonts w:ascii="Verdana" w:hAnsi="Verdana"/>
          <w:lang w:val="es-ES_tradnl"/>
        </w:rPr>
      </w:pPr>
    </w:p>
    <w:p w14:paraId="4D1624D9" w14:textId="77777777" w:rsidR="00BD2B08" w:rsidRPr="00EA236D" w:rsidRDefault="00BD2B08" w:rsidP="00BD2B08">
      <w:pPr>
        <w:pStyle w:val="ListParagraph"/>
        <w:ind w:left="708"/>
        <w:rPr>
          <w:rFonts w:cs="Times New Roman"/>
          <w:sz w:val="16"/>
          <w:szCs w:val="16"/>
          <w:lang w:val="es-ES_tradnl"/>
        </w:rPr>
      </w:pPr>
      <w:r w:rsidRPr="00EA236D">
        <w:rPr>
          <w:rFonts w:cs="Times New Roman"/>
          <w:i/>
          <w:sz w:val="16"/>
          <w:szCs w:val="16"/>
          <w:lang w:val="es-ES_tradnl"/>
        </w:rPr>
        <w:t xml:space="preserve">235. </w:t>
      </w:r>
      <w:r w:rsidRPr="00EA236D">
        <w:rPr>
          <w:rFonts w:cs="Times New Roman"/>
          <w:i/>
          <w:sz w:val="16"/>
          <w:szCs w:val="16"/>
          <w:u w:val="single"/>
          <w:lang w:val="es-ES_tradnl"/>
        </w:rPr>
        <w:t>La Corte estima que una violación del derecho a la igualdad y no discriminación se produce también ante situaciones y casos de discriminación indirecta</w:t>
      </w:r>
      <w:r w:rsidRPr="00EA236D">
        <w:rPr>
          <w:rFonts w:cs="Times New Roman"/>
          <w:sz w:val="16"/>
          <w:szCs w:val="16"/>
          <w:lang w:val="es-ES_tradnl"/>
        </w:rPr>
        <w:t xml:space="preserve"> […]. </w:t>
      </w:r>
    </w:p>
    <w:p w14:paraId="01AF49C5" w14:textId="77777777" w:rsidR="00BD2B08" w:rsidRPr="00EA236D" w:rsidRDefault="00BD2B08" w:rsidP="00BD2B08">
      <w:pPr>
        <w:pStyle w:val="ListParagraph"/>
        <w:ind w:left="708"/>
        <w:rPr>
          <w:rFonts w:cs="Times New Roman"/>
          <w:sz w:val="16"/>
          <w:szCs w:val="16"/>
          <w:lang w:val="es-ES_tradnl"/>
        </w:rPr>
      </w:pPr>
    </w:p>
    <w:p w14:paraId="3CADC0BD" w14:textId="77777777" w:rsidR="00BD2B08" w:rsidRPr="00EA236D" w:rsidRDefault="00BD2B08" w:rsidP="00BD2B08">
      <w:pPr>
        <w:pStyle w:val="ListParagraph"/>
        <w:ind w:left="708"/>
        <w:rPr>
          <w:rFonts w:cs="Times New Roman"/>
          <w:i/>
          <w:sz w:val="16"/>
          <w:szCs w:val="16"/>
          <w:lang w:val="es-ES_tradnl"/>
        </w:rPr>
      </w:pPr>
      <w:r w:rsidRPr="00EA236D">
        <w:rPr>
          <w:rFonts w:cs="Times New Roman"/>
          <w:i/>
          <w:sz w:val="16"/>
          <w:szCs w:val="16"/>
          <w:lang w:val="es-ES_tradnl"/>
        </w:rPr>
        <w:t xml:space="preserve">237. Por tanto la Corte observa que, en el presente caso, la situación de especial vulnerabilidad de los migrantes haitianos se debió́, </w:t>
      </w:r>
      <w:r w:rsidRPr="00EA236D">
        <w:rPr>
          <w:rFonts w:cs="Times New Roman"/>
          <w:i/>
          <w:iCs/>
          <w:sz w:val="16"/>
          <w:szCs w:val="16"/>
          <w:lang w:val="es-ES_tradnl"/>
        </w:rPr>
        <w:t xml:space="preserve">inter alia, </w:t>
      </w:r>
      <w:r w:rsidRPr="00EA236D">
        <w:rPr>
          <w:rFonts w:cs="Times New Roman"/>
          <w:i/>
          <w:sz w:val="16"/>
          <w:szCs w:val="16"/>
          <w:lang w:val="es-ES_tradnl"/>
        </w:rPr>
        <w:t>a: i) la falta de medidas preventivas para enfrentar de manera adecuada situaciones relacionadas con el control migratorio en la frontera terrestre con Haití́ y en consideración de su situación de vulnerabilidad; ii) la violencia desplegada a través del uso ilegitimo y desproporcionado de la fuerza en contra de personas migrantes desarmadas; iii) la falta de investigación con motivo de dicha violencia, la falta de declaraciones y participación de las víctimas en el proceso penal y la impunidad de los hechos; iv) las detenciones y expulsión colectiva sin las debidas garantías; v) la falta de una atención y tratamiento médico adecuado a las víctimas heridas, y vi) el tratamiento denigrante a los cadáveres y la falta de su entrega a los familiares.</w:t>
      </w:r>
    </w:p>
    <w:p w14:paraId="70C7F903" w14:textId="77777777" w:rsidR="00BD2B08" w:rsidRPr="00EA236D" w:rsidRDefault="00BD2B08" w:rsidP="00BD2B08">
      <w:pPr>
        <w:pStyle w:val="ListParagraph"/>
        <w:ind w:left="708"/>
        <w:rPr>
          <w:rFonts w:cs="Times New Roman"/>
          <w:i/>
          <w:sz w:val="16"/>
          <w:szCs w:val="16"/>
          <w:lang w:val="es-ES_tradnl"/>
        </w:rPr>
      </w:pPr>
    </w:p>
    <w:p w14:paraId="47AA973B" w14:textId="67045D1C" w:rsidR="00F07EFF" w:rsidRPr="00EA236D" w:rsidRDefault="00BD2B08" w:rsidP="0026396B">
      <w:pPr>
        <w:pStyle w:val="ListParagraph"/>
        <w:ind w:left="708"/>
        <w:rPr>
          <w:rFonts w:cs="Times New Roman"/>
          <w:i/>
          <w:sz w:val="16"/>
          <w:szCs w:val="16"/>
          <w:lang w:val="es-ES_tradnl"/>
        </w:rPr>
      </w:pPr>
      <w:r w:rsidRPr="00EA236D">
        <w:rPr>
          <w:rFonts w:cs="Times New Roman"/>
          <w:i/>
          <w:sz w:val="16"/>
          <w:szCs w:val="16"/>
          <w:u w:val="single"/>
          <w:lang w:val="es-ES_tradnl"/>
        </w:rPr>
        <w:t xml:space="preserve">238. Todo lo anterior evidencia que, en el presente caso, existió́ una discriminación </w:t>
      </w:r>
      <w:r w:rsidRPr="00EA236D">
        <w:rPr>
          <w:rFonts w:cs="Times New Roman"/>
          <w:i/>
          <w:iCs/>
          <w:sz w:val="16"/>
          <w:szCs w:val="16"/>
          <w:u w:val="single"/>
          <w:lang w:val="es-ES_tradnl"/>
        </w:rPr>
        <w:t xml:space="preserve">de facto </w:t>
      </w:r>
      <w:r w:rsidRPr="00EA236D">
        <w:rPr>
          <w:rFonts w:cs="Times New Roman"/>
          <w:i/>
          <w:sz w:val="16"/>
          <w:szCs w:val="16"/>
          <w:u w:val="single"/>
          <w:lang w:val="es-ES_tradnl"/>
        </w:rPr>
        <w:t>en perjuicio de las víctimas del caso por su condición de migrantes, lo cual derivó en una marginalización en el goce de los derechos que la Corte declaró violados en esta Sentencia</w:t>
      </w:r>
      <w:r w:rsidRPr="00EA236D">
        <w:rPr>
          <w:rFonts w:cs="Times New Roman"/>
          <w:i/>
          <w:sz w:val="16"/>
          <w:szCs w:val="16"/>
          <w:lang w:val="es-ES_tradnl"/>
        </w:rPr>
        <w:t>. Por tanto, la Corte concluye que el Estado no respetó ni garantizó los derechos de los migrantes haitianos sin discriminación, en contravención del artículo 1.1 de la Convención Americana en relación con los artículos 2, 4, 5, 7, 8, 22.9 y 25 de la misma</w:t>
      </w:r>
      <w:r w:rsidRPr="00EA236D">
        <w:rPr>
          <w:rStyle w:val="FootnoteReference"/>
          <w:i/>
          <w:sz w:val="16"/>
          <w:lang w:val="es-ES_tradnl"/>
        </w:rPr>
        <w:footnoteReference w:id="101"/>
      </w:r>
      <w:r w:rsidRPr="00EA236D">
        <w:rPr>
          <w:rFonts w:cs="Times New Roman"/>
          <w:i/>
          <w:sz w:val="16"/>
          <w:szCs w:val="16"/>
          <w:lang w:val="es-ES_tradnl"/>
        </w:rPr>
        <w:t xml:space="preserve">. </w:t>
      </w:r>
      <w:r w:rsidRPr="000C2F0F">
        <w:rPr>
          <w:rFonts w:cs="Times New Roman"/>
          <w:sz w:val="16"/>
          <w:szCs w:val="16"/>
          <w:lang w:val="es-ES_tradnl"/>
        </w:rPr>
        <w:t>(Énfasis añadido)</w:t>
      </w:r>
      <w:r w:rsidR="00FB1738" w:rsidRPr="000C2F0F">
        <w:rPr>
          <w:rFonts w:cs="Times New Roman"/>
          <w:sz w:val="16"/>
          <w:szCs w:val="16"/>
          <w:lang w:val="es-ES_tradnl"/>
        </w:rPr>
        <w:t>.</w:t>
      </w:r>
    </w:p>
    <w:p w14:paraId="5FD71195" w14:textId="77777777" w:rsidR="00B870FA" w:rsidRPr="00EA236D" w:rsidRDefault="00B870FA" w:rsidP="00B870FA">
      <w:pPr>
        <w:rPr>
          <w:rFonts w:ascii="Verdana" w:hAnsi="Verdana" w:cs="Times New Roman"/>
          <w:i/>
          <w:sz w:val="16"/>
          <w:szCs w:val="16"/>
        </w:rPr>
      </w:pPr>
    </w:p>
    <w:p w14:paraId="119EB4F2" w14:textId="7BEDA2C4" w:rsidR="0026695A" w:rsidRPr="00EA236D" w:rsidRDefault="00734B35" w:rsidP="0026695A">
      <w:pPr>
        <w:pStyle w:val="ListParagraph"/>
        <w:numPr>
          <w:ilvl w:val="0"/>
          <w:numId w:val="1"/>
        </w:numPr>
        <w:rPr>
          <w:rFonts w:cs="System Font Regular"/>
          <w:szCs w:val="20"/>
          <w:lang w:val="es-ES_tradnl"/>
        </w:rPr>
      </w:pPr>
      <w:r w:rsidRPr="00EA236D">
        <w:rPr>
          <w:rFonts w:cs="Arial"/>
          <w:szCs w:val="20"/>
          <w:lang w:val="es-ES_tradnl"/>
        </w:rPr>
        <w:t>Así, l</w:t>
      </w:r>
      <w:r w:rsidR="0026695A" w:rsidRPr="00EA236D">
        <w:rPr>
          <w:rFonts w:cs="Arial"/>
          <w:szCs w:val="20"/>
          <w:lang w:val="es-ES_tradnl"/>
        </w:rPr>
        <w:t xml:space="preserve">a Corte IDH ha evaluado el impacto que tiene la discriminación indirecta en contextos de discriminación </w:t>
      </w:r>
      <w:r w:rsidR="0026695A" w:rsidRPr="000C2F0F">
        <w:rPr>
          <w:rFonts w:cs="Arial"/>
          <w:i/>
          <w:szCs w:val="20"/>
          <w:lang w:val="es-ES_tradnl"/>
        </w:rPr>
        <w:t>de</w:t>
      </w:r>
      <w:r w:rsidR="0026695A" w:rsidRPr="00EA236D">
        <w:rPr>
          <w:rFonts w:cs="Arial"/>
          <w:szCs w:val="20"/>
          <w:lang w:val="es-ES_tradnl"/>
        </w:rPr>
        <w:t xml:space="preserve"> </w:t>
      </w:r>
      <w:r w:rsidR="0026695A" w:rsidRPr="00EA236D">
        <w:rPr>
          <w:rFonts w:cs="Arial"/>
          <w:i/>
          <w:szCs w:val="20"/>
          <w:lang w:val="es-ES_tradnl"/>
        </w:rPr>
        <w:t>facto</w:t>
      </w:r>
      <w:r w:rsidR="0026695A" w:rsidRPr="00EA236D">
        <w:rPr>
          <w:rStyle w:val="FootnoteReference"/>
          <w:lang w:val="es-ES_tradnl"/>
        </w:rPr>
        <w:footnoteReference w:id="102"/>
      </w:r>
      <w:r w:rsidR="0026695A" w:rsidRPr="00EA236D">
        <w:rPr>
          <w:rFonts w:cs="Arial"/>
          <w:szCs w:val="20"/>
          <w:lang w:val="es-ES_tradnl"/>
        </w:rPr>
        <w:t>. De esta forma</w:t>
      </w:r>
      <w:r w:rsidR="00A06B5F" w:rsidRPr="00EA236D">
        <w:rPr>
          <w:rFonts w:cs="Arial"/>
          <w:szCs w:val="20"/>
          <w:lang w:val="es-ES_tradnl"/>
        </w:rPr>
        <w:t>, la discriminación indirecta (</w:t>
      </w:r>
      <w:r w:rsidR="0026695A" w:rsidRPr="00EA236D">
        <w:rPr>
          <w:rFonts w:cs="Arial"/>
          <w:szCs w:val="20"/>
          <w:lang w:val="es-ES_tradnl"/>
        </w:rPr>
        <w:t>o resultado</w:t>
      </w:r>
      <w:r w:rsidR="00A06B5F" w:rsidRPr="00EA236D">
        <w:rPr>
          <w:rFonts w:cs="Arial"/>
          <w:szCs w:val="20"/>
          <w:lang w:val="es-ES_tradnl"/>
        </w:rPr>
        <w:t>)</w:t>
      </w:r>
      <w:r w:rsidR="0026695A" w:rsidRPr="00EA236D">
        <w:rPr>
          <w:rFonts w:cs="Arial"/>
          <w:szCs w:val="20"/>
          <w:lang w:val="es-ES_tradnl"/>
        </w:rPr>
        <w:t xml:space="preserve"> se configura cuando las normas y prácticas son aparentemente neutras, pero el resultado de su contenido o aplicación constituyen un impacto desproporcionado en personas o grupos de personas en situación de desventaja histórica j</w:t>
      </w:r>
      <w:r w:rsidR="00FB1738" w:rsidRPr="00EA236D">
        <w:rPr>
          <w:rFonts w:cs="Arial"/>
          <w:szCs w:val="20"/>
          <w:lang w:val="es-ES_tradnl"/>
        </w:rPr>
        <w:t>usto en razón de esa desventaja;</w:t>
      </w:r>
      <w:r w:rsidR="0026695A" w:rsidRPr="00EA236D">
        <w:rPr>
          <w:rFonts w:cs="Arial"/>
          <w:szCs w:val="20"/>
          <w:lang w:val="es-ES_tradnl"/>
        </w:rPr>
        <w:t xml:space="preserve"> sin que exista una justificación objetiva y razonable, que se materializa con la existencia de factores estructurales y contextuales que deben ser analizados caso por caso. </w:t>
      </w:r>
    </w:p>
    <w:p w14:paraId="5F566CF4" w14:textId="77777777" w:rsidR="0026695A" w:rsidRPr="00EA236D" w:rsidRDefault="0026695A" w:rsidP="0026695A">
      <w:pPr>
        <w:pStyle w:val="ListParagraph"/>
        <w:ind w:left="0"/>
        <w:rPr>
          <w:rFonts w:cs="Times New Roman"/>
          <w:szCs w:val="20"/>
          <w:lang w:val="es-ES_tradnl"/>
        </w:rPr>
      </w:pPr>
    </w:p>
    <w:p w14:paraId="41C5B2D2" w14:textId="61C305C4" w:rsidR="0026695A" w:rsidRPr="00EA236D" w:rsidRDefault="00535C45" w:rsidP="0026695A">
      <w:pPr>
        <w:pStyle w:val="ListParagraph"/>
        <w:numPr>
          <w:ilvl w:val="0"/>
          <w:numId w:val="1"/>
        </w:numPr>
        <w:rPr>
          <w:rFonts w:cs="Times New Roman"/>
          <w:szCs w:val="20"/>
          <w:lang w:val="es-ES_tradnl"/>
        </w:rPr>
      </w:pPr>
      <w:r w:rsidRPr="00EA236D">
        <w:rPr>
          <w:rFonts w:cs="Times New Roman"/>
          <w:szCs w:val="20"/>
          <w:lang w:val="es-ES_tradnl"/>
        </w:rPr>
        <w:t xml:space="preserve">En estos cuatro casos el Tribunal Interamericano ha reconocido la existencia de factores estructurales, indirectos o de hecho en el goce y ejercicio de algunos derechos contemplados en la Convención Americana. En este sentido, el principio de igualdad entendido como prohibición de discriminación es una concepción limitada para algunas situaciones que se basan en discriminaciones indirectas que tienen su fundamento en circunstancias de </w:t>
      </w:r>
      <w:r w:rsidRPr="00EA236D">
        <w:rPr>
          <w:rFonts w:cs="Times New Roman"/>
          <w:i/>
          <w:szCs w:val="20"/>
          <w:lang w:val="es-ES_tradnl"/>
        </w:rPr>
        <w:t>facto</w:t>
      </w:r>
      <w:r w:rsidRPr="00EA236D">
        <w:rPr>
          <w:rFonts w:cs="Times New Roman"/>
          <w:szCs w:val="20"/>
          <w:lang w:val="es-ES_tradnl"/>
        </w:rPr>
        <w:t>; de esta manera resulta necesario entender la no discriminación a la luz de una situación de desventaja que presentan algunos grupos y por lo tanto los pueden someter a condiciones históricas de discriminación, que en ocasiones se encuentran avaladas por la sociedad.</w:t>
      </w:r>
      <w:r w:rsidR="0026695A" w:rsidRPr="00EA236D">
        <w:rPr>
          <w:rFonts w:cs="Times New Roman"/>
          <w:szCs w:val="20"/>
          <w:lang w:val="es-ES_tradnl"/>
        </w:rPr>
        <w:t xml:space="preserve"> </w:t>
      </w:r>
      <w:r w:rsidR="0026695A" w:rsidRPr="00EA236D">
        <w:rPr>
          <w:rFonts w:cs="Arial"/>
          <w:lang w:val="es-ES_tradnl"/>
        </w:rPr>
        <w:t>Los elementos estructurales y contextuales que se producen por la discriminación indirecta o de hecho, permiten determinar si a la luz del artículo 1.1 de la Convención Americana un gr</w:t>
      </w:r>
      <w:r w:rsidR="00A06B5F" w:rsidRPr="00EA236D">
        <w:rPr>
          <w:rFonts w:cs="Arial"/>
          <w:lang w:val="es-ES_tradnl"/>
        </w:rPr>
        <w:t>upo determinado de personas está</w:t>
      </w:r>
      <w:r w:rsidR="0026695A" w:rsidRPr="00EA236D">
        <w:rPr>
          <w:rFonts w:cs="Arial"/>
          <w:lang w:val="es-ES_tradnl"/>
        </w:rPr>
        <w:t xml:space="preserve"> frente a una situació</w:t>
      </w:r>
      <w:r w:rsidR="00013393" w:rsidRPr="00EA236D">
        <w:rPr>
          <w:rFonts w:cs="Arial"/>
          <w:lang w:val="es-ES_tradnl"/>
        </w:rPr>
        <w:t xml:space="preserve">n de discriminación estructural. </w:t>
      </w:r>
    </w:p>
    <w:p w14:paraId="5869ED37" w14:textId="77777777" w:rsidR="0026695A" w:rsidRPr="00EA236D" w:rsidRDefault="0026695A" w:rsidP="0026695A">
      <w:pPr>
        <w:rPr>
          <w:rFonts w:ascii="Verdana" w:hAnsi="Verdana" w:cs="Arial"/>
        </w:rPr>
      </w:pPr>
    </w:p>
    <w:p w14:paraId="72BE4965" w14:textId="08269380" w:rsidR="0026695A" w:rsidRPr="00EA236D" w:rsidRDefault="0026695A" w:rsidP="00941762">
      <w:pPr>
        <w:pStyle w:val="ListParagraph"/>
        <w:numPr>
          <w:ilvl w:val="0"/>
          <w:numId w:val="1"/>
        </w:numPr>
        <w:rPr>
          <w:rFonts w:cs="System Font Regular"/>
          <w:szCs w:val="20"/>
          <w:lang w:val="es-ES_tradnl"/>
        </w:rPr>
      </w:pPr>
      <w:r w:rsidRPr="00EA236D">
        <w:rPr>
          <w:rFonts w:cs="Arial"/>
          <w:lang w:val="es-ES_tradnl"/>
        </w:rPr>
        <w:t>E</w:t>
      </w:r>
      <w:r w:rsidR="008A209D" w:rsidRPr="00EA236D">
        <w:rPr>
          <w:rFonts w:cs="Arial"/>
          <w:lang w:val="es-ES_tradnl"/>
        </w:rPr>
        <w:t xml:space="preserve">stos son </w:t>
      </w:r>
      <w:r w:rsidRPr="00EA236D">
        <w:rPr>
          <w:rFonts w:cs="Arial"/>
          <w:lang w:val="es-ES_tradnl"/>
        </w:rPr>
        <w:t xml:space="preserve">algunos elementos que deben ser tomados en consideración, a modo enunciativo más no limitativo, para </w:t>
      </w:r>
      <w:r w:rsidR="00370A5E" w:rsidRPr="00EA236D">
        <w:rPr>
          <w:rFonts w:cs="Arial"/>
          <w:lang w:val="es-ES_tradnl"/>
        </w:rPr>
        <w:t xml:space="preserve">determinar </w:t>
      </w:r>
      <w:r w:rsidRPr="00EA236D">
        <w:rPr>
          <w:rFonts w:cs="Arial"/>
          <w:lang w:val="es-ES_tradnl"/>
        </w:rPr>
        <w:t xml:space="preserve">si derivado del contexto o patrones colectivos o masivos estamos frente </w:t>
      </w:r>
      <w:r w:rsidR="008A209D" w:rsidRPr="00EA236D">
        <w:rPr>
          <w:rFonts w:cs="Arial"/>
          <w:lang w:val="es-ES_tradnl"/>
        </w:rPr>
        <w:t xml:space="preserve">a </w:t>
      </w:r>
      <w:r w:rsidRPr="00EA236D">
        <w:rPr>
          <w:rFonts w:cs="Arial"/>
          <w:lang w:val="es-ES_tradnl"/>
        </w:rPr>
        <w:t>una discriminación estructural. En este sentido, los casos mencionados han tenido en consideración que se trata de</w:t>
      </w:r>
      <w:r w:rsidR="006F140D">
        <w:rPr>
          <w:rFonts w:cs="Arial"/>
          <w:lang w:val="es-ES_tradnl"/>
        </w:rPr>
        <w:t>:</w:t>
      </w:r>
      <w:r w:rsidRPr="00EA236D">
        <w:rPr>
          <w:rFonts w:cs="Arial"/>
          <w:lang w:val="es-ES_tradnl"/>
        </w:rPr>
        <w:t xml:space="preserve"> i) un </w:t>
      </w:r>
      <w:r w:rsidR="00A06B5F" w:rsidRPr="00EA236D">
        <w:rPr>
          <w:rFonts w:cs="Arial"/>
          <w:lang w:val="es-ES_tradnl"/>
        </w:rPr>
        <w:t xml:space="preserve">grupo o grupos de personas que </w:t>
      </w:r>
      <w:r w:rsidRPr="00EA236D">
        <w:rPr>
          <w:rFonts w:cs="Arial"/>
          <w:lang w:val="es-ES_tradnl"/>
        </w:rPr>
        <w:t xml:space="preserve">tienen características inmutables o inmodificables por la propia voluntad de la persona o bien </w:t>
      </w:r>
      <w:r w:rsidR="00941762" w:rsidRPr="00EA236D">
        <w:rPr>
          <w:rFonts w:cs="Arial"/>
          <w:lang w:val="es-ES_tradnl"/>
        </w:rPr>
        <w:t>que están relacionados</w:t>
      </w:r>
      <w:r w:rsidR="00941762" w:rsidRPr="00EA236D">
        <w:rPr>
          <w:rFonts w:cs="System Font Regular"/>
          <w:szCs w:val="20"/>
          <w:lang w:val="es-ES_tradnl"/>
        </w:rPr>
        <w:t xml:space="preserve"> </w:t>
      </w:r>
      <w:r w:rsidRPr="00EA236D">
        <w:rPr>
          <w:rFonts w:cs="Arial"/>
          <w:lang w:val="es-ES_tradnl"/>
        </w:rPr>
        <w:t xml:space="preserve">a factores históricos </w:t>
      </w:r>
      <w:r w:rsidR="00941762" w:rsidRPr="00EA236D">
        <w:rPr>
          <w:rFonts w:cs="Arial"/>
          <w:lang w:val="es-ES_tradnl"/>
        </w:rPr>
        <w:t>de</w:t>
      </w:r>
      <w:r w:rsidRPr="00EA236D">
        <w:rPr>
          <w:rFonts w:cs="Arial"/>
          <w:lang w:val="es-ES_tradnl"/>
        </w:rPr>
        <w:t xml:space="preserve"> pr</w:t>
      </w:r>
      <w:r w:rsidR="00941762" w:rsidRPr="00EA236D">
        <w:rPr>
          <w:rFonts w:cs="Arial"/>
          <w:lang w:val="es-ES_tradnl"/>
        </w:rPr>
        <w:t>á</w:t>
      </w:r>
      <w:r w:rsidRPr="00EA236D">
        <w:rPr>
          <w:rFonts w:cs="Arial"/>
          <w:lang w:val="es-ES_tradnl"/>
        </w:rPr>
        <w:t>cticas discriminatorias, pudiendo ser este grupo de personas minoría o mayoría; ii) que estos grupos se han encontrado en una situación sistemática e histórica de exclusión, marginación o subordinación que les impiden acceder a condiciones básicas de desarrollo humano; iii) que la situación de exclusión, marginación o subordinación se centra en una zona geográfica determinada o bien puede ser generalizada en todo el territorio de un Estado que en algunos casos puede ser intergeneracional</w:t>
      </w:r>
      <w:r w:rsidR="00D24968">
        <w:rPr>
          <w:rFonts w:cs="Arial"/>
          <w:lang w:val="es-ES_tradnl"/>
        </w:rPr>
        <w:t>,</w:t>
      </w:r>
      <w:r w:rsidRPr="00EA236D">
        <w:rPr>
          <w:rFonts w:cs="Arial"/>
          <w:lang w:val="es-ES_tradnl"/>
        </w:rPr>
        <w:t xml:space="preserve"> y iv) que las personas pertenecientes a estos grupos, sin importar la intención de la norma, la neutralidad o la mención expresa de alguna distinción o restricción explícita basada en las enunciaciones e interpretaciones del artículo 1.1 de la Convención Americana, son víctimas de discriminación indirecta o bien de discriminación </w:t>
      </w:r>
      <w:r w:rsidRPr="000C2F0F">
        <w:rPr>
          <w:rFonts w:cs="Arial"/>
          <w:i/>
          <w:lang w:val="es-ES_tradnl"/>
        </w:rPr>
        <w:t>de</w:t>
      </w:r>
      <w:r w:rsidRPr="00EA236D">
        <w:rPr>
          <w:rFonts w:cs="Arial"/>
          <w:lang w:val="es-ES_tradnl"/>
        </w:rPr>
        <w:t xml:space="preserve"> </w:t>
      </w:r>
      <w:r w:rsidRPr="00EA236D">
        <w:rPr>
          <w:rFonts w:cs="Arial"/>
          <w:i/>
          <w:lang w:val="es-ES_tradnl"/>
        </w:rPr>
        <w:t>facto,</w:t>
      </w:r>
      <w:r w:rsidRPr="00EA236D">
        <w:rPr>
          <w:rFonts w:cs="Arial"/>
          <w:lang w:val="es-ES_tradnl"/>
        </w:rPr>
        <w:t xml:space="preserve"> por las actuaciones o aplicación de medidas o acciones implementadas por el Estado.</w:t>
      </w:r>
    </w:p>
    <w:p w14:paraId="66C0B17D" w14:textId="77777777" w:rsidR="00DF2214" w:rsidRPr="00EA236D" w:rsidRDefault="00DF2214" w:rsidP="00BB236A">
      <w:pPr>
        <w:pStyle w:val="ListParagraph"/>
        <w:ind w:left="0"/>
        <w:rPr>
          <w:rFonts w:cs="System Font Regular"/>
          <w:szCs w:val="20"/>
          <w:lang w:val="es-ES_tradnl"/>
        </w:rPr>
      </w:pPr>
    </w:p>
    <w:p w14:paraId="7185085D" w14:textId="77777777" w:rsidR="00802141" w:rsidRPr="00EA236D" w:rsidRDefault="00802141" w:rsidP="00BB236A">
      <w:pPr>
        <w:pStyle w:val="ListParagraph"/>
        <w:ind w:left="0"/>
        <w:rPr>
          <w:rFonts w:cs="System Font Regular"/>
          <w:szCs w:val="20"/>
          <w:lang w:val="es-ES_tradnl"/>
        </w:rPr>
      </w:pPr>
    </w:p>
    <w:p w14:paraId="5AB75DE2" w14:textId="594C7F68" w:rsidR="00671230" w:rsidRPr="00EA236D" w:rsidRDefault="004E56F8" w:rsidP="00E11A65">
      <w:pPr>
        <w:pStyle w:val="ListParagraph"/>
        <w:spacing w:line="360" w:lineRule="auto"/>
        <w:ind w:left="0"/>
        <w:jc w:val="center"/>
        <w:rPr>
          <w:rFonts w:cs="Times New Roman"/>
          <w:szCs w:val="20"/>
          <w:lang w:val="es-ES_tradnl"/>
        </w:rPr>
      </w:pPr>
      <w:r w:rsidRPr="00EA236D">
        <w:rPr>
          <w:rFonts w:cs="Times New Roman"/>
          <w:szCs w:val="20"/>
          <w:lang w:val="es-ES_tradnl"/>
        </w:rPr>
        <w:t>V</w:t>
      </w:r>
      <w:r w:rsidR="00DF2214" w:rsidRPr="00EA236D">
        <w:rPr>
          <w:rFonts w:cs="Times New Roman"/>
          <w:szCs w:val="20"/>
          <w:lang w:val="es-ES_tradnl"/>
        </w:rPr>
        <w:t>I.</w:t>
      </w:r>
      <w:r w:rsidR="00671230" w:rsidRPr="00EA236D">
        <w:rPr>
          <w:rFonts w:cs="Times New Roman"/>
          <w:szCs w:val="20"/>
          <w:lang w:val="es-ES_tradnl"/>
        </w:rPr>
        <w:t xml:space="preserve"> EL ALCANCE DE LA DISCRIMINACIÓN ESTRUCTURAL HISTÓRICA EN EL CASO DE LOS TRABAJADORES DE LA H</w:t>
      </w:r>
      <w:r w:rsidR="006D40BA" w:rsidRPr="00EA236D">
        <w:rPr>
          <w:rFonts w:cs="Times New Roman"/>
          <w:szCs w:val="20"/>
          <w:lang w:val="es-ES_tradnl"/>
        </w:rPr>
        <w:t xml:space="preserve">ACIENDA BRASIL VERDE </w:t>
      </w:r>
    </w:p>
    <w:p w14:paraId="11FD7A91" w14:textId="77777777" w:rsidR="00535C45" w:rsidRPr="00EA236D" w:rsidRDefault="00535C45" w:rsidP="0026695A">
      <w:pPr>
        <w:rPr>
          <w:rFonts w:ascii="Verdana" w:hAnsi="Verdana" w:cs="System Font Regular"/>
        </w:rPr>
      </w:pPr>
    </w:p>
    <w:p w14:paraId="2077A427" w14:textId="3DD55DD0" w:rsidR="00320655" w:rsidRPr="00EA236D" w:rsidRDefault="00320655" w:rsidP="00320655">
      <w:pPr>
        <w:pStyle w:val="ListParagraph"/>
        <w:numPr>
          <w:ilvl w:val="0"/>
          <w:numId w:val="1"/>
        </w:numPr>
        <w:rPr>
          <w:rFonts w:cs="Times New Roman"/>
          <w:lang w:val="es-ES_tradnl"/>
        </w:rPr>
      </w:pPr>
      <w:r w:rsidRPr="00EA236D">
        <w:rPr>
          <w:rFonts w:cs="Times New Roman"/>
          <w:lang w:val="es-ES_tradnl"/>
        </w:rPr>
        <w:t>En el presente caso la Corte IDH dio por probado que el comercio de esclavos ha estado históricamente ligado al trabajo forzoso en Brasil</w:t>
      </w:r>
      <w:r w:rsidR="00BE01DE" w:rsidRPr="00EA236D">
        <w:rPr>
          <w:rStyle w:val="FootnoteReference"/>
          <w:lang w:val="es-ES_tradnl"/>
        </w:rPr>
        <w:footnoteReference w:id="103"/>
      </w:r>
      <w:r w:rsidR="00BE01DE" w:rsidRPr="00EA236D">
        <w:rPr>
          <w:rFonts w:cs="Times New Roman"/>
          <w:lang w:val="es-ES_tradnl"/>
        </w:rPr>
        <w:t xml:space="preserve">. </w:t>
      </w:r>
      <w:r w:rsidRPr="00EA236D">
        <w:rPr>
          <w:rFonts w:cs="Times New Roman"/>
          <w:lang w:val="es-ES_tradnl"/>
        </w:rPr>
        <w:t>Sin embargo, a pesar de haberse abolido la esclavitud</w:t>
      </w:r>
      <w:r w:rsidR="00C0372E" w:rsidRPr="00EA236D">
        <w:rPr>
          <w:rFonts w:cs="Times New Roman"/>
          <w:lang w:val="es-ES_tradnl"/>
        </w:rPr>
        <w:t xml:space="preserve"> (1888)</w:t>
      </w:r>
      <w:r w:rsidRPr="00EA236D">
        <w:rPr>
          <w:rFonts w:cs="Times New Roman"/>
          <w:lang w:val="es-ES_tradnl"/>
        </w:rPr>
        <w:t>, la pobreza y la concentración de la propiedad de las tierras fueron causas estructurales que provocaron la continuación del trabajo esclavo en Brasil y al no tener tierras propias ni situaciones laborales estables muchos trabajadores en Brasil se sometían a situaciones de explotación aceptando el rie</w:t>
      </w:r>
      <w:r w:rsidR="00370A5E" w:rsidRPr="00EA236D">
        <w:rPr>
          <w:rFonts w:cs="Times New Roman"/>
          <w:lang w:val="es-ES_tradnl"/>
        </w:rPr>
        <w:t>s</w:t>
      </w:r>
      <w:r w:rsidRPr="00EA236D">
        <w:rPr>
          <w:rFonts w:cs="Times New Roman"/>
          <w:lang w:val="es-ES_tradnl"/>
        </w:rPr>
        <w:t>go de caer en condiciones de trabajo inhumanas y degradantes</w:t>
      </w:r>
      <w:r w:rsidR="00370A5E" w:rsidRPr="00EA236D">
        <w:rPr>
          <w:rFonts w:cs="Times New Roman"/>
          <w:lang w:val="es-ES_tradnl"/>
        </w:rPr>
        <w:t>. P</w:t>
      </w:r>
      <w:r w:rsidRPr="00EA236D">
        <w:rPr>
          <w:rFonts w:cs="Times New Roman"/>
          <w:lang w:val="es-ES_tradnl"/>
        </w:rPr>
        <w:t>ara 2010 la OIT consideró que existían aproximadamente 25.000 personas sometidas a trabajo forzoso en territorio brasileño</w:t>
      </w:r>
      <w:r w:rsidR="00BE01DE" w:rsidRPr="00EA236D">
        <w:rPr>
          <w:rStyle w:val="FootnoteReference"/>
          <w:lang w:val="es-ES_tradnl"/>
        </w:rPr>
        <w:footnoteReference w:id="104"/>
      </w:r>
      <w:r w:rsidRPr="00EA236D">
        <w:rPr>
          <w:rFonts w:cs="Times New Roman"/>
          <w:lang w:val="es-ES_tradnl"/>
        </w:rPr>
        <w:t>.  Además, quedó pro</w:t>
      </w:r>
      <w:r w:rsidR="0052228E" w:rsidRPr="00EA236D">
        <w:rPr>
          <w:rFonts w:cs="Times New Roman"/>
          <w:lang w:val="es-ES_tradnl"/>
        </w:rPr>
        <w:t>bado que la mayor cantidad de ví</w:t>
      </w:r>
      <w:r w:rsidRPr="00EA236D">
        <w:rPr>
          <w:rFonts w:cs="Times New Roman"/>
          <w:lang w:val="es-ES_tradnl"/>
        </w:rPr>
        <w:t xml:space="preserve">ctimas de </w:t>
      </w:r>
      <w:r w:rsidRPr="00EA236D">
        <w:rPr>
          <w:rFonts w:cs="Times New Roman"/>
          <w:lang w:val="es-ES_tradnl"/>
        </w:rPr>
        <w:lastRenderedPageBreak/>
        <w:t>trabajo esclavo en Brasil son trabajadores originarios de las regiones de los estados que se caracterizan por ser los más pobres, con mayores índices de analfabetismo y de empleo rural (Maranh</w:t>
      </w:r>
      <w:r w:rsidR="000C2F0F">
        <w:rPr>
          <w:rFonts w:cs="Times New Roman"/>
          <w:lang w:val="es-ES_tradnl"/>
        </w:rPr>
        <w:t>ã</w:t>
      </w:r>
      <w:r w:rsidRPr="00EA236D">
        <w:rPr>
          <w:rFonts w:cs="Times New Roman"/>
          <w:lang w:val="es-ES_tradnl"/>
        </w:rPr>
        <w:t xml:space="preserve">o, </w:t>
      </w:r>
      <w:proofErr w:type="spellStart"/>
      <w:r w:rsidRPr="00EA236D">
        <w:rPr>
          <w:rFonts w:cs="Times New Roman"/>
          <w:lang w:val="es-ES_tradnl"/>
        </w:rPr>
        <w:t>Píauí</w:t>
      </w:r>
      <w:proofErr w:type="spellEnd"/>
      <w:r w:rsidRPr="00EA236D">
        <w:rPr>
          <w:rFonts w:cs="Times New Roman"/>
          <w:lang w:val="es-ES_tradnl"/>
        </w:rPr>
        <w:t xml:space="preserve">, </w:t>
      </w:r>
      <w:proofErr w:type="spellStart"/>
      <w:r w:rsidRPr="00EA236D">
        <w:rPr>
          <w:rFonts w:cs="Times New Roman"/>
          <w:lang w:val="es-ES_tradnl"/>
        </w:rPr>
        <w:t>Tocatins</w:t>
      </w:r>
      <w:proofErr w:type="spellEnd"/>
      <w:r w:rsidRPr="00EA236D">
        <w:rPr>
          <w:rFonts w:cs="Times New Roman"/>
          <w:lang w:val="es-ES_tradnl"/>
        </w:rPr>
        <w:t xml:space="preserve">), entre otros. </w:t>
      </w:r>
      <w:r w:rsidR="00370A5E" w:rsidRPr="00EA236D">
        <w:rPr>
          <w:rFonts w:cs="Times New Roman"/>
          <w:lang w:val="es-ES_tradnl"/>
        </w:rPr>
        <w:t>Los trabajadores de estos estados se dirigen a éstos con mayor demanda de trabajo esclavo:</w:t>
      </w:r>
      <w:r w:rsidRPr="00EA236D">
        <w:rPr>
          <w:rFonts w:cs="Times New Roman"/>
          <w:lang w:val="es-ES_tradnl"/>
        </w:rPr>
        <w:t xml:space="preserve"> Pará, Mato Grosso y Tocantins</w:t>
      </w:r>
      <w:r w:rsidR="00BE01DE" w:rsidRPr="00EA236D">
        <w:rPr>
          <w:rStyle w:val="FootnoteReference"/>
          <w:lang w:val="es-ES_tradnl"/>
        </w:rPr>
        <w:footnoteReference w:id="105"/>
      </w:r>
      <w:r w:rsidRPr="00EA236D">
        <w:rPr>
          <w:rFonts w:cs="Times New Roman"/>
          <w:lang w:val="es-ES_tradnl"/>
        </w:rPr>
        <w:t>.</w:t>
      </w:r>
      <w:r w:rsidR="00BE01DE" w:rsidRPr="00EA236D">
        <w:rPr>
          <w:rFonts w:cs="Times New Roman"/>
          <w:lang w:val="es-ES_tradnl"/>
        </w:rPr>
        <w:t xml:space="preserve"> </w:t>
      </w:r>
      <w:r w:rsidRPr="00EA236D">
        <w:rPr>
          <w:rFonts w:cs="Times New Roman"/>
          <w:lang w:val="es-ES_tradnl"/>
        </w:rPr>
        <w:t xml:space="preserve">Los trabajadores, en su mayoría hombres pobres afrodescendientes o morenos (mulatos) entre 18 y 40 años, son reclutados en sus estados de origen por los “gatos” para trabajar en </w:t>
      </w:r>
      <w:r w:rsidR="00457907" w:rsidRPr="00EA236D">
        <w:rPr>
          <w:rFonts w:cs="Times New Roman"/>
          <w:lang w:val="es-ES_tradnl"/>
        </w:rPr>
        <w:t>E</w:t>
      </w:r>
      <w:r w:rsidRPr="00EA236D">
        <w:rPr>
          <w:rFonts w:cs="Times New Roman"/>
          <w:lang w:val="es-ES_tradnl"/>
        </w:rPr>
        <w:t>stados alejado</w:t>
      </w:r>
      <w:r w:rsidR="009C30BC" w:rsidRPr="00EA236D">
        <w:rPr>
          <w:rFonts w:cs="Times New Roman"/>
          <w:lang w:val="es-ES_tradnl"/>
        </w:rPr>
        <w:t>s</w:t>
      </w:r>
      <w:r w:rsidRPr="00EA236D">
        <w:rPr>
          <w:rFonts w:cs="Times New Roman"/>
          <w:lang w:val="es-ES_tradnl"/>
        </w:rPr>
        <w:t>, con la promesa de salarios atractivos</w:t>
      </w:r>
      <w:r w:rsidR="00BE01DE" w:rsidRPr="00EA236D">
        <w:rPr>
          <w:rStyle w:val="FootnoteReference"/>
          <w:lang w:val="es-ES_tradnl"/>
        </w:rPr>
        <w:footnoteReference w:id="106"/>
      </w:r>
      <w:r w:rsidRPr="00EA236D">
        <w:rPr>
          <w:rFonts w:cs="Times New Roman"/>
          <w:lang w:val="es-ES_tradnl"/>
        </w:rPr>
        <w:t>.</w:t>
      </w:r>
      <w:r w:rsidR="00983EB0">
        <w:rPr>
          <w:rFonts w:cs="Times New Roman"/>
          <w:lang w:val="es-ES_tradnl"/>
        </w:rPr>
        <w:t xml:space="preserve"> </w:t>
      </w:r>
    </w:p>
    <w:p w14:paraId="28E13A65" w14:textId="77777777" w:rsidR="00320655" w:rsidRPr="00EA236D" w:rsidRDefault="00320655" w:rsidP="00320655">
      <w:pPr>
        <w:pStyle w:val="ListParagraph"/>
        <w:ind w:left="0"/>
        <w:rPr>
          <w:rFonts w:cs="Times New Roman"/>
          <w:lang w:val="es-ES_tradnl"/>
        </w:rPr>
      </w:pPr>
    </w:p>
    <w:p w14:paraId="638A0071" w14:textId="52585B1C" w:rsidR="00320655" w:rsidRPr="00EA236D" w:rsidRDefault="00320655" w:rsidP="005925AC">
      <w:pPr>
        <w:pStyle w:val="ListParagraph"/>
        <w:numPr>
          <w:ilvl w:val="0"/>
          <w:numId w:val="1"/>
        </w:numPr>
        <w:rPr>
          <w:rFonts w:cs="Times New Roman"/>
          <w:lang w:val="es-ES_tradnl"/>
        </w:rPr>
      </w:pPr>
      <w:r w:rsidRPr="00EA236D">
        <w:rPr>
          <w:rFonts w:cs="Times New Roman"/>
          <w:lang w:val="es-ES_tradnl"/>
        </w:rPr>
        <w:t>En cuanto a la localización geográfica de las haciendas</w:t>
      </w:r>
      <w:r w:rsidR="005925AC" w:rsidRPr="00EA236D">
        <w:rPr>
          <w:rFonts w:cs="Times New Roman"/>
          <w:lang w:val="es-ES_tradnl"/>
        </w:rPr>
        <w:t xml:space="preserve">, </w:t>
      </w:r>
      <w:r w:rsidR="005925AC" w:rsidRPr="00EA236D">
        <w:rPr>
          <w:rFonts w:cs="Times New Roman"/>
          <w:szCs w:val="20"/>
          <w:lang w:val="es-ES"/>
        </w:rPr>
        <w:t>la Corte IDH consideró que e</w:t>
      </w:r>
      <w:r w:rsidR="00DE3A14" w:rsidRPr="00EA236D">
        <w:rPr>
          <w:rFonts w:cs="Times New Roman"/>
          <w:szCs w:val="20"/>
          <w:lang w:val="es-ES"/>
        </w:rPr>
        <w:t xml:space="preserve">sta localización era </w:t>
      </w:r>
      <w:r w:rsidR="005925AC" w:rsidRPr="00EA236D">
        <w:rPr>
          <w:rFonts w:cs="Times New Roman"/>
          <w:szCs w:val="20"/>
          <w:lang w:val="es-ES"/>
        </w:rPr>
        <w:t>por sí misma un elemento que limitaba la libertad de los trabajadores, puesto que muchas veces el acceso a centros urbanos era casi imposible, debido no solo a la distancia sino también a la precariedad de las vías de acceso</w:t>
      </w:r>
      <w:r w:rsidR="005925AC" w:rsidRPr="00EA236D">
        <w:rPr>
          <w:rFonts w:cs="Times New Roman"/>
          <w:lang w:val="es-ES_tradnl"/>
        </w:rPr>
        <w:t xml:space="preserve">. </w:t>
      </w:r>
      <w:r w:rsidRPr="00EA236D">
        <w:rPr>
          <w:rFonts w:cs="Times New Roman"/>
          <w:lang w:val="es-ES_tradnl"/>
        </w:rPr>
        <w:t>De igual modo, debido a su extrema pobreza, su desesperación para trabajar y su situación de vulnerabilidad, aceptan condiciones de trabajo precaria</w:t>
      </w:r>
      <w:r w:rsidR="00C0372E" w:rsidRPr="00EA236D">
        <w:rPr>
          <w:rFonts w:cs="Times New Roman"/>
          <w:lang w:val="es-ES_tradnl"/>
        </w:rPr>
        <w:t>s</w:t>
      </w:r>
      <w:r w:rsidR="00BE01DE" w:rsidRPr="00EA236D">
        <w:rPr>
          <w:rStyle w:val="FootnoteReference"/>
          <w:lang w:val="es-ES_tradnl"/>
        </w:rPr>
        <w:footnoteReference w:id="107"/>
      </w:r>
      <w:r w:rsidR="005C41E5" w:rsidRPr="00EA236D">
        <w:rPr>
          <w:rFonts w:cs="Times New Roman"/>
          <w:lang w:val="es-ES_tradnl"/>
        </w:rPr>
        <w:t>.</w:t>
      </w:r>
      <w:r w:rsidR="00C0372E" w:rsidRPr="00EA236D">
        <w:rPr>
          <w:rFonts w:cs="Times New Roman"/>
          <w:b/>
          <w:lang w:val="es-ES_tradnl"/>
        </w:rPr>
        <w:t xml:space="preserve"> </w:t>
      </w:r>
      <w:r w:rsidRPr="00EA236D">
        <w:rPr>
          <w:rFonts w:cs="Times New Roman"/>
          <w:lang w:val="es-ES_tradnl"/>
        </w:rPr>
        <w:t>Respecto a las investigaciones por estos hechos, de acuerdo con la OIT la impunidad respecto al sometimiento a trabajo esclavo se debe a la articulación de los terratenientes con sectores de los poderes federales, estaduales y municipales de Brasil. Muchos terratenientes ejercen dominio e influencia en diferentes instancias del poder nacional, ya sea de forma directa e indirecta</w:t>
      </w:r>
      <w:r w:rsidR="00BE01DE" w:rsidRPr="00EA236D">
        <w:rPr>
          <w:rStyle w:val="FootnoteReference"/>
          <w:lang w:val="es-ES_tradnl"/>
        </w:rPr>
        <w:footnoteReference w:id="108"/>
      </w:r>
      <w:r w:rsidR="00BE01DE" w:rsidRPr="000C2F0F">
        <w:rPr>
          <w:rFonts w:cs="Times New Roman"/>
          <w:lang w:val="es-ES_tradnl"/>
        </w:rPr>
        <w:t>.</w:t>
      </w:r>
      <w:r w:rsidR="00BE01DE" w:rsidRPr="00EA236D">
        <w:rPr>
          <w:rFonts w:cs="Times New Roman"/>
          <w:b/>
          <w:lang w:val="es-ES_tradnl"/>
        </w:rPr>
        <w:t xml:space="preserve"> </w:t>
      </w:r>
      <w:r w:rsidRPr="00EA236D">
        <w:rPr>
          <w:rFonts w:cs="Times New Roman"/>
          <w:lang w:val="es-ES_tradnl"/>
        </w:rPr>
        <w:t>La Hacienda Br</w:t>
      </w:r>
      <w:r w:rsidR="00520FE8" w:rsidRPr="00EA236D">
        <w:rPr>
          <w:rFonts w:cs="Times New Roman"/>
          <w:lang w:val="es-ES_tradnl"/>
        </w:rPr>
        <w:t>asil Verde se encontraba en el E</w:t>
      </w:r>
      <w:r w:rsidRPr="00EA236D">
        <w:rPr>
          <w:rFonts w:cs="Times New Roman"/>
          <w:lang w:val="es-ES_tradnl"/>
        </w:rPr>
        <w:t>stado de Pará</w:t>
      </w:r>
      <w:r w:rsidR="00BE01DE" w:rsidRPr="00EA236D">
        <w:rPr>
          <w:rStyle w:val="FootnoteReference"/>
          <w:lang w:val="es-ES_tradnl"/>
        </w:rPr>
        <w:footnoteReference w:id="109"/>
      </w:r>
      <w:r w:rsidR="00BE01DE" w:rsidRPr="000C2F0F">
        <w:rPr>
          <w:rFonts w:cs="Times New Roman"/>
          <w:lang w:val="es-ES_tradnl"/>
        </w:rPr>
        <w:t>.</w:t>
      </w:r>
      <w:r w:rsidR="00BE01DE" w:rsidRPr="00EA236D">
        <w:rPr>
          <w:rFonts w:cs="Times New Roman"/>
          <w:b/>
          <w:lang w:val="es-ES_tradnl"/>
        </w:rPr>
        <w:t xml:space="preserve"> </w:t>
      </w:r>
    </w:p>
    <w:p w14:paraId="4EA1639F" w14:textId="77777777" w:rsidR="00320655" w:rsidRPr="00EA236D" w:rsidRDefault="00320655" w:rsidP="00320655">
      <w:pPr>
        <w:pStyle w:val="ListParagraph"/>
        <w:ind w:left="0"/>
        <w:rPr>
          <w:rFonts w:cs="Times New Roman"/>
          <w:lang w:val="es-ES_tradnl"/>
        </w:rPr>
      </w:pPr>
    </w:p>
    <w:p w14:paraId="6AA55D76" w14:textId="0521756D" w:rsidR="00526ECB" w:rsidRPr="00EA236D" w:rsidRDefault="00526ECB" w:rsidP="00526ECB">
      <w:pPr>
        <w:pStyle w:val="ListParagraph"/>
        <w:numPr>
          <w:ilvl w:val="0"/>
          <w:numId w:val="1"/>
        </w:numPr>
        <w:rPr>
          <w:rFonts w:cs="Times New Roman"/>
          <w:b/>
          <w:lang w:val="es-ES_tradnl"/>
        </w:rPr>
      </w:pPr>
      <w:r w:rsidRPr="00EA236D">
        <w:rPr>
          <w:rFonts w:cs="Times New Roman"/>
          <w:lang w:val="es-ES_tradnl"/>
        </w:rPr>
        <w:t>La Corte declaró en la Sentencia que los trabajadores rescatados de la Hacienda Brasil Verde se encontraban en una situación de servidumbre por deuda y de sometimiento a trabajos forzosos y que existían factores que potencializaban su vulnerabilidad</w:t>
      </w:r>
      <w:r w:rsidR="00BE01DE" w:rsidRPr="00EA236D">
        <w:rPr>
          <w:rStyle w:val="FootnoteReference"/>
          <w:lang w:val="es-ES_tradnl"/>
        </w:rPr>
        <w:footnoteReference w:id="110"/>
      </w:r>
      <w:r w:rsidR="00BE01DE" w:rsidRPr="00EA236D">
        <w:rPr>
          <w:rFonts w:cs="Times New Roman"/>
          <w:lang w:val="es-ES_tradnl"/>
        </w:rPr>
        <w:t>.</w:t>
      </w:r>
      <w:r w:rsidR="00BE01DE" w:rsidRPr="00EA236D">
        <w:rPr>
          <w:rFonts w:cs="Times New Roman"/>
          <w:b/>
          <w:lang w:val="es-ES_tradnl"/>
        </w:rPr>
        <w:t xml:space="preserve"> </w:t>
      </w:r>
      <w:r w:rsidRPr="00EA236D">
        <w:rPr>
          <w:rFonts w:cs="Times New Roman"/>
          <w:lang w:val="es-ES_tradnl"/>
        </w:rPr>
        <w:t>El Tribunal también consideró que dados los hechos del presente caso y dadas las características espec</w:t>
      </w:r>
      <w:r w:rsidR="00370A5E" w:rsidRPr="00EA236D">
        <w:rPr>
          <w:rFonts w:cs="Times New Roman"/>
          <w:lang w:val="es-ES_tradnl"/>
        </w:rPr>
        <w:t>í</w:t>
      </w:r>
      <w:r w:rsidRPr="00EA236D">
        <w:rPr>
          <w:rFonts w:cs="Times New Roman"/>
          <w:lang w:val="es-ES_tradnl"/>
        </w:rPr>
        <w:t xml:space="preserve">ficas a </w:t>
      </w:r>
      <w:r w:rsidR="00373439" w:rsidRPr="00EA236D">
        <w:rPr>
          <w:rFonts w:cs="Times New Roman"/>
          <w:lang w:val="es-ES_tradnl"/>
        </w:rPr>
        <w:t xml:space="preserve">las </w:t>
      </w:r>
      <w:r w:rsidRPr="00EA236D">
        <w:rPr>
          <w:rFonts w:cs="Times New Roman"/>
          <w:lang w:val="es-ES_tradnl"/>
        </w:rPr>
        <w:t>que fueron sometidos los 85 trabajadores rescatados en el año 2000</w:t>
      </w:r>
      <w:r w:rsidR="00373439" w:rsidRPr="00EA236D">
        <w:rPr>
          <w:rFonts w:cs="Times New Roman"/>
          <w:lang w:val="es-ES_tradnl"/>
        </w:rPr>
        <w:t>,</w:t>
      </w:r>
      <w:r w:rsidRPr="00EA236D">
        <w:rPr>
          <w:rFonts w:cs="Times New Roman"/>
          <w:lang w:val="es-ES_tradnl"/>
        </w:rPr>
        <w:t xml:space="preserve"> sobrepasaban los extremos de servidumbre por deudas y trabajo forzoso para llegar a cumplir con los elementos más estrictos de la definición de esclavitud establecida por la Corte</w:t>
      </w:r>
      <w:r w:rsidR="005106C8" w:rsidRPr="00EA236D">
        <w:rPr>
          <w:rStyle w:val="FootnoteReference"/>
          <w:lang w:val="es-ES_tradnl"/>
        </w:rPr>
        <w:footnoteReference w:id="111"/>
      </w:r>
      <w:r w:rsidRPr="00EA236D">
        <w:rPr>
          <w:rFonts w:cs="Times New Roman"/>
          <w:lang w:val="es-ES_tradnl"/>
        </w:rPr>
        <w:t>.</w:t>
      </w:r>
      <w:r w:rsidRPr="00EA236D">
        <w:rPr>
          <w:rFonts w:cs="Times New Roman"/>
          <w:b/>
          <w:lang w:val="es-ES_tradnl"/>
        </w:rPr>
        <w:t xml:space="preserve"> </w:t>
      </w:r>
    </w:p>
    <w:p w14:paraId="4E88A16B" w14:textId="77777777" w:rsidR="00526ECB" w:rsidRPr="00EA236D" w:rsidRDefault="00526ECB" w:rsidP="00526ECB">
      <w:pPr>
        <w:pStyle w:val="ListParagraph"/>
        <w:ind w:left="0"/>
        <w:rPr>
          <w:rFonts w:eastAsiaTheme="minorEastAsia" w:cs="System Font Regular"/>
          <w:i/>
          <w:szCs w:val="20"/>
          <w:lang w:val="es-ES_tradnl" w:eastAsia="es-ES"/>
        </w:rPr>
      </w:pPr>
    </w:p>
    <w:p w14:paraId="28367E83" w14:textId="49F8983A" w:rsidR="00ED3533" w:rsidRPr="00EA236D" w:rsidRDefault="00654FEC" w:rsidP="00654FEC">
      <w:pPr>
        <w:pStyle w:val="ListParagraph"/>
        <w:numPr>
          <w:ilvl w:val="0"/>
          <w:numId w:val="1"/>
        </w:numPr>
        <w:rPr>
          <w:rFonts w:eastAsiaTheme="minorEastAsia" w:cs="System Font Regular"/>
          <w:i/>
          <w:szCs w:val="20"/>
          <w:lang w:val="es-ES_tradnl" w:eastAsia="es-ES"/>
        </w:rPr>
      </w:pPr>
      <w:r w:rsidRPr="00EA236D">
        <w:rPr>
          <w:rFonts w:eastAsiaTheme="minorEastAsia" w:cs="System Font Regular"/>
          <w:szCs w:val="20"/>
          <w:lang w:val="es-ES_tradnl" w:eastAsia="es-ES"/>
        </w:rPr>
        <w:t>E</w:t>
      </w:r>
      <w:r w:rsidR="00ED3533" w:rsidRPr="00EA236D">
        <w:rPr>
          <w:rFonts w:eastAsiaTheme="minorEastAsia" w:cs="System Font Regular"/>
          <w:szCs w:val="20"/>
          <w:lang w:val="es-ES_tradnl" w:eastAsia="es-ES"/>
        </w:rPr>
        <w:t xml:space="preserve">l caso </w:t>
      </w:r>
      <w:r w:rsidRPr="00EA236D">
        <w:rPr>
          <w:rFonts w:eastAsiaTheme="minorEastAsia" w:cs="System Font Regular"/>
          <w:i/>
          <w:szCs w:val="20"/>
          <w:lang w:val="es-ES_tradnl" w:eastAsia="es-ES"/>
        </w:rPr>
        <w:t xml:space="preserve">Trabajadores de la </w:t>
      </w:r>
      <w:r w:rsidR="00ED3533" w:rsidRPr="00EA236D">
        <w:rPr>
          <w:rFonts w:eastAsiaTheme="minorEastAsia" w:cs="System Font Regular"/>
          <w:i/>
          <w:szCs w:val="20"/>
          <w:lang w:val="es-ES_tradnl" w:eastAsia="es-ES"/>
        </w:rPr>
        <w:t>H</w:t>
      </w:r>
      <w:r w:rsidR="00520FE8" w:rsidRPr="00EA236D">
        <w:rPr>
          <w:rFonts w:eastAsiaTheme="minorEastAsia" w:cs="System Font Regular"/>
          <w:i/>
          <w:szCs w:val="20"/>
          <w:lang w:val="es-ES_tradnl" w:eastAsia="es-ES"/>
        </w:rPr>
        <w:t>acienda Brasil Verde Vs. Brasil</w:t>
      </w:r>
      <w:r w:rsidR="00ED3533" w:rsidRPr="00EA236D">
        <w:rPr>
          <w:rFonts w:eastAsiaTheme="minorEastAsia" w:cs="System Font Regular"/>
          <w:i/>
          <w:szCs w:val="20"/>
          <w:lang w:val="es-ES_tradnl" w:eastAsia="es-ES"/>
        </w:rPr>
        <w:t xml:space="preserve"> </w:t>
      </w:r>
      <w:r w:rsidR="00ED3533" w:rsidRPr="00EA236D">
        <w:rPr>
          <w:rFonts w:eastAsiaTheme="minorEastAsia" w:cs="System Font Regular"/>
          <w:szCs w:val="20"/>
          <w:lang w:val="es-ES_tradnl" w:eastAsia="es-ES"/>
        </w:rPr>
        <w:t xml:space="preserve">constituye </w:t>
      </w:r>
      <w:r w:rsidR="00520FE8" w:rsidRPr="00EA236D">
        <w:rPr>
          <w:rFonts w:eastAsiaTheme="minorEastAsia" w:cs="System Font Regular"/>
          <w:szCs w:val="20"/>
          <w:lang w:val="es-ES_tradnl" w:eastAsia="es-ES"/>
        </w:rPr>
        <w:t>la primera vez</w:t>
      </w:r>
      <w:r w:rsidR="00ED3533" w:rsidRPr="00EA236D">
        <w:rPr>
          <w:rFonts w:eastAsiaTheme="minorEastAsia" w:cs="System Font Regular"/>
          <w:szCs w:val="20"/>
          <w:lang w:val="es-ES_tradnl" w:eastAsia="es-ES"/>
        </w:rPr>
        <w:t xml:space="preserve"> en </w:t>
      </w:r>
      <w:r w:rsidR="00520FE8" w:rsidRPr="00EA236D">
        <w:rPr>
          <w:rFonts w:eastAsiaTheme="minorEastAsia" w:cs="System Font Regular"/>
          <w:szCs w:val="20"/>
          <w:lang w:val="es-ES_tradnl" w:eastAsia="es-ES"/>
        </w:rPr>
        <w:t>la que</w:t>
      </w:r>
      <w:r w:rsidR="00ED3533" w:rsidRPr="00EA236D">
        <w:rPr>
          <w:rFonts w:eastAsiaTheme="minorEastAsia" w:cs="System Font Regular"/>
          <w:szCs w:val="20"/>
          <w:lang w:val="es-ES_tradnl" w:eastAsia="es-ES"/>
        </w:rPr>
        <w:t xml:space="preserve"> Tribunal Interamericano reconoce la existencia de una </w:t>
      </w:r>
      <w:r w:rsidR="00ED3533" w:rsidRPr="00EA236D">
        <w:rPr>
          <w:rFonts w:eastAsiaTheme="minorEastAsia" w:cs="System Font Regular"/>
          <w:i/>
          <w:szCs w:val="20"/>
          <w:lang w:val="es-ES_tradnl" w:eastAsia="es-ES"/>
        </w:rPr>
        <w:t xml:space="preserve">discriminación estructural histórica </w:t>
      </w:r>
      <w:r w:rsidR="00ED3533" w:rsidRPr="00EA236D">
        <w:rPr>
          <w:rFonts w:eastAsiaTheme="minorEastAsia" w:cs="System Font Regular"/>
          <w:szCs w:val="20"/>
          <w:lang w:val="es-ES_tradnl" w:eastAsia="es-ES"/>
        </w:rPr>
        <w:t xml:space="preserve">dado el contexto en el cual se suscitaron las violaciones de derechos humanos de las 85 víctimas. En este sentido, también </w:t>
      </w:r>
      <w:r w:rsidR="00ED3533" w:rsidRPr="00EA236D">
        <w:rPr>
          <w:rFonts w:eastAsiaTheme="minorEastAsia" w:cs="System Font Regular"/>
          <w:szCs w:val="20"/>
          <w:lang w:val="es-ES_tradnl" w:eastAsia="es-ES"/>
        </w:rPr>
        <w:lastRenderedPageBreak/>
        <w:t xml:space="preserve">constituye el primer caso en donde expresamente la Corte IDH encuentra responsabilidad internacional </w:t>
      </w:r>
      <w:r w:rsidR="00373439" w:rsidRPr="00EA236D">
        <w:rPr>
          <w:rFonts w:eastAsiaTheme="minorEastAsia" w:cs="System Font Regular"/>
          <w:szCs w:val="20"/>
          <w:lang w:val="es-ES_tradnl" w:eastAsia="es-ES"/>
        </w:rPr>
        <w:t>contra</w:t>
      </w:r>
      <w:r w:rsidR="00ED3533" w:rsidRPr="00EA236D">
        <w:rPr>
          <w:rFonts w:eastAsiaTheme="minorEastAsia" w:cs="System Font Regular"/>
          <w:szCs w:val="20"/>
          <w:lang w:val="es-ES_tradnl" w:eastAsia="es-ES"/>
        </w:rPr>
        <w:t xml:space="preserve"> un Estado por perpetuar esta situación estructural histórica de exclusión. En este sentido, en la Sentencia se expone que: </w:t>
      </w:r>
    </w:p>
    <w:p w14:paraId="75E2525A" w14:textId="77DF4C1B" w:rsidR="00654FEC" w:rsidRPr="00EA236D" w:rsidRDefault="00ED3533" w:rsidP="00654FEC">
      <w:pPr>
        <w:pStyle w:val="ListParagraph"/>
        <w:ind w:left="0"/>
        <w:rPr>
          <w:rFonts w:eastAsiaTheme="minorEastAsia" w:cs="System Font Regular"/>
          <w:szCs w:val="20"/>
          <w:lang w:val="es-ES_tradnl" w:eastAsia="es-ES"/>
        </w:rPr>
      </w:pPr>
      <w:r w:rsidRPr="00EA236D">
        <w:rPr>
          <w:rFonts w:eastAsiaTheme="minorEastAsia" w:cs="System Font Regular"/>
          <w:szCs w:val="20"/>
          <w:lang w:val="es-ES_tradnl" w:eastAsia="es-ES"/>
        </w:rPr>
        <w:t xml:space="preserve"> </w:t>
      </w:r>
    </w:p>
    <w:p w14:paraId="1DE39CC7" w14:textId="7854B398" w:rsidR="00C10F59" w:rsidRPr="00EA236D" w:rsidRDefault="00654FEC" w:rsidP="00520FE8">
      <w:pPr>
        <w:ind w:left="708"/>
        <w:jc w:val="both"/>
        <w:rPr>
          <w:rFonts w:ascii="Verdana" w:hAnsi="Verdana"/>
          <w:sz w:val="16"/>
          <w:szCs w:val="16"/>
        </w:rPr>
      </w:pPr>
      <w:r w:rsidRPr="00EA236D">
        <w:rPr>
          <w:rFonts w:ascii="Verdana" w:hAnsi="Verdana"/>
          <w:sz w:val="16"/>
          <w:szCs w:val="16"/>
        </w:rPr>
        <w:t xml:space="preserve">343. En razón de todo lo expuesto, el Tribunal considera que el Estado violó el derecho a no ser sometido a esclavitud y trata de personas, en violación del artículo 6.1 de la Convención Americana sobre Derechos Humanos, en relación con los artículos 1.1, 3, 5, 7, 11 y 22 del mismo instrumento, en perjuicio de los 85 trabajadores rescatados el 15 de marzo de 2000 en la Hacienda Brasil Verde, listados en el párrafo </w:t>
      </w:r>
      <w:r w:rsidR="008843E2">
        <w:rPr>
          <w:rFonts w:ascii="Verdana" w:hAnsi="Verdana"/>
          <w:sz w:val="16"/>
          <w:szCs w:val="16"/>
        </w:rPr>
        <w:t>206</w:t>
      </w:r>
      <w:r w:rsidR="008843E2" w:rsidRPr="00EA236D">
        <w:rPr>
          <w:rFonts w:ascii="Verdana" w:hAnsi="Verdana"/>
          <w:sz w:val="16"/>
          <w:szCs w:val="16"/>
        </w:rPr>
        <w:t xml:space="preserve"> </w:t>
      </w:r>
      <w:r w:rsidRPr="00EA236D">
        <w:rPr>
          <w:rFonts w:ascii="Verdana" w:hAnsi="Verdana"/>
          <w:sz w:val="16"/>
          <w:szCs w:val="16"/>
        </w:rPr>
        <w:t xml:space="preserve">de la presente Sentencia. Adicionalmente, respecto al señor Antonio Francisco da Silva esa violación ocurrió también en relación con el artículo 19 de la Convención Americana sobre Derechos Humanos, por ser niño al momento de los hechos. </w:t>
      </w:r>
      <w:r w:rsidRPr="00EA236D">
        <w:rPr>
          <w:rFonts w:ascii="Verdana" w:hAnsi="Verdana"/>
          <w:sz w:val="16"/>
          <w:szCs w:val="16"/>
          <w:u w:val="single"/>
        </w:rPr>
        <w:t xml:space="preserve">Finalmente, Brasil es responsable por la violación del artículo 6.1 de la Convención Americana, en relación con el artículo 1.1 del mismo instrumento, producida en el marco de una situación de discriminación estructural histórica en razón de la posición económica de los 85 trabajadores identificados en el párrafo </w:t>
      </w:r>
      <w:r w:rsidR="008843E2">
        <w:rPr>
          <w:rFonts w:ascii="Verdana" w:hAnsi="Verdana"/>
          <w:sz w:val="16"/>
          <w:szCs w:val="16"/>
          <w:u w:val="single"/>
        </w:rPr>
        <w:t>206</w:t>
      </w:r>
      <w:r w:rsidR="008843E2" w:rsidRPr="00EA236D">
        <w:rPr>
          <w:rFonts w:ascii="Verdana" w:hAnsi="Verdana"/>
          <w:sz w:val="16"/>
          <w:szCs w:val="16"/>
          <w:u w:val="single"/>
        </w:rPr>
        <w:t xml:space="preserve"> </w:t>
      </w:r>
      <w:r w:rsidRPr="00EA236D">
        <w:rPr>
          <w:rFonts w:ascii="Verdana" w:hAnsi="Verdana"/>
          <w:sz w:val="16"/>
          <w:szCs w:val="16"/>
          <w:u w:val="single"/>
        </w:rPr>
        <w:t>de la presente Sentencia</w:t>
      </w:r>
      <w:r w:rsidRPr="00EA236D">
        <w:rPr>
          <w:rFonts w:ascii="Verdana" w:hAnsi="Verdana"/>
          <w:sz w:val="16"/>
          <w:szCs w:val="16"/>
        </w:rPr>
        <w:t>.</w:t>
      </w:r>
      <w:r w:rsidR="00D66A74" w:rsidRPr="00EA236D">
        <w:rPr>
          <w:rFonts w:ascii="Verdana" w:hAnsi="Verdana"/>
          <w:sz w:val="16"/>
          <w:szCs w:val="16"/>
        </w:rPr>
        <w:t xml:space="preserve"> </w:t>
      </w:r>
    </w:p>
    <w:p w14:paraId="067E415B" w14:textId="77777777" w:rsidR="00654FEC" w:rsidRPr="00EA236D" w:rsidRDefault="00654FEC" w:rsidP="00654FEC">
      <w:pPr>
        <w:pStyle w:val="ListParagraph"/>
        <w:ind w:left="0"/>
        <w:rPr>
          <w:sz w:val="16"/>
          <w:szCs w:val="16"/>
          <w:lang w:val="es-ES_tradnl"/>
        </w:rPr>
      </w:pPr>
    </w:p>
    <w:p w14:paraId="260A12F0" w14:textId="3E0E6438" w:rsidR="00654FEC" w:rsidRPr="00EA236D" w:rsidRDefault="00ED3533" w:rsidP="00ED3533">
      <w:pPr>
        <w:pStyle w:val="ListParagraph"/>
        <w:ind w:left="0" w:firstLine="708"/>
        <w:jc w:val="center"/>
        <w:rPr>
          <w:sz w:val="16"/>
          <w:szCs w:val="16"/>
          <w:lang w:val="es-ES_tradnl"/>
        </w:rPr>
      </w:pPr>
      <w:r w:rsidRPr="00EA236D">
        <w:rPr>
          <w:sz w:val="16"/>
          <w:szCs w:val="16"/>
          <w:lang w:val="es-ES_tradnl"/>
        </w:rPr>
        <w:t>PUNTOS RESOLUTIVOS</w:t>
      </w:r>
    </w:p>
    <w:p w14:paraId="2D857F91" w14:textId="77777777" w:rsidR="00654FEC" w:rsidRPr="00EA236D" w:rsidRDefault="00654FEC" w:rsidP="00654FEC">
      <w:pPr>
        <w:tabs>
          <w:tab w:val="left" w:pos="720"/>
        </w:tabs>
        <w:ind w:right="-90"/>
        <w:contextualSpacing/>
        <w:jc w:val="both"/>
        <w:rPr>
          <w:rFonts w:ascii="Verdana" w:eastAsia="Cambria" w:hAnsi="Verdana" w:cs="Times New Roman"/>
          <w:sz w:val="16"/>
          <w:szCs w:val="16"/>
        </w:rPr>
      </w:pPr>
    </w:p>
    <w:p w14:paraId="6B300D92" w14:textId="56CF3116" w:rsidR="00654FEC" w:rsidRPr="00EA236D" w:rsidRDefault="00ED3533" w:rsidP="00ED3533">
      <w:pPr>
        <w:tabs>
          <w:tab w:val="left" w:pos="720"/>
        </w:tabs>
        <w:ind w:left="708" w:right="-90"/>
        <w:contextualSpacing/>
        <w:jc w:val="both"/>
        <w:rPr>
          <w:rFonts w:ascii="Verdana" w:eastAsia="Cambria" w:hAnsi="Verdana" w:cs="Times New Roman"/>
          <w:sz w:val="16"/>
          <w:szCs w:val="16"/>
        </w:rPr>
      </w:pPr>
      <w:r w:rsidRPr="00EA236D">
        <w:rPr>
          <w:rFonts w:ascii="Verdana" w:eastAsia="Cambria" w:hAnsi="Verdana" w:cs="Times New Roman"/>
          <w:sz w:val="16"/>
          <w:szCs w:val="16"/>
        </w:rPr>
        <w:tab/>
      </w:r>
      <w:r w:rsidR="00654FEC" w:rsidRPr="00EA236D">
        <w:rPr>
          <w:rFonts w:ascii="Verdana" w:eastAsia="Cambria" w:hAnsi="Verdana" w:cs="Times New Roman"/>
          <w:sz w:val="16"/>
          <w:szCs w:val="16"/>
        </w:rPr>
        <w:t xml:space="preserve">4. </w:t>
      </w:r>
      <w:r w:rsidR="00654FEC" w:rsidRPr="00EA236D">
        <w:rPr>
          <w:rFonts w:ascii="Verdana" w:eastAsia="Cambria" w:hAnsi="Verdana" w:cs="Times New Roman"/>
          <w:sz w:val="16"/>
          <w:szCs w:val="16"/>
          <w:u w:val="single"/>
        </w:rPr>
        <w:t>El Estado es responsable por la violación del artículo 6.1 de la Convención Americana, en relación con el artículo 1.1 del mismo instrumento, producida en el marco de una situación de discriminación estructural histórica, en razón de la posición económica de los 85 trabajadores identificados</w:t>
      </w:r>
      <w:r w:rsidR="00654FEC" w:rsidRPr="00EA236D">
        <w:rPr>
          <w:rFonts w:ascii="Verdana" w:eastAsia="Cambria" w:hAnsi="Verdana" w:cs="Times New Roman"/>
          <w:sz w:val="16"/>
          <w:szCs w:val="16"/>
        </w:rPr>
        <w:t xml:space="preserve"> en el párrafo </w:t>
      </w:r>
      <w:r w:rsidR="00DF79C7">
        <w:rPr>
          <w:rFonts w:ascii="Verdana" w:eastAsia="Cambria" w:hAnsi="Verdana" w:cs="Times New Roman"/>
          <w:sz w:val="16"/>
          <w:szCs w:val="16"/>
        </w:rPr>
        <w:t>206</w:t>
      </w:r>
      <w:r w:rsidR="00DF79C7" w:rsidRPr="00EA236D">
        <w:rPr>
          <w:rFonts w:ascii="Verdana" w:eastAsia="Cambria" w:hAnsi="Verdana" w:cs="Times New Roman"/>
          <w:sz w:val="16"/>
          <w:szCs w:val="16"/>
        </w:rPr>
        <w:t xml:space="preserve"> </w:t>
      </w:r>
      <w:r w:rsidR="00654FEC" w:rsidRPr="00EA236D">
        <w:rPr>
          <w:rFonts w:ascii="Verdana" w:eastAsia="Cambria" w:hAnsi="Verdana" w:cs="Times New Roman"/>
          <w:sz w:val="16"/>
          <w:szCs w:val="16"/>
        </w:rPr>
        <w:t xml:space="preserve">de la presente Sentencia, en los términos de los párrafos </w:t>
      </w:r>
      <w:r w:rsidR="00DF79C7">
        <w:rPr>
          <w:rFonts w:ascii="Verdana" w:eastAsia="Cambria" w:hAnsi="Verdana" w:cs="Times New Roman"/>
          <w:sz w:val="16"/>
          <w:szCs w:val="16"/>
        </w:rPr>
        <w:t>342 y 343</w:t>
      </w:r>
      <w:r w:rsidR="00DF79C7" w:rsidRPr="00EA236D">
        <w:rPr>
          <w:rFonts w:ascii="Verdana" w:eastAsia="Cambria" w:hAnsi="Verdana" w:cs="Times New Roman"/>
          <w:sz w:val="16"/>
          <w:szCs w:val="16"/>
        </w:rPr>
        <w:t xml:space="preserve"> </w:t>
      </w:r>
      <w:r w:rsidR="00654FEC" w:rsidRPr="00EA236D">
        <w:rPr>
          <w:rFonts w:ascii="Verdana" w:eastAsia="Cambria" w:hAnsi="Verdana" w:cs="Times New Roman"/>
          <w:sz w:val="16"/>
          <w:szCs w:val="16"/>
        </w:rPr>
        <w:t>de la presente Sentencia</w:t>
      </w:r>
      <w:r w:rsidR="005106C8" w:rsidRPr="00EA236D">
        <w:rPr>
          <w:rStyle w:val="FootnoteReference"/>
          <w:rFonts w:ascii="Verdana" w:eastAsia="Cambria" w:hAnsi="Verdana"/>
          <w:sz w:val="16"/>
        </w:rPr>
        <w:footnoteReference w:id="112"/>
      </w:r>
      <w:r w:rsidR="00654FEC" w:rsidRPr="00EA236D">
        <w:rPr>
          <w:rFonts w:ascii="Verdana" w:eastAsia="Cambria" w:hAnsi="Verdana" w:cs="Times New Roman"/>
          <w:sz w:val="16"/>
          <w:szCs w:val="16"/>
        </w:rPr>
        <w:t>.</w:t>
      </w:r>
      <w:r w:rsidR="00C0372E" w:rsidRPr="00EA236D">
        <w:rPr>
          <w:rFonts w:ascii="Verdana" w:eastAsia="Cambria" w:hAnsi="Verdana" w:cs="Times New Roman"/>
          <w:sz w:val="16"/>
          <w:szCs w:val="16"/>
        </w:rPr>
        <w:t xml:space="preserve"> </w:t>
      </w:r>
      <w:r w:rsidR="00C0372E" w:rsidRPr="00EA236D">
        <w:rPr>
          <w:rFonts w:ascii="Verdana" w:hAnsi="Verdana"/>
          <w:sz w:val="16"/>
          <w:szCs w:val="16"/>
        </w:rPr>
        <w:t>(Énfasis añadido).</w:t>
      </w:r>
    </w:p>
    <w:p w14:paraId="6B85394E" w14:textId="77777777" w:rsidR="00654FEC" w:rsidRPr="00EA236D" w:rsidRDefault="00654FEC" w:rsidP="00654FEC">
      <w:pPr>
        <w:pStyle w:val="ListParagraph"/>
        <w:ind w:left="0"/>
        <w:rPr>
          <w:lang w:val="es-ES_tradnl"/>
        </w:rPr>
      </w:pPr>
    </w:p>
    <w:p w14:paraId="0F1D2F5C" w14:textId="1BAAA9A8" w:rsidR="0026695A" w:rsidRPr="00EA236D" w:rsidRDefault="0026695A" w:rsidP="0026695A">
      <w:pPr>
        <w:pStyle w:val="ListParagraph"/>
        <w:numPr>
          <w:ilvl w:val="0"/>
          <w:numId w:val="1"/>
        </w:numPr>
        <w:rPr>
          <w:rFonts w:cs="Times New Roman"/>
          <w:lang w:val="es-ES_tradnl"/>
        </w:rPr>
      </w:pPr>
      <w:r w:rsidRPr="00EA236D">
        <w:rPr>
          <w:rFonts w:cs="Times New Roman"/>
          <w:lang w:val="es-ES_tradnl"/>
        </w:rPr>
        <w:t>Si bien la problemática de la existencia de pobreza y la extrema pobreza en la región interamericana incumbe a todos los Estados que forman parte del Sistema Interamericano, para los efectos de análisis del presente caso, es importante res</w:t>
      </w:r>
      <w:r w:rsidR="00DF2214" w:rsidRPr="00EA236D">
        <w:rPr>
          <w:rFonts w:cs="Times New Roman"/>
          <w:lang w:val="es-ES_tradnl"/>
        </w:rPr>
        <w:t>altar la situación de pobreza —</w:t>
      </w:r>
      <w:r w:rsidRPr="00EA236D">
        <w:rPr>
          <w:rFonts w:cs="Times New Roman"/>
          <w:lang w:val="es-ES_tradnl"/>
        </w:rPr>
        <w:t>que podría enmarcarse de</w:t>
      </w:r>
      <w:r w:rsidR="00DF2214" w:rsidRPr="00EA236D">
        <w:rPr>
          <w:rFonts w:cs="Times New Roman"/>
          <w:lang w:val="es-ES_tradnl"/>
        </w:rPr>
        <w:t>ntro de una pobreza estructural—</w:t>
      </w:r>
      <w:r w:rsidRPr="00EA236D">
        <w:rPr>
          <w:rFonts w:cs="Times New Roman"/>
          <w:lang w:val="es-ES_tradnl"/>
        </w:rPr>
        <w:t xml:space="preserve"> que originó en primera instancia que los 85 trabajadores se</w:t>
      </w:r>
      <w:r w:rsidR="00526ECB" w:rsidRPr="00EA236D">
        <w:rPr>
          <w:rFonts w:cs="Times New Roman"/>
          <w:lang w:val="es-ES_tradnl"/>
        </w:rPr>
        <w:t xml:space="preserve">an objeto de trata de personas </w:t>
      </w:r>
      <w:r w:rsidRPr="00EA236D">
        <w:rPr>
          <w:rFonts w:cs="Times New Roman"/>
          <w:lang w:val="es-ES_tradnl"/>
        </w:rPr>
        <w:t xml:space="preserve">y que tuvo como consecuencia que las víctimas sean sometidas a trabajo forzoso y servidumbre por deudas. </w:t>
      </w:r>
      <w:r w:rsidR="00A673E7" w:rsidRPr="00EA236D">
        <w:rPr>
          <w:rFonts w:cs="Times New Roman"/>
          <w:lang w:val="es-ES_tradnl"/>
        </w:rPr>
        <w:t>D</w:t>
      </w:r>
      <w:r w:rsidRPr="00EA236D">
        <w:rPr>
          <w:rFonts w:cs="Times New Roman"/>
          <w:lang w:val="es-ES_tradnl"/>
        </w:rPr>
        <w:t>os aspectos fundamentales que han concurrido en el presente caso</w:t>
      </w:r>
      <w:r w:rsidR="00F61BD2" w:rsidRPr="00EA236D">
        <w:rPr>
          <w:rFonts w:cs="Times New Roman"/>
          <w:lang w:val="es-ES_tradnl"/>
        </w:rPr>
        <w:t>,</w:t>
      </w:r>
      <w:r w:rsidRPr="00EA236D">
        <w:rPr>
          <w:rFonts w:cs="Times New Roman"/>
          <w:lang w:val="es-ES_tradnl"/>
        </w:rPr>
        <w:t xml:space="preserve"> </w:t>
      </w:r>
      <w:r w:rsidR="00F61BD2" w:rsidRPr="00EA236D">
        <w:rPr>
          <w:rFonts w:cs="Times New Roman"/>
          <w:lang w:val="es-ES_tradnl"/>
        </w:rPr>
        <w:t>y que fueron determinantes para configurar la discriminación por situación económica</w:t>
      </w:r>
      <w:r w:rsidR="008519AF" w:rsidRPr="00EA236D">
        <w:rPr>
          <w:rFonts w:cs="Times New Roman"/>
          <w:lang w:val="es-ES_tradnl"/>
        </w:rPr>
        <w:t xml:space="preserve"> derivada de la pobreza</w:t>
      </w:r>
      <w:r w:rsidR="00F61BD2" w:rsidRPr="00EA236D">
        <w:rPr>
          <w:rFonts w:cs="Times New Roman"/>
          <w:lang w:val="es-ES_tradnl"/>
        </w:rPr>
        <w:t>, fueron</w:t>
      </w:r>
      <w:r w:rsidRPr="00EA236D">
        <w:rPr>
          <w:rFonts w:cs="Times New Roman"/>
          <w:lang w:val="es-ES_tradnl"/>
        </w:rPr>
        <w:t>: i) concentración del fenómeno de trabajo esclavo en un área geográfica específica y su perpetuación histórica</w:t>
      </w:r>
      <w:r w:rsidR="00C0372E" w:rsidRPr="00EA236D">
        <w:rPr>
          <w:rFonts w:cs="Times New Roman"/>
          <w:lang w:val="es-ES_tradnl"/>
        </w:rPr>
        <w:t>;</w:t>
      </w:r>
      <w:r w:rsidRPr="00EA236D">
        <w:rPr>
          <w:rFonts w:cs="Times New Roman"/>
          <w:lang w:val="es-ES_tradnl"/>
        </w:rPr>
        <w:t xml:space="preserve"> y ii) la imposibilidad de las 85 víctimas de obtener mediante su trabajo condiciones básicas de desarrollo humano. </w:t>
      </w:r>
    </w:p>
    <w:p w14:paraId="0328B0F9" w14:textId="77777777" w:rsidR="009511E4" w:rsidRPr="00EA236D" w:rsidRDefault="009511E4" w:rsidP="009511E4">
      <w:pPr>
        <w:pStyle w:val="ListParagraph"/>
        <w:ind w:left="0"/>
        <w:rPr>
          <w:rFonts w:cs="Times New Roman"/>
          <w:lang w:val="es-ES_tradnl"/>
        </w:rPr>
      </w:pPr>
    </w:p>
    <w:p w14:paraId="6DAEA28D" w14:textId="2E1AD0B2" w:rsidR="0026695A" w:rsidRPr="00EA236D" w:rsidRDefault="00A673E7" w:rsidP="0026695A">
      <w:pPr>
        <w:pStyle w:val="ListParagraph"/>
        <w:numPr>
          <w:ilvl w:val="0"/>
          <w:numId w:val="1"/>
        </w:numPr>
        <w:rPr>
          <w:rFonts w:cs="Times New Roman"/>
          <w:b/>
          <w:szCs w:val="20"/>
          <w:lang w:val="es-ES_tradnl"/>
        </w:rPr>
      </w:pPr>
      <w:r w:rsidRPr="00EA236D">
        <w:rPr>
          <w:rFonts w:cs="Times New Roman"/>
          <w:szCs w:val="20"/>
          <w:lang w:val="es-ES_tradnl"/>
        </w:rPr>
        <w:t>Es importante aclarar que e</w:t>
      </w:r>
      <w:r w:rsidR="0026695A" w:rsidRPr="00EA236D">
        <w:rPr>
          <w:rFonts w:cs="Times New Roman"/>
          <w:szCs w:val="20"/>
          <w:lang w:val="es-ES_tradnl"/>
        </w:rPr>
        <w:t>n muchos casos es probable que no exista una intencionalidad directa de confinar a los miembros de un grupo a los estratos inferiores de la estructura social, ni de colocarlos en situaciones de desventaja sistemática; es p</w:t>
      </w:r>
      <w:r w:rsidR="00A74FD9" w:rsidRPr="00EA236D">
        <w:rPr>
          <w:rFonts w:cs="Times New Roman"/>
          <w:szCs w:val="20"/>
          <w:lang w:val="es-ES_tradnl"/>
        </w:rPr>
        <w:t>robable</w:t>
      </w:r>
      <w:r w:rsidR="0026695A" w:rsidRPr="00EA236D">
        <w:rPr>
          <w:rFonts w:cs="Times New Roman"/>
          <w:szCs w:val="20"/>
          <w:lang w:val="es-ES_tradnl"/>
        </w:rPr>
        <w:t xml:space="preserve"> que ni siquiera sea posible identificar con claridad cu</w:t>
      </w:r>
      <w:r w:rsidR="00370A5E" w:rsidRPr="00EA236D">
        <w:rPr>
          <w:rFonts w:cs="Times New Roman"/>
          <w:szCs w:val="20"/>
          <w:lang w:val="es-ES_tradnl"/>
        </w:rPr>
        <w:t>á</w:t>
      </w:r>
      <w:r w:rsidR="0026695A" w:rsidRPr="00EA236D">
        <w:rPr>
          <w:rFonts w:cs="Times New Roman"/>
          <w:szCs w:val="20"/>
          <w:lang w:val="es-ES_tradnl"/>
        </w:rPr>
        <w:t>les</w:t>
      </w:r>
      <w:r w:rsidR="00A74FD9" w:rsidRPr="00EA236D">
        <w:rPr>
          <w:rFonts w:cs="Times New Roman"/>
          <w:szCs w:val="20"/>
          <w:lang w:val="es-ES_tradnl"/>
        </w:rPr>
        <w:t xml:space="preserve">, </w:t>
      </w:r>
      <w:r w:rsidR="0026695A" w:rsidRPr="00EA236D">
        <w:rPr>
          <w:rFonts w:cs="Times New Roman"/>
          <w:szCs w:val="20"/>
          <w:lang w:val="es-ES_tradnl"/>
        </w:rPr>
        <w:t>o cu</w:t>
      </w:r>
      <w:r w:rsidR="00370A5E" w:rsidRPr="00EA236D">
        <w:rPr>
          <w:rFonts w:cs="Times New Roman"/>
          <w:szCs w:val="20"/>
          <w:lang w:val="es-ES_tradnl"/>
        </w:rPr>
        <w:t>á</w:t>
      </w:r>
      <w:r w:rsidR="0026695A" w:rsidRPr="00EA236D">
        <w:rPr>
          <w:rFonts w:cs="Times New Roman"/>
          <w:szCs w:val="20"/>
          <w:lang w:val="es-ES_tradnl"/>
        </w:rPr>
        <w:t>l</w:t>
      </w:r>
      <w:r w:rsidR="00C0372E" w:rsidRPr="00EA236D">
        <w:rPr>
          <w:rFonts w:cs="Times New Roman"/>
          <w:szCs w:val="20"/>
          <w:lang w:val="es-ES_tradnl"/>
        </w:rPr>
        <w:t xml:space="preserve"> </w:t>
      </w:r>
      <w:r w:rsidR="0026695A" w:rsidRPr="00EA236D">
        <w:rPr>
          <w:rFonts w:cs="Times New Roman"/>
          <w:szCs w:val="20"/>
          <w:lang w:val="es-ES_tradnl"/>
        </w:rPr>
        <w:t xml:space="preserve">fue o </w:t>
      </w:r>
      <w:r w:rsidR="00520FE8" w:rsidRPr="00EA236D">
        <w:rPr>
          <w:rFonts w:cs="Times New Roman"/>
          <w:szCs w:val="20"/>
          <w:lang w:val="es-ES_tradnl"/>
        </w:rPr>
        <w:t xml:space="preserve">fueron los factores concretos, </w:t>
      </w:r>
      <w:r w:rsidR="0026695A" w:rsidRPr="00EA236D">
        <w:rPr>
          <w:rFonts w:cs="Times New Roman"/>
          <w:szCs w:val="20"/>
          <w:lang w:val="es-ES_tradnl"/>
        </w:rPr>
        <w:t>las decisiones o las prácticas que contribuyeron para llegar a e</w:t>
      </w:r>
      <w:r w:rsidRPr="00EA236D">
        <w:rPr>
          <w:rFonts w:cs="Times New Roman"/>
          <w:szCs w:val="20"/>
          <w:lang w:val="es-ES_tradnl"/>
        </w:rPr>
        <w:t>se resultado</w:t>
      </w:r>
      <w:r w:rsidR="00A74FD9" w:rsidRPr="00EA236D">
        <w:rPr>
          <w:rFonts w:cs="Times New Roman"/>
          <w:szCs w:val="20"/>
          <w:lang w:val="es-ES_tradnl"/>
        </w:rPr>
        <w:t xml:space="preserve"> de desventaja sistemática</w:t>
      </w:r>
      <w:r w:rsidRPr="00EA236D">
        <w:rPr>
          <w:rFonts w:cs="Times New Roman"/>
          <w:szCs w:val="20"/>
          <w:lang w:val="es-ES_tradnl"/>
        </w:rPr>
        <w:t xml:space="preserve">. En este sentido, </w:t>
      </w:r>
      <w:r w:rsidR="0026695A" w:rsidRPr="00EA236D">
        <w:rPr>
          <w:rFonts w:cs="Times New Roman"/>
          <w:szCs w:val="20"/>
          <w:lang w:val="es-ES_tradnl"/>
        </w:rPr>
        <w:t xml:space="preserve">lo relevante </w:t>
      </w:r>
      <w:r w:rsidR="00A74FD9" w:rsidRPr="00EA236D">
        <w:rPr>
          <w:rFonts w:cs="Times New Roman"/>
          <w:szCs w:val="20"/>
          <w:lang w:val="es-ES_tradnl"/>
        </w:rPr>
        <w:t xml:space="preserve">es </w:t>
      </w:r>
      <w:r w:rsidR="0026695A" w:rsidRPr="00EA236D">
        <w:rPr>
          <w:rFonts w:cs="Times New Roman"/>
          <w:szCs w:val="20"/>
          <w:lang w:val="es-ES_tradnl"/>
        </w:rPr>
        <w:t>determinar si existió una afectación a la prohibición de discriminación y si un grupo de personas ha</w:t>
      </w:r>
      <w:r w:rsidR="00526ECB" w:rsidRPr="00EA236D">
        <w:rPr>
          <w:rFonts w:cs="Times New Roman"/>
          <w:vanish/>
          <w:lang w:val="es-ES_tradnl"/>
        </w:rPr>
        <w:t xml:space="preserve">  la Hacienda Brasil Verde tenian ia estructural - nta  a Interamericano tado por perpetuar esta situacio a las personas qie viv</w:t>
      </w:r>
      <w:r w:rsidR="0026695A" w:rsidRPr="00EA236D">
        <w:rPr>
          <w:rFonts w:cs="Times New Roman"/>
          <w:szCs w:val="20"/>
          <w:lang w:val="es-ES_tradnl"/>
        </w:rPr>
        <w:t xml:space="preserve"> resu</w:t>
      </w:r>
      <w:r w:rsidR="00520FE8" w:rsidRPr="00EA236D">
        <w:rPr>
          <w:rFonts w:cs="Times New Roman"/>
          <w:szCs w:val="20"/>
          <w:lang w:val="es-ES_tradnl"/>
        </w:rPr>
        <w:t xml:space="preserve">ltado </w:t>
      </w:r>
      <w:r w:rsidR="00DF2214" w:rsidRPr="00EA236D">
        <w:rPr>
          <w:rFonts w:cs="Times New Roman"/>
          <w:szCs w:val="20"/>
          <w:lang w:val="es-ES_tradnl"/>
        </w:rPr>
        <w:t xml:space="preserve">excluido continuamente </w:t>
      </w:r>
      <w:r w:rsidR="0026695A" w:rsidRPr="00EA236D">
        <w:rPr>
          <w:rFonts w:cs="Times New Roman"/>
          <w:szCs w:val="20"/>
          <w:lang w:val="es-ES_tradnl"/>
        </w:rPr>
        <w:t>e</w:t>
      </w:r>
      <w:r w:rsidR="00941762" w:rsidRPr="00EA236D">
        <w:rPr>
          <w:rFonts w:cs="Times New Roman"/>
          <w:szCs w:val="20"/>
          <w:lang w:val="es-ES_tradnl"/>
        </w:rPr>
        <w:t>n</w:t>
      </w:r>
      <w:r w:rsidR="0026695A" w:rsidRPr="00EA236D">
        <w:rPr>
          <w:rFonts w:cs="Times New Roman"/>
          <w:szCs w:val="20"/>
          <w:lang w:val="es-ES_tradnl"/>
        </w:rPr>
        <w:t xml:space="preserve"> ámbitos relevantes e imprescindibles para el desarrollo autónomo de la persona.</w:t>
      </w:r>
    </w:p>
    <w:p w14:paraId="13CA94F3" w14:textId="77777777" w:rsidR="0026695A" w:rsidRPr="00EA236D" w:rsidRDefault="0026695A" w:rsidP="0026695A">
      <w:pPr>
        <w:rPr>
          <w:rFonts w:ascii="Verdana" w:hAnsi="Verdana" w:cs="Arial"/>
        </w:rPr>
      </w:pPr>
    </w:p>
    <w:p w14:paraId="60E21FBE" w14:textId="0AB2994B" w:rsidR="00457907" w:rsidRPr="00EA236D" w:rsidRDefault="0026695A" w:rsidP="00320655">
      <w:pPr>
        <w:pStyle w:val="ListParagraph"/>
        <w:numPr>
          <w:ilvl w:val="0"/>
          <w:numId w:val="1"/>
        </w:numPr>
        <w:contextualSpacing w:val="0"/>
        <w:rPr>
          <w:rFonts w:cs="Arial"/>
          <w:lang w:val="es-ES_tradnl"/>
        </w:rPr>
      </w:pPr>
      <w:r w:rsidRPr="00EA236D">
        <w:rPr>
          <w:rFonts w:cs="Arial"/>
          <w:lang w:val="es-ES_tradnl"/>
        </w:rPr>
        <w:t xml:space="preserve">  Derivado del contexto, las 85 víctima</w:t>
      </w:r>
      <w:r w:rsidR="00320655" w:rsidRPr="00EA236D">
        <w:rPr>
          <w:rFonts w:cs="Arial"/>
          <w:lang w:val="es-ES_tradnl"/>
        </w:rPr>
        <w:t>s del presente caso, habían</w:t>
      </w:r>
      <w:r w:rsidRPr="00EA236D">
        <w:rPr>
          <w:rFonts w:cs="Arial"/>
          <w:lang w:val="es-ES_tradnl"/>
        </w:rPr>
        <w:t xml:space="preserve"> sido objeto de trata de personas por la captación y el reclutamiento de trabajadores a través de </w:t>
      </w:r>
      <w:r w:rsidRPr="00EA236D">
        <w:rPr>
          <w:rFonts w:cs="Arial"/>
          <w:lang w:val="es-ES_tradnl"/>
        </w:rPr>
        <w:lastRenderedPageBreak/>
        <w:t xml:space="preserve">fraude, engaño y falsas promesas desde </w:t>
      </w:r>
      <w:r w:rsidR="00EC4778" w:rsidRPr="00EA236D">
        <w:rPr>
          <w:rFonts w:cs="Arial"/>
          <w:lang w:val="es-ES_tradnl"/>
        </w:rPr>
        <w:t xml:space="preserve">las </w:t>
      </w:r>
      <w:r w:rsidRPr="00EA236D">
        <w:rPr>
          <w:rFonts w:cs="Arial"/>
          <w:lang w:val="es-ES_tradnl"/>
        </w:rPr>
        <w:t>regiones más pobres del país y que esta captación t</w:t>
      </w:r>
      <w:r w:rsidR="00C0372E" w:rsidRPr="00EA236D">
        <w:rPr>
          <w:rFonts w:cs="Arial"/>
          <w:lang w:val="es-ES_tradnl"/>
        </w:rPr>
        <w:t>ení</w:t>
      </w:r>
      <w:r w:rsidR="00EC4778" w:rsidRPr="00EA236D">
        <w:rPr>
          <w:rFonts w:cs="Arial"/>
          <w:lang w:val="es-ES_tradnl"/>
        </w:rPr>
        <w:t>a</w:t>
      </w:r>
      <w:r w:rsidRPr="00EA236D">
        <w:rPr>
          <w:rFonts w:cs="Arial"/>
          <w:lang w:val="es-ES_tradnl"/>
        </w:rPr>
        <w:t xml:space="preserve"> como finalidad la explotación laboral en Brasil</w:t>
      </w:r>
      <w:r w:rsidR="005106C8" w:rsidRPr="00EA236D">
        <w:rPr>
          <w:rStyle w:val="FootnoteReference"/>
          <w:lang w:val="es-ES_tradnl"/>
        </w:rPr>
        <w:footnoteReference w:id="113"/>
      </w:r>
      <w:r w:rsidRPr="00EA236D">
        <w:rPr>
          <w:rFonts w:cs="Arial"/>
          <w:lang w:val="es-ES_tradnl"/>
        </w:rPr>
        <w:t xml:space="preserve"> </w:t>
      </w:r>
      <w:r w:rsidR="005106C8" w:rsidRPr="00EA236D">
        <w:rPr>
          <w:rFonts w:cs="Arial"/>
          <w:lang w:val="es-ES_tradnl"/>
        </w:rPr>
        <w:t>.</w:t>
      </w:r>
      <w:r w:rsidRPr="00EA236D">
        <w:rPr>
          <w:rFonts w:cs="Arial"/>
          <w:b/>
          <w:lang w:val="es-ES_tradnl"/>
        </w:rPr>
        <w:t xml:space="preserve"> </w:t>
      </w:r>
    </w:p>
    <w:p w14:paraId="3FC145D6" w14:textId="77777777" w:rsidR="00457907" w:rsidRPr="00EA236D" w:rsidRDefault="00457907" w:rsidP="00457907">
      <w:pPr>
        <w:rPr>
          <w:rFonts w:ascii="Verdana" w:hAnsi="Verdana" w:cs="Arial"/>
        </w:rPr>
      </w:pPr>
    </w:p>
    <w:p w14:paraId="6F745B9B" w14:textId="659AF8C0" w:rsidR="00320655" w:rsidRPr="00EA236D" w:rsidRDefault="0026695A" w:rsidP="00320655">
      <w:pPr>
        <w:pStyle w:val="ListParagraph"/>
        <w:numPr>
          <w:ilvl w:val="0"/>
          <w:numId w:val="1"/>
        </w:numPr>
        <w:contextualSpacing w:val="0"/>
        <w:rPr>
          <w:rFonts w:cs="Arial"/>
          <w:lang w:val="es-ES_tradnl"/>
        </w:rPr>
      </w:pPr>
      <w:r w:rsidRPr="00EA236D">
        <w:rPr>
          <w:rFonts w:cs="Arial"/>
          <w:lang w:val="es-ES_tradnl"/>
        </w:rPr>
        <w:t>En e</w:t>
      </w:r>
      <w:r w:rsidR="00C0372E" w:rsidRPr="00EA236D">
        <w:rPr>
          <w:rFonts w:cs="Arial"/>
          <w:lang w:val="es-ES_tradnl"/>
        </w:rPr>
        <w:t>ste sentido, teniendo</w:t>
      </w:r>
      <w:r w:rsidRPr="00EA236D">
        <w:rPr>
          <w:rFonts w:cs="Arial"/>
          <w:lang w:val="es-ES_tradnl"/>
        </w:rPr>
        <w:t xml:space="preserve"> en consideración </w:t>
      </w:r>
      <w:r w:rsidR="00EC4778" w:rsidRPr="00EA236D">
        <w:rPr>
          <w:rFonts w:cs="Arial"/>
          <w:lang w:val="es-ES_tradnl"/>
        </w:rPr>
        <w:t xml:space="preserve">que </w:t>
      </w:r>
      <w:r w:rsidRPr="00EA236D">
        <w:rPr>
          <w:rFonts w:cs="Arial"/>
          <w:lang w:val="es-ES_tradnl"/>
        </w:rPr>
        <w:t>en el presente caso</w:t>
      </w:r>
      <w:r w:rsidR="000B2DB5" w:rsidRPr="00EA236D">
        <w:rPr>
          <w:rFonts w:cs="Arial"/>
          <w:lang w:val="es-ES_tradnl"/>
        </w:rPr>
        <w:t xml:space="preserve"> </w:t>
      </w:r>
      <w:r w:rsidRPr="00EA236D">
        <w:rPr>
          <w:rFonts w:cs="Arial"/>
          <w:lang w:val="es-ES_tradnl"/>
        </w:rPr>
        <w:t xml:space="preserve">se </w:t>
      </w:r>
      <w:r w:rsidR="00320655" w:rsidRPr="00EA236D">
        <w:rPr>
          <w:rFonts w:cs="Arial"/>
          <w:lang w:val="es-ES_tradnl"/>
        </w:rPr>
        <w:t>configuró</w:t>
      </w:r>
      <w:r w:rsidRPr="00EA236D">
        <w:rPr>
          <w:rFonts w:cs="Arial"/>
          <w:lang w:val="es-ES_tradnl"/>
        </w:rPr>
        <w:t xml:space="preserve">: i) un grupo de personas </w:t>
      </w:r>
      <w:r w:rsidR="000B2DB5" w:rsidRPr="00EA236D">
        <w:rPr>
          <w:rFonts w:cs="Arial"/>
          <w:lang w:val="es-ES_tradnl"/>
        </w:rPr>
        <w:t>que requerían</w:t>
      </w:r>
      <w:r w:rsidRPr="00EA236D">
        <w:rPr>
          <w:rFonts w:cs="Arial"/>
          <w:lang w:val="es-ES_tradnl"/>
        </w:rPr>
        <w:t xml:space="preserve"> </w:t>
      </w:r>
      <w:r w:rsidRPr="00EA236D">
        <w:rPr>
          <w:rFonts w:cs="Times New Roman"/>
          <w:lang w:val="es-ES_tradnl"/>
        </w:rPr>
        <w:t>protección especial por ser personas trabajadoras que fueron objeto de trata de personas</w:t>
      </w:r>
      <w:r w:rsidR="000B2DB5" w:rsidRPr="00EA236D">
        <w:rPr>
          <w:rFonts w:cs="Times New Roman"/>
          <w:lang w:val="es-ES_tradnl"/>
        </w:rPr>
        <w:t>, y</w:t>
      </w:r>
      <w:r w:rsidRPr="00EA236D">
        <w:rPr>
          <w:rFonts w:cs="Times New Roman"/>
          <w:lang w:val="es-ES_tradnl"/>
        </w:rPr>
        <w:t xml:space="preserve"> que dada su situación de pobreza mediante engaño, alcanza</w:t>
      </w:r>
      <w:r w:rsidR="000B2DB5" w:rsidRPr="00EA236D">
        <w:rPr>
          <w:rFonts w:cs="Times New Roman"/>
          <w:lang w:val="es-ES_tradnl"/>
        </w:rPr>
        <w:t>ron</w:t>
      </w:r>
      <w:r w:rsidRPr="00EA236D">
        <w:rPr>
          <w:rFonts w:cs="Times New Roman"/>
          <w:lang w:val="es-ES_tradnl"/>
        </w:rPr>
        <w:t xml:space="preserve"> el umbral de esclavitud</w:t>
      </w:r>
      <w:r w:rsidR="00520FE8" w:rsidRPr="00EA236D">
        <w:rPr>
          <w:rFonts w:cs="Arial"/>
          <w:lang w:val="es-ES_tradnl"/>
        </w:rPr>
        <w:t>;</w:t>
      </w:r>
      <w:r w:rsidRPr="00EA236D">
        <w:rPr>
          <w:rFonts w:cs="Arial"/>
          <w:lang w:val="es-ES_tradnl"/>
        </w:rPr>
        <w:t xml:space="preserve"> ii) las personas </w:t>
      </w:r>
      <w:r w:rsidR="00CB247E">
        <w:rPr>
          <w:rFonts w:cs="Arial"/>
          <w:lang w:val="es-ES_tradnl"/>
        </w:rPr>
        <w:t xml:space="preserve">estaban </w:t>
      </w:r>
      <w:r w:rsidRPr="00EA236D">
        <w:rPr>
          <w:rFonts w:cs="Arial"/>
          <w:lang w:val="es-ES_tradnl"/>
        </w:rPr>
        <w:t xml:space="preserve">sometidas a esta práctica histórica y sistemática </w:t>
      </w:r>
      <w:r w:rsidR="00CB247E">
        <w:rPr>
          <w:rFonts w:cs="Arial"/>
          <w:lang w:val="es-ES_tradnl"/>
        </w:rPr>
        <w:t xml:space="preserve">que </w:t>
      </w:r>
      <w:r w:rsidRPr="00EA236D">
        <w:rPr>
          <w:rFonts w:cs="Arial"/>
          <w:lang w:val="es-ES_tradnl"/>
        </w:rPr>
        <w:t xml:space="preserve">los </w:t>
      </w:r>
      <w:r w:rsidR="00320655" w:rsidRPr="00EA236D">
        <w:rPr>
          <w:rFonts w:cs="Arial"/>
          <w:lang w:val="es-ES_tradnl"/>
        </w:rPr>
        <w:t>mantuvo</w:t>
      </w:r>
      <w:r w:rsidRPr="00EA236D">
        <w:rPr>
          <w:rFonts w:cs="Arial"/>
          <w:lang w:val="es-ES_tradnl"/>
        </w:rPr>
        <w:t xml:space="preserve"> e</w:t>
      </w:r>
      <w:r w:rsidR="00320655" w:rsidRPr="00EA236D">
        <w:rPr>
          <w:rFonts w:cs="Arial"/>
          <w:lang w:val="es-ES_tradnl"/>
        </w:rPr>
        <w:t>n una situación de exclusión y</w:t>
      </w:r>
      <w:r w:rsidR="00520FE8" w:rsidRPr="00EA236D">
        <w:rPr>
          <w:rFonts w:cs="Arial"/>
          <w:lang w:val="es-ES_tradnl"/>
        </w:rPr>
        <w:t xml:space="preserve"> marginación;</w:t>
      </w:r>
      <w:r w:rsidRPr="00EA236D">
        <w:rPr>
          <w:rFonts w:cs="Arial"/>
          <w:lang w:val="es-ES_tradnl"/>
        </w:rPr>
        <w:t xml:space="preserve"> iii) que si bien este caso se circunscribe en el estado de Pará y en la Hacienda Brasil Verde, también se toma en consideración las miles de víctimas que siguen siendo</w:t>
      </w:r>
      <w:r w:rsidR="0053059F" w:rsidRPr="00EA236D">
        <w:rPr>
          <w:rFonts w:cs="Arial"/>
          <w:lang w:val="es-ES_tradnl"/>
        </w:rPr>
        <w:t xml:space="preserve"> </w:t>
      </w:r>
      <w:r w:rsidRPr="00EA236D">
        <w:rPr>
          <w:rFonts w:cs="Arial"/>
          <w:lang w:val="es-ES_tradnl"/>
        </w:rPr>
        <w:t>liberadas por autoridades brasileñas en especi</w:t>
      </w:r>
      <w:r w:rsidR="00520FE8" w:rsidRPr="00EA236D">
        <w:rPr>
          <w:rFonts w:cs="Arial"/>
          <w:lang w:val="es-ES_tradnl"/>
        </w:rPr>
        <w:t>al en el sur del Estado de Pará;</w:t>
      </w:r>
      <w:r w:rsidRPr="00EA236D">
        <w:rPr>
          <w:rFonts w:cs="Arial"/>
          <w:lang w:val="es-ES_tradnl"/>
        </w:rPr>
        <w:t xml:space="preserve"> y iv) en el presente caso el fenómeno de esclavitud del cual fueron objeto 85 víctimas fue una discriminación indirecta y </w:t>
      </w:r>
      <w:r w:rsidRPr="000C2F0F">
        <w:rPr>
          <w:rFonts w:cs="Arial"/>
          <w:i/>
          <w:lang w:val="es-ES_tradnl"/>
        </w:rPr>
        <w:t>de</w:t>
      </w:r>
      <w:r w:rsidRPr="00EA236D">
        <w:rPr>
          <w:rFonts w:cs="Arial"/>
          <w:lang w:val="es-ES_tradnl"/>
        </w:rPr>
        <w:t xml:space="preserve"> </w:t>
      </w:r>
      <w:r w:rsidRPr="00EA236D">
        <w:rPr>
          <w:rFonts w:cs="Arial"/>
          <w:i/>
          <w:lang w:val="es-ES_tradnl"/>
        </w:rPr>
        <w:t>facto</w:t>
      </w:r>
      <w:r w:rsidRPr="00EA236D">
        <w:rPr>
          <w:rFonts w:cs="Arial"/>
          <w:lang w:val="es-ES_tradnl"/>
        </w:rPr>
        <w:t xml:space="preserve"> por la ineficacia de las prácticas estatales para evitar su prevención y erradicación</w:t>
      </w:r>
      <w:r w:rsidR="00520FE8" w:rsidRPr="00EA236D">
        <w:rPr>
          <w:rFonts w:cs="Arial"/>
          <w:lang w:val="es-ES_tradnl"/>
        </w:rPr>
        <w:t>.</w:t>
      </w:r>
      <w:r w:rsidRPr="00EA236D">
        <w:rPr>
          <w:rFonts w:cs="Arial"/>
          <w:lang w:val="es-ES_tradnl"/>
        </w:rPr>
        <w:t xml:space="preserve"> </w:t>
      </w:r>
      <w:r w:rsidR="00520FE8" w:rsidRPr="00EA236D">
        <w:rPr>
          <w:rFonts w:cs="Arial"/>
          <w:lang w:val="es-ES_tradnl"/>
        </w:rPr>
        <w:t xml:space="preserve">El </w:t>
      </w:r>
      <w:r w:rsidR="000B2DB5" w:rsidRPr="00EA236D">
        <w:rPr>
          <w:rFonts w:cs="Arial"/>
          <w:lang w:val="es-ES_tradnl"/>
        </w:rPr>
        <w:t>Tribunal Interamericano concluyó que los 85 trabajadores de la Hacienda Brasil Verde fueron víctimas de una discriminación estructural histórica que se presentó dentro del Estado brasileño por el fenómeno de es</w:t>
      </w:r>
      <w:r w:rsidR="00520FE8" w:rsidRPr="00EA236D">
        <w:rPr>
          <w:rFonts w:cs="Arial"/>
          <w:lang w:val="es-ES_tradnl"/>
        </w:rPr>
        <w:t>clavitud en los términos de la S</w:t>
      </w:r>
      <w:r w:rsidR="000B2DB5" w:rsidRPr="00EA236D">
        <w:rPr>
          <w:rFonts w:cs="Arial"/>
          <w:lang w:val="es-ES_tradnl"/>
        </w:rPr>
        <w:t>entencia</w:t>
      </w:r>
      <w:r w:rsidR="00320655" w:rsidRPr="00EA236D">
        <w:rPr>
          <w:rStyle w:val="FootnoteReference"/>
          <w:lang w:val="es-ES_tradnl"/>
        </w:rPr>
        <w:footnoteReference w:id="114"/>
      </w:r>
      <w:r w:rsidRPr="00EA236D">
        <w:rPr>
          <w:rFonts w:cs="Arial"/>
          <w:lang w:val="es-ES_tradnl"/>
        </w:rPr>
        <w:t>.</w:t>
      </w:r>
    </w:p>
    <w:p w14:paraId="22B2C37B" w14:textId="77777777" w:rsidR="00320655" w:rsidRPr="00EA236D" w:rsidRDefault="00320655" w:rsidP="00320655">
      <w:pPr>
        <w:pStyle w:val="ListParagraph"/>
        <w:ind w:left="0"/>
        <w:contextualSpacing w:val="0"/>
        <w:rPr>
          <w:rFonts w:cs="Arial"/>
          <w:lang w:val="es-ES_tradnl"/>
        </w:rPr>
      </w:pPr>
    </w:p>
    <w:p w14:paraId="77045A0E" w14:textId="62556FA1" w:rsidR="00320655" w:rsidRPr="00EA236D" w:rsidRDefault="00A673E7" w:rsidP="00320655">
      <w:pPr>
        <w:pStyle w:val="ListParagraph"/>
        <w:numPr>
          <w:ilvl w:val="0"/>
          <w:numId w:val="1"/>
        </w:numPr>
        <w:contextualSpacing w:val="0"/>
        <w:rPr>
          <w:rFonts w:cs="Arial"/>
          <w:lang w:val="es-ES_tradnl"/>
        </w:rPr>
      </w:pPr>
      <w:r w:rsidRPr="00EA236D">
        <w:rPr>
          <w:rFonts w:cs="Arial"/>
          <w:lang w:val="es-ES_tradnl"/>
        </w:rPr>
        <w:t>E</w:t>
      </w:r>
      <w:r w:rsidR="00320655" w:rsidRPr="00EA236D">
        <w:rPr>
          <w:rFonts w:cs="Arial"/>
          <w:lang w:val="es-ES_tradnl"/>
        </w:rPr>
        <w:t xml:space="preserve">l reconocimiento de la </w:t>
      </w:r>
      <w:r w:rsidR="00320655" w:rsidRPr="00EA236D">
        <w:rPr>
          <w:rFonts w:cs="Arial"/>
          <w:i/>
          <w:lang w:val="es-ES_tradnl"/>
        </w:rPr>
        <w:t>discriminación estructural histórica</w:t>
      </w:r>
      <w:r w:rsidR="00320655" w:rsidRPr="00EA236D">
        <w:rPr>
          <w:rFonts w:cs="Arial"/>
          <w:lang w:val="es-ES_tradnl"/>
        </w:rPr>
        <w:t xml:space="preserve"> por el fenómeno de trabajo esclavo es de vital importancia, pues no se trata de cualquier tipo de persona</w:t>
      </w:r>
      <w:r w:rsidRPr="00EA236D">
        <w:rPr>
          <w:rFonts w:cs="Arial"/>
          <w:lang w:val="es-ES_tradnl"/>
        </w:rPr>
        <w:t>s quienes</w:t>
      </w:r>
      <w:r w:rsidR="00320655" w:rsidRPr="00EA236D">
        <w:rPr>
          <w:rFonts w:cs="Arial"/>
          <w:lang w:val="es-ES_tradnl"/>
        </w:rPr>
        <w:t xml:space="preserve"> era</w:t>
      </w:r>
      <w:r w:rsidRPr="00EA236D">
        <w:rPr>
          <w:rFonts w:cs="Arial"/>
          <w:lang w:val="es-ES_tradnl"/>
        </w:rPr>
        <w:t>n</w:t>
      </w:r>
      <w:r w:rsidR="00320655" w:rsidRPr="00EA236D">
        <w:rPr>
          <w:rFonts w:cs="Arial"/>
          <w:lang w:val="es-ES_tradnl"/>
        </w:rPr>
        <w:t xml:space="preserve"> objeto de la captación por los </w:t>
      </w:r>
      <w:r w:rsidR="00320655" w:rsidRPr="00EA236D">
        <w:rPr>
          <w:rFonts w:cs="Arial"/>
          <w:i/>
          <w:lang w:val="es-ES_tradnl"/>
        </w:rPr>
        <w:t xml:space="preserve">gatos, </w:t>
      </w:r>
      <w:r w:rsidR="00320655" w:rsidRPr="00EA236D">
        <w:rPr>
          <w:rFonts w:cs="Arial"/>
          <w:lang w:val="es-ES_tradnl"/>
        </w:rPr>
        <w:t>sino que eran personas</w:t>
      </w:r>
      <w:r w:rsidR="00712D7C" w:rsidRPr="00EA236D">
        <w:rPr>
          <w:rFonts w:cs="Arial"/>
          <w:lang w:val="es-ES_tradnl"/>
        </w:rPr>
        <w:t xml:space="preserve"> con un tipo de pe</w:t>
      </w:r>
      <w:r w:rsidRPr="00EA236D">
        <w:rPr>
          <w:rFonts w:cs="Arial"/>
          <w:lang w:val="es-ES_tradnl"/>
        </w:rPr>
        <w:t>rfil especí</w:t>
      </w:r>
      <w:r w:rsidR="00712D7C" w:rsidRPr="00EA236D">
        <w:rPr>
          <w:rFonts w:cs="Arial"/>
          <w:lang w:val="es-ES_tradnl"/>
        </w:rPr>
        <w:t xml:space="preserve">fico, en el cual la pobreza en la que </w:t>
      </w:r>
      <w:r w:rsidRPr="00EA236D">
        <w:rPr>
          <w:rFonts w:cs="Arial"/>
          <w:lang w:val="es-ES_tradnl"/>
        </w:rPr>
        <w:t>vivían</w:t>
      </w:r>
      <w:r w:rsidR="00712D7C" w:rsidRPr="00EA236D">
        <w:rPr>
          <w:rFonts w:cs="Arial"/>
          <w:lang w:val="es-ES_tradnl"/>
        </w:rPr>
        <w:t xml:space="preserve"> era un factor crucial de vulnerabilidad</w:t>
      </w:r>
      <w:r w:rsidR="00320655" w:rsidRPr="00EA236D">
        <w:rPr>
          <w:rFonts w:cs="Arial"/>
          <w:lang w:val="es-ES_tradnl"/>
        </w:rPr>
        <w:t>. En los términos de la Sentencia, la Corte IDH se pronunció y consider</w:t>
      </w:r>
      <w:r w:rsidR="00EC4778" w:rsidRPr="00EA236D">
        <w:rPr>
          <w:rFonts w:cs="Arial"/>
          <w:lang w:val="es-ES_tradnl"/>
        </w:rPr>
        <w:t>ó</w:t>
      </w:r>
      <w:r w:rsidR="00520FE8" w:rsidRPr="00EA236D">
        <w:rPr>
          <w:rFonts w:cs="Arial"/>
          <w:lang w:val="es-ES_tradnl"/>
        </w:rPr>
        <w:t xml:space="preserve"> que</w:t>
      </w:r>
      <w:r w:rsidR="00320655" w:rsidRPr="00EA236D">
        <w:rPr>
          <w:rFonts w:cs="Arial"/>
          <w:lang w:val="es-ES_tradnl"/>
        </w:rPr>
        <w:t>:</w:t>
      </w:r>
    </w:p>
    <w:p w14:paraId="7ADEF65F" w14:textId="77777777" w:rsidR="00320655" w:rsidRPr="00EA236D" w:rsidRDefault="00320655" w:rsidP="00320655">
      <w:pPr>
        <w:rPr>
          <w:rFonts w:ascii="Verdana" w:hAnsi="Verdana" w:cs="Arial"/>
        </w:rPr>
      </w:pPr>
    </w:p>
    <w:p w14:paraId="66C889AC" w14:textId="73A8E099" w:rsidR="00320655" w:rsidRPr="00EA236D" w:rsidRDefault="00320655" w:rsidP="00320655">
      <w:pPr>
        <w:pStyle w:val="ListParagraph"/>
        <w:ind w:left="708"/>
        <w:rPr>
          <w:sz w:val="16"/>
          <w:szCs w:val="16"/>
          <w:lang w:val="es-ES_tradnl"/>
        </w:rPr>
      </w:pPr>
      <w:r w:rsidRPr="00EA236D">
        <w:rPr>
          <w:sz w:val="16"/>
          <w:szCs w:val="16"/>
          <w:lang w:val="es-ES_tradnl"/>
        </w:rPr>
        <w:t>339. […] en el presente caso</w:t>
      </w:r>
      <w:r w:rsidRPr="00EA236D">
        <w:rPr>
          <w:sz w:val="16"/>
          <w:szCs w:val="16"/>
          <w:u w:val="single"/>
          <w:lang w:val="es-ES_tradnl"/>
        </w:rPr>
        <w:t xml:space="preserve"> algunas características de particular victimización compartidas por los 85 trabajadores rescatados</w:t>
      </w:r>
      <w:r w:rsidRPr="00EA236D">
        <w:rPr>
          <w:sz w:val="16"/>
          <w:szCs w:val="16"/>
          <w:lang w:val="es-ES_tradnl"/>
        </w:rPr>
        <w:t xml:space="preserve"> el 15 de marzo de 2000: </w:t>
      </w:r>
      <w:r w:rsidRPr="00EA236D">
        <w:rPr>
          <w:b/>
          <w:sz w:val="16"/>
          <w:szCs w:val="16"/>
          <w:lang w:val="es-ES_tradnl"/>
        </w:rPr>
        <w:t xml:space="preserve">[i)]se encontraban en una situación de pobreza, [ii)]provenían de las regiones más pobres del país, [iii)]con menor desarrollo humano y perspectivas de trabajo y empleo, [iv)] eran analfabetas, y </w:t>
      </w:r>
      <w:r w:rsidR="00712D7C" w:rsidRPr="00EA236D">
        <w:rPr>
          <w:b/>
          <w:sz w:val="16"/>
          <w:szCs w:val="16"/>
          <w:lang w:val="es-ES_tradnl"/>
        </w:rPr>
        <w:t xml:space="preserve">[v)] </w:t>
      </w:r>
      <w:r w:rsidRPr="00EA236D">
        <w:rPr>
          <w:b/>
          <w:sz w:val="16"/>
          <w:szCs w:val="16"/>
          <w:lang w:val="es-ES_tradnl"/>
        </w:rPr>
        <w:t>tenían poca o nula</w:t>
      </w:r>
      <w:r w:rsidR="005106C8" w:rsidRPr="00EA236D">
        <w:rPr>
          <w:b/>
          <w:sz w:val="16"/>
          <w:szCs w:val="16"/>
          <w:lang w:val="es-ES_tradnl"/>
        </w:rPr>
        <w:t xml:space="preserve"> escolarización</w:t>
      </w:r>
      <w:r w:rsidRPr="00EA236D">
        <w:rPr>
          <w:b/>
          <w:sz w:val="16"/>
          <w:szCs w:val="16"/>
          <w:lang w:val="es-ES_tradnl"/>
        </w:rPr>
        <w:t>.</w:t>
      </w:r>
      <w:r w:rsidRPr="00EA236D">
        <w:rPr>
          <w:sz w:val="16"/>
          <w:szCs w:val="16"/>
          <w:lang w:val="es-ES_tradnl"/>
        </w:rPr>
        <w:t xml:space="preserve"> Lo anterior los colocaba en una situación que los hacía más susceptibles de ser reclutados mediante falsas promesas y engaños. </w:t>
      </w:r>
      <w:r w:rsidRPr="00EA236D">
        <w:rPr>
          <w:b/>
          <w:sz w:val="16"/>
          <w:szCs w:val="16"/>
          <w:lang w:val="es-ES_tradnl"/>
        </w:rPr>
        <w:t>Dicha situación de riesgo inmediato para un grupo determinado de personas con características idénticas y originarios de las mismas regiones del país, tiene orígenes históricos y era conocida desde, al menos, 1995,</w:t>
      </w:r>
      <w:r w:rsidRPr="00EA236D">
        <w:rPr>
          <w:sz w:val="16"/>
          <w:szCs w:val="16"/>
          <w:lang w:val="es-ES_tradnl"/>
        </w:rPr>
        <w:t xml:space="preserve"> cuando el Gobierno de Brasil reconoció expresamente la existencia de “trabajo esclavo” en el país</w:t>
      </w:r>
      <w:r w:rsidR="00C0372E" w:rsidRPr="00EA236D">
        <w:rPr>
          <w:sz w:val="16"/>
          <w:szCs w:val="16"/>
          <w:lang w:val="es-ES_tradnl"/>
        </w:rPr>
        <w:t xml:space="preserve"> </w:t>
      </w:r>
      <w:r w:rsidR="005106C8" w:rsidRPr="00EA236D">
        <w:rPr>
          <w:rStyle w:val="FootnoteReference"/>
          <w:sz w:val="16"/>
          <w:lang w:val="es-ES_tradnl"/>
        </w:rPr>
        <w:footnoteReference w:id="115"/>
      </w:r>
      <w:r w:rsidRPr="00EA236D">
        <w:rPr>
          <w:sz w:val="16"/>
          <w:szCs w:val="16"/>
          <w:lang w:val="es-ES_tradnl"/>
        </w:rPr>
        <w:t>.</w:t>
      </w:r>
      <w:r w:rsidR="0013659B" w:rsidRPr="00EA236D">
        <w:rPr>
          <w:sz w:val="16"/>
          <w:szCs w:val="16"/>
          <w:lang w:val="es-ES_tradnl"/>
        </w:rPr>
        <w:t xml:space="preserve"> (Énfasis añadido).</w:t>
      </w:r>
    </w:p>
    <w:p w14:paraId="4A75836B" w14:textId="63F97D4B" w:rsidR="00320655" w:rsidRPr="00EA236D" w:rsidRDefault="00320655" w:rsidP="00712D7C">
      <w:pPr>
        <w:pStyle w:val="ListParagraph"/>
        <w:ind w:left="0"/>
        <w:contextualSpacing w:val="0"/>
        <w:rPr>
          <w:rFonts w:cs="Arial"/>
          <w:lang w:val="es-ES_tradnl"/>
        </w:rPr>
      </w:pPr>
      <w:r w:rsidRPr="00EA236D">
        <w:rPr>
          <w:rFonts w:cs="Arial"/>
          <w:lang w:val="es-ES_tradnl"/>
        </w:rPr>
        <w:t xml:space="preserve"> </w:t>
      </w:r>
    </w:p>
    <w:p w14:paraId="737D3784" w14:textId="0D239A6B" w:rsidR="00C0372E" w:rsidRPr="00EA236D" w:rsidRDefault="00712D7C" w:rsidP="00C0372E">
      <w:pPr>
        <w:pStyle w:val="ListParagraph"/>
        <w:numPr>
          <w:ilvl w:val="0"/>
          <w:numId w:val="1"/>
        </w:numPr>
        <w:rPr>
          <w:rFonts w:cs="System Font Regular"/>
          <w:szCs w:val="20"/>
        </w:rPr>
      </w:pPr>
      <w:r w:rsidRPr="00EA236D">
        <w:rPr>
          <w:rFonts w:cs="System Font Regular"/>
          <w:szCs w:val="20"/>
          <w:lang w:val="es-ES_tradnl"/>
        </w:rPr>
        <w:lastRenderedPageBreak/>
        <w:t xml:space="preserve">En cuanto </w:t>
      </w:r>
      <w:r w:rsidR="00C0372E" w:rsidRPr="00EA236D">
        <w:rPr>
          <w:rFonts w:cs="System Font Regular"/>
          <w:szCs w:val="20"/>
          <w:lang w:val="es-ES_tradnl"/>
        </w:rPr>
        <w:t>a la discriminación estructural</w:t>
      </w:r>
      <w:r w:rsidR="007C5029" w:rsidRPr="00EA236D">
        <w:rPr>
          <w:rFonts w:cs="System Font Regular"/>
          <w:szCs w:val="20"/>
          <w:lang w:val="es-ES_tradnl"/>
        </w:rPr>
        <w:t xml:space="preserve"> para la determinación de la responsabilidad internacional:</w:t>
      </w:r>
    </w:p>
    <w:p w14:paraId="2F40E588" w14:textId="25C7B525" w:rsidR="00712D7C" w:rsidRPr="00EA236D" w:rsidRDefault="00520FE8" w:rsidP="00C0372E">
      <w:pPr>
        <w:pStyle w:val="ListParagraph"/>
        <w:ind w:left="0"/>
        <w:rPr>
          <w:rFonts w:cs="System Font Regular"/>
          <w:szCs w:val="20"/>
        </w:rPr>
      </w:pPr>
      <w:r w:rsidRPr="00EA236D">
        <w:rPr>
          <w:rFonts w:cs="System Font Regular"/>
          <w:szCs w:val="20"/>
        </w:rPr>
        <w:t xml:space="preserve"> </w:t>
      </w:r>
    </w:p>
    <w:p w14:paraId="67B253F7" w14:textId="25C7DF30" w:rsidR="00712D7C" w:rsidRPr="00EA236D" w:rsidRDefault="00712D7C" w:rsidP="00712D7C">
      <w:pPr>
        <w:pStyle w:val="ListParagraph"/>
        <w:ind w:left="708"/>
        <w:rPr>
          <w:sz w:val="16"/>
          <w:szCs w:val="16"/>
          <w:lang w:val="es-ES_tradnl"/>
        </w:rPr>
      </w:pPr>
      <w:r w:rsidRPr="00EA236D">
        <w:rPr>
          <w:rFonts w:eastAsiaTheme="minorEastAsia" w:cs="System Font Regular"/>
          <w:sz w:val="16"/>
          <w:szCs w:val="16"/>
          <w:lang w:val="es-ES_tradnl" w:eastAsia="es-ES"/>
        </w:rPr>
        <w:t xml:space="preserve">338. </w:t>
      </w:r>
      <w:r w:rsidRPr="00EA236D">
        <w:rPr>
          <w:sz w:val="16"/>
          <w:szCs w:val="16"/>
          <w:u w:val="single"/>
          <w:lang w:val="es-ES_tradnl"/>
        </w:rPr>
        <w:t>La Corte estima que el Estado incurre en responsabilidad internacional en aquellos casos en que, habiendo discriminación estructural, no adopta medidas específicas respecto a la situación particular de victimización en que se concreta la vulnerabilidad sobre un círculo de personas individualizadas.</w:t>
      </w:r>
      <w:r w:rsidRPr="00EA236D">
        <w:rPr>
          <w:sz w:val="16"/>
          <w:szCs w:val="16"/>
          <w:lang w:val="es-ES_tradnl"/>
        </w:rPr>
        <w:t xml:space="preserve"> La propia victimización de estas demuestra su particular vulnerabilidad, lo que demanda una acción de protección también particular, que en el caso de las personas reclutadas en la Hacienda Brasil Verde se ha omitido</w:t>
      </w:r>
      <w:r w:rsidR="005106C8" w:rsidRPr="00EA236D">
        <w:rPr>
          <w:rStyle w:val="FootnoteReference"/>
          <w:sz w:val="16"/>
          <w:lang w:val="es-ES_tradnl"/>
        </w:rPr>
        <w:footnoteReference w:id="116"/>
      </w:r>
      <w:r w:rsidRPr="00EA236D">
        <w:rPr>
          <w:sz w:val="16"/>
          <w:szCs w:val="16"/>
          <w:lang w:val="es-ES_tradnl"/>
        </w:rPr>
        <w:t>.</w:t>
      </w:r>
      <w:r w:rsidR="00520FE8" w:rsidRPr="00EA236D">
        <w:rPr>
          <w:sz w:val="16"/>
          <w:szCs w:val="16"/>
          <w:lang w:val="es-ES_tradnl"/>
        </w:rPr>
        <w:t xml:space="preserve"> (Énfasis añadido).</w:t>
      </w:r>
    </w:p>
    <w:p w14:paraId="2548645A" w14:textId="77777777" w:rsidR="00712D7C" w:rsidRPr="00EA236D" w:rsidRDefault="00712D7C" w:rsidP="00712D7C">
      <w:pPr>
        <w:pStyle w:val="ListParagraph"/>
        <w:ind w:left="0"/>
        <w:contextualSpacing w:val="0"/>
        <w:rPr>
          <w:rFonts w:cs="Arial"/>
          <w:lang w:val="es-ES_tradnl"/>
        </w:rPr>
      </w:pPr>
    </w:p>
    <w:p w14:paraId="5BD11274" w14:textId="3D42A82B" w:rsidR="00780E5F" w:rsidRPr="00EA236D" w:rsidRDefault="00712D7C" w:rsidP="00712D7C">
      <w:pPr>
        <w:pStyle w:val="ListParagraph"/>
        <w:numPr>
          <w:ilvl w:val="0"/>
          <w:numId w:val="1"/>
        </w:numPr>
        <w:contextualSpacing w:val="0"/>
        <w:rPr>
          <w:rFonts w:cs="Arial"/>
          <w:lang w:val="es-ES_tradnl"/>
        </w:rPr>
      </w:pPr>
      <w:r w:rsidRPr="00EA236D">
        <w:rPr>
          <w:rFonts w:cs="Arial"/>
          <w:lang w:val="es-ES_tradnl"/>
        </w:rPr>
        <w:t xml:space="preserve">En otras palabras, </w:t>
      </w:r>
      <w:r w:rsidR="00C51431" w:rsidRPr="00EA236D">
        <w:rPr>
          <w:rFonts w:cs="Arial"/>
          <w:lang w:val="es-ES_tradnl"/>
        </w:rPr>
        <w:t>la existencia de la</w:t>
      </w:r>
      <w:r w:rsidR="00520FE8" w:rsidRPr="00EA236D">
        <w:rPr>
          <w:rFonts w:cs="Arial"/>
          <w:lang w:val="es-ES_tradnl"/>
        </w:rPr>
        <w:t xml:space="preserve"> discriminación estructural, </w:t>
      </w:r>
      <w:r w:rsidR="00C51431" w:rsidRPr="00EA236D">
        <w:rPr>
          <w:rFonts w:cs="Arial"/>
          <w:lang w:val="es-ES_tradnl"/>
        </w:rPr>
        <w:t>en sí, es una situación reprochable a los Estados por mantener a amplios sectores</w:t>
      </w:r>
      <w:r w:rsidR="00A673E7" w:rsidRPr="00EA236D">
        <w:rPr>
          <w:rFonts w:cs="Arial"/>
          <w:lang w:val="es-ES_tradnl"/>
        </w:rPr>
        <w:t xml:space="preserve">, </w:t>
      </w:r>
      <w:r w:rsidR="00237E32" w:rsidRPr="00EA236D">
        <w:rPr>
          <w:rFonts w:cs="Arial"/>
          <w:lang w:val="es-ES_tradnl"/>
        </w:rPr>
        <w:t>o grupos</w:t>
      </w:r>
      <w:r w:rsidR="00C51431" w:rsidRPr="00EA236D">
        <w:rPr>
          <w:rFonts w:cs="Arial"/>
          <w:lang w:val="es-ES_tradnl"/>
        </w:rPr>
        <w:t xml:space="preserve"> de la población</w:t>
      </w:r>
      <w:r w:rsidR="00A673E7" w:rsidRPr="00EA236D">
        <w:rPr>
          <w:rFonts w:cs="Arial"/>
          <w:lang w:val="es-ES_tradnl"/>
        </w:rPr>
        <w:t>,</w:t>
      </w:r>
      <w:r w:rsidR="00C51431" w:rsidRPr="00EA236D">
        <w:rPr>
          <w:rFonts w:cs="Arial"/>
          <w:lang w:val="es-ES_tradnl"/>
        </w:rPr>
        <w:t xml:space="preserve"> particularmente en una situación de exclusión social. Sin embargo, </w:t>
      </w:r>
      <w:r w:rsidR="00237E32" w:rsidRPr="00EA236D">
        <w:rPr>
          <w:rFonts w:cs="Arial"/>
          <w:lang w:val="es-ES_tradnl"/>
        </w:rPr>
        <w:t>ante esta palpable situación de discriminación estructural</w:t>
      </w:r>
      <w:r w:rsidR="00DF2214" w:rsidRPr="00EA236D">
        <w:rPr>
          <w:rFonts w:cs="Arial"/>
          <w:lang w:val="es-ES_tradnl"/>
        </w:rPr>
        <w:t xml:space="preserve"> —</w:t>
      </w:r>
      <w:r w:rsidR="00237E32" w:rsidRPr="00EA236D">
        <w:rPr>
          <w:rFonts w:cs="Arial"/>
          <w:lang w:val="es-ES_tradnl"/>
        </w:rPr>
        <w:t xml:space="preserve">como los hechos </w:t>
      </w:r>
      <w:r w:rsidR="00A673E7" w:rsidRPr="00EA236D">
        <w:rPr>
          <w:rFonts w:cs="Arial"/>
          <w:lang w:val="es-ES_tradnl"/>
        </w:rPr>
        <w:t xml:space="preserve">reconocidos en </w:t>
      </w:r>
      <w:r w:rsidR="00237E32" w:rsidRPr="00EA236D">
        <w:rPr>
          <w:rFonts w:cs="Arial"/>
          <w:lang w:val="es-ES_tradnl"/>
        </w:rPr>
        <w:t>el presente caso</w:t>
      </w:r>
      <w:r w:rsidR="00DF2214" w:rsidRPr="00EA236D">
        <w:rPr>
          <w:rFonts w:cs="Arial"/>
          <w:lang w:val="es-ES_tradnl"/>
        </w:rPr>
        <w:t>—</w:t>
      </w:r>
      <w:r w:rsidR="00237E32" w:rsidRPr="00EA236D">
        <w:rPr>
          <w:rFonts w:cs="Arial"/>
          <w:lang w:val="es-ES_tradnl"/>
        </w:rPr>
        <w:t xml:space="preserve"> si un Estado teniendo conocimiento de la existencia de esta problemática dentro de su territorio y respecto de un grupo determinable no toma las medidas suficientes y efectivas para contrarrestar</w:t>
      </w:r>
      <w:r w:rsidR="00A673E7" w:rsidRPr="00EA236D">
        <w:rPr>
          <w:rFonts w:cs="Arial"/>
          <w:lang w:val="es-ES_tradnl"/>
        </w:rPr>
        <w:t xml:space="preserve"> esta situación en concreto, </w:t>
      </w:r>
      <w:r w:rsidR="00237E32" w:rsidRPr="00EA236D">
        <w:rPr>
          <w:rFonts w:cs="Arial"/>
          <w:lang w:val="es-ES_tradnl"/>
        </w:rPr>
        <w:t>acarrea un situación de mayor vulnerabilidad</w:t>
      </w:r>
      <w:r w:rsidR="00A673E7" w:rsidRPr="00EA236D">
        <w:rPr>
          <w:rFonts w:cs="Arial"/>
          <w:lang w:val="es-ES_tradnl"/>
        </w:rPr>
        <w:t xml:space="preserve"> para las víctimas, </w:t>
      </w:r>
      <w:r w:rsidR="002131C3" w:rsidRPr="00EA236D">
        <w:rPr>
          <w:rFonts w:cs="Arial"/>
          <w:lang w:val="es-ES_tradnl"/>
        </w:rPr>
        <w:t>en especial por el conocimiento latente de riesgo que presentan</w:t>
      </w:r>
      <w:r w:rsidR="00EF003D" w:rsidRPr="00EA236D">
        <w:rPr>
          <w:rFonts w:cs="Arial"/>
          <w:lang w:val="es-ES_tradnl"/>
        </w:rPr>
        <w:t>;</w:t>
      </w:r>
      <w:r w:rsidR="002131C3" w:rsidRPr="00EA236D">
        <w:rPr>
          <w:rFonts w:cs="Arial"/>
          <w:lang w:val="es-ES_tradnl"/>
        </w:rPr>
        <w:t xml:space="preserve"> situación,</w:t>
      </w:r>
      <w:r w:rsidR="00237E32" w:rsidRPr="00EA236D">
        <w:rPr>
          <w:rFonts w:cs="Arial"/>
          <w:lang w:val="es-ES_tradnl"/>
        </w:rPr>
        <w:t xml:space="preserve"> en particular</w:t>
      </w:r>
      <w:r w:rsidR="002131C3" w:rsidRPr="00EA236D">
        <w:rPr>
          <w:rFonts w:cs="Arial"/>
          <w:lang w:val="es-ES_tradnl"/>
        </w:rPr>
        <w:t>,</w:t>
      </w:r>
      <w:r w:rsidR="00BF197A" w:rsidRPr="00EA236D">
        <w:rPr>
          <w:rFonts w:cs="Arial"/>
          <w:lang w:val="es-ES_tradnl"/>
        </w:rPr>
        <w:t xml:space="preserve"> </w:t>
      </w:r>
      <w:r w:rsidR="00EC4778" w:rsidRPr="00EA236D">
        <w:rPr>
          <w:rFonts w:cs="Arial"/>
          <w:lang w:val="es-ES_tradnl"/>
        </w:rPr>
        <w:t xml:space="preserve">que </w:t>
      </w:r>
      <w:r w:rsidR="002131C3" w:rsidRPr="00EA236D">
        <w:rPr>
          <w:rFonts w:cs="Arial"/>
          <w:lang w:val="es-ES_tradnl"/>
        </w:rPr>
        <w:t>puede ser valorada</w:t>
      </w:r>
      <w:r w:rsidR="00BF197A" w:rsidRPr="00EA236D">
        <w:rPr>
          <w:rFonts w:cs="Arial"/>
          <w:lang w:val="es-ES_tradnl"/>
        </w:rPr>
        <w:t xml:space="preserve"> por Tribunal Interamericano</w:t>
      </w:r>
      <w:r w:rsidR="00237E32" w:rsidRPr="00EA236D">
        <w:rPr>
          <w:rFonts w:cs="Arial"/>
          <w:lang w:val="es-ES_tradnl"/>
        </w:rPr>
        <w:t xml:space="preserve">. </w:t>
      </w:r>
    </w:p>
    <w:p w14:paraId="5454FDD8" w14:textId="77777777" w:rsidR="00780E5F" w:rsidRPr="00EA236D" w:rsidRDefault="00780E5F" w:rsidP="00780E5F">
      <w:pPr>
        <w:rPr>
          <w:rFonts w:ascii="Verdana" w:hAnsi="Verdana" w:cs="Arial"/>
        </w:rPr>
      </w:pPr>
    </w:p>
    <w:p w14:paraId="2E888291" w14:textId="3BE5AA33" w:rsidR="00F6203A" w:rsidRPr="00EA236D" w:rsidRDefault="00EF003D" w:rsidP="00712D7C">
      <w:pPr>
        <w:pStyle w:val="ListParagraph"/>
        <w:numPr>
          <w:ilvl w:val="0"/>
          <w:numId w:val="1"/>
        </w:numPr>
        <w:contextualSpacing w:val="0"/>
        <w:rPr>
          <w:rFonts w:cs="Arial"/>
          <w:lang w:val="es-ES_tradnl"/>
        </w:rPr>
      </w:pPr>
      <w:r w:rsidRPr="00EA236D">
        <w:rPr>
          <w:rFonts w:cs="Arial"/>
          <w:lang w:val="es-ES_tradnl"/>
        </w:rPr>
        <w:t>L</w:t>
      </w:r>
      <w:r w:rsidR="00237E32" w:rsidRPr="00EA236D">
        <w:rPr>
          <w:rFonts w:cs="Arial"/>
          <w:lang w:val="es-ES_tradnl"/>
        </w:rPr>
        <w:t xml:space="preserve">o anterior no excluye la obligación del Estado de implementar a nivel interno </w:t>
      </w:r>
      <w:r w:rsidR="002131C3" w:rsidRPr="00EA236D">
        <w:rPr>
          <w:rFonts w:cs="Arial"/>
          <w:lang w:val="es-ES_tradnl"/>
        </w:rPr>
        <w:t xml:space="preserve">acciones </w:t>
      </w:r>
      <w:r w:rsidR="00237E32" w:rsidRPr="00EA236D">
        <w:rPr>
          <w:rFonts w:cs="Arial"/>
          <w:lang w:val="es-ES_tradnl"/>
        </w:rPr>
        <w:t>de carácter general</w:t>
      </w:r>
      <w:r w:rsidR="002131C3" w:rsidRPr="00EA236D">
        <w:rPr>
          <w:rFonts w:cs="Arial"/>
          <w:lang w:val="es-ES_tradnl"/>
        </w:rPr>
        <w:t>;</w:t>
      </w:r>
      <w:r w:rsidR="00780E5F" w:rsidRPr="00EA236D">
        <w:rPr>
          <w:lang w:val="es-ES_tradnl"/>
        </w:rPr>
        <w:t xml:space="preserve"> es muy importante considerar la naturaleza individual y colectiva de los </w:t>
      </w:r>
      <w:r w:rsidR="002131C3" w:rsidRPr="00EA236D">
        <w:rPr>
          <w:lang w:val="es-ES_tradnl"/>
        </w:rPr>
        <w:t>beneficiarios de ciertas obligaciones estatales para garantizar la efectividad de los derechos</w:t>
      </w:r>
      <w:r w:rsidR="00780E5F" w:rsidRPr="00EA236D">
        <w:rPr>
          <w:lang w:val="es-ES_tradnl"/>
        </w:rPr>
        <w:t>. En este sentido, las normas que respondan a una situación individual</w:t>
      </w:r>
      <w:r w:rsidR="006D0FE7" w:rsidRPr="00EA236D">
        <w:rPr>
          <w:lang w:val="es-ES_tradnl"/>
        </w:rPr>
        <w:t>,</w:t>
      </w:r>
      <w:r w:rsidR="00780E5F" w:rsidRPr="00EA236D">
        <w:rPr>
          <w:lang w:val="es-ES_tradnl"/>
        </w:rPr>
        <w:t xml:space="preserve"> se conocerán como medidas de igualación positiva; las que compensen una desigualdad grupal, se denominarán acciones de igualación positiva</w:t>
      </w:r>
      <w:r w:rsidR="00780E5F" w:rsidRPr="00EA236D">
        <w:rPr>
          <w:rStyle w:val="FootnoteReference"/>
          <w:lang w:val="es-ES_tradnl"/>
        </w:rPr>
        <w:footnoteReference w:id="117"/>
      </w:r>
      <w:r w:rsidR="00C013C1" w:rsidRPr="00EA236D">
        <w:rPr>
          <w:lang w:val="es-ES_tradnl"/>
        </w:rPr>
        <w:t xml:space="preserve">. </w:t>
      </w:r>
    </w:p>
    <w:p w14:paraId="64583796" w14:textId="77777777" w:rsidR="00F6203A" w:rsidRPr="00EA236D" w:rsidRDefault="00F6203A" w:rsidP="00F6203A">
      <w:pPr>
        <w:rPr>
          <w:rFonts w:ascii="Verdana" w:hAnsi="Verdana"/>
        </w:rPr>
      </w:pPr>
    </w:p>
    <w:p w14:paraId="684A744B" w14:textId="5F6A2479" w:rsidR="00712D7C" w:rsidRPr="00EA236D" w:rsidRDefault="00C013C1" w:rsidP="00712D7C">
      <w:pPr>
        <w:pStyle w:val="ListParagraph"/>
        <w:numPr>
          <w:ilvl w:val="0"/>
          <w:numId w:val="1"/>
        </w:numPr>
        <w:contextualSpacing w:val="0"/>
        <w:rPr>
          <w:rFonts w:cs="Arial"/>
          <w:lang w:val="es-ES_tradnl"/>
        </w:rPr>
      </w:pPr>
      <w:r w:rsidRPr="00EA236D">
        <w:rPr>
          <w:lang w:val="es-ES_tradnl"/>
        </w:rPr>
        <w:t>En el presente caso</w:t>
      </w:r>
      <w:r w:rsidR="007C5029" w:rsidRPr="00EA236D">
        <w:rPr>
          <w:lang w:val="es-ES_tradnl"/>
        </w:rPr>
        <w:t>, la Corte IDH consideró que</w:t>
      </w:r>
      <w:r w:rsidRPr="00EA236D">
        <w:rPr>
          <w:lang w:val="es-ES_tradnl"/>
        </w:rPr>
        <w:t xml:space="preserve"> </w:t>
      </w:r>
      <w:r w:rsidR="00780E5F" w:rsidRPr="00EA236D">
        <w:rPr>
          <w:lang w:val="es-ES_tradnl"/>
        </w:rPr>
        <w:t>al momento de los hechos, las acciones generales para combatir e</w:t>
      </w:r>
      <w:r w:rsidR="00457907" w:rsidRPr="00EA236D">
        <w:rPr>
          <w:lang w:val="es-ES_tradnl"/>
        </w:rPr>
        <w:t>l fenómeno de trabajo esclavo —</w:t>
      </w:r>
      <w:r w:rsidR="00780E5F" w:rsidRPr="00EA236D">
        <w:rPr>
          <w:lang w:val="es-ES_tradnl"/>
        </w:rPr>
        <w:t>pues ya se sab</w:t>
      </w:r>
      <w:r w:rsidR="00910F66" w:rsidRPr="00EA236D">
        <w:rPr>
          <w:lang w:val="es-ES_tradnl"/>
        </w:rPr>
        <w:t>í</w:t>
      </w:r>
      <w:r w:rsidR="00780E5F" w:rsidRPr="00EA236D">
        <w:rPr>
          <w:lang w:val="es-ES_tradnl"/>
        </w:rPr>
        <w:t>a de la existencia de</w:t>
      </w:r>
      <w:r w:rsidR="00EF003D" w:rsidRPr="00EA236D">
        <w:rPr>
          <w:lang w:val="es-ES_tradnl"/>
        </w:rPr>
        <w:t xml:space="preserve"> la problemática </w:t>
      </w:r>
      <w:r w:rsidR="00780E5F" w:rsidRPr="00EA236D">
        <w:rPr>
          <w:lang w:val="es-ES_tradnl"/>
        </w:rPr>
        <w:t>del trabajo esclavo en Brasil</w:t>
      </w:r>
      <w:r w:rsidR="00457907" w:rsidRPr="00EA236D">
        <w:rPr>
          <w:lang w:val="es-ES_tradnl"/>
        </w:rPr>
        <w:t>—</w:t>
      </w:r>
      <w:r w:rsidR="00780E5F" w:rsidRPr="00EA236D">
        <w:rPr>
          <w:lang w:val="es-ES_tradnl"/>
        </w:rPr>
        <w:t xml:space="preserve">  que se habían implementado desde 1995 al 2000 no habían sido suficientes y efectivas; en adición a lo anterior, el Tribunal Interamericano al referirse a la expresión</w:t>
      </w:r>
      <w:r w:rsidR="00780E5F" w:rsidRPr="00EA236D">
        <w:rPr>
          <w:i/>
          <w:lang w:val="es-ES_tradnl"/>
        </w:rPr>
        <w:t xml:space="preserve"> </w:t>
      </w:r>
      <w:r w:rsidR="00780E5F" w:rsidRPr="00EA236D">
        <w:rPr>
          <w:i/>
          <w:szCs w:val="20"/>
          <w:lang w:val="es-ES_tradnl"/>
        </w:rPr>
        <w:t>“no adopta medidas específicas respecto a la situación particular</w:t>
      </w:r>
      <w:r w:rsidR="00780E5F" w:rsidRPr="00EA236D">
        <w:rPr>
          <w:i/>
          <w:sz w:val="16"/>
          <w:szCs w:val="16"/>
          <w:lang w:val="es-ES_tradnl"/>
        </w:rPr>
        <w:t xml:space="preserve">”, </w:t>
      </w:r>
      <w:r w:rsidR="00456FE1">
        <w:rPr>
          <w:szCs w:val="20"/>
          <w:lang w:val="es-ES_tradnl"/>
        </w:rPr>
        <w:t>lo hace</w:t>
      </w:r>
      <w:r w:rsidR="00456FE1" w:rsidRPr="00EA236D">
        <w:rPr>
          <w:szCs w:val="20"/>
          <w:lang w:val="es-ES_tradnl"/>
        </w:rPr>
        <w:t xml:space="preserve"> </w:t>
      </w:r>
      <w:r w:rsidR="00780E5F" w:rsidRPr="00EA236D">
        <w:rPr>
          <w:szCs w:val="20"/>
          <w:lang w:val="es-ES_tradnl"/>
        </w:rPr>
        <w:t>en el sentido de que, con independencia de las acciones generales implementadas, cuando sea identificable un sector espec</w:t>
      </w:r>
      <w:r w:rsidR="00910F66" w:rsidRPr="00EA236D">
        <w:rPr>
          <w:szCs w:val="20"/>
          <w:lang w:val="es-ES_tradnl"/>
        </w:rPr>
        <w:t>í</w:t>
      </w:r>
      <w:r w:rsidR="00780E5F" w:rsidRPr="00EA236D">
        <w:rPr>
          <w:szCs w:val="20"/>
          <w:lang w:val="es-ES_tradnl"/>
        </w:rPr>
        <w:t>fico del grupo (por ejemplo, geográficamente) el E</w:t>
      </w:r>
      <w:r w:rsidR="002131C3" w:rsidRPr="00EA236D">
        <w:rPr>
          <w:szCs w:val="20"/>
          <w:lang w:val="es-ES_tradnl"/>
        </w:rPr>
        <w:t>stado debe implementar medidas</w:t>
      </w:r>
      <w:r w:rsidR="00780E5F" w:rsidRPr="00EA236D">
        <w:rPr>
          <w:szCs w:val="20"/>
          <w:lang w:val="es-ES_tradnl"/>
        </w:rPr>
        <w:t xml:space="preserve"> </w:t>
      </w:r>
      <w:r w:rsidR="003B1CA4" w:rsidRPr="00EA236D">
        <w:rPr>
          <w:szCs w:val="20"/>
          <w:lang w:val="es-ES_tradnl"/>
        </w:rPr>
        <w:t>adicionales</w:t>
      </w:r>
      <w:r w:rsidR="002131C3" w:rsidRPr="00EA236D">
        <w:rPr>
          <w:szCs w:val="20"/>
          <w:lang w:val="es-ES_tradnl"/>
        </w:rPr>
        <w:t xml:space="preserve"> a las acciones generales</w:t>
      </w:r>
      <w:r w:rsidR="003B1CA4" w:rsidRPr="00EA236D">
        <w:rPr>
          <w:szCs w:val="20"/>
          <w:lang w:val="es-ES_tradnl"/>
        </w:rPr>
        <w:t xml:space="preserve"> </w:t>
      </w:r>
      <w:r w:rsidR="00780E5F" w:rsidRPr="00EA236D">
        <w:rPr>
          <w:szCs w:val="20"/>
          <w:lang w:val="es-ES_tradnl"/>
        </w:rPr>
        <w:t xml:space="preserve">para revertir esa situación que requiere la actuación prioritaria de </w:t>
      </w:r>
      <w:r w:rsidR="003B1CA4" w:rsidRPr="00EA236D">
        <w:rPr>
          <w:szCs w:val="20"/>
          <w:lang w:val="es-ES_tradnl"/>
        </w:rPr>
        <w:t xml:space="preserve">la estructura estatal. </w:t>
      </w:r>
    </w:p>
    <w:p w14:paraId="5C25B190" w14:textId="5380470C" w:rsidR="00780E5F" w:rsidRPr="00EA236D" w:rsidRDefault="00780E5F" w:rsidP="00C51431">
      <w:pPr>
        <w:pStyle w:val="ListParagraph"/>
        <w:ind w:left="0"/>
        <w:contextualSpacing w:val="0"/>
        <w:rPr>
          <w:rFonts w:cs="Arial"/>
          <w:lang w:val="es-ES_tradnl"/>
        </w:rPr>
      </w:pPr>
    </w:p>
    <w:p w14:paraId="593FC458" w14:textId="3F7DA5B5" w:rsidR="00294DD8" w:rsidRPr="00EA236D" w:rsidRDefault="00237E32" w:rsidP="00712D7C">
      <w:pPr>
        <w:pStyle w:val="ListParagraph"/>
        <w:numPr>
          <w:ilvl w:val="0"/>
          <w:numId w:val="1"/>
        </w:numPr>
        <w:contextualSpacing w:val="0"/>
        <w:rPr>
          <w:rFonts w:cs="Arial"/>
          <w:lang w:val="es-ES_tradnl"/>
        </w:rPr>
      </w:pPr>
      <w:r w:rsidRPr="00EA236D">
        <w:rPr>
          <w:rFonts w:cs="System Font Regular"/>
          <w:szCs w:val="20"/>
          <w:lang w:val="es-ES_tradnl"/>
        </w:rPr>
        <w:t xml:space="preserve">Con </w:t>
      </w:r>
      <w:r w:rsidR="005106C8" w:rsidRPr="00EA236D">
        <w:rPr>
          <w:rFonts w:cs="System Font Regular"/>
          <w:szCs w:val="20"/>
          <w:lang w:val="es-ES_tradnl"/>
        </w:rPr>
        <w:t>independencia</w:t>
      </w:r>
      <w:r w:rsidR="00EF003D" w:rsidRPr="00EA236D">
        <w:rPr>
          <w:rFonts w:cs="System Font Regular"/>
          <w:szCs w:val="20"/>
          <w:lang w:val="es-ES_tradnl"/>
        </w:rPr>
        <w:t xml:space="preserve"> de lo</w:t>
      </w:r>
      <w:r w:rsidRPr="00EA236D">
        <w:rPr>
          <w:rFonts w:cs="System Font Regular"/>
          <w:szCs w:val="20"/>
          <w:lang w:val="es-ES_tradnl"/>
        </w:rPr>
        <w:t xml:space="preserve"> anterior, </w:t>
      </w:r>
      <w:r w:rsidR="00535C45" w:rsidRPr="00EA236D">
        <w:rPr>
          <w:rFonts w:cs="System Font Regular"/>
          <w:szCs w:val="20"/>
          <w:lang w:val="es-ES_tradnl"/>
        </w:rPr>
        <w:t>este</w:t>
      </w:r>
      <w:r w:rsidR="00294DD8" w:rsidRPr="00EA236D">
        <w:rPr>
          <w:rFonts w:cs="System Font Regular"/>
          <w:szCs w:val="20"/>
          <w:lang w:val="es-ES_tradnl"/>
        </w:rPr>
        <w:t xml:space="preserve"> aspecto </w:t>
      </w:r>
      <w:r w:rsidR="00535C45" w:rsidRPr="00EA236D">
        <w:rPr>
          <w:rFonts w:cs="System Font Regular"/>
          <w:szCs w:val="20"/>
          <w:lang w:val="es-ES_tradnl"/>
        </w:rPr>
        <w:t xml:space="preserve">resulta de </w:t>
      </w:r>
      <w:r w:rsidR="00294DD8" w:rsidRPr="00EA236D">
        <w:rPr>
          <w:rFonts w:cs="System Font Regular"/>
          <w:szCs w:val="20"/>
          <w:lang w:val="es-ES_tradnl"/>
        </w:rPr>
        <w:t xml:space="preserve">fundamental </w:t>
      </w:r>
      <w:r w:rsidR="00535C45" w:rsidRPr="00EA236D">
        <w:rPr>
          <w:rFonts w:cs="System Font Regular"/>
          <w:szCs w:val="20"/>
          <w:lang w:val="es-ES_tradnl"/>
        </w:rPr>
        <w:t>importancia</w:t>
      </w:r>
      <w:r w:rsidR="00294DD8" w:rsidRPr="00EA236D">
        <w:rPr>
          <w:rFonts w:cs="System Font Regular"/>
          <w:szCs w:val="20"/>
          <w:lang w:val="es-ES_tradnl"/>
        </w:rPr>
        <w:t xml:space="preserve"> y relevancia,</w:t>
      </w:r>
      <w:r w:rsidR="00535C45" w:rsidRPr="00EA236D">
        <w:rPr>
          <w:rFonts w:cs="System Font Regular"/>
          <w:szCs w:val="20"/>
          <w:lang w:val="es-ES_tradnl"/>
        </w:rPr>
        <w:t xml:space="preserve"> pues las discriminacio</w:t>
      </w:r>
      <w:r w:rsidR="00712D7C" w:rsidRPr="00EA236D">
        <w:rPr>
          <w:rFonts w:cs="System Font Regular"/>
          <w:szCs w:val="20"/>
          <w:lang w:val="es-ES_tradnl"/>
        </w:rPr>
        <w:t>nes estructurales tiene</w:t>
      </w:r>
      <w:r w:rsidR="00910F66" w:rsidRPr="00EA236D">
        <w:rPr>
          <w:rFonts w:cs="System Font Regular"/>
          <w:szCs w:val="20"/>
          <w:lang w:val="es-ES_tradnl"/>
        </w:rPr>
        <w:t>n</w:t>
      </w:r>
      <w:r w:rsidR="00712D7C" w:rsidRPr="00EA236D">
        <w:rPr>
          <w:rFonts w:cs="System Font Regular"/>
          <w:szCs w:val="20"/>
          <w:lang w:val="es-ES_tradnl"/>
        </w:rPr>
        <w:t xml:space="preserve"> un compone</w:t>
      </w:r>
      <w:r w:rsidR="00535C45" w:rsidRPr="00EA236D">
        <w:rPr>
          <w:rFonts w:cs="System Font Regular"/>
          <w:szCs w:val="20"/>
          <w:lang w:val="es-ES_tradnl"/>
        </w:rPr>
        <w:t>nte</w:t>
      </w:r>
      <w:r w:rsidR="00294DD8" w:rsidRPr="00EA236D">
        <w:rPr>
          <w:rFonts w:cs="System Font Regular"/>
          <w:szCs w:val="20"/>
          <w:lang w:val="es-ES_tradnl"/>
        </w:rPr>
        <w:t xml:space="preserve"> </w:t>
      </w:r>
      <w:r w:rsidR="00712D7C" w:rsidRPr="00EA236D">
        <w:rPr>
          <w:rFonts w:cs="System Font Regular"/>
          <w:szCs w:val="20"/>
          <w:lang w:val="es-ES_tradnl"/>
        </w:rPr>
        <w:t>de continuidad históri</w:t>
      </w:r>
      <w:r w:rsidR="00535C45" w:rsidRPr="00EA236D">
        <w:rPr>
          <w:rFonts w:cs="System Font Regular"/>
          <w:szCs w:val="20"/>
          <w:lang w:val="es-ES_tradnl"/>
        </w:rPr>
        <w:t>ca</w:t>
      </w:r>
      <w:r w:rsidR="00712D7C" w:rsidRPr="00EA236D">
        <w:rPr>
          <w:rFonts w:cs="System Font Regular"/>
          <w:szCs w:val="20"/>
          <w:lang w:val="es-ES_tradnl"/>
        </w:rPr>
        <w:t xml:space="preserve"> que se </w:t>
      </w:r>
      <w:r w:rsidR="005106C8" w:rsidRPr="00EA236D">
        <w:rPr>
          <w:rFonts w:cs="System Font Regular"/>
          <w:szCs w:val="20"/>
          <w:lang w:val="es-ES_tradnl"/>
        </w:rPr>
        <w:t>perpetúa</w:t>
      </w:r>
      <w:r w:rsidR="00712D7C" w:rsidRPr="00EA236D">
        <w:rPr>
          <w:rFonts w:cs="System Font Regular"/>
          <w:szCs w:val="20"/>
          <w:lang w:val="es-ES_tradnl"/>
        </w:rPr>
        <w:t xml:space="preserve"> de manera sistemática en las sociedades actuales</w:t>
      </w:r>
      <w:r w:rsidR="007C5029" w:rsidRPr="00EA236D">
        <w:rPr>
          <w:rFonts w:cs="System Font Regular"/>
          <w:szCs w:val="20"/>
          <w:lang w:val="es-ES_tradnl"/>
        </w:rPr>
        <w:t>;</w:t>
      </w:r>
      <w:r w:rsidR="00712D7C" w:rsidRPr="00EA236D">
        <w:rPr>
          <w:rFonts w:cs="System Font Regular"/>
          <w:szCs w:val="20"/>
          <w:lang w:val="es-ES_tradnl"/>
        </w:rPr>
        <w:t xml:space="preserve"> y que</w:t>
      </w:r>
      <w:r w:rsidR="00834E43" w:rsidRPr="00EA236D">
        <w:rPr>
          <w:rFonts w:cs="System Font Regular"/>
          <w:szCs w:val="20"/>
          <w:lang w:val="es-ES_tradnl"/>
        </w:rPr>
        <w:t xml:space="preserve">, </w:t>
      </w:r>
      <w:r w:rsidR="00712D7C" w:rsidRPr="00EA236D">
        <w:rPr>
          <w:rFonts w:cs="System Font Regular"/>
          <w:szCs w:val="20"/>
          <w:lang w:val="es-ES_tradnl"/>
        </w:rPr>
        <w:t xml:space="preserve">además, </w:t>
      </w:r>
      <w:r w:rsidR="00294DD8" w:rsidRPr="00EA236D">
        <w:rPr>
          <w:rFonts w:cs="System Font Regular"/>
          <w:szCs w:val="20"/>
          <w:lang w:val="es-ES_tradnl"/>
        </w:rPr>
        <w:t>en la doctrina y en la jurisprudencia no había sido consolidada como un aspecto fundamental de la discriminación que sufren algunos grupos que han sido excluidos y marginados</w:t>
      </w:r>
      <w:r w:rsidR="00712D7C" w:rsidRPr="00EA236D">
        <w:rPr>
          <w:rFonts w:cs="System Font Regular"/>
          <w:szCs w:val="20"/>
          <w:lang w:val="es-ES_tradnl"/>
        </w:rPr>
        <w:t xml:space="preserve">. </w:t>
      </w:r>
    </w:p>
    <w:p w14:paraId="371D38F2" w14:textId="77777777" w:rsidR="00294DD8" w:rsidRPr="00EA236D" w:rsidRDefault="00294DD8" w:rsidP="00294DD8">
      <w:pPr>
        <w:pStyle w:val="ListParagraph"/>
        <w:ind w:left="0"/>
        <w:rPr>
          <w:rFonts w:cs="System Font Regular"/>
          <w:szCs w:val="20"/>
          <w:lang w:val="es-ES_tradnl"/>
        </w:rPr>
      </w:pPr>
    </w:p>
    <w:p w14:paraId="58212EAD" w14:textId="437E2B4A" w:rsidR="0097276F" w:rsidRPr="00EA236D" w:rsidRDefault="00712D7C" w:rsidP="00291466">
      <w:pPr>
        <w:pStyle w:val="ListParagraph"/>
        <w:numPr>
          <w:ilvl w:val="0"/>
          <w:numId w:val="1"/>
        </w:numPr>
        <w:rPr>
          <w:rFonts w:cs="System Font Regular"/>
          <w:szCs w:val="20"/>
          <w:lang w:val="es-ES_tradnl"/>
        </w:rPr>
      </w:pPr>
      <w:r w:rsidRPr="00EA236D">
        <w:rPr>
          <w:rFonts w:cs="Times New Roman"/>
          <w:szCs w:val="20"/>
          <w:lang w:val="es-ES_tradnl"/>
        </w:rPr>
        <w:lastRenderedPageBreak/>
        <w:t>De esta manera, lo que la Corte IDH consolida</w:t>
      </w:r>
      <w:r w:rsidR="00B60C7F" w:rsidRPr="00EA236D">
        <w:rPr>
          <w:rFonts w:cs="Times New Roman"/>
          <w:szCs w:val="20"/>
          <w:lang w:val="es-ES_tradnl"/>
        </w:rPr>
        <w:t>,</w:t>
      </w:r>
      <w:r w:rsidRPr="00EA236D">
        <w:rPr>
          <w:rFonts w:cs="Times New Roman"/>
          <w:szCs w:val="20"/>
          <w:lang w:val="es-ES_tradnl"/>
        </w:rPr>
        <w:t xml:space="preserve"> al reconocer la existencia de este tipo de discrimin</w:t>
      </w:r>
      <w:r w:rsidR="00B60C7F" w:rsidRPr="00EA236D">
        <w:rPr>
          <w:rFonts w:cs="Times New Roman"/>
          <w:szCs w:val="20"/>
          <w:lang w:val="es-ES_tradnl"/>
        </w:rPr>
        <w:t xml:space="preserve">aciones de naturaleza histórica, </w:t>
      </w:r>
      <w:r w:rsidRPr="00EA236D">
        <w:rPr>
          <w:rFonts w:cs="Times New Roman"/>
          <w:szCs w:val="20"/>
          <w:lang w:val="es-ES_tradnl"/>
        </w:rPr>
        <w:t>es que la</w:t>
      </w:r>
      <w:r w:rsidR="00B36D1E" w:rsidRPr="00EA236D">
        <w:rPr>
          <w:rFonts w:cs="Times New Roman"/>
          <w:szCs w:val="20"/>
          <w:lang w:val="es-ES_tradnl"/>
        </w:rPr>
        <w:t xml:space="preserve"> prohibición de discriminación persigue como</w:t>
      </w:r>
      <w:r w:rsidR="008571CE" w:rsidRPr="00EA236D">
        <w:rPr>
          <w:rFonts w:cs="Times New Roman"/>
          <w:szCs w:val="20"/>
          <w:lang w:val="es-ES_tradnl"/>
        </w:rPr>
        <w:t xml:space="preserve"> finalidad</w:t>
      </w:r>
      <w:r w:rsidR="00B36D1E" w:rsidRPr="00EA236D">
        <w:rPr>
          <w:rFonts w:cs="Times New Roman"/>
          <w:szCs w:val="20"/>
          <w:lang w:val="es-ES_tradnl"/>
        </w:rPr>
        <w:t xml:space="preserve"> la </w:t>
      </w:r>
      <w:r w:rsidR="008571CE" w:rsidRPr="00EA236D">
        <w:rPr>
          <w:rFonts w:cs="Times New Roman"/>
          <w:szCs w:val="20"/>
          <w:lang w:val="es-ES_tradnl"/>
        </w:rPr>
        <w:t xml:space="preserve">de evitar la materialización de grupos que se encuentren sometidos, excluidos o marginalizados que deriven de consecuencias sociales, económicas o políticas o medidas públicas. </w:t>
      </w:r>
      <w:r w:rsidRPr="00EA236D">
        <w:rPr>
          <w:rFonts w:cs="Times New Roman"/>
          <w:szCs w:val="20"/>
          <w:lang w:val="es-ES_tradnl"/>
        </w:rPr>
        <w:t xml:space="preserve">Por otro lado, </w:t>
      </w:r>
      <w:r w:rsidR="002C6F07" w:rsidRPr="00EA236D">
        <w:rPr>
          <w:rFonts w:cs="Times New Roman"/>
          <w:szCs w:val="20"/>
          <w:lang w:val="es-ES_tradnl"/>
        </w:rPr>
        <w:t xml:space="preserve">la </w:t>
      </w:r>
      <w:r w:rsidR="00B36D1E" w:rsidRPr="00EA236D">
        <w:rPr>
          <w:rFonts w:cs="Times New Roman"/>
          <w:szCs w:val="20"/>
          <w:lang w:val="es-ES_tradnl"/>
        </w:rPr>
        <w:t>discriminación</w:t>
      </w:r>
      <w:r w:rsidR="008571CE" w:rsidRPr="00EA236D">
        <w:rPr>
          <w:rFonts w:cs="Times New Roman"/>
          <w:szCs w:val="20"/>
          <w:lang w:val="es-ES_tradnl"/>
        </w:rPr>
        <w:t xml:space="preserve"> estructural</w:t>
      </w:r>
      <w:r w:rsidR="00B36D1E" w:rsidRPr="00EA236D">
        <w:rPr>
          <w:rFonts w:cs="Times New Roman"/>
          <w:szCs w:val="20"/>
          <w:lang w:val="es-ES_tradnl"/>
        </w:rPr>
        <w:t xml:space="preserve"> histórica</w:t>
      </w:r>
      <w:r w:rsidR="008571CE" w:rsidRPr="00EA236D">
        <w:rPr>
          <w:rFonts w:cs="Times New Roman"/>
          <w:szCs w:val="20"/>
          <w:lang w:val="es-ES_tradnl"/>
        </w:rPr>
        <w:t xml:space="preserve"> que presentan los individuos en los hechos no se vincula con la </w:t>
      </w:r>
      <w:proofErr w:type="spellStart"/>
      <w:r w:rsidR="00B870FA" w:rsidRPr="00EA236D">
        <w:rPr>
          <w:rFonts w:cs="Times New Roman"/>
          <w:szCs w:val="20"/>
          <w:lang w:val="es-ES_tradnl"/>
        </w:rPr>
        <w:t>ir</w:t>
      </w:r>
      <w:r w:rsidR="00B36D1E" w:rsidRPr="00EA236D">
        <w:rPr>
          <w:rFonts w:cs="Times New Roman"/>
          <w:szCs w:val="20"/>
          <w:lang w:val="es-ES_tradnl"/>
        </w:rPr>
        <w:t>razonabilidad</w:t>
      </w:r>
      <w:proofErr w:type="spellEnd"/>
      <w:r w:rsidR="008571CE" w:rsidRPr="00EA236D">
        <w:rPr>
          <w:rFonts w:cs="Times New Roman"/>
          <w:szCs w:val="20"/>
          <w:lang w:val="es-ES_tradnl"/>
        </w:rPr>
        <w:t xml:space="preserve"> o arbitrariedad de un criterio expresado dentro de la norma o los efectos directos en un caso en concreto. </w:t>
      </w:r>
    </w:p>
    <w:p w14:paraId="3CBB3C93" w14:textId="77777777" w:rsidR="0097276F" w:rsidRPr="00EA236D" w:rsidRDefault="0097276F" w:rsidP="0097276F">
      <w:pPr>
        <w:rPr>
          <w:rFonts w:ascii="Verdana" w:hAnsi="Verdana" w:cs="Times New Roman"/>
          <w:szCs w:val="20"/>
        </w:rPr>
      </w:pPr>
    </w:p>
    <w:p w14:paraId="20FAC94B" w14:textId="55AA55A4" w:rsidR="005D7A2C" w:rsidRPr="00EA236D" w:rsidRDefault="008571CE" w:rsidP="00245B38">
      <w:pPr>
        <w:pStyle w:val="ListParagraph"/>
        <w:numPr>
          <w:ilvl w:val="0"/>
          <w:numId w:val="1"/>
        </w:numPr>
        <w:rPr>
          <w:rFonts w:cs="System Font Regular"/>
          <w:szCs w:val="20"/>
          <w:lang w:val="es-ES_tradnl"/>
        </w:rPr>
      </w:pPr>
      <w:r w:rsidRPr="00EA236D">
        <w:rPr>
          <w:rFonts w:cs="Times New Roman"/>
          <w:szCs w:val="20"/>
          <w:lang w:val="es-ES_tradnl"/>
        </w:rPr>
        <w:t>Por el contrario, la ineficacia, la incapac</w:t>
      </w:r>
      <w:r w:rsidR="00C013C1" w:rsidRPr="00EA236D">
        <w:rPr>
          <w:rFonts w:cs="Times New Roman"/>
          <w:szCs w:val="20"/>
          <w:lang w:val="es-ES_tradnl"/>
        </w:rPr>
        <w:t xml:space="preserve">idad y la aplicación deficiente </w:t>
      </w:r>
      <w:r w:rsidR="006D0FE7" w:rsidRPr="00EA236D">
        <w:rPr>
          <w:rFonts w:cs="Times New Roman"/>
          <w:szCs w:val="20"/>
          <w:lang w:val="es-ES_tradnl"/>
        </w:rPr>
        <w:t xml:space="preserve">de </w:t>
      </w:r>
      <w:r w:rsidR="00C013C1" w:rsidRPr="00EA236D">
        <w:rPr>
          <w:rFonts w:cs="Times New Roman"/>
          <w:szCs w:val="20"/>
          <w:lang w:val="es-ES_tradnl"/>
        </w:rPr>
        <w:t>acciones</w:t>
      </w:r>
      <w:r w:rsidR="00E27E56" w:rsidRPr="00EA236D">
        <w:rPr>
          <w:rFonts w:cs="Times New Roman"/>
          <w:szCs w:val="20"/>
          <w:lang w:val="es-ES_tradnl"/>
        </w:rPr>
        <w:t xml:space="preserve"> generales para prevenir la discriminación</w:t>
      </w:r>
      <w:r w:rsidRPr="00EA236D">
        <w:rPr>
          <w:rFonts w:cs="Times New Roman"/>
          <w:szCs w:val="20"/>
          <w:lang w:val="es-ES_tradnl"/>
        </w:rPr>
        <w:t xml:space="preserve"> a nivel interno de un Estado pueden llegar a producir </w:t>
      </w:r>
      <w:r w:rsidR="00E27E56" w:rsidRPr="00EA236D">
        <w:rPr>
          <w:rFonts w:cs="Times New Roman"/>
          <w:szCs w:val="20"/>
          <w:lang w:val="es-ES_tradnl"/>
        </w:rPr>
        <w:t xml:space="preserve">y perpetuar, </w:t>
      </w:r>
      <w:r w:rsidR="00B36D1E" w:rsidRPr="00EA236D">
        <w:rPr>
          <w:rFonts w:cs="Times New Roman"/>
          <w:szCs w:val="20"/>
          <w:lang w:val="es-ES_tradnl"/>
        </w:rPr>
        <w:t>por años</w:t>
      </w:r>
      <w:r w:rsidR="00E27E56" w:rsidRPr="00EA236D">
        <w:rPr>
          <w:rFonts w:cs="Times New Roman"/>
          <w:szCs w:val="20"/>
          <w:lang w:val="es-ES_tradnl"/>
        </w:rPr>
        <w:t>,</w:t>
      </w:r>
      <w:r w:rsidR="00B36D1E" w:rsidRPr="00EA236D">
        <w:rPr>
          <w:rFonts w:cs="Times New Roman"/>
          <w:szCs w:val="20"/>
          <w:lang w:val="es-ES_tradnl"/>
        </w:rPr>
        <w:t xml:space="preserve"> </w:t>
      </w:r>
      <w:r w:rsidR="00B870FA" w:rsidRPr="00EA236D">
        <w:rPr>
          <w:rFonts w:cs="Times New Roman"/>
          <w:szCs w:val="20"/>
          <w:lang w:val="es-ES_tradnl"/>
        </w:rPr>
        <w:t xml:space="preserve">la existencia de </w:t>
      </w:r>
      <w:r w:rsidR="00E27E56" w:rsidRPr="00EA236D">
        <w:rPr>
          <w:rFonts w:cs="Times New Roman"/>
          <w:szCs w:val="20"/>
          <w:lang w:val="es-ES_tradnl"/>
        </w:rPr>
        <w:t xml:space="preserve">discriminación </w:t>
      </w:r>
      <w:r w:rsidRPr="00EA236D">
        <w:rPr>
          <w:rFonts w:cs="Times New Roman"/>
          <w:szCs w:val="20"/>
          <w:lang w:val="es-ES_tradnl"/>
        </w:rPr>
        <w:t>para ciertos grupos desventajados</w:t>
      </w:r>
      <w:r w:rsidR="00EF003D" w:rsidRPr="00EA236D">
        <w:rPr>
          <w:rFonts w:cs="Times New Roman"/>
          <w:szCs w:val="20"/>
          <w:lang w:val="es-ES_tradnl"/>
        </w:rPr>
        <w:t>;</w:t>
      </w:r>
      <w:r w:rsidRPr="00EA236D">
        <w:rPr>
          <w:rFonts w:cs="Times New Roman"/>
          <w:szCs w:val="20"/>
          <w:lang w:val="es-ES_tradnl"/>
        </w:rPr>
        <w:t xml:space="preserve"> como lo son las personas sometidas a trabajo e</w:t>
      </w:r>
      <w:r w:rsidR="00B870FA" w:rsidRPr="00EA236D">
        <w:rPr>
          <w:rFonts w:cs="Times New Roman"/>
          <w:szCs w:val="20"/>
          <w:lang w:val="es-ES_tradnl"/>
        </w:rPr>
        <w:t>sclavo</w:t>
      </w:r>
      <w:r w:rsidR="00E27E56" w:rsidRPr="00EA236D">
        <w:rPr>
          <w:rFonts w:cs="Times New Roman"/>
          <w:szCs w:val="20"/>
          <w:lang w:val="es-ES_tradnl"/>
        </w:rPr>
        <w:t xml:space="preserve"> que dadas sus condiciones de pobreza resultan un especial foco de vulnerabilidad brasileña</w:t>
      </w:r>
      <w:r w:rsidR="00B870FA" w:rsidRPr="00EA236D">
        <w:rPr>
          <w:rFonts w:cs="Times New Roman"/>
          <w:szCs w:val="20"/>
          <w:lang w:val="es-ES_tradnl"/>
        </w:rPr>
        <w:t>, a la luz del artículo 6.1 de la Convención American</w:t>
      </w:r>
      <w:r w:rsidR="00DF2214" w:rsidRPr="00EA236D">
        <w:rPr>
          <w:rFonts w:cs="Times New Roman"/>
          <w:szCs w:val="20"/>
          <w:lang w:val="es-ES_tradnl"/>
        </w:rPr>
        <w:t>a en relación del art</w:t>
      </w:r>
      <w:r w:rsidR="00910F66" w:rsidRPr="00EA236D">
        <w:rPr>
          <w:rFonts w:cs="Times New Roman"/>
          <w:szCs w:val="20"/>
          <w:lang w:val="es-ES_tradnl"/>
        </w:rPr>
        <w:t>í</w:t>
      </w:r>
      <w:r w:rsidR="00DF2214" w:rsidRPr="00EA236D">
        <w:rPr>
          <w:rFonts w:cs="Times New Roman"/>
          <w:szCs w:val="20"/>
          <w:lang w:val="es-ES_tradnl"/>
        </w:rPr>
        <w:t>culo 1.1 del mismo instrumento</w:t>
      </w:r>
      <w:r w:rsidR="00467387" w:rsidRPr="00EA236D">
        <w:rPr>
          <w:rStyle w:val="FootnoteReference"/>
          <w:lang w:val="es-ES_tradnl"/>
        </w:rPr>
        <w:footnoteReference w:id="118"/>
      </w:r>
      <w:r w:rsidR="00DF2214" w:rsidRPr="00EA236D">
        <w:rPr>
          <w:rFonts w:cs="Times New Roman"/>
          <w:szCs w:val="20"/>
          <w:lang w:val="es-ES_tradnl"/>
        </w:rPr>
        <w:t>.</w:t>
      </w:r>
    </w:p>
    <w:p w14:paraId="10F0F56C" w14:textId="77777777" w:rsidR="00245B38" w:rsidRPr="00EA236D" w:rsidRDefault="00245B38" w:rsidP="00245B38">
      <w:pPr>
        <w:pStyle w:val="ListParagraph"/>
        <w:ind w:left="0"/>
        <w:rPr>
          <w:rFonts w:cs="System Font Regular"/>
          <w:szCs w:val="20"/>
          <w:lang w:val="es-ES_tradnl"/>
        </w:rPr>
      </w:pPr>
    </w:p>
    <w:p w14:paraId="4D93D645" w14:textId="22F50303" w:rsidR="00611ADD" w:rsidRPr="00EA236D" w:rsidRDefault="00352586" w:rsidP="00FC6572">
      <w:pPr>
        <w:pStyle w:val="ListParagraph"/>
        <w:ind w:left="0"/>
        <w:jc w:val="center"/>
        <w:rPr>
          <w:rFonts w:cs="Times New Roman"/>
          <w:szCs w:val="20"/>
          <w:lang w:val="es-ES_tradnl"/>
        </w:rPr>
      </w:pPr>
      <w:r w:rsidRPr="00EA236D">
        <w:rPr>
          <w:rFonts w:cs="Times New Roman"/>
          <w:szCs w:val="20"/>
          <w:lang w:val="es-ES_tradnl"/>
        </w:rPr>
        <w:t>V</w:t>
      </w:r>
      <w:r w:rsidR="00DF2214" w:rsidRPr="00EA236D">
        <w:rPr>
          <w:rFonts w:cs="Times New Roman"/>
          <w:szCs w:val="20"/>
          <w:lang w:val="es-ES_tradnl"/>
        </w:rPr>
        <w:t>II.</w:t>
      </w:r>
      <w:r w:rsidRPr="00EA236D">
        <w:rPr>
          <w:rFonts w:cs="Times New Roman"/>
          <w:szCs w:val="20"/>
          <w:lang w:val="es-ES_tradnl"/>
        </w:rPr>
        <w:t xml:space="preserve"> CONCLUSIONES</w:t>
      </w:r>
    </w:p>
    <w:p w14:paraId="03012407" w14:textId="77777777" w:rsidR="00D22F66" w:rsidRPr="00EA236D" w:rsidRDefault="00D22F66" w:rsidP="00D22F66">
      <w:pPr>
        <w:pStyle w:val="ListParagraph"/>
        <w:ind w:left="0"/>
        <w:rPr>
          <w:rFonts w:cs="Times New Roman"/>
          <w:szCs w:val="20"/>
          <w:lang w:val="es-ES_tradnl"/>
        </w:rPr>
      </w:pPr>
    </w:p>
    <w:p w14:paraId="400DE601" w14:textId="776CB740" w:rsidR="00D22F66" w:rsidRPr="00EA236D" w:rsidRDefault="00842384" w:rsidP="00D22F66">
      <w:pPr>
        <w:pStyle w:val="ListParagraph"/>
        <w:numPr>
          <w:ilvl w:val="0"/>
          <w:numId w:val="1"/>
        </w:numPr>
        <w:rPr>
          <w:rFonts w:cs="Times New Roman"/>
          <w:szCs w:val="20"/>
          <w:lang w:val="es-ES_tradnl"/>
        </w:rPr>
      </w:pPr>
      <w:r w:rsidRPr="00EA236D">
        <w:rPr>
          <w:rFonts w:cs="Times New Roman"/>
          <w:szCs w:val="20"/>
          <w:lang w:val="es-ES_tradnl"/>
        </w:rPr>
        <w:t>Como se ha tratado de exponer en el presente voto, a diferencia de los Sistemas Europeo y Africano de Derechos Humanos, los Sistemas Universal e Interame</w:t>
      </w:r>
      <w:r w:rsidR="00DE34F8" w:rsidRPr="00EA236D">
        <w:rPr>
          <w:rFonts w:cs="Times New Roman"/>
          <w:szCs w:val="20"/>
          <w:lang w:val="es-ES_tradnl"/>
        </w:rPr>
        <w:t xml:space="preserve">ricano muestran una tendencia </w:t>
      </w:r>
      <w:r w:rsidR="002E6F88" w:rsidRPr="00EA236D">
        <w:rPr>
          <w:rFonts w:cs="Times New Roman"/>
          <w:szCs w:val="20"/>
          <w:lang w:val="es-ES_tradnl"/>
        </w:rPr>
        <w:t xml:space="preserve">a </w:t>
      </w:r>
      <w:r w:rsidRPr="00EA236D">
        <w:rPr>
          <w:rFonts w:cs="Times New Roman"/>
          <w:szCs w:val="20"/>
          <w:lang w:val="es-ES_tradnl"/>
        </w:rPr>
        <w:t>considerar que las personas que se encuentran en situación de pobreza constituyen un grupo en situación de vulnerabilidad diferenciado de los grupos tradicionalmente identificados</w:t>
      </w:r>
      <w:r w:rsidR="005C7AA8" w:rsidRPr="00EA236D">
        <w:rPr>
          <w:rFonts w:cs="Times New Roman"/>
          <w:szCs w:val="20"/>
          <w:lang w:val="es-ES_tradnl"/>
        </w:rPr>
        <w:t>;</w:t>
      </w:r>
      <w:r w:rsidRPr="00EA236D">
        <w:rPr>
          <w:rFonts w:cs="Times New Roman"/>
          <w:szCs w:val="20"/>
          <w:lang w:val="es-ES_tradnl"/>
        </w:rPr>
        <w:t xml:space="preserve"> </w:t>
      </w:r>
      <w:r w:rsidR="0053059F" w:rsidRPr="00EA236D">
        <w:rPr>
          <w:rFonts w:cs="Times New Roman"/>
          <w:szCs w:val="20"/>
          <w:lang w:val="es-ES_tradnl"/>
        </w:rPr>
        <w:t>dicha condición se reconoce como categoría de especial protección y</w:t>
      </w:r>
      <w:r w:rsidR="0053059F" w:rsidRPr="00EA236D" w:rsidDel="0053059F">
        <w:rPr>
          <w:rFonts w:cs="Times New Roman"/>
          <w:szCs w:val="20"/>
          <w:lang w:val="es-ES_tradnl"/>
        </w:rPr>
        <w:t xml:space="preserve"> </w:t>
      </w:r>
      <w:r w:rsidRPr="00EA236D">
        <w:rPr>
          <w:rFonts w:cs="Times New Roman"/>
          <w:szCs w:val="20"/>
          <w:lang w:val="es-ES_tradnl"/>
        </w:rPr>
        <w:t>parte de la prohibición de discriminación por “posición económica” contemplada de manera expresa en el artículo 1.1 de la Convención Americana.</w:t>
      </w:r>
    </w:p>
    <w:p w14:paraId="4A7094AC" w14:textId="77777777" w:rsidR="00301E7C" w:rsidRPr="00EA236D" w:rsidRDefault="00301E7C" w:rsidP="00301E7C">
      <w:pPr>
        <w:pStyle w:val="ListParagraph"/>
        <w:ind w:left="0"/>
        <w:rPr>
          <w:rFonts w:cs="Times New Roman"/>
          <w:b/>
          <w:i/>
          <w:szCs w:val="20"/>
          <w:lang w:val="es-ES_tradnl"/>
        </w:rPr>
      </w:pPr>
    </w:p>
    <w:p w14:paraId="5AF6D94B" w14:textId="653C38D6" w:rsidR="00932272" w:rsidRPr="00EA236D" w:rsidRDefault="00301E7C" w:rsidP="00D34454">
      <w:pPr>
        <w:pStyle w:val="ListParagraph"/>
        <w:numPr>
          <w:ilvl w:val="0"/>
          <w:numId w:val="1"/>
        </w:numPr>
        <w:rPr>
          <w:rFonts w:cs="Times New Roman"/>
          <w:szCs w:val="20"/>
          <w:lang w:val="es-ES_tradnl"/>
        </w:rPr>
      </w:pPr>
      <w:r w:rsidRPr="00EA236D">
        <w:rPr>
          <w:rFonts w:cs="Times New Roman"/>
          <w:szCs w:val="20"/>
          <w:lang w:val="es-ES_tradnl"/>
        </w:rPr>
        <w:t xml:space="preserve">En el presente caso, la situación de especial vulnerabilidad por la posición </w:t>
      </w:r>
      <w:r w:rsidR="00D42826" w:rsidRPr="00EA236D">
        <w:rPr>
          <w:rFonts w:cs="Times New Roman"/>
          <w:szCs w:val="20"/>
          <w:lang w:val="es-ES_tradnl"/>
        </w:rPr>
        <w:t>de pobreza que presentaban</w:t>
      </w:r>
      <w:r w:rsidR="00FC6572" w:rsidRPr="00EA236D">
        <w:rPr>
          <w:rFonts w:cs="Times New Roman"/>
          <w:szCs w:val="20"/>
          <w:lang w:val="es-ES_tradnl"/>
        </w:rPr>
        <w:t xml:space="preserve"> lo</w:t>
      </w:r>
      <w:r w:rsidRPr="00EA236D">
        <w:rPr>
          <w:rFonts w:cs="Times New Roman"/>
          <w:szCs w:val="20"/>
          <w:lang w:val="es-ES_tradnl"/>
        </w:rPr>
        <w:t xml:space="preserve">s 85 </w:t>
      </w:r>
      <w:r w:rsidR="00075C3D" w:rsidRPr="00EA236D">
        <w:rPr>
          <w:rFonts w:cs="Times New Roman"/>
          <w:szCs w:val="20"/>
          <w:lang w:val="es-ES_tradnl"/>
        </w:rPr>
        <w:t>trabajadores</w:t>
      </w:r>
      <w:r w:rsidR="00FC6572" w:rsidRPr="00EA236D">
        <w:rPr>
          <w:rFonts w:cs="Times New Roman"/>
          <w:szCs w:val="20"/>
          <w:lang w:val="es-ES_tradnl"/>
        </w:rPr>
        <w:t>,</w:t>
      </w:r>
      <w:r w:rsidRPr="00EA236D">
        <w:rPr>
          <w:rFonts w:cs="Times New Roman"/>
          <w:szCs w:val="20"/>
          <w:lang w:val="es-ES_tradnl"/>
        </w:rPr>
        <w:t xml:space="preserve"> los orilló a que fueran víctimas de trata de personas debido al </w:t>
      </w:r>
      <w:r w:rsidRPr="00EA236D">
        <w:rPr>
          <w:rFonts w:cs="Times New Roman"/>
          <w:i/>
          <w:szCs w:val="20"/>
          <w:lang w:val="es-ES_tradnl"/>
        </w:rPr>
        <w:t>modus operandi</w:t>
      </w:r>
      <w:r w:rsidRPr="00EA236D">
        <w:rPr>
          <w:rFonts w:cs="Times New Roman"/>
          <w:szCs w:val="20"/>
          <w:lang w:val="es-ES_tradnl"/>
        </w:rPr>
        <w:t xml:space="preserve"> exist</w:t>
      </w:r>
      <w:r w:rsidR="00FC6572" w:rsidRPr="00EA236D">
        <w:rPr>
          <w:rFonts w:cs="Times New Roman"/>
          <w:szCs w:val="20"/>
          <w:lang w:val="es-ES_tradnl"/>
        </w:rPr>
        <w:t xml:space="preserve">ente en la zona del Estado </w:t>
      </w:r>
      <w:r w:rsidR="007777C4" w:rsidRPr="00EA236D">
        <w:rPr>
          <w:rFonts w:cs="Times New Roman"/>
          <w:szCs w:val="20"/>
          <w:lang w:val="es-ES_tradnl"/>
        </w:rPr>
        <w:t xml:space="preserve">de </w:t>
      </w:r>
      <w:r w:rsidR="00FC6572" w:rsidRPr="00EA236D">
        <w:rPr>
          <w:rFonts w:cs="Times New Roman"/>
          <w:szCs w:val="20"/>
          <w:lang w:val="es-ES_tradnl"/>
        </w:rPr>
        <w:t>Pará;</w:t>
      </w:r>
      <w:r w:rsidRPr="00EA236D">
        <w:rPr>
          <w:rFonts w:cs="Times New Roman"/>
          <w:szCs w:val="20"/>
          <w:lang w:val="es-ES_tradnl"/>
        </w:rPr>
        <w:t xml:space="preserve"> y también considerando otras características similares, los hacían propensos a que </w:t>
      </w:r>
      <w:r w:rsidR="00F364A1" w:rsidRPr="00EA236D">
        <w:rPr>
          <w:rFonts w:cs="Times New Roman"/>
          <w:szCs w:val="20"/>
          <w:lang w:val="es-ES_tradnl"/>
        </w:rPr>
        <w:t>aceptaran, mediante engaños, ofertas laborales</w:t>
      </w:r>
      <w:r w:rsidR="00D42826" w:rsidRPr="00EA236D">
        <w:rPr>
          <w:rFonts w:cs="Times New Roman"/>
          <w:szCs w:val="20"/>
          <w:lang w:val="es-ES_tradnl"/>
        </w:rPr>
        <w:t xml:space="preserve"> en la Hacienda Brasil Verde, que se materializaron en formas de trabajo esclavo</w:t>
      </w:r>
      <w:r w:rsidR="00F364A1" w:rsidRPr="00EA236D">
        <w:rPr>
          <w:rFonts w:cs="Times New Roman"/>
          <w:szCs w:val="20"/>
          <w:lang w:val="es-ES_tradnl"/>
        </w:rPr>
        <w:t xml:space="preserve">. Esta situación </w:t>
      </w:r>
      <w:r w:rsidR="00D42826" w:rsidRPr="00EA236D">
        <w:rPr>
          <w:rFonts w:cs="Times New Roman"/>
          <w:szCs w:val="20"/>
          <w:lang w:val="es-ES_tradnl"/>
        </w:rPr>
        <w:t>particular, no se enmarca de forma aislada, sino que como quedó explicitado en la Sentencia, tiene antecedentes históricos y que se habían perpetuado hacia sectores específicos de la población y determinadas zonas geográficas con posterioridad a 1995</w:t>
      </w:r>
      <w:r w:rsidR="00C70DDD" w:rsidRPr="00EA236D">
        <w:rPr>
          <w:rFonts w:cs="Times New Roman"/>
          <w:szCs w:val="20"/>
          <w:lang w:val="es-ES_tradnl"/>
        </w:rPr>
        <w:t xml:space="preserve">, </w:t>
      </w:r>
      <w:r w:rsidR="00D34454" w:rsidRPr="00EA236D">
        <w:rPr>
          <w:rFonts w:cs="Times New Roman"/>
          <w:szCs w:val="20"/>
          <w:lang w:val="es-ES_tradnl"/>
        </w:rPr>
        <w:t xml:space="preserve">fecha en que Brasil reconoció expresamente la existencia de “trabajo esclavo” en el país. </w:t>
      </w:r>
      <w:r w:rsidR="00D42826" w:rsidRPr="00EA236D">
        <w:rPr>
          <w:rFonts w:cs="Times New Roman"/>
          <w:szCs w:val="20"/>
          <w:lang w:val="es-ES_tradnl"/>
        </w:rPr>
        <w:t xml:space="preserve">De allí que </w:t>
      </w:r>
      <w:r w:rsidR="00D42826" w:rsidRPr="00EA236D">
        <w:rPr>
          <w:rFonts w:cs="Times New Roman"/>
          <w:szCs w:val="20"/>
          <w:lang w:val="es-ES_tradnl"/>
        </w:rPr>
        <w:lastRenderedPageBreak/>
        <w:t xml:space="preserve">conjuntamente se analizara la posición de pobreza como el </w:t>
      </w:r>
      <w:r w:rsidR="00D66291" w:rsidRPr="00EA236D">
        <w:rPr>
          <w:rFonts w:cs="Times New Roman"/>
          <w:szCs w:val="20"/>
          <w:lang w:val="es-ES_tradnl"/>
        </w:rPr>
        <w:t>factor estructural determinante</w:t>
      </w:r>
      <w:r w:rsidR="00D42826" w:rsidRPr="00EA236D">
        <w:rPr>
          <w:rFonts w:cs="Times New Roman"/>
          <w:szCs w:val="20"/>
          <w:lang w:val="es-ES_tradnl"/>
        </w:rPr>
        <w:t xml:space="preserve"> para seguir perpetuando históricament</w:t>
      </w:r>
      <w:r w:rsidR="00DC4B5B" w:rsidRPr="00EA236D">
        <w:rPr>
          <w:rFonts w:cs="Times New Roman"/>
          <w:szCs w:val="20"/>
          <w:lang w:val="es-ES_tradnl"/>
        </w:rPr>
        <w:t xml:space="preserve">e el trabajo esclavo en Brasil. </w:t>
      </w:r>
    </w:p>
    <w:p w14:paraId="28B310D1" w14:textId="77777777" w:rsidR="007D37C5" w:rsidRPr="00EA236D" w:rsidRDefault="007D37C5" w:rsidP="007D37C5">
      <w:pPr>
        <w:rPr>
          <w:rFonts w:ascii="Verdana" w:hAnsi="Verdana" w:cs="Times New Roman"/>
          <w:b/>
          <w:i/>
          <w:szCs w:val="20"/>
        </w:rPr>
      </w:pPr>
    </w:p>
    <w:p w14:paraId="6E775DF6" w14:textId="2F8A737C" w:rsidR="00DC4B5B" w:rsidRPr="00EA236D" w:rsidRDefault="0097276F" w:rsidP="00DC4B5B">
      <w:pPr>
        <w:pStyle w:val="ListParagraph"/>
        <w:numPr>
          <w:ilvl w:val="0"/>
          <w:numId w:val="1"/>
        </w:numPr>
        <w:rPr>
          <w:rFonts w:cs="Times New Roman"/>
          <w:strike/>
          <w:szCs w:val="20"/>
        </w:rPr>
      </w:pPr>
      <w:r w:rsidRPr="00EA236D">
        <w:t>Como se expresa en la Sentencia, l</w:t>
      </w:r>
      <w:r w:rsidR="00621BB1" w:rsidRPr="00EA236D">
        <w:t>a pobreza</w:t>
      </w:r>
      <w:r w:rsidRPr="00EA236D">
        <w:t xml:space="preserve"> </w:t>
      </w:r>
      <w:r w:rsidR="00840CD8" w:rsidRPr="00EA236D">
        <w:t>“</w:t>
      </w:r>
      <w:r w:rsidR="00621BB1" w:rsidRPr="00EA236D">
        <w:t>es el principal factor de la esclavitud contemporánea en Brasil, por aumentar la vulnerabilidad de significativa parte de la población, haciéndoles presa fácil de los reclutadores para trabajo esclavo”</w:t>
      </w:r>
      <w:r w:rsidR="00621BB1" w:rsidRPr="00EA236D">
        <w:rPr>
          <w:rStyle w:val="FootnoteReference"/>
        </w:rPr>
        <w:footnoteReference w:id="119"/>
      </w:r>
      <w:r w:rsidR="00621BB1" w:rsidRPr="00EA236D">
        <w:t>.</w:t>
      </w:r>
      <w:r w:rsidRPr="00EA236D">
        <w:t xml:space="preserve"> </w:t>
      </w:r>
      <w:r w:rsidR="00DC4B5B" w:rsidRPr="00EA236D">
        <w:rPr>
          <w:rFonts w:cs="Times New Roman"/>
          <w:szCs w:val="20"/>
          <w:lang w:val="es-ES_tradnl"/>
        </w:rPr>
        <w:t>L</w:t>
      </w:r>
      <w:r w:rsidR="007D37C5" w:rsidRPr="00EA236D">
        <w:rPr>
          <w:rFonts w:cs="Times New Roman"/>
          <w:szCs w:val="20"/>
          <w:lang w:val="es-ES_tradnl"/>
        </w:rPr>
        <w:t xml:space="preserve">a pobreza, en el caso </w:t>
      </w:r>
      <w:r w:rsidR="007D37C5" w:rsidRPr="00EA236D">
        <w:rPr>
          <w:rFonts w:cs="Times New Roman"/>
          <w:i/>
          <w:szCs w:val="20"/>
          <w:lang w:val="es-ES_tradnl"/>
        </w:rPr>
        <w:t xml:space="preserve">sub judice, </w:t>
      </w:r>
      <w:r w:rsidR="007D37C5" w:rsidRPr="00EA236D">
        <w:rPr>
          <w:rFonts w:cs="Times New Roman"/>
          <w:szCs w:val="20"/>
          <w:lang w:val="es-ES_tradnl"/>
        </w:rPr>
        <w:t>no se enmarca como un fenómeno sino como una afectación de especial vulnerabilidad en donde la situación de exclusión y marginación, aunado a la den</w:t>
      </w:r>
      <w:r w:rsidR="00DC4B5B" w:rsidRPr="00EA236D">
        <w:rPr>
          <w:rFonts w:cs="Times New Roman"/>
          <w:szCs w:val="20"/>
          <w:lang w:val="es-ES_tradnl"/>
        </w:rPr>
        <w:t>egación estructural y sistémica (</w:t>
      </w:r>
      <w:r w:rsidR="007D37C5" w:rsidRPr="00EA236D">
        <w:rPr>
          <w:rFonts w:cs="Times New Roman"/>
          <w:szCs w:val="20"/>
          <w:lang w:val="es-ES_tradnl"/>
        </w:rPr>
        <w:t>con antecedentes históricos para el caso particular</w:t>
      </w:r>
      <w:r w:rsidR="00DC4B5B" w:rsidRPr="00EA236D">
        <w:rPr>
          <w:rFonts w:cs="Times New Roman"/>
          <w:szCs w:val="20"/>
          <w:lang w:val="es-ES_tradnl"/>
        </w:rPr>
        <w:t>)</w:t>
      </w:r>
      <w:r w:rsidR="007D37C5" w:rsidRPr="00EA236D">
        <w:rPr>
          <w:rFonts w:cs="Times New Roman"/>
          <w:szCs w:val="20"/>
          <w:lang w:val="es-ES_tradnl"/>
        </w:rPr>
        <w:t xml:space="preserve">, </w:t>
      </w:r>
      <w:r w:rsidR="00DC4B5B" w:rsidRPr="00EA236D">
        <w:rPr>
          <w:rFonts w:cs="Times New Roman"/>
          <w:szCs w:val="20"/>
          <w:lang w:val="es-ES_tradnl"/>
        </w:rPr>
        <w:t>tuvieron una afectación en los 85 trabajadores rescatad</w:t>
      </w:r>
      <w:r w:rsidRPr="00EA236D">
        <w:rPr>
          <w:rFonts w:cs="Times New Roman"/>
          <w:szCs w:val="20"/>
          <w:lang w:val="es-ES_tradnl"/>
        </w:rPr>
        <w:t>os de la Hacienda Brasil Verde</w:t>
      </w:r>
      <w:r w:rsidR="00C70DDD" w:rsidRPr="00EA236D">
        <w:rPr>
          <w:rFonts w:cs="Times New Roman"/>
          <w:szCs w:val="20"/>
          <w:lang w:val="es-ES_tradnl"/>
        </w:rPr>
        <w:t>.</w:t>
      </w:r>
    </w:p>
    <w:p w14:paraId="5465110E" w14:textId="77777777" w:rsidR="00C70DDD" w:rsidRPr="00EA236D" w:rsidRDefault="00C70DDD" w:rsidP="00C70DDD">
      <w:pPr>
        <w:pStyle w:val="ListParagraph"/>
        <w:ind w:left="0"/>
        <w:rPr>
          <w:rFonts w:cs="Times New Roman"/>
          <w:strike/>
          <w:szCs w:val="20"/>
        </w:rPr>
      </w:pPr>
    </w:p>
    <w:p w14:paraId="634C5377" w14:textId="443FAF7C" w:rsidR="005049A3" w:rsidRPr="00EA236D" w:rsidRDefault="00DC4B5B" w:rsidP="00291466">
      <w:pPr>
        <w:pStyle w:val="ListParagraph"/>
        <w:numPr>
          <w:ilvl w:val="0"/>
          <w:numId w:val="1"/>
        </w:numPr>
        <w:rPr>
          <w:rFonts w:cs="Times New Roman"/>
          <w:b/>
          <w:i/>
          <w:szCs w:val="20"/>
        </w:rPr>
      </w:pPr>
      <w:r w:rsidRPr="00EA236D">
        <w:rPr>
          <w:rFonts w:cs="Times New Roman"/>
          <w:szCs w:val="20"/>
          <w:lang w:val="es-ES_tradnl"/>
        </w:rPr>
        <w:t>No puede pasar inadvertido</w:t>
      </w:r>
      <w:r w:rsidR="00D429F9" w:rsidRPr="00EA236D">
        <w:rPr>
          <w:rFonts w:cs="Times New Roman"/>
          <w:szCs w:val="20"/>
          <w:lang w:val="es-ES_tradnl"/>
        </w:rPr>
        <w:t xml:space="preserve"> para un juez interamericano</w:t>
      </w:r>
      <w:r w:rsidRPr="00EA236D">
        <w:rPr>
          <w:rFonts w:cs="Times New Roman"/>
          <w:szCs w:val="20"/>
          <w:lang w:val="es-ES_tradnl"/>
        </w:rPr>
        <w:t xml:space="preserve"> que la esclavitud</w:t>
      </w:r>
      <w:r w:rsidR="006D0FE7" w:rsidRPr="00EA236D">
        <w:rPr>
          <w:rFonts w:cs="Times New Roman"/>
          <w:szCs w:val="20"/>
          <w:lang w:val="es-ES_tradnl"/>
        </w:rPr>
        <w:t>,</w:t>
      </w:r>
      <w:r w:rsidRPr="00EA236D">
        <w:rPr>
          <w:rFonts w:cs="Times New Roman"/>
          <w:szCs w:val="20"/>
          <w:lang w:val="es-ES_tradnl"/>
        </w:rPr>
        <w:t xml:space="preserve"> en sus formas </w:t>
      </w:r>
      <w:r w:rsidR="00D429F9" w:rsidRPr="00EA236D">
        <w:rPr>
          <w:rFonts w:cs="Times New Roman"/>
          <w:szCs w:val="20"/>
          <w:lang w:val="es-ES_tradnl"/>
        </w:rPr>
        <w:t xml:space="preserve">análogas y </w:t>
      </w:r>
      <w:r w:rsidRPr="00EA236D">
        <w:rPr>
          <w:rFonts w:cs="Times New Roman"/>
          <w:szCs w:val="20"/>
          <w:lang w:val="es-ES_tradnl"/>
        </w:rPr>
        <w:t>contemporáneas</w:t>
      </w:r>
      <w:r w:rsidR="006D0FE7" w:rsidRPr="00EA236D">
        <w:rPr>
          <w:rFonts w:cs="Times New Roman"/>
          <w:szCs w:val="20"/>
          <w:lang w:val="es-ES_tradnl"/>
        </w:rPr>
        <w:t>,</w:t>
      </w:r>
      <w:r w:rsidRPr="00EA236D">
        <w:rPr>
          <w:rFonts w:cs="Times New Roman"/>
          <w:szCs w:val="20"/>
          <w:lang w:val="es-ES_tradnl"/>
        </w:rPr>
        <w:t xml:space="preserve"> </w:t>
      </w:r>
      <w:r w:rsidR="005D7A2C" w:rsidRPr="00EA236D">
        <w:rPr>
          <w:rFonts w:cs="Times New Roman"/>
          <w:szCs w:val="20"/>
          <w:lang w:val="es-ES_tradnl"/>
        </w:rPr>
        <w:t>tiene un origen</w:t>
      </w:r>
      <w:r w:rsidRPr="00EA236D">
        <w:rPr>
          <w:rFonts w:cs="Times New Roman"/>
          <w:szCs w:val="20"/>
          <w:lang w:val="es-ES_tradnl"/>
        </w:rPr>
        <w:t xml:space="preserve"> </w:t>
      </w:r>
      <w:r w:rsidR="002E6F88" w:rsidRPr="00EA236D">
        <w:rPr>
          <w:rFonts w:cs="Times New Roman"/>
          <w:szCs w:val="20"/>
          <w:lang w:val="es-ES_tradnl"/>
        </w:rPr>
        <w:t xml:space="preserve">y consecuencia </w:t>
      </w:r>
      <w:r w:rsidR="00B13F13" w:rsidRPr="00EA236D">
        <w:rPr>
          <w:rFonts w:cs="Times New Roman"/>
          <w:szCs w:val="20"/>
          <w:lang w:val="es-ES_tradnl"/>
        </w:rPr>
        <w:t>en</w:t>
      </w:r>
      <w:r w:rsidRPr="00EA236D">
        <w:rPr>
          <w:rFonts w:cs="Times New Roman"/>
          <w:szCs w:val="20"/>
          <w:lang w:val="es-ES_tradnl"/>
        </w:rPr>
        <w:t xml:space="preserve"> la pobreza</w:t>
      </w:r>
      <w:r w:rsidR="00D429F9" w:rsidRPr="00EA236D">
        <w:rPr>
          <w:rFonts w:cs="Times New Roman"/>
          <w:szCs w:val="20"/>
          <w:lang w:val="es-ES_tradnl"/>
        </w:rPr>
        <w:t xml:space="preserve">, la inequidad y la exclusión social, repercutiendo </w:t>
      </w:r>
      <w:r w:rsidR="00075C3D" w:rsidRPr="00EA236D">
        <w:rPr>
          <w:rFonts w:cs="Times New Roman"/>
          <w:szCs w:val="20"/>
          <w:lang w:val="es-ES_tradnl"/>
        </w:rPr>
        <w:t>en las</w:t>
      </w:r>
      <w:r w:rsidR="00D429F9" w:rsidRPr="00EA236D">
        <w:rPr>
          <w:rFonts w:cs="Times New Roman"/>
          <w:szCs w:val="20"/>
          <w:lang w:val="es-ES_tradnl"/>
        </w:rPr>
        <w:t xml:space="preserve"> democracias </w:t>
      </w:r>
      <w:r w:rsidR="00075C3D" w:rsidRPr="00EA236D">
        <w:rPr>
          <w:rFonts w:cs="Times New Roman"/>
          <w:szCs w:val="20"/>
          <w:lang w:val="es-ES_tradnl"/>
        </w:rPr>
        <w:t xml:space="preserve">sustantivas </w:t>
      </w:r>
      <w:r w:rsidR="00D429F9" w:rsidRPr="00EA236D">
        <w:rPr>
          <w:rFonts w:cs="Times New Roman"/>
          <w:szCs w:val="20"/>
          <w:lang w:val="es-ES_tradnl"/>
        </w:rPr>
        <w:t>de los países de la región</w:t>
      </w:r>
      <w:r w:rsidR="005B1C81" w:rsidRPr="00EA236D">
        <w:rPr>
          <w:rFonts w:cs="System Font Regular"/>
          <w:szCs w:val="20"/>
          <w:lang w:val="es-ES_tradnl"/>
        </w:rPr>
        <w:t>.</w:t>
      </w:r>
      <w:r w:rsidR="00CD3B20" w:rsidRPr="00EA236D">
        <w:rPr>
          <w:rFonts w:cs="System Font Regular"/>
          <w:szCs w:val="20"/>
          <w:lang w:val="es-ES_tradnl"/>
        </w:rPr>
        <w:t xml:space="preserve"> De este modo, </w:t>
      </w:r>
      <w:r w:rsidR="006C283D" w:rsidRPr="00EA236D">
        <w:rPr>
          <w:rFonts w:cs="System Font Regular"/>
          <w:szCs w:val="20"/>
          <w:lang w:val="es-ES_tradnl"/>
        </w:rPr>
        <w:t>el análisis de la experiencia interamericana de protección de derechos humanos (civiles, políticos, económicos, sociales, culturales y ambientales) demanda que sean consideradas las peculiaridades de la región, ya que América Latina es la región con el más alto grado de desigualdad en el mundo</w:t>
      </w:r>
      <w:r w:rsidR="006C283D" w:rsidRPr="00EA236D">
        <w:rPr>
          <w:rStyle w:val="FootnoteReference"/>
          <w:lang w:val="es-ES_tradnl"/>
        </w:rPr>
        <w:footnoteReference w:id="120"/>
      </w:r>
      <w:r w:rsidR="006C283D" w:rsidRPr="00EA236D">
        <w:rPr>
          <w:rFonts w:cs="System Font Regular"/>
          <w:szCs w:val="20"/>
          <w:lang w:val="es-ES_tradnl"/>
        </w:rPr>
        <w:t>.</w:t>
      </w:r>
      <w:r w:rsidR="005B1C81" w:rsidRPr="00EA236D">
        <w:rPr>
          <w:rFonts w:cs="Times New Roman"/>
          <w:b/>
          <w:i/>
          <w:szCs w:val="20"/>
          <w:lang w:val="es-ES_tradnl"/>
        </w:rPr>
        <w:t xml:space="preserve"> </w:t>
      </w:r>
      <w:r w:rsidR="00443A05" w:rsidRPr="00EA236D">
        <w:rPr>
          <w:rFonts w:cs="Times New Roman"/>
          <w:szCs w:val="20"/>
          <w:lang w:val="es-ES_tradnl"/>
        </w:rPr>
        <w:t>En</w:t>
      </w:r>
      <w:r w:rsidRPr="00EA236D">
        <w:rPr>
          <w:rFonts w:cs="Times New Roman"/>
          <w:szCs w:val="20"/>
          <w:lang w:val="es-ES_tradnl"/>
        </w:rPr>
        <w:t xml:space="preserve"> </w:t>
      </w:r>
      <w:r w:rsidR="00443A05" w:rsidRPr="00EA236D">
        <w:rPr>
          <w:rFonts w:cs="Times New Roman"/>
          <w:szCs w:val="20"/>
          <w:lang w:val="es-ES_tradnl"/>
        </w:rPr>
        <w:t xml:space="preserve">ese sentido, </w:t>
      </w:r>
      <w:r w:rsidRPr="00EA236D">
        <w:rPr>
          <w:rFonts w:cs="Times New Roman"/>
          <w:szCs w:val="20"/>
          <w:lang w:val="es-ES_tradnl"/>
        </w:rPr>
        <w:t xml:space="preserve">los Estados en la región </w:t>
      </w:r>
      <w:r w:rsidR="00E1381B" w:rsidRPr="00EA236D">
        <w:rPr>
          <w:rFonts w:cs="Times New Roman"/>
          <w:szCs w:val="20"/>
          <w:lang w:val="es-ES_tradnl"/>
        </w:rPr>
        <w:t xml:space="preserve">deben </w:t>
      </w:r>
      <w:r w:rsidRPr="00EA236D">
        <w:rPr>
          <w:rFonts w:cs="Times New Roman"/>
          <w:szCs w:val="20"/>
          <w:lang w:val="es-ES_tradnl"/>
        </w:rPr>
        <w:t xml:space="preserve">ser consecuentes con </w:t>
      </w:r>
      <w:r w:rsidR="005D7A2C" w:rsidRPr="00EA236D">
        <w:rPr>
          <w:rFonts w:cs="Times New Roman"/>
          <w:szCs w:val="20"/>
          <w:lang w:val="es-ES_tradnl"/>
        </w:rPr>
        <w:t xml:space="preserve">lo que </w:t>
      </w:r>
      <w:r w:rsidR="00D429F9" w:rsidRPr="00EA236D">
        <w:rPr>
          <w:rFonts w:cs="Times New Roman"/>
          <w:szCs w:val="20"/>
          <w:lang w:val="es-ES_tradnl"/>
        </w:rPr>
        <w:t xml:space="preserve">proclama </w:t>
      </w:r>
      <w:r w:rsidR="00233862" w:rsidRPr="00EA236D">
        <w:rPr>
          <w:rFonts w:cs="Times"/>
          <w:szCs w:val="20"/>
          <w:lang w:val="es-ES_tradnl"/>
        </w:rPr>
        <w:t>l</w:t>
      </w:r>
      <w:r w:rsidR="005D7A2C" w:rsidRPr="00EA236D">
        <w:rPr>
          <w:rFonts w:cs="Times"/>
          <w:szCs w:val="20"/>
          <w:lang w:val="es-ES_tradnl"/>
        </w:rPr>
        <w:t>a</w:t>
      </w:r>
      <w:r w:rsidRPr="00EA236D">
        <w:rPr>
          <w:rFonts w:cs="Times"/>
          <w:szCs w:val="20"/>
          <w:lang w:val="es-ES_tradnl"/>
        </w:rPr>
        <w:t xml:space="preserve"> </w:t>
      </w:r>
      <w:r w:rsidRPr="00EA236D">
        <w:rPr>
          <w:rFonts w:cs="Times"/>
          <w:i/>
          <w:szCs w:val="20"/>
          <w:lang w:val="es-ES_tradnl"/>
        </w:rPr>
        <w:t>Carta Social de las América</w:t>
      </w:r>
      <w:r w:rsidR="001A35FD" w:rsidRPr="00EA236D">
        <w:rPr>
          <w:rFonts w:cs="Times"/>
          <w:i/>
          <w:szCs w:val="20"/>
          <w:lang w:val="es-ES_tradnl"/>
        </w:rPr>
        <w:t>s</w:t>
      </w:r>
      <w:r w:rsidR="007D66C2" w:rsidRPr="00EA236D">
        <w:rPr>
          <w:rFonts w:cs="Times"/>
          <w:szCs w:val="20"/>
          <w:lang w:val="es-ES_tradnl"/>
        </w:rPr>
        <w:t xml:space="preserve"> </w:t>
      </w:r>
      <w:r w:rsidR="005049A3" w:rsidRPr="00EA236D">
        <w:rPr>
          <w:rFonts w:cs="Times"/>
          <w:szCs w:val="20"/>
          <w:lang w:val="es-ES_tradnl"/>
        </w:rPr>
        <w:t>(2012)</w:t>
      </w:r>
      <w:r w:rsidR="003342C8" w:rsidRPr="00EA236D">
        <w:rPr>
          <w:rStyle w:val="FootnoteReference"/>
          <w:lang w:val="es-ES_tradnl"/>
        </w:rPr>
        <w:footnoteReference w:id="121"/>
      </w:r>
      <w:r w:rsidR="00075C3D" w:rsidRPr="00EA236D">
        <w:rPr>
          <w:rFonts w:cs="Times"/>
          <w:szCs w:val="20"/>
          <w:lang w:val="es-ES_tradnl"/>
        </w:rPr>
        <w:t xml:space="preserve"> y su </w:t>
      </w:r>
      <w:r w:rsidR="00075C3D" w:rsidRPr="00EC6179">
        <w:rPr>
          <w:rFonts w:cs="Times"/>
          <w:i/>
          <w:szCs w:val="20"/>
          <w:lang w:val="es-ES_tradnl"/>
        </w:rPr>
        <w:t>Plan de Acción</w:t>
      </w:r>
      <w:r w:rsidR="00075C3D" w:rsidRPr="00EA236D">
        <w:rPr>
          <w:rFonts w:cs="Times"/>
          <w:szCs w:val="20"/>
          <w:lang w:val="es-ES_tradnl"/>
        </w:rPr>
        <w:t xml:space="preserve"> (2015)</w:t>
      </w:r>
      <w:r w:rsidR="00FF04A3" w:rsidRPr="00EA236D">
        <w:rPr>
          <w:rStyle w:val="FootnoteReference"/>
          <w:lang w:val="es-ES_tradnl"/>
        </w:rPr>
        <w:footnoteReference w:id="122"/>
      </w:r>
      <w:r w:rsidR="003342C8" w:rsidRPr="00EA236D">
        <w:rPr>
          <w:rFonts w:cs="Times"/>
          <w:szCs w:val="20"/>
          <w:lang w:val="es-ES_tradnl"/>
        </w:rPr>
        <w:t xml:space="preserve">, </w:t>
      </w:r>
      <w:r w:rsidR="00FC6572" w:rsidRPr="00EA236D">
        <w:rPr>
          <w:rFonts w:cs="Times"/>
          <w:szCs w:val="20"/>
          <w:lang w:val="es-ES_tradnl"/>
        </w:rPr>
        <w:t xml:space="preserve">para procurar y lograr progresivamente </w:t>
      </w:r>
      <w:r w:rsidR="003342C8" w:rsidRPr="00EA236D">
        <w:rPr>
          <w:rFonts w:cs="Times"/>
          <w:szCs w:val="20"/>
          <w:lang w:val="es-ES_tradnl"/>
        </w:rPr>
        <w:t xml:space="preserve">la realización </w:t>
      </w:r>
      <w:r w:rsidR="007A5E94" w:rsidRPr="00EA236D">
        <w:rPr>
          <w:rFonts w:cs="Times"/>
          <w:szCs w:val="20"/>
          <w:lang w:val="es-ES_tradnl"/>
        </w:rPr>
        <w:t xml:space="preserve">plena </w:t>
      </w:r>
      <w:r w:rsidR="003342C8" w:rsidRPr="00EA236D">
        <w:rPr>
          <w:rFonts w:cs="Times"/>
          <w:szCs w:val="20"/>
          <w:lang w:val="es-ES_tradnl"/>
        </w:rPr>
        <w:t xml:space="preserve">de la </w:t>
      </w:r>
      <w:r w:rsidR="003342C8" w:rsidRPr="00EA236D">
        <w:rPr>
          <w:rFonts w:cs="Times"/>
          <w:i/>
          <w:szCs w:val="20"/>
          <w:lang w:val="es-ES_tradnl"/>
        </w:rPr>
        <w:t>justicia social</w:t>
      </w:r>
      <w:r w:rsidR="003342C8" w:rsidRPr="00EA236D">
        <w:rPr>
          <w:rFonts w:cs="Times"/>
          <w:szCs w:val="20"/>
          <w:lang w:val="es-ES_tradnl"/>
        </w:rPr>
        <w:t xml:space="preserve"> en nuestro continente.</w:t>
      </w:r>
      <w:r w:rsidR="00FF04A3" w:rsidRPr="00EA236D">
        <w:rPr>
          <w:rFonts w:cs="Times"/>
          <w:szCs w:val="20"/>
          <w:lang w:val="es-ES_tradnl"/>
        </w:rPr>
        <w:t xml:space="preserve">  </w:t>
      </w:r>
    </w:p>
    <w:p w14:paraId="2527D636" w14:textId="77777777" w:rsidR="008C2E57" w:rsidRPr="00EA236D" w:rsidRDefault="008C2E57" w:rsidP="00291466">
      <w:pPr>
        <w:pStyle w:val="ListParagraph"/>
        <w:ind w:left="0"/>
        <w:rPr>
          <w:rFonts w:cs="Times New Roman"/>
          <w:b/>
          <w:i/>
          <w:szCs w:val="20"/>
          <w:lang w:val="es-ES_tradnl"/>
        </w:rPr>
      </w:pPr>
    </w:p>
    <w:p w14:paraId="3EB91DAA" w14:textId="77777777" w:rsidR="00332532" w:rsidRDefault="00332532" w:rsidP="007125CA">
      <w:pPr>
        <w:pStyle w:val="NormalWeb"/>
        <w:spacing w:before="0" w:beforeAutospacing="0" w:after="0" w:afterAutospacing="0"/>
        <w:ind w:left="3600" w:right="96" w:firstLine="720"/>
        <w:jc w:val="center"/>
        <w:rPr>
          <w:rFonts w:ascii="Verdana" w:eastAsia="Calibri" w:hAnsi="Verdana"/>
          <w:lang w:eastAsia="en-US"/>
        </w:rPr>
      </w:pPr>
    </w:p>
    <w:p w14:paraId="33D25A63" w14:textId="77777777" w:rsidR="00332532" w:rsidRDefault="00332532" w:rsidP="007125CA">
      <w:pPr>
        <w:pStyle w:val="NormalWeb"/>
        <w:spacing w:before="0" w:beforeAutospacing="0" w:after="0" w:afterAutospacing="0"/>
        <w:ind w:left="3600" w:right="96" w:firstLine="720"/>
        <w:jc w:val="center"/>
        <w:rPr>
          <w:rFonts w:ascii="Verdana" w:eastAsia="Calibri" w:hAnsi="Verdana"/>
          <w:lang w:eastAsia="en-US"/>
        </w:rPr>
      </w:pPr>
    </w:p>
    <w:p w14:paraId="23764C82" w14:textId="77777777" w:rsidR="00611D85" w:rsidRPr="00EA236D" w:rsidRDefault="00611D85" w:rsidP="007125CA">
      <w:pPr>
        <w:pStyle w:val="NormalWeb"/>
        <w:spacing w:before="0" w:beforeAutospacing="0" w:after="0" w:afterAutospacing="0"/>
        <w:ind w:left="3600" w:right="96" w:firstLine="720"/>
        <w:jc w:val="center"/>
        <w:rPr>
          <w:rFonts w:ascii="Verdana" w:eastAsia="Calibri" w:hAnsi="Verdana"/>
          <w:lang w:eastAsia="en-US"/>
        </w:rPr>
      </w:pPr>
    </w:p>
    <w:p w14:paraId="0353A604" w14:textId="77777777" w:rsidR="007125CA" w:rsidRPr="00EA236D" w:rsidRDefault="007125CA" w:rsidP="007125CA">
      <w:pPr>
        <w:pStyle w:val="NormalWeb"/>
        <w:spacing w:before="0" w:beforeAutospacing="0" w:after="0" w:afterAutospacing="0"/>
        <w:ind w:left="3600" w:right="96" w:firstLine="720"/>
        <w:jc w:val="center"/>
        <w:rPr>
          <w:rFonts w:ascii="Verdana" w:eastAsia="Calibri" w:hAnsi="Verdana"/>
          <w:lang w:val="pt-BR" w:eastAsia="en-US"/>
        </w:rPr>
      </w:pPr>
      <w:r w:rsidRPr="00EA236D">
        <w:rPr>
          <w:rFonts w:ascii="Verdana" w:eastAsia="Calibri" w:hAnsi="Verdana"/>
          <w:lang w:val="pt-BR" w:eastAsia="en-US"/>
        </w:rPr>
        <w:t>Eduardo Ferrer Mac-Gregor Poisot</w:t>
      </w:r>
    </w:p>
    <w:p w14:paraId="22B55A68" w14:textId="69236F3D" w:rsidR="007125CA" w:rsidRPr="00EA236D" w:rsidRDefault="007A5E94" w:rsidP="007A5E94">
      <w:pPr>
        <w:pStyle w:val="NormalWeb"/>
        <w:spacing w:before="0" w:beforeAutospacing="0" w:after="0" w:afterAutospacing="0"/>
        <w:ind w:left="3960" w:right="96" w:firstLine="360"/>
        <w:jc w:val="center"/>
        <w:rPr>
          <w:rFonts w:ascii="Verdana" w:eastAsia="Calibri" w:hAnsi="Verdana"/>
          <w:lang w:val="pt-BR" w:eastAsia="en-US"/>
        </w:rPr>
      </w:pPr>
      <w:r w:rsidRPr="00EA236D">
        <w:rPr>
          <w:rFonts w:ascii="Verdana" w:eastAsia="Calibri" w:hAnsi="Verdana"/>
          <w:lang w:val="pt-BR" w:eastAsia="en-US"/>
        </w:rPr>
        <w:t>Juez</w:t>
      </w:r>
    </w:p>
    <w:p w14:paraId="2B4F7CDF" w14:textId="77777777" w:rsidR="00611D85" w:rsidRDefault="00611D85" w:rsidP="007125CA">
      <w:pPr>
        <w:rPr>
          <w:rFonts w:ascii="Verdana" w:hAnsi="Verdana"/>
          <w:sz w:val="20"/>
          <w:szCs w:val="20"/>
          <w:lang w:val="es-CR"/>
        </w:rPr>
      </w:pPr>
    </w:p>
    <w:p w14:paraId="7F45AF90" w14:textId="77777777" w:rsidR="007125CA" w:rsidRPr="00EA236D" w:rsidRDefault="007125CA" w:rsidP="007125CA">
      <w:pPr>
        <w:rPr>
          <w:rFonts w:ascii="Verdana" w:hAnsi="Verdana"/>
          <w:sz w:val="20"/>
          <w:szCs w:val="20"/>
          <w:lang w:val="es-CR"/>
        </w:rPr>
      </w:pPr>
      <w:r w:rsidRPr="00EA236D">
        <w:rPr>
          <w:rFonts w:ascii="Verdana" w:hAnsi="Verdana"/>
          <w:sz w:val="20"/>
          <w:szCs w:val="20"/>
          <w:lang w:val="es-CR"/>
        </w:rPr>
        <w:t>Pablo Saavedra Alessandri</w:t>
      </w:r>
    </w:p>
    <w:p w14:paraId="350C226E" w14:textId="0F6F55A6" w:rsidR="00D0131D" w:rsidRPr="00EA236D" w:rsidRDefault="007125CA" w:rsidP="00A10798">
      <w:pPr>
        <w:rPr>
          <w:rFonts w:ascii="Verdana" w:hAnsi="Verdana"/>
          <w:sz w:val="20"/>
          <w:szCs w:val="20"/>
          <w:lang w:val="es-CR"/>
        </w:rPr>
      </w:pPr>
      <w:r w:rsidRPr="00EA236D">
        <w:rPr>
          <w:rFonts w:ascii="Verdana" w:hAnsi="Verdana"/>
          <w:sz w:val="20"/>
          <w:szCs w:val="20"/>
          <w:lang w:val="es-CR"/>
        </w:rPr>
        <w:tab/>
        <w:t>Secretario</w:t>
      </w:r>
    </w:p>
    <w:sectPr w:rsidR="00D0131D" w:rsidRPr="00EA236D" w:rsidSect="00F6203A">
      <w:footerReference w:type="even"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6AC5" w14:textId="77777777" w:rsidR="00A07855" w:rsidRDefault="00A07855" w:rsidP="00291466">
      <w:r>
        <w:separator/>
      </w:r>
    </w:p>
  </w:endnote>
  <w:endnote w:type="continuationSeparator" w:id="0">
    <w:p w14:paraId="3A43A1D0" w14:textId="77777777" w:rsidR="00A07855" w:rsidRDefault="00A07855" w:rsidP="0029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Batang">
    <w:panose1 w:val="02030600000101010101"/>
    <w:charset w:val="81"/>
    <w:family w:val="roman"/>
    <w:pitch w:val="variable"/>
    <w:sig w:usb0="B00002AF" w:usb1="69D77CFB" w:usb2="00000030" w:usb3="00000000" w:csb0="0008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ystem Font Regular">
    <w:charset w:val="00"/>
    <w:family w:val="auto"/>
    <w:pitch w:val="variable"/>
    <w:sig w:usb0="2000028F" w:usb1="00000003" w:usb2="00000000" w:usb3="00000000" w:csb0="0000019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1536" w14:textId="77777777" w:rsidR="009D032A" w:rsidRDefault="009D032A" w:rsidP="00F62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475B0" w14:textId="77777777" w:rsidR="009D032A" w:rsidRDefault="009D03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15B8" w14:textId="77777777" w:rsidR="009D032A" w:rsidRPr="007005DD" w:rsidRDefault="009D032A" w:rsidP="00F6203A">
    <w:pPr>
      <w:pStyle w:val="Footer"/>
      <w:framePr w:wrap="around" w:vAnchor="text" w:hAnchor="margin" w:xAlign="center" w:y="1"/>
      <w:rPr>
        <w:rStyle w:val="PageNumber"/>
        <w:rFonts w:ascii="Verdana" w:hAnsi="Verdana"/>
        <w:sz w:val="20"/>
        <w:szCs w:val="20"/>
      </w:rPr>
    </w:pPr>
    <w:r w:rsidRPr="007005DD">
      <w:rPr>
        <w:rStyle w:val="PageNumber"/>
        <w:rFonts w:ascii="Verdana" w:hAnsi="Verdana"/>
        <w:sz w:val="20"/>
        <w:szCs w:val="20"/>
      </w:rPr>
      <w:fldChar w:fldCharType="begin"/>
    </w:r>
    <w:r w:rsidRPr="007005DD">
      <w:rPr>
        <w:rStyle w:val="PageNumber"/>
        <w:rFonts w:ascii="Verdana" w:hAnsi="Verdana"/>
        <w:sz w:val="20"/>
        <w:szCs w:val="20"/>
      </w:rPr>
      <w:instrText xml:space="preserve">PAGE  </w:instrText>
    </w:r>
    <w:r w:rsidRPr="007005DD">
      <w:rPr>
        <w:rStyle w:val="PageNumber"/>
        <w:rFonts w:ascii="Verdana" w:hAnsi="Verdana"/>
        <w:sz w:val="20"/>
        <w:szCs w:val="20"/>
      </w:rPr>
      <w:fldChar w:fldCharType="separate"/>
    </w:r>
    <w:r w:rsidR="00090345">
      <w:rPr>
        <w:rStyle w:val="PageNumber"/>
        <w:rFonts w:ascii="Verdana" w:hAnsi="Verdana"/>
        <w:noProof/>
        <w:sz w:val="20"/>
        <w:szCs w:val="20"/>
      </w:rPr>
      <w:t>31</w:t>
    </w:r>
    <w:r w:rsidRPr="007005DD">
      <w:rPr>
        <w:rStyle w:val="PageNumber"/>
        <w:rFonts w:ascii="Verdana" w:hAnsi="Verdana"/>
        <w:sz w:val="20"/>
        <w:szCs w:val="20"/>
      </w:rPr>
      <w:fldChar w:fldCharType="end"/>
    </w:r>
  </w:p>
  <w:p w14:paraId="1DD63207" w14:textId="77777777" w:rsidR="009D032A" w:rsidRDefault="009D03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AAE7" w14:textId="77777777" w:rsidR="00A07855" w:rsidRDefault="00A07855" w:rsidP="00291466">
      <w:r>
        <w:separator/>
      </w:r>
    </w:p>
  </w:footnote>
  <w:footnote w:type="continuationSeparator" w:id="0">
    <w:p w14:paraId="7F03430C" w14:textId="77777777" w:rsidR="00A07855" w:rsidRDefault="00A07855" w:rsidP="00291466">
      <w:r>
        <w:continuationSeparator/>
      </w:r>
    </w:p>
  </w:footnote>
  <w:footnote w:id="1">
    <w:p w14:paraId="54FDCAEE" w14:textId="060621C8" w:rsidR="009D032A" w:rsidRPr="00AD436E" w:rsidRDefault="009D032A" w:rsidP="005D7E01">
      <w:pPr>
        <w:pStyle w:val="FootnoteText"/>
        <w:tabs>
          <w:tab w:val="clear" w:pos="4419"/>
          <w:tab w:val="clear" w:pos="8838"/>
        </w:tabs>
        <w:rPr>
          <w:rFonts w:cs="System Font Regular"/>
          <w:lang w:val="es-ES_tradnl"/>
        </w:rPr>
      </w:pPr>
      <w:r w:rsidRPr="00C70DDD">
        <w:rPr>
          <w:rStyle w:val="FootnoteReference"/>
        </w:rPr>
        <w:footnoteRef/>
      </w:r>
      <w:r w:rsidRPr="00EA236D">
        <w:rPr>
          <w:lang w:val="es-ES"/>
        </w:rPr>
        <w:t xml:space="preserve"> </w:t>
      </w:r>
      <w:r w:rsidRPr="00EA236D">
        <w:rPr>
          <w:lang w:val="es-ES"/>
        </w:rPr>
        <w:tab/>
      </w:r>
      <w:r w:rsidRPr="000A2E0E">
        <w:rPr>
          <w:rFonts w:cs="System Font Regular"/>
          <w:lang w:val="es-ES_tradnl"/>
        </w:rPr>
        <w:t>De acuerdo con la Comisión Económica para América Latina y el Caribe (CEPAL)</w:t>
      </w:r>
      <w:r>
        <w:rPr>
          <w:rFonts w:cs="System Font Regular"/>
          <w:lang w:val="es-ES_tradnl"/>
        </w:rPr>
        <w:t>:</w:t>
      </w:r>
      <w:r w:rsidRPr="000A2E0E">
        <w:rPr>
          <w:rFonts w:cs="System Font Regular"/>
          <w:lang w:val="es-ES_tradnl"/>
        </w:rPr>
        <w:t xml:space="preserve"> “Entre 2013 y 2014, el </w:t>
      </w:r>
      <w:proofErr w:type="spellStart"/>
      <w:r w:rsidRPr="000A2E0E">
        <w:rPr>
          <w:rFonts w:cs="System Font Regular"/>
          <w:lang w:val="es-ES_tradnl"/>
        </w:rPr>
        <w:t>número</w:t>
      </w:r>
      <w:proofErr w:type="spellEnd"/>
      <w:r w:rsidRPr="000A2E0E">
        <w:rPr>
          <w:rFonts w:cs="System Font Regular"/>
          <w:lang w:val="es-ES_tradnl"/>
        </w:rPr>
        <w:t xml:space="preserve"> de po</w:t>
      </w:r>
      <w:r>
        <w:rPr>
          <w:rFonts w:cs="System Font Regular"/>
          <w:lang w:val="es-ES_tradnl"/>
        </w:rPr>
        <w:t xml:space="preserve">bres de la </w:t>
      </w:r>
      <w:proofErr w:type="spellStart"/>
      <w:r>
        <w:rPr>
          <w:rFonts w:cs="System Font Regular"/>
          <w:lang w:val="es-ES_tradnl"/>
        </w:rPr>
        <w:t>región</w:t>
      </w:r>
      <w:proofErr w:type="spellEnd"/>
      <w:r>
        <w:rPr>
          <w:rFonts w:cs="System Font Regular"/>
          <w:lang w:val="es-ES_tradnl"/>
        </w:rPr>
        <w:t xml:space="preserve"> se incrementó </w:t>
      </w:r>
      <w:r w:rsidRPr="000A2E0E">
        <w:rPr>
          <w:rFonts w:cs="System Font Regular"/>
          <w:lang w:val="es-ES_tradnl"/>
        </w:rPr>
        <w:t>en alrededor de 2 millones de personas</w:t>
      </w:r>
      <w:r>
        <w:rPr>
          <w:rFonts w:cs="System Font Regular"/>
          <w:lang w:val="es-ES_tradnl"/>
        </w:rPr>
        <w:t>”</w:t>
      </w:r>
      <w:r w:rsidRPr="000A2E0E">
        <w:rPr>
          <w:rFonts w:cs="System Font Regular"/>
          <w:lang w:val="es-ES_tradnl"/>
        </w:rPr>
        <w:t>. Según proyecciones de la CEPAL</w:t>
      </w:r>
      <w:r>
        <w:rPr>
          <w:rFonts w:cs="System Font Regular"/>
          <w:lang w:val="es-ES_tradnl"/>
        </w:rPr>
        <w:t xml:space="preserve">, la “tasa de pobreza se situaría en el 29.2% y la tasa de pobreza extrema en el 12.4%, lo que representaría aumentos de 1,0 y 0,6 puntos porcentuales, respectivamente. De confirmarse estas proyecciones, 175 millones de personas se encontrarían en situación de pobreza por ingresos en 2015, 75 millones de las cuales estarían en situación de indigencia”. </w:t>
      </w:r>
      <w:r w:rsidRPr="00C70DDD">
        <w:rPr>
          <w:i/>
          <w:lang w:val="es-ES_tradnl"/>
        </w:rPr>
        <w:t>Cfr.</w:t>
      </w:r>
      <w:r w:rsidRPr="00C70DDD">
        <w:rPr>
          <w:lang w:val="es-ES_tradnl"/>
        </w:rPr>
        <w:t xml:space="preserve"> ONU, </w:t>
      </w:r>
      <w:r w:rsidRPr="00C70DDD">
        <w:rPr>
          <w:rFonts w:cs="Optima"/>
          <w:lang w:val="es-ES_tradnl"/>
        </w:rPr>
        <w:t xml:space="preserve">Comisión Económica para América Latina y el Caribe (CEPAL), </w:t>
      </w:r>
      <w:r w:rsidRPr="00C70DDD">
        <w:rPr>
          <w:rFonts w:cs="Optima"/>
          <w:i/>
          <w:iCs/>
          <w:lang w:val="es-ES_tradnl"/>
        </w:rPr>
        <w:t>Panorama Social de América Latina, 2015</w:t>
      </w:r>
      <w:r>
        <w:rPr>
          <w:rFonts w:cs="Optima"/>
          <w:lang w:val="es-ES_tradnl"/>
        </w:rPr>
        <w:t>, (LC/G.2691-P), Santiago, 2016, p. 18.</w:t>
      </w:r>
    </w:p>
    <w:p w14:paraId="275EDE36" w14:textId="77777777" w:rsidR="009D032A" w:rsidRPr="00B122A7" w:rsidRDefault="009D032A" w:rsidP="005D7E01">
      <w:pPr>
        <w:pStyle w:val="FootnoteText"/>
        <w:tabs>
          <w:tab w:val="clear" w:pos="4419"/>
          <w:tab w:val="clear" w:pos="8838"/>
        </w:tabs>
        <w:rPr>
          <w:rFonts w:cs="System Font Regular"/>
          <w:highlight w:val="yellow"/>
          <w:lang w:val="es-ES_tradnl"/>
        </w:rPr>
      </w:pPr>
    </w:p>
  </w:footnote>
  <w:footnote w:id="2">
    <w:p w14:paraId="232370BC" w14:textId="68C5FF9A" w:rsidR="009D032A" w:rsidRPr="005049A3" w:rsidRDefault="009D032A" w:rsidP="0013659B">
      <w:pPr>
        <w:pStyle w:val="FootnoteText"/>
        <w:tabs>
          <w:tab w:val="left" w:pos="709"/>
        </w:tabs>
        <w:rPr>
          <w:lang w:val="es-ES_tradnl"/>
        </w:rPr>
      </w:pPr>
      <w:r w:rsidRPr="005049A3">
        <w:rPr>
          <w:rStyle w:val="FootnoteReference"/>
          <w:szCs w:val="16"/>
        </w:rPr>
        <w:footnoteRef/>
      </w:r>
      <w:r w:rsidRPr="00EA236D">
        <w:rPr>
          <w:lang w:val="es-ES"/>
        </w:rPr>
        <w:t xml:space="preserve"> </w:t>
      </w:r>
      <w:r w:rsidRPr="00EA236D">
        <w:rPr>
          <w:lang w:val="es-ES"/>
        </w:rPr>
        <w:tab/>
      </w:r>
      <w:r w:rsidRPr="005049A3">
        <w:rPr>
          <w:lang w:val="es-ES_tradnl"/>
        </w:rPr>
        <w:t xml:space="preserve">Corte IDH. </w:t>
      </w:r>
      <w:r>
        <w:rPr>
          <w:i/>
          <w:lang w:val="es-ES_tradnl"/>
        </w:rPr>
        <w:t>Caso</w:t>
      </w:r>
      <w:r w:rsidRPr="005049A3">
        <w:rPr>
          <w:i/>
          <w:lang w:val="es-ES_tradnl"/>
        </w:rPr>
        <w:t xml:space="preserve"> Trabajadores de la Hacienda Brasil Ver</w:t>
      </w:r>
      <w:r>
        <w:rPr>
          <w:i/>
          <w:lang w:val="es-ES_tradnl"/>
        </w:rPr>
        <w:t>d</w:t>
      </w:r>
      <w:r w:rsidRPr="005049A3">
        <w:rPr>
          <w:i/>
          <w:lang w:val="es-ES_tradnl"/>
        </w:rPr>
        <w:t xml:space="preserve">e Vs. Brasil. Excepciones Preliminares, Fondo, Reparaciones y Costas. </w:t>
      </w:r>
      <w:r>
        <w:rPr>
          <w:lang w:val="es-ES_tradnl"/>
        </w:rPr>
        <w:t>Sentencia de 20</w:t>
      </w:r>
      <w:r w:rsidRPr="005049A3">
        <w:rPr>
          <w:lang w:val="es-ES_tradnl"/>
        </w:rPr>
        <w:t xml:space="preserve"> </w:t>
      </w:r>
      <w:r>
        <w:rPr>
          <w:lang w:val="es-ES_tradnl"/>
        </w:rPr>
        <w:t xml:space="preserve">de </w:t>
      </w:r>
      <w:r w:rsidRPr="005049A3">
        <w:rPr>
          <w:lang w:val="es-ES_tradnl"/>
        </w:rPr>
        <w:t xml:space="preserve">octubre de 2016, </w:t>
      </w:r>
      <w:r>
        <w:rPr>
          <w:lang w:val="es-ES_tradnl"/>
        </w:rPr>
        <w:t>Serie C No. 318, párrs.</w:t>
      </w:r>
      <w:r w:rsidRPr="005049A3">
        <w:rPr>
          <w:lang w:val="es-ES_tradnl"/>
        </w:rPr>
        <w:t xml:space="preserve"> 341 a 343, y Resolutivo 4.</w:t>
      </w:r>
    </w:p>
  </w:footnote>
  <w:footnote w:id="3">
    <w:p w14:paraId="4C6FCF7A" w14:textId="5D521B3F" w:rsidR="009D032A" w:rsidRPr="005049A3" w:rsidRDefault="009D032A" w:rsidP="0013659B">
      <w:pPr>
        <w:pStyle w:val="NormalWeb"/>
        <w:tabs>
          <w:tab w:val="left" w:pos="709"/>
        </w:tabs>
        <w:spacing w:before="0" w:beforeAutospacing="0" w:after="0" w:afterAutospacing="0"/>
        <w:jc w:val="both"/>
        <w:rPr>
          <w:rFonts w:ascii="Verdana" w:hAnsi="Verdana"/>
          <w:sz w:val="16"/>
          <w:szCs w:val="16"/>
          <w:lang w:val="es-ES_tradnl"/>
        </w:rPr>
      </w:pPr>
      <w:r w:rsidRPr="005049A3">
        <w:rPr>
          <w:rStyle w:val="FootnoteReference"/>
          <w:rFonts w:ascii="Verdana" w:hAnsi="Verdana"/>
          <w:sz w:val="16"/>
          <w:szCs w:val="16"/>
          <w:lang w:val="es-ES_tradnl"/>
        </w:rPr>
        <w:footnoteRef/>
      </w:r>
      <w:r w:rsidRPr="005049A3">
        <w:rPr>
          <w:rFonts w:ascii="Verdana" w:hAnsi="Verdana"/>
          <w:sz w:val="16"/>
          <w:szCs w:val="16"/>
          <w:lang w:val="es-ES_tradnl"/>
        </w:rPr>
        <w:t xml:space="preserve"> </w:t>
      </w:r>
      <w:r>
        <w:rPr>
          <w:rFonts w:ascii="Verdana" w:hAnsi="Verdana"/>
          <w:sz w:val="16"/>
          <w:szCs w:val="16"/>
          <w:lang w:val="es-ES_tradnl"/>
        </w:rPr>
        <w:tab/>
      </w:r>
      <w:r w:rsidRPr="005049A3">
        <w:rPr>
          <w:rFonts w:ascii="Verdana" w:hAnsi="Verdana"/>
          <w:sz w:val="16"/>
          <w:szCs w:val="16"/>
          <w:lang w:val="es-ES_tradnl"/>
        </w:rPr>
        <w:t xml:space="preserve">En este sentido, </w:t>
      </w:r>
      <w:r>
        <w:rPr>
          <w:rFonts w:ascii="Verdana" w:hAnsi="Verdana"/>
          <w:sz w:val="16"/>
          <w:szCs w:val="16"/>
          <w:lang w:val="es-ES_tradnl"/>
        </w:rPr>
        <w:t>la Corte IDH ha considerado que</w:t>
      </w:r>
      <w:r w:rsidRPr="005049A3">
        <w:rPr>
          <w:rFonts w:ascii="Verdana" w:hAnsi="Verdana"/>
          <w:sz w:val="16"/>
          <w:szCs w:val="16"/>
          <w:lang w:val="es-ES_tradnl"/>
        </w:rPr>
        <w:t xml:space="preserve">: </w:t>
      </w:r>
      <w:r>
        <w:rPr>
          <w:rFonts w:ascii="Verdana" w:hAnsi="Verdana"/>
          <w:sz w:val="16"/>
          <w:szCs w:val="16"/>
          <w:lang w:val="es-ES_tradnl"/>
        </w:rPr>
        <w:t>“</w:t>
      </w:r>
      <w:r w:rsidRPr="005049A3">
        <w:rPr>
          <w:rFonts w:ascii="Verdana" w:hAnsi="Verdana"/>
          <w:sz w:val="16"/>
          <w:szCs w:val="16"/>
          <w:lang w:val="es-ES_tradnl"/>
        </w:rPr>
        <w:t>Esta orientación adquiere particular relevancia en el Derecho Internacional de los Derechos Humanos, que ha avanzado mucho mediante la interpretación evolutiva de los instrumentos internacionales de protección. Tal interpretación evolutiva es consecuente con las reglas generales de interpretación de los tratados consagradas en la Convención de Viena de 1969. Tanto esta Corte, en la Opinión Consultiva sobre la Interpretación de la Declaración Americana de los Derec</w:t>
      </w:r>
      <w:r>
        <w:rPr>
          <w:rFonts w:ascii="Verdana" w:hAnsi="Verdana"/>
          <w:sz w:val="16"/>
          <w:szCs w:val="16"/>
          <w:lang w:val="es-ES_tradnl"/>
        </w:rPr>
        <w:t>hos y Deberes del Hombre (1989)</w:t>
      </w:r>
      <w:r w:rsidRPr="005049A3">
        <w:rPr>
          <w:rFonts w:ascii="Verdana" w:hAnsi="Verdana"/>
          <w:sz w:val="16"/>
          <w:szCs w:val="16"/>
          <w:lang w:val="es-ES_tradnl"/>
        </w:rPr>
        <w:t xml:space="preserve">, como la Corte Europea de Derechos Humanos, en los casos </w:t>
      </w:r>
      <w:proofErr w:type="spellStart"/>
      <w:r w:rsidRPr="005049A3">
        <w:rPr>
          <w:rFonts w:ascii="Verdana" w:hAnsi="Verdana"/>
          <w:i/>
          <w:iCs/>
          <w:sz w:val="16"/>
          <w:szCs w:val="16"/>
          <w:lang w:val="es-ES_tradnl"/>
        </w:rPr>
        <w:t>Tyrer</w:t>
      </w:r>
      <w:proofErr w:type="spellEnd"/>
      <w:r w:rsidRPr="005049A3">
        <w:rPr>
          <w:rFonts w:ascii="Verdana" w:hAnsi="Verdana"/>
          <w:i/>
          <w:iCs/>
          <w:sz w:val="16"/>
          <w:szCs w:val="16"/>
          <w:lang w:val="es-ES_tradnl"/>
        </w:rPr>
        <w:t xml:space="preserve"> </w:t>
      </w:r>
      <w:r>
        <w:rPr>
          <w:rFonts w:ascii="Verdana" w:hAnsi="Verdana"/>
          <w:i/>
          <w:iCs/>
          <w:sz w:val="16"/>
          <w:szCs w:val="16"/>
          <w:lang w:val="es-ES_tradnl"/>
        </w:rPr>
        <w:t>Vs.</w:t>
      </w:r>
      <w:r w:rsidRPr="005049A3">
        <w:rPr>
          <w:rFonts w:ascii="Verdana" w:hAnsi="Verdana"/>
          <w:i/>
          <w:iCs/>
          <w:sz w:val="16"/>
          <w:szCs w:val="16"/>
          <w:lang w:val="es-ES_tradnl"/>
        </w:rPr>
        <w:t xml:space="preserve"> Reino Unido </w:t>
      </w:r>
      <w:r w:rsidRPr="005049A3">
        <w:rPr>
          <w:rFonts w:ascii="Verdana" w:hAnsi="Verdana"/>
          <w:sz w:val="16"/>
          <w:szCs w:val="16"/>
          <w:lang w:val="es-ES_tradnl"/>
        </w:rPr>
        <w:t xml:space="preserve">(1978), </w:t>
      </w:r>
      <w:proofErr w:type="spellStart"/>
      <w:r w:rsidRPr="005049A3">
        <w:rPr>
          <w:rFonts w:ascii="Verdana" w:hAnsi="Verdana"/>
          <w:i/>
          <w:iCs/>
          <w:sz w:val="16"/>
          <w:szCs w:val="16"/>
          <w:lang w:val="es-ES_tradnl"/>
        </w:rPr>
        <w:t>Marckx</w:t>
      </w:r>
      <w:proofErr w:type="spellEnd"/>
      <w:r w:rsidRPr="005049A3">
        <w:rPr>
          <w:rFonts w:ascii="Verdana" w:hAnsi="Verdana"/>
          <w:i/>
          <w:iCs/>
          <w:sz w:val="16"/>
          <w:szCs w:val="16"/>
          <w:lang w:val="es-ES_tradnl"/>
        </w:rPr>
        <w:t xml:space="preserve"> </w:t>
      </w:r>
      <w:r>
        <w:rPr>
          <w:rFonts w:ascii="Verdana" w:hAnsi="Verdana"/>
          <w:i/>
          <w:iCs/>
          <w:sz w:val="16"/>
          <w:szCs w:val="16"/>
          <w:lang w:val="es-ES_tradnl"/>
        </w:rPr>
        <w:t>Vs.</w:t>
      </w:r>
      <w:r w:rsidRPr="005049A3">
        <w:rPr>
          <w:rFonts w:ascii="Verdana" w:hAnsi="Verdana"/>
          <w:i/>
          <w:iCs/>
          <w:sz w:val="16"/>
          <w:szCs w:val="16"/>
          <w:lang w:val="es-ES_tradnl"/>
        </w:rPr>
        <w:t xml:space="preserve"> </w:t>
      </w:r>
      <w:proofErr w:type="spellStart"/>
      <w:r w:rsidRPr="005049A3">
        <w:rPr>
          <w:rFonts w:ascii="Verdana" w:hAnsi="Verdana"/>
          <w:i/>
          <w:iCs/>
          <w:sz w:val="16"/>
          <w:szCs w:val="16"/>
          <w:lang w:val="es-ES_tradnl"/>
        </w:rPr>
        <w:t>Bélgica</w:t>
      </w:r>
      <w:proofErr w:type="spellEnd"/>
      <w:r w:rsidRPr="005049A3">
        <w:rPr>
          <w:rFonts w:ascii="Verdana" w:hAnsi="Verdana"/>
          <w:i/>
          <w:iCs/>
          <w:sz w:val="16"/>
          <w:szCs w:val="16"/>
          <w:lang w:val="es-ES_tradnl"/>
        </w:rPr>
        <w:t xml:space="preserve"> </w:t>
      </w:r>
      <w:r w:rsidRPr="005049A3">
        <w:rPr>
          <w:rFonts w:ascii="Verdana" w:hAnsi="Verdana"/>
          <w:sz w:val="16"/>
          <w:szCs w:val="16"/>
          <w:lang w:val="es-ES_tradnl"/>
        </w:rPr>
        <w:t xml:space="preserve">(1979), </w:t>
      </w:r>
      <w:proofErr w:type="spellStart"/>
      <w:r w:rsidRPr="005049A3">
        <w:rPr>
          <w:rFonts w:ascii="Verdana" w:hAnsi="Verdana"/>
          <w:i/>
          <w:iCs/>
          <w:sz w:val="16"/>
          <w:szCs w:val="16"/>
          <w:lang w:val="es-ES_tradnl"/>
        </w:rPr>
        <w:t>Loizidou</w:t>
      </w:r>
      <w:proofErr w:type="spellEnd"/>
      <w:r w:rsidRPr="005049A3">
        <w:rPr>
          <w:rFonts w:ascii="Verdana" w:hAnsi="Verdana"/>
          <w:i/>
          <w:iCs/>
          <w:sz w:val="16"/>
          <w:szCs w:val="16"/>
          <w:lang w:val="es-ES_tradnl"/>
        </w:rPr>
        <w:t xml:space="preserve"> </w:t>
      </w:r>
      <w:r>
        <w:rPr>
          <w:rFonts w:ascii="Verdana" w:hAnsi="Verdana"/>
          <w:i/>
          <w:iCs/>
          <w:sz w:val="16"/>
          <w:szCs w:val="16"/>
          <w:lang w:val="es-ES_tradnl"/>
        </w:rPr>
        <w:t>Vs.</w:t>
      </w:r>
      <w:r w:rsidRPr="005049A3">
        <w:rPr>
          <w:rFonts w:ascii="Verdana" w:hAnsi="Verdana"/>
          <w:i/>
          <w:iCs/>
          <w:sz w:val="16"/>
          <w:szCs w:val="16"/>
          <w:lang w:val="es-ES_tradnl"/>
        </w:rPr>
        <w:t xml:space="preserve"> </w:t>
      </w:r>
      <w:proofErr w:type="spellStart"/>
      <w:r w:rsidRPr="005049A3">
        <w:rPr>
          <w:rFonts w:ascii="Verdana" w:hAnsi="Verdana"/>
          <w:i/>
          <w:iCs/>
          <w:sz w:val="16"/>
          <w:szCs w:val="16"/>
          <w:lang w:val="es-ES_tradnl"/>
        </w:rPr>
        <w:t>Turquía</w:t>
      </w:r>
      <w:proofErr w:type="spellEnd"/>
      <w:r w:rsidRPr="005049A3">
        <w:rPr>
          <w:rFonts w:ascii="Verdana" w:hAnsi="Verdana"/>
          <w:i/>
          <w:iCs/>
          <w:sz w:val="16"/>
          <w:szCs w:val="16"/>
          <w:lang w:val="es-ES_tradnl"/>
        </w:rPr>
        <w:t xml:space="preserve"> </w:t>
      </w:r>
      <w:r>
        <w:rPr>
          <w:rFonts w:ascii="Verdana" w:hAnsi="Verdana"/>
          <w:sz w:val="16"/>
          <w:szCs w:val="16"/>
          <w:lang w:val="es-ES_tradnl"/>
        </w:rPr>
        <w:t>(1995)</w:t>
      </w:r>
      <w:r w:rsidRPr="005049A3">
        <w:rPr>
          <w:rFonts w:ascii="Verdana" w:hAnsi="Verdana"/>
          <w:sz w:val="16"/>
          <w:szCs w:val="16"/>
          <w:lang w:val="es-ES_tradnl"/>
        </w:rPr>
        <w:t>, entre otros, han señalado que los tratados de derechos humanos son instrumentos vivos, cuya interpretación tiene que acompañar la evolución de los tiempos y las condiciones de vida actuales</w:t>
      </w:r>
      <w:r>
        <w:rPr>
          <w:rFonts w:ascii="Verdana" w:hAnsi="Verdana"/>
          <w:sz w:val="16"/>
          <w:szCs w:val="16"/>
          <w:lang w:val="es-ES_tradnl"/>
        </w:rPr>
        <w:t>”</w:t>
      </w:r>
      <w:r w:rsidRPr="005049A3">
        <w:rPr>
          <w:rFonts w:ascii="Verdana" w:hAnsi="Verdana"/>
          <w:sz w:val="16"/>
          <w:szCs w:val="16"/>
          <w:lang w:val="es-ES_tradnl"/>
        </w:rPr>
        <w:t xml:space="preserve">. </w:t>
      </w:r>
      <w:r w:rsidRPr="005049A3">
        <w:rPr>
          <w:rFonts w:ascii="Verdana" w:hAnsi="Verdana"/>
          <w:i/>
          <w:sz w:val="16"/>
          <w:szCs w:val="16"/>
          <w:lang w:val="es-ES_tradnl"/>
        </w:rPr>
        <w:t xml:space="preserve">Cfr. </w:t>
      </w:r>
      <w:r w:rsidRPr="005049A3">
        <w:rPr>
          <w:rFonts w:ascii="Verdana" w:hAnsi="Verdana" w:cs="Verdana"/>
          <w:bCs/>
          <w:sz w:val="16"/>
          <w:szCs w:val="16"/>
          <w:lang w:val="es-ES_tradnl"/>
        </w:rPr>
        <w:t xml:space="preserve">Corte IDH. </w:t>
      </w:r>
      <w:r w:rsidRPr="005049A3">
        <w:rPr>
          <w:rFonts w:ascii="Verdana" w:hAnsi="Verdana" w:cs="Verdana"/>
          <w:bCs/>
          <w:i/>
          <w:sz w:val="16"/>
          <w:szCs w:val="16"/>
          <w:lang w:val="es-ES_tradnl"/>
        </w:rPr>
        <w:t>El derecho a la información sobre la asistencia consular en el marco de las garantías del debido proceso legal</w:t>
      </w:r>
      <w:r w:rsidRPr="005049A3">
        <w:rPr>
          <w:rFonts w:ascii="Verdana" w:hAnsi="Verdana" w:cs="Verdana"/>
          <w:bCs/>
          <w:sz w:val="16"/>
          <w:szCs w:val="16"/>
          <w:lang w:val="es-ES_tradnl"/>
        </w:rPr>
        <w:t>. Opinión Consultiva OC-16/99 de 1 de octubre de 1999. Serie A No. 16</w:t>
      </w:r>
      <w:r>
        <w:rPr>
          <w:rFonts w:ascii="Verdana" w:hAnsi="Verdana" w:cs="Verdana"/>
          <w:bCs/>
          <w:sz w:val="16"/>
          <w:szCs w:val="16"/>
          <w:lang w:val="es-ES_tradnl"/>
        </w:rPr>
        <w:t>,</w:t>
      </w:r>
      <w:r w:rsidRPr="005049A3">
        <w:rPr>
          <w:rFonts w:ascii="Verdana" w:hAnsi="Verdana" w:cs="Verdana"/>
          <w:bCs/>
          <w:sz w:val="16"/>
          <w:szCs w:val="16"/>
          <w:lang w:val="es-ES_tradnl"/>
        </w:rPr>
        <w:t xml:space="preserve"> párr. 114. </w:t>
      </w:r>
    </w:p>
    <w:p w14:paraId="58A54C14" w14:textId="0998F807" w:rsidR="009D032A" w:rsidRPr="005049A3" w:rsidRDefault="009D032A" w:rsidP="0013659B">
      <w:pPr>
        <w:pStyle w:val="FootnoteText"/>
        <w:tabs>
          <w:tab w:val="left" w:pos="709"/>
        </w:tabs>
        <w:spacing w:after="0"/>
        <w:rPr>
          <w:b/>
          <w:lang w:val="es-ES_tradnl"/>
        </w:rPr>
      </w:pPr>
    </w:p>
  </w:footnote>
  <w:footnote w:id="4">
    <w:p w14:paraId="34F3611D" w14:textId="31EC30CE" w:rsidR="009D032A" w:rsidRPr="005049A3" w:rsidRDefault="009D032A" w:rsidP="0013659B">
      <w:pPr>
        <w:pStyle w:val="NormalWeb"/>
        <w:tabs>
          <w:tab w:val="left" w:pos="709"/>
        </w:tabs>
        <w:spacing w:before="0" w:beforeAutospacing="0" w:after="0" w:afterAutospacing="0"/>
        <w:jc w:val="both"/>
        <w:rPr>
          <w:rFonts w:ascii="Verdana" w:hAnsi="Verdana"/>
          <w:sz w:val="16"/>
          <w:szCs w:val="16"/>
          <w:lang w:val="es-ES_tradnl"/>
        </w:rPr>
      </w:pPr>
      <w:r w:rsidRPr="005049A3">
        <w:rPr>
          <w:rStyle w:val="FootnoteReference"/>
          <w:rFonts w:ascii="Verdana" w:hAnsi="Verdana"/>
          <w:sz w:val="16"/>
          <w:szCs w:val="16"/>
          <w:lang w:val="es-ES_tradnl"/>
        </w:rPr>
        <w:footnoteRef/>
      </w:r>
      <w:r w:rsidRPr="005049A3">
        <w:rPr>
          <w:rFonts w:ascii="Verdana" w:hAnsi="Verdana"/>
          <w:sz w:val="16"/>
          <w:szCs w:val="16"/>
          <w:lang w:val="es-ES_tradnl"/>
        </w:rPr>
        <w:t xml:space="preserve"> </w:t>
      </w:r>
      <w:r>
        <w:rPr>
          <w:rFonts w:ascii="Verdana" w:hAnsi="Verdana"/>
          <w:sz w:val="16"/>
          <w:szCs w:val="16"/>
          <w:lang w:val="es-ES_tradnl"/>
        </w:rPr>
        <w:tab/>
      </w:r>
      <w:r w:rsidRPr="005049A3">
        <w:rPr>
          <w:rFonts w:ascii="Verdana" w:hAnsi="Verdana"/>
          <w:i/>
          <w:iCs/>
          <w:sz w:val="16"/>
          <w:szCs w:val="16"/>
          <w:lang w:val="es-ES_tradnl"/>
        </w:rPr>
        <w:t xml:space="preserve">Cfr. </w:t>
      </w:r>
      <w:r>
        <w:rPr>
          <w:rFonts w:ascii="Verdana" w:hAnsi="Verdana"/>
          <w:iCs/>
          <w:sz w:val="16"/>
          <w:szCs w:val="16"/>
          <w:lang w:val="es-ES_tradnl"/>
        </w:rPr>
        <w:t xml:space="preserve">Corte IDH. </w:t>
      </w:r>
      <w:r w:rsidRPr="005049A3">
        <w:rPr>
          <w:rFonts w:ascii="Verdana" w:hAnsi="Verdana" w:cs="Verdana"/>
          <w:bCs/>
          <w:i/>
          <w:sz w:val="16"/>
          <w:szCs w:val="16"/>
          <w:lang w:val="es-ES_tradnl"/>
        </w:rPr>
        <w:t xml:space="preserve">Caso </w:t>
      </w:r>
      <w:proofErr w:type="spellStart"/>
      <w:r w:rsidRPr="005049A3">
        <w:rPr>
          <w:rFonts w:ascii="Verdana" w:hAnsi="Verdana" w:cs="Verdana"/>
          <w:bCs/>
          <w:i/>
          <w:sz w:val="16"/>
          <w:szCs w:val="16"/>
          <w:lang w:val="es-ES_tradnl"/>
        </w:rPr>
        <w:t>Atala</w:t>
      </w:r>
      <w:proofErr w:type="spellEnd"/>
      <w:r w:rsidRPr="005049A3">
        <w:rPr>
          <w:rFonts w:ascii="Verdana" w:hAnsi="Verdana" w:cs="Verdana"/>
          <w:bCs/>
          <w:i/>
          <w:sz w:val="16"/>
          <w:szCs w:val="16"/>
          <w:lang w:val="es-ES_tradnl"/>
        </w:rPr>
        <w:t xml:space="preserve"> </w:t>
      </w:r>
      <w:proofErr w:type="spellStart"/>
      <w:r w:rsidRPr="005049A3">
        <w:rPr>
          <w:rFonts w:ascii="Verdana" w:hAnsi="Verdana" w:cs="Verdana"/>
          <w:bCs/>
          <w:i/>
          <w:sz w:val="16"/>
          <w:szCs w:val="16"/>
          <w:lang w:val="es-ES_tradnl"/>
        </w:rPr>
        <w:t>Riffo</w:t>
      </w:r>
      <w:proofErr w:type="spellEnd"/>
      <w:r w:rsidRPr="005049A3">
        <w:rPr>
          <w:rFonts w:ascii="Verdana" w:hAnsi="Verdana" w:cs="Verdana"/>
          <w:bCs/>
          <w:i/>
          <w:sz w:val="16"/>
          <w:szCs w:val="16"/>
          <w:lang w:val="es-ES_tradnl"/>
        </w:rPr>
        <w:t xml:space="preserve"> y niñas Vs. Chile. Fondo, Reparaciones y Costas</w:t>
      </w:r>
      <w:r w:rsidRPr="005049A3">
        <w:rPr>
          <w:rFonts w:ascii="Verdana" w:hAnsi="Verdana" w:cs="Verdana"/>
          <w:bCs/>
          <w:sz w:val="16"/>
          <w:szCs w:val="16"/>
          <w:lang w:val="es-ES_tradnl"/>
        </w:rPr>
        <w:t>. Sentencia de 24 de febrero de 2012. Serie C No. 239, párr. 84</w:t>
      </w:r>
      <w:r w:rsidRPr="005049A3">
        <w:rPr>
          <w:rFonts w:ascii="Verdana" w:hAnsi="Verdana"/>
          <w:sz w:val="16"/>
          <w:szCs w:val="16"/>
          <w:lang w:val="es-ES_tradnl"/>
        </w:rPr>
        <w:t xml:space="preserve">; </w:t>
      </w:r>
      <w:r w:rsidRPr="005049A3">
        <w:rPr>
          <w:rFonts w:ascii="Verdana" w:hAnsi="Verdana" w:cs="Verdana"/>
          <w:bCs/>
          <w:i/>
          <w:sz w:val="16"/>
          <w:szCs w:val="16"/>
          <w:lang w:val="es-ES_tradnl"/>
        </w:rPr>
        <w:t xml:space="preserve">Caso de la "Masacre de </w:t>
      </w:r>
      <w:proofErr w:type="spellStart"/>
      <w:r w:rsidRPr="005049A3">
        <w:rPr>
          <w:rFonts w:ascii="Verdana" w:hAnsi="Verdana" w:cs="Verdana"/>
          <w:bCs/>
          <w:i/>
          <w:sz w:val="16"/>
          <w:szCs w:val="16"/>
          <w:lang w:val="es-ES_tradnl"/>
        </w:rPr>
        <w:t>Mapiripán</w:t>
      </w:r>
      <w:proofErr w:type="spellEnd"/>
      <w:r w:rsidRPr="005049A3">
        <w:rPr>
          <w:rFonts w:ascii="Verdana" w:hAnsi="Verdana" w:cs="Verdana"/>
          <w:bCs/>
          <w:i/>
          <w:sz w:val="16"/>
          <w:szCs w:val="16"/>
          <w:lang w:val="es-ES_tradnl"/>
        </w:rPr>
        <w:t>" Vs. Colombia.</w:t>
      </w:r>
      <w:r w:rsidRPr="005049A3">
        <w:rPr>
          <w:rFonts w:ascii="Verdana" w:hAnsi="Verdana" w:cs="Verdana"/>
          <w:bCs/>
          <w:sz w:val="16"/>
          <w:szCs w:val="16"/>
          <w:lang w:val="es-ES_tradnl"/>
        </w:rPr>
        <w:t xml:space="preserve"> Sentencia de 15 de septiembre de 2005. Serie C No. 134, párr. 106;</w:t>
      </w:r>
      <w:r w:rsidRPr="005049A3">
        <w:rPr>
          <w:rFonts w:ascii="Verdana" w:hAnsi="Verdana" w:cs="Verdana"/>
          <w:b/>
          <w:bCs/>
          <w:sz w:val="16"/>
          <w:szCs w:val="16"/>
          <w:lang w:val="es-ES_tradnl"/>
        </w:rPr>
        <w:t xml:space="preserve"> </w:t>
      </w:r>
      <w:r w:rsidRPr="005049A3">
        <w:rPr>
          <w:rFonts w:ascii="Verdana" w:hAnsi="Verdana"/>
          <w:i/>
          <w:iCs/>
          <w:sz w:val="16"/>
          <w:szCs w:val="16"/>
          <w:lang w:val="es-ES_tradnl"/>
        </w:rPr>
        <w:t xml:space="preserve">Caso Ricardo </w:t>
      </w:r>
      <w:proofErr w:type="spellStart"/>
      <w:r w:rsidRPr="005049A3">
        <w:rPr>
          <w:rFonts w:ascii="Verdana" w:hAnsi="Verdana"/>
          <w:i/>
          <w:iCs/>
          <w:sz w:val="16"/>
          <w:szCs w:val="16"/>
          <w:lang w:val="es-ES_tradnl"/>
        </w:rPr>
        <w:t>Canese</w:t>
      </w:r>
      <w:proofErr w:type="spellEnd"/>
      <w:r w:rsidRPr="005049A3">
        <w:rPr>
          <w:rFonts w:ascii="Verdana" w:hAnsi="Verdana"/>
          <w:sz w:val="16"/>
          <w:szCs w:val="16"/>
          <w:lang w:val="es-ES_tradnl"/>
        </w:rPr>
        <w:t xml:space="preserve">. </w:t>
      </w:r>
      <w:r>
        <w:rPr>
          <w:rFonts w:ascii="Verdana" w:hAnsi="Verdana"/>
          <w:i/>
          <w:sz w:val="16"/>
          <w:szCs w:val="16"/>
          <w:lang w:val="es-ES_tradnl"/>
        </w:rPr>
        <w:t xml:space="preserve">Fondo, Reparaciones y Costas. </w:t>
      </w:r>
      <w:r w:rsidRPr="005049A3">
        <w:rPr>
          <w:rFonts w:ascii="Verdana" w:hAnsi="Verdana"/>
          <w:sz w:val="16"/>
          <w:szCs w:val="16"/>
          <w:lang w:val="es-ES_tradnl"/>
        </w:rPr>
        <w:t xml:space="preserve">Sentencia de 31 de agosto de 2004. Serie C No. 111, </w:t>
      </w:r>
      <w:proofErr w:type="spellStart"/>
      <w:r w:rsidRPr="005049A3">
        <w:rPr>
          <w:rFonts w:ascii="Verdana" w:hAnsi="Verdana"/>
          <w:sz w:val="16"/>
          <w:szCs w:val="16"/>
          <w:lang w:val="es-ES_tradnl"/>
        </w:rPr>
        <w:t>párr</w:t>
      </w:r>
      <w:proofErr w:type="spellEnd"/>
      <w:r w:rsidRPr="005049A3">
        <w:rPr>
          <w:rFonts w:ascii="Verdana" w:hAnsi="Verdana"/>
          <w:sz w:val="16"/>
          <w:szCs w:val="16"/>
          <w:lang w:val="es-ES_tradnl"/>
        </w:rPr>
        <w:t>. 181</w:t>
      </w:r>
      <w:r>
        <w:rPr>
          <w:rFonts w:ascii="Verdana" w:hAnsi="Verdana"/>
          <w:sz w:val="16"/>
          <w:szCs w:val="16"/>
          <w:lang w:val="es-ES_tradnl"/>
        </w:rPr>
        <w:t>,</w:t>
      </w:r>
      <w:r w:rsidRPr="005049A3">
        <w:rPr>
          <w:rFonts w:ascii="Verdana" w:hAnsi="Verdana"/>
          <w:sz w:val="16"/>
          <w:szCs w:val="16"/>
          <w:lang w:val="es-ES_tradnl"/>
        </w:rPr>
        <w:t xml:space="preserve"> y </w:t>
      </w:r>
      <w:r w:rsidRPr="005049A3">
        <w:rPr>
          <w:rFonts w:ascii="Verdana" w:hAnsi="Verdana"/>
          <w:i/>
          <w:iCs/>
          <w:sz w:val="16"/>
          <w:szCs w:val="16"/>
          <w:lang w:val="es-ES_tradnl"/>
        </w:rPr>
        <w:t>Caso Herrera Ulloa</w:t>
      </w:r>
      <w:r w:rsidRPr="005049A3">
        <w:rPr>
          <w:rFonts w:ascii="Verdana" w:hAnsi="Verdana"/>
          <w:sz w:val="16"/>
          <w:szCs w:val="16"/>
          <w:lang w:val="es-ES_tradnl"/>
        </w:rPr>
        <w:t>.</w:t>
      </w:r>
      <w:r>
        <w:rPr>
          <w:rFonts w:ascii="Verdana" w:hAnsi="Verdana"/>
          <w:sz w:val="16"/>
          <w:szCs w:val="16"/>
          <w:lang w:val="es-ES_tradnl"/>
        </w:rPr>
        <w:t xml:space="preserve"> </w:t>
      </w:r>
      <w:r>
        <w:rPr>
          <w:rFonts w:ascii="Verdana" w:hAnsi="Verdana"/>
          <w:i/>
          <w:sz w:val="16"/>
          <w:szCs w:val="16"/>
          <w:lang w:val="es-ES_tradnl"/>
        </w:rPr>
        <w:t xml:space="preserve">Excepciones Preliminares, Fondo, Reparaciones y Costas. </w:t>
      </w:r>
      <w:r w:rsidRPr="005049A3">
        <w:rPr>
          <w:rFonts w:ascii="Verdana" w:hAnsi="Verdana"/>
          <w:sz w:val="16"/>
          <w:szCs w:val="16"/>
          <w:lang w:val="es-ES_tradnl"/>
        </w:rPr>
        <w:t xml:space="preserve"> Sentencia de 2 de julio de 2004. Serie C No. 107, </w:t>
      </w:r>
      <w:proofErr w:type="spellStart"/>
      <w:r w:rsidRPr="005049A3">
        <w:rPr>
          <w:rFonts w:ascii="Verdana" w:hAnsi="Verdana"/>
          <w:sz w:val="16"/>
          <w:szCs w:val="16"/>
          <w:lang w:val="es-ES_tradnl"/>
        </w:rPr>
        <w:t>párr</w:t>
      </w:r>
      <w:proofErr w:type="spellEnd"/>
      <w:r w:rsidRPr="005049A3">
        <w:rPr>
          <w:rFonts w:ascii="Verdana" w:hAnsi="Verdana"/>
          <w:sz w:val="16"/>
          <w:szCs w:val="16"/>
          <w:lang w:val="es-ES_tradnl"/>
        </w:rPr>
        <w:t xml:space="preserve">. 184. </w:t>
      </w:r>
    </w:p>
    <w:p w14:paraId="77E17285" w14:textId="77777777" w:rsidR="009D032A" w:rsidRPr="005049A3" w:rsidRDefault="009D032A" w:rsidP="0013659B">
      <w:pPr>
        <w:pStyle w:val="FootnoteText"/>
        <w:tabs>
          <w:tab w:val="left" w:pos="709"/>
        </w:tabs>
        <w:spacing w:after="0"/>
        <w:rPr>
          <w:lang w:val="es-ES_tradnl"/>
        </w:rPr>
      </w:pPr>
    </w:p>
  </w:footnote>
  <w:footnote w:id="5">
    <w:p w14:paraId="4622FB38" w14:textId="4D191E69" w:rsidR="009D032A" w:rsidRPr="005049A3" w:rsidRDefault="009D032A" w:rsidP="0013659B">
      <w:pPr>
        <w:pStyle w:val="ListParagraph"/>
        <w:tabs>
          <w:tab w:val="left" w:pos="709"/>
        </w:tabs>
        <w:ind w:left="0"/>
        <w:rPr>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sidRPr="005049A3">
        <w:rPr>
          <w:i/>
          <w:sz w:val="16"/>
          <w:szCs w:val="16"/>
          <w:lang w:val="es-ES_tradnl"/>
        </w:rPr>
        <w:t xml:space="preserve">Cfr. </w:t>
      </w:r>
      <w:r w:rsidRPr="00245DB0">
        <w:rPr>
          <w:sz w:val="16"/>
          <w:szCs w:val="16"/>
          <w:lang w:val="es-ES_tradnl"/>
        </w:rPr>
        <w:t>Corte IDH</w:t>
      </w:r>
      <w:r>
        <w:rPr>
          <w:sz w:val="16"/>
          <w:szCs w:val="16"/>
          <w:lang w:val="es-ES_tradnl"/>
        </w:rPr>
        <w:t>.</w:t>
      </w:r>
      <w:r w:rsidRPr="00245DB0">
        <w:rPr>
          <w:sz w:val="16"/>
          <w:szCs w:val="16"/>
          <w:lang w:val="es-ES_tradnl"/>
        </w:rPr>
        <w:t xml:space="preserve"> </w:t>
      </w:r>
      <w:r w:rsidRPr="005049A3">
        <w:rPr>
          <w:rFonts w:cs="Verdana"/>
          <w:bCs/>
          <w:i/>
          <w:sz w:val="16"/>
          <w:szCs w:val="16"/>
          <w:lang w:val="es-ES_tradnl"/>
        </w:rPr>
        <w:t xml:space="preserve">Caso Gonzales </w:t>
      </w:r>
      <w:proofErr w:type="spellStart"/>
      <w:r w:rsidRPr="005049A3">
        <w:rPr>
          <w:rFonts w:cs="Verdana"/>
          <w:bCs/>
          <w:i/>
          <w:sz w:val="16"/>
          <w:szCs w:val="16"/>
          <w:lang w:val="es-ES_tradnl"/>
        </w:rPr>
        <w:t>Lluy</w:t>
      </w:r>
      <w:proofErr w:type="spellEnd"/>
      <w:r w:rsidRPr="005049A3">
        <w:rPr>
          <w:rFonts w:cs="Verdana"/>
          <w:bCs/>
          <w:i/>
          <w:sz w:val="16"/>
          <w:szCs w:val="16"/>
          <w:lang w:val="es-ES_tradnl"/>
        </w:rPr>
        <w:t xml:space="preserve"> y otros Vs. Ecuador. Excepciones Preliminares, Fondo, Reparaciones y Costas. </w:t>
      </w:r>
      <w:r w:rsidRPr="005049A3">
        <w:rPr>
          <w:rFonts w:cs="Verdana"/>
          <w:bCs/>
          <w:sz w:val="16"/>
          <w:szCs w:val="16"/>
          <w:lang w:val="es-ES_tradnl"/>
        </w:rPr>
        <w:t>Sentencia de 1 de septiembre de 2015. Serie C No. 298, párr. 253</w:t>
      </w:r>
      <w:r>
        <w:rPr>
          <w:rFonts w:cs="Verdana"/>
          <w:bCs/>
          <w:sz w:val="16"/>
          <w:szCs w:val="16"/>
          <w:lang w:val="es-ES_tradnl"/>
        </w:rPr>
        <w:t>;</w:t>
      </w:r>
      <w:r w:rsidRPr="005049A3">
        <w:rPr>
          <w:rFonts w:cs="Verdana"/>
          <w:bCs/>
          <w:i/>
          <w:sz w:val="16"/>
          <w:szCs w:val="16"/>
          <w:lang w:val="es-ES_tradnl"/>
        </w:rPr>
        <w:t xml:space="preserve"> </w:t>
      </w:r>
      <w:r w:rsidRPr="005049A3">
        <w:rPr>
          <w:rFonts w:cs="Verdana"/>
          <w:bCs/>
          <w:sz w:val="16"/>
          <w:szCs w:val="16"/>
          <w:lang w:val="es-ES_tradnl"/>
        </w:rPr>
        <w:t>y</w:t>
      </w:r>
      <w:r>
        <w:rPr>
          <w:rFonts w:cs="Verdana"/>
          <w:bCs/>
          <w:i/>
          <w:sz w:val="16"/>
          <w:szCs w:val="16"/>
          <w:lang w:val="es-ES_tradnl"/>
        </w:rPr>
        <w:t xml:space="preserve"> </w:t>
      </w:r>
      <w:r w:rsidRPr="005049A3">
        <w:rPr>
          <w:rFonts w:cs="Verdana"/>
          <w:bCs/>
          <w:i/>
          <w:sz w:val="16"/>
          <w:szCs w:val="16"/>
          <w:lang w:val="es-ES_tradnl"/>
        </w:rPr>
        <w:t xml:space="preserve">Caso </w:t>
      </w:r>
      <w:proofErr w:type="spellStart"/>
      <w:r w:rsidRPr="005049A3">
        <w:rPr>
          <w:rFonts w:cs="Verdana"/>
          <w:bCs/>
          <w:i/>
          <w:sz w:val="16"/>
          <w:szCs w:val="16"/>
          <w:lang w:val="es-ES_tradnl"/>
        </w:rPr>
        <w:t>Atala</w:t>
      </w:r>
      <w:proofErr w:type="spellEnd"/>
      <w:r w:rsidRPr="005049A3">
        <w:rPr>
          <w:rFonts w:cs="Verdana"/>
          <w:bCs/>
          <w:i/>
          <w:sz w:val="16"/>
          <w:szCs w:val="16"/>
          <w:lang w:val="es-ES_tradnl"/>
        </w:rPr>
        <w:t xml:space="preserve"> </w:t>
      </w:r>
      <w:proofErr w:type="spellStart"/>
      <w:r w:rsidRPr="005049A3">
        <w:rPr>
          <w:rFonts w:cs="Verdana"/>
          <w:bCs/>
          <w:i/>
          <w:sz w:val="16"/>
          <w:szCs w:val="16"/>
          <w:lang w:val="es-ES_tradnl"/>
        </w:rPr>
        <w:t>Riffo</w:t>
      </w:r>
      <w:proofErr w:type="spellEnd"/>
      <w:r w:rsidRPr="005049A3">
        <w:rPr>
          <w:rFonts w:cs="Verdana"/>
          <w:bCs/>
          <w:i/>
          <w:sz w:val="16"/>
          <w:szCs w:val="16"/>
          <w:lang w:val="es-ES_tradnl"/>
        </w:rPr>
        <w:t xml:space="preserve"> y niñas Vs. Chile. Fondo, Reparaciones y Costas</w:t>
      </w:r>
      <w:r w:rsidRPr="005049A3">
        <w:rPr>
          <w:rFonts w:cs="Verdana"/>
          <w:bCs/>
          <w:sz w:val="16"/>
          <w:szCs w:val="16"/>
          <w:lang w:val="es-ES_tradnl"/>
        </w:rPr>
        <w:t xml:space="preserve">. Sentencia del 24 de febrero de 2012. Serie C No. 239, párr. 81. </w:t>
      </w:r>
      <w:r w:rsidRPr="005049A3">
        <w:rPr>
          <w:sz w:val="16"/>
          <w:szCs w:val="16"/>
          <w:lang w:val="es-ES_tradnl"/>
        </w:rPr>
        <w:t>Comité́ de Derechos Humanos del Pacto Internacional de Derechos Civiles y Políticos. Naciones Unidas, Comité́ de Derechos Humanos, Observación General No. 18, No discriminación, 10 de noviembre de 1989, CCPR/C/37, párr. 6. Dicho Comité́ elaboró tal definición, en el ámbito universal, tomando como base las definiciones de discri</w:t>
      </w:r>
      <w:r>
        <w:rPr>
          <w:sz w:val="16"/>
          <w:szCs w:val="16"/>
          <w:lang w:val="es-ES_tradnl"/>
        </w:rPr>
        <w:t>minación establecidas en el artí</w:t>
      </w:r>
      <w:r w:rsidRPr="005049A3">
        <w:rPr>
          <w:sz w:val="16"/>
          <w:szCs w:val="16"/>
          <w:lang w:val="es-ES_tradnl"/>
        </w:rPr>
        <w:t xml:space="preserve">culo 1.1 de la Convención Internacional sobre la Eliminación de todas las Formas de Discriminación Racial y el artículo 1.1 de la Convención sobre la Eliminación de Todas las Formas de Discriminación contra la Mujer. </w:t>
      </w:r>
    </w:p>
    <w:p w14:paraId="470C7CCE" w14:textId="77777777" w:rsidR="009D032A" w:rsidRPr="005049A3" w:rsidRDefault="009D032A" w:rsidP="0013659B">
      <w:pPr>
        <w:pStyle w:val="ListParagraph"/>
        <w:tabs>
          <w:tab w:val="left" w:pos="709"/>
        </w:tabs>
        <w:ind w:left="0"/>
        <w:rPr>
          <w:i/>
          <w:sz w:val="16"/>
          <w:szCs w:val="16"/>
          <w:lang w:val="es-ES_tradnl"/>
        </w:rPr>
      </w:pPr>
    </w:p>
  </w:footnote>
  <w:footnote w:id="6">
    <w:p w14:paraId="0F06C238" w14:textId="4409FF1E"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Convenio Europeo de Derechos Humanos, </w:t>
      </w:r>
      <w:r>
        <w:rPr>
          <w:lang w:val="es-ES_tradnl"/>
        </w:rPr>
        <w:t>aprobado en 1951, art. 14.</w:t>
      </w:r>
    </w:p>
  </w:footnote>
  <w:footnote w:id="7">
    <w:p w14:paraId="4FB578BB" w14:textId="415F8BF8" w:rsidR="009D032A"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Protocolo Adicional al Convenio Europeo de Derechos Humanos, de 4 de noviembre de 2000, art. 1. </w:t>
      </w:r>
    </w:p>
    <w:p w14:paraId="4C11E2BE" w14:textId="77777777" w:rsidR="009D032A" w:rsidRPr="005049A3" w:rsidRDefault="009D032A" w:rsidP="0013659B">
      <w:pPr>
        <w:pStyle w:val="FootnoteText"/>
        <w:tabs>
          <w:tab w:val="left" w:pos="709"/>
        </w:tabs>
        <w:rPr>
          <w:lang w:val="es-ES_tradnl"/>
        </w:rPr>
      </w:pPr>
    </w:p>
  </w:footnote>
  <w:footnote w:id="8">
    <w:p w14:paraId="7EC172BA" w14:textId="441ABBFB" w:rsidR="009D032A" w:rsidRPr="00030E6E" w:rsidRDefault="009D032A" w:rsidP="0013659B">
      <w:pPr>
        <w:pStyle w:val="FootnoteText"/>
        <w:tabs>
          <w:tab w:val="left" w:pos="709"/>
        </w:tabs>
        <w:spacing w:after="0"/>
        <w:rPr>
          <w:rStyle w:val="sb8d990e2"/>
          <w:rFonts w:cs="Arial"/>
          <w:color w:val="000000"/>
          <w:lang w:val="es-ES_tradnl"/>
        </w:rPr>
      </w:pPr>
      <w:r w:rsidRPr="005049A3">
        <w:rPr>
          <w:rStyle w:val="FootnoteReference"/>
          <w:szCs w:val="16"/>
          <w:lang w:val="es-ES_tradnl"/>
        </w:rPr>
        <w:footnoteRef/>
      </w:r>
      <w:r w:rsidRPr="005049A3">
        <w:rPr>
          <w:lang w:val="es-ES_tradnl"/>
        </w:rPr>
        <w:t xml:space="preserve"> </w:t>
      </w:r>
      <w:r>
        <w:rPr>
          <w:lang w:val="es-ES_tradnl"/>
        </w:rPr>
        <w:tab/>
      </w:r>
      <w:r w:rsidRPr="00040619">
        <w:rPr>
          <w:rStyle w:val="sb8d990e2"/>
          <w:rFonts w:cs="Arial"/>
          <w:i/>
          <w:color w:val="000000"/>
          <w:lang w:val="es-ES_tradnl"/>
        </w:rPr>
        <w:t>Cfr.</w:t>
      </w:r>
      <w:r w:rsidRPr="00040619">
        <w:rPr>
          <w:rStyle w:val="sb8d990e2"/>
          <w:rFonts w:cs="Arial"/>
          <w:color w:val="000000"/>
          <w:lang w:val="es-ES_tradnl"/>
        </w:rPr>
        <w:t xml:space="preserve"> TEDH</w:t>
      </w:r>
      <w:r>
        <w:rPr>
          <w:rStyle w:val="sb8d990e2"/>
          <w:rFonts w:cs="Arial"/>
          <w:color w:val="000000"/>
          <w:lang w:val="es-ES_tradnl"/>
        </w:rPr>
        <w:t>.</w:t>
      </w:r>
      <w:r w:rsidRPr="00040619">
        <w:rPr>
          <w:rStyle w:val="sb8d990e2"/>
          <w:rFonts w:cs="Arial"/>
          <w:i/>
          <w:color w:val="000000"/>
          <w:lang w:val="es-ES_tradnl"/>
        </w:rPr>
        <w:t xml:space="preserve"> Caso </w:t>
      </w:r>
      <w:proofErr w:type="spellStart"/>
      <w:r w:rsidRPr="00040619">
        <w:rPr>
          <w:rStyle w:val="sb8d990e2"/>
          <w:rFonts w:cs="Arial"/>
          <w:i/>
          <w:color w:val="000000"/>
          <w:lang w:val="es-ES_tradnl"/>
        </w:rPr>
        <w:t>Zornic</w:t>
      </w:r>
      <w:proofErr w:type="spellEnd"/>
      <w:r w:rsidRPr="00040619">
        <w:rPr>
          <w:rStyle w:val="sb8d990e2"/>
          <w:rFonts w:cs="Arial"/>
          <w:i/>
          <w:color w:val="000000"/>
          <w:lang w:val="es-ES_tradnl"/>
        </w:rPr>
        <w:t xml:space="preserve"> Vs. Bosnia y Herzegovina</w:t>
      </w:r>
      <w:r w:rsidRPr="00040619">
        <w:rPr>
          <w:rStyle w:val="sb8d990e2"/>
          <w:rFonts w:cs="Arial"/>
          <w:color w:val="000000"/>
          <w:lang w:val="es-ES_tradnl"/>
        </w:rPr>
        <w:t>, No. 3681/06, Sentencia de 15 de julio de 2014, párr. 27</w:t>
      </w:r>
      <w:r>
        <w:rPr>
          <w:rStyle w:val="sb8d990e2"/>
          <w:rFonts w:cs="Arial"/>
          <w:color w:val="000000"/>
          <w:lang w:val="es-ES_tradnl"/>
        </w:rPr>
        <w:t>.</w:t>
      </w:r>
    </w:p>
    <w:p w14:paraId="41875993" w14:textId="77777777" w:rsidR="009D032A" w:rsidRPr="00030E6E" w:rsidRDefault="009D032A" w:rsidP="008D2AE6">
      <w:pPr>
        <w:pStyle w:val="FootnoteText"/>
        <w:tabs>
          <w:tab w:val="left" w:pos="709"/>
        </w:tabs>
        <w:spacing w:after="0"/>
        <w:rPr>
          <w:lang w:val="es-ES_tradnl"/>
        </w:rPr>
      </w:pPr>
    </w:p>
  </w:footnote>
  <w:footnote w:id="9">
    <w:p w14:paraId="1973DBF7" w14:textId="50AA5C22" w:rsidR="009D032A" w:rsidRPr="00030E6E" w:rsidRDefault="009D032A" w:rsidP="008D2AE6">
      <w:pPr>
        <w:pStyle w:val="FootnoteText"/>
        <w:tabs>
          <w:tab w:val="left" w:pos="709"/>
        </w:tabs>
        <w:spacing w:after="0"/>
        <w:rPr>
          <w:lang w:val="es-ES_tradnl"/>
        </w:rPr>
      </w:pPr>
      <w:r w:rsidRPr="00030E6E">
        <w:rPr>
          <w:rStyle w:val="FootnoteReference"/>
          <w:szCs w:val="16"/>
          <w:lang w:val="es-ES_tradnl"/>
        </w:rPr>
        <w:footnoteRef/>
      </w:r>
      <w:r w:rsidRPr="00030E6E">
        <w:rPr>
          <w:lang w:val="es-ES_tradnl"/>
        </w:rPr>
        <w:t xml:space="preserve"> </w:t>
      </w:r>
      <w:r w:rsidRPr="00030E6E">
        <w:rPr>
          <w:lang w:val="es-ES_tradnl"/>
        </w:rPr>
        <w:tab/>
      </w:r>
      <w:r w:rsidRPr="00030E6E">
        <w:rPr>
          <w:i/>
          <w:lang w:val="es-ES_tradnl"/>
        </w:rPr>
        <w:t xml:space="preserve">Cfr. </w:t>
      </w:r>
      <w:r w:rsidRPr="00030E6E">
        <w:rPr>
          <w:lang w:val="es-ES_tradnl"/>
        </w:rPr>
        <w:t xml:space="preserve">TEDH. </w:t>
      </w:r>
      <w:proofErr w:type="spellStart"/>
      <w:r w:rsidRPr="00030E6E">
        <w:rPr>
          <w:i/>
          <w:lang w:val="es-ES_tradnl"/>
        </w:rPr>
        <w:t>Nencheva</w:t>
      </w:r>
      <w:proofErr w:type="spellEnd"/>
      <w:r w:rsidRPr="00030E6E">
        <w:rPr>
          <w:i/>
          <w:lang w:val="es-ES_tradnl"/>
        </w:rPr>
        <w:t xml:space="preserve"> Vs. Bulgaria</w:t>
      </w:r>
      <w:r w:rsidRPr="00030E6E">
        <w:rPr>
          <w:lang w:val="es-ES_tradnl"/>
        </w:rPr>
        <w:t xml:space="preserve">, No. 48609/06  Sentencia de 18 de junio de 2013. </w:t>
      </w:r>
    </w:p>
    <w:p w14:paraId="307636E3" w14:textId="77777777" w:rsidR="009D032A" w:rsidRPr="00030E6E" w:rsidRDefault="009D032A" w:rsidP="008D2AE6">
      <w:pPr>
        <w:pStyle w:val="FootnoteText"/>
        <w:tabs>
          <w:tab w:val="left" w:pos="709"/>
        </w:tabs>
        <w:spacing w:after="0"/>
        <w:rPr>
          <w:lang w:val="es-ES_tradnl"/>
        </w:rPr>
      </w:pPr>
    </w:p>
  </w:footnote>
  <w:footnote w:id="10">
    <w:p w14:paraId="0CCA5C63" w14:textId="734EF6E3" w:rsidR="009D032A" w:rsidRPr="00030E6E" w:rsidRDefault="009D032A" w:rsidP="008D2AE6">
      <w:pPr>
        <w:pStyle w:val="FootnoteText"/>
        <w:tabs>
          <w:tab w:val="left" w:pos="709"/>
        </w:tabs>
        <w:spacing w:after="0"/>
        <w:rPr>
          <w:lang w:val="es-ES_tradnl"/>
        </w:rPr>
      </w:pPr>
      <w:r w:rsidRPr="00030E6E">
        <w:rPr>
          <w:rStyle w:val="FootnoteReference"/>
          <w:szCs w:val="16"/>
          <w:lang w:val="es-ES_tradnl"/>
        </w:rPr>
        <w:footnoteRef/>
      </w:r>
      <w:r>
        <w:rPr>
          <w:lang w:val="es-ES_tradnl"/>
        </w:rPr>
        <w:t xml:space="preserve"> </w:t>
      </w:r>
      <w:r>
        <w:rPr>
          <w:lang w:val="es-ES_tradnl"/>
        </w:rPr>
        <w:tab/>
      </w:r>
      <w:r w:rsidRPr="008121FE">
        <w:rPr>
          <w:i/>
          <w:lang w:val="es-ES_tradnl"/>
        </w:rPr>
        <w:t>Cfr.</w:t>
      </w:r>
      <w:r>
        <w:rPr>
          <w:i/>
          <w:lang w:val="es-ES_tradnl"/>
        </w:rPr>
        <w:t xml:space="preserve"> </w:t>
      </w:r>
      <w:r w:rsidRPr="00030E6E">
        <w:rPr>
          <w:lang w:val="es-ES_tradnl"/>
        </w:rPr>
        <w:t>TEDH</w:t>
      </w:r>
      <w:r>
        <w:rPr>
          <w:lang w:val="es-ES_tradnl"/>
        </w:rPr>
        <w:t>.</w:t>
      </w:r>
      <w:r w:rsidRPr="008E3830">
        <w:rPr>
          <w:i/>
          <w:lang w:val="es-ES_tradnl"/>
        </w:rPr>
        <w:t xml:space="preserve"> </w:t>
      </w:r>
      <w:proofErr w:type="spellStart"/>
      <w:r w:rsidRPr="008E3830">
        <w:rPr>
          <w:i/>
          <w:lang w:val="es-ES_tradnl"/>
        </w:rPr>
        <w:t>Moldovan</w:t>
      </w:r>
      <w:proofErr w:type="spellEnd"/>
      <w:r w:rsidRPr="008E3830">
        <w:rPr>
          <w:i/>
          <w:lang w:val="es-ES_tradnl"/>
        </w:rPr>
        <w:t xml:space="preserve"> y Otros Vs. Rumania</w:t>
      </w:r>
      <w:r w:rsidRPr="00030E6E">
        <w:rPr>
          <w:lang w:val="es-ES_tradnl"/>
        </w:rPr>
        <w:t xml:space="preserve">, no. 41138/98, Sentencia de 12 de julio de 2005 y </w:t>
      </w:r>
      <w:proofErr w:type="spellStart"/>
      <w:r w:rsidRPr="00030E6E">
        <w:rPr>
          <w:i/>
          <w:lang w:val="es-ES_tradnl"/>
        </w:rPr>
        <w:t>O’Rourke</w:t>
      </w:r>
      <w:proofErr w:type="spellEnd"/>
      <w:r w:rsidRPr="00030E6E">
        <w:rPr>
          <w:i/>
          <w:lang w:val="es-ES_tradnl"/>
        </w:rPr>
        <w:t xml:space="preserve"> Vs. </w:t>
      </w:r>
      <w:r>
        <w:rPr>
          <w:i/>
          <w:lang w:val="es-ES_tradnl"/>
        </w:rPr>
        <w:t>Reino Unido</w:t>
      </w:r>
      <w:r w:rsidRPr="00030E6E">
        <w:rPr>
          <w:lang w:val="es-ES_tradnl"/>
        </w:rPr>
        <w:t>, No. 39022/97, Sentencia de 26 de junio d</w:t>
      </w:r>
      <w:r>
        <w:rPr>
          <w:lang w:val="es-ES_tradnl"/>
        </w:rPr>
        <w:t>e</w:t>
      </w:r>
      <w:r w:rsidRPr="00030E6E">
        <w:rPr>
          <w:lang w:val="es-ES_tradnl"/>
        </w:rPr>
        <w:t xml:space="preserve"> 2001.</w:t>
      </w:r>
    </w:p>
    <w:p w14:paraId="422472CA" w14:textId="77777777" w:rsidR="009D032A" w:rsidRPr="00030E6E" w:rsidRDefault="009D032A" w:rsidP="008D2AE6">
      <w:pPr>
        <w:pStyle w:val="FootnoteText"/>
        <w:tabs>
          <w:tab w:val="left" w:pos="709"/>
        </w:tabs>
        <w:spacing w:after="0"/>
        <w:rPr>
          <w:lang w:val="es-ES_tradnl"/>
        </w:rPr>
      </w:pPr>
    </w:p>
  </w:footnote>
  <w:footnote w:id="11">
    <w:p w14:paraId="3934BDD8" w14:textId="51C6CA71" w:rsidR="009D032A" w:rsidRPr="000C2F0F" w:rsidRDefault="009D032A" w:rsidP="008D2AE6">
      <w:pPr>
        <w:pStyle w:val="FootnoteText"/>
        <w:tabs>
          <w:tab w:val="clear" w:pos="4419"/>
          <w:tab w:val="left" w:pos="567"/>
          <w:tab w:val="left" w:pos="709"/>
        </w:tabs>
        <w:rPr>
          <w:lang w:val="es-ES_tradnl"/>
        </w:rPr>
      </w:pPr>
      <w:r>
        <w:rPr>
          <w:rStyle w:val="FootnoteReference"/>
        </w:rPr>
        <w:footnoteRef/>
      </w:r>
      <w:r w:rsidRPr="000C2F0F">
        <w:rPr>
          <w:lang w:val="es-ES_tradnl"/>
        </w:rPr>
        <w:t xml:space="preserve"> </w:t>
      </w:r>
      <w:r w:rsidRPr="000C2F0F">
        <w:rPr>
          <w:lang w:val="es-ES_tradnl"/>
        </w:rPr>
        <w:tab/>
        <w:t xml:space="preserve">  </w:t>
      </w:r>
      <w:r w:rsidRPr="000C2F0F">
        <w:rPr>
          <w:i/>
          <w:lang w:val="es-ES_tradnl"/>
        </w:rPr>
        <w:t xml:space="preserve">Cfr. </w:t>
      </w:r>
      <w:r w:rsidRPr="000C2F0F">
        <w:rPr>
          <w:lang w:val="es-ES_tradnl"/>
        </w:rPr>
        <w:t>TEDH.</w:t>
      </w:r>
      <w:r w:rsidRPr="000C2F0F">
        <w:rPr>
          <w:i/>
          <w:lang w:val="es-ES_tradnl"/>
        </w:rPr>
        <w:t xml:space="preserve"> Caso </w:t>
      </w:r>
      <w:proofErr w:type="spellStart"/>
      <w:r w:rsidRPr="000C2F0F">
        <w:rPr>
          <w:i/>
          <w:lang w:val="es-ES_tradnl"/>
        </w:rPr>
        <w:t>Wallova</w:t>
      </w:r>
      <w:proofErr w:type="spellEnd"/>
      <w:r w:rsidRPr="000C2F0F">
        <w:rPr>
          <w:i/>
          <w:lang w:val="es-ES_tradnl"/>
        </w:rPr>
        <w:t xml:space="preserve"> y </w:t>
      </w:r>
      <w:proofErr w:type="spellStart"/>
      <w:r w:rsidRPr="000C2F0F">
        <w:rPr>
          <w:i/>
          <w:lang w:val="es-ES_tradnl"/>
        </w:rPr>
        <w:t>Wallov</w:t>
      </w:r>
      <w:proofErr w:type="spellEnd"/>
      <w:r w:rsidRPr="000C2F0F">
        <w:rPr>
          <w:i/>
          <w:lang w:val="es-ES_tradnl"/>
        </w:rPr>
        <w:t xml:space="preserve"> Vs. República Checa</w:t>
      </w:r>
      <w:r w:rsidRPr="000C2F0F">
        <w:rPr>
          <w:lang w:val="es-ES_tradnl"/>
        </w:rPr>
        <w:t xml:space="preserve">, No 23848/04,  Sentencia de  26 de octubre de 2006. </w:t>
      </w:r>
    </w:p>
    <w:p w14:paraId="70705891" w14:textId="77777777" w:rsidR="009D032A" w:rsidRPr="000C2F0F" w:rsidRDefault="009D032A" w:rsidP="008D2AE6">
      <w:pPr>
        <w:pStyle w:val="FootnoteText"/>
        <w:rPr>
          <w:lang w:val="es-ES_tradnl"/>
        </w:rPr>
      </w:pPr>
    </w:p>
  </w:footnote>
  <w:footnote w:id="12">
    <w:p w14:paraId="4A470AA5" w14:textId="5874F07C" w:rsidR="009D032A" w:rsidRPr="000C2F0F" w:rsidRDefault="009D032A" w:rsidP="008D2AE6">
      <w:pPr>
        <w:pStyle w:val="FootnoteText"/>
        <w:tabs>
          <w:tab w:val="left" w:pos="709"/>
        </w:tabs>
        <w:spacing w:after="0"/>
        <w:rPr>
          <w:lang w:val="es-ES"/>
        </w:rPr>
      </w:pPr>
      <w:r w:rsidRPr="00030E6E">
        <w:rPr>
          <w:rStyle w:val="FootnoteReference"/>
          <w:szCs w:val="16"/>
          <w:lang w:val="es-ES_tradnl"/>
        </w:rPr>
        <w:footnoteRef/>
      </w:r>
      <w:r w:rsidRPr="000C2F0F">
        <w:rPr>
          <w:lang w:val="es-ES_tradnl"/>
        </w:rPr>
        <w:t xml:space="preserve"> </w:t>
      </w:r>
      <w:r w:rsidRPr="000C2F0F">
        <w:rPr>
          <w:lang w:val="es-ES_tradnl"/>
        </w:rPr>
        <w:tab/>
      </w:r>
      <w:r w:rsidRPr="000C2F0F">
        <w:rPr>
          <w:i/>
          <w:lang w:val="es-ES_tradnl"/>
        </w:rPr>
        <w:t>Cfr.</w:t>
      </w:r>
      <w:r w:rsidRPr="000C2F0F">
        <w:rPr>
          <w:lang w:val="es-ES_tradnl"/>
        </w:rPr>
        <w:t xml:space="preserve"> TEDH. </w:t>
      </w:r>
      <w:proofErr w:type="spellStart"/>
      <w:r w:rsidRPr="000C2F0F">
        <w:rPr>
          <w:i/>
          <w:lang w:val="es-ES_tradnl"/>
        </w:rPr>
        <w:t>Öneryildiz</w:t>
      </w:r>
      <w:proofErr w:type="spellEnd"/>
      <w:r w:rsidRPr="000C2F0F">
        <w:rPr>
          <w:i/>
          <w:lang w:val="es-ES_tradnl"/>
        </w:rPr>
        <w:t xml:space="preserve"> Vs. </w:t>
      </w:r>
      <w:r w:rsidRPr="000C2F0F">
        <w:rPr>
          <w:i/>
          <w:lang w:val="es-ES"/>
        </w:rPr>
        <w:t>Turquía</w:t>
      </w:r>
      <w:r w:rsidRPr="000C2F0F">
        <w:rPr>
          <w:lang w:val="es-ES"/>
        </w:rPr>
        <w:t xml:space="preserve">, No. 48939/99, Sentencia de 20 de noviembre de 2004. </w:t>
      </w:r>
    </w:p>
  </w:footnote>
  <w:footnote w:id="13">
    <w:p w14:paraId="09134B74" w14:textId="77777777" w:rsidR="009D032A" w:rsidRPr="000C2F0F" w:rsidRDefault="009D032A" w:rsidP="008D2AE6">
      <w:pPr>
        <w:pStyle w:val="FootnoteText"/>
        <w:tabs>
          <w:tab w:val="left" w:pos="709"/>
        </w:tabs>
        <w:rPr>
          <w:lang w:val="es-ES"/>
        </w:rPr>
      </w:pPr>
    </w:p>
    <w:p w14:paraId="64330DD7" w14:textId="193AB66B" w:rsidR="009D032A" w:rsidRDefault="009D032A" w:rsidP="008D2AE6">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26267">
        <w:rPr>
          <w:i/>
          <w:lang w:val="es-ES_tradnl"/>
        </w:rPr>
        <w:t>Carta Social Europea</w:t>
      </w:r>
      <w:r w:rsidRPr="005049A3">
        <w:rPr>
          <w:lang w:val="es-ES_tradnl"/>
        </w:rPr>
        <w:t xml:space="preserve">, </w:t>
      </w:r>
      <w:r>
        <w:rPr>
          <w:lang w:val="es-ES_tradnl"/>
        </w:rPr>
        <w:t>a</w:t>
      </w:r>
      <w:r w:rsidRPr="005049A3">
        <w:rPr>
          <w:lang w:val="es-ES_tradnl"/>
        </w:rPr>
        <w:t xml:space="preserve">probada el 18 de octubre de 1961, art. 30. </w:t>
      </w:r>
    </w:p>
    <w:p w14:paraId="5B0E72F6" w14:textId="77777777" w:rsidR="009D032A" w:rsidRPr="005049A3" w:rsidRDefault="009D032A" w:rsidP="008D2AE6">
      <w:pPr>
        <w:pStyle w:val="FootnoteText"/>
        <w:tabs>
          <w:tab w:val="left" w:pos="709"/>
        </w:tabs>
        <w:rPr>
          <w:lang w:val="es-ES_tradnl"/>
        </w:rPr>
      </w:pPr>
    </w:p>
  </w:footnote>
  <w:footnote w:id="14">
    <w:p w14:paraId="23D05C95" w14:textId="050D704C"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proofErr w:type="spellStart"/>
      <w:r w:rsidRPr="005049A3">
        <w:rPr>
          <w:lang w:val="es-ES_tradnl"/>
        </w:rPr>
        <w:t>Khaliq</w:t>
      </w:r>
      <w:proofErr w:type="spellEnd"/>
      <w:r w:rsidRPr="005049A3">
        <w:rPr>
          <w:lang w:val="es-ES_tradnl"/>
        </w:rPr>
        <w:t xml:space="preserve">, </w:t>
      </w:r>
      <w:proofErr w:type="spellStart"/>
      <w:r w:rsidRPr="005049A3">
        <w:rPr>
          <w:lang w:val="es-ES_tradnl"/>
        </w:rPr>
        <w:t>Urfan</w:t>
      </w:r>
      <w:proofErr w:type="spellEnd"/>
      <w:r w:rsidRPr="005049A3">
        <w:rPr>
          <w:lang w:val="es-ES_tradnl"/>
        </w:rPr>
        <w:t xml:space="preserve"> y Churchill, Robín </w:t>
      </w:r>
      <w:r w:rsidRPr="005049A3">
        <w:rPr>
          <w:i/>
          <w:lang w:val="es-ES_tradnl"/>
        </w:rPr>
        <w:t>El Comité Europeo de Derechos So</w:t>
      </w:r>
      <w:r>
        <w:rPr>
          <w:i/>
          <w:lang w:val="es-ES_tradnl"/>
        </w:rPr>
        <w:t>ciales</w:t>
      </w:r>
      <w:r w:rsidRPr="005049A3">
        <w:rPr>
          <w:i/>
          <w:lang w:val="es-ES_tradnl"/>
        </w:rPr>
        <w:t xml:space="preserve">: darle cuerpo al esqueleto de la Carta Social Europea, </w:t>
      </w:r>
      <w:r w:rsidRPr="005049A3">
        <w:rPr>
          <w:lang w:val="es-ES_tradnl"/>
        </w:rPr>
        <w:t xml:space="preserve">en </w:t>
      </w:r>
      <w:proofErr w:type="spellStart"/>
      <w:r w:rsidRPr="005049A3">
        <w:rPr>
          <w:lang w:val="es-ES_tradnl"/>
        </w:rPr>
        <w:t>Langford</w:t>
      </w:r>
      <w:proofErr w:type="spellEnd"/>
      <w:r w:rsidRPr="005049A3">
        <w:rPr>
          <w:lang w:val="es-ES_tradnl"/>
        </w:rPr>
        <w:t xml:space="preserve">, Malcolm (edit.) </w:t>
      </w:r>
      <w:r w:rsidRPr="005049A3">
        <w:rPr>
          <w:i/>
          <w:lang w:val="es-ES_tradnl"/>
        </w:rPr>
        <w:t xml:space="preserve">Teoría y jurisprudencia de los derechos sociales. Tendencias emergentes en el derecho internacional y comparado, </w:t>
      </w:r>
      <w:r>
        <w:rPr>
          <w:lang w:val="es-ES_tradnl"/>
        </w:rPr>
        <w:t xml:space="preserve">Bogotá, </w:t>
      </w:r>
      <w:r w:rsidRPr="005049A3">
        <w:rPr>
          <w:lang w:val="es-ES_tradnl"/>
        </w:rPr>
        <w:t>Siglo del Hombre Editores- Universidad de los Ande</w:t>
      </w:r>
      <w:r>
        <w:rPr>
          <w:lang w:val="es-ES_tradnl"/>
        </w:rPr>
        <w:t>s, 2013.</w:t>
      </w:r>
      <w:r w:rsidRPr="005049A3">
        <w:rPr>
          <w:lang w:val="es-ES_tradnl"/>
        </w:rPr>
        <w:t xml:space="preserve"> </w:t>
      </w:r>
    </w:p>
    <w:p w14:paraId="64EE4CF9" w14:textId="77777777" w:rsidR="009D032A" w:rsidRPr="005049A3" w:rsidRDefault="009D032A" w:rsidP="0013659B">
      <w:pPr>
        <w:pStyle w:val="FootnoteText"/>
        <w:tabs>
          <w:tab w:val="left" w:pos="709"/>
        </w:tabs>
        <w:rPr>
          <w:lang w:val="es-ES_tradnl"/>
        </w:rPr>
      </w:pPr>
    </w:p>
  </w:footnote>
  <w:footnote w:id="15">
    <w:p w14:paraId="198CFA44" w14:textId="12F91D55" w:rsidR="009D032A" w:rsidRPr="00090345" w:rsidRDefault="009D032A" w:rsidP="0013659B">
      <w:pPr>
        <w:pStyle w:val="NormalWeb"/>
        <w:tabs>
          <w:tab w:val="left" w:pos="709"/>
        </w:tabs>
        <w:spacing w:before="0" w:beforeAutospacing="0" w:after="0" w:afterAutospacing="0"/>
        <w:jc w:val="both"/>
        <w:rPr>
          <w:rFonts w:ascii="Verdana" w:hAnsi="Verdana"/>
          <w:sz w:val="16"/>
          <w:szCs w:val="16"/>
          <w:lang w:val="es-ES"/>
        </w:rPr>
      </w:pPr>
      <w:r w:rsidRPr="005049A3">
        <w:rPr>
          <w:rStyle w:val="FootnoteReference"/>
          <w:rFonts w:ascii="Verdana" w:hAnsi="Verdana"/>
          <w:sz w:val="16"/>
          <w:szCs w:val="16"/>
          <w:lang w:val="es-ES_tradnl"/>
        </w:rPr>
        <w:footnoteRef/>
      </w:r>
      <w:r w:rsidRPr="00EA236D">
        <w:rPr>
          <w:rFonts w:ascii="Verdana" w:hAnsi="Verdana"/>
          <w:sz w:val="16"/>
          <w:szCs w:val="16"/>
          <w:lang w:val="en-US"/>
        </w:rPr>
        <w:t xml:space="preserve"> </w:t>
      </w:r>
      <w:r w:rsidRPr="00EA236D">
        <w:rPr>
          <w:rFonts w:ascii="Verdana" w:hAnsi="Verdana"/>
          <w:sz w:val="16"/>
          <w:szCs w:val="16"/>
          <w:lang w:val="en-US"/>
        </w:rPr>
        <w:tab/>
        <w:t xml:space="preserve">CADHP, </w:t>
      </w:r>
      <w:proofErr w:type="spellStart"/>
      <w:r w:rsidRPr="00EA236D">
        <w:rPr>
          <w:rFonts w:ascii="Verdana" w:hAnsi="Verdana"/>
          <w:sz w:val="16"/>
          <w:szCs w:val="16"/>
          <w:lang w:val="en-US"/>
        </w:rPr>
        <w:t>Caso</w:t>
      </w:r>
      <w:proofErr w:type="spellEnd"/>
      <w:r w:rsidRPr="00EA236D">
        <w:rPr>
          <w:rFonts w:ascii="Verdana" w:hAnsi="Verdana"/>
          <w:sz w:val="16"/>
          <w:szCs w:val="16"/>
          <w:lang w:val="en-US"/>
        </w:rPr>
        <w:t xml:space="preserve"> </w:t>
      </w:r>
      <w:r w:rsidRPr="00EA236D">
        <w:rPr>
          <w:rFonts w:ascii="Verdana" w:hAnsi="Verdana" w:cs="Arial"/>
          <w:sz w:val="16"/>
          <w:szCs w:val="16"/>
          <w:lang w:val="en-US"/>
        </w:rPr>
        <w:t xml:space="preserve">276/03: Centre for Minority Rights Development (Kenya) and Minority Rights Group (on behalf </w:t>
      </w:r>
      <w:r>
        <w:rPr>
          <w:rFonts w:ascii="Verdana" w:hAnsi="Verdana" w:cs="Arial"/>
          <w:sz w:val="16"/>
          <w:szCs w:val="16"/>
          <w:lang w:val="en-US"/>
        </w:rPr>
        <w:t xml:space="preserve">of </w:t>
      </w:r>
      <w:proofErr w:type="spellStart"/>
      <w:r>
        <w:rPr>
          <w:rFonts w:ascii="Verdana" w:hAnsi="Verdana" w:cs="Arial"/>
          <w:sz w:val="16"/>
          <w:szCs w:val="16"/>
          <w:lang w:val="en-US"/>
        </w:rPr>
        <w:t>Endorois</w:t>
      </w:r>
      <w:proofErr w:type="spellEnd"/>
      <w:r>
        <w:rPr>
          <w:rFonts w:ascii="Verdana" w:hAnsi="Verdana" w:cs="Arial"/>
          <w:sz w:val="16"/>
          <w:szCs w:val="16"/>
          <w:lang w:val="en-US"/>
        </w:rPr>
        <w:t xml:space="preserve"> Welfare Council) / V</w:t>
      </w:r>
      <w:r w:rsidRPr="00EA236D">
        <w:rPr>
          <w:rFonts w:ascii="Verdana" w:hAnsi="Verdana" w:cs="Arial"/>
          <w:sz w:val="16"/>
          <w:szCs w:val="16"/>
          <w:lang w:val="en-US"/>
        </w:rPr>
        <w:t xml:space="preserve">s. </w:t>
      </w:r>
      <w:r w:rsidRPr="00090345">
        <w:rPr>
          <w:rFonts w:ascii="Verdana" w:hAnsi="Verdana" w:cs="Arial"/>
          <w:sz w:val="16"/>
          <w:szCs w:val="16"/>
          <w:lang w:val="es-ES"/>
        </w:rPr>
        <w:t xml:space="preserve">Kenya, 25 de noviembre de 2009. </w:t>
      </w:r>
    </w:p>
    <w:p w14:paraId="53A2E85C" w14:textId="77777777" w:rsidR="009D032A" w:rsidRPr="00090345" w:rsidRDefault="009D032A" w:rsidP="0013659B">
      <w:pPr>
        <w:pStyle w:val="FootnoteText"/>
        <w:tabs>
          <w:tab w:val="left" w:pos="709"/>
        </w:tabs>
        <w:spacing w:after="0"/>
        <w:rPr>
          <w:lang w:val="es-ES"/>
        </w:rPr>
      </w:pPr>
    </w:p>
  </w:footnote>
  <w:footnote w:id="16">
    <w:p w14:paraId="2FDFB9D8" w14:textId="6DDE26C0" w:rsidR="009D032A" w:rsidRPr="00EA236D" w:rsidRDefault="009D032A" w:rsidP="0013659B">
      <w:pPr>
        <w:pStyle w:val="FootnoteText"/>
        <w:tabs>
          <w:tab w:val="left" w:pos="709"/>
        </w:tabs>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El </w:t>
      </w:r>
      <w:r w:rsidRPr="005049A3">
        <w:rPr>
          <w:rFonts w:cs="Verdana"/>
          <w:bCs/>
          <w:lang w:val="es-ES_tradnl"/>
        </w:rPr>
        <w:t>Artículo 22 de la Carta Africana de Derechos Humanos</w:t>
      </w:r>
      <w:r>
        <w:rPr>
          <w:rFonts w:cs="Verdana"/>
          <w:bCs/>
          <w:lang w:val="es-ES_tradnl"/>
        </w:rPr>
        <w:t xml:space="preserve"> y de los Pueblos dispone que: </w:t>
      </w:r>
      <w:r w:rsidRPr="005049A3">
        <w:rPr>
          <w:rFonts w:cs="Verdana"/>
          <w:lang w:val="es-ES_tradnl"/>
        </w:rPr>
        <w:t xml:space="preserve">1. Todos los pueblos tendrán derecho a su desarrollo económico, social y cultural, con la debida consideración a su libertad e identidad y disfrutando por igual de la herencia común de la humanidad y 2. Los Estados tendrán el deber, individual o colectivamente, de garantizar el ejercicio del derecho al desarrollo. </w:t>
      </w:r>
      <w:r w:rsidRPr="005049A3">
        <w:rPr>
          <w:lang w:val="es-ES_tradnl"/>
        </w:rPr>
        <w:t>El Sistema Africano de Derechos Humanos presenta menos problemas al momento de hacer efectivos los derechos de carácter económico, social y cultural. Como se mencionó anteriormente, la Carta Africana de los Derechos del Hombre y de los Pueblos, de 1981, contempla tanto derechos civiles y políticos como derechos de índole económico, social y cultural.</w:t>
      </w:r>
      <w:r>
        <w:rPr>
          <w:lang w:val="es-ES_tradnl"/>
        </w:rPr>
        <w:t xml:space="preserve"> </w:t>
      </w:r>
      <w:proofErr w:type="spellStart"/>
      <w:r w:rsidRPr="00EA236D">
        <w:t>Ssenyonjo</w:t>
      </w:r>
      <w:proofErr w:type="spellEnd"/>
      <w:r w:rsidRPr="00EA236D">
        <w:t xml:space="preserve">, </w:t>
      </w:r>
      <w:proofErr w:type="spellStart"/>
      <w:r w:rsidRPr="00EA236D">
        <w:t>Manisuli</w:t>
      </w:r>
      <w:proofErr w:type="spellEnd"/>
      <w:r w:rsidRPr="00EA236D">
        <w:t xml:space="preserve">, </w:t>
      </w:r>
      <w:r w:rsidRPr="00EA236D">
        <w:rPr>
          <w:i/>
        </w:rPr>
        <w:t>Economic, “</w:t>
      </w:r>
      <w:r w:rsidRPr="00EA236D">
        <w:t xml:space="preserve">Social and Cultural Rights in the African Charter”, </w:t>
      </w:r>
      <w:proofErr w:type="spellStart"/>
      <w:r w:rsidRPr="00EA236D">
        <w:t>en</w:t>
      </w:r>
      <w:proofErr w:type="spellEnd"/>
      <w:r w:rsidRPr="00EA236D">
        <w:t xml:space="preserve"> </w:t>
      </w:r>
      <w:proofErr w:type="spellStart"/>
      <w:r w:rsidRPr="00EA236D">
        <w:t>Ssenyonjo</w:t>
      </w:r>
      <w:proofErr w:type="spellEnd"/>
      <w:r w:rsidRPr="00EA236D">
        <w:t xml:space="preserve">, </w:t>
      </w:r>
      <w:proofErr w:type="spellStart"/>
      <w:r w:rsidRPr="00EA236D">
        <w:t>Manisuli</w:t>
      </w:r>
      <w:proofErr w:type="spellEnd"/>
      <w:r w:rsidRPr="00EA236D">
        <w:t xml:space="preserve"> (edited), </w:t>
      </w:r>
      <w:r w:rsidRPr="00EA236D">
        <w:rPr>
          <w:i/>
        </w:rPr>
        <w:t xml:space="preserve">The African Regional Human Rights System: 30 years after the African Charter on Human and People´s Rights, </w:t>
      </w:r>
      <w:r w:rsidRPr="00EA236D">
        <w:t xml:space="preserve">Leiden-Boston, </w:t>
      </w:r>
      <w:proofErr w:type="spellStart"/>
      <w:r w:rsidRPr="00EA236D">
        <w:t>Martinus</w:t>
      </w:r>
      <w:proofErr w:type="spellEnd"/>
      <w:r w:rsidRPr="00EA236D">
        <w:t xml:space="preserve"> </w:t>
      </w:r>
      <w:proofErr w:type="spellStart"/>
      <w:r w:rsidRPr="00EA236D">
        <w:t>Nijhoff</w:t>
      </w:r>
      <w:proofErr w:type="spellEnd"/>
      <w:r w:rsidRPr="00EA236D">
        <w:t xml:space="preserve"> Publishers, 2012, p. 57. </w:t>
      </w:r>
      <w:proofErr w:type="spellStart"/>
      <w:r w:rsidRPr="00EA236D">
        <w:t>En</w:t>
      </w:r>
      <w:proofErr w:type="spellEnd"/>
      <w:r w:rsidRPr="00EA236D">
        <w:t xml:space="preserve"> similar </w:t>
      </w:r>
      <w:proofErr w:type="spellStart"/>
      <w:r w:rsidRPr="00EA236D">
        <w:t>sentido</w:t>
      </w:r>
      <w:proofErr w:type="spellEnd"/>
      <w:r w:rsidRPr="00EA236D">
        <w:t xml:space="preserve"> </w:t>
      </w:r>
      <w:proofErr w:type="spellStart"/>
      <w:r w:rsidRPr="00EA236D">
        <w:t>véase</w:t>
      </w:r>
      <w:proofErr w:type="spellEnd"/>
      <w:r w:rsidRPr="00EA236D">
        <w:t xml:space="preserve">: </w:t>
      </w:r>
      <w:proofErr w:type="spellStart"/>
      <w:r w:rsidRPr="00EA236D">
        <w:t>Alemahu</w:t>
      </w:r>
      <w:proofErr w:type="spellEnd"/>
      <w:r w:rsidRPr="00EA236D">
        <w:t xml:space="preserve"> </w:t>
      </w:r>
      <w:proofErr w:type="spellStart"/>
      <w:r w:rsidRPr="00EA236D">
        <w:t>Yeshanew</w:t>
      </w:r>
      <w:proofErr w:type="spellEnd"/>
      <w:r w:rsidRPr="00EA236D">
        <w:t xml:space="preserve">, </w:t>
      </w:r>
      <w:proofErr w:type="spellStart"/>
      <w:r w:rsidRPr="00EA236D">
        <w:t>Sisay</w:t>
      </w:r>
      <w:proofErr w:type="spellEnd"/>
      <w:r w:rsidRPr="00EA236D">
        <w:t xml:space="preserve">, </w:t>
      </w:r>
      <w:r w:rsidRPr="00EA236D">
        <w:rPr>
          <w:i/>
        </w:rPr>
        <w:t xml:space="preserve">The Justiciability of </w:t>
      </w:r>
      <w:proofErr w:type="spellStart"/>
      <w:r w:rsidRPr="00EA236D">
        <w:rPr>
          <w:i/>
        </w:rPr>
        <w:t>Economis</w:t>
      </w:r>
      <w:proofErr w:type="spellEnd"/>
      <w:r w:rsidRPr="00EA236D">
        <w:rPr>
          <w:i/>
        </w:rPr>
        <w:t xml:space="preserve">, Social and Cultural Rights in the African Regional Human Rights System, </w:t>
      </w:r>
      <w:proofErr w:type="spellStart"/>
      <w:r w:rsidRPr="00EA236D">
        <w:t>Cambrige</w:t>
      </w:r>
      <w:proofErr w:type="spellEnd"/>
      <w:r w:rsidRPr="00EA236D">
        <w:t xml:space="preserve">, </w:t>
      </w:r>
      <w:proofErr w:type="spellStart"/>
      <w:r w:rsidRPr="00EA236D">
        <w:t>Intersentia</w:t>
      </w:r>
      <w:proofErr w:type="spellEnd"/>
      <w:r w:rsidRPr="00EA236D">
        <w:t xml:space="preserve">, 2013, p. 241. </w:t>
      </w:r>
    </w:p>
    <w:p w14:paraId="2BE96BAF" w14:textId="05A89819" w:rsidR="009D032A" w:rsidRPr="00EA236D" w:rsidRDefault="009D032A" w:rsidP="0013659B">
      <w:pPr>
        <w:widowControl w:val="0"/>
        <w:tabs>
          <w:tab w:val="left" w:pos="709"/>
        </w:tabs>
        <w:autoSpaceDE w:val="0"/>
        <w:autoSpaceDN w:val="0"/>
        <w:adjustRightInd w:val="0"/>
        <w:jc w:val="both"/>
        <w:rPr>
          <w:rFonts w:ascii="Verdana" w:hAnsi="Verdana" w:cs="Times"/>
          <w:sz w:val="16"/>
          <w:szCs w:val="16"/>
          <w:lang w:val="en-US"/>
        </w:rPr>
      </w:pPr>
    </w:p>
  </w:footnote>
  <w:footnote w:id="17">
    <w:p w14:paraId="2540FAD5" w14:textId="042C35A4" w:rsidR="009D032A" w:rsidRPr="005049A3" w:rsidRDefault="009D032A" w:rsidP="0013659B">
      <w:pPr>
        <w:widowControl w:val="0"/>
        <w:tabs>
          <w:tab w:val="left" w:pos="709"/>
        </w:tabs>
        <w:autoSpaceDE w:val="0"/>
        <w:autoSpaceDN w:val="0"/>
        <w:adjustRightInd w:val="0"/>
        <w:jc w:val="both"/>
        <w:rPr>
          <w:rFonts w:ascii="Verdana" w:hAnsi="Verdana" w:cs="Georgia"/>
          <w:bCs/>
          <w:iCs/>
          <w:color w:val="262626"/>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Pr>
          <w:rFonts w:ascii="Verdana" w:hAnsi="Verdana" w:cs="Georgia"/>
          <w:bCs/>
          <w:iCs/>
          <w:color w:val="262626"/>
          <w:sz w:val="16"/>
          <w:szCs w:val="16"/>
        </w:rPr>
        <w:t>El artículo 1.</w:t>
      </w:r>
      <w:r w:rsidRPr="005049A3">
        <w:rPr>
          <w:rFonts w:ascii="Verdana" w:hAnsi="Verdana" w:cs="Georgia"/>
          <w:color w:val="262626"/>
          <w:sz w:val="16"/>
          <w:szCs w:val="16"/>
        </w:rPr>
        <w:t>1.</w:t>
      </w:r>
      <w:r>
        <w:rPr>
          <w:rFonts w:ascii="Verdana" w:hAnsi="Verdana" w:cs="Georgia"/>
          <w:color w:val="262626"/>
          <w:sz w:val="16"/>
          <w:szCs w:val="16"/>
        </w:rPr>
        <w:t xml:space="preserve"> del Convenio se</w:t>
      </w:r>
      <w:proofErr w:type="spellStart"/>
      <w:r>
        <w:rPr>
          <w:rFonts w:ascii="Verdana" w:hAnsi="Verdana" w:cs="Georgia"/>
          <w:color w:val="262626"/>
          <w:sz w:val="16"/>
          <w:szCs w:val="16"/>
          <w:lang w:val="es-ES"/>
        </w:rPr>
        <w:t>ñala</w:t>
      </w:r>
      <w:proofErr w:type="spellEnd"/>
      <w:r>
        <w:rPr>
          <w:rFonts w:ascii="Verdana" w:hAnsi="Verdana" w:cs="Georgia"/>
          <w:color w:val="262626"/>
          <w:sz w:val="16"/>
          <w:szCs w:val="16"/>
          <w:lang w:val="es-ES"/>
        </w:rPr>
        <w:t>:</w:t>
      </w:r>
      <w:r w:rsidRPr="005049A3">
        <w:rPr>
          <w:rFonts w:ascii="Verdana" w:hAnsi="Verdana" w:cs="Georgia"/>
          <w:color w:val="262626"/>
          <w:sz w:val="16"/>
          <w:szCs w:val="16"/>
        </w:rPr>
        <w:t xml:space="preserve"> </w:t>
      </w:r>
      <w:r w:rsidRPr="00EA236D">
        <w:rPr>
          <w:rFonts w:ascii="Verdana" w:hAnsi="Verdana" w:cs="Georgia"/>
          <w:color w:val="262626"/>
          <w:sz w:val="16"/>
          <w:szCs w:val="16"/>
          <w:lang w:val="es-ES"/>
        </w:rPr>
        <w:t>“</w:t>
      </w:r>
      <w:r w:rsidRPr="005049A3">
        <w:rPr>
          <w:rFonts w:ascii="Verdana" w:hAnsi="Verdana" w:cs="Georgia"/>
          <w:color w:val="262626"/>
          <w:sz w:val="16"/>
          <w:szCs w:val="16"/>
        </w:rPr>
        <w:t xml:space="preserve">A los efectos de este Convenio, el término </w:t>
      </w:r>
      <w:r w:rsidRPr="005049A3">
        <w:rPr>
          <w:rFonts w:ascii="Verdana" w:hAnsi="Verdana" w:cs="Georgia"/>
          <w:bCs/>
          <w:iCs/>
          <w:color w:val="262626"/>
          <w:sz w:val="16"/>
          <w:szCs w:val="16"/>
        </w:rPr>
        <w:t>discriminación</w:t>
      </w:r>
      <w:r w:rsidRPr="005049A3">
        <w:rPr>
          <w:rFonts w:ascii="Verdana" w:hAnsi="Verdana" w:cs="Georgia"/>
          <w:color w:val="262626"/>
          <w:sz w:val="16"/>
          <w:szCs w:val="16"/>
        </w:rPr>
        <w:t xml:space="preserve"> comprende:</w:t>
      </w:r>
      <w:r w:rsidRPr="005049A3">
        <w:rPr>
          <w:rFonts w:ascii="Verdana" w:hAnsi="Verdana" w:cs="Georgia"/>
          <w:bCs/>
          <w:iCs/>
          <w:color w:val="262626"/>
          <w:sz w:val="16"/>
          <w:szCs w:val="16"/>
        </w:rPr>
        <w:t xml:space="preserve"> </w:t>
      </w:r>
      <w:r w:rsidRPr="005049A3">
        <w:rPr>
          <w:rFonts w:ascii="Verdana" w:hAnsi="Verdana" w:cs="Georgia"/>
          <w:color w:val="262626"/>
          <w:sz w:val="16"/>
          <w:szCs w:val="16"/>
        </w:rPr>
        <w:t>(a) cualquier distinción, exclusión o preferencia basada en motivos de raza, color, sexo, religión, opinión política, ascendencia nacional u origen social que tenga por efecto anular o alterar la igualdad de oportunidades o de trato en el empleo y la ocupación;</w:t>
      </w:r>
      <w:r>
        <w:rPr>
          <w:rFonts w:ascii="Verdana" w:hAnsi="Verdana" w:cs="Georgia"/>
          <w:bCs/>
          <w:iCs/>
          <w:color w:val="262626"/>
          <w:sz w:val="16"/>
          <w:szCs w:val="16"/>
        </w:rPr>
        <w:t xml:space="preserve"> [y</w:t>
      </w:r>
      <w:r w:rsidRPr="005049A3">
        <w:rPr>
          <w:rFonts w:ascii="Verdana" w:hAnsi="Verdana" w:cs="Georgia"/>
          <w:bCs/>
          <w:iCs/>
          <w:color w:val="262626"/>
          <w:sz w:val="16"/>
          <w:szCs w:val="16"/>
        </w:rPr>
        <w:t>]</w:t>
      </w:r>
      <w:r>
        <w:rPr>
          <w:rFonts w:ascii="Verdana" w:hAnsi="Verdana" w:cs="Georgia"/>
          <w:bCs/>
          <w:iCs/>
          <w:color w:val="262626"/>
          <w:sz w:val="16"/>
          <w:szCs w:val="16"/>
        </w:rPr>
        <w:t xml:space="preserve"> </w:t>
      </w:r>
      <w:r w:rsidRPr="005049A3">
        <w:rPr>
          <w:rFonts w:ascii="Verdana" w:hAnsi="Verdana" w:cs="Georgia"/>
          <w:color w:val="262626"/>
          <w:sz w:val="16"/>
          <w:szCs w:val="16"/>
        </w:rPr>
        <w:t>(b) cualquier otra distinción, exclusión o preferencia que tenga por efecto anular o alterar la igualdad de oportunidades o de trato en el empleo u ocupación que</w:t>
      </w:r>
      <w:r>
        <w:rPr>
          <w:rFonts w:ascii="Verdana" w:hAnsi="Verdana" w:cs="Georgia"/>
          <w:color w:val="262626"/>
          <w:sz w:val="16"/>
          <w:szCs w:val="16"/>
        </w:rPr>
        <w:t xml:space="preserve"> podrá ser especificada por el m</w:t>
      </w:r>
      <w:r w:rsidRPr="005049A3">
        <w:rPr>
          <w:rFonts w:ascii="Verdana" w:hAnsi="Verdana" w:cs="Georgia"/>
          <w:color w:val="262626"/>
          <w:sz w:val="16"/>
          <w:szCs w:val="16"/>
        </w:rPr>
        <w:t>iembro interesado previa consulta con las organizaciones representativas de empleadores y de trabajadores, cuando dichas organizaciones existan, y con otros organismos apropiados</w:t>
      </w:r>
      <w:r>
        <w:rPr>
          <w:rFonts w:ascii="Verdana" w:hAnsi="Verdana" w:cs="Georgia"/>
          <w:color w:val="262626"/>
          <w:sz w:val="16"/>
          <w:szCs w:val="16"/>
        </w:rPr>
        <w:t>”.</w:t>
      </w:r>
    </w:p>
  </w:footnote>
  <w:footnote w:id="18">
    <w:p w14:paraId="25390277" w14:textId="77777777" w:rsidR="009D032A" w:rsidRPr="005049A3" w:rsidRDefault="009D032A" w:rsidP="0013659B">
      <w:pPr>
        <w:widowControl w:val="0"/>
        <w:tabs>
          <w:tab w:val="left" w:pos="709"/>
        </w:tabs>
        <w:autoSpaceDE w:val="0"/>
        <w:autoSpaceDN w:val="0"/>
        <w:adjustRightInd w:val="0"/>
        <w:jc w:val="both"/>
        <w:rPr>
          <w:rFonts w:ascii="Verdana" w:hAnsi="Verdana"/>
          <w:sz w:val="16"/>
          <w:szCs w:val="16"/>
        </w:rPr>
      </w:pPr>
    </w:p>
    <w:p w14:paraId="48E38768" w14:textId="747058F6" w:rsidR="009D032A" w:rsidRPr="005049A3" w:rsidRDefault="009D032A" w:rsidP="0013659B">
      <w:pPr>
        <w:widowControl w:val="0"/>
        <w:tabs>
          <w:tab w:val="left" w:pos="709"/>
        </w:tabs>
        <w:autoSpaceDE w:val="0"/>
        <w:autoSpaceDN w:val="0"/>
        <w:adjustRightInd w:val="0"/>
        <w:jc w:val="both"/>
        <w:rPr>
          <w:rFonts w:ascii="Verdana" w:hAnsi="Verdana" w:cs="Verdana"/>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Pr>
          <w:rFonts w:ascii="Verdana" w:hAnsi="Verdana" w:cs="Verdana"/>
          <w:bCs/>
          <w:sz w:val="16"/>
          <w:szCs w:val="16"/>
        </w:rPr>
        <w:t>El art</w:t>
      </w:r>
      <w:proofErr w:type="spellStart"/>
      <w:r>
        <w:rPr>
          <w:rFonts w:ascii="Verdana" w:hAnsi="Verdana" w:cs="Verdana"/>
          <w:bCs/>
          <w:sz w:val="16"/>
          <w:szCs w:val="16"/>
          <w:lang w:val="es-ES"/>
        </w:rPr>
        <w:t>ículo</w:t>
      </w:r>
      <w:proofErr w:type="spellEnd"/>
      <w:r>
        <w:rPr>
          <w:rFonts w:ascii="Verdana" w:hAnsi="Verdana" w:cs="Verdana"/>
          <w:bCs/>
          <w:sz w:val="16"/>
          <w:szCs w:val="16"/>
          <w:lang w:val="es-ES"/>
        </w:rPr>
        <w:t xml:space="preserve"> 1.1 de la Convención establece: </w:t>
      </w:r>
      <w:r w:rsidRPr="00EA236D">
        <w:rPr>
          <w:rFonts w:ascii="Verdana" w:hAnsi="Verdana" w:cs="Verdana"/>
          <w:bCs/>
          <w:sz w:val="16"/>
          <w:szCs w:val="16"/>
          <w:lang w:val="es-ES"/>
        </w:rPr>
        <w:t>“</w:t>
      </w:r>
      <w:r w:rsidRPr="005049A3">
        <w:rPr>
          <w:rFonts w:ascii="Verdana" w:hAnsi="Verdana" w:cs="Verdana"/>
          <w:sz w:val="16"/>
          <w:szCs w:val="16"/>
        </w:rPr>
        <w:t xml:space="preserve">A los efectos de la presente Convención, se entiende por “discriminación” toda distinción, exclusión, limitación o preferencia, fundada en la raza, el color, el sexo, el idioma, la religión, las opiniones políticas o de cualquier otra índole, el origen nacional o social, la </w:t>
      </w:r>
      <w:r w:rsidRPr="005049A3">
        <w:rPr>
          <w:rFonts w:ascii="Verdana" w:hAnsi="Verdana" w:cs="Verdana"/>
          <w:sz w:val="16"/>
          <w:szCs w:val="16"/>
          <w:u w:val="single"/>
        </w:rPr>
        <w:t>posición económica</w:t>
      </w:r>
      <w:r w:rsidRPr="005049A3">
        <w:rPr>
          <w:rFonts w:ascii="Verdana" w:hAnsi="Verdana" w:cs="Verdana"/>
          <w:sz w:val="16"/>
          <w:szCs w:val="16"/>
        </w:rPr>
        <w:t xml:space="preserve"> o el nacimiento, que tenga por finalidad o por efecto destruir o alterar la igualdad de trato en la esfera de la enseñanza</w:t>
      </w:r>
      <w:r>
        <w:rPr>
          <w:rFonts w:ascii="Verdana" w:hAnsi="Verdana" w:cs="Verdana"/>
          <w:sz w:val="16"/>
          <w:szCs w:val="16"/>
        </w:rPr>
        <w:t xml:space="preserve"> (…)”.</w:t>
      </w:r>
    </w:p>
  </w:footnote>
  <w:footnote w:id="19">
    <w:p w14:paraId="17205A16" w14:textId="77777777" w:rsidR="009D032A" w:rsidRPr="005049A3" w:rsidRDefault="009D032A" w:rsidP="0013659B">
      <w:pPr>
        <w:widowControl w:val="0"/>
        <w:tabs>
          <w:tab w:val="left" w:pos="709"/>
        </w:tabs>
        <w:autoSpaceDE w:val="0"/>
        <w:autoSpaceDN w:val="0"/>
        <w:adjustRightInd w:val="0"/>
        <w:jc w:val="both"/>
        <w:rPr>
          <w:rFonts w:ascii="Verdana" w:hAnsi="Verdana"/>
          <w:sz w:val="16"/>
          <w:szCs w:val="16"/>
        </w:rPr>
      </w:pPr>
    </w:p>
    <w:p w14:paraId="5BCE8C4D" w14:textId="0E56E95D" w:rsidR="009D032A" w:rsidRDefault="009D032A" w:rsidP="0013659B">
      <w:pPr>
        <w:widowControl w:val="0"/>
        <w:tabs>
          <w:tab w:val="left" w:pos="709"/>
        </w:tabs>
        <w:autoSpaceDE w:val="0"/>
        <w:autoSpaceDN w:val="0"/>
        <w:adjustRightInd w:val="0"/>
        <w:jc w:val="both"/>
        <w:rPr>
          <w:rFonts w:ascii="Verdana" w:hAnsi="Verdana" w:cs="Verdana"/>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Pr>
          <w:rFonts w:ascii="Verdana" w:hAnsi="Verdana" w:cs="Verdana"/>
          <w:bCs/>
          <w:sz w:val="16"/>
          <w:szCs w:val="16"/>
        </w:rPr>
        <w:t>El art</w:t>
      </w:r>
      <w:proofErr w:type="spellStart"/>
      <w:r>
        <w:rPr>
          <w:rFonts w:ascii="Verdana" w:hAnsi="Verdana" w:cs="Verdana"/>
          <w:bCs/>
          <w:sz w:val="16"/>
          <w:szCs w:val="16"/>
          <w:lang w:val="es-ES"/>
        </w:rPr>
        <w:t>ículo</w:t>
      </w:r>
      <w:proofErr w:type="spellEnd"/>
      <w:r>
        <w:rPr>
          <w:rFonts w:ascii="Verdana" w:hAnsi="Verdana" w:cs="Verdana"/>
          <w:bCs/>
          <w:sz w:val="16"/>
          <w:szCs w:val="16"/>
          <w:lang w:val="es-ES"/>
        </w:rPr>
        <w:t xml:space="preserve"> 1.1 de la Convención dispone “</w:t>
      </w:r>
      <w:r w:rsidRPr="005049A3">
        <w:rPr>
          <w:rFonts w:ascii="Verdana" w:hAnsi="Verdana" w:cs="Verdana"/>
          <w:sz w:val="16"/>
          <w:szCs w:val="16"/>
        </w:rPr>
        <w:t>En la presente Convención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r>
        <w:rPr>
          <w:rFonts w:ascii="Verdana" w:hAnsi="Verdana" w:cs="Verdana"/>
          <w:sz w:val="16"/>
          <w:szCs w:val="16"/>
        </w:rPr>
        <w:t>”.</w:t>
      </w:r>
    </w:p>
    <w:p w14:paraId="15A6DAFB" w14:textId="77777777" w:rsidR="009D032A" w:rsidRPr="005049A3" w:rsidRDefault="009D032A" w:rsidP="0013659B">
      <w:pPr>
        <w:widowControl w:val="0"/>
        <w:tabs>
          <w:tab w:val="left" w:pos="709"/>
        </w:tabs>
        <w:autoSpaceDE w:val="0"/>
        <w:autoSpaceDN w:val="0"/>
        <w:adjustRightInd w:val="0"/>
        <w:jc w:val="both"/>
        <w:rPr>
          <w:rFonts w:ascii="Verdana" w:hAnsi="Verdana" w:cs="Verdana"/>
          <w:bCs/>
          <w:i/>
          <w:color w:val="242424"/>
          <w:sz w:val="16"/>
          <w:szCs w:val="16"/>
        </w:rPr>
      </w:pPr>
    </w:p>
  </w:footnote>
  <w:footnote w:id="20">
    <w:p w14:paraId="1DE958EA" w14:textId="2F3440B7" w:rsidR="009D032A" w:rsidRPr="005049A3" w:rsidRDefault="009D032A" w:rsidP="0013659B">
      <w:pPr>
        <w:widowControl w:val="0"/>
        <w:tabs>
          <w:tab w:val="left" w:pos="709"/>
        </w:tabs>
        <w:autoSpaceDE w:val="0"/>
        <w:autoSpaceDN w:val="0"/>
        <w:adjustRightInd w:val="0"/>
        <w:jc w:val="both"/>
        <w:rPr>
          <w:rFonts w:ascii="Verdana" w:hAnsi="Verdana" w:cs="Times"/>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Pr>
          <w:rFonts w:ascii="Verdana" w:hAnsi="Verdana" w:cs="Verdana"/>
          <w:bCs/>
          <w:sz w:val="16"/>
          <w:szCs w:val="16"/>
        </w:rPr>
        <w:t>El art</w:t>
      </w:r>
      <w:proofErr w:type="spellStart"/>
      <w:r>
        <w:rPr>
          <w:rFonts w:ascii="Verdana" w:hAnsi="Verdana" w:cs="Verdana"/>
          <w:bCs/>
          <w:sz w:val="16"/>
          <w:szCs w:val="16"/>
          <w:lang w:val="es-ES"/>
        </w:rPr>
        <w:t>ículo</w:t>
      </w:r>
      <w:proofErr w:type="spellEnd"/>
      <w:r>
        <w:rPr>
          <w:rFonts w:ascii="Verdana" w:hAnsi="Verdana" w:cs="Verdana"/>
          <w:bCs/>
          <w:sz w:val="16"/>
          <w:szCs w:val="16"/>
          <w:lang w:val="es-ES"/>
        </w:rPr>
        <w:t xml:space="preserve"> 1 de la Convención señala </w:t>
      </w:r>
      <w:r w:rsidRPr="00EA236D">
        <w:rPr>
          <w:rFonts w:ascii="Verdana" w:hAnsi="Verdana" w:cs="Verdana"/>
          <w:bCs/>
          <w:sz w:val="16"/>
          <w:szCs w:val="16"/>
          <w:lang w:val="es-ES"/>
        </w:rPr>
        <w:t>“</w:t>
      </w:r>
      <w:r w:rsidRPr="005049A3">
        <w:rPr>
          <w:rFonts w:ascii="Verdana" w:hAnsi="Verdana" w:cs="Times"/>
          <w:sz w:val="16"/>
          <w:szCs w:val="16"/>
        </w:rPr>
        <w:t>A los efectos de la presente Convención, la expresión "discriminación contra la mujer" denotará toda distinción, exc</w:t>
      </w:r>
      <w:r>
        <w:rPr>
          <w:rFonts w:ascii="Verdana" w:hAnsi="Verdana" w:cs="Times"/>
          <w:sz w:val="16"/>
          <w:szCs w:val="16"/>
        </w:rPr>
        <w:t>lusión o</w:t>
      </w:r>
      <w:r w:rsidRPr="005049A3">
        <w:rPr>
          <w:rFonts w:ascii="Verdana" w:hAnsi="Verdana" w:cs="Times"/>
          <w:sz w:val="16"/>
          <w:szCs w:val="16"/>
        </w:rPr>
        <w:t xml:space="preserve">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Pr>
          <w:rFonts w:ascii="Verdana" w:hAnsi="Verdana" w:cs="Times"/>
          <w:sz w:val="16"/>
          <w:szCs w:val="16"/>
        </w:rPr>
        <w:t xml:space="preserve"> […]”.</w:t>
      </w:r>
    </w:p>
  </w:footnote>
  <w:footnote w:id="21">
    <w:p w14:paraId="1929144C" w14:textId="77777777" w:rsidR="009D032A" w:rsidRPr="005049A3" w:rsidRDefault="009D032A" w:rsidP="0013659B">
      <w:pPr>
        <w:pStyle w:val="FootnoteText"/>
        <w:tabs>
          <w:tab w:val="left" w:pos="709"/>
        </w:tabs>
        <w:spacing w:after="0"/>
        <w:rPr>
          <w:lang w:val="es-ES_tradnl"/>
        </w:rPr>
      </w:pPr>
    </w:p>
    <w:p w14:paraId="61A5B223" w14:textId="77777777" w:rsidR="009D032A" w:rsidRDefault="009D032A" w:rsidP="0013659B">
      <w:pPr>
        <w:widowControl w:val="0"/>
        <w:tabs>
          <w:tab w:val="left" w:pos="709"/>
        </w:tabs>
        <w:autoSpaceDE w:val="0"/>
        <w:autoSpaceDN w:val="0"/>
        <w:adjustRightInd w:val="0"/>
        <w:jc w:val="both"/>
        <w:rPr>
          <w:rFonts w:ascii="Verdana" w:hAnsi="Verdana" w:cs="Verdana"/>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sz w:val="16"/>
          <w:szCs w:val="16"/>
        </w:rPr>
        <w:t>El Pacto Internacional de Derechos Civiles y Políticos dispone</w:t>
      </w:r>
      <w:r>
        <w:rPr>
          <w:rFonts w:ascii="Verdana" w:hAnsi="Verdana" w:cs="Verdana"/>
          <w:bCs/>
          <w:color w:val="242424"/>
          <w:sz w:val="16"/>
          <w:szCs w:val="16"/>
        </w:rPr>
        <w:t xml:space="preserve"> en el a</w:t>
      </w:r>
      <w:r w:rsidRPr="005049A3">
        <w:rPr>
          <w:rFonts w:ascii="Verdana" w:hAnsi="Verdana" w:cs="Verdana"/>
          <w:bCs/>
          <w:color w:val="242424"/>
          <w:sz w:val="16"/>
          <w:szCs w:val="16"/>
        </w:rPr>
        <w:t>rtículo 2.</w:t>
      </w:r>
      <w:r w:rsidRPr="005049A3">
        <w:rPr>
          <w:rFonts w:ascii="Verdana" w:hAnsi="Verdana" w:cs="Verdana"/>
          <w:sz w:val="16"/>
          <w:szCs w:val="16"/>
        </w:rPr>
        <w:t xml:space="preserve">1. </w:t>
      </w:r>
      <w:r>
        <w:rPr>
          <w:rFonts w:ascii="Verdana" w:hAnsi="Verdana" w:cs="Verdana"/>
          <w:sz w:val="16"/>
          <w:szCs w:val="16"/>
        </w:rPr>
        <w:t>“</w:t>
      </w:r>
      <w:r w:rsidRPr="005049A3">
        <w:rPr>
          <w:rFonts w:ascii="Verdana" w:hAnsi="Verdana" w:cs="Verdana"/>
          <w:sz w:val="16"/>
          <w:szCs w:val="16"/>
        </w:rPr>
        <w:t xml:space="preserve">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w:t>
      </w:r>
      <w:r w:rsidRPr="005049A3">
        <w:rPr>
          <w:rFonts w:ascii="Verdana" w:hAnsi="Verdana" w:cs="Verdana"/>
          <w:i/>
          <w:sz w:val="16"/>
          <w:szCs w:val="16"/>
          <w:u w:val="single"/>
        </w:rPr>
        <w:t>posición económica</w:t>
      </w:r>
      <w:r w:rsidRPr="005049A3">
        <w:rPr>
          <w:rFonts w:ascii="Verdana" w:hAnsi="Verdana" w:cs="Verdana"/>
          <w:sz w:val="16"/>
          <w:szCs w:val="16"/>
        </w:rPr>
        <w:t>, nacimiento o cualquier otra condición social</w:t>
      </w:r>
      <w:r>
        <w:rPr>
          <w:rFonts w:ascii="Verdana" w:hAnsi="Verdana" w:cs="Verdana"/>
          <w:sz w:val="16"/>
          <w:szCs w:val="16"/>
        </w:rPr>
        <w:t xml:space="preserve">”. </w:t>
      </w:r>
    </w:p>
    <w:p w14:paraId="6EE26D45" w14:textId="7209023E" w:rsidR="009D032A" w:rsidRDefault="009D032A" w:rsidP="0013659B">
      <w:pPr>
        <w:widowControl w:val="0"/>
        <w:tabs>
          <w:tab w:val="left" w:pos="709"/>
        </w:tabs>
        <w:autoSpaceDE w:val="0"/>
        <w:autoSpaceDN w:val="0"/>
        <w:adjustRightInd w:val="0"/>
        <w:jc w:val="both"/>
        <w:rPr>
          <w:rFonts w:ascii="Verdana" w:hAnsi="Verdana" w:cs="Verdana"/>
          <w:sz w:val="16"/>
          <w:szCs w:val="16"/>
        </w:rPr>
      </w:pPr>
      <w:r>
        <w:rPr>
          <w:rFonts w:ascii="Verdana" w:hAnsi="Verdana" w:cs="Verdana"/>
          <w:sz w:val="16"/>
          <w:szCs w:val="16"/>
        </w:rPr>
        <w:tab/>
        <w:t>El</w:t>
      </w:r>
      <w:r w:rsidRPr="005049A3">
        <w:rPr>
          <w:rFonts w:ascii="Verdana" w:hAnsi="Verdana" w:cs="Verdana"/>
          <w:sz w:val="16"/>
          <w:szCs w:val="16"/>
        </w:rPr>
        <w:t xml:space="preserve"> Pacto Internacional de Derechos Económicos Sociales y Culturales e</w:t>
      </w:r>
      <w:r>
        <w:rPr>
          <w:rFonts w:ascii="Verdana" w:hAnsi="Verdana" w:cs="Verdana"/>
          <w:sz w:val="16"/>
          <w:szCs w:val="16"/>
        </w:rPr>
        <w:t>stablece en el</w:t>
      </w:r>
      <w:r w:rsidRPr="005049A3">
        <w:rPr>
          <w:rFonts w:ascii="Verdana" w:hAnsi="Verdana" w:cs="Verdana"/>
          <w:sz w:val="16"/>
          <w:szCs w:val="16"/>
        </w:rPr>
        <w:t xml:space="preserve"> </w:t>
      </w:r>
      <w:r>
        <w:rPr>
          <w:rFonts w:ascii="Verdana" w:hAnsi="Verdana" w:cs="Verdana"/>
          <w:bCs/>
          <w:color w:val="242424"/>
          <w:sz w:val="16"/>
          <w:szCs w:val="16"/>
        </w:rPr>
        <w:t>a</w:t>
      </w:r>
      <w:r w:rsidRPr="005049A3">
        <w:rPr>
          <w:rFonts w:ascii="Verdana" w:hAnsi="Verdana" w:cs="Verdana"/>
          <w:bCs/>
          <w:color w:val="242424"/>
          <w:sz w:val="16"/>
          <w:szCs w:val="16"/>
        </w:rPr>
        <w:t xml:space="preserve">rtículo </w:t>
      </w:r>
      <w:r w:rsidRPr="005049A3">
        <w:rPr>
          <w:rFonts w:ascii="Verdana" w:hAnsi="Verdana" w:cs="Verdana"/>
          <w:sz w:val="16"/>
          <w:szCs w:val="16"/>
        </w:rPr>
        <w:t xml:space="preserve">2.2 </w:t>
      </w:r>
      <w:r>
        <w:rPr>
          <w:rFonts w:ascii="Verdana" w:hAnsi="Verdana" w:cs="Verdana"/>
          <w:sz w:val="16"/>
          <w:szCs w:val="16"/>
        </w:rPr>
        <w:t>“</w:t>
      </w:r>
      <w:r w:rsidRPr="005049A3">
        <w:rPr>
          <w:rFonts w:ascii="Verdana" w:hAnsi="Verdana" w:cs="Verdana"/>
          <w:sz w:val="16"/>
          <w:szCs w:val="16"/>
        </w:rPr>
        <w:t xml:space="preserve">Los Estados Partes en el presente Pacto se comprometen a garantizar el ejercicio de los derechos que en él se enuncian, sin discriminación alguna por motivos de raza, color, sexo, idioma, religión, opinión política o de otra índole, origen nacional o social, </w:t>
      </w:r>
      <w:r w:rsidRPr="005049A3">
        <w:rPr>
          <w:rFonts w:ascii="Verdana" w:hAnsi="Verdana" w:cs="Verdana"/>
          <w:i/>
          <w:sz w:val="16"/>
          <w:szCs w:val="16"/>
          <w:u w:val="single"/>
        </w:rPr>
        <w:t>posición económica</w:t>
      </w:r>
      <w:r w:rsidRPr="005049A3">
        <w:rPr>
          <w:rFonts w:ascii="Verdana" w:hAnsi="Verdana" w:cs="Verdana"/>
          <w:sz w:val="16"/>
          <w:szCs w:val="16"/>
        </w:rPr>
        <w:t>, nacimiento o cualquier otra condición social</w:t>
      </w:r>
      <w:r>
        <w:rPr>
          <w:rFonts w:ascii="Verdana" w:hAnsi="Verdana" w:cs="Verdana"/>
          <w:sz w:val="16"/>
          <w:szCs w:val="16"/>
        </w:rPr>
        <w:t>”</w:t>
      </w:r>
      <w:r w:rsidRPr="005049A3">
        <w:rPr>
          <w:rFonts w:ascii="Verdana" w:hAnsi="Verdana" w:cs="Verdana"/>
          <w:sz w:val="16"/>
          <w:szCs w:val="16"/>
        </w:rPr>
        <w:t>.</w:t>
      </w:r>
    </w:p>
    <w:p w14:paraId="3F9D861F" w14:textId="77777777" w:rsidR="009D032A" w:rsidRPr="005049A3" w:rsidRDefault="009D032A" w:rsidP="0013659B">
      <w:pPr>
        <w:widowControl w:val="0"/>
        <w:tabs>
          <w:tab w:val="left" w:pos="709"/>
        </w:tabs>
        <w:autoSpaceDE w:val="0"/>
        <w:autoSpaceDN w:val="0"/>
        <w:adjustRightInd w:val="0"/>
        <w:jc w:val="both"/>
        <w:rPr>
          <w:rFonts w:ascii="Verdana" w:hAnsi="Verdana" w:cs="Verdana"/>
          <w:bCs/>
          <w:color w:val="242424"/>
          <w:sz w:val="16"/>
          <w:szCs w:val="16"/>
        </w:rPr>
      </w:pPr>
    </w:p>
  </w:footnote>
  <w:footnote w:id="22">
    <w:p w14:paraId="7D360EB7" w14:textId="48DC6802"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i/>
          <w:lang w:val="es-ES_tradnl"/>
        </w:rPr>
        <w:t xml:space="preserve"> </w:t>
      </w:r>
      <w:r>
        <w:rPr>
          <w:i/>
          <w:lang w:val="es-ES_tradnl"/>
        </w:rPr>
        <w:tab/>
      </w:r>
      <w:r w:rsidRPr="005049A3">
        <w:rPr>
          <w:i/>
          <w:lang w:val="es-ES_tradnl"/>
        </w:rPr>
        <w:t xml:space="preserve">Cfr. </w:t>
      </w:r>
      <w:r w:rsidRPr="005049A3">
        <w:rPr>
          <w:lang w:val="es-ES_tradnl"/>
        </w:rPr>
        <w:t xml:space="preserve">Comité de Derechos Económicos, Sociales y Culturales, Observación General No. 20, </w:t>
      </w:r>
      <w:r w:rsidRPr="005049A3">
        <w:rPr>
          <w:i/>
          <w:lang w:val="es-ES_tradnl"/>
        </w:rPr>
        <w:t>La no discriminación y los derechos económicos, sociales y culturales (artículo 2, párrafo 2 del Pacto Internacional de los Derechos Económicos, Sociales y Culturales)</w:t>
      </w:r>
      <w:r w:rsidRPr="005049A3">
        <w:rPr>
          <w:lang w:val="es-ES_tradnl"/>
        </w:rPr>
        <w:t xml:space="preserve">, 2 de julio de 2009, E/C.12/GC/20, </w:t>
      </w:r>
      <w:r w:rsidRPr="005049A3">
        <w:rPr>
          <w:rFonts w:cs="System Font Regular"/>
          <w:color w:val="16191F"/>
          <w:lang w:val="es-ES_tradnl"/>
        </w:rPr>
        <w:t>párr.</w:t>
      </w:r>
      <w:r>
        <w:rPr>
          <w:rFonts w:cs="System Font Regular"/>
          <w:color w:val="16191F"/>
          <w:lang w:val="es-ES_tradnl"/>
        </w:rPr>
        <w:t xml:space="preserve"> </w:t>
      </w:r>
      <w:r w:rsidRPr="005049A3">
        <w:rPr>
          <w:rFonts w:cs="System Font Regular"/>
          <w:color w:val="16191F"/>
          <w:lang w:val="es-ES_tradnl"/>
        </w:rPr>
        <w:t xml:space="preserve">1. </w:t>
      </w:r>
      <w:r w:rsidRPr="005049A3">
        <w:rPr>
          <w:lang w:val="es-ES_tradnl"/>
        </w:rPr>
        <w:t xml:space="preserve"> </w:t>
      </w:r>
    </w:p>
    <w:p w14:paraId="38CD71BB" w14:textId="77777777" w:rsidR="009D032A" w:rsidRPr="005049A3" w:rsidRDefault="009D032A" w:rsidP="0013659B">
      <w:pPr>
        <w:pStyle w:val="FootnoteText"/>
        <w:tabs>
          <w:tab w:val="left" w:pos="709"/>
        </w:tabs>
        <w:rPr>
          <w:lang w:val="es-ES_tradnl"/>
        </w:rPr>
      </w:pPr>
    </w:p>
  </w:footnote>
  <w:footnote w:id="23">
    <w:p w14:paraId="1468577A" w14:textId="3A8831BD"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i/>
          <w:lang w:val="es-ES_tradnl"/>
        </w:rPr>
        <w:t xml:space="preserve">Cfr. </w:t>
      </w:r>
      <w:r w:rsidRPr="005049A3">
        <w:rPr>
          <w:lang w:val="es-ES_tradnl"/>
        </w:rPr>
        <w:t xml:space="preserve">Comité de Derechos Económicos, Sociales y Culturales, Observación General No. 20, </w:t>
      </w:r>
      <w:r w:rsidRPr="005049A3">
        <w:rPr>
          <w:i/>
          <w:lang w:val="es-ES_tradnl"/>
        </w:rPr>
        <w:t>La no discriminación y los derechos económicos, sociales y culturales (artículo 2, párrafo 2 del Pacto Internacional de los Derechos Económicos, Sociales y Culturales)</w:t>
      </w:r>
      <w:r w:rsidRPr="005049A3">
        <w:rPr>
          <w:lang w:val="es-ES_tradnl"/>
        </w:rPr>
        <w:t xml:space="preserve">, 2 de julio de 2009, E/C.12/GC/20, </w:t>
      </w:r>
      <w:r w:rsidRPr="005049A3">
        <w:rPr>
          <w:rFonts w:cs="System Font Regular"/>
          <w:color w:val="16191F"/>
          <w:lang w:val="es-ES_tradnl"/>
        </w:rPr>
        <w:t>párr. 12.</w:t>
      </w:r>
    </w:p>
  </w:footnote>
  <w:footnote w:id="24">
    <w:p w14:paraId="4558C8FA" w14:textId="77777777" w:rsidR="009D032A" w:rsidRPr="005049A3" w:rsidRDefault="009D032A" w:rsidP="0013659B">
      <w:pPr>
        <w:pStyle w:val="FootnoteText"/>
        <w:tabs>
          <w:tab w:val="left" w:pos="709"/>
        </w:tabs>
        <w:spacing w:after="0"/>
        <w:rPr>
          <w:lang w:val="es-ES_tradnl"/>
        </w:rPr>
      </w:pPr>
    </w:p>
    <w:p w14:paraId="0DC46401" w14:textId="15E8E26D"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i/>
          <w:lang w:val="es-ES_tradnl"/>
        </w:rPr>
        <w:t xml:space="preserve">Cfr. </w:t>
      </w:r>
      <w:r w:rsidRPr="005049A3">
        <w:rPr>
          <w:lang w:val="es-ES_tradnl"/>
        </w:rPr>
        <w:t xml:space="preserve">Comité de Derechos Económicos, Sociales y Culturales, Observación General No. 20, </w:t>
      </w:r>
      <w:r w:rsidRPr="005049A3">
        <w:rPr>
          <w:i/>
          <w:lang w:val="es-ES_tradnl"/>
        </w:rPr>
        <w:t>La no discriminación y los derechos económicos, sociales y culturales (artículo 2, párrafo 2 del Pacto Internacional de los Derechos Económicos, Sociales y Culturales)</w:t>
      </w:r>
      <w:r w:rsidRPr="005049A3">
        <w:rPr>
          <w:lang w:val="es-ES_tradnl"/>
        </w:rPr>
        <w:t xml:space="preserve">, 2 de julio de 2009, E/C.12/GC/20, </w:t>
      </w:r>
      <w:r w:rsidRPr="005049A3">
        <w:rPr>
          <w:rFonts w:cs="System Font Regular"/>
          <w:color w:val="16191F"/>
          <w:lang w:val="es-ES_tradnl"/>
        </w:rPr>
        <w:t xml:space="preserve">párr. </w:t>
      </w:r>
      <w:r w:rsidRPr="005049A3">
        <w:rPr>
          <w:lang w:val="es-ES_tradnl"/>
        </w:rPr>
        <w:t>25.</w:t>
      </w:r>
    </w:p>
    <w:p w14:paraId="7F5CB897" w14:textId="77777777" w:rsidR="009D032A" w:rsidRPr="005049A3" w:rsidRDefault="009D032A" w:rsidP="0013659B">
      <w:pPr>
        <w:pStyle w:val="FootnoteText"/>
        <w:tabs>
          <w:tab w:val="left" w:pos="709"/>
        </w:tabs>
        <w:spacing w:after="0"/>
        <w:rPr>
          <w:lang w:val="es-ES_tradnl"/>
        </w:rPr>
      </w:pPr>
    </w:p>
  </w:footnote>
  <w:footnote w:id="25">
    <w:p w14:paraId="7879ECD9" w14:textId="22431D02" w:rsidR="009D032A" w:rsidRPr="005049A3" w:rsidRDefault="009D032A" w:rsidP="0013659B">
      <w:pPr>
        <w:pStyle w:val="FootnoteText"/>
        <w:tabs>
          <w:tab w:val="left" w:pos="709"/>
        </w:tabs>
        <w:spacing w:after="0"/>
        <w:rPr>
          <w:rFonts w:cs="Times"/>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ONU, Consejo Económico y Social, Comité de Derechos Económicos, Sociales y Culturales, </w:t>
      </w:r>
      <w:r w:rsidRPr="005049A3">
        <w:rPr>
          <w:i/>
          <w:lang w:val="es-ES_tradnl"/>
        </w:rPr>
        <w:t xml:space="preserve">Cuestiones sustantivas que se plantean en la aplicación del Pacto Internacional de Derechos Económicos, Sociales y Culturales: la pobreza y el Pacto Internacional de Derechos Económicos, Sociales y Culturales, </w:t>
      </w:r>
      <w:r w:rsidRPr="005049A3">
        <w:rPr>
          <w:lang w:val="es-ES_tradnl"/>
        </w:rPr>
        <w:t xml:space="preserve">10 de mayo de 2001, </w:t>
      </w:r>
      <w:r w:rsidRPr="005049A3">
        <w:rPr>
          <w:i/>
          <w:lang w:val="es-ES_tradnl"/>
        </w:rPr>
        <w:t xml:space="preserve"> </w:t>
      </w:r>
      <w:r w:rsidRPr="005049A3">
        <w:rPr>
          <w:rFonts w:cs="Times"/>
          <w:lang w:val="es-ES_tradnl"/>
        </w:rPr>
        <w:t>E/C.12/2001/10, párr. 8.</w:t>
      </w:r>
      <w:r w:rsidRPr="005049A3">
        <w:rPr>
          <w:rFonts w:cs="Times"/>
          <w:b/>
          <w:lang w:val="es-ES_tradnl"/>
        </w:rPr>
        <w:t xml:space="preserve"> </w:t>
      </w:r>
    </w:p>
    <w:p w14:paraId="78802E26" w14:textId="77777777" w:rsidR="009D032A" w:rsidRPr="005049A3" w:rsidRDefault="009D032A" w:rsidP="0013659B">
      <w:pPr>
        <w:pStyle w:val="FootnoteText"/>
        <w:tabs>
          <w:tab w:val="left" w:pos="709"/>
        </w:tabs>
        <w:spacing w:after="0"/>
        <w:rPr>
          <w:lang w:val="es-ES_tradnl"/>
        </w:rPr>
      </w:pPr>
    </w:p>
  </w:footnote>
  <w:footnote w:id="26">
    <w:p w14:paraId="6877689B" w14:textId="03BC8C0E" w:rsidR="009D032A" w:rsidRPr="005049A3" w:rsidRDefault="009D032A" w:rsidP="0013659B">
      <w:pPr>
        <w:pStyle w:val="FootnoteText"/>
        <w:tabs>
          <w:tab w:val="left" w:pos="709"/>
        </w:tabs>
        <w:spacing w:after="0"/>
        <w:rPr>
          <w:rFonts w:cs="Times"/>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ONU, Principios Rectores sobre Extrema Pobreza y Derechos Humanos, aprobados por el Consejo de Derechos Humanos, 27 de Septiembre de 2012, Resolución 21/11, principio </w:t>
      </w:r>
      <w:r w:rsidRPr="005049A3">
        <w:rPr>
          <w:rFonts w:cs="Times"/>
          <w:lang w:val="es-ES_tradnl"/>
        </w:rPr>
        <w:t xml:space="preserve">2. </w:t>
      </w:r>
    </w:p>
    <w:p w14:paraId="47F4E570" w14:textId="77777777" w:rsidR="009D032A" w:rsidRPr="005049A3" w:rsidRDefault="009D032A" w:rsidP="0013659B">
      <w:pPr>
        <w:pStyle w:val="FootnoteText"/>
        <w:tabs>
          <w:tab w:val="left" w:pos="709"/>
        </w:tabs>
        <w:spacing w:after="0"/>
        <w:rPr>
          <w:lang w:val="es-ES_tradnl"/>
        </w:rPr>
      </w:pPr>
    </w:p>
  </w:footnote>
  <w:footnote w:id="27">
    <w:p w14:paraId="1912DF71" w14:textId="73559CA5" w:rsidR="009D032A" w:rsidRDefault="009D032A" w:rsidP="0013659B">
      <w:pPr>
        <w:pStyle w:val="FootnoteText"/>
        <w:tabs>
          <w:tab w:val="left" w:pos="709"/>
        </w:tabs>
        <w:spacing w:after="0"/>
        <w:rPr>
          <w:rFonts w:cs="Times"/>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Times"/>
          <w:lang w:val="es-ES_tradnl"/>
        </w:rPr>
        <w:t xml:space="preserve">ONU, Consejo Económico y Social, Subcomisión para la prevención de la discriminación  protección de las minorías, </w:t>
      </w:r>
      <w:r w:rsidRPr="005049A3">
        <w:rPr>
          <w:rFonts w:cs="Times"/>
          <w:i/>
          <w:lang w:val="es-ES_tradnl"/>
        </w:rPr>
        <w:t>La realización de los derechos económicos, sociales y culturales. Reporte final del Relator Especial sobre extrema Pobreza</w:t>
      </w:r>
      <w:r w:rsidRPr="005049A3">
        <w:rPr>
          <w:rFonts w:cs="Times"/>
          <w:lang w:val="es-ES_tradnl"/>
        </w:rPr>
        <w:t>, 28 de junio de 1996,véase E/CN.4/ Sub.2/1996/13, pág. 58.</w:t>
      </w:r>
    </w:p>
    <w:p w14:paraId="3667628C" w14:textId="77777777" w:rsidR="009D032A" w:rsidRPr="005049A3" w:rsidRDefault="009D032A" w:rsidP="0013659B">
      <w:pPr>
        <w:pStyle w:val="FootnoteText"/>
        <w:tabs>
          <w:tab w:val="left" w:pos="709"/>
        </w:tabs>
        <w:spacing w:after="0"/>
        <w:rPr>
          <w:lang w:val="es-ES_tradnl"/>
        </w:rPr>
      </w:pPr>
    </w:p>
  </w:footnote>
  <w:footnote w:id="28">
    <w:p w14:paraId="79AF0C26" w14:textId="373C7166"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ONU, Principios Rectores sobre Extrema Pobreza y Derechos Humanos, aprobados por el Consejo de Derechos Humanos, 27 de Septiembre de 2012, Resolución 21/11, principios 3 y 4.</w:t>
      </w:r>
    </w:p>
    <w:p w14:paraId="4B71FE32" w14:textId="77777777" w:rsidR="009D032A" w:rsidRPr="005049A3" w:rsidRDefault="009D032A" w:rsidP="0013659B">
      <w:pPr>
        <w:pStyle w:val="FootnoteText"/>
        <w:tabs>
          <w:tab w:val="left" w:pos="709"/>
        </w:tabs>
        <w:spacing w:after="0"/>
        <w:rPr>
          <w:lang w:val="es-ES_tradnl"/>
        </w:rPr>
      </w:pPr>
    </w:p>
  </w:footnote>
  <w:footnote w:id="29">
    <w:p w14:paraId="6F31AFAF" w14:textId="4D30A5A0" w:rsidR="009D032A" w:rsidRPr="005049A3" w:rsidRDefault="009D032A" w:rsidP="0013659B">
      <w:pPr>
        <w:pStyle w:val="ListParagraph"/>
        <w:widowControl w:val="0"/>
        <w:tabs>
          <w:tab w:val="left" w:pos="709"/>
        </w:tabs>
        <w:autoSpaceDE w:val="0"/>
        <w:autoSpaceDN w:val="0"/>
        <w:adjustRightInd w:val="0"/>
        <w:ind w:left="0"/>
        <w:rPr>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sidRPr="005049A3">
        <w:rPr>
          <w:sz w:val="16"/>
          <w:szCs w:val="16"/>
          <w:lang w:val="es-ES_tradnl"/>
        </w:rPr>
        <w:t xml:space="preserve">ONU, Consejo de Derechos Humanos, Informe </w:t>
      </w:r>
      <w:r>
        <w:rPr>
          <w:sz w:val="16"/>
          <w:szCs w:val="16"/>
          <w:lang w:val="es-ES_tradnl"/>
        </w:rPr>
        <w:t xml:space="preserve">de </w:t>
      </w:r>
      <w:r w:rsidRPr="005049A3">
        <w:rPr>
          <w:sz w:val="16"/>
          <w:szCs w:val="16"/>
          <w:lang w:val="es-ES_tradnl"/>
        </w:rPr>
        <w:t xml:space="preserve">la Relatora Especial sobre la extrema pobreza y los derechos humanos, </w:t>
      </w:r>
      <w:r w:rsidRPr="005049A3">
        <w:rPr>
          <w:rFonts w:cs="Times"/>
          <w:sz w:val="16"/>
          <w:szCs w:val="16"/>
          <w:lang w:val="es-ES_tradnl"/>
        </w:rPr>
        <w:t>11 de marzo de 2013</w:t>
      </w:r>
      <w:r w:rsidRPr="005049A3">
        <w:rPr>
          <w:sz w:val="16"/>
          <w:szCs w:val="16"/>
          <w:lang w:val="es-ES_tradnl"/>
        </w:rPr>
        <w:t xml:space="preserve">, </w:t>
      </w:r>
      <w:r w:rsidRPr="005049A3">
        <w:rPr>
          <w:rFonts w:cs="Times"/>
          <w:sz w:val="16"/>
          <w:szCs w:val="16"/>
          <w:lang w:val="es-ES_tradnl"/>
        </w:rPr>
        <w:t xml:space="preserve">A/HRC/23/36 párr. 42. </w:t>
      </w:r>
    </w:p>
    <w:p w14:paraId="602DBF83" w14:textId="77777777" w:rsidR="009D032A" w:rsidRPr="005049A3" w:rsidRDefault="009D032A" w:rsidP="0013659B">
      <w:pPr>
        <w:pStyle w:val="FootnoteText"/>
        <w:tabs>
          <w:tab w:val="left" w:pos="709"/>
        </w:tabs>
        <w:spacing w:after="0"/>
        <w:rPr>
          <w:lang w:val="es-ES_tradnl"/>
        </w:rPr>
      </w:pPr>
    </w:p>
  </w:footnote>
  <w:footnote w:id="30">
    <w:p w14:paraId="556CA7DA" w14:textId="5E4EBAB3" w:rsidR="009D032A" w:rsidRPr="005049A3" w:rsidRDefault="009D032A" w:rsidP="0013659B">
      <w:pPr>
        <w:widowControl w:val="0"/>
        <w:tabs>
          <w:tab w:val="left" w:pos="709"/>
        </w:tabs>
        <w:autoSpaceDE w:val="0"/>
        <w:autoSpaceDN w:val="0"/>
        <w:adjustRightInd w:val="0"/>
        <w:jc w:val="both"/>
        <w:rPr>
          <w:rFonts w:ascii="Verdana" w:hAnsi="Verdana" w:cs="Times"/>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sidRPr="005049A3">
        <w:rPr>
          <w:rFonts w:ascii="Verdana" w:hAnsi="Verdana"/>
          <w:sz w:val="16"/>
          <w:szCs w:val="16"/>
        </w:rPr>
        <w:tab/>
      </w:r>
      <w:r w:rsidRPr="005049A3">
        <w:rPr>
          <w:rFonts w:ascii="Verdana" w:hAnsi="Verdana" w:cs="Times New Roman"/>
          <w:sz w:val="16"/>
          <w:szCs w:val="16"/>
        </w:rPr>
        <w:t>La Relatora Especial sobre la trata de personas, especialmente las mujeres y niños ha puesto en manifiesto que la pobreza es un factor importante de v</w:t>
      </w:r>
      <w:r>
        <w:rPr>
          <w:rFonts w:ascii="Verdana" w:hAnsi="Verdana" w:cs="Times New Roman"/>
          <w:sz w:val="16"/>
          <w:szCs w:val="16"/>
        </w:rPr>
        <w:t>ulnerabilidad de las personas ví</w:t>
      </w:r>
      <w:r w:rsidRPr="005049A3">
        <w:rPr>
          <w:rFonts w:ascii="Verdana" w:hAnsi="Verdana" w:cs="Times New Roman"/>
          <w:sz w:val="16"/>
          <w:szCs w:val="16"/>
        </w:rPr>
        <w:t>ctimas de trata</w:t>
      </w:r>
      <w:r>
        <w:rPr>
          <w:rFonts w:ascii="Verdana" w:hAnsi="Verdana" w:cs="Times New Roman"/>
          <w:sz w:val="16"/>
          <w:szCs w:val="16"/>
        </w:rPr>
        <w:t>.</w:t>
      </w:r>
      <w:r w:rsidRPr="005049A3">
        <w:rPr>
          <w:rFonts w:ascii="Verdana" w:hAnsi="Verdana"/>
          <w:sz w:val="16"/>
          <w:szCs w:val="16"/>
        </w:rPr>
        <w:t xml:space="preserve"> </w:t>
      </w:r>
      <w:r w:rsidRPr="008E3830">
        <w:rPr>
          <w:rFonts w:ascii="Verdana" w:hAnsi="Verdana"/>
          <w:i/>
          <w:sz w:val="16"/>
          <w:szCs w:val="16"/>
        </w:rPr>
        <w:t>Cfr.</w:t>
      </w:r>
      <w:r w:rsidRPr="005049A3">
        <w:rPr>
          <w:rFonts w:ascii="Verdana" w:hAnsi="Verdana"/>
          <w:sz w:val="16"/>
          <w:szCs w:val="16"/>
        </w:rPr>
        <w:t xml:space="preserve"> </w:t>
      </w:r>
      <w:r w:rsidRPr="00040619">
        <w:rPr>
          <w:rFonts w:ascii="Verdana" w:hAnsi="Verdana"/>
          <w:i/>
          <w:sz w:val="16"/>
          <w:szCs w:val="16"/>
        </w:rPr>
        <w:t xml:space="preserve">ONU, </w:t>
      </w:r>
      <w:r w:rsidRPr="00040619">
        <w:rPr>
          <w:rFonts w:ascii="Verdana" w:hAnsi="Verdana" w:cs="Times New Roman"/>
          <w:i/>
          <w:sz w:val="16"/>
          <w:szCs w:val="16"/>
        </w:rPr>
        <w:t>Relatora Especial sobre la trata de personas, especialmente las mujeres y niños</w:t>
      </w:r>
      <w:r>
        <w:rPr>
          <w:rFonts w:ascii="Verdana" w:hAnsi="Verdana" w:cs="Times New Roman"/>
          <w:i/>
          <w:sz w:val="16"/>
          <w:szCs w:val="16"/>
        </w:rPr>
        <w:t>,</w:t>
      </w:r>
      <w:r w:rsidRPr="00040619">
        <w:rPr>
          <w:rFonts w:ascii="Verdana" w:hAnsi="Verdana" w:cs="Times New Roman"/>
          <w:i/>
          <w:sz w:val="16"/>
          <w:szCs w:val="16"/>
        </w:rPr>
        <w:t xml:space="preserve"> </w:t>
      </w:r>
      <w:proofErr w:type="spellStart"/>
      <w:r w:rsidRPr="00040619">
        <w:rPr>
          <w:rFonts w:ascii="Verdana" w:hAnsi="Verdana" w:cs="Times New Roman"/>
          <w:sz w:val="16"/>
          <w:szCs w:val="16"/>
        </w:rPr>
        <w:t>Joy</w:t>
      </w:r>
      <w:proofErr w:type="spellEnd"/>
      <w:r w:rsidRPr="00040619">
        <w:rPr>
          <w:rFonts w:ascii="Verdana" w:hAnsi="Verdana" w:cs="Times New Roman"/>
          <w:sz w:val="16"/>
          <w:szCs w:val="16"/>
        </w:rPr>
        <w:t xml:space="preserve"> </w:t>
      </w:r>
      <w:proofErr w:type="spellStart"/>
      <w:r w:rsidRPr="00040619">
        <w:rPr>
          <w:rFonts w:ascii="Verdana" w:hAnsi="Verdana" w:cs="Times New Roman"/>
          <w:sz w:val="16"/>
          <w:szCs w:val="16"/>
        </w:rPr>
        <w:t>Ngozi</w:t>
      </w:r>
      <w:proofErr w:type="spellEnd"/>
      <w:r w:rsidRPr="00040619">
        <w:rPr>
          <w:rFonts w:ascii="Verdana" w:hAnsi="Verdana" w:cs="Times New Roman"/>
          <w:sz w:val="16"/>
          <w:szCs w:val="16"/>
        </w:rPr>
        <w:t xml:space="preserve"> </w:t>
      </w:r>
      <w:proofErr w:type="spellStart"/>
      <w:r w:rsidRPr="00040619">
        <w:rPr>
          <w:rFonts w:ascii="Verdana" w:hAnsi="Verdana" w:cs="Times New Roman"/>
          <w:sz w:val="16"/>
          <w:szCs w:val="16"/>
        </w:rPr>
        <w:t>Ezeilo</w:t>
      </w:r>
      <w:proofErr w:type="spellEnd"/>
      <w:r w:rsidRPr="00040619">
        <w:rPr>
          <w:rFonts w:ascii="Verdana" w:hAnsi="Verdana" w:cs="Times New Roman"/>
          <w:sz w:val="16"/>
          <w:szCs w:val="16"/>
        </w:rPr>
        <w:t>,</w:t>
      </w:r>
      <w:r w:rsidRPr="005049A3">
        <w:rPr>
          <w:rFonts w:ascii="Verdana" w:hAnsi="Verdana" w:cs="Times New Roman"/>
          <w:sz w:val="16"/>
          <w:szCs w:val="16"/>
        </w:rPr>
        <w:t xml:space="preserve"> 6 de agosto de 2014, A/69/269, párr.12. </w:t>
      </w:r>
    </w:p>
    <w:p w14:paraId="44703056" w14:textId="77777777" w:rsidR="009D032A" w:rsidRPr="005049A3" w:rsidRDefault="009D032A" w:rsidP="0013659B">
      <w:pPr>
        <w:pStyle w:val="FootnoteText"/>
        <w:tabs>
          <w:tab w:val="left" w:pos="709"/>
        </w:tabs>
        <w:spacing w:after="0"/>
        <w:rPr>
          <w:lang w:val="es-ES_tradnl"/>
        </w:rPr>
      </w:pPr>
    </w:p>
  </w:footnote>
  <w:footnote w:id="31">
    <w:p w14:paraId="2D3614F7" w14:textId="45270DC7" w:rsidR="009D032A" w:rsidRPr="005049A3" w:rsidRDefault="009D032A" w:rsidP="0013659B">
      <w:pPr>
        <w:widowControl w:val="0"/>
        <w:tabs>
          <w:tab w:val="left" w:pos="709"/>
        </w:tabs>
        <w:autoSpaceDE w:val="0"/>
        <w:autoSpaceDN w:val="0"/>
        <w:adjustRightInd w:val="0"/>
        <w:jc w:val="both"/>
        <w:rPr>
          <w:rFonts w:ascii="Verdana" w:hAnsi="Verdana" w:cs="Times"/>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cs="Times New Roman"/>
          <w:sz w:val="16"/>
          <w:szCs w:val="16"/>
        </w:rPr>
        <w:t>En cuanto a</w:t>
      </w:r>
      <w:r>
        <w:rPr>
          <w:rFonts w:ascii="Verdana" w:hAnsi="Verdana" w:cs="Times New Roman"/>
          <w:sz w:val="16"/>
          <w:szCs w:val="16"/>
        </w:rPr>
        <w:t>l</w:t>
      </w:r>
      <w:r w:rsidRPr="005049A3">
        <w:rPr>
          <w:rFonts w:ascii="Verdana" w:hAnsi="Verdana" w:cs="Times New Roman"/>
          <w:sz w:val="16"/>
          <w:szCs w:val="16"/>
        </w:rPr>
        <w:t xml:space="preserve"> Relator sobre el derecho al agua, han expresado que los Estados deben cumplir sus obligaciones de derechos humanos relacionadas con el saneamiento de forma no discriminatoria. Están obligados en este sentido, a prestar atención a los grupos particularmente vulnerables a la exclusión y a la discriminación en relación con el saneamiento, entre otros, </w:t>
      </w:r>
      <w:r w:rsidRPr="005049A3">
        <w:rPr>
          <w:rFonts w:ascii="Verdana" w:hAnsi="Verdana" w:cs="Times New Roman"/>
          <w:i/>
          <w:sz w:val="16"/>
          <w:szCs w:val="16"/>
        </w:rPr>
        <w:t>las personas que viven en la pobreza</w:t>
      </w:r>
      <w:r w:rsidRPr="005049A3">
        <w:rPr>
          <w:rFonts w:ascii="Verdana" w:hAnsi="Verdana" w:cs="Times New Roman"/>
          <w:sz w:val="16"/>
          <w:szCs w:val="16"/>
        </w:rPr>
        <w:t xml:space="preserve"> […]. Se debe dar prioridad a satisfacer las necesidades de estos grupos y, en caso necesario, se deben adoptar medidas positivas para corregir la discriminación existente y garantizar el acceso a los servicios de saneamiento. De esta manera, los Estados están obligados a eliminar la discriminación </w:t>
      </w:r>
      <w:r w:rsidRPr="005049A3">
        <w:rPr>
          <w:rFonts w:ascii="Verdana" w:hAnsi="Verdana" w:cs="Times New Roman"/>
          <w:i/>
          <w:sz w:val="16"/>
          <w:szCs w:val="16"/>
        </w:rPr>
        <w:t xml:space="preserve">de jure y de facto </w:t>
      </w:r>
      <w:r w:rsidRPr="005049A3">
        <w:rPr>
          <w:rFonts w:ascii="Verdana" w:hAnsi="Verdana" w:cs="Times New Roman"/>
          <w:sz w:val="16"/>
          <w:szCs w:val="16"/>
        </w:rPr>
        <w:t xml:space="preserve">por diversos motivos. </w:t>
      </w:r>
      <w:r w:rsidRPr="00040619">
        <w:rPr>
          <w:rFonts w:ascii="Verdana" w:hAnsi="Verdana"/>
          <w:i/>
          <w:sz w:val="16"/>
          <w:szCs w:val="16"/>
        </w:rPr>
        <w:t>Cfr. ONU, Consejo de Derechos Humanos, Informe de la Experta independiente sobre la cuestión de las obligaciones de derechos humanos relacionadas con el Acceso al agua potable y el saneamiento</w:t>
      </w:r>
      <w:r w:rsidRPr="005049A3">
        <w:rPr>
          <w:rFonts w:ascii="Verdana" w:hAnsi="Verdana"/>
          <w:sz w:val="16"/>
          <w:szCs w:val="16"/>
        </w:rPr>
        <w:t xml:space="preserve">, Catarina </w:t>
      </w:r>
      <w:proofErr w:type="spellStart"/>
      <w:r w:rsidRPr="005049A3">
        <w:rPr>
          <w:rFonts w:ascii="Verdana" w:hAnsi="Verdana"/>
          <w:sz w:val="16"/>
          <w:szCs w:val="16"/>
        </w:rPr>
        <w:t>Alburqueque</w:t>
      </w:r>
      <w:proofErr w:type="spellEnd"/>
      <w:r w:rsidRPr="005049A3">
        <w:rPr>
          <w:rFonts w:ascii="Verdana" w:hAnsi="Verdana"/>
          <w:sz w:val="16"/>
          <w:szCs w:val="16"/>
        </w:rPr>
        <w:t xml:space="preserve">, 1 de julio de 2009, </w:t>
      </w:r>
      <w:r w:rsidRPr="005049A3">
        <w:rPr>
          <w:rFonts w:ascii="Verdana" w:hAnsi="Verdana" w:cs="Times"/>
          <w:sz w:val="16"/>
          <w:szCs w:val="16"/>
        </w:rPr>
        <w:t>A/HRC/12/24, párr.</w:t>
      </w:r>
      <w:r>
        <w:rPr>
          <w:rFonts w:ascii="Verdana" w:hAnsi="Verdana" w:cs="Times"/>
          <w:sz w:val="16"/>
          <w:szCs w:val="16"/>
        </w:rPr>
        <w:t xml:space="preserve"> </w:t>
      </w:r>
      <w:r w:rsidRPr="005049A3">
        <w:rPr>
          <w:rFonts w:ascii="Verdana" w:hAnsi="Verdana" w:cs="Times"/>
          <w:sz w:val="16"/>
          <w:szCs w:val="16"/>
        </w:rPr>
        <w:t xml:space="preserve">65. </w:t>
      </w:r>
    </w:p>
    <w:p w14:paraId="0ECF09BF" w14:textId="77777777" w:rsidR="009D032A" w:rsidRPr="005049A3" w:rsidRDefault="009D032A" w:rsidP="0013659B">
      <w:pPr>
        <w:pStyle w:val="FootnoteText"/>
        <w:tabs>
          <w:tab w:val="left" w:pos="709"/>
        </w:tabs>
        <w:spacing w:after="0"/>
        <w:rPr>
          <w:lang w:val="es-ES_tradnl"/>
        </w:rPr>
      </w:pPr>
    </w:p>
  </w:footnote>
  <w:footnote w:id="32">
    <w:p w14:paraId="37B598D6" w14:textId="064864C3"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Times New Roman"/>
          <w:lang w:val="es-ES_tradnl"/>
        </w:rPr>
        <w:t>La Relatora sobre Defensoras y Defensores de Derechos Humanos ha expresado que</w:t>
      </w:r>
      <w:r>
        <w:rPr>
          <w:rFonts w:cs="Times New Roman"/>
          <w:lang w:val="es-ES_tradnl"/>
        </w:rPr>
        <w:t>,</w:t>
      </w:r>
      <w:r w:rsidRPr="005049A3">
        <w:rPr>
          <w:rFonts w:cs="Times New Roman"/>
          <w:lang w:val="es-ES_tradnl"/>
        </w:rPr>
        <w:t xml:space="preserve"> sobre la cuestión sobre defensores de los derechos humanos</w:t>
      </w:r>
      <w:r>
        <w:rPr>
          <w:rFonts w:cs="Times New Roman"/>
          <w:lang w:val="es-ES_tradnl"/>
        </w:rPr>
        <w:t>,</w:t>
      </w:r>
      <w:r w:rsidRPr="005049A3">
        <w:rPr>
          <w:rFonts w:cs="Times New Roman"/>
          <w:lang w:val="es-ES_tradnl"/>
        </w:rPr>
        <w:t xml:space="preserve"> se ha informado acerca de los riesgos que afronta</w:t>
      </w:r>
      <w:r>
        <w:rPr>
          <w:rFonts w:cs="Times New Roman"/>
          <w:lang w:val="es-ES_tradnl"/>
        </w:rPr>
        <w:t>n</w:t>
      </w:r>
      <w:r w:rsidRPr="005049A3">
        <w:rPr>
          <w:rFonts w:cs="Times New Roman"/>
          <w:lang w:val="es-ES_tradnl"/>
        </w:rPr>
        <w:t xml:space="preserve"> los defensores de derechos humanos de las comunidades locales, </w:t>
      </w:r>
      <w:r w:rsidRPr="000C2F0F">
        <w:rPr>
          <w:rFonts w:cs="Times New Roman"/>
          <w:lang w:val="es-ES_tradnl"/>
        </w:rPr>
        <w:t>incluidos,</w:t>
      </w:r>
      <w:r w:rsidRPr="005049A3">
        <w:rPr>
          <w:rFonts w:cs="Times New Roman"/>
          <w:i/>
          <w:lang w:val="es-ES_tradnl"/>
        </w:rPr>
        <w:t xml:space="preserve"> </w:t>
      </w:r>
      <w:r w:rsidRPr="005049A3">
        <w:rPr>
          <w:rFonts w:cs="Times New Roman"/>
          <w:lang w:val="es-ES_tradnl"/>
        </w:rPr>
        <w:t xml:space="preserve">los pueblos indígenas, las minorías y </w:t>
      </w:r>
      <w:r w:rsidRPr="005049A3">
        <w:rPr>
          <w:rFonts w:cs="Times New Roman"/>
          <w:i/>
          <w:lang w:val="es-ES_tradnl"/>
        </w:rPr>
        <w:t xml:space="preserve">las personas que viven en condiciones de pobreza. </w:t>
      </w:r>
      <w:r w:rsidRPr="00245DB0">
        <w:rPr>
          <w:lang w:val="es-ES_tradnl"/>
        </w:rPr>
        <w:t>ONU</w:t>
      </w:r>
      <w:r w:rsidRPr="00040619">
        <w:rPr>
          <w:i/>
          <w:lang w:val="es-ES_tradnl"/>
        </w:rPr>
        <w:t>, Informe de la Relatora Especial sobre la situación de defensores de los derechos humanos</w:t>
      </w:r>
      <w:r>
        <w:rPr>
          <w:lang w:val="es-ES_tradnl"/>
        </w:rPr>
        <w:t xml:space="preserve">, Margaret </w:t>
      </w:r>
      <w:proofErr w:type="spellStart"/>
      <w:r>
        <w:rPr>
          <w:lang w:val="es-ES_tradnl"/>
        </w:rPr>
        <w:t>Sekkagya</w:t>
      </w:r>
      <w:proofErr w:type="spellEnd"/>
      <w:r w:rsidRPr="005049A3">
        <w:rPr>
          <w:lang w:val="es-ES_tradnl"/>
        </w:rPr>
        <w:t xml:space="preserve">, 5 de agosto de 2013, A/69/262, párr. 15. </w:t>
      </w:r>
    </w:p>
    <w:p w14:paraId="4CB52946" w14:textId="77777777" w:rsidR="009D032A" w:rsidRPr="005049A3" w:rsidRDefault="009D032A" w:rsidP="0013659B">
      <w:pPr>
        <w:pStyle w:val="FootnoteText"/>
        <w:tabs>
          <w:tab w:val="left" w:pos="709"/>
        </w:tabs>
        <w:spacing w:after="0"/>
        <w:rPr>
          <w:lang w:val="es-ES_tradnl"/>
        </w:rPr>
      </w:pPr>
    </w:p>
  </w:footnote>
  <w:footnote w:id="33">
    <w:p w14:paraId="5CFD52F8" w14:textId="3C8BE4BE"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Pr>
          <w:rFonts w:cs="Times New Roman"/>
          <w:lang w:val="es-ES_tradnl"/>
        </w:rPr>
        <w:t>E</w:t>
      </w:r>
      <w:r w:rsidRPr="005049A3">
        <w:rPr>
          <w:rFonts w:cs="Times New Roman"/>
          <w:lang w:val="es-ES_tradnl"/>
        </w:rPr>
        <w:t xml:space="preserve">l Relator Especial sobre el Derecho a la Educación ha manifestado que se debe asegurar la disponibilidad de recursos específicos para abordar las causas básicas de la exclusión de la educación de las niñas, </w:t>
      </w:r>
      <w:r w:rsidRPr="005049A3">
        <w:rPr>
          <w:rFonts w:cs="Times New Roman"/>
          <w:i/>
          <w:lang w:val="es-ES_tradnl"/>
        </w:rPr>
        <w:t>los que viven en la pobreza</w:t>
      </w:r>
      <w:r w:rsidRPr="005049A3">
        <w:rPr>
          <w:rFonts w:cs="Times New Roman"/>
          <w:lang w:val="es-ES_tradnl"/>
        </w:rPr>
        <w:t xml:space="preserve"> o con discapacidades, las minorías étnicas y lingüísticas, los migrantes y otros grupos marginados y desventajados.</w:t>
      </w:r>
      <w:r w:rsidRPr="005049A3">
        <w:rPr>
          <w:lang w:val="es-ES_tradnl"/>
        </w:rPr>
        <w:t xml:space="preserve"> ONU, </w:t>
      </w:r>
      <w:r w:rsidRPr="005049A3">
        <w:rPr>
          <w:i/>
          <w:lang w:val="es-ES_tradnl"/>
        </w:rPr>
        <w:t xml:space="preserve">Informe del Relator Especial </w:t>
      </w:r>
      <w:r>
        <w:rPr>
          <w:i/>
          <w:lang w:val="es-ES_tradnl"/>
        </w:rPr>
        <w:t xml:space="preserve">sobre el Derecho a la Educación, </w:t>
      </w:r>
      <w:proofErr w:type="spellStart"/>
      <w:r w:rsidRPr="005F6263">
        <w:rPr>
          <w:lang w:val="es-ES_tradnl"/>
        </w:rPr>
        <w:t>Kishore</w:t>
      </w:r>
      <w:proofErr w:type="spellEnd"/>
      <w:r w:rsidRPr="005F6263">
        <w:rPr>
          <w:lang w:val="es-ES_tradnl"/>
        </w:rPr>
        <w:t xml:space="preserve"> Singh</w:t>
      </w:r>
      <w:r w:rsidRPr="005049A3">
        <w:rPr>
          <w:lang w:val="es-ES_tradnl"/>
        </w:rPr>
        <w:t xml:space="preserve">, 5 de agosto de 2011, A/66/269, párr. 47. </w:t>
      </w:r>
    </w:p>
    <w:p w14:paraId="7D64ED8D" w14:textId="77777777" w:rsidR="009D032A" w:rsidRPr="005049A3" w:rsidRDefault="009D032A" w:rsidP="0013659B">
      <w:pPr>
        <w:pStyle w:val="FootnoteText"/>
        <w:tabs>
          <w:tab w:val="left" w:pos="709"/>
        </w:tabs>
        <w:spacing w:after="0"/>
        <w:rPr>
          <w:lang w:val="es-ES_tradnl"/>
        </w:rPr>
      </w:pPr>
    </w:p>
  </w:footnote>
  <w:footnote w:id="34">
    <w:p w14:paraId="4E673E63" w14:textId="20C79082" w:rsidR="009D032A" w:rsidRPr="005049A3" w:rsidRDefault="009D032A" w:rsidP="0013659B">
      <w:pPr>
        <w:widowControl w:val="0"/>
        <w:tabs>
          <w:tab w:val="left" w:pos="709"/>
        </w:tabs>
        <w:autoSpaceDE w:val="0"/>
        <w:autoSpaceDN w:val="0"/>
        <w:adjustRightInd w:val="0"/>
        <w:jc w:val="both"/>
        <w:rPr>
          <w:rFonts w:ascii="Verdana" w:hAnsi="Verdana"/>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245DB0">
        <w:rPr>
          <w:rFonts w:ascii="Verdana" w:hAnsi="Verdana" w:cs="Times New Roman"/>
          <w:sz w:val="16"/>
          <w:szCs w:val="16"/>
        </w:rPr>
        <w:t>El Relator Especial sobre la cuestión de las obligaciones de derechos humanos relacionadas con el disfrute de un medio ambiente sin riesgos, limpio, saludable y sostenible expresó que</w:t>
      </w:r>
      <w:r>
        <w:rPr>
          <w:rFonts w:ascii="Verdana" w:hAnsi="Verdana" w:cs="Times New Roman"/>
          <w:sz w:val="16"/>
          <w:szCs w:val="16"/>
        </w:rPr>
        <w:t>,</w:t>
      </w:r>
      <w:r w:rsidRPr="00245DB0">
        <w:rPr>
          <w:rFonts w:ascii="Verdana" w:hAnsi="Verdana" w:cs="Times New Roman"/>
          <w:sz w:val="16"/>
          <w:szCs w:val="16"/>
        </w:rPr>
        <w:t xml:space="preserve"> como ha reconocido el Consejo de Derechos Humanos, quienes ya son vulnerables debido a factores tales como la situación geográfica, la pobreza, el género, la edad, la condición de indígena o minoría, el origen nacional o social, el nacimiento o cualquier otra condición social y la discapacidad sufren</w:t>
      </w:r>
      <w:r w:rsidRPr="005049A3">
        <w:rPr>
          <w:rFonts w:ascii="Verdana" w:hAnsi="Verdana" w:cs="Times New Roman"/>
          <w:sz w:val="16"/>
          <w:szCs w:val="16"/>
        </w:rPr>
        <w:t xml:space="preserve"> los peores efectos del cambio climático</w:t>
      </w:r>
      <w:r w:rsidRPr="005049A3">
        <w:rPr>
          <w:rFonts w:ascii="Verdana" w:hAnsi="Verdana"/>
          <w:sz w:val="16"/>
          <w:szCs w:val="16"/>
        </w:rPr>
        <w:t xml:space="preserve">. ONU, </w:t>
      </w:r>
      <w:r w:rsidRPr="005049A3">
        <w:rPr>
          <w:rFonts w:ascii="Verdana" w:hAnsi="Verdana"/>
          <w:i/>
          <w:sz w:val="16"/>
          <w:szCs w:val="16"/>
        </w:rPr>
        <w:t xml:space="preserve">Informe del </w:t>
      </w:r>
      <w:r w:rsidRPr="005049A3">
        <w:rPr>
          <w:rFonts w:ascii="Verdana" w:hAnsi="Verdana" w:cs="Times New Roman"/>
          <w:i/>
          <w:sz w:val="16"/>
          <w:szCs w:val="16"/>
        </w:rPr>
        <w:t>Relator Especial sobre la cuestión de las obligaciones de derechos humanos relacionadas con el disfrute de un medio ambiente sin riesgos, limpio, saludable y sostenible</w:t>
      </w:r>
      <w:r>
        <w:rPr>
          <w:rFonts w:ascii="Verdana" w:hAnsi="Verdana" w:cs="Times New Roman"/>
          <w:i/>
          <w:sz w:val="16"/>
          <w:szCs w:val="16"/>
        </w:rPr>
        <w:t>,</w:t>
      </w:r>
      <w:r w:rsidRPr="005049A3">
        <w:rPr>
          <w:rFonts w:ascii="Verdana" w:hAnsi="Verdana" w:cs="Times New Roman"/>
          <w:i/>
          <w:sz w:val="16"/>
          <w:szCs w:val="16"/>
        </w:rPr>
        <w:t xml:space="preserve"> </w:t>
      </w:r>
      <w:proofErr w:type="spellStart"/>
      <w:r w:rsidRPr="005F6263">
        <w:rPr>
          <w:rFonts w:ascii="Verdana" w:hAnsi="Verdana" w:cs="Times New Roman"/>
          <w:sz w:val="16"/>
          <w:szCs w:val="16"/>
        </w:rPr>
        <w:t>Jhon</w:t>
      </w:r>
      <w:proofErr w:type="spellEnd"/>
      <w:r w:rsidRPr="005F6263">
        <w:rPr>
          <w:rFonts w:ascii="Verdana" w:hAnsi="Verdana" w:cs="Times New Roman"/>
          <w:sz w:val="16"/>
          <w:szCs w:val="16"/>
        </w:rPr>
        <w:t xml:space="preserve"> H. Knox</w:t>
      </w:r>
      <w:r>
        <w:rPr>
          <w:rFonts w:ascii="Verdana" w:hAnsi="Verdana"/>
          <w:sz w:val="16"/>
          <w:szCs w:val="16"/>
        </w:rPr>
        <w:t xml:space="preserve">, </w:t>
      </w:r>
      <w:r w:rsidRPr="005049A3">
        <w:rPr>
          <w:rFonts w:ascii="Verdana" w:hAnsi="Verdana"/>
          <w:sz w:val="16"/>
          <w:szCs w:val="16"/>
        </w:rPr>
        <w:t>1 de febrero de 2016</w:t>
      </w:r>
      <w:r w:rsidRPr="005049A3">
        <w:rPr>
          <w:rFonts w:ascii="Verdana" w:hAnsi="Verdana" w:cs="Times New Roman"/>
          <w:sz w:val="16"/>
          <w:szCs w:val="16"/>
        </w:rPr>
        <w:t xml:space="preserve"> A/HRC/31/52 </w:t>
      </w:r>
      <w:r w:rsidRPr="005049A3">
        <w:rPr>
          <w:rFonts w:ascii="Verdana" w:hAnsi="Verdana"/>
          <w:sz w:val="16"/>
          <w:szCs w:val="16"/>
        </w:rPr>
        <w:t>, párr. 27.</w:t>
      </w:r>
    </w:p>
  </w:footnote>
  <w:footnote w:id="35">
    <w:p w14:paraId="275D15C5" w14:textId="77777777" w:rsidR="009D032A" w:rsidRPr="005049A3" w:rsidRDefault="009D032A" w:rsidP="0013659B">
      <w:pPr>
        <w:pStyle w:val="FootnoteText"/>
        <w:tabs>
          <w:tab w:val="left" w:pos="709"/>
        </w:tabs>
        <w:spacing w:after="0"/>
        <w:rPr>
          <w:lang w:val="es-ES_tradnl"/>
        </w:rPr>
      </w:pPr>
    </w:p>
    <w:p w14:paraId="3918E0A3" w14:textId="224E3BAC"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Pr>
          <w:rFonts w:cs="Times New Roman"/>
          <w:lang w:val="es-ES_tradnl"/>
        </w:rPr>
        <w:tab/>
      </w:r>
      <w:r>
        <w:rPr>
          <w:rFonts w:cs="Times New Roman"/>
          <w:lang w:val="es-ES_tradnl"/>
        </w:rPr>
        <w:tab/>
      </w:r>
      <w:r w:rsidRPr="005049A3">
        <w:rPr>
          <w:rFonts w:cs="Times New Roman"/>
          <w:lang w:val="es-ES_tradnl"/>
        </w:rPr>
        <w:t xml:space="preserve">La Relatora Especial sobre el derecho a una vivienda adecuada se ha pronunciado en el sentido de señalar que la desigualdad en el acceso a la tierra y la propiedad, que afecta a los grupos marginados (incluidos mujeres, migrantes </w:t>
      </w:r>
      <w:r w:rsidRPr="005049A3">
        <w:rPr>
          <w:rFonts w:cs="Times New Roman"/>
          <w:i/>
          <w:lang w:val="es-ES_tradnl"/>
        </w:rPr>
        <w:t>y todas las personas que viven situación de pobreza</w:t>
      </w:r>
      <w:r w:rsidRPr="005049A3">
        <w:rPr>
          <w:rFonts w:cs="Times New Roman"/>
          <w:lang w:val="es-ES_tradnl"/>
        </w:rPr>
        <w:t>), ha quedado plasmada en la desigualdad en materia de vivienda y la segregación especial, lo que ha divido a las ciudades entre los que poseen tierras y propiedades, y tienen acceso a la infraestructura y los servicios básicos, y los que no</w:t>
      </w:r>
      <w:r w:rsidRPr="005049A3">
        <w:rPr>
          <w:lang w:val="es-ES_tradnl"/>
        </w:rPr>
        <w:t xml:space="preserve">. </w:t>
      </w:r>
      <w:r w:rsidRPr="00040619">
        <w:rPr>
          <w:i/>
          <w:lang w:val="es-ES_tradnl"/>
        </w:rPr>
        <w:t>ONU, Informe de la Relatora Especial sobre la vivienda adecuada como elemento integrante del derecho a un nivel de vida adecuado y sobre el derecho a la no discriminación</w:t>
      </w:r>
      <w:r>
        <w:rPr>
          <w:lang w:val="es-ES_tradnl"/>
        </w:rPr>
        <w:t xml:space="preserve">, </w:t>
      </w:r>
      <w:proofErr w:type="spellStart"/>
      <w:r w:rsidRPr="005049A3">
        <w:rPr>
          <w:lang w:val="es-ES_tradnl"/>
        </w:rPr>
        <w:t>Leilani</w:t>
      </w:r>
      <w:proofErr w:type="spellEnd"/>
      <w:r w:rsidRPr="005049A3">
        <w:rPr>
          <w:lang w:val="es-ES_tradnl"/>
        </w:rPr>
        <w:t xml:space="preserve"> </w:t>
      </w:r>
      <w:proofErr w:type="spellStart"/>
      <w:r w:rsidRPr="005049A3">
        <w:rPr>
          <w:lang w:val="es-ES_tradnl"/>
        </w:rPr>
        <w:t>Farha</w:t>
      </w:r>
      <w:proofErr w:type="spellEnd"/>
      <w:r w:rsidRPr="005049A3">
        <w:rPr>
          <w:lang w:val="es-ES_tradnl"/>
        </w:rPr>
        <w:t>, 2 de agosto de 2015, A/70/270, párr. 54</w:t>
      </w:r>
    </w:p>
  </w:footnote>
  <w:footnote w:id="36">
    <w:p w14:paraId="6C2BB09A" w14:textId="77777777" w:rsidR="009D032A" w:rsidRPr="005049A3" w:rsidRDefault="009D032A" w:rsidP="0013659B">
      <w:pPr>
        <w:pStyle w:val="FootnoteText"/>
        <w:tabs>
          <w:tab w:val="left" w:pos="709"/>
        </w:tabs>
        <w:spacing w:after="0"/>
        <w:rPr>
          <w:lang w:val="es-ES_tradnl"/>
        </w:rPr>
      </w:pPr>
    </w:p>
    <w:p w14:paraId="35BE27FA" w14:textId="2E53FD1E"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rFonts w:cs="Times New Roman"/>
          <w:lang w:val="es-ES_tradnl"/>
        </w:rPr>
        <w:t xml:space="preserve"> </w:t>
      </w:r>
      <w:r>
        <w:rPr>
          <w:rFonts w:cs="Times New Roman"/>
          <w:lang w:val="es-ES_tradnl"/>
        </w:rPr>
        <w:tab/>
        <w:t>E</w:t>
      </w:r>
      <w:r w:rsidRPr="005049A3">
        <w:rPr>
          <w:rFonts w:cs="Times New Roman"/>
          <w:lang w:val="es-ES_tradnl"/>
        </w:rPr>
        <w:t xml:space="preserve">l Relator sobre el Derecho a la Alimentación ha considerado que, por ejemplo, los trabajadores agrícolas están en una situación especialmente vulnerable pues el 60% de ellos viven en la pobreza en numerosos países. </w:t>
      </w:r>
      <w:r w:rsidRPr="00040619">
        <w:rPr>
          <w:i/>
          <w:lang w:val="es-ES_tradnl"/>
        </w:rPr>
        <w:t>ONU, Informe del</w:t>
      </w:r>
      <w:r w:rsidRPr="00040619">
        <w:rPr>
          <w:rFonts w:cs="Times New Roman"/>
          <w:i/>
          <w:lang w:val="es-ES_tradnl"/>
        </w:rPr>
        <w:t xml:space="preserve"> Relator sobre el Derecho a la Alimentación</w:t>
      </w:r>
      <w:r>
        <w:rPr>
          <w:rFonts w:cs="Times New Roman"/>
          <w:lang w:val="es-ES_tradnl"/>
        </w:rPr>
        <w:t>,</w:t>
      </w:r>
      <w:r w:rsidRPr="005049A3">
        <w:rPr>
          <w:rFonts w:cs="Times New Roman"/>
          <w:lang w:val="es-ES_tradnl"/>
        </w:rPr>
        <w:t xml:space="preserve"> Olivier De </w:t>
      </w:r>
      <w:proofErr w:type="spellStart"/>
      <w:r w:rsidRPr="005049A3">
        <w:rPr>
          <w:rFonts w:cs="Times New Roman"/>
          <w:lang w:val="es-ES_tradnl"/>
        </w:rPr>
        <w:t>Schutter</w:t>
      </w:r>
      <w:proofErr w:type="spellEnd"/>
      <w:r w:rsidRPr="005049A3">
        <w:rPr>
          <w:rFonts w:cs="Times New Roman"/>
          <w:lang w:val="es-ES_tradnl"/>
        </w:rPr>
        <w:t xml:space="preserve">, 8 de septiembre de 2008, A/HRC/9/23, párr. </w:t>
      </w:r>
      <w:r w:rsidRPr="005049A3">
        <w:rPr>
          <w:lang w:val="es-ES_tradnl"/>
        </w:rPr>
        <w:t xml:space="preserve">16. </w:t>
      </w:r>
    </w:p>
    <w:p w14:paraId="01A525C7" w14:textId="77777777" w:rsidR="009D032A" w:rsidRPr="005049A3" w:rsidRDefault="009D032A" w:rsidP="0013659B">
      <w:pPr>
        <w:pStyle w:val="FootnoteText"/>
        <w:tabs>
          <w:tab w:val="left" w:pos="709"/>
        </w:tabs>
        <w:spacing w:after="0"/>
        <w:rPr>
          <w:lang w:val="es-ES_tradnl"/>
        </w:rPr>
      </w:pPr>
    </w:p>
  </w:footnote>
  <w:footnote w:id="37">
    <w:p w14:paraId="24F99090" w14:textId="30FE88DF" w:rsidR="009D032A" w:rsidRPr="005049A3" w:rsidRDefault="009D032A" w:rsidP="0013659B">
      <w:pPr>
        <w:pStyle w:val="FootnoteText"/>
        <w:tabs>
          <w:tab w:val="left" w:pos="709"/>
        </w:tabs>
        <w:spacing w:after="0"/>
        <w:rPr>
          <w:rFonts w:cs="Times New Roman"/>
          <w:lang w:val="es-ES_tradnl"/>
        </w:rPr>
      </w:pPr>
      <w:r w:rsidRPr="005049A3">
        <w:rPr>
          <w:rStyle w:val="FootnoteReference"/>
          <w:szCs w:val="16"/>
          <w:lang w:val="es-ES_tradnl"/>
        </w:rPr>
        <w:footnoteRef/>
      </w:r>
      <w:r w:rsidRPr="005049A3">
        <w:rPr>
          <w:rFonts w:cs="Times New Roman"/>
          <w:lang w:val="es-ES_tradnl"/>
        </w:rPr>
        <w:t xml:space="preserve"> </w:t>
      </w:r>
      <w:r>
        <w:rPr>
          <w:rFonts w:cs="Times New Roman"/>
          <w:lang w:val="es-ES_tradnl"/>
        </w:rPr>
        <w:tab/>
      </w:r>
      <w:r w:rsidRPr="005049A3">
        <w:rPr>
          <w:rFonts w:cs="Verdana"/>
          <w:bCs/>
          <w:lang w:val="es-ES_tradnl"/>
        </w:rPr>
        <w:t xml:space="preserve">Corte IDH. </w:t>
      </w:r>
      <w:r w:rsidRPr="005049A3">
        <w:rPr>
          <w:rFonts w:cs="Verdana"/>
          <w:bCs/>
          <w:i/>
          <w:lang w:val="es-ES_tradnl"/>
        </w:rPr>
        <w:t>Caso "Instituto de Reeducación del Menor" Vs. Paraguay. Excepciones Preliminares, Fondo, Reparaciones y Costas</w:t>
      </w:r>
      <w:r w:rsidRPr="005049A3">
        <w:rPr>
          <w:rFonts w:cs="Verdana"/>
          <w:bCs/>
          <w:lang w:val="es-ES_tradnl"/>
        </w:rPr>
        <w:t>. Sentencia de 2 de septiembre de 2004. Serie C No. 112, párr. 262.</w:t>
      </w:r>
    </w:p>
    <w:p w14:paraId="152BBA8F" w14:textId="77777777" w:rsidR="009D032A" w:rsidRPr="005049A3" w:rsidRDefault="009D032A" w:rsidP="0013659B">
      <w:pPr>
        <w:pStyle w:val="FootnoteText"/>
        <w:tabs>
          <w:tab w:val="left" w:pos="709"/>
        </w:tabs>
        <w:spacing w:after="0"/>
        <w:rPr>
          <w:lang w:val="es-ES_tradnl"/>
        </w:rPr>
      </w:pPr>
    </w:p>
  </w:footnote>
  <w:footnote w:id="38">
    <w:p w14:paraId="6F2C9089" w14:textId="119C77A3" w:rsidR="009D032A" w:rsidRPr="005049A3" w:rsidRDefault="009D032A" w:rsidP="0013659B">
      <w:pPr>
        <w:pStyle w:val="FootnoteText"/>
        <w:tabs>
          <w:tab w:val="left" w:pos="709"/>
        </w:tabs>
        <w:spacing w:after="0"/>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Verdana"/>
          <w:bCs/>
          <w:lang w:val="es-ES_tradnl"/>
        </w:rPr>
        <w:t xml:space="preserve">Corte IDH. </w:t>
      </w:r>
      <w:r w:rsidRPr="005049A3">
        <w:rPr>
          <w:rFonts w:cs="Verdana"/>
          <w:bCs/>
          <w:i/>
          <w:lang w:val="es-ES_tradnl"/>
        </w:rPr>
        <w:t>Caso de la Comunidad Moiwana Vs. Surinam. Excepciones Preliminares, Fondo, Reparaciones y Costas.</w:t>
      </w:r>
      <w:r w:rsidRPr="005049A3">
        <w:rPr>
          <w:rFonts w:cs="Verdana"/>
          <w:bCs/>
          <w:lang w:val="es-ES_tradnl"/>
        </w:rPr>
        <w:t xml:space="preserve"> Sentencia </w:t>
      </w:r>
      <w:r>
        <w:rPr>
          <w:rFonts w:cs="Verdana"/>
          <w:bCs/>
          <w:lang w:val="es-ES_tradnl"/>
        </w:rPr>
        <w:t xml:space="preserve">de </w:t>
      </w:r>
      <w:r w:rsidRPr="005049A3">
        <w:rPr>
          <w:rFonts w:cs="Verdana"/>
          <w:bCs/>
          <w:lang w:val="es-ES_tradnl"/>
        </w:rPr>
        <w:t>15 de</w:t>
      </w:r>
      <w:r>
        <w:rPr>
          <w:rFonts w:cs="Verdana"/>
          <w:bCs/>
          <w:lang w:val="es-ES_tradnl"/>
        </w:rPr>
        <w:t xml:space="preserve"> junio de 2005. Serie C No. 124, </w:t>
      </w:r>
      <w:r w:rsidRPr="005049A3">
        <w:rPr>
          <w:rFonts w:cs="Verdana"/>
          <w:bCs/>
          <w:lang w:val="es-ES_tradnl"/>
        </w:rPr>
        <w:t xml:space="preserve">párr. </w:t>
      </w:r>
      <w:r w:rsidRPr="005049A3">
        <w:rPr>
          <w:rFonts w:cs="Times New Roman"/>
          <w:lang w:val="es-ES_tradnl"/>
        </w:rPr>
        <w:t xml:space="preserve">186. </w:t>
      </w:r>
    </w:p>
    <w:p w14:paraId="0AA290D3" w14:textId="77777777" w:rsidR="009D032A" w:rsidRPr="005049A3" w:rsidRDefault="009D032A" w:rsidP="0013659B">
      <w:pPr>
        <w:pStyle w:val="FootnoteText"/>
        <w:tabs>
          <w:tab w:val="left" w:pos="709"/>
        </w:tabs>
        <w:spacing w:after="0"/>
        <w:rPr>
          <w:lang w:val="es-ES_tradnl"/>
        </w:rPr>
      </w:pPr>
    </w:p>
  </w:footnote>
  <w:footnote w:id="39">
    <w:p w14:paraId="5A62FCBC" w14:textId="313B710D" w:rsidR="009D032A" w:rsidRPr="005049A3" w:rsidRDefault="009D032A" w:rsidP="0013659B">
      <w:pPr>
        <w:pStyle w:val="ListParagraph"/>
        <w:tabs>
          <w:tab w:val="left" w:pos="709"/>
        </w:tabs>
        <w:ind w:left="0"/>
        <w:rPr>
          <w:rFonts w:cs="Times New Roman"/>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sidRPr="005049A3">
        <w:rPr>
          <w:rFonts w:cs="Verdana"/>
          <w:bCs/>
          <w:sz w:val="16"/>
          <w:szCs w:val="16"/>
          <w:lang w:val="es-ES_tradnl"/>
        </w:rPr>
        <w:t xml:space="preserve">Corte IDH. </w:t>
      </w:r>
      <w:r w:rsidRPr="005049A3">
        <w:rPr>
          <w:rFonts w:cs="Verdana"/>
          <w:bCs/>
          <w:i/>
          <w:sz w:val="16"/>
          <w:szCs w:val="16"/>
          <w:lang w:val="es-ES_tradnl"/>
        </w:rPr>
        <w:t xml:space="preserve">Caso </w:t>
      </w:r>
      <w:proofErr w:type="spellStart"/>
      <w:r w:rsidRPr="005049A3">
        <w:rPr>
          <w:rFonts w:cs="Verdana"/>
          <w:bCs/>
          <w:i/>
          <w:sz w:val="16"/>
          <w:szCs w:val="16"/>
          <w:lang w:val="es-ES_tradnl"/>
        </w:rPr>
        <w:t>Servellón</w:t>
      </w:r>
      <w:proofErr w:type="spellEnd"/>
      <w:r w:rsidRPr="005049A3">
        <w:rPr>
          <w:rFonts w:cs="Verdana"/>
          <w:bCs/>
          <w:i/>
          <w:sz w:val="16"/>
          <w:szCs w:val="16"/>
          <w:lang w:val="es-ES_tradnl"/>
        </w:rPr>
        <w:t xml:space="preserve"> García y otros Vs. Honduras</w:t>
      </w:r>
      <w:r w:rsidRPr="005049A3">
        <w:rPr>
          <w:rFonts w:cs="Verdana"/>
          <w:bCs/>
          <w:sz w:val="16"/>
          <w:szCs w:val="16"/>
          <w:lang w:val="es-ES_tradnl"/>
        </w:rPr>
        <w:t>. Sentencia de 21 de septiembre de 2006. Serie C No. 152, párr.</w:t>
      </w:r>
      <w:r w:rsidRPr="005049A3">
        <w:rPr>
          <w:rFonts w:cs="Times New Roman"/>
          <w:sz w:val="16"/>
          <w:szCs w:val="16"/>
          <w:lang w:val="es-ES_tradnl"/>
        </w:rPr>
        <w:t xml:space="preserve"> 116. </w:t>
      </w:r>
    </w:p>
    <w:p w14:paraId="507F1BAC" w14:textId="653A8233" w:rsidR="009D032A" w:rsidRPr="005049A3" w:rsidRDefault="009D032A" w:rsidP="0013659B">
      <w:pPr>
        <w:pStyle w:val="FootnoteText"/>
        <w:tabs>
          <w:tab w:val="left" w:pos="709"/>
        </w:tabs>
        <w:spacing w:after="0"/>
        <w:rPr>
          <w:lang w:val="es-ES_tradnl"/>
        </w:rPr>
      </w:pPr>
    </w:p>
  </w:footnote>
  <w:footnote w:id="40">
    <w:p w14:paraId="47931FF0" w14:textId="3AA65C24" w:rsidR="009D032A" w:rsidRPr="005049A3" w:rsidRDefault="009D032A" w:rsidP="0013659B">
      <w:pPr>
        <w:pStyle w:val="FootnoteText"/>
        <w:tabs>
          <w:tab w:val="left" w:pos="709"/>
        </w:tabs>
        <w:spacing w:after="0"/>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Pr>
          <w:lang w:val="es-ES_tradnl"/>
        </w:rPr>
        <w:tab/>
      </w:r>
      <w:r w:rsidRPr="005049A3">
        <w:rPr>
          <w:rFonts w:cs="Verdana"/>
          <w:bCs/>
          <w:lang w:val="es-ES_tradnl"/>
        </w:rPr>
        <w:t xml:space="preserve">Corte IDH. </w:t>
      </w:r>
      <w:r w:rsidRPr="005049A3">
        <w:rPr>
          <w:lang w:val="es-ES_tradnl"/>
        </w:rPr>
        <w:t xml:space="preserve">Voto del Juez </w:t>
      </w:r>
      <w:r w:rsidRPr="005049A3">
        <w:rPr>
          <w:i/>
          <w:lang w:val="es-ES_tradnl"/>
        </w:rPr>
        <w:t xml:space="preserve">Ad Hoc </w:t>
      </w:r>
      <w:r w:rsidRPr="005049A3">
        <w:rPr>
          <w:lang w:val="es-ES_tradnl"/>
        </w:rPr>
        <w:t xml:space="preserve">Ramón </w:t>
      </w:r>
      <w:proofErr w:type="spellStart"/>
      <w:r w:rsidRPr="005049A3">
        <w:rPr>
          <w:lang w:val="es-ES_tradnl"/>
        </w:rPr>
        <w:t>Foguel</w:t>
      </w:r>
      <w:proofErr w:type="spellEnd"/>
      <w:r w:rsidRPr="005049A3">
        <w:rPr>
          <w:lang w:val="es-ES_tradnl"/>
        </w:rPr>
        <w:t xml:space="preserve"> Pedroso al </w:t>
      </w:r>
      <w:r w:rsidRPr="005049A3">
        <w:rPr>
          <w:rFonts w:cs="Verdana"/>
          <w:bCs/>
          <w:i/>
          <w:lang w:val="es-ES_tradnl"/>
        </w:rPr>
        <w:t>Caso Comunidad Indígena Yakye Axa Vs. Paraguay. Fondo Reparaciones y Costas</w:t>
      </w:r>
      <w:r w:rsidRPr="005049A3">
        <w:rPr>
          <w:rFonts w:cs="Verdana"/>
          <w:bCs/>
          <w:lang w:val="es-ES_tradnl"/>
        </w:rPr>
        <w:t xml:space="preserve">. Sentencia </w:t>
      </w:r>
      <w:r>
        <w:rPr>
          <w:rFonts w:cs="Verdana"/>
          <w:bCs/>
          <w:lang w:val="es-ES_tradnl"/>
        </w:rPr>
        <w:t xml:space="preserve">de </w:t>
      </w:r>
      <w:r w:rsidRPr="005049A3">
        <w:rPr>
          <w:rFonts w:cs="Verdana"/>
          <w:bCs/>
          <w:lang w:val="es-ES_tradnl"/>
        </w:rPr>
        <w:t xml:space="preserve">17 de junio de 2005. Serie C No. 125, </w:t>
      </w:r>
      <w:r w:rsidRPr="005049A3">
        <w:rPr>
          <w:rFonts w:cs="Times New Roman"/>
          <w:lang w:val="es-ES_tradnl"/>
        </w:rPr>
        <w:t>párr.</w:t>
      </w:r>
      <w:r>
        <w:rPr>
          <w:rFonts w:cs="Times New Roman"/>
          <w:lang w:val="es-ES_tradnl"/>
        </w:rPr>
        <w:t xml:space="preserve"> </w:t>
      </w:r>
      <w:r w:rsidRPr="005049A3">
        <w:rPr>
          <w:rFonts w:cs="Times New Roman"/>
          <w:lang w:val="es-ES_tradnl"/>
        </w:rPr>
        <w:t>28.</w:t>
      </w:r>
    </w:p>
    <w:p w14:paraId="199AAE6B" w14:textId="77777777" w:rsidR="009D032A" w:rsidRPr="005049A3" w:rsidRDefault="009D032A" w:rsidP="0013659B">
      <w:pPr>
        <w:pStyle w:val="FootnoteText"/>
        <w:tabs>
          <w:tab w:val="left" w:pos="709"/>
        </w:tabs>
        <w:spacing w:after="0"/>
        <w:rPr>
          <w:lang w:val="es-ES_tradnl"/>
        </w:rPr>
      </w:pPr>
    </w:p>
  </w:footnote>
  <w:footnote w:id="41">
    <w:p w14:paraId="7F00EF67" w14:textId="1B29A633" w:rsidR="009D032A" w:rsidRPr="005049A3" w:rsidRDefault="009D032A" w:rsidP="0013659B">
      <w:pPr>
        <w:pStyle w:val="FootnoteText"/>
        <w:tabs>
          <w:tab w:val="left" w:pos="709"/>
        </w:tabs>
        <w:spacing w:after="0"/>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Verdana"/>
          <w:bCs/>
          <w:lang w:val="es-ES_tradnl"/>
        </w:rPr>
        <w:t xml:space="preserve">Corte IDH. </w:t>
      </w:r>
      <w:r w:rsidRPr="005049A3">
        <w:rPr>
          <w:lang w:val="es-ES_tradnl"/>
        </w:rPr>
        <w:t xml:space="preserve">Voto del Juez </w:t>
      </w:r>
      <w:r w:rsidRPr="005049A3">
        <w:rPr>
          <w:i/>
          <w:lang w:val="es-ES_tradnl"/>
        </w:rPr>
        <w:t xml:space="preserve">Ad Hoc </w:t>
      </w:r>
      <w:r w:rsidRPr="005049A3">
        <w:rPr>
          <w:lang w:val="es-ES_tradnl"/>
        </w:rPr>
        <w:t xml:space="preserve">Ramón </w:t>
      </w:r>
      <w:proofErr w:type="spellStart"/>
      <w:r w:rsidRPr="005049A3">
        <w:rPr>
          <w:lang w:val="es-ES_tradnl"/>
        </w:rPr>
        <w:t>Foguel</w:t>
      </w:r>
      <w:proofErr w:type="spellEnd"/>
      <w:r w:rsidRPr="005049A3">
        <w:rPr>
          <w:lang w:val="es-ES_tradnl"/>
        </w:rPr>
        <w:t xml:space="preserve"> Pedroso al</w:t>
      </w:r>
      <w:r w:rsidRPr="005049A3">
        <w:rPr>
          <w:i/>
          <w:lang w:val="es-ES_tradnl"/>
        </w:rPr>
        <w:t xml:space="preserve"> </w:t>
      </w:r>
      <w:r w:rsidRPr="005049A3">
        <w:rPr>
          <w:rFonts w:cs="Verdana"/>
          <w:bCs/>
          <w:i/>
          <w:lang w:val="es-ES_tradnl"/>
        </w:rPr>
        <w:t>Caso Comunidad Indígena Yakye Axa Vs. Paraguay</w:t>
      </w:r>
      <w:r w:rsidRPr="005049A3">
        <w:rPr>
          <w:rFonts w:cs="Verdana"/>
          <w:bCs/>
          <w:lang w:val="es-ES_tradnl"/>
        </w:rPr>
        <w:t xml:space="preserve">. Fondo Reparaciones y Costas. Sentencia </w:t>
      </w:r>
      <w:r>
        <w:rPr>
          <w:rFonts w:cs="Verdana"/>
          <w:bCs/>
          <w:lang w:val="es-ES_tradnl"/>
        </w:rPr>
        <w:t xml:space="preserve">de </w:t>
      </w:r>
      <w:r w:rsidRPr="005049A3">
        <w:rPr>
          <w:rFonts w:cs="Verdana"/>
          <w:bCs/>
          <w:lang w:val="es-ES_tradnl"/>
        </w:rPr>
        <w:t xml:space="preserve">17 de junio de 2005. Serie C No. 125, </w:t>
      </w:r>
      <w:r w:rsidRPr="005049A3">
        <w:rPr>
          <w:rFonts w:cs="Times New Roman"/>
          <w:lang w:val="es-ES_tradnl"/>
        </w:rPr>
        <w:t>párr.</w:t>
      </w:r>
      <w:r>
        <w:rPr>
          <w:rFonts w:cs="Times New Roman"/>
          <w:lang w:val="es-ES_tradnl"/>
        </w:rPr>
        <w:t xml:space="preserve"> </w:t>
      </w:r>
      <w:r w:rsidRPr="005049A3">
        <w:rPr>
          <w:rFonts w:cs="Times New Roman"/>
          <w:lang w:val="es-ES_tradnl"/>
        </w:rPr>
        <w:t xml:space="preserve">32. </w:t>
      </w:r>
    </w:p>
    <w:p w14:paraId="04DE9E12" w14:textId="77777777" w:rsidR="009D032A" w:rsidRPr="005049A3" w:rsidRDefault="009D032A" w:rsidP="0013659B">
      <w:pPr>
        <w:pStyle w:val="FootnoteText"/>
        <w:tabs>
          <w:tab w:val="left" w:pos="709"/>
        </w:tabs>
        <w:spacing w:after="0"/>
        <w:rPr>
          <w:lang w:val="es-ES_tradnl"/>
        </w:rPr>
      </w:pPr>
    </w:p>
  </w:footnote>
  <w:footnote w:id="42">
    <w:p w14:paraId="47CB99FE" w14:textId="56DAD537" w:rsidR="009D032A" w:rsidRDefault="009D032A" w:rsidP="003D1876">
      <w:pPr>
        <w:pStyle w:val="FootnoteText"/>
        <w:tabs>
          <w:tab w:val="left" w:pos="709"/>
        </w:tabs>
        <w:rPr>
          <w:rFonts w:cs="Times New Roman"/>
          <w:lang w:val="es-ES_tradnl"/>
        </w:rPr>
      </w:pPr>
      <w:r>
        <w:rPr>
          <w:rStyle w:val="FootnoteReference"/>
        </w:rPr>
        <w:footnoteRef/>
      </w:r>
      <w:r w:rsidRPr="00EA236D">
        <w:rPr>
          <w:lang w:val="es-ES"/>
        </w:rPr>
        <w:tab/>
        <w:t>C</w:t>
      </w:r>
      <w:proofErr w:type="spellStart"/>
      <w:r w:rsidRPr="005049A3">
        <w:rPr>
          <w:rFonts w:cs="Verdana"/>
          <w:bCs/>
          <w:lang w:val="es-ES_tradnl"/>
        </w:rPr>
        <w:t>orte</w:t>
      </w:r>
      <w:proofErr w:type="spellEnd"/>
      <w:r w:rsidRPr="005049A3">
        <w:rPr>
          <w:rFonts w:cs="Verdana"/>
          <w:bCs/>
          <w:lang w:val="es-ES_tradnl"/>
        </w:rPr>
        <w:t xml:space="preserve"> IDH. </w:t>
      </w:r>
      <w:r w:rsidRPr="005049A3">
        <w:rPr>
          <w:lang w:val="es-ES_tradnl"/>
        </w:rPr>
        <w:t xml:space="preserve">Voto del Juez </w:t>
      </w:r>
      <w:r w:rsidRPr="005049A3">
        <w:rPr>
          <w:i/>
          <w:lang w:val="es-ES_tradnl"/>
        </w:rPr>
        <w:t xml:space="preserve">Ad Hoc </w:t>
      </w:r>
      <w:r w:rsidRPr="005049A3">
        <w:rPr>
          <w:lang w:val="es-ES_tradnl"/>
        </w:rPr>
        <w:t xml:space="preserve">Ramón </w:t>
      </w:r>
      <w:proofErr w:type="spellStart"/>
      <w:r w:rsidRPr="005049A3">
        <w:rPr>
          <w:lang w:val="es-ES_tradnl"/>
        </w:rPr>
        <w:t>Foguel</w:t>
      </w:r>
      <w:proofErr w:type="spellEnd"/>
      <w:r w:rsidRPr="005049A3">
        <w:rPr>
          <w:lang w:val="es-ES_tradnl"/>
        </w:rPr>
        <w:t xml:space="preserve"> Pedroso al</w:t>
      </w:r>
      <w:r w:rsidRPr="005049A3">
        <w:rPr>
          <w:i/>
          <w:lang w:val="es-ES_tradnl"/>
        </w:rPr>
        <w:t xml:space="preserve"> </w:t>
      </w:r>
      <w:r w:rsidRPr="005049A3">
        <w:rPr>
          <w:rFonts w:cs="Verdana"/>
          <w:bCs/>
          <w:i/>
          <w:lang w:val="es-ES_tradnl"/>
        </w:rPr>
        <w:t>Caso Comunidad Indígena Yakye Axa Vs. Paraguay</w:t>
      </w:r>
      <w:r w:rsidRPr="005049A3">
        <w:rPr>
          <w:rFonts w:cs="Verdana"/>
          <w:bCs/>
          <w:lang w:val="es-ES_tradnl"/>
        </w:rPr>
        <w:t xml:space="preserve">. Fondo Reparaciones y Costas. Sentencia </w:t>
      </w:r>
      <w:r>
        <w:rPr>
          <w:rFonts w:cs="Verdana"/>
          <w:bCs/>
          <w:lang w:val="es-ES_tradnl"/>
        </w:rPr>
        <w:t xml:space="preserve">de </w:t>
      </w:r>
      <w:r w:rsidRPr="005049A3">
        <w:rPr>
          <w:rFonts w:cs="Verdana"/>
          <w:bCs/>
          <w:lang w:val="es-ES_tradnl"/>
        </w:rPr>
        <w:t xml:space="preserve">17 de junio de 2005. Serie C No. 125, </w:t>
      </w:r>
      <w:r>
        <w:rPr>
          <w:rFonts w:cs="Times New Roman"/>
          <w:lang w:val="es-ES_tradnl"/>
        </w:rPr>
        <w:t>párr. 33</w:t>
      </w:r>
      <w:r w:rsidRPr="005049A3">
        <w:rPr>
          <w:rFonts w:cs="Times New Roman"/>
          <w:lang w:val="es-ES_tradnl"/>
        </w:rPr>
        <w:t>.</w:t>
      </w:r>
    </w:p>
    <w:p w14:paraId="08841048" w14:textId="77777777" w:rsidR="009D032A" w:rsidRPr="00B6604A" w:rsidRDefault="009D032A" w:rsidP="003D1876">
      <w:pPr>
        <w:pStyle w:val="FootnoteText"/>
        <w:tabs>
          <w:tab w:val="left" w:pos="709"/>
        </w:tabs>
        <w:rPr>
          <w:lang w:val="es-ES_tradnl"/>
        </w:rPr>
      </w:pPr>
    </w:p>
  </w:footnote>
  <w:footnote w:id="43">
    <w:p w14:paraId="2E7D979D" w14:textId="24328B41"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Verdana"/>
          <w:bCs/>
          <w:lang w:val="es-ES_tradnl"/>
        </w:rPr>
        <w:t xml:space="preserve">Corte IDH. </w:t>
      </w:r>
      <w:r w:rsidRPr="005049A3">
        <w:rPr>
          <w:lang w:val="es-ES_tradnl"/>
        </w:rPr>
        <w:t xml:space="preserve">Voto del Juez </w:t>
      </w:r>
      <w:r w:rsidRPr="005049A3">
        <w:rPr>
          <w:i/>
          <w:lang w:val="es-ES_tradnl"/>
        </w:rPr>
        <w:t xml:space="preserve">Ad Hoc </w:t>
      </w:r>
      <w:r w:rsidRPr="005049A3">
        <w:rPr>
          <w:lang w:val="es-ES_tradnl"/>
        </w:rPr>
        <w:t xml:space="preserve">Ramón </w:t>
      </w:r>
      <w:proofErr w:type="spellStart"/>
      <w:r w:rsidRPr="005049A3">
        <w:rPr>
          <w:lang w:val="es-ES_tradnl"/>
        </w:rPr>
        <w:t>Foguel</w:t>
      </w:r>
      <w:proofErr w:type="spellEnd"/>
      <w:r w:rsidRPr="005049A3">
        <w:rPr>
          <w:lang w:val="es-ES_tradnl"/>
        </w:rPr>
        <w:t xml:space="preserve"> Pedroso al </w:t>
      </w:r>
      <w:r w:rsidRPr="005049A3">
        <w:rPr>
          <w:rFonts w:cs="Verdana"/>
          <w:bCs/>
          <w:i/>
          <w:lang w:val="es-ES_tradnl"/>
        </w:rPr>
        <w:t>Caso Comunidad Indígena Yakye Axa Vs. Paraguay. Fondo Reparaciones y Costas</w:t>
      </w:r>
      <w:r w:rsidRPr="005049A3">
        <w:rPr>
          <w:rFonts w:cs="Verdana"/>
          <w:bCs/>
          <w:lang w:val="es-ES_tradnl"/>
        </w:rPr>
        <w:t xml:space="preserve">. Sentencia </w:t>
      </w:r>
      <w:r>
        <w:rPr>
          <w:rFonts w:cs="Verdana"/>
          <w:bCs/>
          <w:lang w:val="es-ES_tradnl"/>
        </w:rPr>
        <w:t xml:space="preserve">de </w:t>
      </w:r>
      <w:r w:rsidRPr="005049A3">
        <w:rPr>
          <w:rFonts w:cs="Verdana"/>
          <w:bCs/>
          <w:lang w:val="es-ES_tradnl"/>
        </w:rPr>
        <w:t xml:space="preserve">17 de junio de 2005. Serie C No. 125, </w:t>
      </w:r>
      <w:r w:rsidRPr="005049A3">
        <w:rPr>
          <w:rFonts w:cs="Times New Roman"/>
          <w:lang w:val="es-ES_tradnl"/>
        </w:rPr>
        <w:t>párr. 36.</w:t>
      </w:r>
    </w:p>
  </w:footnote>
  <w:footnote w:id="44">
    <w:p w14:paraId="56FAE785" w14:textId="77777777" w:rsidR="009D032A" w:rsidRPr="005049A3" w:rsidRDefault="009D032A" w:rsidP="0013659B">
      <w:pPr>
        <w:pStyle w:val="FootnoteText"/>
        <w:tabs>
          <w:tab w:val="left" w:pos="709"/>
        </w:tabs>
        <w:spacing w:after="0"/>
        <w:rPr>
          <w:lang w:val="es-ES_tradnl"/>
        </w:rPr>
      </w:pPr>
    </w:p>
    <w:p w14:paraId="153E407D" w14:textId="113BACA8" w:rsidR="009D032A" w:rsidRPr="005049A3" w:rsidRDefault="009D032A" w:rsidP="0013659B">
      <w:pPr>
        <w:pStyle w:val="FootnoteText"/>
        <w:tabs>
          <w:tab w:val="left" w:pos="709"/>
        </w:tabs>
        <w:spacing w:after="0"/>
        <w:rPr>
          <w:rFonts w:cs="Times New Roman"/>
          <w:b/>
          <w:lang w:val="es-ES_tradnl"/>
        </w:rPr>
      </w:pPr>
      <w:r w:rsidRPr="005049A3">
        <w:rPr>
          <w:rStyle w:val="FootnoteReference"/>
          <w:szCs w:val="16"/>
          <w:lang w:val="es-ES_tradnl"/>
        </w:rPr>
        <w:footnoteRef/>
      </w:r>
      <w:r w:rsidRPr="005049A3">
        <w:rPr>
          <w:i/>
          <w:lang w:val="es-ES_tradnl"/>
        </w:rPr>
        <w:t xml:space="preserve"> </w:t>
      </w:r>
      <w:r>
        <w:rPr>
          <w:i/>
          <w:lang w:val="es-ES_tradnl"/>
        </w:rPr>
        <w:tab/>
      </w:r>
      <w:r w:rsidRPr="005049A3">
        <w:rPr>
          <w:rFonts w:cs="Times New Roman"/>
          <w:i/>
          <w:lang w:val="es-ES_tradnl"/>
        </w:rPr>
        <w:t xml:space="preserve">Cfr. </w:t>
      </w:r>
      <w:r w:rsidRPr="005049A3">
        <w:rPr>
          <w:rFonts w:cs="Verdana"/>
          <w:bCs/>
          <w:lang w:val="es-ES_tradnl"/>
        </w:rPr>
        <w:t xml:space="preserve">Corte IDH. </w:t>
      </w:r>
      <w:r w:rsidRPr="005049A3">
        <w:rPr>
          <w:rFonts w:cs="Verdana"/>
          <w:bCs/>
          <w:i/>
          <w:lang w:val="es-ES_tradnl"/>
        </w:rPr>
        <w:t xml:space="preserve">Caso de la "Masacre de </w:t>
      </w:r>
      <w:proofErr w:type="spellStart"/>
      <w:r w:rsidRPr="005049A3">
        <w:rPr>
          <w:rFonts w:cs="Verdana"/>
          <w:bCs/>
          <w:i/>
          <w:lang w:val="es-ES_tradnl"/>
        </w:rPr>
        <w:t>Mapiripán</w:t>
      </w:r>
      <w:proofErr w:type="spellEnd"/>
      <w:r w:rsidRPr="005049A3">
        <w:rPr>
          <w:rFonts w:cs="Verdana"/>
          <w:bCs/>
          <w:i/>
          <w:lang w:val="es-ES_tradnl"/>
        </w:rPr>
        <w:t>" Vs. Colombia</w:t>
      </w:r>
      <w:r w:rsidRPr="005049A3">
        <w:rPr>
          <w:rFonts w:cs="Verdana"/>
          <w:bCs/>
          <w:lang w:val="es-ES_tradnl"/>
        </w:rPr>
        <w:t>. Sentencia de 15 de septiembre de 2005. Serie C No. 134, párr. 180.</w:t>
      </w:r>
    </w:p>
  </w:footnote>
  <w:footnote w:id="45">
    <w:p w14:paraId="12B029D5" w14:textId="395B50AB"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rFonts w:cs="Times New Roman"/>
          <w:lang w:val="es-ES_tradnl"/>
        </w:rPr>
        <w:t xml:space="preserve"> </w:t>
      </w:r>
      <w:r>
        <w:rPr>
          <w:rFonts w:cs="Times New Roman"/>
          <w:lang w:val="es-ES_tradnl"/>
        </w:rPr>
        <w:tab/>
      </w:r>
      <w:r w:rsidRPr="005049A3">
        <w:rPr>
          <w:rFonts w:cs="Verdana"/>
          <w:bCs/>
          <w:lang w:val="es-ES_tradnl"/>
        </w:rPr>
        <w:t xml:space="preserve">Corte IDH. </w:t>
      </w:r>
      <w:r w:rsidRPr="005049A3">
        <w:rPr>
          <w:rFonts w:cs="Verdana"/>
          <w:bCs/>
          <w:i/>
          <w:lang w:val="es-ES_tradnl"/>
        </w:rPr>
        <w:t xml:space="preserve">Caso Comunidad Indígena </w:t>
      </w:r>
      <w:proofErr w:type="spellStart"/>
      <w:r w:rsidRPr="005049A3">
        <w:rPr>
          <w:rFonts w:cs="Verdana"/>
          <w:bCs/>
          <w:i/>
          <w:lang w:val="es-ES_tradnl"/>
        </w:rPr>
        <w:t>Sawhoyamaxa</w:t>
      </w:r>
      <w:proofErr w:type="spellEnd"/>
      <w:r w:rsidRPr="005049A3">
        <w:rPr>
          <w:rFonts w:cs="Verdana"/>
          <w:bCs/>
          <w:i/>
          <w:lang w:val="es-ES_tradnl"/>
        </w:rPr>
        <w:t xml:space="preserve"> Vs. Paraguay. Fondo, Reparaciones y Costas.</w:t>
      </w:r>
      <w:r w:rsidRPr="005049A3">
        <w:rPr>
          <w:rFonts w:cs="Verdana"/>
          <w:bCs/>
          <w:lang w:val="es-ES_tradnl"/>
        </w:rPr>
        <w:t xml:space="preserve"> Sentencia de 29 de marzo de 2006. Serie C No. 146, párr.</w:t>
      </w:r>
      <w:r w:rsidRPr="005049A3">
        <w:rPr>
          <w:rFonts w:cs="Times New Roman"/>
          <w:lang w:val="es-ES_tradnl"/>
        </w:rPr>
        <w:t xml:space="preserve"> 154. </w:t>
      </w:r>
      <w:r w:rsidRPr="005049A3">
        <w:rPr>
          <w:lang w:val="es-ES_tradnl"/>
        </w:rPr>
        <w:t xml:space="preserve"> </w:t>
      </w:r>
    </w:p>
  </w:footnote>
  <w:footnote w:id="46">
    <w:p w14:paraId="3BD7759E" w14:textId="77777777" w:rsidR="009D032A" w:rsidRPr="005049A3" w:rsidRDefault="009D032A" w:rsidP="0013659B">
      <w:pPr>
        <w:pStyle w:val="FootnoteText"/>
        <w:tabs>
          <w:tab w:val="left" w:pos="709"/>
        </w:tabs>
        <w:spacing w:after="0"/>
        <w:rPr>
          <w:lang w:val="es-ES_tradnl"/>
        </w:rPr>
      </w:pPr>
    </w:p>
    <w:p w14:paraId="1CBC0C9C" w14:textId="7F328D54"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rFonts w:cs="Verdana"/>
          <w:bCs/>
          <w:lang w:val="es-ES_tradnl"/>
        </w:rPr>
        <w:t xml:space="preserve"> </w:t>
      </w:r>
      <w:r>
        <w:rPr>
          <w:rFonts w:cs="Verdana"/>
          <w:bCs/>
          <w:lang w:val="es-ES_tradnl"/>
        </w:rPr>
        <w:tab/>
      </w:r>
      <w:r w:rsidRPr="000C784B">
        <w:rPr>
          <w:rFonts w:cs="Verdana"/>
          <w:bCs/>
          <w:spacing w:val="-2"/>
          <w:lang w:val="es-ES_tradnl"/>
        </w:rPr>
        <w:t>Corte IDH.</w:t>
      </w:r>
      <w:r w:rsidRPr="005049A3">
        <w:rPr>
          <w:rFonts w:cs="Verdana"/>
          <w:bCs/>
          <w:lang w:val="es-ES_tradnl"/>
        </w:rPr>
        <w:t xml:space="preserve"> </w:t>
      </w:r>
      <w:r w:rsidRPr="005049A3">
        <w:rPr>
          <w:rFonts w:cs="Verdana"/>
          <w:bCs/>
          <w:i/>
          <w:lang w:val="es-ES_tradnl"/>
        </w:rPr>
        <w:t xml:space="preserve">Caso </w:t>
      </w:r>
      <w:proofErr w:type="spellStart"/>
      <w:r w:rsidRPr="005049A3">
        <w:rPr>
          <w:rFonts w:cs="Verdana"/>
          <w:bCs/>
          <w:i/>
          <w:lang w:val="es-ES_tradnl"/>
        </w:rPr>
        <w:t>Ximenes</w:t>
      </w:r>
      <w:proofErr w:type="spellEnd"/>
      <w:r w:rsidRPr="005049A3">
        <w:rPr>
          <w:rFonts w:cs="Verdana"/>
          <w:bCs/>
          <w:i/>
          <w:lang w:val="es-ES_tradnl"/>
        </w:rPr>
        <w:t xml:space="preserve"> </w:t>
      </w:r>
      <w:proofErr w:type="spellStart"/>
      <w:r w:rsidRPr="005049A3">
        <w:rPr>
          <w:rFonts w:cs="Verdana"/>
          <w:bCs/>
          <w:i/>
          <w:lang w:val="es-ES_tradnl"/>
        </w:rPr>
        <w:t>Lopes</w:t>
      </w:r>
      <w:proofErr w:type="spellEnd"/>
      <w:r w:rsidRPr="005049A3">
        <w:rPr>
          <w:rFonts w:cs="Verdana"/>
          <w:bCs/>
          <w:i/>
          <w:lang w:val="es-ES_tradnl"/>
        </w:rPr>
        <w:t xml:space="preserve"> Vs. Brasil.</w:t>
      </w:r>
      <w:r w:rsidRPr="005049A3">
        <w:rPr>
          <w:rFonts w:cs="Verdana"/>
          <w:bCs/>
          <w:lang w:val="es-ES_tradnl"/>
        </w:rPr>
        <w:t xml:space="preserve"> </w:t>
      </w:r>
      <w:r w:rsidRPr="000C784B">
        <w:rPr>
          <w:rFonts w:cs="Verdana"/>
          <w:bCs/>
          <w:spacing w:val="-2"/>
          <w:lang w:val="es-ES_tradnl"/>
        </w:rPr>
        <w:t>Sentencia de 4 de julio de 2006. Serie C No. 149, párr.</w:t>
      </w:r>
      <w:r w:rsidRPr="000C784B">
        <w:rPr>
          <w:rFonts w:cs="Times New Roman"/>
          <w:spacing w:val="-2"/>
          <w:lang w:val="es-ES_tradnl"/>
        </w:rPr>
        <w:t xml:space="preserve"> 104.</w:t>
      </w:r>
    </w:p>
    <w:p w14:paraId="6E8951AB" w14:textId="77777777" w:rsidR="009D032A" w:rsidRPr="005049A3" w:rsidRDefault="009D032A" w:rsidP="0013659B">
      <w:pPr>
        <w:pStyle w:val="FootnoteText"/>
        <w:tabs>
          <w:tab w:val="left" w:pos="709"/>
        </w:tabs>
        <w:spacing w:after="0"/>
        <w:rPr>
          <w:lang w:val="es-ES_tradnl"/>
        </w:rPr>
      </w:pPr>
    </w:p>
  </w:footnote>
  <w:footnote w:id="47">
    <w:p w14:paraId="5586FDF0" w14:textId="5164CE38" w:rsidR="009D032A" w:rsidRDefault="009D032A" w:rsidP="0013659B">
      <w:pPr>
        <w:pStyle w:val="FootnoteText"/>
        <w:tabs>
          <w:tab w:val="left" w:pos="709"/>
        </w:tabs>
        <w:spacing w:after="0"/>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Verdana"/>
          <w:bCs/>
          <w:lang w:val="es-ES_tradnl"/>
        </w:rPr>
        <w:t xml:space="preserve">Corte IDH. </w:t>
      </w:r>
      <w:r w:rsidRPr="005049A3">
        <w:rPr>
          <w:rFonts w:cs="Verdana"/>
          <w:bCs/>
          <w:i/>
          <w:lang w:val="es-ES_tradnl"/>
        </w:rPr>
        <w:t xml:space="preserve">Caso Comunidad Indígena </w:t>
      </w:r>
      <w:proofErr w:type="spellStart"/>
      <w:r w:rsidRPr="005049A3">
        <w:rPr>
          <w:rFonts w:cs="Verdana"/>
          <w:bCs/>
          <w:i/>
          <w:lang w:val="es-ES_tradnl"/>
        </w:rPr>
        <w:t>Xákmok</w:t>
      </w:r>
      <w:proofErr w:type="spellEnd"/>
      <w:r w:rsidRPr="005049A3">
        <w:rPr>
          <w:rFonts w:cs="Verdana"/>
          <w:bCs/>
          <w:i/>
          <w:lang w:val="es-ES_tradnl"/>
        </w:rPr>
        <w:t xml:space="preserve"> </w:t>
      </w:r>
      <w:proofErr w:type="spellStart"/>
      <w:r w:rsidRPr="005049A3">
        <w:rPr>
          <w:rFonts w:cs="Verdana"/>
          <w:bCs/>
          <w:i/>
          <w:lang w:val="es-ES_tradnl"/>
        </w:rPr>
        <w:t>Kásek</w:t>
      </w:r>
      <w:proofErr w:type="spellEnd"/>
      <w:r w:rsidRPr="005049A3">
        <w:rPr>
          <w:rFonts w:cs="Verdana"/>
          <w:bCs/>
          <w:i/>
          <w:lang w:val="es-ES_tradnl"/>
        </w:rPr>
        <w:t xml:space="preserve"> Vs. Paraguay. Fondo, Reparaciones y Costas.</w:t>
      </w:r>
      <w:r w:rsidRPr="005049A3">
        <w:rPr>
          <w:rFonts w:cs="Verdana"/>
          <w:bCs/>
          <w:lang w:val="es-ES_tradnl"/>
        </w:rPr>
        <w:t xml:space="preserve"> Sentencia de 24 de agosto de 2010. Serie C No. 214, párr. </w:t>
      </w:r>
      <w:r w:rsidRPr="005049A3">
        <w:rPr>
          <w:rFonts w:cs="Times New Roman"/>
          <w:lang w:val="es-ES_tradnl"/>
        </w:rPr>
        <w:t xml:space="preserve">233. </w:t>
      </w:r>
    </w:p>
    <w:p w14:paraId="23481A2E" w14:textId="77777777" w:rsidR="009D032A" w:rsidRPr="005049A3" w:rsidRDefault="009D032A" w:rsidP="0013659B">
      <w:pPr>
        <w:pStyle w:val="FootnoteText"/>
        <w:tabs>
          <w:tab w:val="left" w:pos="709"/>
        </w:tabs>
        <w:spacing w:after="0"/>
        <w:rPr>
          <w:lang w:val="es-ES_tradnl"/>
        </w:rPr>
      </w:pPr>
    </w:p>
  </w:footnote>
  <w:footnote w:id="48">
    <w:p w14:paraId="36C8B8E7" w14:textId="48EF6BC3"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Pr>
          <w:rFonts w:cs="Verdana"/>
          <w:bCs/>
          <w:lang w:val="es-ES_tradnl"/>
        </w:rPr>
        <w:tab/>
      </w:r>
      <w:r w:rsidRPr="005049A3">
        <w:rPr>
          <w:rFonts w:cs="Verdana"/>
          <w:bCs/>
          <w:lang w:val="es-ES_tradnl"/>
        </w:rPr>
        <w:t>Corte IDH.</w:t>
      </w:r>
      <w:r w:rsidRPr="005049A3">
        <w:rPr>
          <w:rFonts w:cs="Verdana"/>
          <w:bCs/>
          <w:i/>
          <w:lang w:val="es-ES_tradnl"/>
        </w:rPr>
        <w:t xml:space="preserve"> Caso Rosendo Cantú y otra Vs. México. Excepción Preliminar, Fondo, Reparaciones y Costas</w:t>
      </w:r>
      <w:r w:rsidRPr="005049A3">
        <w:rPr>
          <w:rFonts w:cs="Verdana"/>
          <w:bCs/>
          <w:lang w:val="es-ES_tradnl"/>
        </w:rPr>
        <w:t>. Sentencia de 31 de agosto de 2010. Serie C No. 216, párr.</w:t>
      </w:r>
      <w:r>
        <w:rPr>
          <w:rFonts w:cs="Verdana"/>
          <w:bCs/>
          <w:lang w:val="es-ES_tradnl"/>
        </w:rPr>
        <w:t xml:space="preserve"> </w:t>
      </w:r>
      <w:r w:rsidRPr="005049A3">
        <w:rPr>
          <w:rFonts w:cs="Times New Roman"/>
          <w:lang w:val="es-ES_tradnl"/>
        </w:rPr>
        <w:t xml:space="preserve">201. </w:t>
      </w:r>
    </w:p>
  </w:footnote>
  <w:footnote w:id="49">
    <w:p w14:paraId="5D356CF7" w14:textId="77777777" w:rsidR="009D032A" w:rsidRPr="005049A3" w:rsidRDefault="009D032A" w:rsidP="0013659B">
      <w:pPr>
        <w:pStyle w:val="FootnoteText"/>
        <w:tabs>
          <w:tab w:val="left" w:pos="709"/>
        </w:tabs>
        <w:spacing w:after="0"/>
        <w:rPr>
          <w:lang w:val="es-ES_tradnl"/>
        </w:rPr>
      </w:pPr>
    </w:p>
    <w:p w14:paraId="7566501F" w14:textId="4067E2DB"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rFonts w:cs="Times New Roman"/>
          <w:lang w:val="es-ES_tradnl"/>
        </w:rPr>
        <w:t xml:space="preserve"> </w:t>
      </w:r>
      <w:r>
        <w:rPr>
          <w:rFonts w:cs="Times New Roman"/>
          <w:lang w:val="es-ES_tradnl"/>
        </w:rPr>
        <w:tab/>
      </w:r>
      <w:r w:rsidRPr="005049A3">
        <w:rPr>
          <w:rFonts w:cs="Times New Roman"/>
          <w:lang w:val="es-ES_tradnl"/>
        </w:rPr>
        <w:t xml:space="preserve">Corte IDH. </w:t>
      </w:r>
      <w:r w:rsidRPr="005049A3">
        <w:rPr>
          <w:rFonts w:cs="Verdana"/>
          <w:bCs/>
          <w:lang w:val="es-ES_tradnl"/>
        </w:rPr>
        <w:t>C</w:t>
      </w:r>
      <w:r w:rsidRPr="005049A3">
        <w:rPr>
          <w:rFonts w:cs="Verdana"/>
          <w:bCs/>
          <w:i/>
          <w:lang w:val="es-ES_tradnl"/>
        </w:rPr>
        <w:t>aso Furlan y familiares Vs. Argentina. Excepciones Preliminares, Fondo, Reparaciones y Costas.</w:t>
      </w:r>
      <w:r w:rsidRPr="005049A3">
        <w:rPr>
          <w:rFonts w:cs="Verdana"/>
          <w:bCs/>
          <w:lang w:val="es-ES_tradnl"/>
        </w:rPr>
        <w:t xml:space="preserve"> Sentencia de 31 de agosto de 2012. Serie C No. 246, párr.</w:t>
      </w:r>
      <w:r>
        <w:rPr>
          <w:rFonts w:cs="Times New Roman"/>
          <w:lang w:val="es-ES_tradnl"/>
        </w:rPr>
        <w:t xml:space="preserve"> 201</w:t>
      </w:r>
      <w:r w:rsidRPr="005049A3">
        <w:rPr>
          <w:rFonts w:cs="Times New Roman"/>
          <w:lang w:val="es-ES_tradnl"/>
        </w:rPr>
        <w:t xml:space="preserve">. </w:t>
      </w:r>
    </w:p>
    <w:p w14:paraId="56BBCBF0" w14:textId="77777777" w:rsidR="009D032A" w:rsidRPr="005049A3" w:rsidRDefault="009D032A" w:rsidP="0013659B">
      <w:pPr>
        <w:pStyle w:val="FootnoteText"/>
        <w:tabs>
          <w:tab w:val="left" w:pos="709"/>
        </w:tabs>
        <w:spacing w:after="0"/>
        <w:rPr>
          <w:lang w:val="es-ES_tradnl"/>
        </w:rPr>
      </w:pPr>
    </w:p>
  </w:footnote>
  <w:footnote w:id="50">
    <w:p w14:paraId="7FF518C2" w14:textId="34F068BE"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Times New Roman"/>
          <w:lang w:val="es-ES_tradnl"/>
        </w:rPr>
        <w:t xml:space="preserve">Corte IDH. </w:t>
      </w:r>
      <w:r w:rsidRPr="005049A3">
        <w:rPr>
          <w:rFonts w:cs="Verdana"/>
          <w:bCs/>
          <w:i/>
          <w:lang w:val="es-ES_tradnl"/>
        </w:rPr>
        <w:t xml:space="preserve">Caso Furlan y familiares Vs. Argentina. Excepciones Preliminares, Fondo, Reparaciones y Costas. </w:t>
      </w:r>
      <w:r w:rsidRPr="005049A3">
        <w:rPr>
          <w:rFonts w:cs="Verdana"/>
          <w:bCs/>
          <w:lang w:val="es-ES_tradnl"/>
        </w:rPr>
        <w:t>Sentencia de 31 de agosto de 2012. Serie C No. 246, párr.</w:t>
      </w:r>
      <w:r w:rsidRPr="005049A3">
        <w:rPr>
          <w:rFonts w:cs="Times New Roman"/>
          <w:lang w:val="es-ES_tradnl"/>
        </w:rPr>
        <w:t xml:space="preserve"> </w:t>
      </w:r>
      <w:r w:rsidRPr="005049A3">
        <w:rPr>
          <w:lang w:val="es-ES_tradnl"/>
        </w:rPr>
        <w:t>243.</w:t>
      </w:r>
    </w:p>
    <w:p w14:paraId="23FF0600" w14:textId="77777777" w:rsidR="009D032A" w:rsidRPr="005049A3" w:rsidRDefault="009D032A" w:rsidP="0013659B">
      <w:pPr>
        <w:pStyle w:val="FootnoteText"/>
        <w:tabs>
          <w:tab w:val="left" w:pos="709"/>
        </w:tabs>
        <w:spacing w:after="0"/>
        <w:rPr>
          <w:lang w:val="es-ES_tradnl"/>
        </w:rPr>
      </w:pPr>
    </w:p>
  </w:footnote>
  <w:footnote w:id="51">
    <w:p w14:paraId="633B2FFC" w14:textId="2405E9E3"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sidRPr="005049A3">
        <w:rPr>
          <w:rFonts w:cs="Times New Roman"/>
          <w:lang w:val="es-ES_tradnl"/>
        </w:rPr>
        <w:t xml:space="preserve"> </w:t>
      </w:r>
      <w:r>
        <w:rPr>
          <w:rFonts w:cs="Times New Roman"/>
          <w:lang w:val="es-ES_tradnl"/>
        </w:rPr>
        <w:tab/>
      </w:r>
      <w:r w:rsidRPr="005049A3">
        <w:rPr>
          <w:rFonts w:cs="Verdana"/>
          <w:bCs/>
          <w:lang w:val="es-ES_tradnl"/>
        </w:rPr>
        <w:t xml:space="preserve">Corte IDH. </w:t>
      </w:r>
      <w:r w:rsidRPr="005049A3">
        <w:rPr>
          <w:rFonts w:cs="Verdana"/>
          <w:bCs/>
          <w:i/>
          <w:lang w:val="es-ES_tradnl"/>
        </w:rPr>
        <w:t xml:space="preserve">Caso </w:t>
      </w:r>
      <w:proofErr w:type="spellStart"/>
      <w:r w:rsidRPr="005049A3">
        <w:rPr>
          <w:rFonts w:cs="Verdana"/>
          <w:bCs/>
          <w:i/>
          <w:lang w:val="es-ES_tradnl"/>
        </w:rPr>
        <w:t>Uzcátegui</w:t>
      </w:r>
      <w:proofErr w:type="spellEnd"/>
      <w:r w:rsidRPr="005049A3">
        <w:rPr>
          <w:rFonts w:cs="Verdana"/>
          <w:bCs/>
          <w:i/>
          <w:lang w:val="es-ES_tradnl"/>
        </w:rPr>
        <w:t xml:space="preserve"> y otros Vs. Venezuela. Fondo y Reparaciones</w:t>
      </w:r>
      <w:r w:rsidRPr="005049A3">
        <w:rPr>
          <w:rFonts w:cs="Verdana"/>
          <w:bCs/>
          <w:lang w:val="es-ES_tradnl"/>
        </w:rPr>
        <w:t>. Sentencia de 3 de septiembre de 2012. Serie C No. 249</w:t>
      </w:r>
      <w:r>
        <w:rPr>
          <w:rFonts w:cs="Verdana"/>
          <w:bCs/>
          <w:lang w:val="es-ES_tradnl"/>
        </w:rPr>
        <w:t>,</w:t>
      </w:r>
      <w:r w:rsidRPr="005049A3">
        <w:rPr>
          <w:rFonts w:cs="Verdana"/>
          <w:bCs/>
          <w:lang w:val="es-ES_tradnl"/>
        </w:rPr>
        <w:t xml:space="preserve"> párr. </w:t>
      </w:r>
      <w:r w:rsidRPr="005049A3">
        <w:rPr>
          <w:rFonts w:cs="Times New Roman"/>
          <w:lang w:val="es-ES_tradnl"/>
        </w:rPr>
        <w:t>204.</w:t>
      </w:r>
    </w:p>
  </w:footnote>
  <w:footnote w:id="52">
    <w:p w14:paraId="50231507" w14:textId="77777777" w:rsidR="009D032A" w:rsidRPr="005049A3" w:rsidRDefault="009D032A" w:rsidP="0013659B">
      <w:pPr>
        <w:pStyle w:val="FootnoteText"/>
        <w:tabs>
          <w:tab w:val="left" w:pos="709"/>
        </w:tabs>
        <w:spacing w:after="0"/>
        <w:rPr>
          <w:lang w:val="es-ES_tradnl"/>
        </w:rPr>
      </w:pPr>
    </w:p>
    <w:p w14:paraId="4757CB62" w14:textId="3CD01108" w:rsidR="009D032A" w:rsidRPr="005049A3" w:rsidRDefault="009D032A" w:rsidP="0013659B">
      <w:pPr>
        <w:pStyle w:val="FootnoteText"/>
        <w:tabs>
          <w:tab w:val="left" w:pos="709"/>
        </w:tabs>
        <w:spacing w:after="0"/>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Times New Roman"/>
          <w:i/>
          <w:lang w:val="es-ES_tradnl"/>
        </w:rPr>
        <w:t>Cfr.</w:t>
      </w:r>
      <w:r w:rsidRPr="005049A3">
        <w:rPr>
          <w:rFonts w:cs="Times New Roman"/>
          <w:lang w:val="es-ES_tradnl"/>
        </w:rPr>
        <w:t xml:space="preserve"> </w:t>
      </w:r>
      <w:r w:rsidRPr="005049A3">
        <w:rPr>
          <w:rFonts w:cs="Verdana"/>
          <w:bCs/>
          <w:lang w:val="es-ES_tradnl"/>
        </w:rPr>
        <w:t xml:space="preserve">Corte IDH. </w:t>
      </w:r>
      <w:r w:rsidRPr="005049A3">
        <w:rPr>
          <w:rFonts w:cs="Verdana"/>
          <w:bCs/>
          <w:i/>
          <w:lang w:val="es-ES_tradnl"/>
        </w:rPr>
        <w:t>Caso Masacre de Santo Domingo Vs. Colombia. Excepciones Preliminares, Fondo y Reparaciones.</w:t>
      </w:r>
      <w:r w:rsidRPr="005049A3">
        <w:rPr>
          <w:rFonts w:cs="Verdana"/>
          <w:bCs/>
          <w:lang w:val="es-ES_tradnl"/>
        </w:rPr>
        <w:t xml:space="preserve"> Sentencia de 30 de noviembre de 2012. Serie C No. 259, párr.</w:t>
      </w:r>
      <w:r w:rsidRPr="005049A3">
        <w:rPr>
          <w:rFonts w:cs="Times New Roman"/>
          <w:lang w:val="es-ES_tradnl"/>
        </w:rPr>
        <w:t xml:space="preserve"> 273.   </w:t>
      </w:r>
    </w:p>
    <w:p w14:paraId="7D713E37" w14:textId="77777777" w:rsidR="009D032A" w:rsidRPr="005049A3" w:rsidRDefault="009D032A" w:rsidP="0013659B">
      <w:pPr>
        <w:pStyle w:val="FootnoteText"/>
        <w:tabs>
          <w:tab w:val="left" w:pos="709"/>
        </w:tabs>
        <w:spacing w:after="0"/>
        <w:rPr>
          <w:lang w:val="es-ES_tradnl"/>
        </w:rPr>
      </w:pPr>
    </w:p>
  </w:footnote>
  <w:footnote w:id="53">
    <w:p w14:paraId="5559E968" w14:textId="2C5811D0" w:rsidR="009D032A" w:rsidRPr="005049A3" w:rsidRDefault="009D032A" w:rsidP="0013659B">
      <w:pPr>
        <w:pStyle w:val="ListParagraph"/>
        <w:tabs>
          <w:tab w:val="left" w:pos="709"/>
        </w:tabs>
        <w:ind w:left="0"/>
        <w:rPr>
          <w:rFonts w:cs="Times New Roman"/>
          <w:i/>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sidRPr="005049A3">
        <w:rPr>
          <w:rFonts w:cs="Verdana"/>
          <w:bCs/>
          <w:sz w:val="16"/>
          <w:szCs w:val="16"/>
          <w:lang w:val="es-ES_tradnl"/>
        </w:rPr>
        <w:t xml:space="preserve">Corte IDH. </w:t>
      </w:r>
      <w:r w:rsidRPr="005049A3">
        <w:rPr>
          <w:rFonts w:cs="Verdana"/>
          <w:bCs/>
          <w:i/>
          <w:sz w:val="16"/>
          <w:szCs w:val="16"/>
          <w:lang w:val="es-ES_tradnl"/>
        </w:rPr>
        <w:t>Caso Masacre de Santo Domingo Vs. Colombia. Excepciones Preliminares, Fondo y Reparaciones.</w:t>
      </w:r>
      <w:r w:rsidRPr="005049A3">
        <w:rPr>
          <w:rFonts w:cs="Verdana"/>
          <w:bCs/>
          <w:sz w:val="16"/>
          <w:szCs w:val="16"/>
          <w:lang w:val="es-ES_tradnl"/>
        </w:rPr>
        <w:t xml:space="preserve"> Sentencia de 30 de noviembre de 2012. Serie C No. 259, párr.</w:t>
      </w:r>
      <w:r w:rsidRPr="005049A3">
        <w:rPr>
          <w:rFonts w:cs="Times New Roman"/>
          <w:sz w:val="16"/>
          <w:szCs w:val="16"/>
          <w:lang w:val="es-ES_tradnl"/>
        </w:rPr>
        <w:t xml:space="preserve"> 274</w:t>
      </w:r>
      <w:r>
        <w:rPr>
          <w:rFonts w:cs="Times New Roman"/>
          <w:sz w:val="16"/>
          <w:szCs w:val="16"/>
          <w:lang w:val="es-ES_tradnl"/>
        </w:rPr>
        <w:t>.</w:t>
      </w:r>
    </w:p>
    <w:p w14:paraId="7F8AC6F2" w14:textId="1FA26A18" w:rsidR="009D032A" w:rsidRPr="005049A3" w:rsidRDefault="009D032A" w:rsidP="0013659B">
      <w:pPr>
        <w:pStyle w:val="FootnoteText"/>
        <w:tabs>
          <w:tab w:val="left" w:pos="709"/>
        </w:tabs>
        <w:spacing w:after="0"/>
        <w:rPr>
          <w:lang w:val="es-ES_tradnl"/>
        </w:rPr>
      </w:pPr>
    </w:p>
  </w:footnote>
  <w:footnote w:id="54">
    <w:p w14:paraId="24F56661" w14:textId="107A601D"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Verdana"/>
          <w:bCs/>
          <w:lang w:val="es-ES_tradnl"/>
        </w:rPr>
        <w:t xml:space="preserve">Corte IDH. </w:t>
      </w:r>
      <w:r w:rsidRPr="005049A3">
        <w:rPr>
          <w:rFonts w:cs="Verdana"/>
          <w:bCs/>
          <w:i/>
          <w:lang w:val="es-ES_tradnl"/>
        </w:rPr>
        <w:t xml:space="preserve">Caso </w:t>
      </w:r>
      <w:proofErr w:type="spellStart"/>
      <w:r w:rsidRPr="005049A3">
        <w:rPr>
          <w:rFonts w:cs="Verdana"/>
          <w:bCs/>
          <w:i/>
          <w:lang w:val="es-ES_tradnl"/>
        </w:rPr>
        <w:t>Artavia</w:t>
      </w:r>
      <w:proofErr w:type="spellEnd"/>
      <w:r w:rsidRPr="005049A3">
        <w:rPr>
          <w:rFonts w:cs="Verdana"/>
          <w:bCs/>
          <w:i/>
          <w:lang w:val="es-ES_tradnl"/>
        </w:rPr>
        <w:t xml:space="preserve"> Murillo y otros ("Fecundación in vitro") Vs. Costa Rica. Excepciones Preliminares, Fondo, Reparaciones y Costas.</w:t>
      </w:r>
      <w:r w:rsidRPr="005049A3">
        <w:rPr>
          <w:rFonts w:cs="Verdana"/>
          <w:bCs/>
          <w:lang w:val="es-ES_tradnl"/>
        </w:rPr>
        <w:t xml:space="preserve"> </w:t>
      </w:r>
      <w:r w:rsidRPr="000C784B">
        <w:rPr>
          <w:rFonts w:cs="Verdana"/>
          <w:bCs/>
          <w:spacing w:val="-2"/>
          <w:lang w:val="es-ES_tradnl"/>
        </w:rPr>
        <w:t xml:space="preserve">Sentencia de 28 noviembre de 2012. Serie C No. 257, párr. </w:t>
      </w:r>
      <w:r w:rsidRPr="000C784B">
        <w:rPr>
          <w:spacing w:val="-2"/>
          <w:lang w:val="es-ES_tradnl"/>
        </w:rPr>
        <w:t>303.</w:t>
      </w:r>
    </w:p>
    <w:p w14:paraId="75654B03" w14:textId="77777777" w:rsidR="009D032A" w:rsidRPr="005049A3" w:rsidRDefault="009D032A" w:rsidP="0013659B">
      <w:pPr>
        <w:pStyle w:val="FootnoteText"/>
        <w:tabs>
          <w:tab w:val="left" w:pos="709"/>
        </w:tabs>
        <w:spacing w:after="0"/>
        <w:rPr>
          <w:lang w:val="es-ES_tradnl"/>
        </w:rPr>
      </w:pPr>
    </w:p>
  </w:footnote>
  <w:footnote w:id="55">
    <w:p w14:paraId="49FB9FA2" w14:textId="1B5E7009"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Verdana"/>
          <w:bCs/>
          <w:lang w:val="es-ES_tradnl"/>
        </w:rPr>
        <w:t xml:space="preserve">Corte IDH. </w:t>
      </w:r>
      <w:r w:rsidRPr="005049A3">
        <w:rPr>
          <w:rFonts w:cs="Verdana"/>
          <w:bCs/>
          <w:i/>
          <w:lang w:val="es-ES_tradnl"/>
        </w:rPr>
        <w:t xml:space="preserve">Caso </w:t>
      </w:r>
      <w:proofErr w:type="spellStart"/>
      <w:r w:rsidRPr="005049A3">
        <w:rPr>
          <w:rFonts w:cs="Verdana"/>
          <w:bCs/>
          <w:i/>
          <w:lang w:val="es-ES_tradnl"/>
        </w:rPr>
        <w:t>Artavia</w:t>
      </w:r>
      <w:proofErr w:type="spellEnd"/>
      <w:r w:rsidRPr="005049A3">
        <w:rPr>
          <w:rFonts w:cs="Verdana"/>
          <w:bCs/>
          <w:i/>
          <w:lang w:val="es-ES_tradnl"/>
        </w:rPr>
        <w:t xml:space="preserve"> Murillo y otros ("Fecundación in vitro") Vs. Costa Rica. Excepciones Preliminares</w:t>
      </w:r>
      <w:r w:rsidRPr="005049A3">
        <w:rPr>
          <w:rFonts w:cs="Verdana"/>
          <w:bCs/>
          <w:lang w:val="es-ES_tradnl"/>
        </w:rPr>
        <w:t xml:space="preserve">, </w:t>
      </w:r>
      <w:r w:rsidRPr="005049A3">
        <w:rPr>
          <w:rFonts w:cs="Verdana"/>
          <w:bCs/>
          <w:i/>
          <w:lang w:val="es-ES_tradnl"/>
        </w:rPr>
        <w:t>Fondo, Reparaciones y Costas</w:t>
      </w:r>
      <w:r>
        <w:rPr>
          <w:rFonts w:cs="Verdana"/>
          <w:bCs/>
          <w:i/>
          <w:lang w:val="es-ES_tradnl"/>
        </w:rPr>
        <w:t>.</w:t>
      </w:r>
      <w:r w:rsidRPr="005049A3">
        <w:rPr>
          <w:rFonts w:cs="Verdana"/>
          <w:bCs/>
          <w:lang w:val="es-ES_tradnl"/>
        </w:rPr>
        <w:t xml:space="preserve"> </w:t>
      </w:r>
      <w:r w:rsidRPr="000C784B">
        <w:rPr>
          <w:rFonts w:cs="Verdana"/>
          <w:bCs/>
          <w:spacing w:val="-2"/>
          <w:lang w:val="es-ES_tradnl"/>
        </w:rPr>
        <w:t>Sentencia de 28 noviembre de 2012. Serie C No. 257, párr. 288 a 302</w:t>
      </w:r>
      <w:r w:rsidRPr="005049A3">
        <w:rPr>
          <w:rFonts w:cs="Verdana"/>
          <w:bCs/>
          <w:lang w:val="es-ES_tradnl"/>
        </w:rPr>
        <w:t xml:space="preserve">. </w:t>
      </w:r>
    </w:p>
    <w:p w14:paraId="0C894317" w14:textId="77777777" w:rsidR="009D032A" w:rsidRPr="005049A3" w:rsidRDefault="009D032A" w:rsidP="0013659B">
      <w:pPr>
        <w:pStyle w:val="FootnoteText"/>
        <w:tabs>
          <w:tab w:val="left" w:pos="709"/>
        </w:tabs>
        <w:spacing w:after="0"/>
        <w:rPr>
          <w:lang w:val="es-ES_tradnl"/>
        </w:rPr>
      </w:pPr>
    </w:p>
  </w:footnote>
  <w:footnote w:id="56">
    <w:p w14:paraId="25A9E867" w14:textId="39F32BEE" w:rsidR="009D032A" w:rsidRPr="005049A3" w:rsidRDefault="009D032A" w:rsidP="0013659B">
      <w:pPr>
        <w:pStyle w:val="ListParagraph"/>
        <w:tabs>
          <w:tab w:val="left" w:pos="709"/>
        </w:tabs>
        <w:ind w:left="0"/>
        <w:rPr>
          <w:rFonts w:cs="Times New Roman"/>
          <w:i/>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sidRPr="005049A3">
        <w:rPr>
          <w:rFonts w:cs="Verdana"/>
          <w:bCs/>
          <w:sz w:val="16"/>
          <w:szCs w:val="16"/>
          <w:lang w:val="es-ES_tradnl"/>
        </w:rPr>
        <w:t xml:space="preserve">Corte IDH. </w:t>
      </w:r>
      <w:r w:rsidRPr="005049A3">
        <w:rPr>
          <w:rFonts w:cs="Verdana"/>
          <w:bCs/>
          <w:i/>
          <w:sz w:val="16"/>
          <w:szCs w:val="16"/>
          <w:lang w:val="es-ES_tradnl"/>
        </w:rPr>
        <w:t xml:space="preserve">Caso de las niñas </w:t>
      </w:r>
      <w:proofErr w:type="spellStart"/>
      <w:r w:rsidRPr="005049A3">
        <w:rPr>
          <w:rFonts w:cs="Verdana"/>
          <w:bCs/>
          <w:i/>
          <w:sz w:val="16"/>
          <w:szCs w:val="16"/>
          <w:lang w:val="es-ES_tradnl"/>
        </w:rPr>
        <w:t>Yean</w:t>
      </w:r>
      <w:proofErr w:type="spellEnd"/>
      <w:r w:rsidRPr="005049A3">
        <w:rPr>
          <w:rFonts w:cs="Verdana"/>
          <w:bCs/>
          <w:i/>
          <w:sz w:val="16"/>
          <w:szCs w:val="16"/>
          <w:lang w:val="es-ES_tradnl"/>
        </w:rPr>
        <w:t xml:space="preserve"> y </w:t>
      </w:r>
      <w:proofErr w:type="spellStart"/>
      <w:r w:rsidRPr="005049A3">
        <w:rPr>
          <w:rFonts w:cs="Verdana"/>
          <w:bCs/>
          <w:i/>
          <w:sz w:val="16"/>
          <w:szCs w:val="16"/>
          <w:lang w:val="es-ES_tradnl"/>
        </w:rPr>
        <w:t>Bosico</w:t>
      </w:r>
      <w:proofErr w:type="spellEnd"/>
      <w:r w:rsidRPr="005049A3">
        <w:rPr>
          <w:rFonts w:cs="Verdana"/>
          <w:bCs/>
          <w:i/>
          <w:sz w:val="16"/>
          <w:szCs w:val="16"/>
          <w:lang w:val="es-ES_tradnl"/>
        </w:rPr>
        <w:t xml:space="preserve"> Vs. República Dominicana</w:t>
      </w:r>
      <w:r w:rsidRPr="005049A3">
        <w:rPr>
          <w:rFonts w:cs="Verdana"/>
          <w:bCs/>
          <w:sz w:val="16"/>
          <w:szCs w:val="16"/>
          <w:lang w:val="es-ES_tradnl"/>
        </w:rPr>
        <w:t xml:space="preserve">. Sentencia de 8 de septiembre de 2005. Serie C No. 130, párr. </w:t>
      </w:r>
      <w:r w:rsidRPr="005049A3">
        <w:rPr>
          <w:rFonts w:cs="Times New Roman"/>
          <w:sz w:val="16"/>
          <w:szCs w:val="16"/>
          <w:lang w:val="es-ES_tradnl"/>
        </w:rPr>
        <w:t>139</w:t>
      </w:r>
      <w:r>
        <w:rPr>
          <w:rFonts w:cs="Times New Roman"/>
          <w:sz w:val="16"/>
          <w:szCs w:val="16"/>
          <w:lang w:val="es-ES_tradnl"/>
        </w:rPr>
        <w:t>,</w:t>
      </w:r>
      <w:r w:rsidRPr="005049A3">
        <w:rPr>
          <w:rFonts w:cs="Times New Roman"/>
          <w:sz w:val="16"/>
          <w:szCs w:val="16"/>
          <w:lang w:val="es-ES_tradnl"/>
        </w:rPr>
        <w:t xml:space="preserve"> y </w:t>
      </w:r>
      <w:r w:rsidRPr="005049A3">
        <w:rPr>
          <w:rFonts w:cs="Verdana"/>
          <w:bCs/>
          <w:i/>
          <w:sz w:val="16"/>
          <w:szCs w:val="16"/>
          <w:lang w:val="es-ES_tradnl"/>
        </w:rPr>
        <w:t>Caso de personas dominicanas y haitianas expulsadas Vs. República Dominicana. Excepciones Preliminares, Fondo, Reparaciones y Cos</w:t>
      </w:r>
      <w:r w:rsidRPr="005049A3">
        <w:rPr>
          <w:rFonts w:cs="Verdana"/>
          <w:bCs/>
          <w:sz w:val="16"/>
          <w:szCs w:val="16"/>
          <w:lang w:val="es-ES_tradnl"/>
        </w:rPr>
        <w:t xml:space="preserve">tas. Sentencia de 28 de agosto de 2014. Serie C No. 282, párr. </w:t>
      </w:r>
      <w:r w:rsidRPr="005049A3">
        <w:rPr>
          <w:rFonts w:cs="Times New Roman"/>
          <w:sz w:val="16"/>
          <w:szCs w:val="16"/>
          <w:lang w:val="es-ES_tradnl"/>
        </w:rPr>
        <w:t>158.</w:t>
      </w:r>
    </w:p>
    <w:p w14:paraId="6A02B8C0" w14:textId="5D83D5B2" w:rsidR="009D032A" w:rsidRPr="005049A3" w:rsidRDefault="009D032A" w:rsidP="0013659B">
      <w:pPr>
        <w:pStyle w:val="FootnoteText"/>
        <w:tabs>
          <w:tab w:val="left" w:pos="709"/>
        </w:tabs>
        <w:spacing w:after="0"/>
        <w:rPr>
          <w:lang w:val="es-ES_tradnl"/>
        </w:rPr>
      </w:pPr>
    </w:p>
  </w:footnote>
  <w:footnote w:id="57">
    <w:p w14:paraId="37519138" w14:textId="67223440" w:rsidR="009D032A" w:rsidRPr="005049A3" w:rsidRDefault="009D032A" w:rsidP="0013659B">
      <w:pPr>
        <w:pStyle w:val="FootnoteText"/>
        <w:tabs>
          <w:tab w:val="left" w:pos="709"/>
        </w:tabs>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Verdana"/>
          <w:bCs/>
          <w:lang w:val="es-ES_tradnl"/>
        </w:rPr>
        <w:t xml:space="preserve">Corte IDH. </w:t>
      </w:r>
      <w:r w:rsidRPr="005049A3">
        <w:rPr>
          <w:rFonts w:cs="Verdana"/>
          <w:bCs/>
          <w:i/>
          <w:lang w:val="es-ES_tradnl"/>
        </w:rPr>
        <w:t xml:space="preserve">Caso Gonzales </w:t>
      </w:r>
      <w:proofErr w:type="spellStart"/>
      <w:r w:rsidRPr="005049A3">
        <w:rPr>
          <w:rFonts w:cs="Verdana"/>
          <w:bCs/>
          <w:i/>
          <w:lang w:val="es-ES_tradnl"/>
        </w:rPr>
        <w:t>Lluy</w:t>
      </w:r>
      <w:proofErr w:type="spellEnd"/>
      <w:r w:rsidRPr="005049A3">
        <w:rPr>
          <w:rFonts w:cs="Verdana"/>
          <w:bCs/>
          <w:i/>
          <w:lang w:val="es-ES_tradnl"/>
        </w:rPr>
        <w:t xml:space="preserve"> y otros Vs. Ecuador. Excepciones Preliminares, Fondo, Reparaciones y Costas</w:t>
      </w:r>
      <w:r w:rsidRPr="005049A3">
        <w:rPr>
          <w:rFonts w:cs="Verdana"/>
          <w:bCs/>
          <w:lang w:val="es-ES_tradnl"/>
        </w:rPr>
        <w:t xml:space="preserve">. Sentencia de 1 de septiembre de 2015. Serie C No. 298, párr. </w:t>
      </w:r>
      <w:r w:rsidRPr="005049A3">
        <w:rPr>
          <w:rFonts w:cs="Times New Roman"/>
          <w:lang w:val="es-ES_tradnl"/>
        </w:rPr>
        <w:t>193.</w:t>
      </w:r>
    </w:p>
    <w:p w14:paraId="26ED6E16" w14:textId="77777777" w:rsidR="009D032A" w:rsidRPr="005049A3" w:rsidRDefault="009D032A" w:rsidP="0013659B">
      <w:pPr>
        <w:pStyle w:val="FootnoteText"/>
        <w:tabs>
          <w:tab w:val="left" w:pos="709"/>
        </w:tabs>
        <w:rPr>
          <w:lang w:val="es-ES_tradnl"/>
        </w:rPr>
      </w:pPr>
    </w:p>
  </w:footnote>
  <w:footnote w:id="58">
    <w:p w14:paraId="392AD26B" w14:textId="263B589D"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Verdana"/>
          <w:bCs/>
          <w:lang w:val="es-ES_tradnl"/>
        </w:rPr>
        <w:t xml:space="preserve">Corte IDH. </w:t>
      </w:r>
      <w:r w:rsidRPr="005049A3">
        <w:rPr>
          <w:rFonts w:cs="Verdana"/>
          <w:bCs/>
          <w:i/>
          <w:lang w:val="es-ES_tradnl"/>
        </w:rPr>
        <w:t xml:space="preserve">Caso Gonzales </w:t>
      </w:r>
      <w:proofErr w:type="spellStart"/>
      <w:r w:rsidRPr="005049A3">
        <w:rPr>
          <w:rFonts w:cs="Verdana"/>
          <w:bCs/>
          <w:i/>
          <w:lang w:val="es-ES_tradnl"/>
        </w:rPr>
        <w:t>Lluy</w:t>
      </w:r>
      <w:proofErr w:type="spellEnd"/>
      <w:r w:rsidRPr="005049A3">
        <w:rPr>
          <w:rFonts w:cs="Verdana"/>
          <w:bCs/>
          <w:i/>
          <w:lang w:val="es-ES_tradnl"/>
        </w:rPr>
        <w:t xml:space="preserve"> y otros Vs. Ecuador. Excepciones Preliminares, Fondo, Reparaciones y Costas</w:t>
      </w:r>
      <w:r w:rsidRPr="005049A3">
        <w:rPr>
          <w:rFonts w:cs="Verdana"/>
          <w:bCs/>
          <w:lang w:val="es-ES_tradnl"/>
        </w:rPr>
        <w:t xml:space="preserve">. Sentencia de 1 de septiembre de 2015. Serie C No. 298, párr. </w:t>
      </w:r>
      <w:r w:rsidRPr="005049A3">
        <w:rPr>
          <w:rFonts w:cs="Times New Roman"/>
          <w:lang w:val="es-ES_tradnl"/>
        </w:rPr>
        <w:t>290.</w:t>
      </w:r>
    </w:p>
    <w:p w14:paraId="37B12641" w14:textId="77777777" w:rsidR="009D032A" w:rsidRPr="005049A3" w:rsidRDefault="009D032A" w:rsidP="0013659B">
      <w:pPr>
        <w:pStyle w:val="FootnoteText"/>
        <w:tabs>
          <w:tab w:val="left" w:pos="709"/>
        </w:tabs>
        <w:rPr>
          <w:lang w:val="es-ES_tradnl"/>
        </w:rPr>
      </w:pPr>
    </w:p>
  </w:footnote>
  <w:footnote w:id="59">
    <w:p w14:paraId="7D158BB9" w14:textId="4DC33EF3" w:rsidR="009D032A" w:rsidRPr="005049A3" w:rsidRDefault="009D032A" w:rsidP="0013659B">
      <w:pPr>
        <w:pStyle w:val="FootnoteText"/>
        <w:tabs>
          <w:tab w:val="left" w:pos="709"/>
        </w:tabs>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rFonts w:cs="Verdana"/>
          <w:bCs/>
          <w:lang w:val="es-ES_tradnl"/>
        </w:rPr>
        <w:t xml:space="preserve">Corte IDH. </w:t>
      </w:r>
      <w:r w:rsidRPr="005049A3">
        <w:rPr>
          <w:rFonts w:cs="Verdana"/>
          <w:bCs/>
          <w:i/>
          <w:lang w:val="es-ES_tradnl"/>
        </w:rPr>
        <w:t xml:space="preserve">Caso Gonzales </w:t>
      </w:r>
      <w:proofErr w:type="spellStart"/>
      <w:r w:rsidRPr="005049A3">
        <w:rPr>
          <w:rFonts w:cs="Verdana"/>
          <w:bCs/>
          <w:i/>
          <w:lang w:val="es-ES_tradnl"/>
        </w:rPr>
        <w:t>Lluy</w:t>
      </w:r>
      <w:proofErr w:type="spellEnd"/>
      <w:r w:rsidRPr="005049A3">
        <w:rPr>
          <w:rFonts w:cs="Verdana"/>
          <w:bCs/>
          <w:i/>
          <w:lang w:val="es-ES_tradnl"/>
        </w:rPr>
        <w:t xml:space="preserve"> y otros Vs. Ecuador. Excepciones Preliminares, Fondo, Reparaciones y Costas</w:t>
      </w:r>
      <w:r w:rsidRPr="005049A3">
        <w:rPr>
          <w:rFonts w:cs="Verdana"/>
          <w:bCs/>
          <w:lang w:val="es-ES_tradnl"/>
        </w:rPr>
        <w:t xml:space="preserve">. Sentencia de 1 de septiembre de 2015. Serie C No. 298, párr. </w:t>
      </w:r>
      <w:r w:rsidRPr="005049A3">
        <w:rPr>
          <w:rFonts w:cs="Times New Roman"/>
          <w:lang w:val="es-ES_tradnl"/>
        </w:rPr>
        <w:t xml:space="preserve">291. </w:t>
      </w:r>
    </w:p>
    <w:p w14:paraId="36CC2F35" w14:textId="77777777" w:rsidR="009D032A" w:rsidRPr="005049A3" w:rsidRDefault="009D032A" w:rsidP="0013659B">
      <w:pPr>
        <w:pStyle w:val="FootnoteText"/>
        <w:tabs>
          <w:tab w:val="left" w:pos="709"/>
        </w:tabs>
        <w:rPr>
          <w:lang w:val="es-ES_tradnl"/>
        </w:rPr>
      </w:pPr>
    </w:p>
  </w:footnote>
  <w:footnote w:id="60">
    <w:p w14:paraId="191CA9AD" w14:textId="1189ED8A"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Véase: </w:t>
      </w:r>
      <w:r w:rsidRPr="005049A3">
        <w:rPr>
          <w:rFonts w:cs="Verdana"/>
          <w:bCs/>
          <w:lang w:val="es-ES_tradnl"/>
        </w:rPr>
        <w:t xml:space="preserve">Corte IDH. </w:t>
      </w:r>
      <w:r w:rsidRPr="005049A3">
        <w:rPr>
          <w:rFonts w:cs="Verdana"/>
          <w:bCs/>
          <w:i/>
          <w:lang w:val="es-ES_tradnl"/>
        </w:rPr>
        <w:t xml:space="preserve">Caso </w:t>
      </w:r>
      <w:proofErr w:type="spellStart"/>
      <w:r w:rsidRPr="005049A3">
        <w:rPr>
          <w:rFonts w:cs="Verdana"/>
          <w:bCs/>
          <w:i/>
          <w:lang w:val="es-ES_tradnl"/>
        </w:rPr>
        <w:t>Artavia</w:t>
      </w:r>
      <w:proofErr w:type="spellEnd"/>
      <w:r w:rsidRPr="005049A3">
        <w:rPr>
          <w:rFonts w:cs="Verdana"/>
          <w:bCs/>
          <w:i/>
          <w:lang w:val="es-ES_tradnl"/>
        </w:rPr>
        <w:t xml:space="preserve"> Murillo y otros ("Fecundación in vitro") Vs. Costa Rica. Excepciones Preliminares, Fondo, Reparaciones y Costas.</w:t>
      </w:r>
      <w:r w:rsidRPr="005049A3">
        <w:rPr>
          <w:rFonts w:cs="Verdana"/>
          <w:bCs/>
          <w:lang w:val="es-ES_tradnl"/>
        </w:rPr>
        <w:t xml:space="preserve"> Sentencia de 28 noviembre de 2012. Serie C No. 257.</w:t>
      </w:r>
    </w:p>
  </w:footnote>
  <w:footnote w:id="61">
    <w:p w14:paraId="4164D0AF" w14:textId="77777777" w:rsidR="009D032A" w:rsidRPr="005049A3" w:rsidRDefault="009D032A" w:rsidP="0013659B">
      <w:pPr>
        <w:pStyle w:val="FootnoteText"/>
        <w:tabs>
          <w:tab w:val="left" w:pos="709"/>
        </w:tabs>
        <w:spacing w:after="0"/>
        <w:rPr>
          <w:lang w:val="es-ES_tradnl"/>
        </w:rPr>
      </w:pPr>
    </w:p>
    <w:p w14:paraId="713A1094" w14:textId="5652C7CB"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t>Véase</w:t>
      </w:r>
      <w:r w:rsidRPr="005049A3">
        <w:rPr>
          <w:lang w:val="es-ES_tradnl"/>
        </w:rPr>
        <w:t xml:space="preserve">: </w:t>
      </w:r>
      <w:r w:rsidRPr="005049A3">
        <w:rPr>
          <w:rFonts w:cs="Verdana"/>
          <w:bCs/>
          <w:lang w:val="es-ES_tradnl"/>
        </w:rPr>
        <w:t xml:space="preserve">Corte IDH. </w:t>
      </w:r>
      <w:r w:rsidRPr="005049A3">
        <w:rPr>
          <w:rFonts w:cs="Verdana"/>
          <w:bCs/>
          <w:i/>
          <w:lang w:val="es-ES_tradnl"/>
        </w:rPr>
        <w:t xml:space="preserve">Caso Gonzales </w:t>
      </w:r>
      <w:proofErr w:type="spellStart"/>
      <w:r w:rsidRPr="005049A3">
        <w:rPr>
          <w:rFonts w:cs="Verdana"/>
          <w:bCs/>
          <w:i/>
          <w:lang w:val="es-ES_tradnl"/>
        </w:rPr>
        <w:t>Lluy</w:t>
      </w:r>
      <w:proofErr w:type="spellEnd"/>
      <w:r w:rsidRPr="005049A3">
        <w:rPr>
          <w:rFonts w:cs="Verdana"/>
          <w:bCs/>
          <w:i/>
          <w:lang w:val="es-ES_tradnl"/>
        </w:rPr>
        <w:t xml:space="preserve"> y otros Vs. Ecuador. Excepciones Preliminares, Fondo, Reparaciones y Costas</w:t>
      </w:r>
      <w:r w:rsidRPr="005049A3">
        <w:rPr>
          <w:rFonts w:cs="Verdana"/>
          <w:bCs/>
          <w:lang w:val="es-ES_tradnl"/>
        </w:rPr>
        <w:t>. Sentencia de 1 de septiembre de 2015. Serie C No. 298.</w:t>
      </w:r>
    </w:p>
  </w:footnote>
  <w:footnote w:id="62">
    <w:p w14:paraId="08B275FB" w14:textId="77777777" w:rsidR="009D032A" w:rsidRPr="005049A3" w:rsidRDefault="009D032A" w:rsidP="0013659B">
      <w:pPr>
        <w:pStyle w:val="FootnoteText"/>
        <w:tabs>
          <w:tab w:val="left" w:pos="709"/>
        </w:tabs>
        <w:spacing w:after="0"/>
        <w:rPr>
          <w:lang w:val="es-ES_tradnl"/>
        </w:rPr>
      </w:pPr>
    </w:p>
    <w:p w14:paraId="679F18DD" w14:textId="7DE0858C" w:rsidR="009D032A" w:rsidRPr="005049A3" w:rsidRDefault="009D032A" w:rsidP="0013659B">
      <w:pPr>
        <w:pStyle w:val="FootnoteText"/>
        <w:tabs>
          <w:tab w:val="left" w:pos="709"/>
        </w:tabs>
        <w:spacing w:after="0"/>
        <w:rPr>
          <w:rFonts w:cs="Times New Roman"/>
          <w:b/>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Véase: </w:t>
      </w:r>
      <w:r w:rsidRPr="005049A3">
        <w:rPr>
          <w:rFonts w:cs="Verdana"/>
          <w:bCs/>
          <w:lang w:val="es-ES_tradnl"/>
        </w:rPr>
        <w:t xml:space="preserve">Corte IDH. </w:t>
      </w:r>
      <w:r w:rsidRPr="005049A3">
        <w:rPr>
          <w:rFonts w:cs="Verdana"/>
          <w:bCs/>
          <w:i/>
          <w:lang w:val="es-ES_tradnl"/>
        </w:rPr>
        <w:t xml:space="preserve">Caso </w:t>
      </w:r>
      <w:proofErr w:type="spellStart"/>
      <w:r w:rsidRPr="005049A3">
        <w:rPr>
          <w:rFonts w:cs="Verdana"/>
          <w:bCs/>
          <w:i/>
          <w:lang w:val="es-ES_tradnl"/>
        </w:rPr>
        <w:t>Uzcátegui</w:t>
      </w:r>
      <w:proofErr w:type="spellEnd"/>
      <w:r w:rsidRPr="005049A3">
        <w:rPr>
          <w:rFonts w:cs="Verdana"/>
          <w:bCs/>
          <w:i/>
          <w:lang w:val="es-ES_tradnl"/>
        </w:rPr>
        <w:t xml:space="preserve"> y otros Vs. Venezuela. Fondo y Reparaciones</w:t>
      </w:r>
      <w:r w:rsidRPr="005049A3">
        <w:rPr>
          <w:rFonts w:cs="Verdana"/>
          <w:bCs/>
          <w:lang w:val="es-ES_tradnl"/>
        </w:rPr>
        <w:t xml:space="preserve">. Sentencia de 3 de septiembre de 2012. Serie C No. 249. </w:t>
      </w:r>
    </w:p>
    <w:p w14:paraId="60948EA6" w14:textId="77777777" w:rsidR="009D032A" w:rsidRPr="005049A3" w:rsidRDefault="009D032A" w:rsidP="0013659B">
      <w:pPr>
        <w:pStyle w:val="FootnoteText"/>
        <w:tabs>
          <w:tab w:val="left" w:pos="709"/>
        </w:tabs>
        <w:spacing w:after="0"/>
        <w:rPr>
          <w:lang w:val="es-ES_tradnl"/>
        </w:rPr>
      </w:pPr>
    </w:p>
  </w:footnote>
  <w:footnote w:id="63">
    <w:p w14:paraId="1066084B" w14:textId="02E6C99A"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Corte IDH. </w:t>
      </w:r>
      <w:r w:rsidRPr="005049A3">
        <w:rPr>
          <w:i/>
          <w:lang w:val="es-ES_tradnl"/>
        </w:rPr>
        <w:t>Caso Trabajadores de la Hacienda Brasil Ver</w:t>
      </w:r>
      <w:r>
        <w:rPr>
          <w:i/>
          <w:lang w:val="es-ES_tradnl"/>
        </w:rPr>
        <w:t>d</w:t>
      </w:r>
      <w:r w:rsidRPr="005049A3">
        <w:rPr>
          <w:i/>
          <w:lang w:val="es-ES_tradnl"/>
        </w:rPr>
        <w:t xml:space="preserve">e Vs. Brasil. Excepciones Preliminares, Fondo, Reparaciones y Costas. </w:t>
      </w:r>
      <w:r>
        <w:rPr>
          <w:lang w:val="es-ES_tradnl"/>
        </w:rPr>
        <w:t>Sentencia de 20</w:t>
      </w:r>
      <w:r w:rsidRPr="005049A3">
        <w:rPr>
          <w:lang w:val="es-ES_tradnl"/>
        </w:rPr>
        <w:t xml:space="preserve"> octubre de 2016, </w:t>
      </w:r>
      <w:r>
        <w:rPr>
          <w:lang w:val="es-ES_tradnl"/>
        </w:rPr>
        <w:t>Serie C No. 318,</w:t>
      </w:r>
      <w:r w:rsidRPr="005049A3">
        <w:rPr>
          <w:lang w:val="es-ES_tradnl"/>
        </w:rPr>
        <w:t xml:space="preserve"> párr. 341.</w:t>
      </w:r>
    </w:p>
    <w:p w14:paraId="7BF661CF" w14:textId="77777777" w:rsidR="009D032A" w:rsidRPr="005049A3" w:rsidRDefault="009D032A" w:rsidP="0013659B">
      <w:pPr>
        <w:pStyle w:val="FootnoteText"/>
        <w:tabs>
          <w:tab w:val="left" w:pos="709"/>
        </w:tabs>
        <w:rPr>
          <w:lang w:val="es-ES_tradnl"/>
        </w:rPr>
      </w:pPr>
    </w:p>
  </w:footnote>
  <w:footnote w:id="64">
    <w:p w14:paraId="29D9FF2C" w14:textId="55A0D83D" w:rsidR="009D032A" w:rsidRPr="005049A3" w:rsidRDefault="009D032A" w:rsidP="0013659B">
      <w:pPr>
        <w:pStyle w:val="FootnoteText"/>
        <w:tabs>
          <w:tab w:val="left" w:pos="709"/>
        </w:tabs>
        <w:spacing w:after="0"/>
        <w:rPr>
          <w:rFonts w:cs="Verdana"/>
          <w:bCs/>
          <w:lang w:val="es-ES_tradnl"/>
        </w:rPr>
      </w:pPr>
      <w:r w:rsidRPr="005049A3">
        <w:rPr>
          <w:rStyle w:val="FootnoteReference"/>
          <w:szCs w:val="16"/>
          <w:lang w:val="es-ES_tradnl"/>
        </w:rPr>
        <w:footnoteRef/>
      </w:r>
      <w:r w:rsidRPr="005049A3">
        <w:rPr>
          <w:rFonts w:cs="Times New Roman"/>
          <w:b/>
          <w:lang w:val="es-ES_tradnl"/>
        </w:rPr>
        <w:t xml:space="preserve"> </w:t>
      </w:r>
      <w:r w:rsidRPr="005049A3">
        <w:rPr>
          <w:rFonts w:cs="Times New Roman"/>
          <w:b/>
          <w:lang w:val="es-ES_tradnl"/>
        </w:rPr>
        <w:tab/>
        <w:t xml:space="preserve"> </w:t>
      </w:r>
      <w:r w:rsidRPr="005049A3">
        <w:rPr>
          <w:rFonts w:cs="Times New Roman"/>
          <w:lang w:val="es-ES_tradnl"/>
        </w:rPr>
        <w:t>Por ejemplo, la Corte IDH ha referido que la redacción del artículo 1.1 deja abiertos los criterios con la inclusión del término “otra condición social” para incorporar as</w:t>
      </w:r>
      <w:r>
        <w:rPr>
          <w:rFonts w:cs="Times New Roman"/>
          <w:lang w:val="es-ES_tradnl"/>
        </w:rPr>
        <w:t>í</w:t>
      </w:r>
      <w:r w:rsidRPr="005049A3">
        <w:rPr>
          <w:rFonts w:cs="Times New Roman"/>
          <w:lang w:val="es-ES_tradnl"/>
        </w:rPr>
        <w:t xml:space="preserve"> a otras categorías que no hubiesen sido explícitamente indicadas. Así, la expresión “cualquier otra condición social” del artículo 1.1. de la Convención debe ser interpretada por la Corte, en consecuencia, en la perspectiva de la opción más favorable a la persona y de la evolución de los derechos fundamentales en el derecho internacional contemporáneo. </w:t>
      </w:r>
      <w:r w:rsidRPr="005049A3">
        <w:rPr>
          <w:rFonts w:cs="Times New Roman"/>
          <w:i/>
          <w:lang w:val="es-ES_tradnl"/>
        </w:rPr>
        <w:t>Cfr.</w:t>
      </w:r>
      <w:r w:rsidRPr="005049A3">
        <w:rPr>
          <w:rFonts w:cs="Times New Roman"/>
          <w:lang w:val="es-ES_tradnl"/>
        </w:rPr>
        <w:t xml:space="preserve"> </w:t>
      </w:r>
      <w:r w:rsidRPr="005049A3">
        <w:rPr>
          <w:rFonts w:cs="Verdana"/>
          <w:bCs/>
          <w:i/>
          <w:lang w:val="es-ES_tradnl"/>
        </w:rPr>
        <w:t xml:space="preserve">Caso </w:t>
      </w:r>
      <w:proofErr w:type="spellStart"/>
      <w:r w:rsidRPr="005049A3">
        <w:rPr>
          <w:rFonts w:cs="Verdana"/>
          <w:bCs/>
          <w:i/>
          <w:lang w:val="es-ES_tradnl"/>
        </w:rPr>
        <w:t>Atala</w:t>
      </w:r>
      <w:proofErr w:type="spellEnd"/>
      <w:r w:rsidRPr="005049A3">
        <w:rPr>
          <w:rFonts w:cs="Verdana"/>
          <w:bCs/>
          <w:i/>
          <w:lang w:val="es-ES_tradnl"/>
        </w:rPr>
        <w:t xml:space="preserve"> </w:t>
      </w:r>
      <w:proofErr w:type="spellStart"/>
      <w:r w:rsidRPr="005049A3">
        <w:rPr>
          <w:rFonts w:cs="Verdana"/>
          <w:bCs/>
          <w:i/>
          <w:lang w:val="es-ES_tradnl"/>
        </w:rPr>
        <w:t>Riffo</w:t>
      </w:r>
      <w:proofErr w:type="spellEnd"/>
      <w:r w:rsidRPr="005049A3">
        <w:rPr>
          <w:rFonts w:cs="Verdana"/>
          <w:bCs/>
          <w:i/>
          <w:lang w:val="es-ES_tradnl"/>
        </w:rPr>
        <w:t xml:space="preserve"> y niñas Vs. Chile. Fondo, Reparaciones y Costas</w:t>
      </w:r>
      <w:r w:rsidRPr="005049A3">
        <w:rPr>
          <w:rFonts w:cs="Verdana"/>
          <w:bCs/>
          <w:lang w:val="es-ES_tradnl"/>
        </w:rPr>
        <w:t xml:space="preserve">. Sentencia del 24 de febrero de 2012. Serie C No. 239, párr. 85. </w:t>
      </w:r>
    </w:p>
    <w:p w14:paraId="2B1EF4AE" w14:textId="77777777" w:rsidR="009D032A" w:rsidRPr="005049A3" w:rsidRDefault="009D032A" w:rsidP="0013659B">
      <w:pPr>
        <w:pStyle w:val="FootnoteText"/>
        <w:tabs>
          <w:tab w:val="left" w:pos="709"/>
        </w:tabs>
        <w:spacing w:after="0"/>
        <w:rPr>
          <w:lang w:val="es-ES_tradnl"/>
        </w:rPr>
      </w:pPr>
    </w:p>
  </w:footnote>
  <w:footnote w:id="65">
    <w:p w14:paraId="34370DB2" w14:textId="21CC9C4F" w:rsidR="009D032A" w:rsidRPr="005049A3" w:rsidRDefault="009D032A" w:rsidP="0013659B">
      <w:pPr>
        <w:pStyle w:val="ListParagraph"/>
        <w:tabs>
          <w:tab w:val="left" w:pos="709"/>
        </w:tabs>
        <w:ind w:left="0"/>
        <w:rPr>
          <w:rFonts w:cs="System Font Regular"/>
          <w:i/>
          <w:color w:val="16191F"/>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sidRPr="005049A3">
        <w:rPr>
          <w:rFonts w:cs="System Font Regular"/>
          <w:color w:val="16191F"/>
          <w:sz w:val="16"/>
          <w:szCs w:val="16"/>
          <w:lang w:val="es-ES_tradnl"/>
        </w:rPr>
        <w:t>Con anterioridad</w:t>
      </w:r>
      <w:r>
        <w:rPr>
          <w:rFonts w:cs="System Font Regular"/>
          <w:color w:val="16191F"/>
          <w:sz w:val="16"/>
          <w:szCs w:val="16"/>
          <w:lang w:val="es-ES_tradnl"/>
        </w:rPr>
        <w:t>,</w:t>
      </w:r>
      <w:r w:rsidRPr="005049A3">
        <w:rPr>
          <w:rFonts w:cs="System Font Regular"/>
          <w:color w:val="16191F"/>
          <w:sz w:val="16"/>
          <w:szCs w:val="16"/>
          <w:lang w:val="es-ES_tradnl"/>
        </w:rPr>
        <w:t xml:space="preserve"> la Corte ha ampliado el catálogo de categorías de protección especial que se encontraban expresas en el artículo 1.1 de la Convención Americana que fue aprobada en 1969. Así en la </w:t>
      </w:r>
      <w:r w:rsidRPr="005049A3">
        <w:rPr>
          <w:rFonts w:cs="System Font Regular"/>
          <w:i/>
          <w:color w:val="16191F"/>
          <w:sz w:val="16"/>
          <w:szCs w:val="16"/>
          <w:lang w:val="es-ES_tradnl"/>
        </w:rPr>
        <w:t xml:space="preserve">Opinión Consultiva No. 18, sobre la condición Jurídica y derechos de los migrantes indocumentados, </w:t>
      </w:r>
      <w:r w:rsidRPr="005049A3">
        <w:rPr>
          <w:rFonts w:cs="System Font Regular"/>
          <w:color w:val="16191F"/>
          <w:sz w:val="16"/>
          <w:szCs w:val="16"/>
          <w:lang w:val="es-ES_tradnl"/>
        </w:rPr>
        <w:t>del 2003, además de la “</w:t>
      </w:r>
      <w:r w:rsidRPr="005049A3">
        <w:rPr>
          <w:rFonts w:cs="Tahoma"/>
          <w:sz w:val="16"/>
          <w:szCs w:val="16"/>
          <w:lang w:val="es-ES_tradnl"/>
        </w:rPr>
        <w:t xml:space="preserve">raza, color, sexo, idioma, religión, opiniones políticas o de cualquier otra índole, origen nacional o social, posición económica, nacimiento o cualquier otra condición social”, también consideró el “género, la edad, el patrimonio y el </w:t>
      </w:r>
      <w:r>
        <w:rPr>
          <w:rFonts w:cs="Tahoma"/>
          <w:sz w:val="16"/>
          <w:szCs w:val="16"/>
          <w:lang w:val="es-ES_tradnl"/>
        </w:rPr>
        <w:t>estado civil” como categorías –</w:t>
      </w:r>
      <w:r w:rsidRPr="005049A3">
        <w:rPr>
          <w:rFonts w:cs="Tahoma"/>
          <w:sz w:val="16"/>
          <w:szCs w:val="16"/>
          <w:lang w:val="es-ES_tradnl"/>
        </w:rPr>
        <w:t>no expresas- de especial protección a la luz del artículo 1.1 de la Convención Americana</w:t>
      </w:r>
      <w:r w:rsidRPr="005049A3">
        <w:rPr>
          <w:sz w:val="16"/>
          <w:szCs w:val="16"/>
          <w:lang w:val="es-ES_tradnl"/>
        </w:rPr>
        <w:t xml:space="preserve">. </w:t>
      </w:r>
      <w:r w:rsidRPr="005049A3">
        <w:rPr>
          <w:i/>
          <w:sz w:val="16"/>
          <w:szCs w:val="16"/>
          <w:lang w:val="es-ES_tradnl"/>
        </w:rPr>
        <w:t xml:space="preserve">Cfr. </w:t>
      </w:r>
      <w:r w:rsidRPr="005049A3">
        <w:rPr>
          <w:rFonts w:cs="Verdana"/>
          <w:bCs/>
          <w:i/>
          <w:sz w:val="16"/>
          <w:szCs w:val="16"/>
          <w:lang w:val="es-ES_tradnl"/>
        </w:rPr>
        <w:t xml:space="preserve">Condición jurídica y derechos de los migrantes indocumentados. </w:t>
      </w:r>
      <w:r w:rsidRPr="005049A3">
        <w:rPr>
          <w:rFonts w:cs="Verdana"/>
          <w:bCs/>
          <w:sz w:val="16"/>
          <w:szCs w:val="16"/>
          <w:lang w:val="es-ES_tradnl"/>
        </w:rPr>
        <w:t xml:space="preserve">Opinión Consultiva OC-18/03 de 17 de septiembre de 2003. Serie A No. 18, </w:t>
      </w:r>
      <w:r w:rsidRPr="005049A3">
        <w:rPr>
          <w:rFonts w:cs="Tahoma"/>
          <w:sz w:val="16"/>
          <w:szCs w:val="16"/>
          <w:lang w:val="es-ES_tradnl"/>
        </w:rPr>
        <w:t>párr. 101.</w:t>
      </w:r>
    </w:p>
    <w:p w14:paraId="3D74D4BC" w14:textId="77777777" w:rsidR="009D032A" w:rsidRPr="005049A3" w:rsidRDefault="009D032A" w:rsidP="0013659B">
      <w:pPr>
        <w:pStyle w:val="FootnoteText"/>
        <w:tabs>
          <w:tab w:val="left" w:pos="709"/>
        </w:tabs>
        <w:spacing w:after="0"/>
        <w:rPr>
          <w:lang w:val="es-ES_tradnl"/>
        </w:rPr>
      </w:pPr>
    </w:p>
  </w:footnote>
  <w:footnote w:id="66">
    <w:p w14:paraId="0F908A1D" w14:textId="526A0794" w:rsidR="009D032A" w:rsidRPr="005049A3" w:rsidRDefault="009D032A" w:rsidP="0013659B">
      <w:pPr>
        <w:pStyle w:val="FootnoteText"/>
        <w:tabs>
          <w:tab w:val="left" w:pos="709"/>
        </w:tabs>
        <w:spacing w:after="0"/>
        <w:rPr>
          <w:rFonts w:cs="Verdana"/>
          <w:bCs/>
          <w:lang w:val="es-ES_tradnl"/>
        </w:rPr>
      </w:pPr>
      <w:r w:rsidRPr="005049A3">
        <w:rPr>
          <w:rStyle w:val="FootnoteReference"/>
          <w:szCs w:val="16"/>
          <w:lang w:val="es-ES_tradnl"/>
        </w:rPr>
        <w:footnoteRef/>
      </w:r>
      <w:r>
        <w:rPr>
          <w:rFonts w:cs="Times New Roman"/>
          <w:lang w:val="es-ES_tradnl"/>
        </w:rPr>
        <w:tab/>
      </w:r>
      <w:r w:rsidRPr="005049A3">
        <w:rPr>
          <w:rFonts w:cs="Times New Roman"/>
          <w:lang w:val="es-ES_tradnl"/>
        </w:rPr>
        <w:t>En el caso</w:t>
      </w:r>
      <w:r w:rsidRPr="005049A3">
        <w:rPr>
          <w:rFonts w:cs="Times New Roman"/>
          <w:i/>
          <w:lang w:val="es-ES_tradnl"/>
        </w:rPr>
        <w:t xml:space="preserve"> </w:t>
      </w:r>
      <w:proofErr w:type="spellStart"/>
      <w:r w:rsidRPr="005049A3">
        <w:rPr>
          <w:rFonts w:cs="Times New Roman"/>
          <w:i/>
          <w:lang w:val="es-ES_tradnl"/>
        </w:rPr>
        <w:t>Atala</w:t>
      </w:r>
      <w:proofErr w:type="spellEnd"/>
      <w:r w:rsidRPr="005049A3">
        <w:rPr>
          <w:rFonts w:cs="Times New Roman"/>
          <w:i/>
          <w:lang w:val="es-ES_tradnl"/>
        </w:rPr>
        <w:t xml:space="preserve"> </w:t>
      </w:r>
      <w:proofErr w:type="spellStart"/>
      <w:r w:rsidRPr="005049A3">
        <w:rPr>
          <w:rFonts w:cs="Times New Roman"/>
          <w:i/>
          <w:lang w:val="es-ES_tradnl"/>
        </w:rPr>
        <w:t>Riffo</w:t>
      </w:r>
      <w:proofErr w:type="spellEnd"/>
      <w:r w:rsidRPr="005049A3">
        <w:rPr>
          <w:rFonts w:cs="Times New Roman"/>
          <w:i/>
          <w:lang w:val="es-ES_tradnl"/>
        </w:rPr>
        <w:t xml:space="preserve"> y niñas Vs. Chile</w:t>
      </w:r>
      <w:r w:rsidRPr="005049A3">
        <w:rPr>
          <w:rFonts w:cs="Times New Roman"/>
          <w:lang w:val="es-ES_tradnl"/>
        </w:rPr>
        <w:t xml:space="preserve">, a partir de la cláusula </w:t>
      </w:r>
      <w:r w:rsidRPr="005049A3">
        <w:rPr>
          <w:rFonts w:cs="Times New Roman"/>
          <w:i/>
          <w:lang w:val="es-ES_tradnl"/>
        </w:rPr>
        <w:t>“otra condición social”</w:t>
      </w:r>
      <w:r w:rsidRPr="005049A3">
        <w:rPr>
          <w:rFonts w:cs="Times New Roman"/>
          <w:lang w:val="es-ES_tradnl"/>
        </w:rPr>
        <w:t xml:space="preserve">, el Tribunal Interamericano tomando en consideración las obligaciones generales de respeto y garantía establecidas en el artículo 1.1 de la Convención Americana, los criterios de interpretación fijados en el artículo 29 de la dicha Convención, lo estipulado en la Convención de Viena sobre el Derecho de los Tratados, las Resoluciones de la Asamblea General de la OEA, los estándares establecidos por el Tribunal Europeo y los Organismos de Naciones Unidas, la Corte Interamericana dejó establecido que la orientación sexual y la identidad de género de las personas son categorías protegidas por la Convención. </w:t>
      </w:r>
      <w:r>
        <w:rPr>
          <w:rFonts w:cs="Times New Roman"/>
          <w:lang w:val="es-ES_tradnl"/>
        </w:rPr>
        <w:t xml:space="preserve">Corte IDH. </w:t>
      </w:r>
      <w:r w:rsidRPr="005049A3">
        <w:rPr>
          <w:rFonts w:cs="Verdana"/>
          <w:bCs/>
          <w:i/>
          <w:lang w:val="es-ES_tradnl"/>
        </w:rPr>
        <w:t xml:space="preserve">Caso </w:t>
      </w:r>
      <w:proofErr w:type="spellStart"/>
      <w:r w:rsidRPr="005049A3">
        <w:rPr>
          <w:rFonts w:cs="Verdana"/>
          <w:bCs/>
          <w:i/>
          <w:lang w:val="es-ES_tradnl"/>
        </w:rPr>
        <w:t>Atala</w:t>
      </w:r>
      <w:proofErr w:type="spellEnd"/>
      <w:r w:rsidRPr="005049A3">
        <w:rPr>
          <w:rFonts w:cs="Verdana"/>
          <w:bCs/>
          <w:i/>
          <w:lang w:val="es-ES_tradnl"/>
        </w:rPr>
        <w:t xml:space="preserve"> </w:t>
      </w:r>
      <w:proofErr w:type="spellStart"/>
      <w:r w:rsidRPr="005049A3">
        <w:rPr>
          <w:rFonts w:cs="Verdana"/>
          <w:bCs/>
          <w:i/>
          <w:lang w:val="es-ES_tradnl"/>
        </w:rPr>
        <w:t>Riffo</w:t>
      </w:r>
      <w:proofErr w:type="spellEnd"/>
      <w:r w:rsidRPr="005049A3">
        <w:rPr>
          <w:rFonts w:cs="Verdana"/>
          <w:bCs/>
          <w:i/>
          <w:lang w:val="es-ES_tradnl"/>
        </w:rPr>
        <w:t xml:space="preserve"> y niñas Vs. Chile. Fondo, Reparaciones y Costas</w:t>
      </w:r>
      <w:r w:rsidRPr="005049A3">
        <w:rPr>
          <w:rFonts w:cs="Verdana"/>
          <w:bCs/>
          <w:lang w:val="es-ES_tradnl"/>
        </w:rPr>
        <w:t xml:space="preserve">. Sentencia del 24 de febrero de 2012. Serie C No. 239, párr. 91. </w:t>
      </w:r>
    </w:p>
    <w:p w14:paraId="6329B475" w14:textId="370F3821" w:rsidR="009D032A" w:rsidRPr="005049A3" w:rsidRDefault="009D032A" w:rsidP="0013659B">
      <w:pPr>
        <w:pStyle w:val="FootnoteText"/>
        <w:tabs>
          <w:tab w:val="left" w:pos="709"/>
        </w:tabs>
        <w:spacing w:after="0"/>
        <w:rPr>
          <w:lang w:val="es-ES_tradnl"/>
        </w:rPr>
      </w:pPr>
    </w:p>
  </w:footnote>
  <w:footnote w:id="67">
    <w:p w14:paraId="359434D3" w14:textId="4C2EE7E6" w:rsidR="009D032A" w:rsidRPr="005049A3" w:rsidRDefault="009D032A" w:rsidP="0013659B">
      <w:pPr>
        <w:pStyle w:val="ListParagraph"/>
        <w:tabs>
          <w:tab w:val="left" w:pos="709"/>
        </w:tabs>
        <w:ind w:left="0"/>
        <w:rPr>
          <w:rFonts w:cs="Times New Roman"/>
          <w:b/>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sidRPr="005049A3">
        <w:rPr>
          <w:sz w:val="16"/>
          <w:szCs w:val="16"/>
          <w:lang w:val="es-ES_tradnl"/>
        </w:rPr>
        <w:t xml:space="preserve">En los casos </w:t>
      </w:r>
      <w:proofErr w:type="spellStart"/>
      <w:r w:rsidRPr="005049A3">
        <w:rPr>
          <w:i/>
          <w:sz w:val="16"/>
          <w:szCs w:val="16"/>
          <w:lang w:val="es-ES_tradnl"/>
        </w:rPr>
        <w:t>Ximenes</w:t>
      </w:r>
      <w:proofErr w:type="spellEnd"/>
      <w:r w:rsidRPr="005049A3">
        <w:rPr>
          <w:i/>
          <w:sz w:val="16"/>
          <w:szCs w:val="16"/>
          <w:lang w:val="es-ES_tradnl"/>
        </w:rPr>
        <w:t xml:space="preserve"> </w:t>
      </w:r>
      <w:proofErr w:type="spellStart"/>
      <w:r w:rsidRPr="005049A3">
        <w:rPr>
          <w:i/>
          <w:sz w:val="16"/>
          <w:szCs w:val="16"/>
          <w:lang w:val="es-ES_tradnl"/>
        </w:rPr>
        <w:t>Lopes</w:t>
      </w:r>
      <w:proofErr w:type="spellEnd"/>
      <w:r w:rsidRPr="005049A3">
        <w:rPr>
          <w:i/>
          <w:sz w:val="16"/>
          <w:szCs w:val="16"/>
          <w:lang w:val="es-ES_tradnl"/>
        </w:rPr>
        <w:t xml:space="preserve"> Vs. Brasil</w:t>
      </w:r>
      <w:r>
        <w:rPr>
          <w:sz w:val="16"/>
          <w:szCs w:val="16"/>
          <w:lang w:val="es-ES_tradnl"/>
        </w:rPr>
        <w:t>;</w:t>
      </w:r>
      <w:r w:rsidRPr="005049A3">
        <w:rPr>
          <w:sz w:val="16"/>
          <w:szCs w:val="16"/>
          <w:lang w:val="es-ES_tradnl"/>
        </w:rPr>
        <w:t xml:space="preserve"> </w:t>
      </w:r>
      <w:r w:rsidRPr="005049A3">
        <w:rPr>
          <w:i/>
          <w:sz w:val="16"/>
          <w:szCs w:val="16"/>
          <w:lang w:val="es-ES_tradnl"/>
        </w:rPr>
        <w:t>Furlan y familiares Vs. Argentina</w:t>
      </w:r>
      <w:r>
        <w:rPr>
          <w:i/>
          <w:sz w:val="16"/>
          <w:szCs w:val="16"/>
          <w:lang w:val="es-ES_tradnl"/>
        </w:rPr>
        <w:t>,</w:t>
      </w:r>
      <w:r w:rsidRPr="005049A3">
        <w:rPr>
          <w:sz w:val="16"/>
          <w:szCs w:val="16"/>
          <w:lang w:val="es-ES_tradnl"/>
        </w:rPr>
        <w:t xml:space="preserve"> </w:t>
      </w:r>
      <w:r w:rsidRPr="005049A3">
        <w:rPr>
          <w:i/>
          <w:sz w:val="16"/>
          <w:szCs w:val="16"/>
          <w:lang w:val="es-ES_tradnl"/>
        </w:rPr>
        <w:t xml:space="preserve">y </w:t>
      </w:r>
      <w:proofErr w:type="spellStart"/>
      <w:r w:rsidRPr="005049A3">
        <w:rPr>
          <w:i/>
          <w:sz w:val="16"/>
          <w:szCs w:val="16"/>
          <w:lang w:val="es-ES_tradnl"/>
        </w:rPr>
        <w:t>Artavia</w:t>
      </w:r>
      <w:proofErr w:type="spellEnd"/>
      <w:r w:rsidRPr="005049A3">
        <w:rPr>
          <w:i/>
          <w:sz w:val="16"/>
          <w:szCs w:val="16"/>
          <w:lang w:val="es-ES_tradnl"/>
        </w:rPr>
        <w:t xml:space="preserve"> Murillo </w:t>
      </w:r>
      <w:r>
        <w:rPr>
          <w:i/>
          <w:sz w:val="16"/>
          <w:szCs w:val="16"/>
          <w:lang w:val="es-ES_tradnl"/>
        </w:rPr>
        <w:t xml:space="preserve">y otros (Fecundación in Vitro) </w:t>
      </w:r>
      <w:r w:rsidRPr="005049A3">
        <w:rPr>
          <w:i/>
          <w:sz w:val="16"/>
          <w:szCs w:val="16"/>
          <w:lang w:val="es-ES_tradnl"/>
        </w:rPr>
        <w:t>Vs. Costa Rica</w:t>
      </w:r>
      <w:r w:rsidRPr="005049A3">
        <w:rPr>
          <w:sz w:val="16"/>
          <w:szCs w:val="16"/>
          <w:lang w:val="es-ES_tradnl"/>
        </w:rPr>
        <w:t xml:space="preserve">, </w:t>
      </w:r>
      <w:r w:rsidRPr="00611D85">
        <w:rPr>
          <w:spacing w:val="-2"/>
          <w:sz w:val="16"/>
          <w:szCs w:val="16"/>
          <w:lang w:val="es-ES_tradnl"/>
        </w:rPr>
        <w:t>sin hacer mención expresa de la cláusula “otra condición social”, consideró que las personas con discapacidad son personas que dentro de las disposiciones de la Convención merecen una protección especial por su condición de vulnerabilidad</w:t>
      </w:r>
      <w:r w:rsidRPr="00611D85">
        <w:rPr>
          <w:b/>
          <w:spacing w:val="-2"/>
          <w:sz w:val="16"/>
          <w:szCs w:val="16"/>
          <w:lang w:val="es-ES_tradnl"/>
        </w:rPr>
        <w:t xml:space="preserve">. </w:t>
      </w:r>
      <w:r w:rsidRPr="00611D85">
        <w:rPr>
          <w:spacing w:val="-2"/>
          <w:sz w:val="16"/>
          <w:szCs w:val="16"/>
          <w:lang w:val="es-ES_tradnl"/>
        </w:rPr>
        <w:t>Corte IDH.</w:t>
      </w:r>
      <w:r w:rsidRPr="00611D85">
        <w:rPr>
          <w:b/>
          <w:spacing w:val="-2"/>
          <w:sz w:val="16"/>
          <w:szCs w:val="16"/>
          <w:lang w:val="es-ES_tradnl"/>
        </w:rPr>
        <w:t xml:space="preserve"> </w:t>
      </w:r>
      <w:r w:rsidRPr="00611D85">
        <w:rPr>
          <w:rFonts w:cs="Verdana"/>
          <w:bCs/>
          <w:i/>
          <w:spacing w:val="-2"/>
          <w:sz w:val="16"/>
          <w:szCs w:val="16"/>
          <w:lang w:val="es-ES_tradnl"/>
        </w:rPr>
        <w:t>Caso</w:t>
      </w:r>
      <w:r w:rsidRPr="005049A3">
        <w:rPr>
          <w:rFonts w:cs="Verdana"/>
          <w:bCs/>
          <w:i/>
          <w:sz w:val="16"/>
          <w:szCs w:val="16"/>
          <w:lang w:val="es-ES_tradnl"/>
        </w:rPr>
        <w:t xml:space="preserve"> </w:t>
      </w:r>
      <w:proofErr w:type="spellStart"/>
      <w:r w:rsidRPr="005049A3">
        <w:rPr>
          <w:rFonts w:cs="Verdana"/>
          <w:bCs/>
          <w:i/>
          <w:sz w:val="16"/>
          <w:szCs w:val="16"/>
          <w:lang w:val="es-ES_tradnl"/>
        </w:rPr>
        <w:t>Artavia</w:t>
      </w:r>
      <w:proofErr w:type="spellEnd"/>
      <w:r w:rsidRPr="005049A3">
        <w:rPr>
          <w:rFonts w:cs="Verdana"/>
          <w:bCs/>
          <w:i/>
          <w:sz w:val="16"/>
          <w:szCs w:val="16"/>
          <w:lang w:val="es-ES_tradnl"/>
        </w:rPr>
        <w:t xml:space="preserve"> Murillo y otros ("Fecundación in vitro") Vs. Costa Rica. Excepciones Preliminares, Fondo, Reparaciones y Costas.</w:t>
      </w:r>
      <w:r w:rsidRPr="005049A3">
        <w:rPr>
          <w:rFonts w:cs="Verdana"/>
          <w:bCs/>
          <w:sz w:val="16"/>
          <w:szCs w:val="16"/>
          <w:lang w:val="es-ES_tradnl"/>
        </w:rPr>
        <w:t xml:space="preserve"> Sentencia de 28 noviembre de 2012. </w:t>
      </w:r>
      <w:r w:rsidRPr="00611D85">
        <w:rPr>
          <w:rFonts w:cs="Verdana"/>
          <w:bCs/>
          <w:spacing w:val="-2"/>
          <w:sz w:val="16"/>
          <w:szCs w:val="16"/>
          <w:lang w:val="es-ES_tradnl"/>
        </w:rPr>
        <w:t xml:space="preserve">Serie C No. 257, párrs. 292 y 285; </w:t>
      </w:r>
      <w:r w:rsidRPr="005049A3">
        <w:rPr>
          <w:rFonts w:cs="Verdana"/>
          <w:bCs/>
          <w:i/>
          <w:sz w:val="16"/>
          <w:szCs w:val="16"/>
          <w:lang w:val="es-ES_tradnl"/>
        </w:rPr>
        <w:t>Caso Furlan y familiares Vs. Argentina. Excepciones Preliminares, Fondo, Reparaciones y Costas</w:t>
      </w:r>
      <w:r w:rsidRPr="005049A3">
        <w:rPr>
          <w:rFonts w:cs="Verdana"/>
          <w:bCs/>
          <w:sz w:val="16"/>
          <w:szCs w:val="16"/>
          <w:lang w:val="es-ES_tradnl"/>
        </w:rPr>
        <w:t xml:space="preserve">. </w:t>
      </w:r>
      <w:r w:rsidRPr="00611D85">
        <w:rPr>
          <w:rFonts w:cs="Verdana"/>
          <w:bCs/>
          <w:spacing w:val="-2"/>
          <w:sz w:val="16"/>
          <w:szCs w:val="16"/>
          <w:lang w:val="es-ES_tradnl"/>
        </w:rPr>
        <w:t xml:space="preserve">Sentencia de 31 de agosto de 2012. Serie C No. 246, párr. 134, y </w:t>
      </w:r>
      <w:r w:rsidRPr="005049A3">
        <w:rPr>
          <w:rFonts w:cs="Verdana"/>
          <w:bCs/>
          <w:i/>
          <w:sz w:val="16"/>
          <w:szCs w:val="16"/>
          <w:lang w:val="es-ES_tradnl"/>
        </w:rPr>
        <w:t xml:space="preserve">Caso </w:t>
      </w:r>
      <w:proofErr w:type="spellStart"/>
      <w:r w:rsidRPr="005049A3">
        <w:rPr>
          <w:rFonts w:cs="Verdana"/>
          <w:bCs/>
          <w:i/>
          <w:sz w:val="16"/>
          <w:szCs w:val="16"/>
          <w:lang w:val="es-ES_tradnl"/>
        </w:rPr>
        <w:t>Ximenes</w:t>
      </w:r>
      <w:proofErr w:type="spellEnd"/>
      <w:r w:rsidRPr="005049A3">
        <w:rPr>
          <w:rFonts w:cs="Verdana"/>
          <w:bCs/>
          <w:i/>
          <w:sz w:val="16"/>
          <w:szCs w:val="16"/>
          <w:lang w:val="es-ES_tradnl"/>
        </w:rPr>
        <w:t xml:space="preserve"> </w:t>
      </w:r>
      <w:proofErr w:type="spellStart"/>
      <w:r w:rsidRPr="005049A3">
        <w:rPr>
          <w:rFonts w:cs="Verdana"/>
          <w:bCs/>
          <w:i/>
          <w:sz w:val="16"/>
          <w:szCs w:val="16"/>
          <w:lang w:val="es-ES_tradnl"/>
        </w:rPr>
        <w:t>Lopes</w:t>
      </w:r>
      <w:proofErr w:type="spellEnd"/>
      <w:r w:rsidRPr="005049A3">
        <w:rPr>
          <w:rFonts w:cs="Verdana"/>
          <w:bCs/>
          <w:i/>
          <w:sz w:val="16"/>
          <w:szCs w:val="16"/>
          <w:lang w:val="es-ES_tradnl"/>
        </w:rPr>
        <w:t xml:space="preserve"> Vs. Brasil</w:t>
      </w:r>
      <w:r w:rsidRPr="00611D85">
        <w:rPr>
          <w:rFonts w:cs="Verdana"/>
          <w:bCs/>
          <w:spacing w:val="-2"/>
          <w:sz w:val="16"/>
          <w:szCs w:val="16"/>
          <w:lang w:val="es-ES_tradnl"/>
        </w:rPr>
        <w:t>. Sentencia de 4 de julio de 2006. Serie C No. 149, párr.</w:t>
      </w:r>
      <w:r w:rsidRPr="00611D85">
        <w:rPr>
          <w:spacing w:val="-2"/>
          <w:sz w:val="16"/>
          <w:szCs w:val="16"/>
          <w:lang w:val="es-ES_tradnl"/>
        </w:rPr>
        <w:t xml:space="preserve"> 103</w:t>
      </w:r>
      <w:r w:rsidRPr="005049A3">
        <w:rPr>
          <w:sz w:val="16"/>
          <w:szCs w:val="16"/>
          <w:lang w:val="es-ES_tradnl"/>
        </w:rPr>
        <w:t>.</w:t>
      </w:r>
    </w:p>
    <w:p w14:paraId="5DF83274" w14:textId="77777777" w:rsidR="009D032A" w:rsidRPr="005049A3" w:rsidRDefault="009D032A" w:rsidP="0013659B">
      <w:pPr>
        <w:pStyle w:val="FootnoteText"/>
        <w:tabs>
          <w:tab w:val="left" w:pos="709"/>
        </w:tabs>
        <w:spacing w:after="0"/>
        <w:rPr>
          <w:lang w:val="es-ES_tradnl"/>
        </w:rPr>
      </w:pPr>
    </w:p>
  </w:footnote>
  <w:footnote w:id="68">
    <w:p w14:paraId="5D9D8BCE" w14:textId="5805FA9F" w:rsidR="009D032A" w:rsidRPr="005049A3" w:rsidRDefault="009D032A" w:rsidP="0013659B">
      <w:pPr>
        <w:pStyle w:val="FootnoteText"/>
        <w:tabs>
          <w:tab w:val="left" w:pos="709"/>
        </w:tabs>
        <w:spacing w:after="0"/>
        <w:rPr>
          <w:i/>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ONU, </w:t>
      </w:r>
      <w:r w:rsidRPr="005049A3">
        <w:rPr>
          <w:i/>
          <w:lang w:val="es-ES_tradnl"/>
        </w:rPr>
        <w:t xml:space="preserve">Informe </w:t>
      </w:r>
      <w:r>
        <w:rPr>
          <w:i/>
          <w:lang w:val="es-ES_tradnl"/>
        </w:rPr>
        <w:t>de la Relatora</w:t>
      </w:r>
      <w:r w:rsidRPr="005049A3">
        <w:rPr>
          <w:i/>
          <w:lang w:val="es-ES_tradnl"/>
        </w:rPr>
        <w:t xml:space="preserve"> Especial sobre la Extrema Pobreza y los Derechos Humanos, </w:t>
      </w:r>
      <w:r w:rsidRPr="00805C8B">
        <w:rPr>
          <w:lang w:val="es-ES_tradnl"/>
        </w:rPr>
        <w:t>Magdalena Sepúlveda Carmona</w:t>
      </w:r>
      <w:r>
        <w:rPr>
          <w:lang w:val="es-ES_tradnl"/>
        </w:rPr>
        <w:t>,</w:t>
      </w:r>
      <w:r w:rsidRPr="005049A3">
        <w:rPr>
          <w:lang w:val="es-ES_tradnl"/>
        </w:rPr>
        <w:t xml:space="preserve"> </w:t>
      </w:r>
      <w:r>
        <w:rPr>
          <w:lang w:val="es-ES_tradnl"/>
        </w:rPr>
        <w:t>4 agosto</w:t>
      </w:r>
      <w:r w:rsidRPr="005049A3">
        <w:rPr>
          <w:lang w:val="es-ES_tradnl"/>
        </w:rPr>
        <w:t xml:space="preserve"> de 2011, A/66/265, párr. 18</w:t>
      </w:r>
      <w:r>
        <w:rPr>
          <w:lang w:val="es-ES_tradnl"/>
        </w:rPr>
        <w:t>.</w:t>
      </w:r>
      <w:r w:rsidRPr="005049A3">
        <w:rPr>
          <w:lang w:val="es-ES_tradnl"/>
        </w:rPr>
        <w:t xml:space="preserve"> </w:t>
      </w:r>
      <w:r w:rsidRPr="005049A3">
        <w:rPr>
          <w:i/>
          <w:lang w:val="es-ES_tradnl"/>
        </w:rPr>
        <w:t xml:space="preserve"> </w:t>
      </w:r>
    </w:p>
  </w:footnote>
  <w:footnote w:id="69">
    <w:p w14:paraId="4611FC33" w14:textId="77777777" w:rsidR="009D032A" w:rsidRPr="005049A3" w:rsidRDefault="009D032A" w:rsidP="0013659B">
      <w:pPr>
        <w:pStyle w:val="FootnoteText"/>
        <w:tabs>
          <w:tab w:val="left" w:pos="709"/>
        </w:tabs>
        <w:spacing w:after="0"/>
        <w:rPr>
          <w:lang w:val="es-ES_tradnl"/>
        </w:rPr>
      </w:pPr>
    </w:p>
    <w:p w14:paraId="00093A74" w14:textId="51DF7DB1" w:rsidR="009D032A" w:rsidRDefault="009D032A" w:rsidP="0013659B">
      <w:pPr>
        <w:pStyle w:val="FootnoteText"/>
        <w:tabs>
          <w:tab w:val="left" w:pos="709"/>
        </w:tabs>
        <w:spacing w:after="0"/>
        <w:rPr>
          <w:i/>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ONU, </w:t>
      </w:r>
      <w:r w:rsidRPr="005049A3">
        <w:rPr>
          <w:i/>
          <w:lang w:val="es-ES_tradnl"/>
        </w:rPr>
        <w:t xml:space="preserve">Informe </w:t>
      </w:r>
      <w:r>
        <w:rPr>
          <w:i/>
          <w:lang w:val="es-ES_tradnl"/>
        </w:rPr>
        <w:t xml:space="preserve">de la </w:t>
      </w:r>
      <w:r w:rsidRPr="005049A3">
        <w:rPr>
          <w:i/>
          <w:lang w:val="es-ES_tradnl"/>
        </w:rPr>
        <w:t xml:space="preserve">Relatora Especial sobre la Extrema Pobreza y los Derechos Humanos, </w:t>
      </w:r>
      <w:r w:rsidRPr="00805C8B">
        <w:rPr>
          <w:lang w:val="es-ES_tradnl"/>
        </w:rPr>
        <w:t>Magdalena Sepúlveda Carmona</w:t>
      </w:r>
      <w:r>
        <w:rPr>
          <w:lang w:val="es-ES_tradnl"/>
        </w:rPr>
        <w:t>, 4 agosto</w:t>
      </w:r>
      <w:r w:rsidRPr="005049A3">
        <w:rPr>
          <w:lang w:val="es-ES_tradnl"/>
        </w:rPr>
        <w:t xml:space="preserve"> de 2011, A/66/265, nota al pie no. 7.  </w:t>
      </w:r>
      <w:r w:rsidRPr="005049A3">
        <w:rPr>
          <w:i/>
          <w:lang w:val="es-ES_tradnl"/>
        </w:rPr>
        <w:t xml:space="preserve"> </w:t>
      </w:r>
    </w:p>
    <w:p w14:paraId="5AA372AD" w14:textId="77777777" w:rsidR="009D032A" w:rsidRPr="005049A3" w:rsidRDefault="009D032A" w:rsidP="0013659B">
      <w:pPr>
        <w:pStyle w:val="FootnoteText"/>
        <w:tabs>
          <w:tab w:val="left" w:pos="709"/>
        </w:tabs>
        <w:spacing w:after="0"/>
        <w:rPr>
          <w:lang w:val="es-ES_tradnl"/>
        </w:rPr>
      </w:pPr>
    </w:p>
  </w:footnote>
  <w:footnote w:id="70">
    <w:p w14:paraId="535A1172" w14:textId="3E834EC0" w:rsidR="009D032A" w:rsidRPr="005049A3" w:rsidRDefault="009D032A" w:rsidP="0013659B">
      <w:pPr>
        <w:pStyle w:val="FootnoteText"/>
        <w:tabs>
          <w:tab w:val="left" w:pos="709"/>
        </w:tabs>
        <w:spacing w:after="0"/>
        <w:rPr>
          <w:rFonts w:cs="Verdana"/>
          <w:b/>
          <w:bCs/>
          <w:lang w:val="es-ES_tradnl"/>
        </w:rPr>
      </w:pPr>
      <w:r w:rsidRPr="005049A3">
        <w:rPr>
          <w:rStyle w:val="FootnoteReference"/>
          <w:szCs w:val="16"/>
          <w:lang w:val="es-ES_tradnl"/>
        </w:rPr>
        <w:footnoteRef/>
      </w:r>
      <w:r w:rsidRPr="005049A3">
        <w:rPr>
          <w:lang w:val="es-ES_tradnl"/>
        </w:rPr>
        <w:t xml:space="preserve"> </w:t>
      </w:r>
      <w:r w:rsidRPr="005049A3">
        <w:rPr>
          <w:i/>
          <w:lang w:val="es-ES_tradnl"/>
        </w:rPr>
        <w:tab/>
        <w:t>Cfr.</w:t>
      </w:r>
      <w:r w:rsidRPr="005049A3">
        <w:rPr>
          <w:lang w:val="es-ES_tradnl"/>
        </w:rPr>
        <w:t xml:space="preserve"> </w:t>
      </w:r>
      <w:r>
        <w:rPr>
          <w:lang w:val="es-ES_tradnl"/>
        </w:rPr>
        <w:t xml:space="preserve">Corte IDH. </w:t>
      </w:r>
      <w:r w:rsidRPr="005049A3">
        <w:rPr>
          <w:rFonts w:cs="Verdana"/>
          <w:bCs/>
          <w:i/>
          <w:lang w:val="es-ES_tradnl"/>
        </w:rPr>
        <w:t xml:space="preserve">Caso </w:t>
      </w:r>
      <w:proofErr w:type="spellStart"/>
      <w:r w:rsidRPr="005049A3">
        <w:rPr>
          <w:rFonts w:cs="Verdana"/>
          <w:bCs/>
          <w:i/>
          <w:lang w:val="es-ES_tradnl"/>
        </w:rPr>
        <w:t>Artavia</w:t>
      </w:r>
      <w:proofErr w:type="spellEnd"/>
      <w:r w:rsidRPr="005049A3">
        <w:rPr>
          <w:rFonts w:cs="Verdana"/>
          <w:bCs/>
          <w:i/>
          <w:lang w:val="es-ES_tradnl"/>
        </w:rPr>
        <w:t xml:space="preserve"> Murillo y otros ("Fecundación in vitro") Vs. Costa Rica. Excepciones Preliminares, Fondo, Reparaciones y Costas</w:t>
      </w:r>
      <w:r w:rsidRPr="005049A3">
        <w:rPr>
          <w:rFonts w:cs="Verdana"/>
          <w:bCs/>
          <w:lang w:val="es-ES_tradnl"/>
        </w:rPr>
        <w:t>. Sentencia de 28 noviembre de 2012. Serie C No. 257, párr</w:t>
      </w:r>
      <w:r>
        <w:rPr>
          <w:rFonts w:cs="Verdana"/>
          <w:bCs/>
          <w:lang w:val="es-ES_tradnl"/>
        </w:rPr>
        <w:t>s</w:t>
      </w:r>
      <w:r w:rsidRPr="005049A3">
        <w:rPr>
          <w:rFonts w:cs="Verdana"/>
          <w:bCs/>
          <w:lang w:val="es-ES_tradnl"/>
        </w:rPr>
        <w:t>.</w:t>
      </w:r>
      <w:r w:rsidRPr="005049A3">
        <w:rPr>
          <w:lang w:val="es-ES_tradnl"/>
        </w:rPr>
        <w:t xml:space="preserve"> 292 y 285; </w:t>
      </w:r>
      <w:r w:rsidRPr="005049A3">
        <w:rPr>
          <w:rFonts w:cs="Verdana"/>
          <w:bCs/>
          <w:i/>
          <w:lang w:val="es-ES_tradnl"/>
        </w:rPr>
        <w:t>Caso Furlan y familiares Vs. Argentina. Excepciones Preliminares, Fondo, Reparaciones y Costas</w:t>
      </w:r>
      <w:r w:rsidRPr="005049A3">
        <w:rPr>
          <w:rFonts w:cs="Verdana"/>
          <w:bCs/>
          <w:lang w:val="es-ES_tradnl"/>
        </w:rPr>
        <w:t>. Sentencia de 31 de agosto de 2012. Serie C No. 246, párr.</w:t>
      </w:r>
      <w:r>
        <w:rPr>
          <w:rFonts w:cs="Verdana"/>
          <w:bCs/>
          <w:lang w:val="es-ES_tradnl"/>
        </w:rPr>
        <w:t xml:space="preserve"> </w:t>
      </w:r>
      <w:r w:rsidRPr="005049A3">
        <w:rPr>
          <w:rFonts w:cs="Verdana"/>
          <w:bCs/>
          <w:lang w:val="es-ES_tradnl"/>
        </w:rPr>
        <w:t>134</w:t>
      </w:r>
      <w:r w:rsidRPr="005049A3">
        <w:rPr>
          <w:lang w:val="es-ES_tradnl"/>
        </w:rPr>
        <w:t xml:space="preserve">; </w:t>
      </w:r>
      <w:r w:rsidRPr="005049A3">
        <w:rPr>
          <w:rFonts w:cs="Verdana"/>
          <w:bCs/>
          <w:i/>
          <w:lang w:val="es-ES_tradnl"/>
        </w:rPr>
        <w:t>Caso Pueblo Indígena Kichwa de Sarayaku Vs. Ecuador. Fondo y reparaciones.</w:t>
      </w:r>
      <w:r w:rsidRPr="005049A3">
        <w:rPr>
          <w:rFonts w:cs="Verdana"/>
          <w:bCs/>
          <w:lang w:val="es-ES_tradnl"/>
        </w:rPr>
        <w:t xml:space="preserve"> Sentencia de 27 de junio de 2012. Serie C No. 245, párr. 244</w:t>
      </w:r>
      <w:r w:rsidRPr="005049A3">
        <w:rPr>
          <w:lang w:val="es-ES_tradnl"/>
        </w:rPr>
        <w:t>;</w:t>
      </w:r>
      <w:r w:rsidRPr="005049A3">
        <w:rPr>
          <w:rFonts w:cs="Verdana"/>
          <w:bCs/>
          <w:lang w:val="es-ES_tradnl"/>
        </w:rPr>
        <w:t xml:space="preserve"> </w:t>
      </w:r>
      <w:r w:rsidRPr="005049A3">
        <w:rPr>
          <w:rFonts w:cs="Verdana"/>
          <w:bCs/>
          <w:i/>
          <w:lang w:val="es-ES_tradnl"/>
        </w:rPr>
        <w:t xml:space="preserve">Caso </w:t>
      </w:r>
      <w:proofErr w:type="spellStart"/>
      <w:r w:rsidRPr="005049A3">
        <w:rPr>
          <w:rFonts w:cs="Verdana"/>
          <w:bCs/>
          <w:i/>
          <w:lang w:val="es-ES_tradnl"/>
        </w:rPr>
        <w:t>Ximenes</w:t>
      </w:r>
      <w:proofErr w:type="spellEnd"/>
      <w:r w:rsidRPr="005049A3">
        <w:rPr>
          <w:rFonts w:cs="Verdana"/>
          <w:bCs/>
          <w:i/>
          <w:lang w:val="es-ES_tradnl"/>
        </w:rPr>
        <w:t xml:space="preserve"> </w:t>
      </w:r>
      <w:proofErr w:type="spellStart"/>
      <w:r w:rsidRPr="005049A3">
        <w:rPr>
          <w:rFonts w:cs="Verdana"/>
          <w:bCs/>
          <w:i/>
          <w:lang w:val="es-ES_tradnl"/>
        </w:rPr>
        <w:t>Lopes</w:t>
      </w:r>
      <w:proofErr w:type="spellEnd"/>
      <w:r w:rsidRPr="005049A3">
        <w:rPr>
          <w:rFonts w:cs="Verdana"/>
          <w:bCs/>
          <w:i/>
          <w:lang w:val="es-ES_tradnl"/>
        </w:rPr>
        <w:t xml:space="preserve"> Vs. Brasil.</w:t>
      </w:r>
      <w:r w:rsidRPr="005049A3">
        <w:rPr>
          <w:rFonts w:cs="Verdana"/>
          <w:bCs/>
          <w:lang w:val="es-ES_tradnl"/>
        </w:rPr>
        <w:t xml:space="preserve"> Sentencia de 4 de julio de 2006. Serie C No. 149, párr. 103</w:t>
      </w:r>
      <w:r>
        <w:rPr>
          <w:rFonts w:cs="Verdana"/>
          <w:bCs/>
          <w:lang w:val="es-ES_tradnl"/>
        </w:rPr>
        <w:t>,</w:t>
      </w:r>
      <w:r w:rsidRPr="005049A3">
        <w:rPr>
          <w:rFonts w:cs="Verdana"/>
          <w:bCs/>
          <w:lang w:val="es-ES_tradnl"/>
        </w:rPr>
        <w:t xml:space="preserve"> y</w:t>
      </w:r>
      <w:r w:rsidRPr="005049A3">
        <w:rPr>
          <w:lang w:val="es-ES_tradnl"/>
        </w:rPr>
        <w:t xml:space="preserve"> </w:t>
      </w:r>
      <w:r w:rsidRPr="005049A3">
        <w:rPr>
          <w:rFonts w:cs="Verdana"/>
          <w:bCs/>
          <w:i/>
          <w:lang w:val="es-ES_tradnl"/>
        </w:rPr>
        <w:t xml:space="preserve">Caso de la "Masacre de </w:t>
      </w:r>
      <w:proofErr w:type="spellStart"/>
      <w:r w:rsidRPr="005049A3">
        <w:rPr>
          <w:rFonts w:cs="Verdana"/>
          <w:bCs/>
          <w:i/>
          <w:lang w:val="es-ES_tradnl"/>
        </w:rPr>
        <w:t>Mapiripán</w:t>
      </w:r>
      <w:proofErr w:type="spellEnd"/>
      <w:r w:rsidRPr="005049A3">
        <w:rPr>
          <w:rFonts w:cs="Verdana"/>
          <w:bCs/>
          <w:i/>
          <w:lang w:val="es-ES_tradnl"/>
        </w:rPr>
        <w:t>" Vs. Colombia</w:t>
      </w:r>
      <w:r w:rsidRPr="005049A3">
        <w:rPr>
          <w:rFonts w:cs="Verdana"/>
          <w:bCs/>
          <w:lang w:val="es-ES_tradnl"/>
        </w:rPr>
        <w:t>. Sentencia de 15 de septiembre de 2005. Serie C No. 134, párr</w:t>
      </w:r>
      <w:r>
        <w:rPr>
          <w:rFonts w:cs="Verdana"/>
          <w:bCs/>
          <w:lang w:val="es-ES_tradnl"/>
        </w:rPr>
        <w:t>s</w:t>
      </w:r>
      <w:r w:rsidRPr="005049A3">
        <w:rPr>
          <w:rFonts w:cs="Verdana"/>
          <w:bCs/>
          <w:lang w:val="es-ES_tradnl"/>
        </w:rPr>
        <w:t>. 111 y 113.</w:t>
      </w:r>
      <w:r w:rsidRPr="005049A3">
        <w:rPr>
          <w:rFonts w:cs="Verdana"/>
          <w:b/>
          <w:bCs/>
          <w:lang w:val="es-ES_tradnl"/>
        </w:rPr>
        <w:t xml:space="preserve"> </w:t>
      </w:r>
    </w:p>
    <w:p w14:paraId="415C319C" w14:textId="5A066B66" w:rsidR="009D032A" w:rsidRPr="005049A3" w:rsidRDefault="009D032A" w:rsidP="0013659B">
      <w:pPr>
        <w:pStyle w:val="FootnoteText"/>
        <w:tabs>
          <w:tab w:val="left" w:pos="709"/>
        </w:tabs>
        <w:spacing w:after="0"/>
        <w:rPr>
          <w:b/>
          <w:lang w:val="es-ES_tradnl"/>
        </w:rPr>
      </w:pPr>
      <w:r>
        <w:rPr>
          <w:lang w:val="es-ES_tradnl"/>
        </w:rPr>
        <w:tab/>
      </w:r>
    </w:p>
  </w:footnote>
  <w:footnote w:id="71">
    <w:p w14:paraId="45E59BBF" w14:textId="72FCE225" w:rsidR="009D032A" w:rsidRDefault="009D032A" w:rsidP="0013659B">
      <w:pPr>
        <w:widowControl w:val="0"/>
        <w:tabs>
          <w:tab w:val="left" w:pos="709"/>
        </w:tabs>
        <w:autoSpaceDE w:val="0"/>
        <w:autoSpaceDN w:val="0"/>
        <w:adjustRightInd w:val="0"/>
        <w:jc w:val="both"/>
        <w:rPr>
          <w:rFonts w:ascii="Verdana" w:hAnsi="Verdana" w:cs="Times New Roman"/>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sidRPr="005049A3">
        <w:rPr>
          <w:rFonts w:ascii="Verdana" w:hAnsi="Verdana"/>
          <w:sz w:val="16"/>
          <w:szCs w:val="16"/>
        </w:rPr>
        <w:tab/>
      </w:r>
      <w:r w:rsidRPr="005049A3">
        <w:rPr>
          <w:rFonts w:ascii="Verdana" w:hAnsi="Verdana"/>
          <w:i/>
          <w:sz w:val="16"/>
          <w:szCs w:val="16"/>
        </w:rPr>
        <w:t xml:space="preserve"> Cfr.</w:t>
      </w:r>
      <w:r w:rsidRPr="005049A3">
        <w:rPr>
          <w:rFonts w:ascii="Verdana" w:hAnsi="Verdana"/>
          <w:sz w:val="16"/>
          <w:szCs w:val="16"/>
        </w:rPr>
        <w:t xml:space="preserve"> </w:t>
      </w:r>
      <w:r>
        <w:rPr>
          <w:rFonts w:ascii="Verdana" w:hAnsi="Verdana"/>
          <w:sz w:val="16"/>
          <w:szCs w:val="16"/>
        </w:rPr>
        <w:t xml:space="preserve">Corte IDH. </w:t>
      </w:r>
      <w:r w:rsidRPr="005049A3">
        <w:rPr>
          <w:rFonts w:ascii="Verdana" w:hAnsi="Verdana" w:cs="Verdana"/>
          <w:bCs/>
          <w:i/>
          <w:sz w:val="16"/>
          <w:szCs w:val="16"/>
        </w:rPr>
        <w:t xml:space="preserve">Caso Comunidad Indígena </w:t>
      </w:r>
      <w:proofErr w:type="spellStart"/>
      <w:r w:rsidRPr="005049A3">
        <w:rPr>
          <w:rFonts w:ascii="Verdana" w:hAnsi="Verdana" w:cs="Verdana"/>
          <w:bCs/>
          <w:i/>
          <w:sz w:val="16"/>
          <w:szCs w:val="16"/>
        </w:rPr>
        <w:t>Sawhoyamaxa</w:t>
      </w:r>
      <w:proofErr w:type="spellEnd"/>
      <w:r w:rsidRPr="005049A3">
        <w:rPr>
          <w:rFonts w:ascii="Verdana" w:hAnsi="Verdana" w:cs="Verdana"/>
          <w:bCs/>
          <w:i/>
          <w:sz w:val="16"/>
          <w:szCs w:val="16"/>
        </w:rPr>
        <w:t xml:space="preserve"> Vs. Paraguay. Fondo, Reparaciones y Costas</w:t>
      </w:r>
      <w:r w:rsidRPr="005049A3">
        <w:rPr>
          <w:rFonts w:ascii="Verdana" w:hAnsi="Verdana" w:cs="Verdana"/>
          <w:bCs/>
          <w:sz w:val="16"/>
          <w:szCs w:val="16"/>
        </w:rPr>
        <w:t>. Sentencia de 29 de marzo de 2006. Serie C No. 146, párr. 154.  En similar sentido la Corte también ha expresado que</w:t>
      </w:r>
      <w:r w:rsidRPr="005049A3">
        <w:rPr>
          <w:rFonts w:ascii="Verdana" w:hAnsi="Verdana" w:cs="Times New Roman"/>
          <w:sz w:val="16"/>
          <w:szCs w:val="16"/>
        </w:rPr>
        <w:t xml:space="preserve"> “los Estados deben tomar en cuenta que los grupos de personas que</w:t>
      </w:r>
      <w:r w:rsidRPr="005049A3">
        <w:rPr>
          <w:rFonts w:ascii="Verdana" w:hAnsi="Verdana"/>
          <w:sz w:val="16"/>
          <w:szCs w:val="16"/>
        </w:rPr>
        <w:t xml:space="preserve"> </w:t>
      </w:r>
      <w:r w:rsidRPr="005049A3">
        <w:rPr>
          <w:rFonts w:ascii="Verdana" w:hAnsi="Verdana" w:cs="Times New Roman"/>
          <w:sz w:val="16"/>
          <w:szCs w:val="16"/>
        </w:rPr>
        <w:t>viven en circunstancias adversas y con menos recursos, tales como las personas que viven</w:t>
      </w:r>
      <w:r w:rsidRPr="005049A3">
        <w:rPr>
          <w:rFonts w:ascii="Verdana" w:hAnsi="Verdana" w:cs="Verdana"/>
          <w:bCs/>
          <w:sz w:val="16"/>
          <w:szCs w:val="16"/>
        </w:rPr>
        <w:t xml:space="preserve"> </w:t>
      </w:r>
      <w:r w:rsidRPr="005049A3">
        <w:rPr>
          <w:rFonts w:ascii="Verdana" w:hAnsi="Verdana" w:cs="Times New Roman"/>
          <w:sz w:val="16"/>
          <w:szCs w:val="16"/>
        </w:rPr>
        <w:t xml:space="preserve">en condiciones de extrema pobreza; niños y adolescentes en situación de riesgo, y poblaciones indígenas, enfrentan un incremento del riesgo para padecer discapacidades mentales […]. Es directo y significativo el vínculo existente entre la discapacidad, por un lado, y la pobreza y la exclusión social, por otro. En razón de lo anterior, entre las medidas positivas a cargo de los Estados se encuentran aquellas necesarias para prevenir todas las formas de discapacidad prevenibles, y dar a las personas que padecen de discapacidades mentales el tratamiento preferencial apropiado a su condición”. </w:t>
      </w:r>
      <w:r w:rsidRPr="005049A3">
        <w:rPr>
          <w:rFonts w:ascii="Verdana" w:hAnsi="Verdana" w:cs="Verdana"/>
          <w:bCs/>
          <w:i/>
          <w:sz w:val="16"/>
          <w:szCs w:val="16"/>
        </w:rPr>
        <w:t xml:space="preserve">Caso </w:t>
      </w:r>
      <w:proofErr w:type="spellStart"/>
      <w:r w:rsidRPr="005049A3">
        <w:rPr>
          <w:rFonts w:ascii="Verdana" w:hAnsi="Verdana" w:cs="Verdana"/>
          <w:bCs/>
          <w:i/>
          <w:sz w:val="16"/>
          <w:szCs w:val="16"/>
        </w:rPr>
        <w:t>Ximenes</w:t>
      </w:r>
      <w:proofErr w:type="spellEnd"/>
      <w:r w:rsidRPr="005049A3">
        <w:rPr>
          <w:rFonts w:ascii="Verdana" w:hAnsi="Verdana" w:cs="Verdana"/>
          <w:bCs/>
          <w:i/>
          <w:sz w:val="16"/>
          <w:szCs w:val="16"/>
        </w:rPr>
        <w:t xml:space="preserve"> </w:t>
      </w:r>
      <w:proofErr w:type="spellStart"/>
      <w:r w:rsidRPr="005049A3">
        <w:rPr>
          <w:rFonts w:ascii="Verdana" w:hAnsi="Verdana" w:cs="Verdana"/>
          <w:bCs/>
          <w:i/>
          <w:sz w:val="16"/>
          <w:szCs w:val="16"/>
        </w:rPr>
        <w:t>Lopes</w:t>
      </w:r>
      <w:proofErr w:type="spellEnd"/>
      <w:r w:rsidRPr="005049A3">
        <w:rPr>
          <w:rFonts w:ascii="Verdana" w:hAnsi="Verdana" w:cs="Verdana"/>
          <w:bCs/>
          <w:i/>
          <w:sz w:val="16"/>
          <w:szCs w:val="16"/>
        </w:rPr>
        <w:t xml:space="preserve"> Vs. Brasil</w:t>
      </w:r>
      <w:r w:rsidRPr="005049A3">
        <w:rPr>
          <w:rFonts w:ascii="Verdana" w:hAnsi="Verdana" w:cs="Verdana"/>
          <w:bCs/>
          <w:sz w:val="16"/>
          <w:szCs w:val="16"/>
        </w:rPr>
        <w:t>. Sentencia de 4 de julio de 2006. Serie C No. 149, párr.</w:t>
      </w:r>
      <w:r>
        <w:rPr>
          <w:rFonts w:ascii="Verdana" w:hAnsi="Verdana" w:cs="Verdana"/>
          <w:bCs/>
          <w:sz w:val="16"/>
          <w:szCs w:val="16"/>
        </w:rPr>
        <w:t xml:space="preserve"> </w:t>
      </w:r>
      <w:r w:rsidRPr="005049A3">
        <w:rPr>
          <w:rFonts w:ascii="Verdana" w:hAnsi="Verdana" w:cs="Verdana"/>
          <w:bCs/>
          <w:sz w:val="16"/>
          <w:szCs w:val="16"/>
        </w:rPr>
        <w:t>104</w:t>
      </w:r>
      <w:r>
        <w:rPr>
          <w:rFonts w:ascii="Verdana" w:hAnsi="Verdana" w:cs="Times New Roman"/>
          <w:sz w:val="16"/>
          <w:szCs w:val="16"/>
        </w:rPr>
        <w:t xml:space="preserve">. En el </w:t>
      </w:r>
      <w:r w:rsidRPr="00737DF4">
        <w:rPr>
          <w:rFonts w:ascii="Verdana" w:hAnsi="Verdana" w:cs="Times New Roman"/>
          <w:i/>
          <w:sz w:val="16"/>
          <w:szCs w:val="16"/>
        </w:rPr>
        <w:t xml:space="preserve">Caso </w:t>
      </w:r>
      <w:proofErr w:type="spellStart"/>
      <w:r w:rsidRPr="00737DF4">
        <w:rPr>
          <w:rFonts w:ascii="Verdana" w:hAnsi="Verdana" w:cs="Times New Roman"/>
          <w:i/>
          <w:sz w:val="16"/>
          <w:szCs w:val="16"/>
        </w:rPr>
        <w:t>Xákmok</w:t>
      </w:r>
      <w:proofErr w:type="spellEnd"/>
      <w:r w:rsidRPr="00737DF4">
        <w:rPr>
          <w:rFonts w:ascii="Verdana" w:hAnsi="Verdana" w:cs="Times New Roman"/>
          <w:i/>
          <w:sz w:val="16"/>
          <w:szCs w:val="16"/>
        </w:rPr>
        <w:t xml:space="preserve"> </w:t>
      </w:r>
      <w:proofErr w:type="spellStart"/>
      <w:r w:rsidRPr="00737DF4">
        <w:rPr>
          <w:rFonts w:ascii="Verdana" w:hAnsi="Verdana" w:cs="Times New Roman"/>
          <w:i/>
          <w:sz w:val="16"/>
          <w:szCs w:val="16"/>
        </w:rPr>
        <w:t>Kásek</w:t>
      </w:r>
      <w:proofErr w:type="spellEnd"/>
      <w:r w:rsidRPr="005049A3">
        <w:rPr>
          <w:rFonts w:ascii="Verdana" w:hAnsi="Verdana" w:cs="Times New Roman"/>
          <w:sz w:val="16"/>
          <w:szCs w:val="16"/>
        </w:rPr>
        <w:t xml:space="preserve"> la Corte consideró que “</w:t>
      </w:r>
      <w:r w:rsidRPr="00737DF4">
        <w:rPr>
          <w:rFonts w:ascii="Verdana" w:hAnsi="Verdana" w:cs="Times New Roman"/>
          <w:sz w:val="16"/>
          <w:szCs w:val="16"/>
          <w:u w:val="single"/>
        </w:rPr>
        <w:t>la extrema pobreza</w:t>
      </w:r>
      <w:r w:rsidRPr="005049A3">
        <w:rPr>
          <w:rFonts w:ascii="Verdana" w:hAnsi="Verdana" w:cs="Times New Roman"/>
          <w:sz w:val="16"/>
          <w:szCs w:val="16"/>
        </w:rPr>
        <w:t xml:space="preserve"> y la falta de adecuada atención médica a mujeres en estado de embarazo o post-embarazo son causas de alta mortalidad y morbilidad materna”. </w:t>
      </w:r>
      <w:r w:rsidRPr="005049A3">
        <w:rPr>
          <w:rFonts w:ascii="Verdana" w:hAnsi="Verdana" w:cs="Verdana"/>
          <w:bCs/>
          <w:i/>
          <w:sz w:val="16"/>
          <w:szCs w:val="16"/>
        </w:rPr>
        <w:t xml:space="preserve">Caso Comunidad Indígena </w:t>
      </w:r>
      <w:proofErr w:type="spellStart"/>
      <w:r w:rsidRPr="005049A3">
        <w:rPr>
          <w:rFonts w:ascii="Verdana" w:hAnsi="Verdana" w:cs="Verdana"/>
          <w:bCs/>
          <w:i/>
          <w:sz w:val="16"/>
          <w:szCs w:val="16"/>
        </w:rPr>
        <w:t>Xákmok</w:t>
      </w:r>
      <w:proofErr w:type="spellEnd"/>
      <w:r w:rsidRPr="005049A3">
        <w:rPr>
          <w:rFonts w:ascii="Verdana" w:hAnsi="Verdana" w:cs="Verdana"/>
          <w:bCs/>
          <w:i/>
          <w:sz w:val="16"/>
          <w:szCs w:val="16"/>
        </w:rPr>
        <w:t xml:space="preserve"> </w:t>
      </w:r>
      <w:proofErr w:type="spellStart"/>
      <w:r w:rsidRPr="005049A3">
        <w:rPr>
          <w:rFonts w:ascii="Verdana" w:hAnsi="Verdana" w:cs="Verdana"/>
          <w:bCs/>
          <w:i/>
          <w:sz w:val="16"/>
          <w:szCs w:val="16"/>
        </w:rPr>
        <w:t>Kásek</w:t>
      </w:r>
      <w:proofErr w:type="spellEnd"/>
      <w:r w:rsidRPr="005049A3">
        <w:rPr>
          <w:rFonts w:ascii="Verdana" w:hAnsi="Verdana" w:cs="Verdana"/>
          <w:bCs/>
          <w:i/>
          <w:sz w:val="16"/>
          <w:szCs w:val="16"/>
        </w:rPr>
        <w:t xml:space="preserve"> Vs. Paraguay. Fondo, Reparaciones y Costas</w:t>
      </w:r>
      <w:r w:rsidRPr="005049A3">
        <w:rPr>
          <w:rFonts w:ascii="Verdana" w:hAnsi="Verdana" w:cs="Verdana"/>
          <w:bCs/>
          <w:sz w:val="16"/>
          <w:szCs w:val="16"/>
        </w:rPr>
        <w:t>. Sentencia de 24 de agosto de 2010. Serie C No. 214, párr.</w:t>
      </w:r>
      <w:r w:rsidRPr="005049A3">
        <w:rPr>
          <w:rFonts w:ascii="Verdana" w:hAnsi="Verdana" w:cs="Times New Roman"/>
          <w:sz w:val="16"/>
          <w:szCs w:val="16"/>
        </w:rPr>
        <w:t xml:space="preserve"> 233.</w:t>
      </w:r>
    </w:p>
    <w:p w14:paraId="4E8CF0DF" w14:textId="77777777" w:rsidR="009D032A" w:rsidRPr="005049A3" w:rsidRDefault="009D032A" w:rsidP="0013659B">
      <w:pPr>
        <w:widowControl w:val="0"/>
        <w:tabs>
          <w:tab w:val="left" w:pos="709"/>
        </w:tabs>
        <w:autoSpaceDE w:val="0"/>
        <w:autoSpaceDN w:val="0"/>
        <w:adjustRightInd w:val="0"/>
        <w:jc w:val="both"/>
        <w:rPr>
          <w:rFonts w:ascii="Verdana" w:hAnsi="Verdana" w:cs="Times New Roman"/>
          <w:b/>
          <w:sz w:val="16"/>
          <w:szCs w:val="16"/>
        </w:rPr>
      </w:pPr>
    </w:p>
  </w:footnote>
  <w:footnote w:id="72">
    <w:p w14:paraId="7D1414BB" w14:textId="4A7B61A8" w:rsidR="009D032A" w:rsidRPr="005049A3" w:rsidRDefault="009D032A" w:rsidP="0013659B">
      <w:pPr>
        <w:pStyle w:val="FootnoteText"/>
        <w:tabs>
          <w:tab w:val="left" w:pos="709"/>
        </w:tabs>
        <w:spacing w:after="0"/>
        <w:rPr>
          <w:rFonts w:cs="Times"/>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Sobre la </w:t>
      </w:r>
      <w:proofErr w:type="spellStart"/>
      <w:r w:rsidRPr="005049A3">
        <w:rPr>
          <w:lang w:val="es-ES_tradnl"/>
        </w:rPr>
        <w:t>multidimensionalidad</w:t>
      </w:r>
      <w:proofErr w:type="spellEnd"/>
      <w:r w:rsidRPr="005049A3">
        <w:rPr>
          <w:lang w:val="es-ES_tradnl"/>
        </w:rPr>
        <w:t xml:space="preserve"> de la pobreza puede verse: ONU, </w:t>
      </w:r>
      <w:r w:rsidRPr="005049A3">
        <w:rPr>
          <w:i/>
          <w:lang w:val="es-ES_tradnl"/>
        </w:rPr>
        <w:t xml:space="preserve">Informe presentado por el experto independiente encargado de la cuestión de los derechos humanos y la extrema pobreza, Sr. </w:t>
      </w:r>
      <w:proofErr w:type="spellStart"/>
      <w:r w:rsidRPr="005049A3">
        <w:rPr>
          <w:i/>
          <w:lang w:val="es-ES_tradnl"/>
        </w:rPr>
        <w:t>Arjun</w:t>
      </w:r>
      <w:proofErr w:type="spellEnd"/>
      <w:r w:rsidRPr="005049A3">
        <w:rPr>
          <w:i/>
          <w:lang w:val="es-ES_tradnl"/>
        </w:rPr>
        <w:t xml:space="preserve"> </w:t>
      </w:r>
      <w:proofErr w:type="spellStart"/>
      <w:r w:rsidRPr="005049A3">
        <w:rPr>
          <w:i/>
          <w:lang w:val="es-ES_tradnl"/>
        </w:rPr>
        <w:t>Sengupta</w:t>
      </w:r>
      <w:proofErr w:type="spellEnd"/>
      <w:r w:rsidRPr="005049A3">
        <w:rPr>
          <w:i/>
          <w:lang w:val="es-ES_tradnl"/>
        </w:rPr>
        <w:t xml:space="preserve">, </w:t>
      </w:r>
      <w:r w:rsidRPr="005049A3">
        <w:rPr>
          <w:rFonts w:cs="Times"/>
          <w:lang w:val="es-ES_tradnl"/>
        </w:rPr>
        <w:t>A/HRC/5/3</w:t>
      </w:r>
      <w:r>
        <w:rPr>
          <w:rFonts w:cs="Times"/>
          <w:lang w:val="es-ES_tradnl"/>
        </w:rPr>
        <w:t xml:space="preserve">, </w:t>
      </w:r>
      <w:r w:rsidRPr="005049A3">
        <w:rPr>
          <w:rFonts w:cs="Times"/>
          <w:lang w:val="es-ES_tradnl"/>
        </w:rPr>
        <w:t xml:space="preserve">31 de mayo de 2007, </w:t>
      </w:r>
      <w:r w:rsidRPr="005049A3">
        <w:rPr>
          <w:lang w:val="es-ES_tradnl"/>
        </w:rPr>
        <w:t xml:space="preserve">párrs. 6 al 11. </w:t>
      </w:r>
    </w:p>
  </w:footnote>
  <w:footnote w:id="73">
    <w:p w14:paraId="03791F46" w14:textId="7D2C3B57" w:rsidR="009D032A" w:rsidRPr="005049A3" w:rsidRDefault="009D032A" w:rsidP="0013659B">
      <w:pPr>
        <w:pStyle w:val="ListParagraph"/>
        <w:tabs>
          <w:tab w:val="left" w:pos="709"/>
        </w:tabs>
        <w:ind w:left="0"/>
        <w:rPr>
          <w:rFonts w:cs="System Font Regular"/>
          <w:i/>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sidRPr="005049A3">
        <w:rPr>
          <w:rFonts w:cs="System Font Regular"/>
          <w:color w:val="16191F"/>
          <w:sz w:val="16"/>
          <w:szCs w:val="16"/>
          <w:lang w:val="es-ES_tradnl"/>
        </w:rPr>
        <w:t>En similar sentido, el Comité de Derechos Económicos, Sociales y Culturales, en su Observación General No. 20, ha indicado que la inclusión de “</w:t>
      </w:r>
      <w:r w:rsidRPr="005049A3">
        <w:rPr>
          <w:rFonts w:cs="System Font Regular"/>
          <w:i/>
          <w:color w:val="16191F"/>
          <w:sz w:val="16"/>
          <w:szCs w:val="16"/>
          <w:lang w:val="es-ES_tradnl"/>
        </w:rPr>
        <w:t xml:space="preserve">cualquier otra condición social” </w:t>
      </w:r>
      <w:r w:rsidRPr="005049A3">
        <w:rPr>
          <w:rFonts w:cs="System Font Regular"/>
          <w:color w:val="16191F"/>
          <w:sz w:val="16"/>
          <w:szCs w:val="16"/>
          <w:lang w:val="es-ES_tradnl"/>
        </w:rPr>
        <w:t>indica que esta lista no es exhaustiva y que pueden incluirse otros motivos [no expresos] en esta categoría. Así ha expresado que el carácter de la discriminación varía según el contexto y evoluciona con el tiempo. Por lo tanto, la discriminación basada en “otra condición social” exige un planteamiento flexible que incluya otras formas de trato diferencial que: i) no puede justificarse de forma razonable y objetiva</w:t>
      </w:r>
      <w:r>
        <w:rPr>
          <w:rFonts w:cs="System Font Regular"/>
          <w:color w:val="16191F"/>
          <w:sz w:val="16"/>
          <w:szCs w:val="16"/>
          <w:lang w:val="es-ES_tradnl"/>
        </w:rPr>
        <w:t>,</w:t>
      </w:r>
      <w:r w:rsidRPr="005049A3">
        <w:rPr>
          <w:rFonts w:cs="System Font Regular"/>
          <w:color w:val="16191F"/>
          <w:sz w:val="16"/>
          <w:szCs w:val="16"/>
          <w:lang w:val="es-ES_tradnl"/>
        </w:rPr>
        <w:t xml:space="preserve"> y ii) </w:t>
      </w:r>
      <w:r w:rsidRPr="005049A3">
        <w:rPr>
          <w:rFonts w:cs="System Font Regular"/>
          <w:i/>
          <w:color w:val="16191F"/>
          <w:sz w:val="16"/>
          <w:szCs w:val="16"/>
          <w:lang w:val="es-ES_tradnl"/>
        </w:rPr>
        <w:t>que tenga un carácter comparable</w:t>
      </w:r>
      <w:r w:rsidRPr="005049A3">
        <w:rPr>
          <w:rFonts w:cs="System Font Regular"/>
          <w:color w:val="16191F"/>
          <w:sz w:val="16"/>
          <w:szCs w:val="16"/>
          <w:lang w:val="es-ES_tradnl"/>
        </w:rPr>
        <w:t xml:space="preserve"> con los motivos expresos reconocidos</w:t>
      </w:r>
      <w:r w:rsidRPr="005049A3">
        <w:rPr>
          <w:rFonts w:cs="System Font Regular"/>
          <w:i/>
          <w:color w:val="16191F"/>
          <w:sz w:val="16"/>
          <w:szCs w:val="16"/>
          <w:lang w:val="es-ES_tradnl"/>
        </w:rPr>
        <w:t xml:space="preserve">. </w:t>
      </w:r>
      <w:r w:rsidRPr="005049A3">
        <w:rPr>
          <w:rFonts w:cs="System Font Regular"/>
          <w:color w:val="16191F"/>
          <w:sz w:val="16"/>
          <w:szCs w:val="16"/>
          <w:lang w:val="es-ES_tradnl"/>
        </w:rPr>
        <w:t xml:space="preserve">Estos motivos adicionales se reconocen generalmente cuando reflejan la experiencia de grupos sociales vulnerables que han sido marginados en el pasado [y/o] que lo siguen siendo en la actualidad. </w:t>
      </w:r>
      <w:r w:rsidRPr="005049A3">
        <w:rPr>
          <w:rFonts w:cs="System Font Regular"/>
          <w:sz w:val="16"/>
          <w:szCs w:val="16"/>
          <w:lang w:val="es-ES_tradnl"/>
        </w:rPr>
        <w:t>E</w:t>
      </w:r>
      <w:r>
        <w:rPr>
          <w:rFonts w:cs="System Font Regular"/>
          <w:sz w:val="16"/>
          <w:szCs w:val="16"/>
          <w:lang w:val="es-ES_tradnl"/>
        </w:rPr>
        <w:t xml:space="preserve">n ese </w:t>
      </w:r>
      <w:r w:rsidRPr="005049A3">
        <w:rPr>
          <w:rFonts w:cs="System Font Regular"/>
          <w:sz w:val="16"/>
          <w:szCs w:val="16"/>
          <w:lang w:val="es-ES_tradnl"/>
        </w:rPr>
        <w:t xml:space="preserve">sentido, el Comité DESC ha expresado que otros posibles motivos prohibidos de discriminación podrían ser producto o una intersección de dos o más causas prohibidas de discriminación, expresas o no expresas.  </w:t>
      </w:r>
      <w:r w:rsidRPr="005049A3">
        <w:rPr>
          <w:i/>
          <w:sz w:val="16"/>
          <w:szCs w:val="16"/>
          <w:lang w:val="es-ES_tradnl"/>
        </w:rPr>
        <w:t xml:space="preserve">Cfr. </w:t>
      </w:r>
      <w:r w:rsidRPr="005049A3">
        <w:rPr>
          <w:sz w:val="16"/>
          <w:szCs w:val="16"/>
          <w:lang w:val="es-ES_tradnl"/>
        </w:rPr>
        <w:t xml:space="preserve">Comité de Derechos Económicos, Sociales y Culturales, Observación General No. 20, </w:t>
      </w:r>
      <w:r w:rsidRPr="005049A3">
        <w:rPr>
          <w:i/>
          <w:sz w:val="16"/>
          <w:szCs w:val="16"/>
          <w:lang w:val="es-ES_tradnl"/>
        </w:rPr>
        <w:t>La no discriminación y los derechos económicos, sociales y culturales (artículo 2, párrafo 2 del Pacto Internacional de los Derechos Económicos, Sociales y Culturales)</w:t>
      </w:r>
      <w:r w:rsidRPr="005049A3">
        <w:rPr>
          <w:sz w:val="16"/>
          <w:szCs w:val="16"/>
          <w:lang w:val="es-ES_tradnl"/>
        </w:rPr>
        <w:t xml:space="preserve">, 2 de julio de 2009, E/C.12/GC/20, </w:t>
      </w:r>
      <w:r w:rsidRPr="005049A3">
        <w:rPr>
          <w:rFonts w:cs="System Font Regular"/>
          <w:color w:val="16191F"/>
          <w:sz w:val="16"/>
          <w:szCs w:val="16"/>
          <w:lang w:val="es-ES_tradnl"/>
        </w:rPr>
        <w:t>párrs. 15 y 27.</w:t>
      </w:r>
    </w:p>
    <w:p w14:paraId="58B166CB" w14:textId="77777777" w:rsidR="009D032A" w:rsidRPr="005049A3" w:rsidRDefault="009D032A" w:rsidP="0013659B">
      <w:pPr>
        <w:pStyle w:val="FootnoteText"/>
        <w:tabs>
          <w:tab w:val="left" w:pos="709"/>
        </w:tabs>
        <w:spacing w:after="0"/>
        <w:rPr>
          <w:lang w:val="es-ES_tradnl"/>
        </w:rPr>
      </w:pPr>
    </w:p>
  </w:footnote>
  <w:footnote w:id="74">
    <w:p w14:paraId="28C15396" w14:textId="701BF3FC" w:rsidR="009D032A"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i/>
          <w:lang w:val="es-ES_tradnl"/>
        </w:rPr>
        <w:t>Cfr.</w:t>
      </w:r>
      <w:r w:rsidRPr="005049A3">
        <w:rPr>
          <w:lang w:val="es-ES_tradnl"/>
        </w:rPr>
        <w:t xml:space="preserve"> ONU, </w:t>
      </w:r>
      <w:r w:rsidRPr="005049A3">
        <w:rPr>
          <w:i/>
          <w:lang w:val="es-ES_tradnl"/>
        </w:rPr>
        <w:t xml:space="preserve">Informe presentado por el experto independiente encargado de la cuestión de los derechos humanos y la extrema pobreza, Sr. </w:t>
      </w:r>
      <w:proofErr w:type="spellStart"/>
      <w:r w:rsidRPr="005049A3">
        <w:rPr>
          <w:i/>
          <w:lang w:val="es-ES_tradnl"/>
        </w:rPr>
        <w:t>Arjun</w:t>
      </w:r>
      <w:proofErr w:type="spellEnd"/>
      <w:r w:rsidRPr="005049A3">
        <w:rPr>
          <w:i/>
          <w:lang w:val="es-ES_tradnl"/>
        </w:rPr>
        <w:t xml:space="preserve"> </w:t>
      </w:r>
      <w:proofErr w:type="spellStart"/>
      <w:r w:rsidRPr="005049A3">
        <w:rPr>
          <w:i/>
          <w:lang w:val="es-ES_tradnl"/>
        </w:rPr>
        <w:t>Sengupta</w:t>
      </w:r>
      <w:proofErr w:type="spellEnd"/>
      <w:r w:rsidRPr="005049A3">
        <w:rPr>
          <w:i/>
          <w:lang w:val="es-ES_tradnl"/>
        </w:rPr>
        <w:t xml:space="preserve">, </w:t>
      </w:r>
      <w:r w:rsidRPr="005049A3">
        <w:rPr>
          <w:rFonts w:cs="Times"/>
          <w:lang w:val="es-ES_tradnl"/>
        </w:rPr>
        <w:t>A/HRC/5/3</w:t>
      </w:r>
      <w:r>
        <w:rPr>
          <w:rFonts w:cs="Times"/>
          <w:lang w:val="es-ES_tradnl"/>
        </w:rPr>
        <w:t xml:space="preserve">, </w:t>
      </w:r>
      <w:r w:rsidRPr="005049A3">
        <w:rPr>
          <w:rFonts w:cs="Times"/>
          <w:lang w:val="es-ES_tradnl"/>
        </w:rPr>
        <w:t>31 de mayo de 2007</w:t>
      </w:r>
      <w:r>
        <w:rPr>
          <w:lang w:val="es-ES_tradnl"/>
        </w:rPr>
        <w:t>, p</w:t>
      </w:r>
      <w:r w:rsidRPr="005049A3">
        <w:rPr>
          <w:lang w:val="es-ES_tradnl"/>
        </w:rPr>
        <w:t>árr. 9</w:t>
      </w:r>
      <w:r>
        <w:rPr>
          <w:lang w:val="es-ES_tradnl"/>
        </w:rPr>
        <w:t>.</w:t>
      </w:r>
    </w:p>
    <w:p w14:paraId="413B883B" w14:textId="77777777" w:rsidR="009D032A" w:rsidRPr="005049A3" w:rsidRDefault="009D032A" w:rsidP="0013659B">
      <w:pPr>
        <w:pStyle w:val="FootnoteText"/>
        <w:tabs>
          <w:tab w:val="left" w:pos="709"/>
        </w:tabs>
        <w:spacing w:after="0"/>
        <w:rPr>
          <w:lang w:val="es-ES_tradnl"/>
        </w:rPr>
      </w:pPr>
    </w:p>
  </w:footnote>
  <w:footnote w:id="75">
    <w:p w14:paraId="38AABA95" w14:textId="4E7100AE" w:rsidR="009D032A" w:rsidRPr="005049A3" w:rsidRDefault="009D032A" w:rsidP="0013659B">
      <w:pPr>
        <w:widowControl w:val="0"/>
        <w:tabs>
          <w:tab w:val="left" w:pos="709"/>
        </w:tabs>
        <w:autoSpaceDE w:val="0"/>
        <w:autoSpaceDN w:val="0"/>
        <w:adjustRightInd w:val="0"/>
        <w:jc w:val="both"/>
        <w:rPr>
          <w:rFonts w:ascii="Verdana" w:hAnsi="Verdana" w:cs="Times"/>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i/>
          <w:sz w:val="16"/>
          <w:szCs w:val="16"/>
        </w:rPr>
        <w:t>Cfr.</w:t>
      </w:r>
      <w:r w:rsidRPr="005049A3">
        <w:rPr>
          <w:rFonts w:ascii="Verdana" w:hAnsi="Verdana"/>
          <w:sz w:val="16"/>
          <w:szCs w:val="16"/>
        </w:rPr>
        <w:t xml:space="preserve"> ONU, </w:t>
      </w:r>
      <w:r w:rsidRPr="005049A3">
        <w:rPr>
          <w:rFonts w:ascii="Verdana" w:hAnsi="Verdana" w:cs="Times New Roman"/>
          <w:i/>
          <w:sz w:val="16"/>
          <w:szCs w:val="16"/>
        </w:rPr>
        <w:t xml:space="preserve">Informe de la Sra. </w:t>
      </w:r>
      <w:proofErr w:type="spellStart"/>
      <w:r w:rsidRPr="005049A3">
        <w:rPr>
          <w:rFonts w:ascii="Verdana" w:hAnsi="Verdana" w:cs="Times New Roman"/>
          <w:i/>
          <w:sz w:val="16"/>
          <w:szCs w:val="16"/>
        </w:rPr>
        <w:t>Joy</w:t>
      </w:r>
      <w:proofErr w:type="spellEnd"/>
      <w:r w:rsidRPr="005049A3">
        <w:rPr>
          <w:rFonts w:ascii="Verdana" w:hAnsi="Verdana" w:cs="Times New Roman"/>
          <w:i/>
          <w:sz w:val="16"/>
          <w:szCs w:val="16"/>
        </w:rPr>
        <w:t xml:space="preserve"> </w:t>
      </w:r>
      <w:proofErr w:type="spellStart"/>
      <w:r w:rsidRPr="005049A3">
        <w:rPr>
          <w:rFonts w:ascii="Verdana" w:hAnsi="Verdana" w:cs="Times New Roman"/>
          <w:i/>
          <w:sz w:val="16"/>
          <w:szCs w:val="16"/>
        </w:rPr>
        <w:t>Ngozi</w:t>
      </w:r>
      <w:proofErr w:type="spellEnd"/>
      <w:r w:rsidRPr="005049A3">
        <w:rPr>
          <w:rFonts w:ascii="Verdana" w:hAnsi="Verdana" w:cs="Times New Roman"/>
          <w:i/>
          <w:sz w:val="16"/>
          <w:szCs w:val="16"/>
        </w:rPr>
        <w:t xml:space="preserve"> </w:t>
      </w:r>
      <w:proofErr w:type="spellStart"/>
      <w:r w:rsidRPr="005049A3">
        <w:rPr>
          <w:rFonts w:ascii="Verdana" w:hAnsi="Verdana" w:cs="Times New Roman"/>
          <w:i/>
          <w:sz w:val="16"/>
          <w:szCs w:val="16"/>
        </w:rPr>
        <w:t>Ezeilo</w:t>
      </w:r>
      <w:proofErr w:type="spellEnd"/>
      <w:r w:rsidRPr="005049A3">
        <w:rPr>
          <w:rFonts w:ascii="Verdana" w:hAnsi="Verdana" w:cs="Times New Roman"/>
          <w:i/>
          <w:sz w:val="16"/>
          <w:szCs w:val="16"/>
        </w:rPr>
        <w:t>, Relatora Especial sobre la trata de personas, especialmente mujeres y niños</w:t>
      </w:r>
      <w:r w:rsidRPr="005049A3">
        <w:rPr>
          <w:rFonts w:ascii="Verdana" w:hAnsi="Verdana" w:cs="Times New Roman"/>
          <w:sz w:val="16"/>
          <w:szCs w:val="16"/>
        </w:rPr>
        <w:t>, 6 de agosto de 2014, A/69/269, párr</w:t>
      </w:r>
      <w:r>
        <w:rPr>
          <w:rFonts w:ascii="Verdana" w:hAnsi="Verdana" w:cs="Times New Roman"/>
          <w:sz w:val="16"/>
          <w:szCs w:val="16"/>
        </w:rPr>
        <w:t>s</w:t>
      </w:r>
      <w:r w:rsidRPr="005049A3">
        <w:rPr>
          <w:rFonts w:ascii="Verdana" w:hAnsi="Verdana" w:cs="Times New Roman"/>
          <w:sz w:val="16"/>
          <w:szCs w:val="16"/>
        </w:rPr>
        <w:t xml:space="preserve">. 12 y 17. f; ONU, </w:t>
      </w:r>
      <w:r w:rsidRPr="005049A3">
        <w:rPr>
          <w:rFonts w:ascii="Verdana" w:hAnsi="Verdana" w:cs="Times"/>
          <w:i/>
          <w:sz w:val="16"/>
          <w:szCs w:val="16"/>
        </w:rPr>
        <w:t xml:space="preserve">Informe de la Relatora Especial sobre la trata de personas, especialmente mujeres y niños, </w:t>
      </w:r>
      <w:proofErr w:type="spellStart"/>
      <w:r w:rsidRPr="005049A3">
        <w:rPr>
          <w:rFonts w:ascii="Verdana" w:hAnsi="Verdana" w:cs="Times"/>
          <w:i/>
          <w:sz w:val="16"/>
          <w:szCs w:val="16"/>
        </w:rPr>
        <w:t>Joy</w:t>
      </w:r>
      <w:proofErr w:type="spellEnd"/>
      <w:r w:rsidRPr="005049A3">
        <w:rPr>
          <w:rFonts w:ascii="Verdana" w:hAnsi="Verdana" w:cs="Times"/>
          <w:i/>
          <w:sz w:val="16"/>
          <w:szCs w:val="16"/>
        </w:rPr>
        <w:t xml:space="preserve"> </w:t>
      </w:r>
      <w:proofErr w:type="spellStart"/>
      <w:r w:rsidRPr="005049A3">
        <w:rPr>
          <w:rFonts w:ascii="Verdana" w:hAnsi="Verdana" w:cs="Times"/>
          <w:i/>
          <w:sz w:val="16"/>
          <w:szCs w:val="16"/>
        </w:rPr>
        <w:t>Ngozi</w:t>
      </w:r>
      <w:proofErr w:type="spellEnd"/>
      <w:r w:rsidRPr="005049A3">
        <w:rPr>
          <w:rFonts w:ascii="Verdana" w:hAnsi="Verdana" w:cs="Times"/>
          <w:i/>
          <w:sz w:val="16"/>
          <w:szCs w:val="16"/>
        </w:rPr>
        <w:t xml:space="preserve"> </w:t>
      </w:r>
      <w:proofErr w:type="spellStart"/>
      <w:r w:rsidRPr="005049A3">
        <w:rPr>
          <w:rFonts w:ascii="Verdana" w:hAnsi="Verdana" w:cs="Times"/>
          <w:i/>
          <w:sz w:val="16"/>
          <w:szCs w:val="16"/>
        </w:rPr>
        <w:t>Ezeilo</w:t>
      </w:r>
      <w:proofErr w:type="spellEnd"/>
      <w:r w:rsidRPr="005049A3">
        <w:rPr>
          <w:rFonts w:ascii="Verdana" w:hAnsi="Verdana" w:cs="Times"/>
          <w:sz w:val="16"/>
          <w:szCs w:val="16"/>
        </w:rPr>
        <w:t xml:space="preserve">, </w:t>
      </w:r>
      <w:r>
        <w:rPr>
          <w:rFonts w:ascii="Verdana" w:hAnsi="Verdana" w:cs="Times"/>
          <w:sz w:val="16"/>
          <w:szCs w:val="16"/>
        </w:rPr>
        <w:t>1 de abril de 2014, A/HRC/26/37</w:t>
      </w:r>
      <w:r w:rsidRPr="005049A3">
        <w:rPr>
          <w:rFonts w:ascii="Verdana" w:hAnsi="Verdana" w:cs="Times"/>
          <w:sz w:val="16"/>
          <w:szCs w:val="16"/>
        </w:rPr>
        <w:t>, párr. 41</w:t>
      </w:r>
      <w:r>
        <w:rPr>
          <w:rFonts w:ascii="Verdana" w:hAnsi="Verdana" w:cs="Times"/>
          <w:sz w:val="16"/>
          <w:szCs w:val="16"/>
        </w:rPr>
        <w:t>,</w:t>
      </w:r>
      <w:r w:rsidRPr="005049A3">
        <w:rPr>
          <w:rFonts w:ascii="Verdana" w:hAnsi="Verdana" w:cs="Times"/>
          <w:sz w:val="16"/>
          <w:szCs w:val="16"/>
        </w:rPr>
        <w:t xml:space="preserve"> y ONU, </w:t>
      </w:r>
      <w:r w:rsidRPr="008E3830">
        <w:rPr>
          <w:rFonts w:ascii="Verdana" w:hAnsi="Verdana" w:cs="Times"/>
          <w:i/>
          <w:sz w:val="16"/>
          <w:szCs w:val="16"/>
        </w:rPr>
        <w:t>Mandato de la Relatora Especial sobre la trata de personas, especialmente mujeres y niños</w:t>
      </w:r>
      <w:r w:rsidRPr="005049A3">
        <w:rPr>
          <w:rFonts w:ascii="Verdana" w:hAnsi="Verdana" w:cs="Times"/>
          <w:sz w:val="16"/>
          <w:szCs w:val="16"/>
        </w:rPr>
        <w:t xml:space="preserve">, 17 de julio de 2014 A/HRC/RES/26/8.  </w:t>
      </w:r>
    </w:p>
    <w:p w14:paraId="6D29A0D2" w14:textId="08C4A72C" w:rsidR="009D032A" w:rsidRPr="005049A3" w:rsidRDefault="009D032A" w:rsidP="0013659B">
      <w:pPr>
        <w:pStyle w:val="FootnoteText"/>
        <w:tabs>
          <w:tab w:val="left" w:pos="709"/>
        </w:tabs>
        <w:spacing w:after="0"/>
        <w:rPr>
          <w:lang w:val="es-ES_tradnl"/>
        </w:rPr>
      </w:pPr>
      <w:r w:rsidRPr="005049A3">
        <w:rPr>
          <w:lang w:val="es-ES_tradnl"/>
        </w:rPr>
        <w:t xml:space="preserve"> </w:t>
      </w:r>
    </w:p>
  </w:footnote>
  <w:footnote w:id="76">
    <w:p w14:paraId="177E8CC8" w14:textId="2E08F5BB"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ONU, </w:t>
      </w:r>
      <w:r w:rsidRPr="00737DF4">
        <w:rPr>
          <w:i/>
          <w:lang w:val="es-ES_tradnl"/>
        </w:rPr>
        <w:t>Principios Rectores sobre extrema pobreza y derechos humanos,</w:t>
      </w:r>
      <w:r w:rsidRPr="005049A3">
        <w:rPr>
          <w:lang w:val="es-ES_tradnl"/>
        </w:rPr>
        <w:t xml:space="preserve"> aprobados por el Consejo de Derechos Humanos, 27 de Septiembre de 2012, Resolución 21/11, principio </w:t>
      </w:r>
      <w:r w:rsidRPr="005049A3">
        <w:rPr>
          <w:rFonts w:cs="Times"/>
          <w:lang w:val="es-ES_tradnl"/>
        </w:rPr>
        <w:t>83.</w:t>
      </w:r>
    </w:p>
  </w:footnote>
  <w:footnote w:id="77">
    <w:p w14:paraId="6CEB819C" w14:textId="77777777" w:rsidR="009D032A" w:rsidRPr="005049A3" w:rsidRDefault="009D032A" w:rsidP="0013659B">
      <w:pPr>
        <w:pStyle w:val="FootnoteText"/>
        <w:tabs>
          <w:tab w:val="left" w:pos="709"/>
        </w:tabs>
        <w:spacing w:after="0"/>
        <w:rPr>
          <w:lang w:val="es-ES_tradnl"/>
        </w:rPr>
      </w:pPr>
    </w:p>
    <w:p w14:paraId="21D83D47" w14:textId="05FBC71F" w:rsidR="009D032A" w:rsidRPr="005049A3" w:rsidRDefault="009D032A" w:rsidP="0013659B">
      <w:pPr>
        <w:widowControl w:val="0"/>
        <w:tabs>
          <w:tab w:val="left" w:pos="709"/>
        </w:tabs>
        <w:autoSpaceDE w:val="0"/>
        <w:autoSpaceDN w:val="0"/>
        <w:adjustRightInd w:val="0"/>
        <w:jc w:val="both"/>
        <w:rPr>
          <w:rFonts w:ascii="Verdana" w:hAnsi="Verdana"/>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sz w:val="16"/>
          <w:szCs w:val="16"/>
        </w:rPr>
        <w:t xml:space="preserve">ONU, </w:t>
      </w:r>
      <w:r w:rsidRPr="00737DF4">
        <w:rPr>
          <w:rFonts w:ascii="Verdana" w:hAnsi="Verdana"/>
          <w:i/>
          <w:sz w:val="16"/>
          <w:szCs w:val="16"/>
        </w:rPr>
        <w:t>Informe de la Relatora especial sobre las formas contemporáneas de la esclavitud, incluidas sus causas y sus consecuencias</w:t>
      </w:r>
      <w:r w:rsidRPr="005049A3">
        <w:rPr>
          <w:rFonts w:ascii="Verdana" w:hAnsi="Verdana"/>
          <w:sz w:val="16"/>
          <w:szCs w:val="16"/>
        </w:rPr>
        <w:t xml:space="preserve">, </w:t>
      </w:r>
      <w:r w:rsidRPr="00611D85">
        <w:rPr>
          <w:rFonts w:ascii="Verdana" w:hAnsi="Verdana"/>
          <w:spacing w:val="-2"/>
          <w:sz w:val="16"/>
          <w:szCs w:val="16"/>
        </w:rPr>
        <w:t xml:space="preserve">Promoción y protección de todos los derechos humanos, civiles, políticos, económicos, sociales y culturales, incluido el derecho al desarrollo, </w:t>
      </w:r>
      <w:r w:rsidRPr="00611D85">
        <w:rPr>
          <w:rFonts w:ascii="Verdana" w:hAnsi="Verdana" w:cs="Times"/>
          <w:spacing w:val="-2"/>
          <w:sz w:val="16"/>
          <w:szCs w:val="16"/>
        </w:rPr>
        <w:t>A/HRC/12/21,</w:t>
      </w:r>
      <w:r>
        <w:rPr>
          <w:rFonts w:ascii="Verdana" w:hAnsi="Verdana" w:cs="Times"/>
          <w:sz w:val="16"/>
          <w:szCs w:val="16"/>
        </w:rPr>
        <w:t xml:space="preserve"> </w:t>
      </w:r>
      <w:r w:rsidRPr="00611D85">
        <w:rPr>
          <w:rFonts w:ascii="Verdana" w:hAnsi="Verdana" w:cs="Times"/>
          <w:spacing w:val="-2"/>
          <w:sz w:val="16"/>
          <w:szCs w:val="16"/>
        </w:rPr>
        <w:t>10 de julio de 2009,</w:t>
      </w:r>
      <w:r w:rsidRPr="005049A3">
        <w:rPr>
          <w:rFonts w:ascii="Verdana" w:hAnsi="Verdana" w:cs="Times"/>
          <w:sz w:val="16"/>
          <w:szCs w:val="16"/>
        </w:rPr>
        <w:t xml:space="preserve"> párr. 48.</w:t>
      </w:r>
    </w:p>
    <w:p w14:paraId="7FB38D27" w14:textId="77777777" w:rsidR="009D032A" w:rsidRPr="005049A3" w:rsidRDefault="009D032A" w:rsidP="0013659B">
      <w:pPr>
        <w:pStyle w:val="FootnoteText"/>
        <w:tabs>
          <w:tab w:val="left" w:pos="709"/>
        </w:tabs>
        <w:spacing w:after="0"/>
        <w:rPr>
          <w:lang w:val="es-ES_tradnl"/>
        </w:rPr>
      </w:pPr>
    </w:p>
  </w:footnote>
  <w:footnote w:id="78">
    <w:p w14:paraId="263B127F" w14:textId="652C1682" w:rsidR="009D032A" w:rsidRPr="005049A3" w:rsidRDefault="009D032A" w:rsidP="0013659B">
      <w:pPr>
        <w:widowControl w:val="0"/>
        <w:tabs>
          <w:tab w:val="left" w:pos="709"/>
        </w:tabs>
        <w:autoSpaceDE w:val="0"/>
        <w:autoSpaceDN w:val="0"/>
        <w:adjustRightInd w:val="0"/>
        <w:jc w:val="both"/>
        <w:rPr>
          <w:rFonts w:ascii="Verdana" w:hAnsi="Verdana"/>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sz w:val="16"/>
          <w:szCs w:val="16"/>
        </w:rPr>
        <w:t xml:space="preserve">ONU, </w:t>
      </w:r>
      <w:r w:rsidRPr="00737DF4">
        <w:rPr>
          <w:rFonts w:ascii="Verdana" w:hAnsi="Verdana"/>
          <w:i/>
          <w:sz w:val="16"/>
          <w:szCs w:val="16"/>
        </w:rPr>
        <w:t>Informe de la Relatora Especial sobre las formas contemporáneas de la esclavitud, incluidas sus causas y consecuencias</w:t>
      </w:r>
      <w:r w:rsidRPr="005049A3">
        <w:rPr>
          <w:rFonts w:ascii="Verdana" w:hAnsi="Verdana"/>
          <w:sz w:val="16"/>
          <w:szCs w:val="16"/>
        </w:rPr>
        <w:t xml:space="preserve">. Informe temático sobre las dificultades y enseñanzas de la lucha contra las formas contemporáneas de la esclavitud,  1 de julio de 2013, </w:t>
      </w:r>
      <w:r w:rsidRPr="005049A3">
        <w:rPr>
          <w:rFonts w:ascii="Verdana" w:hAnsi="Verdana" w:cs="Times"/>
          <w:sz w:val="16"/>
          <w:szCs w:val="16"/>
        </w:rPr>
        <w:t>A/HRC/24/43, párr.  38.</w:t>
      </w:r>
    </w:p>
    <w:p w14:paraId="43415965" w14:textId="77777777" w:rsidR="009D032A" w:rsidRPr="005049A3" w:rsidRDefault="009D032A" w:rsidP="0013659B">
      <w:pPr>
        <w:pStyle w:val="FootnoteText"/>
        <w:tabs>
          <w:tab w:val="left" w:pos="709"/>
        </w:tabs>
        <w:spacing w:after="0"/>
        <w:rPr>
          <w:lang w:val="es-ES_tradnl"/>
        </w:rPr>
      </w:pPr>
    </w:p>
  </w:footnote>
  <w:footnote w:id="79">
    <w:p w14:paraId="6E2B9C3F" w14:textId="6033E063"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t xml:space="preserve">Corte IDH. </w:t>
      </w:r>
      <w:r w:rsidRPr="005049A3">
        <w:rPr>
          <w:rFonts w:cs="Verdana"/>
          <w:bCs/>
          <w:i/>
          <w:lang w:val="es-ES_tradnl"/>
        </w:rPr>
        <w:t xml:space="preserve">Caso Gonzales </w:t>
      </w:r>
      <w:proofErr w:type="spellStart"/>
      <w:r w:rsidRPr="005049A3">
        <w:rPr>
          <w:rFonts w:cs="Verdana"/>
          <w:bCs/>
          <w:i/>
          <w:lang w:val="es-ES_tradnl"/>
        </w:rPr>
        <w:t>Lluy</w:t>
      </w:r>
      <w:proofErr w:type="spellEnd"/>
      <w:r w:rsidRPr="005049A3">
        <w:rPr>
          <w:rFonts w:cs="Verdana"/>
          <w:bCs/>
          <w:i/>
          <w:lang w:val="es-ES_tradnl"/>
        </w:rPr>
        <w:t xml:space="preserve"> y otros Vs. Ecuador. Excepciones Preliminares, Fondo, Reparaciones y Costas. </w:t>
      </w:r>
      <w:r w:rsidRPr="005049A3">
        <w:rPr>
          <w:rFonts w:cs="Verdana"/>
          <w:bCs/>
          <w:lang w:val="es-ES_tradnl"/>
        </w:rPr>
        <w:t xml:space="preserve">Sentencia de 1 de septiembre de 2015. Serie C No. 298, párr. 290. </w:t>
      </w:r>
    </w:p>
    <w:p w14:paraId="1A161F9A" w14:textId="77777777" w:rsidR="009D032A" w:rsidRPr="005049A3" w:rsidRDefault="009D032A" w:rsidP="0013659B">
      <w:pPr>
        <w:pStyle w:val="FootnoteText"/>
        <w:tabs>
          <w:tab w:val="left" w:pos="709"/>
        </w:tabs>
        <w:spacing w:after="0"/>
        <w:rPr>
          <w:lang w:val="es-ES_tradnl"/>
        </w:rPr>
      </w:pPr>
    </w:p>
  </w:footnote>
  <w:footnote w:id="80">
    <w:p w14:paraId="4492887F" w14:textId="18B91297"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Véase: </w:t>
      </w:r>
      <w:r w:rsidRPr="005049A3">
        <w:rPr>
          <w:rFonts w:cs="Verdana"/>
          <w:bCs/>
          <w:lang w:val="es-ES_tradnl"/>
        </w:rPr>
        <w:t xml:space="preserve">Corte IDH. </w:t>
      </w:r>
      <w:r w:rsidRPr="005049A3">
        <w:rPr>
          <w:rFonts w:cs="Verdana"/>
          <w:bCs/>
          <w:i/>
          <w:lang w:val="es-ES_tradnl"/>
        </w:rPr>
        <w:t xml:space="preserve">Caso </w:t>
      </w:r>
      <w:proofErr w:type="spellStart"/>
      <w:r w:rsidRPr="005049A3">
        <w:rPr>
          <w:rFonts w:cs="Verdana"/>
          <w:bCs/>
          <w:i/>
          <w:lang w:val="es-ES_tradnl"/>
        </w:rPr>
        <w:t>Artavia</w:t>
      </w:r>
      <w:proofErr w:type="spellEnd"/>
      <w:r w:rsidRPr="005049A3">
        <w:rPr>
          <w:rFonts w:cs="Verdana"/>
          <w:bCs/>
          <w:i/>
          <w:lang w:val="es-ES_tradnl"/>
        </w:rPr>
        <w:t xml:space="preserve"> Murillo y otros ("Fecundación in vitro") Vs. Costa Rica. Excepciones Preliminares, Fondo, Reparaciones y Costas.</w:t>
      </w:r>
      <w:r w:rsidRPr="005049A3">
        <w:rPr>
          <w:rFonts w:cs="Verdana"/>
          <w:bCs/>
          <w:lang w:val="es-ES_tradnl"/>
        </w:rPr>
        <w:t xml:space="preserve"> Sentencia de 28 noviembre de 2012. Serie C No. 257</w:t>
      </w:r>
      <w:r>
        <w:rPr>
          <w:rFonts w:cs="Verdana"/>
          <w:bCs/>
          <w:lang w:val="es-ES_tradnl"/>
        </w:rPr>
        <w:t>,</w:t>
      </w:r>
      <w:r w:rsidRPr="005049A3">
        <w:rPr>
          <w:rFonts w:cs="Verdana"/>
          <w:bCs/>
          <w:lang w:val="es-ES_tradnl"/>
        </w:rPr>
        <w:t xml:space="preserve"> y  </w:t>
      </w:r>
      <w:r w:rsidRPr="005049A3">
        <w:rPr>
          <w:rFonts w:cs="Verdana"/>
          <w:bCs/>
          <w:i/>
          <w:lang w:val="es-ES_tradnl"/>
        </w:rPr>
        <w:t xml:space="preserve">Caso Gonzales </w:t>
      </w:r>
      <w:proofErr w:type="spellStart"/>
      <w:r w:rsidRPr="005049A3">
        <w:rPr>
          <w:rFonts w:cs="Verdana"/>
          <w:bCs/>
          <w:i/>
          <w:lang w:val="es-ES_tradnl"/>
        </w:rPr>
        <w:t>Lluy</w:t>
      </w:r>
      <w:proofErr w:type="spellEnd"/>
      <w:r w:rsidRPr="005049A3">
        <w:rPr>
          <w:rFonts w:cs="Verdana"/>
          <w:bCs/>
          <w:i/>
          <w:lang w:val="es-ES_tradnl"/>
        </w:rPr>
        <w:t xml:space="preserve"> y otros Vs. Ecuador. Excepciones Preliminares, Fondo, Reparaciones y Costas</w:t>
      </w:r>
      <w:r w:rsidRPr="005049A3">
        <w:rPr>
          <w:rFonts w:cs="Verdana"/>
          <w:bCs/>
          <w:lang w:val="es-ES_tradnl"/>
        </w:rPr>
        <w:t>. Sentencia de 1 de septiembre de 2015. Serie C No. 298.</w:t>
      </w:r>
    </w:p>
    <w:p w14:paraId="770674C8" w14:textId="77777777" w:rsidR="009D032A" w:rsidRPr="005049A3" w:rsidRDefault="009D032A" w:rsidP="0013659B">
      <w:pPr>
        <w:pStyle w:val="FootnoteText"/>
        <w:tabs>
          <w:tab w:val="left" w:pos="709"/>
        </w:tabs>
        <w:spacing w:after="0"/>
        <w:rPr>
          <w:lang w:val="es-ES_tradnl"/>
        </w:rPr>
      </w:pPr>
    </w:p>
  </w:footnote>
  <w:footnote w:id="81">
    <w:p w14:paraId="02F33560" w14:textId="113D3B31" w:rsidR="009D032A"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proofErr w:type="spellStart"/>
      <w:r w:rsidRPr="000C784B">
        <w:rPr>
          <w:spacing w:val="-2"/>
          <w:lang w:val="es-ES_tradnl"/>
        </w:rPr>
        <w:t>Maurino</w:t>
      </w:r>
      <w:proofErr w:type="spellEnd"/>
      <w:r w:rsidRPr="000C784B">
        <w:rPr>
          <w:spacing w:val="-2"/>
          <w:lang w:val="es-ES_tradnl"/>
        </w:rPr>
        <w:t>, Gustavo, “</w:t>
      </w:r>
      <w:r w:rsidRPr="00234660">
        <w:rPr>
          <w:lang w:val="es-ES_tradnl"/>
        </w:rPr>
        <w:t>Pobreza y discriminación: la protección constitucional para los más humildes</w:t>
      </w:r>
      <w:r>
        <w:rPr>
          <w:lang w:val="es-ES_tradnl"/>
        </w:rPr>
        <w:t>”</w:t>
      </w:r>
      <w:r w:rsidRPr="005049A3">
        <w:rPr>
          <w:i/>
          <w:lang w:val="es-ES_tradnl"/>
        </w:rPr>
        <w:t xml:space="preserve">, </w:t>
      </w:r>
      <w:r w:rsidRPr="000C784B">
        <w:rPr>
          <w:spacing w:val="-2"/>
          <w:lang w:val="es-ES_tradnl"/>
        </w:rPr>
        <w:t xml:space="preserve">en Alegre, Marcelo y </w:t>
      </w:r>
      <w:proofErr w:type="spellStart"/>
      <w:r w:rsidRPr="000C784B">
        <w:rPr>
          <w:spacing w:val="-2"/>
          <w:lang w:val="es-ES_tradnl"/>
        </w:rPr>
        <w:t>Gargarella</w:t>
      </w:r>
      <w:proofErr w:type="spellEnd"/>
      <w:r w:rsidRPr="000C784B">
        <w:rPr>
          <w:spacing w:val="-2"/>
          <w:lang w:val="es-ES_tradnl"/>
        </w:rPr>
        <w:t>, Roberto (</w:t>
      </w:r>
      <w:proofErr w:type="spellStart"/>
      <w:r w:rsidRPr="000C784B">
        <w:rPr>
          <w:spacing w:val="-2"/>
          <w:lang w:val="es-ES_tradnl"/>
        </w:rPr>
        <w:t>Coords</w:t>
      </w:r>
      <w:proofErr w:type="spellEnd"/>
      <w:r w:rsidRPr="000C784B">
        <w:rPr>
          <w:spacing w:val="-2"/>
          <w:lang w:val="es-ES_tradnl"/>
        </w:rPr>
        <w:t>.),</w:t>
      </w:r>
      <w:r w:rsidRPr="005049A3">
        <w:rPr>
          <w:lang w:val="es-ES_tradnl"/>
        </w:rPr>
        <w:t xml:space="preserve"> </w:t>
      </w:r>
      <w:r w:rsidRPr="005049A3">
        <w:rPr>
          <w:i/>
          <w:lang w:val="es-ES_tradnl"/>
        </w:rPr>
        <w:t>El derecho a la igualdad. Aportes para un constitucionalismo igualitario</w:t>
      </w:r>
      <w:r w:rsidRPr="000C784B">
        <w:rPr>
          <w:i/>
          <w:spacing w:val="-2"/>
          <w:lang w:val="es-ES_tradnl"/>
        </w:rPr>
        <w:t xml:space="preserve">, </w:t>
      </w:r>
      <w:r w:rsidRPr="000C784B">
        <w:rPr>
          <w:spacing w:val="-2"/>
          <w:lang w:val="es-ES_tradnl"/>
        </w:rPr>
        <w:t xml:space="preserve">2da ed., Buenos Aires, </w:t>
      </w:r>
      <w:proofErr w:type="spellStart"/>
      <w:r w:rsidRPr="000C784B">
        <w:rPr>
          <w:spacing w:val="-2"/>
          <w:lang w:val="es-ES_tradnl"/>
        </w:rPr>
        <w:t>Abeledo</w:t>
      </w:r>
      <w:proofErr w:type="spellEnd"/>
      <w:r w:rsidRPr="000C784B">
        <w:rPr>
          <w:spacing w:val="-2"/>
          <w:lang w:val="es-ES_tradnl"/>
        </w:rPr>
        <w:t xml:space="preserve"> </w:t>
      </w:r>
      <w:proofErr w:type="spellStart"/>
      <w:r w:rsidRPr="000C784B">
        <w:rPr>
          <w:spacing w:val="-2"/>
          <w:lang w:val="es-ES_tradnl"/>
        </w:rPr>
        <w:t>Perrot</w:t>
      </w:r>
      <w:proofErr w:type="spellEnd"/>
      <w:r w:rsidRPr="000C784B">
        <w:rPr>
          <w:spacing w:val="-2"/>
          <w:lang w:val="es-ES_tradnl"/>
        </w:rPr>
        <w:t>-Igualitaria-ACIJ, 2012, pp. 265-295, en</w:t>
      </w:r>
      <w:r>
        <w:rPr>
          <w:lang w:val="es-ES_tradnl"/>
        </w:rPr>
        <w:t xml:space="preserve"> </w:t>
      </w:r>
      <w:r w:rsidRPr="000C784B">
        <w:rPr>
          <w:spacing w:val="-2"/>
          <w:lang w:val="es-ES_tradnl"/>
        </w:rPr>
        <w:t>p. 284.</w:t>
      </w:r>
    </w:p>
    <w:p w14:paraId="04BE4B91" w14:textId="77777777" w:rsidR="009D032A" w:rsidRPr="005049A3" w:rsidRDefault="009D032A" w:rsidP="0013659B">
      <w:pPr>
        <w:pStyle w:val="FootnoteText"/>
        <w:tabs>
          <w:tab w:val="left" w:pos="709"/>
        </w:tabs>
        <w:rPr>
          <w:lang w:val="es-ES_tradnl"/>
        </w:rPr>
      </w:pPr>
    </w:p>
  </w:footnote>
  <w:footnote w:id="82">
    <w:p w14:paraId="5C08F99E" w14:textId="46F2A5EB" w:rsidR="009D032A" w:rsidRPr="005A0278" w:rsidRDefault="009D032A" w:rsidP="005A0278">
      <w:pPr>
        <w:pStyle w:val="FootnoteText"/>
        <w:tabs>
          <w:tab w:val="left" w:pos="709"/>
        </w:tabs>
        <w:rPr>
          <w:lang w:val="es-ES"/>
        </w:rPr>
      </w:pPr>
      <w:r>
        <w:rPr>
          <w:rStyle w:val="FootnoteReference"/>
        </w:rPr>
        <w:footnoteRef/>
      </w:r>
      <w:r w:rsidRPr="005A0278">
        <w:rPr>
          <w:lang w:val="es-ES"/>
        </w:rPr>
        <w:t xml:space="preserve"> </w:t>
      </w:r>
      <w:r w:rsidRPr="005A0278">
        <w:rPr>
          <w:lang w:val="es-ES"/>
        </w:rPr>
        <w:tab/>
      </w:r>
      <w:r w:rsidRPr="00C70DDD">
        <w:rPr>
          <w:i/>
          <w:lang w:val="es-ES_tradnl"/>
        </w:rPr>
        <w:t>Cfr.</w:t>
      </w:r>
      <w:r w:rsidRPr="00C70DDD">
        <w:rPr>
          <w:lang w:val="es-ES_tradnl"/>
        </w:rPr>
        <w:t xml:space="preserve"> ONU, </w:t>
      </w:r>
      <w:r w:rsidRPr="00C70DDD">
        <w:rPr>
          <w:rFonts w:cs="Optima"/>
          <w:lang w:val="es-ES_tradnl"/>
        </w:rPr>
        <w:t xml:space="preserve">Comisión Económica para América Latina y el Caribe (CEPAL), </w:t>
      </w:r>
      <w:r w:rsidRPr="00C70DDD">
        <w:rPr>
          <w:rFonts w:cs="Optima"/>
          <w:i/>
          <w:iCs/>
          <w:lang w:val="es-ES_tradnl"/>
        </w:rPr>
        <w:t>Panorama Social de América Latina, 2015</w:t>
      </w:r>
      <w:r>
        <w:rPr>
          <w:rFonts w:cs="Optima"/>
          <w:lang w:val="es-ES_tradnl"/>
        </w:rPr>
        <w:t>, (LC/G.2691-P), Santiago, 2016, pp. 20 y 21.</w:t>
      </w:r>
    </w:p>
  </w:footnote>
  <w:footnote w:id="83">
    <w:p w14:paraId="4B08C08C" w14:textId="048DE46A" w:rsidR="009D032A" w:rsidRPr="008E3830" w:rsidRDefault="009D032A" w:rsidP="0013659B">
      <w:pPr>
        <w:shd w:val="clear" w:color="auto" w:fill="FFFFFF"/>
        <w:tabs>
          <w:tab w:val="left" w:pos="709"/>
        </w:tabs>
        <w:jc w:val="both"/>
        <w:rPr>
          <w:rFonts w:ascii="Verdana" w:hAnsi="Verdana" w:cs="Times"/>
          <w:i/>
          <w:iCs/>
          <w:sz w:val="16"/>
          <w:szCs w:val="16"/>
          <w:lang w:val="es-ES"/>
        </w:rPr>
      </w:pPr>
      <w:r w:rsidRPr="005049A3">
        <w:rPr>
          <w:rStyle w:val="FootnoteReference"/>
          <w:rFonts w:ascii="Verdana" w:hAnsi="Verdana"/>
          <w:sz w:val="16"/>
          <w:szCs w:val="16"/>
        </w:rPr>
        <w:footnoteRef/>
      </w:r>
      <w:r>
        <w:rPr>
          <w:rFonts w:ascii="Verdana" w:hAnsi="Verdana"/>
          <w:i/>
          <w:sz w:val="16"/>
          <w:szCs w:val="16"/>
        </w:rPr>
        <w:tab/>
      </w:r>
      <w:r w:rsidRPr="005049A3">
        <w:rPr>
          <w:rFonts w:ascii="Verdana" w:hAnsi="Verdana"/>
          <w:i/>
          <w:sz w:val="16"/>
          <w:szCs w:val="16"/>
        </w:rPr>
        <w:t>Cfr.</w:t>
      </w:r>
      <w:r w:rsidRPr="005049A3">
        <w:rPr>
          <w:rFonts w:ascii="Verdana" w:hAnsi="Verdana"/>
          <w:sz w:val="16"/>
          <w:szCs w:val="16"/>
        </w:rPr>
        <w:t xml:space="preserve"> TEDH </w:t>
      </w:r>
      <w:proofErr w:type="spellStart"/>
      <w:r w:rsidRPr="005049A3">
        <w:rPr>
          <w:rFonts w:ascii="Verdana" w:hAnsi="Verdana" w:cs="Times"/>
          <w:i/>
          <w:iCs/>
          <w:sz w:val="16"/>
          <w:szCs w:val="16"/>
          <w:lang w:val="es-ES"/>
        </w:rPr>
        <w:t>Broniowski</w:t>
      </w:r>
      <w:proofErr w:type="spellEnd"/>
      <w:r w:rsidRPr="005049A3">
        <w:rPr>
          <w:rFonts w:ascii="Verdana" w:hAnsi="Verdana" w:cs="Times"/>
          <w:i/>
          <w:iCs/>
          <w:sz w:val="16"/>
          <w:szCs w:val="16"/>
          <w:lang w:val="es-ES"/>
        </w:rPr>
        <w:t xml:space="preserve"> </w:t>
      </w:r>
      <w:r>
        <w:rPr>
          <w:rFonts w:ascii="Verdana" w:hAnsi="Verdana" w:cs="Times"/>
          <w:i/>
          <w:iCs/>
          <w:sz w:val="16"/>
          <w:szCs w:val="16"/>
          <w:lang w:val="es-ES"/>
        </w:rPr>
        <w:t>Vs</w:t>
      </w:r>
      <w:r w:rsidRPr="005049A3">
        <w:rPr>
          <w:rFonts w:ascii="Verdana" w:hAnsi="Verdana" w:cs="Times"/>
          <w:i/>
          <w:iCs/>
          <w:sz w:val="16"/>
          <w:szCs w:val="16"/>
          <w:lang w:val="es-ES"/>
        </w:rPr>
        <w:t>. Polonia</w:t>
      </w:r>
      <w:r w:rsidRPr="000C784B">
        <w:rPr>
          <w:rFonts w:ascii="Verdana" w:hAnsi="Verdana" w:cs="Times"/>
          <w:i/>
          <w:iCs/>
          <w:spacing w:val="-2"/>
          <w:sz w:val="16"/>
          <w:szCs w:val="16"/>
          <w:lang w:val="es-ES"/>
        </w:rPr>
        <w:t xml:space="preserve">, </w:t>
      </w:r>
      <w:r w:rsidRPr="000C784B">
        <w:rPr>
          <w:rFonts w:ascii="Verdana" w:hAnsi="Verdana" w:cs="Times"/>
          <w:spacing w:val="-2"/>
          <w:sz w:val="16"/>
          <w:szCs w:val="16"/>
          <w:lang w:val="es-ES"/>
        </w:rPr>
        <w:t>No. 31443/96, Sentencia de 22 de junio de 2004, párrs.</w:t>
      </w:r>
      <w:r w:rsidRPr="000C784B">
        <w:rPr>
          <w:rFonts w:ascii="Verdana" w:hAnsi="Verdana" w:cs="Times"/>
          <w:color w:val="FF0000"/>
          <w:spacing w:val="-2"/>
          <w:sz w:val="16"/>
          <w:szCs w:val="16"/>
          <w:lang w:val="es-ES"/>
        </w:rPr>
        <w:t xml:space="preserve"> </w:t>
      </w:r>
      <w:r w:rsidRPr="000C784B">
        <w:rPr>
          <w:rFonts w:ascii="Verdana" w:hAnsi="Verdana" w:cs="Arial"/>
          <w:color w:val="000000"/>
          <w:spacing w:val="-2"/>
          <w:sz w:val="16"/>
          <w:szCs w:val="16"/>
        </w:rPr>
        <w:t>190 y 191</w:t>
      </w:r>
      <w:r w:rsidRPr="005049A3">
        <w:rPr>
          <w:rFonts w:ascii="Verdana" w:hAnsi="Verdana" w:cs="Arial"/>
          <w:color w:val="000000"/>
          <w:sz w:val="16"/>
          <w:szCs w:val="16"/>
        </w:rPr>
        <w:t>.</w:t>
      </w:r>
    </w:p>
    <w:p w14:paraId="2BE28D02" w14:textId="29CF9F44" w:rsidR="009D032A" w:rsidRPr="005049A3" w:rsidRDefault="009D032A" w:rsidP="0013659B">
      <w:pPr>
        <w:pStyle w:val="FootnoteText"/>
        <w:tabs>
          <w:tab w:val="left" w:pos="709"/>
        </w:tabs>
        <w:spacing w:after="0"/>
        <w:rPr>
          <w:lang w:val="es-ES_tradnl"/>
        </w:rPr>
      </w:pPr>
      <w:r w:rsidRPr="005049A3">
        <w:rPr>
          <w:lang w:val="es-ES_tradnl"/>
        </w:rPr>
        <w:t xml:space="preserve"> </w:t>
      </w:r>
    </w:p>
  </w:footnote>
  <w:footnote w:id="84">
    <w:p w14:paraId="3530DA0C" w14:textId="155C69BF" w:rsidR="009D032A" w:rsidRPr="005049A3" w:rsidRDefault="009D032A" w:rsidP="0013659B">
      <w:pPr>
        <w:widowControl w:val="0"/>
        <w:tabs>
          <w:tab w:val="left" w:pos="709"/>
        </w:tabs>
        <w:autoSpaceDE w:val="0"/>
        <w:autoSpaceDN w:val="0"/>
        <w:adjustRightInd w:val="0"/>
        <w:jc w:val="both"/>
        <w:rPr>
          <w:rFonts w:ascii="Verdana" w:hAnsi="Verdana" w:cs="Times"/>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sz w:val="16"/>
          <w:szCs w:val="16"/>
        </w:rPr>
        <w:t xml:space="preserve">El fundamento jurídico </w:t>
      </w:r>
      <w:r>
        <w:rPr>
          <w:rFonts w:ascii="Verdana" w:hAnsi="Verdana"/>
          <w:sz w:val="16"/>
          <w:szCs w:val="16"/>
        </w:rPr>
        <w:t>que ha utilizado el Tribunal Europeo ha</w:t>
      </w:r>
      <w:r w:rsidRPr="005049A3">
        <w:rPr>
          <w:rFonts w:ascii="Verdana" w:hAnsi="Verdana"/>
          <w:sz w:val="16"/>
          <w:szCs w:val="16"/>
        </w:rPr>
        <w:t xml:space="preserve"> sido </w:t>
      </w:r>
      <w:r w:rsidRPr="005049A3">
        <w:rPr>
          <w:rFonts w:ascii="Verdana" w:hAnsi="Verdana" w:cs="Times"/>
          <w:sz w:val="16"/>
          <w:szCs w:val="16"/>
        </w:rPr>
        <w:t xml:space="preserve">el art. 46.1, conforme al cual los Estados se comprometen a cumplir las sentencias del Tribunal en los litigios en que sean parte. Además, el art. 1 que establece la obligación general de los Estados de respetar los derechos humanos y en el art. 19, que dispone que la función del Tribunal es asegurar que los Estados respeten los compromisos resultantes del CEDH. </w:t>
      </w:r>
    </w:p>
    <w:p w14:paraId="7E40B6E0" w14:textId="1675AA71" w:rsidR="009D032A" w:rsidRPr="005049A3" w:rsidRDefault="009D032A" w:rsidP="0013659B">
      <w:pPr>
        <w:pStyle w:val="FootnoteText"/>
        <w:tabs>
          <w:tab w:val="left" w:pos="709"/>
        </w:tabs>
        <w:spacing w:after="0"/>
        <w:rPr>
          <w:lang w:val="es-ES_tradnl"/>
        </w:rPr>
      </w:pPr>
    </w:p>
  </w:footnote>
  <w:footnote w:id="85">
    <w:p w14:paraId="3E7951F5" w14:textId="1C5D4E78" w:rsidR="009D032A" w:rsidRPr="005049A3" w:rsidRDefault="009D032A" w:rsidP="0013659B">
      <w:pPr>
        <w:shd w:val="clear" w:color="auto" w:fill="FFFFFF"/>
        <w:tabs>
          <w:tab w:val="left" w:pos="709"/>
        </w:tabs>
        <w:jc w:val="both"/>
        <w:rPr>
          <w:rFonts w:ascii="Verdana" w:hAnsi="Verdana" w:cs="Arial"/>
          <w:color w:val="000000"/>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sz w:val="16"/>
          <w:szCs w:val="16"/>
        </w:rPr>
        <w:t>Al respecto, sobre las implicaciones de un procedimiento de una sentencia piloto</w:t>
      </w:r>
      <w:r>
        <w:rPr>
          <w:rFonts w:ascii="Verdana" w:hAnsi="Verdana"/>
          <w:sz w:val="16"/>
          <w:szCs w:val="16"/>
        </w:rPr>
        <w:t>,</w:t>
      </w:r>
      <w:r w:rsidRPr="005049A3">
        <w:rPr>
          <w:rFonts w:ascii="Verdana" w:hAnsi="Verdana"/>
          <w:sz w:val="16"/>
          <w:szCs w:val="16"/>
        </w:rPr>
        <w:t xml:space="preserve"> el TEDH ha considerado que estas se basan </w:t>
      </w:r>
      <w:r>
        <w:rPr>
          <w:rFonts w:ascii="Verdana" w:hAnsi="Verdana"/>
          <w:sz w:val="16"/>
          <w:szCs w:val="16"/>
        </w:rPr>
        <w:t>en</w:t>
      </w:r>
      <w:r w:rsidRPr="005049A3">
        <w:rPr>
          <w:rFonts w:ascii="Verdana" w:hAnsi="Verdana"/>
          <w:sz w:val="16"/>
          <w:szCs w:val="16"/>
        </w:rPr>
        <w:t xml:space="preserve"> la existencia de un problema generalizado y sistémico que tiene como consecuencia que un conjunto de personas se vean afectadas de manera adversa. Así</w:t>
      </w:r>
      <w:r>
        <w:rPr>
          <w:rFonts w:ascii="Verdana" w:hAnsi="Verdana"/>
          <w:sz w:val="16"/>
          <w:szCs w:val="16"/>
        </w:rPr>
        <w:t>, mediante</w:t>
      </w:r>
      <w:r w:rsidRPr="005049A3">
        <w:rPr>
          <w:rFonts w:ascii="Verdana" w:hAnsi="Verdana"/>
          <w:sz w:val="16"/>
          <w:szCs w:val="16"/>
        </w:rPr>
        <w:t xml:space="preserve"> las denominadas medidas generales a nivel nacional, se pretende que tengan en cuenta a todas las personas afectadas y, de este modo, remediar el defecto sistémico en el que se basa la violación declarada por la Corte. De este modo, las sentencias piloto, son un enfoque judicial que usa el TEDH para remediar problemas sistémicos y estructurales en el orden jurídico nacional. </w:t>
      </w:r>
      <w:r w:rsidRPr="005049A3">
        <w:rPr>
          <w:rFonts w:ascii="Verdana" w:hAnsi="Verdana"/>
          <w:i/>
          <w:sz w:val="16"/>
          <w:szCs w:val="16"/>
        </w:rPr>
        <w:t>Cfr.</w:t>
      </w:r>
      <w:r w:rsidRPr="005049A3">
        <w:rPr>
          <w:rFonts w:ascii="Verdana" w:hAnsi="Verdana"/>
          <w:sz w:val="16"/>
          <w:szCs w:val="16"/>
        </w:rPr>
        <w:t xml:space="preserve"> TEDH </w:t>
      </w:r>
      <w:proofErr w:type="spellStart"/>
      <w:r w:rsidRPr="005049A3">
        <w:rPr>
          <w:rFonts w:ascii="Verdana" w:hAnsi="Verdana" w:cs="Times"/>
          <w:i/>
          <w:iCs/>
          <w:sz w:val="16"/>
          <w:szCs w:val="16"/>
          <w:lang w:val="es-ES"/>
        </w:rPr>
        <w:t>Broniowski</w:t>
      </w:r>
      <w:proofErr w:type="spellEnd"/>
      <w:r w:rsidRPr="005049A3">
        <w:rPr>
          <w:rFonts w:ascii="Verdana" w:hAnsi="Verdana" w:cs="Times"/>
          <w:i/>
          <w:iCs/>
          <w:sz w:val="16"/>
          <w:szCs w:val="16"/>
          <w:lang w:val="es-ES"/>
        </w:rPr>
        <w:t xml:space="preserve"> </w:t>
      </w:r>
      <w:r>
        <w:rPr>
          <w:rFonts w:ascii="Verdana" w:hAnsi="Verdana" w:cs="Times"/>
          <w:i/>
          <w:iCs/>
          <w:sz w:val="16"/>
          <w:szCs w:val="16"/>
          <w:lang w:val="es-ES"/>
        </w:rPr>
        <w:t>Vs</w:t>
      </w:r>
      <w:r w:rsidRPr="005049A3">
        <w:rPr>
          <w:rFonts w:ascii="Verdana" w:hAnsi="Verdana" w:cs="Times"/>
          <w:i/>
          <w:iCs/>
          <w:sz w:val="16"/>
          <w:szCs w:val="16"/>
          <w:lang w:val="es-ES"/>
        </w:rPr>
        <w:t>. Polonia,</w:t>
      </w:r>
      <w:r w:rsidRPr="000C784B">
        <w:rPr>
          <w:rFonts w:ascii="Verdana" w:hAnsi="Verdana" w:cs="Times"/>
          <w:iCs/>
          <w:sz w:val="16"/>
          <w:szCs w:val="16"/>
          <w:lang w:val="es-ES"/>
        </w:rPr>
        <w:t xml:space="preserve"> No. </w:t>
      </w:r>
      <w:r w:rsidRPr="005049A3">
        <w:rPr>
          <w:rFonts w:ascii="Verdana" w:hAnsi="Verdana" w:cs="Times"/>
          <w:sz w:val="16"/>
          <w:szCs w:val="16"/>
          <w:lang w:val="es-ES"/>
        </w:rPr>
        <w:t>31443/96, Sentencia Cumplimiento de 28 de septiembre de 2005, párr</w:t>
      </w:r>
      <w:r>
        <w:rPr>
          <w:rFonts w:ascii="Verdana" w:hAnsi="Verdana" w:cs="Times"/>
          <w:sz w:val="16"/>
          <w:szCs w:val="16"/>
          <w:lang w:val="es-ES"/>
        </w:rPr>
        <w:t>s</w:t>
      </w:r>
      <w:r w:rsidRPr="005049A3">
        <w:rPr>
          <w:rFonts w:ascii="Verdana" w:hAnsi="Verdana" w:cs="Times"/>
          <w:sz w:val="16"/>
          <w:szCs w:val="16"/>
          <w:lang w:val="es-ES"/>
        </w:rPr>
        <w:t>.</w:t>
      </w:r>
      <w:r w:rsidRPr="005049A3">
        <w:rPr>
          <w:rFonts w:ascii="Verdana" w:hAnsi="Verdana" w:cs="Times"/>
          <w:color w:val="FF0000"/>
          <w:sz w:val="16"/>
          <w:szCs w:val="16"/>
          <w:lang w:val="es-ES"/>
        </w:rPr>
        <w:t xml:space="preserve"> </w:t>
      </w:r>
      <w:r w:rsidRPr="005049A3">
        <w:rPr>
          <w:rFonts w:ascii="Verdana" w:hAnsi="Verdana"/>
          <w:sz w:val="16"/>
          <w:szCs w:val="16"/>
        </w:rPr>
        <w:t xml:space="preserve">34 y 35. </w:t>
      </w:r>
    </w:p>
    <w:p w14:paraId="01FD9B37" w14:textId="77777777" w:rsidR="009D032A" w:rsidRPr="005049A3" w:rsidRDefault="009D032A" w:rsidP="0013659B">
      <w:pPr>
        <w:pStyle w:val="FootnoteText"/>
        <w:tabs>
          <w:tab w:val="left" w:pos="709"/>
        </w:tabs>
        <w:spacing w:after="0"/>
        <w:rPr>
          <w:lang w:val="es-ES_tradnl"/>
        </w:rPr>
      </w:pPr>
    </w:p>
  </w:footnote>
  <w:footnote w:id="86">
    <w:p w14:paraId="03D217A5" w14:textId="35884E9D" w:rsidR="009D032A" w:rsidRDefault="009D032A" w:rsidP="00C9660F">
      <w:pPr>
        <w:shd w:val="clear" w:color="auto" w:fill="FFFFFF"/>
        <w:tabs>
          <w:tab w:val="left" w:pos="709"/>
        </w:tabs>
        <w:jc w:val="both"/>
        <w:rPr>
          <w:rFonts w:ascii="Verdana" w:hAnsi="Verdana" w:cs="Arial"/>
          <w:color w:val="000000"/>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i/>
          <w:sz w:val="16"/>
          <w:szCs w:val="16"/>
        </w:rPr>
        <w:t>Cfr.</w:t>
      </w:r>
      <w:r w:rsidRPr="005049A3">
        <w:rPr>
          <w:rFonts w:ascii="Verdana" w:hAnsi="Verdana"/>
          <w:sz w:val="16"/>
          <w:szCs w:val="16"/>
        </w:rPr>
        <w:t xml:space="preserve"> TEDH </w:t>
      </w:r>
      <w:proofErr w:type="spellStart"/>
      <w:r w:rsidRPr="005049A3">
        <w:rPr>
          <w:rFonts w:ascii="Verdana" w:hAnsi="Verdana" w:cs="Times"/>
          <w:i/>
          <w:iCs/>
          <w:sz w:val="16"/>
          <w:szCs w:val="16"/>
          <w:lang w:val="es-ES"/>
        </w:rPr>
        <w:t>Broniowski</w:t>
      </w:r>
      <w:proofErr w:type="spellEnd"/>
      <w:r w:rsidRPr="005049A3">
        <w:rPr>
          <w:rFonts w:ascii="Verdana" w:hAnsi="Verdana" w:cs="Times"/>
          <w:i/>
          <w:iCs/>
          <w:sz w:val="16"/>
          <w:szCs w:val="16"/>
          <w:lang w:val="es-ES"/>
        </w:rPr>
        <w:t xml:space="preserve"> </w:t>
      </w:r>
      <w:r>
        <w:rPr>
          <w:rFonts w:ascii="Verdana" w:hAnsi="Verdana" w:cs="Times"/>
          <w:i/>
          <w:iCs/>
          <w:sz w:val="16"/>
          <w:szCs w:val="16"/>
          <w:lang w:val="es-ES"/>
        </w:rPr>
        <w:t>Vs</w:t>
      </w:r>
      <w:r w:rsidRPr="005049A3">
        <w:rPr>
          <w:rFonts w:ascii="Verdana" w:hAnsi="Verdana" w:cs="Times"/>
          <w:i/>
          <w:iCs/>
          <w:sz w:val="16"/>
          <w:szCs w:val="16"/>
          <w:lang w:val="es-ES"/>
        </w:rPr>
        <w:t xml:space="preserve">. Polonia, </w:t>
      </w:r>
      <w:r>
        <w:rPr>
          <w:rFonts w:ascii="Verdana" w:hAnsi="Verdana" w:cs="Times"/>
          <w:sz w:val="16"/>
          <w:szCs w:val="16"/>
          <w:lang w:val="es-ES"/>
        </w:rPr>
        <w:t>No</w:t>
      </w:r>
      <w:r w:rsidRPr="005049A3">
        <w:rPr>
          <w:rFonts w:ascii="Verdana" w:hAnsi="Verdana" w:cs="Times"/>
          <w:sz w:val="16"/>
          <w:szCs w:val="16"/>
          <w:lang w:val="es-ES"/>
        </w:rPr>
        <w:t>. 31443/96, Sentencia de 22 de junio de 2004, párr.</w:t>
      </w:r>
      <w:r w:rsidRPr="005049A3">
        <w:rPr>
          <w:rFonts w:ascii="Verdana" w:hAnsi="Verdana" w:cs="Times"/>
          <w:color w:val="FF0000"/>
          <w:sz w:val="16"/>
          <w:szCs w:val="16"/>
          <w:lang w:val="es-ES"/>
        </w:rPr>
        <w:t xml:space="preserve"> </w:t>
      </w:r>
      <w:r w:rsidRPr="005049A3">
        <w:rPr>
          <w:rFonts w:ascii="Verdana" w:hAnsi="Verdana" w:cs="Arial"/>
          <w:color w:val="000000"/>
          <w:sz w:val="16"/>
          <w:szCs w:val="16"/>
        </w:rPr>
        <w:t>189.</w:t>
      </w:r>
    </w:p>
    <w:p w14:paraId="7C00CB34" w14:textId="77777777" w:rsidR="009D032A" w:rsidRPr="00C9660F" w:rsidRDefault="009D032A" w:rsidP="00C9660F">
      <w:pPr>
        <w:shd w:val="clear" w:color="auto" w:fill="FFFFFF"/>
        <w:tabs>
          <w:tab w:val="left" w:pos="709"/>
        </w:tabs>
        <w:jc w:val="both"/>
        <w:rPr>
          <w:rFonts w:ascii="Verdana" w:hAnsi="Verdana" w:cs="Arial"/>
          <w:color w:val="000000"/>
          <w:sz w:val="16"/>
          <w:szCs w:val="16"/>
        </w:rPr>
      </w:pPr>
    </w:p>
  </w:footnote>
  <w:footnote w:id="87">
    <w:p w14:paraId="29DDAA50" w14:textId="1BAA7373" w:rsidR="009D032A" w:rsidRPr="000B11BC" w:rsidRDefault="009D032A" w:rsidP="00030E8C">
      <w:pPr>
        <w:widowControl w:val="0"/>
        <w:autoSpaceDE w:val="0"/>
        <w:autoSpaceDN w:val="0"/>
        <w:adjustRightInd w:val="0"/>
        <w:jc w:val="both"/>
        <w:rPr>
          <w:rFonts w:ascii="Times" w:hAnsi="Times" w:cs="Times"/>
          <w:lang w:val="es-ES"/>
        </w:rPr>
      </w:pPr>
      <w:r w:rsidRPr="000B11BC">
        <w:rPr>
          <w:rStyle w:val="FootnoteReference"/>
          <w:sz w:val="16"/>
          <w:szCs w:val="16"/>
        </w:rPr>
        <w:footnoteRef/>
      </w:r>
      <w:r w:rsidRPr="000B11BC">
        <w:rPr>
          <w:rFonts w:ascii="Verdana" w:hAnsi="Verdana"/>
          <w:sz w:val="16"/>
          <w:szCs w:val="16"/>
        </w:rPr>
        <w:t xml:space="preserve"> </w:t>
      </w:r>
      <w:r>
        <w:rPr>
          <w:rFonts w:ascii="Verdana" w:hAnsi="Verdana"/>
          <w:sz w:val="16"/>
          <w:szCs w:val="16"/>
        </w:rPr>
        <w:tab/>
        <w:t>Véase, entre otros,</w:t>
      </w:r>
      <w:r w:rsidRPr="000B11BC">
        <w:rPr>
          <w:rFonts w:ascii="Verdana" w:hAnsi="Verdana"/>
          <w:sz w:val="16"/>
          <w:szCs w:val="16"/>
        </w:rPr>
        <w:t xml:space="preserve"> </w:t>
      </w:r>
      <w:r>
        <w:rPr>
          <w:rFonts w:ascii="Verdana" w:hAnsi="Verdana" w:cs="Times"/>
          <w:i/>
          <w:iCs/>
          <w:sz w:val="16"/>
          <w:szCs w:val="16"/>
          <w:lang w:val="es-ES"/>
        </w:rPr>
        <w:t>1.</w:t>
      </w:r>
      <w:r w:rsidRPr="000B11BC">
        <w:rPr>
          <w:rFonts w:ascii="Verdana" w:hAnsi="Verdana" w:cs="Times"/>
          <w:i/>
          <w:iCs/>
          <w:sz w:val="16"/>
          <w:szCs w:val="16"/>
          <w:lang w:val="es-ES"/>
        </w:rPr>
        <w:t xml:space="preserve"> Caso </w:t>
      </w:r>
      <w:proofErr w:type="spellStart"/>
      <w:r w:rsidRPr="000B11BC">
        <w:rPr>
          <w:rFonts w:ascii="Verdana" w:hAnsi="Verdana" w:cs="Times"/>
          <w:i/>
          <w:iCs/>
          <w:sz w:val="16"/>
          <w:szCs w:val="16"/>
          <w:lang w:val="es-ES"/>
        </w:rPr>
        <w:t>Broniowski</w:t>
      </w:r>
      <w:proofErr w:type="spellEnd"/>
      <w:r w:rsidRPr="000B11BC">
        <w:rPr>
          <w:rFonts w:ascii="Verdana" w:hAnsi="Verdana" w:cs="Times"/>
          <w:i/>
          <w:iCs/>
          <w:sz w:val="16"/>
          <w:szCs w:val="16"/>
          <w:lang w:val="es-ES"/>
        </w:rPr>
        <w:t xml:space="preserve"> Vs. Polonia, </w:t>
      </w:r>
      <w:r w:rsidRPr="000B11BC">
        <w:rPr>
          <w:rFonts w:ascii="Verdana" w:hAnsi="Verdana" w:cs="Times"/>
          <w:sz w:val="16"/>
          <w:szCs w:val="16"/>
          <w:lang w:val="es-ES"/>
        </w:rPr>
        <w:t xml:space="preserve">No. 31443/96, Sentencia  de 22 de junio de 2004; </w:t>
      </w:r>
      <w:r>
        <w:rPr>
          <w:rFonts w:ascii="Verdana" w:hAnsi="Verdana" w:cs="Times"/>
          <w:iCs/>
          <w:sz w:val="16"/>
          <w:szCs w:val="16"/>
          <w:lang w:val="es-ES"/>
        </w:rPr>
        <w:t>2.</w:t>
      </w:r>
      <w:r w:rsidRPr="000B11BC">
        <w:rPr>
          <w:rFonts w:ascii="Verdana" w:hAnsi="Verdana" w:cs="Times"/>
          <w:iCs/>
          <w:sz w:val="16"/>
          <w:szCs w:val="16"/>
          <w:lang w:val="es-ES"/>
        </w:rPr>
        <w:t xml:space="preserve"> </w:t>
      </w:r>
      <w:r w:rsidRPr="000B11BC">
        <w:rPr>
          <w:rFonts w:ascii="Verdana" w:hAnsi="Verdana" w:cs="Times"/>
          <w:i/>
          <w:iCs/>
          <w:sz w:val="16"/>
          <w:szCs w:val="16"/>
          <w:lang w:val="es-ES"/>
        </w:rPr>
        <w:t>C</w:t>
      </w:r>
      <w:r>
        <w:rPr>
          <w:rFonts w:ascii="Verdana" w:hAnsi="Verdana" w:cs="Times"/>
          <w:i/>
          <w:iCs/>
          <w:sz w:val="16"/>
          <w:szCs w:val="16"/>
          <w:lang w:val="es-ES"/>
        </w:rPr>
        <w:t>a</w:t>
      </w:r>
      <w:r w:rsidRPr="000B11BC">
        <w:rPr>
          <w:rFonts w:ascii="Verdana" w:hAnsi="Verdana" w:cs="Times"/>
          <w:i/>
          <w:iCs/>
          <w:sz w:val="16"/>
          <w:szCs w:val="16"/>
          <w:lang w:val="es-ES"/>
        </w:rPr>
        <w:t xml:space="preserve">so </w:t>
      </w:r>
      <w:proofErr w:type="spellStart"/>
      <w:r w:rsidRPr="000B11BC">
        <w:rPr>
          <w:rFonts w:ascii="Verdana" w:hAnsi="Verdana" w:cs="Times"/>
          <w:i/>
          <w:iCs/>
          <w:sz w:val="16"/>
          <w:szCs w:val="16"/>
          <w:lang w:val="es-ES"/>
        </w:rPr>
        <w:t>Hutten-Czapska</w:t>
      </w:r>
      <w:proofErr w:type="spellEnd"/>
      <w:r w:rsidRPr="000B11BC">
        <w:rPr>
          <w:rFonts w:ascii="Verdana" w:hAnsi="Verdana" w:cs="Times"/>
          <w:i/>
          <w:iCs/>
          <w:sz w:val="16"/>
          <w:szCs w:val="16"/>
          <w:lang w:val="es-ES"/>
        </w:rPr>
        <w:t xml:space="preserve"> Vs. Polonia</w:t>
      </w:r>
      <w:r w:rsidRPr="000B11BC">
        <w:rPr>
          <w:rFonts w:ascii="Verdana" w:hAnsi="Verdana" w:cs="Times"/>
          <w:sz w:val="16"/>
          <w:szCs w:val="16"/>
          <w:lang w:val="es-ES"/>
        </w:rPr>
        <w:t>, No. 35014/97, S</w:t>
      </w:r>
      <w:r>
        <w:rPr>
          <w:rFonts w:ascii="Verdana" w:hAnsi="Verdana" w:cs="Times"/>
          <w:sz w:val="16"/>
          <w:szCs w:val="16"/>
          <w:lang w:val="es-ES"/>
        </w:rPr>
        <w:t>entencia de 19 de junio de 2006</w:t>
      </w:r>
      <w:r w:rsidRPr="000B11BC">
        <w:rPr>
          <w:rFonts w:ascii="Verdana" w:hAnsi="Verdana" w:cs="Times"/>
          <w:sz w:val="16"/>
          <w:szCs w:val="16"/>
          <w:lang w:val="es-ES"/>
        </w:rPr>
        <w:t xml:space="preserve">; </w:t>
      </w:r>
      <w:r w:rsidRPr="000B11BC">
        <w:rPr>
          <w:rFonts w:ascii="Verdana" w:hAnsi="Verdana" w:cs="Times"/>
          <w:iCs/>
          <w:sz w:val="16"/>
          <w:szCs w:val="16"/>
          <w:lang w:val="es-ES"/>
        </w:rPr>
        <w:t>3.</w:t>
      </w:r>
      <w:r w:rsidRPr="000B11BC">
        <w:rPr>
          <w:rFonts w:ascii="Verdana" w:hAnsi="Verdana" w:cs="Times"/>
          <w:i/>
          <w:iCs/>
          <w:sz w:val="16"/>
          <w:szCs w:val="16"/>
          <w:lang w:val="es-ES"/>
        </w:rPr>
        <w:t xml:space="preserve"> Caso </w:t>
      </w:r>
      <w:proofErr w:type="spellStart"/>
      <w:r w:rsidRPr="000B11BC">
        <w:rPr>
          <w:rFonts w:ascii="Verdana" w:hAnsi="Verdana" w:cs="Times"/>
          <w:i/>
          <w:iCs/>
          <w:sz w:val="16"/>
          <w:szCs w:val="16"/>
          <w:lang w:val="es-ES"/>
        </w:rPr>
        <w:t>Sejdovic</w:t>
      </w:r>
      <w:proofErr w:type="spellEnd"/>
      <w:r w:rsidRPr="000B11BC">
        <w:rPr>
          <w:rFonts w:ascii="Verdana" w:hAnsi="Verdana" w:cs="Times"/>
          <w:i/>
          <w:iCs/>
          <w:sz w:val="16"/>
          <w:szCs w:val="16"/>
          <w:lang w:val="es-ES"/>
        </w:rPr>
        <w:t xml:space="preserve"> Vs. Italia</w:t>
      </w:r>
      <w:r w:rsidRPr="000B11BC">
        <w:rPr>
          <w:rFonts w:ascii="Verdana" w:hAnsi="Verdana" w:cs="Times"/>
          <w:sz w:val="16"/>
          <w:szCs w:val="16"/>
          <w:lang w:val="es-ES"/>
        </w:rPr>
        <w:t xml:space="preserve">, No. 56581/00, Sentencia de 10 de noviembre de 2004; </w:t>
      </w:r>
      <w:r w:rsidRPr="000B11BC">
        <w:rPr>
          <w:rFonts w:ascii="Verdana" w:hAnsi="Verdana" w:cs="Times"/>
          <w:iCs/>
          <w:sz w:val="16"/>
          <w:szCs w:val="16"/>
          <w:lang w:val="es-ES"/>
        </w:rPr>
        <w:t>4.</w:t>
      </w:r>
      <w:r>
        <w:rPr>
          <w:rFonts w:ascii="Verdana" w:hAnsi="Verdana" w:cs="Times"/>
          <w:iCs/>
          <w:sz w:val="16"/>
          <w:szCs w:val="16"/>
          <w:lang w:val="es-ES"/>
        </w:rPr>
        <w:t xml:space="preserve"> </w:t>
      </w:r>
      <w:r w:rsidRPr="000B11BC">
        <w:rPr>
          <w:rFonts w:ascii="Verdana" w:hAnsi="Verdana" w:cs="Times"/>
          <w:i/>
          <w:iCs/>
          <w:sz w:val="16"/>
          <w:szCs w:val="16"/>
          <w:lang w:val="es-ES"/>
        </w:rPr>
        <w:t xml:space="preserve">Caso </w:t>
      </w:r>
      <w:proofErr w:type="spellStart"/>
      <w:r w:rsidRPr="000B11BC">
        <w:rPr>
          <w:rFonts w:ascii="Verdana" w:hAnsi="Verdana" w:cs="Times"/>
          <w:i/>
          <w:iCs/>
          <w:sz w:val="16"/>
          <w:szCs w:val="16"/>
          <w:lang w:val="es-ES"/>
        </w:rPr>
        <w:t>Burdov</w:t>
      </w:r>
      <w:proofErr w:type="spellEnd"/>
      <w:r w:rsidRPr="000B11BC">
        <w:rPr>
          <w:rFonts w:ascii="Verdana" w:hAnsi="Verdana" w:cs="Times"/>
          <w:i/>
          <w:iCs/>
          <w:sz w:val="16"/>
          <w:szCs w:val="16"/>
          <w:lang w:val="es-ES"/>
        </w:rPr>
        <w:t xml:space="preserve"> (No. 2) Vs. Rusia, </w:t>
      </w:r>
      <w:r w:rsidRPr="000C2F0F">
        <w:rPr>
          <w:rFonts w:ascii="Verdana" w:hAnsi="Verdana" w:cs="Times"/>
          <w:iCs/>
          <w:sz w:val="16"/>
          <w:szCs w:val="16"/>
          <w:lang w:val="es-ES"/>
        </w:rPr>
        <w:t>No</w:t>
      </w:r>
      <w:r w:rsidRPr="00FF0A1C">
        <w:rPr>
          <w:rFonts w:ascii="Verdana" w:hAnsi="Verdana" w:cs="Times"/>
          <w:sz w:val="16"/>
          <w:szCs w:val="16"/>
          <w:lang w:val="es-ES"/>
        </w:rPr>
        <w:t>.</w:t>
      </w:r>
      <w:r w:rsidRPr="000B11BC">
        <w:rPr>
          <w:rFonts w:ascii="Verdana" w:hAnsi="Verdana" w:cs="Times"/>
          <w:sz w:val="16"/>
          <w:szCs w:val="16"/>
          <w:lang w:val="es-ES"/>
        </w:rPr>
        <w:t xml:space="preserve"> 33509/04, Sentencia del 15 de enero de 2009; </w:t>
      </w:r>
      <w:r>
        <w:rPr>
          <w:rFonts w:ascii="Verdana" w:hAnsi="Verdana"/>
          <w:bCs/>
          <w:sz w:val="16"/>
          <w:szCs w:val="16"/>
        </w:rPr>
        <w:t xml:space="preserve">5. </w:t>
      </w:r>
      <w:r w:rsidRPr="000B11BC">
        <w:rPr>
          <w:rFonts w:ascii="Verdana" w:hAnsi="Verdana"/>
          <w:bCs/>
          <w:sz w:val="16"/>
          <w:szCs w:val="16"/>
        </w:rPr>
        <w:t xml:space="preserve">Caso </w:t>
      </w:r>
      <w:proofErr w:type="spellStart"/>
      <w:r w:rsidRPr="000B11BC">
        <w:rPr>
          <w:rFonts w:ascii="Verdana" w:hAnsi="Verdana"/>
          <w:bCs/>
          <w:i/>
          <w:sz w:val="16"/>
          <w:szCs w:val="16"/>
        </w:rPr>
        <w:t>Suljagic</w:t>
      </w:r>
      <w:proofErr w:type="spellEnd"/>
      <w:r w:rsidRPr="000B11BC">
        <w:rPr>
          <w:rFonts w:ascii="Verdana" w:hAnsi="Verdana"/>
          <w:bCs/>
          <w:i/>
          <w:sz w:val="16"/>
          <w:szCs w:val="16"/>
        </w:rPr>
        <w:t xml:space="preserve"> Vs. Bosnia </w:t>
      </w:r>
      <w:r>
        <w:rPr>
          <w:rFonts w:ascii="Verdana" w:hAnsi="Verdana"/>
          <w:bCs/>
          <w:i/>
          <w:sz w:val="16"/>
          <w:szCs w:val="16"/>
        </w:rPr>
        <w:t>y</w:t>
      </w:r>
      <w:r w:rsidRPr="000B11BC">
        <w:rPr>
          <w:rFonts w:ascii="Verdana" w:hAnsi="Verdana"/>
          <w:bCs/>
          <w:i/>
          <w:sz w:val="16"/>
          <w:szCs w:val="16"/>
        </w:rPr>
        <w:t xml:space="preserve"> Herzegovina</w:t>
      </w:r>
      <w:r w:rsidRPr="000B11BC">
        <w:rPr>
          <w:rFonts w:ascii="Verdana" w:hAnsi="Verdana"/>
          <w:bCs/>
          <w:sz w:val="16"/>
          <w:szCs w:val="16"/>
        </w:rPr>
        <w:t xml:space="preserve">, No. </w:t>
      </w:r>
      <w:r w:rsidRPr="000B11BC">
        <w:rPr>
          <w:rFonts w:ascii="Verdana" w:hAnsi="Verdana" w:cs="Arial"/>
          <w:sz w:val="16"/>
          <w:szCs w:val="16"/>
          <w:lang w:val="es-ES"/>
        </w:rPr>
        <w:t xml:space="preserve">27912/02, </w:t>
      </w:r>
      <w:r w:rsidRPr="000B11BC">
        <w:rPr>
          <w:rFonts w:ascii="Verdana" w:hAnsi="Verdana"/>
          <w:bCs/>
          <w:sz w:val="16"/>
          <w:szCs w:val="16"/>
        </w:rPr>
        <w:t xml:space="preserve"> Sentencia de 3 de noviembre de 2009; </w:t>
      </w:r>
      <w:r w:rsidRPr="000B11BC">
        <w:rPr>
          <w:rFonts w:ascii="Verdana" w:hAnsi="Verdana" w:cs="Times"/>
          <w:sz w:val="16"/>
          <w:szCs w:val="16"/>
          <w:lang w:val="es-ES"/>
        </w:rPr>
        <w:t xml:space="preserve"> </w:t>
      </w:r>
      <w:r w:rsidRPr="000B11BC">
        <w:rPr>
          <w:rFonts w:ascii="Verdana" w:hAnsi="Verdana" w:cs="Times"/>
          <w:iCs/>
          <w:sz w:val="16"/>
          <w:szCs w:val="16"/>
          <w:lang w:val="es-ES"/>
        </w:rPr>
        <w:t>6.</w:t>
      </w:r>
      <w:r w:rsidRPr="000B11BC">
        <w:rPr>
          <w:rFonts w:ascii="Verdana" w:hAnsi="Verdana" w:cs="Times"/>
          <w:i/>
          <w:iCs/>
          <w:sz w:val="16"/>
          <w:szCs w:val="16"/>
          <w:lang w:val="es-ES"/>
        </w:rPr>
        <w:t xml:space="preserve"> Caso </w:t>
      </w:r>
      <w:proofErr w:type="spellStart"/>
      <w:r w:rsidRPr="000B11BC">
        <w:rPr>
          <w:rFonts w:ascii="Verdana" w:hAnsi="Verdana" w:cs="Times"/>
          <w:i/>
          <w:iCs/>
          <w:sz w:val="16"/>
          <w:szCs w:val="16"/>
          <w:lang w:val="es-ES"/>
        </w:rPr>
        <w:t>Olaru</w:t>
      </w:r>
      <w:proofErr w:type="spellEnd"/>
      <w:r w:rsidRPr="000B11BC">
        <w:rPr>
          <w:rFonts w:ascii="Verdana" w:hAnsi="Verdana" w:cs="Times"/>
          <w:i/>
          <w:iCs/>
          <w:sz w:val="16"/>
          <w:szCs w:val="16"/>
          <w:lang w:val="es-ES"/>
        </w:rPr>
        <w:t xml:space="preserve"> y otros Vs. Moldavia</w:t>
      </w:r>
      <w:r w:rsidRPr="000B11BC">
        <w:rPr>
          <w:rFonts w:ascii="Verdana" w:hAnsi="Verdana" w:cs="Times"/>
          <w:sz w:val="16"/>
          <w:szCs w:val="16"/>
          <w:lang w:val="es-ES"/>
        </w:rPr>
        <w:t xml:space="preserve">, No. 476/07, 22539/05, 17911/08 y 13136/07, Sentencia de 28 de julio de 2009;  </w:t>
      </w:r>
      <w:r w:rsidRPr="000B11BC">
        <w:rPr>
          <w:rFonts w:ascii="Verdana" w:hAnsi="Verdana" w:cs="Times"/>
          <w:iCs/>
          <w:sz w:val="16"/>
          <w:szCs w:val="16"/>
          <w:lang w:val="es-ES"/>
        </w:rPr>
        <w:t>7.</w:t>
      </w:r>
      <w:r w:rsidRPr="000B11BC">
        <w:rPr>
          <w:rFonts w:ascii="Verdana" w:hAnsi="Verdana" w:cs="Times"/>
          <w:i/>
          <w:iCs/>
          <w:sz w:val="16"/>
          <w:szCs w:val="16"/>
          <w:lang w:val="es-ES"/>
        </w:rPr>
        <w:t xml:space="preserve"> Caso </w:t>
      </w:r>
      <w:proofErr w:type="spellStart"/>
      <w:r w:rsidRPr="000B11BC">
        <w:rPr>
          <w:rFonts w:ascii="Verdana" w:hAnsi="Verdana" w:cs="Times"/>
          <w:i/>
          <w:iCs/>
          <w:sz w:val="16"/>
          <w:szCs w:val="16"/>
          <w:lang w:val="es-ES"/>
        </w:rPr>
        <w:t>Yurig</w:t>
      </w:r>
      <w:proofErr w:type="spellEnd"/>
      <w:r w:rsidRPr="000B11BC">
        <w:rPr>
          <w:rFonts w:ascii="Verdana" w:hAnsi="Verdana" w:cs="Times"/>
          <w:i/>
          <w:iCs/>
          <w:sz w:val="16"/>
          <w:szCs w:val="16"/>
          <w:lang w:val="es-ES"/>
        </w:rPr>
        <w:t xml:space="preserve"> </w:t>
      </w:r>
      <w:proofErr w:type="spellStart"/>
      <w:r w:rsidRPr="000B11BC">
        <w:rPr>
          <w:rFonts w:ascii="Verdana" w:hAnsi="Verdana" w:cs="Times"/>
          <w:i/>
          <w:iCs/>
          <w:sz w:val="16"/>
          <w:szCs w:val="16"/>
          <w:lang w:val="es-ES"/>
        </w:rPr>
        <w:t>Nikolayevich</w:t>
      </w:r>
      <w:proofErr w:type="spellEnd"/>
      <w:r w:rsidRPr="000B11BC">
        <w:rPr>
          <w:rFonts w:ascii="Verdana" w:hAnsi="Verdana" w:cs="Times"/>
          <w:i/>
          <w:iCs/>
          <w:sz w:val="16"/>
          <w:szCs w:val="16"/>
          <w:lang w:val="es-ES"/>
        </w:rPr>
        <w:t xml:space="preserve"> Ivanov Vs. Ucrania</w:t>
      </w:r>
      <w:r w:rsidRPr="000B11BC">
        <w:rPr>
          <w:rFonts w:ascii="Verdana" w:hAnsi="Verdana" w:cs="Times"/>
          <w:sz w:val="16"/>
          <w:szCs w:val="16"/>
          <w:lang w:val="es-ES"/>
        </w:rPr>
        <w:t xml:space="preserve">, No. 40450/04, Sentencia de 15 de octubre de 2009; </w:t>
      </w:r>
      <w:r>
        <w:rPr>
          <w:rFonts w:ascii="Verdana" w:hAnsi="Verdana"/>
          <w:bCs/>
          <w:sz w:val="16"/>
          <w:szCs w:val="16"/>
        </w:rPr>
        <w:t>8.</w:t>
      </w:r>
      <w:r w:rsidRPr="000B11BC">
        <w:rPr>
          <w:rFonts w:ascii="Verdana" w:hAnsi="Verdana"/>
          <w:bCs/>
          <w:sz w:val="16"/>
          <w:szCs w:val="16"/>
        </w:rPr>
        <w:t xml:space="preserve"> Caso </w:t>
      </w:r>
      <w:proofErr w:type="spellStart"/>
      <w:r w:rsidRPr="000B11BC">
        <w:rPr>
          <w:rFonts w:ascii="Verdana" w:hAnsi="Verdana"/>
          <w:bCs/>
          <w:i/>
          <w:sz w:val="16"/>
          <w:szCs w:val="16"/>
        </w:rPr>
        <w:t>Rumpf</w:t>
      </w:r>
      <w:proofErr w:type="spellEnd"/>
      <w:r w:rsidRPr="000B11BC">
        <w:rPr>
          <w:rFonts w:ascii="Verdana" w:hAnsi="Verdana"/>
          <w:bCs/>
          <w:i/>
          <w:sz w:val="16"/>
          <w:szCs w:val="16"/>
        </w:rPr>
        <w:t xml:space="preserve"> Vs. </w:t>
      </w:r>
      <w:r>
        <w:rPr>
          <w:rFonts w:ascii="Verdana" w:hAnsi="Verdana"/>
          <w:bCs/>
          <w:i/>
          <w:sz w:val="16"/>
          <w:szCs w:val="16"/>
        </w:rPr>
        <w:t>Alemania</w:t>
      </w:r>
      <w:r w:rsidRPr="000B11BC">
        <w:rPr>
          <w:rFonts w:ascii="Verdana" w:hAnsi="Verdana"/>
          <w:bCs/>
          <w:i/>
          <w:sz w:val="16"/>
          <w:szCs w:val="16"/>
        </w:rPr>
        <w:t xml:space="preserve">, </w:t>
      </w:r>
      <w:r w:rsidRPr="000B11BC">
        <w:rPr>
          <w:rFonts w:ascii="Verdana" w:hAnsi="Verdana"/>
          <w:bCs/>
          <w:sz w:val="16"/>
          <w:szCs w:val="16"/>
        </w:rPr>
        <w:t>No. 46344/06, Sentencia</w:t>
      </w:r>
      <w:r>
        <w:rPr>
          <w:rFonts w:ascii="Verdana" w:hAnsi="Verdana"/>
          <w:bCs/>
          <w:sz w:val="16"/>
          <w:szCs w:val="16"/>
        </w:rPr>
        <w:t xml:space="preserve"> de 2 de septiembre de 2010; 9.</w:t>
      </w:r>
      <w:r w:rsidRPr="000B11BC">
        <w:rPr>
          <w:rFonts w:ascii="Verdana" w:hAnsi="Verdana"/>
          <w:bCs/>
          <w:sz w:val="16"/>
          <w:szCs w:val="16"/>
        </w:rPr>
        <w:t xml:space="preserve"> </w:t>
      </w:r>
      <w:r w:rsidRPr="000B11BC">
        <w:rPr>
          <w:rFonts w:ascii="Verdana" w:hAnsi="Verdana"/>
          <w:bCs/>
          <w:i/>
          <w:sz w:val="16"/>
          <w:szCs w:val="16"/>
        </w:rPr>
        <w:t xml:space="preserve">Caso </w:t>
      </w:r>
      <w:proofErr w:type="spellStart"/>
      <w:r w:rsidRPr="000B11BC">
        <w:rPr>
          <w:rFonts w:ascii="Verdana" w:hAnsi="Verdana"/>
          <w:bCs/>
          <w:i/>
          <w:sz w:val="16"/>
          <w:szCs w:val="16"/>
        </w:rPr>
        <w:t>Athanasiou</w:t>
      </w:r>
      <w:proofErr w:type="spellEnd"/>
      <w:r w:rsidRPr="000B11BC">
        <w:rPr>
          <w:rFonts w:ascii="Verdana" w:hAnsi="Verdana"/>
          <w:bCs/>
          <w:i/>
          <w:sz w:val="16"/>
          <w:szCs w:val="16"/>
        </w:rPr>
        <w:t xml:space="preserve"> and </w:t>
      </w:r>
      <w:proofErr w:type="spellStart"/>
      <w:r w:rsidRPr="000B11BC">
        <w:rPr>
          <w:rFonts w:ascii="Verdana" w:hAnsi="Verdana"/>
          <w:bCs/>
          <w:i/>
          <w:sz w:val="16"/>
          <w:szCs w:val="16"/>
        </w:rPr>
        <w:t>Others</w:t>
      </w:r>
      <w:proofErr w:type="spellEnd"/>
      <w:r w:rsidRPr="000B11BC">
        <w:rPr>
          <w:rFonts w:ascii="Verdana" w:hAnsi="Verdana"/>
          <w:bCs/>
          <w:i/>
          <w:sz w:val="16"/>
          <w:szCs w:val="16"/>
        </w:rPr>
        <w:t xml:space="preserve"> Vs. </w:t>
      </w:r>
      <w:r>
        <w:rPr>
          <w:rFonts w:ascii="Verdana" w:hAnsi="Verdana"/>
          <w:bCs/>
          <w:i/>
          <w:sz w:val="16"/>
          <w:szCs w:val="16"/>
        </w:rPr>
        <w:t>Grecia</w:t>
      </w:r>
      <w:r w:rsidRPr="000B11BC">
        <w:rPr>
          <w:rFonts w:ascii="Verdana" w:hAnsi="Verdana"/>
          <w:bCs/>
          <w:sz w:val="16"/>
          <w:szCs w:val="16"/>
        </w:rPr>
        <w:t xml:space="preserve">, No. </w:t>
      </w:r>
      <w:r w:rsidRPr="000B11BC">
        <w:rPr>
          <w:rFonts w:ascii="Verdana" w:hAnsi="Verdana" w:cs="Verdana"/>
          <w:sz w:val="16"/>
          <w:szCs w:val="16"/>
          <w:lang w:val="es-ES"/>
        </w:rPr>
        <w:t>50973/08</w:t>
      </w:r>
      <w:r w:rsidRPr="000B11BC">
        <w:rPr>
          <w:rFonts w:ascii="Verdana" w:hAnsi="Verdana"/>
          <w:bCs/>
          <w:sz w:val="16"/>
          <w:szCs w:val="16"/>
        </w:rPr>
        <w:t>, Sentencia d</w:t>
      </w:r>
      <w:r>
        <w:rPr>
          <w:rFonts w:ascii="Verdana" w:hAnsi="Verdana"/>
          <w:bCs/>
          <w:sz w:val="16"/>
          <w:szCs w:val="16"/>
        </w:rPr>
        <w:t>e 21 de diciembre de 2010; 10.</w:t>
      </w:r>
      <w:r w:rsidRPr="000B11BC">
        <w:rPr>
          <w:rFonts w:ascii="Verdana" w:hAnsi="Verdana"/>
          <w:bCs/>
          <w:sz w:val="16"/>
          <w:szCs w:val="16"/>
        </w:rPr>
        <w:t xml:space="preserve"> </w:t>
      </w:r>
      <w:r w:rsidRPr="00CD231D">
        <w:rPr>
          <w:rFonts w:ascii="Verdana" w:hAnsi="Verdana"/>
          <w:bCs/>
          <w:i/>
          <w:sz w:val="16"/>
          <w:szCs w:val="16"/>
        </w:rPr>
        <w:t xml:space="preserve">Caso </w:t>
      </w:r>
      <w:proofErr w:type="spellStart"/>
      <w:r w:rsidRPr="00CD231D">
        <w:rPr>
          <w:rFonts w:ascii="Verdana" w:hAnsi="Verdana"/>
          <w:bCs/>
          <w:i/>
          <w:sz w:val="16"/>
          <w:szCs w:val="16"/>
        </w:rPr>
        <w:t>Greens</w:t>
      </w:r>
      <w:proofErr w:type="spellEnd"/>
      <w:r w:rsidRPr="00CD231D">
        <w:rPr>
          <w:rFonts w:ascii="Verdana" w:hAnsi="Verdana"/>
          <w:bCs/>
          <w:i/>
          <w:sz w:val="16"/>
          <w:szCs w:val="16"/>
        </w:rPr>
        <w:t xml:space="preserve"> and M.T. Vs. Reino Unido,</w:t>
      </w:r>
      <w:r w:rsidRPr="00CD231D">
        <w:rPr>
          <w:rFonts w:ascii="Verdana" w:hAnsi="Verdana"/>
          <w:bCs/>
          <w:sz w:val="16"/>
          <w:szCs w:val="16"/>
        </w:rPr>
        <w:t xml:space="preserve"> No. </w:t>
      </w:r>
      <w:r w:rsidRPr="00CD231D">
        <w:rPr>
          <w:rFonts w:ascii="Verdana" w:hAnsi="Verdana" w:cs="Verdana"/>
          <w:sz w:val="16"/>
          <w:szCs w:val="16"/>
          <w:lang w:val="es-ES"/>
        </w:rPr>
        <w:t>60041/08 y 60054/08</w:t>
      </w:r>
      <w:r w:rsidRPr="00CD231D">
        <w:rPr>
          <w:rFonts w:ascii="Verdana" w:hAnsi="Verdana"/>
          <w:bCs/>
          <w:sz w:val="16"/>
          <w:szCs w:val="16"/>
        </w:rPr>
        <w:t>, Sentencia de 23 de noviembre de 2010</w:t>
      </w:r>
      <w:r w:rsidRPr="000B11BC">
        <w:rPr>
          <w:rFonts w:ascii="Verdana" w:hAnsi="Verdana"/>
          <w:bCs/>
          <w:sz w:val="16"/>
          <w:szCs w:val="16"/>
        </w:rPr>
        <w:t>; 11.</w:t>
      </w:r>
      <w:r>
        <w:rPr>
          <w:rFonts w:ascii="Verdana" w:hAnsi="Verdana"/>
          <w:bCs/>
          <w:sz w:val="16"/>
          <w:szCs w:val="16"/>
        </w:rPr>
        <w:t xml:space="preserve"> </w:t>
      </w:r>
      <w:r w:rsidRPr="000B11BC">
        <w:rPr>
          <w:rFonts w:ascii="Verdana" w:hAnsi="Verdana" w:cs="Times"/>
          <w:i/>
          <w:iCs/>
          <w:sz w:val="16"/>
          <w:szCs w:val="16"/>
          <w:lang w:val="es-ES"/>
        </w:rPr>
        <w:t xml:space="preserve">Caso </w:t>
      </w:r>
      <w:proofErr w:type="spellStart"/>
      <w:r w:rsidRPr="000B11BC">
        <w:rPr>
          <w:rFonts w:ascii="Verdana" w:hAnsi="Verdana" w:cs="Times"/>
          <w:i/>
          <w:iCs/>
          <w:sz w:val="16"/>
          <w:szCs w:val="16"/>
          <w:lang w:val="es-ES"/>
        </w:rPr>
        <w:t>Maria</w:t>
      </w:r>
      <w:proofErr w:type="spellEnd"/>
      <w:r w:rsidRPr="000B11BC">
        <w:rPr>
          <w:rFonts w:ascii="Verdana" w:hAnsi="Verdana" w:cs="Times"/>
          <w:i/>
          <w:iCs/>
          <w:sz w:val="16"/>
          <w:szCs w:val="16"/>
          <w:lang w:val="es-ES"/>
        </w:rPr>
        <w:t xml:space="preserve"> </w:t>
      </w:r>
      <w:proofErr w:type="spellStart"/>
      <w:r w:rsidRPr="000B11BC">
        <w:rPr>
          <w:rFonts w:ascii="Verdana" w:hAnsi="Verdana" w:cs="Times"/>
          <w:i/>
          <w:iCs/>
          <w:sz w:val="16"/>
          <w:szCs w:val="16"/>
          <w:lang w:val="es-ES"/>
        </w:rPr>
        <w:t>Atanasiu</w:t>
      </w:r>
      <w:proofErr w:type="spellEnd"/>
      <w:r w:rsidRPr="000B11BC">
        <w:rPr>
          <w:rFonts w:ascii="Verdana" w:hAnsi="Verdana" w:cs="Times"/>
          <w:i/>
          <w:iCs/>
          <w:sz w:val="16"/>
          <w:szCs w:val="16"/>
          <w:lang w:val="es-ES"/>
        </w:rPr>
        <w:t xml:space="preserve"> y otros Vs. Rumanía</w:t>
      </w:r>
      <w:r w:rsidRPr="000B11BC">
        <w:rPr>
          <w:rFonts w:ascii="Verdana" w:hAnsi="Verdana" w:cs="Times"/>
          <w:sz w:val="16"/>
          <w:szCs w:val="16"/>
          <w:lang w:val="es-ES"/>
        </w:rPr>
        <w:t>, No. 30767/05 y 33800/06, Sentenci</w:t>
      </w:r>
      <w:r>
        <w:rPr>
          <w:rFonts w:ascii="Verdana" w:hAnsi="Verdana" w:cs="Times"/>
          <w:sz w:val="16"/>
          <w:szCs w:val="16"/>
          <w:lang w:val="es-ES"/>
        </w:rPr>
        <w:t>a de 12 de octubre de 2010; 12.</w:t>
      </w:r>
      <w:r w:rsidRPr="000B11BC">
        <w:rPr>
          <w:rFonts w:ascii="Verdana" w:hAnsi="Verdana" w:cs="Times"/>
          <w:sz w:val="16"/>
          <w:szCs w:val="16"/>
          <w:lang w:val="es-ES"/>
        </w:rPr>
        <w:t xml:space="preserve"> </w:t>
      </w:r>
      <w:r w:rsidRPr="000B11BC">
        <w:rPr>
          <w:rFonts w:ascii="Verdana" w:hAnsi="Verdana" w:cs="Times"/>
          <w:i/>
          <w:sz w:val="16"/>
          <w:szCs w:val="16"/>
          <w:lang w:val="es-ES"/>
        </w:rPr>
        <w:t xml:space="preserve">Caso </w:t>
      </w:r>
      <w:proofErr w:type="spellStart"/>
      <w:r w:rsidRPr="000B11BC">
        <w:rPr>
          <w:rFonts w:ascii="Verdana" w:hAnsi="Verdana" w:cs="Times"/>
          <w:i/>
          <w:iCs/>
          <w:sz w:val="16"/>
          <w:szCs w:val="16"/>
          <w:lang w:val="es-ES"/>
        </w:rPr>
        <w:t>Vassilios</w:t>
      </w:r>
      <w:proofErr w:type="spellEnd"/>
      <w:r w:rsidRPr="000B11BC">
        <w:rPr>
          <w:rFonts w:ascii="Verdana" w:hAnsi="Verdana" w:cs="Times"/>
          <w:i/>
          <w:iCs/>
          <w:sz w:val="16"/>
          <w:szCs w:val="16"/>
          <w:lang w:val="es-ES"/>
        </w:rPr>
        <w:t xml:space="preserve"> </w:t>
      </w:r>
      <w:proofErr w:type="spellStart"/>
      <w:r w:rsidRPr="000B11BC">
        <w:rPr>
          <w:rFonts w:ascii="Verdana" w:hAnsi="Verdana" w:cs="Times"/>
          <w:i/>
          <w:iCs/>
          <w:sz w:val="16"/>
          <w:szCs w:val="16"/>
          <w:lang w:val="es-ES"/>
        </w:rPr>
        <w:t>Athanasiou</w:t>
      </w:r>
      <w:proofErr w:type="spellEnd"/>
      <w:r w:rsidRPr="000B11BC">
        <w:rPr>
          <w:rFonts w:ascii="Verdana" w:hAnsi="Verdana" w:cs="Times"/>
          <w:i/>
          <w:iCs/>
          <w:sz w:val="16"/>
          <w:szCs w:val="16"/>
          <w:lang w:val="es-ES"/>
        </w:rPr>
        <w:t xml:space="preserve"> Vs. Grecia</w:t>
      </w:r>
      <w:r w:rsidRPr="000B11BC">
        <w:rPr>
          <w:rFonts w:ascii="Verdana" w:hAnsi="Verdana" w:cs="Times"/>
          <w:sz w:val="16"/>
          <w:szCs w:val="16"/>
          <w:lang w:val="es-ES"/>
        </w:rPr>
        <w:t>, No. 50973/08, Sentencia d</w:t>
      </w:r>
      <w:r>
        <w:rPr>
          <w:rFonts w:ascii="Verdana" w:hAnsi="Verdana" w:cs="Times"/>
          <w:sz w:val="16"/>
          <w:szCs w:val="16"/>
          <w:lang w:val="es-ES"/>
        </w:rPr>
        <w:t xml:space="preserve">e 21 de diciembre de 2010;  </w:t>
      </w:r>
      <w:r w:rsidRPr="00CD231D">
        <w:rPr>
          <w:rFonts w:ascii="Verdana" w:hAnsi="Verdana" w:cs="Times"/>
          <w:sz w:val="16"/>
          <w:szCs w:val="16"/>
          <w:lang w:val="es-ES"/>
        </w:rPr>
        <w:t xml:space="preserve">13. </w:t>
      </w:r>
      <w:r w:rsidRPr="000B11BC">
        <w:rPr>
          <w:rFonts w:ascii="Verdana" w:hAnsi="Verdana" w:cs="Times"/>
          <w:i/>
          <w:sz w:val="16"/>
          <w:szCs w:val="16"/>
          <w:lang w:val="es-ES"/>
        </w:rPr>
        <w:t xml:space="preserve">Caso </w:t>
      </w:r>
      <w:proofErr w:type="spellStart"/>
      <w:r w:rsidRPr="000B11BC">
        <w:rPr>
          <w:rFonts w:ascii="Verdana" w:hAnsi="Verdana" w:cs="Times"/>
          <w:i/>
          <w:iCs/>
          <w:sz w:val="16"/>
          <w:szCs w:val="16"/>
          <w:lang w:val="es-ES"/>
        </w:rPr>
        <w:t>Dimitrov</w:t>
      </w:r>
      <w:proofErr w:type="spellEnd"/>
      <w:r w:rsidRPr="000B11BC">
        <w:rPr>
          <w:rFonts w:ascii="Verdana" w:hAnsi="Verdana" w:cs="Times"/>
          <w:i/>
          <w:iCs/>
          <w:sz w:val="16"/>
          <w:szCs w:val="16"/>
          <w:lang w:val="es-ES"/>
        </w:rPr>
        <w:t xml:space="preserve"> y </w:t>
      </w:r>
      <w:proofErr w:type="spellStart"/>
      <w:r w:rsidRPr="000B11BC">
        <w:rPr>
          <w:rFonts w:ascii="Verdana" w:hAnsi="Verdana" w:cs="Times"/>
          <w:i/>
          <w:iCs/>
          <w:sz w:val="16"/>
          <w:szCs w:val="16"/>
          <w:lang w:val="es-ES"/>
        </w:rPr>
        <w:t>Hamanov</w:t>
      </w:r>
      <w:proofErr w:type="spellEnd"/>
      <w:r w:rsidRPr="000B11BC">
        <w:rPr>
          <w:rFonts w:ascii="Verdana" w:hAnsi="Verdana" w:cs="Times"/>
          <w:i/>
          <w:iCs/>
          <w:sz w:val="16"/>
          <w:szCs w:val="16"/>
          <w:lang w:val="es-ES"/>
        </w:rPr>
        <w:t xml:space="preserve"> Vs. Bulgaria</w:t>
      </w:r>
      <w:r w:rsidRPr="000B11BC">
        <w:rPr>
          <w:rFonts w:ascii="Verdana" w:hAnsi="Verdana" w:cs="Times"/>
          <w:sz w:val="16"/>
          <w:szCs w:val="16"/>
          <w:lang w:val="es-ES"/>
        </w:rPr>
        <w:t xml:space="preserve">, No. 48059/06, Sentencia de 10 de mayo </w:t>
      </w:r>
      <w:r>
        <w:rPr>
          <w:rFonts w:ascii="Verdana" w:hAnsi="Verdana" w:cs="Times"/>
          <w:sz w:val="16"/>
          <w:szCs w:val="16"/>
          <w:lang w:val="es-ES"/>
        </w:rPr>
        <w:t>de 2011; 14.</w:t>
      </w:r>
      <w:r w:rsidRPr="000B11BC">
        <w:rPr>
          <w:rFonts w:ascii="Verdana" w:hAnsi="Verdana" w:cs="Times"/>
          <w:sz w:val="16"/>
          <w:szCs w:val="16"/>
          <w:lang w:val="es-ES"/>
        </w:rPr>
        <w:t xml:space="preserve"> </w:t>
      </w:r>
      <w:r w:rsidRPr="000B11BC">
        <w:rPr>
          <w:rFonts w:ascii="Verdana" w:hAnsi="Verdana" w:cs="Times"/>
          <w:i/>
          <w:sz w:val="16"/>
          <w:szCs w:val="16"/>
          <w:lang w:val="es-ES"/>
        </w:rPr>
        <w:t xml:space="preserve">Caso </w:t>
      </w:r>
      <w:proofErr w:type="spellStart"/>
      <w:r w:rsidRPr="000B11BC">
        <w:rPr>
          <w:rFonts w:ascii="Verdana" w:hAnsi="Verdana" w:cs="Times"/>
          <w:i/>
          <w:iCs/>
          <w:sz w:val="16"/>
          <w:szCs w:val="16"/>
          <w:lang w:val="es-ES"/>
        </w:rPr>
        <w:t>Finger</w:t>
      </w:r>
      <w:proofErr w:type="spellEnd"/>
      <w:r w:rsidRPr="000B11BC">
        <w:rPr>
          <w:rFonts w:ascii="Verdana" w:hAnsi="Verdana" w:cs="Times"/>
          <w:i/>
          <w:iCs/>
          <w:sz w:val="16"/>
          <w:szCs w:val="16"/>
          <w:lang w:val="es-ES"/>
        </w:rPr>
        <w:t xml:space="preserve"> Vs. Bulgaria</w:t>
      </w:r>
      <w:r w:rsidRPr="000B11BC">
        <w:rPr>
          <w:rFonts w:ascii="Verdana" w:hAnsi="Verdana" w:cs="Times"/>
          <w:sz w:val="16"/>
          <w:szCs w:val="16"/>
          <w:lang w:val="es-ES"/>
        </w:rPr>
        <w:t>, No. 37346/05, Sente</w:t>
      </w:r>
      <w:r>
        <w:rPr>
          <w:rFonts w:ascii="Verdana" w:hAnsi="Verdana" w:cs="Times"/>
          <w:sz w:val="16"/>
          <w:szCs w:val="16"/>
          <w:lang w:val="es-ES"/>
        </w:rPr>
        <w:t xml:space="preserve">ncia de 10 de mayo de 2011; 15. </w:t>
      </w:r>
      <w:r w:rsidRPr="000B11BC">
        <w:rPr>
          <w:rFonts w:ascii="Verdana" w:hAnsi="Verdana" w:cs="Times"/>
          <w:i/>
          <w:sz w:val="16"/>
          <w:szCs w:val="16"/>
          <w:lang w:val="es-ES"/>
        </w:rPr>
        <w:t xml:space="preserve">Caso </w:t>
      </w:r>
      <w:proofErr w:type="spellStart"/>
      <w:r w:rsidRPr="000B11BC">
        <w:rPr>
          <w:rFonts w:ascii="Verdana" w:hAnsi="Verdana"/>
          <w:bCs/>
          <w:i/>
          <w:sz w:val="16"/>
          <w:szCs w:val="16"/>
        </w:rPr>
        <w:t>Ümmühan</w:t>
      </w:r>
      <w:proofErr w:type="spellEnd"/>
      <w:r w:rsidRPr="000B11BC">
        <w:rPr>
          <w:rFonts w:ascii="Verdana" w:hAnsi="Verdana"/>
          <w:bCs/>
          <w:i/>
          <w:sz w:val="16"/>
          <w:szCs w:val="16"/>
        </w:rPr>
        <w:t xml:space="preserve"> Kaplan Vs. </w:t>
      </w:r>
      <w:r>
        <w:rPr>
          <w:rFonts w:ascii="Verdana" w:hAnsi="Verdana"/>
          <w:bCs/>
          <w:i/>
          <w:sz w:val="16"/>
          <w:szCs w:val="16"/>
        </w:rPr>
        <w:t>Turquía</w:t>
      </w:r>
      <w:r w:rsidRPr="000B11BC">
        <w:rPr>
          <w:rFonts w:ascii="Verdana" w:hAnsi="Verdana"/>
          <w:bCs/>
          <w:sz w:val="16"/>
          <w:szCs w:val="16"/>
        </w:rPr>
        <w:t>, No. 24240/07, Sentencia de 20 de marzo de 2012; 1</w:t>
      </w:r>
      <w:r>
        <w:rPr>
          <w:rFonts w:ascii="Verdana" w:hAnsi="Verdana"/>
          <w:bCs/>
          <w:sz w:val="16"/>
          <w:szCs w:val="16"/>
        </w:rPr>
        <w:t>6.</w:t>
      </w:r>
      <w:r w:rsidRPr="000B11BC">
        <w:rPr>
          <w:rFonts w:ascii="Verdana" w:hAnsi="Verdana"/>
          <w:bCs/>
          <w:sz w:val="16"/>
          <w:szCs w:val="16"/>
        </w:rPr>
        <w:t xml:space="preserve"> </w:t>
      </w:r>
      <w:r w:rsidRPr="000B11BC">
        <w:rPr>
          <w:rFonts w:ascii="Verdana" w:hAnsi="Verdana"/>
          <w:bCs/>
          <w:i/>
          <w:sz w:val="16"/>
          <w:szCs w:val="16"/>
        </w:rPr>
        <w:t xml:space="preserve">Caso </w:t>
      </w:r>
      <w:proofErr w:type="spellStart"/>
      <w:r w:rsidRPr="000B11BC">
        <w:rPr>
          <w:rFonts w:ascii="Verdana" w:hAnsi="Verdana"/>
          <w:bCs/>
          <w:i/>
          <w:sz w:val="16"/>
          <w:szCs w:val="16"/>
        </w:rPr>
        <w:t>Michelioudakis</w:t>
      </w:r>
      <w:proofErr w:type="spellEnd"/>
      <w:r w:rsidRPr="000B11BC">
        <w:rPr>
          <w:rFonts w:ascii="Verdana" w:hAnsi="Verdana"/>
          <w:bCs/>
          <w:i/>
          <w:sz w:val="16"/>
          <w:szCs w:val="16"/>
        </w:rPr>
        <w:t xml:space="preserve"> Vs. </w:t>
      </w:r>
      <w:r>
        <w:rPr>
          <w:rFonts w:ascii="Verdana" w:hAnsi="Verdana"/>
          <w:bCs/>
          <w:i/>
          <w:sz w:val="16"/>
          <w:szCs w:val="16"/>
        </w:rPr>
        <w:t>Grecia</w:t>
      </w:r>
      <w:r w:rsidRPr="000B11BC">
        <w:rPr>
          <w:rFonts w:ascii="Verdana" w:hAnsi="Verdana"/>
          <w:bCs/>
          <w:i/>
          <w:sz w:val="16"/>
          <w:szCs w:val="16"/>
        </w:rPr>
        <w:t xml:space="preserve">, </w:t>
      </w:r>
      <w:r w:rsidRPr="000B11BC">
        <w:rPr>
          <w:rFonts w:ascii="Verdana" w:hAnsi="Verdana"/>
          <w:bCs/>
          <w:sz w:val="16"/>
          <w:szCs w:val="16"/>
        </w:rPr>
        <w:t>No. 40150/09, Sentencia de 3 de abril de 2012; 1</w:t>
      </w:r>
      <w:r>
        <w:rPr>
          <w:rFonts w:ascii="Verdana" w:hAnsi="Verdana"/>
          <w:bCs/>
          <w:sz w:val="16"/>
          <w:szCs w:val="16"/>
        </w:rPr>
        <w:t>7</w:t>
      </w:r>
      <w:r w:rsidRPr="000B11BC">
        <w:rPr>
          <w:rFonts w:ascii="Verdana" w:hAnsi="Verdana"/>
          <w:bCs/>
          <w:sz w:val="16"/>
          <w:szCs w:val="16"/>
        </w:rPr>
        <w:t>.</w:t>
      </w:r>
      <w:r>
        <w:rPr>
          <w:rFonts w:ascii="Verdana" w:hAnsi="Verdana"/>
          <w:bCs/>
          <w:sz w:val="16"/>
          <w:szCs w:val="16"/>
        </w:rPr>
        <w:t xml:space="preserve"> </w:t>
      </w:r>
      <w:r w:rsidRPr="000B11BC">
        <w:rPr>
          <w:rFonts w:ascii="Verdana" w:hAnsi="Verdana"/>
          <w:bCs/>
          <w:i/>
          <w:sz w:val="16"/>
          <w:szCs w:val="16"/>
        </w:rPr>
        <w:t xml:space="preserve">Caso </w:t>
      </w:r>
      <w:proofErr w:type="spellStart"/>
      <w:r w:rsidRPr="000B11BC">
        <w:rPr>
          <w:rFonts w:ascii="Verdana" w:hAnsi="Verdana"/>
          <w:bCs/>
          <w:i/>
          <w:sz w:val="16"/>
          <w:szCs w:val="16"/>
        </w:rPr>
        <w:t>Glykantzi</w:t>
      </w:r>
      <w:proofErr w:type="spellEnd"/>
      <w:r w:rsidRPr="000B11BC">
        <w:rPr>
          <w:rFonts w:ascii="Verdana" w:hAnsi="Verdana"/>
          <w:bCs/>
          <w:i/>
          <w:sz w:val="16"/>
          <w:szCs w:val="16"/>
        </w:rPr>
        <w:t xml:space="preserve"> Vs. </w:t>
      </w:r>
      <w:r>
        <w:rPr>
          <w:rFonts w:ascii="Verdana" w:hAnsi="Verdana"/>
          <w:bCs/>
          <w:i/>
          <w:sz w:val="16"/>
          <w:szCs w:val="16"/>
        </w:rPr>
        <w:t>Grecia</w:t>
      </w:r>
      <w:r w:rsidRPr="000B11BC">
        <w:rPr>
          <w:rFonts w:ascii="Verdana" w:hAnsi="Verdana"/>
          <w:bCs/>
          <w:sz w:val="16"/>
          <w:szCs w:val="16"/>
        </w:rPr>
        <w:t xml:space="preserve">, No. 40150/09, Sentencia de 30 de octubre de 2012; </w:t>
      </w:r>
      <w:r>
        <w:rPr>
          <w:rFonts w:ascii="Verdana" w:hAnsi="Verdana"/>
          <w:bCs/>
          <w:sz w:val="16"/>
          <w:szCs w:val="16"/>
        </w:rPr>
        <w:t>18.</w:t>
      </w:r>
      <w:r w:rsidRPr="000B11BC">
        <w:rPr>
          <w:rFonts w:ascii="Verdana" w:hAnsi="Verdana"/>
          <w:bCs/>
          <w:sz w:val="16"/>
          <w:szCs w:val="16"/>
        </w:rPr>
        <w:t xml:space="preserve"> Caso </w:t>
      </w:r>
      <w:proofErr w:type="spellStart"/>
      <w:r w:rsidRPr="000B11BC">
        <w:rPr>
          <w:rFonts w:ascii="Verdana" w:hAnsi="Verdana"/>
          <w:bCs/>
          <w:sz w:val="16"/>
          <w:szCs w:val="16"/>
        </w:rPr>
        <w:t>Kuric</w:t>
      </w:r>
      <w:proofErr w:type="spellEnd"/>
      <w:r w:rsidRPr="000B11BC">
        <w:rPr>
          <w:rFonts w:ascii="Verdana" w:hAnsi="Verdana"/>
          <w:bCs/>
          <w:sz w:val="16"/>
          <w:szCs w:val="16"/>
        </w:rPr>
        <w:t xml:space="preserve">́ </w:t>
      </w:r>
      <w:r>
        <w:rPr>
          <w:rFonts w:ascii="Verdana" w:hAnsi="Verdana"/>
          <w:bCs/>
          <w:sz w:val="16"/>
          <w:szCs w:val="16"/>
        </w:rPr>
        <w:t xml:space="preserve">y Otros </w:t>
      </w:r>
      <w:r w:rsidRPr="000B11BC">
        <w:rPr>
          <w:rFonts w:ascii="Verdana" w:hAnsi="Verdana"/>
          <w:bCs/>
          <w:i/>
          <w:sz w:val="16"/>
          <w:szCs w:val="16"/>
        </w:rPr>
        <w:t>Vs.</w:t>
      </w:r>
      <w:r w:rsidRPr="000B11BC">
        <w:rPr>
          <w:rFonts w:ascii="Verdana" w:hAnsi="Verdana"/>
          <w:bCs/>
          <w:sz w:val="16"/>
          <w:szCs w:val="16"/>
        </w:rPr>
        <w:t xml:space="preserve"> </w:t>
      </w:r>
      <w:r>
        <w:rPr>
          <w:rFonts w:ascii="Verdana" w:hAnsi="Verdana"/>
          <w:bCs/>
          <w:sz w:val="16"/>
          <w:szCs w:val="16"/>
        </w:rPr>
        <w:t>Eslovenia</w:t>
      </w:r>
      <w:r w:rsidRPr="000B11BC">
        <w:rPr>
          <w:rFonts w:ascii="Verdana" w:hAnsi="Verdana"/>
          <w:bCs/>
          <w:sz w:val="16"/>
          <w:szCs w:val="16"/>
        </w:rPr>
        <w:t xml:space="preserve">, No. 26828/06, Sentencia de 26 de </w:t>
      </w:r>
      <w:r w:rsidRPr="00EC6179">
        <w:rPr>
          <w:rFonts w:ascii="Verdana" w:hAnsi="Verdana"/>
          <w:bCs/>
          <w:spacing w:val="-2"/>
          <w:sz w:val="16"/>
          <w:szCs w:val="16"/>
        </w:rPr>
        <w:t xml:space="preserve">junio de </w:t>
      </w:r>
      <w:r w:rsidRPr="00EC6179">
        <w:rPr>
          <w:rFonts w:ascii="Verdana" w:hAnsi="Verdana"/>
          <w:spacing w:val="-2"/>
          <w:sz w:val="16"/>
          <w:szCs w:val="16"/>
        </w:rPr>
        <w:t xml:space="preserve">2012; </w:t>
      </w:r>
      <w:r w:rsidRPr="00EC6179">
        <w:rPr>
          <w:rFonts w:ascii="Verdana" w:hAnsi="Verdana"/>
          <w:bCs/>
          <w:spacing w:val="-2"/>
          <w:sz w:val="16"/>
          <w:szCs w:val="16"/>
        </w:rPr>
        <w:t xml:space="preserve">19. </w:t>
      </w:r>
      <w:r w:rsidRPr="00EC6179">
        <w:rPr>
          <w:rFonts w:ascii="Verdana" w:hAnsi="Verdana"/>
          <w:bCs/>
          <w:i/>
          <w:spacing w:val="-2"/>
          <w:sz w:val="16"/>
          <w:szCs w:val="16"/>
        </w:rPr>
        <w:t xml:space="preserve">Caso </w:t>
      </w:r>
      <w:proofErr w:type="spellStart"/>
      <w:r w:rsidRPr="00EC6179">
        <w:rPr>
          <w:rFonts w:ascii="Verdana" w:hAnsi="Verdana"/>
          <w:bCs/>
          <w:spacing w:val="-2"/>
          <w:sz w:val="16"/>
          <w:szCs w:val="16"/>
        </w:rPr>
        <w:t>Ananyev</w:t>
      </w:r>
      <w:proofErr w:type="spellEnd"/>
      <w:r w:rsidRPr="00EC6179">
        <w:rPr>
          <w:rFonts w:ascii="Verdana" w:hAnsi="Verdana"/>
          <w:bCs/>
          <w:spacing w:val="-2"/>
          <w:sz w:val="16"/>
          <w:szCs w:val="16"/>
        </w:rPr>
        <w:t xml:space="preserve"> y Otros Vs. Rusia, No. </w:t>
      </w:r>
      <w:r w:rsidRPr="00EC6179">
        <w:rPr>
          <w:rFonts w:ascii="Verdana" w:hAnsi="Verdana" w:cs="Verdana"/>
          <w:spacing w:val="-2"/>
          <w:sz w:val="16"/>
          <w:szCs w:val="16"/>
          <w:lang w:val="es-ES"/>
        </w:rPr>
        <w:t>42525/07 y 60800/08</w:t>
      </w:r>
      <w:r w:rsidRPr="00EC6179">
        <w:rPr>
          <w:rFonts w:ascii="Verdana" w:hAnsi="Verdana" w:cs="Times"/>
          <w:spacing w:val="-2"/>
          <w:sz w:val="16"/>
          <w:szCs w:val="16"/>
          <w:lang w:val="es-ES"/>
        </w:rPr>
        <w:t xml:space="preserve">, </w:t>
      </w:r>
      <w:r w:rsidRPr="00EC6179">
        <w:rPr>
          <w:rFonts w:ascii="Verdana" w:hAnsi="Verdana"/>
          <w:bCs/>
          <w:spacing w:val="-2"/>
          <w:sz w:val="16"/>
          <w:szCs w:val="16"/>
        </w:rPr>
        <w:t xml:space="preserve">Sentencia 10 de enero de </w:t>
      </w:r>
      <w:r w:rsidRPr="00EC6179">
        <w:rPr>
          <w:rFonts w:ascii="Verdana" w:hAnsi="Verdana"/>
          <w:spacing w:val="-2"/>
          <w:sz w:val="16"/>
          <w:szCs w:val="16"/>
        </w:rPr>
        <w:t xml:space="preserve">2012; </w:t>
      </w:r>
      <w:r w:rsidRPr="00EC6179">
        <w:rPr>
          <w:rFonts w:ascii="Verdana" w:hAnsi="Verdana"/>
          <w:bCs/>
          <w:spacing w:val="-2"/>
          <w:sz w:val="16"/>
          <w:szCs w:val="16"/>
        </w:rPr>
        <w:t xml:space="preserve">20. </w:t>
      </w:r>
      <w:r w:rsidRPr="00EC6179">
        <w:rPr>
          <w:rFonts w:ascii="Verdana" w:hAnsi="Verdana"/>
          <w:bCs/>
          <w:i/>
          <w:spacing w:val="-2"/>
          <w:sz w:val="16"/>
          <w:szCs w:val="16"/>
        </w:rPr>
        <w:t xml:space="preserve">Caso </w:t>
      </w:r>
      <w:proofErr w:type="spellStart"/>
      <w:r w:rsidRPr="00EC6179">
        <w:rPr>
          <w:rFonts w:ascii="Verdana" w:hAnsi="Verdana"/>
          <w:bCs/>
          <w:i/>
          <w:spacing w:val="-2"/>
          <w:sz w:val="16"/>
          <w:szCs w:val="16"/>
        </w:rPr>
        <w:t>Manushaqe</w:t>
      </w:r>
      <w:proofErr w:type="spellEnd"/>
      <w:r w:rsidRPr="00EC6179">
        <w:rPr>
          <w:rFonts w:ascii="Verdana" w:hAnsi="Verdana"/>
          <w:bCs/>
          <w:i/>
          <w:spacing w:val="-2"/>
          <w:sz w:val="16"/>
          <w:szCs w:val="16"/>
        </w:rPr>
        <w:t xml:space="preserve"> Puto y Otros Vs. Albania, </w:t>
      </w:r>
      <w:r w:rsidRPr="00EC6179">
        <w:rPr>
          <w:rFonts w:ascii="Verdana" w:hAnsi="Verdana"/>
          <w:bCs/>
          <w:spacing w:val="-2"/>
          <w:sz w:val="16"/>
          <w:szCs w:val="16"/>
        </w:rPr>
        <w:t xml:space="preserve">No. </w:t>
      </w:r>
      <w:r w:rsidRPr="00EC6179">
        <w:rPr>
          <w:rFonts w:ascii="Verdana" w:hAnsi="Verdana" w:cs="Verdana"/>
          <w:spacing w:val="-2"/>
          <w:sz w:val="16"/>
          <w:szCs w:val="16"/>
          <w:lang w:val="es-ES"/>
        </w:rPr>
        <w:t xml:space="preserve">604/07, 43628/07, 46684/07 y 34770/09; </w:t>
      </w:r>
      <w:r w:rsidRPr="00EC6179">
        <w:rPr>
          <w:rFonts w:ascii="Verdana" w:hAnsi="Verdana"/>
          <w:bCs/>
          <w:spacing w:val="-2"/>
          <w:sz w:val="16"/>
          <w:szCs w:val="16"/>
        </w:rPr>
        <w:t xml:space="preserve">Sentencia de 31 de julio de 2012; 21. </w:t>
      </w:r>
      <w:r w:rsidRPr="00EC6179">
        <w:rPr>
          <w:rFonts w:ascii="Verdana" w:hAnsi="Verdana"/>
          <w:bCs/>
          <w:i/>
          <w:spacing w:val="-2"/>
          <w:sz w:val="16"/>
          <w:szCs w:val="16"/>
        </w:rPr>
        <w:t xml:space="preserve">Caso </w:t>
      </w:r>
      <w:proofErr w:type="spellStart"/>
      <w:r w:rsidRPr="00EC6179">
        <w:rPr>
          <w:rFonts w:ascii="Verdana" w:hAnsi="Verdana"/>
          <w:bCs/>
          <w:i/>
          <w:spacing w:val="-2"/>
          <w:sz w:val="16"/>
          <w:szCs w:val="16"/>
        </w:rPr>
        <w:t>Torreggiani</w:t>
      </w:r>
      <w:proofErr w:type="spellEnd"/>
      <w:r w:rsidRPr="00EC6179">
        <w:rPr>
          <w:rFonts w:ascii="Verdana" w:hAnsi="Verdana"/>
          <w:bCs/>
          <w:i/>
          <w:spacing w:val="-2"/>
          <w:sz w:val="16"/>
          <w:szCs w:val="16"/>
        </w:rPr>
        <w:t xml:space="preserve"> y Otros Vs. Italia, </w:t>
      </w:r>
      <w:r w:rsidRPr="00EC6179">
        <w:rPr>
          <w:rFonts w:ascii="Verdana" w:hAnsi="Verdana"/>
          <w:bCs/>
          <w:spacing w:val="-2"/>
          <w:sz w:val="16"/>
          <w:szCs w:val="16"/>
        </w:rPr>
        <w:t xml:space="preserve">No. </w:t>
      </w:r>
      <w:r w:rsidRPr="00EC6179">
        <w:rPr>
          <w:rFonts w:ascii="Verdana" w:hAnsi="Verdana" w:cs="Verdana"/>
          <w:spacing w:val="-2"/>
          <w:sz w:val="16"/>
          <w:szCs w:val="16"/>
          <w:lang w:val="es-ES"/>
        </w:rPr>
        <w:t>43517/09</w:t>
      </w:r>
      <w:r w:rsidRPr="00EC6179">
        <w:rPr>
          <w:rFonts w:ascii="Verdana" w:hAnsi="Verdana"/>
          <w:bCs/>
          <w:spacing w:val="-2"/>
          <w:sz w:val="16"/>
          <w:szCs w:val="16"/>
        </w:rPr>
        <w:t>, Sentencia de 8 de enero de 2013; 22</w:t>
      </w:r>
      <w:r>
        <w:rPr>
          <w:rFonts w:ascii="Verdana" w:hAnsi="Verdana"/>
          <w:bCs/>
          <w:sz w:val="16"/>
          <w:szCs w:val="16"/>
        </w:rPr>
        <w:t>.</w:t>
      </w:r>
      <w:r w:rsidRPr="000B11BC">
        <w:rPr>
          <w:rFonts w:ascii="Verdana" w:hAnsi="Verdana"/>
          <w:bCs/>
          <w:sz w:val="16"/>
          <w:szCs w:val="16"/>
        </w:rPr>
        <w:t xml:space="preserve"> </w:t>
      </w:r>
      <w:r w:rsidRPr="000B11BC">
        <w:rPr>
          <w:rFonts w:ascii="Verdana" w:hAnsi="Verdana"/>
          <w:bCs/>
          <w:i/>
          <w:sz w:val="16"/>
          <w:szCs w:val="16"/>
        </w:rPr>
        <w:t xml:space="preserve">Caso M.C. </w:t>
      </w:r>
      <w:r>
        <w:rPr>
          <w:rFonts w:ascii="Verdana" w:hAnsi="Verdana"/>
          <w:bCs/>
          <w:i/>
          <w:sz w:val="16"/>
          <w:szCs w:val="16"/>
        </w:rPr>
        <w:t>y Otros</w:t>
      </w:r>
      <w:r w:rsidRPr="000B11BC">
        <w:rPr>
          <w:rFonts w:ascii="Verdana" w:hAnsi="Verdana"/>
          <w:bCs/>
          <w:i/>
          <w:sz w:val="16"/>
          <w:szCs w:val="16"/>
        </w:rPr>
        <w:t xml:space="preserve"> Vs. </w:t>
      </w:r>
      <w:r>
        <w:rPr>
          <w:rFonts w:ascii="Verdana" w:hAnsi="Verdana"/>
          <w:bCs/>
          <w:i/>
          <w:sz w:val="16"/>
          <w:szCs w:val="16"/>
        </w:rPr>
        <w:t>Italia</w:t>
      </w:r>
      <w:r w:rsidRPr="000B11BC">
        <w:rPr>
          <w:rFonts w:ascii="Verdana" w:hAnsi="Verdana"/>
          <w:bCs/>
          <w:sz w:val="16"/>
          <w:szCs w:val="16"/>
        </w:rPr>
        <w:t>, No. 5376/11, Sentencia de 3 de septiembre de 2013; 2</w:t>
      </w:r>
      <w:r>
        <w:rPr>
          <w:rFonts w:ascii="Verdana" w:hAnsi="Verdana"/>
          <w:bCs/>
          <w:sz w:val="16"/>
          <w:szCs w:val="16"/>
        </w:rPr>
        <w:t>3.</w:t>
      </w:r>
      <w:r w:rsidRPr="000B11BC">
        <w:rPr>
          <w:rFonts w:ascii="Verdana" w:hAnsi="Verdana"/>
          <w:bCs/>
          <w:sz w:val="16"/>
          <w:szCs w:val="16"/>
        </w:rPr>
        <w:t xml:space="preserve"> </w:t>
      </w:r>
      <w:r w:rsidRPr="000B11BC">
        <w:rPr>
          <w:rFonts w:ascii="Verdana" w:hAnsi="Verdana"/>
          <w:bCs/>
          <w:i/>
          <w:sz w:val="16"/>
          <w:szCs w:val="16"/>
        </w:rPr>
        <w:t xml:space="preserve">Caso </w:t>
      </w:r>
      <w:proofErr w:type="spellStart"/>
      <w:r w:rsidRPr="000B11BC">
        <w:rPr>
          <w:rFonts w:ascii="Verdana" w:hAnsi="Verdana"/>
          <w:bCs/>
          <w:i/>
          <w:sz w:val="16"/>
          <w:szCs w:val="16"/>
        </w:rPr>
        <w:t>Gerasimov</w:t>
      </w:r>
      <w:proofErr w:type="spellEnd"/>
      <w:r w:rsidRPr="000B11BC">
        <w:rPr>
          <w:rFonts w:ascii="Verdana" w:hAnsi="Verdana"/>
          <w:bCs/>
          <w:i/>
          <w:sz w:val="16"/>
          <w:szCs w:val="16"/>
        </w:rPr>
        <w:t xml:space="preserve"> a</w:t>
      </w:r>
      <w:r>
        <w:rPr>
          <w:rFonts w:ascii="Verdana" w:hAnsi="Verdana"/>
          <w:bCs/>
          <w:i/>
          <w:sz w:val="16"/>
          <w:szCs w:val="16"/>
        </w:rPr>
        <w:t>y Otros</w:t>
      </w:r>
      <w:r w:rsidRPr="000B11BC">
        <w:rPr>
          <w:rFonts w:ascii="Verdana" w:hAnsi="Verdana"/>
          <w:bCs/>
          <w:i/>
          <w:sz w:val="16"/>
          <w:szCs w:val="16"/>
        </w:rPr>
        <w:t xml:space="preserve"> Vs. Rusia, </w:t>
      </w:r>
      <w:r w:rsidRPr="000B11BC">
        <w:rPr>
          <w:rFonts w:ascii="Verdana" w:hAnsi="Verdana"/>
          <w:bCs/>
          <w:sz w:val="16"/>
          <w:szCs w:val="16"/>
        </w:rPr>
        <w:t xml:space="preserve">No. </w:t>
      </w:r>
      <w:r w:rsidRPr="000B11BC">
        <w:rPr>
          <w:rFonts w:ascii="Verdana" w:hAnsi="Verdana" w:cs="Calibri"/>
          <w:sz w:val="16"/>
          <w:szCs w:val="16"/>
          <w:lang w:val="es-ES"/>
        </w:rPr>
        <w:t>29920/05, 3553/06, 18876/10, 61186/10, 21176/11, 36112/11, 36426/11, 40841/11, 45381/11, 55929/11 y 60822/11</w:t>
      </w:r>
      <w:r w:rsidRPr="000B11BC">
        <w:rPr>
          <w:rFonts w:ascii="Verdana" w:hAnsi="Verdana"/>
          <w:bCs/>
          <w:sz w:val="16"/>
          <w:szCs w:val="16"/>
        </w:rPr>
        <w:t>, Sentencia de julio de 2014; 2</w:t>
      </w:r>
      <w:r>
        <w:rPr>
          <w:rFonts w:ascii="Verdana" w:hAnsi="Verdana"/>
          <w:bCs/>
          <w:sz w:val="16"/>
          <w:szCs w:val="16"/>
        </w:rPr>
        <w:t xml:space="preserve">4. </w:t>
      </w:r>
      <w:r w:rsidRPr="000B11BC">
        <w:rPr>
          <w:rFonts w:ascii="Verdana" w:hAnsi="Verdana"/>
          <w:bCs/>
          <w:i/>
          <w:sz w:val="16"/>
          <w:szCs w:val="16"/>
        </w:rPr>
        <w:t xml:space="preserve">Caso </w:t>
      </w:r>
      <w:proofErr w:type="spellStart"/>
      <w:r w:rsidRPr="000B11BC">
        <w:rPr>
          <w:rFonts w:ascii="Verdana" w:hAnsi="Verdana"/>
          <w:bCs/>
          <w:i/>
          <w:sz w:val="16"/>
          <w:szCs w:val="16"/>
        </w:rPr>
        <w:t>Ali</w:t>
      </w:r>
      <w:r w:rsidRPr="000B11BC">
        <w:rPr>
          <w:rFonts w:ascii="Verdana" w:hAnsi="Verdana" w:cs="Arial"/>
          <w:bCs/>
          <w:i/>
          <w:sz w:val="16"/>
          <w:szCs w:val="16"/>
        </w:rPr>
        <w:t>š</w:t>
      </w:r>
      <w:r w:rsidRPr="000B11BC">
        <w:rPr>
          <w:rFonts w:ascii="Verdana" w:hAnsi="Verdana"/>
          <w:bCs/>
          <w:i/>
          <w:sz w:val="16"/>
          <w:szCs w:val="16"/>
        </w:rPr>
        <w:t>i</w:t>
      </w:r>
      <w:r w:rsidRPr="000B11BC">
        <w:rPr>
          <w:rFonts w:ascii="Verdana" w:hAnsi="Verdana" w:cs="Arial"/>
          <w:bCs/>
          <w:i/>
          <w:sz w:val="16"/>
          <w:szCs w:val="16"/>
        </w:rPr>
        <w:t>c</w:t>
      </w:r>
      <w:proofErr w:type="spellEnd"/>
      <w:r w:rsidRPr="000B11BC">
        <w:rPr>
          <w:rFonts w:ascii="Verdana" w:hAnsi="Verdana" w:cs="Arial"/>
          <w:bCs/>
          <w:i/>
          <w:sz w:val="16"/>
          <w:szCs w:val="16"/>
        </w:rPr>
        <w:t xml:space="preserve">́ </w:t>
      </w:r>
      <w:r>
        <w:rPr>
          <w:rFonts w:ascii="Verdana" w:hAnsi="Verdana"/>
          <w:bCs/>
          <w:i/>
          <w:sz w:val="16"/>
          <w:szCs w:val="16"/>
        </w:rPr>
        <w:t>y Otros</w:t>
      </w:r>
      <w:r w:rsidRPr="000B11BC">
        <w:rPr>
          <w:rFonts w:ascii="Verdana" w:hAnsi="Verdana"/>
          <w:bCs/>
          <w:i/>
          <w:sz w:val="16"/>
          <w:szCs w:val="16"/>
        </w:rPr>
        <w:t xml:space="preserve"> Vs. Bosnia </w:t>
      </w:r>
      <w:r>
        <w:rPr>
          <w:rFonts w:ascii="Verdana" w:hAnsi="Verdana"/>
          <w:bCs/>
          <w:i/>
          <w:sz w:val="16"/>
          <w:szCs w:val="16"/>
        </w:rPr>
        <w:t>y</w:t>
      </w:r>
      <w:r w:rsidRPr="000B11BC">
        <w:rPr>
          <w:rFonts w:ascii="Verdana" w:hAnsi="Verdana"/>
          <w:bCs/>
          <w:i/>
          <w:sz w:val="16"/>
          <w:szCs w:val="16"/>
        </w:rPr>
        <w:t xml:space="preserve"> Herzegovina, Croa</w:t>
      </w:r>
      <w:r>
        <w:rPr>
          <w:rFonts w:ascii="Verdana" w:hAnsi="Verdana"/>
          <w:bCs/>
          <w:i/>
          <w:sz w:val="16"/>
          <w:szCs w:val="16"/>
        </w:rPr>
        <w:t>c</w:t>
      </w:r>
      <w:r w:rsidRPr="000B11BC">
        <w:rPr>
          <w:rFonts w:ascii="Verdana" w:hAnsi="Verdana"/>
          <w:bCs/>
          <w:i/>
          <w:sz w:val="16"/>
          <w:szCs w:val="16"/>
        </w:rPr>
        <w:t>ia, “</w:t>
      </w:r>
      <w:proofErr w:type="spellStart"/>
      <w:r w:rsidRPr="000B11BC">
        <w:rPr>
          <w:rFonts w:ascii="Verdana" w:hAnsi="Verdana"/>
          <w:bCs/>
          <w:i/>
          <w:sz w:val="16"/>
          <w:szCs w:val="16"/>
        </w:rPr>
        <w:t>the</w:t>
      </w:r>
      <w:proofErr w:type="spellEnd"/>
      <w:r w:rsidRPr="000B11BC">
        <w:rPr>
          <w:rFonts w:ascii="Verdana" w:hAnsi="Verdana"/>
          <w:bCs/>
          <w:i/>
          <w:sz w:val="16"/>
          <w:szCs w:val="16"/>
        </w:rPr>
        <w:t xml:space="preserve"> </w:t>
      </w:r>
      <w:proofErr w:type="spellStart"/>
      <w:r w:rsidRPr="000B11BC">
        <w:rPr>
          <w:rFonts w:ascii="Verdana" w:hAnsi="Verdana"/>
          <w:bCs/>
          <w:i/>
          <w:sz w:val="16"/>
          <w:szCs w:val="16"/>
        </w:rPr>
        <w:t>former</w:t>
      </w:r>
      <w:proofErr w:type="spellEnd"/>
      <w:r w:rsidRPr="000B11BC">
        <w:rPr>
          <w:rFonts w:ascii="Verdana" w:hAnsi="Verdana"/>
          <w:bCs/>
          <w:i/>
          <w:sz w:val="16"/>
          <w:szCs w:val="16"/>
        </w:rPr>
        <w:t xml:space="preserve"> </w:t>
      </w:r>
      <w:proofErr w:type="spellStart"/>
      <w:r w:rsidRPr="000B11BC">
        <w:rPr>
          <w:rFonts w:ascii="Verdana" w:hAnsi="Verdana"/>
          <w:bCs/>
          <w:i/>
          <w:sz w:val="16"/>
          <w:szCs w:val="16"/>
        </w:rPr>
        <w:t>Yugoslav</w:t>
      </w:r>
      <w:proofErr w:type="spellEnd"/>
      <w:r w:rsidRPr="000B11BC">
        <w:rPr>
          <w:rFonts w:ascii="Verdana" w:hAnsi="Verdana"/>
          <w:bCs/>
          <w:i/>
          <w:sz w:val="16"/>
          <w:szCs w:val="16"/>
        </w:rPr>
        <w:t xml:space="preserve"> </w:t>
      </w:r>
      <w:proofErr w:type="spellStart"/>
      <w:r w:rsidRPr="000B11BC">
        <w:rPr>
          <w:rFonts w:ascii="Verdana" w:hAnsi="Verdana"/>
          <w:bCs/>
          <w:i/>
          <w:sz w:val="16"/>
          <w:szCs w:val="16"/>
        </w:rPr>
        <w:t>Republic</w:t>
      </w:r>
      <w:proofErr w:type="spellEnd"/>
      <w:r w:rsidRPr="000B11BC">
        <w:rPr>
          <w:rFonts w:ascii="Verdana" w:hAnsi="Verdana"/>
          <w:bCs/>
          <w:i/>
          <w:sz w:val="16"/>
          <w:szCs w:val="16"/>
        </w:rPr>
        <w:t xml:space="preserve"> of Macedonia”, Serbia </w:t>
      </w:r>
      <w:r>
        <w:rPr>
          <w:rFonts w:ascii="Verdana" w:hAnsi="Verdana"/>
          <w:bCs/>
          <w:i/>
          <w:sz w:val="16"/>
          <w:szCs w:val="16"/>
        </w:rPr>
        <w:t>y Eslovenia</w:t>
      </w:r>
      <w:r w:rsidRPr="000B11BC">
        <w:rPr>
          <w:rFonts w:ascii="Verdana" w:hAnsi="Verdana"/>
          <w:bCs/>
          <w:i/>
          <w:sz w:val="16"/>
          <w:szCs w:val="16"/>
        </w:rPr>
        <w:t>,</w:t>
      </w:r>
      <w:r>
        <w:rPr>
          <w:rFonts w:ascii="Verdana" w:hAnsi="Verdana"/>
          <w:bCs/>
          <w:i/>
          <w:sz w:val="16"/>
          <w:szCs w:val="16"/>
        </w:rPr>
        <w:t xml:space="preserve"> </w:t>
      </w:r>
      <w:r>
        <w:rPr>
          <w:rFonts w:ascii="Verdana" w:hAnsi="Verdana"/>
          <w:bCs/>
          <w:sz w:val="16"/>
          <w:szCs w:val="16"/>
        </w:rPr>
        <w:t>No. 60642/08,</w:t>
      </w:r>
      <w:r w:rsidRPr="000B11BC">
        <w:rPr>
          <w:rFonts w:ascii="Verdana" w:hAnsi="Verdana"/>
          <w:bCs/>
          <w:i/>
          <w:sz w:val="16"/>
          <w:szCs w:val="16"/>
        </w:rPr>
        <w:t xml:space="preserve"> </w:t>
      </w:r>
      <w:r w:rsidRPr="000B11BC">
        <w:rPr>
          <w:rFonts w:ascii="Verdana" w:hAnsi="Verdana"/>
          <w:bCs/>
          <w:sz w:val="16"/>
          <w:szCs w:val="16"/>
        </w:rPr>
        <w:t>Sentencia de 16 de julio de 2014;  2</w:t>
      </w:r>
      <w:r>
        <w:rPr>
          <w:rFonts w:ascii="Verdana" w:hAnsi="Verdana"/>
          <w:bCs/>
          <w:sz w:val="16"/>
          <w:szCs w:val="16"/>
        </w:rPr>
        <w:t>5.</w:t>
      </w:r>
      <w:r w:rsidRPr="000B11BC">
        <w:rPr>
          <w:rFonts w:ascii="Verdana" w:hAnsi="Verdana"/>
          <w:bCs/>
          <w:sz w:val="16"/>
          <w:szCs w:val="16"/>
        </w:rPr>
        <w:t xml:space="preserve"> </w:t>
      </w:r>
      <w:r w:rsidRPr="000B11BC">
        <w:rPr>
          <w:rFonts w:ascii="Verdana" w:hAnsi="Verdana"/>
          <w:bCs/>
          <w:i/>
          <w:sz w:val="16"/>
          <w:szCs w:val="16"/>
        </w:rPr>
        <w:t xml:space="preserve">Caso </w:t>
      </w:r>
      <w:proofErr w:type="spellStart"/>
      <w:r w:rsidRPr="000B11BC">
        <w:rPr>
          <w:rFonts w:ascii="Verdana" w:hAnsi="Verdana"/>
          <w:bCs/>
          <w:i/>
          <w:sz w:val="16"/>
          <w:szCs w:val="16"/>
        </w:rPr>
        <w:t>Gazso</w:t>
      </w:r>
      <w:proofErr w:type="spellEnd"/>
      <w:r w:rsidRPr="000B11BC">
        <w:rPr>
          <w:rFonts w:ascii="Verdana" w:hAnsi="Verdana"/>
          <w:bCs/>
          <w:i/>
          <w:sz w:val="16"/>
          <w:szCs w:val="16"/>
        </w:rPr>
        <w:t xml:space="preserve">́ Vs. </w:t>
      </w:r>
      <w:r>
        <w:rPr>
          <w:rFonts w:ascii="Verdana" w:hAnsi="Verdana"/>
          <w:bCs/>
          <w:i/>
          <w:sz w:val="16"/>
          <w:szCs w:val="16"/>
        </w:rPr>
        <w:t>Hungría</w:t>
      </w:r>
      <w:r w:rsidRPr="000B11BC">
        <w:rPr>
          <w:rFonts w:ascii="Verdana" w:hAnsi="Verdana"/>
          <w:bCs/>
          <w:sz w:val="16"/>
          <w:szCs w:val="16"/>
        </w:rPr>
        <w:t xml:space="preserve">, No. </w:t>
      </w:r>
      <w:r w:rsidRPr="000B11BC">
        <w:rPr>
          <w:rFonts w:ascii="Verdana" w:hAnsi="Verdana" w:cs="Calibri"/>
          <w:sz w:val="16"/>
          <w:szCs w:val="16"/>
          <w:lang w:val="es-ES"/>
        </w:rPr>
        <w:t>48322/12</w:t>
      </w:r>
      <w:r w:rsidRPr="000B11BC">
        <w:rPr>
          <w:rFonts w:ascii="Verdana" w:hAnsi="Verdana"/>
          <w:bCs/>
          <w:sz w:val="16"/>
          <w:szCs w:val="16"/>
        </w:rPr>
        <w:t>, Sentencia de 16 de julio de 2015; 2</w:t>
      </w:r>
      <w:r>
        <w:rPr>
          <w:rFonts w:ascii="Verdana" w:hAnsi="Verdana"/>
          <w:bCs/>
          <w:sz w:val="16"/>
          <w:szCs w:val="16"/>
        </w:rPr>
        <w:t>6.</w:t>
      </w:r>
      <w:r w:rsidRPr="000B11BC">
        <w:rPr>
          <w:rFonts w:ascii="Verdana" w:hAnsi="Verdana"/>
          <w:bCs/>
          <w:sz w:val="16"/>
          <w:szCs w:val="16"/>
        </w:rPr>
        <w:t xml:space="preserve"> </w:t>
      </w:r>
      <w:r w:rsidRPr="000B11BC">
        <w:rPr>
          <w:rFonts w:ascii="Verdana" w:hAnsi="Verdana"/>
          <w:bCs/>
          <w:i/>
          <w:sz w:val="16"/>
          <w:szCs w:val="16"/>
        </w:rPr>
        <w:t xml:space="preserve">Caso </w:t>
      </w:r>
      <w:proofErr w:type="spellStart"/>
      <w:r w:rsidRPr="000B11BC">
        <w:rPr>
          <w:rFonts w:ascii="Verdana" w:hAnsi="Verdana"/>
          <w:bCs/>
          <w:i/>
          <w:sz w:val="16"/>
          <w:szCs w:val="16"/>
        </w:rPr>
        <w:t>Neshkov</w:t>
      </w:r>
      <w:proofErr w:type="spellEnd"/>
      <w:r w:rsidRPr="000B11BC">
        <w:rPr>
          <w:rFonts w:ascii="Verdana" w:hAnsi="Verdana"/>
          <w:bCs/>
          <w:i/>
          <w:sz w:val="16"/>
          <w:szCs w:val="16"/>
        </w:rPr>
        <w:t xml:space="preserve"> </w:t>
      </w:r>
      <w:r>
        <w:rPr>
          <w:rFonts w:ascii="Verdana" w:hAnsi="Verdana"/>
          <w:bCs/>
          <w:i/>
          <w:sz w:val="16"/>
          <w:szCs w:val="16"/>
        </w:rPr>
        <w:t>y Otros</w:t>
      </w:r>
      <w:r w:rsidRPr="000B11BC">
        <w:rPr>
          <w:rFonts w:ascii="Verdana" w:hAnsi="Verdana"/>
          <w:bCs/>
          <w:sz w:val="16"/>
          <w:szCs w:val="16"/>
        </w:rPr>
        <w:t xml:space="preserve"> </w:t>
      </w:r>
      <w:r w:rsidRPr="000B11BC">
        <w:rPr>
          <w:rFonts w:ascii="Verdana" w:hAnsi="Verdana"/>
          <w:bCs/>
          <w:i/>
          <w:sz w:val="16"/>
          <w:szCs w:val="16"/>
        </w:rPr>
        <w:t>Vs. Bulgaria</w:t>
      </w:r>
      <w:r w:rsidRPr="000B11BC">
        <w:rPr>
          <w:rFonts w:ascii="Verdana" w:hAnsi="Verdana"/>
          <w:bCs/>
          <w:sz w:val="16"/>
          <w:szCs w:val="16"/>
        </w:rPr>
        <w:t xml:space="preserve">, No. </w:t>
      </w:r>
      <w:r w:rsidRPr="000B11BC">
        <w:rPr>
          <w:rFonts w:ascii="Verdana" w:hAnsi="Verdana" w:cs="Calibri"/>
          <w:sz w:val="16"/>
          <w:szCs w:val="16"/>
          <w:lang w:val="es-ES"/>
        </w:rPr>
        <w:t>36925/10, 21487/12, 72893/1</w:t>
      </w:r>
      <w:r>
        <w:rPr>
          <w:rFonts w:ascii="Verdana" w:hAnsi="Verdana" w:cs="Calibri"/>
          <w:sz w:val="16"/>
          <w:szCs w:val="16"/>
          <w:lang w:val="es-ES"/>
        </w:rPr>
        <w:t>2, 73196/12, 77718/12 y 9717/13</w:t>
      </w:r>
      <w:r w:rsidRPr="000B11BC">
        <w:rPr>
          <w:rFonts w:ascii="Verdana" w:hAnsi="Verdana"/>
          <w:bCs/>
          <w:sz w:val="16"/>
          <w:szCs w:val="16"/>
        </w:rPr>
        <w:t>, Sentencia de 27 de enero de 2015; 2</w:t>
      </w:r>
      <w:r>
        <w:rPr>
          <w:rFonts w:ascii="Verdana" w:hAnsi="Verdana"/>
          <w:bCs/>
          <w:sz w:val="16"/>
          <w:szCs w:val="16"/>
        </w:rPr>
        <w:t>7.</w:t>
      </w:r>
      <w:r w:rsidRPr="000B11BC">
        <w:rPr>
          <w:rFonts w:ascii="Verdana" w:hAnsi="Verdana"/>
          <w:bCs/>
          <w:sz w:val="16"/>
          <w:szCs w:val="16"/>
        </w:rPr>
        <w:t xml:space="preserve"> </w:t>
      </w:r>
      <w:r w:rsidRPr="000B11BC">
        <w:rPr>
          <w:rFonts w:ascii="Verdana" w:hAnsi="Verdana"/>
          <w:bCs/>
          <w:i/>
          <w:sz w:val="16"/>
          <w:szCs w:val="16"/>
        </w:rPr>
        <w:t xml:space="preserve">Caso Varga </w:t>
      </w:r>
      <w:r>
        <w:rPr>
          <w:rFonts w:ascii="Verdana" w:hAnsi="Verdana"/>
          <w:bCs/>
          <w:i/>
          <w:sz w:val="16"/>
          <w:szCs w:val="16"/>
        </w:rPr>
        <w:t>y Otros</w:t>
      </w:r>
      <w:r w:rsidRPr="000B11BC">
        <w:rPr>
          <w:rFonts w:ascii="Verdana" w:hAnsi="Verdana"/>
          <w:bCs/>
          <w:i/>
          <w:sz w:val="16"/>
          <w:szCs w:val="16"/>
        </w:rPr>
        <w:t xml:space="preserve"> Vs. </w:t>
      </w:r>
      <w:r>
        <w:rPr>
          <w:rFonts w:ascii="Verdana" w:hAnsi="Verdana"/>
          <w:bCs/>
          <w:i/>
          <w:sz w:val="16"/>
          <w:szCs w:val="16"/>
        </w:rPr>
        <w:t>Hungría</w:t>
      </w:r>
      <w:r w:rsidRPr="000B11BC">
        <w:rPr>
          <w:rFonts w:ascii="Verdana" w:hAnsi="Verdana"/>
          <w:bCs/>
          <w:sz w:val="16"/>
          <w:szCs w:val="16"/>
        </w:rPr>
        <w:t xml:space="preserve">, No. </w:t>
      </w:r>
      <w:r w:rsidRPr="000B11BC">
        <w:rPr>
          <w:rFonts w:ascii="Verdana" w:hAnsi="Verdana" w:cs="Calibri"/>
          <w:sz w:val="16"/>
          <w:szCs w:val="16"/>
          <w:lang w:val="es-ES"/>
        </w:rPr>
        <w:t>14097/12, 45135/12, 73712/12, 34001/13, 44055/13 y 64586/13</w:t>
      </w:r>
      <w:r w:rsidRPr="000B11BC">
        <w:rPr>
          <w:rFonts w:ascii="Verdana" w:hAnsi="Verdana"/>
          <w:bCs/>
          <w:sz w:val="16"/>
          <w:szCs w:val="16"/>
        </w:rPr>
        <w:t>, Sentencia de 10 de marzo de 2015</w:t>
      </w:r>
      <w:r>
        <w:rPr>
          <w:rFonts w:ascii="Verdana" w:hAnsi="Verdana"/>
          <w:bCs/>
          <w:sz w:val="16"/>
          <w:szCs w:val="16"/>
        </w:rPr>
        <w:t>;</w:t>
      </w:r>
      <w:r w:rsidRPr="000B11BC">
        <w:rPr>
          <w:rFonts w:ascii="Verdana" w:hAnsi="Verdana"/>
          <w:bCs/>
          <w:sz w:val="16"/>
          <w:szCs w:val="16"/>
        </w:rPr>
        <w:t xml:space="preserve"> y </w:t>
      </w:r>
      <w:r>
        <w:rPr>
          <w:rFonts w:ascii="Verdana" w:hAnsi="Verdana"/>
          <w:bCs/>
          <w:sz w:val="16"/>
          <w:szCs w:val="16"/>
        </w:rPr>
        <w:t>28</w:t>
      </w:r>
      <w:r>
        <w:rPr>
          <w:rFonts w:ascii="Verdana" w:hAnsi="Verdana"/>
          <w:bCs/>
          <w:i/>
          <w:sz w:val="16"/>
          <w:szCs w:val="16"/>
        </w:rPr>
        <w:t>.</w:t>
      </w:r>
      <w:r w:rsidRPr="000B11BC">
        <w:rPr>
          <w:rFonts w:ascii="Verdana" w:hAnsi="Verdana"/>
          <w:bCs/>
          <w:i/>
          <w:sz w:val="16"/>
          <w:szCs w:val="16"/>
        </w:rPr>
        <w:t xml:space="preserve"> Caso </w:t>
      </w:r>
      <w:r w:rsidRPr="000B11BC">
        <w:rPr>
          <w:rFonts w:ascii="Verdana" w:hAnsi="Verdana" w:cs="Verdana"/>
          <w:bCs/>
          <w:i/>
          <w:sz w:val="16"/>
          <w:szCs w:val="16"/>
          <w:lang w:val="es-ES"/>
        </w:rPr>
        <w:t xml:space="preserve">W.D. Vs. </w:t>
      </w:r>
      <w:r>
        <w:rPr>
          <w:rFonts w:ascii="Verdana" w:hAnsi="Verdana" w:cs="Verdana"/>
          <w:bCs/>
          <w:i/>
          <w:sz w:val="16"/>
          <w:szCs w:val="16"/>
          <w:lang w:val="es-ES"/>
        </w:rPr>
        <w:t>Bélgica</w:t>
      </w:r>
      <w:r w:rsidRPr="000B11BC">
        <w:rPr>
          <w:rFonts w:ascii="Verdana" w:hAnsi="Verdana" w:cs="Verdana"/>
          <w:bCs/>
          <w:sz w:val="16"/>
          <w:szCs w:val="16"/>
          <w:lang w:val="es-ES"/>
        </w:rPr>
        <w:t xml:space="preserve">, No. 73548/13. Sentencia de 6 de septiembre de 2016. </w:t>
      </w:r>
    </w:p>
    <w:p w14:paraId="26D6A7B7" w14:textId="033D909D" w:rsidR="009D032A" w:rsidRPr="005049A3" w:rsidRDefault="009D032A" w:rsidP="0013659B">
      <w:pPr>
        <w:pStyle w:val="FootnoteText"/>
        <w:tabs>
          <w:tab w:val="left" w:pos="709"/>
        </w:tabs>
        <w:rPr>
          <w:lang w:val="es-ES_tradnl"/>
        </w:rPr>
      </w:pPr>
    </w:p>
  </w:footnote>
  <w:footnote w:id="88">
    <w:p w14:paraId="52AD1124" w14:textId="5E9B4233" w:rsidR="009D032A" w:rsidRPr="005049A3" w:rsidRDefault="009D032A" w:rsidP="0013659B">
      <w:pPr>
        <w:pStyle w:val="ListParagraph"/>
        <w:tabs>
          <w:tab w:val="left" w:pos="709"/>
        </w:tabs>
        <w:ind w:left="0"/>
        <w:rPr>
          <w:rFonts w:cs="System Font Regular"/>
          <w:i/>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sidRPr="005049A3">
        <w:rPr>
          <w:i/>
          <w:sz w:val="16"/>
          <w:szCs w:val="16"/>
          <w:lang w:val="es-ES_tradnl"/>
        </w:rPr>
        <w:t xml:space="preserve">Cfr. </w:t>
      </w:r>
      <w:r w:rsidRPr="005049A3">
        <w:rPr>
          <w:sz w:val="16"/>
          <w:szCs w:val="16"/>
          <w:lang w:val="es-ES_tradnl"/>
        </w:rPr>
        <w:t xml:space="preserve">Comité de Derechos Económicos, Sociales y Culturales, Observación General No. 20, </w:t>
      </w:r>
      <w:r w:rsidRPr="005049A3">
        <w:rPr>
          <w:i/>
          <w:sz w:val="16"/>
          <w:szCs w:val="16"/>
          <w:lang w:val="es-ES_tradnl"/>
        </w:rPr>
        <w:t>La no discriminación y los derechos económicos, sociales y culturales (artículo 2, párrafo 2 del Pacto Internacional de los Derechos Económicos, Sociales y Culturales)</w:t>
      </w:r>
      <w:r w:rsidRPr="005049A3">
        <w:rPr>
          <w:sz w:val="16"/>
          <w:szCs w:val="16"/>
          <w:lang w:val="es-ES_tradnl"/>
        </w:rPr>
        <w:t xml:space="preserve">, 2 de julio de 2009, E/C.12/GC/20, </w:t>
      </w:r>
      <w:r w:rsidRPr="005049A3">
        <w:rPr>
          <w:rFonts w:cs="System Font Regular"/>
          <w:color w:val="16191F"/>
          <w:sz w:val="16"/>
          <w:szCs w:val="16"/>
          <w:lang w:val="es-ES_tradnl"/>
        </w:rPr>
        <w:t>párr. 6.</w:t>
      </w:r>
    </w:p>
  </w:footnote>
  <w:footnote w:id="89">
    <w:p w14:paraId="542A1359" w14:textId="28D723B6" w:rsidR="009D032A" w:rsidRPr="005049A3" w:rsidRDefault="009D032A" w:rsidP="0013659B">
      <w:pPr>
        <w:pStyle w:val="NormalWeb"/>
        <w:tabs>
          <w:tab w:val="left" w:pos="709"/>
        </w:tabs>
        <w:jc w:val="both"/>
        <w:rPr>
          <w:rFonts w:ascii="Verdana" w:hAnsi="Verdana"/>
          <w:sz w:val="16"/>
          <w:szCs w:val="16"/>
          <w:lang w:val="es-ES_tradnl"/>
        </w:rPr>
      </w:pPr>
      <w:r w:rsidRPr="005049A3">
        <w:rPr>
          <w:rStyle w:val="FootnoteReference"/>
          <w:rFonts w:ascii="Verdana" w:hAnsi="Verdana"/>
          <w:sz w:val="16"/>
          <w:szCs w:val="16"/>
          <w:lang w:val="es-ES_tradnl"/>
        </w:rPr>
        <w:footnoteRef/>
      </w:r>
      <w:r w:rsidRPr="005049A3">
        <w:rPr>
          <w:rFonts w:ascii="Verdana" w:hAnsi="Verdana"/>
          <w:sz w:val="16"/>
          <w:szCs w:val="16"/>
          <w:lang w:val="es-ES_tradnl"/>
        </w:rPr>
        <w:t xml:space="preserve"> </w:t>
      </w:r>
      <w:r>
        <w:rPr>
          <w:rFonts w:ascii="Verdana" w:hAnsi="Verdana"/>
          <w:sz w:val="16"/>
          <w:szCs w:val="16"/>
          <w:lang w:val="es-ES_tradnl"/>
        </w:rPr>
        <w:tab/>
      </w:r>
      <w:r w:rsidRPr="005049A3">
        <w:rPr>
          <w:rFonts w:ascii="Verdana" w:hAnsi="Verdana"/>
          <w:sz w:val="16"/>
          <w:szCs w:val="16"/>
          <w:lang w:val="es-ES_tradnl"/>
        </w:rPr>
        <w:t xml:space="preserve">ONU, </w:t>
      </w:r>
      <w:proofErr w:type="spellStart"/>
      <w:r w:rsidRPr="005049A3">
        <w:rPr>
          <w:rFonts w:ascii="Verdana" w:hAnsi="Verdana"/>
          <w:sz w:val="16"/>
          <w:szCs w:val="16"/>
          <w:lang w:val="es-ES_tradnl"/>
        </w:rPr>
        <w:t>Comite</w:t>
      </w:r>
      <w:proofErr w:type="spellEnd"/>
      <w:r w:rsidRPr="005049A3">
        <w:rPr>
          <w:rFonts w:ascii="Verdana" w:hAnsi="Verdana"/>
          <w:sz w:val="16"/>
          <w:szCs w:val="16"/>
          <w:lang w:val="es-ES_tradnl"/>
        </w:rPr>
        <w:t xml:space="preserve">́ para la </w:t>
      </w:r>
      <w:proofErr w:type="spellStart"/>
      <w:r w:rsidRPr="005049A3">
        <w:rPr>
          <w:rFonts w:ascii="Verdana" w:hAnsi="Verdana"/>
          <w:sz w:val="16"/>
          <w:szCs w:val="16"/>
          <w:lang w:val="es-ES_tradnl"/>
        </w:rPr>
        <w:t>Eliminación</w:t>
      </w:r>
      <w:proofErr w:type="spellEnd"/>
      <w:r w:rsidRPr="005049A3">
        <w:rPr>
          <w:rFonts w:ascii="Verdana" w:hAnsi="Verdana"/>
          <w:sz w:val="16"/>
          <w:szCs w:val="16"/>
          <w:lang w:val="es-ES_tradnl"/>
        </w:rPr>
        <w:t xml:space="preserve"> de la </w:t>
      </w:r>
      <w:proofErr w:type="spellStart"/>
      <w:r w:rsidRPr="005049A3">
        <w:rPr>
          <w:rFonts w:ascii="Verdana" w:hAnsi="Verdana"/>
          <w:sz w:val="16"/>
          <w:szCs w:val="16"/>
          <w:lang w:val="es-ES_tradnl"/>
        </w:rPr>
        <w:t>Discriminación</w:t>
      </w:r>
      <w:proofErr w:type="spellEnd"/>
      <w:r w:rsidRPr="005049A3">
        <w:rPr>
          <w:rFonts w:ascii="Verdana" w:hAnsi="Verdana"/>
          <w:sz w:val="16"/>
          <w:szCs w:val="16"/>
          <w:lang w:val="es-ES_tradnl"/>
        </w:rPr>
        <w:t xml:space="preserve"> contra la Mujer, </w:t>
      </w:r>
      <w:r w:rsidRPr="005049A3">
        <w:rPr>
          <w:rFonts w:ascii="Verdana" w:hAnsi="Verdana" w:cs="Times"/>
          <w:bCs/>
          <w:i/>
          <w:sz w:val="16"/>
          <w:szCs w:val="16"/>
          <w:lang w:val="es-ES_tradnl"/>
        </w:rPr>
        <w:t>Recomendación General N</w:t>
      </w:r>
      <w:r>
        <w:rPr>
          <w:rFonts w:ascii="Verdana" w:hAnsi="Verdana" w:cs="Times"/>
          <w:bCs/>
          <w:i/>
          <w:sz w:val="16"/>
          <w:szCs w:val="16"/>
          <w:lang w:val="es-ES_tradnl"/>
        </w:rPr>
        <w:t>o.</w:t>
      </w:r>
      <w:r w:rsidRPr="005049A3">
        <w:rPr>
          <w:rFonts w:ascii="Verdana" w:hAnsi="Verdana" w:cs="Times"/>
          <w:bCs/>
          <w:i/>
          <w:sz w:val="16"/>
          <w:szCs w:val="16"/>
          <w:lang w:val="es-ES_tradnl"/>
        </w:rPr>
        <w:t xml:space="preserve"> 28 relativa a las obligaciones básicas de los Estados partes de conformidad con el artículo 2 de la Convención sobre la eliminación de todas las formas de discriminación contra la mujer</w:t>
      </w:r>
      <w:r w:rsidRPr="005049A3">
        <w:rPr>
          <w:rFonts w:ascii="Verdana" w:hAnsi="Verdana" w:cs="Times"/>
          <w:bCs/>
          <w:sz w:val="16"/>
          <w:szCs w:val="16"/>
          <w:lang w:val="es-ES_tradnl"/>
        </w:rPr>
        <w:t xml:space="preserve">, </w:t>
      </w:r>
      <w:r w:rsidRPr="005049A3">
        <w:rPr>
          <w:rFonts w:ascii="Verdana" w:hAnsi="Verdana"/>
          <w:sz w:val="16"/>
          <w:szCs w:val="16"/>
          <w:lang w:val="es-ES_tradnl"/>
        </w:rPr>
        <w:t>16 de diciembre de 2010, CEDAW/C/GC/28, párr.</w:t>
      </w:r>
      <w:r>
        <w:rPr>
          <w:rFonts w:ascii="Verdana" w:hAnsi="Verdana"/>
          <w:sz w:val="16"/>
          <w:szCs w:val="16"/>
          <w:lang w:val="es-ES_tradnl"/>
        </w:rPr>
        <w:t xml:space="preserve"> </w:t>
      </w:r>
      <w:r w:rsidRPr="005049A3">
        <w:rPr>
          <w:rFonts w:ascii="Verdana" w:hAnsi="Verdana"/>
          <w:sz w:val="16"/>
          <w:szCs w:val="16"/>
          <w:lang w:val="es-ES_tradnl"/>
        </w:rPr>
        <w:t>16</w:t>
      </w:r>
      <w:r w:rsidRPr="005049A3">
        <w:rPr>
          <w:rFonts w:ascii="Verdana" w:hAnsi="Verdana" w:cs="System Font Regular"/>
          <w:color w:val="16191F"/>
          <w:sz w:val="16"/>
          <w:szCs w:val="16"/>
          <w:lang w:val="es-ES_tradnl"/>
        </w:rPr>
        <w:t>.</w:t>
      </w:r>
      <w:r>
        <w:rPr>
          <w:rFonts w:ascii="Verdana" w:hAnsi="Verdana" w:cs="System Font Regular"/>
          <w:color w:val="16191F"/>
          <w:sz w:val="16"/>
          <w:szCs w:val="16"/>
          <w:lang w:val="es-ES_tradnl"/>
        </w:rPr>
        <w:t xml:space="preserve"> </w:t>
      </w:r>
      <w:r w:rsidRPr="005049A3">
        <w:rPr>
          <w:rFonts w:ascii="Verdana" w:hAnsi="Verdana" w:cs="System Font Regular"/>
          <w:color w:val="16191F"/>
          <w:sz w:val="16"/>
          <w:szCs w:val="16"/>
          <w:lang w:val="es-ES_tradnl"/>
        </w:rPr>
        <w:t xml:space="preserve">En igual sentido sobre la discriminación estructural que sufren las mujeres la Relatora Especial ha expresado que: </w:t>
      </w:r>
      <w:r w:rsidRPr="005049A3">
        <w:rPr>
          <w:rFonts w:ascii="Verdana" w:hAnsi="Verdana"/>
          <w:i/>
          <w:sz w:val="16"/>
          <w:szCs w:val="16"/>
          <w:lang w:val="es-ES_tradnl"/>
        </w:rPr>
        <w:t>17. La discriminación y la violencia que se reflejan en los homicidios de mujeres relacionados con el género pueden interpretarse como múltiples círculos concéntricos, cada uno de los cuales intersecta el otro</w:t>
      </w:r>
      <w:r w:rsidRPr="00EB210F">
        <w:rPr>
          <w:rFonts w:ascii="Verdana" w:hAnsi="Verdana"/>
          <w:sz w:val="16"/>
          <w:szCs w:val="16"/>
          <w:lang w:val="es-ES_tradnl"/>
        </w:rPr>
        <w:t xml:space="preserve">. Estos círculos incluyen </w:t>
      </w:r>
      <w:r w:rsidRPr="00EB210F">
        <w:rPr>
          <w:rFonts w:ascii="Verdana" w:hAnsi="Verdana"/>
          <w:i/>
          <w:sz w:val="16"/>
          <w:szCs w:val="16"/>
          <w:lang w:val="es-ES_tradnl"/>
        </w:rPr>
        <w:t>factores estructurales, institucionales, interpersonales e individuales</w:t>
      </w:r>
      <w:r w:rsidRPr="00EB210F">
        <w:rPr>
          <w:rFonts w:ascii="Verdana" w:hAnsi="Verdana"/>
          <w:sz w:val="16"/>
          <w:szCs w:val="16"/>
          <w:lang w:val="es-ES_tradnl"/>
        </w:rPr>
        <w:t xml:space="preserve">. Los </w:t>
      </w:r>
      <w:r w:rsidRPr="00EB210F">
        <w:rPr>
          <w:rFonts w:ascii="Verdana" w:hAnsi="Verdana"/>
          <w:i/>
          <w:sz w:val="16"/>
          <w:szCs w:val="16"/>
          <w:lang w:val="es-ES_tradnl"/>
        </w:rPr>
        <w:t>factores estructurales</w:t>
      </w:r>
      <w:r w:rsidRPr="00EB210F">
        <w:rPr>
          <w:rFonts w:ascii="Verdana" w:hAnsi="Verdana"/>
          <w:sz w:val="16"/>
          <w:szCs w:val="16"/>
          <w:lang w:val="es-ES_tradnl"/>
        </w:rPr>
        <w:t xml:space="preserve"> son los sistemas sociales, económicos y políticos al </w:t>
      </w:r>
      <w:proofErr w:type="spellStart"/>
      <w:r w:rsidRPr="00EB210F">
        <w:rPr>
          <w:rFonts w:ascii="Verdana" w:hAnsi="Verdana"/>
          <w:sz w:val="16"/>
          <w:szCs w:val="16"/>
          <w:lang w:val="es-ES_tradnl"/>
        </w:rPr>
        <w:t>macronivel</w:t>
      </w:r>
      <w:proofErr w:type="spellEnd"/>
      <w:r w:rsidRPr="00EB210F">
        <w:rPr>
          <w:rFonts w:ascii="Verdana" w:hAnsi="Verdana"/>
          <w:sz w:val="16"/>
          <w:szCs w:val="16"/>
          <w:lang w:val="es-ES_tradnl"/>
        </w:rPr>
        <w:t xml:space="preserve">; los </w:t>
      </w:r>
      <w:r w:rsidRPr="00EB210F">
        <w:rPr>
          <w:rFonts w:ascii="Verdana" w:hAnsi="Verdana"/>
          <w:i/>
          <w:sz w:val="16"/>
          <w:szCs w:val="16"/>
          <w:lang w:val="es-ES_tradnl"/>
        </w:rPr>
        <w:t>factores institucionales</w:t>
      </w:r>
      <w:r w:rsidRPr="00EB210F">
        <w:rPr>
          <w:rFonts w:ascii="Verdana" w:hAnsi="Verdana"/>
          <w:sz w:val="16"/>
          <w:szCs w:val="16"/>
          <w:lang w:val="es-ES_tradnl"/>
        </w:rPr>
        <w:t xml:space="preserve"> son las instituciones y redes sociales formales o informales; los </w:t>
      </w:r>
      <w:r w:rsidRPr="00EB210F">
        <w:rPr>
          <w:rFonts w:ascii="Verdana" w:hAnsi="Verdana"/>
          <w:i/>
          <w:sz w:val="16"/>
          <w:szCs w:val="16"/>
          <w:lang w:val="es-ES_tradnl"/>
        </w:rPr>
        <w:t xml:space="preserve">factores interpersonales </w:t>
      </w:r>
      <w:r w:rsidRPr="00EB210F">
        <w:rPr>
          <w:rFonts w:ascii="Verdana" w:hAnsi="Verdana"/>
          <w:sz w:val="16"/>
          <w:szCs w:val="16"/>
          <w:lang w:val="es-ES_tradnl"/>
        </w:rPr>
        <w:t xml:space="preserve">consisten en las relaciones personales entre parejas, entre familiares y dentro de la comunidad y los </w:t>
      </w:r>
      <w:r w:rsidRPr="00EB210F">
        <w:rPr>
          <w:rFonts w:ascii="Verdana" w:hAnsi="Verdana"/>
          <w:i/>
          <w:sz w:val="16"/>
          <w:szCs w:val="16"/>
          <w:lang w:val="es-ES_tradnl"/>
        </w:rPr>
        <w:t xml:space="preserve">factores individuales </w:t>
      </w:r>
      <w:r w:rsidRPr="00EB210F">
        <w:rPr>
          <w:rFonts w:ascii="Verdana" w:hAnsi="Verdana"/>
          <w:sz w:val="16"/>
          <w:szCs w:val="16"/>
          <w:lang w:val="es-ES_tradnl"/>
        </w:rPr>
        <w:t>incluyen la personalidad y la capacidad individual para responder a la violencia</w:t>
      </w:r>
      <w:r w:rsidRPr="005049A3">
        <w:rPr>
          <w:rFonts w:ascii="Verdana" w:hAnsi="Verdana"/>
          <w:i/>
          <w:sz w:val="16"/>
          <w:szCs w:val="16"/>
          <w:lang w:val="es-ES_tradnl"/>
        </w:rPr>
        <w:t xml:space="preserve">. </w:t>
      </w:r>
      <w:r w:rsidRPr="00EB210F">
        <w:rPr>
          <w:rFonts w:ascii="Verdana" w:hAnsi="Verdana" w:cs="Times"/>
          <w:bCs/>
          <w:i/>
          <w:sz w:val="16"/>
          <w:szCs w:val="16"/>
          <w:lang w:val="es-ES_tradnl"/>
        </w:rPr>
        <w:t>Informe de la Relatora Especial sobre la violencia contra la mujer, sus causas y sus consecuencias</w:t>
      </w:r>
      <w:r w:rsidRPr="005049A3">
        <w:rPr>
          <w:rFonts w:ascii="Verdana" w:hAnsi="Verdana" w:cs="Times"/>
          <w:bCs/>
          <w:sz w:val="16"/>
          <w:szCs w:val="16"/>
          <w:lang w:val="es-ES_tradnl"/>
        </w:rPr>
        <w:t xml:space="preserve">, </w:t>
      </w:r>
      <w:proofErr w:type="spellStart"/>
      <w:r w:rsidRPr="005049A3">
        <w:rPr>
          <w:rFonts w:ascii="Verdana" w:hAnsi="Verdana" w:cs="Times"/>
          <w:bCs/>
          <w:sz w:val="16"/>
          <w:szCs w:val="16"/>
          <w:lang w:val="es-ES_tradnl"/>
        </w:rPr>
        <w:t>Rashida</w:t>
      </w:r>
      <w:proofErr w:type="spellEnd"/>
      <w:r w:rsidRPr="005049A3">
        <w:rPr>
          <w:rFonts w:ascii="Verdana" w:hAnsi="Verdana" w:cs="Times"/>
          <w:bCs/>
          <w:sz w:val="16"/>
          <w:szCs w:val="16"/>
          <w:lang w:val="es-ES_tradnl"/>
        </w:rPr>
        <w:t xml:space="preserve"> </w:t>
      </w:r>
      <w:proofErr w:type="spellStart"/>
      <w:r w:rsidRPr="005049A3">
        <w:rPr>
          <w:rFonts w:ascii="Verdana" w:hAnsi="Verdana" w:cs="Times"/>
          <w:bCs/>
          <w:sz w:val="16"/>
          <w:szCs w:val="16"/>
          <w:lang w:val="es-ES_tradnl"/>
        </w:rPr>
        <w:t>Manjoo</w:t>
      </w:r>
      <w:proofErr w:type="spellEnd"/>
      <w:r w:rsidRPr="005049A3">
        <w:rPr>
          <w:rFonts w:ascii="Verdana" w:hAnsi="Verdana" w:cs="Times"/>
          <w:bCs/>
          <w:sz w:val="16"/>
          <w:szCs w:val="16"/>
          <w:lang w:val="es-ES_tradnl"/>
        </w:rPr>
        <w:t xml:space="preserve">, </w:t>
      </w:r>
      <w:r w:rsidRPr="005049A3">
        <w:rPr>
          <w:rFonts w:ascii="Verdana" w:hAnsi="Verdana"/>
          <w:sz w:val="16"/>
          <w:szCs w:val="16"/>
          <w:lang w:val="es-ES_tradnl"/>
        </w:rPr>
        <w:t xml:space="preserve">23 de mayo de 2012, A/HRC/20/16. </w:t>
      </w:r>
    </w:p>
  </w:footnote>
  <w:footnote w:id="90">
    <w:p w14:paraId="2839EAFF" w14:textId="6B81584A" w:rsidR="009D032A" w:rsidRPr="005049A3" w:rsidRDefault="009D032A" w:rsidP="0013659B">
      <w:pPr>
        <w:pStyle w:val="NormalWeb"/>
        <w:tabs>
          <w:tab w:val="left" w:pos="709"/>
        </w:tabs>
        <w:jc w:val="both"/>
        <w:rPr>
          <w:rFonts w:ascii="Verdana" w:hAnsi="Verdana"/>
          <w:sz w:val="16"/>
          <w:szCs w:val="16"/>
          <w:lang w:val="es-ES_tradnl"/>
        </w:rPr>
      </w:pPr>
      <w:r w:rsidRPr="005049A3">
        <w:rPr>
          <w:rStyle w:val="FootnoteReference"/>
          <w:rFonts w:ascii="Verdana" w:hAnsi="Verdana"/>
          <w:sz w:val="16"/>
          <w:szCs w:val="16"/>
          <w:lang w:val="es-ES_tradnl"/>
        </w:rPr>
        <w:footnoteRef/>
      </w:r>
      <w:r w:rsidRPr="005049A3">
        <w:rPr>
          <w:rFonts w:ascii="Verdana" w:hAnsi="Verdana"/>
          <w:sz w:val="16"/>
          <w:szCs w:val="16"/>
          <w:lang w:val="es-ES_tradnl"/>
        </w:rPr>
        <w:t xml:space="preserve"> </w:t>
      </w:r>
      <w:r>
        <w:rPr>
          <w:rFonts w:ascii="Verdana" w:hAnsi="Verdana"/>
          <w:sz w:val="16"/>
          <w:szCs w:val="16"/>
          <w:lang w:val="es-ES_tradnl"/>
        </w:rPr>
        <w:tab/>
      </w:r>
      <w:r w:rsidRPr="005049A3">
        <w:rPr>
          <w:rFonts w:ascii="Verdana" w:hAnsi="Verdana"/>
          <w:sz w:val="16"/>
          <w:szCs w:val="16"/>
          <w:lang w:val="es-ES_tradnl"/>
        </w:rPr>
        <w:t xml:space="preserve">ONU, </w:t>
      </w:r>
      <w:proofErr w:type="spellStart"/>
      <w:r w:rsidRPr="005049A3">
        <w:rPr>
          <w:rFonts w:ascii="Verdana" w:hAnsi="Verdana"/>
          <w:sz w:val="16"/>
          <w:szCs w:val="16"/>
          <w:lang w:val="es-ES_tradnl"/>
        </w:rPr>
        <w:t>Comite</w:t>
      </w:r>
      <w:proofErr w:type="spellEnd"/>
      <w:r w:rsidRPr="005049A3">
        <w:rPr>
          <w:rFonts w:ascii="Verdana" w:hAnsi="Verdana"/>
          <w:sz w:val="16"/>
          <w:szCs w:val="16"/>
          <w:lang w:val="es-ES_tradnl"/>
        </w:rPr>
        <w:t xml:space="preserve">́ para la </w:t>
      </w:r>
      <w:proofErr w:type="spellStart"/>
      <w:r w:rsidRPr="005049A3">
        <w:rPr>
          <w:rFonts w:ascii="Verdana" w:hAnsi="Verdana"/>
          <w:sz w:val="16"/>
          <w:szCs w:val="16"/>
          <w:lang w:val="es-ES_tradnl"/>
        </w:rPr>
        <w:t>Eliminación</w:t>
      </w:r>
      <w:proofErr w:type="spellEnd"/>
      <w:r w:rsidRPr="005049A3">
        <w:rPr>
          <w:rFonts w:ascii="Verdana" w:hAnsi="Verdana"/>
          <w:sz w:val="16"/>
          <w:szCs w:val="16"/>
          <w:lang w:val="es-ES_tradnl"/>
        </w:rPr>
        <w:t xml:space="preserve"> de la </w:t>
      </w:r>
      <w:proofErr w:type="spellStart"/>
      <w:r w:rsidRPr="005049A3">
        <w:rPr>
          <w:rFonts w:ascii="Verdana" w:hAnsi="Verdana"/>
          <w:sz w:val="16"/>
          <w:szCs w:val="16"/>
          <w:lang w:val="es-ES_tradnl"/>
        </w:rPr>
        <w:t>Discriminación</w:t>
      </w:r>
      <w:proofErr w:type="spellEnd"/>
      <w:r w:rsidRPr="005049A3">
        <w:rPr>
          <w:rFonts w:ascii="Verdana" w:hAnsi="Verdana"/>
          <w:sz w:val="16"/>
          <w:szCs w:val="16"/>
          <w:lang w:val="es-ES_tradnl"/>
        </w:rPr>
        <w:t xml:space="preserve"> Racial</w:t>
      </w:r>
      <w:r w:rsidRPr="005049A3">
        <w:rPr>
          <w:rFonts w:ascii="Verdana" w:hAnsi="Verdana"/>
          <w:i/>
          <w:sz w:val="16"/>
          <w:szCs w:val="16"/>
          <w:lang w:val="es-ES_tradnl"/>
        </w:rPr>
        <w:t xml:space="preserve">, </w:t>
      </w:r>
      <w:proofErr w:type="spellStart"/>
      <w:r w:rsidRPr="005049A3">
        <w:rPr>
          <w:rFonts w:ascii="Verdana" w:hAnsi="Verdana"/>
          <w:i/>
          <w:sz w:val="16"/>
          <w:szCs w:val="16"/>
          <w:lang w:val="es-ES_tradnl"/>
        </w:rPr>
        <w:t>Recomendación</w:t>
      </w:r>
      <w:proofErr w:type="spellEnd"/>
      <w:r w:rsidRPr="005049A3">
        <w:rPr>
          <w:rFonts w:ascii="Verdana" w:hAnsi="Verdana"/>
          <w:i/>
          <w:sz w:val="16"/>
          <w:szCs w:val="16"/>
          <w:lang w:val="es-ES_tradnl"/>
        </w:rPr>
        <w:t xml:space="preserve"> General No</w:t>
      </w:r>
      <w:r>
        <w:rPr>
          <w:rFonts w:ascii="Verdana" w:hAnsi="Verdana"/>
          <w:i/>
          <w:sz w:val="16"/>
          <w:szCs w:val="16"/>
          <w:lang w:val="es-ES_tradnl"/>
        </w:rPr>
        <w:t>.</w:t>
      </w:r>
      <w:r w:rsidRPr="005049A3">
        <w:rPr>
          <w:rFonts w:ascii="Verdana" w:hAnsi="Verdana"/>
          <w:i/>
          <w:sz w:val="16"/>
          <w:szCs w:val="16"/>
          <w:lang w:val="es-ES_tradnl"/>
        </w:rPr>
        <w:t xml:space="preserve"> 34 sobre </w:t>
      </w:r>
      <w:proofErr w:type="spellStart"/>
      <w:r w:rsidRPr="005049A3">
        <w:rPr>
          <w:rFonts w:ascii="Verdana" w:hAnsi="Verdana"/>
          <w:i/>
          <w:sz w:val="16"/>
          <w:szCs w:val="16"/>
          <w:lang w:val="es-ES_tradnl"/>
        </w:rPr>
        <w:t>Discriminación</w:t>
      </w:r>
      <w:proofErr w:type="spellEnd"/>
      <w:r w:rsidRPr="005049A3">
        <w:rPr>
          <w:rFonts w:ascii="Verdana" w:hAnsi="Verdana"/>
          <w:i/>
          <w:sz w:val="16"/>
          <w:szCs w:val="16"/>
          <w:lang w:val="es-ES_tradnl"/>
        </w:rPr>
        <w:t xml:space="preserve"> racial contra afrodescendientes</w:t>
      </w:r>
      <w:r w:rsidRPr="005049A3">
        <w:rPr>
          <w:rFonts w:ascii="Verdana" w:hAnsi="Verdana"/>
          <w:sz w:val="16"/>
          <w:szCs w:val="16"/>
          <w:lang w:val="es-ES_tradnl"/>
        </w:rPr>
        <w:t xml:space="preserve">, 3 de octubre de 2011, CERD/C/GC/34, párr. </w:t>
      </w:r>
      <w:r>
        <w:rPr>
          <w:rFonts w:ascii="Verdana" w:hAnsi="Verdana"/>
          <w:sz w:val="16"/>
          <w:szCs w:val="16"/>
          <w:lang w:val="es-ES_tradnl"/>
        </w:rPr>
        <w:t>6.</w:t>
      </w:r>
    </w:p>
  </w:footnote>
  <w:footnote w:id="91">
    <w:p w14:paraId="114F720A" w14:textId="15D9FBA0"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Pr>
          <w:lang w:val="es-ES_tradnl"/>
        </w:rPr>
        <w:tab/>
      </w:r>
      <w:r w:rsidRPr="005049A3">
        <w:rPr>
          <w:lang w:val="es-ES_tradnl"/>
        </w:rPr>
        <w:t xml:space="preserve">ONU, Comité para los Derechos de las Personas con Discapacidad, </w:t>
      </w:r>
      <w:r w:rsidRPr="005049A3">
        <w:rPr>
          <w:i/>
          <w:lang w:val="es-ES_tradnl"/>
        </w:rPr>
        <w:t>Observación General No. 3 sobre Mujeres y niñas con discapacidad</w:t>
      </w:r>
      <w:r w:rsidRPr="005049A3">
        <w:rPr>
          <w:lang w:val="es-ES_tradnl"/>
        </w:rPr>
        <w:t xml:space="preserve">, 2 de septiembre de 2016, </w:t>
      </w:r>
      <w:r w:rsidRPr="005049A3">
        <w:rPr>
          <w:rFonts w:eastAsia="Times New Roman" w:cs="Times New Roman"/>
          <w:lang w:val="es-ES_tradnl"/>
        </w:rPr>
        <w:t xml:space="preserve">CRPD/C/GC/3, párr. 17.e. </w:t>
      </w:r>
    </w:p>
    <w:p w14:paraId="2FD69C23" w14:textId="77777777" w:rsidR="009D032A" w:rsidRPr="005049A3" w:rsidRDefault="009D032A" w:rsidP="0013659B">
      <w:pPr>
        <w:pStyle w:val="FootnoteText"/>
        <w:tabs>
          <w:tab w:val="left" w:pos="709"/>
        </w:tabs>
        <w:spacing w:after="0"/>
        <w:rPr>
          <w:lang w:val="es-ES_tradnl"/>
        </w:rPr>
      </w:pPr>
    </w:p>
  </w:footnote>
  <w:footnote w:id="92">
    <w:p w14:paraId="47B5CAEA" w14:textId="633CA09A" w:rsidR="009D032A" w:rsidRPr="005049A3" w:rsidRDefault="009D032A" w:rsidP="00704FC2">
      <w:pPr>
        <w:pStyle w:val="FootnoteText"/>
        <w:tabs>
          <w:tab w:val="left" w:pos="709"/>
        </w:tabs>
        <w:spacing w:after="0"/>
        <w:rPr>
          <w:lang w:val="es-ES_tradnl"/>
        </w:rPr>
      </w:pPr>
      <w:r w:rsidRPr="005049A3">
        <w:rPr>
          <w:rStyle w:val="FootnoteReference"/>
          <w:szCs w:val="16"/>
          <w:lang w:val="es-ES_tradnl"/>
        </w:rPr>
        <w:footnoteRef/>
      </w:r>
      <w:r>
        <w:rPr>
          <w:lang w:val="es-ES_tradnl"/>
        </w:rPr>
        <w:tab/>
      </w:r>
      <w:r w:rsidRPr="00805C8B">
        <w:rPr>
          <w:lang w:val="es-ES_tradnl"/>
        </w:rPr>
        <w:t xml:space="preserve">ONU, </w:t>
      </w:r>
      <w:r w:rsidRPr="00805C8B">
        <w:rPr>
          <w:i/>
          <w:lang w:val="es-ES_tradnl"/>
        </w:rPr>
        <w:t xml:space="preserve">Informe del Relator Especial de Naciones Unidas sobre el Derecho a la Alimentación, </w:t>
      </w:r>
      <w:r w:rsidRPr="000C2F0F">
        <w:rPr>
          <w:i/>
          <w:lang w:val="es-ES_tradnl"/>
        </w:rPr>
        <w:t xml:space="preserve">Oliver de </w:t>
      </w:r>
      <w:proofErr w:type="spellStart"/>
      <w:r w:rsidRPr="000C2F0F">
        <w:rPr>
          <w:i/>
          <w:lang w:val="es-ES_tradnl"/>
        </w:rPr>
        <w:t>Schutter</w:t>
      </w:r>
      <w:proofErr w:type="spellEnd"/>
      <w:r w:rsidRPr="000C2F0F">
        <w:rPr>
          <w:i/>
          <w:lang w:val="es-ES_tradnl"/>
        </w:rPr>
        <w:t>, Hacer de la crisis una oportunidad: fortalecer el multilateralismo</w:t>
      </w:r>
      <w:r w:rsidRPr="00805C8B">
        <w:rPr>
          <w:lang w:val="es-ES_tradnl"/>
        </w:rPr>
        <w:t>, 21 de julio de 2009, A/HCR/12/31, párr. 30.</w:t>
      </w:r>
      <w:r>
        <w:rPr>
          <w:lang w:val="es-ES_tradnl"/>
        </w:rPr>
        <w:t xml:space="preserve"> </w:t>
      </w:r>
    </w:p>
    <w:p w14:paraId="243651F2" w14:textId="77777777" w:rsidR="009D032A" w:rsidRPr="005049A3" w:rsidRDefault="009D032A" w:rsidP="00704FC2">
      <w:pPr>
        <w:pStyle w:val="FootnoteText"/>
        <w:tabs>
          <w:tab w:val="left" w:pos="709"/>
        </w:tabs>
        <w:spacing w:after="0"/>
        <w:rPr>
          <w:lang w:val="es-ES_tradnl"/>
        </w:rPr>
      </w:pPr>
    </w:p>
  </w:footnote>
  <w:footnote w:id="93">
    <w:p w14:paraId="59A688DB" w14:textId="5B7CB23E" w:rsidR="009D032A" w:rsidRPr="005049A3" w:rsidRDefault="009D032A" w:rsidP="0013659B">
      <w:pPr>
        <w:widowControl w:val="0"/>
        <w:tabs>
          <w:tab w:val="left" w:pos="709"/>
        </w:tabs>
        <w:autoSpaceDE w:val="0"/>
        <w:autoSpaceDN w:val="0"/>
        <w:adjustRightInd w:val="0"/>
        <w:jc w:val="both"/>
        <w:rPr>
          <w:rFonts w:ascii="Verdana" w:hAnsi="Verdana" w:cs="Times"/>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sz w:val="16"/>
          <w:szCs w:val="16"/>
        </w:rPr>
        <w:t xml:space="preserve">En este sentido Roberto </w:t>
      </w:r>
      <w:proofErr w:type="spellStart"/>
      <w:r w:rsidRPr="005049A3">
        <w:rPr>
          <w:rFonts w:ascii="Verdana" w:hAnsi="Verdana"/>
          <w:sz w:val="16"/>
          <w:szCs w:val="16"/>
        </w:rPr>
        <w:t>Saba</w:t>
      </w:r>
      <w:proofErr w:type="spellEnd"/>
      <w:r w:rsidRPr="005049A3">
        <w:rPr>
          <w:rFonts w:ascii="Verdana" w:hAnsi="Verdana"/>
          <w:sz w:val="16"/>
          <w:szCs w:val="16"/>
        </w:rPr>
        <w:t xml:space="preserve"> señala que </w:t>
      </w:r>
      <w:r w:rsidRPr="005049A3">
        <w:rPr>
          <w:rFonts w:ascii="Verdana" w:hAnsi="Verdana" w:cs="Times"/>
          <w:sz w:val="16"/>
          <w:szCs w:val="16"/>
        </w:rPr>
        <w:t xml:space="preserve">es necesario resaltar que la condición de pobre estructural </w:t>
      </w:r>
      <w:r w:rsidRPr="005049A3">
        <w:rPr>
          <w:rFonts w:ascii="Verdana" w:hAnsi="Verdana" w:cs="Times"/>
          <w:i/>
          <w:sz w:val="16"/>
          <w:szCs w:val="16"/>
        </w:rPr>
        <w:t>coincide muchas veces</w:t>
      </w:r>
      <w:r>
        <w:rPr>
          <w:rFonts w:ascii="Verdana" w:hAnsi="Verdana" w:cs="Times"/>
          <w:sz w:val="16"/>
          <w:szCs w:val="16"/>
        </w:rPr>
        <w:t xml:space="preserve"> -pero no necesariamente-</w:t>
      </w:r>
      <w:r w:rsidRPr="005049A3">
        <w:rPr>
          <w:rFonts w:ascii="Verdana" w:hAnsi="Verdana" w:cs="Times"/>
          <w:sz w:val="16"/>
          <w:szCs w:val="16"/>
        </w:rPr>
        <w:t xml:space="preserve"> con otros rasgos de la identidad o de la personalidad que también son característicos de grupos sometidos o sojuzgados, como la etnia o el género y que, combinados con la pobreza estructural, refuerzan ese carácter de grupo sometido o sojuzgado. Señala, además, que la conformación, y la consiguiente identificación, de este grupo de personas</w:t>
      </w:r>
      <w:r>
        <w:rPr>
          <w:rFonts w:ascii="Verdana" w:hAnsi="Verdana" w:cs="Times"/>
          <w:sz w:val="16"/>
          <w:szCs w:val="16"/>
        </w:rPr>
        <w:t xml:space="preserve">, </w:t>
      </w:r>
      <w:r w:rsidRPr="005049A3">
        <w:rPr>
          <w:rFonts w:ascii="Verdana" w:hAnsi="Verdana" w:cs="Times"/>
          <w:sz w:val="16"/>
          <w:szCs w:val="16"/>
        </w:rPr>
        <w:t>no resulta ser una tarea sencilla. Sin embargo, propone</w:t>
      </w:r>
      <w:r>
        <w:rPr>
          <w:rFonts w:ascii="Verdana" w:hAnsi="Verdana" w:cs="Times"/>
          <w:sz w:val="16"/>
          <w:szCs w:val="16"/>
        </w:rPr>
        <w:t xml:space="preserve"> -</w:t>
      </w:r>
      <w:r w:rsidRPr="005049A3">
        <w:rPr>
          <w:rFonts w:ascii="Verdana" w:hAnsi="Verdana" w:cs="Times"/>
          <w:sz w:val="16"/>
          <w:szCs w:val="16"/>
        </w:rPr>
        <w:t>a m</w:t>
      </w:r>
      <w:r>
        <w:rPr>
          <w:rFonts w:ascii="Verdana" w:hAnsi="Verdana" w:cs="Times"/>
          <w:sz w:val="16"/>
          <w:szCs w:val="16"/>
        </w:rPr>
        <w:t xml:space="preserve">odo ilustrativo y no limitativo- </w:t>
      </w:r>
      <w:r w:rsidRPr="005049A3">
        <w:rPr>
          <w:rFonts w:ascii="Verdana" w:hAnsi="Verdana" w:cs="Times"/>
          <w:sz w:val="16"/>
          <w:szCs w:val="16"/>
        </w:rPr>
        <w:t xml:space="preserve">que hay tres situaciones concretas que podrían señalar la existencia de un grupo sometido, caracterizado por compartir una situación de pobreza estructural: i) la concentración geográfica del grupo de personas en espacios donde sólo habitan personas igualmente pobres; ii) </w:t>
      </w:r>
      <w:r>
        <w:rPr>
          <w:rFonts w:ascii="Verdana" w:hAnsi="Verdana" w:cs="Times"/>
          <w:sz w:val="16"/>
          <w:szCs w:val="16"/>
        </w:rPr>
        <w:t>l</w:t>
      </w:r>
      <w:r w:rsidRPr="005049A3">
        <w:rPr>
          <w:rFonts w:ascii="Verdana" w:hAnsi="Verdana" w:cs="Times"/>
          <w:sz w:val="16"/>
          <w:szCs w:val="16"/>
        </w:rPr>
        <w:t xml:space="preserve">a segunda, relacionada con la primera, es la dificultad o imposibilidad para acceder a servicios públicos básicos </w:t>
      </w:r>
      <w:r w:rsidRPr="00EC6179">
        <w:rPr>
          <w:rFonts w:ascii="Verdana" w:hAnsi="Verdana" w:cs="Times"/>
          <w:spacing w:val="-2"/>
          <w:sz w:val="16"/>
          <w:szCs w:val="16"/>
        </w:rPr>
        <w:t>imprescindibles para desarrollar un plan de vida decente y modesto, tales como la seguridad, la educación o la salud; y iii) la tercera es la transmisión y perpetuación intergeneracional de situaciones como las que se ponen de manifiesto a través de los dos casos anteriores; es decir, descendientes que no pueden dejar el asentamiento y que padecerán las mismas privaciones que les impedirán escapar de una situación vital a</w:t>
      </w:r>
      <w:r w:rsidRPr="005049A3">
        <w:rPr>
          <w:rFonts w:ascii="Verdana" w:hAnsi="Verdana" w:cs="Times"/>
          <w:sz w:val="16"/>
          <w:szCs w:val="16"/>
        </w:rPr>
        <w:t xml:space="preserve"> la que están determinados desde el nacimiento. </w:t>
      </w:r>
      <w:r w:rsidRPr="005049A3">
        <w:rPr>
          <w:rFonts w:ascii="Verdana" w:hAnsi="Verdana" w:cs="Times"/>
          <w:i/>
          <w:sz w:val="16"/>
          <w:szCs w:val="16"/>
        </w:rPr>
        <w:t>Cfr.</w:t>
      </w:r>
      <w:r w:rsidRPr="005049A3">
        <w:rPr>
          <w:rFonts w:ascii="Verdana" w:hAnsi="Verdana" w:cs="Times"/>
          <w:sz w:val="16"/>
          <w:szCs w:val="16"/>
        </w:rPr>
        <w:t xml:space="preserve"> </w:t>
      </w:r>
      <w:proofErr w:type="spellStart"/>
      <w:r w:rsidRPr="005049A3">
        <w:rPr>
          <w:rFonts w:ascii="Verdana" w:hAnsi="Verdana" w:cs="Times"/>
          <w:sz w:val="16"/>
          <w:szCs w:val="16"/>
        </w:rPr>
        <w:t>Saba</w:t>
      </w:r>
      <w:proofErr w:type="spellEnd"/>
      <w:r>
        <w:rPr>
          <w:rFonts w:ascii="Verdana" w:hAnsi="Verdana" w:cs="Times"/>
          <w:sz w:val="16"/>
          <w:szCs w:val="16"/>
        </w:rPr>
        <w:t>,</w:t>
      </w:r>
      <w:r w:rsidRPr="005049A3">
        <w:rPr>
          <w:rFonts w:ascii="Verdana" w:hAnsi="Verdana" w:cs="Times"/>
          <w:sz w:val="16"/>
          <w:szCs w:val="16"/>
        </w:rPr>
        <w:t xml:space="preserve"> Roberto, </w:t>
      </w:r>
      <w:r w:rsidRPr="005049A3">
        <w:rPr>
          <w:rFonts w:ascii="Verdana" w:hAnsi="Verdana" w:cs="Times"/>
          <w:i/>
          <w:sz w:val="16"/>
          <w:szCs w:val="16"/>
        </w:rPr>
        <w:t xml:space="preserve">Pobreza, derechos humanos y desigualdad estructural, </w:t>
      </w:r>
      <w:r>
        <w:rPr>
          <w:rFonts w:ascii="Verdana" w:hAnsi="Verdana" w:cs="Times"/>
          <w:sz w:val="16"/>
          <w:szCs w:val="16"/>
        </w:rPr>
        <w:t xml:space="preserve">México, </w:t>
      </w:r>
      <w:r w:rsidRPr="005049A3">
        <w:rPr>
          <w:rFonts w:ascii="Verdana" w:hAnsi="Verdana" w:cs="Times"/>
          <w:sz w:val="16"/>
          <w:szCs w:val="16"/>
        </w:rPr>
        <w:t xml:space="preserve">Suprema </w:t>
      </w:r>
      <w:r>
        <w:rPr>
          <w:rFonts w:ascii="Verdana" w:hAnsi="Verdana" w:cs="Times"/>
          <w:sz w:val="16"/>
          <w:szCs w:val="16"/>
        </w:rPr>
        <w:t>Corte de Justicia de la Nación-</w:t>
      </w:r>
      <w:r w:rsidRPr="005049A3">
        <w:rPr>
          <w:rFonts w:ascii="Verdana" w:hAnsi="Verdana" w:cs="Times"/>
          <w:sz w:val="16"/>
          <w:szCs w:val="16"/>
        </w:rPr>
        <w:t>Tribunal Electoral del P</w:t>
      </w:r>
      <w:r>
        <w:rPr>
          <w:rFonts w:ascii="Verdana" w:hAnsi="Verdana" w:cs="Times"/>
          <w:sz w:val="16"/>
          <w:szCs w:val="16"/>
        </w:rPr>
        <w:t>oder Judicial de la Federación-</w:t>
      </w:r>
      <w:r w:rsidRPr="005049A3">
        <w:rPr>
          <w:rFonts w:ascii="Verdana" w:hAnsi="Verdana" w:cs="Times"/>
          <w:sz w:val="16"/>
          <w:szCs w:val="16"/>
        </w:rPr>
        <w:t xml:space="preserve">Instituto Electoral del Distrito Federal, 2012, </w:t>
      </w:r>
      <w:r>
        <w:rPr>
          <w:rFonts w:ascii="Verdana" w:hAnsi="Verdana" w:cs="Times"/>
          <w:sz w:val="16"/>
          <w:szCs w:val="16"/>
        </w:rPr>
        <w:t>p</w:t>
      </w:r>
      <w:r w:rsidRPr="005049A3">
        <w:rPr>
          <w:rFonts w:ascii="Verdana" w:hAnsi="Verdana" w:cs="Times"/>
          <w:sz w:val="16"/>
          <w:szCs w:val="16"/>
        </w:rPr>
        <w:t xml:space="preserve">. 46 y ss. </w:t>
      </w:r>
    </w:p>
    <w:p w14:paraId="7091FC5E" w14:textId="77777777" w:rsidR="009D032A" w:rsidRPr="005049A3" w:rsidRDefault="009D032A" w:rsidP="0013659B">
      <w:pPr>
        <w:pStyle w:val="FootnoteText"/>
        <w:tabs>
          <w:tab w:val="left" w:pos="709"/>
        </w:tabs>
        <w:rPr>
          <w:lang w:val="es-ES_tradnl"/>
        </w:rPr>
      </w:pPr>
    </w:p>
  </w:footnote>
  <w:footnote w:id="94">
    <w:p w14:paraId="7A16495B" w14:textId="45DEA301"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ONU, </w:t>
      </w:r>
      <w:r w:rsidRPr="00805C8B">
        <w:rPr>
          <w:i/>
          <w:lang w:val="es-ES_tradnl"/>
        </w:rPr>
        <w:t>Principios Rectores sobre Extrema Pobreza y Derechos Humanos</w:t>
      </w:r>
      <w:r w:rsidRPr="005049A3">
        <w:rPr>
          <w:lang w:val="es-ES_tradnl"/>
        </w:rPr>
        <w:t xml:space="preserve">, aprobados por el Consejo de Derechos Humanos, 27 de Septiembre de 2012, Resolución 21/11, principio 5. </w:t>
      </w:r>
    </w:p>
    <w:p w14:paraId="03A4DC83" w14:textId="77777777" w:rsidR="009D032A" w:rsidRPr="005049A3" w:rsidRDefault="009D032A" w:rsidP="0013659B">
      <w:pPr>
        <w:pStyle w:val="FootnoteText"/>
        <w:tabs>
          <w:tab w:val="left" w:pos="709"/>
        </w:tabs>
        <w:rPr>
          <w:lang w:val="es-ES_tradnl"/>
        </w:rPr>
      </w:pPr>
    </w:p>
  </w:footnote>
  <w:footnote w:id="95">
    <w:p w14:paraId="6B9F2FD7" w14:textId="09203170" w:rsidR="009D032A" w:rsidRPr="005049A3" w:rsidRDefault="009D032A" w:rsidP="0013659B">
      <w:pPr>
        <w:pStyle w:val="FootnoteText"/>
        <w:tabs>
          <w:tab w:val="left" w:pos="709"/>
        </w:tabs>
        <w:rPr>
          <w:rFonts w:cs="Times"/>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ONU, </w:t>
      </w:r>
      <w:r w:rsidRPr="005049A3">
        <w:rPr>
          <w:rFonts w:cs="Times"/>
          <w:i/>
          <w:lang w:val="es-ES_tradnl"/>
        </w:rPr>
        <w:t xml:space="preserve">Informe de la Relatora Especial sobre la extrema pobreza y los derechos humanos, </w:t>
      </w:r>
      <w:r w:rsidRPr="005049A3">
        <w:rPr>
          <w:rFonts w:cs="Times"/>
          <w:lang w:val="es-ES_tradnl"/>
        </w:rPr>
        <w:t xml:space="preserve">Magdalena Sepúlveda Carmona, 11 de marzo de 2013,  A/HRC/23/36, </w:t>
      </w:r>
      <w:r w:rsidRPr="005049A3">
        <w:rPr>
          <w:lang w:val="es-ES_tradnl"/>
        </w:rPr>
        <w:t xml:space="preserve">párr. </w:t>
      </w:r>
      <w:r w:rsidRPr="005049A3">
        <w:rPr>
          <w:rFonts w:cs="Times"/>
          <w:lang w:val="es-ES_tradnl"/>
        </w:rPr>
        <w:t>13.</w:t>
      </w:r>
    </w:p>
    <w:p w14:paraId="6F57D055" w14:textId="77777777" w:rsidR="009D032A" w:rsidRPr="005049A3" w:rsidRDefault="009D032A" w:rsidP="0013659B">
      <w:pPr>
        <w:pStyle w:val="FootnoteText"/>
        <w:tabs>
          <w:tab w:val="left" w:pos="709"/>
        </w:tabs>
        <w:rPr>
          <w:lang w:val="es-ES_tradnl"/>
        </w:rPr>
      </w:pPr>
    </w:p>
  </w:footnote>
  <w:footnote w:id="96">
    <w:p w14:paraId="552A4016" w14:textId="33154186" w:rsidR="009D032A" w:rsidRPr="005049A3" w:rsidRDefault="009D032A" w:rsidP="0013659B">
      <w:pPr>
        <w:widowControl w:val="0"/>
        <w:tabs>
          <w:tab w:val="left" w:pos="709"/>
        </w:tabs>
        <w:autoSpaceDE w:val="0"/>
        <w:autoSpaceDN w:val="0"/>
        <w:adjustRightInd w:val="0"/>
        <w:jc w:val="both"/>
        <w:rPr>
          <w:rFonts w:ascii="Verdana" w:hAnsi="Verdana"/>
          <w:sz w:val="16"/>
          <w:szCs w:val="16"/>
        </w:rPr>
      </w:pPr>
      <w:r w:rsidRPr="005049A3">
        <w:rPr>
          <w:rStyle w:val="FootnoteReference"/>
          <w:rFonts w:ascii="Verdana" w:hAnsi="Verdana"/>
          <w:sz w:val="16"/>
          <w:szCs w:val="16"/>
        </w:rPr>
        <w:footnoteRef/>
      </w:r>
      <w:r w:rsidRPr="005049A3">
        <w:rPr>
          <w:rFonts w:ascii="Verdana" w:hAnsi="Verdana"/>
          <w:sz w:val="16"/>
          <w:szCs w:val="16"/>
        </w:rPr>
        <w:t xml:space="preserve"> </w:t>
      </w:r>
      <w:r>
        <w:rPr>
          <w:rFonts w:ascii="Verdana" w:hAnsi="Verdana"/>
          <w:sz w:val="16"/>
          <w:szCs w:val="16"/>
        </w:rPr>
        <w:tab/>
      </w:r>
      <w:r w:rsidRPr="005049A3">
        <w:rPr>
          <w:rFonts w:ascii="Verdana" w:hAnsi="Verdana"/>
          <w:sz w:val="16"/>
          <w:szCs w:val="16"/>
        </w:rPr>
        <w:t xml:space="preserve">ONU, </w:t>
      </w:r>
      <w:r w:rsidRPr="005049A3">
        <w:rPr>
          <w:rFonts w:ascii="Verdana" w:hAnsi="Verdana" w:cs="Times"/>
          <w:i/>
          <w:sz w:val="16"/>
          <w:szCs w:val="16"/>
        </w:rPr>
        <w:t>Informe de la Relatora Especial sobre la extrema pobreza y los derechos humanos</w:t>
      </w:r>
      <w:r w:rsidRPr="005049A3">
        <w:rPr>
          <w:rFonts w:ascii="Verdana" w:hAnsi="Verdana" w:cs="Times"/>
          <w:sz w:val="16"/>
          <w:szCs w:val="16"/>
        </w:rPr>
        <w:t xml:space="preserve">, Magdalena Sepúlveda Carmona, 11 de marzo de 2013,  A/HRC/23/36, </w:t>
      </w:r>
      <w:r w:rsidRPr="005049A3">
        <w:rPr>
          <w:rFonts w:ascii="Verdana" w:hAnsi="Verdana"/>
          <w:sz w:val="16"/>
          <w:szCs w:val="16"/>
        </w:rPr>
        <w:t xml:space="preserve">párr. 43. </w:t>
      </w:r>
    </w:p>
    <w:p w14:paraId="717930EF" w14:textId="77777777" w:rsidR="009D032A" w:rsidRPr="005049A3" w:rsidRDefault="009D032A" w:rsidP="0013659B">
      <w:pPr>
        <w:widowControl w:val="0"/>
        <w:tabs>
          <w:tab w:val="left" w:pos="709"/>
        </w:tabs>
        <w:autoSpaceDE w:val="0"/>
        <w:autoSpaceDN w:val="0"/>
        <w:adjustRightInd w:val="0"/>
        <w:jc w:val="both"/>
        <w:rPr>
          <w:rFonts w:ascii="Verdana" w:hAnsi="Verdana" w:cs="Times"/>
          <w:i/>
          <w:sz w:val="16"/>
          <w:szCs w:val="16"/>
        </w:rPr>
      </w:pPr>
    </w:p>
  </w:footnote>
  <w:footnote w:id="97">
    <w:p w14:paraId="62AFAF2F" w14:textId="161E5D0A" w:rsidR="009D032A" w:rsidRPr="005049A3" w:rsidRDefault="009D032A" w:rsidP="0013659B">
      <w:pPr>
        <w:widowControl w:val="0"/>
        <w:tabs>
          <w:tab w:val="left" w:pos="709"/>
        </w:tabs>
        <w:autoSpaceDE w:val="0"/>
        <w:autoSpaceDN w:val="0"/>
        <w:adjustRightInd w:val="0"/>
        <w:spacing w:after="240"/>
        <w:jc w:val="both"/>
        <w:rPr>
          <w:rFonts w:ascii="Verdana" w:hAnsi="Verdana" w:cs="Times"/>
          <w:sz w:val="16"/>
          <w:szCs w:val="16"/>
        </w:rPr>
      </w:pPr>
      <w:r w:rsidRPr="000C784B">
        <w:rPr>
          <w:rStyle w:val="FootnoteReference"/>
          <w:rFonts w:ascii="Verdana" w:hAnsi="Verdana"/>
          <w:sz w:val="16"/>
          <w:szCs w:val="16"/>
        </w:rPr>
        <w:footnoteRef/>
      </w:r>
      <w:r w:rsidRPr="000C784B">
        <w:rPr>
          <w:rFonts w:ascii="Verdana" w:hAnsi="Verdana" w:cs="Times"/>
          <w:sz w:val="16"/>
          <w:szCs w:val="16"/>
        </w:rPr>
        <w:t xml:space="preserve"> </w:t>
      </w:r>
      <w:r>
        <w:rPr>
          <w:rFonts w:ascii="Verdana" w:hAnsi="Verdana" w:cs="Times"/>
          <w:i/>
          <w:sz w:val="16"/>
          <w:szCs w:val="16"/>
        </w:rPr>
        <w:tab/>
      </w:r>
      <w:r w:rsidRPr="005049A3">
        <w:rPr>
          <w:rFonts w:ascii="Verdana" w:hAnsi="Verdana" w:cs="Times"/>
          <w:i/>
          <w:sz w:val="16"/>
          <w:szCs w:val="16"/>
        </w:rPr>
        <w:t xml:space="preserve">Cfr. </w:t>
      </w:r>
      <w:r w:rsidRPr="005049A3">
        <w:rPr>
          <w:rFonts w:ascii="Verdana" w:hAnsi="Verdana" w:cs="Times"/>
          <w:sz w:val="16"/>
          <w:szCs w:val="16"/>
        </w:rPr>
        <w:t xml:space="preserve">ONU, </w:t>
      </w:r>
      <w:r w:rsidRPr="00805C8B">
        <w:rPr>
          <w:rFonts w:ascii="Verdana" w:hAnsi="Verdana" w:cs="Times"/>
          <w:i/>
          <w:sz w:val="16"/>
          <w:szCs w:val="16"/>
        </w:rPr>
        <w:t>Informe de la Relatora Especial sobre la extrema pobreza y los derechos humanos</w:t>
      </w:r>
      <w:r w:rsidRPr="005049A3">
        <w:rPr>
          <w:rFonts w:ascii="Verdana" w:hAnsi="Verdana" w:cs="Times"/>
          <w:sz w:val="16"/>
          <w:szCs w:val="16"/>
        </w:rPr>
        <w:t>, Magdalena Sepúlveda Carmona,</w:t>
      </w:r>
      <w:r>
        <w:rPr>
          <w:rFonts w:ascii="Verdana" w:hAnsi="Verdana" w:cs="Times"/>
          <w:sz w:val="16"/>
          <w:szCs w:val="16"/>
        </w:rPr>
        <w:t xml:space="preserve"> </w:t>
      </w:r>
      <w:r w:rsidRPr="007777C4">
        <w:rPr>
          <w:rFonts w:ascii="Verdana" w:hAnsi="Verdana" w:cs="Times"/>
          <w:i/>
          <w:sz w:val="16"/>
          <w:szCs w:val="16"/>
        </w:rPr>
        <w:t>La extrema pobreza y los derechos humanos</w:t>
      </w:r>
      <w:r w:rsidRPr="005049A3">
        <w:rPr>
          <w:rFonts w:ascii="Verdana" w:hAnsi="Verdana" w:cs="Times"/>
          <w:sz w:val="16"/>
          <w:szCs w:val="16"/>
        </w:rPr>
        <w:t>, 9 de agosto de 2012</w:t>
      </w:r>
      <w:r>
        <w:rPr>
          <w:rFonts w:ascii="Verdana" w:hAnsi="Verdana" w:cs="Times"/>
          <w:sz w:val="16"/>
          <w:szCs w:val="16"/>
        </w:rPr>
        <w:t>,</w:t>
      </w:r>
      <w:r w:rsidRPr="005049A3">
        <w:rPr>
          <w:rFonts w:ascii="Verdana" w:hAnsi="Verdana" w:cs="Times"/>
          <w:sz w:val="16"/>
          <w:szCs w:val="16"/>
        </w:rPr>
        <w:t xml:space="preserve"> A/67/278, párrs. 83 y 84.</w:t>
      </w:r>
    </w:p>
  </w:footnote>
  <w:footnote w:id="98">
    <w:p w14:paraId="0D922866" w14:textId="25E40EEB"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lang w:val="es-ES_tradnl"/>
        </w:rPr>
        <w:t xml:space="preserve"> </w:t>
      </w:r>
      <w:r>
        <w:rPr>
          <w:lang w:val="es-ES_tradnl"/>
        </w:rPr>
        <w:tab/>
        <w:t xml:space="preserve">Corte IDH. </w:t>
      </w:r>
      <w:r w:rsidRPr="005049A3">
        <w:rPr>
          <w:rFonts w:cs="Verdana"/>
          <w:bCs/>
          <w:i/>
          <w:lang w:val="es-ES_tradnl"/>
        </w:rPr>
        <w:t>Caso González y otras (“Campo Algodonero”) Vs. México. Excepción Preliminar, Fondo, Reparaciones y Costas</w:t>
      </w:r>
      <w:r w:rsidRPr="005049A3">
        <w:rPr>
          <w:rFonts w:cs="Verdana"/>
          <w:bCs/>
          <w:lang w:val="es-ES_tradnl"/>
        </w:rPr>
        <w:t>. Sentencia de 16 de noviembre de 2009. Serie C No. 205, párr. 450</w:t>
      </w:r>
      <w:r>
        <w:rPr>
          <w:rFonts w:cs="Verdana"/>
          <w:bCs/>
          <w:lang w:val="es-ES_tradnl"/>
        </w:rPr>
        <w:t>.</w:t>
      </w:r>
      <w:r w:rsidRPr="005049A3">
        <w:rPr>
          <w:rFonts w:cs="Verdana"/>
          <w:bCs/>
          <w:lang w:val="es-ES_tradnl"/>
        </w:rPr>
        <w:t xml:space="preserve">  </w:t>
      </w:r>
      <w:r w:rsidRPr="005049A3">
        <w:rPr>
          <w:rFonts w:cs="Verdana"/>
          <w:b/>
          <w:bCs/>
          <w:lang w:val="es-ES_tradnl"/>
        </w:rPr>
        <w:t xml:space="preserve"> </w:t>
      </w:r>
    </w:p>
    <w:p w14:paraId="3B249012" w14:textId="77777777" w:rsidR="009D032A" w:rsidRPr="005049A3" w:rsidRDefault="009D032A" w:rsidP="0013659B">
      <w:pPr>
        <w:pStyle w:val="FootnoteText"/>
        <w:tabs>
          <w:tab w:val="left" w:pos="709"/>
        </w:tabs>
        <w:spacing w:after="0"/>
        <w:rPr>
          <w:lang w:val="es-ES_tradnl"/>
        </w:rPr>
      </w:pPr>
    </w:p>
  </w:footnote>
  <w:footnote w:id="99">
    <w:p w14:paraId="04B7D32A" w14:textId="391D0F62"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Pr>
          <w:rFonts w:cs="Verdana"/>
          <w:bCs/>
          <w:i/>
          <w:lang w:val="es-ES_tradnl"/>
        </w:rPr>
        <w:tab/>
      </w:r>
      <w:r w:rsidRPr="00245DB0">
        <w:rPr>
          <w:rFonts w:cs="Verdana"/>
          <w:bCs/>
          <w:lang w:val="es-ES_tradnl"/>
        </w:rPr>
        <w:t>Corte IDH.</w:t>
      </w:r>
      <w:r>
        <w:rPr>
          <w:rFonts w:cs="Verdana"/>
          <w:bCs/>
          <w:i/>
          <w:lang w:val="es-ES_tradnl"/>
        </w:rPr>
        <w:t xml:space="preserve"> </w:t>
      </w:r>
      <w:proofErr w:type="spellStart"/>
      <w:r w:rsidRPr="005049A3">
        <w:rPr>
          <w:rFonts w:cs="Verdana"/>
          <w:bCs/>
          <w:i/>
          <w:lang w:val="es-ES_tradnl"/>
        </w:rPr>
        <w:t>Xákmok</w:t>
      </w:r>
      <w:proofErr w:type="spellEnd"/>
      <w:r w:rsidRPr="005049A3">
        <w:rPr>
          <w:rFonts w:cs="Verdana"/>
          <w:bCs/>
          <w:i/>
          <w:lang w:val="es-ES_tradnl"/>
        </w:rPr>
        <w:t xml:space="preserve"> </w:t>
      </w:r>
      <w:proofErr w:type="spellStart"/>
      <w:r w:rsidRPr="005049A3">
        <w:rPr>
          <w:rFonts w:cs="Verdana"/>
          <w:bCs/>
          <w:i/>
          <w:lang w:val="es-ES_tradnl"/>
        </w:rPr>
        <w:t>Kásek</w:t>
      </w:r>
      <w:proofErr w:type="spellEnd"/>
      <w:r w:rsidRPr="005049A3">
        <w:rPr>
          <w:rFonts w:cs="Verdana"/>
          <w:bCs/>
          <w:i/>
          <w:lang w:val="es-ES_tradnl"/>
        </w:rPr>
        <w:t xml:space="preserve"> Vs. Paraguay. Fondo, Reparaciones y Costas</w:t>
      </w:r>
      <w:r w:rsidRPr="005049A3">
        <w:rPr>
          <w:rFonts w:cs="Verdana"/>
          <w:bCs/>
          <w:lang w:val="es-ES_tradnl"/>
        </w:rPr>
        <w:t>. Sentencia de 24 de agosto de 2010. Serie C No. 214, párrs. 273 y 274</w:t>
      </w:r>
      <w:r>
        <w:rPr>
          <w:rFonts w:cs="Verdana"/>
          <w:bCs/>
          <w:lang w:val="es-ES_tradnl"/>
        </w:rPr>
        <w:t>.</w:t>
      </w:r>
    </w:p>
    <w:p w14:paraId="1B2CB6D2" w14:textId="77777777" w:rsidR="009D032A" w:rsidRPr="005049A3" w:rsidRDefault="009D032A" w:rsidP="0013659B">
      <w:pPr>
        <w:pStyle w:val="FootnoteText"/>
        <w:tabs>
          <w:tab w:val="left" w:pos="709"/>
        </w:tabs>
        <w:spacing w:after="0"/>
        <w:rPr>
          <w:lang w:val="es-ES_tradnl"/>
        </w:rPr>
      </w:pPr>
      <w:r w:rsidRPr="005049A3">
        <w:rPr>
          <w:lang w:val="es-ES_tradnl"/>
        </w:rPr>
        <w:t xml:space="preserve"> </w:t>
      </w:r>
    </w:p>
  </w:footnote>
  <w:footnote w:id="100">
    <w:p w14:paraId="1D6E517C" w14:textId="6081BAA2" w:rsidR="009D032A" w:rsidRDefault="009D032A" w:rsidP="0013659B">
      <w:pPr>
        <w:pStyle w:val="FootnoteText"/>
        <w:tabs>
          <w:tab w:val="left" w:pos="709"/>
        </w:tabs>
        <w:spacing w:after="0"/>
        <w:rPr>
          <w:rFonts w:cs="Verdana"/>
          <w:bCs/>
          <w:lang w:val="es-ES_tradnl"/>
        </w:rPr>
      </w:pPr>
      <w:r w:rsidRPr="005049A3">
        <w:rPr>
          <w:rStyle w:val="FootnoteReference"/>
          <w:szCs w:val="16"/>
          <w:lang w:val="es-ES_tradnl"/>
        </w:rPr>
        <w:footnoteRef/>
      </w:r>
      <w:r w:rsidRPr="005049A3">
        <w:rPr>
          <w:lang w:val="es-ES_tradnl"/>
        </w:rPr>
        <w:t xml:space="preserve"> </w:t>
      </w:r>
      <w:r>
        <w:rPr>
          <w:lang w:val="es-ES_tradnl"/>
        </w:rPr>
        <w:tab/>
        <w:t xml:space="preserve">Corte IDH. </w:t>
      </w:r>
      <w:r w:rsidRPr="005049A3">
        <w:rPr>
          <w:rFonts w:cs="Verdana"/>
          <w:bCs/>
          <w:i/>
          <w:lang w:val="es-ES_tradnl"/>
        </w:rPr>
        <w:t xml:space="preserve">Caso </w:t>
      </w:r>
      <w:proofErr w:type="spellStart"/>
      <w:r w:rsidRPr="005049A3">
        <w:rPr>
          <w:rFonts w:cs="Verdana"/>
          <w:bCs/>
          <w:i/>
          <w:lang w:val="es-ES_tradnl"/>
        </w:rPr>
        <w:t>Atala</w:t>
      </w:r>
      <w:proofErr w:type="spellEnd"/>
      <w:r w:rsidRPr="005049A3">
        <w:rPr>
          <w:rFonts w:cs="Verdana"/>
          <w:bCs/>
          <w:i/>
          <w:lang w:val="es-ES_tradnl"/>
        </w:rPr>
        <w:t xml:space="preserve"> </w:t>
      </w:r>
      <w:proofErr w:type="spellStart"/>
      <w:r w:rsidRPr="005049A3">
        <w:rPr>
          <w:rFonts w:cs="Verdana"/>
          <w:bCs/>
          <w:i/>
          <w:lang w:val="es-ES_tradnl"/>
        </w:rPr>
        <w:t>Riffo</w:t>
      </w:r>
      <w:proofErr w:type="spellEnd"/>
      <w:r w:rsidRPr="005049A3">
        <w:rPr>
          <w:rFonts w:cs="Verdana"/>
          <w:bCs/>
          <w:i/>
          <w:lang w:val="es-ES_tradnl"/>
        </w:rPr>
        <w:t xml:space="preserve"> y niñas Vs. Chile. Fondo, Reparaciones y Costas</w:t>
      </w:r>
      <w:r w:rsidRPr="005049A3">
        <w:rPr>
          <w:rFonts w:cs="Verdana"/>
          <w:bCs/>
          <w:lang w:val="es-ES_tradnl"/>
        </w:rPr>
        <w:t xml:space="preserve">. Sentencia de 24 de febrero de 2012. Serie C No. 239, párrs. 92 y 267. </w:t>
      </w:r>
    </w:p>
    <w:p w14:paraId="7CAAE592" w14:textId="77777777" w:rsidR="009D032A" w:rsidRPr="005049A3" w:rsidRDefault="009D032A" w:rsidP="0013659B">
      <w:pPr>
        <w:pStyle w:val="FootnoteText"/>
        <w:tabs>
          <w:tab w:val="left" w:pos="709"/>
        </w:tabs>
        <w:spacing w:after="0"/>
        <w:rPr>
          <w:lang w:val="es-ES_tradnl"/>
        </w:rPr>
      </w:pPr>
    </w:p>
  </w:footnote>
  <w:footnote w:id="101">
    <w:p w14:paraId="1972C681" w14:textId="406DB10D" w:rsidR="009D032A" w:rsidRPr="005049A3" w:rsidRDefault="009D032A" w:rsidP="0013659B">
      <w:pPr>
        <w:pStyle w:val="FootnoteText"/>
        <w:tabs>
          <w:tab w:val="left" w:pos="709"/>
        </w:tabs>
        <w:spacing w:after="0"/>
        <w:rPr>
          <w:lang w:val="es-ES_tradnl"/>
        </w:rPr>
      </w:pPr>
      <w:r w:rsidRPr="005049A3">
        <w:rPr>
          <w:rStyle w:val="FootnoteReference"/>
          <w:szCs w:val="16"/>
          <w:lang w:val="es-ES_tradnl"/>
        </w:rPr>
        <w:footnoteRef/>
      </w:r>
      <w:r w:rsidRPr="005049A3">
        <w:rPr>
          <w:rFonts w:cs="Verdana"/>
          <w:bCs/>
          <w:i/>
          <w:lang w:val="es-ES_tradnl"/>
        </w:rPr>
        <w:t xml:space="preserve"> </w:t>
      </w:r>
      <w:r>
        <w:rPr>
          <w:rFonts w:cs="Verdana"/>
          <w:bCs/>
          <w:i/>
          <w:lang w:val="es-ES_tradnl"/>
        </w:rPr>
        <w:tab/>
      </w:r>
      <w:r>
        <w:rPr>
          <w:rFonts w:cs="Verdana"/>
          <w:bCs/>
          <w:lang w:val="es-ES_tradnl"/>
        </w:rPr>
        <w:t xml:space="preserve">Corte IDH. </w:t>
      </w:r>
      <w:r w:rsidRPr="005049A3">
        <w:rPr>
          <w:rFonts w:cs="Verdana"/>
          <w:bCs/>
          <w:i/>
          <w:lang w:val="es-ES_tradnl"/>
        </w:rPr>
        <w:t>Caso Nadege Dorzema y otros Vs. República Dominicana. Fondo Reparaciones y Costas</w:t>
      </w:r>
      <w:r w:rsidRPr="005049A3">
        <w:rPr>
          <w:rFonts w:cs="Verdana"/>
          <w:bCs/>
          <w:lang w:val="es-ES_tradnl"/>
        </w:rPr>
        <w:t>. Sentencia de 24 de octubre de 2012. Serie C No. 251, párrs. 235</w:t>
      </w:r>
      <w:r w:rsidRPr="005049A3">
        <w:rPr>
          <w:lang w:val="es-ES_tradnl"/>
        </w:rPr>
        <w:t xml:space="preserve">, 237 y 238. </w:t>
      </w:r>
    </w:p>
    <w:p w14:paraId="65E8D973" w14:textId="77777777" w:rsidR="009D032A" w:rsidRPr="005049A3" w:rsidRDefault="009D032A" w:rsidP="0013659B">
      <w:pPr>
        <w:pStyle w:val="FootnoteText"/>
        <w:tabs>
          <w:tab w:val="left" w:pos="709"/>
        </w:tabs>
        <w:spacing w:after="0"/>
        <w:rPr>
          <w:lang w:val="es-ES_tradnl"/>
        </w:rPr>
      </w:pPr>
    </w:p>
  </w:footnote>
  <w:footnote w:id="102">
    <w:p w14:paraId="10905566" w14:textId="6BE1B78F" w:rsidR="009D032A" w:rsidRPr="005049A3" w:rsidRDefault="009D032A" w:rsidP="0013659B">
      <w:pPr>
        <w:pStyle w:val="FootnoteText"/>
        <w:tabs>
          <w:tab w:val="left" w:pos="709"/>
        </w:tabs>
        <w:spacing w:after="0"/>
        <w:rPr>
          <w:rFonts w:cs="Verdana"/>
          <w:b/>
          <w:bCs/>
          <w:lang w:val="es-ES_tradnl"/>
        </w:rPr>
      </w:pPr>
      <w:r w:rsidRPr="005049A3">
        <w:rPr>
          <w:rStyle w:val="FootnoteReference"/>
          <w:szCs w:val="16"/>
          <w:lang w:val="es-ES_tradnl"/>
        </w:rPr>
        <w:footnoteRef/>
      </w:r>
      <w:r w:rsidRPr="005049A3">
        <w:rPr>
          <w:lang w:val="es-ES_tradnl"/>
        </w:rPr>
        <w:t xml:space="preserve"> </w:t>
      </w:r>
      <w:r>
        <w:rPr>
          <w:lang w:val="es-ES_tradnl"/>
        </w:rPr>
        <w:tab/>
        <w:t xml:space="preserve">Corte IDH. </w:t>
      </w:r>
      <w:r w:rsidRPr="005049A3">
        <w:rPr>
          <w:rFonts w:cs="Verdana"/>
          <w:bCs/>
          <w:i/>
          <w:lang w:val="es-ES_tradnl"/>
        </w:rPr>
        <w:t>Caso Nadege Dorzema y otros Vs. República Dominicana. Fondo Reparaciones y Costas</w:t>
      </w:r>
      <w:r w:rsidRPr="005049A3">
        <w:rPr>
          <w:rFonts w:cs="Verdana"/>
          <w:bCs/>
          <w:lang w:val="es-ES_tradnl"/>
        </w:rPr>
        <w:t>. Sentencia de 24 de octubre de 2012. Serie C No. 251, párrs. 235</w:t>
      </w:r>
      <w:r w:rsidRPr="005049A3">
        <w:rPr>
          <w:lang w:val="es-ES_tradnl"/>
        </w:rPr>
        <w:t xml:space="preserve">, 237 y 238; </w:t>
      </w:r>
      <w:r w:rsidRPr="005049A3">
        <w:rPr>
          <w:rFonts w:cs="Verdana"/>
          <w:bCs/>
          <w:i/>
          <w:lang w:val="es-ES_tradnl"/>
        </w:rPr>
        <w:t xml:space="preserve">Caso </w:t>
      </w:r>
      <w:proofErr w:type="spellStart"/>
      <w:r w:rsidRPr="005049A3">
        <w:rPr>
          <w:rFonts w:cs="Verdana"/>
          <w:bCs/>
          <w:i/>
          <w:lang w:val="es-ES_tradnl"/>
        </w:rPr>
        <w:t>Atala</w:t>
      </w:r>
      <w:proofErr w:type="spellEnd"/>
      <w:r w:rsidRPr="005049A3">
        <w:rPr>
          <w:rFonts w:cs="Verdana"/>
          <w:bCs/>
          <w:i/>
          <w:lang w:val="es-ES_tradnl"/>
        </w:rPr>
        <w:t xml:space="preserve"> </w:t>
      </w:r>
      <w:proofErr w:type="spellStart"/>
      <w:r w:rsidRPr="005049A3">
        <w:rPr>
          <w:rFonts w:cs="Verdana"/>
          <w:bCs/>
          <w:i/>
          <w:lang w:val="es-ES_tradnl"/>
        </w:rPr>
        <w:t>Riffo</w:t>
      </w:r>
      <w:proofErr w:type="spellEnd"/>
      <w:r w:rsidRPr="005049A3">
        <w:rPr>
          <w:rFonts w:cs="Verdana"/>
          <w:bCs/>
          <w:i/>
          <w:lang w:val="es-ES_tradnl"/>
        </w:rPr>
        <w:t xml:space="preserve"> y niñas Vs. Chile. Fondo, Reparaciones y Costas</w:t>
      </w:r>
      <w:r w:rsidRPr="005049A3">
        <w:rPr>
          <w:rFonts w:cs="Verdana"/>
          <w:bCs/>
          <w:lang w:val="es-ES_tradnl"/>
        </w:rPr>
        <w:t>. Sentencia del 24 de febrero de 2012. Serie C No. 239, párrs. 92 y 267</w:t>
      </w:r>
      <w:r>
        <w:rPr>
          <w:rFonts w:cs="Verdana"/>
          <w:bCs/>
          <w:lang w:val="es-ES_tradnl"/>
        </w:rPr>
        <w:t>,</w:t>
      </w:r>
      <w:r w:rsidRPr="005049A3">
        <w:rPr>
          <w:rFonts w:cs="Verdana"/>
          <w:bCs/>
          <w:lang w:val="es-ES_tradnl"/>
        </w:rPr>
        <w:t xml:space="preserve"> </w:t>
      </w:r>
      <w:r w:rsidRPr="005049A3">
        <w:rPr>
          <w:lang w:val="es-ES_tradnl"/>
        </w:rPr>
        <w:t xml:space="preserve">y </w:t>
      </w:r>
      <w:r w:rsidRPr="005049A3">
        <w:rPr>
          <w:rFonts w:cs="Verdana"/>
          <w:bCs/>
          <w:i/>
          <w:lang w:val="es-ES_tradnl"/>
        </w:rPr>
        <w:t xml:space="preserve"> </w:t>
      </w:r>
      <w:proofErr w:type="spellStart"/>
      <w:r w:rsidRPr="005049A3">
        <w:rPr>
          <w:rFonts w:cs="Verdana"/>
          <w:bCs/>
          <w:i/>
          <w:lang w:val="es-ES_tradnl"/>
        </w:rPr>
        <w:t>Xákmok</w:t>
      </w:r>
      <w:proofErr w:type="spellEnd"/>
      <w:r w:rsidRPr="005049A3">
        <w:rPr>
          <w:rFonts w:cs="Verdana"/>
          <w:bCs/>
          <w:i/>
          <w:lang w:val="es-ES_tradnl"/>
        </w:rPr>
        <w:t xml:space="preserve"> </w:t>
      </w:r>
      <w:proofErr w:type="spellStart"/>
      <w:r w:rsidRPr="005049A3">
        <w:rPr>
          <w:rFonts w:cs="Verdana"/>
          <w:bCs/>
          <w:i/>
          <w:lang w:val="es-ES_tradnl"/>
        </w:rPr>
        <w:t>Kásek</w:t>
      </w:r>
      <w:proofErr w:type="spellEnd"/>
      <w:r w:rsidRPr="005049A3">
        <w:rPr>
          <w:rFonts w:cs="Verdana"/>
          <w:bCs/>
          <w:i/>
          <w:lang w:val="es-ES_tradnl"/>
        </w:rPr>
        <w:t xml:space="preserve"> Vs. Paraguay. Fondo, Reparaciones y Costas</w:t>
      </w:r>
      <w:r w:rsidRPr="005049A3">
        <w:rPr>
          <w:rFonts w:cs="Verdana"/>
          <w:bCs/>
          <w:lang w:val="es-ES_tradnl"/>
        </w:rPr>
        <w:t xml:space="preserve">. Sentencia de 24 de agosto de 2010. Serie C No. 214, párrs. 273 y 274. </w:t>
      </w:r>
      <w:r w:rsidRPr="005049A3">
        <w:rPr>
          <w:lang w:val="es-ES_tradnl"/>
        </w:rPr>
        <w:t xml:space="preserve">En similar sentido: </w:t>
      </w:r>
      <w:r w:rsidRPr="005049A3">
        <w:rPr>
          <w:rFonts w:cs="Verdana"/>
          <w:bCs/>
          <w:i/>
          <w:lang w:val="es-ES_tradnl"/>
        </w:rPr>
        <w:t>Caso González y otras (“Campo Algodonero”) Vs. México. Excepción Preliminar, Fondo, Reparaciones y Costas</w:t>
      </w:r>
      <w:r w:rsidRPr="005049A3">
        <w:rPr>
          <w:rFonts w:cs="Verdana"/>
          <w:bCs/>
          <w:lang w:val="es-ES_tradnl"/>
        </w:rPr>
        <w:t>. Sentencia de 16 de noviembre de 2009. Serie C No. 205, párr. 450.</w:t>
      </w:r>
      <w:r w:rsidRPr="005049A3">
        <w:rPr>
          <w:rFonts w:cs="Verdana"/>
          <w:b/>
          <w:bCs/>
          <w:lang w:val="es-ES_tradnl"/>
        </w:rPr>
        <w:t xml:space="preserve"> </w:t>
      </w:r>
    </w:p>
    <w:p w14:paraId="0C28E759" w14:textId="77777777" w:rsidR="009D032A" w:rsidRPr="005049A3" w:rsidRDefault="009D032A" w:rsidP="0013659B">
      <w:pPr>
        <w:pStyle w:val="FootnoteText"/>
        <w:tabs>
          <w:tab w:val="left" w:pos="709"/>
        </w:tabs>
        <w:spacing w:after="0"/>
        <w:rPr>
          <w:rFonts w:cs="Verdana"/>
          <w:bCs/>
          <w:lang w:val="es-ES_tradnl"/>
        </w:rPr>
      </w:pPr>
    </w:p>
    <w:p w14:paraId="18400B24" w14:textId="77777777" w:rsidR="009D032A" w:rsidRPr="005049A3" w:rsidRDefault="009D032A" w:rsidP="0013659B">
      <w:pPr>
        <w:pStyle w:val="FootnoteText"/>
        <w:tabs>
          <w:tab w:val="left" w:pos="709"/>
        </w:tabs>
        <w:spacing w:after="0"/>
        <w:rPr>
          <w:rFonts w:cs="Verdana"/>
          <w:bCs/>
          <w:lang w:val="es-ES_tradnl"/>
        </w:rPr>
      </w:pPr>
    </w:p>
  </w:footnote>
  <w:footnote w:id="103">
    <w:p w14:paraId="72286992" w14:textId="688C8DE8" w:rsidR="009D032A" w:rsidRDefault="009D032A" w:rsidP="0013659B">
      <w:pPr>
        <w:pStyle w:val="FootnoteText"/>
        <w:tabs>
          <w:tab w:val="left" w:pos="709"/>
        </w:tabs>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i/>
          <w:lang w:val="es-ES_tradnl"/>
        </w:rPr>
        <w:t>Cfr.</w:t>
      </w:r>
      <w:r w:rsidRPr="005049A3">
        <w:rPr>
          <w:lang w:val="es-ES_tradnl"/>
        </w:rPr>
        <w:t xml:space="preserve"> Corte IDH. </w:t>
      </w:r>
      <w:r>
        <w:rPr>
          <w:i/>
          <w:lang w:val="es-ES_tradnl"/>
        </w:rPr>
        <w:t xml:space="preserve">Caso Trabajadores </w:t>
      </w:r>
      <w:r w:rsidRPr="005049A3">
        <w:rPr>
          <w:i/>
          <w:lang w:val="es-ES_tradnl"/>
        </w:rPr>
        <w:t>Hacienda Brasil Ve</w:t>
      </w:r>
      <w:r>
        <w:rPr>
          <w:i/>
          <w:lang w:val="es-ES_tradnl"/>
        </w:rPr>
        <w:t>rd</w:t>
      </w:r>
      <w:r w:rsidRPr="005049A3">
        <w:rPr>
          <w:i/>
          <w:lang w:val="es-ES_tradnl"/>
        </w:rPr>
        <w:t xml:space="preserve">e Vs. Brasil. Excepciones Preliminares, Fondo, Reparaciones y Costas. </w:t>
      </w:r>
      <w:r>
        <w:rPr>
          <w:lang w:val="es-ES_tradnl"/>
        </w:rPr>
        <w:t>Sentencia de 20</w:t>
      </w:r>
      <w:r w:rsidRPr="005049A3">
        <w:rPr>
          <w:lang w:val="es-ES_tradnl"/>
        </w:rPr>
        <w:t xml:space="preserve"> octubre de 2016, </w:t>
      </w:r>
      <w:r>
        <w:rPr>
          <w:lang w:val="es-ES_tradnl"/>
        </w:rPr>
        <w:t>Serie C No. 318,</w:t>
      </w:r>
      <w:r w:rsidRPr="005049A3">
        <w:rPr>
          <w:lang w:val="es-ES_tradnl"/>
        </w:rPr>
        <w:t xml:space="preserve"> párr. </w:t>
      </w:r>
      <w:r>
        <w:rPr>
          <w:rFonts w:cs="Times New Roman"/>
          <w:lang w:val="es-ES_tradnl"/>
        </w:rPr>
        <w:t xml:space="preserve">110. </w:t>
      </w:r>
      <w:r w:rsidRPr="005049A3">
        <w:rPr>
          <w:rFonts w:cs="Times New Roman"/>
          <w:lang w:val="es-ES_tradnl"/>
        </w:rPr>
        <w:t xml:space="preserve"> </w:t>
      </w:r>
    </w:p>
    <w:p w14:paraId="79E6EE43" w14:textId="77777777" w:rsidR="009D032A" w:rsidRPr="005049A3" w:rsidRDefault="009D032A" w:rsidP="0013659B">
      <w:pPr>
        <w:pStyle w:val="FootnoteText"/>
        <w:tabs>
          <w:tab w:val="left" w:pos="709"/>
        </w:tabs>
        <w:rPr>
          <w:lang w:val="es-ES_tradnl"/>
        </w:rPr>
      </w:pPr>
    </w:p>
  </w:footnote>
  <w:footnote w:id="104">
    <w:p w14:paraId="746A0260" w14:textId="1AFD89A9" w:rsidR="009D032A" w:rsidRDefault="009D032A" w:rsidP="0013659B">
      <w:pPr>
        <w:pStyle w:val="FootnoteText"/>
        <w:tabs>
          <w:tab w:val="left" w:pos="709"/>
        </w:tabs>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Corte IDH. </w:t>
      </w:r>
      <w:r w:rsidRPr="005049A3">
        <w:rPr>
          <w:i/>
          <w:lang w:val="es-ES_tradnl"/>
        </w:rPr>
        <w:t>Caso Trabajadores de la Hacienda Brasil Ver</w:t>
      </w:r>
      <w:r>
        <w:rPr>
          <w:i/>
          <w:lang w:val="es-ES_tradnl"/>
        </w:rPr>
        <w:t>d</w:t>
      </w:r>
      <w:r w:rsidRPr="005049A3">
        <w:rPr>
          <w:i/>
          <w:lang w:val="es-ES_tradnl"/>
        </w:rPr>
        <w:t xml:space="preserve">e Vs. Brasil. Excepciones Preliminares, Fondo, Reparaciones y Costas. </w:t>
      </w:r>
      <w:r>
        <w:rPr>
          <w:lang w:val="es-ES_tradnl"/>
        </w:rPr>
        <w:t>Sentencia de 20</w:t>
      </w:r>
      <w:r w:rsidRPr="005049A3">
        <w:rPr>
          <w:lang w:val="es-ES_tradnl"/>
        </w:rPr>
        <w:t xml:space="preserve"> octubre de 2016, </w:t>
      </w:r>
      <w:r>
        <w:rPr>
          <w:lang w:val="es-ES_tradnl"/>
        </w:rPr>
        <w:t>Serie C No. 318,</w:t>
      </w:r>
      <w:r w:rsidRPr="005049A3">
        <w:rPr>
          <w:lang w:val="es-ES_tradnl"/>
        </w:rPr>
        <w:t xml:space="preserve"> párr. </w:t>
      </w:r>
      <w:r>
        <w:rPr>
          <w:rFonts w:cs="Times New Roman"/>
          <w:lang w:val="es-ES_tradnl"/>
        </w:rPr>
        <w:t>111</w:t>
      </w:r>
      <w:r w:rsidRPr="005049A3">
        <w:rPr>
          <w:rFonts w:cs="Times New Roman"/>
          <w:lang w:val="es-ES_tradnl"/>
        </w:rPr>
        <w:t>.</w:t>
      </w:r>
    </w:p>
    <w:p w14:paraId="7F5DF3E3" w14:textId="77777777" w:rsidR="009D032A" w:rsidRPr="005049A3" w:rsidRDefault="009D032A" w:rsidP="0013659B">
      <w:pPr>
        <w:pStyle w:val="FootnoteText"/>
        <w:tabs>
          <w:tab w:val="left" w:pos="709"/>
        </w:tabs>
        <w:rPr>
          <w:lang w:val="es-ES_tradnl"/>
        </w:rPr>
      </w:pPr>
    </w:p>
  </w:footnote>
  <w:footnote w:id="105">
    <w:p w14:paraId="161627A7" w14:textId="33BEB42F" w:rsidR="009D032A" w:rsidRPr="005049A3" w:rsidRDefault="009D032A" w:rsidP="0013659B">
      <w:pPr>
        <w:pStyle w:val="FootnoteText"/>
        <w:tabs>
          <w:tab w:val="left" w:pos="709"/>
        </w:tabs>
        <w:rPr>
          <w:rFonts w:cs="Times New Roman"/>
          <w:b/>
          <w:lang w:val="es-ES_tradnl"/>
        </w:rPr>
      </w:pPr>
      <w:r w:rsidRPr="005049A3">
        <w:rPr>
          <w:rStyle w:val="FootnoteReference"/>
          <w:szCs w:val="16"/>
          <w:lang w:val="es-ES_tradnl"/>
        </w:rPr>
        <w:footnoteRef/>
      </w:r>
      <w:r w:rsidRPr="005049A3">
        <w:rPr>
          <w:lang w:val="es-ES_tradnl"/>
        </w:rPr>
        <w:t xml:space="preserve"> </w:t>
      </w:r>
      <w:r w:rsidRPr="005049A3">
        <w:rPr>
          <w:rFonts w:cs="Times New Roman"/>
          <w:b/>
          <w:color w:val="FF0000"/>
          <w:lang w:val="es-ES_tradnl"/>
        </w:rPr>
        <w:t xml:space="preserve"> </w:t>
      </w:r>
      <w:r>
        <w:rPr>
          <w:rFonts w:cs="Times New Roman"/>
          <w:b/>
          <w:color w:val="FF0000"/>
          <w:lang w:val="es-ES_tradnl"/>
        </w:rPr>
        <w:tab/>
      </w:r>
      <w:r w:rsidRPr="005049A3">
        <w:rPr>
          <w:lang w:val="es-ES_tradnl"/>
        </w:rPr>
        <w:t xml:space="preserve">Corte IDH. </w:t>
      </w:r>
      <w:r>
        <w:rPr>
          <w:i/>
          <w:lang w:val="es-ES_tradnl"/>
        </w:rPr>
        <w:t>Caso</w:t>
      </w:r>
      <w:r w:rsidRPr="005049A3">
        <w:rPr>
          <w:i/>
          <w:lang w:val="es-ES_tradnl"/>
        </w:rPr>
        <w:t xml:space="preserve"> Trabajadores de la Hacienda Brasil Ver</w:t>
      </w:r>
      <w:r>
        <w:rPr>
          <w:i/>
          <w:lang w:val="es-ES_tradnl"/>
        </w:rPr>
        <w:t>d</w:t>
      </w:r>
      <w:r w:rsidRPr="005049A3">
        <w:rPr>
          <w:i/>
          <w:lang w:val="es-ES_tradnl"/>
        </w:rPr>
        <w:t xml:space="preserve">e Vs. Brasil. Excepciones Preliminares, Fondo, Reparaciones y Costas. </w:t>
      </w:r>
      <w:r>
        <w:rPr>
          <w:lang w:val="es-ES_tradnl"/>
        </w:rPr>
        <w:t>Sentencia de 20</w:t>
      </w:r>
      <w:r w:rsidRPr="005049A3">
        <w:rPr>
          <w:lang w:val="es-ES_tradnl"/>
        </w:rPr>
        <w:t xml:space="preserve"> </w:t>
      </w:r>
      <w:r>
        <w:rPr>
          <w:lang w:val="es-ES_tradnl"/>
        </w:rPr>
        <w:t xml:space="preserve">de </w:t>
      </w:r>
      <w:r w:rsidRPr="005049A3">
        <w:rPr>
          <w:lang w:val="es-ES_tradnl"/>
        </w:rPr>
        <w:t xml:space="preserve">octubre de 2016, </w:t>
      </w:r>
      <w:r>
        <w:rPr>
          <w:lang w:val="es-ES_tradnl"/>
        </w:rPr>
        <w:t>Serie C No. 318,</w:t>
      </w:r>
      <w:r w:rsidRPr="005049A3">
        <w:rPr>
          <w:lang w:val="es-ES_tradnl"/>
        </w:rPr>
        <w:t xml:space="preserve"> párr.</w:t>
      </w:r>
      <w:r>
        <w:rPr>
          <w:rFonts w:cs="Times New Roman"/>
          <w:lang w:val="es-ES_tradnl"/>
        </w:rPr>
        <w:t xml:space="preserve"> 112</w:t>
      </w:r>
      <w:r w:rsidRPr="005049A3">
        <w:rPr>
          <w:rFonts w:cs="Times New Roman"/>
          <w:lang w:val="es-ES_tradnl"/>
        </w:rPr>
        <w:t>.</w:t>
      </w:r>
    </w:p>
    <w:p w14:paraId="53129776" w14:textId="77777777" w:rsidR="009D032A" w:rsidRPr="005049A3" w:rsidRDefault="009D032A" w:rsidP="0013659B">
      <w:pPr>
        <w:pStyle w:val="FootnoteText"/>
        <w:tabs>
          <w:tab w:val="left" w:pos="709"/>
        </w:tabs>
        <w:rPr>
          <w:lang w:val="es-ES_tradnl"/>
        </w:rPr>
      </w:pPr>
    </w:p>
  </w:footnote>
  <w:footnote w:id="106">
    <w:p w14:paraId="699D875D" w14:textId="7E45E54F"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sidRPr="005049A3">
        <w:rPr>
          <w:rFonts w:cs="Times New Roman"/>
          <w:lang w:val="es-ES_tradnl"/>
        </w:rPr>
        <w:t xml:space="preserve"> </w:t>
      </w:r>
      <w:r>
        <w:rPr>
          <w:rFonts w:cs="Times New Roman"/>
          <w:lang w:val="es-ES_tradnl"/>
        </w:rPr>
        <w:tab/>
      </w:r>
      <w:r w:rsidRPr="005049A3">
        <w:rPr>
          <w:lang w:val="es-ES_tradnl"/>
        </w:rPr>
        <w:t xml:space="preserve">Corte IDH. </w:t>
      </w:r>
      <w:r>
        <w:rPr>
          <w:i/>
          <w:lang w:val="es-ES_tradnl"/>
        </w:rPr>
        <w:t xml:space="preserve">Caso </w:t>
      </w:r>
      <w:r w:rsidRPr="005049A3">
        <w:rPr>
          <w:i/>
          <w:lang w:val="es-ES_tradnl"/>
        </w:rPr>
        <w:t>Trabajadores de la Hacienda Brasil Ver</w:t>
      </w:r>
      <w:r>
        <w:rPr>
          <w:i/>
          <w:lang w:val="es-ES_tradnl"/>
        </w:rPr>
        <w:t>d</w:t>
      </w:r>
      <w:r w:rsidRPr="005049A3">
        <w:rPr>
          <w:i/>
          <w:lang w:val="es-ES_tradnl"/>
        </w:rPr>
        <w:t xml:space="preserve">e Vs. Brasil. Excepciones Preliminares, Fondo, Reparaciones y Costas. </w:t>
      </w:r>
      <w:r>
        <w:rPr>
          <w:lang w:val="es-ES_tradnl"/>
        </w:rPr>
        <w:t>Sentencia de 20</w:t>
      </w:r>
      <w:r w:rsidRPr="005049A3">
        <w:rPr>
          <w:lang w:val="es-ES_tradnl"/>
        </w:rPr>
        <w:t xml:space="preserve"> </w:t>
      </w:r>
      <w:r>
        <w:rPr>
          <w:lang w:val="es-ES_tradnl"/>
        </w:rPr>
        <w:t xml:space="preserve">de </w:t>
      </w:r>
      <w:r w:rsidRPr="005049A3">
        <w:rPr>
          <w:lang w:val="es-ES_tradnl"/>
        </w:rPr>
        <w:t xml:space="preserve">octubre de 2016, </w:t>
      </w:r>
      <w:r>
        <w:rPr>
          <w:lang w:val="es-ES_tradnl"/>
        </w:rPr>
        <w:t>Serie C No. 318, párr</w:t>
      </w:r>
      <w:r w:rsidRPr="005049A3">
        <w:rPr>
          <w:rFonts w:cs="Times New Roman"/>
          <w:b/>
          <w:lang w:val="es-ES_tradnl"/>
        </w:rPr>
        <w:t xml:space="preserve">. </w:t>
      </w:r>
      <w:r>
        <w:rPr>
          <w:rFonts w:cs="Times New Roman"/>
          <w:lang w:val="es-ES_tradnl"/>
        </w:rPr>
        <w:t>113.</w:t>
      </w:r>
      <w:r w:rsidRPr="005049A3">
        <w:rPr>
          <w:rFonts w:cs="Times New Roman"/>
          <w:lang w:val="es-ES_tradnl"/>
        </w:rPr>
        <w:t xml:space="preserve"> </w:t>
      </w:r>
    </w:p>
  </w:footnote>
  <w:footnote w:id="107">
    <w:p w14:paraId="3DE490AF" w14:textId="77777777" w:rsidR="009D032A" w:rsidRPr="005049A3" w:rsidRDefault="009D032A" w:rsidP="0013659B">
      <w:pPr>
        <w:pStyle w:val="FootnoteText"/>
        <w:tabs>
          <w:tab w:val="left" w:pos="709"/>
        </w:tabs>
        <w:rPr>
          <w:lang w:val="es-ES_tradnl"/>
        </w:rPr>
      </w:pPr>
    </w:p>
    <w:p w14:paraId="3CF51C63" w14:textId="3EB40607"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Cfr. Corte IDH. </w:t>
      </w:r>
      <w:r>
        <w:rPr>
          <w:i/>
          <w:lang w:val="es-ES_tradnl"/>
        </w:rPr>
        <w:t xml:space="preserve">Caso </w:t>
      </w:r>
      <w:r w:rsidRPr="005049A3">
        <w:rPr>
          <w:i/>
          <w:lang w:val="es-ES_tradnl"/>
        </w:rPr>
        <w:t>Trabajadores de la Hacienda Brasil Ver</w:t>
      </w:r>
      <w:r>
        <w:rPr>
          <w:i/>
          <w:lang w:val="es-ES_tradnl"/>
        </w:rPr>
        <w:t>d</w:t>
      </w:r>
      <w:r w:rsidRPr="005049A3">
        <w:rPr>
          <w:i/>
          <w:lang w:val="es-ES_tradnl"/>
        </w:rPr>
        <w:t xml:space="preserve">e Vs. Brasil. Excepciones Preliminares, Fondo, Reparaciones y Costas. </w:t>
      </w:r>
      <w:r>
        <w:rPr>
          <w:lang w:val="es-ES_tradnl"/>
        </w:rPr>
        <w:t>Sentencia de 20 de</w:t>
      </w:r>
      <w:r w:rsidRPr="005049A3">
        <w:rPr>
          <w:lang w:val="es-ES_tradnl"/>
        </w:rPr>
        <w:t xml:space="preserve"> octubre de 2016, </w:t>
      </w:r>
      <w:r>
        <w:rPr>
          <w:lang w:val="es-ES_tradnl"/>
        </w:rPr>
        <w:t>Serie C No. 318, párr. 114.</w:t>
      </w:r>
    </w:p>
    <w:p w14:paraId="1D754588" w14:textId="77777777" w:rsidR="009D032A" w:rsidRPr="005049A3" w:rsidRDefault="009D032A" w:rsidP="0013659B">
      <w:pPr>
        <w:pStyle w:val="FootnoteText"/>
        <w:tabs>
          <w:tab w:val="left" w:pos="709"/>
        </w:tabs>
        <w:rPr>
          <w:lang w:val="es-ES_tradnl"/>
        </w:rPr>
      </w:pPr>
    </w:p>
  </w:footnote>
  <w:footnote w:id="108">
    <w:p w14:paraId="3AA1865E" w14:textId="1C8BAB5B"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Corte IDH. </w:t>
      </w:r>
      <w:r>
        <w:rPr>
          <w:i/>
          <w:lang w:val="es-ES_tradnl"/>
        </w:rPr>
        <w:t>Caso</w:t>
      </w:r>
      <w:r w:rsidRPr="005049A3">
        <w:rPr>
          <w:i/>
          <w:lang w:val="es-ES_tradnl"/>
        </w:rPr>
        <w:t xml:space="preserve"> Trabajadores de la Hacienda Brasil Ver</w:t>
      </w:r>
      <w:r>
        <w:rPr>
          <w:i/>
          <w:lang w:val="es-ES_tradnl"/>
        </w:rPr>
        <w:t>d</w:t>
      </w:r>
      <w:r w:rsidRPr="005049A3">
        <w:rPr>
          <w:i/>
          <w:lang w:val="es-ES_tradnl"/>
        </w:rPr>
        <w:t xml:space="preserve">e Vs. Brasil. Excepciones Preliminares, Fondo, Reparaciones y Costas. </w:t>
      </w:r>
      <w:r>
        <w:rPr>
          <w:lang w:val="es-ES_tradnl"/>
        </w:rPr>
        <w:t xml:space="preserve">Sentencia de 20 de </w:t>
      </w:r>
      <w:r w:rsidRPr="005049A3">
        <w:rPr>
          <w:lang w:val="es-ES_tradnl"/>
        </w:rPr>
        <w:t xml:space="preserve">octubre de 2016, </w:t>
      </w:r>
      <w:r>
        <w:rPr>
          <w:lang w:val="es-ES_tradnl"/>
        </w:rPr>
        <w:t>Serie C No. 318, párr. 115</w:t>
      </w:r>
      <w:r w:rsidRPr="005049A3">
        <w:rPr>
          <w:rFonts w:cs="Times New Roman"/>
          <w:b/>
          <w:lang w:val="es-ES_tradnl"/>
        </w:rPr>
        <w:t>.</w:t>
      </w:r>
    </w:p>
  </w:footnote>
  <w:footnote w:id="109">
    <w:p w14:paraId="2DBB74D4" w14:textId="77777777" w:rsidR="009D032A" w:rsidRPr="005049A3" w:rsidRDefault="009D032A" w:rsidP="0013659B">
      <w:pPr>
        <w:pStyle w:val="FootnoteText"/>
        <w:tabs>
          <w:tab w:val="left" w:pos="709"/>
        </w:tabs>
        <w:rPr>
          <w:lang w:val="es-ES_tradnl"/>
        </w:rPr>
      </w:pPr>
    </w:p>
    <w:p w14:paraId="21FC92FE" w14:textId="789577FB" w:rsidR="009D032A" w:rsidRPr="005049A3" w:rsidRDefault="009D032A" w:rsidP="0013659B">
      <w:pPr>
        <w:pStyle w:val="FootnoteText"/>
        <w:tabs>
          <w:tab w:val="left" w:pos="709"/>
        </w:tabs>
        <w:rPr>
          <w:rFonts w:cs="Times New Roman"/>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Corte IDH. </w:t>
      </w:r>
      <w:r>
        <w:rPr>
          <w:i/>
          <w:lang w:val="es-ES_tradnl"/>
        </w:rPr>
        <w:t>Caso</w:t>
      </w:r>
      <w:r w:rsidRPr="005049A3">
        <w:rPr>
          <w:i/>
          <w:lang w:val="es-ES_tradnl"/>
        </w:rPr>
        <w:t xml:space="preserve"> Trabajadores de la Hacienda Brasil Ver</w:t>
      </w:r>
      <w:r>
        <w:rPr>
          <w:i/>
          <w:lang w:val="es-ES_tradnl"/>
        </w:rPr>
        <w:t>d</w:t>
      </w:r>
      <w:r w:rsidRPr="005049A3">
        <w:rPr>
          <w:i/>
          <w:lang w:val="es-ES_tradnl"/>
        </w:rPr>
        <w:t xml:space="preserve">e Vs. Brasil. Excepciones Preliminares, Fondo, Reparaciones y Costas. </w:t>
      </w:r>
      <w:r>
        <w:rPr>
          <w:lang w:val="es-ES_tradnl"/>
        </w:rPr>
        <w:t>Sentencia de 20 de</w:t>
      </w:r>
      <w:r w:rsidRPr="005049A3">
        <w:rPr>
          <w:lang w:val="es-ES_tradnl"/>
        </w:rPr>
        <w:t xml:space="preserve"> octubre de 2016, </w:t>
      </w:r>
      <w:r>
        <w:rPr>
          <w:lang w:val="es-ES_tradnl"/>
        </w:rPr>
        <w:t>Serie C No. 318, párr. 128</w:t>
      </w:r>
      <w:r w:rsidRPr="005049A3">
        <w:rPr>
          <w:lang w:val="es-ES_tradnl"/>
        </w:rPr>
        <w:t xml:space="preserve">. </w:t>
      </w:r>
    </w:p>
    <w:p w14:paraId="0AF6588C" w14:textId="77777777" w:rsidR="009D032A" w:rsidRPr="005049A3" w:rsidRDefault="009D032A" w:rsidP="0013659B">
      <w:pPr>
        <w:pStyle w:val="FootnoteText"/>
        <w:tabs>
          <w:tab w:val="left" w:pos="709"/>
        </w:tabs>
        <w:rPr>
          <w:lang w:val="es-ES_tradnl"/>
        </w:rPr>
      </w:pPr>
    </w:p>
  </w:footnote>
  <w:footnote w:id="110">
    <w:p w14:paraId="3D6C8226" w14:textId="4EB48321"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Pr>
          <w:lang w:val="es-ES_tradnl"/>
        </w:rPr>
        <w:tab/>
      </w:r>
      <w:r w:rsidRPr="005049A3">
        <w:rPr>
          <w:lang w:val="es-ES_tradnl"/>
        </w:rPr>
        <w:t xml:space="preserve">Corte IDH. </w:t>
      </w:r>
      <w:r>
        <w:rPr>
          <w:i/>
          <w:lang w:val="es-ES_tradnl"/>
        </w:rPr>
        <w:t xml:space="preserve">Caso </w:t>
      </w:r>
      <w:r w:rsidRPr="005049A3">
        <w:rPr>
          <w:i/>
          <w:lang w:val="es-ES_tradnl"/>
        </w:rPr>
        <w:t>Trabajadores de la Hacienda Brasil Ver</w:t>
      </w:r>
      <w:r>
        <w:rPr>
          <w:i/>
          <w:lang w:val="es-ES_tradnl"/>
        </w:rPr>
        <w:t>d</w:t>
      </w:r>
      <w:r w:rsidRPr="005049A3">
        <w:rPr>
          <w:i/>
          <w:lang w:val="es-ES_tradnl"/>
        </w:rPr>
        <w:t xml:space="preserve">e Vs. Brasil. Excepciones Preliminares, Fondo, Reparaciones y Costas. </w:t>
      </w:r>
      <w:r>
        <w:rPr>
          <w:lang w:val="es-ES_tradnl"/>
        </w:rPr>
        <w:t>Sentencia de 20 de</w:t>
      </w:r>
      <w:r w:rsidRPr="005049A3">
        <w:rPr>
          <w:lang w:val="es-ES_tradnl"/>
        </w:rPr>
        <w:t xml:space="preserve"> octubre de 2016, </w:t>
      </w:r>
      <w:r>
        <w:rPr>
          <w:lang w:val="es-ES_tradnl"/>
        </w:rPr>
        <w:t>Serie C No. 318, párr. 303.</w:t>
      </w:r>
    </w:p>
  </w:footnote>
  <w:footnote w:id="111">
    <w:p w14:paraId="3EDD16A9" w14:textId="77777777" w:rsidR="009D032A" w:rsidRPr="005049A3" w:rsidRDefault="009D032A" w:rsidP="0013659B">
      <w:pPr>
        <w:pStyle w:val="FootnoteText"/>
        <w:tabs>
          <w:tab w:val="left" w:pos="709"/>
        </w:tabs>
        <w:rPr>
          <w:lang w:val="es-ES_tradnl"/>
        </w:rPr>
      </w:pPr>
    </w:p>
    <w:p w14:paraId="4493C350" w14:textId="6193580F"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Corte IDH. </w:t>
      </w:r>
      <w:r>
        <w:rPr>
          <w:i/>
          <w:lang w:val="es-ES_tradnl"/>
        </w:rPr>
        <w:t xml:space="preserve">Caso </w:t>
      </w:r>
      <w:r w:rsidRPr="005049A3">
        <w:rPr>
          <w:i/>
          <w:lang w:val="es-ES_tradnl"/>
        </w:rPr>
        <w:t>Trabajadores de la Hacienda Brasil Ver</w:t>
      </w:r>
      <w:r>
        <w:rPr>
          <w:i/>
          <w:lang w:val="es-ES_tradnl"/>
        </w:rPr>
        <w:t>d</w:t>
      </w:r>
      <w:r w:rsidRPr="005049A3">
        <w:rPr>
          <w:i/>
          <w:lang w:val="es-ES_tradnl"/>
        </w:rPr>
        <w:t xml:space="preserve">e Vs. Brasil. Excepciones Preliminares, Fondo, Reparaciones y Costas. </w:t>
      </w:r>
      <w:r w:rsidRPr="005049A3">
        <w:rPr>
          <w:lang w:val="es-ES_tradnl"/>
        </w:rPr>
        <w:t xml:space="preserve">Sentencia de </w:t>
      </w:r>
      <w:r>
        <w:rPr>
          <w:lang w:val="es-ES_tradnl"/>
        </w:rPr>
        <w:t>20 de</w:t>
      </w:r>
      <w:r w:rsidRPr="005049A3">
        <w:rPr>
          <w:lang w:val="es-ES_tradnl"/>
        </w:rPr>
        <w:t xml:space="preserve"> octubre de 2016, </w:t>
      </w:r>
      <w:r>
        <w:rPr>
          <w:lang w:val="es-ES_tradnl"/>
        </w:rPr>
        <w:t>Serie C No. 318, párr. 304.</w:t>
      </w:r>
      <w:r w:rsidRPr="005049A3">
        <w:rPr>
          <w:lang w:val="es-ES_tradnl"/>
        </w:rPr>
        <w:t xml:space="preserve">  </w:t>
      </w:r>
    </w:p>
  </w:footnote>
  <w:footnote w:id="112">
    <w:p w14:paraId="39DC937F" w14:textId="3A98CE0E"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Corte IDH. </w:t>
      </w:r>
      <w:r w:rsidRPr="005049A3">
        <w:rPr>
          <w:i/>
          <w:lang w:val="es-ES_tradnl"/>
        </w:rPr>
        <w:t>Caso de los Trabajadores de la Hacienda Brasil Ve</w:t>
      </w:r>
      <w:r>
        <w:rPr>
          <w:i/>
          <w:lang w:val="es-ES_tradnl"/>
        </w:rPr>
        <w:t>rde</w:t>
      </w:r>
      <w:r w:rsidRPr="005049A3">
        <w:rPr>
          <w:i/>
          <w:lang w:val="es-ES_tradnl"/>
        </w:rPr>
        <w:t xml:space="preserve"> Vs. Brasil. Excepciones Preliminares, Fondo, Reparaciones y Costas. </w:t>
      </w:r>
      <w:r>
        <w:rPr>
          <w:lang w:val="es-ES_tradnl"/>
        </w:rPr>
        <w:t>Sentencia de 20 de</w:t>
      </w:r>
      <w:r w:rsidRPr="005049A3">
        <w:rPr>
          <w:lang w:val="es-ES_tradnl"/>
        </w:rPr>
        <w:t xml:space="preserve"> octubre de 2016, </w:t>
      </w:r>
      <w:r>
        <w:rPr>
          <w:lang w:val="es-ES_tradnl"/>
        </w:rPr>
        <w:t>Serie C No. 318,</w:t>
      </w:r>
      <w:r w:rsidRPr="005049A3">
        <w:rPr>
          <w:lang w:val="es-ES_tradnl"/>
        </w:rPr>
        <w:t xml:space="preserve"> párr. 343 y punto resolutivo 4. </w:t>
      </w:r>
    </w:p>
    <w:p w14:paraId="5A25039D" w14:textId="77777777" w:rsidR="009D032A" w:rsidRPr="005049A3" w:rsidRDefault="009D032A" w:rsidP="0013659B">
      <w:pPr>
        <w:pStyle w:val="FootnoteText"/>
        <w:tabs>
          <w:tab w:val="left" w:pos="709"/>
        </w:tabs>
        <w:rPr>
          <w:lang w:val="es-ES_tradnl"/>
        </w:rPr>
      </w:pPr>
    </w:p>
  </w:footnote>
  <w:footnote w:id="113">
    <w:p w14:paraId="74EC4C44" w14:textId="1291574F" w:rsidR="009D032A" w:rsidRDefault="009D032A" w:rsidP="0013659B">
      <w:pPr>
        <w:pStyle w:val="FootnoteText"/>
        <w:tabs>
          <w:tab w:val="left" w:pos="709"/>
        </w:tabs>
        <w:rPr>
          <w:lang w:val="es-ES_tradnl"/>
        </w:rPr>
      </w:pPr>
      <w:r w:rsidRPr="005049A3">
        <w:rPr>
          <w:rStyle w:val="FootnoteReference"/>
          <w:szCs w:val="16"/>
          <w:lang w:val="es-ES_tradnl"/>
        </w:rPr>
        <w:footnoteRef/>
      </w:r>
      <w:r>
        <w:rPr>
          <w:lang w:val="es-ES_tradnl"/>
        </w:rPr>
        <w:tab/>
      </w:r>
      <w:r w:rsidRPr="005049A3">
        <w:rPr>
          <w:lang w:val="es-ES_tradnl"/>
        </w:rPr>
        <w:t xml:space="preserve">Corte IDH. </w:t>
      </w:r>
      <w:r w:rsidRPr="005049A3">
        <w:rPr>
          <w:i/>
          <w:lang w:val="es-ES_tradnl"/>
        </w:rPr>
        <w:t>Caso de los Trabajadores de la Hacienda Brasil Ver</w:t>
      </w:r>
      <w:r>
        <w:rPr>
          <w:i/>
          <w:lang w:val="es-ES_tradnl"/>
        </w:rPr>
        <w:t>d</w:t>
      </w:r>
      <w:r w:rsidRPr="005049A3">
        <w:rPr>
          <w:i/>
          <w:lang w:val="es-ES_tradnl"/>
        </w:rPr>
        <w:t xml:space="preserve">e Vs. Brasil. Excepciones Preliminares, Fondo, Reparaciones y Costas. </w:t>
      </w:r>
      <w:r w:rsidRPr="00611D85">
        <w:rPr>
          <w:spacing w:val="-2"/>
          <w:lang w:val="es-ES_tradnl"/>
        </w:rPr>
        <w:t>Sentencia de 20 de octubre de 2016, Serie C No. 318, párr. 305.</w:t>
      </w:r>
      <w:r>
        <w:rPr>
          <w:lang w:val="es-ES_tradnl"/>
        </w:rPr>
        <w:t xml:space="preserve"> </w:t>
      </w:r>
    </w:p>
    <w:p w14:paraId="5A352199" w14:textId="77777777" w:rsidR="009D032A" w:rsidRPr="005049A3" w:rsidRDefault="009D032A" w:rsidP="0013659B">
      <w:pPr>
        <w:pStyle w:val="FootnoteText"/>
        <w:tabs>
          <w:tab w:val="left" w:pos="709"/>
        </w:tabs>
        <w:rPr>
          <w:lang w:val="es-ES_tradnl"/>
        </w:rPr>
      </w:pPr>
    </w:p>
  </w:footnote>
  <w:footnote w:id="114">
    <w:p w14:paraId="4D306E81" w14:textId="4F475EB7" w:rsidR="009D032A" w:rsidRPr="005049A3" w:rsidRDefault="009D032A" w:rsidP="0013659B">
      <w:pPr>
        <w:pStyle w:val="ListParagraph"/>
        <w:tabs>
          <w:tab w:val="left" w:pos="709"/>
        </w:tabs>
        <w:ind w:left="0"/>
        <w:rPr>
          <w:rFonts w:cs="Times New Roman"/>
          <w:sz w:val="16"/>
          <w:szCs w:val="16"/>
          <w:lang w:val="es-ES_tradnl"/>
        </w:rPr>
      </w:pPr>
      <w:r w:rsidRPr="005049A3">
        <w:rPr>
          <w:rStyle w:val="FootnoteReference"/>
          <w:sz w:val="16"/>
          <w:szCs w:val="16"/>
          <w:lang w:val="es-ES_tradnl"/>
        </w:rPr>
        <w:footnoteRef/>
      </w:r>
      <w:r w:rsidRPr="005049A3">
        <w:rPr>
          <w:sz w:val="16"/>
          <w:szCs w:val="16"/>
          <w:lang w:val="es-ES_tradnl"/>
        </w:rPr>
        <w:t xml:space="preserve"> </w:t>
      </w:r>
      <w:r>
        <w:rPr>
          <w:sz w:val="16"/>
          <w:szCs w:val="16"/>
          <w:lang w:val="es-ES_tradnl"/>
        </w:rPr>
        <w:tab/>
      </w:r>
      <w:r>
        <w:rPr>
          <w:rFonts w:cs="Times New Roman"/>
          <w:sz w:val="16"/>
          <w:szCs w:val="16"/>
          <w:lang w:val="es-ES_tradnl"/>
        </w:rPr>
        <w:t>T</w:t>
      </w:r>
      <w:r w:rsidRPr="005049A3">
        <w:rPr>
          <w:rFonts w:cs="Times New Roman"/>
          <w:sz w:val="16"/>
          <w:szCs w:val="16"/>
          <w:lang w:val="es-ES_tradnl"/>
        </w:rPr>
        <w:t>ambién sobre la discriminación estructural histórica se p</w:t>
      </w:r>
      <w:r>
        <w:rPr>
          <w:rFonts w:cs="Times New Roman"/>
          <w:sz w:val="16"/>
          <w:szCs w:val="16"/>
          <w:lang w:val="es-ES_tradnl"/>
        </w:rPr>
        <w:t>uede tener en consideración que</w:t>
      </w:r>
      <w:r w:rsidRPr="005049A3">
        <w:rPr>
          <w:rFonts w:cs="Times New Roman"/>
          <w:sz w:val="16"/>
          <w:szCs w:val="16"/>
          <w:lang w:val="es-ES_tradnl"/>
        </w:rPr>
        <w:t xml:space="preserve">: i) </w:t>
      </w:r>
      <w:r w:rsidRPr="005049A3">
        <w:rPr>
          <w:iCs/>
          <w:sz w:val="16"/>
          <w:szCs w:val="16"/>
          <w:lang w:val="es-ES_tradnl"/>
        </w:rPr>
        <w:t>En atención al elevado número de víctimas de esclavitud, trata y servidumbre que continúan siendo liberadas por parte de las autoridades brasileñas</w:t>
      </w:r>
      <w:r w:rsidRPr="005049A3">
        <w:rPr>
          <w:rStyle w:val="FootnoteReference"/>
          <w:iCs/>
          <w:sz w:val="16"/>
          <w:szCs w:val="16"/>
          <w:lang w:val="es-ES_tradnl"/>
        </w:rPr>
        <w:t xml:space="preserve"> </w:t>
      </w:r>
      <w:r w:rsidRPr="005049A3">
        <w:rPr>
          <w:iCs/>
          <w:sz w:val="16"/>
          <w:szCs w:val="16"/>
          <w:lang w:val="es-ES_tradnl"/>
        </w:rPr>
        <w:t>y al cambio de perspectiva de esos fenómenos y su ocurrencia “en los últimos eslabones de las cadenas de suministro de una economía globalizada”, es importante que el Estado adopte medidas para desalentar la demanda que alimenta la explotación del trabajo, tanto a través de trabajo forzoso c</w:t>
      </w:r>
      <w:r>
        <w:rPr>
          <w:iCs/>
          <w:sz w:val="16"/>
          <w:szCs w:val="16"/>
          <w:lang w:val="es-ES_tradnl"/>
        </w:rPr>
        <w:t>omo de servidumbre y esclavitud;</w:t>
      </w:r>
      <w:r w:rsidRPr="005049A3">
        <w:rPr>
          <w:iCs/>
          <w:sz w:val="16"/>
          <w:szCs w:val="16"/>
          <w:lang w:val="es-ES_tradnl"/>
        </w:rPr>
        <w:t xml:space="preserve">  ii) </w:t>
      </w:r>
      <w:r w:rsidRPr="005049A3">
        <w:rPr>
          <w:sz w:val="16"/>
          <w:szCs w:val="16"/>
          <w:lang w:val="es-ES_tradnl"/>
        </w:rPr>
        <w:t xml:space="preserve">Al respecto, en el caso concreto la Corte constató una serie de fallas y negligencia de parte del Estado en el sentido de prevenir la ocurrencia de servidumbre, trata y esclavitud en su territorio con anterioridad a 2000, pero también a partir de la denuncia concreta realizada por los señores Antonio Francisco da Silva y </w:t>
      </w:r>
      <w:r>
        <w:rPr>
          <w:sz w:val="16"/>
          <w:szCs w:val="16"/>
          <w:lang w:val="es-ES_tradnl"/>
        </w:rPr>
        <w:t xml:space="preserve">José Francisco </w:t>
      </w:r>
      <w:proofErr w:type="spellStart"/>
      <w:r>
        <w:rPr>
          <w:sz w:val="16"/>
          <w:szCs w:val="16"/>
          <w:lang w:val="es-ES_tradnl"/>
        </w:rPr>
        <w:t>Furtado</w:t>
      </w:r>
      <w:proofErr w:type="spellEnd"/>
      <w:r>
        <w:rPr>
          <w:sz w:val="16"/>
          <w:szCs w:val="16"/>
          <w:lang w:val="es-ES_tradnl"/>
        </w:rPr>
        <w:t xml:space="preserve"> de Sousa</w:t>
      </w:r>
      <w:bookmarkStart w:id="1" w:name="_GoBack"/>
      <w:bookmarkEnd w:id="1"/>
      <w:r>
        <w:rPr>
          <w:sz w:val="16"/>
          <w:szCs w:val="16"/>
          <w:lang w:val="es-ES_tradnl"/>
        </w:rPr>
        <w:t>,</w:t>
      </w:r>
      <w:r w:rsidRPr="005049A3">
        <w:rPr>
          <w:sz w:val="16"/>
          <w:szCs w:val="16"/>
          <w:lang w:val="es-ES_tradnl"/>
        </w:rPr>
        <w:t xml:space="preserve"> y iii)</w:t>
      </w:r>
      <w:r>
        <w:rPr>
          <w:sz w:val="16"/>
          <w:szCs w:val="16"/>
          <w:lang w:val="es-ES_tradnl"/>
        </w:rPr>
        <w:t xml:space="preserve"> </w:t>
      </w:r>
      <w:r w:rsidRPr="005049A3">
        <w:rPr>
          <w:sz w:val="16"/>
          <w:szCs w:val="16"/>
          <w:lang w:val="es-ES_tradnl"/>
        </w:rPr>
        <w:t xml:space="preserve">Desde 1988 se han realizado varias denuncias sobre la existencia de situación análoga a la esclavitud en el Estado de Pará, y específicamente en la Hacienda Brasil Verde. Dichas denuncias identificaban un </w:t>
      </w:r>
      <w:r w:rsidRPr="005049A3">
        <w:rPr>
          <w:i/>
          <w:sz w:val="16"/>
          <w:szCs w:val="16"/>
          <w:lang w:val="es-ES_tradnl"/>
        </w:rPr>
        <w:t>modus operandi</w:t>
      </w:r>
      <w:r w:rsidRPr="005049A3">
        <w:rPr>
          <w:sz w:val="16"/>
          <w:szCs w:val="16"/>
          <w:lang w:val="es-ES_tradnl"/>
        </w:rPr>
        <w:t xml:space="preserve"> de reclutamiento y explotación de trabajadores en esa región específica del sur del Estado de Pará.  Corte IDH. </w:t>
      </w:r>
      <w:r w:rsidRPr="005049A3">
        <w:rPr>
          <w:i/>
          <w:sz w:val="16"/>
          <w:szCs w:val="16"/>
          <w:lang w:val="es-ES_tradnl"/>
        </w:rPr>
        <w:t>Caso de los Trabajadores de la Hacienda Brasil Ver</w:t>
      </w:r>
      <w:r>
        <w:rPr>
          <w:i/>
          <w:sz w:val="16"/>
          <w:szCs w:val="16"/>
          <w:lang w:val="es-ES_tradnl"/>
        </w:rPr>
        <w:t>d</w:t>
      </w:r>
      <w:r w:rsidRPr="005049A3">
        <w:rPr>
          <w:i/>
          <w:sz w:val="16"/>
          <w:szCs w:val="16"/>
          <w:lang w:val="es-ES_tradnl"/>
        </w:rPr>
        <w:t xml:space="preserve">e Vs. Brasil. Excepciones Preliminares, Fondo, Reparaciones y Costas. </w:t>
      </w:r>
      <w:r>
        <w:rPr>
          <w:sz w:val="16"/>
          <w:szCs w:val="16"/>
          <w:lang w:val="es-ES_tradnl"/>
        </w:rPr>
        <w:t>Sentencia de 20 de</w:t>
      </w:r>
      <w:r w:rsidRPr="005049A3">
        <w:rPr>
          <w:sz w:val="16"/>
          <w:szCs w:val="16"/>
          <w:lang w:val="es-ES_tradnl"/>
        </w:rPr>
        <w:t xml:space="preserve"> octubre de </w:t>
      </w:r>
      <w:r>
        <w:rPr>
          <w:sz w:val="16"/>
          <w:szCs w:val="16"/>
          <w:lang w:val="es-ES_tradnl"/>
        </w:rPr>
        <w:t>2016, Serie C No. 318, párrs. 318, 319, 326 y 327</w:t>
      </w:r>
      <w:r w:rsidRPr="000C2F0F">
        <w:rPr>
          <w:sz w:val="16"/>
          <w:szCs w:val="16"/>
          <w:lang w:val="es-ES_tradnl"/>
        </w:rPr>
        <w:t>.</w:t>
      </w:r>
      <w:r w:rsidRPr="005049A3">
        <w:rPr>
          <w:sz w:val="16"/>
          <w:szCs w:val="16"/>
          <w:lang w:val="es-ES_tradnl"/>
        </w:rPr>
        <w:t xml:space="preserve"> </w:t>
      </w:r>
    </w:p>
    <w:p w14:paraId="548E98B2" w14:textId="69CC552E" w:rsidR="009D032A" w:rsidRPr="005049A3" w:rsidRDefault="009D032A" w:rsidP="0013659B">
      <w:pPr>
        <w:pStyle w:val="FootnoteText"/>
        <w:tabs>
          <w:tab w:val="left" w:pos="709"/>
        </w:tabs>
        <w:rPr>
          <w:lang w:val="es-ES_tradnl"/>
        </w:rPr>
      </w:pPr>
    </w:p>
  </w:footnote>
  <w:footnote w:id="115">
    <w:p w14:paraId="41715F5A" w14:textId="03729C05" w:rsidR="009D032A"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Corte IDH. </w:t>
      </w:r>
      <w:r w:rsidRPr="005049A3">
        <w:rPr>
          <w:i/>
          <w:lang w:val="es-ES_tradnl"/>
        </w:rPr>
        <w:t>Caso Trabajadores de la Hacienda Brasil Ver</w:t>
      </w:r>
      <w:r>
        <w:rPr>
          <w:i/>
          <w:lang w:val="es-ES_tradnl"/>
        </w:rPr>
        <w:t>d</w:t>
      </w:r>
      <w:r w:rsidRPr="005049A3">
        <w:rPr>
          <w:i/>
          <w:lang w:val="es-ES_tradnl"/>
        </w:rPr>
        <w:t xml:space="preserve">e Vs. Brasil. Excepciones Preliminares, Fondo, Reparaciones y Costas. </w:t>
      </w:r>
      <w:r>
        <w:rPr>
          <w:lang w:val="es-ES_tradnl"/>
        </w:rPr>
        <w:t>Sentencia de 20 de</w:t>
      </w:r>
      <w:r w:rsidRPr="005049A3">
        <w:rPr>
          <w:lang w:val="es-ES_tradnl"/>
        </w:rPr>
        <w:t xml:space="preserve"> octubre de 2016, </w:t>
      </w:r>
      <w:r>
        <w:rPr>
          <w:lang w:val="es-ES_tradnl"/>
        </w:rPr>
        <w:t>Serie C No. 318,</w:t>
      </w:r>
      <w:r w:rsidRPr="005049A3">
        <w:rPr>
          <w:lang w:val="es-ES_tradnl"/>
        </w:rPr>
        <w:t xml:space="preserve"> párr. 339. </w:t>
      </w:r>
    </w:p>
    <w:p w14:paraId="313BA3F1" w14:textId="77777777" w:rsidR="009D032A" w:rsidRPr="005049A3" w:rsidRDefault="009D032A" w:rsidP="0013659B">
      <w:pPr>
        <w:pStyle w:val="FootnoteText"/>
        <w:tabs>
          <w:tab w:val="left" w:pos="709"/>
        </w:tabs>
        <w:rPr>
          <w:lang w:val="es-ES_tradnl"/>
        </w:rPr>
      </w:pPr>
    </w:p>
  </w:footnote>
  <w:footnote w:id="116">
    <w:p w14:paraId="66977B47" w14:textId="24F30962" w:rsidR="009D032A" w:rsidRPr="005049A3"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5049A3">
        <w:rPr>
          <w:lang w:val="es-ES_tradnl"/>
        </w:rPr>
        <w:t xml:space="preserve">Corte IDH. </w:t>
      </w:r>
      <w:r w:rsidRPr="005049A3">
        <w:rPr>
          <w:i/>
          <w:lang w:val="es-ES_tradnl"/>
        </w:rPr>
        <w:t>Caso Trabajadores de la Hacienda Brasil Ver</w:t>
      </w:r>
      <w:r>
        <w:rPr>
          <w:i/>
          <w:lang w:val="es-ES_tradnl"/>
        </w:rPr>
        <w:t>d</w:t>
      </w:r>
      <w:r w:rsidRPr="005049A3">
        <w:rPr>
          <w:i/>
          <w:lang w:val="es-ES_tradnl"/>
        </w:rPr>
        <w:t xml:space="preserve">e Vs. Brasil. Excepciones Preliminares, Fondo, Reparaciones y Costas. </w:t>
      </w:r>
      <w:r>
        <w:rPr>
          <w:lang w:val="es-ES_tradnl"/>
        </w:rPr>
        <w:t xml:space="preserve">Sentencia de </w:t>
      </w:r>
      <w:r w:rsidRPr="005049A3">
        <w:rPr>
          <w:lang w:val="es-ES_tradnl"/>
        </w:rPr>
        <w:t xml:space="preserve"> </w:t>
      </w:r>
      <w:r>
        <w:rPr>
          <w:lang w:val="es-ES_tradnl"/>
        </w:rPr>
        <w:t xml:space="preserve">20 de </w:t>
      </w:r>
      <w:r w:rsidRPr="005049A3">
        <w:rPr>
          <w:lang w:val="es-ES_tradnl"/>
        </w:rPr>
        <w:t xml:space="preserve">octubre de 2016, </w:t>
      </w:r>
      <w:r>
        <w:rPr>
          <w:lang w:val="es-ES_tradnl"/>
        </w:rPr>
        <w:t>Serie C No. 318,</w:t>
      </w:r>
      <w:r w:rsidRPr="005049A3">
        <w:rPr>
          <w:lang w:val="es-ES_tradnl"/>
        </w:rPr>
        <w:t xml:space="preserve"> párr. 338.</w:t>
      </w:r>
    </w:p>
  </w:footnote>
  <w:footnote w:id="117">
    <w:p w14:paraId="46AC1458" w14:textId="77777777" w:rsidR="009D032A" w:rsidRPr="005049A3" w:rsidRDefault="009D032A" w:rsidP="0013659B">
      <w:pPr>
        <w:pStyle w:val="FootnoteText"/>
        <w:tabs>
          <w:tab w:val="left" w:pos="709"/>
        </w:tabs>
        <w:rPr>
          <w:lang w:val="es-ES_tradnl"/>
        </w:rPr>
      </w:pPr>
    </w:p>
    <w:p w14:paraId="312D794F" w14:textId="77777777" w:rsidR="009D032A" w:rsidRDefault="009D032A" w:rsidP="0013659B">
      <w:pPr>
        <w:pStyle w:val="FootnoteText"/>
        <w:tabs>
          <w:tab w:val="left" w:pos="709"/>
        </w:tabs>
        <w:rPr>
          <w:lang w:val="es-ES_tradnl"/>
        </w:rPr>
      </w:pPr>
      <w:r w:rsidRPr="005049A3">
        <w:rPr>
          <w:rStyle w:val="FootnoteReference"/>
          <w:szCs w:val="16"/>
          <w:lang w:val="es-ES_tradnl"/>
        </w:rPr>
        <w:footnoteRef/>
      </w:r>
      <w:r w:rsidRPr="005049A3">
        <w:rPr>
          <w:lang w:val="es-ES_tradnl"/>
        </w:rPr>
        <w:t xml:space="preserve"> </w:t>
      </w:r>
      <w:r>
        <w:rPr>
          <w:lang w:val="es-ES_tradnl"/>
        </w:rPr>
        <w:tab/>
      </w:r>
      <w:r w:rsidRPr="002C6F07">
        <w:rPr>
          <w:i/>
          <w:lang w:val="es-ES_tradnl"/>
        </w:rPr>
        <w:t>Cfr</w:t>
      </w:r>
      <w:r>
        <w:rPr>
          <w:lang w:val="es-ES_tradnl"/>
        </w:rPr>
        <w:t xml:space="preserve">. </w:t>
      </w:r>
      <w:r w:rsidRPr="005049A3">
        <w:rPr>
          <w:lang w:val="es-ES_tradnl"/>
        </w:rPr>
        <w:t xml:space="preserve">Giménez </w:t>
      </w:r>
      <w:proofErr w:type="spellStart"/>
      <w:r w:rsidRPr="005049A3">
        <w:rPr>
          <w:lang w:val="es-ES_tradnl"/>
        </w:rPr>
        <w:t>Glück</w:t>
      </w:r>
      <w:proofErr w:type="spellEnd"/>
      <w:r w:rsidRPr="005049A3">
        <w:rPr>
          <w:lang w:val="es-ES_tradnl"/>
        </w:rPr>
        <w:t xml:space="preserve">, David, </w:t>
      </w:r>
      <w:r w:rsidRPr="005049A3">
        <w:rPr>
          <w:i/>
          <w:lang w:val="es-ES_tradnl"/>
        </w:rPr>
        <w:t xml:space="preserve">El juicio de igualdad y Tribunal Constitucional, </w:t>
      </w:r>
      <w:r>
        <w:rPr>
          <w:lang w:val="es-ES_tradnl"/>
        </w:rPr>
        <w:t>Barcelona, Bosch, 2004, pp. 311-</w:t>
      </w:r>
      <w:r w:rsidRPr="005049A3">
        <w:rPr>
          <w:lang w:val="es-ES_tradnl"/>
        </w:rPr>
        <w:t>312 y ss.</w:t>
      </w:r>
    </w:p>
    <w:p w14:paraId="52955E8E" w14:textId="38939E45" w:rsidR="009D032A" w:rsidRPr="005049A3" w:rsidRDefault="009D032A" w:rsidP="0013659B">
      <w:pPr>
        <w:pStyle w:val="FootnoteText"/>
        <w:tabs>
          <w:tab w:val="left" w:pos="709"/>
        </w:tabs>
        <w:rPr>
          <w:lang w:val="es-ES_tradnl"/>
        </w:rPr>
      </w:pPr>
      <w:r w:rsidRPr="005049A3">
        <w:rPr>
          <w:lang w:val="es-ES_tradnl"/>
        </w:rPr>
        <w:t xml:space="preserve">   </w:t>
      </w:r>
    </w:p>
  </w:footnote>
  <w:footnote w:id="118">
    <w:p w14:paraId="112F6199" w14:textId="31561D73" w:rsidR="009D032A" w:rsidRDefault="009D032A" w:rsidP="00235425">
      <w:pPr>
        <w:pStyle w:val="FootnoteText"/>
        <w:tabs>
          <w:tab w:val="left" w:pos="567"/>
          <w:tab w:val="left" w:pos="709"/>
        </w:tabs>
        <w:rPr>
          <w:lang w:val="es-ES_tradnl"/>
        </w:rPr>
      </w:pPr>
      <w:r w:rsidRPr="00D34454">
        <w:rPr>
          <w:rStyle w:val="FootnoteReference"/>
          <w:szCs w:val="16"/>
        </w:rPr>
        <w:footnoteRef/>
      </w:r>
      <w:r w:rsidRPr="00EA236D">
        <w:rPr>
          <w:lang w:val="es-ES"/>
        </w:rPr>
        <w:t xml:space="preserve"> </w:t>
      </w:r>
      <w:r w:rsidRPr="00D34454">
        <w:rPr>
          <w:lang w:val="es-ES_tradnl"/>
        </w:rPr>
        <w:t xml:space="preserve"> </w:t>
      </w:r>
      <w:r w:rsidRPr="00D34454">
        <w:rPr>
          <w:lang w:val="es-ES_tradnl"/>
        </w:rPr>
        <w:tab/>
      </w:r>
      <w:r w:rsidRPr="00D34454">
        <w:rPr>
          <w:lang w:val="es-ES_tradnl"/>
        </w:rPr>
        <w:tab/>
      </w:r>
      <w:r>
        <w:rPr>
          <w:rFonts w:cs="Times New Roman"/>
          <w:lang w:val="es-ES_tradnl"/>
        </w:rPr>
        <w:t xml:space="preserve">Es de resaltar, en este caso, </w:t>
      </w:r>
      <w:r w:rsidRPr="00D34454">
        <w:rPr>
          <w:rFonts w:cs="Times New Roman"/>
          <w:lang w:val="es-ES_tradnl"/>
        </w:rPr>
        <w:t xml:space="preserve">que la Corte IDH no determinó </w:t>
      </w:r>
      <w:r w:rsidRPr="00D34454">
        <w:rPr>
          <w:rFonts w:cs="Times New Roman"/>
          <w:i/>
          <w:lang w:val="es-ES_tradnl"/>
        </w:rPr>
        <w:t>medidas de no repetición</w:t>
      </w:r>
      <w:r w:rsidRPr="00D34454">
        <w:rPr>
          <w:rFonts w:cs="Times New Roman"/>
          <w:lang w:val="es-ES_tradnl"/>
        </w:rPr>
        <w:t xml:space="preserve"> como parte de las reparaciones, </w:t>
      </w:r>
      <w:r>
        <w:rPr>
          <w:rFonts w:cs="Times New Roman"/>
          <w:lang w:val="es-ES_tradnl"/>
        </w:rPr>
        <w:t xml:space="preserve">al considerar que </w:t>
      </w:r>
      <w:r w:rsidRPr="00D34454">
        <w:rPr>
          <w:rFonts w:cs="Times New Roman"/>
          <w:lang w:val="es-ES_tradnl"/>
        </w:rPr>
        <w:t>a partir del año 1995 el Estado brasileño ha redoblado esfuerzos para evitar la perpetuación de la situación de captación de personas pobres que son sometidas a trabajo esclavo, acción que la Corte IDH valoró positivamente; con independencia de lo anterior</w:t>
      </w:r>
      <w:r>
        <w:rPr>
          <w:rFonts w:cs="Times New Roman"/>
          <w:lang w:val="es-ES_tradnl"/>
        </w:rPr>
        <w:t>, y sin demeritar los esfuerzos</w:t>
      </w:r>
      <w:r w:rsidRPr="00D34454">
        <w:rPr>
          <w:rFonts w:cs="Times New Roman"/>
          <w:lang w:val="es-ES_tradnl"/>
        </w:rPr>
        <w:t xml:space="preserve"> que hasta ahora han sido implementados, la Corte IDH </w:t>
      </w:r>
      <w:r w:rsidRPr="00A17F6C">
        <w:rPr>
          <w:rFonts w:cs="Arial"/>
          <w:i/>
          <w:iCs/>
          <w:lang w:val="es-ES_tradnl"/>
        </w:rPr>
        <w:t>instó</w:t>
      </w:r>
      <w:r w:rsidRPr="00D34454">
        <w:rPr>
          <w:rFonts w:cs="Arial"/>
          <w:iCs/>
          <w:lang w:val="es-ES_tradnl"/>
        </w:rPr>
        <w:t xml:space="preserve"> al Estado a continuar incrementando la eficacia de sus políticas y la interacción entre los varios órganos vinculados al combate de la esclavitud en Brasil, </w:t>
      </w:r>
      <w:r w:rsidRPr="00D34454">
        <w:rPr>
          <w:rFonts w:cs="Arial"/>
          <w:i/>
          <w:iCs/>
          <w:lang w:val="es-ES_tradnl"/>
        </w:rPr>
        <w:t>sin permitir ninguna regresión en la materia</w:t>
      </w:r>
      <w:r w:rsidRPr="00D34454">
        <w:rPr>
          <w:rFonts w:cs="Arial"/>
          <w:iCs/>
          <w:lang w:val="es-ES_tradnl"/>
        </w:rPr>
        <w:t xml:space="preserve">. </w:t>
      </w:r>
      <w:r w:rsidRPr="00D34454">
        <w:rPr>
          <w:rFonts w:cs="Times New Roman"/>
          <w:lang w:val="es-ES_tradnl"/>
        </w:rPr>
        <w:t xml:space="preserve">En este sentido, el mandato de no regresividad, implica que si bien no se dictaron acciones y medidas adicionales a las implementas por ser suficientes a criterio del Tribunal Interamericano, la garantía de no repetición no se agota únicamente con la existencia de acciones, medidas, normas y políticas públicas sino que toda esa gama </w:t>
      </w:r>
      <w:r>
        <w:rPr>
          <w:rFonts w:cs="Times New Roman"/>
          <w:lang w:val="es-ES_tradnl"/>
        </w:rPr>
        <w:t xml:space="preserve">de </w:t>
      </w:r>
      <w:r w:rsidRPr="00D34454">
        <w:rPr>
          <w:rFonts w:cs="Times New Roman"/>
          <w:lang w:val="es-ES_tradnl"/>
        </w:rPr>
        <w:t xml:space="preserve">mecanismos se hagan efectivos y se materialicen en la realidad y, por ende, no permitan la existencia nuevamente de situaciones de discriminación como las que se presentaron en la Sentencia. </w:t>
      </w:r>
      <w:r w:rsidRPr="00D34454">
        <w:rPr>
          <w:rFonts w:cs="Times New Roman"/>
          <w:i/>
          <w:lang w:val="es-ES_tradnl"/>
        </w:rPr>
        <w:t>Cfr.</w:t>
      </w:r>
      <w:r w:rsidRPr="00D34454">
        <w:rPr>
          <w:rFonts w:cs="Times New Roman"/>
          <w:lang w:val="es-ES_tradnl"/>
        </w:rPr>
        <w:t xml:space="preserve"> </w:t>
      </w:r>
      <w:r w:rsidRPr="00D34454">
        <w:rPr>
          <w:lang w:val="es-ES_tradnl"/>
        </w:rPr>
        <w:t xml:space="preserve">Corte IDH. </w:t>
      </w:r>
      <w:r w:rsidRPr="00D34454">
        <w:rPr>
          <w:i/>
          <w:lang w:val="es-ES_tradnl"/>
        </w:rPr>
        <w:t>Caso de los Trabajadores de la Hacienda Brasil Ver</w:t>
      </w:r>
      <w:r>
        <w:rPr>
          <w:i/>
          <w:lang w:val="es-ES_tradnl"/>
        </w:rPr>
        <w:t>d</w:t>
      </w:r>
      <w:r w:rsidRPr="00D34454">
        <w:rPr>
          <w:i/>
          <w:lang w:val="es-ES_tradnl"/>
        </w:rPr>
        <w:t xml:space="preserve">e Vs. Brasil. Excepciones Preliminares, Fondo, Reparaciones y Costas. </w:t>
      </w:r>
      <w:r w:rsidRPr="00D34454">
        <w:rPr>
          <w:lang w:val="es-ES_tradnl"/>
        </w:rPr>
        <w:t xml:space="preserve">Sentencia de 20 octubre de 2016, </w:t>
      </w:r>
      <w:r>
        <w:rPr>
          <w:lang w:val="es-ES_tradnl"/>
        </w:rPr>
        <w:t>Serie C No. 318,</w:t>
      </w:r>
      <w:r w:rsidRPr="00D34454">
        <w:rPr>
          <w:lang w:val="es-ES_tradnl"/>
        </w:rPr>
        <w:t xml:space="preserve"> párr. 470.</w:t>
      </w:r>
    </w:p>
    <w:p w14:paraId="79E48C34" w14:textId="77777777" w:rsidR="009D032A" w:rsidRPr="00467387" w:rsidRDefault="009D032A" w:rsidP="00235425">
      <w:pPr>
        <w:pStyle w:val="FootnoteText"/>
        <w:tabs>
          <w:tab w:val="left" w:pos="567"/>
          <w:tab w:val="left" w:pos="709"/>
        </w:tabs>
        <w:rPr>
          <w:lang w:val="es-ES_tradnl"/>
        </w:rPr>
      </w:pPr>
    </w:p>
  </w:footnote>
  <w:footnote w:id="119">
    <w:p w14:paraId="2956FB01" w14:textId="5CC34143" w:rsidR="009D032A" w:rsidRDefault="009D032A" w:rsidP="007A5E94">
      <w:pPr>
        <w:pStyle w:val="FootnoteText"/>
        <w:tabs>
          <w:tab w:val="left" w:pos="709"/>
        </w:tabs>
        <w:rPr>
          <w:lang w:val="pt-BR"/>
        </w:rPr>
      </w:pPr>
      <w:r w:rsidRPr="000864EF">
        <w:rPr>
          <w:rStyle w:val="FootnoteReference"/>
        </w:rPr>
        <w:footnoteRef/>
      </w:r>
      <w:r w:rsidRPr="00EA236D">
        <w:rPr>
          <w:lang w:val="es-ES"/>
        </w:rPr>
        <w:t xml:space="preserve"> </w:t>
      </w:r>
      <w:r w:rsidRPr="00EA236D">
        <w:rPr>
          <w:lang w:val="es-ES"/>
        </w:rPr>
        <w:tab/>
      </w:r>
      <w:r w:rsidRPr="005049A3">
        <w:rPr>
          <w:lang w:val="es-ES_tradnl"/>
        </w:rPr>
        <w:t xml:space="preserve">Corte IDH. </w:t>
      </w:r>
      <w:r w:rsidRPr="005049A3">
        <w:rPr>
          <w:i/>
          <w:lang w:val="es-ES_tradnl"/>
        </w:rPr>
        <w:t>Caso Trabajadores de la Hacienda Brasil Ver</w:t>
      </w:r>
      <w:r>
        <w:rPr>
          <w:i/>
          <w:lang w:val="es-ES_tradnl"/>
        </w:rPr>
        <w:t>d</w:t>
      </w:r>
      <w:r w:rsidRPr="005049A3">
        <w:rPr>
          <w:i/>
          <w:lang w:val="es-ES_tradnl"/>
        </w:rPr>
        <w:t xml:space="preserve">e Vs. Brasil. Excepciones Preliminares, Fondo, Reparaciones y Costas. </w:t>
      </w:r>
      <w:r w:rsidRPr="00EA236D">
        <w:rPr>
          <w:lang w:val="pt-BR"/>
        </w:rPr>
        <w:t xml:space="preserve">Sentencia de 20 de octubre de 2016, </w:t>
      </w:r>
      <w:r>
        <w:rPr>
          <w:lang w:val="pt-BR"/>
        </w:rPr>
        <w:t>Serie C No. 318,</w:t>
      </w:r>
      <w:r w:rsidRPr="00EA236D">
        <w:rPr>
          <w:lang w:val="pt-BR"/>
        </w:rPr>
        <w:t xml:space="preserve"> párr. 340. </w:t>
      </w:r>
      <w:r w:rsidRPr="0097276F">
        <w:rPr>
          <w:i/>
          <w:lang w:val="pt-BR"/>
        </w:rPr>
        <w:t>Cfr.</w:t>
      </w:r>
      <w:r>
        <w:rPr>
          <w:lang w:val="pt-BR"/>
        </w:rPr>
        <w:t xml:space="preserve"> </w:t>
      </w:r>
      <w:r w:rsidRPr="000864EF">
        <w:rPr>
          <w:lang w:val="pt-BR"/>
        </w:rPr>
        <w:t xml:space="preserve">OIT – Brasil. </w:t>
      </w:r>
      <w:r w:rsidRPr="000864EF">
        <w:rPr>
          <w:i/>
          <w:lang w:val="pt-BR"/>
        </w:rPr>
        <w:t>Combatendo o trabalho Escravo Contemporâneo: o exemplo do Brasil</w:t>
      </w:r>
      <w:r w:rsidRPr="000864EF">
        <w:rPr>
          <w:lang w:val="pt-BR"/>
        </w:rPr>
        <w:t>, 2010, pág. 2010 (expediente de prueba, folio 8529).</w:t>
      </w:r>
    </w:p>
    <w:p w14:paraId="4E64CFB1" w14:textId="77777777" w:rsidR="009D032A" w:rsidRPr="000E5954" w:rsidRDefault="009D032A" w:rsidP="007A5E94">
      <w:pPr>
        <w:pStyle w:val="FootnoteText"/>
        <w:tabs>
          <w:tab w:val="left" w:pos="709"/>
        </w:tabs>
        <w:rPr>
          <w:lang w:val="pt-BR"/>
        </w:rPr>
      </w:pPr>
    </w:p>
  </w:footnote>
  <w:footnote w:id="120">
    <w:p w14:paraId="733EF46F" w14:textId="066FA492" w:rsidR="009D032A" w:rsidRPr="006C283D" w:rsidRDefault="009D032A" w:rsidP="00F912E5">
      <w:pPr>
        <w:pStyle w:val="FootnoteText"/>
        <w:tabs>
          <w:tab w:val="clear" w:pos="4419"/>
          <w:tab w:val="clear" w:pos="8838"/>
        </w:tabs>
        <w:rPr>
          <w:lang w:val="es-ES_tradnl"/>
        </w:rPr>
      </w:pPr>
      <w:r w:rsidRPr="00A17F6C">
        <w:rPr>
          <w:rStyle w:val="FootnoteReference"/>
        </w:rPr>
        <w:footnoteRef/>
      </w:r>
      <w:r w:rsidRPr="00EA236D">
        <w:rPr>
          <w:lang w:val="es-ES"/>
        </w:rPr>
        <w:t xml:space="preserve"> </w:t>
      </w:r>
      <w:r w:rsidRPr="00EA236D">
        <w:rPr>
          <w:lang w:val="es-ES"/>
        </w:rPr>
        <w:tab/>
      </w:r>
      <w:r w:rsidRPr="00A17F6C">
        <w:rPr>
          <w:i/>
          <w:lang w:val="es-ES_tradnl"/>
        </w:rPr>
        <w:t>Cfr.</w:t>
      </w:r>
      <w:r w:rsidRPr="00A17F6C">
        <w:rPr>
          <w:lang w:val="es-ES_tradnl"/>
        </w:rPr>
        <w:t xml:space="preserve"> </w:t>
      </w:r>
      <w:proofErr w:type="spellStart"/>
      <w:r w:rsidRPr="00A17F6C">
        <w:rPr>
          <w:lang w:val="es-ES_tradnl"/>
        </w:rPr>
        <w:t>Piovesan</w:t>
      </w:r>
      <w:proofErr w:type="spellEnd"/>
      <w:r w:rsidRPr="00A17F6C">
        <w:rPr>
          <w:lang w:val="es-ES_tradnl"/>
        </w:rPr>
        <w:t xml:space="preserve">, </w:t>
      </w:r>
      <w:proofErr w:type="spellStart"/>
      <w:r w:rsidRPr="00A17F6C">
        <w:rPr>
          <w:lang w:val="es-ES_tradnl"/>
        </w:rPr>
        <w:t>Flávia</w:t>
      </w:r>
      <w:proofErr w:type="spellEnd"/>
      <w:r w:rsidRPr="00A17F6C">
        <w:rPr>
          <w:lang w:val="es-ES_tradnl"/>
        </w:rPr>
        <w:t xml:space="preserve">, “Protección de los derechos sociales: retos de un </w:t>
      </w:r>
      <w:proofErr w:type="spellStart"/>
      <w:r w:rsidRPr="007777C4">
        <w:rPr>
          <w:i/>
          <w:lang w:val="es-ES_tradnl"/>
        </w:rPr>
        <w:t>ius</w:t>
      </w:r>
      <w:proofErr w:type="spellEnd"/>
      <w:r w:rsidRPr="007777C4">
        <w:rPr>
          <w:i/>
          <w:lang w:val="es-ES_tradnl"/>
        </w:rPr>
        <w:t xml:space="preserve"> </w:t>
      </w:r>
      <w:proofErr w:type="spellStart"/>
      <w:r w:rsidRPr="007777C4">
        <w:rPr>
          <w:i/>
          <w:lang w:val="es-ES_tradnl"/>
        </w:rPr>
        <w:t>commune</w:t>
      </w:r>
      <w:proofErr w:type="spellEnd"/>
      <w:r w:rsidRPr="00A17F6C">
        <w:rPr>
          <w:lang w:val="es-ES_tradnl"/>
        </w:rPr>
        <w:t xml:space="preserve"> para Sudamérica”</w:t>
      </w:r>
      <w:r w:rsidRPr="00A17F6C">
        <w:rPr>
          <w:i/>
          <w:lang w:val="es-ES_tradnl"/>
        </w:rPr>
        <w:t xml:space="preserve">, </w:t>
      </w:r>
      <w:r w:rsidRPr="00A17F6C">
        <w:rPr>
          <w:lang w:val="es-ES_tradnl"/>
        </w:rPr>
        <w:t xml:space="preserve">en </w:t>
      </w:r>
      <w:proofErr w:type="spellStart"/>
      <w:r w:rsidRPr="00A17F6C">
        <w:rPr>
          <w:lang w:val="es-ES_tradnl"/>
        </w:rPr>
        <w:t>Bogdandy</w:t>
      </w:r>
      <w:proofErr w:type="spellEnd"/>
      <w:r w:rsidRPr="00A17F6C">
        <w:rPr>
          <w:lang w:val="es-ES_tradnl"/>
        </w:rPr>
        <w:t xml:space="preserve">, </w:t>
      </w:r>
      <w:proofErr w:type="spellStart"/>
      <w:r w:rsidRPr="00A17F6C">
        <w:rPr>
          <w:lang w:val="es-ES_tradnl"/>
        </w:rPr>
        <w:t>Armin</w:t>
      </w:r>
      <w:proofErr w:type="spellEnd"/>
      <w:r w:rsidRPr="00A17F6C">
        <w:rPr>
          <w:lang w:val="es-ES_tradnl"/>
        </w:rPr>
        <w:t xml:space="preserve"> von, </w:t>
      </w:r>
      <w:proofErr w:type="spellStart"/>
      <w:r w:rsidRPr="00A17F6C">
        <w:rPr>
          <w:lang w:val="es-ES_tradnl"/>
        </w:rPr>
        <w:t>Fix</w:t>
      </w:r>
      <w:proofErr w:type="spellEnd"/>
      <w:r w:rsidRPr="00A17F6C">
        <w:rPr>
          <w:lang w:val="es-ES_tradnl"/>
        </w:rPr>
        <w:t xml:space="preserve"> Fierro, Héctor, Morales </w:t>
      </w:r>
      <w:proofErr w:type="spellStart"/>
      <w:r w:rsidRPr="00A17F6C">
        <w:rPr>
          <w:lang w:val="es-ES_tradnl"/>
        </w:rPr>
        <w:t>Antoniazzi</w:t>
      </w:r>
      <w:proofErr w:type="spellEnd"/>
      <w:r w:rsidRPr="00A17F6C">
        <w:rPr>
          <w:lang w:val="es-ES_tradnl"/>
        </w:rPr>
        <w:t>, Mariela, y Ferrer Mac-</w:t>
      </w:r>
      <w:proofErr w:type="spellStart"/>
      <w:r w:rsidRPr="00A17F6C">
        <w:rPr>
          <w:lang w:val="es-ES_tradnl"/>
        </w:rPr>
        <w:t>Gregor</w:t>
      </w:r>
      <w:proofErr w:type="spellEnd"/>
      <w:r w:rsidRPr="00A17F6C">
        <w:rPr>
          <w:lang w:val="es-ES_tradnl"/>
        </w:rPr>
        <w:t>, Eduardo (</w:t>
      </w:r>
      <w:proofErr w:type="spellStart"/>
      <w:r w:rsidRPr="00A17F6C">
        <w:rPr>
          <w:lang w:val="es-ES_tradnl"/>
        </w:rPr>
        <w:t>coords</w:t>
      </w:r>
      <w:proofErr w:type="spellEnd"/>
      <w:r w:rsidRPr="00A17F6C">
        <w:rPr>
          <w:lang w:val="es-ES_tradnl"/>
        </w:rPr>
        <w:t xml:space="preserve">.), </w:t>
      </w:r>
      <w:r w:rsidRPr="00A17F6C">
        <w:rPr>
          <w:i/>
          <w:lang w:val="es-ES_tradnl"/>
        </w:rPr>
        <w:t xml:space="preserve">Construcción y papel de los derechos sociales fundamentales: Hacia un </w:t>
      </w:r>
      <w:proofErr w:type="spellStart"/>
      <w:r w:rsidRPr="007777C4">
        <w:rPr>
          <w:lang w:val="es-ES_tradnl"/>
        </w:rPr>
        <w:t>Ius</w:t>
      </w:r>
      <w:proofErr w:type="spellEnd"/>
      <w:r w:rsidRPr="007777C4">
        <w:rPr>
          <w:lang w:val="es-ES_tradnl"/>
        </w:rPr>
        <w:t xml:space="preserve"> </w:t>
      </w:r>
      <w:proofErr w:type="spellStart"/>
      <w:r w:rsidRPr="007777C4">
        <w:rPr>
          <w:lang w:val="es-ES_tradnl"/>
        </w:rPr>
        <w:t>Constitutionale</w:t>
      </w:r>
      <w:proofErr w:type="spellEnd"/>
      <w:r w:rsidRPr="007777C4">
        <w:rPr>
          <w:lang w:val="es-ES_tradnl"/>
        </w:rPr>
        <w:t xml:space="preserve"> </w:t>
      </w:r>
      <w:proofErr w:type="spellStart"/>
      <w:r w:rsidRPr="007777C4">
        <w:rPr>
          <w:lang w:val="es-ES_tradnl"/>
        </w:rPr>
        <w:t>Commune</w:t>
      </w:r>
      <w:proofErr w:type="spellEnd"/>
      <w:r w:rsidRPr="00A17F6C">
        <w:rPr>
          <w:i/>
          <w:lang w:val="es-ES_tradnl"/>
        </w:rPr>
        <w:t xml:space="preserve"> en América Latina, </w:t>
      </w:r>
      <w:r w:rsidRPr="00A17F6C">
        <w:rPr>
          <w:lang w:val="es-ES_tradnl"/>
        </w:rPr>
        <w:t>México, UNAM/IIJ-</w:t>
      </w:r>
      <w:r>
        <w:rPr>
          <w:lang w:val="es-ES_tradnl"/>
        </w:rPr>
        <w:t>Instituto Iberoamericano de Derecho Constitucional-Max Planck-</w:t>
      </w:r>
      <w:proofErr w:type="spellStart"/>
      <w:r w:rsidRPr="00A17F6C">
        <w:rPr>
          <w:lang w:val="es-ES_tradnl"/>
        </w:rPr>
        <w:t>Institute</w:t>
      </w:r>
      <w:proofErr w:type="spellEnd"/>
      <w:r>
        <w:rPr>
          <w:lang w:val="es-ES_tradnl"/>
        </w:rPr>
        <w:t xml:space="preserve"> </w:t>
      </w:r>
      <w:proofErr w:type="spellStart"/>
      <w:r>
        <w:rPr>
          <w:lang w:val="es-ES_tradnl"/>
        </w:rPr>
        <w:t>für</w:t>
      </w:r>
      <w:proofErr w:type="spellEnd"/>
      <w:r>
        <w:rPr>
          <w:lang w:val="es-ES_tradnl"/>
        </w:rPr>
        <w:t xml:space="preserve"> </w:t>
      </w:r>
      <w:proofErr w:type="spellStart"/>
      <w:r>
        <w:rPr>
          <w:lang w:val="es-ES_tradnl"/>
        </w:rPr>
        <w:t>ausländisches</w:t>
      </w:r>
      <w:proofErr w:type="spellEnd"/>
      <w:r>
        <w:rPr>
          <w:lang w:val="es-ES_tradnl"/>
        </w:rPr>
        <w:t xml:space="preserve"> </w:t>
      </w:r>
      <w:proofErr w:type="spellStart"/>
      <w:r>
        <w:rPr>
          <w:lang w:val="es-ES_tradnl"/>
        </w:rPr>
        <w:t>öffentliches</w:t>
      </w:r>
      <w:proofErr w:type="spellEnd"/>
      <w:r>
        <w:rPr>
          <w:lang w:val="es-ES_tradnl"/>
        </w:rPr>
        <w:t xml:space="preserve"> </w:t>
      </w:r>
      <w:proofErr w:type="spellStart"/>
      <w:r>
        <w:rPr>
          <w:lang w:val="es-ES_tradnl"/>
        </w:rPr>
        <w:t>Recht</w:t>
      </w:r>
      <w:proofErr w:type="spellEnd"/>
      <w:r>
        <w:rPr>
          <w:lang w:val="es-ES_tradnl"/>
        </w:rPr>
        <w:t xml:space="preserve"> </w:t>
      </w:r>
      <w:proofErr w:type="spellStart"/>
      <w:r>
        <w:rPr>
          <w:lang w:val="es-ES_tradnl"/>
        </w:rPr>
        <w:t>und</w:t>
      </w:r>
      <w:proofErr w:type="spellEnd"/>
      <w:r>
        <w:rPr>
          <w:lang w:val="es-ES_tradnl"/>
        </w:rPr>
        <w:t xml:space="preserve"> </w:t>
      </w:r>
      <w:proofErr w:type="spellStart"/>
      <w:r>
        <w:rPr>
          <w:lang w:val="es-ES_tradnl"/>
        </w:rPr>
        <w:t>Völkerrecht</w:t>
      </w:r>
      <w:proofErr w:type="spellEnd"/>
      <w:r w:rsidRPr="00A17F6C">
        <w:rPr>
          <w:lang w:val="es-ES_tradnl"/>
        </w:rPr>
        <w:t>, 2011, pp. 339-380, en p. 369.</w:t>
      </w:r>
      <w:r w:rsidRPr="006C283D">
        <w:rPr>
          <w:lang w:val="es-ES_tradnl"/>
        </w:rPr>
        <w:tab/>
      </w:r>
    </w:p>
    <w:p w14:paraId="2B81CDF2" w14:textId="77777777" w:rsidR="009D032A" w:rsidRPr="006C283D" w:rsidRDefault="009D032A">
      <w:pPr>
        <w:pStyle w:val="FootnoteText"/>
        <w:rPr>
          <w:lang w:val="es-ES_tradnl"/>
        </w:rPr>
      </w:pPr>
    </w:p>
  </w:footnote>
  <w:footnote w:id="121">
    <w:p w14:paraId="41813D5E" w14:textId="4E17ABEF" w:rsidR="009D032A" w:rsidRPr="00DE3A14" w:rsidRDefault="009D032A" w:rsidP="007E6A02">
      <w:pPr>
        <w:pStyle w:val="CPClassification"/>
        <w:tabs>
          <w:tab w:val="clear" w:pos="2160"/>
          <w:tab w:val="clear" w:pos="7200"/>
        </w:tabs>
        <w:ind w:left="0" w:right="0"/>
        <w:rPr>
          <w:rFonts w:ascii="Verdana" w:hAnsi="Verdana"/>
          <w:i/>
          <w:sz w:val="16"/>
          <w:szCs w:val="16"/>
          <w:lang w:val="es-ES_tradnl"/>
        </w:rPr>
      </w:pPr>
      <w:r w:rsidRPr="00805C8B">
        <w:rPr>
          <w:rStyle w:val="FootnoteReference"/>
          <w:rFonts w:ascii="Verdana" w:hAnsi="Verdana"/>
          <w:sz w:val="16"/>
          <w:szCs w:val="16"/>
          <w:lang w:val="es-ES_tradnl"/>
        </w:rPr>
        <w:footnoteRef/>
      </w:r>
      <w:r w:rsidRPr="00805C8B">
        <w:rPr>
          <w:rFonts w:ascii="Verdana" w:hAnsi="Verdana"/>
          <w:sz w:val="16"/>
          <w:szCs w:val="16"/>
          <w:lang w:val="es-ES_tradnl"/>
        </w:rPr>
        <w:t xml:space="preserve"> </w:t>
      </w:r>
      <w:r w:rsidRPr="00805C8B">
        <w:rPr>
          <w:rFonts w:ascii="Verdana" w:hAnsi="Verdana"/>
          <w:sz w:val="16"/>
          <w:szCs w:val="16"/>
          <w:lang w:val="es-ES_tradnl"/>
        </w:rPr>
        <w:tab/>
      </w:r>
      <w:r w:rsidRPr="00805C8B">
        <w:rPr>
          <w:rFonts w:ascii="Verdana" w:hAnsi="Verdana"/>
          <w:i/>
          <w:sz w:val="16"/>
          <w:szCs w:val="16"/>
          <w:lang w:val="es-ES_tradnl"/>
        </w:rPr>
        <w:t xml:space="preserve">Carta Social de las Américas, </w:t>
      </w:r>
      <w:r w:rsidRPr="00805C8B">
        <w:rPr>
          <w:rFonts w:ascii="Verdana" w:hAnsi="Verdana"/>
          <w:sz w:val="16"/>
          <w:szCs w:val="16"/>
          <w:lang w:val="es-ES_tradnl"/>
        </w:rPr>
        <w:t>aprobada por la Asamblea General de la OEA el 4 de junio del 2012,</w:t>
      </w:r>
      <w:r w:rsidRPr="00805C8B">
        <w:rPr>
          <w:rFonts w:ascii="Verdana" w:hAnsi="Verdana"/>
          <w:i/>
          <w:sz w:val="16"/>
          <w:szCs w:val="16"/>
          <w:lang w:val="es-ES_tradnl"/>
        </w:rPr>
        <w:t xml:space="preserve">  </w:t>
      </w:r>
      <w:r w:rsidRPr="00805C8B">
        <w:rPr>
          <w:rFonts w:ascii="Verdana" w:hAnsi="Verdana"/>
          <w:sz w:val="16"/>
          <w:szCs w:val="16"/>
          <w:lang w:val="es-ES_tradnl"/>
        </w:rPr>
        <w:t>OEA/</w:t>
      </w:r>
      <w:proofErr w:type="spellStart"/>
      <w:r w:rsidRPr="00805C8B">
        <w:rPr>
          <w:rFonts w:ascii="Verdana" w:hAnsi="Verdana"/>
          <w:sz w:val="16"/>
          <w:szCs w:val="16"/>
          <w:lang w:val="es-ES_tradnl"/>
        </w:rPr>
        <w:t>Ser.P</w:t>
      </w:r>
      <w:proofErr w:type="spellEnd"/>
      <w:r w:rsidRPr="00805C8B">
        <w:rPr>
          <w:rFonts w:ascii="Verdana" w:hAnsi="Verdana"/>
          <w:sz w:val="16"/>
          <w:szCs w:val="16"/>
          <w:lang w:val="es-ES_tradnl"/>
        </w:rPr>
        <w:t>/AG/doc5242/12rev.2</w:t>
      </w:r>
      <w:r w:rsidRPr="00805C8B">
        <w:rPr>
          <w:rFonts w:ascii="Verdana" w:hAnsi="Verdana"/>
          <w:i/>
          <w:sz w:val="16"/>
          <w:szCs w:val="16"/>
          <w:lang w:val="es-ES_tradnl"/>
        </w:rPr>
        <w:t xml:space="preserve">, </w:t>
      </w:r>
      <w:r w:rsidRPr="00805C8B">
        <w:rPr>
          <w:rFonts w:ascii="Verdana" w:hAnsi="Verdana"/>
          <w:sz w:val="16"/>
          <w:szCs w:val="16"/>
          <w:lang w:val="es-ES_tradnl"/>
        </w:rPr>
        <w:t>Cochabamba, Bolivia. En el preámbulo de dicha Carta se establece</w:t>
      </w:r>
      <w:r w:rsidRPr="00805C8B">
        <w:rPr>
          <w:rFonts w:ascii="Verdana" w:hAnsi="Verdana"/>
          <w:i/>
          <w:sz w:val="16"/>
          <w:szCs w:val="16"/>
          <w:lang w:val="es-ES_tradnl"/>
        </w:rPr>
        <w:t xml:space="preserve">: “considerando </w:t>
      </w:r>
      <w:r w:rsidRPr="00805C8B">
        <w:rPr>
          <w:rFonts w:ascii="Verdana" w:hAnsi="Verdana"/>
          <w:i/>
          <w:color w:val="000000"/>
          <w:sz w:val="16"/>
          <w:szCs w:val="16"/>
          <w:lang w:val="es-ES_tradnl"/>
        </w:rPr>
        <w:t xml:space="preserve">que la Carta de la Organización de los Estados Americanos establece entre sus propósitos esenciales erradicar la pobreza crítica [y] </w:t>
      </w:r>
      <w:r w:rsidRPr="00805C8B">
        <w:rPr>
          <w:rFonts w:ascii="Verdana" w:hAnsi="Verdana"/>
          <w:i/>
          <w:sz w:val="16"/>
          <w:szCs w:val="16"/>
          <w:u w:val="single"/>
          <w:lang w:val="es-ES_tradnl"/>
        </w:rPr>
        <w:t>reafirmando la determinación y el compromiso de los Estados Miembros de combatir de forma urgente los graves problemas de la pobreza, la exclusión social y la inequidad que afectan en distinta medida a los países del Hemisferio</w:t>
      </w:r>
      <w:r w:rsidRPr="00805C8B">
        <w:rPr>
          <w:rFonts w:ascii="Verdana" w:hAnsi="Verdana"/>
          <w:i/>
          <w:sz w:val="16"/>
          <w:szCs w:val="16"/>
          <w:lang w:val="es-ES_tradnl"/>
        </w:rPr>
        <w:t>; de enfrentar sus causas y sus consecuencias; y de crear condiciones más favorables para el desarrollo económico y social con equidad para promover sociedades más justa […].</w:t>
      </w:r>
      <w:r w:rsidRPr="00DE3A14">
        <w:rPr>
          <w:rFonts w:ascii="Verdana" w:hAnsi="Verdana"/>
          <w:i/>
          <w:sz w:val="16"/>
          <w:szCs w:val="16"/>
          <w:lang w:val="es-ES_tradnl"/>
        </w:rPr>
        <w:t xml:space="preserve">  </w:t>
      </w:r>
    </w:p>
    <w:p w14:paraId="452A54F4" w14:textId="77777777" w:rsidR="009D032A" w:rsidRPr="00DE3A14" w:rsidRDefault="009D032A" w:rsidP="0013659B">
      <w:pPr>
        <w:pStyle w:val="FootnoteText"/>
        <w:tabs>
          <w:tab w:val="left" w:pos="709"/>
        </w:tabs>
        <w:rPr>
          <w:lang w:val="es-ES_tradnl"/>
        </w:rPr>
      </w:pPr>
    </w:p>
  </w:footnote>
  <w:footnote w:id="122">
    <w:p w14:paraId="0513AA25" w14:textId="71E669D0" w:rsidR="009D032A" w:rsidRPr="00495A04" w:rsidRDefault="009D032A" w:rsidP="0013659B">
      <w:pPr>
        <w:pStyle w:val="FootnoteText"/>
        <w:tabs>
          <w:tab w:val="left" w:pos="709"/>
        </w:tabs>
        <w:rPr>
          <w:lang w:val="es-ES_tradnl"/>
        </w:rPr>
      </w:pPr>
      <w:r w:rsidRPr="00FF04A3">
        <w:rPr>
          <w:rStyle w:val="FootnoteReference"/>
          <w:szCs w:val="16"/>
        </w:rPr>
        <w:footnoteRef/>
      </w:r>
      <w:r w:rsidRPr="00EA236D">
        <w:rPr>
          <w:lang w:val="es-ES"/>
        </w:rPr>
        <w:t xml:space="preserve"> </w:t>
      </w:r>
      <w:r w:rsidRPr="00EA236D">
        <w:rPr>
          <w:lang w:val="es-ES"/>
        </w:rPr>
        <w:tab/>
      </w:r>
      <w:r w:rsidRPr="00523568">
        <w:rPr>
          <w:i/>
          <w:lang w:val="es-ES_tradnl"/>
        </w:rPr>
        <w:t xml:space="preserve">Plan de Acción de la Carta Social de las Américas, </w:t>
      </w:r>
      <w:r w:rsidRPr="00495A04">
        <w:rPr>
          <w:lang w:val="es-ES_tradnl"/>
        </w:rPr>
        <w:t>aprobado por el Consejo Permanente en la sesión conjunta celebrada el 11 de febrero de 2015, ad referéndum del cuadragésimo quinto per</w:t>
      </w:r>
      <w:r>
        <w:rPr>
          <w:lang w:val="es-ES_tradnl"/>
        </w:rPr>
        <w:t>í</w:t>
      </w:r>
      <w:r w:rsidRPr="00495A04">
        <w:rPr>
          <w:lang w:val="es-ES_tradnl"/>
        </w:rPr>
        <w:t xml:space="preserve">odo ordinario de sesiones de la Asamblea General de la OEA, </w:t>
      </w:r>
      <w:r w:rsidRPr="00495A04">
        <w:rPr>
          <w:rFonts w:eastAsia="Batang"/>
          <w:lang w:val="es-ES_tradnl" w:eastAsia="es-ES"/>
        </w:rPr>
        <w:t>OEA/</w:t>
      </w:r>
      <w:proofErr w:type="spellStart"/>
      <w:r w:rsidRPr="00495A04">
        <w:rPr>
          <w:rFonts w:eastAsia="Batang"/>
          <w:lang w:val="es-ES_tradnl" w:eastAsia="es-ES"/>
        </w:rPr>
        <w:t>Ser.G</w:t>
      </w:r>
      <w:proofErr w:type="spellEnd"/>
      <w:r w:rsidRPr="00495A04">
        <w:rPr>
          <w:rFonts w:eastAsia="SimSun"/>
          <w:lang w:val="es-ES_tradnl" w:eastAsia="es-ES"/>
        </w:rPr>
        <w:t xml:space="preserve"> </w:t>
      </w:r>
      <w:r w:rsidRPr="00495A04">
        <w:rPr>
          <w:rFonts w:eastAsia="Batang"/>
          <w:spacing w:val="-2"/>
          <w:lang w:val="es-ES_tradnl" w:eastAsia="es-ES"/>
        </w:rPr>
        <w:t>CP/doc.5097/15, Washington D.C., Estados Unidos.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4E50F6"/>
    <w:multiLevelType w:val="hybridMultilevel"/>
    <w:tmpl w:val="715410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1A7378"/>
    <w:multiLevelType w:val="hybridMultilevel"/>
    <w:tmpl w:val="3F12EF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84362C"/>
    <w:multiLevelType w:val="hybridMultilevel"/>
    <w:tmpl w:val="E7BEE8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8767B1"/>
    <w:multiLevelType w:val="hybridMultilevel"/>
    <w:tmpl w:val="2440FC1C"/>
    <w:lvl w:ilvl="0" w:tplc="549EAD6E">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4982C60"/>
    <w:multiLevelType w:val="hybridMultilevel"/>
    <w:tmpl w:val="4E8260C6"/>
    <w:lvl w:ilvl="0" w:tplc="477847BA">
      <w:start w:val="1"/>
      <w:numFmt w:val="decimal"/>
      <w:lvlText w:val="%1."/>
      <w:lvlJc w:val="left"/>
      <w:pPr>
        <w:ind w:left="0" w:firstLine="0"/>
      </w:pPr>
      <w:rPr>
        <w:rFonts w:ascii="Verdana" w:hAnsi="Verdana" w:hint="default"/>
        <w:b w:val="0"/>
        <w:i w:val="0"/>
        <w:strike w:val="0"/>
        <w:color w:val="auto"/>
        <w:sz w:val="20"/>
        <w:szCs w:val="20"/>
        <w:lang w:val="es-A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B939A7"/>
    <w:multiLevelType w:val="hybridMultilevel"/>
    <w:tmpl w:val="FA286AA8"/>
    <w:lvl w:ilvl="0" w:tplc="0C0A000F">
      <w:start w:val="3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C94DA0"/>
    <w:multiLevelType w:val="hybridMultilevel"/>
    <w:tmpl w:val="E066369E"/>
    <w:lvl w:ilvl="0" w:tplc="9F6C78B6">
      <w:start w:val="1"/>
      <w:numFmt w:val="decimal"/>
      <w:lvlText w:val="%1."/>
      <w:lvlJc w:val="left"/>
      <w:pPr>
        <w:ind w:left="4052" w:hanging="360"/>
      </w:pPr>
      <w:rPr>
        <w:rFonts w:ascii="Verdana" w:hAnsi="Verdana" w:hint="default"/>
        <w:b w:val="0"/>
        <w:i w:val="0"/>
      </w:rPr>
    </w:lvl>
    <w:lvl w:ilvl="1" w:tplc="0C0A0019">
      <w:start w:val="1"/>
      <w:numFmt w:val="lowerLetter"/>
      <w:lvlText w:val="%2."/>
      <w:lvlJc w:val="left"/>
      <w:pPr>
        <w:ind w:left="5132" w:hanging="360"/>
      </w:pPr>
    </w:lvl>
    <w:lvl w:ilvl="2" w:tplc="0C0A001B" w:tentative="1">
      <w:start w:val="1"/>
      <w:numFmt w:val="lowerRoman"/>
      <w:lvlText w:val="%3."/>
      <w:lvlJc w:val="right"/>
      <w:pPr>
        <w:ind w:left="5852" w:hanging="180"/>
      </w:pPr>
    </w:lvl>
    <w:lvl w:ilvl="3" w:tplc="0C0A000F" w:tentative="1">
      <w:start w:val="1"/>
      <w:numFmt w:val="decimal"/>
      <w:lvlText w:val="%4."/>
      <w:lvlJc w:val="left"/>
      <w:pPr>
        <w:ind w:left="6572" w:hanging="360"/>
      </w:pPr>
    </w:lvl>
    <w:lvl w:ilvl="4" w:tplc="0C0A0019" w:tentative="1">
      <w:start w:val="1"/>
      <w:numFmt w:val="lowerLetter"/>
      <w:lvlText w:val="%5."/>
      <w:lvlJc w:val="left"/>
      <w:pPr>
        <w:ind w:left="7292" w:hanging="360"/>
      </w:pPr>
    </w:lvl>
    <w:lvl w:ilvl="5" w:tplc="0C0A001B" w:tentative="1">
      <w:start w:val="1"/>
      <w:numFmt w:val="lowerRoman"/>
      <w:lvlText w:val="%6."/>
      <w:lvlJc w:val="right"/>
      <w:pPr>
        <w:ind w:left="8012" w:hanging="180"/>
      </w:pPr>
    </w:lvl>
    <w:lvl w:ilvl="6" w:tplc="0C0A000F" w:tentative="1">
      <w:start w:val="1"/>
      <w:numFmt w:val="decimal"/>
      <w:lvlText w:val="%7."/>
      <w:lvlJc w:val="left"/>
      <w:pPr>
        <w:ind w:left="8732" w:hanging="360"/>
      </w:pPr>
    </w:lvl>
    <w:lvl w:ilvl="7" w:tplc="0C0A0019" w:tentative="1">
      <w:start w:val="1"/>
      <w:numFmt w:val="lowerLetter"/>
      <w:lvlText w:val="%8."/>
      <w:lvlJc w:val="left"/>
      <w:pPr>
        <w:ind w:left="9452" w:hanging="360"/>
      </w:pPr>
    </w:lvl>
    <w:lvl w:ilvl="8" w:tplc="0C0A001B" w:tentative="1">
      <w:start w:val="1"/>
      <w:numFmt w:val="lowerRoman"/>
      <w:lvlText w:val="%9."/>
      <w:lvlJc w:val="right"/>
      <w:pPr>
        <w:ind w:left="10172" w:hanging="180"/>
      </w:pPr>
    </w:lvl>
  </w:abstractNum>
  <w:abstractNum w:abstractNumId="8">
    <w:nsid w:val="4F6B0C90"/>
    <w:multiLevelType w:val="hybridMultilevel"/>
    <w:tmpl w:val="518824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0617236"/>
    <w:multiLevelType w:val="hybridMultilevel"/>
    <w:tmpl w:val="A0CEAC6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1EF03E1"/>
    <w:multiLevelType w:val="hybridMultilevel"/>
    <w:tmpl w:val="F88A7C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9A7B86"/>
    <w:multiLevelType w:val="hybridMultilevel"/>
    <w:tmpl w:val="0BE222AC"/>
    <w:lvl w:ilvl="0" w:tplc="8E467A94">
      <w:start w:val="342"/>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2">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3">
    <w:nsid w:val="557A70BF"/>
    <w:multiLevelType w:val="hybridMultilevel"/>
    <w:tmpl w:val="1A3CC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5C4E5E"/>
    <w:multiLevelType w:val="hybridMultilevel"/>
    <w:tmpl w:val="DDEC3B82"/>
    <w:lvl w:ilvl="0" w:tplc="6888C930">
      <w:start w:val="1"/>
      <w:numFmt w:val="lowerRoman"/>
      <w:lvlText w:val="%1)"/>
      <w:lvlJc w:val="left"/>
      <w:pPr>
        <w:ind w:left="1428" w:hanging="720"/>
      </w:pPr>
      <w:rPr>
        <w:rFonts w:hint="default"/>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B195CB3"/>
    <w:multiLevelType w:val="hybridMultilevel"/>
    <w:tmpl w:val="FC88B704"/>
    <w:lvl w:ilvl="0" w:tplc="477847BA">
      <w:start w:val="1"/>
      <w:numFmt w:val="decimal"/>
      <w:lvlText w:val="%1."/>
      <w:lvlJc w:val="left"/>
      <w:pPr>
        <w:ind w:left="0" w:firstLine="0"/>
      </w:pPr>
      <w:rPr>
        <w:rFonts w:ascii="Verdana" w:hAnsi="Verdana" w:hint="default"/>
        <w:b w:val="0"/>
        <w:i w:val="0"/>
        <w:strike w:val="0"/>
        <w:color w:val="auto"/>
        <w:sz w:val="20"/>
        <w:szCs w:val="20"/>
        <w:lang w:val="es-A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399032D"/>
    <w:multiLevelType w:val="hybridMultilevel"/>
    <w:tmpl w:val="E54E64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753A80"/>
    <w:multiLevelType w:val="hybridMultilevel"/>
    <w:tmpl w:val="CE009362"/>
    <w:lvl w:ilvl="0" w:tplc="477847BA">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17"/>
  </w:num>
  <w:num w:numId="2">
    <w:abstractNumId w:val="14"/>
  </w:num>
  <w:num w:numId="3">
    <w:abstractNumId w:val="0"/>
  </w:num>
  <w:num w:numId="4">
    <w:abstractNumId w:val="10"/>
  </w:num>
  <w:num w:numId="5">
    <w:abstractNumId w:val="9"/>
  </w:num>
  <w:num w:numId="6">
    <w:abstractNumId w:val="16"/>
  </w:num>
  <w:num w:numId="7">
    <w:abstractNumId w:val="4"/>
  </w:num>
  <w:num w:numId="8">
    <w:abstractNumId w:val="15"/>
  </w:num>
  <w:num w:numId="9">
    <w:abstractNumId w:val="2"/>
  </w:num>
  <w:num w:numId="10">
    <w:abstractNumId w:val="1"/>
  </w:num>
  <w:num w:numId="11">
    <w:abstractNumId w:val="12"/>
  </w:num>
  <w:num w:numId="12">
    <w:abstractNumId w:val="6"/>
  </w:num>
  <w:num w:numId="13">
    <w:abstractNumId w:val="13"/>
  </w:num>
  <w:num w:numId="14">
    <w:abstractNumId w:val="3"/>
  </w:num>
  <w:num w:numId="15">
    <w:abstractNumId w:val="5"/>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66"/>
    <w:rsid w:val="00000685"/>
    <w:rsid w:val="000008EA"/>
    <w:rsid w:val="00001DD4"/>
    <w:rsid w:val="00002FDA"/>
    <w:rsid w:val="0001065E"/>
    <w:rsid w:val="00013338"/>
    <w:rsid w:val="00013393"/>
    <w:rsid w:val="00017CD0"/>
    <w:rsid w:val="00030E6E"/>
    <w:rsid w:val="00030E8C"/>
    <w:rsid w:val="00035867"/>
    <w:rsid w:val="00040619"/>
    <w:rsid w:val="00042893"/>
    <w:rsid w:val="000468E5"/>
    <w:rsid w:val="00051E5A"/>
    <w:rsid w:val="00053BD1"/>
    <w:rsid w:val="000575CA"/>
    <w:rsid w:val="0006323A"/>
    <w:rsid w:val="00067F28"/>
    <w:rsid w:val="0007060E"/>
    <w:rsid w:val="00075C3D"/>
    <w:rsid w:val="000824C4"/>
    <w:rsid w:val="00090345"/>
    <w:rsid w:val="000906F5"/>
    <w:rsid w:val="000A044F"/>
    <w:rsid w:val="000B1A1E"/>
    <w:rsid w:val="000B1D15"/>
    <w:rsid w:val="000B2DB5"/>
    <w:rsid w:val="000C0F34"/>
    <w:rsid w:val="000C2F0F"/>
    <w:rsid w:val="000C760D"/>
    <w:rsid w:val="000C784B"/>
    <w:rsid w:val="000D1B93"/>
    <w:rsid w:val="000D24E1"/>
    <w:rsid w:val="000E0300"/>
    <w:rsid w:val="000E1D26"/>
    <w:rsid w:val="000E2E21"/>
    <w:rsid w:val="000E5954"/>
    <w:rsid w:val="000F5480"/>
    <w:rsid w:val="00102B4F"/>
    <w:rsid w:val="00112370"/>
    <w:rsid w:val="00112D48"/>
    <w:rsid w:val="00113769"/>
    <w:rsid w:val="001151DF"/>
    <w:rsid w:val="0012056D"/>
    <w:rsid w:val="0012256F"/>
    <w:rsid w:val="00126EEE"/>
    <w:rsid w:val="00131358"/>
    <w:rsid w:val="00134D3E"/>
    <w:rsid w:val="00135082"/>
    <w:rsid w:val="0013659B"/>
    <w:rsid w:val="001415D7"/>
    <w:rsid w:val="001436A0"/>
    <w:rsid w:val="00145566"/>
    <w:rsid w:val="00145959"/>
    <w:rsid w:val="00150FFE"/>
    <w:rsid w:val="001770E0"/>
    <w:rsid w:val="00190280"/>
    <w:rsid w:val="0019197B"/>
    <w:rsid w:val="0019589C"/>
    <w:rsid w:val="001A35FD"/>
    <w:rsid w:val="001A593F"/>
    <w:rsid w:val="001B202D"/>
    <w:rsid w:val="001B4513"/>
    <w:rsid w:val="001C0016"/>
    <w:rsid w:val="001C3B7D"/>
    <w:rsid w:val="001D14C4"/>
    <w:rsid w:val="001D1EE0"/>
    <w:rsid w:val="001D5C24"/>
    <w:rsid w:val="001E3B09"/>
    <w:rsid w:val="001E47B1"/>
    <w:rsid w:val="00202440"/>
    <w:rsid w:val="00212E78"/>
    <w:rsid w:val="002131C3"/>
    <w:rsid w:val="00215CE9"/>
    <w:rsid w:val="00224E8F"/>
    <w:rsid w:val="00233862"/>
    <w:rsid w:val="00234660"/>
    <w:rsid w:val="00235425"/>
    <w:rsid w:val="0023744C"/>
    <w:rsid w:val="00237E32"/>
    <w:rsid w:val="00237E6D"/>
    <w:rsid w:val="002429E1"/>
    <w:rsid w:val="00242DD3"/>
    <w:rsid w:val="00243E2C"/>
    <w:rsid w:val="00245B38"/>
    <w:rsid w:val="00245DB0"/>
    <w:rsid w:val="00246194"/>
    <w:rsid w:val="0024694C"/>
    <w:rsid w:val="00251140"/>
    <w:rsid w:val="00254EE0"/>
    <w:rsid w:val="0025545D"/>
    <w:rsid w:val="00262B6D"/>
    <w:rsid w:val="0026396B"/>
    <w:rsid w:val="00263DE1"/>
    <w:rsid w:val="002647A2"/>
    <w:rsid w:val="0026695A"/>
    <w:rsid w:val="0027051F"/>
    <w:rsid w:val="00271B4A"/>
    <w:rsid w:val="00273344"/>
    <w:rsid w:val="002749BA"/>
    <w:rsid w:val="00274DBF"/>
    <w:rsid w:val="002808B3"/>
    <w:rsid w:val="00284AE6"/>
    <w:rsid w:val="002878DC"/>
    <w:rsid w:val="00291466"/>
    <w:rsid w:val="002921D5"/>
    <w:rsid w:val="00294DD8"/>
    <w:rsid w:val="002A0306"/>
    <w:rsid w:val="002A0E42"/>
    <w:rsid w:val="002A24DE"/>
    <w:rsid w:val="002B3811"/>
    <w:rsid w:val="002B4857"/>
    <w:rsid w:val="002C0A86"/>
    <w:rsid w:val="002C2E3A"/>
    <w:rsid w:val="002C4AC3"/>
    <w:rsid w:val="002C5C43"/>
    <w:rsid w:val="002C6205"/>
    <w:rsid w:val="002C6F07"/>
    <w:rsid w:val="002D35CA"/>
    <w:rsid w:val="002D401B"/>
    <w:rsid w:val="002E10CC"/>
    <w:rsid w:val="002E197C"/>
    <w:rsid w:val="002E2695"/>
    <w:rsid w:val="002E6F88"/>
    <w:rsid w:val="002F7E95"/>
    <w:rsid w:val="00301E7C"/>
    <w:rsid w:val="00311F2F"/>
    <w:rsid w:val="00313868"/>
    <w:rsid w:val="003139EE"/>
    <w:rsid w:val="0032014E"/>
    <w:rsid w:val="00320655"/>
    <w:rsid w:val="00332532"/>
    <w:rsid w:val="00332905"/>
    <w:rsid w:val="00334241"/>
    <w:rsid w:val="003342C8"/>
    <w:rsid w:val="00336EC1"/>
    <w:rsid w:val="00340A9A"/>
    <w:rsid w:val="003418B9"/>
    <w:rsid w:val="00343075"/>
    <w:rsid w:val="00352586"/>
    <w:rsid w:val="0036230E"/>
    <w:rsid w:val="003638F7"/>
    <w:rsid w:val="00363DC1"/>
    <w:rsid w:val="00364F22"/>
    <w:rsid w:val="00370A5E"/>
    <w:rsid w:val="003714D8"/>
    <w:rsid w:val="00371585"/>
    <w:rsid w:val="0037171E"/>
    <w:rsid w:val="00373439"/>
    <w:rsid w:val="00383ACF"/>
    <w:rsid w:val="00384C56"/>
    <w:rsid w:val="00384FBE"/>
    <w:rsid w:val="003858C2"/>
    <w:rsid w:val="003901D6"/>
    <w:rsid w:val="0039213D"/>
    <w:rsid w:val="003A2FFD"/>
    <w:rsid w:val="003A5728"/>
    <w:rsid w:val="003B1CA4"/>
    <w:rsid w:val="003B2CEA"/>
    <w:rsid w:val="003B343E"/>
    <w:rsid w:val="003B3577"/>
    <w:rsid w:val="003C7195"/>
    <w:rsid w:val="003D00A7"/>
    <w:rsid w:val="003D1876"/>
    <w:rsid w:val="003D3ECB"/>
    <w:rsid w:val="003E27C2"/>
    <w:rsid w:val="003E614A"/>
    <w:rsid w:val="003E6810"/>
    <w:rsid w:val="003F0387"/>
    <w:rsid w:val="003F04A4"/>
    <w:rsid w:val="003F759C"/>
    <w:rsid w:val="003F79EF"/>
    <w:rsid w:val="00403956"/>
    <w:rsid w:val="004116BE"/>
    <w:rsid w:val="004175FB"/>
    <w:rsid w:val="004208BA"/>
    <w:rsid w:val="004255F3"/>
    <w:rsid w:val="00425716"/>
    <w:rsid w:val="004321C1"/>
    <w:rsid w:val="0043243C"/>
    <w:rsid w:val="004326E6"/>
    <w:rsid w:val="00434CC9"/>
    <w:rsid w:val="00436016"/>
    <w:rsid w:val="0044309D"/>
    <w:rsid w:val="00443A05"/>
    <w:rsid w:val="00446157"/>
    <w:rsid w:val="004471AE"/>
    <w:rsid w:val="00450EAD"/>
    <w:rsid w:val="00453CF8"/>
    <w:rsid w:val="00454A3D"/>
    <w:rsid w:val="00456FE1"/>
    <w:rsid w:val="00457907"/>
    <w:rsid w:val="004670D2"/>
    <w:rsid w:val="00467387"/>
    <w:rsid w:val="00476A01"/>
    <w:rsid w:val="00477145"/>
    <w:rsid w:val="004807CF"/>
    <w:rsid w:val="00492ECC"/>
    <w:rsid w:val="00495A04"/>
    <w:rsid w:val="004968DA"/>
    <w:rsid w:val="004A36ED"/>
    <w:rsid w:val="004A4043"/>
    <w:rsid w:val="004A5BE8"/>
    <w:rsid w:val="004A5D8A"/>
    <w:rsid w:val="004C39A1"/>
    <w:rsid w:val="004C456B"/>
    <w:rsid w:val="004C550D"/>
    <w:rsid w:val="004C6511"/>
    <w:rsid w:val="004C731A"/>
    <w:rsid w:val="004E2277"/>
    <w:rsid w:val="004E56F8"/>
    <w:rsid w:val="004E67A6"/>
    <w:rsid w:val="004E7E9C"/>
    <w:rsid w:val="004F4C12"/>
    <w:rsid w:val="004F52B7"/>
    <w:rsid w:val="004F62CD"/>
    <w:rsid w:val="004F7841"/>
    <w:rsid w:val="005017F9"/>
    <w:rsid w:val="005049A3"/>
    <w:rsid w:val="00507B1E"/>
    <w:rsid w:val="00507EFC"/>
    <w:rsid w:val="005106C8"/>
    <w:rsid w:val="00514724"/>
    <w:rsid w:val="00520156"/>
    <w:rsid w:val="00520FE8"/>
    <w:rsid w:val="00521974"/>
    <w:rsid w:val="0052228E"/>
    <w:rsid w:val="005242AC"/>
    <w:rsid w:val="0052556D"/>
    <w:rsid w:val="00526267"/>
    <w:rsid w:val="00526ECB"/>
    <w:rsid w:val="0053059F"/>
    <w:rsid w:val="005334BF"/>
    <w:rsid w:val="0053521F"/>
    <w:rsid w:val="00535C45"/>
    <w:rsid w:val="00540E23"/>
    <w:rsid w:val="005411A9"/>
    <w:rsid w:val="00544C62"/>
    <w:rsid w:val="0055062F"/>
    <w:rsid w:val="005525C2"/>
    <w:rsid w:val="005531E3"/>
    <w:rsid w:val="00554730"/>
    <w:rsid w:val="005622B9"/>
    <w:rsid w:val="0056772C"/>
    <w:rsid w:val="00571CE1"/>
    <w:rsid w:val="005736BA"/>
    <w:rsid w:val="00574771"/>
    <w:rsid w:val="00574CA6"/>
    <w:rsid w:val="00576476"/>
    <w:rsid w:val="00583C93"/>
    <w:rsid w:val="005925AC"/>
    <w:rsid w:val="005A0278"/>
    <w:rsid w:val="005A21CB"/>
    <w:rsid w:val="005A35DB"/>
    <w:rsid w:val="005A35DE"/>
    <w:rsid w:val="005A7F9A"/>
    <w:rsid w:val="005B1C81"/>
    <w:rsid w:val="005B1F73"/>
    <w:rsid w:val="005B729F"/>
    <w:rsid w:val="005C226B"/>
    <w:rsid w:val="005C26C0"/>
    <w:rsid w:val="005C2952"/>
    <w:rsid w:val="005C41E5"/>
    <w:rsid w:val="005C7AA8"/>
    <w:rsid w:val="005D3EE3"/>
    <w:rsid w:val="005D4AF8"/>
    <w:rsid w:val="005D76EE"/>
    <w:rsid w:val="005D7A2C"/>
    <w:rsid w:val="005D7E01"/>
    <w:rsid w:val="005E187A"/>
    <w:rsid w:val="005E2228"/>
    <w:rsid w:val="005E4843"/>
    <w:rsid w:val="005E4D53"/>
    <w:rsid w:val="005F1D14"/>
    <w:rsid w:val="005F28B7"/>
    <w:rsid w:val="005F4D5B"/>
    <w:rsid w:val="005F5714"/>
    <w:rsid w:val="005F6263"/>
    <w:rsid w:val="00600463"/>
    <w:rsid w:val="006032DA"/>
    <w:rsid w:val="00604BB3"/>
    <w:rsid w:val="0060565F"/>
    <w:rsid w:val="00611ADD"/>
    <w:rsid w:val="00611D85"/>
    <w:rsid w:val="006140C2"/>
    <w:rsid w:val="0062173A"/>
    <w:rsid w:val="00621BB1"/>
    <w:rsid w:val="0062278B"/>
    <w:rsid w:val="006255E1"/>
    <w:rsid w:val="006267B0"/>
    <w:rsid w:val="00631462"/>
    <w:rsid w:val="00632EDF"/>
    <w:rsid w:val="00642A4C"/>
    <w:rsid w:val="006518EB"/>
    <w:rsid w:val="0065400F"/>
    <w:rsid w:val="00654FEC"/>
    <w:rsid w:val="00656C67"/>
    <w:rsid w:val="006600FC"/>
    <w:rsid w:val="00664499"/>
    <w:rsid w:val="00671230"/>
    <w:rsid w:val="00681888"/>
    <w:rsid w:val="00681B81"/>
    <w:rsid w:val="00683872"/>
    <w:rsid w:val="00685C96"/>
    <w:rsid w:val="006877FC"/>
    <w:rsid w:val="00691BA7"/>
    <w:rsid w:val="006A04D7"/>
    <w:rsid w:val="006A56A4"/>
    <w:rsid w:val="006B4619"/>
    <w:rsid w:val="006C091F"/>
    <w:rsid w:val="006C283D"/>
    <w:rsid w:val="006C40A8"/>
    <w:rsid w:val="006D0FE7"/>
    <w:rsid w:val="006D1813"/>
    <w:rsid w:val="006D40BA"/>
    <w:rsid w:val="006D4A67"/>
    <w:rsid w:val="006D5B44"/>
    <w:rsid w:val="006D72B7"/>
    <w:rsid w:val="006E24F3"/>
    <w:rsid w:val="006E3C1E"/>
    <w:rsid w:val="006E614F"/>
    <w:rsid w:val="006E62A0"/>
    <w:rsid w:val="006E6FA1"/>
    <w:rsid w:val="006F140D"/>
    <w:rsid w:val="006F5668"/>
    <w:rsid w:val="006F6D8F"/>
    <w:rsid w:val="0070104A"/>
    <w:rsid w:val="007023AF"/>
    <w:rsid w:val="00703DC7"/>
    <w:rsid w:val="00703F41"/>
    <w:rsid w:val="007045E7"/>
    <w:rsid w:val="00704FC2"/>
    <w:rsid w:val="007125CA"/>
    <w:rsid w:val="00712D7C"/>
    <w:rsid w:val="00717FD0"/>
    <w:rsid w:val="00720165"/>
    <w:rsid w:val="00721DC3"/>
    <w:rsid w:val="00734B35"/>
    <w:rsid w:val="00737DF4"/>
    <w:rsid w:val="00741706"/>
    <w:rsid w:val="00745AF3"/>
    <w:rsid w:val="00751800"/>
    <w:rsid w:val="00761FB8"/>
    <w:rsid w:val="00762E61"/>
    <w:rsid w:val="007645CB"/>
    <w:rsid w:val="007777C4"/>
    <w:rsid w:val="00780E5F"/>
    <w:rsid w:val="00782A7A"/>
    <w:rsid w:val="0078695B"/>
    <w:rsid w:val="00787BB2"/>
    <w:rsid w:val="0079637A"/>
    <w:rsid w:val="007A5E94"/>
    <w:rsid w:val="007A64F5"/>
    <w:rsid w:val="007A6B53"/>
    <w:rsid w:val="007C2CBF"/>
    <w:rsid w:val="007C3203"/>
    <w:rsid w:val="007C5029"/>
    <w:rsid w:val="007C5A37"/>
    <w:rsid w:val="007C7820"/>
    <w:rsid w:val="007D25DB"/>
    <w:rsid w:val="007D37C2"/>
    <w:rsid w:val="007D37C5"/>
    <w:rsid w:val="007D66C2"/>
    <w:rsid w:val="007E07BB"/>
    <w:rsid w:val="007E1DDD"/>
    <w:rsid w:val="007E34F2"/>
    <w:rsid w:val="007E5939"/>
    <w:rsid w:val="007E6A02"/>
    <w:rsid w:val="007F744C"/>
    <w:rsid w:val="00802141"/>
    <w:rsid w:val="00805C8B"/>
    <w:rsid w:val="008060A3"/>
    <w:rsid w:val="0081015C"/>
    <w:rsid w:val="008114BA"/>
    <w:rsid w:val="008121FE"/>
    <w:rsid w:val="00830380"/>
    <w:rsid w:val="008340CA"/>
    <w:rsid w:val="00834E43"/>
    <w:rsid w:val="00835521"/>
    <w:rsid w:val="0083718E"/>
    <w:rsid w:val="00840B14"/>
    <w:rsid w:val="00840CD8"/>
    <w:rsid w:val="00842384"/>
    <w:rsid w:val="008426D2"/>
    <w:rsid w:val="008519AF"/>
    <w:rsid w:val="00853D99"/>
    <w:rsid w:val="00854EC0"/>
    <w:rsid w:val="00855BBA"/>
    <w:rsid w:val="00855C74"/>
    <w:rsid w:val="008571CE"/>
    <w:rsid w:val="0086283A"/>
    <w:rsid w:val="00866626"/>
    <w:rsid w:val="008766DD"/>
    <w:rsid w:val="00882326"/>
    <w:rsid w:val="008843E2"/>
    <w:rsid w:val="0088776E"/>
    <w:rsid w:val="008952F0"/>
    <w:rsid w:val="00896A4B"/>
    <w:rsid w:val="008A209D"/>
    <w:rsid w:val="008B4160"/>
    <w:rsid w:val="008B6187"/>
    <w:rsid w:val="008B64BB"/>
    <w:rsid w:val="008C2E57"/>
    <w:rsid w:val="008D1DE7"/>
    <w:rsid w:val="008D2AE6"/>
    <w:rsid w:val="008D5B9C"/>
    <w:rsid w:val="008D6529"/>
    <w:rsid w:val="008D7DD8"/>
    <w:rsid w:val="008E1A9F"/>
    <w:rsid w:val="008E3830"/>
    <w:rsid w:val="008F457F"/>
    <w:rsid w:val="008F4B93"/>
    <w:rsid w:val="00904449"/>
    <w:rsid w:val="00907162"/>
    <w:rsid w:val="00910F66"/>
    <w:rsid w:val="00916EA1"/>
    <w:rsid w:val="00921F7E"/>
    <w:rsid w:val="00923D1D"/>
    <w:rsid w:val="009267D9"/>
    <w:rsid w:val="00927D42"/>
    <w:rsid w:val="00931C92"/>
    <w:rsid w:val="00932272"/>
    <w:rsid w:val="00934781"/>
    <w:rsid w:val="00934D62"/>
    <w:rsid w:val="00941762"/>
    <w:rsid w:val="00944DA0"/>
    <w:rsid w:val="00947FA2"/>
    <w:rsid w:val="009511E4"/>
    <w:rsid w:val="0095190D"/>
    <w:rsid w:val="00953D62"/>
    <w:rsid w:val="009541BA"/>
    <w:rsid w:val="009566EF"/>
    <w:rsid w:val="00960725"/>
    <w:rsid w:val="00963A9F"/>
    <w:rsid w:val="009651A5"/>
    <w:rsid w:val="00966965"/>
    <w:rsid w:val="0097276F"/>
    <w:rsid w:val="00972900"/>
    <w:rsid w:val="00973A5F"/>
    <w:rsid w:val="00974F16"/>
    <w:rsid w:val="00983737"/>
    <w:rsid w:val="00983EB0"/>
    <w:rsid w:val="00987203"/>
    <w:rsid w:val="009A1B52"/>
    <w:rsid w:val="009B0F46"/>
    <w:rsid w:val="009B33ED"/>
    <w:rsid w:val="009B5306"/>
    <w:rsid w:val="009B7F17"/>
    <w:rsid w:val="009C257C"/>
    <w:rsid w:val="009C30BC"/>
    <w:rsid w:val="009C6E20"/>
    <w:rsid w:val="009C7F63"/>
    <w:rsid w:val="009D032A"/>
    <w:rsid w:val="009D720E"/>
    <w:rsid w:val="009E10B6"/>
    <w:rsid w:val="009F21BF"/>
    <w:rsid w:val="009F40CC"/>
    <w:rsid w:val="00A017BD"/>
    <w:rsid w:val="00A06B5F"/>
    <w:rsid w:val="00A07855"/>
    <w:rsid w:val="00A10798"/>
    <w:rsid w:val="00A1381B"/>
    <w:rsid w:val="00A14D50"/>
    <w:rsid w:val="00A17F6C"/>
    <w:rsid w:val="00A21164"/>
    <w:rsid w:val="00A2259A"/>
    <w:rsid w:val="00A25BFB"/>
    <w:rsid w:val="00A31B82"/>
    <w:rsid w:val="00A34D69"/>
    <w:rsid w:val="00A35855"/>
    <w:rsid w:val="00A42F6A"/>
    <w:rsid w:val="00A4392B"/>
    <w:rsid w:val="00A53B1C"/>
    <w:rsid w:val="00A546D8"/>
    <w:rsid w:val="00A55FC9"/>
    <w:rsid w:val="00A6137B"/>
    <w:rsid w:val="00A673E7"/>
    <w:rsid w:val="00A73A49"/>
    <w:rsid w:val="00A74FD9"/>
    <w:rsid w:val="00A8105F"/>
    <w:rsid w:val="00A83C70"/>
    <w:rsid w:val="00A90C1F"/>
    <w:rsid w:val="00A9270E"/>
    <w:rsid w:val="00AA74B0"/>
    <w:rsid w:val="00AD0CC0"/>
    <w:rsid w:val="00AD436E"/>
    <w:rsid w:val="00AD4FE9"/>
    <w:rsid w:val="00AE08CC"/>
    <w:rsid w:val="00AE3087"/>
    <w:rsid w:val="00AE5F4E"/>
    <w:rsid w:val="00AF5ED4"/>
    <w:rsid w:val="00B0160A"/>
    <w:rsid w:val="00B01AEE"/>
    <w:rsid w:val="00B0215E"/>
    <w:rsid w:val="00B0585A"/>
    <w:rsid w:val="00B0734C"/>
    <w:rsid w:val="00B07D70"/>
    <w:rsid w:val="00B10142"/>
    <w:rsid w:val="00B122A7"/>
    <w:rsid w:val="00B126F4"/>
    <w:rsid w:val="00B13F13"/>
    <w:rsid w:val="00B15FE1"/>
    <w:rsid w:val="00B31A59"/>
    <w:rsid w:val="00B3341D"/>
    <w:rsid w:val="00B36D1E"/>
    <w:rsid w:val="00B42DF8"/>
    <w:rsid w:val="00B466AA"/>
    <w:rsid w:val="00B55338"/>
    <w:rsid w:val="00B56C3B"/>
    <w:rsid w:val="00B5774B"/>
    <w:rsid w:val="00B60C7F"/>
    <w:rsid w:val="00B63347"/>
    <w:rsid w:val="00B6604A"/>
    <w:rsid w:val="00B673BB"/>
    <w:rsid w:val="00B716DD"/>
    <w:rsid w:val="00B7558D"/>
    <w:rsid w:val="00B80B21"/>
    <w:rsid w:val="00B81956"/>
    <w:rsid w:val="00B832E0"/>
    <w:rsid w:val="00B83D26"/>
    <w:rsid w:val="00B83DCB"/>
    <w:rsid w:val="00B870FA"/>
    <w:rsid w:val="00B92587"/>
    <w:rsid w:val="00B93793"/>
    <w:rsid w:val="00B966B9"/>
    <w:rsid w:val="00B9758D"/>
    <w:rsid w:val="00BA2600"/>
    <w:rsid w:val="00BA37B0"/>
    <w:rsid w:val="00BB236A"/>
    <w:rsid w:val="00BC56D5"/>
    <w:rsid w:val="00BD2B08"/>
    <w:rsid w:val="00BD5293"/>
    <w:rsid w:val="00BD764F"/>
    <w:rsid w:val="00BE01DE"/>
    <w:rsid w:val="00BE056A"/>
    <w:rsid w:val="00BE089A"/>
    <w:rsid w:val="00BE1FC5"/>
    <w:rsid w:val="00BE7091"/>
    <w:rsid w:val="00BF084D"/>
    <w:rsid w:val="00BF197A"/>
    <w:rsid w:val="00BF6DE2"/>
    <w:rsid w:val="00C013C1"/>
    <w:rsid w:val="00C0372E"/>
    <w:rsid w:val="00C10F59"/>
    <w:rsid w:val="00C145D3"/>
    <w:rsid w:val="00C15D37"/>
    <w:rsid w:val="00C27E74"/>
    <w:rsid w:val="00C32BFA"/>
    <w:rsid w:val="00C3382F"/>
    <w:rsid w:val="00C37269"/>
    <w:rsid w:val="00C44E6B"/>
    <w:rsid w:val="00C459A2"/>
    <w:rsid w:val="00C4637C"/>
    <w:rsid w:val="00C51431"/>
    <w:rsid w:val="00C54A99"/>
    <w:rsid w:val="00C6697F"/>
    <w:rsid w:val="00C70DDD"/>
    <w:rsid w:val="00C75140"/>
    <w:rsid w:val="00C763B1"/>
    <w:rsid w:val="00C8666A"/>
    <w:rsid w:val="00C95D8B"/>
    <w:rsid w:val="00C9660F"/>
    <w:rsid w:val="00CA6A86"/>
    <w:rsid w:val="00CB04DC"/>
    <w:rsid w:val="00CB247E"/>
    <w:rsid w:val="00CB3E8F"/>
    <w:rsid w:val="00CB44EC"/>
    <w:rsid w:val="00CC4EDB"/>
    <w:rsid w:val="00CC56C4"/>
    <w:rsid w:val="00CD013B"/>
    <w:rsid w:val="00CD0AF3"/>
    <w:rsid w:val="00CD231D"/>
    <w:rsid w:val="00CD25FE"/>
    <w:rsid w:val="00CD3B20"/>
    <w:rsid w:val="00CD3ECD"/>
    <w:rsid w:val="00CE39D7"/>
    <w:rsid w:val="00CE6F13"/>
    <w:rsid w:val="00CF7FF1"/>
    <w:rsid w:val="00D0131D"/>
    <w:rsid w:val="00D10354"/>
    <w:rsid w:val="00D10D52"/>
    <w:rsid w:val="00D13DA2"/>
    <w:rsid w:val="00D16218"/>
    <w:rsid w:val="00D22F66"/>
    <w:rsid w:val="00D237E1"/>
    <w:rsid w:val="00D24968"/>
    <w:rsid w:val="00D2724F"/>
    <w:rsid w:val="00D2737B"/>
    <w:rsid w:val="00D34454"/>
    <w:rsid w:val="00D426A6"/>
    <w:rsid w:val="00D42826"/>
    <w:rsid w:val="00D429F9"/>
    <w:rsid w:val="00D42C40"/>
    <w:rsid w:val="00D502F1"/>
    <w:rsid w:val="00D507E6"/>
    <w:rsid w:val="00D53DEC"/>
    <w:rsid w:val="00D56595"/>
    <w:rsid w:val="00D616B9"/>
    <w:rsid w:val="00D66291"/>
    <w:rsid w:val="00D66A74"/>
    <w:rsid w:val="00D733BE"/>
    <w:rsid w:val="00D73E74"/>
    <w:rsid w:val="00D81E49"/>
    <w:rsid w:val="00D84A10"/>
    <w:rsid w:val="00D86227"/>
    <w:rsid w:val="00D87002"/>
    <w:rsid w:val="00D901F6"/>
    <w:rsid w:val="00D9170B"/>
    <w:rsid w:val="00D9423B"/>
    <w:rsid w:val="00D97499"/>
    <w:rsid w:val="00DA47BB"/>
    <w:rsid w:val="00DB2721"/>
    <w:rsid w:val="00DC0038"/>
    <w:rsid w:val="00DC01CB"/>
    <w:rsid w:val="00DC03B7"/>
    <w:rsid w:val="00DC4B5B"/>
    <w:rsid w:val="00DD31C2"/>
    <w:rsid w:val="00DD3F86"/>
    <w:rsid w:val="00DE2344"/>
    <w:rsid w:val="00DE34F8"/>
    <w:rsid w:val="00DE3A14"/>
    <w:rsid w:val="00DF0F6A"/>
    <w:rsid w:val="00DF2214"/>
    <w:rsid w:val="00DF2FAE"/>
    <w:rsid w:val="00DF79C7"/>
    <w:rsid w:val="00E055B5"/>
    <w:rsid w:val="00E11A65"/>
    <w:rsid w:val="00E1381B"/>
    <w:rsid w:val="00E1400A"/>
    <w:rsid w:val="00E141C4"/>
    <w:rsid w:val="00E15CAF"/>
    <w:rsid w:val="00E20255"/>
    <w:rsid w:val="00E208BA"/>
    <w:rsid w:val="00E223D4"/>
    <w:rsid w:val="00E24907"/>
    <w:rsid w:val="00E268B8"/>
    <w:rsid w:val="00E27E56"/>
    <w:rsid w:val="00E36F15"/>
    <w:rsid w:val="00E4396E"/>
    <w:rsid w:val="00E43D22"/>
    <w:rsid w:val="00E47F71"/>
    <w:rsid w:val="00E50176"/>
    <w:rsid w:val="00E52195"/>
    <w:rsid w:val="00E54085"/>
    <w:rsid w:val="00E63C4F"/>
    <w:rsid w:val="00E679FE"/>
    <w:rsid w:val="00E72D8C"/>
    <w:rsid w:val="00E76EEB"/>
    <w:rsid w:val="00E777F2"/>
    <w:rsid w:val="00E81155"/>
    <w:rsid w:val="00E86DDA"/>
    <w:rsid w:val="00E87F84"/>
    <w:rsid w:val="00E94F5C"/>
    <w:rsid w:val="00E95ECD"/>
    <w:rsid w:val="00EA236D"/>
    <w:rsid w:val="00EA3090"/>
    <w:rsid w:val="00EA6935"/>
    <w:rsid w:val="00EB210F"/>
    <w:rsid w:val="00EB29D4"/>
    <w:rsid w:val="00EB30F0"/>
    <w:rsid w:val="00EB5F52"/>
    <w:rsid w:val="00EC02BD"/>
    <w:rsid w:val="00EC05CA"/>
    <w:rsid w:val="00EC25BC"/>
    <w:rsid w:val="00EC2DB2"/>
    <w:rsid w:val="00EC4268"/>
    <w:rsid w:val="00EC4778"/>
    <w:rsid w:val="00EC50C3"/>
    <w:rsid w:val="00EC6179"/>
    <w:rsid w:val="00EC7DC2"/>
    <w:rsid w:val="00ED3533"/>
    <w:rsid w:val="00EE42D0"/>
    <w:rsid w:val="00EE55A7"/>
    <w:rsid w:val="00EF003D"/>
    <w:rsid w:val="00EF2227"/>
    <w:rsid w:val="00EF4CAD"/>
    <w:rsid w:val="00EF72DB"/>
    <w:rsid w:val="00EF7DCD"/>
    <w:rsid w:val="00F0592F"/>
    <w:rsid w:val="00F07EFF"/>
    <w:rsid w:val="00F10C66"/>
    <w:rsid w:val="00F11190"/>
    <w:rsid w:val="00F11ADE"/>
    <w:rsid w:val="00F141AA"/>
    <w:rsid w:val="00F15AB4"/>
    <w:rsid w:val="00F16B37"/>
    <w:rsid w:val="00F27582"/>
    <w:rsid w:val="00F364A1"/>
    <w:rsid w:val="00F37AFC"/>
    <w:rsid w:val="00F42795"/>
    <w:rsid w:val="00F51BFE"/>
    <w:rsid w:val="00F5472F"/>
    <w:rsid w:val="00F56ECE"/>
    <w:rsid w:val="00F61BD2"/>
    <w:rsid w:val="00F6203A"/>
    <w:rsid w:val="00F71A34"/>
    <w:rsid w:val="00F72617"/>
    <w:rsid w:val="00F755B9"/>
    <w:rsid w:val="00F80DF4"/>
    <w:rsid w:val="00F86180"/>
    <w:rsid w:val="00F87A87"/>
    <w:rsid w:val="00F912E5"/>
    <w:rsid w:val="00F9368F"/>
    <w:rsid w:val="00F97953"/>
    <w:rsid w:val="00FA2185"/>
    <w:rsid w:val="00FA5D93"/>
    <w:rsid w:val="00FA77C7"/>
    <w:rsid w:val="00FB1572"/>
    <w:rsid w:val="00FB1738"/>
    <w:rsid w:val="00FB2C4B"/>
    <w:rsid w:val="00FB3595"/>
    <w:rsid w:val="00FB36DA"/>
    <w:rsid w:val="00FC6572"/>
    <w:rsid w:val="00FC7122"/>
    <w:rsid w:val="00FD3AB9"/>
    <w:rsid w:val="00FD43F3"/>
    <w:rsid w:val="00FE1365"/>
    <w:rsid w:val="00FE1453"/>
    <w:rsid w:val="00FF04A3"/>
    <w:rsid w:val="00FF0A1C"/>
    <w:rsid w:val="00FF0F1C"/>
    <w:rsid w:val="00FF305C"/>
    <w:rsid w:val="00FF5C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1E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466"/>
    <w:rPr>
      <w:lang w:val="es-ES_tradnl"/>
    </w:rPr>
  </w:style>
  <w:style w:type="paragraph" w:styleId="Heading3">
    <w:name w:val="heading 3"/>
    <w:basedOn w:val="Normal"/>
    <w:next w:val="Normal"/>
    <w:link w:val="Heading3Char"/>
    <w:uiPriority w:val="9"/>
    <w:qFormat/>
    <w:rsid w:val="00291466"/>
    <w:pPr>
      <w:ind w:left="709"/>
      <w:jc w:val="both"/>
      <w:outlineLvl w:val="2"/>
    </w:pPr>
    <w:rPr>
      <w:rFonts w:ascii="Verdana" w:eastAsia="Batang" w:hAnsi="Verdana" w:cs="Times"/>
      <w:b/>
      <w:i/>
      <w:sz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1466"/>
    <w:rPr>
      <w:rFonts w:ascii="Verdana" w:eastAsia="Batang" w:hAnsi="Verdana" w:cs="Times"/>
      <w:b/>
      <w:i/>
      <w:sz w:val="20"/>
      <w:lang w:eastAsia="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nhideWhenUsed/>
    <w:qFormat/>
    <w:rsid w:val="00291466"/>
    <w:pPr>
      <w:tabs>
        <w:tab w:val="center" w:pos="4419"/>
        <w:tab w:val="right" w:pos="8838"/>
      </w:tabs>
      <w:spacing w:after="40"/>
      <w:jc w:val="both"/>
    </w:pPr>
    <w:rPr>
      <w:rFonts w:ascii="Verdana" w:eastAsiaTheme="minorHAnsi" w:hAnsi="Verdana"/>
      <w:sz w:val="16"/>
      <w:szCs w:val="16"/>
      <w:lang w:val="en-US" w:eastAsia="en-U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291466"/>
    <w:rPr>
      <w:rFonts w:ascii="Verdana" w:eastAsiaTheme="minorHAnsi" w:hAnsi="Verdana"/>
      <w:sz w:val="16"/>
      <w:szCs w:val="16"/>
      <w:lang w:val="en-US"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291466"/>
    <w:rPr>
      <w:rFonts w:cs="Times New Roman"/>
      <w:szCs w:val="20"/>
      <w:vertAlign w:val="superscript"/>
    </w:rPr>
  </w:style>
  <w:style w:type="character" w:styleId="Strong">
    <w:name w:val="Strong"/>
    <w:uiPriority w:val="22"/>
    <w:qFormat/>
    <w:rsid w:val="00291466"/>
    <w:rPr>
      <w:b/>
      <w:bCs/>
    </w:rPr>
  </w:style>
  <w:style w:type="paragraph" w:styleId="ListParagraph">
    <w:name w:val="List Paragraph"/>
    <w:aliases w:val="Párrafo de lista1,Footnote,List Paragraph2,List Paragraph1,Colorful List - Accent 11,Lista vistosa - Énfasis 11"/>
    <w:basedOn w:val="Normal"/>
    <w:link w:val="ListParagraphChar"/>
    <w:uiPriority w:val="34"/>
    <w:qFormat/>
    <w:rsid w:val="00291466"/>
    <w:pPr>
      <w:ind w:left="720"/>
      <w:contextualSpacing/>
      <w:jc w:val="both"/>
    </w:pPr>
    <w:rPr>
      <w:rFonts w:ascii="Verdana" w:eastAsiaTheme="minorHAnsi" w:hAnsi="Verdana"/>
      <w:sz w:val="20"/>
      <w:szCs w:val="22"/>
      <w:lang w:val="es-CR" w:eastAsia="en-US"/>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34"/>
    <w:locked/>
    <w:rsid w:val="00291466"/>
    <w:rPr>
      <w:rFonts w:ascii="Verdana" w:eastAsiaTheme="minorHAnsi" w:hAnsi="Verdana"/>
      <w:sz w:val="20"/>
      <w:szCs w:val="22"/>
      <w:lang w:val="es-CR" w:eastAsia="en-US"/>
    </w:rPr>
  </w:style>
  <w:style w:type="paragraph" w:styleId="NormalWeb">
    <w:name w:val="Normal (Web)"/>
    <w:aliases w:val="Normal (Web) Char1,Normal (Web) Char Char,Normal (Web) Char1 Char,Normal (Web) Char Char Char"/>
    <w:basedOn w:val="Normal"/>
    <w:uiPriority w:val="99"/>
    <w:unhideWhenUsed/>
    <w:rsid w:val="00291466"/>
    <w:pPr>
      <w:spacing w:before="100" w:beforeAutospacing="1" w:after="100" w:afterAutospacing="1"/>
    </w:pPr>
    <w:rPr>
      <w:rFonts w:ascii="Times" w:hAnsi="Times" w:cs="Times New Roman"/>
      <w:sz w:val="20"/>
      <w:szCs w:val="20"/>
      <w:lang w:val="es-MX"/>
    </w:rPr>
  </w:style>
  <w:style w:type="paragraph" w:customStyle="1" w:styleId="s30eec3f8">
    <w:name w:val="s30eec3f8"/>
    <w:basedOn w:val="Normal"/>
    <w:rsid w:val="00291466"/>
    <w:pPr>
      <w:spacing w:before="100" w:beforeAutospacing="1" w:after="100" w:afterAutospacing="1"/>
    </w:pPr>
    <w:rPr>
      <w:rFonts w:ascii="Times" w:hAnsi="Times"/>
      <w:sz w:val="20"/>
      <w:szCs w:val="20"/>
      <w:lang w:val="es-MX"/>
    </w:rPr>
  </w:style>
  <w:style w:type="character" w:customStyle="1" w:styleId="sb8d990e2">
    <w:name w:val="sb8d990e2"/>
    <w:basedOn w:val="DefaultParagraphFont"/>
    <w:rsid w:val="00291466"/>
  </w:style>
  <w:style w:type="character" w:customStyle="1" w:styleId="apple-converted-space">
    <w:name w:val="apple-converted-space"/>
    <w:basedOn w:val="DefaultParagraphFont"/>
    <w:rsid w:val="00291466"/>
  </w:style>
  <w:style w:type="paragraph" w:styleId="Footer">
    <w:name w:val="footer"/>
    <w:basedOn w:val="Normal"/>
    <w:link w:val="FooterChar"/>
    <w:uiPriority w:val="99"/>
    <w:unhideWhenUsed/>
    <w:rsid w:val="00291466"/>
    <w:pPr>
      <w:tabs>
        <w:tab w:val="center" w:pos="4252"/>
        <w:tab w:val="right" w:pos="8504"/>
      </w:tabs>
    </w:pPr>
  </w:style>
  <w:style w:type="character" w:customStyle="1" w:styleId="FooterChar">
    <w:name w:val="Footer Char"/>
    <w:basedOn w:val="DefaultParagraphFont"/>
    <w:link w:val="Footer"/>
    <w:uiPriority w:val="99"/>
    <w:rsid w:val="00291466"/>
    <w:rPr>
      <w:lang w:val="es-ES_tradnl"/>
    </w:rPr>
  </w:style>
  <w:style w:type="character" w:styleId="PageNumber">
    <w:name w:val="page number"/>
    <w:basedOn w:val="DefaultParagraphFont"/>
    <w:uiPriority w:val="99"/>
    <w:semiHidden/>
    <w:unhideWhenUsed/>
    <w:rsid w:val="00291466"/>
  </w:style>
  <w:style w:type="paragraph" w:customStyle="1" w:styleId="Default">
    <w:name w:val="Default"/>
    <w:rsid w:val="00CB04DC"/>
    <w:pPr>
      <w:widowControl w:val="0"/>
      <w:autoSpaceDE w:val="0"/>
      <w:autoSpaceDN w:val="0"/>
      <w:adjustRightInd w:val="0"/>
    </w:pPr>
    <w:rPr>
      <w:rFonts w:ascii="Verdana" w:hAnsi="Verdana" w:cs="Verdana"/>
      <w:color w:val="000000"/>
      <w:lang w:val="es-ES"/>
    </w:rPr>
  </w:style>
  <w:style w:type="paragraph" w:styleId="NoSpacing">
    <w:name w:val="No Spacing"/>
    <w:uiPriority w:val="1"/>
    <w:qFormat/>
    <w:rsid w:val="00520156"/>
    <w:rPr>
      <w:rFonts w:eastAsiaTheme="minorHAnsi"/>
      <w:sz w:val="22"/>
      <w:szCs w:val="22"/>
      <w:lang w:val="en-US" w:eastAsia="en-US"/>
    </w:rPr>
  </w:style>
  <w:style w:type="paragraph" w:customStyle="1" w:styleId="sb223ea02">
    <w:name w:val="sb223ea02"/>
    <w:basedOn w:val="Normal"/>
    <w:rsid w:val="00476A01"/>
    <w:pPr>
      <w:spacing w:before="100" w:beforeAutospacing="1" w:after="100" w:afterAutospacing="1"/>
    </w:pPr>
    <w:rPr>
      <w:rFonts w:ascii="Times" w:hAnsi="Times"/>
      <w:sz w:val="20"/>
      <w:szCs w:val="20"/>
      <w:lang w:val="es-MX"/>
    </w:rPr>
  </w:style>
  <w:style w:type="character" w:customStyle="1" w:styleId="s7d2086b4">
    <w:name w:val="s7d2086b4"/>
    <w:basedOn w:val="DefaultParagraphFont"/>
    <w:rsid w:val="00476A01"/>
  </w:style>
  <w:style w:type="paragraph" w:customStyle="1" w:styleId="s6704e5c3">
    <w:name w:val="s6704e5c3"/>
    <w:basedOn w:val="Normal"/>
    <w:rsid w:val="00476A01"/>
    <w:pPr>
      <w:spacing w:before="100" w:beforeAutospacing="1" w:after="100" w:afterAutospacing="1"/>
    </w:pPr>
    <w:rPr>
      <w:rFonts w:ascii="Times" w:hAnsi="Times"/>
      <w:sz w:val="20"/>
      <w:szCs w:val="20"/>
      <w:lang w:val="es-MX"/>
    </w:rPr>
  </w:style>
  <w:style w:type="character" w:customStyle="1" w:styleId="sfbbfee58">
    <w:name w:val="sfbbfee58"/>
    <w:basedOn w:val="DefaultParagraphFont"/>
    <w:rsid w:val="00476A01"/>
  </w:style>
  <w:style w:type="paragraph" w:customStyle="1" w:styleId="scc90dede">
    <w:name w:val="scc90dede"/>
    <w:basedOn w:val="Normal"/>
    <w:rsid w:val="00476A01"/>
    <w:pPr>
      <w:spacing w:before="100" w:beforeAutospacing="1" w:after="100" w:afterAutospacing="1"/>
    </w:pPr>
    <w:rPr>
      <w:rFonts w:ascii="Times" w:hAnsi="Times"/>
      <w:sz w:val="20"/>
      <w:szCs w:val="20"/>
      <w:lang w:val="es-MX"/>
    </w:rPr>
  </w:style>
  <w:style w:type="character" w:customStyle="1" w:styleId="s6b621b36">
    <w:name w:val="s6b621b36"/>
    <w:basedOn w:val="DefaultParagraphFont"/>
    <w:rsid w:val="00476A01"/>
  </w:style>
  <w:style w:type="character" w:customStyle="1" w:styleId="wordhighlighted">
    <w:name w:val="wordhighlighted"/>
    <w:basedOn w:val="DefaultParagraphFont"/>
    <w:rsid w:val="00476A01"/>
  </w:style>
  <w:style w:type="paragraph" w:customStyle="1" w:styleId="sd5b7d322">
    <w:name w:val="sd5b7d322"/>
    <w:basedOn w:val="Normal"/>
    <w:rsid w:val="00C4637C"/>
    <w:pPr>
      <w:spacing w:before="100" w:beforeAutospacing="1" w:after="100" w:afterAutospacing="1"/>
    </w:pPr>
    <w:rPr>
      <w:rFonts w:ascii="Times" w:hAnsi="Times"/>
      <w:sz w:val="20"/>
      <w:szCs w:val="20"/>
      <w:lang w:val="es-MX"/>
    </w:rPr>
  </w:style>
  <w:style w:type="paragraph" w:styleId="BalloonText">
    <w:name w:val="Balloon Text"/>
    <w:basedOn w:val="Normal"/>
    <w:link w:val="BalloonTextChar"/>
    <w:uiPriority w:val="99"/>
    <w:semiHidden/>
    <w:unhideWhenUsed/>
    <w:rsid w:val="004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09D"/>
    <w:rPr>
      <w:rFonts w:ascii="Lucida Grande" w:hAnsi="Lucida Grande" w:cs="Lucida Grande"/>
      <w:sz w:val="18"/>
      <w:szCs w:val="18"/>
      <w:lang w:val="es-ES_tradnl"/>
    </w:rPr>
  </w:style>
  <w:style w:type="paragraph" w:customStyle="1" w:styleId="CPClassification">
    <w:name w:val="CP Classification"/>
    <w:basedOn w:val="Normal"/>
    <w:rsid w:val="007E6A02"/>
    <w:pPr>
      <w:tabs>
        <w:tab w:val="center" w:pos="2160"/>
        <w:tab w:val="left" w:pos="7200"/>
      </w:tabs>
      <w:ind w:left="7200" w:right="-360"/>
      <w:jc w:val="both"/>
    </w:pPr>
    <w:rPr>
      <w:rFonts w:ascii="Times New Roman" w:eastAsia="Times New Roman" w:hAnsi="Times New Roman" w:cs="Times New Roman"/>
      <w:sz w:val="22"/>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6526">
      <w:bodyDiv w:val="1"/>
      <w:marLeft w:val="0"/>
      <w:marRight w:val="0"/>
      <w:marTop w:val="0"/>
      <w:marBottom w:val="0"/>
      <w:divBdr>
        <w:top w:val="none" w:sz="0" w:space="0" w:color="auto"/>
        <w:left w:val="none" w:sz="0" w:space="0" w:color="auto"/>
        <w:bottom w:val="none" w:sz="0" w:space="0" w:color="auto"/>
        <w:right w:val="none" w:sz="0" w:space="0" w:color="auto"/>
      </w:divBdr>
      <w:divsChild>
        <w:div w:id="943148661">
          <w:marLeft w:val="0"/>
          <w:marRight w:val="0"/>
          <w:marTop w:val="0"/>
          <w:marBottom w:val="0"/>
          <w:divBdr>
            <w:top w:val="none" w:sz="0" w:space="0" w:color="auto"/>
            <w:left w:val="none" w:sz="0" w:space="0" w:color="auto"/>
            <w:bottom w:val="none" w:sz="0" w:space="0" w:color="auto"/>
            <w:right w:val="none" w:sz="0" w:space="0" w:color="auto"/>
          </w:divBdr>
          <w:divsChild>
            <w:div w:id="389765705">
              <w:marLeft w:val="0"/>
              <w:marRight w:val="0"/>
              <w:marTop w:val="0"/>
              <w:marBottom w:val="0"/>
              <w:divBdr>
                <w:top w:val="none" w:sz="0" w:space="0" w:color="auto"/>
                <w:left w:val="none" w:sz="0" w:space="0" w:color="auto"/>
                <w:bottom w:val="none" w:sz="0" w:space="0" w:color="auto"/>
                <w:right w:val="none" w:sz="0" w:space="0" w:color="auto"/>
              </w:divBdr>
              <w:divsChild>
                <w:div w:id="426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50432">
      <w:bodyDiv w:val="1"/>
      <w:marLeft w:val="0"/>
      <w:marRight w:val="0"/>
      <w:marTop w:val="0"/>
      <w:marBottom w:val="0"/>
      <w:divBdr>
        <w:top w:val="none" w:sz="0" w:space="0" w:color="auto"/>
        <w:left w:val="none" w:sz="0" w:space="0" w:color="auto"/>
        <w:bottom w:val="none" w:sz="0" w:space="0" w:color="auto"/>
        <w:right w:val="none" w:sz="0" w:space="0" w:color="auto"/>
      </w:divBdr>
      <w:divsChild>
        <w:div w:id="267157156">
          <w:marLeft w:val="0"/>
          <w:marRight w:val="0"/>
          <w:marTop w:val="0"/>
          <w:marBottom w:val="0"/>
          <w:divBdr>
            <w:top w:val="none" w:sz="0" w:space="0" w:color="auto"/>
            <w:left w:val="none" w:sz="0" w:space="0" w:color="auto"/>
            <w:bottom w:val="none" w:sz="0" w:space="0" w:color="auto"/>
            <w:right w:val="none" w:sz="0" w:space="0" w:color="auto"/>
          </w:divBdr>
          <w:divsChild>
            <w:div w:id="385377818">
              <w:marLeft w:val="0"/>
              <w:marRight w:val="0"/>
              <w:marTop w:val="0"/>
              <w:marBottom w:val="0"/>
              <w:divBdr>
                <w:top w:val="none" w:sz="0" w:space="0" w:color="auto"/>
                <w:left w:val="none" w:sz="0" w:space="0" w:color="auto"/>
                <w:bottom w:val="none" w:sz="0" w:space="0" w:color="auto"/>
                <w:right w:val="none" w:sz="0" w:space="0" w:color="auto"/>
              </w:divBdr>
              <w:divsChild>
                <w:div w:id="20411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7073">
      <w:bodyDiv w:val="1"/>
      <w:marLeft w:val="0"/>
      <w:marRight w:val="0"/>
      <w:marTop w:val="0"/>
      <w:marBottom w:val="0"/>
      <w:divBdr>
        <w:top w:val="none" w:sz="0" w:space="0" w:color="auto"/>
        <w:left w:val="none" w:sz="0" w:space="0" w:color="auto"/>
        <w:bottom w:val="none" w:sz="0" w:space="0" w:color="auto"/>
        <w:right w:val="none" w:sz="0" w:space="0" w:color="auto"/>
      </w:divBdr>
      <w:divsChild>
        <w:div w:id="1941831740">
          <w:marLeft w:val="0"/>
          <w:marRight w:val="0"/>
          <w:marTop w:val="0"/>
          <w:marBottom w:val="0"/>
          <w:divBdr>
            <w:top w:val="none" w:sz="0" w:space="0" w:color="auto"/>
            <w:left w:val="none" w:sz="0" w:space="0" w:color="auto"/>
            <w:bottom w:val="none" w:sz="0" w:space="0" w:color="auto"/>
            <w:right w:val="none" w:sz="0" w:space="0" w:color="auto"/>
          </w:divBdr>
          <w:divsChild>
            <w:div w:id="1606964506">
              <w:marLeft w:val="0"/>
              <w:marRight w:val="0"/>
              <w:marTop w:val="0"/>
              <w:marBottom w:val="0"/>
              <w:divBdr>
                <w:top w:val="none" w:sz="0" w:space="0" w:color="auto"/>
                <w:left w:val="none" w:sz="0" w:space="0" w:color="auto"/>
                <w:bottom w:val="none" w:sz="0" w:space="0" w:color="auto"/>
                <w:right w:val="none" w:sz="0" w:space="0" w:color="auto"/>
              </w:divBdr>
              <w:divsChild>
                <w:div w:id="1492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3616">
      <w:bodyDiv w:val="1"/>
      <w:marLeft w:val="0"/>
      <w:marRight w:val="0"/>
      <w:marTop w:val="0"/>
      <w:marBottom w:val="0"/>
      <w:divBdr>
        <w:top w:val="none" w:sz="0" w:space="0" w:color="auto"/>
        <w:left w:val="none" w:sz="0" w:space="0" w:color="auto"/>
        <w:bottom w:val="none" w:sz="0" w:space="0" w:color="auto"/>
        <w:right w:val="none" w:sz="0" w:space="0" w:color="auto"/>
      </w:divBdr>
      <w:divsChild>
        <w:div w:id="777799376">
          <w:marLeft w:val="0"/>
          <w:marRight w:val="0"/>
          <w:marTop w:val="0"/>
          <w:marBottom w:val="0"/>
          <w:divBdr>
            <w:top w:val="none" w:sz="0" w:space="0" w:color="auto"/>
            <w:left w:val="none" w:sz="0" w:space="0" w:color="auto"/>
            <w:bottom w:val="none" w:sz="0" w:space="0" w:color="auto"/>
            <w:right w:val="none" w:sz="0" w:space="0" w:color="auto"/>
          </w:divBdr>
          <w:divsChild>
            <w:div w:id="1154951652">
              <w:marLeft w:val="0"/>
              <w:marRight w:val="0"/>
              <w:marTop w:val="0"/>
              <w:marBottom w:val="0"/>
              <w:divBdr>
                <w:top w:val="none" w:sz="0" w:space="0" w:color="auto"/>
                <w:left w:val="none" w:sz="0" w:space="0" w:color="auto"/>
                <w:bottom w:val="none" w:sz="0" w:space="0" w:color="auto"/>
                <w:right w:val="none" w:sz="0" w:space="0" w:color="auto"/>
              </w:divBdr>
              <w:divsChild>
                <w:div w:id="169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3435">
      <w:bodyDiv w:val="1"/>
      <w:marLeft w:val="0"/>
      <w:marRight w:val="0"/>
      <w:marTop w:val="0"/>
      <w:marBottom w:val="0"/>
      <w:divBdr>
        <w:top w:val="none" w:sz="0" w:space="0" w:color="auto"/>
        <w:left w:val="none" w:sz="0" w:space="0" w:color="auto"/>
        <w:bottom w:val="none" w:sz="0" w:space="0" w:color="auto"/>
        <w:right w:val="none" w:sz="0" w:space="0" w:color="auto"/>
      </w:divBdr>
      <w:divsChild>
        <w:div w:id="660234311">
          <w:marLeft w:val="0"/>
          <w:marRight w:val="0"/>
          <w:marTop w:val="0"/>
          <w:marBottom w:val="0"/>
          <w:divBdr>
            <w:top w:val="none" w:sz="0" w:space="0" w:color="auto"/>
            <w:left w:val="none" w:sz="0" w:space="0" w:color="auto"/>
            <w:bottom w:val="none" w:sz="0" w:space="0" w:color="auto"/>
            <w:right w:val="none" w:sz="0" w:space="0" w:color="auto"/>
          </w:divBdr>
          <w:divsChild>
            <w:div w:id="123624756">
              <w:marLeft w:val="0"/>
              <w:marRight w:val="0"/>
              <w:marTop w:val="0"/>
              <w:marBottom w:val="0"/>
              <w:divBdr>
                <w:top w:val="none" w:sz="0" w:space="0" w:color="auto"/>
                <w:left w:val="none" w:sz="0" w:space="0" w:color="auto"/>
                <w:bottom w:val="none" w:sz="0" w:space="0" w:color="auto"/>
                <w:right w:val="none" w:sz="0" w:space="0" w:color="auto"/>
              </w:divBdr>
              <w:divsChild>
                <w:div w:id="632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21668">
      <w:bodyDiv w:val="1"/>
      <w:marLeft w:val="0"/>
      <w:marRight w:val="0"/>
      <w:marTop w:val="0"/>
      <w:marBottom w:val="0"/>
      <w:divBdr>
        <w:top w:val="none" w:sz="0" w:space="0" w:color="auto"/>
        <w:left w:val="none" w:sz="0" w:space="0" w:color="auto"/>
        <w:bottom w:val="none" w:sz="0" w:space="0" w:color="auto"/>
        <w:right w:val="none" w:sz="0" w:space="0" w:color="auto"/>
      </w:divBdr>
      <w:divsChild>
        <w:div w:id="62488369">
          <w:marLeft w:val="0"/>
          <w:marRight w:val="0"/>
          <w:marTop w:val="0"/>
          <w:marBottom w:val="0"/>
          <w:divBdr>
            <w:top w:val="none" w:sz="0" w:space="0" w:color="auto"/>
            <w:left w:val="none" w:sz="0" w:space="0" w:color="auto"/>
            <w:bottom w:val="none" w:sz="0" w:space="0" w:color="auto"/>
            <w:right w:val="none" w:sz="0" w:space="0" w:color="auto"/>
          </w:divBdr>
          <w:divsChild>
            <w:div w:id="7105827">
              <w:marLeft w:val="0"/>
              <w:marRight w:val="0"/>
              <w:marTop w:val="0"/>
              <w:marBottom w:val="0"/>
              <w:divBdr>
                <w:top w:val="none" w:sz="0" w:space="0" w:color="auto"/>
                <w:left w:val="none" w:sz="0" w:space="0" w:color="auto"/>
                <w:bottom w:val="none" w:sz="0" w:space="0" w:color="auto"/>
                <w:right w:val="none" w:sz="0" w:space="0" w:color="auto"/>
              </w:divBdr>
              <w:divsChild>
                <w:div w:id="11630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8903">
      <w:bodyDiv w:val="1"/>
      <w:marLeft w:val="0"/>
      <w:marRight w:val="0"/>
      <w:marTop w:val="0"/>
      <w:marBottom w:val="0"/>
      <w:divBdr>
        <w:top w:val="none" w:sz="0" w:space="0" w:color="auto"/>
        <w:left w:val="none" w:sz="0" w:space="0" w:color="auto"/>
        <w:bottom w:val="none" w:sz="0" w:space="0" w:color="auto"/>
        <w:right w:val="none" w:sz="0" w:space="0" w:color="auto"/>
      </w:divBdr>
      <w:divsChild>
        <w:div w:id="1565143302">
          <w:marLeft w:val="0"/>
          <w:marRight w:val="0"/>
          <w:marTop w:val="0"/>
          <w:marBottom w:val="0"/>
          <w:divBdr>
            <w:top w:val="none" w:sz="0" w:space="0" w:color="auto"/>
            <w:left w:val="none" w:sz="0" w:space="0" w:color="auto"/>
            <w:bottom w:val="none" w:sz="0" w:space="0" w:color="auto"/>
            <w:right w:val="none" w:sz="0" w:space="0" w:color="auto"/>
          </w:divBdr>
          <w:divsChild>
            <w:div w:id="1020743718">
              <w:marLeft w:val="0"/>
              <w:marRight w:val="0"/>
              <w:marTop w:val="0"/>
              <w:marBottom w:val="0"/>
              <w:divBdr>
                <w:top w:val="none" w:sz="0" w:space="0" w:color="auto"/>
                <w:left w:val="none" w:sz="0" w:space="0" w:color="auto"/>
                <w:bottom w:val="none" w:sz="0" w:space="0" w:color="auto"/>
                <w:right w:val="none" w:sz="0" w:space="0" w:color="auto"/>
              </w:divBdr>
              <w:divsChild>
                <w:div w:id="1380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4700">
      <w:bodyDiv w:val="1"/>
      <w:marLeft w:val="0"/>
      <w:marRight w:val="0"/>
      <w:marTop w:val="0"/>
      <w:marBottom w:val="0"/>
      <w:divBdr>
        <w:top w:val="none" w:sz="0" w:space="0" w:color="auto"/>
        <w:left w:val="none" w:sz="0" w:space="0" w:color="auto"/>
        <w:bottom w:val="none" w:sz="0" w:space="0" w:color="auto"/>
        <w:right w:val="none" w:sz="0" w:space="0" w:color="auto"/>
      </w:divBdr>
    </w:div>
    <w:div w:id="1175803066">
      <w:bodyDiv w:val="1"/>
      <w:marLeft w:val="0"/>
      <w:marRight w:val="0"/>
      <w:marTop w:val="0"/>
      <w:marBottom w:val="0"/>
      <w:divBdr>
        <w:top w:val="none" w:sz="0" w:space="0" w:color="auto"/>
        <w:left w:val="none" w:sz="0" w:space="0" w:color="auto"/>
        <w:bottom w:val="none" w:sz="0" w:space="0" w:color="auto"/>
        <w:right w:val="none" w:sz="0" w:space="0" w:color="auto"/>
      </w:divBdr>
      <w:divsChild>
        <w:div w:id="1864172186">
          <w:marLeft w:val="0"/>
          <w:marRight w:val="0"/>
          <w:marTop w:val="0"/>
          <w:marBottom w:val="0"/>
          <w:divBdr>
            <w:top w:val="none" w:sz="0" w:space="0" w:color="auto"/>
            <w:left w:val="none" w:sz="0" w:space="0" w:color="auto"/>
            <w:bottom w:val="none" w:sz="0" w:space="0" w:color="auto"/>
            <w:right w:val="none" w:sz="0" w:space="0" w:color="auto"/>
          </w:divBdr>
          <w:divsChild>
            <w:div w:id="1925803098">
              <w:marLeft w:val="0"/>
              <w:marRight w:val="0"/>
              <w:marTop w:val="0"/>
              <w:marBottom w:val="0"/>
              <w:divBdr>
                <w:top w:val="none" w:sz="0" w:space="0" w:color="auto"/>
                <w:left w:val="none" w:sz="0" w:space="0" w:color="auto"/>
                <w:bottom w:val="none" w:sz="0" w:space="0" w:color="auto"/>
                <w:right w:val="none" w:sz="0" w:space="0" w:color="auto"/>
              </w:divBdr>
              <w:divsChild>
                <w:div w:id="1004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3537">
      <w:bodyDiv w:val="1"/>
      <w:marLeft w:val="0"/>
      <w:marRight w:val="0"/>
      <w:marTop w:val="0"/>
      <w:marBottom w:val="0"/>
      <w:divBdr>
        <w:top w:val="none" w:sz="0" w:space="0" w:color="auto"/>
        <w:left w:val="none" w:sz="0" w:space="0" w:color="auto"/>
        <w:bottom w:val="none" w:sz="0" w:space="0" w:color="auto"/>
        <w:right w:val="none" w:sz="0" w:space="0" w:color="auto"/>
      </w:divBdr>
      <w:divsChild>
        <w:div w:id="701436991">
          <w:marLeft w:val="0"/>
          <w:marRight w:val="0"/>
          <w:marTop w:val="0"/>
          <w:marBottom w:val="0"/>
          <w:divBdr>
            <w:top w:val="none" w:sz="0" w:space="0" w:color="auto"/>
            <w:left w:val="none" w:sz="0" w:space="0" w:color="auto"/>
            <w:bottom w:val="none" w:sz="0" w:space="0" w:color="auto"/>
            <w:right w:val="none" w:sz="0" w:space="0" w:color="auto"/>
          </w:divBdr>
          <w:divsChild>
            <w:div w:id="583806006">
              <w:marLeft w:val="0"/>
              <w:marRight w:val="0"/>
              <w:marTop w:val="0"/>
              <w:marBottom w:val="0"/>
              <w:divBdr>
                <w:top w:val="none" w:sz="0" w:space="0" w:color="auto"/>
                <w:left w:val="none" w:sz="0" w:space="0" w:color="auto"/>
                <w:bottom w:val="none" w:sz="0" w:space="0" w:color="auto"/>
                <w:right w:val="none" w:sz="0" w:space="0" w:color="auto"/>
              </w:divBdr>
              <w:divsChild>
                <w:div w:id="1349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30">
      <w:bodyDiv w:val="1"/>
      <w:marLeft w:val="0"/>
      <w:marRight w:val="0"/>
      <w:marTop w:val="0"/>
      <w:marBottom w:val="0"/>
      <w:divBdr>
        <w:top w:val="none" w:sz="0" w:space="0" w:color="auto"/>
        <w:left w:val="none" w:sz="0" w:space="0" w:color="auto"/>
        <w:bottom w:val="none" w:sz="0" w:space="0" w:color="auto"/>
        <w:right w:val="none" w:sz="0" w:space="0" w:color="auto"/>
      </w:divBdr>
      <w:divsChild>
        <w:div w:id="1473910260">
          <w:marLeft w:val="0"/>
          <w:marRight w:val="0"/>
          <w:marTop w:val="0"/>
          <w:marBottom w:val="0"/>
          <w:divBdr>
            <w:top w:val="none" w:sz="0" w:space="0" w:color="auto"/>
            <w:left w:val="none" w:sz="0" w:space="0" w:color="auto"/>
            <w:bottom w:val="none" w:sz="0" w:space="0" w:color="auto"/>
            <w:right w:val="none" w:sz="0" w:space="0" w:color="auto"/>
          </w:divBdr>
          <w:divsChild>
            <w:div w:id="160777240">
              <w:marLeft w:val="0"/>
              <w:marRight w:val="0"/>
              <w:marTop w:val="0"/>
              <w:marBottom w:val="0"/>
              <w:divBdr>
                <w:top w:val="none" w:sz="0" w:space="0" w:color="auto"/>
                <w:left w:val="none" w:sz="0" w:space="0" w:color="auto"/>
                <w:bottom w:val="none" w:sz="0" w:space="0" w:color="auto"/>
                <w:right w:val="none" w:sz="0" w:space="0" w:color="auto"/>
              </w:divBdr>
              <w:divsChild>
                <w:div w:id="2165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6519">
      <w:bodyDiv w:val="1"/>
      <w:marLeft w:val="0"/>
      <w:marRight w:val="0"/>
      <w:marTop w:val="0"/>
      <w:marBottom w:val="0"/>
      <w:divBdr>
        <w:top w:val="none" w:sz="0" w:space="0" w:color="auto"/>
        <w:left w:val="none" w:sz="0" w:space="0" w:color="auto"/>
        <w:bottom w:val="none" w:sz="0" w:space="0" w:color="auto"/>
        <w:right w:val="none" w:sz="0" w:space="0" w:color="auto"/>
      </w:divBdr>
      <w:divsChild>
        <w:div w:id="872423021">
          <w:marLeft w:val="0"/>
          <w:marRight w:val="0"/>
          <w:marTop w:val="0"/>
          <w:marBottom w:val="0"/>
          <w:divBdr>
            <w:top w:val="none" w:sz="0" w:space="0" w:color="auto"/>
            <w:left w:val="none" w:sz="0" w:space="0" w:color="auto"/>
            <w:bottom w:val="none" w:sz="0" w:space="0" w:color="auto"/>
            <w:right w:val="none" w:sz="0" w:space="0" w:color="auto"/>
          </w:divBdr>
          <w:divsChild>
            <w:div w:id="1441294024">
              <w:marLeft w:val="0"/>
              <w:marRight w:val="0"/>
              <w:marTop w:val="0"/>
              <w:marBottom w:val="0"/>
              <w:divBdr>
                <w:top w:val="none" w:sz="0" w:space="0" w:color="auto"/>
                <w:left w:val="none" w:sz="0" w:space="0" w:color="auto"/>
                <w:bottom w:val="none" w:sz="0" w:space="0" w:color="auto"/>
                <w:right w:val="none" w:sz="0" w:space="0" w:color="auto"/>
              </w:divBdr>
              <w:divsChild>
                <w:div w:id="17294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9483">
      <w:bodyDiv w:val="1"/>
      <w:marLeft w:val="0"/>
      <w:marRight w:val="0"/>
      <w:marTop w:val="0"/>
      <w:marBottom w:val="0"/>
      <w:divBdr>
        <w:top w:val="none" w:sz="0" w:space="0" w:color="auto"/>
        <w:left w:val="none" w:sz="0" w:space="0" w:color="auto"/>
        <w:bottom w:val="none" w:sz="0" w:space="0" w:color="auto"/>
        <w:right w:val="none" w:sz="0" w:space="0" w:color="auto"/>
      </w:divBdr>
      <w:divsChild>
        <w:div w:id="1798376384">
          <w:marLeft w:val="0"/>
          <w:marRight w:val="0"/>
          <w:marTop w:val="0"/>
          <w:marBottom w:val="0"/>
          <w:divBdr>
            <w:top w:val="none" w:sz="0" w:space="0" w:color="auto"/>
            <w:left w:val="none" w:sz="0" w:space="0" w:color="auto"/>
            <w:bottom w:val="none" w:sz="0" w:space="0" w:color="auto"/>
            <w:right w:val="none" w:sz="0" w:space="0" w:color="auto"/>
          </w:divBdr>
          <w:divsChild>
            <w:div w:id="266160573">
              <w:marLeft w:val="0"/>
              <w:marRight w:val="0"/>
              <w:marTop w:val="0"/>
              <w:marBottom w:val="0"/>
              <w:divBdr>
                <w:top w:val="none" w:sz="0" w:space="0" w:color="auto"/>
                <w:left w:val="none" w:sz="0" w:space="0" w:color="auto"/>
                <w:bottom w:val="none" w:sz="0" w:space="0" w:color="auto"/>
                <w:right w:val="none" w:sz="0" w:space="0" w:color="auto"/>
              </w:divBdr>
              <w:divsChild>
                <w:div w:id="12713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689">
      <w:bodyDiv w:val="1"/>
      <w:marLeft w:val="0"/>
      <w:marRight w:val="0"/>
      <w:marTop w:val="0"/>
      <w:marBottom w:val="0"/>
      <w:divBdr>
        <w:top w:val="none" w:sz="0" w:space="0" w:color="auto"/>
        <w:left w:val="none" w:sz="0" w:space="0" w:color="auto"/>
        <w:bottom w:val="none" w:sz="0" w:space="0" w:color="auto"/>
        <w:right w:val="none" w:sz="0" w:space="0" w:color="auto"/>
      </w:divBdr>
      <w:divsChild>
        <w:div w:id="685130469">
          <w:marLeft w:val="0"/>
          <w:marRight w:val="0"/>
          <w:marTop w:val="0"/>
          <w:marBottom w:val="0"/>
          <w:divBdr>
            <w:top w:val="none" w:sz="0" w:space="0" w:color="auto"/>
            <w:left w:val="none" w:sz="0" w:space="0" w:color="auto"/>
            <w:bottom w:val="none" w:sz="0" w:space="0" w:color="auto"/>
            <w:right w:val="none" w:sz="0" w:space="0" w:color="auto"/>
          </w:divBdr>
          <w:divsChild>
            <w:div w:id="709648158">
              <w:marLeft w:val="0"/>
              <w:marRight w:val="0"/>
              <w:marTop w:val="0"/>
              <w:marBottom w:val="0"/>
              <w:divBdr>
                <w:top w:val="none" w:sz="0" w:space="0" w:color="auto"/>
                <w:left w:val="none" w:sz="0" w:space="0" w:color="auto"/>
                <w:bottom w:val="none" w:sz="0" w:space="0" w:color="auto"/>
                <w:right w:val="none" w:sz="0" w:space="0" w:color="auto"/>
              </w:divBdr>
              <w:divsChild>
                <w:div w:id="981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7827">
      <w:bodyDiv w:val="1"/>
      <w:marLeft w:val="0"/>
      <w:marRight w:val="0"/>
      <w:marTop w:val="0"/>
      <w:marBottom w:val="0"/>
      <w:divBdr>
        <w:top w:val="none" w:sz="0" w:space="0" w:color="auto"/>
        <w:left w:val="none" w:sz="0" w:space="0" w:color="auto"/>
        <w:bottom w:val="none" w:sz="0" w:space="0" w:color="auto"/>
        <w:right w:val="none" w:sz="0" w:space="0" w:color="auto"/>
      </w:divBdr>
      <w:divsChild>
        <w:div w:id="16279632">
          <w:marLeft w:val="0"/>
          <w:marRight w:val="0"/>
          <w:marTop w:val="0"/>
          <w:marBottom w:val="0"/>
          <w:divBdr>
            <w:top w:val="none" w:sz="0" w:space="0" w:color="auto"/>
            <w:left w:val="none" w:sz="0" w:space="0" w:color="auto"/>
            <w:bottom w:val="none" w:sz="0" w:space="0" w:color="auto"/>
            <w:right w:val="none" w:sz="0" w:space="0" w:color="auto"/>
          </w:divBdr>
          <w:divsChild>
            <w:div w:id="1126310607">
              <w:marLeft w:val="0"/>
              <w:marRight w:val="0"/>
              <w:marTop w:val="0"/>
              <w:marBottom w:val="0"/>
              <w:divBdr>
                <w:top w:val="none" w:sz="0" w:space="0" w:color="auto"/>
                <w:left w:val="none" w:sz="0" w:space="0" w:color="auto"/>
                <w:bottom w:val="none" w:sz="0" w:space="0" w:color="auto"/>
                <w:right w:val="none" w:sz="0" w:space="0" w:color="auto"/>
              </w:divBdr>
              <w:divsChild>
                <w:div w:id="8066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72529">
      <w:bodyDiv w:val="1"/>
      <w:marLeft w:val="0"/>
      <w:marRight w:val="0"/>
      <w:marTop w:val="0"/>
      <w:marBottom w:val="0"/>
      <w:divBdr>
        <w:top w:val="none" w:sz="0" w:space="0" w:color="auto"/>
        <w:left w:val="none" w:sz="0" w:space="0" w:color="auto"/>
        <w:bottom w:val="none" w:sz="0" w:space="0" w:color="auto"/>
        <w:right w:val="none" w:sz="0" w:space="0" w:color="auto"/>
      </w:divBdr>
    </w:div>
    <w:div w:id="1834566956">
      <w:bodyDiv w:val="1"/>
      <w:marLeft w:val="0"/>
      <w:marRight w:val="0"/>
      <w:marTop w:val="0"/>
      <w:marBottom w:val="0"/>
      <w:divBdr>
        <w:top w:val="none" w:sz="0" w:space="0" w:color="auto"/>
        <w:left w:val="none" w:sz="0" w:space="0" w:color="auto"/>
        <w:bottom w:val="none" w:sz="0" w:space="0" w:color="auto"/>
        <w:right w:val="none" w:sz="0" w:space="0" w:color="auto"/>
      </w:divBdr>
      <w:divsChild>
        <w:div w:id="1094131987">
          <w:marLeft w:val="0"/>
          <w:marRight w:val="0"/>
          <w:marTop w:val="0"/>
          <w:marBottom w:val="0"/>
          <w:divBdr>
            <w:top w:val="none" w:sz="0" w:space="0" w:color="auto"/>
            <w:left w:val="none" w:sz="0" w:space="0" w:color="auto"/>
            <w:bottom w:val="none" w:sz="0" w:space="0" w:color="auto"/>
            <w:right w:val="none" w:sz="0" w:space="0" w:color="auto"/>
          </w:divBdr>
          <w:divsChild>
            <w:div w:id="1270431026">
              <w:marLeft w:val="0"/>
              <w:marRight w:val="0"/>
              <w:marTop w:val="0"/>
              <w:marBottom w:val="0"/>
              <w:divBdr>
                <w:top w:val="none" w:sz="0" w:space="0" w:color="auto"/>
                <w:left w:val="none" w:sz="0" w:space="0" w:color="auto"/>
                <w:bottom w:val="none" w:sz="0" w:space="0" w:color="auto"/>
                <w:right w:val="none" w:sz="0" w:space="0" w:color="auto"/>
              </w:divBdr>
              <w:divsChild>
                <w:div w:id="10858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6864">
      <w:bodyDiv w:val="1"/>
      <w:marLeft w:val="0"/>
      <w:marRight w:val="0"/>
      <w:marTop w:val="0"/>
      <w:marBottom w:val="0"/>
      <w:divBdr>
        <w:top w:val="none" w:sz="0" w:space="0" w:color="auto"/>
        <w:left w:val="none" w:sz="0" w:space="0" w:color="auto"/>
        <w:bottom w:val="none" w:sz="0" w:space="0" w:color="auto"/>
        <w:right w:val="none" w:sz="0" w:space="0" w:color="auto"/>
      </w:divBdr>
      <w:divsChild>
        <w:div w:id="714626667">
          <w:marLeft w:val="0"/>
          <w:marRight w:val="0"/>
          <w:marTop w:val="0"/>
          <w:marBottom w:val="0"/>
          <w:divBdr>
            <w:top w:val="none" w:sz="0" w:space="0" w:color="auto"/>
            <w:left w:val="none" w:sz="0" w:space="0" w:color="auto"/>
            <w:bottom w:val="none" w:sz="0" w:space="0" w:color="auto"/>
            <w:right w:val="none" w:sz="0" w:space="0" w:color="auto"/>
          </w:divBdr>
          <w:divsChild>
            <w:div w:id="1462528766">
              <w:marLeft w:val="0"/>
              <w:marRight w:val="0"/>
              <w:marTop w:val="0"/>
              <w:marBottom w:val="0"/>
              <w:divBdr>
                <w:top w:val="none" w:sz="0" w:space="0" w:color="auto"/>
                <w:left w:val="none" w:sz="0" w:space="0" w:color="auto"/>
                <w:bottom w:val="none" w:sz="0" w:space="0" w:color="auto"/>
                <w:right w:val="none" w:sz="0" w:space="0" w:color="auto"/>
              </w:divBdr>
              <w:divsChild>
                <w:div w:id="16305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1840">
      <w:bodyDiv w:val="1"/>
      <w:marLeft w:val="0"/>
      <w:marRight w:val="0"/>
      <w:marTop w:val="0"/>
      <w:marBottom w:val="0"/>
      <w:divBdr>
        <w:top w:val="none" w:sz="0" w:space="0" w:color="auto"/>
        <w:left w:val="none" w:sz="0" w:space="0" w:color="auto"/>
        <w:bottom w:val="none" w:sz="0" w:space="0" w:color="auto"/>
        <w:right w:val="none" w:sz="0" w:space="0" w:color="auto"/>
      </w:divBdr>
      <w:divsChild>
        <w:div w:id="261837306">
          <w:marLeft w:val="0"/>
          <w:marRight w:val="0"/>
          <w:marTop w:val="0"/>
          <w:marBottom w:val="0"/>
          <w:divBdr>
            <w:top w:val="none" w:sz="0" w:space="0" w:color="auto"/>
            <w:left w:val="none" w:sz="0" w:space="0" w:color="auto"/>
            <w:bottom w:val="none" w:sz="0" w:space="0" w:color="auto"/>
            <w:right w:val="none" w:sz="0" w:space="0" w:color="auto"/>
          </w:divBdr>
          <w:divsChild>
            <w:div w:id="1553300282">
              <w:marLeft w:val="0"/>
              <w:marRight w:val="0"/>
              <w:marTop w:val="0"/>
              <w:marBottom w:val="0"/>
              <w:divBdr>
                <w:top w:val="none" w:sz="0" w:space="0" w:color="auto"/>
                <w:left w:val="none" w:sz="0" w:space="0" w:color="auto"/>
                <w:bottom w:val="none" w:sz="0" w:space="0" w:color="auto"/>
                <w:right w:val="none" w:sz="0" w:space="0" w:color="auto"/>
              </w:divBdr>
              <w:divsChild>
                <w:div w:id="9487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4420">
      <w:bodyDiv w:val="1"/>
      <w:marLeft w:val="0"/>
      <w:marRight w:val="0"/>
      <w:marTop w:val="0"/>
      <w:marBottom w:val="0"/>
      <w:divBdr>
        <w:top w:val="none" w:sz="0" w:space="0" w:color="auto"/>
        <w:left w:val="none" w:sz="0" w:space="0" w:color="auto"/>
        <w:bottom w:val="none" w:sz="0" w:space="0" w:color="auto"/>
        <w:right w:val="none" w:sz="0" w:space="0" w:color="auto"/>
      </w:divBdr>
      <w:divsChild>
        <w:div w:id="1560828160">
          <w:marLeft w:val="0"/>
          <w:marRight w:val="0"/>
          <w:marTop w:val="0"/>
          <w:marBottom w:val="0"/>
          <w:divBdr>
            <w:top w:val="none" w:sz="0" w:space="0" w:color="auto"/>
            <w:left w:val="none" w:sz="0" w:space="0" w:color="auto"/>
            <w:bottom w:val="none" w:sz="0" w:space="0" w:color="auto"/>
            <w:right w:val="none" w:sz="0" w:space="0" w:color="auto"/>
          </w:divBdr>
          <w:divsChild>
            <w:div w:id="694188933">
              <w:marLeft w:val="0"/>
              <w:marRight w:val="0"/>
              <w:marTop w:val="0"/>
              <w:marBottom w:val="0"/>
              <w:divBdr>
                <w:top w:val="none" w:sz="0" w:space="0" w:color="auto"/>
                <w:left w:val="none" w:sz="0" w:space="0" w:color="auto"/>
                <w:bottom w:val="none" w:sz="0" w:space="0" w:color="auto"/>
                <w:right w:val="none" w:sz="0" w:space="0" w:color="auto"/>
              </w:divBdr>
              <w:divsChild>
                <w:div w:id="19471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8866">
      <w:bodyDiv w:val="1"/>
      <w:marLeft w:val="0"/>
      <w:marRight w:val="0"/>
      <w:marTop w:val="0"/>
      <w:marBottom w:val="0"/>
      <w:divBdr>
        <w:top w:val="none" w:sz="0" w:space="0" w:color="auto"/>
        <w:left w:val="none" w:sz="0" w:space="0" w:color="auto"/>
        <w:bottom w:val="none" w:sz="0" w:space="0" w:color="auto"/>
        <w:right w:val="none" w:sz="0" w:space="0" w:color="auto"/>
      </w:divBdr>
      <w:divsChild>
        <w:div w:id="76484452">
          <w:marLeft w:val="0"/>
          <w:marRight w:val="0"/>
          <w:marTop w:val="0"/>
          <w:marBottom w:val="0"/>
          <w:divBdr>
            <w:top w:val="none" w:sz="0" w:space="0" w:color="auto"/>
            <w:left w:val="none" w:sz="0" w:space="0" w:color="auto"/>
            <w:bottom w:val="none" w:sz="0" w:space="0" w:color="auto"/>
            <w:right w:val="none" w:sz="0" w:space="0" w:color="auto"/>
          </w:divBdr>
          <w:divsChild>
            <w:div w:id="1195772372">
              <w:marLeft w:val="0"/>
              <w:marRight w:val="0"/>
              <w:marTop w:val="0"/>
              <w:marBottom w:val="0"/>
              <w:divBdr>
                <w:top w:val="none" w:sz="0" w:space="0" w:color="auto"/>
                <w:left w:val="none" w:sz="0" w:space="0" w:color="auto"/>
                <w:bottom w:val="none" w:sz="0" w:space="0" w:color="auto"/>
                <w:right w:val="none" w:sz="0" w:space="0" w:color="auto"/>
              </w:divBdr>
              <w:divsChild>
                <w:div w:id="8807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0415">
      <w:bodyDiv w:val="1"/>
      <w:marLeft w:val="0"/>
      <w:marRight w:val="0"/>
      <w:marTop w:val="0"/>
      <w:marBottom w:val="0"/>
      <w:divBdr>
        <w:top w:val="none" w:sz="0" w:space="0" w:color="auto"/>
        <w:left w:val="none" w:sz="0" w:space="0" w:color="auto"/>
        <w:bottom w:val="none" w:sz="0" w:space="0" w:color="auto"/>
        <w:right w:val="none" w:sz="0" w:space="0" w:color="auto"/>
      </w:divBdr>
      <w:divsChild>
        <w:div w:id="386686269">
          <w:marLeft w:val="0"/>
          <w:marRight w:val="0"/>
          <w:marTop w:val="0"/>
          <w:marBottom w:val="0"/>
          <w:divBdr>
            <w:top w:val="none" w:sz="0" w:space="0" w:color="auto"/>
            <w:left w:val="none" w:sz="0" w:space="0" w:color="auto"/>
            <w:bottom w:val="none" w:sz="0" w:space="0" w:color="auto"/>
            <w:right w:val="none" w:sz="0" w:space="0" w:color="auto"/>
          </w:divBdr>
          <w:divsChild>
            <w:div w:id="1239753741">
              <w:marLeft w:val="0"/>
              <w:marRight w:val="0"/>
              <w:marTop w:val="0"/>
              <w:marBottom w:val="0"/>
              <w:divBdr>
                <w:top w:val="none" w:sz="0" w:space="0" w:color="auto"/>
                <w:left w:val="none" w:sz="0" w:space="0" w:color="auto"/>
                <w:bottom w:val="none" w:sz="0" w:space="0" w:color="auto"/>
                <w:right w:val="none" w:sz="0" w:space="0" w:color="auto"/>
              </w:divBdr>
              <w:divsChild>
                <w:div w:id="19480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B00C-4D21-AB42-B5F9-A8788169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12518</Words>
  <Characters>71359</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Agostina Cichero</cp:lastModifiedBy>
  <cp:revision>3</cp:revision>
  <cp:lastPrinted>2016-12-02T17:34:00Z</cp:lastPrinted>
  <dcterms:created xsi:type="dcterms:W3CDTF">2020-05-27T17:23:00Z</dcterms:created>
  <dcterms:modified xsi:type="dcterms:W3CDTF">2020-05-27T17:24:00Z</dcterms:modified>
</cp:coreProperties>
</file>