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2BDD" w14:textId="77777777" w:rsidR="006D2DE2" w:rsidRDefault="006D2DE2" w:rsidP="002A7F5B">
      <w:pPr>
        <w:pStyle w:val="Title"/>
        <w:ind w:left="-142" w:right="-138"/>
        <w:rPr>
          <w:rFonts w:eastAsia="MS Mincho"/>
          <w:noProof w:val="0"/>
        </w:rPr>
      </w:pPr>
      <w:bookmarkStart w:id="0" w:name="_GoBack"/>
      <w:bookmarkEnd w:id="0"/>
    </w:p>
    <w:p w14:paraId="7E8E2B3A" w14:textId="77777777" w:rsidR="005270BB" w:rsidRDefault="005270BB" w:rsidP="002A7F5B">
      <w:pPr>
        <w:pStyle w:val="Title"/>
        <w:ind w:left="-142" w:right="-138"/>
        <w:rPr>
          <w:rFonts w:eastAsia="MS Mincho"/>
          <w:noProof w:val="0"/>
        </w:rPr>
      </w:pPr>
    </w:p>
    <w:p w14:paraId="2F1D3AD9" w14:textId="77777777" w:rsidR="005270BB" w:rsidRDefault="005270BB" w:rsidP="002A7F5B">
      <w:pPr>
        <w:pStyle w:val="Title"/>
        <w:ind w:left="-142" w:right="-138"/>
        <w:rPr>
          <w:rFonts w:eastAsia="MS Mincho"/>
          <w:noProof w:val="0"/>
        </w:rPr>
      </w:pPr>
    </w:p>
    <w:p w14:paraId="0F675B18" w14:textId="77777777" w:rsidR="005270BB" w:rsidRDefault="005270BB" w:rsidP="002A7F5B">
      <w:pPr>
        <w:pStyle w:val="Title"/>
        <w:ind w:left="-142" w:right="-138"/>
        <w:rPr>
          <w:rFonts w:eastAsia="MS Mincho"/>
          <w:noProof w:val="0"/>
        </w:rPr>
      </w:pPr>
    </w:p>
    <w:p w14:paraId="0B1E6D68" w14:textId="77777777" w:rsidR="005270BB" w:rsidRDefault="005270BB" w:rsidP="002A7F5B">
      <w:pPr>
        <w:pStyle w:val="Title"/>
        <w:ind w:left="-142" w:right="-138"/>
        <w:rPr>
          <w:rFonts w:eastAsia="MS Mincho"/>
          <w:noProof w:val="0"/>
        </w:rPr>
      </w:pPr>
    </w:p>
    <w:p w14:paraId="33C2218E" w14:textId="77777777" w:rsidR="006D2DE2" w:rsidRPr="006D2DE2" w:rsidRDefault="006D2DE2" w:rsidP="002A7F5B">
      <w:pPr>
        <w:rPr>
          <w:rFonts w:ascii="Verdana" w:hAnsi="Verdana"/>
          <w:b/>
          <w:sz w:val="20"/>
          <w:szCs w:val="20"/>
        </w:rPr>
      </w:pPr>
    </w:p>
    <w:p w14:paraId="77BA1808" w14:textId="2C4D5F5A" w:rsidR="006D2DE2" w:rsidRPr="006D2DE2" w:rsidRDefault="00FE361F" w:rsidP="002A7F5B">
      <w:pPr>
        <w:ind w:left="2160" w:right="96" w:hanging="2160"/>
        <w:jc w:val="center"/>
        <w:rPr>
          <w:rFonts w:ascii="Verdana" w:hAnsi="Verdana"/>
          <w:b/>
          <w:sz w:val="20"/>
          <w:szCs w:val="20"/>
        </w:rPr>
      </w:pPr>
      <w:r w:rsidRPr="006D2DE2">
        <w:rPr>
          <w:rFonts w:ascii="Verdana" w:hAnsi="Verdana"/>
          <w:b/>
          <w:sz w:val="20"/>
          <w:szCs w:val="20"/>
        </w:rPr>
        <w:t xml:space="preserve">VOTO </w:t>
      </w:r>
      <w:r w:rsidR="006D2DE2">
        <w:rPr>
          <w:rFonts w:ascii="Verdana" w:hAnsi="Verdana"/>
          <w:b/>
          <w:sz w:val="20"/>
          <w:szCs w:val="20"/>
        </w:rPr>
        <w:t>CONCURRENTE Y PARCIALMENTE DISIDENTE</w:t>
      </w:r>
      <w:r w:rsidR="006D2DE2" w:rsidRPr="006D2DE2">
        <w:rPr>
          <w:rFonts w:ascii="Verdana" w:hAnsi="Verdana"/>
          <w:b/>
          <w:sz w:val="20"/>
          <w:szCs w:val="20"/>
        </w:rPr>
        <w:t xml:space="preserve"> DEL </w:t>
      </w:r>
    </w:p>
    <w:p w14:paraId="3938F35A" w14:textId="77777777" w:rsidR="006D2DE2" w:rsidRPr="006D2DE2" w:rsidRDefault="006D2DE2" w:rsidP="002A7F5B">
      <w:pPr>
        <w:ind w:left="2160" w:right="96" w:hanging="2160"/>
        <w:jc w:val="center"/>
        <w:rPr>
          <w:rFonts w:ascii="Verdana" w:hAnsi="Verdana"/>
          <w:b/>
          <w:sz w:val="20"/>
          <w:szCs w:val="20"/>
        </w:rPr>
      </w:pPr>
      <w:r w:rsidRPr="006D2DE2">
        <w:rPr>
          <w:rFonts w:ascii="Verdana" w:hAnsi="Verdana"/>
          <w:b/>
          <w:sz w:val="20"/>
          <w:szCs w:val="20"/>
        </w:rPr>
        <w:t>JUEZ EDUARDO FERRER MAC-GREGOR POISOT</w:t>
      </w:r>
    </w:p>
    <w:p w14:paraId="437BA8E0" w14:textId="77777777" w:rsidR="006D2DE2" w:rsidRDefault="006D2DE2" w:rsidP="002A7F5B">
      <w:pPr>
        <w:jc w:val="center"/>
        <w:rPr>
          <w:rFonts w:ascii="Verdana" w:hAnsi="Verdana"/>
          <w:b/>
          <w:i/>
          <w:sz w:val="20"/>
          <w:szCs w:val="20"/>
        </w:rPr>
      </w:pPr>
    </w:p>
    <w:p w14:paraId="1599681C" w14:textId="77777777" w:rsidR="00FE361F" w:rsidRPr="006D2DE2" w:rsidRDefault="00FE361F" w:rsidP="002A7F5B">
      <w:pPr>
        <w:jc w:val="center"/>
        <w:rPr>
          <w:rFonts w:ascii="Verdana" w:hAnsi="Verdana"/>
          <w:b/>
          <w:i/>
          <w:sz w:val="20"/>
          <w:szCs w:val="20"/>
          <w:u w:val="single"/>
        </w:rPr>
      </w:pPr>
      <w:r w:rsidRPr="006D2DE2">
        <w:rPr>
          <w:rFonts w:ascii="Verdana" w:hAnsi="Verdana"/>
          <w:b/>
          <w:i/>
          <w:sz w:val="20"/>
          <w:szCs w:val="20"/>
          <w:u w:val="single"/>
        </w:rPr>
        <w:t xml:space="preserve">CASO SAN MIGUEL SOSA Y OTRAS VS. VENEZUELA </w:t>
      </w:r>
    </w:p>
    <w:p w14:paraId="7A0A7B27" w14:textId="77777777" w:rsidR="006D2DE2" w:rsidRDefault="006D2DE2" w:rsidP="002A7F5B">
      <w:pPr>
        <w:jc w:val="center"/>
        <w:rPr>
          <w:rFonts w:ascii="Verdana" w:hAnsi="Verdana"/>
          <w:b/>
          <w:i/>
          <w:sz w:val="20"/>
          <w:szCs w:val="20"/>
        </w:rPr>
      </w:pPr>
    </w:p>
    <w:p w14:paraId="4036F9D9" w14:textId="3E5BDA7E" w:rsidR="00FE361F" w:rsidRDefault="007F13FA" w:rsidP="002A7F5B">
      <w:pPr>
        <w:jc w:val="center"/>
        <w:rPr>
          <w:rFonts w:ascii="Verdana" w:hAnsi="Verdana"/>
          <w:b/>
          <w:sz w:val="20"/>
          <w:szCs w:val="20"/>
        </w:rPr>
      </w:pPr>
      <w:r>
        <w:rPr>
          <w:rFonts w:ascii="Verdana" w:hAnsi="Verdana"/>
          <w:b/>
          <w:sz w:val="20"/>
          <w:szCs w:val="20"/>
        </w:rPr>
        <w:t>SENTENCIA DE 8</w:t>
      </w:r>
      <w:r w:rsidR="00FE361F" w:rsidRPr="006D2DE2">
        <w:rPr>
          <w:rFonts w:ascii="Verdana" w:hAnsi="Verdana"/>
          <w:b/>
          <w:sz w:val="20"/>
          <w:szCs w:val="20"/>
        </w:rPr>
        <w:t xml:space="preserve"> DE FEBRERO DE 2018</w:t>
      </w:r>
    </w:p>
    <w:p w14:paraId="61FA2866" w14:textId="16848372" w:rsidR="006D2DE2" w:rsidRPr="006D2DE2" w:rsidRDefault="006D2DE2" w:rsidP="002A7F5B">
      <w:pPr>
        <w:pStyle w:val="Subtitle"/>
        <w:ind w:left="-142" w:right="-138"/>
        <w:rPr>
          <w:noProof w:val="0"/>
          <w:szCs w:val="20"/>
        </w:rPr>
      </w:pPr>
      <w:r>
        <w:rPr>
          <w:noProof w:val="0"/>
          <w:szCs w:val="20"/>
        </w:rPr>
        <w:t>(</w:t>
      </w:r>
      <w:r w:rsidRPr="006D2DE2">
        <w:rPr>
          <w:noProof w:val="0"/>
          <w:szCs w:val="20"/>
        </w:rPr>
        <w:t>Fondo, Reparaciones y Costas)</w:t>
      </w:r>
    </w:p>
    <w:p w14:paraId="62F2C9EF" w14:textId="77777777" w:rsidR="00CD75B3" w:rsidRDefault="00CD75B3" w:rsidP="002A7F5B">
      <w:pPr>
        <w:rPr>
          <w:rFonts w:ascii="Verdana" w:hAnsi="Verdana"/>
          <w:sz w:val="20"/>
          <w:szCs w:val="20"/>
        </w:rPr>
      </w:pPr>
    </w:p>
    <w:p w14:paraId="226F6219" w14:textId="77777777" w:rsidR="005E3836" w:rsidRDefault="005E3836" w:rsidP="002A7F5B">
      <w:pPr>
        <w:rPr>
          <w:rFonts w:ascii="Verdana" w:hAnsi="Verdana"/>
          <w:sz w:val="20"/>
          <w:szCs w:val="20"/>
        </w:rPr>
      </w:pPr>
    </w:p>
    <w:p w14:paraId="42ED8600" w14:textId="6435F46C" w:rsidR="007F13FA" w:rsidRDefault="004A3D52" w:rsidP="002A7F5B">
      <w:pPr>
        <w:jc w:val="center"/>
        <w:rPr>
          <w:rFonts w:ascii="Verdana" w:hAnsi="Verdana"/>
          <w:sz w:val="20"/>
          <w:szCs w:val="20"/>
        </w:rPr>
      </w:pPr>
      <w:r>
        <w:rPr>
          <w:rFonts w:ascii="Verdana" w:hAnsi="Verdana"/>
          <w:sz w:val="20"/>
          <w:szCs w:val="20"/>
        </w:rPr>
        <w:t>INTRODUCCIÓN</w:t>
      </w:r>
      <w:r w:rsidR="007F13FA">
        <w:rPr>
          <w:rFonts w:ascii="Verdana" w:hAnsi="Verdana"/>
          <w:sz w:val="20"/>
          <w:szCs w:val="20"/>
        </w:rPr>
        <w:t xml:space="preserve"> </w:t>
      </w:r>
    </w:p>
    <w:p w14:paraId="008B4887" w14:textId="77777777" w:rsidR="00FE361F" w:rsidRPr="006D2DE2" w:rsidRDefault="00FE361F" w:rsidP="002A7F5B">
      <w:pPr>
        <w:rPr>
          <w:rFonts w:ascii="Verdana" w:hAnsi="Verdana"/>
          <w:b/>
          <w:sz w:val="20"/>
          <w:szCs w:val="20"/>
        </w:rPr>
      </w:pPr>
    </w:p>
    <w:p w14:paraId="523B9612" w14:textId="3E8D1A3B" w:rsidR="00F11DC3" w:rsidRPr="006D2DE2" w:rsidRDefault="00F11DC3" w:rsidP="002A7F5B">
      <w:pPr>
        <w:pStyle w:val="ListParagraph"/>
        <w:numPr>
          <w:ilvl w:val="0"/>
          <w:numId w:val="1"/>
        </w:numPr>
        <w:ind w:left="0" w:firstLine="0"/>
        <w:jc w:val="both"/>
        <w:rPr>
          <w:rFonts w:ascii="Verdana" w:hAnsi="Verdana"/>
          <w:b/>
          <w:sz w:val="20"/>
          <w:szCs w:val="20"/>
        </w:rPr>
      </w:pPr>
      <w:r w:rsidRPr="006D2DE2">
        <w:rPr>
          <w:rFonts w:ascii="Verdana" w:hAnsi="Verdana"/>
          <w:sz w:val="20"/>
          <w:szCs w:val="20"/>
        </w:rPr>
        <w:t xml:space="preserve">El caso </w:t>
      </w:r>
      <w:r w:rsidRPr="006D2DE2">
        <w:rPr>
          <w:rFonts w:ascii="Verdana" w:hAnsi="Verdana"/>
          <w:i/>
          <w:sz w:val="20"/>
          <w:szCs w:val="20"/>
        </w:rPr>
        <w:t xml:space="preserve">San Miguel Sosa y otras Vs. Venezuela </w:t>
      </w:r>
      <w:r w:rsidRPr="006D2DE2">
        <w:rPr>
          <w:rFonts w:ascii="Verdana" w:hAnsi="Verdana"/>
          <w:sz w:val="20"/>
          <w:szCs w:val="20"/>
        </w:rPr>
        <w:t xml:space="preserve">(en adelante “la Sentencia”) constituye un </w:t>
      </w:r>
      <w:r w:rsidR="006D2DE2">
        <w:rPr>
          <w:rFonts w:ascii="Verdana" w:hAnsi="Verdana"/>
          <w:sz w:val="20"/>
          <w:szCs w:val="20"/>
        </w:rPr>
        <w:t>aporte</w:t>
      </w:r>
      <w:r w:rsidRPr="006D2DE2">
        <w:rPr>
          <w:rFonts w:ascii="Verdana" w:hAnsi="Verdana"/>
          <w:sz w:val="20"/>
          <w:szCs w:val="20"/>
        </w:rPr>
        <w:t xml:space="preserve"> fundamental en la jurisprudencia interamericana </w:t>
      </w:r>
      <w:r w:rsidR="000C1FAC" w:rsidRPr="00EE0CE1">
        <w:rPr>
          <w:rFonts w:ascii="Verdana" w:hAnsi="Verdana"/>
          <w:sz w:val="20"/>
          <w:szCs w:val="20"/>
        </w:rPr>
        <w:t xml:space="preserve">en relación </w:t>
      </w:r>
      <w:r w:rsidR="000C1FAC">
        <w:rPr>
          <w:rFonts w:ascii="Verdana" w:hAnsi="Verdana"/>
          <w:sz w:val="20"/>
          <w:szCs w:val="20"/>
        </w:rPr>
        <w:t>con</w:t>
      </w:r>
      <w:r w:rsidRPr="006D2DE2">
        <w:rPr>
          <w:rFonts w:ascii="Verdana" w:hAnsi="Verdana"/>
          <w:sz w:val="20"/>
          <w:szCs w:val="20"/>
        </w:rPr>
        <w:t xml:space="preserve"> los derechos económicos, sociales, culturales y ambientales (en adelante “</w:t>
      </w:r>
      <w:r w:rsidRPr="00EE0CE1">
        <w:rPr>
          <w:rFonts w:ascii="Verdana" w:hAnsi="Verdana"/>
          <w:sz w:val="20"/>
          <w:szCs w:val="20"/>
        </w:rPr>
        <w:t>los derechos sociales</w:t>
      </w:r>
      <w:r w:rsidRPr="006D2DE2">
        <w:rPr>
          <w:rFonts w:ascii="Verdana" w:hAnsi="Verdana"/>
          <w:sz w:val="20"/>
          <w:szCs w:val="20"/>
        </w:rPr>
        <w:t>” o “los DESCA”)</w:t>
      </w:r>
      <w:r w:rsidR="006D2DE2">
        <w:rPr>
          <w:rFonts w:ascii="Verdana" w:hAnsi="Verdana"/>
          <w:sz w:val="20"/>
          <w:szCs w:val="20"/>
        </w:rPr>
        <w:t>. En efecto,</w:t>
      </w:r>
      <w:r w:rsidRPr="006D2DE2">
        <w:rPr>
          <w:rFonts w:ascii="Verdana" w:hAnsi="Verdana"/>
          <w:sz w:val="20"/>
          <w:szCs w:val="20"/>
        </w:rPr>
        <w:t xml:space="preserve"> con este caso se </w:t>
      </w:r>
      <w:r w:rsidR="00FD3A68">
        <w:rPr>
          <w:rFonts w:ascii="Verdana" w:hAnsi="Verdana"/>
          <w:sz w:val="20"/>
          <w:szCs w:val="20"/>
        </w:rPr>
        <w:t>va consolidando</w:t>
      </w:r>
      <w:r w:rsidRPr="006D2DE2">
        <w:rPr>
          <w:rFonts w:ascii="Verdana" w:hAnsi="Verdana"/>
          <w:sz w:val="20"/>
          <w:szCs w:val="20"/>
        </w:rPr>
        <w:t xml:space="preserve"> una línea j</w:t>
      </w:r>
      <w:r w:rsidR="006D2DE2">
        <w:rPr>
          <w:rFonts w:ascii="Verdana" w:hAnsi="Verdana"/>
          <w:sz w:val="20"/>
          <w:szCs w:val="20"/>
        </w:rPr>
        <w:t xml:space="preserve">urisprudencial </w:t>
      </w:r>
      <w:r w:rsidR="00EB1A26">
        <w:rPr>
          <w:rFonts w:ascii="Verdana" w:hAnsi="Verdana"/>
          <w:sz w:val="20"/>
          <w:szCs w:val="20"/>
        </w:rPr>
        <w:t>sobre</w:t>
      </w:r>
      <w:r w:rsidRPr="006D2DE2">
        <w:rPr>
          <w:rFonts w:ascii="Verdana" w:hAnsi="Verdana"/>
          <w:sz w:val="20"/>
          <w:szCs w:val="20"/>
        </w:rPr>
        <w:t xml:space="preserve"> la protección de las personas en contextos laborales. </w:t>
      </w:r>
      <w:r w:rsidR="00992F75" w:rsidRPr="006D2DE2">
        <w:rPr>
          <w:rFonts w:ascii="Verdana" w:hAnsi="Verdana"/>
          <w:sz w:val="20"/>
          <w:szCs w:val="20"/>
        </w:rPr>
        <w:t>Así</w:t>
      </w:r>
      <w:r w:rsidR="005715A6" w:rsidRPr="006D2DE2">
        <w:rPr>
          <w:rFonts w:ascii="Verdana" w:hAnsi="Verdana"/>
          <w:sz w:val="20"/>
          <w:szCs w:val="20"/>
        </w:rPr>
        <w:t>,</w:t>
      </w:r>
      <w:r w:rsidR="00992F75" w:rsidRPr="006D2DE2">
        <w:rPr>
          <w:rFonts w:ascii="Verdana" w:hAnsi="Verdana"/>
          <w:sz w:val="20"/>
          <w:szCs w:val="20"/>
        </w:rPr>
        <w:t xml:space="preserve"> junto con l</w:t>
      </w:r>
      <w:r w:rsidR="00FD3A68">
        <w:rPr>
          <w:rFonts w:ascii="Verdana" w:hAnsi="Verdana"/>
          <w:sz w:val="20"/>
          <w:szCs w:val="20"/>
        </w:rPr>
        <w:t>as sentencias en los casos</w:t>
      </w:r>
      <w:r w:rsidR="00992F75" w:rsidRPr="006D2DE2">
        <w:rPr>
          <w:rFonts w:ascii="Verdana" w:hAnsi="Verdana"/>
          <w:sz w:val="20"/>
          <w:szCs w:val="20"/>
        </w:rPr>
        <w:t xml:space="preserve"> </w:t>
      </w:r>
      <w:r w:rsidR="005715A6" w:rsidRPr="006D2DE2">
        <w:rPr>
          <w:rFonts w:ascii="Verdana" w:hAnsi="Verdana"/>
          <w:i/>
          <w:sz w:val="20"/>
          <w:szCs w:val="20"/>
        </w:rPr>
        <w:t>Lagos del Campo</w:t>
      </w:r>
      <w:r w:rsidR="005715A6" w:rsidRPr="006D2DE2">
        <w:rPr>
          <w:rStyle w:val="FootnoteReference"/>
          <w:rFonts w:ascii="Verdana" w:hAnsi="Verdana"/>
          <w:i/>
          <w:sz w:val="20"/>
          <w:szCs w:val="20"/>
        </w:rPr>
        <w:footnoteReference w:id="1"/>
      </w:r>
      <w:r w:rsidR="005715A6" w:rsidRPr="006D2DE2">
        <w:rPr>
          <w:rFonts w:ascii="Verdana" w:hAnsi="Verdana"/>
          <w:sz w:val="20"/>
          <w:szCs w:val="20"/>
        </w:rPr>
        <w:t xml:space="preserve"> y </w:t>
      </w:r>
      <w:r w:rsidR="005715A6" w:rsidRPr="006D2DE2">
        <w:rPr>
          <w:rFonts w:ascii="Verdana" w:hAnsi="Verdana"/>
          <w:i/>
          <w:sz w:val="20"/>
          <w:szCs w:val="20"/>
        </w:rPr>
        <w:t>Trabajadores Cesados del Petroperú y otros</w:t>
      </w:r>
      <w:r w:rsidR="005715A6" w:rsidRPr="006D2DE2">
        <w:rPr>
          <w:rStyle w:val="FootnoteReference"/>
          <w:rFonts w:ascii="Verdana" w:hAnsi="Verdana"/>
          <w:i/>
          <w:sz w:val="20"/>
          <w:szCs w:val="20"/>
        </w:rPr>
        <w:footnoteReference w:id="2"/>
      </w:r>
      <w:r w:rsidR="004A3D52">
        <w:rPr>
          <w:rFonts w:ascii="Verdana" w:hAnsi="Verdana"/>
          <w:i/>
          <w:sz w:val="20"/>
          <w:szCs w:val="20"/>
        </w:rPr>
        <w:t>,</w:t>
      </w:r>
      <w:r w:rsidR="005715A6" w:rsidRPr="006D2DE2">
        <w:rPr>
          <w:rFonts w:ascii="Verdana" w:hAnsi="Verdana"/>
          <w:i/>
          <w:sz w:val="20"/>
          <w:szCs w:val="20"/>
        </w:rPr>
        <w:t xml:space="preserve"> </w:t>
      </w:r>
      <w:r w:rsidR="005715A6" w:rsidRPr="006D2DE2">
        <w:rPr>
          <w:rFonts w:ascii="Verdana" w:hAnsi="Verdana"/>
          <w:sz w:val="20"/>
          <w:szCs w:val="20"/>
        </w:rPr>
        <w:t xml:space="preserve">se erige una triada de </w:t>
      </w:r>
      <w:r w:rsidR="00FD3A68">
        <w:rPr>
          <w:rFonts w:ascii="Verdana" w:hAnsi="Verdana"/>
          <w:sz w:val="20"/>
          <w:szCs w:val="20"/>
        </w:rPr>
        <w:t>fallos</w:t>
      </w:r>
      <w:r w:rsidR="006D2DE2">
        <w:rPr>
          <w:rFonts w:ascii="Verdana" w:hAnsi="Verdana"/>
          <w:sz w:val="20"/>
          <w:szCs w:val="20"/>
        </w:rPr>
        <w:t xml:space="preserve"> </w:t>
      </w:r>
      <w:r w:rsidR="005715A6" w:rsidRPr="006D2DE2">
        <w:rPr>
          <w:rFonts w:ascii="Verdana" w:hAnsi="Verdana"/>
          <w:sz w:val="20"/>
          <w:szCs w:val="20"/>
        </w:rPr>
        <w:t xml:space="preserve">que han permitido explorar los alcances del artículo 26 de la Convención Americana sobre Derechos Humanos (en adelante “la Convención Americana” o “el Pacto de San José”). </w:t>
      </w:r>
    </w:p>
    <w:p w14:paraId="5A9349E7" w14:textId="77777777" w:rsidR="00A3719F" w:rsidRPr="006D2DE2" w:rsidRDefault="00A3719F" w:rsidP="002A7F5B">
      <w:pPr>
        <w:pStyle w:val="ListParagraph"/>
        <w:ind w:left="0"/>
        <w:jc w:val="both"/>
        <w:rPr>
          <w:rFonts w:ascii="Verdana" w:hAnsi="Verdana"/>
          <w:b/>
          <w:sz w:val="20"/>
          <w:szCs w:val="20"/>
        </w:rPr>
      </w:pPr>
    </w:p>
    <w:p w14:paraId="72B6B9CE" w14:textId="1B092429" w:rsidR="00FD3A68" w:rsidRPr="006D2DE2" w:rsidRDefault="00FD3A68"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En el presente caso</w:t>
      </w:r>
      <w:r>
        <w:rPr>
          <w:rFonts w:ascii="Verdana" w:hAnsi="Verdana"/>
          <w:sz w:val="20"/>
          <w:szCs w:val="20"/>
        </w:rPr>
        <w:t>,</w:t>
      </w:r>
      <w:r w:rsidRPr="006D2DE2">
        <w:rPr>
          <w:rFonts w:ascii="Verdana" w:hAnsi="Verdana"/>
          <w:sz w:val="20"/>
          <w:szCs w:val="20"/>
        </w:rPr>
        <w:t xml:space="preserve"> la Corte Interamericana de Derechos Humanos (en adelante “la Corte Interamericana”, “el Tribunal Interamericano” o “ la Corte IDH”) determinó que “</w:t>
      </w:r>
      <w:r w:rsidRPr="00835065">
        <w:rPr>
          <w:rFonts w:ascii="Verdana" w:hAnsi="Verdana"/>
          <w:sz w:val="20"/>
          <w:szCs w:val="20"/>
          <w:u w:val="single"/>
        </w:rPr>
        <w:t>la terminación arbitraria de la relación laboral</w:t>
      </w:r>
      <w:r w:rsidRPr="006D2DE2">
        <w:rPr>
          <w:rFonts w:ascii="Verdana" w:hAnsi="Verdana"/>
          <w:sz w:val="20"/>
          <w:szCs w:val="20"/>
        </w:rPr>
        <w:t xml:space="preserve"> de las presuntas víctimas con el Consejo Nacional de Fronteras </w:t>
      </w:r>
      <w:r w:rsidRPr="00835065">
        <w:rPr>
          <w:rFonts w:ascii="Verdana" w:hAnsi="Verdana"/>
          <w:sz w:val="20"/>
          <w:szCs w:val="20"/>
          <w:u w:val="single"/>
        </w:rPr>
        <w:t>constituyó una forma de desviación de poder, pues se utilizó una cláusula establecida en su contrato como velo de legalidad para encubrir la verdadera finalidad de tal medida</w:t>
      </w:r>
      <w:r w:rsidRPr="00215796">
        <w:rPr>
          <w:rFonts w:ascii="Verdana" w:hAnsi="Verdana"/>
          <w:sz w:val="20"/>
          <w:szCs w:val="20"/>
          <w:u w:val="single"/>
        </w:rPr>
        <w:t>, a saber: una represalia en su contra por haber ejercido legítimamente sus derechos de participación política y libertad de expresión</w:t>
      </w:r>
      <w:r w:rsidRPr="006D2DE2">
        <w:rPr>
          <w:rFonts w:ascii="Verdana" w:hAnsi="Verdana"/>
          <w:sz w:val="20"/>
          <w:szCs w:val="20"/>
        </w:rPr>
        <w:t xml:space="preserve">. </w:t>
      </w:r>
      <w:r w:rsidRPr="006D2DE2">
        <w:rPr>
          <w:rFonts w:ascii="Verdana" w:hAnsi="Verdana"/>
          <w:spacing w:val="-3"/>
          <w:sz w:val="20"/>
          <w:szCs w:val="20"/>
        </w:rPr>
        <w:t xml:space="preserve">Es decir, ellas </w:t>
      </w:r>
      <w:r w:rsidRPr="00915971">
        <w:rPr>
          <w:rFonts w:ascii="Verdana" w:hAnsi="Verdana"/>
          <w:spacing w:val="-3"/>
          <w:sz w:val="20"/>
          <w:szCs w:val="20"/>
          <w:u w:val="single"/>
        </w:rPr>
        <w:t>fueron objeto de discriminación política mediante un despido arbitrario</w:t>
      </w:r>
      <w:r w:rsidRPr="00215796">
        <w:rPr>
          <w:rFonts w:ascii="Verdana" w:hAnsi="Verdana"/>
          <w:spacing w:val="-3"/>
          <w:sz w:val="20"/>
          <w:szCs w:val="20"/>
          <w:u w:val="single"/>
        </w:rPr>
        <w:t>, el cual ocurrió en un contexto de denuncias de despidos semejantes y de otras formas de represalia para quienes habían decidido ejercer sus libertades al firmar por la solicitud de referendo</w:t>
      </w:r>
      <w:r w:rsidRPr="006D2DE2">
        <w:rPr>
          <w:rFonts w:ascii="Verdana" w:hAnsi="Verdana"/>
          <w:spacing w:val="-3"/>
          <w:sz w:val="20"/>
          <w:szCs w:val="20"/>
        </w:rPr>
        <w:t xml:space="preserve">. Así, </w:t>
      </w:r>
      <w:r w:rsidRPr="00915971">
        <w:rPr>
          <w:rFonts w:ascii="Verdana" w:hAnsi="Verdana"/>
          <w:spacing w:val="-3"/>
          <w:sz w:val="20"/>
          <w:szCs w:val="20"/>
          <w:u w:val="single"/>
        </w:rPr>
        <w:t>su despido tenía la intención encubierta de acallar y desincentivar la disidencia política,</w:t>
      </w:r>
      <w:r w:rsidRPr="006D2DE2">
        <w:rPr>
          <w:rFonts w:ascii="Verdana" w:hAnsi="Verdana"/>
          <w:spacing w:val="-3"/>
          <w:sz w:val="20"/>
          <w:szCs w:val="20"/>
        </w:rPr>
        <w:t xml:space="preserve"> pues fue instrumentalizado para que otras personas se vieran amedrentadas de participar políticamente y de expresar sus ideas y opiniones. Además de lo anterior, </w:t>
      </w:r>
      <w:r w:rsidRPr="006D2DE2">
        <w:rPr>
          <w:rFonts w:ascii="Verdana" w:eastAsia="Cambria" w:hAnsi="Verdana" w:cs="Cambria"/>
          <w:color w:val="000000"/>
          <w:sz w:val="20"/>
          <w:szCs w:val="20"/>
          <w:u w:color="000000"/>
        </w:rPr>
        <w:t xml:space="preserve">este Tribunal ha considerado que el derecho al </w:t>
      </w:r>
      <w:r w:rsidRPr="006D2DE2">
        <w:rPr>
          <w:rFonts w:ascii="Verdana" w:hAnsi="Verdana"/>
          <w:bCs/>
          <w:color w:val="000000"/>
          <w:sz w:val="20"/>
          <w:szCs w:val="20"/>
        </w:rPr>
        <w:t>trabajo</w:t>
      </w:r>
      <w:r w:rsidRPr="006D2DE2">
        <w:rPr>
          <w:rFonts w:ascii="Verdana" w:eastAsia="Cambria" w:hAnsi="Verdana" w:cs="Cambria"/>
          <w:color w:val="000000"/>
          <w:sz w:val="20"/>
          <w:szCs w:val="20"/>
          <w:u w:color="000000"/>
        </w:rPr>
        <w:t xml:space="preserve"> incluye la obligación del Estado de garantizar los derechos de acceso a la justicia y a la tutela judicial efectiva, tanto en el ámbito público como en el ámbito privado de las relaciones laborales”</w:t>
      </w:r>
      <w:r w:rsidRPr="006D2DE2">
        <w:rPr>
          <w:rStyle w:val="FootnoteReference"/>
          <w:rFonts w:ascii="Verdana" w:eastAsia="Cambria" w:hAnsi="Verdana" w:cs="Cambria"/>
          <w:color w:val="000000"/>
          <w:sz w:val="20"/>
          <w:szCs w:val="20"/>
          <w:u w:color="000000"/>
        </w:rPr>
        <w:footnoteReference w:id="3"/>
      </w:r>
      <w:r w:rsidR="00915971">
        <w:rPr>
          <w:rFonts w:ascii="Verdana" w:eastAsia="Cambria" w:hAnsi="Verdana" w:cs="Cambria"/>
          <w:color w:val="000000"/>
          <w:sz w:val="20"/>
          <w:szCs w:val="20"/>
          <w:u w:color="000000"/>
        </w:rPr>
        <w:t xml:space="preserve"> (subrayado añadido)</w:t>
      </w:r>
      <w:r w:rsidRPr="006D2DE2">
        <w:rPr>
          <w:rFonts w:ascii="Verdana" w:eastAsia="Cambria" w:hAnsi="Verdana" w:cs="Cambria"/>
          <w:color w:val="000000"/>
          <w:sz w:val="20"/>
          <w:szCs w:val="20"/>
          <w:u w:color="000000"/>
        </w:rPr>
        <w:t>.</w:t>
      </w:r>
    </w:p>
    <w:p w14:paraId="56135FF4" w14:textId="77777777" w:rsidR="00F11DC3" w:rsidRPr="006D2DE2" w:rsidRDefault="00F11DC3" w:rsidP="002A7F5B">
      <w:pPr>
        <w:pStyle w:val="ListParagraph"/>
        <w:ind w:left="0"/>
        <w:jc w:val="both"/>
        <w:rPr>
          <w:rFonts w:ascii="Verdana" w:hAnsi="Verdana"/>
          <w:b/>
          <w:sz w:val="20"/>
          <w:szCs w:val="20"/>
        </w:rPr>
      </w:pPr>
    </w:p>
    <w:p w14:paraId="286BE8CB" w14:textId="0D22E4D6" w:rsidR="005715A6" w:rsidRPr="00495A18" w:rsidRDefault="00FD3A68" w:rsidP="002A7F5B">
      <w:pPr>
        <w:pStyle w:val="ListParagraph"/>
        <w:numPr>
          <w:ilvl w:val="0"/>
          <w:numId w:val="1"/>
        </w:numPr>
        <w:ind w:left="0" w:firstLine="0"/>
        <w:jc w:val="both"/>
        <w:rPr>
          <w:rFonts w:ascii="Verdana" w:hAnsi="Verdana"/>
          <w:sz w:val="20"/>
          <w:szCs w:val="20"/>
        </w:rPr>
      </w:pPr>
      <w:r>
        <w:rPr>
          <w:rFonts w:ascii="Verdana" w:hAnsi="Verdana"/>
          <w:sz w:val="20"/>
          <w:szCs w:val="20"/>
        </w:rPr>
        <w:t xml:space="preserve">Teniendo en cuenta lo anterior, </w:t>
      </w:r>
      <w:r w:rsidR="005715A6" w:rsidRPr="006D2DE2">
        <w:rPr>
          <w:rFonts w:ascii="Verdana" w:hAnsi="Verdana"/>
          <w:sz w:val="20"/>
          <w:szCs w:val="20"/>
        </w:rPr>
        <w:t xml:space="preserve">emito el presente Voto </w:t>
      </w:r>
      <w:r>
        <w:rPr>
          <w:rFonts w:ascii="Verdana" w:hAnsi="Verdana"/>
          <w:sz w:val="20"/>
          <w:szCs w:val="20"/>
        </w:rPr>
        <w:t xml:space="preserve">individual por dos razones. En primer lugar, </w:t>
      </w:r>
      <w:r w:rsidR="005715A6" w:rsidRPr="006D2DE2">
        <w:rPr>
          <w:rFonts w:ascii="Verdana" w:hAnsi="Verdana"/>
          <w:sz w:val="20"/>
          <w:szCs w:val="20"/>
        </w:rPr>
        <w:t>para fun</w:t>
      </w:r>
      <w:r w:rsidR="00B900D4">
        <w:rPr>
          <w:rFonts w:ascii="Verdana" w:hAnsi="Verdana"/>
          <w:sz w:val="20"/>
          <w:szCs w:val="20"/>
        </w:rPr>
        <w:t>damentar los</w:t>
      </w:r>
      <w:r>
        <w:rPr>
          <w:rFonts w:ascii="Verdana" w:hAnsi="Verdana"/>
          <w:sz w:val="20"/>
          <w:szCs w:val="20"/>
        </w:rPr>
        <w:t xml:space="preserve"> </w:t>
      </w:r>
      <w:r w:rsidR="00B900D4">
        <w:rPr>
          <w:rFonts w:ascii="Verdana" w:hAnsi="Verdana"/>
          <w:sz w:val="20"/>
          <w:szCs w:val="20"/>
        </w:rPr>
        <w:t>motivos</w:t>
      </w:r>
      <w:r w:rsidR="00EB1A26">
        <w:rPr>
          <w:rFonts w:ascii="Verdana" w:hAnsi="Verdana"/>
          <w:sz w:val="20"/>
          <w:szCs w:val="20"/>
        </w:rPr>
        <w:t xml:space="preserve"> por las cua</w:t>
      </w:r>
      <w:r w:rsidR="005715A6" w:rsidRPr="006D2DE2">
        <w:rPr>
          <w:rFonts w:ascii="Verdana" w:hAnsi="Verdana"/>
          <w:sz w:val="20"/>
          <w:szCs w:val="20"/>
        </w:rPr>
        <w:t xml:space="preserve">les </w:t>
      </w:r>
      <w:r>
        <w:rPr>
          <w:rFonts w:ascii="Verdana" w:hAnsi="Verdana"/>
          <w:sz w:val="20"/>
          <w:szCs w:val="20"/>
        </w:rPr>
        <w:t xml:space="preserve">considero evidente la violación al </w:t>
      </w:r>
      <w:r>
        <w:rPr>
          <w:rFonts w:ascii="Verdana" w:hAnsi="Verdana"/>
          <w:sz w:val="20"/>
          <w:szCs w:val="20"/>
        </w:rPr>
        <w:lastRenderedPageBreak/>
        <w:t xml:space="preserve">derecho al trabajo en el presente caso, teniendo </w:t>
      </w:r>
      <w:r w:rsidR="00772F6C">
        <w:rPr>
          <w:rFonts w:ascii="Verdana" w:hAnsi="Verdana"/>
          <w:sz w:val="20"/>
          <w:szCs w:val="20"/>
        </w:rPr>
        <w:t xml:space="preserve">en consideración que todas las violaciones </w:t>
      </w:r>
      <w:r w:rsidR="00495A18">
        <w:rPr>
          <w:rFonts w:ascii="Verdana" w:hAnsi="Verdana"/>
          <w:sz w:val="20"/>
          <w:szCs w:val="20"/>
        </w:rPr>
        <w:t xml:space="preserve">declaradas en la Sentencia </w:t>
      </w:r>
      <w:r w:rsidR="00772F6C">
        <w:rPr>
          <w:rFonts w:ascii="Verdana" w:hAnsi="Verdana"/>
          <w:sz w:val="20"/>
          <w:szCs w:val="20"/>
        </w:rPr>
        <w:t xml:space="preserve">provienen de un mismo hecho generador: </w:t>
      </w:r>
      <w:r w:rsidR="00495A18">
        <w:rPr>
          <w:rFonts w:ascii="Verdana" w:hAnsi="Verdana"/>
          <w:sz w:val="20"/>
          <w:szCs w:val="20"/>
        </w:rPr>
        <w:t xml:space="preserve">“la terminación arbitraria de la relación laboral” de las víctimas. Asimismo, para </w:t>
      </w:r>
      <w:r w:rsidR="00772F6C" w:rsidRPr="00495A18">
        <w:rPr>
          <w:rFonts w:ascii="Verdana" w:hAnsi="Verdana"/>
          <w:sz w:val="20"/>
          <w:szCs w:val="20"/>
        </w:rPr>
        <w:t>explicitar</w:t>
      </w:r>
      <w:r w:rsidR="005715A6" w:rsidRPr="00495A18">
        <w:rPr>
          <w:rFonts w:ascii="Verdana" w:hAnsi="Verdana"/>
          <w:sz w:val="20"/>
          <w:szCs w:val="20"/>
        </w:rPr>
        <w:t xml:space="preserve"> algunas parti</w:t>
      </w:r>
      <w:r w:rsidR="00772F6C" w:rsidRPr="00495A18">
        <w:rPr>
          <w:rFonts w:ascii="Verdana" w:hAnsi="Verdana"/>
          <w:sz w:val="20"/>
          <w:szCs w:val="20"/>
        </w:rPr>
        <w:t xml:space="preserve">cularidades del presente caso, </w:t>
      </w:r>
      <w:r w:rsidR="005715A6" w:rsidRPr="00495A18">
        <w:rPr>
          <w:rFonts w:ascii="Verdana" w:hAnsi="Verdana"/>
          <w:sz w:val="20"/>
          <w:szCs w:val="20"/>
        </w:rPr>
        <w:t xml:space="preserve">que han hecho de la protección del derecho al trabajo un derecho en expansión en diferentes supuestos y contextos de la relación laboral. </w:t>
      </w:r>
    </w:p>
    <w:p w14:paraId="4ECE893D" w14:textId="77777777" w:rsidR="005715A6" w:rsidRPr="006D2DE2" w:rsidRDefault="005715A6" w:rsidP="002A7F5B">
      <w:pPr>
        <w:jc w:val="both"/>
        <w:rPr>
          <w:rFonts w:ascii="Verdana" w:hAnsi="Verdana"/>
          <w:sz w:val="20"/>
          <w:szCs w:val="20"/>
        </w:rPr>
      </w:pPr>
    </w:p>
    <w:p w14:paraId="67527E3B" w14:textId="2B97EC4D" w:rsidR="007A2BF7" w:rsidRDefault="00772F6C" w:rsidP="002A7F5B">
      <w:pPr>
        <w:pStyle w:val="ListParagraph"/>
        <w:numPr>
          <w:ilvl w:val="0"/>
          <w:numId w:val="1"/>
        </w:numPr>
        <w:ind w:left="0" w:firstLine="0"/>
        <w:jc w:val="both"/>
        <w:rPr>
          <w:rFonts w:ascii="Verdana" w:hAnsi="Verdana"/>
          <w:sz w:val="20"/>
          <w:szCs w:val="20"/>
        </w:rPr>
      </w:pPr>
      <w:r>
        <w:rPr>
          <w:rFonts w:ascii="Verdana" w:hAnsi="Verdana"/>
          <w:sz w:val="20"/>
          <w:szCs w:val="20"/>
        </w:rPr>
        <w:t>En segundo lugar, formulo el presente</w:t>
      </w:r>
      <w:r w:rsidR="005715A6" w:rsidRPr="006D2DE2">
        <w:rPr>
          <w:rFonts w:ascii="Verdana" w:hAnsi="Verdana"/>
          <w:sz w:val="20"/>
          <w:szCs w:val="20"/>
        </w:rPr>
        <w:t xml:space="preserve"> Voto </w:t>
      </w:r>
      <w:r>
        <w:rPr>
          <w:rFonts w:ascii="Verdana" w:hAnsi="Verdana"/>
          <w:sz w:val="20"/>
          <w:szCs w:val="20"/>
        </w:rPr>
        <w:t>para expresar</w:t>
      </w:r>
      <w:r w:rsidR="00495A18">
        <w:rPr>
          <w:rFonts w:ascii="Verdana" w:hAnsi="Verdana"/>
          <w:sz w:val="20"/>
          <w:szCs w:val="20"/>
        </w:rPr>
        <w:t>, respetuosamente,</w:t>
      </w:r>
      <w:r>
        <w:rPr>
          <w:rFonts w:ascii="Verdana" w:hAnsi="Verdana"/>
          <w:sz w:val="20"/>
          <w:szCs w:val="20"/>
        </w:rPr>
        <w:t xml:space="preserve"> mi disidencia en relación</w:t>
      </w:r>
      <w:r w:rsidR="005715A6" w:rsidRPr="006D2DE2">
        <w:rPr>
          <w:rFonts w:ascii="Verdana" w:hAnsi="Verdana"/>
          <w:sz w:val="20"/>
          <w:szCs w:val="20"/>
        </w:rPr>
        <w:t xml:space="preserve"> </w:t>
      </w:r>
      <w:r>
        <w:rPr>
          <w:rFonts w:ascii="Verdana" w:hAnsi="Verdana"/>
          <w:sz w:val="20"/>
          <w:szCs w:val="20"/>
        </w:rPr>
        <w:t>al</w:t>
      </w:r>
      <w:r w:rsidR="005715A6" w:rsidRPr="006D2DE2">
        <w:rPr>
          <w:rFonts w:ascii="Verdana" w:hAnsi="Verdana"/>
          <w:sz w:val="20"/>
          <w:szCs w:val="20"/>
        </w:rPr>
        <w:t xml:space="preserve"> criterio mayoritario</w:t>
      </w:r>
      <w:r>
        <w:rPr>
          <w:rFonts w:ascii="Verdana" w:hAnsi="Verdana"/>
          <w:sz w:val="20"/>
          <w:szCs w:val="20"/>
        </w:rPr>
        <w:t>,</w:t>
      </w:r>
      <w:r w:rsidR="005715A6" w:rsidRPr="006D2DE2">
        <w:rPr>
          <w:rFonts w:ascii="Verdana" w:hAnsi="Verdana"/>
          <w:sz w:val="20"/>
          <w:szCs w:val="20"/>
        </w:rPr>
        <w:t xml:space="preserve"> </w:t>
      </w:r>
      <w:r>
        <w:rPr>
          <w:rFonts w:ascii="Verdana" w:hAnsi="Verdana"/>
          <w:sz w:val="20"/>
          <w:szCs w:val="20"/>
        </w:rPr>
        <w:t xml:space="preserve">relativo a la no violación </w:t>
      </w:r>
      <w:r w:rsidR="00E32CF1">
        <w:rPr>
          <w:rFonts w:ascii="Verdana" w:hAnsi="Verdana"/>
          <w:sz w:val="20"/>
          <w:szCs w:val="20"/>
        </w:rPr>
        <w:t>del derecho a las garantías judiciales, específicamente del derecho a ser oído por un juez independiente</w:t>
      </w:r>
      <w:r>
        <w:rPr>
          <w:rFonts w:ascii="Verdana" w:hAnsi="Verdana"/>
          <w:sz w:val="20"/>
          <w:szCs w:val="20"/>
        </w:rPr>
        <w:t>, previsto en el artículo</w:t>
      </w:r>
      <w:r w:rsidR="005715A6" w:rsidRPr="006D2DE2">
        <w:rPr>
          <w:rFonts w:ascii="Verdana" w:hAnsi="Verdana"/>
          <w:sz w:val="20"/>
          <w:szCs w:val="20"/>
        </w:rPr>
        <w:t xml:space="preserve"> 8.1 de la Convención </w:t>
      </w:r>
      <w:r w:rsidR="009E75D3" w:rsidRPr="006D2DE2">
        <w:rPr>
          <w:rFonts w:ascii="Verdana" w:hAnsi="Verdana"/>
          <w:sz w:val="20"/>
          <w:szCs w:val="20"/>
        </w:rPr>
        <w:t>Americana</w:t>
      </w:r>
      <w:r w:rsidR="004A3D52">
        <w:rPr>
          <w:rFonts w:ascii="Verdana" w:hAnsi="Verdana"/>
          <w:sz w:val="20"/>
          <w:szCs w:val="20"/>
        </w:rPr>
        <w:t xml:space="preserve"> —</w:t>
      </w:r>
      <w:r>
        <w:rPr>
          <w:rFonts w:ascii="Verdana" w:hAnsi="Verdana"/>
          <w:sz w:val="20"/>
          <w:szCs w:val="20"/>
        </w:rPr>
        <w:t>R</w:t>
      </w:r>
      <w:r w:rsidR="00D80745" w:rsidRPr="006D2DE2">
        <w:rPr>
          <w:rFonts w:ascii="Verdana" w:hAnsi="Verdana"/>
          <w:sz w:val="20"/>
          <w:szCs w:val="20"/>
        </w:rPr>
        <w:t xml:space="preserve">esolutivo </w:t>
      </w:r>
      <w:r>
        <w:rPr>
          <w:rFonts w:ascii="Verdana" w:hAnsi="Verdana"/>
          <w:sz w:val="20"/>
          <w:szCs w:val="20"/>
        </w:rPr>
        <w:t>7 de la Sentencia</w:t>
      </w:r>
      <w:r w:rsidR="00363ABD" w:rsidRPr="006D2DE2">
        <w:rPr>
          <w:rStyle w:val="FootnoteReference"/>
          <w:rFonts w:ascii="Verdana" w:hAnsi="Verdana"/>
          <w:sz w:val="20"/>
          <w:szCs w:val="20"/>
        </w:rPr>
        <w:footnoteReference w:id="4"/>
      </w:r>
      <w:r w:rsidR="004A3D52">
        <w:rPr>
          <w:rFonts w:ascii="Verdana" w:hAnsi="Verdana"/>
          <w:sz w:val="20"/>
          <w:szCs w:val="20"/>
        </w:rPr>
        <w:t>—</w:t>
      </w:r>
      <w:r>
        <w:rPr>
          <w:rFonts w:ascii="Verdana" w:hAnsi="Verdana"/>
          <w:sz w:val="20"/>
          <w:szCs w:val="20"/>
        </w:rPr>
        <w:t xml:space="preserve">. Lo anterior, teniendo en consideración la </w:t>
      </w:r>
      <w:r w:rsidR="009C482F">
        <w:rPr>
          <w:rFonts w:ascii="Verdana" w:hAnsi="Verdana"/>
          <w:sz w:val="20"/>
          <w:szCs w:val="20"/>
        </w:rPr>
        <w:t>“</w:t>
      </w:r>
      <w:r>
        <w:rPr>
          <w:rFonts w:ascii="Verdana" w:hAnsi="Verdana"/>
          <w:sz w:val="20"/>
          <w:szCs w:val="20"/>
        </w:rPr>
        <w:t>desviación de poder</w:t>
      </w:r>
      <w:r w:rsidR="009C482F">
        <w:rPr>
          <w:rFonts w:ascii="Verdana" w:hAnsi="Verdana"/>
          <w:sz w:val="20"/>
          <w:szCs w:val="20"/>
        </w:rPr>
        <w:t>”</w:t>
      </w:r>
      <w:r>
        <w:rPr>
          <w:rFonts w:ascii="Verdana" w:hAnsi="Verdana"/>
          <w:sz w:val="20"/>
          <w:szCs w:val="20"/>
        </w:rPr>
        <w:t xml:space="preserve"> declarada</w:t>
      </w:r>
      <w:r w:rsidR="009C482F">
        <w:rPr>
          <w:rFonts w:ascii="Verdana" w:hAnsi="Verdana"/>
          <w:sz w:val="20"/>
          <w:szCs w:val="20"/>
        </w:rPr>
        <w:t xml:space="preserve"> en la Sentencia</w:t>
      </w:r>
      <w:r>
        <w:rPr>
          <w:rFonts w:ascii="Verdana" w:hAnsi="Verdana"/>
          <w:sz w:val="20"/>
          <w:szCs w:val="20"/>
        </w:rPr>
        <w:t xml:space="preserve">, a la luz del contexto </w:t>
      </w:r>
      <w:r w:rsidR="00E32CF1">
        <w:rPr>
          <w:rFonts w:ascii="Verdana" w:hAnsi="Verdana"/>
          <w:sz w:val="20"/>
          <w:szCs w:val="20"/>
        </w:rPr>
        <w:t xml:space="preserve">y hechos probados </w:t>
      </w:r>
      <w:r>
        <w:rPr>
          <w:rFonts w:ascii="Verdana" w:hAnsi="Verdana"/>
          <w:sz w:val="20"/>
          <w:szCs w:val="20"/>
        </w:rPr>
        <w:t>del caso y</w:t>
      </w:r>
      <w:r w:rsidR="005715A6" w:rsidRPr="006D2DE2">
        <w:rPr>
          <w:rFonts w:ascii="Verdana" w:hAnsi="Verdana"/>
          <w:sz w:val="20"/>
          <w:szCs w:val="20"/>
        </w:rPr>
        <w:t xml:space="preserve"> </w:t>
      </w:r>
      <w:r w:rsidR="009E75D3" w:rsidRPr="006D2DE2">
        <w:rPr>
          <w:rFonts w:ascii="Verdana" w:hAnsi="Verdana"/>
          <w:sz w:val="20"/>
          <w:szCs w:val="20"/>
        </w:rPr>
        <w:t>frente a los</w:t>
      </w:r>
      <w:r w:rsidR="00E32CF1">
        <w:rPr>
          <w:rFonts w:ascii="Verdana" w:hAnsi="Verdana"/>
          <w:sz w:val="20"/>
          <w:szCs w:val="20"/>
        </w:rPr>
        <w:t xml:space="preserve"> </w:t>
      </w:r>
      <w:r w:rsidR="009E75D3" w:rsidRPr="006D2DE2">
        <w:rPr>
          <w:rFonts w:ascii="Verdana" w:hAnsi="Verdana"/>
          <w:sz w:val="20"/>
          <w:szCs w:val="20"/>
        </w:rPr>
        <w:t xml:space="preserve">argumentos vertidos </w:t>
      </w:r>
      <w:r w:rsidR="00CA293C" w:rsidRPr="006D2DE2">
        <w:rPr>
          <w:rFonts w:ascii="Verdana" w:hAnsi="Verdana"/>
          <w:sz w:val="20"/>
          <w:szCs w:val="20"/>
        </w:rPr>
        <w:t>por los representantes de las ví</w:t>
      </w:r>
      <w:r w:rsidR="009E75D3" w:rsidRPr="006D2DE2">
        <w:rPr>
          <w:rFonts w:ascii="Verdana" w:hAnsi="Verdana"/>
          <w:sz w:val="20"/>
          <w:szCs w:val="20"/>
        </w:rPr>
        <w:t>ctimas</w:t>
      </w:r>
      <w:r w:rsidR="00D80745" w:rsidRPr="006D2DE2">
        <w:rPr>
          <w:rStyle w:val="FootnoteReference"/>
          <w:rFonts w:ascii="Verdana" w:hAnsi="Verdana"/>
          <w:sz w:val="20"/>
          <w:szCs w:val="20"/>
        </w:rPr>
        <w:footnoteReference w:id="5"/>
      </w:r>
      <w:r w:rsidR="009E75D3" w:rsidRPr="006D2DE2">
        <w:rPr>
          <w:rFonts w:ascii="Verdana" w:hAnsi="Verdana"/>
          <w:sz w:val="20"/>
          <w:szCs w:val="20"/>
        </w:rPr>
        <w:t xml:space="preserve">. </w:t>
      </w:r>
    </w:p>
    <w:p w14:paraId="1F42D373" w14:textId="77777777" w:rsidR="006030E4" w:rsidRPr="006D2DE2" w:rsidRDefault="006030E4" w:rsidP="002A7F5B">
      <w:pPr>
        <w:jc w:val="both"/>
        <w:rPr>
          <w:rFonts w:ascii="Verdana" w:hAnsi="Verdana"/>
          <w:sz w:val="20"/>
          <w:szCs w:val="20"/>
        </w:rPr>
      </w:pPr>
    </w:p>
    <w:p w14:paraId="7BDB185E" w14:textId="79685E0D" w:rsidR="006030E4" w:rsidRPr="00915971" w:rsidRDefault="00772F6C" w:rsidP="002A7F5B">
      <w:pPr>
        <w:pStyle w:val="ListParagraph"/>
        <w:numPr>
          <w:ilvl w:val="0"/>
          <w:numId w:val="1"/>
        </w:numPr>
        <w:ind w:left="0" w:firstLine="0"/>
        <w:jc w:val="both"/>
        <w:rPr>
          <w:rFonts w:ascii="Verdana" w:hAnsi="Verdana"/>
          <w:sz w:val="20"/>
          <w:szCs w:val="20"/>
        </w:rPr>
      </w:pPr>
      <w:r>
        <w:rPr>
          <w:rFonts w:ascii="Verdana" w:hAnsi="Verdana"/>
          <w:sz w:val="20"/>
          <w:szCs w:val="20"/>
        </w:rPr>
        <w:t xml:space="preserve">Para una mayor claridad, abordaré por separado ambos aspectos: </w:t>
      </w:r>
      <w:r w:rsidRPr="007F13FA">
        <w:rPr>
          <w:rFonts w:ascii="Verdana" w:hAnsi="Verdana"/>
          <w:sz w:val="20"/>
          <w:szCs w:val="20"/>
        </w:rPr>
        <w:t>I.</w:t>
      </w:r>
      <w:r w:rsidR="006030E4" w:rsidRPr="006D2DE2">
        <w:rPr>
          <w:rFonts w:ascii="Verdana" w:hAnsi="Verdana"/>
          <w:sz w:val="20"/>
          <w:szCs w:val="20"/>
        </w:rPr>
        <w:t xml:space="preserve"> El derecho al trabajo como derecho protegido por la Convención Americana mediante el artículo 26</w:t>
      </w:r>
      <w:r w:rsidR="00FF3A40">
        <w:rPr>
          <w:rFonts w:ascii="Verdana" w:hAnsi="Verdana"/>
          <w:sz w:val="20"/>
          <w:szCs w:val="20"/>
        </w:rPr>
        <w:t xml:space="preserve"> y sus particularidades en el presente caso</w:t>
      </w:r>
      <w:r w:rsidR="006030E4" w:rsidRPr="006D2DE2">
        <w:rPr>
          <w:rFonts w:ascii="Verdana" w:hAnsi="Verdana"/>
          <w:sz w:val="20"/>
          <w:szCs w:val="20"/>
        </w:rPr>
        <w:t xml:space="preserve"> </w:t>
      </w:r>
      <w:r w:rsidR="00EA6ED8" w:rsidRPr="006D2DE2">
        <w:rPr>
          <w:rFonts w:ascii="Verdana" w:hAnsi="Verdana"/>
          <w:sz w:val="20"/>
          <w:szCs w:val="20"/>
        </w:rPr>
        <w:t>(</w:t>
      </w:r>
      <w:r w:rsidR="00BE542D">
        <w:rPr>
          <w:rFonts w:ascii="Verdana" w:hAnsi="Verdana"/>
          <w:i/>
          <w:sz w:val="20"/>
          <w:szCs w:val="20"/>
          <w:u w:val="single"/>
        </w:rPr>
        <w:t xml:space="preserve">párr. 6 a </w:t>
      </w:r>
      <w:r w:rsidR="004E73F3">
        <w:rPr>
          <w:rFonts w:ascii="Verdana" w:hAnsi="Verdana"/>
          <w:i/>
          <w:sz w:val="20"/>
          <w:szCs w:val="20"/>
          <w:u w:val="single"/>
        </w:rPr>
        <w:t>42</w:t>
      </w:r>
      <w:r w:rsidR="00EA6ED8" w:rsidRPr="006D2DE2">
        <w:rPr>
          <w:rFonts w:ascii="Verdana" w:hAnsi="Verdana"/>
          <w:sz w:val="20"/>
          <w:szCs w:val="20"/>
        </w:rPr>
        <w:t>)</w:t>
      </w:r>
      <w:r w:rsidR="005E7FB7">
        <w:rPr>
          <w:rFonts w:ascii="Verdana" w:hAnsi="Verdana"/>
          <w:sz w:val="20"/>
          <w:szCs w:val="20"/>
        </w:rPr>
        <w:t xml:space="preserve">; y </w:t>
      </w:r>
      <w:r w:rsidR="00915971">
        <w:rPr>
          <w:rFonts w:ascii="Verdana" w:hAnsi="Verdana"/>
          <w:sz w:val="20"/>
          <w:szCs w:val="20"/>
        </w:rPr>
        <w:t>II. La independencia judicial como parte de las garantías judiciales</w:t>
      </w:r>
      <w:r w:rsidR="00EA6ED8" w:rsidRPr="006D2DE2">
        <w:rPr>
          <w:rFonts w:ascii="Verdana" w:hAnsi="Verdana"/>
          <w:sz w:val="20"/>
          <w:szCs w:val="20"/>
        </w:rPr>
        <w:t xml:space="preserve"> </w:t>
      </w:r>
      <w:r w:rsidR="00EA6ED8" w:rsidRPr="00EE0CE1">
        <w:rPr>
          <w:rFonts w:ascii="Verdana" w:hAnsi="Verdana"/>
          <w:sz w:val="20"/>
          <w:szCs w:val="20"/>
        </w:rPr>
        <w:t>y</w:t>
      </w:r>
      <w:r w:rsidR="00915971" w:rsidRPr="00EE0CE1">
        <w:rPr>
          <w:rFonts w:ascii="Verdana" w:hAnsi="Verdana"/>
          <w:sz w:val="20"/>
          <w:szCs w:val="20"/>
        </w:rPr>
        <w:t xml:space="preserve"> </w:t>
      </w:r>
      <w:r w:rsidR="00EA6ED8" w:rsidRPr="00EE0CE1">
        <w:rPr>
          <w:rFonts w:ascii="Verdana" w:hAnsi="Verdana"/>
          <w:sz w:val="20"/>
          <w:szCs w:val="20"/>
        </w:rPr>
        <w:t>del acceso a la justicia</w:t>
      </w:r>
      <w:r w:rsidR="00EA6ED8" w:rsidRPr="00915971">
        <w:rPr>
          <w:rFonts w:ascii="Verdana" w:hAnsi="Verdana"/>
          <w:sz w:val="20"/>
          <w:szCs w:val="20"/>
        </w:rPr>
        <w:t xml:space="preserve">, </w:t>
      </w:r>
      <w:r w:rsidRPr="00915971">
        <w:rPr>
          <w:rFonts w:ascii="Verdana" w:hAnsi="Verdana"/>
          <w:sz w:val="20"/>
          <w:szCs w:val="20"/>
        </w:rPr>
        <w:t xml:space="preserve">a la luz del contexto del presente caso y la </w:t>
      </w:r>
      <w:r w:rsidR="004A3D52">
        <w:rPr>
          <w:rFonts w:ascii="Verdana" w:hAnsi="Verdana"/>
          <w:sz w:val="20"/>
          <w:szCs w:val="20"/>
        </w:rPr>
        <w:t>“</w:t>
      </w:r>
      <w:r w:rsidRPr="00915971">
        <w:rPr>
          <w:rFonts w:ascii="Verdana" w:hAnsi="Verdana"/>
          <w:sz w:val="20"/>
          <w:szCs w:val="20"/>
        </w:rPr>
        <w:t>desviación de poder</w:t>
      </w:r>
      <w:r w:rsidR="004A3D52">
        <w:rPr>
          <w:rFonts w:ascii="Verdana" w:hAnsi="Verdana"/>
          <w:sz w:val="20"/>
          <w:szCs w:val="20"/>
        </w:rPr>
        <w:t>”</w:t>
      </w:r>
      <w:r w:rsidRPr="00915971">
        <w:rPr>
          <w:rFonts w:ascii="Verdana" w:hAnsi="Verdana"/>
          <w:sz w:val="20"/>
          <w:szCs w:val="20"/>
        </w:rPr>
        <w:t xml:space="preserve"> declarada</w:t>
      </w:r>
      <w:r w:rsidR="004A3D52">
        <w:rPr>
          <w:rFonts w:ascii="Verdana" w:hAnsi="Verdana"/>
          <w:sz w:val="20"/>
          <w:szCs w:val="20"/>
        </w:rPr>
        <w:t xml:space="preserve"> en la Sentencia</w:t>
      </w:r>
      <w:r w:rsidRPr="00915971">
        <w:rPr>
          <w:rFonts w:ascii="Verdana" w:hAnsi="Verdana"/>
          <w:sz w:val="20"/>
          <w:szCs w:val="20"/>
        </w:rPr>
        <w:t xml:space="preserve"> (</w:t>
      </w:r>
      <w:proofErr w:type="spellStart"/>
      <w:r w:rsidR="004E73F3" w:rsidRPr="004A3D52">
        <w:rPr>
          <w:rFonts w:ascii="Verdana" w:hAnsi="Verdana"/>
          <w:i/>
          <w:sz w:val="20"/>
          <w:szCs w:val="20"/>
          <w:u w:val="single"/>
        </w:rPr>
        <w:t>párrs</w:t>
      </w:r>
      <w:proofErr w:type="spellEnd"/>
      <w:r w:rsidR="004E73F3" w:rsidRPr="004A3D52">
        <w:rPr>
          <w:rFonts w:ascii="Verdana" w:hAnsi="Verdana"/>
          <w:i/>
          <w:sz w:val="20"/>
          <w:szCs w:val="20"/>
          <w:u w:val="single"/>
        </w:rPr>
        <w:t>. 43</w:t>
      </w:r>
      <w:r w:rsidRPr="004A3D52">
        <w:rPr>
          <w:rFonts w:ascii="Verdana" w:hAnsi="Verdana"/>
          <w:i/>
          <w:sz w:val="20"/>
          <w:szCs w:val="20"/>
          <w:u w:val="single"/>
        </w:rPr>
        <w:t xml:space="preserve"> a </w:t>
      </w:r>
      <w:r w:rsidR="00BD30E2">
        <w:rPr>
          <w:rFonts w:ascii="Verdana" w:hAnsi="Verdana"/>
          <w:i/>
          <w:sz w:val="20"/>
          <w:szCs w:val="20"/>
          <w:u w:val="single"/>
        </w:rPr>
        <w:t>58</w:t>
      </w:r>
      <w:r w:rsidR="005E7FB7">
        <w:rPr>
          <w:rFonts w:ascii="Verdana" w:hAnsi="Verdana"/>
          <w:sz w:val="20"/>
          <w:szCs w:val="20"/>
        </w:rPr>
        <w:t>).</w:t>
      </w:r>
      <w:r w:rsidR="00EA6ED8" w:rsidRPr="00915971">
        <w:rPr>
          <w:rFonts w:ascii="Verdana" w:hAnsi="Verdana"/>
          <w:sz w:val="20"/>
          <w:szCs w:val="20"/>
        </w:rPr>
        <w:t xml:space="preserve"> </w:t>
      </w:r>
    </w:p>
    <w:p w14:paraId="60D3554A" w14:textId="77777777" w:rsidR="006030E4" w:rsidRDefault="006030E4" w:rsidP="002A7F5B">
      <w:pPr>
        <w:pStyle w:val="ListParagraph"/>
        <w:ind w:left="0"/>
        <w:jc w:val="both"/>
        <w:rPr>
          <w:rFonts w:ascii="Verdana" w:hAnsi="Verdana"/>
          <w:sz w:val="20"/>
          <w:szCs w:val="20"/>
        </w:rPr>
      </w:pPr>
    </w:p>
    <w:p w14:paraId="302CF972" w14:textId="77777777" w:rsidR="00CA293C" w:rsidRPr="006D2DE2" w:rsidRDefault="00CA293C" w:rsidP="002A7F5B">
      <w:pPr>
        <w:pStyle w:val="ListParagraph"/>
        <w:ind w:left="0"/>
        <w:jc w:val="both"/>
        <w:rPr>
          <w:rFonts w:ascii="Verdana" w:hAnsi="Verdana"/>
          <w:sz w:val="20"/>
          <w:szCs w:val="20"/>
        </w:rPr>
      </w:pPr>
    </w:p>
    <w:p w14:paraId="0C33EEE1" w14:textId="1F0EC824" w:rsidR="006030E4" w:rsidRPr="007F13FA" w:rsidRDefault="007F13FA" w:rsidP="002A7F5B">
      <w:pPr>
        <w:jc w:val="center"/>
        <w:rPr>
          <w:rFonts w:ascii="Verdana" w:hAnsi="Verdana"/>
          <w:sz w:val="20"/>
          <w:szCs w:val="20"/>
        </w:rPr>
      </w:pPr>
      <w:r w:rsidRPr="007F13FA">
        <w:rPr>
          <w:rFonts w:ascii="Verdana" w:hAnsi="Verdana"/>
          <w:sz w:val="20"/>
          <w:szCs w:val="20"/>
        </w:rPr>
        <w:t xml:space="preserve">I. </w:t>
      </w:r>
      <w:r w:rsidR="006030E4" w:rsidRPr="007F13FA">
        <w:rPr>
          <w:rFonts w:ascii="Verdana" w:hAnsi="Verdana"/>
          <w:sz w:val="20"/>
          <w:szCs w:val="20"/>
        </w:rPr>
        <w:t xml:space="preserve">EL DERECHO AL TRABAJO COMO DERECHO PROTEGIDO POR LA CONVENCIÓN AMERICANA MEDIANTE EL ARTÍCULO 26 </w:t>
      </w:r>
      <w:r w:rsidR="00495A18" w:rsidRPr="007F13FA">
        <w:rPr>
          <w:rFonts w:ascii="Verdana" w:hAnsi="Verdana"/>
          <w:sz w:val="20"/>
          <w:szCs w:val="20"/>
        </w:rPr>
        <w:t>Y SUS PARTICULARIDADES EN EL PRESENTE CASO</w:t>
      </w:r>
    </w:p>
    <w:p w14:paraId="7FDE0D5D" w14:textId="77777777" w:rsidR="005E3836" w:rsidRDefault="005E3836" w:rsidP="002A7F5B">
      <w:pPr>
        <w:rPr>
          <w:rFonts w:ascii="Verdana" w:hAnsi="Verdana"/>
          <w:b/>
          <w:sz w:val="20"/>
          <w:szCs w:val="20"/>
        </w:rPr>
      </w:pPr>
    </w:p>
    <w:p w14:paraId="08E84CCE" w14:textId="77777777" w:rsidR="0074390C" w:rsidRPr="002A7F5B" w:rsidRDefault="0074390C" w:rsidP="002A7F5B">
      <w:pPr>
        <w:rPr>
          <w:rFonts w:ascii="Verdana" w:hAnsi="Verdana"/>
          <w:b/>
          <w:sz w:val="20"/>
          <w:szCs w:val="20"/>
        </w:rPr>
      </w:pPr>
    </w:p>
    <w:p w14:paraId="2E4875CD" w14:textId="3A149A3C" w:rsidR="00C20AAC" w:rsidRPr="006D2DE2" w:rsidRDefault="007F13FA" w:rsidP="002A7F5B">
      <w:pPr>
        <w:rPr>
          <w:rFonts w:ascii="Verdana" w:hAnsi="Verdana"/>
          <w:i/>
          <w:sz w:val="20"/>
          <w:szCs w:val="20"/>
          <w:u w:val="single"/>
        </w:rPr>
      </w:pPr>
      <w:r>
        <w:rPr>
          <w:rFonts w:ascii="Verdana" w:hAnsi="Verdana"/>
          <w:i/>
          <w:sz w:val="20"/>
          <w:szCs w:val="20"/>
          <w:u w:val="single"/>
        </w:rPr>
        <w:t>A</w:t>
      </w:r>
      <w:r w:rsidR="00C20AAC" w:rsidRPr="006D2DE2">
        <w:rPr>
          <w:rFonts w:ascii="Verdana" w:hAnsi="Verdana"/>
          <w:i/>
          <w:sz w:val="20"/>
          <w:szCs w:val="20"/>
          <w:u w:val="single"/>
        </w:rPr>
        <w:t>. El derecho al trabajo como derecho autónomo</w:t>
      </w:r>
    </w:p>
    <w:p w14:paraId="1F69E0EF" w14:textId="77777777" w:rsidR="00C46001" w:rsidRPr="006D2DE2" w:rsidRDefault="00C46001" w:rsidP="002A7F5B">
      <w:pPr>
        <w:pStyle w:val="ListParagraph"/>
        <w:ind w:left="0"/>
        <w:jc w:val="both"/>
        <w:rPr>
          <w:rFonts w:ascii="Verdana" w:hAnsi="Verdana"/>
          <w:sz w:val="20"/>
          <w:szCs w:val="20"/>
        </w:rPr>
      </w:pPr>
    </w:p>
    <w:p w14:paraId="52E9F8FC" w14:textId="6C560095" w:rsidR="004C5255" w:rsidRPr="006D2DE2" w:rsidRDefault="00DF3B61" w:rsidP="002A7F5B">
      <w:pPr>
        <w:pStyle w:val="ListParagraph"/>
        <w:numPr>
          <w:ilvl w:val="0"/>
          <w:numId w:val="1"/>
        </w:numPr>
        <w:ind w:left="0" w:firstLine="0"/>
        <w:jc w:val="both"/>
        <w:rPr>
          <w:rFonts w:ascii="Verdana" w:hAnsi="Verdana"/>
          <w:b/>
          <w:sz w:val="20"/>
          <w:szCs w:val="20"/>
        </w:rPr>
      </w:pPr>
      <w:r w:rsidRPr="006D2DE2">
        <w:rPr>
          <w:rFonts w:ascii="Verdana" w:hAnsi="Verdana"/>
          <w:sz w:val="20"/>
          <w:szCs w:val="20"/>
        </w:rPr>
        <w:t>El Comité de Derechos Ec</w:t>
      </w:r>
      <w:r w:rsidR="00C20AAC" w:rsidRPr="006D2DE2">
        <w:rPr>
          <w:rFonts w:ascii="Verdana" w:hAnsi="Verdana"/>
          <w:sz w:val="20"/>
          <w:szCs w:val="20"/>
        </w:rPr>
        <w:t xml:space="preserve">onómicos, Sociales y Culturales </w:t>
      </w:r>
      <w:r w:rsidR="00A20298">
        <w:rPr>
          <w:rFonts w:ascii="Verdana" w:hAnsi="Verdana"/>
          <w:sz w:val="20"/>
          <w:szCs w:val="20"/>
        </w:rPr>
        <w:t>(en adelante el “</w:t>
      </w:r>
      <w:r w:rsidR="00B472C0" w:rsidRPr="006D2DE2">
        <w:rPr>
          <w:rFonts w:ascii="Verdana" w:hAnsi="Verdana"/>
          <w:sz w:val="20"/>
          <w:szCs w:val="20"/>
        </w:rPr>
        <w:t>Comité DESC”) en su Observación General No. 18</w:t>
      </w:r>
      <w:r w:rsidR="00A20298">
        <w:rPr>
          <w:rFonts w:ascii="Verdana" w:hAnsi="Verdana"/>
          <w:sz w:val="20"/>
          <w:szCs w:val="20"/>
        </w:rPr>
        <w:t>, ha considerado que</w:t>
      </w:r>
      <w:r w:rsidR="00B472C0" w:rsidRPr="006D2DE2">
        <w:rPr>
          <w:rFonts w:ascii="Verdana" w:hAnsi="Verdana"/>
          <w:sz w:val="20"/>
          <w:szCs w:val="20"/>
        </w:rPr>
        <w:t xml:space="preserve"> </w:t>
      </w:r>
      <w:r w:rsidR="00C20AAC" w:rsidRPr="006D2DE2">
        <w:rPr>
          <w:rFonts w:ascii="Verdana" w:hAnsi="Verdana"/>
          <w:sz w:val="20"/>
          <w:szCs w:val="20"/>
        </w:rPr>
        <w:t>“[e]l derecho al tr</w:t>
      </w:r>
      <w:r w:rsidR="00A20298">
        <w:rPr>
          <w:rFonts w:ascii="Verdana" w:hAnsi="Verdana"/>
          <w:sz w:val="20"/>
          <w:szCs w:val="20"/>
        </w:rPr>
        <w:t>abajo es un derecho fundamental</w:t>
      </w:r>
      <w:r w:rsidR="00C20AAC" w:rsidRPr="006D2DE2">
        <w:rPr>
          <w:rFonts w:ascii="Verdana" w:hAnsi="Verdana"/>
          <w:sz w:val="20"/>
          <w:szCs w:val="20"/>
        </w:rPr>
        <w:t>, reconoci</w:t>
      </w:r>
      <w:r w:rsidR="005E7FB7">
        <w:rPr>
          <w:rFonts w:ascii="Verdana" w:hAnsi="Verdana"/>
          <w:sz w:val="20"/>
          <w:szCs w:val="20"/>
        </w:rPr>
        <w:t xml:space="preserve">do en diversos instrumentos de </w:t>
      </w:r>
      <w:r w:rsidR="00C20AAC" w:rsidRPr="006D2DE2">
        <w:rPr>
          <w:rFonts w:ascii="Verdana" w:hAnsi="Verdana"/>
          <w:sz w:val="20"/>
          <w:szCs w:val="20"/>
        </w:rPr>
        <w:t>derecho internacional”</w:t>
      </w:r>
      <w:r w:rsidR="00260B08" w:rsidRPr="006D2DE2">
        <w:rPr>
          <w:rStyle w:val="FootnoteReference"/>
          <w:rFonts w:ascii="Verdana" w:hAnsi="Verdana"/>
          <w:sz w:val="20"/>
          <w:szCs w:val="20"/>
        </w:rPr>
        <w:footnoteReference w:id="6"/>
      </w:r>
      <w:r w:rsidR="00B472C0" w:rsidRPr="006D2DE2">
        <w:rPr>
          <w:rFonts w:ascii="Verdana" w:hAnsi="Verdana"/>
          <w:sz w:val="20"/>
          <w:szCs w:val="20"/>
        </w:rPr>
        <w:t xml:space="preserve">; de esta manera </w:t>
      </w:r>
      <w:r w:rsidR="00CA293C" w:rsidRPr="006D2DE2">
        <w:rPr>
          <w:rFonts w:ascii="Verdana" w:hAnsi="Verdana"/>
          <w:sz w:val="20"/>
          <w:szCs w:val="20"/>
        </w:rPr>
        <w:t>“</w:t>
      </w:r>
      <w:r w:rsidR="00B472C0" w:rsidRPr="006D2DE2">
        <w:rPr>
          <w:rFonts w:ascii="Verdana" w:hAnsi="Verdana"/>
          <w:sz w:val="20"/>
          <w:szCs w:val="20"/>
        </w:rPr>
        <w:t>[e]l derecho al trabajo es un derecho individual que pertenece a cada persona, y e</w:t>
      </w:r>
      <w:r w:rsidR="00A20298">
        <w:rPr>
          <w:rFonts w:ascii="Verdana" w:hAnsi="Verdana"/>
          <w:sz w:val="20"/>
          <w:szCs w:val="20"/>
        </w:rPr>
        <w:t xml:space="preserve">s a la vez un derecho </w:t>
      </w:r>
      <w:proofErr w:type="gramStart"/>
      <w:r w:rsidR="00A20298">
        <w:rPr>
          <w:rFonts w:ascii="Verdana" w:hAnsi="Verdana"/>
          <w:sz w:val="20"/>
          <w:szCs w:val="20"/>
        </w:rPr>
        <w:t>colectivo</w:t>
      </w:r>
      <w:r w:rsidR="00B472C0" w:rsidRPr="006D2DE2">
        <w:rPr>
          <w:rFonts w:ascii="Verdana" w:hAnsi="Verdana"/>
          <w:sz w:val="20"/>
          <w:szCs w:val="20"/>
        </w:rPr>
        <w:t>[</w:t>
      </w:r>
      <w:proofErr w:type="gramEnd"/>
      <w:r w:rsidR="00B472C0" w:rsidRPr="006D2DE2">
        <w:rPr>
          <w:rFonts w:ascii="Verdana" w:hAnsi="Verdana"/>
          <w:sz w:val="20"/>
          <w:szCs w:val="20"/>
        </w:rPr>
        <w:t>.]</w:t>
      </w:r>
      <w:r w:rsidR="00A20298">
        <w:rPr>
          <w:rFonts w:ascii="Verdana" w:hAnsi="Verdana"/>
          <w:sz w:val="20"/>
          <w:szCs w:val="20"/>
        </w:rPr>
        <w:t xml:space="preserve"> </w:t>
      </w:r>
      <w:r w:rsidR="00B472C0" w:rsidRPr="006D2DE2">
        <w:rPr>
          <w:rFonts w:ascii="Verdana" w:hAnsi="Verdana"/>
          <w:sz w:val="20"/>
          <w:szCs w:val="20"/>
        </w:rPr>
        <w:t>El derecho al trabajo no debe entenderse como un derecho absoluto e incondicional a obtener el empleo”</w:t>
      </w:r>
      <w:r w:rsidR="00260B08" w:rsidRPr="006D2DE2">
        <w:rPr>
          <w:rStyle w:val="FootnoteReference"/>
          <w:rFonts w:ascii="Verdana" w:hAnsi="Verdana"/>
          <w:sz w:val="20"/>
          <w:szCs w:val="20"/>
        </w:rPr>
        <w:footnoteReference w:id="7"/>
      </w:r>
      <w:r w:rsidR="00260B08" w:rsidRPr="006D2DE2">
        <w:rPr>
          <w:rFonts w:ascii="Verdana" w:hAnsi="Verdana"/>
          <w:sz w:val="20"/>
          <w:szCs w:val="20"/>
        </w:rPr>
        <w:t>.</w:t>
      </w:r>
      <w:r w:rsidR="00B472C0" w:rsidRPr="006D2DE2">
        <w:rPr>
          <w:rFonts w:ascii="Verdana" w:hAnsi="Verdana"/>
          <w:b/>
          <w:sz w:val="20"/>
          <w:szCs w:val="20"/>
        </w:rPr>
        <w:t xml:space="preserve"> </w:t>
      </w:r>
    </w:p>
    <w:p w14:paraId="6D0A6868" w14:textId="77777777" w:rsidR="00B472C0" w:rsidRPr="006D2DE2" w:rsidRDefault="00B472C0" w:rsidP="002A7F5B">
      <w:pPr>
        <w:jc w:val="both"/>
        <w:rPr>
          <w:rFonts w:ascii="Verdana" w:hAnsi="Verdana"/>
          <w:b/>
          <w:sz w:val="20"/>
          <w:szCs w:val="20"/>
        </w:rPr>
      </w:pPr>
    </w:p>
    <w:p w14:paraId="4E521644" w14:textId="5D9A02C0" w:rsidR="00FE46C1" w:rsidRPr="006D2DE2" w:rsidRDefault="00B472C0"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En este sentido, la Observación No. 18</w:t>
      </w:r>
      <w:r w:rsidR="00A20298">
        <w:rPr>
          <w:rFonts w:ascii="Verdana" w:hAnsi="Verdana"/>
          <w:sz w:val="20"/>
          <w:szCs w:val="20"/>
        </w:rPr>
        <w:t xml:space="preserve"> también estipula —en cuanto a las obligaciones—</w:t>
      </w:r>
      <w:r w:rsidR="00CA293C" w:rsidRPr="006D2DE2">
        <w:rPr>
          <w:rFonts w:ascii="Verdana" w:hAnsi="Verdana"/>
          <w:sz w:val="20"/>
          <w:szCs w:val="20"/>
        </w:rPr>
        <w:t xml:space="preserve"> </w:t>
      </w:r>
      <w:r w:rsidR="0075652D" w:rsidRPr="006D2DE2">
        <w:rPr>
          <w:rFonts w:ascii="Verdana" w:hAnsi="Verdana"/>
          <w:sz w:val="20"/>
          <w:szCs w:val="20"/>
        </w:rPr>
        <w:t xml:space="preserve">que si bien “[l]a principal obligación de los Estados Partes es velar por la realización progresiva </w:t>
      </w:r>
      <w:r w:rsidR="00E9105A" w:rsidRPr="006D2DE2">
        <w:rPr>
          <w:rFonts w:ascii="Verdana" w:hAnsi="Verdana"/>
          <w:sz w:val="20"/>
          <w:szCs w:val="20"/>
        </w:rPr>
        <w:t>[,</w:t>
      </w:r>
      <w:r w:rsidR="0075652D" w:rsidRPr="006D2DE2">
        <w:rPr>
          <w:rFonts w:ascii="Verdana" w:hAnsi="Verdana"/>
          <w:sz w:val="20"/>
          <w:szCs w:val="20"/>
        </w:rPr>
        <w:t xml:space="preserve">] también impone a los Estados Parte </w:t>
      </w:r>
      <w:r w:rsidR="00E9105A" w:rsidRPr="006D2DE2">
        <w:rPr>
          <w:rFonts w:ascii="Verdana" w:hAnsi="Verdana"/>
          <w:sz w:val="20"/>
          <w:szCs w:val="20"/>
        </w:rPr>
        <w:t xml:space="preserve">diversas obligaciones de </w:t>
      </w:r>
      <w:r w:rsidR="00E9105A" w:rsidRPr="006D2DE2">
        <w:rPr>
          <w:rFonts w:ascii="Verdana" w:hAnsi="Verdana"/>
          <w:i/>
          <w:sz w:val="20"/>
          <w:szCs w:val="20"/>
        </w:rPr>
        <w:t>efecto inmediato</w:t>
      </w:r>
      <w:r w:rsidR="00E9105A" w:rsidRPr="006D2DE2">
        <w:rPr>
          <w:rFonts w:ascii="Verdana" w:hAnsi="Verdana"/>
          <w:sz w:val="20"/>
          <w:szCs w:val="20"/>
        </w:rPr>
        <w:t xml:space="preserve"> [como] la obligación de garantizar que ese derecho sea ejercido sin </w:t>
      </w:r>
      <w:r w:rsidR="00E9105A" w:rsidRPr="006D2DE2">
        <w:rPr>
          <w:rFonts w:ascii="Verdana" w:hAnsi="Verdana"/>
          <w:sz w:val="20"/>
          <w:szCs w:val="20"/>
        </w:rPr>
        <w:lastRenderedPageBreak/>
        <w:t>discriminación alguna (párrafo 2 del artículo 2</w:t>
      </w:r>
      <w:r w:rsidR="00E42BDA">
        <w:rPr>
          <w:rFonts w:ascii="Verdana" w:hAnsi="Verdana"/>
          <w:sz w:val="20"/>
          <w:szCs w:val="20"/>
        </w:rPr>
        <w:t xml:space="preserve"> [del </w:t>
      </w:r>
      <w:r w:rsidR="00E42BDA" w:rsidRPr="00E42BDA">
        <w:rPr>
          <w:rFonts w:ascii="Verdana" w:hAnsi="Verdana"/>
          <w:sz w:val="20"/>
          <w:szCs w:val="20"/>
        </w:rPr>
        <w:t>Pacto Internacional de Derechos Económicos, Sociales y Culturales</w:t>
      </w:r>
      <w:r w:rsidR="00E42BDA">
        <w:rPr>
          <w:rFonts w:ascii="Verdana" w:hAnsi="Verdana"/>
          <w:sz w:val="20"/>
          <w:szCs w:val="20"/>
        </w:rPr>
        <w:t>]</w:t>
      </w:r>
      <w:r w:rsidR="00E9105A" w:rsidRPr="006D2DE2">
        <w:rPr>
          <w:rFonts w:ascii="Verdana" w:hAnsi="Verdana"/>
          <w:sz w:val="20"/>
          <w:szCs w:val="20"/>
        </w:rPr>
        <w:t>)”</w:t>
      </w:r>
      <w:r w:rsidR="00260B08" w:rsidRPr="006D2DE2">
        <w:rPr>
          <w:rStyle w:val="FootnoteReference"/>
          <w:rFonts w:ascii="Verdana" w:hAnsi="Verdana"/>
          <w:sz w:val="20"/>
          <w:szCs w:val="20"/>
        </w:rPr>
        <w:footnoteReference w:id="8"/>
      </w:r>
      <w:r w:rsidR="00260B08" w:rsidRPr="006D2DE2">
        <w:rPr>
          <w:rFonts w:ascii="Verdana" w:hAnsi="Verdana"/>
          <w:sz w:val="20"/>
          <w:szCs w:val="20"/>
        </w:rPr>
        <w:t>.</w:t>
      </w:r>
      <w:r w:rsidR="00E9105A" w:rsidRPr="006D2DE2">
        <w:rPr>
          <w:rFonts w:ascii="Verdana" w:hAnsi="Verdana"/>
          <w:sz w:val="20"/>
          <w:szCs w:val="20"/>
        </w:rPr>
        <w:t xml:space="preserve"> </w:t>
      </w:r>
    </w:p>
    <w:p w14:paraId="6051924E" w14:textId="77777777" w:rsidR="00FE46C1" w:rsidRPr="006D2DE2" w:rsidRDefault="00FE46C1" w:rsidP="002A7F5B">
      <w:pPr>
        <w:jc w:val="both"/>
        <w:rPr>
          <w:rFonts w:ascii="Verdana" w:hAnsi="Verdana"/>
          <w:sz w:val="20"/>
          <w:szCs w:val="20"/>
        </w:rPr>
      </w:pPr>
    </w:p>
    <w:p w14:paraId="1F83245B" w14:textId="77777777" w:rsidR="004E73F3" w:rsidRPr="004E73F3" w:rsidRDefault="00E9105A"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Hay que destacar, como lo ha expresado el Comité DESC en su Observación General No. 20</w:t>
      </w:r>
      <w:r w:rsidR="00481B6D" w:rsidRPr="006D2DE2">
        <w:rPr>
          <w:rFonts w:ascii="Verdana" w:hAnsi="Verdana"/>
          <w:sz w:val="20"/>
          <w:szCs w:val="20"/>
        </w:rPr>
        <w:t>,</w:t>
      </w:r>
      <w:r w:rsidRPr="006D2DE2">
        <w:rPr>
          <w:rFonts w:ascii="Verdana" w:hAnsi="Verdana"/>
          <w:sz w:val="20"/>
          <w:szCs w:val="20"/>
        </w:rPr>
        <w:t xml:space="preserve"> que </w:t>
      </w:r>
      <w:r w:rsidR="00FE46C1" w:rsidRPr="006D2DE2">
        <w:rPr>
          <w:rFonts w:ascii="Verdana" w:hAnsi="Verdana"/>
          <w:sz w:val="20"/>
          <w:szCs w:val="20"/>
        </w:rPr>
        <w:t>“[l]a no discriminación [es un componente fundamental] de las normas internacionales de derechos humanos y son esenciales a los efecto</w:t>
      </w:r>
      <w:r w:rsidR="00A20298">
        <w:rPr>
          <w:rFonts w:ascii="Verdana" w:hAnsi="Verdana"/>
          <w:sz w:val="20"/>
          <w:szCs w:val="20"/>
        </w:rPr>
        <w:t>s</w:t>
      </w:r>
      <w:r w:rsidR="00FE46C1" w:rsidRPr="006D2DE2">
        <w:rPr>
          <w:rFonts w:ascii="Verdana" w:hAnsi="Verdana"/>
          <w:sz w:val="20"/>
          <w:szCs w:val="20"/>
        </w:rPr>
        <w:t xml:space="preserve"> del goce y el ejercicio de los derechos económicos, sociales y culturales. Según el artículo 2.2 del Pacto Internacional de Derechos Económicos, Sociales y Culturales […] </w:t>
      </w:r>
      <w:r w:rsidR="00FE46C1" w:rsidRPr="006D2DE2">
        <w:rPr>
          <w:rFonts w:ascii="Verdana" w:hAnsi="Verdana" w:cs="Times"/>
          <w:sz w:val="20"/>
          <w:szCs w:val="20"/>
        </w:rPr>
        <w:t>los Estados partes deben garantizar el ejercicio de los derechos [que en él se enuncian] sin discriminación alguna por motivos de […] opinión política o de otra índole</w:t>
      </w:r>
      <w:r w:rsidR="00035751">
        <w:rPr>
          <w:rFonts w:ascii="Verdana" w:hAnsi="Verdana" w:cs="Times"/>
          <w:sz w:val="20"/>
          <w:szCs w:val="20"/>
        </w:rPr>
        <w:t xml:space="preserve"> </w:t>
      </w:r>
      <w:r w:rsidR="00FE46C1" w:rsidRPr="006D2DE2">
        <w:rPr>
          <w:rFonts w:ascii="Verdana" w:hAnsi="Verdana" w:cs="Times"/>
          <w:sz w:val="20"/>
          <w:szCs w:val="20"/>
        </w:rPr>
        <w:t>[…]"</w:t>
      </w:r>
      <w:r w:rsidR="00260B08" w:rsidRPr="006D2DE2">
        <w:rPr>
          <w:rStyle w:val="FootnoteReference"/>
          <w:rFonts w:ascii="Verdana" w:hAnsi="Verdana" w:cs="Times"/>
          <w:sz w:val="20"/>
          <w:szCs w:val="20"/>
        </w:rPr>
        <w:footnoteReference w:id="9"/>
      </w:r>
      <w:r w:rsidR="00260B08" w:rsidRPr="006D2DE2">
        <w:rPr>
          <w:rFonts w:ascii="Verdana" w:hAnsi="Verdana" w:cs="Times"/>
          <w:sz w:val="20"/>
          <w:szCs w:val="20"/>
        </w:rPr>
        <w:t xml:space="preserve">. </w:t>
      </w:r>
      <w:r w:rsidR="00A253F5" w:rsidRPr="006D2DE2">
        <w:rPr>
          <w:rFonts w:ascii="Verdana" w:hAnsi="Verdana" w:cs="Times"/>
          <w:sz w:val="20"/>
          <w:szCs w:val="20"/>
        </w:rPr>
        <w:t xml:space="preserve">Así, en cuanto a esta categoría sospechosa, el Comité DESC ha expresado que </w:t>
      </w:r>
      <w:r w:rsidR="00CA293C" w:rsidRPr="006D2DE2">
        <w:rPr>
          <w:rFonts w:ascii="Verdana" w:hAnsi="Verdana" w:cs="Times"/>
          <w:sz w:val="20"/>
          <w:szCs w:val="20"/>
        </w:rPr>
        <w:t>“</w:t>
      </w:r>
      <w:r w:rsidR="00A253F5" w:rsidRPr="006D2DE2">
        <w:rPr>
          <w:rFonts w:ascii="Verdana" w:hAnsi="Verdana" w:cs="Times"/>
          <w:sz w:val="20"/>
          <w:szCs w:val="20"/>
        </w:rPr>
        <w:t>la discriminación por opiniones políticas y de otra índole “[…] incluye […] el hecho de tener y manifestar opiniones</w:t>
      </w:r>
      <w:r w:rsidR="00035751">
        <w:rPr>
          <w:rFonts w:ascii="Verdana" w:hAnsi="Verdana" w:cs="Times"/>
          <w:sz w:val="20"/>
          <w:szCs w:val="20"/>
        </w:rPr>
        <w:t xml:space="preserve"> </w:t>
      </w:r>
      <w:r w:rsidR="00A253F5" w:rsidRPr="006D2DE2">
        <w:rPr>
          <w:rFonts w:ascii="Verdana" w:hAnsi="Verdana" w:cs="Times"/>
          <w:sz w:val="20"/>
          <w:szCs w:val="20"/>
        </w:rPr>
        <w:t>[…]”</w:t>
      </w:r>
      <w:r w:rsidR="00260B08" w:rsidRPr="006D2DE2">
        <w:rPr>
          <w:rStyle w:val="FootnoteReference"/>
          <w:rFonts w:ascii="Verdana" w:hAnsi="Verdana" w:cs="Times"/>
          <w:sz w:val="20"/>
          <w:szCs w:val="20"/>
        </w:rPr>
        <w:footnoteReference w:id="10"/>
      </w:r>
      <w:r w:rsidR="00260B08" w:rsidRPr="006D2DE2">
        <w:rPr>
          <w:rFonts w:ascii="Verdana" w:hAnsi="Verdana" w:cs="Times"/>
          <w:sz w:val="20"/>
          <w:szCs w:val="20"/>
        </w:rPr>
        <w:t>.</w:t>
      </w:r>
      <w:r w:rsidR="00A253F5" w:rsidRPr="006D2DE2">
        <w:rPr>
          <w:rFonts w:ascii="Verdana" w:hAnsi="Verdana" w:cs="Times"/>
          <w:sz w:val="20"/>
          <w:szCs w:val="20"/>
        </w:rPr>
        <w:t xml:space="preserve"> </w:t>
      </w:r>
    </w:p>
    <w:p w14:paraId="489474D8" w14:textId="77777777" w:rsidR="004E73F3" w:rsidRPr="004E73F3" w:rsidRDefault="004E73F3" w:rsidP="002A7F5B">
      <w:pPr>
        <w:jc w:val="both"/>
        <w:rPr>
          <w:rFonts w:ascii="Verdana" w:hAnsi="Verdana"/>
          <w:sz w:val="20"/>
          <w:szCs w:val="20"/>
        </w:rPr>
      </w:pPr>
    </w:p>
    <w:p w14:paraId="270917CB" w14:textId="05166E5C" w:rsidR="008E5462" w:rsidRPr="00CD75B3" w:rsidRDefault="008E5462" w:rsidP="002A7F5B">
      <w:pPr>
        <w:pStyle w:val="ListParagraph"/>
        <w:numPr>
          <w:ilvl w:val="0"/>
          <w:numId w:val="1"/>
        </w:numPr>
        <w:ind w:left="0" w:firstLine="0"/>
        <w:jc w:val="both"/>
        <w:rPr>
          <w:rFonts w:ascii="Verdana" w:hAnsi="Verdana"/>
          <w:sz w:val="20"/>
          <w:szCs w:val="20"/>
        </w:rPr>
      </w:pPr>
      <w:r w:rsidRPr="00CD75B3">
        <w:rPr>
          <w:rFonts w:ascii="Verdana" w:hAnsi="Verdana"/>
          <w:sz w:val="20"/>
          <w:szCs w:val="20"/>
        </w:rPr>
        <w:t>Complementado lo anterior, en la Observación General No. 18, el Comité DESC estimó que “[l]a prohibición de no discriminación que establece el párrafo 2 del artículo 2 del Pacto es d</w:t>
      </w:r>
      <w:r w:rsidR="00A20298" w:rsidRPr="00CD75B3">
        <w:rPr>
          <w:rFonts w:ascii="Verdana" w:hAnsi="Verdana"/>
          <w:sz w:val="20"/>
          <w:szCs w:val="20"/>
        </w:rPr>
        <w:t>e aplicación inmediata y no está</w:t>
      </w:r>
      <w:r w:rsidRPr="00CD75B3">
        <w:rPr>
          <w:rFonts w:ascii="Verdana" w:hAnsi="Verdana"/>
          <w:sz w:val="20"/>
          <w:szCs w:val="20"/>
        </w:rPr>
        <w:t xml:space="preserve"> sujeta a una aplicación progresiva ni se supedita a los recursos disponibles. </w:t>
      </w:r>
      <w:r w:rsidRPr="00CD75B3">
        <w:rPr>
          <w:rFonts w:ascii="Verdana" w:hAnsi="Verdana"/>
          <w:i/>
          <w:sz w:val="20"/>
          <w:szCs w:val="20"/>
          <w:u w:val="single"/>
        </w:rPr>
        <w:t>Se aplica directamente a todos los aspectos del derecho al trabajo</w:t>
      </w:r>
      <w:r w:rsidRPr="00CD75B3">
        <w:rPr>
          <w:rFonts w:ascii="Verdana" w:hAnsi="Verdana"/>
          <w:sz w:val="20"/>
          <w:szCs w:val="20"/>
        </w:rPr>
        <w:t>”</w:t>
      </w:r>
      <w:r w:rsidR="00260B08" w:rsidRPr="006D2DE2">
        <w:rPr>
          <w:rStyle w:val="FootnoteReference"/>
          <w:rFonts w:ascii="Verdana" w:hAnsi="Verdana"/>
          <w:sz w:val="20"/>
          <w:szCs w:val="20"/>
        </w:rPr>
        <w:footnoteReference w:id="11"/>
      </w:r>
      <w:r w:rsidR="00A20298" w:rsidRPr="00CD75B3">
        <w:rPr>
          <w:rFonts w:ascii="Verdana" w:hAnsi="Verdana"/>
          <w:sz w:val="20"/>
          <w:szCs w:val="20"/>
        </w:rPr>
        <w:t xml:space="preserve"> (resaltado fuera de texto)</w:t>
      </w:r>
      <w:r w:rsidRPr="00CD75B3">
        <w:rPr>
          <w:rFonts w:ascii="Verdana" w:hAnsi="Verdana"/>
          <w:sz w:val="20"/>
          <w:szCs w:val="20"/>
        </w:rPr>
        <w:t>.</w:t>
      </w:r>
    </w:p>
    <w:p w14:paraId="23648B80" w14:textId="77777777" w:rsidR="008E5462" w:rsidRPr="006D2DE2" w:rsidRDefault="008E5462" w:rsidP="002A7F5B">
      <w:pPr>
        <w:jc w:val="both"/>
        <w:rPr>
          <w:rFonts w:ascii="Verdana" w:hAnsi="Verdana"/>
          <w:sz w:val="20"/>
          <w:szCs w:val="20"/>
        </w:rPr>
      </w:pPr>
    </w:p>
    <w:p w14:paraId="7E56999E" w14:textId="0544CE68" w:rsidR="008E5462" w:rsidRPr="006D2DE2" w:rsidRDefault="008E5462" w:rsidP="002A7F5B">
      <w:pPr>
        <w:pStyle w:val="ListParagraph"/>
        <w:numPr>
          <w:ilvl w:val="0"/>
          <w:numId w:val="1"/>
        </w:numPr>
        <w:ind w:left="0" w:firstLine="0"/>
        <w:jc w:val="both"/>
        <w:rPr>
          <w:rFonts w:ascii="Verdana" w:hAnsi="Verdana"/>
          <w:b/>
          <w:sz w:val="20"/>
          <w:szCs w:val="20"/>
        </w:rPr>
      </w:pPr>
      <w:r w:rsidRPr="006D2DE2">
        <w:rPr>
          <w:rFonts w:ascii="Verdana" w:hAnsi="Verdana"/>
          <w:sz w:val="20"/>
          <w:szCs w:val="20"/>
        </w:rPr>
        <w:t>Aunado a lo anterior, el Comité DESC también estimó que “[t]oda persona […] que sea víctima de una vulneración del derecho al trabajo debe tener acceso a adecuados recursos judiciales o de otra naturaleza en el plano nacional [.] Toda</w:t>
      </w:r>
      <w:r w:rsidR="00A20298">
        <w:rPr>
          <w:rFonts w:ascii="Verdana" w:hAnsi="Verdana"/>
          <w:sz w:val="20"/>
          <w:szCs w:val="20"/>
        </w:rPr>
        <w:t>s</w:t>
      </w:r>
      <w:r w:rsidRPr="006D2DE2">
        <w:rPr>
          <w:rFonts w:ascii="Verdana" w:hAnsi="Verdana"/>
          <w:sz w:val="20"/>
          <w:szCs w:val="20"/>
        </w:rPr>
        <w:t xml:space="preserve"> las víctimas de esas violaciones tienen derecho a una reparación adecuada, que puede adoptar la forma de una restitución, una indemnización, una compensación o garantías de no repetición”</w:t>
      </w:r>
      <w:r w:rsidR="00327A5A" w:rsidRPr="006D2DE2">
        <w:rPr>
          <w:rStyle w:val="FootnoteReference"/>
          <w:rFonts w:ascii="Verdana" w:hAnsi="Verdana"/>
          <w:sz w:val="20"/>
          <w:szCs w:val="20"/>
        </w:rPr>
        <w:footnoteReference w:id="12"/>
      </w:r>
      <w:r w:rsidRPr="006D2DE2">
        <w:rPr>
          <w:rFonts w:ascii="Verdana" w:hAnsi="Verdana"/>
          <w:sz w:val="20"/>
          <w:szCs w:val="20"/>
        </w:rPr>
        <w:t>. De igual mane</w:t>
      </w:r>
      <w:r w:rsidR="00CA293C" w:rsidRPr="006D2DE2">
        <w:rPr>
          <w:rFonts w:ascii="Verdana" w:hAnsi="Verdana"/>
          <w:sz w:val="20"/>
          <w:szCs w:val="20"/>
        </w:rPr>
        <w:t>ra</w:t>
      </w:r>
      <w:r w:rsidR="00A20298">
        <w:rPr>
          <w:rFonts w:ascii="Verdana" w:hAnsi="Verdana"/>
          <w:sz w:val="20"/>
          <w:szCs w:val="20"/>
        </w:rPr>
        <w:t xml:space="preserve">, el Comité DESC </w:t>
      </w:r>
      <w:r w:rsidR="004B7790">
        <w:rPr>
          <w:rFonts w:ascii="Verdana" w:hAnsi="Verdana"/>
          <w:sz w:val="20"/>
          <w:szCs w:val="20"/>
        </w:rPr>
        <w:t>ha insta</w:t>
      </w:r>
      <w:r w:rsidR="00CA293C" w:rsidRPr="006D2DE2">
        <w:rPr>
          <w:rFonts w:ascii="Verdana" w:hAnsi="Verdana"/>
          <w:sz w:val="20"/>
          <w:szCs w:val="20"/>
        </w:rPr>
        <w:t xml:space="preserve">do </w:t>
      </w:r>
      <w:r w:rsidRPr="006D2DE2">
        <w:rPr>
          <w:rFonts w:ascii="Verdana" w:hAnsi="Verdana"/>
          <w:sz w:val="20"/>
          <w:szCs w:val="20"/>
        </w:rPr>
        <w:t>“a los jueces y a otros miembros de las autoridades encargadas de hacer cumplir la ley a que presten mayor atención a las violaciones del derecho al trabajo en el ejercicio de sus funciones”</w:t>
      </w:r>
      <w:r w:rsidR="00327A5A" w:rsidRPr="006D2DE2">
        <w:rPr>
          <w:rStyle w:val="FootnoteReference"/>
          <w:rFonts w:ascii="Verdana" w:hAnsi="Verdana"/>
          <w:sz w:val="20"/>
          <w:szCs w:val="20"/>
        </w:rPr>
        <w:footnoteReference w:id="13"/>
      </w:r>
      <w:r w:rsidRPr="006D2DE2">
        <w:rPr>
          <w:rFonts w:ascii="Verdana" w:hAnsi="Verdana"/>
          <w:sz w:val="20"/>
          <w:szCs w:val="20"/>
        </w:rPr>
        <w:t xml:space="preserve">. </w:t>
      </w:r>
    </w:p>
    <w:p w14:paraId="5E9143A1" w14:textId="77777777" w:rsidR="004F5DE9" w:rsidRPr="006D2DE2" w:rsidRDefault="004F5DE9" w:rsidP="002A7F5B">
      <w:pPr>
        <w:jc w:val="both"/>
        <w:rPr>
          <w:rFonts w:ascii="Verdana" w:hAnsi="Verdana"/>
          <w:b/>
          <w:sz w:val="20"/>
          <w:szCs w:val="20"/>
        </w:rPr>
      </w:pPr>
    </w:p>
    <w:p w14:paraId="28A860AB" w14:textId="658D0D59" w:rsidR="004F5DE9" w:rsidRPr="006D2DE2" w:rsidRDefault="004F5DE9"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Las consideraciones que han sido desarrolladas por el Comité DESC en sus Observaciones Generales, ahora son también recogidas en alguna medida en la jurisprudencia interamericana en relación al derecho al trabajo (y sus ve</w:t>
      </w:r>
      <w:r w:rsidR="00327A5A" w:rsidRPr="006D2DE2">
        <w:rPr>
          <w:rFonts w:ascii="Verdana" w:hAnsi="Verdana"/>
          <w:sz w:val="20"/>
          <w:szCs w:val="20"/>
        </w:rPr>
        <w:t>rtientes) como derecho autónomo; así</w:t>
      </w:r>
      <w:r w:rsidR="0051687A">
        <w:rPr>
          <w:rFonts w:ascii="Verdana" w:hAnsi="Verdana"/>
          <w:sz w:val="20"/>
          <w:szCs w:val="20"/>
        </w:rPr>
        <w:t>,</w:t>
      </w:r>
      <w:r w:rsidR="00327A5A" w:rsidRPr="006D2DE2">
        <w:rPr>
          <w:rFonts w:ascii="Verdana" w:hAnsi="Verdana"/>
          <w:sz w:val="20"/>
          <w:szCs w:val="20"/>
        </w:rPr>
        <w:t xml:space="preserve"> el Sistema Interamericano permea obligaciones concretas en lo relativo a derechos de naturaleza económica, social, cultural o ambiental. </w:t>
      </w:r>
    </w:p>
    <w:p w14:paraId="2D4D46A1" w14:textId="77777777" w:rsidR="00EE125A" w:rsidRPr="006D2DE2" w:rsidRDefault="00EE125A" w:rsidP="002A7F5B">
      <w:pPr>
        <w:jc w:val="both"/>
        <w:rPr>
          <w:rFonts w:ascii="Verdana" w:hAnsi="Verdana"/>
          <w:sz w:val="20"/>
          <w:szCs w:val="20"/>
        </w:rPr>
      </w:pPr>
    </w:p>
    <w:p w14:paraId="205F7784" w14:textId="410B749C" w:rsidR="000E603A" w:rsidRPr="006D2DE2" w:rsidRDefault="0051687A" w:rsidP="002A7F5B">
      <w:pPr>
        <w:pStyle w:val="ListParagraph"/>
        <w:numPr>
          <w:ilvl w:val="0"/>
          <w:numId w:val="1"/>
        </w:numPr>
        <w:ind w:left="0" w:firstLine="0"/>
        <w:jc w:val="both"/>
        <w:rPr>
          <w:rFonts w:ascii="Verdana" w:hAnsi="Verdana"/>
          <w:sz w:val="20"/>
          <w:szCs w:val="20"/>
        </w:rPr>
      </w:pPr>
      <w:r>
        <w:rPr>
          <w:rFonts w:ascii="Verdana" w:hAnsi="Verdana"/>
          <w:sz w:val="20"/>
          <w:szCs w:val="20"/>
        </w:rPr>
        <w:t>A</w:t>
      </w:r>
      <w:r w:rsidR="000E603A" w:rsidRPr="006D2DE2">
        <w:rPr>
          <w:rFonts w:ascii="Verdana" w:hAnsi="Verdana"/>
          <w:sz w:val="20"/>
          <w:szCs w:val="20"/>
        </w:rPr>
        <w:t xml:space="preserve"> diferencia de la jurisprudencia </w:t>
      </w:r>
      <w:r>
        <w:rPr>
          <w:rFonts w:ascii="Verdana" w:hAnsi="Verdana"/>
          <w:sz w:val="20"/>
          <w:szCs w:val="20"/>
        </w:rPr>
        <w:t xml:space="preserve">tradicional </w:t>
      </w:r>
      <w:r w:rsidR="000E603A" w:rsidRPr="006D2DE2">
        <w:rPr>
          <w:rFonts w:ascii="Verdana" w:hAnsi="Verdana"/>
          <w:sz w:val="20"/>
          <w:szCs w:val="20"/>
        </w:rPr>
        <w:t>de la Corte Interamericana en donde los derechos sociales se subsumían en los derechos civiles y políticos, las decisiones que en fechas recientes se han incorporado al acervo jurisprudencial del Tribunal Interam</w:t>
      </w:r>
      <w:r w:rsidR="004B7790">
        <w:rPr>
          <w:rFonts w:ascii="Verdana" w:hAnsi="Verdana"/>
          <w:sz w:val="20"/>
          <w:szCs w:val="20"/>
        </w:rPr>
        <w:t xml:space="preserve">ericano </w:t>
      </w:r>
      <w:r w:rsidR="004B7790">
        <w:rPr>
          <w:rFonts w:ascii="Verdana" w:hAnsi="Verdana"/>
          <w:sz w:val="20"/>
          <w:szCs w:val="20"/>
        </w:rPr>
        <w:lastRenderedPageBreak/>
        <w:t>muestran una nueva etapa</w:t>
      </w:r>
      <w:r w:rsidR="000E603A" w:rsidRPr="006D2DE2">
        <w:rPr>
          <w:rFonts w:ascii="Verdana" w:hAnsi="Verdana"/>
          <w:sz w:val="20"/>
          <w:szCs w:val="20"/>
        </w:rPr>
        <w:t xml:space="preserve"> en relación a cómo son entendidos todos los derechos</w:t>
      </w:r>
      <w:r w:rsidR="000E603A" w:rsidRPr="006D2DE2">
        <w:rPr>
          <w:rStyle w:val="FootnoteReference"/>
          <w:rFonts w:ascii="Verdana" w:hAnsi="Verdana"/>
          <w:sz w:val="20"/>
          <w:szCs w:val="20"/>
        </w:rPr>
        <w:footnoteReference w:id="14"/>
      </w:r>
      <w:r>
        <w:rPr>
          <w:rFonts w:ascii="Verdana" w:hAnsi="Verdana"/>
          <w:sz w:val="20"/>
          <w:szCs w:val="20"/>
        </w:rPr>
        <w:t xml:space="preserve"> —</w:t>
      </w:r>
      <w:r w:rsidR="000E603A" w:rsidRPr="006D2DE2">
        <w:rPr>
          <w:rFonts w:ascii="Verdana" w:hAnsi="Verdana"/>
          <w:sz w:val="20"/>
          <w:szCs w:val="20"/>
        </w:rPr>
        <w:t>sin jerarquía entre sí, i</w:t>
      </w:r>
      <w:r w:rsidR="00327A5A" w:rsidRPr="006D2DE2">
        <w:rPr>
          <w:rFonts w:ascii="Verdana" w:hAnsi="Verdana"/>
          <w:sz w:val="20"/>
          <w:szCs w:val="20"/>
        </w:rPr>
        <w:t>ndivisibles e interdependientes</w:t>
      </w:r>
      <w:r>
        <w:rPr>
          <w:rFonts w:ascii="Verdana" w:hAnsi="Verdana"/>
          <w:sz w:val="20"/>
          <w:szCs w:val="20"/>
        </w:rPr>
        <w:t>—</w:t>
      </w:r>
      <w:r w:rsidR="000E603A" w:rsidRPr="006D2DE2">
        <w:rPr>
          <w:rFonts w:ascii="Verdana" w:hAnsi="Verdana"/>
          <w:sz w:val="20"/>
          <w:szCs w:val="20"/>
        </w:rPr>
        <w:t>; bajo este panorama el derecho al trabajo se ha erigido como un derecho autónomo qu</w:t>
      </w:r>
      <w:r>
        <w:rPr>
          <w:rFonts w:ascii="Verdana" w:hAnsi="Verdana"/>
          <w:sz w:val="20"/>
          <w:szCs w:val="20"/>
        </w:rPr>
        <w:t>e ahora puede ser justiciable (</w:t>
      </w:r>
      <w:r w:rsidR="000E603A" w:rsidRPr="006D2DE2">
        <w:rPr>
          <w:rFonts w:ascii="Verdana" w:hAnsi="Verdana"/>
          <w:sz w:val="20"/>
          <w:szCs w:val="20"/>
        </w:rPr>
        <w:t>como</w:t>
      </w:r>
      <w:r w:rsidR="004B7790">
        <w:rPr>
          <w:rFonts w:ascii="Verdana" w:hAnsi="Verdana"/>
          <w:sz w:val="20"/>
          <w:szCs w:val="20"/>
        </w:rPr>
        <w:t xml:space="preserve"> otros </w:t>
      </w:r>
      <w:r w:rsidR="000E603A" w:rsidRPr="006D2DE2">
        <w:rPr>
          <w:rFonts w:ascii="Verdana" w:hAnsi="Verdana"/>
          <w:sz w:val="20"/>
          <w:szCs w:val="20"/>
        </w:rPr>
        <w:t>derechos sociales</w:t>
      </w:r>
      <w:r w:rsidR="004B7790">
        <w:rPr>
          <w:rFonts w:ascii="Verdana" w:hAnsi="Verdana"/>
          <w:sz w:val="20"/>
          <w:szCs w:val="20"/>
        </w:rPr>
        <w:t xml:space="preserve"> interamericanos</w:t>
      </w:r>
      <w:r>
        <w:rPr>
          <w:rFonts w:ascii="Verdana" w:hAnsi="Verdana"/>
          <w:sz w:val="20"/>
          <w:szCs w:val="20"/>
        </w:rPr>
        <w:t>)</w:t>
      </w:r>
      <w:r w:rsidR="000E603A" w:rsidRPr="006D2DE2">
        <w:rPr>
          <w:rStyle w:val="FootnoteReference"/>
          <w:rFonts w:ascii="Verdana" w:hAnsi="Verdana"/>
          <w:sz w:val="20"/>
          <w:szCs w:val="20"/>
        </w:rPr>
        <w:footnoteReference w:id="15"/>
      </w:r>
      <w:r w:rsidR="000E603A" w:rsidRPr="006D2DE2">
        <w:rPr>
          <w:rFonts w:ascii="Verdana" w:hAnsi="Verdana"/>
          <w:sz w:val="20"/>
          <w:szCs w:val="20"/>
        </w:rPr>
        <w:t xml:space="preserve"> de manera directa ante los órganos del Sistema Interamericano. </w:t>
      </w:r>
    </w:p>
    <w:p w14:paraId="0978D7ED" w14:textId="77777777" w:rsidR="000E603A" w:rsidRPr="006D2DE2" w:rsidRDefault="000E603A" w:rsidP="002A7F5B">
      <w:pPr>
        <w:pStyle w:val="ListParagraph"/>
        <w:ind w:left="0"/>
        <w:jc w:val="both"/>
        <w:rPr>
          <w:rFonts w:ascii="Verdana" w:hAnsi="Verdana"/>
          <w:sz w:val="20"/>
          <w:szCs w:val="20"/>
        </w:rPr>
      </w:pPr>
    </w:p>
    <w:p w14:paraId="1BD1ED53" w14:textId="270B9799" w:rsidR="004F5DE9" w:rsidRDefault="000E603A" w:rsidP="002A7F5B">
      <w:pPr>
        <w:pStyle w:val="ListParagraph"/>
        <w:numPr>
          <w:ilvl w:val="0"/>
          <w:numId w:val="1"/>
        </w:numPr>
        <w:ind w:left="0" w:firstLine="0"/>
        <w:jc w:val="both"/>
        <w:rPr>
          <w:rFonts w:ascii="Verdana" w:hAnsi="Verdana"/>
          <w:sz w:val="20"/>
          <w:szCs w:val="20"/>
        </w:rPr>
      </w:pPr>
      <w:r w:rsidRPr="00CD75B3">
        <w:rPr>
          <w:rFonts w:ascii="Verdana" w:hAnsi="Verdana"/>
          <w:sz w:val="20"/>
          <w:szCs w:val="20"/>
        </w:rPr>
        <w:t xml:space="preserve">Este Tribunal </w:t>
      </w:r>
      <w:r w:rsidR="0051687A" w:rsidRPr="00CD75B3">
        <w:rPr>
          <w:rFonts w:ascii="Verdana" w:hAnsi="Verdana"/>
          <w:sz w:val="20"/>
          <w:szCs w:val="20"/>
        </w:rPr>
        <w:t xml:space="preserve">Interamericano, </w:t>
      </w:r>
      <w:r w:rsidR="004B7790" w:rsidRPr="00CD75B3">
        <w:rPr>
          <w:rFonts w:ascii="Verdana" w:hAnsi="Verdana"/>
          <w:sz w:val="20"/>
          <w:szCs w:val="20"/>
        </w:rPr>
        <w:t>desde el</w:t>
      </w:r>
      <w:r w:rsidRPr="00CD75B3">
        <w:rPr>
          <w:rFonts w:ascii="Verdana" w:hAnsi="Verdana"/>
          <w:sz w:val="20"/>
          <w:szCs w:val="20"/>
        </w:rPr>
        <w:t xml:space="preserve"> caso </w:t>
      </w:r>
      <w:r w:rsidRPr="00CD75B3">
        <w:rPr>
          <w:rFonts w:ascii="Verdana" w:hAnsi="Verdana"/>
          <w:i/>
          <w:sz w:val="20"/>
          <w:szCs w:val="20"/>
        </w:rPr>
        <w:t xml:space="preserve">Lagos del Campo Vs. Perú </w:t>
      </w:r>
      <w:r w:rsidR="0051687A" w:rsidRPr="00CD75B3">
        <w:rPr>
          <w:rFonts w:ascii="Verdana" w:hAnsi="Verdana"/>
          <w:sz w:val="20"/>
          <w:szCs w:val="20"/>
        </w:rPr>
        <w:t>(</w:t>
      </w:r>
      <w:r w:rsidRPr="00CD75B3">
        <w:rPr>
          <w:rFonts w:ascii="Verdana" w:hAnsi="Verdana"/>
          <w:sz w:val="20"/>
          <w:szCs w:val="20"/>
        </w:rPr>
        <w:t>y reiterado en el caso de los</w:t>
      </w:r>
      <w:r w:rsidRPr="00CD75B3">
        <w:rPr>
          <w:rFonts w:ascii="Verdana" w:hAnsi="Verdana"/>
          <w:i/>
          <w:sz w:val="20"/>
          <w:szCs w:val="20"/>
        </w:rPr>
        <w:t xml:space="preserve"> Trabajadores Cesados del Petroperú</w:t>
      </w:r>
      <w:r w:rsidRPr="006D2DE2">
        <w:rPr>
          <w:rStyle w:val="FootnoteReference"/>
          <w:rFonts w:ascii="Verdana" w:hAnsi="Verdana"/>
          <w:sz w:val="20"/>
          <w:szCs w:val="20"/>
        </w:rPr>
        <w:footnoteReference w:id="16"/>
      </w:r>
      <w:r w:rsidR="0051687A" w:rsidRPr="00CD75B3">
        <w:rPr>
          <w:rFonts w:ascii="Verdana" w:hAnsi="Verdana"/>
          <w:sz w:val="20"/>
          <w:szCs w:val="20"/>
        </w:rPr>
        <w:t xml:space="preserve">) </w:t>
      </w:r>
      <w:r w:rsidRPr="00CD75B3">
        <w:rPr>
          <w:rFonts w:ascii="Verdana" w:hAnsi="Verdana"/>
          <w:sz w:val="20"/>
          <w:szCs w:val="20"/>
        </w:rPr>
        <w:t>consideró que el derecho al trabajo</w:t>
      </w:r>
      <w:r w:rsidR="0051687A" w:rsidRPr="00CD75B3">
        <w:rPr>
          <w:rFonts w:ascii="Verdana" w:hAnsi="Verdana"/>
          <w:sz w:val="20"/>
          <w:szCs w:val="20"/>
        </w:rPr>
        <w:t xml:space="preserve"> —</w:t>
      </w:r>
      <w:r w:rsidRPr="00CD75B3">
        <w:rPr>
          <w:rFonts w:ascii="Verdana" w:hAnsi="Verdana"/>
          <w:sz w:val="20"/>
          <w:szCs w:val="20"/>
        </w:rPr>
        <w:t>y las diferentes manifestaciones de este derecho</w:t>
      </w:r>
      <w:r w:rsidR="0051687A" w:rsidRPr="00CD75B3">
        <w:rPr>
          <w:rFonts w:ascii="Verdana" w:hAnsi="Verdana"/>
          <w:sz w:val="20"/>
          <w:szCs w:val="20"/>
        </w:rPr>
        <w:t>—</w:t>
      </w:r>
      <w:r w:rsidRPr="006D2DE2">
        <w:rPr>
          <w:rStyle w:val="FootnoteReference"/>
          <w:rFonts w:ascii="Verdana" w:hAnsi="Verdana"/>
          <w:sz w:val="20"/>
          <w:szCs w:val="20"/>
        </w:rPr>
        <w:footnoteReference w:id="17"/>
      </w:r>
      <w:r w:rsidRPr="00CD75B3">
        <w:rPr>
          <w:rFonts w:ascii="Verdana" w:hAnsi="Verdana"/>
          <w:i/>
          <w:sz w:val="20"/>
          <w:szCs w:val="20"/>
        </w:rPr>
        <w:t xml:space="preserve"> </w:t>
      </w:r>
      <w:r w:rsidRPr="00CD75B3">
        <w:rPr>
          <w:rFonts w:ascii="Verdana" w:hAnsi="Verdana"/>
          <w:sz w:val="20"/>
          <w:szCs w:val="20"/>
        </w:rPr>
        <w:t>son justiciables mediante el artículo 26</w:t>
      </w:r>
      <w:r w:rsidR="0051687A" w:rsidRPr="00CD75B3">
        <w:rPr>
          <w:rFonts w:ascii="Verdana" w:hAnsi="Verdana"/>
          <w:sz w:val="20"/>
          <w:szCs w:val="20"/>
        </w:rPr>
        <w:t xml:space="preserve"> del Pacto de San José</w:t>
      </w:r>
      <w:r w:rsidRPr="00CD75B3">
        <w:rPr>
          <w:rFonts w:ascii="Verdana" w:hAnsi="Verdana"/>
          <w:sz w:val="20"/>
          <w:szCs w:val="20"/>
        </w:rPr>
        <w:t>. Así, tal como se pone de manifiesto también en este caso</w:t>
      </w:r>
      <w:r w:rsidRPr="006D2DE2">
        <w:rPr>
          <w:rStyle w:val="FootnoteReference"/>
          <w:rFonts w:ascii="Verdana" w:hAnsi="Verdana"/>
          <w:sz w:val="20"/>
          <w:szCs w:val="20"/>
        </w:rPr>
        <w:footnoteReference w:id="18"/>
      </w:r>
      <w:r w:rsidRPr="00CD75B3">
        <w:rPr>
          <w:rFonts w:ascii="Verdana" w:hAnsi="Verdana"/>
          <w:sz w:val="20"/>
          <w:szCs w:val="20"/>
        </w:rPr>
        <w:t>, el derecho al trabajo deriva de las normas contenidas en la Carta de la Organización de Es</w:t>
      </w:r>
      <w:r w:rsidR="003D6B67">
        <w:rPr>
          <w:rFonts w:ascii="Verdana" w:hAnsi="Verdana"/>
          <w:sz w:val="20"/>
          <w:szCs w:val="20"/>
        </w:rPr>
        <w:t>tados Americanos (en adelante “</w:t>
      </w:r>
      <w:r w:rsidR="004D47B8">
        <w:rPr>
          <w:rFonts w:ascii="Verdana" w:hAnsi="Verdana"/>
          <w:sz w:val="20"/>
          <w:szCs w:val="20"/>
        </w:rPr>
        <w:t xml:space="preserve">la </w:t>
      </w:r>
      <w:r w:rsidRPr="00CD75B3">
        <w:rPr>
          <w:rFonts w:ascii="Verdana" w:hAnsi="Verdana"/>
          <w:sz w:val="20"/>
          <w:szCs w:val="20"/>
        </w:rPr>
        <w:t>Carta de la OEA”</w:t>
      </w:r>
      <w:r w:rsidR="004F5DE9" w:rsidRPr="006D2DE2">
        <w:rPr>
          <w:rStyle w:val="FootnoteReference"/>
          <w:rFonts w:ascii="Verdana" w:hAnsi="Verdana"/>
          <w:sz w:val="20"/>
          <w:szCs w:val="20"/>
        </w:rPr>
        <w:footnoteReference w:id="19"/>
      </w:r>
      <w:r w:rsidRPr="00CD75B3">
        <w:rPr>
          <w:rFonts w:ascii="Verdana" w:hAnsi="Verdana"/>
          <w:sz w:val="20"/>
          <w:szCs w:val="20"/>
        </w:rPr>
        <w:t xml:space="preserve">) y puede ser delimitado mediante la Declaración Americana sobre los Derechos y Deberes del Hombre (en adelante “la </w:t>
      </w:r>
      <w:r w:rsidRPr="00CD75B3">
        <w:rPr>
          <w:rFonts w:ascii="Verdana" w:hAnsi="Verdana"/>
          <w:sz w:val="20"/>
          <w:szCs w:val="20"/>
        </w:rPr>
        <w:lastRenderedPageBreak/>
        <w:t>Declaración Americana”)</w:t>
      </w:r>
      <w:r w:rsidR="004F5DE9" w:rsidRPr="006D2DE2">
        <w:rPr>
          <w:rStyle w:val="FootnoteReference"/>
          <w:rFonts w:ascii="Verdana" w:hAnsi="Verdana"/>
          <w:sz w:val="20"/>
          <w:szCs w:val="20"/>
        </w:rPr>
        <w:footnoteReference w:id="20"/>
      </w:r>
      <w:r w:rsidRPr="00CD75B3">
        <w:rPr>
          <w:rFonts w:ascii="Verdana" w:hAnsi="Verdana"/>
          <w:sz w:val="20"/>
          <w:szCs w:val="20"/>
        </w:rPr>
        <w:t xml:space="preserve">. A lo anterior hay que sumarle un amplio </w:t>
      </w:r>
      <w:r w:rsidRPr="00CD75B3">
        <w:rPr>
          <w:rFonts w:ascii="Verdana" w:hAnsi="Verdana"/>
          <w:i/>
          <w:sz w:val="20"/>
          <w:szCs w:val="20"/>
        </w:rPr>
        <w:t xml:space="preserve">corpus iuris nacional e internacional </w:t>
      </w:r>
      <w:r w:rsidRPr="00CD75B3">
        <w:rPr>
          <w:rFonts w:ascii="Verdana" w:hAnsi="Verdana"/>
          <w:sz w:val="20"/>
          <w:szCs w:val="20"/>
        </w:rPr>
        <w:t>que reconoce este derecho como un derecho autónomo</w:t>
      </w:r>
      <w:r w:rsidR="004F5DE9" w:rsidRPr="006D2DE2">
        <w:rPr>
          <w:rStyle w:val="FootnoteReference"/>
          <w:rFonts w:ascii="Verdana" w:hAnsi="Verdana"/>
          <w:sz w:val="20"/>
          <w:szCs w:val="20"/>
        </w:rPr>
        <w:footnoteReference w:id="21"/>
      </w:r>
      <w:r w:rsidRPr="00CD75B3">
        <w:rPr>
          <w:rFonts w:ascii="Verdana" w:hAnsi="Verdana"/>
          <w:sz w:val="20"/>
          <w:szCs w:val="20"/>
        </w:rPr>
        <w:t xml:space="preserve">. </w:t>
      </w:r>
    </w:p>
    <w:p w14:paraId="2F8E4446" w14:textId="77777777" w:rsidR="005E3836" w:rsidRDefault="005E3836" w:rsidP="002A7F5B">
      <w:pPr>
        <w:pStyle w:val="ListParagraph"/>
        <w:ind w:left="0"/>
        <w:jc w:val="both"/>
        <w:rPr>
          <w:rFonts w:ascii="Verdana" w:hAnsi="Verdana"/>
          <w:sz w:val="20"/>
          <w:szCs w:val="20"/>
        </w:rPr>
      </w:pPr>
    </w:p>
    <w:p w14:paraId="52D738E0" w14:textId="77777777" w:rsidR="0074390C" w:rsidRPr="00CD75B3" w:rsidRDefault="0074390C" w:rsidP="002A7F5B">
      <w:pPr>
        <w:pStyle w:val="ListParagraph"/>
        <w:ind w:left="0"/>
        <w:jc w:val="both"/>
        <w:rPr>
          <w:rFonts w:ascii="Verdana" w:hAnsi="Verdana"/>
          <w:sz w:val="20"/>
          <w:szCs w:val="20"/>
        </w:rPr>
      </w:pPr>
    </w:p>
    <w:p w14:paraId="227B86D4" w14:textId="71BBD344" w:rsidR="00962976" w:rsidRPr="006D2DE2" w:rsidRDefault="007F13FA" w:rsidP="002A7F5B">
      <w:pPr>
        <w:pStyle w:val="ListParagraph"/>
        <w:ind w:left="0"/>
        <w:jc w:val="both"/>
        <w:rPr>
          <w:rFonts w:ascii="Verdana" w:hAnsi="Verdana"/>
          <w:i/>
          <w:sz w:val="20"/>
          <w:szCs w:val="20"/>
          <w:u w:val="single"/>
        </w:rPr>
      </w:pPr>
      <w:r>
        <w:rPr>
          <w:rFonts w:ascii="Verdana" w:hAnsi="Verdana"/>
          <w:i/>
          <w:sz w:val="20"/>
          <w:szCs w:val="20"/>
          <w:u w:val="single"/>
        </w:rPr>
        <w:t>B</w:t>
      </w:r>
      <w:r w:rsidR="00962976" w:rsidRPr="006D2DE2">
        <w:rPr>
          <w:rFonts w:ascii="Verdana" w:hAnsi="Verdana"/>
          <w:i/>
          <w:sz w:val="20"/>
          <w:szCs w:val="20"/>
          <w:u w:val="single"/>
        </w:rPr>
        <w:t>. El derecho al trabajo en el presente caso</w:t>
      </w:r>
      <w:r w:rsidR="00A35DFD">
        <w:rPr>
          <w:rFonts w:ascii="Verdana" w:hAnsi="Verdana"/>
          <w:i/>
          <w:sz w:val="20"/>
          <w:szCs w:val="20"/>
          <w:u w:val="single"/>
        </w:rPr>
        <w:t xml:space="preserve"> y el principio </w:t>
      </w:r>
      <w:proofErr w:type="spellStart"/>
      <w:r w:rsidR="00A35DFD" w:rsidRPr="00A35DFD">
        <w:rPr>
          <w:rFonts w:ascii="Verdana" w:hAnsi="Verdana"/>
          <w:sz w:val="20"/>
          <w:szCs w:val="20"/>
          <w:u w:val="single"/>
        </w:rPr>
        <w:t>iura</w:t>
      </w:r>
      <w:proofErr w:type="spellEnd"/>
      <w:r w:rsidR="00A35DFD" w:rsidRPr="00A35DFD">
        <w:rPr>
          <w:rFonts w:ascii="Verdana" w:hAnsi="Verdana"/>
          <w:sz w:val="20"/>
          <w:szCs w:val="20"/>
          <w:u w:val="single"/>
        </w:rPr>
        <w:t xml:space="preserve"> </w:t>
      </w:r>
      <w:proofErr w:type="spellStart"/>
      <w:r w:rsidR="00A35DFD" w:rsidRPr="00A35DFD">
        <w:rPr>
          <w:rFonts w:ascii="Verdana" w:hAnsi="Verdana"/>
          <w:sz w:val="20"/>
          <w:szCs w:val="20"/>
          <w:u w:val="single"/>
        </w:rPr>
        <w:t>novit</w:t>
      </w:r>
      <w:proofErr w:type="spellEnd"/>
      <w:r w:rsidR="00A35DFD" w:rsidRPr="00A35DFD">
        <w:rPr>
          <w:rFonts w:ascii="Verdana" w:hAnsi="Verdana"/>
          <w:sz w:val="20"/>
          <w:szCs w:val="20"/>
          <w:u w:val="single"/>
        </w:rPr>
        <w:t xml:space="preserve"> curia</w:t>
      </w:r>
    </w:p>
    <w:p w14:paraId="780FD56A" w14:textId="77777777" w:rsidR="000F228D" w:rsidRPr="006D2DE2" w:rsidRDefault="000F228D" w:rsidP="002A7F5B">
      <w:pPr>
        <w:jc w:val="both"/>
        <w:rPr>
          <w:rFonts w:ascii="Verdana" w:hAnsi="Verdana"/>
          <w:sz w:val="20"/>
          <w:szCs w:val="20"/>
        </w:rPr>
      </w:pPr>
    </w:p>
    <w:p w14:paraId="00330BC1" w14:textId="1C381A44" w:rsidR="007B432E" w:rsidRDefault="000F228D"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el presente caso, ni la Comisión </w:t>
      </w:r>
      <w:r w:rsidR="00801F4F">
        <w:rPr>
          <w:rFonts w:ascii="Verdana" w:hAnsi="Verdana"/>
          <w:sz w:val="20"/>
          <w:szCs w:val="20"/>
        </w:rPr>
        <w:t xml:space="preserve">en el Informe de Fondo, </w:t>
      </w:r>
      <w:r w:rsidRPr="006D2DE2">
        <w:rPr>
          <w:rFonts w:ascii="Verdana" w:hAnsi="Verdana"/>
          <w:sz w:val="20"/>
          <w:szCs w:val="20"/>
        </w:rPr>
        <w:t xml:space="preserve">ni los representantes </w:t>
      </w:r>
      <w:r w:rsidR="00801F4F" w:rsidRPr="006D2DE2">
        <w:rPr>
          <w:rFonts w:ascii="Verdana" w:hAnsi="Verdana"/>
          <w:sz w:val="20"/>
          <w:szCs w:val="20"/>
        </w:rPr>
        <w:t xml:space="preserve">de las víctimas </w:t>
      </w:r>
      <w:r w:rsidR="00801F4F">
        <w:rPr>
          <w:rFonts w:ascii="Verdana" w:hAnsi="Verdana"/>
          <w:sz w:val="20"/>
          <w:szCs w:val="20"/>
        </w:rPr>
        <w:t xml:space="preserve">en su escrito de solicitudes y argumentos, </w:t>
      </w:r>
      <w:r w:rsidRPr="006D2DE2">
        <w:rPr>
          <w:rFonts w:ascii="Verdana" w:hAnsi="Verdana"/>
          <w:sz w:val="20"/>
          <w:szCs w:val="20"/>
        </w:rPr>
        <w:t xml:space="preserve">hicieron alusión </w:t>
      </w:r>
      <w:r w:rsidR="00A35DFD">
        <w:rPr>
          <w:rFonts w:ascii="Verdana" w:hAnsi="Verdana"/>
          <w:sz w:val="20"/>
          <w:szCs w:val="20"/>
        </w:rPr>
        <w:t xml:space="preserve">expresa </w:t>
      </w:r>
      <w:r w:rsidRPr="006D2DE2">
        <w:rPr>
          <w:rFonts w:ascii="Verdana" w:hAnsi="Verdana"/>
          <w:sz w:val="20"/>
          <w:szCs w:val="20"/>
        </w:rPr>
        <w:t>a la violación</w:t>
      </w:r>
      <w:r w:rsidR="00C72256" w:rsidRPr="006D2DE2">
        <w:rPr>
          <w:rFonts w:ascii="Verdana" w:hAnsi="Verdana"/>
          <w:sz w:val="20"/>
          <w:szCs w:val="20"/>
        </w:rPr>
        <w:t xml:space="preserve"> </w:t>
      </w:r>
      <w:r w:rsidR="00801F4F">
        <w:rPr>
          <w:rFonts w:ascii="Verdana" w:hAnsi="Verdana"/>
          <w:sz w:val="20"/>
          <w:szCs w:val="20"/>
        </w:rPr>
        <w:t>del artículo 26 de la Convención Americana.</w:t>
      </w:r>
      <w:r w:rsidR="007D4C10">
        <w:rPr>
          <w:rFonts w:ascii="Verdana" w:hAnsi="Verdana"/>
          <w:sz w:val="20"/>
          <w:szCs w:val="20"/>
        </w:rPr>
        <w:t xml:space="preserve"> </w:t>
      </w:r>
      <w:r w:rsidR="007B432E" w:rsidRPr="007B432E">
        <w:rPr>
          <w:rFonts w:ascii="Verdana" w:hAnsi="Verdana"/>
          <w:sz w:val="20"/>
          <w:szCs w:val="20"/>
        </w:rPr>
        <w:t xml:space="preserve">Sin embargo, ha sido práctica reiterada del Tribunal Interamericano la aplicación del principio </w:t>
      </w:r>
      <w:proofErr w:type="spellStart"/>
      <w:r w:rsidR="007B432E" w:rsidRPr="007B432E">
        <w:rPr>
          <w:rFonts w:ascii="Verdana" w:hAnsi="Verdana"/>
          <w:i/>
          <w:sz w:val="20"/>
          <w:szCs w:val="20"/>
        </w:rPr>
        <w:t>iura</w:t>
      </w:r>
      <w:proofErr w:type="spellEnd"/>
      <w:r w:rsidR="007B432E" w:rsidRPr="007B432E">
        <w:rPr>
          <w:rFonts w:ascii="Verdana" w:hAnsi="Verdana"/>
          <w:i/>
          <w:sz w:val="20"/>
          <w:szCs w:val="20"/>
        </w:rPr>
        <w:t xml:space="preserve"> </w:t>
      </w:r>
      <w:proofErr w:type="spellStart"/>
      <w:r w:rsidR="007B432E" w:rsidRPr="007B432E">
        <w:rPr>
          <w:rFonts w:ascii="Verdana" w:hAnsi="Verdana"/>
          <w:i/>
          <w:sz w:val="20"/>
          <w:szCs w:val="20"/>
        </w:rPr>
        <w:t>novit</w:t>
      </w:r>
      <w:proofErr w:type="spellEnd"/>
      <w:r w:rsidR="007B432E" w:rsidRPr="007B432E">
        <w:rPr>
          <w:rFonts w:ascii="Verdana" w:hAnsi="Verdana"/>
          <w:i/>
          <w:sz w:val="20"/>
          <w:szCs w:val="20"/>
        </w:rPr>
        <w:t xml:space="preserve"> curia</w:t>
      </w:r>
      <w:r w:rsidR="00516371" w:rsidRPr="006D2DE2">
        <w:rPr>
          <w:rStyle w:val="FootnoteReference"/>
          <w:rFonts w:ascii="Verdana" w:hAnsi="Verdana"/>
          <w:sz w:val="20"/>
          <w:szCs w:val="20"/>
        </w:rPr>
        <w:footnoteReference w:id="22"/>
      </w:r>
      <w:r w:rsidR="007B432E" w:rsidRPr="007B432E">
        <w:rPr>
          <w:rFonts w:ascii="Verdana" w:hAnsi="Verdana"/>
          <w:sz w:val="20"/>
          <w:szCs w:val="20"/>
        </w:rPr>
        <w:t>, lo cual puede ser válida</w:t>
      </w:r>
      <w:r w:rsidR="00516371">
        <w:rPr>
          <w:rFonts w:ascii="Verdana" w:hAnsi="Verdana"/>
          <w:sz w:val="20"/>
          <w:szCs w:val="20"/>
        </w:rPr>
        <w:t>mente invocado en casos como el presente</w:t>
      </w:r>
      <w:r w:rsidR="007B432E" w:rsidRPr="007B432E">
        <w:rPr>
          <w:rFonts w:ascii="Verdana" w:hAnsi="Verdana"/>
          <w:sz w:val="20"/>
          <w:szCs w:val="20"/>
        </w:rPr>
        <w:t>, especialmente si se tiene en consideración que sí existen alegatos sobre la vulneración de</w:t>
      </w:r>
      <w:r w:rsidR="007B432E">
        <w:rPr>
          <w:rFonts w:ascii="Verdana" w:hAnsi="Verdana"/>
          <w:sz w:val="20"/>
          <w:szCs w:val="20"/>
        </w:rPr>
        <w:t>l derecho al trabajo</w:t>
      </w:r>
      <w:r w:rsidR="007B432E" w:rsidRPr="007B432E">
        <w:rPr>
          <w:rFonts w:ascii="Verdana" w:hAnsi="Verdana"/>
          <w:sz w:val="20"/>
          <w:szCs w:val="20"/>
        </w:rPr>
        <w:t xml:space="preserve"> </w:t>
      </w:r>
      <w:r w:rsidR="007B432E">
        <w:rPr>
          <w:rFonts w:ascii="Verdana" w:hAnsi="Verdana"/>
          <w:sz w:val="20"/>
          <w:szCs w:val="20"/>
        </w:rPr>
        <w:t>y existe una base fáctica clara y suficiente para analizar la violación a ese derecho.</w:t>
      </w:r>
    </w:p>
    <w:p w14:paraId="0F8D89BB" w14:textId="77777777" w:rsidR="00801F4F" w:rsidRDefault="00801F4F" w:rsidP="002A7F5B">
      <w:pPr>
        <w:pStyle w:val="ListParagraph"/>
        <w:ind w:left="0"/>
        <w:jc w:val="both"/>
        <w:rPr>
          <w:rFonts w:ascii="Verdana" w:hAnsi="Verdana"/>
          <w:sz w:val="20"/>
          <w:szCs w:val="20"/>
        </w:rPr>
      </w:pPr>
    </w:p>
    <w:p w14:paraId="37651C09" w14:textId="5DDC18C3" w:rsidR="004B7790" w:rsidRDefault="00516371" w:rsidP="002A7F5B">
      <w:pPr>
        <w:pStyle w:val="ListParagraph"/>
        <w:numPr>
          <w:ilvl w:val="0"/>
          <w:numId w:val="1"/>
        </w:numPr>
        <w:ind w:left="0" w:firstLine="0"/>
        <w:jc w:val="both"/>
        <w:rPr>
          <w:rFonts w:ascii="Verdana" w:hAnsi="Verdana"/>
          <w:sz w:val="20"/>
          <w:szCs w:val="20"/>
        </w:rPr>
      </w:pPr>
      <w:r>
        <w:rPr>
          <w:rFonts w:ascii="Verdana" w:hAnsi="Verdana"/>
          <w:sz w:val="20"/>
          <w:szCs w:val="20"/>
        </w:rPr>
        <w:t xml:space="preserve">En el caso, </w:t>
      </w:r>
      <w:r w:rsidR="007D4C10" w:rsidRPr="00632A20">
        <w:rPr>
          <w:rFonts w:ascii="Verdana" w:hAnsi="Verdana"/>
          <w:sz w:val="20"/>
          <w:szCs w:val="20"/>
        </w:rPr>
        <w:t>la Corte IDH “constató que las presuntas víctimas en todas las instancias, tanto internas como ante la Comisión, alegaron reiteradamente la violación a sus derechos laborales”</w:t>
      </w:r>
      <w:r w:rsidR="00A5451A" w:rsidRPr="006D2DE2">
        <w:rPr>
          <w:rStyle w:val="FootnoteReference"/>
          <w:rFonts w:ascii="Verdana" w:hAnsi="Verdana"/>
          <w:sz w:val="20"/>
          <w:szCs w:val="20"/>
        </w:rPr>
        <w:footnoteReference w:id="23"/>
      </w:r>
      <w:r w:rsidR="00A5451A" w:rsidRPr="00632A20">
        <w:rPr>
          <w:rFonts w:ascii="Verdana" w:hAnsi="Verdana"/>
          <w:sz w:val="20"/>
          <w:szCs w:val="20"/>
        </w:rPr>
        <w:t xml:space="preserve">; </w:t>
      </w:r>
      <w:r w:rsidR="007D4C10" w:rsidRPr="00632A20">
        <w:rPr>
          <w:rFonts w:ascii="Verdana" w:hAnsi="Verdana"/>
          <w:sz w:val="20"/>
          <w:szCs w:val="20"/>
        </w:rPr>
        <w:t>y en el escrito de solicitudes y argumentos</w:t>
      </w:r>
      <w:r w:rsidR="00276747" w:rsidRPr="00632A20">
        <w:rPr>
          <w:rFonts w:ascii="Verdana" w:hAnsi="Verdana"/>
          <w:sz w:val="20"/>
          <w:szCs w:val="20"/>
        </w:rPr>
        <w:t xml:space="preserve"> ante el Tribunal Interamericano</w:t>
      </w:r>
      <w:r w:rsidR="00A5451A" w:rsidRPr="00632A20">
        <w:rPr>
          <w:rFonts w:ascii="Verdana" w:hAnsi="Verdana"/>
          <w:sz w:val="20"/>
          <w:szCs w:val="20"/>
        </w:rPr>
        <w:t>, se desprende que sí hubo alegación a violación de derechos laborales a pesar de no invocarse de manera directa el artículo 26 del Pacto de San José</w:t>
      </w:r>
      <w:r w:rsidR="00A5451A" w:rsidRPr="006D2DE2">
        <w:rPr>
          <w:rStyle w:val="FootnoteReference"/>
          <w:rFonts w:ascii="Verdana" w:hAnsi="Verdana"/>
          <w:sz w:val="20"/>
          <w:szCs w:val="20"/>
        </w:rPr>
        <w:footnoteReference w:id="24"/>
      </w:r>
      <w:r w:rsidR="00632A20">
        <w:rPr>
          <w:rFonts w:ascii="Verdana" w:hAnsi="Verdana"/>
          <w:sz w:val="20"/>
          <w:szCs w:val="20"/>
        </w:rPr>
        <w:t>,</w:t>
      </w:r>
      <w:r w:rsidR="00A5451A" w:rsidRPr="00632A20">
        <w:rPr>
          <w:rFonts w:ascii="Verdana" w:hAnsi="Verdana"/>
          <w:sz w:val="20"/>
          <w:szCs w:val="20"/>
        </w:rPr>
        <w:t xml:space="preserve"> </w:t>
      </w:r>
      <w:r w:rsidR="00632A20">
        <w:rPr>
          <w:rFonts w:ascii="Verdana" w:hAnsi="Verdana"/>
          <w:sz w:val="20"/>
          <w:szCs w:val="20"/>
        </w:rPr>
        <w:t xml:space="preserve">además de desprenderse </w:t>
      </w:r>
      <w:r w:rsidR="00632A20">
        <w:rPr>
          <w:rFonts w:ascii="Verdana" w:hAnsi="Verdana"/>
          <w:sz w:val="20"/>
          <w:szCs w:val="20"/>
        </w:rPr>
        <w:lastRenderedPageBreak/>
        <w:t>claramente de</w:t>
      </w:r>
      <w:r w:rsidR="003D6B67">
        <w:rPr>
          <w:rFonts w:ascii="Verdana" w:hAnsi="Verdana"/>
          <w:sz w:val="20"/>
          <w:szCs w:val="20"/>
        </w:rPr>
        <w:t>l marco fáctico</w:t>
      </w:r>
      <w:r w:rsidR="00632A20">
        <w:rPr>
          <w:rFonts w:ascii="Verdana" w:hAnsi="Verdana"/>
          <w:sz w:val="20"/>
          <w:szCs w:val="20"/>
        </w:rPr>
        <w:t xml:space="preserve"> </w:t>
      </w:r>
      <w:r w:rsidR="003D6B67">
        <w:rPr>
          <w:rFonts w:ascii="Verdana" w:hAnsi="Verdana"/>
          <w:sz w:val="20"/>
          <w:szCs w:val="20"/>
        </w:rPr>
        <w:t>del</w:t>
      </w:r>
      <w:r w:rsidR="00632A20">
        <w:rPr>
          <w:rFonts w:ascii="Verdana" w:hAnsi="Verdana"/>
          <w:sz w:val="20"/>
          <w:szCs w:val="20"/>
        </w:rPr>
        <w:t xml:space="preserve"> Informe de Fondo</w:t>
      </w:r>
      <w:r w:rsidR="003D6B67">
        <w:rPr>
          <w:rFonts w:ascii="Verdana" w:hAnsi="Verdana"/>
          <w:sz w:val="20"/>
          <w:szCs w:val="20"/>
        </w:rPr>
        <w:t xml:space="preserve"> presentado por la Comisión a la Corte IDH</w:t>
      </w:r>
      <w:r w:rsidR="00632A20" w:rsidRPr="006D2DE2">
        <w:rPr>
          <w:rStyle w:val="FootnoteReference"/>
          <w:rFonts w:ascii="Verdana" w:hAnsi="Verdana"/>
          <w:sz w:val="20"/>
          <w:szCs w:val="20"/>
        </w:rPr>
        <w:footnoteReference w:id="25"/>
      </w:r>
      <w:r w:rsidR="00632A20">
        <w:rPr>
          <w:rFonts w:ascii="Verdana" w:hAnsi="Verdana"/>
          <w:sz w:val="20"/>
          <w:szCs w:val="20"/>
        </w:rPr>
        <w:t>.</w:t>
      </w:r>
    </w:p>
    <w:p w14:paraId="5A51AE6E" w14:textId="77777777" w:rsidR="00632A20" w:rsidRPr="00632A20" w:rsidRDefault="00632A20" w:rsidP="002A7F5B">
      <w:pPr>
        <w:pStyle w:val="ListParagraph"/>
        <w:ind w:left="0"/>
        <w:jc w:val="both"/>
        <w:rPr>
          <w:rFonts w:ascii="Verdana" w:hAnsi="Verdana"/>
          <w:sz w:val="20"/>
          <w:szCs w:val="20"/>
        </w:rPr>
      </w:pPr>
    </w:p>
    <w:p w14:paraId="6A76E920" w14:textId="29D95846" w:rsidR="000F228D" w:rsidRPr="00632A20" w:rsidRDefault="00276747" w:rsidP="002A7F5B">
      <w:pPr>
        <w:pStyle w:val="ListParagraph"/>
        <w:numPr>
          <w:ilvl w:val="0"/>
          <w:numId w:val="1"/>
        </w:numPr>
        <w:ind w:left="0" w:firstLine="0"/>
        <w:jc w:val="both"/>
        <w:rPr>
          <w:rFonts w:ascii="Verdana" w:hAnsi="Verdana"/>
          <w:sz w:val="20"/>
          <w:szCs w:val="20"/>
        </w:rPr>
      </w:pPr>
      <w:r>
        <w:rPr>
          <w:rFonts w:ascii="Verdana" w:hAnsi="Verdana"/>
          <w:sz w:val="20"/>
          <w:szCs w:val="20"/>
        </w:rPr>
        <w:t>Resulta especialmente significativo, tal como se remarca</w:t>
      </w:r>
      <w:r w:rsidR="000F228D" w:rsidRPr="006D2DE2">
        <w:rPr>
          <w:rFonts w:ascii="Verdana" w:hAnsi="Verdana"/>
          <w:sz w:val="20"/>
          <w:szCs w:val="20"/>
        </w:rPr>
        <w:t xml:space="preserve"> en </w:t>
      </w:r>
      <w:r w:rsidR="0051687A">
        <w:rPr>
          <w:rFonts w:ascii="Verdana" w:hAnsi="Verdana"/>
          <w:sz w:val="20"/>
          <w:szCs w:val="20"/>
        </w:rPr>
        <w:t xml:space="preserve">la Sentencia, </w:t>
      </w:r>
      <w:r>
        <w:rPr>
          <w:rFonts w:ascii="Verdana" w:hAnsi="Verdana"/>
          <w:sz w:val="20"/>
          <w:szCs w:val="20"/>
        </w:rPr>
        <w:t xml:space="preserve">que </w:t>
      </w:r>
      <w:r w:rsidR="0051687A">
        <w:rPr>
          <w:rFonts w:ascii="Verdana" w:hAnsi="Verdana"/>
          <w:sz w:val="20"/>
          <w:szCs w:val="20"/>
        </w:rPr>
        <w:t>las peticionar</w:t>
      </w:r>
      <w:r w:rsidR="005E1DEB">
        <w:rPr>
          <w:rFonts w:ascii="Verdana" w:hAnsi="Verdana"/>
          <w:sz w:val="20"/>
          <w:szCs w:val="20"/>
        </w:rPr>
        <w:t>i</w:t>
      </w:r>
      <w:r w:rsidR="0051687A">
        <w:rPr>
          <w:rFonts w:ascii="Verdana" w:hAnsi="Verdana"/>
          <w:sz w:val="20"/>
          <w:szCs w:val="20"/>
        </w:rPr>
        <w:t>as</w:t>
      </w:r>
      <w:r w:rsidR="005E1DEB">
        <w:rPr>
          <w:rFonts w:ascii="Verdana" w:hAnsi="Verdana"/>
          <w:sz w:val="20"/>
          <w:szCs w:val="20"/>
        </w:rPr>
        <w:t>,</w:t>
      </w:r>
      <w:r w:rsidR="0051687A">
        <w:rPr>
          <w:rFonts w:ascii="Verdana" w:hAnsi="Verdana"/>
          <w:sz w:val="20"/>
          <w:szCs w:val="20"/>
        </w:rPr>
        <w:t xml:space="preserve"> </w:t>
      </w:r>
      <w:r w:rsidR="000F228D" w:rsidRPr="006D2DE2">
        <w:rPr>
          <w:rFonts w:ascii="Verdana" w:hAnsi="Verdana"/>
          <w:sz w:val="20"/>
          <w:szCs w:val="20"/>
        </w:rPr>
        <w:t xml:space="preserve">en su primer escrito ante la Comisión </w:t>
      </w:r>
      <w:r w:rsidR="0051687A">
        <w:rPr>
          <w:rFonts w:ascii="Verdana" w:hAnsi="Verdana"/>
          <w:sz w:val="20"/>
          <w:szCs w:val="20"/>
        </w:rPr>
        <w:t>Interamericana</w:t>
      </w:r>
      <w:r w:rsidR="00632A20">
        <w:rPr>
          <w:rFonts w:ascii="Verdana" w:hAnsi="Verdana"/>
          <w:sz w:val="20"/>
          <w:szCs w:val="20"/>
        </w:rPr>
        <w:t xml:space="preserve"> de </w:t>
      </w:r>
      <w:r w:rsidR="00BC1C82">
        <w:rPr>
          <w:rFonts w:ascii="Verdana" w:hAnsi="Verdana"/>
          <w:sz w:val="20"/>
          <w:szCs w:val="20"/>
        </w:rPr>
        <w:t>7 de marzo de 2006,</w:t>
      </w:r>
      <w:r w:rsidR="0051687A">
        <w:rPr>
          <w:rFonts w:ascii="Verdana" w:hAnsi="Verdana"/>
          <w:sz w:val="20"/>
          <w:szCs w:val="20"/>
        </w:rPr>
        <w:t xml:space="preserve"> </w:t>
      </w:r>
      <w:r w:rsidR="00632A20">
        <w:rPr>
          <w:rFonts w:ascii="Verdana" w:hAnsi="Verdana"/>
          <w:sz w:val="20"/>
          <w:szCs w:val="20"/>
        </w:rPr>
        <w:t>de manera expresa solicitaron</w:t>
      </w:r>
      <w:r w:rsidR="000F228D" w:rsidRPr="006D2DE2">
        <w:rPr>
          <w:rFonts w:ascii="Verdana" w:hAnsi="Verdana"/>
          <w:sz w:val="20"/>
          <w:szCs w:val="20"/>
        </w:rPr>
        <w:t xml:space="preserve"> que se declarara </w:t>
      </w:r>
      <w:r>
        <w:rPr>
          <w:rFonts w:ascii="Verdana" w:hAnsi="Verdana"/>
          <w:sz w:val="20"/>
          <w:szCs w:val="20"/>
        </w:rPr>
        <w:t xml:space="preserve">la </w:t>
      </w:r>
      <w:r w:rsidR="000F228D" w:rsidRPr="006D2DE2">
        <w:rPr>
          <w:rFonts w:ascii="Verdana" w:hAnsi="Verdana"/>
          <w:sz w:val="20"/>
          <w:szCs w:val="20"/>
        </w:rPr>
        <w:t xml:space="preserve">violación </w:t>
      </w:r>
      <w:r w:rsidR="00632A20">
        <w:rPr>
          <w:rFonts w:ascii="Verdana" w:hAnsi="Verdana"/>
          <w:sz w:val="20"/>
          <w:szCs w:val="20"/>
        </w:rPr>
        <w:t xml:space="preserve">del </w:t>
      </w:r>
      <w:r w:rsidR="00632A20" w:rsidRPr="00632A20">
        <w:rPr>
          <w:rFonts w:ascii="Verdana" w:hAnsi="Verdana"/>
          <w:sz w:val="20"/>
          <w:szCs w:val="20"/>
        </w:rPr>
        <w:t>“</w:t>
      </w:r>
      <w:r w:rsidR="00632A20" w:rsidRPr="00632A20">
        <w:rPr>
          <w:rFonts w:ascii="Verdana" w:hAnsi="Verdana"/>
          <w:sz w:val="20"/>
          <w:szCs w:val="20"/>
          <w:u w:val="single"/>
        </w:rPr>
        <w:t>derecho al trabajo de las víctimas, el cual se encuentra amparado por la Convención, en los términos previstos en el art. 26 de la misma, en relación con el art. 45 de la Carta de la OEA, así como en los términos del art. 29, letras b y d, de la Convención</w:t>
      </w:r>
      <w:r w:rsidR="00632A20">
        <w:rPr>
          <w:rFonts w:ascii="Verdana" w:hAnsi="Verdana"/>
          <w:sz w:val="20"/>
          <w:szCs w:val="20"/>
        </w:rPr>
        <w:t xml:space="preserve">”. </w:t>
      </w:r>
      <w:r w:rsidR="0051687A" w:rsidRPr="00632A20">
        <w:rPr>
          <w:rFonts w:ascii="Verdana" w:hAnsi="Verdana"/>
          <w:sz w:val="20"/>
          <w:szCs w:val="20"/>
        </w:rPr>
        <w:t>A</w:t>
      </w:r>
      <w:r w:rsidR="00B37673" w:rsidRPr="00632A20">
        <w:rPr>
          <w:rFonts w:ascii="Verdana" w:hAnsi="Verdana"/>
          <w:sz w:val="20"/>
          <w:szCs w:val="20"/>
        </w:rPr>
        <w:t>l respecto</w:t>
      </w:r>
      <w:r w:rsidR="0051687A" w:rsidRPr="00632A20">
        <w:rPr>
          <w:rFonts w:ascii="Verdana" w:hAnsi="Verdana"/>
          <w:sz w:val="20"/>
          <w:szCs w:val="20"/>
        </w:rPr>
        <w:t>,</w:t>
      </w:r>
      <w:r w:rsidR="00B37673" w:rsidRPr="00632A20">
        <w:rPr>
          <w:rFonts w:ascii="Verdana" w:hAnsi="Verdana"/>
          <w:sz w:val="20"/>
          <w:szCs w:val="20"/>
        </w:rPr>
        <w:t xml:space="preserve"> en dicho escrito</w:t>
      </w:r>
      <w:r w:rsidR="00632A20">
        <w:rPr>
          <w:rFonts w:ascii="Verdana" w:hAnsi="Verdana"/>
          <w:sz w:val="20"/>
          <w:szCs w:val="20"/>
        </w:rPr>
        <w:t xml:space="preserve"> de manera amplia se desarroll</w:t>
      </w:r>
      <w:r w:rsidR="00BC1C82">
        <w:rPr>
          <w:rFonts w:ascii="Verdana" w:hAnsi="Verdana"/>
          <w:sz w:val="20"/>
          <w:szCs w:val="20"/>
        </w:rPr>
        <w:t>a el alegato de la violación del</w:t>
      </w:r>
      <w:r w:rsidR="00632A20">
        <w:rPr>
          <w:rFonts w:ascii="Verdana" w:hAnsi="Verdana"/>
          <w:sz w:val="20"/>
          <w:szCs w:val="20"/>
        </w:rPr>
        <w:t xml:space="preserve"> derecho al trabajo, en los siguientes términos</w:t>
      </w:r>
      <w:r w:rsidR="00B37673" w:rsidRPr="00632A20">
        <w:rPr>
          <w:rFonts w:ascii="Verdana" w:hAnsi="Verdana"/>
          <w:sz w:val="20"/>
          <w:szCs w:val="20"/>
        </w:rPr>
        <w:t xml:space="preserve">: </w:t>
      </w:r>
    </w:p>
    <w:p w14:paraId="6678B8BC" w14:textId="77777777" w:rsidR="00B37673" w:rsidRPr="006D2DE2" w:rsidRDefault="00B37673" w:rsidP="002A7F5B">
      <w:pPr>
        <w:pStyle w:val="ListParagraph"/>
        <w:ind w:left="708"/>
        <w:jc w:val="both"/>
        <w:rPr>
          <w:rFonts w:ascii="Verdana" w:hAnsi="Verdana"/>
          <w:sz w:val="20"/>
          <w:szCs w:val="20"/>
        </w:rPr>
      </w:pPr>
    </w:p>
    <w:p w14:paraId="0FA3AF2A" w14:textId="2C471748" w:rsidR="00767E32" w:rsidRPr="0051687A" w:rsidRDefault="00767E32" w:rsidP="002A7F5B">
      <w:pPr>
        <w:pStyle w:val="ListParagraph"/>
        <w:ind w:left="708" w:right="615"/>
        <w:jc w:val="both"/>
        <w:rPr>
          <w:rFonts w:ascii="Verdana" w:hAnsi="Verdana"/>
          <w:sz w:val="18"/>
          <w:szCs w:val="18"/>
        </w:rPr>
      </w:pPr>
      <w:r w:rsidRPr="0051687A">
        <w:rPr>
          <w:rFonts w:ascii="Verdana" w:hAnsi="Verdana"/>
          <w:sz w:val="18"/>
          <w:szCs w:val="18"/>
        </w:rPr>
        <w:t>[…]</w:t>
      </w:r>
    </w:p>
    <w:p w14:paraId="3E54EA3E" w14:textId="77777777" w:rsidR="00767E32" w:rsidRPr="0051687A" w:rsidRDefault="00767E32" w:rsidP="002A7F5B">
      <w:pPr>
        <w:pStyle w:val="ListParagraph"/>
        <w:ind w:left="708" w:right="615"/>
        <w:jc w:val="both"/>
        <w:rPr>
          <w:rFonts w:ascii="Verdana" w:hAnsi="Verdana"/>
          <w:sz w:val="18"/>
          <w:szCs w:val="18"/>
        </w:rPr>
      </w:pPr>
    </w:p>
    <w:p w14:paraId="5AAB1221" w14:textId="7894C251" w:rsidR="00767E32" w:rsidRPr="0051687A" w:rsidRDefault="00767E32" w:rsidP="002A7F5B">
      <w:pPr>
        <w:pStyle w:val="ListParagraph"/>
        <w:ind w:left="708" w:right="615"/>
        <w:jc w:val="both"/>
        <w:rPr>
          <w:rFonts w:ascii="Verdana" w:hAnsi="Verdana"/>
          <w:sz w:val="18"/>
          <w:szCs w:val="18"/>
          <w:u w:val="single"/>
        </w:rPr>
      </w:pPr>
      <w:r w:rsidRPr="0051687A">
        <w:rPr>
          <w:rFonts w:ascii="Verdana" w:hAnsi="Verdana"/>
          <w:sz w:val="18"/>
          <w:szCs w:val="18"/>
          <w:u w:val="single"/>
        </w:rPr>
        <w:t>5. Violación de los derechos económicos y sociales (art. 26 de la Convención Americana – en relación con el artículo 45 de la Carta de la OEA- y art. 29, letras b y d, de la Convención)</w:t>
      </w:r>
    </w:p>
    <w:p w14:paraId="7DEF8A98" w14:textId="77777777" w:rsidR="00767E32" w:rsidRPr="0051687A" w:rsidRDefault="00767E32" w:rsidP="002A7F5B">
      <w:pPr>
        <w:pStyle w:val="ListParagraph"/>
        <w:ind w:left="708" w:right="615"/>
        <w:jc w:val="both"/>
        <w:rPr>
          <w:rFonts w:ascii="Verdana" w:hAnsi="Verdana"/>
          <w:sz w:val="18"/>
          <w:szCs w:val="18"/>
        </w:rPr>
      </w:pPr>
    </w:p>
    <w:p w14:paraId="1443BD8F" w14:textId="062FFD69" w:rsidR="00921FE4" w:rsidRPr="0051687A" w:rsidRDefault="00767E32" w:rsidP="002A7F5B">
      <w:pPr>
        <w:pStyle w:val="ListParagraph"/>
        <w:ind w:left="708" w:right="615" w:firstLine="708"/>
        <w:jc w:val="both"/>
        <w:rPr>
          <w:rFonts w:ascii="Verdana" w:hAnsi="Verdana"/>
          <w:sz w:val="18"/>
          <w:szCs w:val="18"/>
        </w:rPr>
      </w:pPr>
      <w:r w:rsidRPr="0051687A">
        <w:rPr>
          <w:rFonts w:ascii="Verdana" w:hAnsi="Verdana"/>
          <w:sz w:val="18"/>
          <w:szCs w:val="18"/>
        </w:rPr>
        <w:t>Refiriéndose a la manifestación explícita</w:t>
      </w:r>
      <w:r w:rsidR="004819BC" w:rsidRPr="0051687A">
        <w:rPr>
          <w:rFonts w:ascii="Verdana" w:hAnsi="Verdana"/>
          <w:sz w:val="18"/>
          <w:szCs w:val="18"/>
        </w:rPr>
        <w:t xml:space="preserve"> hecha por la Corte de que “los </w:t>
      </w:r>
      <w:r w:rsidRPr="0051687A">
        <w:rPr>
          <w:rFonts w:ascii="Verdana" w:hAnsi="Verdana"/>
          <w:sz w:val="18"/>
          <w:szCs w:val="18"/>
        </w:rPr>
        <w:t>derechos</w:t>
      </w:r>
      <w:r w:rsidR="004819BC" w:rsidRPr="0051687A">
        <w:rPr>
          <w:rFonts w:ascii="Verdana" w:hAnsi="Verdana"/>
          <w:sz w:val="18"/>
          <w:szCs w:val="18"/>
        </w:rPr>
        <w:t xml:space="preserve"> económicos, sociales y culturales tienen una dimensión tanto individual como colectiva”, el juez Sergio García Ramírez entiende que esa dimensión individual se traduce en una titularidad asimismo individual, de un derecho correspondiente, que pudiera ser compartido, por supuesto, con otros miembros de una población de un sector de ésta; según el juez García Ramírez, este asunto no se reduce a la mera existencia de un deber a cargo del Estado, que deberá orientar sus tareas en el sentido que esta obligación establece, teniendo a los individuos como simples testigos a la expectativa de que el Estado cumpla el deber que le atribuye la Convenció</w:t>
      </w:r>
      <w:r w:rsidR="00921FE4" w:rsidRPr="0051687A">
        <w:rPr>
          <w:rFonts w:ascii="Verdana" w:hAnsi="Verdana"/>
          <w:sz w:val="18"/>
          <w:szCs w:val="18"/>
        </w:rPr>
        <w:t>n. García Ramírez recuerda que la Convención constituye, precisamente, una normativa sobre der</w:t>
      </w:r>
      <w:r w:rsidR="00381A51">
        <w:rPr>
          <w:rFonts w:ascii="Verdana" w:hAnsi="Verdana"/>
          <w:sz w:val="18"/>
          <w:szCs w:val="18"/>
        </w:rPr>
        <w:t>echos humanos, y no un mero catá</w:t>
      </w:r>
      <w:r w:rsidR="00921FE4" w:rsidRPr="0051687A">
        <w:rPr>
          <w:rFonts w:ascii="Verdana" w:hAnsi="Verdana"/>
          <w:sz w:val="18"/>
          <w:szCs w:val="18"/>
        </w:rPr>
        <w:t xml:space="preserve">logo de obligaciones generales de los Estados; </w:t>
      </w:r>
      <w:r w:rsidR="00921FE4" w:rsidRPr="00381A51">
        <w:rPr>
          <w:rFonts w:ascii="Verdana" w:hAnsi="Verdana"/>
          <w:sz w:val="18"/>
          <w:szCs w:val="18"/>
          <w:u w:val="single"/>
        </w:rPr>
        <w:t>en consecuencia, la existencia de una dimensión individual de los derechos humanos sustenta la denominada “</w:t>
      </w:r>
      <w:proofErr w:type="spellStart"/>
      <w:r w:rsidR="00921FE4" w:rsidRPr="00381A51">
        <w:rPr>
          <w:rFonts w:ascii="Verdana" w:hAnsi="Verdana"/>
          <w:sz w:val="18"/>
          <w:szCs w:val="18"/>
          <w:u w:val="single"/>
        </w:rPr>
        <w:t>justiciabilidad</w:t>
      </w:r>
      <w:proofErr w:type="spellEnd"/>
      <w:r w:rsidR="00921FE4" w:rsidRPr="00381A51">
        <w:rPr>
          <w:rFonts w:ascii="Verdana" w:hAnsi="Verdana"/>
          <w:sz w:val="18"/>
          <w:szCs w:val="18"/>
          <w:u w:val="single"/>
        </w:rPr>
        <w:t>” de aquellos que ha avanzado en el plano nacional, y que tiene un amplio horizonte en el internacional. En ese entendido es que denunciamos la violación del art. 26 de la Convención</w:t>
      </w:r>
      <w:r w:rsidR="00921FE4" w:rsidRPr="0051687A">
        <w:rPr>
          <w:rFonts w:ascii="Verdana" w:hAnsi="Verdana"/>
          <w:sz w:val="18"/>
          <w:szCs w:val="18"/>
        </w:rPr>
        <w:t xml:space="preserve">. </w:t>
      </w:r>
    </w:p>
    <w:p w14:paraId="1AA470B5" w14:textId="77777777" w:rsidR="00C347EA" w:rsidRPr="0051687A" w:rsidRDefault="00C347EA" w:rsidP="002A7F5B">
      <w:pPr>
        <w:pStyle w:val="ListParagraph"/>
        <w:ind w:left="708" w:right="615"/>
        <w:jc w:val="both"/>
        <w:rPr>
          <w:rFonts w:ascii="Verdana" w:hAnsi="Verdana"/>
          <w:sz w:val="18"/>
          <w:szCs w:val="18"/>
        </w:rPr>
      </w:pPr>
    </w:p>
    <w:p w14:paraId="332CB41C" w14:textId="66572D1E" w:rsidR="00C234DD" w:rsidRPr="0051687A" w:rsidRDefault="00C234DD" w:rsidP="002A7F5B">
      <w:pPr>
        <w:pStyle w:val="ListParagraph"/>
        <w:ind w:left="708" w:right="615"/>
        <w:jc w:val="both"/>
        <w:rPr>
          <w:rFonts w:ascii="Verdana" w:hAnsi="Verdana"/>
          <w:sz w:val="18"/>
          <w:szCs w:val="18"/>
        </w:rPr>
      </w:pPr>
      <w:r w:rsidRPr="0051687A">
        <w:rPr>
          <w:rFonts w:ascii="Verdana" w:hAnsi="Verdana"/>
          <w:sz w:val="18"/>
          <w:szCs w:val="18"/>
        </w:rPr>
        <w:tab/>
      </w:r>
      <w:r w:rsidRPr="0051687A">
        <w:rPr>
          <w:rFonts w:ascii="Verdana" w:hAnsi="Verdana"/>
          <w:sz w:val="18"/>
          <w:szCs w:val="18"/>
          <w:u w:val="single"/>
        </w:rPr>
        <w:t>El derecho al trabajo es un derecho económico y socia</w:t>
      </w:r>
      <w:r w:rsidR="004569B6" w:rsidRPr="0051687A">
        <w:rPr>
          <w:rFonts w:ascii="Verdana" w:hAnsi="Verdana"/>
          <w:sz w:val="18"/>
          <w:szCs w:val="18"/>
          <w:u w:val="single"/>
        </w:rPr>
        <w:t>l</w:t>
      </w:r>
      <w:r w:rsidRPr="0051687A">
        <w:rPr>
          <w:rFonts w:ascii="Verdana" w:hAnsi="Verdana"/>
          <w:sz w:val="18"/>
          <w:szCs w:val="18"/>
          <w:u w:val="single"/>
        </w:rPr>
        <w:t>, de aquellos a los que se refiere el art. 26 de la Convención</w:t>
      </w:r>
      <w:r w:rsidRPr="0051687A">
        <w:rPr>
          <w:rFonts w:ascii="Verdana" w:hAnsi="Verdana"/>
          <w:sz w:val="18"/>
          <w:szCs w:val="18"/>
        </w:rPr>
        <w:t xml:space="preserve">. La decisión de las autoridades de Venezuela, de despedir de sus empleos a las víctimas en este caso, se tradujo en una violación de su </w:t>
      </w:r>
      <w:r w:rsidRPr="0051687A">
        <w:rPr>
          <w:rFonts w:ascii="Verdana" w:hAnsi="Verdana"/>
          <w:sz w:val="18"/>
          <w:szCs w:val="18"/>
        </w:rPr>
        <w:lastRenderedPageBreak/>
        <w:t xml:space="preserve">derecho al trabajo, y en la violación del artículo 26 de la Convención. </w:t>
      </w:r>
      <w:r w:rsidRPr="0051687A">
        <w:rPr>
          <w:rFonts w:ascii="Verdana" w:hAnsi="Verdana"/>
          <w:sz w:val="18"/>
          <w:szCs w:val="18"/>
          <w:u w:val="single"/>
        </w:rPr>
        <w:t>Si bien la Convención no desarrolla explícitamente el catálogo de derechos económicos y sociales protegidos, para ello se remite a las normas económicas y sociales contenidas en la Carta de Organización de Estados Americanos, cuyo art. 45, letra a, dispone que “</w:t>
      </w:r>
      <w:r w:rsidR="00DA3962" w:rsidRPr="0051687A">
        <w:rPr>
          <w:rFonts w:ascii="Verdana" w:hAnsi="Verdana"/>
          <w:sz w:val="18"/>
          <w:szCs w:val="18"/>
          <w:u w:val="single"/>
        </w:rPr>
        <w:t xml:space="preserve">todos los seres humanos, sin distinción de raza, sexo, nacionalidad, credo o condición social, tienen derecho al bienestar material y a su desarrollo espiritual, en condiciones de libertad, dignidad, igualdad de oportunidades y seguridad económica”. Además, el art. 45, letra, de la Carta de la OEA señala que el trabajo es un derecho, que otorga dignidad a quien lo realiza. Ese derecho y esa dignidad, reconocida </w:t>
      </w:r>
      <w:r w:rsidRPr="0051687A">
        <w:rPr>
          <w:rFonts w:ascii="Verdana" w:hAnsi="Verdana"/>
          <w:sz w:val="18"/>
          <w:szCs w:val="18"/>
          <w:u w:val="single"/>
        </w:rPr>
        <w:t xml:space="preserve"> </w:t>
      </w:r>
      <w:r w:rsidR="00732E8F" w:rsidRPr="0051687A">
        <w:rPr>
          <w:rFonts w:ascii="Verdana" w:hAnsi="Verdana"/>
          <w:sz w:val="18"/>
          <w:szCs w:val="18"/>
          <w:u w:val="single"/>
        </w:rPr>
        <w:t>por la Carta de la OEA y reiterada por el art. 26 de la Convención, ha sido [violada] por el Estado venezolano</w:t>
      </w:r>
      <w:r w:rsidR="00732E8F" w:rsidRPr="0051687A">
        <w:rPr>
          <w:rFonts w:ascii="Verdana" w:hAnsi="Verdana"/>
          <w:sz w:val="18"/>
          <w:szCs w:val="18"/>
        </w:rPr>
        <w:t xml:space="preserve"> […]. </w:t>
      </w:r>
    </w:p>
    <w:p w14:paraId="31848302" w14:textId="77777777" w:rsidR="00C347EA" w:rsidRPr="0051687A" w:rsidRDefault="00C347EA" w:rsidP="002A7F5B">
      <w:pPr>
        <w:pStyle w:val="ListParagraph"/>
        <w:ind w:left="708" w:right="615"/>
        <w:jc w:val="both"/>
        <w:rPr>
          <w:rFonts w:ascii="Verdana" w:hAnsi="Verdana"/>
          <w:sz w:val="18"/>
          <w:szCs w:val="18"/>
        </w:rPr>
      </w:pPr>
    </w:p>
    <w:p w14:paraId="4294E248" w14:textId="53A50F8B" w:rsidR="0033558B" w:rsidRPr="0051687A" w:rsidRDefault="00732E8F" w:rsidP="002A7F5B">
      <w:pPr>
        <w:pStyle w:val="ListParagraph"/>
        <w:ind w:left="708" w:right="615" w:firstLine="708"/>
        <w:jc w:val="both"/>
        <w:rPr>
          <w:rFonts w:ascii="Verdana" w:hAnsi="Verdana"/>
          <w:sz w:val="18"/>
          <w:szCs w:val="18"/>
        </w:rPr>
      </w:pPr>
      <w:r w:rsidRPr="0051687A">
        <w:rPr>
          <w:rFonts w:ascii="Verdana" w:hAnsi="Verdana"/>
          <w:sz w:val="18"/>
          <w:szCs w:val="18"/>
        </w:rPr>
        <w:t xml:space="preserve">La </w:t>
      </w:r>
      <w:r w:rsidR="00DF2F1A" w:rsidRPr="0051687A">
        <w:rPr>
          <w:rFonts w:ascii="Verdana" w:hAnsi="Verdana"/>
          <w:sz w:val="18"/>
          <w:szCs w:val="18"/>
        </w:rPr>
        <w:t>violación</w:t>
      </w:r>
      <w:r w:rsidRPr="0051687A">
        <w:rPr>
          <w:rFonts w:ascii="Verdana" w:hAnsi="Verdana"/>
          <w:sz w:val="18"/>
          <w:szCs w:val="18"/>
        </w:rPr>
        <w:t xml:space="preserve"> del derecho al trabajo </w:t>
      </w:r>
      <w:r w:rsidR="00DF2F1A" w:rsidRPr="0051687A">
        <w:rPr>
          <w:rFonts w:ascii="Verdana" w:hAnsi="Verdana"/>
          <w:sz w:val="18"/>
          <w:szCs w:val="18"/>
        </w:rPr>
        <w:t>[en este caso] también implica una violación del art. 29 de la Convención, cuyo literal b) prohíbe interpretar la Convención en el sentido de limitar el goce y ejercicio de cualquier derecho que pueda estar reconocido de acuerdo con otra convención en que sea parte el Estado involucrado. En particular</w:t>
      </w:r>
      <w:r w:rsidR="00B83A01" w:rsidRPr="0051687A">
        <w:rPr>
          <w:rFonts w:ascii="Verdana" w:hAnsi="Verdana"/>
          <w:sz w:val="18"/>
          <w:szCs w:val="18"/>
        </w:rPr>
        <w:t xml:space="preserve"> Venezuela es parte en el Pacto Internacional de Derechos Económicos, Sociales y Culturales, cuyo artículo 6, párrafo 1, consagra el derecho al trabajo, y es pate en el Protocolo Adicional a la Convención Americana sobre Derechos Humanos en materia de Derechos Económicos, Sociales y Culturales, cuyo art. 6, párrafo 1, dispone que toda persona tiene derecho al trabajo. </w:t>
      </w:r>
      <w:r w:rsidR="008661DA" w:rsidRPr="0051687A">
        <w:rPr>
          <w:rFonts w:ascii="Verdana" w:hAnsi="Verdana"/>
          <w:sz w:val="18"/>
          <w:szCs w:val="18"/>
        </w:rPr>
        <w:t>Por consiguiente, el art.</w:t>
      </w:r>
      <w:r w:rsidR="00306A81" w:rsidRPr="0051687A">
        <w:rPr>
          <w:rFonts w:ascii="Verdana" w:hAnsi="Verdana"/>
          <w:sz w:val="18"/>
          <w:szCs w:val="18"/>
        </w:rPr>
        <w:t xml:space="preserve"> </w:t>
      </w:r>
      <w:r w:rsidR="008661DA" w:rsidRPr="0051687A">
        <w:rPr>
          <w:rFonts w:ascii="Verdana" w:hAnsi="Verdana"/>
          <w:sz w:val="18"/>
          <w:szCs w:val="18"/>
        </w:rPr>
        <w:t>2</w:t>
      </w:r>
      <w:r w:rsidR="00306A81" w:rsidRPr="0051687A">
        <w:rPr>
          <w:rFonts w:ascii="Verdana" w:hAnsi="Verdana"/>
          <w:sz w:val="18"/>
          <w:szCs w:val="18"/>
        </w:rPr>
        <w:t>6</w:t>
      </w:r>
      <w:r w:rsidR="008661DA" w:rsidRPr="0051687A">
        <w:rPr>
          <w:rFonts w:ascii="Verdana" w:hAnsi="Verdana"/>
          <w:sz w:val="18"/>
          <w:szCs w:val="18"/>
        </w:rPr>
        <w:t xml:space="preserve"> de la Convención</w:t>
      </w:r>
      <w:r w:rsidR="00306A81" w:rsidRPr="0051687A">
        <w:rPr>
          <w:rFonts w:ascii="Verdana" w:hAnsi="Verdana"/>
          <w:sz w:val="18"/>
          <w:szCs w:val="18"/>
        </w:rPr>
        <w:t>,</w:t>
      </w:r>
      <w:r w:rsidR="008661DA" w:rsidRPr="0051687A">
        <w:rPr>
          <w:rFonts w:ascii="Verdana" w:hAnsi="Verdana"/>
          <w:sz w:val="18"/>
          <w:szCs w:val="18"/>
        </w:rPr>
        <w:t xml:space="preserve"> relativo a los derechos ec</w:t>
      </w:r>
      <w:r w:rsidR="00276747">
        <w:rPr>
          <w:rFonts w:ascii="Verdana" w:hAnsi="Verdana"/>
          <w:sz w:val="18"/>
          <w:szCs w:val="18"/>
        </w:rPr>
        <w:t>onómicos, sociales y culturales</w:t>
      </w:r>
      <w:r w:rsidR="008661DA" w:rsidRPr="0051687A">
        <w:rPr>
          <w:rFonts w:ascii="Verdana" w:hAnsi="Verdana"/>
          <w:sz w:val="18"/>
          <w:szCs w:val="18"/>
        </w:rPr>
        <w:t xml:space="preserve">, debe interpretarse en armonía con estos instrumentos internacionales, que en todo caso deben de ser cumplidos de buena fe por el Estado parte. Esta misma ilustre Comisión Interamericana ha sostenido, si bien no puede pronunciarse sobre la violación de otros tratados, como el Protocolo de San Salvador, si </w:t>
      </w:r>
      <w:r w:rsidR="00534609" w:rsidRPr="0051687A">
        <w:rPr>
          <w:rFonts w:ascii="Verdana" w:hAnsi="Verdana"/>
          <w:sz w:val="18"/>
          <w:szCs w:val="18"/>
        </w:rPr>
        <w:t xml:space="preserve">puede utilizar dicho Protocolo en la interpretación de otras disposiciones aplicables, a la luz de los previsto en los artículos 26 y 29 de la Convención Americana. Asimismo, en el caso de una petición en que se denunciaba la </w:t>
      </w:r>
      <w:r w:rsidR="008A3C97" w:rsidRPr="0051687A">
        <w:rPr>
          <w:rFonts w:ascii="Verdana" w:hAnsi="Verdana"/>
          <w:sz w:val="18"/>
          <w:szCs w:val="18"/>
        </w:rPr>
        <w:t>violación del derecho al trabajo,  a una justa retribución, previsto en el art. XIV de la Declaración pero no expresamente en la Convención</w:t>
      </w:r>
      <w:r w:rsidR="0033558B" w:rsidRPr="0051687A">
        <w:rPr>
          <w:rFonts w:ascii="Verdana" w:hAnsi="Verdana"/>
          <w:sz w:val="18"/>
          <w:szCs w:val="18"/>
        </w:rPr>
        <w:t xml:space="preserve">, la Comisión consideró que esta circunstancia no excluía su competencia en razón de la materia pues, en virtud del artículo 29(d) dela Convención ”ninguna disposición de la Convención puede </w:t>
      </w:r>
      <w:r w:rsidR="008A3C97" w:rsidRPr="0051687A">
        <w:rPr>
          <w:rFonts w:ascii="Verdana" w:hAnsi="Verdana"/>
          <w:sz w:val="18"/>
          <w:szCs w:val="18"/>
        </w:rPr>
        <w:t>ser interpretada en el sentido de excluir o limitar el efecto que pueda producir la Declaración Americana de Derechos y Deberes del Hombre y otros actos internacionales de la misma naturaleza.</w:t>
      </w:r>
      <w:r w:rsidR="0033558B" w:rsidRPr="0051687A">
        <w:rPr>
          <w:rFonts w:ascii="Verdana" w:hAnsi="Verdana"/>
          <w:sz w:val="18"/>
          <w:szCs w:val="18"/>
        </w:rPr>
        <w:t>”</w:t>
      </w:r>
    </w:p>
    <w:p w14:paraId="43A2A07E" w14:textId="77777777" w:rsidR="00C347EA" w:rsidRPr="0051687A" w:rsidRDefault="00C347EA" w:rsidP="002A7F5B">
      <w:pPr>
        <w:pStyle w:val="ListParagraph"/>
        <w:ind w:left="708" w:right="615" w:firstLine="708"/>
        <w:jc w:val="both"/>
        <w:rPr>
          <w:rFonts w:ascii="Verdana" w:hAnsi="Verdana"/>
          <w:sz w:val="18"/>
          <w:szCs w:val="18"/>
        </w:rPr>
      </w:pPr>
    </w:p>
    <w:p w14:paraId="06FD8EBA" w14:textId="7D9379D6" w:rsidR="00732E8F" w:rsidRPr="0051687A" w:rsidRDefault="0033558B" w:rsidP="002A7F5B">
      <w:pPr>
        <w:pStyle w:val="ListParagraph"/>
        <w:ind w:left="708" w:right="615" w:firstLine="708"/>
        <w:jc w:val="both"/>
        <w:rPr>
          <w:rFonts w:ascii="Verdana" w:hAnsi="Verdana"/>
          <w:sz w:val="18"/>
          <w:szCs w:val="18"/>
        </w:rPr>
      </w:pPr>
      <w:r w:rsidRPr="0051687A">
        <w:rPr>
          <w:rFonts w:ascii="Verdana" w:hAnsi="Verdana"/>
          <w:sz w:val="18"/>
          <w:szCs w:val="18"/>
          <w:u w:val="single"/>
        </w:rPr>
        <w:t>Esta articulación de las disposiciones de la Convención Americana con las normas de otros tratados de derechos humanos ha sido ampliamente utilizada en la jurisprudencia de la Corte</w:t>
      </w:r>
      <w:r w:rsidRPr="0051687A">
        <w:rPr>
          <w:rFonts w:ascii="Verdana" w:hAnsi="Verdana"/>
          <w:sz w:val="18"/>
          <w:szCs w:val="18"/>
        </w:rPr>
        <w:t xml:space="preserve">. En este sentido, en el caso del Instituto de Reeducación del Menor , la Corte señaló que una correcta interpretación de los artículos 4 y 19 de la Convención debía hacerse a la luz de las disposiciones pertinentes de la Convención sobre los Derechos de los Niños  y del Protocolo Adicional a la Convención Americana en Materia de Derechos Económicos, Sociales y Culturales, ya que estos instrumentos y la Convención Americana forman </w:t>
      </w:r>
      <w:r w:rsidR="00EC0A0C" w:rsidRPr="0051687A">
        <w:rPr>
          <w:rFonts w:ascii="Verdana" w:hAnsi="Verdana"/>
          <w:sz w:val="18"/>
          <w:szCs w:val="18"/>
        </w:rPr>
        <w:t xml:space="preserve">parte de un muy comprensivo </w:t>
      </w:r>
      <w:r w:rsidR="00EC0A0C" w:rsidRPr="0051687A">
        <w:rPr>
          <w:rFonts w:ascii="Verdana" w:hAnsi="Verdana"/>
          <w:i/>
          <w:sz w:val="18"/>
          <w:szCs w:val="18"/>
        </w:rPr>
        <w:t xml:space="preserve">corpus </w:t>
      </w:r>
      <w:proofErr w:type="spellStart"/>
      <w:r w:rsidR="00EC0A0C" w:rsidRPr="0051687A">
        <w:rPr>
          <w:rFonts w:ascii="Verdana" w:hAnsi="Verdana"/>
          <w:i/>
          <w:sz w:val="18"/>
          <w:szCs w:val="18"/>
        </w:rPr>
        <w:t>juris</w:t>
      </w:r>
      <w:proofErr w:type="spellEnd"/>
      <w:r w:rsidR="00EC0A0C" w:rsidRPr="0051687A">
        <w:rPr>
          <w:rFonts w:ascii="Verdana" w:hAnsi="Verdana"/>
          <w:sz w:val="18"/>
          <w:szCs w:val="18"/>
        </w:rPr>
        <w:t xml:space="preserve"> internacional de protección de los derechos de los niños que la Corte debe respetar. Asimismo, en el caso Cinco Pensionistas, la Corte señaló que, si bien los </w:t>
      </w:r>
      <w:r w:rsidR="006642DA" w:rsidRPr="0051687A">
        <w:rPr>
          <w:rFonts w:ascii="Verdana" w:hAnsi="Verdana"/>
          <w:sz w:val="18"/>
          <w:szCs w:val="18"/>
        </w:rPr>
        <w:t>Estados pueden poner limitaciones al goce del derecho de propiedad por razones de utilidad pública o interés social, en el caso del monto de las pensiones, los Estados pueden reducirlos únicamente por la vía legal adecuada y por los motivos ya indicados. No obstante, la Corte observó que el artículo 5 del Protocolo Adicional a la Convención Americana en materia de Derechos Económicos, Sociales y Culturales sólo permite establecer limitaciones y restricciones al goce y ejercicio de los derechos económicos, sociales y culturales, “mediante leyes promulgadas con el objeto de preservar el bienes general dentro de una sociedad democrática, en la medida que no contradigan el propósito y razón de los mismos. En lo que se refiere específicamente</w:t>
      </w:r>
      <w:r w:rsidR="00BE068E" w:rsidRPr="0051687A">
        <w:rPr>
          <w:rFonts w:ascii="Verdana" w:hAnsi="Verdana"/>
          <w:sz w:val="18"/>
          <w:szCs w:val="18"/>
        </w:rPr>
        <w:t xml:space="preserve"> al Protocolo [de San Salvador], éste se invocó en el caso Baena Ricardo y otros, no obstante que al momento de los hechos aún no había entrado en vigor, alegando que al firmar el Protocolo el Estado se comprometió a abstenerse de realizar actos que contrariasen el objeto y el fin del tratado; la Corte recordó que conforme a los principios generales del derecho internacional, y que en este caso Panamá era responsable de la violación cometida por sus agentes con posterioridad </w:t>
      </w:r>
      <w:r w:rsidR="00BE068E" w:rsidRPr="0051687A">
        <w:rPr>
          <w:rFonts w:ascii="Verdana" w:hAnsi="Verdana"/>
          <w:sz w:val="18"/>
          <w:szCs w:val="18"/>
        </w:rPr>
        <w:lastRenderedPageBreak/>
        <w:t>a la firma del Protocolo</w:t>
      </w:r>
      <w:r w:rsidR="00F520F9" w:rsidRPr="0051687A">
        <w:rPr>
          <w:rFonts w:ascii="Verdana" w:hAnsi="Verdana"/>
          <w:sz w:val="18"/>
          <w:szCs w:val="18"/>
        </w:rPr>
        <w:t xml:space="preserve"> de San Salvador, ya que las acciones del Estado contravinieron el objeto y fin del mencionado instrumento, en lo que respecta a los derechos sindicales de los trabajadores destituidos. La Corte reafirmó el principio del derecho internacional general según el cual los Estados tienen el deber de cumplir de buena fe </w:t>
      </w:r>
      <w:r w:rsidR="00591F43" w:rsidRPr="0051687A">
        <w:rPr>
          <w:rFonts w:ascii="Verdana" w:hAnsi="Verdana"/>
          <w:sz w:val="18"/>
          <w:szCs w:val="18"/>
        </w:rPr>
        <w:t>(</w:t>
      </w:r>
      <w:r w:rsidR="00591F43" w:rsidRPr="0051687A">
        <w:rPr>
          <w:rFonts w:ascii="Verdana" w:hAnsi="Verdana"/>
          <w:i/>
          <w:sz w:val="18"/>
          <w:szCs w:val="18"/>
        </w:rPr>
        <w:t xml:space="preserve">pacta </w:t>
      </w:r>
      <w:proofErr w:type="spellStart"/>
      <w:r w:rsidR="00591F43" w:rsidRPr="0051687A">
        <w:rPr>
          <w:rFonts w:ascii="Verdana" w:hAnsi="Verdana"/>
          <w:i/>
          <w:sz w:val="18"/>
          <w:szCs w:val="18"/>
        </w:rPr>
        <w:t>sunt</w:t>
      </w:r>
      <w:proofErr w:type="spellEnd"/>
      <w:r w:rsidR="00591F43" w:rsidRPr="0051687A">
        <w:rPr>
          <w:rFonts w:ascii="Verdana" w:hAnsi="Verdana"/>
          <w:i/>
          <w:sz w:val="18"/>
          <w:szCs w:val="18"/>
        </w:rPr>
        <w:t xml:space="preserve"> </w:t>
      </w:r>
      <w:proofErr w:type="spellStart"/>
      <w:r w:rsidR="00591F43" w:rsidRPr="0051687A">
        <w:rPr>
          <w:rFonts w:ascii="Verdana" w:hAnsi="Verdana"/>
          <w:i/>
          <w:sz w:val="18"/>
          <w:szCs w:val="18"/>
        </w:rPr>
        <w:t>servanda</w:t>
      </w:r>
      <w:proofErr w:type="spellEnd"/>
      <w:r w:rsidR="00591F43" w:rsidRPr="0051687A">
        <w:rPr>
          <w:rFonts w:ascii="Verdana" w:hAnsi="Verdana"/>
          <w:sz w:val="18"/>
          <w:szCs w:val="18"/>
        </w:rPr>
        <w:t xml:space="preserve">) </w:t>
      </w:r>
      <w:r w:rsidR="00DC660B" w:rsidRPr="0051687A">
        <w:rPr>
          <w:rFonts w:ascii="Verdana" w:hAnsi="Verdana"/>
          <w:sz w:val="18"/>
          <w:szCs w:val="18"/>
        </w:rPr>
        <w:t>los instrumentos intern</w:t>
      </w:r>
      <w:r w:rsidR="00D56100" w:rsidRPr="0051687A">
        <w:rPr>
          <w:rFonts w:ascii="Verdana" w:hAnsi="Verdana"/>
          <w:sz w:val="18"/>
          <w:szCs w:val="18"/>
        </w:rPr>
        <w:t>acionales por ellos ratificados, consagrado en el artículo 26 de la Convención de Viena sobre el Derecho de los Tratados (1969)</w:t>
      </w:r>
      <w:r w:rsidR="008F23EE" w:rsidRPr="0051687A">
        <w:rPr>
          <w:rFonts w:ascii="Verdana" w:hAnsi="Verdana"/>
          <w:sz w:val="18"/>
          <w:szCs w:val="18"/>
        </w:rPr>
        <w:t xml:space="preserve">, así como de abstenerse de realizar actos contrarios al objeto y fin de dichos instrumentos, incluso desde el momento de la firma del tratado. En el presente caso, no se trata de tratados suscritos y no ratificados, sino de tratados que están en vigor respecto de Venezuela, y de disposiciones de la Convención que deben ser interpretadas en armonía con esos oros compromisos internacionales.  </w:t>
      </w:r>
    </w:p>
    <w:p w14:paraId="4D4FDD1C" w14:textId="77777777" w:rsidR="00105028" w:rsidRPr="0051687A" w:rsidRDefault="00105028" w:rsidP="002A7F5B">
      <w:pPr>
        <w:pStyle w:val="ListParagraph"/>
        <w:ind w:left="708" w:right="615" w:firstLine="708"/>
        <w:jc w:val="both"/>
        <w:rPr>
          <w:rFonts w:ascii="Verdana" w:hAnsi="Verdana"/>
          <w:sz w:val="18"/>
          <w:szCs w:val="18"/>
        </w:rPr>
      </w:pPr>
    </w:p>
    <w:p w14:paraId="5FA0C5A0" w14:textId="314ADC77" w:rsidR="00807824" w:rsidRPr="0051687A" w:rsidRDefault="00807824" w:rsidP="002A7F5B">
      <w:pPr>
        <w:pStyle w:val="ListParagraph"/>
        <w:ind w:left="708" w:right="615" w:firstLine="708"/>
        <w:jc w:val="both"/>
        <w:rPr>
          <w:rFonts w:ascii="Verdana" w:hAnsi="Verdana"/>
          <w:sz w:val="18"/>
          <w:szCs w:val="18"/>
        </w:rPr>
      </w:pPr>
      <w:r w:rsidRPr="0051687A">
        <w:rPr>
          <w:rFonts w:ascii="Verdana" w:hAnsi="Verdana"/>
          <w:sz w:val="18"/>
          <w:szCs w:val="18"/>
        </w:rPr>
        <w:t xml:space="preserve">Adicionalmente, el art. 29, literal d, de la Convención prohíbe interpretar la Convención en el sentido de excluir o limitar el efecto que pueda producir, </w:t>
      </w:r>
      <w:r w:rsidRPr="0051687A">
        <w:rPr>
          <w:rFonts w:ascii="Verdana" w:hAnsi="Verdana"/>
          <w:i/>
          <w:sz w:val="18"/>
          <w:szCs w:val="18"/>
        </w:rPr>
        <w:t xml:space="preserve">inter </w:t>
      </w:r>
      <w:proofErr w:type="spellStart"/>
      <w:r w:rsidRPr="0051687A">
        <w:rPr>
          <w:rFonts w:ascii="Verdana" w:hAnsi="Verdana"/>
          <w:i/>
          <w:sz w:val="18"/>
          <w:szCs w:val="18"/>
        </w:rPr>
        <w:t>alia</w:t>
      </w:r>
      <w:proofErr w:type="spellEnd"/>
      <w:r w:rsidRPr="0051687A">
        <w:rPr>
          <w:rFonts w:ascii="Verdana" w:hAnsi="Verdana"/>
          <w:i/>
          <w:sz w:val="18"/>
          <w:szCs w:val="18"/>
        </w:rPr>
        <w:t xml:space="preserve">, </w:t>
      </w:r>
      <w:r w:rsidRPr="0051687A">
        <w:rPr>
          <w:rFonts w:ascii="Verdana" w:hAnsi="Verdana"/>
          <w:sz w:val="18"/>
          <w:szCs w:val="18"/>
        </w:rPr>
        <w:t xml:space="preserve">la </w:t>
      </w:r>
      <w:r w:rsidR="00C72955" w:rsidRPr="0051687A">
        <w:rPr>
          <w:rFonts w:ascii="Verdana" w:hAnsi="Verdana"/>
          <w:sz w:val="18"/>
          <w:szCs w:val="18"/>
        </w:rPr>
        <w:t>[D]</w:t>
      </w:r>
      <w:proofErr w:type="spellStart"/>
      <w:r w:rsidR="00C72955" w:rsidRPr="0051687A">
        <w:rPr>
          <w:rFonts w:ascii="Verdana" w:hAnsi="Verdana"/>
          <w:sz w:val="18"/>
          <w:szCs w:val="18"/>
        </w:rPr>
        <w:t>eclaración</w:t>
      </w:r>
      <w:proofErr w:type="spellEnd"/>
      <w:r w:rsidR="00C72955" w:rsidRPr="0051687A">
        <w:rPr>
          <w:rFonts w:ascii="Verdana" w:hAnsi="Verdana"/>
          <w:sz w:val="18"/>
          <w:szCs w:val="18"/>
        </w:rPr>
        <w:t xml:space="preserve"> Americana de Derechos y Deberes del Hombre, cuyo artículo XIV reconoce explícitamente el derecho al trabajo y a una justa retribución. En este sentido, es importante subrayar que, con la ratificación de la Convención Americana sobre Derechos Humano, los Estados [P]artes adquieren nuevas obligaciones en materia de derechos humanos, pero no se liberan de los compromisos ya asumidos como miembros de la Organización de Estados Americanos, de la cual esta ilustre Comisión </w:t>
      </w:r>
      <w:r w:rsidR="000B43C7" w:rsidRPr="0051687A">
        <w:rPr>
          <w:rFonts w:ascii="Verdana" w:hAnsi="Verdana"/>
          <w:sz w:val="18"/>
          <w:szCs w:val="18"/>
        </w:rPr>
        <w:t xml:space="preserve">es un órgano principal, con el mandato de promover la observancia y la defensa de los derechos humanos, entendiendo por tales los derechos </w:t>
      </w:r>
      <w:r w:rsidR="00F30E20" w:rsidRPr="0051687A">
        <w:rPr>
          <w:rFonts w:ascii="Verdana" w:hAnsi="Verdana"/>
          <w:sz w:val="18"/>
          <w:szCs w:val="18"/>
        </w:rPr>
        <w:t xml:space="preserve"> consagrados en la Convención y en la citada Declaración Americana. Sería absurdo asumir que la Comisión tiene competencia para ocuparse del derecho al trabajo sólo respecto de Estados que no han ratificados la Convención, o sugerir que, con la ratificación de esta última, los Estado miembros  de la OEA (y ahora partes en la Convención) tendrían menos obligaciones que antes, y que, con ese acto, la competencia de la Comisión se vería reducida. </w:t>
      </w:r>
    </w:p>
    <w:p w14:paraId="1FF884D1" w14:textId="77777777" w:rsidR="00F30E20" w:rsidRPr="0051687A" w:rsidRDefault="00F30E20" w:rsidP="002A7F5B">
      <w:pPr>
        <w:pStyle w:val="ListParagraph"/>
        <w:ind w:left="708" w:right="615" w:firstLine="708"/>
        <w:jc w:val="both"/>
        <w:rPr>
          <w:rFonts w:ascii="Verdana" w:hAnsi="Verdana"/>
          <w:sz w:val="18"/>
          <w:szCs w:val="18"/>
        </w:rPr>
      </w:pPr>
    </w:p>
    <w:p w14:paraId="3F0F0AFE" w14:textId="511B08EF" w:rsidR="00C77E3F" w:rsidRPr="0051687A" w:rsidRDefault="005401FD" w:rsidP="002A7F5B">
      <w:pPr>
        <w:pStyle w:val="ListParagraph"/>
        <w:ind w:left="708" w:right="615" w:firstLine="708"/>
        <w:jc w:val="both"/>
        <w:rPr>
          <w:rFonts w:ascii="Verdana" w:hAnsi="Verdana"/>
          <w:sz w:val="18"/>
          <w:szCs w:val="18"/>
        </w:rPr>
      </w:pPr>
      <w:r w:rsidRPr="0051687A">
        <w:rPr>
          <w:rFonts w:ascii="Verdana" w:hAnsi="Verdana"/>
          <w:sz w:val="18"/>
          <w:szCs w:val="18"/>
        </w:rPr>
        <w:t xml:space="preserve">La Corte Interamericana ha sostenido que los Estados deben velar por el estricto cumplimiento dela normativa de carácter laboral que mejor proteja a los trabajadores, independientemente de su nacionalidad, origen social, étnico o racial, y de su condición migratoria y, por lo tanto, tienen la obligación de tomar cuantas medidas de orden administrativo, legislativo o judicial  sean necesarias, para enmendar situaciones discriminatorias de </w:t>
      </w:r>
      <w:r w:rsidRPr="0051687A">
        <w:rPr>
          <w:rFonts w:ascii="Verdana" w:hAnsi="Verdana"/>
          <w:i/>
          <w:sz w:val="18"/>
          <w:szCs w:val="18"/>
        </w:rPr>
        <w:t xml:space="preserve">jure </w:t>
      </w:r>
      <w:r w:rsidR="00276747">
        <w:rPr>
          <w:rFonts w:ascii="Verdana" w:hAnsi="Verdana"/>
          <w:sz w:val="18"/>
          <w:szCs w:val="18"/>
        </w:rPr>
        <w:t>y para erradicar las prá</w:t>
      </w:r>
      <w:r w:rsidR="00C77E3F" w:rsidRPr="0051687A">
        <w:rPr>
          <w:rFonts w:ascii="Verdana" w:hAnsi="Verdana"/>
          <w:sz w:val="18"/>
          <w:szCs w:val="18"/>
        </w:rPr>
        <w:t xml:space="preserve">cticas discriminatorias realizadas por determinado empleador o grupo de empleadores, a nivel, local, regional, nacional o internacional, en perjuicio de trabajadores migrantes. Estas consideraciones son igualmente válidas respecto de los trabajadores nacionales, independientemente de que el empleador sea un particular o el propio Estado. </w:t>
      </w:r>
    </w:p>
    <w:p w14:paraId="324F8C24" w14:textId="77777777" w:rsidR="00EB53B3" w:rsidRPr="0051687A" w:rsidRDefault="00EB53B3" w:rsidP="002A7F5B">
      <w:pPr>
        <w:ind w:right="615"/>
        <w:jc w:val="both"/>
        <w:rPr>
          <w:rFonts w:ascii="Verdana" w:hAnsi="Verdana"/>
          <w:sz w:val="18"/>
          <w:szCs w:val="18"/>
        </w:rPr>
      </w:pPr>
    </w:p>
    <w:p w14:paraId="1C0C19A0" w14:textId="20C43535" w:rsidR="00F30E20" w:rsidRPr="0051687A" w:rsidRDefault="00EB53B3" w:rsidP="002A7F5B">
      <w:pPr>
        <w:pStyle w:val="ListParagraph"/>
        <w:ind w:left="708" w:right="615" w:firstLine="708"/>
        <w:jc w:val="both"/>
        <w:rPr>
          <w:rFonts w:ascii="Verdana" w:hAnsi="Verdana"/>
          <w:sz w:val="18"/>
          <w:szCs w:val="18"/>
        </w:rPr>
      </w:pPr>
      <w:r w:rsidRPr="0051687A">
        <w:rPr>
          <w:rFonts w:ascii="Verdana" w:hAnsi="Verdana"/>
          <w:sz w:val="18"/>
          <w:szCs w:val="18"/>
        </w:rPr>
        <w:t>E[s]</w:t>
      </w:r>
      <w:proofErr w:type="spellStart"/>
      <w:r w:rsidRPr="0051687A">
        <w:rPr>
          <w:rFonts w:ascii="Verdana" w:hAnsi="Verdana"/>
          <w:sz w:val="18"/>
          <w:szCs w:val="18"/>
        </w:rPr>
        <w:t>ta</w:t>
      </w:r>
      <w:proofErr w:type="spellEnd"/>
      <w:r w:rsidRPr="0051687A">
        <w:rPr>
          <w:rFonts w:ascii="Verdana" w:hAnsi="Verdana"/>
          <w:sz w:val="18"/>
          <w:szCs w:val="18"/>
        </w:rPr>
        <w:t xml:space="preserve"> ilustre Comisión se ha referido al derecho al trabajo </w:t>
      </w:r>
      <w:r w:rsidR="007E5A30" w:rsidRPr="0051687A">
        <w:rPr>
          <w:rFonts w:ascii="Verdana" w:hAnsi="Verdana"/>
          <w:sz w:val="18"/>
          <w:szCs w:val="18"/>
        </w:rPr>
        <w:t xml:space="preserve">en su informe especial sobre Cuba, observando que el Estado persiste en utilizar diversas formas </w:t>
      </w:r>
      <w:r w:rsidR="00C77E3F" w:rsidRPr="0051687A">
        <w:rPr>
          <w:rFonts w:ascii="Verdana" w:hAnsi="Verdana"/>
          <w:sz w:val="18"/>
          <w:szCs w:val="18"/>
        </w:rPr>
        <w:t xml:space="preserve"> </w:t>
      </w:r>
      <w:r w:rsidR="007E5A30" w:rsidRPr="0051687A">
        <w:rPr>
          <w:rFonts w:ascii="Verdana" w:hAnsi="Verdana"/>
          <w:sz w:val="18"/>
          <w:szCs w:val="18"/>
        </w:rPr>
        <w:t>de discriminación en el otorgamiento de trabajo por motivos ideológicos u otras razones conexas; según la Comisión, las personas que demuestran discrepancias políticas con el régimen son las que en mayor proporción se encuentran desempleadas, y que la discriminación en el empleo por razones ideológicas resulta un mecanismo fácil de aplicar en una economía en la cual el Estado es el único empleador.[</w:t>
      </w:r>
      <w:r w:rsidR="00F17A45" w:rsidRPr="0051687A">
        <w:rPr>
          <w:rFonts w:ascii="Verdana" w:hAnsi="Verdana"/>
          <w:sz w:val="18"/>
          <w:szCs w:val="18"/>
        </w:rPr>
        <w:t>…</w:t>
      </w:r>
      <w:r w:rsidR="007E5A30" w:rsidRPr="0051687A">
        <w:rPr>
          <w:rFonts w:ascii="Verdana" w:hAnsi="Verdana"/>
          <w:sz w:val="18"/>
          <w:szCs w:val="18"/>
        </w:rPr>
        <w:t>]</w:t>
      </w:r>
      <w:r w:rsidR="00F17A45" w:rsidRPr="0051687A">
        <w:rPr>
          <w:rFonts w:ascii="Verdana" w:hAnsi="Verdana"/>
          <w:sz w:val="18"/>
          <w:szCs w:val="18"/>
        </w:rPr>
        <w:t xml:space="preserve"> En el pre</w:t>
      </w:r>
      <w:r w:rsidR="0047111A" w:rsidRPr="0051687A">
        <w:rPr>
          <w:rFonts w:ascii="Verdana" w:hAnsi="Verdana"/>
          <w:sz w:val="18"/>
          <w:szCs w:val="18"/>
        </w:rPr>
        <w:t>sent</w:t>
      </w:r>
      <w:r w:rsidR="00F17A45" w:rsidRPr="0051687A">
        <w:rPr>
          <w:rFonts w:ascii="Verdana" w:hAnsi="Verdana"/>
          <w:sz w:val="18"/>
          <w:szCs w:val="18"/>
        </w:rPr>
        <w:t>e caso</w:t>
      </w:r>
      <w:r w:rsidR="0047111A" w:rsidRPr="0051687A">
        <w:rPr>
          <w:rFonts w:ascii="Verdana" w:hAnsi="Verdana"/>
          <w:sz w:val="18"/>
          <w:szCs w:val="18"/>
        </w:rPr>
        <w:t xml:space="preserve">, Rocío San Miguel, </w:t>
      </w:r>
      <w:proofErr w:type="spellStart"/>
      <w:r w:rsidR="0047111A" w:rsidRPr="0051687A">
        <w:rPr>
          <w:rFonts w:ascii="Verdana" w:hAnsi="Verdana"/>
          <w:sz w:val="18"/>
          <w:szCs w:val="18"/>
        </w:rPr>
        <w:t>Magally</w:t>
      </w:r>
      <w:proofErr w:type="spellEnd"/>
      <w:r w:rsidR="0047111A" w:rsidRPr="0051687A">
        <w:rPr>
          <w:rFonts w:ascii="Verdana" w:hAnsi="Verdana"/>
          <w:sz w:val="18"/>
          <w:szCs w:val="18"/>
        </w:rPr>
        <w:t xml:space="preserve"> Chang, y Thais Peña han sido despedidas de su empleo precisamente por manifestar opiniones discrepantes </w:t>
      </w:r>
      <w:r w:rsidR="002473F1" w:rsidRPr="0051687A">
        <w:rPr>
          <w:rFonts w:ascii="Verdana" w:hAnsi="Verdana"/>
          <w:sz w:val="18"/>
          <w:szCs w:val="18"/>
        </w:rPr>
        <w:t xml:space="preserve">de las del gobierno, con el ingrediente </w:t>
      </w:r>
      <w:r w:rsidR="00293141" w:rsidRPr="0051687A">
        <w:rPr>
          <w:rFonts w:ascii="Verdana" w:hAnsi="Verdana"/>
          <w:sz w:val="18"/>
          <w:szCs w:val="18"/>
        </w:rPr>
        <w:t xml:space="preserve">adicional de que Venezuela es un Estado [P]arte en la Convención Americana […]. </w:t>
      </w:r>
    </w:p>
    <w:p w14:paraId="6145095A" w14:textId="77777777" w:rsidR="0039248D" w:rsidRPr="0051687A" w:rsidRDefault="0039248D" w:rsidP="002A7F5B">
      <w:pPr>
        <w:pStyle w:val="ListParagraph"/>
        <w:ind w:left="708" w:right="615" w:firstLine="708"/>
        <w:jc w:val="both"/>
        <w:rPr>
          <w:rFonts w:ascii="Verdana" w:hAnsi="Verdana"/>
          <w:sz w:val="18"/>
          <w:szCs w:val="18"/>
        </w:rPr>
      </w:pPr>
    </w:p>
    <w:p w14:paraId="229163FF" w14:textId="386EACCF" w:rsidR="00212944" w:rsidRPr="0074390C" w:rsidRDefault="0039248D" w:rsidP="0074390C">
      <w:pPr>
        <w:pStyle w:val="ListParagraph"/>
        <w:ind w:left="708" w:right="615" w:firstLine="708"/>
        <w:jc w:val="both"/>
        <w:rPr>
          <w:rFonts w:ascii="Verdana" w:hAnsi="Verdana"/>
          <w:sz w:val="18"/>
          <w:szCs w:val="18"/>
        </w:rPr>
      </w:pPr>
      <w:r w:rsidRPr="0051687A">
        <w:rPr>
          <w:rFonts w:ascii="Verdana" w:hAnsi="Verdana"/>
          <w:sz w:val="18"/>
          <w:szCs w:val="18"/>
        </w:rPr>
        <w:t xml:space="preserve">[…] </w:t>
      </w:r>
      <w:r w:rsidRPr="0051687A">
        <w:rPr>
          <w:rFonts w:ascii="Verdana" w:hAnsi="Verdana"/>
          <w:sz w:val="18"/>
          <w:szCs w:val="18"/>
          <w:u w:val="single"/>
        </w:rPr>
        <w:t>En el presente caso, los actos del Estado se han traducido en una violación del derecho al trabajo de las víctimas, el cual se encuentra amparado por la Convención, en los términos previstos en el art. 26 de la misma</w:t>
      </w:r>
      <w:r w:rsidRPr="0051687A">
        <w:rPr>
          <w:rFonts w:ascii="Verdana" w:hAnsi="Verdana"/>
          <w:sz w:val="18"/>
          <w:szCs w:val="18"/>
        </w:rPr>
        <w:t>, en relación con el art. 45 de la Carta de la OEA, así como en los términos del art. 29, letras b y d, de la Convención en relación con el art. 6, párr. 1 del Pacto Internacional de Derechos Económicos, Soc</w:t>
      </w:r>
      <w:r w:rsidR="0074390C">
        <w:rPr>
          <w:rFonts w:ascii="Verdana" w:hAnsi="Verdana"/>
          <w:sz w:val="18"/>
          <w:szCs w:val="18"/>
        </w:rPr>
        <w:t xml:space="preserve">iales </w:t>
      </w:r>
      <w:r w:rsidR="0074390C">
        <w:rPr>
          <w:rFonts w:ascii="Verdana" w:hAnsi="Verdana"/>
          <w:sz w:val="18"/>
          <w:szCs w:val="18"/>
        </w:rPr>
        <w:lastRenderedPageBreak/>
        <w:t>y Culturales, el [a]</w:t>
      </w:r>
      <w:proofErr w:type="spellStart"/>
      <w:r w:rsidR="0074390C">
        <w:rPr>
          <w:rFonts w:ascii="Verdana" w:hAnsi="Verdana"/>
          <w:sz w:val="18"/>
          <w:szCs w:val="18"/>
        </w:rPr>
        <w:t>rt</w:t>
      </w:r>
      <w:proofErr w:type="spellEnd"/>
      <w:r w:rsidR="0074390C">
        <w:rPr>
          <w:rFonts w:ascii="Verdana" w:hAnsi="Verdana"/>
          <w:sz w:val="18"/>
          <w:szCs w:val="18"/>
        </w:rPr>
        <w:t>. 6</w:t>
      </w:r>
      <w:r w:rsidRPr="0051687A">
        <w:rPr>
          <w:rFonts w:ascii="Verdana" w:hAnsi="Verdana"/>
          <w:sz w:val="18"/>
          <w:szCs w:val="18"/>
        </w:rPr>
        <w:t>, párrafo  1, del Protocolo de San Salvador, y el art. XIV de la [D]</w:t>
      </w:r>
      <w:proofErr w:type="spellStart"/>
      <w:r w:rsidRPr="0051687A">
        <w:rPr>
          <w:rFonts w:ascii="Verdana" w:hAnsi="Verdana"/>
          <w:sz w:val="18"/>
          <w:szCs w:val="18"/>
        </w:rPr>
        <w:t>eclaración</w:t>
      </w:r>
      <w:proofErr w:type="spellEnd"/>
      <w:r w:rsidRPr="0051687A">
        <w:rPr>
          <w:rFonts w:ascii="Verdana" w:hAnsi="Verdana"/>
          <w:sz w:val="18"/>
          <w:szCs w:val="18"/>
        </w:rPr>
        <w:t xml:space="preserve"> Americana […] y así se pide se declare</w:t>
      </w:r>
      <w:r w:rsidR="00105028" w:rsidRPr="0051687A">
        <w:rPr>
          <w:rStyle w:val="FootnoteReference"/>
          <w:rFonts w:ascii="Verdana" w:hAnsi="Verdana"/>
          <w:sz w:val="18"/>
          <w:szCs w:val="18"/>
        </w:rPr>
        <w:footnoteReference w:id="26"/>
      </w:r>
      <w:r w:rsidR="00276747">
        <w:rPr>
          <w:rFonts w:ascii="Verdana" w:hAnsi="Verdana"/>
          <w:sz w:val="18"/>
          <w:szCs w:val="18"/>
        </w:rPr>
        <w:t>.</w:t>
      </w:r>
      <w:r w:rsidR="004569B6" w:rsidRPr="0051687A">
        <w:rPr>
          <w:rFonts w:ascii="Verdana" w:hAnsi="Verdana"/>
          <w:sz w:val="18"/>
          <w:szCs w:val="18"/>
        </w:rPr>
        <w:t xml:space="preserve"> [Énfasis añadido]</w:t>
      </w:r>
      <w:r w:rsidR="0074390C">
        <w:rPr>
          <w:rFonts w:ascii="Verdana" w:hAnsi="Verdana"/>
          <w:sz w:val="18"/>
          <w:szCs w:val="18"/>
        </w:rPr>
        <w:t>.</w:t>
      </w:r>
      <w:r w:rsidRPr="0051687A">
        <w:rPr>
          <w:rFonts w:ascii="Verdana" w:hAnsi="Verdana"/>
          <w:sz w:val="18"/>
          <w:szCs w:val="18"/>
        </w:rPr>
        <w:t xml:space="preserve">  </w:t>
      </w:r>
    </w:p>
    <w:p w14:paraId="4698BBCF" w14:textId="77777777" w:rsidR="005E3836" w:rsidRPr="006D2DE2" w:rsidRDefault="005E3836" w:rsidP="002A7F5B">
      <w:pPr>
        <w:pStyle w:val="ListParagraph"/>
        <w:ind w:left="708"/>
        <w:jc w:val="both"/>
        <w:rPr>
          <w:rFonts w:ascii="Verdana" w:hAnsi="Verdana"/>
          <w:sz w:val="20"/>
          <w:szCs w:val="20"/>
        </w:rPr>
      </w:pPr>
    </w:p>
    <w:p w14:paraId="18E8C96B" w14:textId="487D2336" w:rsidR="00105028" w:rsidRPr="006D2DE2" w:rsidRDefault="00105028"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Adicionalmente</w:t>
      </w:r>
      <w:r w:rsidR="0051687A">
        <w:rPr>
          <w:rFonts w:ascii="Verdana" w:hAnsi="Verdana"/>
          <w:sz w:val="20"/>
          <w:szCs w:val="20"/>
        </w:rPr>
        <w:t>,</w:t>
      </w:r>
      <w:r w:rsidRPr="006D2DE2">
        <w:rPr>
          <w:rFonts w:ascii="Verdana" w:hAnsi="Verdana"/>
          <w:sz w:val="20"/>
          <w:szCs w:val="20"/>
        </w:rPr>
        <w:t xml:space="preserve"> durante la audiencia pública</w:t>
      </w:r>
      <w:r w:rsidR="00276747">
        <w:rPr>
          <w:rFonts w:ascii="Verdana" w:hAnsi="Verdana"/>
          <w:sz w:val="20"/>
          <w:szCs w:val="20"/>
        </w:rPr>
        <w:t xml:space="preserve"> ante la Corte IDH</w:t>
      </w:r>
      <w:r w:rsidRPr="006D2DE2">
        <w:rPr>
          <w:rFonts w:ascii="Verdana" w:hAnsi="Verdana"/>
          <w:sz w:val="20"/>
          <w:szCs w:val="20"/>
        </w:rPr>
        <w:t xml:space="preserve">, el representante </w:t>
      </w:r>
      <w:r w:rsidR="00276747">
        <w:rPr>
          <w:rFonts w:ascii="Verdana" w:hAnsi="Verdana"/>
          <w:sz w:val="20"/>
          <w:szCs w:val="20"/>
        </w:rPr>
        <w:t xml:space="preserve">de las víctimas </w:t>
      </w:r>
      <w:r w:rsidRPr="006D2DE2">
        <w:rPr>
          <w:rFonts w:ascii="Verdana" w:hAnsi="Verdana"/>
          <w:sz w:val="20"/>
          <w:szCs w:val="20"/>
        </w:rPr>
        <w:t xml:space="preserve">manifestó que: </w:t>
      </w:r>
    </w:p>
    <w:p w14:paraId="1B389A63" w14:textId="77777777" w:rsidR="00105028" w:rsidRPr="006D2DE2" w:rsidRDefault="00105028" w:rsidP="002A7F5B">
      <w:pPr>
        <w:pStyle w:val="ListParagraph"/>
        <w:ind w:left="708"/>
        <w:jc w:val="both"/>
        <w:rPr>
          <w:rFonts w:ascii="Verdana" w:hAnsi="Verdana"/>
          <w:sz w:val="20"/>
          <w:szCs w:val="20"/>
        </w:rPr>
      </w:pPr>
    </w:p>
    <w:p w14:paraId="1E685E70" w14:textId="27DEE818" w:rsidR="004C5B8C" w:rsidRPr="0051687A" w:rsidRDefault="004C5B8C" w:rsidP="002A7F5B">
      <w:pPr>
        <w:pStyle w:val="ListParagraph"/>
        <w:ind w:left="708" w:right="566"/>
        <w:jc w:val="both"/>
        <w:rPr>
          <w:rFonts w:ascii="Verdana" w:hAnsi="Verdana"/>
          <w:sz w:val="18"/>
          <w:szCs w:val="18"/>
        </w:rPr>
      </w:pPr>
      <w:r w:rsidRPr="0051687A">
        <w:rPr>
          <w:rFonts w:ascii="Verdana" w:hAnsi="Verdana"/>
          <w:sz w:val="18"/>
          <w:szCs w:val="18"/>
        </w:rPr>
        <w:t>[…] En presencia de un acto de discriminación y de una violación de derechos fundamentales que</w:t>
      </w:r>
      <w:r w:rsidR="005E1DEB">
        <w:rPr>
          <w:rFonts w:ascii="Verdana" w:hAnsi="Verdana"/>
          <w:sz w:val="18"/>
          <w:szCs w:val="18"/>
        </w:rPr>
        <w:t>,</w:t>
      </w:r>
      <w:r w:rsidRPr="0051687A">
        <w:rPr>
          <w:rFonts w:ascii="Verdana" w:hAnsi="Verdana"/>
          <w:sz w:val="18"/>
          <w:szCs w:val="18"/>
        </w:rPr>
        <w:t xml:space="preserve"> entre otras cosas</w:t>
      </w:r>
      <w:r w:rsidR="005E1DEB">
        <w:rPr>
          <w:rFonts w:ascii="Verdana" w:hAnsi="Verdana"/>
          <w:sz w:val="18"/>
          <w:szCs w:val="18"/>
        </w:rPr>
        <w:t>,</w:t>
      </w:r>
      <w:r w:rsidRPr="0051687A">
        <w:rPr>
          <w:rFonts w:ascii="Verdana" w:hAnsi="Verdana"/>
          <w:sz w:val="18"/>
          <w:szCs w:val="18"/>
        </w:rPr>
        <w:t xml:space="preserve"> </w:t>
      </w:r>
      <w:r w:rsidRPr="0051687A">
        <w:rPr>
          <w:rFonts w:ascii="Verdana" w:hAnsi="Verdana"/>
          <w:sz w:val="18"/>
          <w:szCs w:val="18"/>
          <w:u w:val="single"/>
        </w:rPr>
        <w:t xml:space="preserve">se tradujo en el despido de las víctimas de sus cargos de la administración pública </w:t>
      </w:r>
      <w:r w:rsidRPr="0051687A">
        <w:rPr>
          <w:rFonts w:ascii="Verdana" w:hAnsi="Verdana"/>
          <w:sz w:val="18"/>
          <w:szCs w:val="18"/>
        </w:rPr>
        <w:t>nosotros introdujimos ante las instancias nacionales un recurso de amparo constitucional ante la jurisdicción laboral, amparo constitucional […] porque los derechos afectados eran derechos fundamentales y porque la única forma que teníamos de objetar el derecho lesionado, la discriminación política</w:t>
      </w:r>
      <w:r w:rsidR="006D17A2">
        <w:rPr>
          <w:rFonts w:ascii="Verdana" w:hAnsi="Verdana"/>
          <w:sz w:val="18"/>
          <w:szCs w:val="18"/>
        </w:rPr>
        <w:t>,</w:t>
      </w:r>
      <w:r w:rsidRPr="0051687A">
        <w:rPr>
          <w:rFonts w:ascii="Verdana" w:hAnsi="Verdana"/>
          <w:sz w:val="18"/>
          <w:szCs w:val="18"/>
        </w:rPr>
        <w:t xml:space="preserve"> era precisamente por esa vía. </w:t>
      </w:r>
    </w:p>
    <w:p w14:paraId="78B55C36" w14:textId="01415C10" w:rsidR="004C5B8C" w:rsidRPr="0051687A" w:rsidRDefault="004C5B8C" w:rsidP="002A7F5B">
      <w:pPr>
        <w:pStyle w:val="ListParagraph"/>
        <w:ind w:left="708" w:right="566"/>
        <w:jc w:val="both"/>
        <w:rPr>
          <w:rFonts w:ascii="Verdana" w:hAnsi="Verdana"/>
          <w:sz w:val="18"/>
          <w:szCs w:val="18"/>
        </w:rPr>
      </w:pPr>
      <w:r w:rsidRPr="0051687A">
        <w:rPr>
          <w:rFonts w:ascii="Verdana" w:hAnsi="Verdana"/>
          <w:sz w:val="18"/>
          <w:szCs w:val="18"/>
        </w:rPr>
        <w:t>[…]</w:t>
      </w:r>
    </w:p>
    <w:p w14:paraId="43757EC5" w14:textId="77777777" w:rsidR="004C5B8C" w:rsidRPr="0051687A" w:rsidRDefault="004C5B8C" w:rsidP="002A7F5B">
      <w:pPr>
        <w:pStyle w:val="ListParagraph"/>
        <w:ind w:left="708" w:right="566"/>
        <w:jc w:val="both"/>
        <w:rPr>
          <w:rFonts w:ascii="Verdana" w:hAnsi="Verdana"/>
          <w:sz w:val="18"/>
          <w:szCs w:val="18"/>
        </w:rPr>
      </w:pPr>
    </w:p>
    <w:p w14:paraId="24FBA84F" w14:textId="1F9BBCA0" w:rsidR="004C5B8C" w:rsidRPr="0051687A" w:rsidRDefault="004C5B8C" w:rsidP="002A7F5B">
      <w:pPr>
        <w:pStyle w:val="ListParagraph"/>
        <w:ind w:left="708" w:right="566"/>
        <w:jc w:val="both"/>
        <w:rPr>
          <w:rFonts w:ascii="Verdana" w:hAnsi="Verdana"/>
          <w:sz w:val="18"/>
          <w:szCs w:val="18"/>
          <w:u w:val="single"/>
        </w:rPr>
      </w:pPr>
      <w:r w:rsidRPr="0051687A">
        <w:rPr>
          <w:rFonts w:ascii="Verdana" w:hAnsi="Verdana"/>
          <w:sz w:val="18"/>
          <w:szCs w:val="18"/>
        </w:rPr>
        <w:t xml:space="preserve">[…] Los derechos humanos son los derechos de todos sin distinción de ninguna especie, ni la libertad de expresión, ni los derechos políticos, ni el derecho </w:t>
      </w:r>
      <w:r w:rsidR="006D17A2">
        <w:rPr>
          <w:rFonts w:ascii="Verdana" w:hAnsi="Verdana"/>
          <w:sz w:val="18"/>
          <w:szCs w:val="18"/>
        </w:rPr>
        <w:t>de</w:t>
      </w:r>
      <w:r w:rsidR="006D17A2" w:rsidRPr="0051687A">
        <w:rPr>
          <w:rFonts w:ascii="Verdana" w:hAnsi="Verdana"/>
          <w:sz w:val="18"/>
          <w:szCs w:val="18"/>
        </w:rPr>
        <w:t xml:space="preserve"> </w:t>
      </w:r>
      <w:r w:rsidRPr="0051687A">
        <w:rPr>
          <w:rFonts w:ascii="Verdana" w:hAnsi="Verdana"/>
          <w:sz w:val="18"/>
          <w:szCs w:val="18"/>
        </w:rPr>
        <w:t xml:space="preserve">acceso a los cargos públicos, </w:t>
      </w:r>
      <w:r w:rsidRPr="0051687A">
        <w:rPr>
          <w:rFonts w:ascii="Verdana" w:hAnsi="Verdana"/>
          <w:sz w:val="18"/>
          <w:szCs w:val="18"/>
          <w:u w:val="single"/>
        </w:rPr>
        <w:t xml:space="preserve">ni el derecho al trabajo </w:t>
      </w:r>
      <w:r w:rsidRPr="0051687A">
        <w:rPr>
          <w:rFonts w:ascii="Verdana" w:hAnsi="Verdana"/>
          <w:sz w:val="18"/>
          <w:szCs w:val="18"/>
        </w:rPr>
        <w:t>en los términos [en] que est</w:t>
      </w:r>
      <w:r w:rsidR="00276747">
        <w:rPr>
          <w:rFonts w:ascii="Verdana" w:hAnsi="Verdana"/>
          <w:sz w:val="18"/>
          <w:szCs w:val="18"/>
        </w:rPr>
        <w:t>á</w:t>
      </w:r>
      <w:r w:rsidRPr="0051687A">
        <w:rPr>
          <w:rFonts w:ascii="Verdana" w:hAnsi="Verdana"/>
          <w:sz w:val="18"/>
          <w:szCs w:val="18"/>
        </w:rPr>
        <w:t xml:space="preserve"> consagrado en el Protocolo de San Salvador</w:t>
      </w:r>
      <w:r w:rsidRPr="0051687A">
        <w:rPr>
          <w:rFonts w:ascii="Verdana" w:hAnsi="Verdana"/>
          <w:sz w:val="18"/>
          <w:szCs w:val="18"/>
          <w:u w:val="single"/>
        </w:rPr>
        <w:t xml:space="preserve"> o en los términos que se deducen del artículo 26 de la misma Convención Americana, excluyen su aplicación a quienes sostengan determinadas ideas […]</w:t>
      </w:r>
    </w:p>
    <w:p w14:paraId="1F6FDA5D" w14:textId="77777777" w:rsidR="004C5B8C" w:rsidRPr="0051687A" w:rsidRDefault="004C5B8C" w:rsidP="002A7F5B">
      <w:pPr>
        <w:pStyle w:val="ListParagraph"/>
        <w:ind w:left="708" w:right="566"/>
        <w:jc w:val="both"/>
        <w:rPr>
          <w:rFonts w:ascii="Verdana" w:hAnsi="Verdana"/>
          <w:sz w:val="18"/>
          <w:szCs w:val="18"/>
          <w:u w:val="single"/>
        </w:rPr>
      </w:pPr>
    </w:p>
    <w:p w14:paraId="2118DE8E" w14:textId="6B30B126" w:rsidR="004C5B8C" w:rsidRPr="0051687A" w:rsidRDefault="004C5B8C" w:rsidP="002A7F5B">
      <w:pPr>
        <w:pStyle w:val="ListParagraph"/>
        <w:ind w:left="708" w:right="566"/>
        <w:jc w:val="both"/>
        <w:rPr>
          <w:rFonts w:ascii="Verdana" w:hAnsi="Verdana"/>
          <w:sz w:val="18"/>
          <w:szCs w:val="18"/>
        </w:rPr>
      </w:pPr>
      <w:r w:rsidRPr="0051687A">
        <w:rPr>
          <w:rFonts w:ascii="Verdana" w:hAnsi="Verdana"/>
          <w:sz w:val="18"/>
          <w:szCs w:val="18"/>
        </w:rPr>
        <w:t>[…]</w:t>
      </w:r>
    </w:p>
    <w:p w14:paraId="1D708E47" w14:textId="77777777" w:rsidR="004C5B8C" w:rsidRPr="0051687A" w:rsidRDefault="004C5B8C" w:rsidP="002A7F5B">
      <w:pPr>
        <w:pStyle w:val="ListParagraph"/>
        <w:ind w:left="708" w:right="566"/>
        <w:jc w:val="both"/>
        <w:rPr>
          <w:rFonts w:ascii="Verdana" w:hAnsi="Verdana"/>
          <w:sz w:val="18"/>
          <w:szCs w:val="18"/>
        </w:rPr>
      </w:pPr>
    </w:p>
    <w:p w14:paraId="020EE9D3" w14:textId="3F708DB7" w:rsidR="004C5B8C" w:rsidRPr="0051687A" w:rsidRDefault="004C5B8C" w:rsidP="002A7F5B">
      <w:pPr>
        <w:pStyle w:val="ListParagraph"/>
        <w:ind w:left="708" w:right="566"/>
        <w:jc w:val="both"/>
        <w:rPr>
          <w:rFonts w:ascii="Verdana" w:hAnsi="Verdana"/>
          <w:sz w:val="18"/>
          <w:szCs w:val="18"/>
          <w:u w:val="single"/>
        </w:rPr>
      </w:pPr>
      <w:r w:rsidRPr="0051687A">
        <w:rPr>
          <w:rFonts w:ascii="Verdana" w:hAnsi="Verdana"/>
          <w:sz w:val="18"/>
          <w:szCs w:val="18"/>
        </w:rPr>
        <w:t xml:space="preserve">[…] Hemos escuchado de las víctimas </w:t>
      </w:r>
      <w:r w:rsidRPr="0051687A">
        <w:rPr>
          <w:rFonts w:ascii="Verdana" w:hAnsi="Verdana"/>
          <w:sz w:val="18"/>
          <w:szCs w:val="18"/>
          <w:u w:val="single"/>
        </w:rPr>
        <w:t xml:space="preserve">la acreditación de una </w:t>
      </w:r>
      <w:r w:rsidR="00467985" w:rsidRPr="0051687A">
        <w:rPr>
          <w:rFonts w:ascii="Verdana" w:hAnsi="Verdana"/>
          <w:sz w:val="18"/>
          <w:szCs w:val="18"/>
          <w:u w:val="single"/>
        </w:rPr>
        <w:t xml:space="preserve">destitución, de un despido, de la eliminación de un contrato laboral, como consecuencia de una sanción, de una pena impuesta sin proceso previo, sin ser oídas en </w:t>
      </w:r>
      <w:r w:rsidR="007070F7">
        <w:rPr>
          <w:rFonts w:ascii="Verdana" w:hAnsi="Verdana"/>
          <w:sz w:val="18"/>
          <w:szCs w:val="18"/>
          <w:u w:val="single"/>
        </w:rPr>
        <w:t>forma</w:t>
      </w:r>
      <w:r w:rsidR="007070F7" w:rsidRPr="0051687A">
        <w:rPr>
          <w:rFonts w:ascii="Verdana" w:hAnsi="Verdana"/>
          <w:sz w:val="18"/>
          <w:szCs w:val="18"/>
          <w:u w:val="single"/>
        </w:rPr>
        <w:t xml:space="preserve"> </w:t>
      </w:r>
      <w:r w:rsidR="00467985" w:rsidRPr="0051687A">
        <w:rPr>
          <w:rFonts w:ascii="Verdana" w:hAnsi="Verdana"/>
          <w:sz w:val="18"/>
          <w:szCs w:val="18"/>
          <w:u w:val="single"/>
        </w:rPr>
        <w:t>anterior, sin escuchar las pruebas de cargos, sin tener la posibilidad de presentar las pruebas de descargo. […]</w:t>
      </w:r>
      <w:r w:rsidR="008400E7" w:rsidRPr="0051687A">
        <w:rPr>
          <w:rStyle w:val="FootnoteReference"/>
          <w:rFonts w:ascii="Verdana" w:hAnsi="Verdana"/>
          <w:sz w:val="18"/>
          <w:szCs w:val="18"/>
          <w:u w:val="single"/>
        </w:rPr>
        <w:footnoteReference w:id="27"/>
      </w:r>
      <w:r w:rsidR="00467985" w:rsidRPr="0051687A">
        <w:rPr>
          <w:rFonts w:ascii="Verdana" w:hAnsi="Verdana"/>
          <w:sz w:val="18"/>
          <w:szCs w:val="18"/>
          <w:u w:val="single"/>
        </w:rPr>
        <w:t xml:space="preserve">. </w:t>
      </w:r>
    </w:p>
    <w:p w14:paraId="658784CE" w14:textId="77777777" w:rsidR="00105028" w:rsidRPr="0051687A" w:rsidRDefault="00105028" w:rsidP="002A7F5B">
      <w:pPr>
        <w:jc w:val="both"/>
        <w:rPr>
          <w:rFonts w:ascii="Verdana" w:hAnsi="Verdana"/>
          <w:sz w:val="18"/>
          <w:szCs w:val="18"/>
        </w:rPr>
      </w:pPr>
    </w:p>
    <w:p w14:paraId="7EEF86C8" w14:textId="2664F47E" w:rsidR="00105028" w:rsidRPr="00CD75B3" w:rsidRDefault="00105028" w:rsidP="002A7F5B">
      <w:pPr>
        <w:pStyle w:val="ListParagraph"/>
        <w:numPr>
          <w:ilvl w:val="0"/>
          <w:numId w:val="1"/>
        </w:numPr>
        <w:ind w:left="0" w:firstLine="0"/>
        <w:jc w:val="both"/>
        <w:rPr>
          <w:rFonts w:ascii="Verdana" w:hAnsi="Verdana"/>
          <w:sz w:val="20"/>
          <w:szCs w:val="20"/>
        </w:rPr>
      </w:pPr>
      <w:r w:rsidRPr="00CD75B3">
        <w:rPr>
          <w:rFonts w:ascii="Verdana" w:hAnsi="Verdana"/>
          <w:sz w:val="20"/>
          <w:szCs w:val="20"/>
        </w:rPr>
        <w:t>En el Escrito</w:t>
      </w:r>
      <w:r w:rsidR="00467985" w:rsidRPr="00CD75B3">
        <w:rPr>
          <w:rFonts w:ascii="Verdana" w:hAnsi="Verdana"/>
          <w:sz w:val="20"/>
          <w:szCs w:val="20"/>
        </w:rPr>
        <w:t xml:space="preserve"> de Argumentos Finales</w:t>
      </w:r>
      <w:r w:rsidRPr="00CD75B3">
        <w:rPr>
          <w:rFonts w:ascii="Verdana" w:hAnsi="Verdana"/>
          <w:sz w:val="20"/>
          <w:szCs w:val="20"/>
        </w:rPr>
        <w:t xml:space="preserve">, el representante también externó que: </w:t>
      </w:r>
    </w:p>
    <w:p w14:paraId="0A045A5F" w14:textId="77777777" w:rsidR="00467985" w:rsidRPr="0051687A" w:rsidRDefault="00467985" w:rsidP="002A7F5B">
      <w:pPr>
        <w:pStyle w:val="ListParagraph"/>
        <w:ind w:left="708"/>
        <w:jc w:val="both"/>
        <w:rPr>
          <w:rFonts w:ascii="Verdana" w:hAnsi="Verdana"/>
          <w:sz w:val="18"/>
          <w:szCs w:val="18"/>
        </w:rPr>
      </w:pPr>
    </w:p>
    <w:p w14:paraId="640BA4C2" w14:textId="1D7469CC" w:rsidR="00467985" w:rsidRPr="0051687A" w:rsidRDefault="00467985" w:rsidP="002A7F5B">
      <w:pPr>
        <w:pStyle w:val="ListParagraph"/>
        <w:ind w:left="708" w:right="850"/>
        <w:jc w:val="both"/>
        <w:rPr>
          <w:rFonts w:ascii="Verdana" w:hAnsi="Verdana"/>
          <w:sz w:val="18"/>
          <w:szCs w:val="18"/>
        </w:rPr>
      </w:pPr>
      <w:r w:rsidRPr="0051687A">
        <w:rPr>
          <w:rFonts w:ascii="Verdana" w:hAnsi="Verdana"/>
          <w:sz w:val="18"/>
          <w:szCs w:val="18"/>
        </w:rPr>
        <w:t>[…] se concluye que el Estado, incurrió en desviación de poder al echar mano</w:t>
      </w:r>
      <w:r w:rsidR="000C189A" w:rsidRPr="0051687A">
        <w:rPr>
          <w:rFonts w:ascii="Verdana" w:hAnsi="Verdana"/>
          <w:sz w:val="18"/>
          <w:szCs w:val="18"/>
        </w:rPr>
        <w:t xml:space="preserve"> a la formalidad de un contrato, para retirar a las víctimas por su participación como firmantes de la solicitud </w:t>
      </w:r>
      <w:r w:rsidR="0060491F" w:rsidRPr="0051687A">
        <w:rPr>
          <w:rFonts w:ascii="Verdana" w:hAnsi="Verdana"/>
          <w:sz w:val="18"/>
          <w:szCs w:val="18"/>
        </w:rPr>
        <w:t>del proceso de revocatoria del Presidente […], siendo los contratados funcionarios públicos, que no podían ser retirados discrecionalmente sin motivación alguna y, en todo caso, sin debido proceso […]</w:t>
      </w:r>
      <w:r w:rsidR="008400E7" w:rsidRPr="0051687A">
        <w:rPr>
          <w:rFonts w:ascii="Verdana" w:hAnsi="Verdana"/>
          <w:sz w:val="18"/>
          <w:szCs w:val="18"/>
        </w:rPr>
        <w:t xml:space="preserve">. </w:t>
      </w:r>
      <w:r w:rsidR="008400E7" w:rsidRPr="0051687A">
        <w:rPr>
          <w:rStyle w:val="FootnoteReference"/>
          <w:rFonts w:ascii="Verdana" w:hAnsi="Verdana"/>
          <w:sz w:val="18"/>
          <w:szCs w:val="18"/>
        </w:rPr>
        <w:footnoteReference w:id="28"/>
      </w:r>
      <w:r w:rsidRPr="0051687A">
        <w:rPr>
          <w:rFonts w:ascii="Verdana" w:hAnsi="Verdana"/>
          <w:sz w:val="18"/>
          <w:szCs w:val="18"/>
        </w:rPr>
        <w:t xml:space="preserve"> </w:t>
      </w:r>
    </w:p>
    <w:p w14:paraId="5F4C5F21" w14:textId="77777777" w:rsidR="00105028" w:rsidRPr="006D2DE2" w:rsidRDefault="00105028" w:rsidP="002A7F5B">
      <w:pPr>
        <w:pStyle w:val="ListParagraph"/>
        <w:ind w:left="0"/>
        <w:jc w:val="both"/>
        <w:rPr>
          <w:rFonts w:ascii="Verdana" w:hAnsi="Verdana"/>
          <w:sz w:val="20"/>
          <w:szCs w:val="20"/>
        </w:rPr>
      </w:pPr>
    </w:p>
    <w:p w14:paraId="2522F347" w14:textId="1C8560D8" w:rsidR="00276747" w:rsidRDefault="00105028"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De esta manera </w:t>
      </w:r>
      <w:r w:rsidR="00212944" w:rsidRPr="006D2DE2">
        <w:rPr>
          <w:rFonts w:ascii="Verdana" w:hAnsi="Verdana"/>
          <w:sz w:val="20"/>
          <w:szCs w:val="20"/>
        </w:rPr>
        <w:t xml:space="preserve">es claro que desde un inicio </w:t>
      </w:r>
      <w:r w:rsidR="0051687A">
        <w:rPr>
          <w:rFonts w:ascii="Verdana" w:hAnsi="Verdana"/>
          <w:sz w:val="20"/>
          <w:szCs w:val="20"/>
        </w:rPr>
        <w:t>—</w:t>
      </w:r>
      <w:r w:rsidR="003D38AB" w:rsidRPr="006D2DE2">
        <w:rPr>
          <w:rFonts w:ascii="Verdana" w:hAnsi="Verdana"/>
          <w:sz w:val="20"/>
          <w:szCs w:val="20"/>
        </w:rPr>
        <w:t>en el escrito de la petición inicial</w:t>
      </w:r>
      <w:r w:rsidR="008D1FE9">
        <w:rPr>
          <w:rFonts w:ascii="Verdana" w:hAnsi="Verdana"/>
          <w:sz w:val="20"/>
          <w:szCs w:val="20"/>
        </w:rPr>
        <w:t xml:space="preserve"> ante la Comisión Interamericana</w:t>
      </w:r>
      <w:r w:rsidR="0051687A">
        <w:rPr>
          <w:rFonts w:ascii="Verdana" w:hAnsi="Verdana"/>
          <w:sz w:val="20"/>
          <w:szCs w:val="20"/>
        </w:rPr>
        <w:t>—</w:t>
      </w:r>
      <w:r w:rsidR="004569B6" w:rsidRPr="006D2DE2">
        <w:rPr>
          <w:rFonts w:ascii="Verdana" w:hAnsi="Verdana"/>
          <w:sz w:val="20"/>
          <w:szCs w:val="20"/>
        </w:rPr>
        <w:t xml:space="preserve"> y en diferentes oportunidades</w:t>
      </w:r>
      <w:r w:rsidR="0051687A">
        <w:rPr>
          <w:rFonts w:ascii="Verdana" w:hAnsi="Verdana"/>
          <w:sz w:val="20"/>
          <w:szCs w:val="20"/>
        </w:rPr>
        <w:t xml:space="preserve"> posteriores</w:t>
      </w:r>
      <w:r w:rsidR="00276747">
        <w:rPr>
          <w:rFonts w:ascii="Verdana" w:hAnsi="Verdana"/>
          <w:sz w:val="20"/>
          <w:szCs w:val="20"/>
        </w:rPr>
        <w:t xml:space="preserve"> en la Comisión y ante esta Corte IDH</w:t>
      </w:r>
      <w:r w:rsidR="004569B6" w:rsidRPr="006D2DE2">
        <w:rPr>
          <w:rFonts w:ascii="Verdana" w:hAnsi="Verdana"/>
          <w:sz w:val="20"/>
          <w:szCs w:val="20"/>
        </w:rPr>
        <w:t>,</w:t>
      </w:r>
      <w:r w:rsidR="003D38AB" w:rsidRPr="006D2DE2">
        <w:rPr>
          <w:rFonts w:ascii="Verdana" w:hAnsi="Verdana"/>
          <w:sz w:val="20"/>
          <w:szCs w:val="20"/>
        </w:rPr>
        <w:t xml:space="preserve"> </w:t>
      </w:r>
      <w:r w:rsidR="00212944" w:rsidRPr="006D2DE2">
        <w:rPr>
          <w:rFonts w:ascii="Verdana" w:hAnsi="Verdana"/>
          <w:sz w:val="20"/>
          <w:szCs w:val="20"/>
        </w:rPr>
        <w:t xml:space="preserve">fue la pretensión de las víctimas que este derecho encontrara protección. </w:t>
      </w:r>
      <w:r w:rsidR="00CA293C" w:rsidRPr="006D2DE2">
        <w:rPr>
          <w:rFonts w:ascii="Verdana" w:hAnsi="Verdana"/>
          <w:sz w:val="20"/>
          <w:szCs w:val="20"/>
        </w:rPr>
        <w:t>E</w:t>
      </w:r>
      <w:r w:rsidR="00212944" w:rsidRPr="006D2DE2">
        <w:rPr>
          <w:rFonts w:ascii="Verdana" w:hAnsi="Verdana"/>
          <w:sz w:val="20"/>
          <w:szCs w:val="20"/>
        </w:rPr>
        <w:t>sto también es concordante con los reclamos a nivel interno</w:t>
      </w:r>
      <w:r w:rsidR="008400E7" w:rsidRPr="006D2DE2">
        <w:rPr>
          <w:rStyle w:val="FootnoteReference"/>
          <w:rFonts w:ascii="Verdana" w:hAnsi="Verdana"/>
          <w:sz w:val="20"/>
          <w:szCs w:val="20"/>
        </w:rPr>
        <w:footnoteReference w:id="29"/>
      </w:r>
      <w:r w:rsidR="00212944" w:rsidRPr="006D2DE2">
        <w:rPr>
          <w:rFonts w:ascii="Verdana" w:hAnsi="Verdana"/>
          <w:sz w:val="20"/>
          <w:szCs w:val="20"/>
        </w:rPr>
        <w:t xml:space="preserve">. Es por ello que </w:t>
      </w:r>
      <w:r w:rsidR="00212944" w:rsidRPr="006D2DE2">
        <w:rPr>
          <w:rFonts w:ascii="Verdana" w:hAnsi="Verdana"/>
          <w:sz w:val="20"/>
          <w:szCs w:val="20"/>
        </w:rPr>
        <w:lastRenderedPageBreak/>
        <w:t xml:space="preserve">invocar el principio </w:t>
      </w:r>
      <w:proofErr w:type="spellStart"/>
      <w:r w:rsidR="00212944" w:rsidRPr="006D2DE2">
        <w:rPr>
          <w:rFonts w:ascii="Verdana" w:hAnsi="Verdana"/>
          <w:i/>
          <w:sz w:val="20"/>
          <w:szCs w:val="20"/>
        </w:rPr>
        <w:t>iura</w:t>
      </w:r>
      <w:proofErr w:type="spellEnd"/>
      <w:r w:rsidR="00212944" w:rsidRPr="006D2DE2">
        <w:rPr>
          <w:rFonts w:ascii="Verdana" w:hAnsi="Verdana"/>
          <w:i/>
          <w:sz w:val="20"/>
          <w:szCs w:val="20"/>
        </w:rPr>
        <w:t xml:space="preserve"> </w:t>
      </w:r>
      <w:proofErr w:type="spellStart"/>
      <w:r w:rsidR="00212944" w:rsidRPr="006D2DE2">
        <w:rPr>
          <w:rFonts w:ascii="Verdana" w:hAnsi="Verdana"/>
          <w:i/>
          <w:sz w:val="20"/>
          <w:szCs w:val="20"/>
        </w:rPr>
        <w:t>novit</w:t>
      </w:r>
      <w:proofErr w:type="spellEnd"/>
      <w:r w:rsidR="00212944" w:rsidRPr="006D2DE2">
        <w:rPr>
          <w:rFonts w:ascii="Verdana" w:hAnsi="Verdana"/>
          <w:i/>
          <w:sz w:val="20"/>
          <w:szCs w:val="20"/>
        </w:rPr>
        <w:t xml:space="preserve"> curia</w:t>
      </w:r>
      <w:r w:rsidR="00CD75B3">
        <w:rPr>
          <w:rFonts w:ascii="Verdana" w:hAnsi="Verdana"/>
          <w:sz w:val="20"/>
          <w:szCs w:val="20"/>
        </w:rPr>
        <w:t xml:space="preserve"> </w:t>
      </w:r>
      <w:r w:rsidR="0051687A">
        <w:rPr>
          <w:rFonts w:ascii="Verdana" w:hAnsi="Verdana"/>
          <w:sz w:val="20"/>
          <w:szCs w:val="20"/>
        </w:rPr>
        <w:t xml:space="preserve">en relación </w:t>
      </w:r>
      <w:r w:rsidR="008D1FE9">
        <w:rPr>
          <w:rFonts w:ascii="Verdana" w:hAnsi="Verdana"/>
          <w:sz w:val="20"/>
          <w:szCs w:val="20"/>
        </w:rPr>
        <w:t>con el</w:t>
      </w:r>
      <w:r w:rsidRPr="006D2DE2">
        <w:rPr>
          <w:rFonts w:ascii="Verdana" w:hAnsi="Verdana"/>
          <w:sz w:val="20"/>
          <w:szCs w:val="20"/>
        </w:rPr>
        <w:t xml:space="preserve"> derecho al trabajo</w:t>
      </w:r>
      <w:r w:rsidR="00212944" w:rsidRPr="006D2DE2">
        <w:rPr>
          <w:rFonts w:ascii="Verdana" w:hAnsi="Verdana"/>
          <w:sz w:val="20"/>
          <w:szCs w:val="20"/>
        </w:rPr>
        <w:t xml:space="preserve"> fue fundamental para poder dotar de una mejor compresión </w:t>
      </w:r>
      <w:r w:rsidR="00BD6E4C">
        <w:rPr>
          <w:rFonts w:ascii="Verdana" w:hAnsi="Verdana"/>
          <w:sz w:val="20"/>
          <w:szCs w:val="20"/>
        </w:rPr>
        <w:t xml:space="preserve">a </w:t>
      </w:r>
      <w:r w:rsidR="00212944" w:rsidRPr="006D2DE2">
        <w:rPr>
          <w:rFonts w:ascii="Verdana" w:hAnsi="Verdana"/>
          <w:sz w:val="20"/>
          <w:szCs w:val="20"/>
        </w:rPr>
        <w:t>la situac</w:t>
      </w:r>
      <w:r w:rsidRPr="006D2DE2">
        <w:rPr>
          <w:rFonts w:ascii="Verdana" w:hAnsi="Verdana"/>
          <w:sz w:val="20"/>
          <w:szCs w:val="20"/>
        </w:rPr>
        <w:t>ión en concreto en la que las ví</w:t>
      </w:r>
      <w:r w:rsidR="00212944" w:rsidRPr="006D2DE2">
        <w:rPr>
          <w:rFonts w:ascii="Verdana" w:hAnsi="Verdana"/>
          <w:sz w:val="20"/>
          <w:szCs w:val="20"/>
        </w:rPr>
        <w:t xml:space="preserve">ctimas del presente caso vieron transgredidos sus derechos. </w:t>
      </w:r>
      <w:r w:rsidR="00276747">
        <w:rPr>
          <w:rFonts w:ascii="Verdana" w:hAnsi="Verdana"/>
          <w:sz w:val="20"/>
          <w:szCs w:val="20"/>
        </w:rPr>
        <w:t>Lo anterior, teniendo en consideración que “las partes han tenido la oportunidad de expresar</w:t>
      </w:r>
      <w:r w:rsidR="00BD6E4C">
        <w:rPr>
          <w:rFonts w:ascii="Verdana" w:hAnsi="Verdana"/>
          <w:sz w:val="20"/>
          <w:szCs w:val="20"/>
        </w:rPr>
        <w:t xml:space="preserve"> sus respectivas posiciones en </w:t>
      </w:r>
      <w:r w:rsidR="00276747">
        <w:rPr>
          <w:rFonts w:ascii="Verdana" w:hAnsi="Verdana"/>
          <w:sz w:val="20"/>
          <w:szCs w:val="20"/>
        </w:rPr>
        <w:t>relación con los hechos que las sustentan</w:t>
      </w:r>
      <w:r w:rsidR="00BD6E4C">
        <w:rPr>
          <w:rFonts w:ascii="Verdana" w:hAnsi="Verdana"/>
          <w:sz w:val="20"/>
          <w:szCs w:val="20"/>
        </w:rPr>
        <w:t>”</w:t>
      </w:r>
      <w:r w:rsidR="00A35DFD" w:rsidRPr="00A35DFD">
        <w:rPr>
          <w:rStyle w:val="FootnoteReference"/>
          <w:rFonts w:ascii="Verdana" w:hAnsi="Verdana"/>
          <w:sz w:val="20"/>
          <w:szCs w:val="20"/>
        </w:rPr>
        <w:t xml:space="preserve"> </w:t>
      </w:r>
      <w:r w:rsidR="00A35DFD" w:rsidRPr="006D2DE2">
        <w:rPr>
          <w:rStyle w:val="FootnoteReference"/>
          <w:rFonts w:ascii="Verdana" w:hAnsi="Verdana"/>
          <w:sz w:val="20"/>
          <w:szCs w:val="20"/>
        </w:rPr>
        <w:footnoteReference w:id="30"/>
      </w:r>
      <w:r w:rsidR="00A35DFD">
        <w:rPr>
          <w:rFonts w:ascii="Verdana" w:hAnsi="Verdana"/>
          <w:sz w:val="20"/>
          <w:szCs w:val="20"/>
        </w:rPr>
        <w:t>. Por lo que la Corte IDH decidió</w:t>
      </w:r>
      <w:r w:rsidR="00F12BAB">
        <w:rPr>
          <w:rFonts w:ascii="Verdana" w:hAnsi="Verdana"/>
          <w:sz w:val="20"/>
          <w:szCs w:val="20"/>
        </w:rPr>
        <w:t>,</w:t>
      </w:r>
      <w:r w:rsidR="00BD6E4C">
        <w:rPr>
          <w:rFonts w:ascii="Verdana" w:hAnsi="Verdana"/>
          <w:sz w:val="20"/>
          <w:szCs w:val="20"/>
        </w:rPr>
        <w:t xml:space="preserve"> “</w:t>
      </w:r>
      <w:r w:rsidR="00276747">
        <w:rPr>
          <w:rFonts w:ascii="Verdana" w:hAnsi="Verdana"/>
          <w:sz w:val="20"/>
          <w:szCs w:val="20"/>
        </w:rPr>
        <w:t>a la luz del artículo 29 de la Convenció</w:t>
      </w:r>
      <w:r w:rsidR="00BD6E4C">
        <w:rPr>
          <w:rFonts w:ascii="Verdana" w:hAnsi="Verdana"/>
          <w:sz w:val="20"/>
          <w:szCs w:val="20"/>
        </w:rPr>
        <w:t>n Americana”</w:t>
      </w:r>
      <w:r w:rsidR="00F12BAB">
        <w:rPr>
          <w:rFonts w:ascii="Verdana" w:hAnsi="Verdana"/>
          <w:sz w:val="20"/>
          <w:szCs w:val="20"/>
        </w:rPr>
        <w:t>,</w:t>
      </w:r>
      <w:r w:rsidR="00BD6E4C">
        <w:rPr>
          <w:rFonts w:ascii="Verdana" w:hAnsi="Verdana"/>
          <w:sz w:val="20"/>
          <w:szCs w:val="20"/>
        </w:rPr>
        <w:t xml:space="preserve"> proceder al examen del derecho al trabajo de conformidad con el artículo 26 del Pacto de San José</w:t>
      </w:r>
      <w:r w:rsidR="00A35DFD">
        <w:rPr>
          <w:rFonts w:ascii="Verdana" w:hAnsi="Verdana"/>
          <w:sz w:val="20"/>
          <w:szCs w:val="20"/>
        </w:rPr>
        <w:t>.</w:t>
      </w:r>
    </w:p>
    <w:p w14:paraId="65DABAEA" w14:textId="48DBB1E6" w:rsidR="00212944" w:rsidRPr="006D2DE2" w:rsidRDefault="00212944" w:rsidP="002A7F5B">
      <w:pPr>
        <w:pStyle w:val="ListParagraph"/>
        <w:ind w:left="0"/>
        <w:jc w:val="both"/>
        <w:rPr>
          <w:rFonts w:ascii="Verdana" w:hAnsi="Verdana"/>
          <w:sz w:val="20"/>
          <w:szCs w:val="20"/>
        </w:rPr>
      </w:pPr>
      <w:r w:rsidRPr="006D2DE2">
        <w:rPr>
          <w:rFonts w:ascii="Verdana" w:hAnsi="Verdana"/>
          <w:sz w:val="20"/>
          <w:szCs w:val="20"/>
        </w:rPr>
        <w:t xml:space="preserve"> </w:t>
      </w:r>
    </w:p>
    <w:p w14:paraId="5D39ECDD" w14:textId="694C70F5" w:rsidR="00962976" w:rsidRPr="006D2DE2" w:rsidRDefault="00962976"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En el caso de las señoras San Miguel Sosa, Chang Girón y Coromoto Peña</w:t>
      </w:r>
      <w:r w:rsidR="0051687A">
        <w:rPr>
          <w:rFonts w:ascii="Verdana" w:hAnsi="Verdana"/>
          <w:sz w:val="20"/>
          <w:szCs w:val="20"/>
        </w:rPr>
        <w:t>,</w:t>
      </w:r>
      <w:r w:rsidRPr="006D2DE2">
        <w:rPr>
          <w:rFonts w:ascii="Verdana" w:hAnsi="Verdana"/>
          <w:sz w:val="20"/>
          <w:szCs w:val="20"/>
        </w:rPr>
        <w:t xml:space="preserve"> la Corte IDH concluyó que existió una violación al derecho al trabajo </w:t>
      </w:r>
      <w:r w:rsidRPr="006D2DE2">
        <w:rPr>
          <w:rFonts w:ascii="Verdana" w:hAnsi="Verdana"/>
          <w:i/>
          <w:sz w:val="20"/>
          <w:szCs w:val="20"/>
        </w:rPr>
        <w:t xml:space="preserve">vinculado </w:t>
      </w:r>
      <w:r w:rsidR="0051687A">
        <w:rPr>
          <w:rFonts w:ascii="Verdana" w:hAnsi="Verdana"/>
          <w:i/>
          <w:sz w:val="20"/>
          <w:szCs w:val="20"/>
        </w:rPr>
        <w:t xml:space="preserve">con </w:t>
      </w:r>
      <w:r w:rsidRPr="006D2DE2">
        <w:rPr>
          <w:rFonts w:ascii="Verdana" w:hAnsi="Verdana"/>
          <w:i/>
          <w:sz w:val="20"/>
          <w:szCs w:val="20"/>
        </w:rPr>
        <w:t xml:space="preserve">todos los derechos </w:t>
      </w:r>
      <w:r w:rsidRPr="006D2DE2">
        <w:rPr>
          <w:rFonts w:ascii="Verdana" w:hAnsi="Verdana"/>
          <w:sz w:val="20"/>
          <w:szCs w:val="20"/>
        </w:rPr>
        <w:t>que con anterioridad se habían analizado y declarado violados</w:t>
      </w:r>
      <w:r w:rsidRPr="006D2DE2">
        <w:rPr>
          <w:rStyle w:val="FootnoteReference"/>
          <w:rFonts w:ascii="Verdana" w:hAnsi="Verdana"/>
          <w:sz w:val="20"/>
          <w:szCs w:val="20"/>
        </w:rPr>
        <w:footnoteReference w:id="31"/>
      </w:r>
      <w:r w:rsidRPr="006D2DE2">
        <w:rPr>
          <w:rFonts w:ascii="Verdana" w:hAnsi="Verdana"/>
          <w:sz w:val="20"/>
          <w:szCs w:val="20"/>
        </w:rPr>
        <w:t xml:space="preserve">. </w:t>
      </w:r>
      <w:r w:rsidR="00CA293C" w:rsidRPr="006D2DE2">
        <w:rPr>
          <w:rFonts w:ascii="Verdana" w:hAnsi="Verdana"/>
          <w:sz w:val="20"/>
          <w:szCs w:val="20"/>
        </w:rPr>
        <w:t>E</w:t>
      </w:r>
      <w:r w:rsidRPr="006D2DE2">
        <w:rPr>
          <w:rFonts w:ascii="Verdana" w:hAnsi="Verdana"/>
          <w:sz w:val="20"/>
          <w:szCs w:val="20"/>
        </w:rPr>
        <w:t xml:space="preserve">n el caso el Tribunal Interamericano estableció que: </w:t>
      </w:r>
    </w:p>
    <w:p w14:paraId="61F89891" w14:textId="77777777" w:rsidR="00962976" w:rsidRPr="006D2DE2" w:rsidRDefault="00962976" w:rsidP="002A7F5B">
      <w:pPr>
        <w:pStyle w:val="ListParagraph"/>
        <w:ind w:left="0"/>
        <w:jc w:val="both"/>
        <w:rPr>
          <w:rFonts w:ascii="Verdana" w:hAnsi="Verdana"/>
          <w:sz w:val="20"/>
          <w:szCs w:val="20"/>
        </w:rPr>
      </w:pPr>
    </w:p>
    <w:p w14:paraId="1B2D3051" w14:textId="1630D88A" w:rsidR="00962976" w:rsidRPr="005E7FB7" w:rsidRDefault="00962976" w:rsidP="002A7F5B">
      <w:pPr>
        <w:pBdr>
          <w:top w:val="nil"/>
        </w:pBdr>
        <w:tabs>
          <w:tab w:val="left" w:pos="8505"/>
        </w:tabs>
        <w:autoSpaceDE w:val="0"/>
        <w:autoSpaceDN w:val="0"/>
        <w:adjustRightInd w:val="0"/>
        <w:ind w:left="708" w:right="899"/>
        <w:jc w:val="both"/>
        <w:rPr>
          <w:rFonts w:ascii="Verdana" w:eastAsia="Cambria" w:hAnsi="Verdana" w:cs="Cambria"/>
          <w:color w:val="000000"/>
          <w:sz w:val="18"/>
          <w:szCs w:val="18"/>
          <w:u w:color="000000"/>
        </w:rPr>
      </w:pPr>
      <w:r w:rsidRPr="005E7FB7">
        <w:rPr>
          <w:rFonts w:ascii="Verdana" w:eastAsia="Cambria" w:hAnsi="Verdana" w:cs="Cambria"/>
          <w:color w:val="000000"/>
          <w:sz w:val="18"/>
          <w:szCs w:val="18"/>
          <w:u w:color="000000"/>
        </w:rPr>
        <w:t xml:space="preserve">222. En consecuencia, la Corte declara que </w:t>
      </w:r>
      <w:r w:rsidRPr="005E7FB7">
        <w:rPr>
          <w:rFonts w:ascii="Verdana" w:eastAsia="Cambria" w:hAnsi="Verdana" w:cs="Cambria"/>
          <w:color w:val="000000"/>
          <w:sz w:val="18"/>
          <w:szCs w:val="18"/>
          <w:u w:val="single" w:color="000000"/>
        </w:rPr>
        <w:t>el Estado es responsable por la violación del derecho al trabajo</w:t>
      </w:r>
      <w:r w:rsidRPr="005E7FB7">
        <w:rPr>
          <w:rFonts w:ascii="Verdana" w:eastAsia="Cambria" w:hAnsi="Verdana" w:cs="Cambria"/>
          <w:color w:val="000000"/>
          <w:sz w:val="18"/>
          <w:szCs w:val="18"/>
          <w:u w:val="single"/>
        </w:rPr>
        <w:t xml:space="preserve">, </w:t>
      </w:r>
      <w:r w:rsidRPr="005E7FB7">
        <w:rPr>
          <w:rFonts w:ascii="Verdana" w:eastAsia="Cambria" w:hAnsi="Verdana" w:cs="Cambria"/>
          <w:color w:val="000000"/>
          <w:sz w:val="18"/>
          <w:szCs w:val="18"/>
          <w:u w:val="single" w:color="000000"/>
        </w:rPr>
        <w:t>reconocido en el artículo 26 de la Convención</w:t>
      </w:r>
      <w:r w:rsidRPr="005E7FB7">
        <w:rPr>
          <w:rFonts w:ascii="Verdana" w:eastAsia="Cambria" w:hAnsi="Verdana" w:cs="Cambria"/>
          <w:color w:val="000000"/>
          <w:sz w:val="18"/>
          <w:szCs w:val="18"/>
          <w:u w:val="single"/>
        </w:rPr>
        <w:t xml:space="preserve">, </w:t>
      </w:r>
      <w:r w:rsidRPr="005E7FB7">
        <w:rPr>
          <w:rFonts w:ascii="Verdana" w:eastAsia="Cambria" w:hAnsi="Verdana" w:cs="Cambria"/>
          <w:color w:val="000000"/>
          <w:sz w:val="18"/>
          <w:szCs w:val="18"/>
          <w:u w:val="single" w:color="000000"/>
        </w:rPr>
        <w:t>en relación con los derechos a la participación política, a la libertad de expresión y de acceso a la justicia, así como con el principio de no discriminación, reconocidos en los artículos 23.1, 13.1, 8.1, 25.1 y 1.1</w:t>
      </w:r>
      <w:r w:rsidRPr="005E7FB7">
        <w:rPr>
          <w:rFonts w:ascii="Verdana" w:eastAsia="Cambria" w:hAnsi="Verdana" w:cs="Cambria"/>
          <w:color w:val="000000"/>
          <w:sz w:val="18"/>
          <w:szCs w:val="18"/>
          <w:u w:color="000000"/>
        </w:rPr>
        <w:t xml:space="preserve"> de aquel instrumento, en </w:t>
      </w:r>
      <w:r w:rsidRPr="005E7FB7">
        <w:rPr>
          <w:rFonts w:ascii="Verdana" w:hAnsi="Verdana"/>
          <w:sz w:val="18"/>
          <w:szCs w:val="18"/>
        </w:rPr>
        <w:t xml:space="preserve">perjuicio de Rocío San Miguel Sosa, </w:t>
      </w:r>
      <w:proofErr w:type="spellStart"/>
      <w:r w:rsidRPr="005E7FB7">
        <w:rPr>
          <w:rFonts w:ascii="Verdana" w:hAnsi="Verdana"/>
          <w:sz w:val="18"/>
          <w:szCs w:val="18"/>
        </w:rPr>
        <w:t>Magally</w:t>
      </w:r>
      <w:proofErr w:type="spellEnd"/>
      <w:r w:rsidRPr="005E7FB7">
        <w:rPr>
          <w:rFonts w:ascii="Verdana" w:hAnsi="Verdana"/>
          <w:sz w:val="18"/>
          <w:szCs w:val="18"/>
        </w:rPr>
        <w:t xml:space="preserve"> Chang Girón y Thais Coromoto Peña</w:t>
      </w:r>
      <w:r w:rsidR="008400E7" w:rsidRPr="005E7FB7">
        <w:rPr>
          <w:rStyle w:val="FootnoteReference"/>
          <w:rFonts w:ascii="Verdana" w:hAnsi="Verdana"/>
          <w:sz w:val="18"/>
          <w:szCs w:val="18"/>
        </w:rPr>
        <w:footnoteReference w:id="32"/>
      </w:r>
      <w:r w:rsidR="008400E7" w:rsidRPr="005E7FB7">
        <w:rPr>
          <w:rFonts w:ascii="Verdana" w:hAnsi="Verdana"/>
          <w:sz w:val="18"/>
          <w:szCs w:val="18"/>
        </w:rPr>
        <w:t>.</w:t>
      </w:r>
      <w:r w:rsidRPr="005E7FB7">
        <w:rPr>
          <w:rFonts w:ascii="Verdana" w:eastAsia="Cambria" w:hAnsi="Verdana" w:cs="Cambria"/>
          <w:color w:val="000000"/>
          <w:sz w:val="18"/>
          <w:szCs w:val="18"/>
          <w:u w:color="000000"/>
        </w:rPr>
        <w:t xml:space="preserve"> [Énfasis añadido]</w:t>
      </w:r>
    </w:p>
    <w:p w14:paraId="4A628AD3" w14:textId="77777777" w:rsidR="00962976" w:rsidRPr="006D2DE2" w:rsidRDefault="00962976" w:rsidP="002A7F5B">
      <w:pPr>
        <w:pStyle w:val="ListParagraph"/>
        <w:ind w:left="0"/>
        <w:jc w:val="both"/>
        <w:rPr>
          <w:rFonts w:ascii="Verdana" w:hAnsi="Verdana"/>
          <w:sz w:val="20"/>
          <w:szCs w:val="20"/>
        </w:rPr>
      </w:pPr>
    </w:p>
    <w:p w14:paraId="3608438C" w14:textId="73B1D644" w:rsidR="0031082F" w:rsidRPr="00D63A76" w:rsidRDefault="00D63A76" w:rsidP="002A7F5B">
      <w:pPr>
        <w:pStyle w:val="ListParagraph"/>
        <w:numPr>
          <w:ilvl w:val="0"/>
          <w:numId w:val="1"/>
        </w:numPr>
        <w:ind w:left="0" w:firstLine="0"/>
        <w:jc w:val="both"/>
        <w:rPr>
          <w:rFonts w:ascii="Verdana" w:hAnsi="Verdana"/>
          <w:sz w:val="20"/>
          <w:szCs w:val="20"/>
        </w:rPr>
      </w:pPr>
      <w:r>
        <w:rPr>
          <w:rFonts w:ascii="Verdana" w:hAnsi="Verdana"/>
          <w:sz w:val="20"/>
          <w:szCs w:val="20"/>
        </w:rPr>
        <w:t>T</w:t>
      </w:r>
      <w:r w:rsidR="00CF2FD9" w:rsidRPr="006D2DE2">
        <w:rPr>
          <w:rFonts w:ascii="Verdana" w:hAnsi="Verdana"/>
          <w:sz w:val="20"/>
          <w:szCs w:val="20"/>
        </w:rPr>
        <w:t>odas y cada una de las violaciones que se suscitaron en el caso de las tres víctimas tenían en común</w:t>
      </w:r>
      <w:r w:rsidR="00F12BAB">
        <w:rPr>
          <w:rFonts w:ascii="Verdana" w:hAnsi="Verdana"/>
          <w:sz w:val="20"/>
          <w:szCs w:val="20"/>
        </w:rPr>
        <w:t xml:space="preserve"> un</w:t>
      </w:r>
      <w:r w:rsidR="00CF2FD9" w:rsidRPr="006D2DE2">
        <w:rPr>
          <w:rFonts w:ascii="Verdana" w:hAnsi="Verdana"/>
          <w:sz w:val="20"/>
          <w:szCs w:val="20"/>
        </w:rPr>
        <w:t xml:space="preserve"> </w:t>
      </w:r>
      <w:r w:rsidR="00CF2FD9" w:rsidRPr="006D2DE2">
        <w:rPr>
          <w:rFonts w:ascii="Verdana" w:hAnsi="Verdana"/>
          <w:i/>
          <w:sz w:val="20"/>
          <w:szCs w:val="20"/>
        </w:rPr>
        <w:t>mismo hecho generador</w:t>
      </w:r>
      <w:r w:rsidR="00CF2FD9" w:rsidRPr="006D2DE2">
        <w:rPr>
          <w:rFonts w:ascii="Verdana" w:hAnsi="Verdana"/>
          <w:sz w:val="20"/>
          <w:szCs w:val="20"/>
        </w:rPr>
        <w:t>, tal como queda plasmado en la Sentencia</w:t>
      </w:r>
      <w:r w:rsidR="00CF2FD9" w:rsidRPr="006D2DE2">
        <w:rPr>
          <w:rStyle w:val="FootnoteReference"/>
          <w:rFonts w:ascii="Verdana" w:hAnsi="Verdana"/>
          <w:sz w:val="20"/>
          <w:szCs w:val="20"/>
        </w:rPr>
        <w:footnoteReference w:id="33"/>
      </w:r>
      <w:r w:rsidR="00F12BAB">
        <w:rPr>
          <w:rFonts w:ascii="Verdana" w:hAnsi="Verdana"/>
          <w:sz w:val="20"/>
          <w:szCs w:val="20"/>
        </w:rPr>
        <w:t>:</w:t>
      </w:r>
      <w:r w:rsidR="00CF2FD9" w:rsidRPr="00D63A76">
        <w:rPr>
          <w:rFonts w:ascii="Verdana" w:hAnsi="Verdana"/>
          <w:sz w:val="20"/>
          <w:szCs w:val="20"/>
        </w:rPr>
        <w:t xml:space="preserve"> </w:t>
      </w:r>
      <w:r w:rsidR="00CF2FD9" w:rsidRPr="00D63A76">
        <w:rPr>
          <w:rFonts w:ascii="Verdana" w:hAnsi="Verdana"/>
          <w:i/>
          <w:sz w:val="20"/>
          <w:szCs w:val="20"/>
        </w:rPr>
        <w:t>la termin</w:t>
      </w:r>
      <w:r w:rsidR="0013769B" w:rsidRPr="00D63A76">
        <w:rPr>
          <w:rFonts w:ascii="Verdana" w:hAnsi="Verdana"/>
          <w:i/>
          <w:sz w:val="20"/>
          <w:szCs w:val="20"/>
        </w:rPr>
        <w:t>ación de los contratos de las ví</w:t>
      </w:r>
      <w:r w:rsidR="00CF2FD9" w:rsidRPr="00D63A76">
        <w:rPr>
          <w:rFonts w:ascii="Verdana" w:hAnsi="Verdana"/>
          <w:i/>
          <w:sz w:val="20"/>
          <w:szCs w:val="20"/>
        </w:rPr>
        <w:t>ctimas.</w:t>
      </w:r>
      <w:r w:rsidR="000F228D" w:rsidRPr="00D63A76">
        <w:rPr>
          <w:rFonts w:ascii="Verdana" w:hAnsi="Verdana"/>
          <w:i/>
          <w:sz w:val="20"/>
          <w:szCs w:val="20"/>
        </w:rPr>
        <w:t xml:space="preserve"> </w:t>
      </w:r>
      <w:r w:rsidR="000F228D" w:rsidRPr="00D63A76">
        <w:rPr>
          <w:rFonts w:ascii="Verdana" w:hAnsi="Verdana"/>
          <w:sz w:val="20"/>
          <w:szCs w:val="20"/>
        </w:rPr>
        <w:t>Con base en este hecho generador el Trib</w:t>
      </w:r>
      <w:r w:rsidR="00CA293C" w:rsidRPr="00D63A76">
        <w:rPr>
          <w:rFonts w:ascii="Verdana" w:hAnsi="Verdana"/>
          <w:sz w:val="20"/>
          <w:szCs w:val="20"/>
        </w:rPr>
        <w:t xml:space="preserve">unal Interamericano </w:t>
      </w:r>
      <w:r w:rsidR="000F228D" w:rsidRPr="00D63A76">
        <w:rPr>
          <w:rFonts w:ascii="Verdana" w:hAnsi="Verdana"/>
          <w:sz w:val="20"/>
          <w:szCs w:val="20"/>
        </w:rPr>
        <w:t xml:space="preserve">en realidad lo que hace en el desarrollo de </w:t>
      </w:r>
      <w:r>
        <w:rPr>
          <w:rFonts w:ascii="Verdana" w:hAnsi="Verdana"/>
          <w:sz w:val="20"/>
          <w:szCs w:val="20"/>
        </w:rPr>
        <w:t>la S</w:t>
      </w:r>
      <w:r w:rsidR="000F228D" w:rsidRPr="00D63A76">
        <w:rPr>
          <w:rFonts w:ascii="Verdana" w:hAnsi="Verdana"/>
          <w:sz w:val="20"/>
          <w:szCs w:val="20"/>
        </w:rPr>
        <w:t>entencia, es analizar el impacto de derechos civiles y políticos dentro de contextos laborales y cómo est</w:t>
      </w:r>
      <w:r>
        <w:rPr>
          <w:rFonts w:ascii="Verdana" w:hAnsi="Verdana"/>
          <w:sz w:val="20"/>
          <w:szCs w:val="20"/>
        </w:rPr>
        <w:t xml:space="preserve">os repercutieron en el respeto </w:t>
      </w:r>
      <w:r w:rsidR="000F228D" w:rsidRPr="00D63A76">
        <w:rPr>
          <w:rFonts w:ascii="Verdana" w:hAnsi="Verdana"/>
          <w:sz w:val="20"/>
          <w:szCs w:val="20"/>
        </w:rPr>
        <w:t xml:space="preserve">y garantía del derecho al trabajo bajo los artículos 1.1, 23, 13, 8 y 25 del Pacto de San José.  </w:t>
      </w:r>
    </w:p>
    <w:p w14:paraId="0399DE82" w14:textId="77777777" w:rsidR="000F228D" w:rsidRPr="006D2DE2" w:rsidRDefault="000F228D" w:rsidP="002A7F5B">
      <w:pPr>
        <w:jc w:val="both"/>
        <w:rPr>
          <w:rFonts w:ascii="Verdana" w:hAnsi="Verdana"/>
          <w:sz w:val="20"/>
          <w:szCs w:val="20"/>
        </w:rPr>
      </w:pPr>
    </w:p>
    <w:p w14:paraId="17B7A129" w14:textId="77777777" w:rsidR="004E73F3" w:rsidRPr="004E73F3" w:rsidRDefault="00457EB2"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Así, en primer lugar, sobre la violación del derecho a la participación política contemplado en el artículo 23 del Pacto</w:t>
      </w:r>
      <w:r w:rsidR="00D63A76">
        <w:rPr>
          <w:rFonts w:ascii="Verdana" w:hAnsi="Verdana"/>
          <w:sz w:val="20"/>
          <w:szCs w:val="20"/>
        </w:rPr>
        <w:t xml:space="preserve"> de San José</w:t>
      </w:r>
      <w:r w:rsidRPr="006D2DE2">
        <w:rPr>
          <w:rFonts w:ascii="Verdana" w:hAnsi="Verdana"/>
          <w:sz w:val="20"/>
          <w:szCs w:val="20"/>
        </w:rPr>
        <w:t xml:space="preserve">, el Tribunal Interamericano consideró </w:t>
      </w:r>
      <w:r w:rsidRPr="006D2DE2">
        <w:rPr>
          <w:rFonts w:ascii="Verdana" w:hAnsi="Verdana"/>
          <w:sz w:val="20"/>
          <w:szCs w:val="20"/>
        </w:rPr>
        <w:lastRenderedPageBreak/>
        <w:t>que “[m]</w:t>
      </w:r>
      <w:proofErr w:type="spellStart"/>
      <w:r w:rsidRPr="006D2DE2">
        <w:rPr>
          <w:rFonts w:ascii="Verdana" w:hAnsi="Verdana"/>
          <w:sz w:val="20"/>
          <w:szCs w:val="20"/>
        </w:rPr>
        <w:t>ás</w:t>
      </w:r>
      <w:proofErr w:type="spellEnd"/>
      <w:r w:rsidRPr="006D2DE2">
        <w:rPr>
          <w:rFonts w:ascii="Verdana" w:hAnsi="Verdana"/>
          <w:sz w:val="20"/>
          <w:szCs w:val="20"/>
        </w:rPr>
        <w:t xml:space="preserve"> allá de la naturaleza del vínculo de las presuntas víctimas con la administración pública, o de la necesidad de determinar si</w:t>
      </w:r>
      <w:r w:rsidR="00D63A76">
        <w:rPr>
          <w:rFonts w:ascii="Verdana" w:hAnsi="Verdana"/>
          <w:sz w:val="20"/>
          <w:szCs w:val="20"/>
        </w:rPr>
        <w:t xml:space="preserve"> —</w:t>
      </w:r>
      <w:r w:rsidRPr="006D2DE2">
        <w:rPr>
          <w:rFonts w:ascii="Verdana" w:hAnsi="Verdana"/>
          <w:sz w:val="20"/>
          <w:szCs w:val="20"/>
        </w:rPr>
        <w:t xml:space="preserve">en virtud de una </w:t>
      </w:r>
      <w:r w:rsidR="001D5D28" w:rsidRPr="006D2DE2">
        <w:rPr>
          <w:rFonts w:ascii="Verdana" w:hAnsi="Verdana"/>
          <w:sz w:val="20"/>
          <w:szCs w:val="20"/>
        </w:rPr>
        <w:t>clausula</w:t>
      </w:r>
      <w:r w:rsidRPr="006D2DE2">
        <w:rPr>
          <w:rFonts w:ascii="Verdana" w:hAnsi="Verdana"/>
          <w:sz w:val="20"/>
          <w:szCs w:val="20"/>
        </w:rPr>
        <w:t xml:space="preserve"> en su contrato</w:t>
      </w:r>
      <w:r w:rsidR="00D63A76">
        <w:rPr>
          <w:rFonts w:ascii="Verdana" w:hAnsi="Verdana"/>
          <w:sz w:val="20"/>
          <w:szCs w:val="20"/>
        </w:rPr>
        <w:t>— la autoridad respectiva tení</w:t>
      </w:r>
      <w:r w:rsidRPr="006D2DE2">
        <w:rPr>
          <w:rFonts w:ascii="Verdana" w:hAnsi="Verdana"/>
          <w:sz w:val="20"/>
          <w:szCs w:val="20"/>
        </w:rPr>
        <w:t xml:space="preserve">a o no una facultad discrecional para darlos por terminado en cualquier momento, incluso sin motivación, en el caso </w:t>
      </w:r>
      <w:r w:rsidRPr="006D2DE2">
        <w:rPr>
          <w:rFonts w:ascii="Verdana" w:hAnsi="Verdana"/>
          <w:i/>
          <w:sz w:val="20"/>
          <w:szCs w:val="20"/>
          <w:u w:val="single"/>
        </w:rPr>
        <w:t>el Estado no ha dado una explicación circunstanciada y precisa acerca de los motivos de su decisión[…]</w:t>
      </w:r>
      <w:r w:rsidR="00D63A76">
        <w:rPr>
          <w:rFonts w:ascii="Verdana" w:hAnsi="Verdana"/>
          <w:sz w:val="20"/>
          <w:szCs w:val="20"/>
          <w:u w:val="single"/>
        </w:rPr>
        <w:t>.</w:t>
      </w:r>
      <w:r w:rsidRPr="006D2DE2">
        <w:rPr>
          <w:rFonts w:ascii="Verdana" w:hAnsi="Verdana"/>
          <w:i/>
          <w:sz w:val="20"/>
          <w:szCs w:val="20"/>
        </w:rPr>
        <w:t xml:space="preserve"> </w:t>
      </w:r>
    </w:p>
    <w:p w14:paraId="0CA673D8" w14:textId="77777777" w:rsidR="004E73F3" w:rsidRPr="004E73F3" w:rsidRDefault="004E73F3" w:rsidP="002A7F5B">
      <w:pPr>
        <w:jc w:val="both"/>
        <w:rPr>
          <w:rFonts w:ascii="Verdana" w:hAnsi="Verdana"/>
          <w:sz w:val="20"/>
          <w:szCs w:val="20"/>
        </w:rPr>
      </w:pPr>
    </w:p>
    <w:p w14:paraId="3D7CE67C" w14:textId="0875E159" w:rsidR="00CF2FD9" w:rsidRPr="006D2DE2" w:rsidRDefault="00D63A76" w:rsidP="002A7F5B">
      <w:pPr>
        <w:pStyle w:val="ListParagraph"/>
        <w:numPr>
          <w:ilvl w:val="0"/>
          <w:numId w:val="1"/>
        </w:numPr>
        <w:ind w:left="0" w:firstLine="0"/>
        <w:jc w:val="both"/>
        <w:rPr>
          <w:rFonts w:ascii="Verdana" w:hAnsi="Verdana"/>
          <w:sz w:val="20"/>
          <w:szCs w:val="20"/>
        </w:rPr>
      </w:pPr>
      <w:r>
        <w:rPr>
          <w:rFonts w:ascii="Verdana" w:hAnsi="Verdana"/>
          <w:sz w:val="20"/>
          <w:szCs w:val="20"/>
        </w:rPr>
        <w:t>P</w:t>
      </w:r>
      <w:r w:rsidR="00457EB2" w:rsidRPr="006D2DE2">
        <w:rPr>
          <w:rFonts w:ascii="Verdana" w:hAnsi="Verdana"/>
          <w:sz w:val="20"/>
          <w:szCs w:val="20"/>
        </w:rPr>
        <w:t>or esta razón la Corte IDH concluyó que “</w:t>
      </w:r>
      <w:r w:rsidR="00457EB2" w:rsidRPr="006D2DE2">
        <w:rPr>
          <w:rFonts w:ascii="Verdana" w:hAnsi="Verdana"/>
          <w:i/>
          <w:sz w:val="20"/>
          <w:szCs w:val="20"/>
          <w:u w:val="single"/>
        </w:rPr>
        <w:t>la terminación de los contratos constituyó una forma de desviación de poder, utilizando dicha cláusula como velo de legalidad para encubrir la verdadera motivación o finalidad rea</w:t>
      </w:r>
      <w:r w:rsidR="004569B6" w:rsidRPr="006D2DE2">
        <w:rPr>
          <w:rFonts w:ascii="Verdana" w:hAnsi="Verdana"/>
          <w:i/>
          <w:sz w:val="20"/>
          <w:szCs w:val="20"/>
          <w:u w:val="single"/>
        </w:rPr>
        <w:t>l</w:t>
      </w:r>
      <w:r w:rsidR="00457EB2" w:rsidRPr="006D2DE2">
        <w:rPr>
          <w:rFonts w:ascii="Verdana" w:hAnsi="Verdana"/>
          <w:i/>
          <w:sz w:val="20"/>
          <w:szCs w:val="20"/>
          <w:u w:val="single"/>
        </w:rPr>
        <w:t>, a saber: una represalia en</w:t>
      </w:r>
      <w:r w:rsidR="00F12BAB">
        <w:rPr>
          <w:rFonts w:ascii="Verdana" w:hAnsi="Verdana"/>
          <w:i/>
          <w:sz w:val="20"/>
          <w:szCs w:val="20"/>
          <w:u w:val="single"/>
        </w:rPr>
        <w:t xml:space="preserve"> su</w:t>
      </w:r>
      <w:r w:rsidR="00457EB2" w:rsidRPr="006D2DE2">
        <w:rPr>
          <w:rFonts w:ascii="Verdana" w:hAnsi="Verdana"/>
          <w:i/>
          <w:sz w:val="20"/>
          <w:szCs w:val="20"/>
          <w:u w:val="single"/>
        </w:rPr>
        <w:t xml:space="preserve"> contra por haber ejercido legítimamente un derecho de carácter político constitucionalmente previsto, […]. Ello fue percibido por los funcionarios superiores</w:t>
      </w:r>
      <w:r w:rsidR="00F06F67" w:rsidRPr="006D2DE2">
        <w:rPr>
          <w:rFonts w:ascii="Verdana" w:hAnsi="Verdana"/>
          <w:i/>
          <w:sz w:val="20"/>
          <w:szCs w:val="20"/>
          <w:u w:val="single"/>
        </w:rPr>
        <w:t xml:space="preserve"> [del Consejo Nacional de Fronteras</w:t>
      </w:r>
      <w:r w:rsidR="00457EB2" w:rsidRPr="006D2DE2">
        <w:rPr>
          <w:rFonts w:ascii="Verdana" w:hAnsi="Verdana"/>
          <w:i/>
          <w:sz w:val="20"/>
          <w:szCs w:val="20"/>
          <w:u w:val="single"/>
        </w:rPr>
        <w:t>]</w:t>
      </w:r>
      <w:r w:rsidR="00457EB2" w:rsidRPr="006D2DE2">
        <w:rPr>
          <w:rFonts w:ascii="Verdana" w:hAnsi="Verdana"/>
          <w:b/>
          <w:i/>
          <w:sz w:val="20"/>
          <w:szCs w:val="20"/>
          <w:u w:val="single"/>
        </w:rPr>
        <w:t xml:space="preserve"> </w:t>
      </w:r>
      <w:r w:rsidR="00457EB2" w:rsidRPr="006D2DE2">
        <w:rPr>
          <w:rFonts w:ascii="Verdana" w:hAnsi="Verdana"/>
          <w:i/>
          <w:sz w:val="20"/>
          <w:szCs w:val="20"/>
          <w:u w:val="single"/>
        </w:rPr>
        <w:t>como un acto de deslealtad política y cómo la manifestación de una opinión u orientación política opositora o disidente, que motivó un trato diferenciado hacia ellas, como en efecto fue el hecho de dar por terminada arbitrariamente la relación laboral”</w:t>
      </w:r>
      <w:r w:rsidR="00457EB2" w:rsidRPr="006D2DE2">
        <w:rPr>
          <w:rStyle w:val="FootnoteReference"/>
          <w:rFonts w:ascii="Verdana" w:hAnsi="Verdana"/>
          <w:i/>
          <w:sz w:val="20"/>
          <w:szCs w:val="20"/>
          <w:u w:val="single"/>
        </w:rPr>
        <w:footnoteReference w:id="34"/>
      </w:r>
      <w:r>
        <w:rPr>
          <w:rFonts w:ascii="Verdana" w:hAnsi="Verdana"/>
          <w:sz w:val="20"/>
          <w:szCs w:val="20"/>
        </w:rPr>
        <w:t xml:space="preserve"> (énfasis añadido)</w:t>
      </w:r>
      <w:r w:rsidR="00457EB2" w:rsidRPr="00D63A76">
        <w:rPr>
          <w:rFonts w:ascii="Verdana" w:hAnsi="Verdana"/>
          <w:sz w:val="20"/>
          <w:szCs w:val="20"/>
        </w:rPr>
        <w:t>.</w:t>
      </w:r>
      <w:r w:rsidR="00457EB2" w:rsidRPr="006D2DE2">
        <w:rPr>
          <w:rFonts w:ascii="Verdana" w:hAnsi="Verdana"/>
          <w:b/>
          <w:i/>
          <w:sz w:val="20"/>
          <w:szCs w:val="20"/>
          <w:u w:val="single"/>
        </w:rPr>
        <w:t xml:space="preserve"> </w:t>
      </w:r>
    </w:p>
    <w:p w14:paraId="457C8C57" w14:textId="77777777" w:rsidR="00457EB2" w:rsidRPr="006D2DE2" w:rsidRDefault="00457EB2" w:rsidP="002A7F5B">
      <w:pPr>
        <w:pStyle w:val="ListParagraph"/>
        <w:ind w:left="0"/>
        <w:jc w:val="both"/>
        <w:rPr>
          <w:rFonts w:ascii="Verdana" w:hAnsi="Verdana"/>
          <w:sz w:val="20"/>
          <w:szCs w:val="20"/>
        </w:rPr>
      </w:pPr>
    </w:p>
    <w:p w14:paraId="7BC2F4D3" w14:textId="5B234A8F" w:rsidR="005B42B0" w:rsidRPr="006D2DE2" w:rsidRDefault="00203E7F"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cuanto a la libertad de expresión, </w:t>
      </w:r>
      <w:r w:rsidR="00DC0B7D" w:rsidRPr="006D2DE2">
        <w:rPr>
          <w:rFonts w:ascii="Verdana" w:hAnsi="Verdana"/>
          <w:sz w:val="20"/>
          <w:szCs w:val="20"/>
        </w:rPr>
        <w:t xml:space="preserve">el Tribunal </w:t>
      </w:r>
      <w:r w:rsidR="008D1FE9">
        <w:rPr>
          <w:rFonts w:ascii="Verdana" w:hAnsi="Verdana"/>
          <w:sz w:val="20"/>
          <w:szCs w:val="20"/>
        </w:rPr>
        <w:t xml:space="preserve">Interamericano </w:t>
      </w:r>
      <w:r w:rsidR="00DC0B7D" w:rsidRPr="006D2DE2">
        <w:rPr>
          <w:rFonts w:ascii="Verdana" w:hAnsi="Verdana"/>
          <w:sz w:val="20"/>
          <w:szCs w:val="20"/>
        </w:rPr>
        <w:t>consideró que “[…</w:t>
      </w:r>
      <w:proofErr w:type="gramStart"/>
      <w:r w:rsidR="00DC0B7D" w:rsidRPr="006D2DE2">
        <w:rPr>
          <w:rFonts w:ascii="Verdana" w:hAnsi="Verdana"/>
          <w:sz w:val="20"/>
          <w:szCs w:val="20"/>
        </w:rPr>
        <w:t>]el</w:t>
      </w:r>
      <w:proofErr w:type="gramEnd"/>
      <w:r w:rsidR="00DC0B7D" w:rsidRPr="006D2DE2">
        <w:rPr>
          <w:rFonts w:ascii="Verdana" w:hAnsi="Verdana"/>
          <w:sz w:val="20"/>
          <w:szCs w:val="20"/>
        </w:rPr>
        <w:t xml:space="preserve"> acto de firma de una solicitud de referendo fue</w:t>
      </w:r>
      <w:r w:rsidR="00F12BAB">
        <w:rPr>
          <w:rFonts w:ascii="Verdana" w:hAnsi="Verdana"/>
          <w:sz w:val="20"/>
          <w:szCs w:val="20"/>
        </w:rPr>
        <w:t>,</w:t>
      </w:r>
      <w:r w:rsidR="00DC0B7D" w:rsidRPr="006D2DE2">
        <w:rPr>
          <w:rFonts w:ascii="Verdana" w:hAnsi="Verdana"/>
          <w:sz w:val="20"/>
          <w:szCs w:val="20"/>
        </w:rPr>
        <w:t xml:space="preserve"> </w:t>
      </w:r>
      <w:r w:rsidR="00F12BAB" w:rsidRPr="006D2DE2">
        <w:rPr>
          <w:rFonts w:ascii="Verdana" w:hAnsi="Verdana"/>
          <w:sz w:val="20"/>
          <w:szCs w:val="20"/>
        </w:rPr>
        <w:t xml:space="preserve">en un sentido amplio, </w:t>
      </w:r>
      <w:r w:rsidR="00DC0B7D" w:rsidRPr="006D2DE2">
        <w:rPr>
          <w:rFonts w:ascii="Verdana" w:hAnsi="Verdana"/>
          <w:sz w:val="20"/>
          <w:szCs w:val="20"/>
        </w:rPr>
        <w:t>una forma de opinión</w:t>
      </w:r>
      <w:r w:rsidR="00F12BAB">
        <w:rPr>
          <w:rFonts w:ascii="Verdana" w:hAnsi="Verdana"/>
          <w:sz w:val="20"/>
          <w:szCs w:val="20"/>
        </w:rPr>
        <w:t xml:space="preserve"> política</w:t>
      </w:r>
      <w:r w:rsidR="00DC0B7D" w:rsidRPr="006D2DE2">
        <w:rPr>
          <w:rFonts w:ascii="Verdana" w:hAnsi="Verdana"/>
          <w:sz w:val="20"/>
          <w:szCs w:val="20"/>
        </w:rPr>
        <w:t>, en cuanto implicaba la manifestación de que se considera</w:t>
      </w:r>
      <w:r w:rsidR="00F12BAB">
        <w:rPr>
          <w:rFonts w:ascii="Verdana" w:hAnsi="Verdana"/>
          <w:sz w:val="20"/>
          <w:szCs w:val="20"/>
        </w:rPr>
        <w:t>ba necesario</w:t>
      </w:r>
      <w:r w:rsidR="00DC0B7D" w:rsidRPr="006D2DE2">
        <w:rPr>
          <w:rFonts w:ascii="Verdana" w:hAnsi="Verdana"/>
          <w:sz w:val="20"/>
          <w:szCs w:val="20"/>
        </w:rPr>
        <w:t xml:space="preserve"> activar una consulta popular sobre un tema de interés público que es susceptible de deliberación en una sociedad democrática, aún si ello no equiv</w:t>
      </w:r>
      <w:r w:rsidR="00D63A76">
        <w:rPr>
          <w:rFonts w:ascii="Verdana" w:hAnsi="Verdana"/>
          <w:sz w:val="20"/>
          <w:szCs w:val="20"/>
        </w:rPr>
        <w:t xml:space="preserve">ale </w:t>
      </w:r>
      <w:r w:rsidR="00F12BAB">
        <w:rPr>
          <w:rFonts w:ascii="Verdana" w:hAnsi="Verdana"/>
          <w:sz w:val="20"/>
          <w:szCs w:val="20"/>
        </w:rPr>
        <w:t xml:space="preserve">propiamente </w:t>
      </w:r>
      <w:r w:rsidR="00D63A76">
        <w:rPr>
          <w:rFonts w:ascii="Verdana" w:hAnsi="Verdana"/>
          <w:sz w:val="20"/>
          <w:szCs w:val="20"/>
        </w:rPr>
        <w:t>a la expresión de una especí</w:t>
      </w:r>
      <w:r w:rsidR="00DC0B7D" w:rsidRPr="006D2DE2">
        <w:rPr>
          <w:rFonts w:ascii="Verdana" w:hAnsi="Verdana"/>
          <w:sz w:val="20"/>
          <w:szCs w:val="20"/>
        </w:rPr>
        <w:t>fica o determinada opinión”</w:t>
      </w:r>
      <w:r w:rsidR="00DC0B7D" w:rsidRPr="006D2DE2">
        <w:rPr>
          <w:rStyle w:val="FootnoteReference"/>
          <w:rFonts w:ascii="Verdana" w:hAnsi="Verdana"/>
          <w:sz w:val="20"/>
          <w:szCs w:val="20"/>
        </w:rPr>
        <w:footnoteReference w:id="35"/>
      </w:r>
      <w:r w:rsidR="00DC0B7D" w:rsidRPr="006D2DE2">
        <w:rPr>
          <w:rFonts w:ascii="Verdana" w:hAnsi="Verdana"/>
          <w:sz w:val="20"/>
          <w:szCs w:val="20"/>
        </w:rPr>
        <w:t>. Adicionalmente expresó que ”[e</w:t>
      </w:r>
      <w:r w:rsidR="00D63A76">
        <w:rPr>
          <w:rFonts w:ascii="Verdana" w:hAnsi="Verdana"/>
          <w:sz w:val="20"/>
          <w:szCs w:val="20"/>
        </w:rPr>
        <w:t>l</w:t>
      </w:r>
      <w:r w:rsidR="00DC0B7D" w:rsidRPr="006D2DE2">
        <w:rPr>
          <w:rFonts w:ascii="Verdana" w:hAnsi="Verdana"/>
          <w:sz w:val="20"/>
          <w:szCs w:val="20"/>
        </w:rPr>
        <w:t>] despido arbit</w:t>
      </w:r>
      <w:r w:rsidR="00DD1AE5" w:rsidRPr="006D2DE2">
        <w:rPr>
          <w:rFonts w:ascii="Verdana" w:hAnsi="Verdana"/>
          <w:sz w:val="20"/>
          <w:szCs w:val="20"/>
        </w:rPr>
        <w:t xml:space="preserve">rario al que fueron sometidas, luego de la publicación de la lista </w:t>
      </w:r>
      <w:proofErr w:type="spellStart"/>
      <w:r w:rsidR="00DD1AE5" w:rsidRPr="006D2DE2">
        <w:rPr>
          <w:rFonts w:ascii="Verdana" w:hAnsi="Verdana"/>
          <w:sz w:val="20"/>
          <w:szCs w:val="20"/>
        </w:rPr>
        <w:t>Tascón</w:t>
      </w:r>
      <w:proofErr w:type="spellEnd"/>
      <w:r w:rsidR="00DD1AE5" w:rsidRPr="006D2DE2">
        <w:rPr>
          <w:rFonts w:ascii="Verdana" w:hAnsi="Verdana"/>
          <w:sz w:val="20"/>
          <w:szCs w:val="20"/>
        </w:rPr>
        <w:t xml:space="preserve"> y en un contexto de denuncias de despidos arbitrarios </w:t>
      </w:r>
      <w:r w:rsidR="005B42B0" w:rsidRPr="006D2DE2">
        <w:rPr>
          <w:rFonts w:ascii="Verdana" w:hAnsi="Verdana"/>
          <w:sz w:val="20"/>
          <w:szCs w:val="20"/>
        </w:rPr>
        <w:t>y de otra formas de represalia para quienes había</w:t>
      </w:r>
      <w:r w:rsidR="00D63A76">
        <w:rPr>
          <w:rFonts w:ascii="Verdana" w:hAnsi="Verdana"/>
          <w:sz w:val="20"/>
          <w:szCs w:val="20"/>
        </w:rPr>
        <w:t>n firmado por el referendo, tení</w:t>
      </w:r>
      <w:r w:rsidR="005B42B0" w:rsidRPr="006D2DE2">
        <w:rPr>
          <w:rFonts w:ascii="Verdana" w:hAnsi="Verdana"/>
          <w:sz w:val="20"/>
          <w:szCs w:val="20"/>
        </w:rPr>
        <w:t>a la intención encubierta de acallar y desincentivar la disidencia política, pues fue instrumentalizado como factor ejemplarizante para que otras personas que ejercieron esa misma libertad se vieran amedrentadas de participar políticamente […]”</w:t>
      </w:r>
      <w:r w:rsidR="005B42B0" w:rsidRPr="006D2DE2">
        <w:rPr>
          <w:rStyle w:val="FootnoteReference"/>
          <w:rFonts w:ascii="Verdana" w:hAnsi="Verdana"/>
          <w:sz w:val="20"/>
          <w:szCs w:val="20"/>
        </w:rPr>
        <w:footnoteReference w:id="36"/>
      </w:r>
      <w:r w:rsidR="005B42B0" w:rsidRPr="006D2DE2">
        <w:rPr>
          <w:rFonts w:ascii="Verdana" w:hAnsi="Verdana"/>
          <w:sz w:val="20"/>
          <w:szCs w:val="20"/>
        </w:rPr>
        <w:t>.</w:t>
      </w:r>
    </w:p>
    <w:p w14:paraId="38A128DC" w14:textId="77777777" w:rsidR="008400E7" w:rsidRPr="006D2DE2" w:rsidRDefault="008400E7" w:rsidP="002A7F5B">
      <w:pPr>
        <w:jc w:val="both"/>
        <w:rPr>
          <w:rFonts w:ascii="Verdana" w:hAnsi="Verdana"/>
          <w:sz w:val="20"/>
          <w:szCs w:val="20"/>
        </w:rPr>
      </w:pPr>
    </w:p>
    <w:p w14:paraId="34899F6D" w14:textId="74A0E275" w:rsidR="005B42B0" w:rsidRPr="006D2DE2" w:rsidRDefault="0031082F"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lo </w:t>
      </w:r>
      <w:r w:rsidR="005E7FB7">
        <w:rPr>
          <w:rFonts w:ascii="Verdana" w:hAnsi="Verdana"/>
          <w:sz w:val="20"/>
          <w:szCs w:val="20"/>
        </w:rPr>
        <w:t>relativo</w:t>
      </w:r>
      <w:r w:rsidRPr="006D2DE2">
        <w:rPr>
          <w:rFonts w:ascii="Verdana" w:hAnsi="Verdana"/>
          <w:sz w:val="20"/>
          <w:szCs w:val="20"/>
        </w:rPr>
        <w:t xml:space="preserve"> a las violaciones de los artículo</w:t>
      </w:r>
      <w:r w:rsidR="00D63A76">
        <w:rPr>
          <w:rFonts w:ascii="Verdana" w:hAnsi="Verdana"/>
          <w:sz w:val="20"/>
          <w:szCs w:val="20"/>
        </w:rPr>
        <w:t>s</w:t>
      </w:r>
      <w:r w:rsidRPr="006D2DE2">
        <w:rPr>
          <w:rFonts w:ascii="Verdana" w:hAnsi="Verdana"/>
          <w:sz w:val="20"/>
          <w:szCs w:val="20"/>
        </w:rPr>
        <w:t xml:space="preserve"> 8 y 25, el Tribunal Interamericano expresó que “</w:t>
      </w:r>
      <w:r w:rsidR="00D12979" w:rsidRPr="006D2DE2">
        <w:rPr>
          <w:rFonts w:ascii="Verdana" w:hAnsi="Verdana"/>
          <w:sz w:val="20"/>
          <w:szCs w:val="20"/>
        </w:rPr>
        <w:t>la acción de amparo era un recurso idóneo para considerar su caso”</w:t>
      </w:r>
      <w:r w:rsidR="00D12979" w:rsidRPr="006D2DE2">
        <w:rPr>
          <w:rStyle w:val="FootnoteReference"/>
          <w:rFonts w:ascii="Verdana" w:hAnsi="Verdana"/>
          <w:sz w:val="20"/>
          <w:szCs w:val="20"/>
        </w:rPr>
        <w:footnoteReference w:id="37"/>
      </w:r>
      <w:r w:rsidR="00D12979" w:rsidRPr="006D2DE2">
        <w:rPr>
          <w:rFonts w:ascii="Verdana" w:hAnsi="Verdana"/>
          <w:sz w:val="20"/>
          <w:szCs w:val="20"/>
        </w:rPr>
        <w:t xml:space="preserve">, por ello </w:t>
      </w:r>
      <w:r w:rsidR="00D12979" w:rsidRPr="006D2DE2">
        <w:rPr>
          <w:rFonts w:ascii="Verdana" w:hAnsi="Verdana"/>
          <w:sz w:val="20"/>
          <w:szCs w:val="20"/>
        </w:rPr>
        <w:lastRenderedPageBreak/>
        <w:t>era fundamental que las autoridades consideraran las grabaciones como pruebas en la acción de amparo</w:t>
      </w:r>
      <w:r w:rsidR="00D12979" w:rsidRPr="006D2DE2">
        <w:rPr>
          <w:rStyle w:val="FootnoteReference"/>
          <w:rFonts w:ascii="Verdana" w:hAnsi="Verdana"/>
          <w:sz w:val="20"/>
          <w:szCs w:val="20"/>
        </w:rPr>
        <w:footnoteReference w:id="38"/>
      </w:r>
      <w:r w:rsidR="00D12979" w:rsidRPr="006D2DE2">
        <w:rPr>
          <w:rFonts w:ascii="Verdana" w:hAnsi="Verdana"/>
          <w:sz w:val="20"/>
          <w:szCs w:val="20"/>
        </w:rPr>
        <w:t>. Lejos de esto, “[…] los juzgados que conocieron el amparo consideraron tales pruebas como ilícitas, sin tomar en cuenta el interés público de la cuestión y que en el caso se trata</w:t>
      </w:r>
      <w:r w:rsidR="00CB2FEB">
        <w:rPr>
          <w:rFonts w:ascii="Verdana" w:hAnsi="Verdana"/>
          <w:sz w:val="20"/>
          <w:szCs w:val="20"/>
        </w:rPr>
        <w:t>b</w:t>
      </w:r>
      <w:r w:rsidR="00D12979" w:rsidRPr="006D2DE2">
        <w:rPr>
          <w:rFonts w:ascii="Verdana" w:hAnsi="Verdana"/>
          <w:sz w:val="20"/>
          <w:szCs w:val="20"/>
        </w:rPr>
        <w:t>a del único medio de prueba directa. Tampoco admitieron ciertas noticias periodísticas y, en definitiva, no indag</w:t>
      </w:r>
      <w:r w:rsidR="00CB2FEB">
        <w:rPr>
          <w:rFonts w:ascii="Verdana" w:hAnsi="Verdana"/>
          <w:sz w:val="20"/>
          <w:szCs w:val="20"/>
        </w:rPr>
        <w:t>a</w:t>
      </w:r>
      <w:r w:rsidR="00D12979" w:rsidRPr="006D2DE2">
        <w:rPr>
          <w:rFonts w:ascii="Verdana" w:hAnsi="Verdana"/>
          <w:sz w:val="20"/>
          <w:szCs w:val="20"/>
        </w:rPr>
        <w:t>ron acerca de las motivaciones del despido […]”</w:t>
      </w:r>
      <w:r w:rsidR="00D12979" w:rsidRPr="006D2DE2">
        <w:rPr>
          <w:rStyle w:val="FootnoteReference"/>
          <w:rFonts w:ascii="Verdana" w:hAnsi="Verdana"/>
          <w:sz w:val="20"/>
          <w:szCs w:val="20"/>
        </w:rPr>
        <w:footnoteReference w:id="39"/>
      </w:r>
      <w:r w:rsidR="00D12979" w:rsidRPr="006D2DE2">
        <w:rPr>
          <w:rFonts w:ascii="Verdana" w:hAnsi="Verdana"/>
          <w:sz w:val="20"/>
          <w:szCs w:val="20"/>
        </w:rPr>
        <w:t xml:space="preserve">.  Así, </w:t>
      </w:r>
      <w:r w:rsidR="000B31B3">
        <w:rPr>
          <w:rFonts w:ascii="Verdana" w:hAnsi="Verdana"/>
          <w:sz w:val="20"/>
          <w:szCs w:val="20"/>
        </w:rPr>
        <w:t>“</w:t>
      </w:r>
      <w:r w:rsidR="00D12979" w:rsidRPr="006D2DE2">
        <w:rPr>
          <w:rFonts w:ascii="Verdana" w:hAnsi="Verdana"/>
          <w:sz w:val="20"/>
          <w:szCs w:val="20"/>
        </w:rPr>
        <w:t xml:space="preserve">la motivación y fundamentación expuesta por los juzgados internos fueron insuficientes al decidir sobre la situación jurídica que se alegaba infringida, afectando </w:t>
      </w:r>
      <w:r w:rsidR="000E7C4F" w:rsidRPr="006D2DE2">
        <w:rPr>
          <w:rFonts w:ascii="Verdana" w:hAnsi="Verdana"/>
          <w:sz w:val="20"/>
          <w:szCs w:val="20"/>
        </w:rPr>
        <w:t>así</w:t>
      </w:r>
      <w:r w:rsidR="00D12979" w:rsidRPr="006D2DE2">
        <w:rPr>
          <w:rFonts w:ascii="Verdana" w:hAnsi="Verdana"/>
          <w:sz w:val="20"/>
          <w:szCs w:val="20"/>
        </w:rPr>
        <w:t xml:space="preserve"> el derecho de acceso a la justicia […] y a un recurso judicial efectivo”</w:t>
      </w:r>
      <w:r w:rsidR="00D12979" w:rsidRPr="006D2DE2">
        <w:rPr>
          <w:rStyle w:val="FootnoteReference"/>
          <w:rFonts w:ascii="Verdana" w:hAnsi="Verdana"/>
          <w:sz w:val="20"/>
          <w:szCs w:val="20"/>
        </w:rPr>
        <w:footnoteReference w:id="40"/>
      </w:r>
      <w:r w:rsidR="00D12979" w:rsidRPr="006D2DE2">
        <w:rPr>
          <w:rFonts w:ascii="Verdana" w:hAnsi="Verdana"/>
          <w:sz w:val="20"/>
          <w:szCs w:val="20"/>
        </w:rPr>
        <w:t>.</w:t>
      </w:r>
    </w:p>
    <w:p w14:paraId="36BBE085" w14:textId="77777777" w:rsidR="00CA05B5" w:rsidRPr="006D2DE2" w:rsidRDefault="00CA05B5" w:rsidP="002A7F5B">
      <w:pPr>
        <w:jc w:val="both"/>
        <w:rPr>
          <w:rFonts w:ascii="Verdana" w:hAnsi="Verdana"/>
          <w:sz w:val="20"/>
          <w:szCs w:val="20"/>
        </w:rPr>
      </w:pPr>
    </w:p>
    <w:p w14:paraId="11A65FF4" w14:textId="6B11B5F0" w:rsidR="00CA05B5" w:rsidRPr="006D2DE2" w:rsidRDefault="00CA05B5"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Como podemos observar, todos y cada uno de los derechos que </w:t>
      </w:r>
      <w:r w:rsidR="000B31B3">
        <w:rPr>
          <w:rFonts w:ascii="Verdana" w:hAnsi="Verdana"/>
          <w:sz w:val="20"/>
          <w:szCs w:val="20"/>
        </w:rPr>
        <w:t xml:space="preserve">se </w:t>
      </w:r>
      <w:r w:rsidRPr="006D2DE2">
        <w:rPr>
          <w:rFonts w:ascii="Verdana" w:hAnsi="Verdana"/>
          <w:sz w:val="20"/>
          <w:szCs w:val="20"/>
        </w:rPr>
        <w:t>fueron analizando en el pr</w:t>
      </w:r>
      <w:r w:rsidR="00D63A76">
        <w:rPr>
          <w:rFonts w:ascii="Verdana" w:hAnsi="Verdana"/>
          <w:sz w:val="20"/>
          <w:szCs w:val="20"/>
        </w:rPr>
        <w:t>esente caso tuvieron en común —</w:t>
      </w:r>
      <w:r w:rsidRPr="006D2DE2">
        <w:rPr>
          <w:rFonts w:ascii="Verdana" w:hAnsi="Verdana"/>
          <w:sz w:val="20"/>
          <w:szCs w:val="20"/>
        </w:rPr>
        <w:t>como lo expresa la Sentencia</w:t>
      </w:r>
      <w:r w:rsidR="00D63A76">
        <w:rPr>
          <w:rFonts w:ascii="Verdana" w:hAnsi="Verdana"/>
          <w:sz w:val="20"/>
          <w:szCs w:val="20"/>
        </w:rPr>
        <w:t>—</w:t>
      </w:r>
      <w:r w:rsidRPr="006D2DE2">
        <w:rPr>
          <w:rFonts w:ascii="Verdana" w:hAnsi="Verdana"/>
          <w:sz w:val="20"/>
          <w:szCs w:val="20"/>
        </w:rPr>
        <w:t xml:space="preserve"> el mismo hecho que originó las violaciones de derechos humanos en perjuicio de las tres víctimas </w:t>
      </w:r>
      <w:r w:rsidR="008D1FE9">
        <w:rPr>
          <w:rFonts w:ascii="Verdana" w:hAnsi="Verdana"/>
          <w:sz w:val="20"/>
          <w:szCs w:val="20"/>
        </w:rPr>
        <w:t>d</w:t>
      </w:r>
      <w:r w:rsidRPr="006D2DE2">
        <w:rPr>
          <w:rFonts w:ascii="Verdana" w:hAnsi="Verdana"/>
          <w:sz w:val="20"/>
          <w:szCs w:val="20"/>
        </w:rPr>
        <w:t xml:space="preserve">el caso. Es por ello que la vinculación de forma </w:t>
      </w:r>
      <w:r w:rsidRPr="006D2DE2">
        <w:rPr>
          <w:rFonts w:ascii="Verdana" w:hAnsi="Verdana"/>
          <w:i/>
          <w:sz w:val="20"/>
          <w:szCs w:val="20"/>
        </w:rPr>
        <w:t xml:space="preserve">integral o conglobada </w:t>
      </w:r>
      <w:r w:rsidRPr="006D2DE2">
        <w:rPr>
          <w:rFonts w:ascii="Verdana" w:hAnsi="Verdana"/>
          <w:sz w:val="20"/>
          <w:szCs w:val="20"/>
        </w:rPr>
        <w:t xml:space="preserve">es fundamental para entender los alcances del presente fallo, es decir, </w:t>
      </w:r>
      <w:r w:rsidRPr="006D2DE2">
        <w:rPr>
          <w:rFonts w:ascii="Verdana" w:hAnsi="Verdana"/>
          <w:i/>
          <w:sz w:val="20"/>
          <w:szCs w:val="20"/>
        </w:rPr>
        <w:t xml:space="preserve">el ejercicio de los derechos políticos y la libertad de expresión garantizando el acceso a la justicia </w:t>
      </w:r>
      <w:r w:rsidR="008D1FE9">
        <w:rPr>
          <w:rFonts w:ascii="Verdana" w:hAnsi="Verdana"/>
          <w:i/>
          <w:sz w:val="20"/>
          <w:szCs w:val="20"/>
        </w:rPr>
        <w:t xml:space="preserve">ante un juez independiente </w:t>
      </w:r>
      <w:r w:rsidRPr="006D2DE2">
        <w:rPr>
          <w:rFonts w:ascii="Verdana" w:hAnsi="Verdana"/>
          <w:i/>
          <w:sz w:val="20"/>
          <w:szCs w:val="20"/>
        </w:rPr>
        <w:t xml:space="preserve">cuando se alegue la discriminación en los contextos laborales. </w:t>
      </w:r>
    </w:p>
    <w:p w14:paraId="58547384" w14:textId="77777777" w:rsidR="00665BBD" w:rsidRDefault="00665BBD" w:rsidP="002A7F5B">
      <w:pPr>
        <w:pStyle w:val="ListParagraph"/>
        <w:ind w:left="0"/>
        <w:jc w:val="both"/>
        <w:rPr>
          <w:rFonts w:ascii="Verdana" w:hAnsi="Verdana"/>
          <w:sz w:val="20"/>
          <w:szCs w:val="20"/>
        </w:rPr>
      </w:pPr>
    </w:p>
    <w:p w14:paraId="6C69BD40" w14:textId="77777777" w:rsidR="005E3836" w:rsidRPr="006D2DE2" w:rsidRDefault="005E3836" w:rsidP="002A7F5B">
      <w:pPr>
        <w:pStyle w:val="ListParagraph"/>
        <w:ind w:left="0"/>
        <w:jc w:val="both"/>
        <w:rPr>
          <w:rFonts w:ascii="Verdana" w:hAnsi="Verdana"/>
          <w:sz w:val="20"/>
          <w:szCs w:val="20"/>
        </w:rPr>
      </w:pPr>
    </w:p>
    <w:p w14:paraId="1A2A0026" w14:textId="602F084D" w:rsidR="00665BBD" w:rsidRPr="006D2DE2" w:rsidRDefault="007F13FA" w:rsidP="002A7F5B">
      <w:pPr>
        <w:jc w:val="both"/>
        <w:rPr>
          <w:rFonts w:ascii="Verdana" w:hAnsi="Verdana"/>
          <w:i/>
          <w:sz w:val="20"/>
          <w:szCs w:val="20"/>
          <w:u w:val="single"/>
        </w:rPr>
      </w:pPr>
      <w:r>
        <w:rPr>
          <w:rFonts w:ascii="Verdana" w:hAnsi="Verdana"/>
          <w:i/>
          <w:sz w:val="20"/>
          <w:szCs w:val="20"/>
          <w:u w:val="single"/>
        </w:rPr>
        <w:t>C</w:t>
      </w:r>
      <w:r w:rsidR="004E73F3">
        <w:rPr>
          <w:rFonts w:ascii="Verdana" w:hAnsi="Verdana"/>
          <w:i/>
          <w:sz w:val="20"/>
          <w:szCs w:val="20"/>
          <w:u w:val="single"/>
        </w:rPr>
        <w:t>. L</w:t>
      </w:r>
      <w:r w:rsidR="00665BBD" w:rsidRPr="006D2DE2">
        <w:rPr>
          <w:rFonts w:ascii="Verdana" w:hAnsi="Verdana"/>
          <w:i/>
          <w:sz w:val="20"/>
          <w:szCs w:val="20"/>
          <w:u w:val="single"/>
        </w:rPr>
        <w:t>ínea jurisprudencial en materia laboral como derecho autónomo</w:t>
      </w:r>
    </w:p>
    <w:p w14:paraId="64156699" w14:textId="77777777" w:rsidR="00665BBD" w:rsidRPr="006D2DE2" w:rsidRDefault="00665BBD" w:rsidP="002A7F5B">
      <w:pPr>
        <w:jc w:val="both"/>
        <w:rPr>
          <w:rFonts w:ascii="Verdana" w:hAnsi="Verdana"/>
          <w:sz w:val="20"/>
          <w:szCs w:val="20"/>
        </w:rPr>
      </w:pPr>
    </w:p>
    <w:p w14:paraId="52F8EC3E" w14:textId="05ED41F8" w:rsidR="00522B87" w:rsidRPr="006D2DE2" w:rsidRDefault="00665BBD"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El caso </w:t>
      </w:r>
      <w:r w:rsidRPr="006D2DE2">
        <w:rPr>
          <w:rFonts w:ascii="Verdana" w:hAnsi="Verdana"/>
          <w:i/>
          <w:sz w:val="20"/>
          <w:szCs w:val="20"/>
        </w:rPr>
        <w:t>San Miguel Sosa y otras Vs. Venezuela</w:t>
      </w:r>
      <w:r w:rsidRPr="006D2DE2">
        <w:rPr>
          <w:rFonts w:ascii="Verdana" w:hAnsi="Verdana"/>
          <w:sz w:val="20"/>
          <w:szCs w:val="20"/>
        </w:rPr>
        <w:t>, complementa la visión que de manera rápida ha tenido el Tribunal Interamericano sobre los derechos sociales y su exigibilidad directa ante esta instancia judicial. En este sentid</w:t>
      </w:r>
      <w:r w:rsidR="00D63A76">
        <w:rPr>
          <w:rFonts w:ascii="Verdana" w:hAnsi="Verdana"/>
          <w:sz w:val="20"/>
          <w:szCs w:val="20"/>
        </w:rPr>
        <w:t>o, la triada de casos laborales</w:t>
      </w:r>
      <w:r w:rsidRPr="006D2DE2">
        <w:rPr>
          <w:rFonts w:ascii="Verdana" w:hAnsi="Verdana"/>
          <w:sz w:val="20"/>
          <w:szCs w:val="20"/>
        </w:rPr>
        <w:t xml:space="preserve"> </w:t>
      </w:r>
      <w:r w:rsidR="0098682A" w:rsidRPr="006D2DE2">
        <w:rPr>
          <w:rFonts w:ascii="Verdana" w:hAnsi="Verdana"/>
          <w:i/>
          <w:sz w:val="20"/>
          <w:szCs w:val="20"/>
        </w:rPr>
        <w:t>Lagos del Campo, Trabajadores C</w:t>
      </w:r>
      <w:r w:rsidRPr="006D2DE2">
        <w:rPr>
          <w:rFonts w:ascii="Verdana" w:hAnsi="Verdana"/>
          <w:i/>
          <w:sz w:val="20"/>
          <w:szCs w:val="20"/>
        </w:rPr>
        <w:t>esado</w:t>
      </w:r>
      <w:r w:rsidR="0098682A" w:rsidRPr="006D2DE2">
        <w:rPr>
          <w:rFonts w:ascii="Verdana" w:hAnsi="Verdana"/>
          <w:i/>
          <w:sz w:val="20"/>
          <w:szCs w:val="20"/>
        </w:rPr>
        <w:t>s</w:t>
      </w:r>
      <w:r w:rsidRPr="006D2DE2">
        <w:rPr>
          <w:rFonts w:ascii="Verdana" w:hAnsi="Verdana"/>
          <w:i/>
          <w:sz w:val="20"/>
          <w:szCs w:val="20"/>
        </w:rPr>
        <w:t xml:space="preserve"> del Petroperú y otros </w:t>
      </w:r>
      <w:r w:rsidRPr="006D2DE2">
        <w:rPr>
          <w:rFonts w:ascii="Verdana" w:hAnsi="Verdana"/>
          <w:sz w:val="20"/>
          <w:szCs w:val="20"/>
        </w:rPr>
        <w:t xml:space="preserve">y ahora el caso </w:t>
      </w:r>
      <w:r w:rsidRPr="006D2DE2">
        <w:rPr>
          <w:rFonts w:ascii="Verdana" w:hAnsi="Verdana"/>
          <w:i/>
          <w:sz w:val="20"/>
          <w:szCs w:val="20"/>
        </w:rPr>
        <w:t xml:space="preserve">San Miguel Sosa y otras, </w:t>
      </w:r>
      <w:r w:rsidRPr="006D2DE2">
        <w:rPr>
          <w:rFonts w:ascii="Verdana" w:hAnsi="Verdana"/>
          <w:sz w:val="20"/>
          <w:szCs w:val="20"/>
        </w:rPr>
        <w:t xml:space="preserve">permiten delinear una serie </w:t>
      </w:r>
      <w:r w:rsidR="00D63A76">
        <w:rPr>
          <w:rFonts w:ascii="Verdana" w:hAnsi="Verdana"/>
          <w:sz w:val="20"/>
          <w:szCs w:val="20"/>
        </w:rPr>
        <w:t>de estándares que se deben tener</w:t>
      </w:r>
      <w:r w:rsidRPr="006D2DE2">
        <w:rPr>
          <w:rFonts w:ascii="Verdana" w:hAnsi="Verdana"/>
          <w:sz w:val="20"/>
          <w:szCs w:val="20"/>
        </w:rPr>
        <w:t xml:space="preserve"> en consideración </w:t>
      </w:r>
      <w:r w:rsidR="00522B87" w:rsidRPr="006D2DE2">
        <w:rPr>
          <w:rFonts w:ascii="Verdana" w:hAnsi="Verdana"/>
          <w:sz w:val="20"/>
          <w:szCs w:val="20"/>
        </w:rPr>
        <w:t xml:space="preserve">en los </w:t>
      </w:r>
      <w:r w:rsidR="00522B87" w:rsidRPr="006D2DE2">
        <w:rPr>
          <w:rFonts w:ascii="Verdana" w:hAnsi="Verdana"/>
          <w:sz w:val="20"/>
          <w:szCs w:val="20"/>
        </w:rPr>
        <w:lastRenderedPageBreak/>
        <w:t>ejercicios de control de convencionalidad en sede intern</w:t>
      </w:r>
      <w:r w:rsidR="00D63A76">
        <w:rPr>
          <w:rFonts w:ascii="Verdana" w:hAnsi="Verdana"/>
          <w:sz w:val="20"/>
          <w:szCs w:val="20"/>
        </w:rPr>
        <w:t>a</w:t>
      </w:r>
      <w:r w:rsidR="00F73020" w:rsidRPr="006D2DE2">
        <w:rPr>
          <w:rStyle w:val="FootnoteReference"/>
          <w:rFonts w:ascii="Verdana" w:hAnsi="Verdana"/>
          <w:sz w:val="20"/>
          <w:szCs w:val="20"/>
        </w:rPr>
        <w:footnoteReference w:id="41"/>
      </w:r>
      <w:r w:rsidR="00522B87" w:rsidRPr="006D2DE2">
        <w:rPr>
          <w:rFonts w:ascii="Verdana" w:hAnsi="Verdana"/>
          <w:sz w:val="20"/>
          <w:szCs w:val="20"/>
        </w:rPr>
        <w:t xml:space="preserve"> y abundar al diálogo jurisprudencial existente entre el ámbito internacional interamericano y la sede nacional de los Estados Parte de la Convención Americana. </w:t>
      </w:r>
    </w:p>
    <w:p w14:paraId="01FC3C0E" w14:textId="77777777" w:rsidR="00CA293C" w:rsidRPr="006D2DE2" w:rsidRDefault="00CA293C" w:rsidP="002A7F5B">
      <w:pPr>
        <w:pStyle w:val="ListParagraph"/>
        <w:ind w:left="0"/>
        <w:jc w:val="both"/>
        <w:rPr>
          <w:rFonts w:ascii="Verdana" w:hAnsi="Verdana"/>
          <w:sz w:val="20"/>
          <w:szCs w:val="20"/>
        </w:rPr>
      </w:pPr>
    </w:p>
    <w:p w14:paraId="1AE069C3" w14:textId="20ACB677" w:rsidR="00522B87" w:rsidRPr="006D2DE2" w:rsidRDefault="00522B87"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Es de destacar que un aspecto fundamental de estos tres casos, es que permite desmitificar una de las cuestiones que giraban en torno a los derecho</w:t>
      </w:r>
      <w:r w:rsidR="00BE542D">
        <w:rPr>
          <w:rFonts w:ascii="Verdana" w:hAnsi="Verdana"/>
          <w:sz w:val="20"/>
          <w:szCs w:val="20"/>
        </w:rPr>
        <w:t>s</w:t>
      </w:r>
      <w:r w:rsidRPr="006D2DE2">
        <w:rPr>
          <w:rFonts w:ascii="Verdana" w:hAnsi="Verdana"/>
          <w:sz w:val="20"/>
          <w:szCs w:val="20"/>
        </w:rPr>
        <w:t xml:space="preserve"> sociales y es que eran considerados como derechos de carácter </w:t>
      </w:r>
      <w:r w:rsidRPr="006D2DE2">
        <w:rPr>
          <w:rFonts w:ascii="Verdana" w:hAnsi="Verdana"/>
          <w:i/>
          <w:sz w:val="20"/>
          <w:szCs w:val="20"/>
        </w:rPr>
        <w:t xml:space="preserve">progresivo. </w:t>
      </w:r>
      <w:r w:rsidRPr="006D2DE2">
        <w:rPr>
          <w:rFonts w:ascii="Verdana" w:hAnsi="Verdana"/>
          <w:sz w:val="20"/>
          <w:szCs w:val="20"/>
        </w:rPr>
        <w:t xml:space="preserve">En este sentido, estos tres casos nos han permitido palpar que la </w:t>
      </w:r>
      <w:proofErr w:type="spellStart"/>
      <w:r w:rsidRPr="006D2DE2">
        <w:rPr>
          <w:rFonts w:ascii="Verdana" w:hAnsi="Verdana"/>
          <w:sz w:val="20"/>
          <w:szCs w:val="20"/>
        </w:rPr>
        <w:t>justiciabilidad</w:t>
      </w:r>
      <w:proofErr w:type="spellEnd"/>
      <w:r w:rsidRPr="006D2DE2">
        <w:rPr>
          <w:rFonts w:ascii="Verdana" w:hAnsi="Verdana"/>
          <w:sz w:val="20"/>
          <w:szCs w:val="20"/>
        </w:rPr>
        <w:t xml:space="preserve"> de los DESCA puede realizarse en un plano de obligaciones que han estado presentes desde </w:t>
      </w:r>
      <w:r w:rsidR="00CA293C" w:rsidRPr="006D2DE2">
        <w:rPr>
          <w:rFonts w:ascii="Verdana" w:hAnsi="Verdana"/>
          <w:sz w:val="20"/>
          <w:szCs w:val="20"/>
        </w:rPr>
        <w:t>el inicio d</w:t>
      </w:r>
      <w:r w:rsidRPr="006D2DE2">
        <w:rPr>
          <w:rFonts w:ascii="Verdana" w:hAnsi="Verdana"/>
          <w:sz w:val="20"/>
          <w:szCs w:val="20"/>
        </w:rPr>
        <w:t>el ejercicio de la función contenc</w:t>
      </w:r>
      <w:r w:rsidR="00D63A76">
        <w:rPr>
          <w:rFonts w:ascii="Verdana" w:hAnsi="Verdana"/>
          <w:sz w:val="20"/>
          <w:szCs w:val="20"/>
        </w:rPr>
        <w:t>iosa de la Corte Interamericana,</w:t>
      </w:r>
      <w:r w:rsidRPr="006D2DE2">
        <w:rPr>
          <w:rFonts w:ascii="Verdana" w:hAnsi="Verdana"/>
          <w:sz w:val="20"/>
          <w:szCs w:val="20"/>
        </w:rPr>
        <w:t xml:space="preserve"> es decir, las obligaciones de respeto y garantía</w:t>
      </w:r>
      <w:r w:rsidRPr="006D2DE2">
        <w:rPr>
          <w:rStyle w:val="FootnoteReference"/>
          <w:rFonts w:ascii="Verdana" w:hAnsi="Verdana"/>
          <w:sz w:val="20"/>
          <w:szCs w:val="20"/>
        </w:rPr>
        <w:footnoteReference w:id="42"/>
      </w:r>
      <w:r w:rsidRPr="006D2DE2">
        <w:rPr>
          <w:rFonts w:ascii="Verdana" w:hAnsi="Verdana"/>
          <w:sz w:val="20"/>
          <w:szCs w:val="20"/>
        </w:rPr>
        <w:t xml:space="preserve"> </w:t>
      </w:r>
      <w:r w:rsidR="00CA293C" w:rsidRPr="006D2DE2">
        <w:rPr>
          <w:rFonts w:ascii="Verdana" w:hAnsi="Verdana"/>
          <w:sz w:val="20"/>
          <w:szCs w:val="20"/>
        </w:rPr>
        <w:t xml:space="preserve">; </w:t>
      </w:r>
      <w:r w:rsidR="00EB5F8B">
        <w:rPr>
          <w:rFonts w:ascii="Verdana" w:hAnsi="Verdana"/>
          <w:sz w:val="20"/>
          <w:szCs w:val="20"/>
        </w:rPr>
        <w:t xml:space="preserve">sin requerir, necesariamente, </w:t>
      </w:r>
      <w:r w:rsidRPr="006D2DE2">
        <w:rPr>
          <w:rFonts w:ascii="Verdana" w:hAnsi="Verdana"/>
          <w:sz w:val="20"/>
          <w:szCs w:val="20"/>
        </w:rPr>
        <w:t>la evaluación de medidas de carácter progresivo o regresivo</w:t>
      </w:r>
      <w:r w:rsidRPr="006D2DE2">
        <w:rPr>
          <w:rStyle w:val="FootnoteReference"/>
          <w:rFonts w:ascii="Verdana" w:hAnsi="Verdana"/>
          <w:sz w:val="20"/>
          <w:szCs w:val="20"/>
        </w:rPr>
        <w:footnoteReference w:id="43"/>
      </w:r>
      <w:r w:rsidRPr="006D2DE2">
        <w:rPr>
          <w:rFonts w:ascii="Verdana" w:hAnsi="Verdana"/>
          <w:sz w:val="20"/>
          <w:szCs w:val="20"/>
        </w:rPr>
        <w:t xml:space="preserve">. </w:t>
      </w:r>
      <w:r w:rsidR="00EB5F8B">
        <w:rPr>
          <w:rFonts w:ascii="Verdana" w:hAnsi="Verdana"/>
          <w:sz w:val="20"/>
          <w:szCs w:val="20"/>
        </w:rPr>
        <w:t xml:space="preserve">Es decir, dependiendo del caso, se podría analizar uno de los dos </w:t>
      </w:r>
      <w:proofErr w:type="gramStart"/>
      <w:r w:rsidR="00EB5F8B">
        <w:rPr>
          <w:rFonts w:ascii="Verdana" w:hAnsi="Verdana"/>
          <w:sz w:val="20"/>
          <w:szCs w:val="20"/>
        </w:rPr>
        <w:t>supuesto</w:t>
      </w:r>
      <w:proofErr w:type="gramEnd"/>
      <w:r w:rsidR="00EB5F8B">
        <w:rPr>
          <w:rFonts w:ascii="Verdana" w:hAnsi="Verdana"/>
          <w:sz w:val="20"/>
          <w:szCs w:val="20"/>
        </w:rPr>
        <w:t xml:space="preserve"> o incluso ambos (obligaciones de respeto y garantía y/o medidas progresivas o regresivas).</w:t>
      </w:r>
    </w:p>
    <w:p w14:paraId="49A76293" w14:textId="77777777" w:rsidR="00FB5E1B" w:rsidRPr="006D2DE2" w:rsidRDefault="00FB5E1B" w:rsidP="002A7F5B">
      <w:pPr>
        <w:jc w:val="both"/>
        <w:rPr>
          <w:rFonts w:ascii="Verdana" w:hAnsi="Verdana"/>
          <w:sz w:val="20"/>
          <w:szCs w:val="20"/>
        </w:rPr>
      </w:pPr>
    </w:p>
    <w:p w14:paraId="3C00A25D" w14:textId="3BDA3234" w:rsidR="00F720A6" w:rsidRPr="006D2DE2" w:rsidRDefault="00776CDA" w:rsidP="002A7F5B">
      <w:pPr>
        <w:pStyle w:val="ListParagraph"/>
        <w:numPr>
          <w:ilvl w:val="0"/>
          <w:numId w:val="1"/>
        </w:numPr>
        <w:ind w:left="0" w:firstLine="0"/>
        <w:jc w:val="both"/>
        <w:rPr>
          <w:rFonts w:ascii="Verdana" w:hAnsi="Verdana"/>
          <w:sz w:val="20"/>
          <w:szCs w:val="20"/>
        </w:rPr>
      </w:pPr>
      <w:r>
        <w:rPr>
          <w:rFonts w:ascii="Verdana" w:hAnsi="Verdana"/>
          <w:sz w:val="20"/>
          <w:szCs w:val="20"/>
        </w:rPr>
        <w:t>O</w:t>
      </w:r>
      <w:r w:rsidR="00FB5E1B" w:rsidRPr="006D2DE2">
        <w:rPr>
          <w:rFonts w:ascii="Verdana" w:hAnsi="Verdana"/>
          <w:sz w:val="20"/>
          <w:szCs w:val="20"/>
        </w:rPr>
        <w:t xml:space="preserve">tro aporte que ha </w:t>
      </w:r>
      <w:r w:rsidR="00F720A6" w:rsidRPr="006D2DE2">
        <w:rPr>
          <w:rFonts w:ascii="Verdana" w:hAnsi="Verdana"/>
          <w:sz w:val="20"/>
          <w:szCs w:val="20"/>
        </w:rPr>
        <w:t xml:space="preserve">hecho el Tribunal Interamericano lo desarrolló en los </w:t>
      </w:r>
      <w:r w:rsidR="00FB5E1B" w:rsidRPr="006D2DE2">
        <w:rPr>
          <w:rFonts w:ascii="Verdana" w:hAnsi="Verdana"/>
          <w:sz w:val="20"/>
          <w:szCs w:val="20"/>
        </w:rPr>
        <w:t>caso</w:t>
      </w:r>
      <w:r w:rsidR="00F720A6" w:rsidRPr="006D2DE2">
        <w:rPr>
          <w:rFonts w:ascii="Verdana" w:hAnsi="Verdana"/>
          <w:sz w:val="20"/>
          <w:szCs w:val="20"/>
        </w:rPr>
        <w:t xml:space="preserve">s </w:t>
      </w:r>
      <w:r w:rsidR="00F720A6" w:rsidRPr="006D2DE2">
        <w:rPr>
          <w:rFonts w:ascii="Verdana" w:hAnsi="Verdana"/>
          <w:i/>
          <w:sz w:val="20"/>
          <w:szCs w:val="20"/>
        </w:rPr>
        <w:t>Lagos del Campo</w:t>
      </w:r>
      <w:r w:rsidR="00C439DC" w:rsidRPr="006D2DE2">
        <w:rPr>
          <w:rStyle w:val="FootnoteReference"/>
          <w:rFonts w:ascii="Verdana" w:hAnsi="Verdana"/>
          <w:i/>
          <w:sz w:val="20"/>
          <w:szCs w:val="20"/>
        </w:rPr>
        <w:footnoteReference w:id="44"/>
      </w:r>
      <w:r w:rsidR="00F720A6" w:rsidRPr="006D2DE2">
        <w:rPr>
          <w:rFonts w:ascii="Verdana" w:hAnsi="Verdana"/>
          <w:i/>
          <w:sz w:val="20"/>
          <w:szCs w:val="20"/>
        </w:rPr>
        <w:t xml:space="preserve"> y </w:t>
      </w:r>
      <w:r w:rsidR="00FB5E1B" w:rsidRPr="006D2DE2">
        <w:rPr>
          <w:rFonts w:ascii="Verdana" w:hAnsi="Verdana"/>
          <w:i/>
          <w:sz w:val="20"/>
          <w:szCs w:val="20"/>
        </w:rPr>
        <w:t>Trabajadores Cesados del Petroperú</w:t>
      </w:r>
      <w:r w:rsidR="00C439DC" w:rsidRPr="006D2DE2">
        <w:rPr>
          <w:rStyle w:val="FootnoteReference"/>
          <w:rFonts w:ascii="Verdana" w:hAnsi="Verdana"/>
          <w:i/>
          <w:sz w:val="20"/>
          <w:szCs w:val="20"/>
        </w:rPr>
        <w:footnoteReference w:id="45"/>
      </w:r>
      <w:r w:rsidR="00F720A6" w:rsidRPr="006D2DE2">
        <w:rPr>
          <w:rFonts w:ascii="Verdana" w:hAnsi="Verdana"/>
          <w:sz w:val="20"/>
          <w:szCs w:val="20"/>
        </w:rPr>
        <w:t xml:space="preserve"> </w:t>
      </w:r>
      <w:r w:rsidR="000B6F39" w:rsidRPr="006D2DE2">
        <w:rPr>
          <w:rFonts w:ascii="Verdana" w:hAnsi="Verdana"/>
          <w:sz w:val="20"/>
          <w:szCs w:val="20"/>
        </w:rPr>
        <w:t>al considerar que</w:t>
      </w:r>
      <w:r w:rsidR="001E2021" w:rsidRPr="006D2DE2">
        <w:rPr>
          <w:rFonts w:ascii="Verdana" w:hAnsi="Verdana"/>
          <w:sz w:val="20"/>
          <w:szCs w:val="20"/>
        </w:rPr>
        <w:t xml:space="preserve"> los recurs</w:t>
      </w:r>
      <w:r w:rsidR="00EB5F8B">
        <w:rPr>
          <w:rFonts w:ascii="Verdana" w:hAnsi="Verdana"/>
          <w:sz w:val="20"/>
          <w:szCs w:val="20"/>
        </w:rPr>
        <w:t>os o acciones instaurados a nivel interno —</w:t>
      </w:r>
      <w:r w:rsidR="001E2021" w:rsidRPr="006D2DE2">
        <w:rPr>
          <w:rFonts w:ascii="Verdana" w:hAnsi="Verdana"/>
          <w:sz w:val="20"/>
          <w:szCs w:val="20"/>
        </w:rPr>
        <w:t>por ejemplo</w:t>
      </w:r>
      <w:r w:rsidR="007152F1" w:rsidRPr="006D2DE2">
        <w:rPr>
          <w:rFonts w:ascii="Verdana" w:hAnsi="Verdana"/>
          <w:sz w:val="20"/>
          <w:szCs w:val="20"/>
        </w:rPr>
        <w:t>,</w:t>
      </w:r>
      <w:r w:rsidR="001E2021" w:rsidRPr="006D2DE2">
        <w:rPr>
          <w:rFonts w:ascii="Verdana" w:hAnsi="Verdana"/>
          <w:sz w:val="20"/>
          <w:szCs w:val="20"/>
        </w:rPr>
        <w:t xml:space="preserve"> el recurso</w:t>
      </w:r>
      <w:r w:rsidR="00EB5F8B">
        <w:rPr>
          <w:rFonts w:ascii="Verdana" w:hAnsi="Verdana"/>
          <w:sz w:val="20"/>
          <w:szCs w:val="20"/>
        </w:rPr>
        <w:t xml:space="preserve"> o juicio</w:t>
      </w:r>
      <w:r w:rsidR="001E2021" w:rsidRPr="006D2DE2">
        <w:rPr>
          <w:rFonts w:ascii="Verdana" w:hAnsi="Verdana"/>
          <w:sz w:val="20"/>
          <w:szCs w:val="20"/>
        </w:rPr>
        <w:t xml:space="preserve"> de amparo</w:t>
      </w:r>
      <w:r w:rsidR="00EB5F8B">
        <w:rPr>
          <w:rFonts w:ascii="Verdana" w:hAnsi="Verdana"/>
          <w:sz w:val="20"/>
          <w:szCs w:val="20"/>
        </w:rPr>
        <w:t>—</w:t>
      </w:r>
      <w:r w:rsidR="001E2021" w:rsidRPr="006D2DE2">
        <w:rPr>
          <w:rFonts w:ascii="Verdana" w:hAnsi="Verdana"/>
          <w:sz w:val="20"/>
          <w:szCs w:val="20"/>
        </w:rPr>
        <w:t xml:space="preserve"> no deben desasociar el derecho sustancial del derecho procesal impidiendo así analizar el objeto principal de la controversia</w:t>
      </w:r>
      <w:r w:rsidR="001E2021" w:rsidRPr="006D2DE2">
        <w:rPr>
          <w:rStyle w:val="FootnoteReference"/>
          <w:rFonts w:ascii="Verdana" w:hAnsi="Verdana"/>
          <w:sz w:val="20"/>
          <w:szCs w:val="20"/>
        </w:rPr>
        <w:footnoteReference w:id="46"/>
      </w:r>
      <w:r w:rsidR="00F720A6" w:rsidRPr="006D2DE2">
        <w:rPr>
          <w:rFonts w:ascii="Verdana" w:hAnsi="Verdana"/>
          <w:sz w:val="20"/>
          <w:szCs w:val="20"/>
        </w:rPr>
        <w:t>, en estos</w:t>
      </w:r>
      <w:r w:rsidR="001E2021" w:rsidRPr="006D2DE2">
        <w:rPr>
          <w:rFonts w:ascii="Verdana" w:hAnsi="Verdana"/>
          <w:sz w:val="20"/>
          <w:szCs w:val="20"/>
        </w:rPr>
        <w:t xml:space="preserve"> caso</w:t>
      </w:r>
      <w:r w:rsidR="007152F1" w:rsidRPr="006D2DE2">
        <w:rPr>
          <w:rFonts w:ascii="Verdana" w:hAnsi="Verdana"/>
          <w:sz w:val="20"/>
          <w:szCs w:val="20"/>
        </w:rPr>
        <w:t>s</w:t>
      </w:r>
      <w:r w:rsidR="00D63A76">
        <w:rPr>
          <w:rFonts w:ascii="Verdana" w:hAnsi="Verdana"/>
          <w:sz w:val="20"/>
          <w:szCs w:val="20"/>
        </w:rPr>
        <w:t xml:space="preserve"> </w:t>
      </w:r>
      <w:r w:rsidR="001E2021" w:rsidRPr="006D2DE2">
        <w:rPr>
          <w:rFonts w:ascii="Verdana" w:hAnsi="Verdana"/>
          <w:sz w:val="20"/>
          <w:szCs w:val="20"/>
        </w:rPr>
        <w:t xml:space="preserve">el derecho al trabajo. </w:t>
      </w:r>
    </w:p>
    <w:p w14:paraId="4912891C" w14:textId="77777777" w:rsidR="00F720A6" w:rsidRPr="006D2DE2" w:rsidRDefault="00F720A6" w:rsidP="002A7F5B">
      <w:pPr>
        <w:jc w:val="both"/>
        <w:rPr>
          <w:rFonts w:ascii="Verdana" w:hAnsi="Verdana"/>
          <w:sz w:val="20"/>
          <w:szCs w:val="20"/>
        </w:rPr>
      </w:pPr>
    </w:p>
    <w:p w14:paraId="1FADB3DB" w14:textId="64C0132A" w:rsidR="004E73F3" w:rsidRPr="004E73F3" w:rsidRDefault="00F720A6"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lastRenderedPageBreak/>
        <w:t>Así, s</w:t>
      </w:r>
      <w:r w:rsidR="00584785">
        <w:rPr>
          <w:rFonts w:ascii="Verdana" w:hAnsi="Verdana"/>
          <w:sz w:val="20"/>
          <w:szCs w:val="20"/>
        </w:rPr>
        <w:t>i bien el recurso de amparo está</w:t>
      </w:r>
      <w:r w:rsidRPr="006D2DE2">
        <w:rPr>
          <w:rFonts w:ascii="Verdana" w:hAnsi="Verdana"/>
          <w:sz w:val="20"/>
          <w:szCs w:val="20"/>
        </w:rPr>
        <w:t xml:space="preserve"> diseñado para tutelar los derechos constitucionales, la falta de consideración de los derechos laborales</w:t>
      </w:r>
      <w:r w:rsidR="0098682A" w:rsidRPr="006D2DE2">
        <w:rPr>
          <w:rFonts w:ascii="Verdana" w:hAnsi="Verdana"/>
          <w:sz w:val="20"/>
          <w:szCs w:val="20"/>
        </w:rPr>
        <w:t>, o en general de los derechos sociales</w:t>
      </w:r>
      <w:r w:rsidRPr="006D2DE2">
        <w:rPr>
          <w:rFonts w:ascii="Verdana" w:hAnsi="Verdana"/>
          <w:sz w:val="20"/>
          <w:szCs w:val="20"/>
        </w:rPr>
        <w:t xml:space="preserve">, puede impedir que el recurso de amparo </w:t>
      </w:r>
      <w:r w:rsidR="00776CDA">
        <w:rPr>
          <w:rFonts w:ascii="Verdana" w:hAnsi="Verdana"/>
          <w:sz w:val="20"/>
          <w:szCs w:val="20"/>
        </w:rPr>
        <w:t xml:space="preserve">produzca </w:t>
      </w:r>
      <w:r w:rsidRPr="006D2DE2">
        <w:rPr>
          <w:rFonts w:ascii="Verdana" w:hAnsi="Verdana"/>
          <w:sz w:val="20"/>
          <w:szCs w:val="20"/>
        </w:rPr>
        <w:t>el resultado para el cual fue concebido</w:t>
      </w:r>
      <w:r w:rsidR="0098682A" w:rsidRPr="006D2DE2">
        <w:rPr>
          <w:rFonts w:ascii="Verdana" w:hAnsi="Verdana"/>
          <w:sz w:val="20"/>
          <w:szCs w:val="20"/>
        </w:rPr>
        <w:t>, es decir, la tutela efectiva de los derechos humanos</w:t>
      </w:r>
      <w:r w:rsidR="00EB5F8B">
        <w:rPr>
          <w:rFonts w:ascii="Verdana" w:hAnsi="Verdana"/>
          <w:sz w:val="20"/>
          <w:szCs w:val="20"/>
        </w:rPr>
        <w:t xml:space="preserve">.  </w:t>
      </w:r>
      <w:r w:rsidRPr="006D2DE2">
        <w:rPr>
          <w:rFonts w:ascii="Verdana" w:hAnsi="Verdana" w:cs="Verdana"/>
          <w:sz w:val="20"/>
          <w:szCs w:val="20"/>
        </w:rPr>
        <w:t>La Corte ha sostenido que el análisis por la autoridad competente de un recurso judicial —que controvierte derechos constitucionales como derechos laborales—, no puede reducirse a una mera formalidad y omitir argumentos de las partes, ya que debe examinar sus razones y manifestarse sobre ellas conforme a los parámetros establecidos por la Convención Americana</w:t>
      </w:r>
      <w:r w:rsidRPr="006D2DE2">
        <w:rPr>
          <w:rStyle w:val="FootnoteReference"/>
          <w:rFonts w:ascii="Verdana" w:hAnsi="Verdana" w:cs="Verdana"/>
          <w:sz w:val="20"/>
          <w:szCs w:val="20"/>
        </w:rPr>
        <w:footnoteReference w:id="47"/>
      </w:r>
      <w:r w:rsidRPr="006D2DE2">
        <w:rPr>
          <w:rFonts w:ascii="Verdana" w:hAnsi="Verdana" w:cs="Verdana"/>
          <w:sz w:val="20"/>
          <w:szCs w:val="20"/>
        </w:rPr>
        <w:t xml:space="preserve">. </w:t>
      </w:r>
    </w:p>
    <w:p w14:paraId="6AC06EAF" w14:textId="77777777" w:rsidR="004E73F3" w:rsidRPr="004E73F3" w:rsidRDefault="004E73F3" w:rsidP="002A7F5B">
      <w:pPr>
        <w:jc w:val="both"/>
        <w:rPr>
          <w:rFonts w:ascii="Verdana" w:hAnsi="Verdana"/>
          <w:sz w:val="20"/>
          <w:szCs w:val="20"/>
        </w:rPr>
      </w:pPr>
    </w:p>
    <w:p w14:paraId="038FAF32" w14:textId="65D9ACA0" w:rsidR="001E2021" w:rsidRPr="004E73F3" w:rsidRDefault="001E2021" w:rsidP="002A7F5B">
      <w:pPr>
        <w:pStyle w:val="ListParagraph"/>
        <w:numPr>
          <w:ilvl w:val="0"/>
          <w:numId w:val="1"/>
        </w:numPr>
        <w:ind w:left="0" w:firstLine="0"/>
        <w:jc w:val="both"/>
        <w:rPr>
          <w:rFonts w:ascii="Verdana" w:hAnsi="Verdana"/>
          <w:sz w:val="20"/>
          <w:szCs w:val="20"/>
        </w:rPr>
      </w:pPr>
      <w:r w:rsidRPr="004E73F3">
        <w:rPr>
          <w:rFonts w:ascii="Verdana" w:hAnsi="Verdana"/>
          <w:sz w:val="20"/>
          <w:szCs w:val="20"/>
        </w:rPr>
        <w:t>Lo que sienta este precedente es que los recursos a nivel interno, que tradicionalmente han sido pensados para tutelar derechos humanos de naturaleza civil o política</w:t>
      </w:r>
      <w:r w:rsidRPr="006D2DE2">
        <w:rPr>
          <w:rStyle w:val="FootnoteReference"/>
          <w:rFonts w:ascii="Verdana" w:hAnsi="Verdana"/>
          <w:sz w:val="20"/>
          <w:szCs w:val="20"/>
        </w:rPr>
        <w:footnoteReference w:id="48"/>
      </w:r>
      <w:r w:rsidRPr="004E73F3">
        <w:rPr>
          <w:rFonts w:ascii="Verdana" w:hAnsi="Verdana"/>
          <w:sz w:val="20"/>
          <w:szCs w:val="20"/>
        </w:rPr>
        <w:t xml:space="preserve"> (y en algunos extremos los han llegado a considerar derechos individuales), también pueden tutelar derechos de naturaleza económica, social, cultural o ambiental, ya sea en supuestos de violaciones individuales o </w:t>
      </w:r>
      <w:r w:rsidR="00584785" w:rsidRPr="004E73F3">
        <w:rPr>
          <w:rFonts w:ascii="Verdana" w:hAnsi="Verdana"/>
          <w:sz w:val="20"/>
          <w:szCs w:val="20"/>
        </w:rPr>
        <w:t xml:space="preserve">de naturaleza </w:t>
      </w:r>
      <w:r w:rsidRPr="004E73F3">
        <w:rPr>
          <w:rFonts w:ascii="Verdana" w:hAnsi="Verdana"/>
          <w:sz w:val="20"/>
          <w:szCs w:val="20"/>
        </w:rPr>
        <w:t>colectiva</w:t>
      </w:r>
      <w:r w:rsidRPr="006D2DE2">
        <w:rPr>
          <w:rStyle w:val="FootnoteReference"/>
          <w:rFonts w:ascii="Verdana" w:hAnsi="Verdana"/>
          <w:sz w:val="20"/>
          <w:szCs w:val="20"/>
        </w:rPr>
        <w:footnoteReference w:id="49"/>
      </w:r>
      <w:r w:rsidRPr="004E73F3">
        <w:rPr>
          <w:rFonts w:ascii="Verdana" w:hAnsi="Verdana"/>
          <w:sz w:val="20"/>
          <w:szCs w:val="20"/>
        </w:rPr>
        <w:t xml:space="preserve">. </w:t>
      </w:r>
    </w:p>
    <w:p w14:paraId="5CD0FB2A" w14:textId="77777777" w:rsidR="00387CEA" w:rsidRPr="006D2DE2" w:rsidRDefault="00387CEA" w:rsidP="002A7F5B">
      <w:pPr>
        <w:jc w:val="both"/>
        <w:rPr>
          <w:rFonts w:ascii="Verdana" w:hAnsi="Verdana"/>
          <w:sz w:val="20"/>
          <w:szCs w:val="20"/>
        </w:rPr>
      </w:pPr>
    </w:p>
    <w:p w14:paraId="1059B713" w14:textId="61D6E488" w:rsidR="00387CEA" w:rsidRPr="006D2DE2" w:rsidRDefault="00387CEA"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También cabe precisar las diferencias y contextos que ha protegido la Corte Interamericana </w:t>
      </w:r>
      <w:r w:rsidR="00586447" w:rsidRPr="006D2DE2">
        <w:rPr>
          <w:rFonts w:ascii="Verdana" w:hAnsi="Verdana"/>
          <w:sz w:val="20"/>
          <w:szCs w:val="20"/>
        </w:rPr>
        <w:t>en los tres casos. En primer lugar</w:t>
      </w:r>
      <w:r w:rsidRPr="006D2DE2">
        <w:rPr>
          <w:rFonts w:ascii="Verdana" w:hAnsi="Verdana"/>
          <w:sz w:val="20"/>
          <w:szCs w:val="20"/>
        </w:rPr>
        <w:t xml:space="preserve">, en el caso </w:t>
      </w:r>
      <w:r w:rsidRPr="006D2DE2">
        <w:rPr>
          <w:rFonts w:ascii="Verdana" w:hAnsi="Verdana"/>
          <w:i/>
          <w:sz w:val="20"/>
          <w:szCs w:val="20"/>
        </w:rPr>
        <w:t>Lagos del Campo Vs. Perú</w:t>
      </w:r>
      <w:r w:rsidRPr="006D2DE2">
        <w:rPr>
          <w:rFonts w:ascii="Verdana" w:hAnsi="Verdana"/>
          <w:sz w:val="20"/>
          <w:szCs w:val="20"/>
        </w:rPr>
        <w:t>,</w:t>
      </w:r>
      <w:r w:rsidR="00586447" w:rsidRPr="006D2DE2">
        <w:rPr>
          <w:rFonts w:ascii="Verdana" w:hAnsi="Verdana"/>
          <w:sz w:val="20"/>
          <w:szCs w:val="20"/>
        </w:rPr>
        <w:t xml:space="preserve"> el caso estaba relacionado con el despido injustificado del señor Lagos del Campo en un conte</w:t>
      </w:r>
      <w:r w:rsidR="00584785">
        <w:rPr>
          <w:rFonts w:ascii="Verdana" w:hAnsi="Verdana"/>
          <w:sz w:val="20"/>
          <w:szCs w:val="20"/>
        </w:rPr>
        <w:t>xto laboral entre particulares. E</w:t>
      </w:r>
      <w:r w:rsidR="00586447" w:rsidRPr="006D2DE2">
        <w:rPr>
          <w:rFonts w:ascii="Verdana" w:hAnsi="Verdana"/>
          <w:sz w:val="20"/>
          <w:szCs w:val="20"/>
        </w:rPr>
        <w:t>n este primer caso, la Corte IDH permeó obligaciones de los Estados para la garantía de los derechos laborales en esta relación contractual en la cual no intervenían directamente los agentes estatales. Al respecto, sobre estas obligacion</w:t>
      </w:r>
      <w:r w:rsidR="00EB5F8B">
        <w:rPr>
          <w:rFonts w:ascii="Verdana" w:hAnsi="Verdana"/>
          <w:sz w:val="20"/>
          <w:szCs w:val="20"/>
        </w:rPr>
        <w:t xml:space="preserve">es mínimas el Tribunal Interamericano </w:t>
      </w:r>
      <w:r w:rsidR="00584785">
        <w:rPr>
          <w:rFonts w:ascii="Verdana" w:hAnsi="Verdana"/>
          <w:sz w:val="20"/>
          <w:szCs w:val="20"/>
        </w:rPr>
        <w:t>externó que</w:t>
      </w:r>
      <w:r w:rsidR="00586447" w:rsidRPr="006D2DE2">
        <w:rPr>
          <w:rFonts w:ascii="Verdana" w:hAnsi="Verdana"/>
          <w:sz w:val="20"/>
          <w:szCs w:val="20"/>
        </w:rPr>
        <w:t xml:space="preserve">: </w:t>
      </w:r>
    </w:p>
    <w:p w14:paraId="725C8BF1" w14:textId="77777777" w:rsidR="00586447" w:rsidRPr="006D2DE2" w:rsidRDefault="00586447" w:rsidP="002A7F5B">
      <w:pPr>
        <w:jc w:val="both"/>
        <w:rPr>
          <w:rFonts w:ascii="Verdana" w:hAnsi="Verdana"/>
          <w:sz w:val="20"/>
          <w:szCs w:val="20"/>
        </w:rPr>
      </w:pPr>
    </w:p>
    <w:p w14:paraId="789CA985" w14:textId="160B803E" w:rsidR="00C64176" w:rsidRPr="005E7FB7" w:rsidRDefault="00C64176" w:rsidP="002A7F5B">
      <w:pPr>
        <w:widowControl w:val="0"/>
        <w:autoSpaceDE w:val="0"/>
        <w:autoSpaceDN w:val="0"/>
        <w:adjustRightInd w:val="0"/>
        <w:ind w:left="709" w:right="757"/>
        <w:jc w:val="both"/>
        <w:rPr>
          <w:rFonts w:ascii="Verdana" w:hAnsi="Verdana" w:cs="Times"/>
          <w:sz w:val="18"/>
          <w:szCs w:val="18"/>
        </w:rPr>
      </w:pPr>
      <w:r w:rsidRPr="005E7FB7">
        <w:rPr>
          <w:rFonts w:ascii="Verdana" w:hAnsi="Verdana" w:cs="Verdana"/>
          <w:sz w:val="18"/>
          <w:szCs w:val="18"/>
        </w:rPr>
        <w:t>149.</w:t>
      </w:r>
      <w:r w:rsidR="00B845DA" w:rsidRPr="005E7FB7">
        <w:rPr>
          <w:rFonts w:ascii="Verdana" w:hAnsi="Verdana" w:cs="Verdana"/>
          <w:sz w:val="18"/>
          <w:szCs w:val="18"/>
        </w:rPr>
        <w:t xml:space="preserve"> Como correlato de lo anterior, se deprende que las obligaciones del Estado en cuanto a la protección del derecho a la estabilidad laboral, en el ámbito privado, se traduce en principio en los siguientes deberes: </w:t>
      </w:r>
      <w:r w:rsidRPr="005E7FB7">
        <w:rPr>
          <w:rFonts w:ascii="Verdana" w:hAnsi="Verdana" w:cs="Verdana"/>
          <w:sz w:val="18"/>
          <w:szCs w:val="18"/>
        </w:rPr>
        <w:t>a) adoptar las medidas adecuadas para la debida regulación y fiscalización [del derecho al trabajo]; b) proteger al trabajador y trabajadora, a través de sus órganos competentes, contra el despido injustificado, c) en caso de despido injustificado, remediar la situación (ya sea, a través de la reinstalación o, en su caso, mediante la indemnización y otras prestaciones previstas en la legislación nacional). Por ende, d) el Estado debe disponer de mecanismos efectivos de reclamo frente a una situación de despido injustificado, a fin de garantizar el acceso a la justicia y la tutela judi</w:t>
      </w:r>
      <w:r w:rsidR="00B845DA" w:rsidRPr="005E7FB7">
        <w:rPr>
          <w:rFonts w:ascii="Verdana" w:hAnsi="Verdana" w:cs="Verdana"/>
          <w:sz w:val="18"/>
          <w:szCs w:val="18"/>
        </w:rPr>
        <w:t>cial efectiva de tales derechos</w:t>
      </w:r>
      <w:r w:rsidR="008400E7" w:rsidRPr="005E7FB7">
        <w:rPr>
          <w:rStyle w:val="FootnoteReference"/>
          <w:rFonts w:ascii="Verdana" w:hAnsi="Verdana" w:cs="Verdana"/>
          <w:sz w:val="18"/>
          <w:szCs w:val="18"/>
        </w:rPr>
        <w:footnoteReference w:id="50"/>
      </w:r>
      <w:r w:rsidRPr="005E7FB7">
        <w:rPr>
          <w:rFonts w:ascii="Verdana" w:hAnsi="Verdana" w:cs="Verdana"/>
          <w:sz w:val="18"/>
          <w:szCs w:val="18"/>
        </w:rPr>
        <w:t xml:space="preserve">. </w:t>
      </w:r>
    </w:p>
    <w:p w14:paraId="7C319808" w14:textId="77777777" w:rsidR="00586447" w:rsidRPr="006D2DE2" w:rsidRDefault="00586447" w:rsidP="002A7F5B">
      <w:pPr>
        <w:jc w:val="both"/>
        <w:rPr>
          <w:rFonts w:ascii="Verdana" w:hAnsi="Verdana"/>
          <w:sz w:val="20"/>
          <w:szCs w:val="20"/>
        </w:rPr>
      </w:pPr>
    </w:p>
    <w:p w14:paraId="03C5D743" w14:textId="1FD74DA4" w:rsidR="00586447" w:rsidRDefault="00586447"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el caso de los </w:t>
      </w:r>
      <w:r w:rsidRPr="006D2DE2">
        <w:rPr>
          <w:rFonts w:ascii="Verdana" w:hAnsi="Verdana"/>
          <w:i/>
          <w:sz w:val="20"/>
          <w:szCs w:val="20"/>
        </w:rPr>
        <w:t>Trabajadores Cesados del Petroperú y otros</w:t>
      </w:r>
      <w:r w:rsidRPr="006D2DE2">
        <w:rPr>
          <w:rFonts w:ascii="Verdana" w:hAnsi="Verdana"/>
          <w:sz w:val="20"/>
          <w:szCs w:val="20"/>
        </w:rPr>
        <w:t xml:space="preserve">, la Corte IDH protegió el despido injustificado de trabajadores que tenían una relación directa con el Estado peruano (los trabajadores ejercían su profesión dentro de dependencias del gobierno). En este caso la Corte precisó que la protección del derecho al trabajo y estabilidad laboral no sólo se extiende a los supuestos de relaciones entre particulares, tal como había sucedido en el caso </w:t>
      </w:r>
      <w:r w:rsidRPr="006D2DE2">
        <w:rPr>
          <w:rFonts w:ascii="Verdana" w:hAnsi="Verdana"/>
          <w:i/>
          <w:sz w:val="20"/>
          <w:szCs w:val="20"/>
        </w:rPr>
        <w:t>Lagos del Campo</w:t>
      </w:r>
      <w:r w:rsidRPr="006D2DE2">
        <w:rPr>
          <w:rFonts w:ascii="Verdana" w:hAnsi="Verdana"/>
          <w:sz w:val="20"/>
          <w:szCs w:val="20"/>
        </w:rPr>
        <w:t>, sino que las obligaciones de respeto y garantía del derecho al trabajo también se aplican en las relaciones en las que existe esta relación directa entre los trabajadores y el Estado</w:t>
      </w:r>
      <w:r w:rsidR="00901E78" w:rsidRPr="006D2DE2">
        <w:rPr>
          <w:rStyle w:val="FootnoteReference"/>
          <w:rFonts w:ascii="Verdana" w:hAnsi="Verdana"/>
          <w:sz w:val="20"/>
          <w:szCs w:val="20"/>
        </w:rPr>
        <w:footnoteReference w:id="51"/>
      </w:r>
      <w:r w:rsidRPr="006D2DE2">
        <w:rPr>
          <w:rFonts w:ascii="Verdana" w:hAnsi="Verdana"/>
          <w:sz w:val="20"/>
          <w:szCs w:val="20"/>
        </w:rPr>
        <w:t xml:space="preserve">. </w:t>
      </w:r>
    </w:p>
    <w:p w14:paraId="738EFF68" w14:textId="77777777" w:rsidR="007F13FA" w:rsidRPr="006D2DE2" w:rsidRDefault="007F13FA" w:rsidP="002A7F5B">
      <w:pPr>
        <w:pStyle w:val="ListParagraph"/>
        <w:ind w:left="0"/>
        <w:jc w:val="both"/>
        <w:rPr>
          <w:rFonts w:ascii="Verdana" w:hAnsi="Verdana"/>
          <w:sz w:val="20"/>
          <w:szCs w:val="20"/>
        </w:rPr>
      </w:pPr>
    </w:p>
    <w:p w14:paraId="65B7ED70" w14:textId="4A73B2C6" w:rsidR="00586447" w:rsidRPr="006D2DE2" w:rsidRDefault="00586447"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Finalmente</w:t>
      </w:r>
      <w:r w:rsidR="00584785">
        <w:rPr>
          <w:rFonts w:ascii="Verdana" w:hAnsi="Verdana"/>
          <w:sz w:val="20"/>
          <w:szCs w:val="20"/>
        </w:rPr>
        <w:t>,</w:t>
      </w:r>
      <w:r w:rsidRPr="006D2DE2">
        <w:rPr>
          <w:rFonts w:ascii="Verdana" w:hAnsi="Verdana"/>
          <w:sz w:val="20"/>
          <w:szCs w:val="20"/>
        </w:rPr>
        <w:t xml:space="preserve"> en el </w:t>
      </w:r>
      <w:r w:rsidR="00401914" w:rsidRPr="006D2DE2">
        <w:rPr>
          <w:rFonts w:ascii="Verdana" w:hAnsi="Verdana"/>
          <w:sz w:val="20"/>
          <w:szCs w:val="20"/>
        </w:rPr>
        <w:t xml:space="preserve">caso </w:t>
      </w:r>
      <w:r w:rsidR="00401914" w:rsidRPr="006D2DE2">
        <w:rPr>
          <w:rFonts w:ascii="Verdana" w:hAnsi="Verdana"/>
          <w:i/>
          <w:sz w:val="20"/>
          <w:szCs w:val="20"/>
        </w:rPr>
        <w:t>San Miguel Sosa</w:t>
      </w:r>
      <w:r w:rsidR="008400E7" w:rsidRPr="006D2DE2">
        <w:rPr>
          <w:rFonts w:ascii="Verdana" w:hAnsi="Verdana"/>
          <w:i/>
          <w:sz w:val="20"/>
          <w:szCs w:val="20"/>
        </w:rPr>
        <w:t xml:space="preserve"> y otras</w:t>
      </w:r>
      <w:r w:rsidR="00401914" w:rsidRPr="006D2DE2">
        <w:rPr>
          <w:rFonts w:ascii="Verdana" w:hAnsi="Verdana"/>
          <w:sz w:val="20"/>
          <w:szCs w:val="20"/>
        </w:rPr>
        <w:t>, se dan tres</w:t>
      </w:r>
      <w:r w:rsidRPr="006D2DE2">
        <w:rPr>
          <w:rFonts w:ascii="Verdana" w:hAnsi="Verdana"/>
          <w:sz w:val="20"/>
          <w:szCs w:val="20"/>
        </w:rPr>
        <w:t xml:space="preserve"> pasos fundamentales para seguir desarrollando el respeto y garantía del derecho al trabajo como un derecho convencionalmente protegido. En primer lugar se protege la relación</w:t>
      </w:r>
      <w:r w:rsidR="006E0052" w:rsidRPr="006D2DE2">
        <w:rPr>
          <w:rFonts w:ascii="Verdana" w:hAnsi="Verdana"/>
          <w:sz w:val="20"/>
          <w:szCs w:val="20"/>
        </w:rPr>
        <w:t xml:space="preserve"> contractual de un régimen diferente al de los </w:t>
      </w:r>
      <w:r w:rsidR="006E0052" w:rsidRPr="00931148">
        <w:rPr>
          <w:rFonts w:ascii="Verdana" w:hAnsi="Verdana"/>
          <w:i/>
          <w:sz w:val="20"/>
          <w:szCs w:val="20"/>
        </w:rPr>
        <w:t>casos Lagos del Campo</w:t>
      </w:r>
      <w:r w:rsidR="006E0052" w:rsidRPr="006D2DE2">
        <w:rPr>
          <w:rFonts w:ascii="Verdana" w:hAnsi="Verdana"/>
          <w:sz w:val="20"/>
          <w:szCs w:val="20"/>
        </w:rPr>
        <w:t xml:space="preserve"> y </w:t>
      </w:r>
      <w:r w:rsidR="006E0052" w:rsidRPr="00931148">
        <w:rPr>
          <w:rFonts w:ascii="Verdana" w:hAnsi="Verdana"/>
          <w:i/>
          <w:sz w:val="20"/>
          <w:szCs w:val="20"/>
        </w:rPr>
        <w:t>Trabajadores Cesados del Petroperú</w:t>
      </w:r>
      <w:r w:rsidRPr="006D2DE2">
        <w:rPr>
          <w:rFonts w:ascii="Verdana" w:hAnsi="Verdana"/>
          <w:sz w:val="20"/>
          <w:szCs w:val="20"/>
        </w:rPr>
        <w:t xml:space="preserve"> (es decir</w:t>
      </w:r>
      <w:r w:rsidR="00584785">
        <w:rPr>
          <w:rFonts w:ascii="Verdana" w:hAnsi="Verdana"/>
          <w:sz w:val="20"/>
          <w:szCs w:val="20"/>
        </w:rPr>
        <w:t>,</w:t>
      </w:r>
      <w:r w:rsidRPr="006D2DE2">
        <w:rPr>
          <w:rFonts w:ascii="Verdana" w:hAnsi="Verdana"/>
          <w:sz w:val="20"/>
          <w:szCs w:val="20"/>
        </w:rPr>
        <w:t xml:space="preserve"> contratos que se renuevan en periodos de tiempo variado, como tres, seis o doce meses sin</w:t>
      </w:r>
      <w:r w:rsidR="00EA6ED8" w:rsidRPr="006D2DE2">
        <w:rPr>
          <w:rFonts w:ascii="Verdana" w:hAnsi="Verdana"/>
          <w:sz w:val="20"/>
          <w:szCs w:val="20"/>
        </w:rPr>
        <w:t xml:space="preserve"> hablar propiamente de</w:t>
      </w:r>
      <w:r w:rsidRPr="006D2DE2">
        <w:rPr>
          <w:rFonts w:ascii="Verdana" w:hAnsi="Verdana"/>
          <w:sz w:val="20"/>
          <w:szCs w:val="20"/>
        </w:rPr>
        <w:t xml:space="preserve"> la posib</w:t>
      </w:r>
      <w:r w:rsidR="00584785">
        <w:rPr>
          <w:rFonts w:ascii="Verdana" w:hAnsi="Verdana"/>
          <w:sz w:val="20"/>
          <w:szCs w:val="20"/>
        </w:rPr>
        <w:t>ilidad de estabilidad laboral);</w:t>
      </w:r>
      <w:r w:rsidR="00401914" w:rsidRPr="006D2DE2">
        <w:rPr>
          <w:rFonts w:ascii="Verdana" w:hAnsi="Verdana"/>
          <w:sz w:val="20"/>
          <w:szCs w:val="20"/>
        </w:rPr>
        <w:t xml:space="preserve"> b) la</w:t>
      </w:r>
      <w:r w:rsidRPr="006D2DE2">
        <w:rPr>
          <w:rFonts w:ascii="Verdana" w:hAnsi="Verdana"/>
          <w:sz w:val="20"/>
          <w:szCs w:val="20"/>
        </w:rPr>
        <w:t xml:space="preserve"> discriminac</w:t>
      </w:r>
      <w:r w:rsidR="00401914" w:rsidRPr="006D2DE2">
        <w:rPr>
          <w:rFonts w:ascii="Verdana" w:hAnsi="Verdana"/>
          <w:sz w:val="20"/>
          <w:szCs w:val="20"/>
        </w:rPr>
        <w:t>ión en los contextos laborales</w:t>
      </w:r>
      <w:r w:rsidR="00584785">
        <w:rPr>
          <w:rFonts w:ascii="Verdana" w:hAnsi="Verdana"/>
          <w:sz w:val="20"/>
          <w:szCs w:val="20"/>
        </w:rPr>
        <w:t>;</w:t>
      </w:r>
      <w:r w:rsidR="00401914" w:rsidRPr="006D2DE2">
        <w:rPr>
          <w:rFonts w:ascii="Verdana" w:hAnsi="Verdana"/>
          <w:sz w:val="20"/>
          <w:szCs w:val="20"/>
        </w:rPr>
        <w:t xml:space="preserve"> y c) las violaciones se enmarcan en el derecho al trabajo</w:t>
      </w:r>
      <w:r w:rsidR="00584785">
        <w:rPr>
          <w:rFonts w:ascii="Verdana" w:hAnsi="Verdana"/>
          <w:sz w:val="20"/>
          <w:szCs w:val="20"/>
        </w:rPr>
        <w:t xml:space="preserve"> en general</w:t>
      </w:r>
      <w:r w:rsidR="00401914" w:rsidRPr="006D2DE2">
        <w:rPr>
          <w:rFonts w:ascii="Verdana" w:hAnsi="Verdana"/>
          <w:sz w:val="20"/>
          <w:szCs w:val="20"/>
        </w:rPr>
        <w:t xml:space="preserve">, y no en el </w:t>
      </w:r>
      <w:r w:rsidR="00584785">
        <w:rPr>
          <w:rFonts w:ascii="Verdana" w:hAnsi="Verdana"/>
          <w:sz w:val="20"/>
          <w:szCs w:val="20"/>
        </w:rPr>
        <w:t xml:space="preserve">de </w:t>
      </w:r>
      <w:r w:rsidR="00401914" w:rsidRPr="006D2DE2">
        <w:rPr>
          <w:rFonts w:ascii="Verdana" w:hAnsi="Verdana"/>
          <w:sz w:val="20"/>
          <w:szCs w:val="20"/>
        </w:rPr>
        <w:t xml:space="preserve">estabilidad laboral. </w:t>
      </w:r>
    </w:p>
    <w:p w14:paraId="075862A4" w14:textId="77777777" w:rsidR="00586447" w:rsidRPr="006D2DE2" w:rsidRDefault="00586447" w:rsidP="002A7F5B">
      <w:pPr>
        <w:jc w:val="both"/>
        <w:rPr>
          <w:rFonts w:ascii="Verdana" w:hAnsi="Verdana"/>
          <w:sz w:val="20"/>
          <w:szCs w:val="20"/>
        </w:rPr>
      </w:pPr>
    </w:p>
    <w:p w14:paraId="5C1CD60D" w14:textId="2B748178" w:rsidR="00586447" w:rsidRPr="006D2DE2" w:rsidRDefault="00586447"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cuanto al primer punto, a diferencia de los dos casos anteriores que </w:t>
      </w:r>
      <w:r w:rsidR="007520B0" w:rsidRPr="006D2DE2">
        <w:rPr>
          <w:rFonts w:ascii="Verdana" w:hAnsi="Verdana"/>
          <w:sz w:val="20"/>
          <w:szCs w:val="20"/>
        </w:rPr>
        <w:t>había</w:t>
      </w:r>
      <w:r w:rsidRPr="006D2DE2">
        <w:rPr>
          <w:rFonts w:ascii="Verdana" w:hAnsi="Verdana"/>
          <w:sz w:val="20"/>
          <w:szCs w:val="20"/>
        </w:rPr>
        <w:t xml:space="preserve"> </w:t>
      </w:r>
      <w:r w:rsidR="00584785">
        <w:rPr>
          <w:rFonts w:ascii="Verdana" w:hAnsi="Verdana"/>
          <w:sz w:val="20"/>
          <w:szCs w:val="20"/>
        </w:rPr>
        <w:t>abordado la Corte IDH</w:t>
      </w:r>
      <w:r w:rsidRPr="006D2DE2">
        <w:rPr>
          <w:rFonts w:ascii="Verdana" w:hAnsi="Verdana"/>
          <w:sz w:val="20"/>
          <w:szCs w:val="20"/>
        </w:rPr>
        <w:t xml:space="preserve"> </w:t>
      </w:r>
      <w:r w:rsidR="006E0052" w:rsidRPr="006D2DE2">
        <w:rPr>
          <w:rFonts w:ascii="Verdana" w:hAnsi="Verdana"/>
          <w:sz w:val="20"/>
          <w:szCs w:val="20"/>
        </w:rPr>
        <w:t xml:space="preserve">respecto de los contextos laborales, </w:t>
      </w:r>
      <w:r w:rsidRPr="006D2DE2">
        <w:rPr>
          <w:rFonts w:ascii="Verdana" w:hAnsi="Verdana"/>
          <w:sz w:val="20"/>
          <w:szCs w:val="20"/>
        </w:rPr>
        <w:t>la</w:t>
      </w:r>
      <w:r w:rsidR="00805FA2" w:rsidRPr="006D2DE2">
        <w:rPr>
          <w:rFonts w:ascii="Verdana" w:hAnsi="Verdana"/>
          <w:sz w:val="20"/>
          <w:szCs w:val="20"/>
        </w:rPr>
        <w:t>s señoras San Miguel</w:t>
      </w:r>
      <w:r w:rsidRPr="006D2DE2">
        <w:rPr>
          <w:rFonts w:ascii="Verdana" w:hAnsi="Verdana"/>
          <w:sz w:val="20"/>
          <w:szCs w:val="20"/>
        </w:rPr>
        <w:t xml:space="preserve">, </w:t>
      </w:r>
      <w:r w:rsidR="00805FA2" w:rsidRPr="006D2DE2">
        <w:rPr>
          <w:rFonts w:ascii="Verdana" w:hAnsi="Verdana"/>
          <w:sz w:val="20"/>
          <w:szCs w:val="20"/>
        </w:rPr>
        <w:t xml:space="preserve">Chang y Coromoto </w:t>
      </w:r>
      <w:r w:rsidR="007520B0" w:rsidRPr="006D2DE2">
        <w:rPr>
          <w:rFonts w:ascii="Verdana" w:hAnsi="Verdana"/>
          <w:sz w:val="20"/>
          <w:szCs w:val="20"/>
        </w:rPr>
        <w:t>estaban sujetas a una relación contractual temporal con renovaciones periódicas</w:t>
      </w:r>
      <w:r w:rsidR="008E1DB9" w:rsidRPr="006D2DE2">
        <w:rPr>
          <w:rFonts w:ascii="Verdana" w:hAnsi="Verdana"/>
          <w:sz w:val="20"/>
          <w:szCs w:val="20"/>
        </w:rPr>
        <w:t>. En este sentido, si bien las víctimas tenían una relación laboral directa con el Estado</w:t>
      </w:r>
      <w:r w:rsidR="00EF1606">
        <w:rPr>
          <w:rFonts w:ascii="Verdana" w:hAnsi="Verdana"/>
          <w:sz w:val="20"/>
          <w:szCs w:val="20"/>
        </w:rPr>
        <w:t>,</w:t>
      </w:r>
      <w:r w:rsidR="008E1DB9" w:rsidRPr="006D2DE2">
        <w:rPr>
          <w:rFonts w:ascii="Verdana" w:hAnsi="Verdana"/>
          <w:sz w:val="20"/>
          <w:szCs w:val="20"/>
        </w:rPr>
        <w:t xml:space="preserve"> el régimen contractual era distinto a los dos casos anteriores (que permi</w:t>
      </w:r>
      <w:r w:rsidR="00584785">
        <w:rPr>
          <w:rFonts w:ascii="Verdana" w:hAnsi="Verdana"/>
          <w:sz w:val="20"/>
          <w:szCs w:val="20"/>
        </w:rPr>
        <w:t>tían tener estabilidad laboral);</w:t>
      </w:r>
      <w:r w:rsidR="008E1DB9" w:rsidRPr="006D2DE2">
        <w:rPr>
          <w:rFonts w:ascii="Verdana" w:hAnsi="Verdana"/>
          <w:sz w:val="20"/>
          <w:szCs w:val="20"/>
        </w:rPr>
        <w:t xml:space="preserve"> si</w:t>
      </w:r>
      <w:r w:rsidR="00584785">
        <w:rPr>
          <w:rFonts w:ascii="Verdana" w:hAnsi="Verdana"/>
          <w:sz w:val="20"/>
          <w:szCs w:val="20"/>
        </w:rPr>
        <w:t>n</w:t>
      </w:r>
      <w:r w:rsidR="008E1DB9" w:rsidRPr="006D2DE2">
        <w:rPr>
          <w:rFonts w:ascii="Verdana" w:hAnsi="Verdana"/>
          <w:sz w:val="20"/>
          <w:szCs w:val="20"/>
        </w:rPr>
        <w:t xml:space="preserve"> embargo</w:t>
      </w:r>
      <w:r w:rsidR="00584785">
        <w:rPr>
          <w:rFonts w:ascii="Verdana" w:hAnsi="Verdana"/>
          <w:sz w:val="20"/>
          <w:szCs w:val="20"/>
        </w:rPr>
        <w:t>,</w:t>
      </w:r>
      <w:r w:rsidR="008E1DB9" w:rsidRPr="006D2DE2">
        <w:rPr>
          <w:rFonts w:ascii="Verdana" w:hAnsi="Verdana"/>
          <w:sz w:val="20"/>
          <w:szCs w:val="20"/>
        </w:rPr>
        <w:t xml:space="preserve"> la Corte I</w:t>
      </w:r>
      <w:r w:rsidR="00584785">
        <w:rPr>
          <w:rFonts w:ascii="Verdana" w:hAnsi="Verdana"/>
          <w:sz w:val="20"/>
          <w:szCs w:val="20"/>
        </w:rPr>
        <w:t>DH</w:t>
      </w:r>
      <w:r w:rsidR="008E1DB9" w:rsidRPr="006D2DE2">
        <w:rPr>
          <w:rFonts w:ascii="Verdana" w:hAnsi="Verdana"/>
          <w:sz w:val="20"/>
          <w:szCs w:val="20"/>
        </w:rPr>
        <w:t xml:space="preserve"> considera que con independencia de la naturaleza de la </w:t>
      </w:r>
      <w:r w:rsidR="00584785">
        <w:rPr>
          <w:rFonts w:ascii="Verdana" w:hAnsi="Verdana"/>
          <w:sz w:val="20"/>
          <w:szCs w:val="20"/>
        </w:rPr>
        <w:t>relación laboral, el Estado tení</w:t>
      </w:r>
      <w:r w:rsidR="008E1DB9" w:rsidRPr="006D2DE2">
        <w:rPr>
          <w:rFonts w:ascii="Verdana" w:hAnsi="Verdana"/>
          <w:sz w:val="20"/>
          <w:szCs w:val="20"/>
        </w:rPr>
        <w:t>a la obligación de justificar la no</w:t>
      </w:r>
      <w:r w:rsidR="00EF1606">
        <w:rPr>
          <w:rFonts w:ascii="Verdana" w:hAnsi="Verdana"/>
          <w:sz w:val="20"/>
          <w:szCs w:val="20"/>
        </w:rPr>
        <w:t xml:space="preserve"> renovación del contrato y no só</w:t>
      </w:r>
      <w:r w:rsidR="008E1DB9" w:rsidRPr="006D2DE2">
        <w:rPr>
          <w:rFonts w:ascii="Verdana" w:hAnsi="Verdana"/>
          <w:sz w:val="20"/>
          <w:szCs w:val="20"/>
        </w:rPr>
        <w:t>lo argumentar la existencia de una faculta</w:t>
      </w:r>
      <w:r w:rsidR="00584785">
        <w:rPr>
          <w:rFonts w:ascii="Verdana" w:hAnsi="Verdana"/>
          <w:sz w:val="20"/>
          <w:szCs w:val="20"/>
        </w:rPr>
        <w:t xml:space="preserve">d discrecional </w:t>
      </w:r>
      <w:r w:rsidR="001938EB" w:rsidRPr="006D2DE2">
        <w:rPr>
          <w:rFonts w:ascii="Verdana" w:hAnsi="Verdana"/>
          <w:sz w:val="20"/>
          <w:szCs w:val="20"/>
        </w:rPr>
        <w:t>mediante una clá</w:t>
      </w:r>
      <w:r w:rsidR="008E1DB9" w:rsidRPr="006D2DE2">
        <w:rPr>
          <w:rFonts w:ascii="Verdana" w:hAnsi="Verdana"/>
          <w:sz w:val="20"/>
          <w:szCs w:val="20"/>
        </w:rPr>
        <w:t xml:space="preserve">usula y la </w:t>
      </w:r>
      <w:r w:rsidR="001938EB" w:rsidRPr="006D2DE2">
        <w:rPr>
          <w:rFonts w:ascii="Verdana" w:hAnsi="Verdana"/>
          <w:sz w:val="20"/>
          <w:szCs w:val="20"/>
        </w:rPr>
        <w:t>reorganización,</w:t>
      </w:r>
      <w:r w:rsidR="00584785">
        <w:rPr>
          <w:rFonts w:ascii="Verdana" w:hAnsi="Verdana"/>
          <w:sz w:val="20"/>
          <w:szCs w:val="20"/>
        </w:rPr>
        <w:t xml:space="preserve"> de lo contrario sería</w:t>
      </w:r>
      <w:r w:rsidR="008E1DB9" w:rsidRPr="006D2DE2">
        <w:rPr>
          <w:rFonts w:ascii="Verdana" w:hAnsi="Verdana"/>
          <w:sz w:val="20"/>
          <w:szCs w:val="20"/>
        </w:rPr>
        <w:t xml:space="preserve"> considerada tal acción </w:t>
      </w:r>
      <w:r w:rsidR="006E0052" w:rsidRPr="006D2DE2">
        <w:rPr>
          <w:rFonts w:ascii="Verdana" w:hAnsi="Verdana"/>
          <w:sz w:val="20"/>
          <w:szCs w:val="20"/>
        </w:rPr>
        <w:t>como</w:t>
      </w:r>
      <w:r w:rsidR="008E1DB9" w:rsidRPr="006D2DE2">
        <w:rPr>
          <w:rFonts w:ascii="Verdana" w:hAnsi="Verdana"/>
          <w:sz w:val="20"/>
          <w:szCs w:val="20"/>
        </w:rPr>
        <w:t xml:space="preserve"> arbitraria</w:t>
      </w:r>
      <w:r w:rsidR="006E0052" w:rsidRPr="006D2DE2">
        <w:rPr>
          <w:rStyle w:val="FootnoteReference"/>
          <w:rFonts w:ascii="Verdana" w:hAnsi="Verdana"/>
          <w:sz w:val="20"/>
          <w:szCs w:val="20"/>
        </w:rPr>
        <w:footnoteReference w:id="52"/>
      </w:r>
      <w:r w:rsidR="008E1DB9" w:rsidRPr="006D2DE2">
        <w:rPr>
          <w:rFonts w:ascii="Verdana" w:hAnsi="Verdana"/>
          <w:sz w:val="20"/>
          <w:szCs w:val="20"/>
        </w:rPr>
        <w:t xml:space="preserve">.  </w:t>
      </w:r>
      <w:r w:rsidR="00395DFC" w:rsidRPr="006D2DE2">
        <w:rPr>
          <w:rFonts w:ascii="Verdana" w:hAnsi="Verdana"/>
          <w:sz w:val="20"/>
          <w:szCs w:val="20"/>
        </w:rPr>
        <w:t xml:space="preserve">En otras palabras, lo que la Corte </w:t>
      </w:r>
      <w:r w:rsidR="00584785">
        <w:rPr>
          <w:rFonts w:ascii="Verdana" w:hAnsi="Verdana"/>
          <w:sz w:val="20"/>
          <w:szCs w:val="20"/>
        </w:rPr>
        <w:t xml:space="preserve">IDH </w:t>
      </w:r>
      <w:r w:rsidR="00395DFC" w:rsidRPr="006D2DE2">
        <w:rPr>
          <w:rFonts w:ascii="Verdana" w:hAnsi="Verdana"/>
          <w:sz w:val="20"/>
          <w:szCs w:val="20"/>
        </w:rPr>
        <w:t>hace es proteger el derecho al trabajo con independencia de que exista o no la posibilida</w:t>
      </w:r>
      <w:r w:rsidR="00584785">
        <w:rPr>
          <w:rFonts w:ascii="Verdana" w:hAnsi="Verdana"/>
          <w:sz w:val="20"/>
          <w:szCs w:val="20"/>
        </w:rPr>
        <w:t xml:space="preserve">d de tener estabilidad laboral; </w:t>
      </w:r>
      <w:r w:rsidR="00395DFC" w:rsidRPr="006D2DE2">
        <w:rPr>
          <w:rFonts w:ascii="Verdana" w:hAnsi="Verdana"/>
          <w:sz w:val="20"/>
          <w:szCs w:val="20"/>
        </w:rPr>
        <w:t xml:space="preserve">por lo que inclusive en aquellos supuestos de despidos de contratos temporales renovables tienen que mediar obligaciones mínimas, como lo son una adecuada motivación o bien la posibilidad de contar con recursos judiciales que tutelen el acceso a la justicia de derechos constitucionales y convencionales. </w:t>
      </w:r>
    </w:p>
    <w:p w14:paraId="47D5B956" w14:textId="77777777" w:rsidR="00395DFC" w:rsidRPr="006D2DE2" w:rsidRDefault="00395DFC" w:rsidP="002A7F5B">
      <w:pPr>
        <w:pStyle w:val="ListParagraph"/>
        <w:ind w:left="0"/>
        <w:jc w:val="both"/>
        <w:rPr>
          <w:rFonts w:ascii="Verdana" w:hAnsi="Verdana"/>
          <w:sz w:val="20"/>
          <w:szCs w:val="20"/>
        </w:rPr>
      </w:pPr>
    </w:p>
    <w:p w14:paraId="23A81775" w14:textId="67DC128F" w:rsidR="00C0746B" w:rsidRPr="006D2DE2" w:rsidRDefault="008400E7"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segundo lugar, </w:t>
      </w:r>
      <w:r w:rsidR="009123F7" w:rsidRPr="006D2DE2">
        <w:rPr>
          <w:rFonts w:ascii="Verdana" w:hAnsi="Verdana"/>
          <w:sz w:val="20"/>
          <w:szCs w:val="20"/>
        </w:rPr>
        <w:t xml:space="preserve">el caso </w:t>
      </w:r>
      <w:r w:rsidR="009123F7" w:rsidRPr="006D2DE2">
        <w:rPr>
          <w:rFonts w:ascii="Verdana" w:hAnsi="Verdana"/>
          <w:i/>
          <w:sz w:val="20"/>
          <w:szCs w:val="20"/>
        </w:rPr>
        <w:t>San Miguel Sosa y otras</w:t>
      </w:r>
      <w:r w:rsidR="009123F7" w:rsidRPr="006D2DE2">
        <w:rPr>
          <w:rFonts w:ascii="Verdana" w:hAnsi="Verdana"/>
          <w:sz w:val="20"/>
          <w:szCs w:val="20"/>
        </w:rPr>
        <w:t>, permite poner de manifiesto que los Estados no pueden discriminar a sus trabajadores por manifestar o expresar sus opiniones políticas. Esto es de fundamental importancia, pues tradicionalmente la discriminación ha sido abordada por este Tribunal Interamericano a la luz de derechos con</w:t>
      </w:r>
      <w:r w:rsidR="00584785">
        <w:rPr>
          <w:rFonts w:ascii="Verdana" w:hAnsi="Verdana"/>
          <w:sz w:val="20"/>
          <w:szCs w:val="20"/>
        </w:rPr>
        <w:t>vencionales civiles y políticos;</w:t>
      </w:r>
      <w:r w:rsidR="009123F7" w:rsidRPr="006D2DE2">
        <w:rPr>
          <w:rFonts w:ascii="Verdana" w:hAnsi="Verdana"/>
          <w:sz w:val="20"/>
          <w:szCs w:val="20"/>
        </w:rPr>
        <w:t xml:space="preserve"> sin embargo</w:t>
      </w:r>
      <w:r w:rsidR="00584785">
        <w:rPr>
          <w:rFonts w:ascii="Verdana" w:hAnsi="Verdana"/>
          <w:sz w:val="20"/>
          <w:szCs w:val="20"/>
        </w:rPr>
        <w:t>,</w:t>
      </w:r>
      <w:r w:rsidR="009123F7" w:rsidRPr="006D2DE2">
        <w:rPr>
          <w:rFonts w:ascii="Verdana" w:hAnsi="Verdana"/>
          <w:sz w:val="20"/>
          <w:szCs w:val="20"/>
        </w:rPr>
        <w:t xml:space="preserve"> el caso permite </w:t>
      </w:r>
      <w:r w:rsidR="00EF1606">
        <w:rPr>
          <w:rFonts w:ascii="Verdana" w:hAnsi="Verdana"/>
          <w:sz w:val="20"/>
          <w:szCs w:val="20"/>
        </w:rPr>
        <w:t xml:space="preserve">advertir </w:t>
      </w:r>
      <w:r w:rsidR="009123F7" w:rsidRPr="006D2DE2">
        <w:rPr>
          <w:rFonts w:ascii="Verdana" w:hAnsi="Verdana"/>
          <w:sz w:val="20"/>
          <w:szCs w:val="20"/>
        </w:rPr>
        <w:t>que la discriminación también afecta a los DESCA en el goce y ejercicio</w:t>
      </w:r>
      <w:r w:rsidR="00EA6ED8" w:rsidRPr="006D2DE2">
        <w:rPr>
          <w:rFonts w:ascii="Verdana" w:hAnsi="Verdana"/>
          <w:sz w:val="20"/>
          <w:szCs w:val="20"/>
        </w:rPr>
        <w:t>,</w:t>
      </w:r>
      <w:r w:rsidR="009123F7" w:rsidRPr="006D2DE2">
        <w:rPr>
          <w:rFonts w:ascii="Verdana" w:hAnsi="Verdana"/>
          <w:sz w:val="20"/>
          <w:szCs w:val="20"/>
        </w:rPr>
        <w:t xml:space="preserve"> en tanto derechos.</w:t>
      </w:r>
    </w:p>
    <w:p w14:paraId="18C50256" w14:textId="77777777" w:rsidR="00401914" w:rsidRPr="006D2DE2" w:rsidRDefault="00401914" w:rsidP="002A7F5B">
      <w:pPr>
        <w:jc w:val="both"/>
        <w:rPr>
          <w:rFonts w:ascii="Verdana" w:hAnsi="Verdana"/>
          <w:sz w:val="20"/>
          <w:szCs w:val="20"/>
        </w:rPr>
      </w:pPr>
    </w:p>
    <w:p w14:paraId="708E28ED" w14:textId="7263C7D1" w:rsidR="00401914" w:rsidRPr="006D2DE2" w:rsidRDefault="00BA2617" w:rsidP="002A7F5B">
      <w:pPr>
        <w:pStyle w:val="ListParagraph"/>
        <w:numPr>
          <w:ilvl w:val="0"/>
          <w:numId w:val="1"/>
        </w:numPr>
        <w:ind w:left="0" w:firstLine="0"/>
        <w:jc w:val="both"/>
        <w:rPr>
          <w:rFonts w:ascii="Verdana" w:hAnsi="Verdana"/>
          <w:sz w:val="20"/>
          <w:szCs w:val="20"/>
        </w:rPr>
      </w:pPr>
      <w:r>
        <w:rPr>
          <w:rFonts w:ascii="Verdana" w:hAnsi="Verdana"/>
          <w:sz w:val="20"/>
          <w:szCs w:val="20"/>
        </w:rPr>
        <w:t>En tercer</w:t>
      </w:r>
      <w:r w:rsidR="00401914" w:rsidRPr="006D2DE2">
        <w:rPr>
          <w:rFonts w:ascii="Verdana" w:hAnsi="Verdana"/>
          <w:sz w:val="20"/>
          <w:szCs w:val="20"/>
        </w:rPr>
        <w:t xml:space="preserve"> lugar</w:t>
      </w:r>
      <w:r>
        <w:rPr>
          <w:rFonts w:ascii="Verdana" w:hAnsi="Verdana"/>
          <w:sz w:val="20"/>
          <w:szCs w:val="20"/>
        </w:rPr>
        <w:t>,</w:t>
      </w:r>
      <w:r w:rsidR="00401914" w:rsidRPr="006D2DE2">
        <w:rPr>
          <w:rFonts w:ascii="Verdana" w:hAnsi="Verdana"/>
          <w:sz w:val="20"/>
          <w:szCs w:val="20"/>
        </w:rPr>
        <w:t xml:space="preserve"> la Corte IDH lo que hace en la Sentencia es enmarcar la violación en el respeto al derecho al trabajo y no a la estabilidad laboral como había abordado en los dos casos anteriores</w:t>
      </w:r>
      <w:r w:rsidR="00584785">
        <w:rPr>
          <w:rFonts w:ascii="Verdana" w:hAnsi="Verdana"/>
          <w:sz w:val="20"/>
          <w:szCs w:val="20"/>
        </w:rPr>
        <w:t>. Esta cuestión es de</w:t>
      </w:r>
      <w:r w:rsidR="00401914" w:rsidRPr="006D2DE2">
        <w:rPr>
          <w:rFonts w:ascii="Verdana" w:hAnsi="Verdana"/>
          <w:sz w:val="20"/>
          <w:szCs w:val="20"/>
        </w:rPr>
        <w:t xml:space="preserve"> particular importancia</w:t>
      </w:r>
      <w:r w:rsidR="00584785">
        <w:rPr>
          <w:rFonts w:ascii="Verdana" w:hAnsi="Verdana"/>
          <w:sz w:val="20"/>
          <w:szCs w:val="20"/>
        </w:rPr>
        <w:t>, ya que</w:t>
      </w:r>
      <w:r w:rsidR="00401914" w:rsidRPr="006D2DE2">
        <w:rPr>
          <w:rFonts w:ascii="Verdana" w:hAnsi="Verdana"/>
          <w:sz w:val="20"/>
          <w:szCs w:val="20"/>
        </w:rPr>
        <w:t xml:space="preserve"> la Corte IDH extiende la </w:t>
      </w:r>
      <w:r w:rsidR="00401914" w:rsidRPr="006D2DE2">
        <w:rPr>
          <w:rFonts w:ascii="Verdana" w:hAnsi="Verdana"/>
          <w:sz w:val="20"/>
          <w:szCs w:val="20"/>
        </w:rPr>
        <w:lastRenderedPageBreak/>
        <w:t>protección a este derecho sin que necesariamente medie e</w:t>
      </w:r>
      <w:r w:rsidR="00584785">
        <w:rPr>
          <w:rFonts w:ascii="Verdana" w:hAnsi="Verdana"/>
          <w:sz w:val="20"/>
          <w:szCs w:val="20"/>
        </w:rPr>
        <w:t>sta “condición de estabilidad”. Así,</w:t>
      </w:r>
      <w:r w:rsidR="00401914" w:rsidRPr="006D2DE2">
        <w:rPr>
          <w:rFonts w:ascii="Verdana" w:hAnsi="Verdana"/>
          <w:sz w:val="20"/>
          <w:szCs w:val="20"/>
        </w:rPr>
        <w:t xml:space="preserve"> en general</w:t>
      </w:r>
      <w:r w:rsidR="00584785">
        <w:rPr>
          <w:rFonts w:ascii="Verdana" w:hAnsi="Verdana"/>
          <w:sz w:val="20"/>
          <w:szCs w:val="20"/>
        </w:rPr>
        <w:t>,</w:t>
      </w:r>
      <w:r w:rsidR="00401914" w:rsidRPr="006D2DE2">
        <w:rPr>
          <w:rFonts w:ascii="Verdana" w:hAnsi="Verdana"/>
          <w:sz w:val="20"/>
          <w:szCs w:val="20"/>
        </w:rPr>
        <w:t xml:space="preserve"> la Corte IDH protege aquellas relaciones de supra subordinación existente entre el patrón y el trabajador, sin importar la naturaleza c</w:t>
      </w:r>
      <w:r w:rsidR="0013769B" w:rsidRPr="006D2DE2">
        <w:rPr>
          <w:rFonts w:ascii="Verdana" w:hAnsi="Verdana"/>
          <w:sz w:val="20"/>
          <w:szCs w:val="20"/>
        </w:rPr>
        <w:t>ontractual. En el caso, las ví</w:t>
      </w:r>
      <w:r w:rsidR="00584785">
        <w:rPr>
          <w:rFonts w:ascii="Verdana" w:hAnsi="Verdana"/>
          <w:sz w:val="20"/>
          <w:szCs w:val="20"/>
        </w:rPr>
        <w:t>ctimas no disponían de esta “</w:t>
      </w:r>
      <w:r w:rsidR="00401914" w:rsidRPr="006D2DE2">
        <w:rPr>
          <w:rFonts w:ascii="Verdana" w:hAnsi="Verdana"/>
          <w:sz w:val="20"/>
          <w:szCs w:val="20"/>
        </w:rPr>
        <w:t>condición de estabilidad” por el régimen l</w:t>
      </w:r>
      <w:r w:rsidR="00584785">
        <w:rPr>
          <w:rFonts w:ascii="Verdana" w:hAnsi="Verdana"/>
          <w:sz w:val="20"/>
          <w:szCs w:val="20"/>
        </w:rPr>
        <w:t>aboral en el que se encontraban;</w:t>
      </w:r>
      <w:r w:rsidR="00401914" w:rsidRPr="006D2DE2">
        <w:rPr>
          <w:rFonts w:ascii="Verdana" w:hAnsi="Verdana"/>
          <w:sz w:val="20"/>
          <w:szCs w:val="20"/>
        </w:rPr>
        <w:t xml:space="preserve"> sin embargo, bajo la óptica del derecho al trabajo</w:t>
      </w:r>
      <w:r w:rsidR="00EA6ED8" w:rsidRPr="006D2DE2">
        <w:rPr>
          <w:rFonts w:ascii="Verdana" w:hAnsi="Verdana"/>
          <w:sz w:val="20"/>
          <w:szCs w:val="20"/>
        </w:rPr>
        <w:t>,</w:t>
      </w:r>
      <w:r w:rsidR="00401914" w:rsidRPr="006D2DE2">
        <w:rPr>
          <w:rFonts w:ascii="Verdana" w:hAnsi="Verdana"/>
          <w:sz w:val="20"/>
          <w:szCs w:val="20"/>
        </w:rPr>
        <w:t xml:space="preserve"> inclusive en estos supuestos se deben garantizar condiciones mínimas</w:t>
      </w:r>
      <w:r w:rsidR="00EA6ED8" w:rsidRPr="006D2DE2">
        <w:rPr>
          <w:rFonts w:ascii="Verdana" w:hAnsi="Verdana"/>
          <w:sz w:val="20"/>
          <w:szCs w:val="20"/>
        </w:rPr>
        <w:t xml:space="preserve"> de respeto y garantía. </w:t>
      </w:r>
    </w:p>
    <w:p w14:paraId="33AB43EF" w14:textId="77777777" w:rsidR="00C0746B" w:rsidRPr="006D2DE2" w:rsidRDefault="00C0746B" w:rsidP="002A7F5B">
      <w:pPr>
        <w:jc w:val="both"/>
        <w:rPr>
          <w:rFonts w:ascii="Verdana" w:hAnsi="Verdana" w:cs="Verdana"/>
          <w:sz w:val="20"/>
          <w:szCs w:val="20"/>
        </w:rPr>
      </w:pPr>
    </w:p>
    <w:p w14:paraId="7F15808B" w14:textId="126AFB2F" w:rsidR="00C0746B" w:rsidRPr="006D2DE2" w:rsidRDefault="00C0746B" w:rsidP="002A7F5B">
      <w:pPr>
        <w:pStyle w:val="ListParagraph"/>
        <w:numPr>
          <w:ilvl w:val="0"/>
          <w:numId w:val="1"/>
        </w:numPr>
        <w:ind w:left="0" w:firstLine="0"/>
        <w:jc w:val="both"/>
        <w:rPr>
          <w:rFonts w:ascii="Verdana" w:hAnsi="Verdana"/>
          <w:sz w:val="20"/>
          <w:szCs w:val="20"/>
        </w:rPr>
      </w:pPr>
      <w:r w:rsidRPr="006D2DE2">
        <w:rPr>
          <w:rFonts w:ascii="Verdana" w:hAnsi="Verdana" w:cs="Verdana"/>
          <w:sz w:val="20"/>
          <w:szCs w:val="20"/>
        </w:rPr>
        <w:t>Así, todo despido o terminación de contratos de manera arbitraria</w:t>
      </w:r>
      <w:r w:rsidR="00584785">
        <w:rPr>
          <w:rFonts w:ascii="Verdana" w:hAnsi="Verdana" w:cs="Verdana"/>
          <w:sz w:val="20"/>
          <w:szCs w:val="20"/>
        </w:rPr>
        <w:t xml:space="preserve"> —</w:t>
      </w:r>
      <w:r w:rsidR="00EF1606">
        <w:rPr>
          <w:rFonts w:ascii="Verdana" w:hAnsi="Verdana" w:cs="Verdana"/>
          <w:sz w:val="20"/>
          <w:szCs w:val="20"/>
        </w:rPr>
        <w:t>sin mediar</w:t>
      </w:r>
      <w:r w:rsidRPr="006D2DE2">
        <w:rPr>
          <w:rFonts w:ascii="Verdana" w:hAnsi="Verdana" w:cs="Verdana"/>
          <w:sz w:val="20"/>
          <w:szCs w:val="20"/>
        </w:rPr>
        <w:t xml:space="preserve"> justificación o motivación</w:t>
      </w:r>
      <w:r w:rsidR="00584785">
        <w:rPr>
          <w:rFonts w:ascii="Verdana" w:hAnsi="Verdana" w:cs="Verdana"/>
          <w:sz w:val="20"/>
          <w:szCs w:val="20"/>
        </w:rPr>
        <w:t>—</w:t>
      </w:r>
      <w:r w:rsidRPr="006D2DE2">
        <w:rPr>
          <w:rFonts w:ascii="Verdana" w:hAnsi="Verdana" w:cs="Verdana"/>
          <w:sz w:val="20"/>
          <w:szCs w:val="20"/>
        </w:rPr>
        <w:t xml:space="preserve">  importa una sanción de máxima gravedad, y que en algunos casos se pres</w:t>
      </w:r>
      <w:r w:rsidR="00EF1606">
        <w:rPr>
          <w:rFonts w:ascii="Verdana" w:hAnsi="Verdana" w:cs="Verdana"/>
          <w:sz w:val="20"/>
          <w:szCs w:val="20"/>
        </w:rPr>
        <w:t>enta con particulares características sancionatoria</w:t>
      </w:r>
      <w:r w:rsidRPr="006D2DE2">
        <w:rPr>
          <w:rFonts w:ascii="Verdana" w:hAnsi="Verdana" w:cs="Verdana"/>
          <w:sz w:val="20"/>
          <w:szCs w:val="20"/>
        </w:rPr>
        <w:t>s de mayor o especial gravedad, que requieren ampliamente una protección judicial. Así, al privársele a una persona de un derecho fundamental y en ocasiones indispensable para la supervivencia y</w:t>
      </w:r>
      <w:r w:rsidR="00EF1606">
        <w:rPr>
          <w:rFonts w:ascii="Verdana" w:hAnsi="Verdana" w:cs="Verdana"/>
          <w:sz w:val="20"/>
          <w:szCs w:val="20"/>
        </w:rPr>
        <w:t xml:space="preserve"> realización de otros derechos, l</w:t>
      </w:r>
      <w:r w:rsidRPr="006D2DE2">
        <w:rPr>
          <w:rFonts w:ascii="Verdana" w:hAnsi="Verdana" w:cs="Verdana"/>
          <w:sz w:val="20"/>
          <w:szCs w:val="20"/>
        </w:rPr>
        <w:t>a lesión arbitraria a</w:t>
      </w:r>
      <w:r w:rsidR="00EF1606">
        <w:rPr>
          <w:rFonts w:ascii="Verdana" w:hAnsi="Verdana" w:cs="Verdana"/>
          <w:sz w:val="20"/>
          <w:szCs w:val="20"/>
        </w:rPr>
        <w:t>l derecho al trabajo</w:t>
      </w:r>
      <w:r w:rsidRPr="006D2DE2">
        <w:rPr>
          <w:rFonts w:ascii="Verdana" w:hAnsi="Verdana" w:cs="Verdana"/>
          <w:sz w:val="20"/>
          <w:szCs w:val="20"/>
        </w:rPr>
        <w:t xml:space="preserve"> es susceptible de afectar incluso la propia identidad subjetiva de la persona e incluso trascender, afectando a terceros vinculados</w:t>
      </w:r>
      <w:r w:rsidRPr="006D2DE2">
        <w:rPr>
          <w:rStyle w:val="FootnoteReference"/>
          <w:rFonts w:ascii="Verdana" w:hAnsi="Verdana" w:cs="Verdana"/>
          <w:sz w:val="20"/>
          <w:szCs w:val="20"/>
        </w:rPr>
        <w:footnoteReference w:id="53"/>
      </w:r>
      <w:r w:rsidRPr="006D2DE2">
        <w:rPr>
          <w:rFonts w:ascii="Verdana" w:hAnsi="Verdana" w:cs="Verdana"/>
          <w:sz w:val="20"/>
          <w:szCs w:val="20"/>
        </w:rPr>
        <w:t>.</w:t>
      </w:r>
    </w:p>
    <w:p w14:paraId="485AA1BC" w14:textId="77777777" w:rsidR="00C0746B" w:rsidRPr="006D2DE2" w:rsidRDefault="00C0746B" w:rsidP="002A7F5B">
      <w:pPr>
        <w:pStyle w:val="ListParagraph"/>
        <w:ind w:left="0"/>
        <w:jc w:val="both"/>
        <w:rPr>
          <w:rFonts w:ascii="Verdana" w:hAnsi="Verdana"/>
          <w:sz w:val="20"/>
          <w:szCs w:val="20"/>
        </w:rPr>
      </w:pPr>
    </w:p>
    <w:p w14:paraId="6E808878" w14:textId="240C107D" w:rsidR="009123F7" w:rsidRPr="006D2DE2" w:rsidRDefault="00B1080A"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cuanto a las reparaciones, es fundamental </w:t>
      </w:r>
      <w:r w:rsidR="00EF1606">
        <w:rPr>
          <w:rFonts w:ascii="Verdana" w:hAnsi="Verdana"/>
          <w:sz w:val="20"/>
          <w:szCs w:val="20"/>
        </w:rPr>
        <w:t>también tener en consideración có</w:t>
      </w:r>
      <w:r w:rsidRPr="006D2DE2">
        <w:rPr>
          <w:rFonts w:ascii="Verdana" w:hAnsi="Verdana"/>
          <w:sz w:val="20"/>
          <w:szCs w:val="20"/>
        </w:rPr>
        <w:t>mo en cada uno de estos casos se</w:t>
      </w:r>
      <w:r w:rsidR="00EF1606">
        <w:rPr>
          <w:rFonts w:ascii="Verdana" w:hAnsi="Verdana"/>
          <w:sz w:val="20"/>
          <w:szCs w:val="20"/>
        </w:rPr>
        <w:t xml:space="preserve"> ha considerado</w:t>
      </w:r>
      <w:r w:rsidRPr="006D2DE2">
        <w:rPr>
          <w:rFonts w:ascii="Verdana" w:hAnsi="Verdana"/>
          <w:sz w:val="20"/>
          <w:szCs w:val="20"/>
        </w:rPr>
        <w:t xml:space="preserve"> como eje central el derecho al trabajo</w:t>
      </w:r>
      <w:r w:rsidR="00EF1606">
        <w:rPr>
          <w:rFonts w:ascii="Verdana" w:hAnsi="Verdana"/>
          <w:sz w:val="20"/>
          <w:szCs w:val="20"/>
        </w:rPr>
        <w:t>/estabilidad laboral</w:t>
      </w:r>
      <w:r w:rsidR="006513F1" w:rsidRPr="006D2DE2">
        <w:rPr>
          <w:rFonts w:ascii="Verdana" w:hAnsi="Verdana"/>
          <w:sz w:val="20"/>
          <w:szCs w:val="20"/>
        </w:rPr>
        <w:t>, en especial dentro del concepto de daño material</w:t>
      </w:r>
      <w:r w:rsidR="006513F1" w:rsidRPr="006D2DE2">
        <w:rPr>
          <w:rStyle w:val="FootnoteReference"/>
          <w:rFonts w:ascii="Verdana" w:hAnsi="Verdana"/>
          <w:sz w:val="20"/>
          <w:szCs w:val="20"/>
        </w:rPr>
        <w:footnoteReference w:id="54"/>
      </w:r>
      <w:r w:rsidRPr="006D2DE2">
        <w:rPr>
          <w:rFonts w:ascii="Verdana" w:hAnsi="Verdana"/>
          <w:sz w:val="20"/>
          <w:szCs w:val="20"/>
        </w:rPr>
        <w:t xml:space="preserve">. En este </w:t>
      </w:r>
      <w:r w:rsidR="00FA034D">
        <w:rPr>
          <w:rFonts w:ascii="Verdana" w:hAnsi="Verdana"/>
          <w:sz w:val="20"/>
          <w:szCs w:val="20"/>
        </w:rPr>
        <w:t>sentido, la Corte IDH</w:t>
      </w:r>
      <w:r w:rsidRPr="006D2DE2">
        <w:rPr>
          <w:rFonts w:ascii="Verdana" w:hAnsi="Verdana"/>
          <w:sz w:val="20"/>
          <w:szCs w:val="20"/>
        </w:rPr>
        <w:t xml:space="preserve"> en el caso </w:t>
      </w:r>
      <w:r w:rsidRPr="006D2DE2">
        <w:rPr>
          <w:rFonts w:ascii="Verdana" w:hAnsi="Verdana"/>
          <w:i/>
          <w:sz w:val="20"/>
          <w:szCs w:val="20"/>
        </w:rPr>
        <w:t>Lagos del Campo</w:t>
      </w:r>
      <w:r w:rsidRPr="006D2DE2">
        <w:rPr>
          <w:rFonts w:ascii="Verdana" w:hAnsi="Verdana"/>
          <w:sz w:val="20"/>
          <w:szCs w:val="20"/>
        </w:rPr>
        <w:t xml:space="preserve"> </w:t>
      </w:r>
      <w:r w:rsidR="006513F1" w:rsidRPr="006D2DE2">
        <w:rPr>
          <w:rFonts w:ascii="Verdana" w:hAnsi="Verdana"/>
          <w:sz w:val="20"/>
          <w:szCs w:val="20"/>
        </w:rPr>
        <w:t>consideró que con motivo del despido y la desprotección judicial, la víctima se había visto en una situación de desamparo acerca de su situación laboral, lo cual había afectado sus condiciones de vida, por lo que se otorgaba un monto en concepto de daño materia</w:t>
      </w:r>
      <w:r w:rsidR="0036654B">
        <w:rPr>
          <w:rFonts w:ascii="Verdana" w:hAnsi="Verdana"/>
          <w:sz w:val="20"/>
          <w:szCs w:val="20"/>
        </w:rPr>
        <w:t>l</w:t>
      </w:r>
      <w:r w:rsidR="006513F1" w:rsidRPr="006D2DE2">
        <w:rPr>
          <w:rFonts w:ascii="Verdana" w:hAnsi="Verdana"/>
          <w:sz w:val="20"/>
          <w:szCs w:val="20"/>
        </w:rPr>
        <w:t>; en el mismo caso, sobre la pensión que el señor Lagos del Campo hubiera recibido de no ser despedido, la Corte</w:t>
      </w:r>
      <w:r w:rsidR="0036654B">
        <w:rPr>
          <w:rFonts w:ascii="Verdana" w:hAnsi="Verdana"/>
          <w:sz w:val="20"/>
          <w:szCs w:val="20"/>
        </w:rPr>
        <w:t xml:space="preserve"> IDH</w:t>
      </w:r>
      <w:r w:rsidR="006513F1" w:rsidRPr="006D2DE2">
        <w:rPr>
          <w:rFonts w:ascii="Verdana" w:hAnsi="Verdana"/>
          <w:sz w:val="20"/>
          <w:szCs w:val="20"/>
        </w:rPr>
        <w:t xml:space="preserve"> estimó que</w:t>
      </w:r>
      <w:r w:rsidR="0036654B">
        <w:rPr>
          <w:rFonts w:ascii="Verdana" w:hAnsi="Verdana"/>
          <w:sz w:val="20"/>
          <w:szCs w:val="20"/>
        </w:rPr>
        <w:t>,</w:t>
      </w:r>
      <w:r w:rsidR="006513F1" w:rsidRPr="006D2DE2">
        <w:rPr>
          <w:rFonts w:ascii="Verdana" w:hAnsi="Verdana"/>
          <w:sz w:val="20"/>
          <w:szCs w:val="20"/>
        </w:rPr>
        <w:t xml:space="preserve"> en efecto</w:t>
      </w:r>
      <w:r w:rsidR="0036654B">
        <w:rPr>
          <w:rFonts w:ascii="Verdana" w:hAnsi="Verdana"/>
          <w:sz w:val="20"/>
          <w:szCs w:val="20"/>
        </w:rPr>
        <w:t>,</w:t>
      </w:r>
      <w:r w:rsidR="006513F1" w:rsidRPr="006D2DE2">
        <w:rPr>
          <w:rFonts w:ascii="Verdana" w:hAnsi="Verdana"/>
          <w:sz w:val="20"/>
          <w:szCs w:val="20"/>
        </w:rPr>
        <w:t xml:space="preserve"> la víctima había perdido la posibilidad de acceder a una pensión y beneficios sociales, por </w:t>
      </w:r>
      <w:r w:rsidR="0036654B">
        <w:rPr>
          <w:rFonts w:ascii="Verdana" w:hAnsi="Verdana"/>
          <w:sz w:val="20"/>
          <w:szCs w:val="20"/>
        </w:rPr>
        <w:t>lo que</w:t>
      </w:r>
      <w:r w:rsidR="006513F1" w:rsidRPr="006D2DE2">
        <w:rPr>
          <w:rFonts w:ascii="Verdana" w:hAnsi="Verdana"/>
          <w:sz w:val="20"/>
          <w:szCs w:val="20"/>
        </w:rPr>
        <w:t xml:space="preserve"> también fijó un monto por este concepto</w:t>
      </w:r>
      <w:r w:rsidR="006513F1" w:rsidRPr="006D2DE2">
        <w:rPr>
          <w:rStyle w:val="FootnoteReference"/>
          <w:rFonts w:ascii="Verdana" w:hAnsi="Verdana"/>
          <w:sz w:val="20"/>
          <w:szCs w:val="20"/>
        </w:rPr>
        <w:footnoteReference w:id="55"/>
      </w:r>
      <w:r w:rsidR="006513F1" w:rsidRPr="006D2DE2">
        <w:rPr>
          <w:rFonts w:ascii="Verdana" w:hAnsi="Verdana"/>
          <w:sz w:val="20"/>
          <w:szCs w:val="20"/>
        </w:rPr>
        <w:t xml:space="preserve">. </w:t>
      </w:r>
    </w:p>
    <w:p w14:paraId="0D1DE647" w14:textId="77777777" w:rsidR="006513F1" w:rsidRPr="006D2DE2" w:rsidRDefault="006513F1" w:rsidP="002A7F5B">
      <w:pPr>
        <w:jc w:val="both"/>
        <w:rPr>
          <w:rFonts w:ascii="Verdana" w:hAnsi="Verdana"/>
          <w:sz w:val="20"/>
          <w:szCs w:val="20"/>
        </w:rPr>
      </w:pPr>
    </w:p>
    <w:p w14:paraId="384F5854" w14:textId="2264C970" w:rsidR="00F31B19" w:rsidRPr="006D2DE2" w:rsidRDefault="006513F1"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 xml:space="preserve">En el caso </w:t>
      </w:r>
      <w:r w:rsidR="00AD4CEE" w:rsidRPr="006D2DE2">
        <w:rPr>
          <w:rFonts w:ascii="Verdana" w:hAnsi="Verdana"/>
          <w:i/>
          <w:sz w:val="20"/>
          <w:szCs w:val="20"/>
        </w:rPr>
        <w:t>Trabajadores C</w:t>
      </w:r>
      <w:r w:rsidRPr="006D2DE2">
        <w:rPr>
          <w:rFonts w:ascii="Verdana" w:hAnsi="Verdana"/>
          <w:i/>
          <w:sz w:val="20"/>
          <w:szCs w:val="20"/>
        </w:rPr>
        <w:t>esados del Petroperú</w:t>
      </w:r>
      <w:r w:rsidRPr="006D2DE2">
        <w:rPr>
          <w:rFonts w:ascii="Verdana" w:hAnsi="Verdana"/>
          <w:sz w:val="20"/>
          <w:szCs w:val="20"/>
        </w:rPr>
        <w:t>, frente al alegato de reincorporación</w:t>
      </w:r>
      <w:r w:rsidR="00F31B19" w:rsidRPr="006D2DE2">
        <w:rPr>
          <w:rFonts w:ascii="Verdana" w:hAnsi="Verdana"/>
          <w:sz w:val="20"/>
          <w:szCs w:val="20"/>
        </w:rPr>
        <w:t xml:space="preserve"> a un puesto similar, la Corte IDH estimó </w:t>
      </w:r>
      <w:r w:rsidR="00F31B19" w:rsidRPr="006D2DE2">
        <w:rPr>
          <w:rFonts w:ascii="Verdana" w:hAnsi="Verdana" w:cs="Verdana"/>
          <w:sz w:val="20"/>
          <w:szCs w:val="20"/>
        </w:rPr>
        <w:t xml:space="preserve">que </w:t>
      </w:r>
      <w:r w:rsidR="00C4376C">
        <w:rPr>
          <w:rFonts w:ascii="Verdana" w:hAnsi="Verdana" w:cs="Verdana"/>
          <w:sz w:val="20"/>
          <w:szCs w:val="20"/>
        </w:rPr>
        <w:t>“</w:t>
      </w:r>
      <w:r w:rsidR="00F31B19" w:rsidRPr="006D2DE2">
        <w:rPr>
          <w:rFonts w:ascii="Verdana" w:hAnsi="Verdana" w:cs="Verdana"/>
          <w:sz w:val="20"/>
          <w:szCs w:val="20"/>
        </w:rPr>
        <w:t>transcurridos aproximadamente 25 años de los ceses laborales ocurridos</w:t>
      </w:r>
      <w:r w:rsidR="0036654B">
        <w:rPr>
          <w:rFonts w:ascii="Verdana" w:hAnsi="Verdana" w:cs="Verdana"/>
          <w:sz w:val="20"/>
          <w:szCs w:val="20"/>
        </w:rPr>
        <w:t xml:space="preserve"> </w:t>
      </w:r>
      <w:r w:rsidR="00F31B19" w:rsidRPr="006D2DE2">
        <w:rPr>
          <w:rFonts w:ascii="Verdana" w:hAnsi="Verdana" w:cs="Verdana"/>
          <w:sz w:val="20"/>
          <w:szCs w:val="20"/>
        </w:rPr>
        <w:t xml:space="preserve">[…], la reincorporación o reposición de los trabajadores en sus antiguos cargos o en otros análogos enfrenta diversos niveles de complejidad y operatividad, en particular, por las modificaciones estructurales que han ocurrido en Petroperú, </w:t>
      </w:r>
      <w:proofErr w:type="spellStart"/>
      <w:r w:rsidR="00F31B19" w:rsidRPr="006D2DE2">
        <w:rPr>
          <w:rFonts w:ascii="Verdana" w:hAnsi="Verdana" w:cs="Verdana"/>
          <w:sz w:val="20"/>
          <w:szCs w:val="20"/>
        </w:rPr>
        <w:t>Enapu</w:t>
      </w:r>
      <w:proofErr w:type="spellEnd"/>
      <w:r w:rsidR="00F31B19" w:rsidRPr="006D2DE2">
        <w:rPr>
          <w:rFonts w:ascii="Verdana" w:hAnsi="Verdana" w:cs="Verdana"/>
          <w:sz w:val="20"/>
          <w:szCs w:val="20"/>
        </w:rPr>
        <w:t xml:space="preserve">, MEF y </w:t>
      </w:r>
      <w:proofErr w:type="spellStart"/>
      <w:r w:rsidR="00F31B19" w:rsidRPr="006D2DE2">
        <w:rPr>
          <w:rFonts w:ascii="Verdana" w:hAnsi="Verdana" w:cs="Verdana"/>
          <w:sz w:val="20"/>
          <w:szCs w:val="20"/>
        </w:rPr>
        <w:t>Minedu</w:t>
      </w:r>
      <w:proofErr w:type="spellEnd"/>
      <w:r w:rsidR="00C4376C">
        <w:rPr>
          <w:rFonts w:ascii="Verdana" w:hAnsi="Verdana" w:cs="Verdana"/>
          <w:sz w:val="20"/>
          <w:szCs w:val="20"/>
        </w:rPr>
        <w:t>”</w:t>
      </w:r>
      <w:r w:rsidR="00F31B19" w:rsidRPr="006D2DE2">
        <w:rPr>
          <w:rFonts w:ascii="Verdana" w:hAnsi="Verdana" w:cs="Verdana"/>
          <w:sz w:val="20"/>
          <w:szCs w:val="20"/>
        </w:rPr>
        <w:t>. En con</w:t>
      </w:r>
      <w:r w:rsidR="00EA6ED8" w:rsidRPr="006D2DE2">
        <w:rPr>
          <w:rFonts w:ascii="Verdana" w:hAnsi="Verdana" w:cs="Verdana"/>
          <w:sz w:val="20"/>
          <w:szCs w:val="20"/>
        </w:rPr>
        <w:t>secuencia, el Tribunal</w:t>
      </w:r>
      <w:r w:rsidR="0036654B">
        <w:rPr>
          <w:rFonts w:ascii="Verdana" w:hAnsi="Verdana" w:cs="Verdana"/>
          <w:sz w:val="20"/>
          <w:szCs w:val="20"/>
        </w:rPr>
        <w:t xml:space="preserve"> Interamericano</w:t>
      </w:r>
      <w:r w:rsidR="00EA6ED8" w:rsidRPr="006D2DE2">
        <w:rPr>
          <w:rFonts w:ascii="Verdana" w:hAnsi="Verdana" w:cs="Verdana"/>
          <w:sz w:val="20"/>
          <w:szCs w:val="20"/>
        </w:rPr>
        <w:t xml:space="preserve"> consideró</w:t>
      </w:r>
      <w:r w:rsidR="00F31B19" w:rsidRPr="006D2DE2">
        <w:rPr>
          <w:rFonts w:ascii="Verdana" w:hAnsi="Verdana" w:cs="Verdana"/>
          <w:sz w:val="20"/>
          <w:szCs w:val="20"/>
        </w:rPr>
        <w:t xml:space="preserve"> que no dispondr</w:t>
      </w:r>
      <w:r w:rsidR="00C4376C">
        <w:rPr>
          <w:rFonts w:ascii="Verdana" w:hAnsi="Verdana" w:cs="Verdana"/>
          <w:sz w:val="20"/>
          <w:szCs w:val="20"/>
        </w:rPr>
        <w:t>ía</w:t>
      </w:r>
      <w:r w:rsidR="00F31B19" w:rsidRPr="006D2DE2">
        <w:rPr>
          <w:rFonts w:ascii="Verdana" w:hAnsi="Verdana" w:cs="Verdana"/>
          <w:sz w:val="20"/>
          <w:szCs w:val="20"/>
        </w:rPr>
        <w:t xml:space="preserve"> la reincorporación de las víctimas y, por tal motivo, </w:t>
      </w:r>
      <w:r w:rsidR="00C4376C">
        <w:rPr>
          <w:rFonts w:ascii="Verdana" w:hAnsi="Verdana" w:cs="Verdana"/>
          <w:sz w:val="20"/>
          <w:szCs w:val="20"/>
        </w:rPr>
        <w:t xml:space="preserve">tomó en cuenta </w:t>
      </w:r>
      <w:r w:rsidR="00F31B19" w:rsidRPr="006D2DE2">
        <w:rPr>
          <w:rFonts w:ascii="Verdana" w:hAnsi="Verdana" w:cs="Verdana"/>
          <w:sz w:val="20"/>
          <w:szCs w:val="20"/>
        </w:rPr>
        <w:t xml:space="preserve">este aspecto al momento de calcular la indemnización compensatoria </w:t>
      </w:r>
      <w:r w:rsidR="00C4376C">
        <w:rPr>
          <w:rFonts w:ascii="Verdana" w:hAnsi="Verdana" w:cs="Verdana"/>
          <w:sz w:val="20"/>
          <w:szCs w:val="20"/>
        </w:rPr>
        <w:t>(</w:t>
      </w:r>
      <w:r w:rsidR="00F31B19" w:rsidRPr="006D2DE2">
        <w:rPr>
          <w:rFonts w:ascii="Verdana" w:hAnsi="Verdana" w:cs="Verdana"/>
          <w:sz w:val="20"/>
          <w:szCs w:val="20"/>
        </w:rPr>
        <w:t>daño material</w:t>
      </w:r>
      <w:r w:rsidR="00C4376C">
        <w:rPr>
          <w:rFonts w:ascii="Verdana" w:hAnsi="Verdana" w:cs="Verdana"/>
          <w:sz w:val="20"/>
          <w:szCs w:val="20"/>
        </w:rPr>
        <w:t>)</w:t>
      </w:r>
      <w:r w:rsidR="00F31B19" w:rsidRPr="006D2DE2">
        <w:rPr>
          <w:rStyle w:val="FootnoteReference"/>
          <w:rFonts w:ascii="Verdana" w:hAnsi="Verdana" w:cs="Verdana"/>
          <w:sz w:val="20"/>
          <w:szCs w:val="20"/>
        </w:rPr>
        <w:footnoteReference w:id="56"/>
      </w:r>
      <w:r w:rsidR="00F31B19" w:rsidRPr="006D2DE2">
        <w:rPr>
          <w:rFonts w:ascii="Verdana" w:hAnsi="Verdana" w:cs="Verdana"/>
          <w:sz w:val="20"/>
          <w:szCs w:val="20"/>
        </w:rPr>
        <w:t xml:space="preserve">. </w:t>
      </w:r>
    </w:p>
    <w:p w14:paraId="6ED0986E" w14:textId="77777777" w:rsidR="00F31B19" w:rsidRPr="006D2DE2" w:rsidRDefault="00F31B19" w:rsidP="002A7F5B">
      <w:pPr>
        <w:jc w:val="both"/>
        <w:rPr>
          <w:rFonts w:ascii="Verdana" w:hAnsi="Verdana"/>
          <w:sz w:val="20"/>
          <w:szCs w:val="20"/>
        </w:rPr>
      </w:pPr>
    </w:p>
    <w:p w14:paraId="0EDC156B" w14:textId="2710471D" w:rsidR="00C0746B" w:rsidRPr="006D2DE2" w:rsidRDefault="00F31B19" w:rsidP="002A7F5B">
      <w:pPr>
        <w:pStyle w:val="ListParagraph"/>
        <w:numPr>
          <w:ilvl w:val="0"/>
          <w:numId w:val="1"/>
        </w:numPr>
        <w:ind w:left="0" w:firstLine="0"/>
        <w:jc w:val="both"/>
        <w:rPr>
          <w:rFonts w:ascii="Verdana" w:hAnsi="Verdana"/>
          <w:sz w:val="20"/>
          <w:szCs w:val="20"/>
        </w:rPr>
      </w:pPr>
      <w:r w:rsidRPr="006D2DE2">
        <w:rPr>
          <w:rFonts w:ascii="Verdana" w:hAnsi="Verdana"/>
          <w:sz w:val="20"/>
          <w:szCs w:val="20"/>
        </w:rPr>
        <w:t>Finalmente, en el caso de las tres víctimas</w:t>
      </w:r>
      <w:r w:rsidR="0036654B">
        <w:rPr>
          <w:rFonts w:ascii="Verdana" w:hAnsi="Verdana"/>
          <w:sz w:val="20"/>
          <w:szCs w:val="20"/>
        </w:rPr>
        <w:t xml:space="preserve"> del presente caso</w:t>
      </w:r>
      <w:r w:rsidRPr="006D2DE2">
        <w:rPr>
          <w:rFonts w:ascii="Verdana" w:hAnsi="Verdana"/>
          <w:sz w:val="20"/>
          <w:szCs w:val="20"/>
        </w:rPr>
        <w:t xml:space="preserve">, la Corte IDH </w:t>
      </w:r>
      <w:r w:rsidR="0036654B">
        <w:rPr>
          <w:rFonts w:ascii="Verdana" w:hAnsi="Verdana"/>
          <w:sz w:val="20"/>
          <w:szCs w:val="20"/>
        </w:rPr>
        <w:t xml:space="preserve">consideró que </w:t>
      </w:r>
      <w:r w:rsidRPr="006D2DE2">
        <w:rPr>
          <w:rFonts w:ascii="Verdana" w:hAnsi="Verdana"/>
          <w:sz w:val="20"/>
          <w:szCs w:val="20"/>
        </w:rPr>
        <w:t xml:space="preserve">no era viable ordenar la reincorporación de las víctimas a cargos en la administración pública, </w:t>
      </w:r>
      <w:r w:rsidR="0036654B">
        <w:rPr>
          <w:rFonts w:ascii="Verdana" w:hAnsi="Verdana"/>
          <w:sz w:val="20"/>
          <w:szCs w:val="20"/>
        </w:rPr>
        <w:t>estimando pertinente</w:t>
      </w:r>
      <w:r w:rsidRPr="006D2DE2">
        <w:rPr>
          <w:rFonts w:ascii="Verdana" w:hAnsi="Verdana"/>
          <w:sz w:val="20"/>
          <w:szCs w:val="20"/>
        </w:rPr>
        <w:t xml:space="preserve"> incluir este aspecto en la indemnización (por daños materiales)</w:t>
      </w:r>
      <w:r w:rsidRPr="006D2DE2">
        <w:rPr>
          <w:rStyle w:val="FootnoteReference"/>
          <w:rFonts w:ascii="Verdana" w:hAnsi="Verdana"/>
          <w:sz w:val="20"/>
          <w:szCs w:val="20"/>
        </w:rPr>
        <w:footnoteReference w:id="57"/>
      </w:r>
      <w:r w:rsidRPr="006D2DE2">
        <w:rPr>
          <w:rFonts w:ascii="Verdana" w:hAnsi="Verdana"/>
          <w:sz w:val="20"/>
          <w:szCs w:val="20"/>
        </w:rPr>
        <w:t xml:space="preserve">. </w:t>
      </w:r>
    </w:p>
    <w:p w14:paraId="2DB97E2A" w14:textId="77777777" w:rsidR="009123F7" w:rsidRPr="006D2DE2" w:rsidRDefault="009123F7" w:rsidP="002A7F5B">
      <w:pPr>
        <w:jc w:val="both"/>
        <w:rPr>
          <w:rFonts w:ascii="Verdana" w:hAnsi="Verdana"/>
          <w:sz w:val="20"/>
          <w:szCs w:val="20"/>
        </w:rPr>
      </w:pPr>
    </w:p>
    <w:p w14:paraId="2A880D0A" w14:textId="4A49A1AE" w:rsidR="00F900E6" w:rsidRDefault="009123F7" w:rsidP="002A7F5B">
      <w:pPr>
        <w:pStyle w:val="ListParagraph"/>
        <w:numPr>
          <w:ilvl w:val="0"/>
          <w:numId w:val="1"/>
        </w:numPr>
        <w:ind w:left="0" w:firstLine="0"/>
        <w:jc w:val="both"/>
        <w:rPr>
          <w:rFonts w:ascii="Verdana" w:hAnsi="Verdana" w:cs="Verdana"/>
          <w:sz w:val="20"/>
          <w:szCs w:val="20"/>
        </w:rPr>
      </w:pPr>
      <w:r w:rsidRPr="006D2DE2">
        <w:rPr>
          <w:rFonts w:ascii="Verdana" w:hAnsi="Verdana"/>
          <w:sz w:val="20"/>
          <w:szCs w:val="20"/>
        </w:rPr>
        <w:t xml:space="preserve"> </w:t>
      </w:r>
      <w:r w:rsidR="0036654B">
        <w:rPr>
          <w:rFonts w:ascii="Verdana" w:hAnsi="Verdana"/>
          <w:sz w:val="20"/>
          <w:szCs w:val="20"/>
        </w:rPr>
        <w:t>Cabe destacar que</w:t>
      </w:r>
      <w:r w:rsidR="00C0746B" w:rsidRPr="006D2DE2">
        <w:rPr>
          <w:rFonts w:ascii="Verdana" w:hAnsi="Verdana"/>
          <w:sz w:val="20"/>
          <w:szCs w:val="20"/>
        </w:rPr>
        <w:t xml:space="preserve"> el derecho al trabajo no consiste en una permanencia irrestricta en el puesto del trabajo, </w:t>
      </w:r>
      <w:r w:rsidR="00C0746B" w:rsidRPr="006D2DE2">
        <w:rPr>
          <w:rFonts w:ascii="Verdana" w:hAnsi="Verdana" w:cs="Verdana"/>
          <w:sz w:val="20"/>
          <w:szCs w:val="20"/>
        </w:rPr>
        <w:t>sino de respetar este derecho, entre otras medidas, otorgando debidas garantías de protección al trabajador a fin de que, en caso de despido</w:t>
      </w:r>
      <w:r w:rsidR="00B205F9">
        <w:rPr>
          <w:rFonts w:ascii="Verdana" w:hAnsi="Verdana" w:cs="Verdana"/>
          <w:sz w:val="20"/>
          <w:szCs w:val="20"/>
        </w:rPr>
        <w:t>,</w:t>
      </w:r>
      <w:r w:rsidR="00C0746B" w:rsidRPr="006D2DE2">
        <w:rPr>
          <w:rFonts w:ascii="Verdana" w:hAnsi="Verdana" w:cs="Verdana"/>
          <w:sz w:val="20"/>
          <w:szCs w:val="20"/>
        </w:rPr>
        <w:t xml:space="preserve"> se realice bajo causas jus</w:t>
      </w:r>
      <w:r w:rsidR="0003428E">
        <w:rPr>
          <w:rFonts w:ascii="Verdana" w:hAnsi="Verdana" w:cs="Verdana"/>
          <w:sz w:val="20"/>
          <w:szCs w:val="20"/>
        </w:rPr>
        <w:t>tificadas o debidamente motivas;</w:t>
      </w:r>
      <w:r w:rsidR="00C0746B" w:rsidRPr="006D2DE2">
        <w:rPr>
          <w:rFonts w:ascii="Verdana" w:hAnsi="Verdana" w:cs="Verdana"/>
          <w:sz w:val="20"/>
          <w:szCs w:val="20"/>
        </w:rPr>
        <w:t xml:space="preserve"> lo cual implica que el empleador acredite las razones suficientes para proceder con dicha acción con las debidas garantías, </w:t>
      </w:r>
      <w:r w:rsidR="00EF1606">
        <w:rPr>
          <w:rFonts w:ascii="Verdana" w:hAnsi="Verdana" w:cs="Verdana"/>
          <w:sz w:val="20"/>
          <w:szCs w:val="20"/>
        </w:rPr>
        <w:t xml:space="preserve">y </w:t>
      </w:r>
      <w:r w:rsidR="00C0746B" w:rsidRPr="006D2DE2">
        <w:rPr>
          <w:rFonts w:ascii="Verdana" w:hAnsi="Verdana" w:cs="Verdana"/>
          <w:sz w:val="20"/>
          <w:szCs w:val="20"/>
        </w:rPr>
        <w:t>frente a ello el trabajador pueda recurrir tal decisión ante las autoridades internas, quienes verifiquen que las causales imputadas no sean arbitrarias o contrarias a derecho</w:t>
      </w:r>
      <w:r w:rsidR="00C0746B" w:rsidRPr="006D2DE2">
        <w:rPr>
          <w:rStyle w:val="FootnoteReference"/>
          <w:rFonts w:ascii="Verdana" w:hAnsi="Verdana" w:cs="Verdana"/>
          <w:sz w:val="20"/>
          <w:szCs w:val="20"/>
        </w:rPr>
        <w:footnoteReference w:id="58"/>
      </w:r>
      <w:r w:rsidR="00C0746B" w:rsidRPr="006D2DE2">
        <w:rPr>
          <w:rFonts w:ascii="Verdana" w:hAnsi="Verdana" w:cs="Verdana"/>
          <w:sz w:val="20"/>
          <w:szCs w:val="20"/>
        </w:rPr>
        <w:t>.</w:t>
      </w:r>
    </w:p>
    <w:p w14:paraId="42171826" w14:textId="77777777" w:rsidR="004A3D52" w:rsidRPr="006D2DE2" w:rsidRDefault="004A3D52" w:rsidP="002A7F5B">
      <w:pPr>
        <w:pStyle w:val="ListParagraph"/>
        <w:ind w:left="0"/>
        <w:jc w:val="both"/>
        <w:rPr>
          <w:rFonts w:ascii="Verdana" w:hAnsi="Verdana" w:cs="Verdana"/>
          <w:sz w:val="20"/>
          <w:szCs w:val="20"/>
        </w:rPr>
      </w:pPr>
    </w:p>
    <w:p w14:paraId="04B3A41F" w14:textId="77777777" w:rsidR="005E3836" w:rsidRDefault="005E3836" w:rsidP="002A7F5B">
      <w:pPr>
        <w:jc w:val="both"/>
        <w:rPr>
          <w:rFonts w:ascii="Verdana" w:hAnsi="Verdana" w:cs="Verdana"/>
          <w:sz w:val="20"/>
          <w:szCs w:val="20"/>
        </w:rPr>
      </w:pPr>
    </w:p>
    <w:p w14:paraId="4F6C8375" w14:textId="037D4D20" w:rsidR="00B900D4" w:rsidRPr="00590CB5" w:rsidRDefault="00B900D4" w:rsidP="002A7F5B">
      <w:pPr>
        <w:jc w:val="both"/>
        <w:rPr>
          <w:rFonts w:ascii="Verdana" w:hAnsi="Verdana"/>
          <w:sz w:val="20"/>
          <w:szCs w:val="20"/>
          <w:lang w:val="es-CR"/>
        </w:rPr>
      </w:pPr>
      <w:r w:rsidRPr="00590CB5">
        <w:rPr>
          <w:rFonts w:ascii="Verdana" w:hAnsi="Verdana"/>
          <w:sz w:val="20"/>
          <w:szCs w:val="20"/>
          <w:lang w:val="es-CR"/>
        </w:rPr>
        <w:t xml:space="preserve">II. LA INDEPENDENCIA JUDICIAL COMO PARTE DE LAS GARANTÍAS JUDICIALES Y DEL ACCESO A LA JUSTICIA, A LA LUZ DEL CONTEXTO DEL PRESENTE CASO Y LA </w:t>
      </w:r>
      <w:r w:rsidR="004A3D52">
        <w:rPr>
          <w:rFonts w:ascii="Verdana" w:hAnsi="Verdana"/>
          <w:sz w:val="20"/>
          <w:szCs w:val="20"/>
          <w:lang w:val="es-CR"/>
        </w:rPr>
        <w:t>“</w:t>
      </w:r>
      <w:r w:rsidRPr="00590CB5">
        <w:rPr>
          <w:rFonts w:ascii="Verdana" w:hAnsi="Verdana"/>
          <w:sz w:val="20"/>
          <w:szCs w:val="20"/>
          <w:lang w:val="es-CR"/>
        </w:rPr>
        <w:t>DESVIACIÓN DE PODER</w:t>
      </w:r>
      <w:r w:rsidR="004A3D52">
        <w:rPr>
          <w:rFonts w:ascii="Verdana" w:hAnsi="Verdana"/>
          <w:sz w:val="20"/>
          <w:szCs w:val="20"/>
          <w:lang w:val="es-CR"/>
        </w:rPr>
        <w:t>”</w:t>
      </w:r>
      <w:r w:rsidRPr="00590CB5">
        <w:rPr>
          <w:rFonts w:ascii="Verdana" w:hAnsi="Verdana"/>
          <w:sz w:val="20"/>
          <w:szCs w:val="20"/>
          <w:lang w:val="es-CR"/>
        </w:rPr>
        <w:t xml:space="preserve"> DECLARADA</w:t>
      </w:r>
      <w:r w:rsidR="004A3D52">
        <w:rPr>
          <w:rFonts w:ascii="Verdana" w:hAnsi="Verdana"/>
          <w:sz w:val="20"/>
          <w:szCs w:val="20"/>
          <w:lang w:val="es-CR"/>
        </w:rPr>
        <w:t xml:space="preserve"> EN LA SENTENCIA</w:t>
      </w:r>
    </w:p>
    <w:p w14:paraId="10FBEEDB" w14:textId="77777777" w:rsidR="00B900D4" w:rsidRPr="00590CB5" w:rsidRDefault="00B900D4" w:rsidP="002A7F5B">
      <w:pPr>
        <w:jc w:val="both"/>
        <w:rPr>
          <w:rFonts w:ascii="Verdana" w:hAnsi="Verdana" w:cs="Verdana"/>
          <w:sz w:val="20"/>
          <w:szCs w:val="20"/>
          <w:lang w:val="es-CR"/>
        </w:rPr>
      </w:pPr>
    </w:p>
    <w:p w14:paraId="2C0708BF" w14:textId="77777777" w:rsidR="00B900D4" w:rsidRPr="00590CB5" w:rsidRDefault="00B900D4" w:rsidP="002A7F5B">
      <w:pPr>
        <w:numPr>
          <w:ilvl w:val="0"/>
          <w:numId w:val="1"/>
        </w:numPr>
        <w:pBdr>
          <w:top w:val="nil"/>
        </w:pBdr>
        <w:autoSpaceDE w:val="0"/>
        <w:autoSpaceDN w:val="0"/>
        <w:adjustRightInd w:val="0"/>
        <w:ind w:left="0" w:firstLine="0"/>
        <w:jc w:val="both"/>
        <w:rPr>
          <w:rFonts w:ascii="Verdana" w:hAnsi="Verdana"/>
          <w:sz w:val="20"/>
          <w:szCs w:val="20"/>
          <w:lang w:val="es-CR"/>
        </w:rPr>
      </w:pPr>
      <w:r w:rsidRPr="00590CB5">
        <w:rPr>
          <w:rFonts w:ascii="Verdana" w:hAnsi="Verdana" w:cs="Helvetica"/>
          <w:sz w:val="20"/>
          <w:szCs w:val="20"/>
          <w:lang w:val="es-CR"/>
        </w:rPr>
        <w:t>La Corte IDH ha sido de la opinión de que la tutela judicial efectiva requiere que los procedimientos judiciales sean accesibles para las partes, sin obstáculos o demoras indebidas, a fin de que alcancen su objetivo de manera rápida, sencilla e integral</w:t>
      </w:r>
      <w:r w:rsidRPr="00590CB5">
        <w:rPr>
          <w:rFonts w:ascii="Verdana" w:hAnsi="Verdana"/>
          <w:sz w:val="20"/>
          <w:szCs w:val="20"/>
          <w:vertAlign w:val="superscript"/>
          <w:lang w:val="es-CR"/>
        </w:rPr>
        <w:footnoteReference w:id="59"/>
      </w:r>
      <w:r w:rsidRPr="00590CB5">
        <w:rPr>
          <w:rFonts w:ascii="Verdana" w:hAnsi="Verdana" w:cs="Helvetica"/>
          <w:sz w:val="20"/>
          <w:szCs w:val="20"/>
          <w:lang w:val="es-CR"/>
        </w:rPr>
        <w:t xml:space="preserve">. </w:t>
      </w:r>
      <w:r w:rsidRPr="00590CB5">
        <w:rPr>
          <w:rFonts w:ascii="Verdana" w:hAnsi="Verdana"/>
          <w:sz w:val="20"/>
          <w:szCs w:val="20"/>
          <w:lang w:val="es-CR"/>
        </w:rPr>
        <w:t>Para que un Estado cumpla con lo dispuesto en el artículo 25 de la Convención Americana, no basta con que los recursos existan formalmente, sino que es preciso que tengan efectividad en los términos del mismo</w:t>
      </w:r>
      <w:r w:rsidRPr="00590CB5">
        <w:rPr>
          <w:rStyle w:val="FootnoteReference"/>
          <w:rFonts w:ascii="Verdana" w:hAnsi="Verdana"/>
          <w:sz w:val="20"/>
          <w:szCs w:val="20"/>
          <w:lang w:val="es-CR"/>
        </w:rPr>
        <w:footnoteReference w:id="60"/>
      </w:r>
      <w:r w:rsidRPr="00590CB5">
        <w:rPr>
          <w:rFonts w:ascii="Verdana" w:hAnsi="Verdana"/>
          <w:sz w:val="20"/>
          <w:szCs w:val="20"/>
          <w:lang w:val="es-CR"/>
        </w:rPr>
        <w:t>; es decir, que den resultados o respuestas a las violaciones de derechos reconocidos, ya sea en la Convención, en la Constitución o en la ley</w:t>
      </w:r>
      <w:r w:rsidRPr="00590CB5">
        <w:rPr>
          <w:rStyle w:val="FootnoteReference"/>
          <w:rFonts w:ascii="Verdana" w:hAnsi="Verdana"/>
          <w:sz w:val="20"/>
          <w:szCs w:val="20"/>
          <w:lang w:val="es-CR"/>
        </w:rPr>
        <w:footnoteReference w:id="61"/>
      </w:r>
      <w:r w:rsidRPr="00590CB5">
        <w:rPr>
          <w:rFonts w:ascii="Verdana" w:hAnsi="Verdana"/>
          <w:sz w:val="20"/>
          <w:szCs w:val="20"/>
          <w:lang w:val="es-CR"/>
        </w:rPr>
        <w:t xml:space="preserve"> y que el análisis por la autoridad competente no se reduzca a una mera formalidad, sino que examine las razones invocadas por el demandante y se manifieste expresamente sobre ellas</w:t>
      </w:r>
      <w:r w:rsidRPr="00590CB5">
        <w:rPr>
          <w:rStyle w:val="FootnoteReference"/>
          <w:rFonts w:ascii="Verdana" w:hAnsi="Verdana"/>
          <w:sz w:val="20"/>
          <w:szCs w:val="20"/>
          <w:lang w:val="es-CR"/>
        </w:rPr>
        <w:footnoteReference w:id="62"/>
      </w:r>
      <w:r w:rsidRPr="00590CB5">
        <w:rPr>
          <w:rFonts w:ascii="Verdana" w:hAnsi="Verdana"/>
          <w:sz w:val="20"/>
          <w:szCs w:val="20"/>
          <w:lang w:val="es-CR"/>
        </w:rPr>
        <w:t>.</w:t>
      </w:r>
    </w:p>
    <w:p w14:paraId="24E76247" w14:textId="77777777" w:rsidR="00B900D4" w:rsidRPr="00590CB5" w:rsidRDefault="00B900D4" w:rsidP="002A7F5B">
      <w:pPr>
        <w:pStyle w:val="ListParagraph"/>
        <w:pBdr>
          <w:top w:val="nil"/>
        </w:pBdr>
        <w:autoSpaceDE w:val="0"/>
        <w:autoSpaceDN w:val="0"/>
        <w:adjustRightInd w:val="0"/>
        <w:ind w:left="0"/>
        <w:jc w:val="both"/>
        <w:rPr>
          <w:rFonts w:ascii="Verdana" w:hAnsi="Verdana" w:cs="BookAntiqua"/>
          <w:sz w:val="20"/>
          <w:szCs w:val="20"/>
          <w:lang w:val="es-CR"/>
        </w:rPr>
      </w:pPr>
    </w:p>
    <w:p w14:paraId="5BB1FDEE" w14:textId="0F908AFB" w:rsidR="00B900D4" w:rsidRPr="00590CB5" w:rsidRDefault="00B900D4" w:rsidP="002A7F5B">
      <w:pPr>
        <w:pStyle w:val="ListParagraph"/>
        <w:widowControl w:val="0"/>
        <w:numPr>
          <w:ilvl w:val="0"/>
          <w:numId w:val="1"/>
        </w:numPr>
        <w:autoSpaceDE w:val="0"/>
        <w:autoSpaceDN w:val="0"/>
        <w:adjustRightInd w:val="0"/>
        <w:ind w:left="0" w:firstLine="0"/>
        <w:jc w:val="both"/>
        <w:rPr>
          <w:rFonts w:ascii="Verdana" w:hAnsi="Verdana" w:cs="Times"/>
          <w:sz w:val="20"/>
          <w:szCs w:val="20"/>
          <w:lang w:val="es-CR"/>
        </w:rPr>
      </w:pPr>
      <w:r w:rsidRPr="00590CB5">
        <w:rPr>
          <w:rFonts w:ascii="Verdana" w:hAnsi="Verdana" w:cs="Times"/>
          <w:sz w:val="20"/>
          <w:szCs w:val="20"/>
          <w:lang w:val="es-CR"/>
        </w:rPr>
        <w:t>Por otro lado, la Corte IDH en reiteradas ocasiones, en lo relativo al artículo 8.1 de la Convención</w:t>
      </w:r>
      <w:r w:rsidR="000732D2">
        <w:rPr>
          <w:rFonts w:ascii="Verdana" w:hAnsi="Verdana" w:cs="Times"/>
          <w:sz w:val="20"/>
          <w:szCs w:val="20"/>
          <w:lang w:val="es-CR"/>
        </w:rPr>
        <w:t xml:space="preserve"> Americana</w:t>
      </w:r>
      <w:r w:rsidRPr="00590CB5">
        <w:rPr>
          <w:rFonts w:ascii="Verdana" w:hAnsi="Verdana" w:cs="Times"/>
          <w:sz w:val="20"/>
          <w:szCs w:val="20"/>
          <w:lang w:val="es-CR"/>
        </w:rPr>
        <w:t>, se ha pronunciado sobre el derecho a ser juzgado por un juez o tribunal independiente e imparcial, considerando que son garantías fundamentales del debido proceso; debiéndose garantizar que el juez o tribunal, en el ejercicio de su función como juzgado</w:t>
      </w:r>
      <w:r w:rsidR="00B205F9">
        <w:rPr>
          <w:rFonts w:ascii="Verdana" w:hAnsi="Verdana" w:cs="Times"/>
          <w:sz w:val="20"/>
          <w:szCs w:val="20"/>
          <w:lang w:val="es-CR"/>
        </w:rPr>
        <w:t>r</w:t>
      </w:r>
      <w:r w:rsidRPr="00590CB5">
        <w:rPr>
          <w:rFonts w:ascii="Verdana" w:hAnsi="Verdana" w:cs="Times"/>
          <w:sz w:val="20"/>
          <w:szCs w:val="20"/>
          <w:lang w:val="es-CR"/>
        </w:rPr>
        <w:t>, cuente con la mayor objetividad para enfrentar el juicio</w:t>
      </w:r>
      <w:r w:rsidRPr="00590CB5">
        <w:rPr>
          <w:rStyle w:val="FootnoteReference"/>
          <w:rFonts w:ascii="Verdana" w:hAnsi="Verdana" w:cs="Times"/>
          <w:sz w:val="20"/>
          <w:szCs w:val="20"/>
          <w:lang w:val="es-CR"/>
        </w:rPr>
        <w:footnoteReference w:id="63"/>
      </w:r>
      <w:r w:rsidRPr="00590CB5">
        <w:rPr>
          <w:rFonts w:ascii="Verdana" w:hAnsi="Verdana" w:cs="Times"/>
          <w:sz w:val="20"/>
          <w:szCs w:val="20"/>
          <w:lang w:val="es-CR"/>
        </w:rPr>
        <w:t>. El Tribunal Interamericano ha establecido que la imparcialidad exige que el juez que interviene en una contienda particular se aproxime a los hechos de la causa careciendo, de manera subjetiva, de todo prejuicio y, asimismo, ofreciendo garantías suficientes de índole objetiva que inspiren confianza necesaria a las partes en el caso, así como a los ciudadanos en una sociedad democrática</w:t>
      </w:r>
      <w:r w:rsidRPr="00590CB5">
        <w:rPr>
          <w:rStyle w:val="FootnoteReference"/>
          <w:rFonts w:ascii="Verdana" w:hAnsi="Verdana" w:cs="Times"/>
          <w:sz w:val="20"/>
          <w:szCs w:val="20"/>
          <w:lang w:val="es-CR"/>
        </w:rPr>
        <w:footnoteReference w:id="64"/>
      </w:r>
      <w:r w:rsidRPr="00590CB5">
        <w:rPr>
          <w:rFonts w:ascii="Verdana" w:hAnsi="Verdana" w:cs="Times"/>
          <w:sz w:val="20"/>
          <w:szCs w:val="20"/>
          <w:lang w:val="es-CR"/>
        </w:rPr>
        <w:t>. La imparcialidad del tribunal implica que sus integrantes no tengan un interés directo, una posición tomada, una preferencia por alguna de las partes y que no se encuentren involucrados en la controversia</w:t>
      </w:r>
      <w:r w:rsidRPr="00590CB5">
        <w:rPr>
          <w:rStyle w:val="FootnoteReference"/>
          <w:rFonts w:ascii="Verdana" w:hAnsi="Verdana" w:cs="Times"/>
          <w:sz w:val="20"/>
          <w:szCs w:val="20"/>
          <w:lang w:val="es-CR"/>
        </w:rPr>
        <w:footnoteReference w:id="65"/>
      </w:r>
      <w:r w:rsidRPr="00590CB5">
        <w:rPr>
          <w:rFonts w:ascii="Verdana" w:hAnsi="Verdana" w:cs="Times"/>
          <w:sz w:val="20"/>
          <w:szCs w:val="20"/>
          <w:lang w:val="es-CR"/>
        </w:rPr>
        <w:t>.</w:t>
      </w:r>
    </w:p>
    <w:p w14:paraId="56677FE2" w14:textId="77777777" w:rsidR="00B900D4" w:rsidRPr="00590CB5" w:rsidRDefault="00B900D4" w:rsidP="002A7F5B">
      <w:pPr>
        <w:pStyle w:val="ListParagraph"/>
        <w:rPr>
          <w:rFonts w:ascii="Verdana" w:hAnsi="Verdana" w:cs="Times"/>
          <w:sz w:val="20"/>
          <w:szCs w:val="20"/>
          <w:lang w:val="es-CR"/>
        </w:rPr>
      </w:pPr>
    </w:p>
    <w:p w14:paraId="5BA1D492" w14:textId="1320148D" w:rsidR="00B900D4" w:rsidRPr="00590CB5" w:rsidRDefault="00B900D4" w:rsidP="002A7F5B">
      <w:pPr>
        <w:pStyle w:val="ListParagraph"/>
        <w:widowControl w:val="0"/>
        <w:numPr>
          <w:ilvl w:val="0"/>
          <w:numId w:val="1"/>
        </w:numPr>
        <w:autoSpaceDE w:val="0"/>
        <w:autoSpaceDN w:val="0"/>
        <w:adjustRightInd w:val="0"/>
        <w:ind w:left="0" w:firstLine="0"/>
        <w:jc w:val="both"/>
        <w:rPr>
          <w:rFonts w:ascii="Verdana" w:hAnsi="Verdana" w:cs="Times"/>
          <w:sz w:val="20"/>
          <w:szCs w:val="20"/>
          <w:lang w:val="es-CR"/>
        </w:rPr>
      </w:pPr>
      <w:r w:rsidRPr="00590CB5">
        <w:rPr>
          <w:rFonts w:ascii="Verdana" w:eastAsia="Times" w:hAnsi="Verdana"/>
          <w:sz w:val="20"/>
          <w:szCs w:val="20"/>
          <w:lang w:val="es-CR"/>
        </w:rPr>
        <w:t xml:space="preserve">Asimismo, la Corte IDH ha considerado reiteradamente que el objetivo de </w:t>
      </w:r>
      <w:r w:rsidRPr="00590CB5">
        <w:rPr>
          <w:rFonts w:ascii="Verdana" w:hAnsi="Verdana"/>
          <w:sz w:val="20"/>
          <w:szCs w:val="20"/>
          <w:lang w:val="es-CR"/>
        </w:rPr>
        <w:t>la garantía de independencia de los jueces</w:t>
      </w:r>
      <w:r w:rsidRPr="00590CB5">
        <w:rPr>
          <w:rFonts w:ascii="Verdana" w:eastAsia="Times" w:hAnsi="Verdana"/>
          <w:sz w:val="20"/>
          <w:szCs w:val="20"/>
          <w:lang w:val="es-CR"/>
        </w:rPr>
        <w:t xml:space="preserve"> radica en evitar que el sistema judicial y sus integrantes se vean sometidos a restricciones indebidas en el ejercicio de su función por parte de órganos ajenos al Poder Judicial o incluso por parte de aquellos magistrados que ejercen funciones de revisión o apelación</w:t>
      </w:r>
      <w:r w:rsidRPr="00590CB5">
        <w:rPr>
          <w:rFonts w:ascii="Verdana" w:hAnsi="Verdana"/>
          <w:sz w:val="20"/>
          <w:szCs w:val="20"/>
          <w:vertAlign w:val="superscript"/>
          <w:lang w:val="es-CR"/>
        </w:rPr>
        <w:footnoteReference w:id="66"/>
      </w:r>
      <w:r w:rsidRPr="00590CB5">
        <w:rPr>
          <w:rFonts w:ascii="Verdana" w:eastAsia="Times" w:hAnsi="Verdana"/>
          <w:sz w:val="20"/>
          <w:szCs w:val="20"/>
          <w:lang w:val="es-CR"/>
        </w:rPr>
        <w:t>.</w:t>
      </w:r>
      <w:r w:rsidRPr="00590CB5">
        <w:rPr>
          <w:rFonts w:ascii="Verdana" w:hAnsi="Verdana"/>
          <w:sz w:val="20"/>
          <w:szCs w:val="20"/>
          <w:lang w:val="es-CR"/>
        </w:rPr>
        <w:t xml:space="preserve"> </w:t>
      </w:r>
      <w:r w:rsidRPr="00590CB5">
        <w:rPr>
          <w:rFonts w:ascii="Verdana" w:eastAsia="Times" w:hAnsi="Verdana"/>
          <w:sz w:val="20"/>
          <w:szCs w:val="20"/>
          <w:lang w:val="es-CR"/>
        </w:rPr>
        <w:t xml:space="preserve">Además, </w:t>
      </w:r>
      <w:r w:rsidRPr="00590CB5">
        <w:rPr>
          <w:rFonts w:ascii="Verdana" w:hAnsi="Verdana"/>
          <w:sz w:val="20"/>
          <w:szCs w:val="20"/>
          <w:lang w:val="es-CR"/>
        </w:rPr>
        <w:t>la garantía de la independencia judicial abarca la garantía contra presiones externas</w:t>
      </w:r>
      <w:r w:rsidRPr="00590CB5">
        <w:rPr>
          <w:rStyle w:val="FootnoteReference"/>
          <w:lang w:val="es-CR"/>
        </w:rPr>
        <w:footnoteReference w:id="67"/>
      </w:r>
      <w:r w:rsidRPr="00590CB5">
        <w:rPr>
          <w:rFonts w:ascii="Verdana" w:hAnsi="Verdana"/>
          <w:sz w:val="20"/>
          <w:szCs w:val="20"/>
          <w:lang w:val="es-CR"/>
        </w:rPr>
        <w:t xml:space="preserve">, de tal forma que el Estado debe abstenerse de </w:t>
      </w:r>
      <w:r w:rsidRPr="00590CB5">
        <w:rPr>
          <w:rFonts w:ascii="Verdana" w:hAnsi="Verdana" w:cs="Arial"/>
          <w:sz w:val="20"/>
          <w:szCs w:val="20"/>
          <w:lang w:val="es-CR"/>
        </w:rPr>
        <w:t>realizar</w:t>
      </w:r>
      <w:r w:rsidRPr="00590CB5">
        <w:rPr>
          <w:rFonts w:ascii="Verdana" w:hAnsi="Verdana"/>
          <w:sz w:val="20"/>
          <w:szCs w:val="20"/>
          <w:lang w:val="es-CR"/>
        </w:rPr>
        <w:t xml:space="preserve"> injerencias indebidas en el Poder Judicial o e</w:t>
      </w:r>
      <w:r w:rsidR="00B66279">
        <w:rPr>
          <w:rFonts w:ascii="Verdana" w:hAnsi="Verdana"/>
          <w:sz w:val="20"/>
          <w:szCs w:val="20"/>
          <w:lang w:val="es-CR"/>
        </w:rPr>
        <w:t>n sus integrantes, es decir, en relación con</w:t>
      </w:r>
      <w:r w:rsidRPr="00590CB5">
        <w:rPr>
          <w:rFonts w:ascii="Verdana" w:hAnsi="Verdana"/>
          <w:sz w:val="20"/>
          <w:szCs w:val="20"/>
          <w:lang w:val="es-CR"/>
        </w:rPr>
        <w:t xml:space="preserve"> la persona del juez específico, debe prevenir dichas injerencias y debe investigar y sancionar a quienes las cometan</w:t>
      </w:r>
      <w:r w:rsidRPr="00590CB5">
        <w:rPr>
          <w:rStyle w:val="FootnoteReference"/>
          <w:lang w:val="es-CR"/>
        </w:rPr>
        <w:footnoteReference w:id="68"/>
      </w:r>
      <w:r w:rsidRPr="00590CB5">
        <w:rPr>
          <w:rFonts w:ascii="Verdana" w:hAnsi="Verdana"/>
          <w:sz w:val="20"/>
          <w:szCs w:val="20"/>
          <w:lang w:val="es-CR"/>
        </w:rPr>
        <w:t>.</w:t>
      </w:r>
    </w:p>
    <w:p w14:paraId="6A64CC37" w14:textId="77777777" w:rsidR="00B900D4" w:rsidRPr="00590CB5" w:rsidRDefault="00B900D4" w:rsidP="002A7F5B">
      <w:pPr>
        <w:widowControl w:val="0"/>
        <w:autoSpaceDE w:val="0"/>
        <w:autoSpaceDN w:val="0"/>
        <w:adjustRightInd w:val="0"/>
        <w:jc w:val="both"/>
        <w:rPr>
          <w:rFonts w:ascii="Verdana" w:eastAsia="Calibri" w:hAnsi="Verdana" w:cs="BookAntiqua,Italic"/>
          <w:iCs/>
          <w:sz w:val="20"/>
          <w:szCs w:val="20"/>
          <w:lang w:val="es-CR" w:eastAsia="es-CR"/>
        </w:rPr>
      </w:pPr>
    </w:p>
    <w:p w14:paraId="37FB3864" w14:textId="77777777" w:rsidR="00B900D4" w:rsidRPr="00590CB5" w:rsidRDefault="00B900D4" w:rsidP="002A7F5B">
      <w:pPr>
        <w:pStyle w:val="ListParagraph"/>
        <w:widowControl w:val="0"/>
        <w:numPr>
          <w:ilvl w:val="0"/>
          <w:numId w:val="1"/>
        </w:numPr>
        <w:autoSpaceDE w:val="0"/>
        <w:autoSpaceDN w:val="0"/>
        <w:adjustRightInd w:val="0"/>
        <w:ind w:left="0" w:firstLine="0"/>
        <w:jc w:val="both"/>
        <w:rPr>
          <w:rFonts w:ascii="Verdana" w:hAnsi="Verdana" w:cs="Times"/>
          <w:sz w:val="20"/>
          <w:szCs w:val="20"/>
          <w:lang w:val="es-CR"/>
        </w:rPr>
      </w:pPr>
      <w:r w:rsidRPr="00590CB5">
        <w:rPr>
          <w:rFonts w:ascii="Verdana" w:eastAsia="Calibri" w:hAnsi="Verdana" w:cs="BookAntiqua,Italic"/>
          <w:iCs/>
          <w:sz w:val="20"/>
          <w:szCs w:val="20"/>
          <w:lang w:val="es-CR" w:eastAsia="es-CR"/>
        </w:rPr>
        <w:t xml:space="preserve">Adicionalmente, también ha señalado que no pueden considerarse efectivos aquellos recursos que, por las condiciones generales del país o incluso por las circunstancias particulares de un caso dado, resulten ilusorios. Ello puede ocurrir, por ejemplo, cuando su </w:t>
      </w:r>
      <w:r w:rsidRPr="00590CB5">
        <w:rPr>
          <w:rFonts w:ascii="Verdana" w:eastAsia="Calibri" w:hAnsi="Verdana" w:cs="BookAntiqua,Italic"/>
          <w:iCs/>
          <w:sz w:val="20"/>
          <w:szCs w:val="20"/>
          <w:lang w:val="es-CR" w:eastAsia="es-CR"/>
        </w:rPr>
        <w:lastRenderedPageBreak/>
        <w:t xml:space="preserve">inutilidad haya quedado demostrada por la práctica, porque el Poder Judicial carezca </w:t>
      </w:r>
      <w:r w:rsidRPr="00590CB5">
        <w:rPr>
          <w:rFonts w:ascii="Verdana" w:hAnsi="Verdana" w:cs="BookAntiqua"/>
          <w:sz w:val="20"/>
          <w:szCs w:val="20"/>
          <w:lang w:val="es-CR"/>
        </w:rPr>
        <w:t>de</w:t>
      </w:r>
      <w:r w:rsidRPr="00590CB5">
        <w:rPr>
          <w:rFonts w:ascii="Verdana" w:eastAsia="Calibri" w:hAnsi="Verdana" w:cs="BookAntiqua,Italic"/>
          <w:iCs/>
          <w:sz w:val="20"/>
          <w:szCs w:val="20"/>
          <w:lang w:val="es-CR" w:eastAsia="es-CR"/>
        </w:rPr>
        <w:t xml:space="preserve"> la independencia necesaria para decidir con imparcialidad o por cualquier otra situación que configure un cuadro de denegación de justicia</w:t>
      </w:r>
      <w:r w:rsidRPr="00590CB5">
        <w:rPr>
          <w:rStyle w:val="FootnoteReference"/>
          <w:rFonts w:ascii="Verdana" w:eastAsia="Calibri" w:hAnsi="Verdana" w:cs="BookAntiqua,Italic"/>
          <w:iCs/>
          <w:sz w:val="20"/>
          <w:szCs w:val="20"/>
          <w:lang w:val="es-CR" w:eastAsia="es-CR"/>
        </w:rPr>
        <w:footnoteReference w:id="69"/>
      </w:r>
      <w:r w:rsidRPr="00590CB5">
        <w:rPr>
          <w:rFonts w:ascii="Verdana" w:eastAsia="Calibri" w:hAnsi="Verdana" w:cs="BookAntiqua,Italic"/>
          <w:iCs/>
          <w:sz w:val="20"/>
          <w:szCs w:val="20"/>
          <w:lang w:val="es-CR" w:eastAsia="es-CR"/>
        </w:rPr>
        <w:t xml:space="preserve">. </w:t>
      </w:r>
    </w:p>
    <w:p w14:paraId="3BAF2913" w14:textId="77777777" w:rsidR="00B900D4" w:rsidRPr="00590CB5" w:rsidRDefault="00B900D4" w:rsidP="002A7F5B">
      <w:pPr>
        <w:pStyle w:val="ListParagraph"/>
        <w:ind w:left="0"/>
        <w:jc w:val="both"/>
        <w:rPr>
          <w:rFonts w:ascii="Verdana" w:hAnsi="Verdana"/>
          <w:sz w:val="20"/>
          <w:szCs w:val="20"/>
          <w:lang w:val="es-CR"/>
        </w:rPr>
      </w:pPr>
    </w:p>
    <w:p w14:paraId="49C78216" w14:textId="77777777" w:rsidR="00B900D4" w:rsidRPr="00590CB5" w:rsidRDefault="00B900D4" w:rsidP="002A7F5B">
      <w:pPr>
        <w:pStyle w:val="ListParagraph"/>
        <w:numPr>
          <w:ilvl w:val="0"/>
          <w:numId w:val="1"/>
        </w:numPr>
        <w:ind w:left="0" w:firstLine="0"/>
        <w:jc w:val="both"/>
        <w:rPr>
          <w:rFonts w:ascii="Verdana" w:hAnsi="Verdana"/>
          <w:sz w:val="20"/>
          <w:szCs w:val="20"/>
          <w:lang w:val="es-CR"/>
        </w:rPr>
      </w:pPr>
      <w:r w:rsidRPr="00590CB5">
        <w:rPr>
          <w:rFonts w:ascii="Verdana" w:hAnsi="Verdana" w:cs="Verdana"/>
          <w:sz w:val="20"/>
          <w:szCs w:val="20"/>
          <w:lang w:val="es-CR"/>
        </w:rPr>
        <w:t xml:space="preserve">En el presente caso se alegó expresamente la violación a las garantías de independencia del Poder Judicial, previstas en el artículo 8.1 de la Convención Americana. Sin embargo, el criterio mayoritario consideró que no existían elementos para declarar la violación a dicha disposición convencional en los siguientes términos: </w:t>
      </w:r>
    </w:p>
    <w:p w14:paraId="05D66B13" w14:textId="77777777" w:rsidR="00B900D4" w:rsidRPr="00590CB5" w:rsidRDefault="00B900D4" w:rsidP="002A7F5B">
      <w:pPr>
        <w:pStyle w:val="ListParagraph"/>
        <w:ind w:left="0"/>
        <w:jc w:val="both"/>
        <w:rPr>
          <w:rFonts w:ascii="Verdana" w:hAnsi="Verdana"/>
          <w:sz w:val="20"/>
          <w:szCs w:val="20"/>
          <w:lang w:val="es-CR"/>
        </w:rPr>
      </w:pPr>
    </w:p>
    <w:p w14:paraId="0DD66CA8" w14:textId="77777777" w:rsidR="00B900D4" w:rsidRPr="00590CB5" w:rsidRDefault="00B900D4" w:rsidP="002A7F5B">
      <w:pPr>
        <w:pStyle w:val="ListParagraph"/>
        <w:numPr>
          <w:ilvl w:val="0"/>
          <w:numId w:val="5"/>
        </w:numPr>
        <w:pBdr>
          <w:top w:val="nil"/>
        </w:pBdr>
        <w:autoSpaceDE w:val="0"/>
        <w:autoSpaceDN w:val="0"/>
        <w:adjustRightInd w:val="0"/>
        <w:ind w:right="991" w:firstLine="31"/>
        <w:jc w:val="both"/>
        <w:rPr>
          <w:rFonts w:ascii="Verdana" w:hAnsi="Verdana"/>
          <w:sz w:val="18"/>
          <w:szCs w:val="18"/>
          <w:lang w:val="es-CR"/>
        </w:rPr>
      </w:pPr>
      <w:r w:rsidRPr="00590CB5">
        <w:rPr>
          <w:rFonts w:ascii="Verdana" w:hAnsi="Verdana"/>
          <w:sz w:val="18"/>
          <w:szCs w:val="18"/>
          <w:lang w:val="es-CR"/>
        </w:rPr>
        <w:t>Con todo, este Tribunal hace notar que no han sido aportados elementos específicos para el presente caso que permitan analizar si, en los hechos relacionados con la acción de amparo o la denuncia penal intentados por las presuntas víctimas, las autoridades judiciales faltaron a su obligación de actuar y decidir con independencia, en los términos del 8 de la Convención, por lo cual la alegada responsabilidad del Estado en este sentido no ha sido demostrada</w:t>
      </w:r>
      <w:r w:rsidRPr="00590CB5">
        <w:rPr>
          <w:rStyle w:val="FootnoteReference"/>
          <w:rFonts w:ascii="Verdana" w:hAnsi="Verdana"/>
          <w:sz w:val="18"/>
          <w:szCs w:val="18"/>
          <w:lang w:val="es-CR"/>
        </w:rPr>
        <w:footnoteReference w:id="70"/>
      </w:r>
      <w:r w:rsidRPr="00590CB5">
        <w:rPr>
          <w:rFonts w:ascii="Verdana" w:hAnsi="Verdana"/>
          <w:sz w:val="18"/>
          <w:szCs w:val="18"/>
          <w:lang w:val="es-CR"/>
        </w:rPr>
        <w:t>.</w:t>
      </w:r>
    </w:p>
    <w:p w14:paraId="761317B5" w14:textId="77777777" w:rsidR="00B900D4" w:rsidRPr="00590CB5" w:rsidRDefault="00B900D4" w:rsidP="002A7F5B">
      <w:pPr>
        <w:pStyle w:val="ListParagraph"/>
        <w:pBdr>
          <w:top w:val="nil"/>
        </w:pBdr>
        <w:autoSpaceDE w:val="0"/>
        <w:autoSpaceDN w:val="0"/>
        <w:adjustRightInd w:val="0"/>
        <w:ind w:left="820" w:firstLine="31"/>
        <w:jc w:val="both"/>
        <w:rPr>
          <w:rFonts w:ascii="Verdana" w:hAnsi="Verdana"/>
          <w:sz w:val="20"/>
          <w:szCs w:val="20"/>
          <w:lang w:val="es-CR"/>
        </w:rPr>
      </w:pPr>
    </w:p>
    <w:p w14:paraId="5581812D" w14:textId="14A251AD" w:rsidR="00B900D4" w:rsidRPr="00B94758" w:rsidRDefault="00B900D4" w:rsidP="002A7F5B">
      <w:pPr>
        <w:pStyle w:val="ListParagraph"/>
        <w:numPr>
          <w:ilvl w:val="0"/>
          <w:numId w:val="1"/>
        </w:numPr>
        <w:ind w:left="0" w:firstLine="0"/>
        <w:jc w:val="both"/>
        <w:rPr>
          <w:rFonts w:ascii="Verdana" w:hAnsi="Verdana"/>
          <w:sz w:val="20"/>
          <w:szCs w:val="20"/>
          <w:lang w:val="es-CR"/>
        </w:rPr>
      </w:pPr>
      <w:r w:rsidRPr="00590CB5">
        <w:rPr>
          <w:rFonts w:ascii="Verdana" w:hAnsi="Verdana"/>
          <w:sz w:val="20"/>
          <w:szCs w:val="20"/>
          <w:lang w:val="es-CR"/>
        </w:rPr>
        <w:t xml:space="preserve">Contrariamente a lo decidido por la mayoría en la Sentencia, considero que al haber quedado demostrado plenamente que, en el caso, se configuró una desviación de poder </w:t>
      </w:r>
      <w:r w:rsidR="00724730">
        <w:rPr>
          <w:rFonts w:ascii="Verdana" w:hAnsi="Verdana"/>
          <w:sz w:val="20"/>
          <w:szCs w:val="20"/>
          <w:lang w:val="es-CR"/>
        </w:rPr>
        <w:t>(</w:t>
      </w:r>
      <w:r w:rsidRPr="00B94758">
        <w:rPr>
          <w:rFonts w:ascii="Verdana" w:hAnsi="Verdana"/>
          <w:sz w:val="20"/>
          <w:szCs w:val="20"/>
          <w:lang w:val="es-CR"/>
        </w:rPr>
        <w:t xml:space="preserve">decidido por unanimidad </w:t>
      </w:r>
      <w:r w:rsidR="00724730">
        <w:rPr>
          <w:rFonts w:ascii="Verdana" w:hAnsi="Verdana"/>
          <w:sz w:val="20"/>
          <w:szCs w:val="20"/>
          <w:lang w:val="es-CR"/>
        </w:rPr>
        <w:t xml:space="preserve">de votos </w:t>
      </w:r>
      <w:r w:rsidRPr="00B94758">
        <w:rPr>
          <w:rFonts w:ascii="Verdana" w:hAnsi="Verdana"/>
          <w:sz w:val="20"/>
          <w:szCs w:val="20"/>
          <w:lang w:val="es-CR"/>
        </w:rPr>
        <w:t>en la Sentencia</w:t>
      </w:r>
      <w:r w:rsidR="00724730">
        <w:rPr>
          <w:rFonts w:ascii="Verdana" w:hAnsi="Verdana"/>
          <w:sz w:val="20"/>
          <w:szCs w:val="20"/>
          <w:lang w:val="es-CR"/>
        </w:rPr>
        <w:t>)</w:t>
      </w:r>
      <w:r w:rsidRPr="00590CB5">
        <w:rPr>
          <w:rStyle w:val="FootnoteReference"/>
          <w:rFonts w:ascii="Verdana" w:hAnsi="Verdana"/>
          <w:sz w:val="20"/>
          <w:szCs w:val="20"/>
          <w:lang w:val="es-CR"/>
        </w:rPr>
        <w:footnoteReference w:id="71"/>
      </w:r>
      <w:r w:rsidRPr="00B94758">
        <w:rPr>
          <w:rFonts w:ascii="Verdana" w:hAnsi="Verdana"/>
          <w:sz w:val="20"/>
          <w:szCs w:val="20"/>
          <w:lang w:val="es-CR"/>
        </w:rPr>
        <w:t>, debido a que se hizo uso de una facultad discrecional en una cláusula contractual para dar por terminada una relación laboral como medida ejemplarizante y amedrentadora para otras personas que hubieran manifestado su disidencia política mediante la firma de la solicitud de revocatoria del mandato presidencial</w:t>
      </w:r>
      <w:r w:rsidRPr="00590CB5">
        <w:rPr>
          <w:rStyle w:val="FootnoteReference"/>
          <w:rFonts w:ascii="Verdana" w:hAnsi="Verdana"/>
          <w:sz w:val="20"/>
          <w:szCs w:val="20"/>
          <w:lang w:val="es-CR"/>
        </w:rPr>
        <w:footnoteReference w:id="72"/>
      </w:r>
      <w:r w:rsidR="009B4069">
        <w:rPr>
          <w:rFonts w:ascii="Verdana" w:hAnsi="Verdana"/>
          <w:sz w:val="20"/>
          <w:szCs w:val="20"/>
          <w:lang w:val="es-CR"/>
        </w:rPr>
        <w:t>; l</w:t>
      </w:r>
      <w:r w:rsidRPr="00B94758">
        <w:rPr>
          <w:rFonts w:ascii="Verdana" w:hAnsi="Verdana"/>
          <w:sz w:val="20"/>
          <w:szCs w:val="20"/>
          <w:lang w:val="es-CR"/>
        </w:rPr>
        <w:t>a co</w:t>
      </w:r>
      <w:r w:rsidR="00724730">
        <w:rPr>
          <w:rFonts w:ascii="Verdana" w:hAnsi="Verdana"/>
          <w:sz w:val="20"/>
          <w:szCs w:val="20"/>
          <w:lang w:val="es-CR"/>
        </w:rPr>
        <w:t>nsecuencia lógica, atendiendo al</w:t>
      </w:r>
      <w:r w:rsidRPr="00B94758">
        <w:rPr>
          <w:rFonts w:ascii="Verdana" w:hAnsi="Verdana"/>
          <w:sz w:val="20"/>
          <w:szCs w:val="20"/>
          <w:lang w:val="es-CR"/>
        </w:rPr>
        <w:t xml:space="preserve"> contexto del caso, debió haber sido declarar también la violación del artículo 8.1 del Pacto de San José</w:t>
      </w:r>
      <w:r w:rsidR="00724730">
        <w:rPr>
          <w:rFonts w:ascii="Verdana" w:hAnsi="Verdana"/>
          <w:sz w:val="20"/>
          <w:szCs w:val="20"/>
          <w:lang w:val="es-CR"/>
        </w:rPr>
        <w:t>,</w:t>
      </w:r>
      <w:r w:rsidRPr="00B94758">
        <w:rPr>
          <w:rFonts w:ascii="Verdana" w:hAnsi="Verdana"/>
          <w:sz w:val="20"/>
          <w:szCs w:val="20"/>
          <w:lang w:val="es-CR"/>
        </w:rPr>
        <w:t xml:space="preserve"> específicamente en lo que corresponde al derecho de las víctimas a ser oídas</w:t>
      </w:r>
      <w:r w:rsidR="00724730">
        <w:rPr>
          <w:rFonts w:ascii="Verdana" w:hAnsi="Verdana"/>
          <w:sz w:val="20"/>
          <w:szCs w:val="20"/>
          <w:lang w:val="es-CR"/>
        </w:rPr>
        <w:t xml:space="preserve"> p</w:t>
      </w:r>
      <w:r w:rsidR="00A503F9">
        <w:rPr>
          <w:rFonts w:ascii="Verdana" w:hAnsi="Verdana"/>
          <w:sz w:val="20"/>
          <w:szCs w:val="20"/>
          <w:lang w:val="es-CR"/>
        </w:rPr>
        <w:t xml:space="preserve">or jueces independientes. Lo anterior debido a las injerencias indebidas ejercidas a los jueces por altos servidores públicos y por </w:t>
      </w:r>
      <w:r w:rsidR="00724730">
        <w:rPr>
          <w:rFonts w:ascii="Verdana" w:hAnsi="Verdana"/>
          <w:sz w:val="20"/>
          <w:szCs w:val="20"/>
          <w:lang w:val="es-CR"/>
        </w:rPr>
        <w:t>la</w:t>
      </w:r>
      <w:r w:rsidRPr="00B94758">
        <w:rPr>
          <w:rFonts w:ascii="Verdana" w:hAnsi="Verdana"/>
          <w:sz w:val="20"/>
          <w:szCs w:val="20"/>
          <w:lang w:val="es-CR"/>
        </w:rPr>
        <w:t xml:space="preserve"> falta de independencia del Poder Judicial venezolano</w:t>
      </w:r>
      <w:r w:rsidR="00B66279">
        <w:rPr>
          <w:rFonts w:ascii="Verdana" w:hAnsi="Verdana"/>
          <w:sz w:val="20"/>
          <w:szCs w:val="20"/>
          <w:lang w:val="es-CR"/>
        </w:rPr>
        <w:t xml:space="preserve"> </w:t>
      </w:r>
      <w:r w:rsidR="008055CE">
        <w:rPr>
          <w:rFonts w:ascii="Verdana" w:hAnsi="Verdana"/>
          <w:sz w:val="20"/>
          <w:szCs w:val="20"/>
          <w:lang w:val="es-CR"/>
        </w:rPr>
        <w:t xml:space="preserve">existente en la época, </w:t>
      </w:r>
      <w:r w:rsidR="00B66279">
        <w:rPr>
          <w:rFonts w:ascii="Verdana" w:hAnsi="Verdana"/>
          <w:sz w:val="20"/>
          <w:szCs w:val="20"/>
          <w:lang w:val="es-CR"/>
        </w:rPr>
        <w:t>que explícitamente se expresó en la Sentencia</w:t>
      </w:r>
      <w:r w:rsidRPr="00B94758">
        <w:rPr>
          <w:rFonts w:ascii="Verdana" w:hAnsi="Verdana"/>
          <w:sz w:val="20"/>
          <w:szCs w:val="20"/>
          <w:lang w:val="es-CR"/>
        </w:rPr>
        <w:t xml:space="preserve">. </w:t>
      </w:r>
    </w:p>
    <w:p w14:paraId="64457017" w14:textId="77777777" w:rsidR="00B900D4" w:rsidRPr="00590CB5" w:rsidRDefault="00B900D4" w:rsidP="002A7F5B">
      <w:pPr>
        <w:pStyle w:val="ListParagraph"/>
        <w:ind w:left="0"/>
        <w:jc w:val="both"/>
        <w:rPr>
          <w:rFonts w:ascii="Verdana" w:hAnsi="Verdana"/>
          <w:sz w:val="20"/>
          <w:szCs w:val="20"/>
          <w:lang w:val="es-CR"/>
        </w:rPr>
      </w:pPr>
    </w:p>
    <w:p w14:paraId="3C59F89A" w14:textId="33A83575" w:rsidR="00B66279" w:rsidRPr="00590CB5" w:rsidRDefault="00B900D4" w:rsidP="002A7F5B">
      <w:pPr>
        <w:pStyle w:val="ListParagraph"/>
        <w:numPr>
          <w:ilvl w:val="0"/>
          <w:numId w:val="1"/>
        </w:numPr>
        <w:ind w:left="0" w:firstLine="0"/>
        <w:jc w:val="both"/>
        <w:rPr>
          <w:rFonts w:ascii="Verdana" w:hAnsi="Verdana"/>
          <w:sz w:val="20"/>
          <w:szCs w:val="20"/>
          <w:lang w:val="es-CR"/>
        </w:rPr>
      </w:pPr>
      <w:r w:rsidRPr="00590CB5">
        <w:rPr>
          <w:rFonts w:ascii="Verdana" w:hAnsi="Verdana"/>
          <w:sz w:val="20"/>
          <w:szCs w:val="20"/>
          <w:lang w:val="es-CR"/>
        </w:rPr>
        <w:t xml:space="preserve">En efecto, atendiendo a la existencia de la desviación de poder, la Corte IDH debió considerar que existían elementos suficientes para sostener que la actuación de los funcionarios de la administración de justicia que intervinieron </w:t>
      </w:r>
      <w:r w:rsidR="00A503F9">
        <w:rPr>
          <w:rFonts w:ascii="Verdana" w:hAnsi="Verdana"/>
          <w:sz w:val="20"/>
          <w:szCs w:val="20"/>
          <w:lang w:val="es-CR"/>
        </w:rPr>
        <w:t xml:space="preserve">en el caso </w:t>
      </w:r>
      <w:r w:rsidRPr="00590CB5">
        <w:rPr>
          <w:rFonts w:ascii="Verdana" w:hAnsi="Verdana"/>
          <w:sz w:val="20"/>
          <w:szCs w:val="20"/>
          <w:lang w:val="es-CR"/>
        </w:rPr>
        <w:t>se vieron sometidos a restricciones indebidas en el ejercicio de su función por parte de personas u órganos ajenos al Poder Judicial. Así lo esbozó el Tribunal</w:t>
      </w:r>
      <w:r w:rsidR="00B66279">
        <w:rPr>
          <w:rFonts w:ascii="Verdana" w:hAnsi="Verdana"/>
          <w:sz w:val="20"/>
          <w:szCs w:val="20"/>
          <w:lang w:val="es-CR"/>
        </w:rPr>
        <w:t xml:space="preserve"> Interamericano</w:t>
      </w:r>
      <w:r w:rsidRPr="00590CB5">
        <w:rPr>
          <w:rFonts w:ascii="Verdana" w:hAnsi="Verdana"/>
          <w:sz w:val="20"/>
          <w:szCs w:val="20"/>
          <w:lang w:val="es-CR"/>
        </w:rPr>
        <w:t xml:space="preserve"> en la Sentencia</w:t>
      </w:r>
      <w:r w:rsidR="00B66279">
        <w:rPr>
          <w:rFonts w:ascii="Verdana" w:hAnsi="Verdana"/>
          <w:sz w:val="20"/>
          <w:szCs w:val="20"/>
          <w:lang w:val="es-CR"/>
        </w:rPr>
        <w:t xml:space="preserve">, en el párrafo 209 de la misma, </w:t>
      </w:r>
      <w:r w:rsidR="00B66279" w:rsidRPr="00590CB5">
        <w:rPr>
          <w:rFonts w:ascii="Verdana" w:hAnsi="Verdana"/>
          <w:sz w:val="20"/>
          <w:szCs w:val="20"/>
          <w:lang w:val="es-CR"/>
        </w:rPr>
        <w:t xml:space="preserve">al señalar que ha sido acreditado un contexto en el cual: </w:t>
      </w:r>
    </w:p>
    <w:p w14:paraId="62A2FEF7" w14:textId="77777777" w:rsidR="00B66279" w:rsidRPr="00590CB5" w:rsidRDefault="00B66279" w:rsidP="002A7F5B">
      <w:pPr>
        <w:jc w:val="both"/>
        <w:rPr>
          <w:rFonts w:ascii="Verdana" w:hAnsi="Verdana"/>
          <w:sz w:val="20"/>
          <w:szCs w:val="20"/>
          <w:lang w:val="es-CR"/>
        </w:rPr>
      </w:pPr>
    </w:p>
    <w:p w14:paraId="221C2D76" w14:textId="77777777" w:rsidR="00B66279" w:rsidRPr="00590CB5" w:rsidRDefault="00B66279" w:rsidP="002A7F5B">
      <w:pPr>
        <w:pStyle w:val="ListParagraph"/>
        <w:ind w:left="708" w:right="708"/>
        <w:jc w:val="both"/>
        <w:rPr>
          <w:rFonts w:ascii="Verdana" w:hAnsi="Verdana" w:cs="BookAntiqua"/>
          <w:sz w:val="18"/>
          <w:szCs w:val="20"/>
          <w:lang w:val="es-CR"/>
        </w:rPr>
      </w:pPr>
      <w:r w:rsidRPr="00590CB5">
        <w:rPr>
          <w:rFonts w:ascii="Verdana" w:hAnsi="Verdana"/>
          <w:sz w:val="18"/>
          <w:szCs w:val="20"/>
          <w:lang w:val="es-CR"/>
        </w:rPr>
        <w:lastRenderedPageBreak/>
        <w:t>209. […]</w:t>
      </w:r>
      <w:r>
        <w:rPr>
          <w:rFonts w:ascii="Verdana" w:hAnsi="Verdana"/>
          <w:sz w:val="18"/>
          <w:szCs w:val="20"/>
          <w:lang w:val="es-CR"/>
        </w:rPr>
        <w:t xml:space="preserve"> </w:t>
      </w:r>
      <w:r w:rsidRPr="00590CB5">
        <w:rPr>
          <w:rFonts w:ascii="Verdana" w:hAnsi="Verdana" w:cs="BookAntiqua"/>
          <w:sz w:val="18"/>
          <w:szCs w:val="20"/>
          <w:u w:val="single"/>
          <w:lang w:val="es-CR"/>
        </w:rPr>
        <w:t>durante los períodos relevantes a los hechos de este caso, en Venezuela fueron detectadas diversas situaciones que obstaculizaban o afectaban la independencia judicial, relacionadas con normas y prácticas asociadas al proceso de reestructuración del Poder Judicial iniciado en 1999 (y que se extendió por más de 10 años)</w:t>
      </w:r>
      <w:r w:rsidRPr="00590CB5">
        <w:rPr>
          <w:rFonts w:ascii="Verdana" w:hAnsi="Verdana" w:cs="BookAntiqua"/>
          <w:sz w:val="18"/>
          <w:szCs w:val="20"/>
          <w:lang w:val="es-CR"/>
        </w:rPr>
        <w:t xml:space="preserve">; la provisionalidad de los jueces; la falta de garantías en procedimientos disciplinarios contra jueces; </w:t>
      </w:r>
      <w:r w:rsidRPr="008055CE">
        <w:rPr>
          <w:rFonts w:ascii="Verdana" w:hAnsi="Verdana" w:cs="BookAntiqua"/>
          <w:sz w:val="18"/>
          <w:szCs w:val="20"/>
          <w:u w:val="single"/>
          <w:lang w:val="es-CR"/>
        </w:rPr>
        <w:t>conductas amedrentadoras de altos funcionarios del Poder Ejecutivo hacia determinados jueces por adoptar decisiones en el ejercicio de sus funciones</w:t>
      </w:r>
      <w:r w:rsidRPr="00590CB5">
        <w:rPr>
          <w:rFonts w:ascii="Verdana" w:hAnsi="Verdana" w:cs="BookAntiqua"/>
          <w:sz w:val="18"/>
          <w:szCs w:val="20"/>
          <w:lang w:val="es-CR"/>
        </w:rPr>
        <w:t>; la falta de un código de ética judicial que garantizara la imparcialidad e independencia del órgano disciplinario</w:t>
      </w:r>
      <w:r w:rsidRPr="00590CB5">
        <w:rPr>
          <w:rStyle w:val="FootnoteReference"/>
          <w:rFonts w:ascii="Verdana" w:hAnsi="Verdana" w:cs="BookAntiqua"/>
          <w:sz w:val="18"/>
          <w:szCs w:val="20"/>
          <w:lang w:val="es-CR"/>
        </w:rPr>
        <w:footnoteReference w:id="73"/>
      </w:r>
      <w:r w:rsidRPr="00590CB5">
        <w:rPr>
          <w:rFonts w:ascii="Verdana" w:hAnsi="Verdana" w:cs="BookAntiqua"/>
          <w:sz w:val="18"/>
          <w:szCs w:val="20"/>
          <w:lang w:val="es-CR"/>
        </w:rPr>
        <w:t xml:space="preserve"> (énfasis añadido). </w:t>
      </w:r>
    </w:p>
    <w:p w14:paraId="338669FF" w14:textId="77777777" w:rsidR="00B66279" w:rsidRPr="00B66279" w:rsidRDefault="00B66279" w:rsidP="002A7F5B">
      <w:pPr>
        <w:pStyle w:val="ListParagraph"/>
        <w:rPr>
          <w:rFonts w:ascii="Verdana" w:hAnsi="Verdana"/>
          <w:sz w:val="20"/>
          <w:szCs w:val="20"/>
          <w:lang w:val="es-CR"/>
        </w:rPr>
      </w:pPr>
    </w:p>
    <w:p w14:paraId="56EA0CE7" w14:textId="17D073CD" w:rsidR="00B900D4" w:rsidRPr="00590CB5" w:rsidRDefault="00B900D4" w:rsidP="002A7F5B">
      <w:pPr>
        <w:pStyle w:val="ListParagraph"/>
        <w:numPr>
          <w:ilvl w:val="0"/>
          <w:numId w:val="1"/>
        </w:numPr>
        <w:ind w:left="0" w:firstLine="0"/>
        <w:jc w:val="both"/>
        <w:rPr>
          <w:rFonts w:ascii="Verdana" w:hAnsi="Verdana"/>
          <w:sz w:val="20"/>
          <w:szCs w:val="20"/>
          <w:lang w:val="es-CR"/>
        </w:rPr>
      </w:pPr>
      <w:r w:rsidRPr="00590CB5">
        <w:rPr>
          <w:rFonts w:ascii="Verdana" w:hAnsi="Verdana"/>
          <w:sz w:val="20"/>
          <w:szCs w:val="20"/>
          <w:lang w:val="es-CR"/>
        </w:rPr>
        <w:t>En este sentido, cabe destacar lo expresado durante la audiencia pública por los representantes de las víctimas</w:t>
      </w:r>
      <w:r w:rsidR="00B66279">
        <w:rPr>
          <w:rFonts w:ascii="Verdana" w:hAnsi="Verdana"/>
          <w:sz w:val="20"/>
          <w:szCs w:val="20"/>
          <w:lang w:val="es-CR"/>
        </w:rPr>
        <w:t>,</w:t>
      </w:r>
      <w:r w:rsidRPr="00590CB5">
        <w:rPr>
          <w:rFonts w:ascii="Verdana" w:hAnsi="Verdana"/>
          <w:sz w:val="20"/>
          <w:szCs w:val="20"/>
          <w:lang w:val="es-CR"/>
        </w:rPr>
        <w:t xml:space="preserve"> al señalar que: </w:t>
      </w:r>
    </w:p>
    <w:p w14:paraId="6BFDDEFE" w14:textId="77777777" w:rsidR="00B900D4" w:rsidRPr="00590CB5" w:rsidRDefault="00B900D4" w:rsidP="002A7F5B">
      <w:pPr>
        <w:jc w:val="both"/>
        <w:rPr>
          <w:rFonts w:ascii="Verdana" w:hAnsi="Verdana"/>
          <w:sz w:val="20"/>
          <w:szCs w:val="20"/>
          <w:lang w:val="es-CR"/>
        </w:rPr>
      </w:pPr>
    </w:p>
    <w:p w14:paraId="6A7615CB" w14:textId="373088FD" w:rsidR="00B900D4" w:rsidRPr="00590CB5" w:rsidRDefault="00B900D4" w:rsidP="002A7F5B">
      <w:pPr>
        <w:pStyle w:val="ListParagraph"/>
        <w:ind w:left="708" w:right="850"/>
        <w:jc w:val="both"/>
        <w:rPr>
          <w:rFonts w:ascii="Verdana" w:hAnsi="Verdana"/>
          <w:sz w:val="18"/>
          <w:szCs w:val="18"/>
          <w:lang w:val="es-CR"/>
        </w:rPr>
      </w:pPr>
      <w:r w:rsidRPr="00590CB5">
        <w:rPr>
          <w:rFonts w:ascii="Verdana" w:hAnsi="Verdana"/>
          <w:sz w:val="18"/>
          <w:szCs w:val="18"/>
          <w:lang w:val="es-CR"/>
        </w:rPr>
        <w:t>[…] ningún recurso judicial podía prosperar con jueces parcializados, con toda seguridad […]</w:t>
      </w:r>
    </w:p>
    <w:p w14:paraId="4F2EECCE" w14:textId="77777777" w:rsidR="00B900D4" w:rsidRPr="00590CB5" w:rsidRDefault="00B900D4" w:rsidP="002A7F5B">
      <w:pPr>
        <w:ind w:right="850"/>
        <w:jc w:val="both"/>
        <w:rPr>
          <w:rFonts w:ascii="Verdana" w:hAnsi="Verdana"/>
          <w:sz w:val="18"/>
          <w:szCs w:val="18"/>
          <w:lang w:val="es-CR"/>
        </w:rPr>
      </w:pPr>
    </w:p>
    <w:p w14:paraId="563F6F6E" w14:textId="26939BFC" w:rsidR="00B900D4" w:rsidRPr="00590CB5" w:rsidRDefault="00B900D4" w:rsidP="002A7F5B">
      <w:pPr>
        <w:ind w:left="708" w:right="850"/>
        <w:jc w:val="both"/>
        <w:rPr>
          <w:rFonts w:ascii="Verdana" w:hAnsi="Verdana"/>
          <w:sz w:val="18"/>
          <w:szCs w:val="18"/>
          <w:lang w:val="es-CR"/>
        </w:rPr>
      </w:pPr>
      <w:r w:rsidRPr="00590CB5">
        <w:rPr>
          <w:rFonts w:ascii="Verdana" w:hAnsi="Verdana"/>
          <w:sz w:val="18"/>
          <w:szCs w:val="18"/>
          <w:lang w:val="es-CR"/>
        </w:rPr>
        <w:t>[…] Lo que nosotros objetamos es que un juez comprometido con un proyecto político, no puede decidir imparcialmente una controversia en la que ya tiene una opinión f</w:t>
      </w:r>
      <w:r w:rsidR="00C133CF">
        <w:rPr>
          <w:rFonts w:ascii="Verdana" w:hAnsi="Verdana"/>
          <w:sz w:val="18"/>
          <w:szCs w:val="18"/>
          <w:lang w:val="es-CR"/>
        </w:rPr>
        <w:t>ormada y una decisión tomada, “</w:t>
      </w:r>
      <w:r w:rsidRPr="00590CB5">
        <w:rPr>
          <w:rFonts w:ascii="Verdana" w:hAnsi="Verdana"/>
          <w:sz w:val="18"/>
          <w:szCs w:val="18"/>
          <w:lang w:val="es-CR"/>
        </w:rPr>
        <w:t>Chávez no se va” […] objetamos que ese tipo de jueces sea el juez idóneo, sea el juez independiente</w:t>
      </w:r>
      <w:r w:rsidR="00DE68C2">
        <w:rPr>
          <w:rFonts w:ascii="Verdana" w:hAnsi="Verdana"/>
          <w:sz w:val="18"/>
          <w:szCs w:val="18"/>
          <w:lang w:val="es-CR"/>
        </w:rPr>
        <w:t xml:space="preserve"> e</w:t>
      </w:r>
      <w:r w:rsidRPr="00590CB5">
        <w:rPr>
          <w:rFonts w:ascii="Verdana" w:hAnsi="Verdana"/>
          <w:sz w:val="18"/>
          <w:szCs w:val="18"/>
          <w:lang w:val="es-CR"/>
        </w:rPr>
        <w:t xml:space="preserve"> imparcial, que está en capacidad de decidir la petición de unos ciudadanos que</w:t>
      </w:r>
      <w:r w:rsidR="00DE68C2">
        <w:rPr>
          <w:rFonts w:ascii="Verdana" w:hAnsi="Verdana"/>
          <w:sz w:val="18"/>
          <w:szCs w:val="18"/>
          <w:lang w:val="es-CR"/>
        </w:rPr>
        <w:t>,</w:t>
      </w:r>
      <w:r w:rsidRPr="00590CB5">
        <w:rPr>
          <w:rFonts w:ascii="Verdana" w:hAnsi="Verdana"/>
          <w:sz w:val="18"/>
          <w:szCs w:val="18"/>
          <w:lang w:val="es-CR"/>
        </w:rPr>
        <w:t xml:space="preserve"> en ejercicio de sus derechos constitucionales</w:t>
      </w:r>
      <w:r w:rsidR="00DE68C2">
        <w:rPr>
          <w:rFonts w:ascii="Verdana" w:hAnsi="Verdana"/>
          <w:sz w:val="18"/>
          <w:szCs w:val="18"/>
          <w:lang w:val="es-CR"/>
        </w:rPr>
        <w:t>,</w:t>
      </w:r>
      <w:r w:rsidRPr="00590CB5">
        <w:rPr>
          <w:rFonts w:ascii="Verdana" w:hAnsi="Verdana"/>
          <w:sz w:val="18"/>
          <w:szCs w:val="18"/>
          <w:lang w:val="es-CR"/>
        </w:rPr>
        <w:t xml:space="preserve"> han recurrido a las instancias del Estado para los efectos de solicitar precisamente la salida o la revocatoria de mandato presidencial de Hugo Chávez[…]</w:t>
      </w:r>
    </w:p>
    <w:p w14:paraId="5AA2AB92" w14:textId="77777777" w:rsidR="00B900D4" w:rsidRPr="00590CB5" w:rsidRDefault="00B900D4" w:rsidP="002A7F5B">
      <w:pPr>
        <w:ind w:left="708" w:right="850"/>
        <w:jc w:val="both"/>
        <w:rPr>
          <w:rFonts w:ascii="Verdana" w:hAnsi="Verdana"/>
          <w:sz w:val="18"/>
          <w:szCs w:val="18"/>
          <w:lang w:val="es-CR"/>
        </w:rPr>
      </w:pPr>
    </w:p>
    <w:p w14:paraId="2D9CED5C" w14:textId="0DC9D2E2" w:rsidR="00B900D4" w:rsidRPr="00590CB5" w:rsidRDefault="00B900D4" w:rsidP="002A7F5B">
      <w:pPr>
        <w:ind w:left="708" w:right="850"/>
        <w:jc w:val="both"/>
        <w:rPr>
          <w:rFonts w:ascii="Verdana" w:hAnsi="Verdana"/>
          <w:sz w:val="18"/>
          <w:szCs w:val="18"/>
          <w:lang w:val="es-CR"/>
        </w:rPr>
      </w:pPr>
      <w:r w:rsidRPr="00590CB5">
        <w:rPr>
          <w:rFonts w:ascii="Verdana" w:hAnsi="Verdana"/>
          <w:sz w:val="18"/>
          <w:szCs w:val="18"/>
          <w:lang w:val="es-CR"/>
        </w:rPr>
        <w:t>[…] la presidenta del entonces [T]</w:t>
      </w:r>
      <w:proofErr w:type="spellStart"/>
      <w:r w:rsidRPr="00590CB5">
        <w:rPr>
          <w:rFonts w:ascii="Verdana" w:hAnsi="Verdana"/>
          <w:sz w:val="18"/>
          <w:szCs w:val="18"/>
          <w:lang w:val="es-CR"/>
        </w:rPr>
        <w:t>ribunal</w:t>
      </w:r>
      <w:proofErr w:type="spellEnd"/>
      <w:r w:rsidRPr="00590CB5">
        <w:rPr>
          <w:rFonts w:ascii="Verdana" w:hAnsi="Verdana"/>
          <w:sz w:val="18"/>
          <w:szCs w:val="18"/>
          <w:lang w:val="es-CR"/>
        </w:rPr>
        <w:t xml:space="preserve"> Supremo de Justicia, sostenía que la independencia de los poderes públicos era un principio obsoleto </w:t>
      </w:r>
      <w:r w:rsidR="007451F5">
        <w:rPr>
          <w:rFonts w:ascii="Verdana" w:hAnsi="Verdana"/>
          <w:sz w:val="18"/>
          <w:szCs w:val="18"/>
          <w:lang w:val="es-CR"/>
        </w:rPr>
        <w:t xml:space="preserve">[…] </w:t>
      </w:r>
      <w:r w:rsidRPr="00590CB5">
        <w:rPr>
          <w:rFonts w:ascii="Verdana" w:hAnsi="Verdana"/>
          <w:sz w:val="18"/>
          <w:szCs w:val="18"/>
          <w:lang w:val="es-CR"/>
        </w:rPr>
        <w:t>que había que sustituir por la cooperación y la coordinación de los poderes públicos […]</w:t>
      </w:r>
      <w:r w:rsidRPr="00590CB5">
        <w:rPr>
          <w:rStyle w:val="FootnoteReference"/>
          <w:rFonts w:ascii="Verdana" w:hAnsi="Verdana"/>
          <w:sz w:val="18"/>
          <w:szCs w:val="18"/>
          <w:lang w:val="es-CR"/>
        </w:rPr>
        <w:footnoteReference w:id="74"/>
      </w:r>
      <w:r w:rsidRPr="00590CB5">
        <w:rPr>
          <w:rFonts w:ascii="Verdana" w:hAnsi="Verdana"/>
          <w:sz w:val="18"/>
          <w:szCs w:val="18"/>
          <w:lang w:val="es-CR"/>
        </w:rPr>
        <w:t>.</w:t>
      </w:r>
    </w:p>
    <w:p w14:paraId="75A343DE" w14:textId="77777777" w:rsidR="00B900D4" w:rsidRPr="00590CB5" w:rsidRDefault="00B900D4" w:rsidP="002A7F5B">
      <w:pPr>
        <w:jc w:val="both"/>
        <w:rPr>
          <w:rFonts w:ascii="Verdana" w:hAnsi="Verdana"/>
          <w:sz w:val="20"/>
          <w:szCs w:val="20"/>
          <w:lang w:val="es-CR"/>
        </w:rPr>
      </w:pPr>
    </w:p>
    <w:p w14:paraId="136F97A8" w14:textId="08C327D2" w:rsidR="00B900D4" w:rsidRPr="00590CB5" w:rsidRDefault="00B900D4" w:rsidP="002A7F5B">
      <w:pPr>
        <w:pStyle w:val="ListParagraph"/>
        <w:numPr>
          <w:ilvl w:val="0"/>
          <w:numId w:val="1"/>
        </w:numPr>
        <w:ind w:left="0" w:firstLine="0"/>
        <w:jc w:val="both"/>
        <w:rPr>
          <w:rFonts w:ascii="Verdana" w:hAnsi="Verdana"/>
          <w:sz w:val="20"/>
          <w:szCs w:val="20"/>
          <w:lang w:val="es-CR"/>
        </w:rPr>
      </w:pPr>
      <w:r w:rsidRPr="00590CB5">
        <w:rPr>
          <w:rFonts w:ascii="Verdana" w:hAnsi="Verdana"/>
          <w:sz w:val="20"/>
          <w:szCs w:val="20"/>
          <w:lang w:val="es-CR"/>
        </w:rPr>
        <w:t>Este contexto, al cual se refiere de manera explícita la Sentencia, debe ser leído con los diferentes hechos del presente caso que derivaron en la terminación de los contratos de forma arbitraria de las víctimas. Es decir, debió atenderse a</w:t>
      </w:r>
      <w:r w:rsidR="00C133CF">
        <w:rPr>
          <w:rFonts w:ascii="Verdana" w:hAnsi="Verdana"/>
          <w:sz w:val="20"/>
          <w:szCs w:val="20"/>
          <w:lang w:val="es-CR"/>
        </w:rPr>
        <w:t xml:space="preserve"> </w:t>
      </w:r>
      <w:r w:rsidRPr="00590CB5">
        <w:rPr>
          <w:rFonts w:ascii="Verdana" w:hAnsi="Verdana"/>
          <w:sz w:val="20"/>
          <w:szCs w:val="20"/>
          <w:lang w:val="es-CR"/>
        </w:rPr>
        <w:t>l</w:t>
      </w:r>
      <w:r w:rsidR="00C133CF">
        <w:rPr>
          <w:rFonts w:ascii="Verdana" w:hAnsi="Verdana"/>
          <w:sz w:val="20"/>
          <w:szCs w:val="20"/>
          <w:lang w:val="es-CR"/>
        </w:rPr>
        <w:t>os hechos probados y al</w:t>
      </w:r>
      <w:r w:rsidRPr="00590CB5">
        <w:rPr>
          <w:rFonts w:ascii="Verdana" w:hAnsi="Verdana"/>
          <w:sz w:val="20"/>
          <w:szCs w:val="20"/>
          <w:lang w:val="es-CR"/>
        </w:rPr>
        <w:t xml:space="preserve"> contexto particular del caso. En este sentido, la Corte IDH hizo alusión a que: </w:t>
      </w:r>
    </w:p>
    <w:p w14:paraId="3B19D32F" w14:textId="77777777" w:rsidR="00B900D4" w:rsidRPr="00590CB5" w:rsidRDefault="00B900D4" w:rsidP="002A7F5B">
      <w:pPr>
        <w:jc w:val="both"/>
        <w:rPr>
          <w:rFonts w:ascii="Verdana" w:hAnsi="Verdana"/>
          <w:sz w:val="20"/>
          <w:szCs w:val="20"/>
          <w:lang w:val="es-CR"/>
        </w:rPr>
      </w:pPr>
    </w:p>
    <w:p w14:paraId="68C79307" w14:textId="0BC29352" w:rsidR="00B900D4" w:rsidRPr="00590CB5" w:rsidRDefault="00B900D4" w:rsidP="002A7F5B">
      <w:pPr>
        <w:pBdr>
          <w:top w:val="nil"/>
        </w:pBdr>
        <w:ind w:left="708" w:right="708"/>
        <w:jc w:val="both"/>
        <w:rPr>
          <w:rFonts w:ascii="Verdana" w:hAnsi="Verdana"/>
          <w:sz w:val="18"/>
          <w:szCs w:val="18"/>
          <w:lang w:val="es-CR"/>
        </w:rPr>
      </w:pPr>
      <w:r w:rsidRPr="00590CB5">
        <w:rPr>
          <w:rFonts w:ascii="Verdana" w:hAnsi="Verdana"/>
          <w:sz w:val="18"/>
          <w:szCs w:val="18"/>
          <w:lang w:val="es-CR"/>
        </w:rPr>
        <w:t xml:space="preserve">143. Además, </w:t>
      </w:r>
      <w:r w:rsidRPr="00590CB5">
        <w:rPr>
          <w:rFonts w:ascii="Verdana" w:hAnsi="Verdana"/>
          <w:sz w:val="18"/>
          <w:szCs w:val="18"/>
          <w:u w:val="single"/>
          <w:lang w:val="es-CR"/>
        </w:rPr>
        <w:t>constan seis declaraciones del propio Presidente de la República y de otros altos funcionarios públicos realizadas en ese período</w:t>
      </w:r>
      <w:r w:rsidR="007451F5">
        <w:rPr>
          <w:rFonts w:ascii="Verdana" w:hAnsi="Verdana"/>
          <w:sz w:val="18"/>
          <w:szCs w:val="18"/>
          <w:u w:val="single"/>
          <w:lang w:val="es-CR"/>
        </w:rPr>
        <w:t xml:space="preserve"> [entre la publicación de la lista </w:t>
      </w:r>
      <w:proofErr w:type="spellStart"/>
      <w:r w:rsidR="007451F5">
        <w:rPr>
          <w:rFonts w:ascii="Verdana" w:hAnsi="Verdana"/>
          <w:sz w:val="18"/>
          <w:szCs w:val="18"/>
          <w:u w:val="single"/>
          <w:lang w:val="es-CR"/>
        </w:rPr>
        <w:t>Tascón</w:t>
      </w:r>
      <w:proofErr w:type="spellEnd"/>
      <w:r w:rsidR="007451F5">
        <w:rPr>
          <w:rFonts w:ascii="Verdana" w:hAnsi="Verdana"/>
          <w:sz w:val="18"/>
          <w:szCs w:val="18"/>
          <w:u w:val="single"/>
          <w:lang w:val="es-CR"/>
        </w:rPr>
        <w:t>, la terminación de los contratos de las víctimas y la celebración del referendo]</w:t>
      </w:r>
      <w:r w:rsidRPr="00590CB5">
        <w:rPr>
          <w:rFonts w:ascii="Verdana" w:hAnsi="Verdana"/>
          <w:sz w:val="18"/>
          <w:szCs w:val="18"/>
          <w:u w:val="single"/>
          <w:lang w:val="es-CR"/>
        </w:rPr>
        <w:t xml:space="preserve">, en que se llama a la ciudadanía a revisar la lista </w:t>
      </w:r>
      <w:proofErr w:type="spellStart"/>
      <w:r w:rsidRPr="00590CB5">
        <w:rPr>
          <w:rFonts w:ascii="Verdana" w:hAnsi="Verdana"/>
          <w:sz w:val="18"/>
          <w:szCs w:val="18"/>
          <w:u w:val="single"/>
          <w:lang w:val="es-CR"/>
        </w:rPr>
        <w:t>Tascón</w:t>
      </w:r>
      <w:proofErr w:type="spellEnd"/>
      <w:r w:rsidRPr="00590CB5">
        <w:rPr>
          <w:rFonts w:ascii="Verdana" w:hAnsi="Verdana"/>
          <w:sz w:val="18"/>
          <w:szCs w:val="18"/>
          <w:u w:val="single"/>
          <w:lang w:val="es-CR"/>
        </w:rPr>
        <w:t xml:space="preserve"> para que “salgan los rostros”, acusando a los firmantes de traición e incluso de terrorismo y amenazando con “botar” (despedir) o trasladar a los funcionarios que hubiesen firmado</w:t>
      </w:r>
      <w:r w:rsidRPr="00590CB5">
        <w:rPr>
          <w:rFonts w:ascii="Verdana" w:hAnsi="Verdana"/>
          <w:sz w:val="18"/>
          <w:szCs w:val="18"/>
          <w:lang w:val="es-CR"/>
        </w:rPr>
        <w:t xml:space="preserve"> (</w:t>
      </w:r>
      <w:r w:rsidRPr="00590CB5">
        <w:rPr>
          <w:rFonts w:ascii="Verdana" w:hAnsi="Verdana"/>
          <w:i/>
          <w:sz w:val="18"/>
          <w:szCs w:val="18"/>
          <w:lang w:val="es-CR"/>
        </w:rPr>
        <w:t xml:space="preserve">supra </w:t>
      </w:r>
      <w:proofErr w:type="spellStart"/>
      <w:r w:rsidRPr="00590CB5">
        <w:rPr>
          <w:rFonts w:ascii="Verdana" w:hAnsi="Verdana"/>
          <w:sz w:val="18"/>
          <w:szCs w:val="18"/>
          <w:lang w:val="es-CR"/>
        </w:rPr>
        <w:t>párrs</w:t>
      </w:r>
      <w:proofErr w:type="spellEnd"/>
      <w:r w:rsidRPr="00590CB5">
        <w:rPr>
          <w:rFonts w:ascii="Verdana" w:hAnsi="Verdana"/>
          <w:sz w:val="18"/>
          <w:szCs w:val="18"/>
          <w:lang w:val="es-CR"/>
        </w:rPr>
        <w:t>. 59 a 64). Los contenidos de tales declaraciones reflejan formas de presión para no firmar y amenazas de represalias para quienes lo hicieron.</w:t>
      </w:r>
    </w:p>
    <w:p w14:paraId="4B607565" w14:textId="77777777" w:rsidR="00B900D4" w:rsidRPr="00590CB5" w:rsidRDefault="00B900D4" w:rsidP="002A7F5B">
      <w:pPr>
        <w:pBdr>
          <w:top w:val="nil"/>
        </w:pBdr>
        <w:ind w:left="708" w:right="708"/>
        <w:jc w:val="both"/>
        <w:rPr>
          <w:rFonts w:ascii="Verdana" w:hAnsi="Verdana"/>
          <w:sz w:val="18"/>
          <w:szCs w:val="18"/>
          <w:lang w:val="es-CR"/>
        </w:rPr>
      </w:pPr>
    </w:p>
    <w:p w14:paraId="4E847536" w14:textId="77777777" w:rsidR="00B900D4" w:rsidRPr="00590CB5" w:rsidRDefault="00B900D4" w:rsidP="002A7F5B">
      <w:pPr>
        <w:pBdr>
          <w:top w:val="nil"/>
        </w:pBdr>
        <w:ind w:left="708" w:right="708"/>
        <w:jc w:val="both"/>
        <w:rPr>
          <w:rFonts w:ascii="Verdana" w:hAnsi="Verdana"/>
          <w:sz w:val="18"/>
          <w:szCs w:val="18"/>
          <w:lang w:val="es-CR"/>
        </w:rPr>
      </w:pPr>
      <w:r w:rsidRPr="00590CB5">
        <w:rPr>
          <w:rFonts w:ascii="Verdana" w:hAnsi="Verdana"/>
          <w:sz w:val="18"/>
          <w:szCs w:val="18"/>
          <w:lang w:val="es-CR"/>
        </w:rPr>
        <w:t>[…]</w:t>
      </w:r>
    </w:p>
    <w:p w14:paraId="4A918A6F" w14:textId="77777777" w:rsidR="00B900D4" w:rsidRPr="00590CB5" w:rsidRDefault="00B900D4" w:rsidP="002A7F5B">
      <w:pPr>
        <w:pBdr>
          <w:top w:val="nil"/>
        </w:pBdr>
        <w:ind w:left="708" w:right="708"/>
        <w:jc w:val="both"/>
        <w:rPr>
          <w:rFonts w:ascii="Verdana" w:hAnsi="Verdana"/>
          <w:sz w:val="18"/>
          <w:szCs w:val="18"/>
          <w:lang w:val="es-CR"/>
        </w:rPr>
      </w:pPr>
    </w:p>
    <w:p w14:paraId="4C789ACB" w14:textId="77777777" w:rsidR="00B900D4" w:rsidRPr="00590CB5" w:rsidRDefault="00B900D4" w:rsidP="002A7F5B">
      <w:pPr>
        <w:pBdr>
          <w:top w:val="nil"/>
        </w:pBdr>
        <w:ind w:left="708" w:right="708"/>
        <w:jc w:val="both"/>
        <w:rPr>
          <w:rFonts w:ascii="Verdana" w:hAnsi="Verdana"/>
          <w:sz w:val="18"/>
          <w:szCs w:val="18"/>
          <w:lang w:val="es-CR"/>
        </w:rPr>
      </w:pPr>
      <w:r w:rsidRPr="00590CB5">
        <w:rPr>
          <w:rFonts w:ascii="Verdana" w:hAnsi="Verdana"/>
          <w:sz w:val="18"/>
          <w:szCs w:val="18"/>
          <w:lang w:val="es-CR"/>
        </w:rPr>
        <w:t xml:space="preserve">146 </w:t>
      </w:r>
      <w:r w:rsidRPr="00590CB5">
        <w:rPr>
          <w:rFonts w:ascii="Verdana" w:hAnsi="Verdana"/>
          <w:sz w:val="18"/>
          <w:szCs w:val="18"/>
          <w:u w:val="single"/>
          <w:lang w:val="es-CR"/>
        </w:rPr>
        <w:t>[…] Se refirió que jueces e inspectores de trabajo no modificaban las decisiones de despidos o terminaciones de contratos y que la Fiscalía General de la República o la Defensoría del Pueblo</w:t>
      </w:r>
      <w:r w:rsidRPr="00590CB5">
        <w:rPr>
          <w:rStyle w:val="FootnoteReference"/>
          <w:rFonts w:ascii="Verdana" w:hAnsi="Verdana"/>
          <w:sz w:val="18"/>
          <w:szCs w:val="18"/>
          <w:u w:val="single"/>
          <w:lang w:val="es-CR"/>
        </w:rPr>
        <w:t xml:space="preserve"> </w:t>
      </w:r>
      <w:r w:rsidRPr="00590CB5">
        <w:rPr>
          <w:rFonts w:ascii="Verdana" w:hAnsi="Verdana"/>
          <w:sz w:val="18"/>
          <w:szCs w:val="18"/>
          <w:u w:val="single"/>
          <w:lang w:val="es-CR"/>
        </w:rPr>
        <w:t>tampoco habrían intervenido en ese sentido</w:t>
      </w:r>
      <w:r w:rsidRPr="00590CB5">
        <w:rPr>
          <w:rFonts w:ascii="Verdana" w:hAnsi="Verdana"/>
          <w:sz w:val="18"/>
          <w:szCs w:val="18"/>
          <w:lang w:val="es-CR"/>
        </w:rPr>
        <w:t xml:space="preserve">. De hecho, posteriormente el propio Fiscal General de la República reconocería la posible existencia </w:t>
      </w:r>
      <w:r w:rsidRPr="00590CB5">
        <w:rPr>
          <w:rFonts w:ascii="Verdana" w:hAnsi="Verdana"/>
          <w:sz w:val="18"/>
          <w:szCs w:val="18"/>
          <w:lang w:val="es-CR"/>
        </w:rPr>
        <w:lastRenderedPageBreak/>
        <w:t>de múltiples denuncias al ordenar, en abril de 2005, la apertura de una investigación por casos de discriminación política […]</w:t>
      </w:r>
      <w:r w:rsidRPr="00590CB5">
        <w:rPr>
          <w:rStyle w:val="FootnoteReference"/>
          <w:rFonts w:ascii="Verdana" w:hAnsi="Verdana"/>
          <w:sz w:val="18"/>
          <w:szCs w:val="18"/>
          <w:lang w:val="es-CR"/>
        </w:rPr>
        <w:footnoteReference w:id="75"/>
      </w:r>
      <w:r w:rsidRPr="00590CB5">
        <w:rPr>
          <w:rFonts w:ascii="Verdana" w:hAnsi="Verdana"/>
          <w:sz w:val="18"/>
          <w:szCs w:val="18"/>
          <w:lang w:val="es-CR"/>
        </w:rPr>
        <w:t>. [Énfasis añadido]</w:t>
      </w:r>
    </w:p>
    <w:p w14:paraId="49D728C0" w14:textId="77777777" w:rsidR="00B900D4" w:rsidRPr="00590CB5" w:rsidRDefault="00B900D4" w:rsidP="002A7F5B">
      <w:pPr>
        <w:pBdr>
          <w:top w:val="nil"/>
        </w:pBdr>
        <w:jc w:val="both"/>
        <w:rPr>
          <w:rFonts w:ascii="Verdana" w:hAnsi="Verdana"/>
          <w:sz w:val="20"/>
          <w:szCs w:val="20"/>
          <w:lang w:val="es-CR"/>
        </w:rPr>
      </w:pPr>
    </w:p>
    <w:p w14:paraId="5E4320C5" w14:textId="44ED18B5" w:rsidR="00B900D4" w:rsidRPr="00590CB5" w:rsidRDefault="00B66279" w:rsidP="002A7F5B">
      <w:pPr>
        <w:pStyle w:val="ListParagraph"/>
        <w:numPr>
          <w:ilvl w:val="0"/>
          <w:numId w:val="1"/>
        </w:numPr>
        <w:ind w:left="0" w:firstLine="0"/>
        <w:jc w:val="both"/>
        <w:rPr>
          <w:rFonts w:ascii="Verdana" w:hAnsi="Verdana"/>
          <w:sz w:val="20"/>
          <w:szCs w:val="20"/>
          <w:lang w:val="es-CR"/>
        </w:rPr>
      </w:pPr>
      <w:r>
        <w:rPr>
          <w:rFonts w:ascii="Verdana" w:hAnsi="Verdana"/>
          <w:sz w:val="20"/>
          <w:szCs w:val="20"/>
          <w:lang w:val="es-CR"/>
        </w:rPr>
        <w:t xml:space="preserve">Como puede </w:t>
      </w:r>
      <w:proofErr w:type="spellStart"/>
      <w:r>
        <w:rPr>
          <w:rFonts w:ascii="Verdana" w:hAnsi="Verdana"/>
          <w:sz w:val="20"/>
          <w:szCs w:val="20"/>
          <w:lang w:val="es-CR"/>
        </w:rPr>
        <w:t>aprciarse</w:t>
      </w:r>
      <w:proofErr w:type="spellEnd"/>
      <w:r>
        <w:rPr>
          <w:rFonts w:ascii="Verdana" w:hAnsi="Verdana"/>
          <w:sz w:val="20"/>
          <w:szCs w:val="20"/>
          <w:lang w:val="es-CR"/>
        </w:rPr>
        <w:t xml:space="preserve">, hubo presiones e injerencias indebidas al poder judicial, y los “jueces e inspectores de trabajo no modificaban las decisiones de despidos o terminaciones de contratos”. </w:t>
      </w:r>
      <w:r w:rsidR="00C133CF">
        <w:rPr>
          <w:rFonts w:ascii="Verdana" w:hAnsi="Verdana"/>
          <w:sz w:val="20"/>
          <w:szCs w:val="20"/>
          <w:lang w:val="es-CR"/>
        </w:rPr>
        <w:t>Además, en los hechos del caso</w:t>
      </w:r>
      <w:r w:rsidR="00B900D4" w:rsidRPr="00590CB5">
        <w:rPr>
          <w:rFonts w:ascii="Verdana" w:hAnsi="Verdana"/>
          <w:sz w:val="20"/>
          <w:szCs w:val="20"/>
          <w:lang w:val="es-CR"/>
        </w:rPr>
        <w:t xml:space="preserve"> se expuso que: </w:t>
      </w:r>
    </w:p>
    <w:p w14:paraId="504D094C" w14:textId="77777777" w:rsidR="00B900D4" w:rsidRPr="00590CB5" w:rsidRDefault="00B900D4" w:rsidP="002A7F5B">
      <w:pPr>
        <w:pBdr>
          <w:top w:val="nil"/>
        </w:pBdr>
        <w:jc w:val="both"/>
        <w:rPr>
          <w:rFonts w:ascii="Verdana" w:hAnsi="Verdana"/>
          <w:b/>
          <w:sz w:val="20"/>
          <w:szCs w:val="20"/>
          <w:lang w:val="es-CR"/>
        </w:rPr>
      </w:pPr>
    </w:p>
    <w:p w14:paraId="366A7962" w14:textId="77777777" w:rsidR="00B900D4" w:rsidRPr="00590CB5" w:rsidRDefault="00B900D4" w:rsidP="002A7F5B">
      <w:pPr>
        <w:pStyle w:val="ListParagraph"/>
        <w:numPr>
          <w:ilvl w:val="0"/>
          <w:numId w:val="8"/>
        </w:numPr>
        <w:pBdr>
          <w:top w:val="nil"/>
        </w:pBdr>
        <w:ind w:right="708" w:hanging="11"/>
        <w:jc w:val="both"/>
        <w:rPr>
          <w:rFonts w:ascii="Verdana" w:hAnsi="Verdana"/>
          <w:sz w:val="18"/>
          <w:szCs w:val="18"/>
          <w:lang w:val="es-CR"/>
        </w:rPr>
      </w:pPr>
      <w:r w:rsidRPr="00590CB5">
        <w:rPr>
          <w:rFonts w:ascii="Verdana" w:hAnsi="Verdana"/>
          <w:sz w:val="18"/>
          <w:szCs w:val="18"/>
          <w:lang w:val="es-CR"/>
        </w:rPr>
        <w:t xml:space="preserve">Con posterioridad a la publicación de la “Lista </w:t>
      </w:r>
      <w:proofErr w:type="spellStart"/>
      <w:r w:rsidRPr="00590CB5">
        <w:rPr>
          <w:rFonts w:ascii="Verdana" w:hAnsi="Verdana"/>
          <w:sz w:val="18"/>
          <w:szCs w:val="18"/>
          <w:lang w:val="es-CR"/>
        </w:rPr>
        <w:t>Tascón</w:t>
      </w:r>
      <w:proofErr w:type="spellEnd"/>
      <w:r w:rsidRPr="00590CB5">
        <w:rPr>
          <w:rFonts w:ascii="Verdana" w:hAnsi="Verdana"/>
          <w:sz w:val="18"/>
          <w:szCs w:val="18"/>
          <w:lang w:val="es-CR"/>
        </w:rPr>
        <w:t xml:space="preserve">”, se conocieron denuncias sobre despidos de trabajadores o funcionarios públicos como represalia a su firma en la solicitud de referendo revocatorio presidencial. Tales denuncias fueron precedidas de una serie de declaraciones de funcionarios públicos, por ejemplo: </w:t>
      </w:r>
    </w:p>
    <w:p w14:paraId="2DBF7719" w14:textId="77777777" w:rsidR="00B900D4" w:rsidRPr="00590CB5" w:rsidRDefault="00B900D4" w:rsidP="002A7F5B">
      <w:pPr>
        <w:pBdr>
          <w:top w:val="nil"/>
        </w:pBdr>
        <w:jc w:val="both"/>
        <w:rPr>
          <w:rFonts w:ascii="Verdana" w:hAnsi="Verdana"/>
          <w:sz w:val="20"/>
          <w:szCs w:val="20"/>
          <w:lang w:val="es-CR"/>
        </w:rPr>
      </w:pPr>
    </w:p>
    <w:p w14:paraId="2548D366" w14:textId="77777777" w:rsidR="00B900D4" w:rsidRPr="00590CB5" w:rsidRDefault="00B900D4" w:rsidP="002A7F5B">
      <w:pPr>
        <w:pStyle w:val="ListParagraph"/>
        <w:numPr>
          <w:ilvl w:val="0"/>
          <w:numId w:val="7"/>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 xml:space="preserve">El 20 de marzo de 2004, Roger </w:t>
      </w:r>
      <w:proofErr w:type="spellStart"/>
      <w:r w:rsidRPr="00590CB5">
        <w:rPr>
          <w:rFonts w:ascii="Verdana" w:hAnsi="Verdana"/>
          <w:sz w:val="16"/>
          <w:szCs w:val="16"/>
          <w:lang w:val="es-CR"/>
        </w:rPr>
        <w:t>Capella</w:t>
      </w:r>
      <w:proofErr w:type="spellEnd"/>
      <w:r w:rsidRPr="00590CB5">
        <w:rPr>
          <w:rFonts w:ascii="Verdana" w:hAnsi="Verdana"/>
          <w:sz w:val="16"/>
          <w:szCs w:val="16"/>
          <w:lang w:val="es-CR"/>
        </w:rPr>
        <w:t xml:space="preserve">, entonces </w:t>
      </w:r>
      <w:r w:rsidRPr="00590CB5">
        <w:rPr>
          <w:rFonts w:ascii="Verdana" w:hAnsi="Verdana"/>
          <w:sz w:val="16"/>
          <w:szCs w:val="16"/>
          <w:u w:val="single"/>
          <w:lang w:val="es-CR"/>
        </w:rPr>
        <w:t>Ministro de Salud y</w:t>
      </w:r>
      <w:r w:rsidRPr="00590CB5">
        <w:rPr>
          <w:rFonts w:ascii="Verdana" w:hAnsi="Verdana"/>
          <w:sz w:val="20"/>
          <w:szCs w:val="20"/>
          <w:u w:val="single"/>
          <w:lang w:val="es-CR"/>
        </w:rPr>
        <w:t xml:space="preserve"> </w:t>
      </w:r>
      <w:r w:rsidRPr="00590CB5">
        <w:rPr>
          <w:rFonts w:ascii="Verdana" w:hAnsi="Verdana"/>
          <w:sz w:val="16"/>
          <w:szCs w:val="16"/>
          <w:u w:val="single"/>
          <w:lang w:val="es-CR"/>
        </w:rPr>
        <w:t>Desarrollo Social</w:t>
      </w:r>
      <w:r w:rsidRPr="00590CB5">
        <w:rPr>
          <w:rFonts w:ascii="Verdana" w:hAnsi="Verdana"/>
          <w:sz w:val="16"/>
          <w:szCs w:val="16"/>
          <w:lang w:val="es-CR"/>
        </w:rPr>
        <w:t xml:space="preserve"> </w:t>
      </w:r>
      <w:r w:rsidRPr="00590CB5">
        <w:rPr>
          <w:rFonts w:ascii="Verdana" w:hAnsi="Verdana"/>
          <w:sz w:val="16"/>
          <w:szCs w:val="16"/>
          <w:u w:val="single"/>
          <w:lang w:val="es-CR"/>
        </w:rPr>
        <w:t>declaró que “un traidor no puede estar en un cargo de confianza y este Estado tiene una política y una correspondencia con el Gobierno que tiene, donde no hay espacio para los traidores</w:t>
      </w:r>
      <w:r w:rsidRPr="00590CB5">
        <w:rPr>
          <w:rFonts w:ascii="Verdana" w:hAnsi="Verdana"/>
          <w:sz w:val="16"/>
          <w:szCs w:val="16"/>
          <w:lang w:val="es-CR"/>
        </w:rPr>
        <w:t xml:space="preserve">. </w:t>
      </w:r>
      <w:r w:rsidRPr="00590CB5">
        <w:rPr>
          <w:rFonts w:ascii="Verdana" w:hAnsi="Verdana"/>
          <w:sz w:val="16"/>
          <w:szCs w:val="16"/>
          <w:u w:val="single"/>
          <w:lang w:val="es-CR"/>
        </w:rPr>
        <w:t>Los que hayan firmado están botados”.</w:t>
      </w:r>
      <w:r w:rsidRPr="00590CB5">
        <w:rPr>
          <w:rFonts w:ascii="Verdana" w:hAnsi="Verdana"/>
          <w:sz w:val="16"/>
          <w:szCs w:val="16"/>
          <w:lang w:val="es-CR"/>
        </w:rPr>
        <w:t xml:space="preserve"> El mismo funcionario declaró que "quienes hayan firmado contra el presidente Chávez" serían despedidos “porque se trata de un acto de terrorismo”. Según señaló el Estado, en una declaración posterior dicho Ministro se habría retractado de lo anterior, señalando que “f</w:t>
      </w:r>
      <w:r w:rsidRPr="00590CB5">
        <w:rPr>
          <w:rFonts w:ascii="Verdana" w:hAnsi="Verdana" w:cs="Arial"/>
          <w:sz w:val="16"/>
          <w:szCs w:val="16"/>
          <w:lang w:val="es-CR"/>
        </w:rPr>
        <w:t xml:space="preserve">ue un error decir que se despedirá a médicos por </w:t>
      </w:r>
      <w:proofErr w:type="gramStart"/>
      <w:r w:rsidRPr="00590CB5">
        <w:rPr>
          <w:rFonts w:ascii="Verdana" w:hAnsi="Verdana" w:cs="Arial"/>
          <w:sz w:val="16"/>
          <w:szCs w:val="16"/>
          <w:lang w:val="es-CR"/>
        </w:rPr>
        <w:t>firmar[</w:t>
      </w:r>
      <w:proofErr w:type="gramEnd"/>
      <w:r w:rsidRPr="00590CB5">
        <w:rPr>
          <w:rFonts w:ascii="Verdana" w:hAnsi="Verdana" w:cs="Arial"/>
          <w:sz w:val="16"/>
          <w:szCs w:val="16"/>
          <w:lang w:val="es-CR"/>
        </w:rPr>
        <w:t>; n]i en el Ministerio ni en los entes que dependen del Estado se han tomado ni se tomarán retaliaciones políticas para quienes tengan una visión diferente a la del Gobierno nacional”, o que “el Estado es absolutamente respetuoso de las posiciones de todos y cada uno de sus trabajadores. De manera que no se puede confundir mi posición particular con la posición del Estado”.</w:t>
      </w:r>
    </w:p>
    <w:p w14:paraId="75E2B74F" w14:textId="77777777" w:rsidR="00B900D4" w:rsidRPr="00590CB5" w:rsidRDefault="00B900D4" w:rsidP="002A7F5B">
      <w:pPr>
        <w:pStyle w:val="ListParagraph"/>
        <w:numPr>
          <w:ilvl w:val="0"/>
          <w:numId w:val="7"/>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w:t>
      </w:r>
    </w:p>
    <w:p w14:paraId="159F47F0" w14:textId="77777777" w:rsidR="00B900D4" w:rsidRPr="00590CB5" w:rsidRDefault="00B900D4" w:rsidP="002A7F5B">
      <w:pPr>
        <w:pStyle w:val="ListParagraph"/>
        <w:numPr>
          <w:ilvl w:val="0"/>
          <w:numId w:val="7"/>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 xml:space="preserve">El 29 de marzo de 2004 el </w:t>
      </w:r>
      <w:r w:rsidRPr="00590CB5">
        <w:rPr>
          <w:rFonts w:ascii="Verdana" w:hAnsi="Verdana"/>
          <w:sz w:val="16"/>
          <w:szCs w:val="16"/>
          <w:u w:val="single"/>
          <w:lang w:val="es-CR"/>
        </w:rPr>
        <w:t>Ministro de Relaciones Exteriores</w:t>
      </w:r>
      <w:r w:rsidRPr="00590CB5">
        <w:rPr>
          <w:rFonts w:ascii="Verdana" w:hAnsi="Verdana"/>
          <w:sz w:val="16"/>
          <w:szCs w:val="16"/>
          <w:lang w:val="es-CR"/>
        </w:rPr>
        <w:t xml:space="preserve"> declaró ante los medios de comunicación lo siguiente: “considero lógico que un funcionario con cargo de confianza que haya firmado contra Hugo Chávez, ponga su cargo a la orden; en caso contrario será transferido a otras funciones dentro de la cancillería. </w:t>
      </w:r>
      <w:r w:rsidRPr="00590CB5">
        <w:rPr>
          <w:rFonts w:ascii="Verdana" w:hAnsi="Verdana"/>
          <w:sz w:val="16"/>
          <w:szCs w:val="16"/>
          <w:u w:val="single"/>
          <w:lang w:val="es-CR"/>
        </w:rPr>
        <w:t>No será despedido, pero ya no podrá ser un cercano colaborador, porque no cree en la política definida por el Presidente”.</w:t>
      </w:r>
      <w:r w:rsidRPr="00590CB5">
        <w:rPr>
          <w:rFonts w:ascii="Verdana" w:hAnsi="Verdana"/>
          <w:sz w:val="16"/>
          <w:szCs w:val="16"/>
          <w:lang w:val="es-CR"/>
        </w:rPr>
        <w:t xml:space="preserve"> </w:t>
      </w:r>
    </w:p>
    <w:p w14:paraId="1A978DF1" w14:textId="77777777" w:rsidR="00B900D4" w:rsidRPr="00590CB5" w:rsidRDefault="00B900D4" w:rsidP="002A7F5B">
      <w:pPr>
        <w:pStyle w:val="ListParagraph"/>
        <w:numPr>
          <w:ilvl w:val="0"/>
          <w:numId w:val="7"/>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El entonces presidente de Petróleos de Venezuela (PDVSA) advirtió que “</w:t>
      </w:r>
      <w:r w:rsidRPr="00590CB5">
        <w:rPr>
          <w:rFonts w:ascii="Verdana" w:hAnsi="Verdana"/>
          <w:sz w:val="16"/>
          <w:szCs w:val="16"/>
          <w:u w:val="single"/>
          <w:lang w:val="es-CR"/>
        </w:rPr>
        <w:t>no causaría extrañeza si los trabajadores que firmaron la petición de convocatoria fueran despedidos de sus empleos”</w:t>
      </w:r>
      <w:r w:rsidRPr="00590CB5">
        <w:rPr>
          <w:rFonts w:ascii="Verdana" w:hAnsi="Verdana"/>
          <w:sz w:val="16"/>
          <w:szCs w:val="16"/>
          <w:lang w:val="es-CR"/>
        </w:rPr>
        <w:t xml:space="preserve">. </w:t>
      </w:r>
    </w:p>
    <w:p w14:paraId="432D2287" w14:textId="77777777" w:rsidR="00B900D4" w:rsidRPr="00590CB5" w:rsidRDefault="00B900D4" w:rsidP="002A7F5B">
      <w:pPr>
        <w:pStyle w:val="ListParagraph"/>
        <w:ind w:left="0"/>
        <w:rPr>
          <w:rFonts w:ascii="Verdana" w:hAnsi="Verdana"/>
          <w:sz w:val="16"/>
          <w:szCs w:val="16"/>
          <w:lang w:val="es-CR"/>
        </w:rPr>
      </w:pPr>
    </w:p>
    <w:p w14:paraId="359275ED" w14:textId="77777777" w:rsidR="00B900D4" w:rsidRPr="00590CB5" w:rsidRDefault="00B900D4" w:rsidP="002A7F5B">
      <w:pPr>
        <w:pStyle w:val="ListParagraph"/>
        <w:numPr>
          <w:ilvl w:val="0"/>
          <w:numId w:val="8"/>
        </w:numPr>
        <w:pBdr>
          <w:top w:val="nil"/>
        </w:pBdr>
        <w:ind w:right="708" w:hanging="11"/>
        <w:jc w:val="both"/>
        <w:rPr>
          <w:rFonts w:ascii="Verdana" w:hAnsi="Verdana"/>
          <w:sz w:val="18"/>
          <w:szCs w:val="18"/>
          <w:lang w:val="es-CR"/>
        </w:rPr>
      </w:pPr>
      <w:r w:rsidRPr="00590CB5">
        <w:rPr>
          <w:rFonts w:ascii="Verdana" w:hAnsi="Verdana"/>
          <w:sz w:val="18"/>
          <w:szCs w:val="18"/>
          <w:lang w:val="es-CR"/>
        </w:rPr>
        <w:t xml:space="preserve">En informes de organizaciones no gubernamentales internacionales y venezolanas, así como en declaraciones o reportajes publicados en medios de comunicación y en testimonios rendidos ante la Corte fueron referidos o documentados casos de supuestos despidos de trabajadores o funcionarios públicos motivados en su participación en las solicitudes de referendos: </w:t>
      </w:r>
    </w:p>
    <w:p w14:paraId="4EC2D99E" w14:textId="77777777" w:rsidR="00B900D4" w:rsidRPr="00590CB5" w:rsidRDefault="00B900D4" w:rsidP="002A7F5B">
      <w:pPr>
        <w:pStyle w:val="ListParagraph"/>
        <w:pBdr>
          <w:top w:val="nil"/>
        </w:pBdr>
        <w:jc w:val="both"/>
        <w:rPr>
          <w:rFonts w:ascii="Verdana" w:hAnsi="Verdana"/>
          <w:sz w:val="20"/>
          <w:szCs w:val="20"/>
          <w:lang w:val="es-CR"/>
        </w:rPr>
      </w:pPr>
    </w:p>
    <w:p w14:paraId="2423580B" w14:textId="77777777" w:rsidR="00B900D4" w:rsidRPr="00590CB5" w:rsidRDefault="00B900D4" w:rsidP="002A7F5B">
      <w:pPr>
        <w:pStyle w:val="ListParagraph"/>
        <w:numPr>
          <w:ilvl w:val="0"/>
          <w:numId w:val="6"/>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 xml:space="preserve">En marzo de 2004 Froilán Barrios, miembro del comité ejecutivo de la Confederación de Trabajadores de Venezuela, denunció que la industria petrolera “tiene una lista de 1909 trabajadores entre activos y jubilados sobre quienes recae la amenaza de una eventual remoción o traslado de cargo por haber participado en el </w:t>
      </w:r>
      <w:proofErr w:type="spellStart"/>
      <w:r w:rsidRPr="00590CB5">
        <w:rPr>
          <w:rFonts w:ascii="Verdana" w:hAnsi="Verdana"/>
          <w:sz w:val="16"/>
          <w:szCs w:val="16"/>
          <w:lang w:val="es-CR"/>
        </w:rPr>
        <w:t>reafirmazo</w:t>
      </w:r>
      <w:proofErr w:type="spellEnd"/>
      <w:r w:rsidRPr="00590CB5">
        <w:rPr>
          <w:rFonts w:ascii="Verdana" w:hAnsi="Verdana"/>
          <w:sz w:val="16"/>
          <w:szCs w:val="16"/>
          <w:lang w:val="es-CR"/>
        </w:rPr>
        <w:t>”.</w:t>
      </w:r>
    </w:p>
    <w:p w14:paraId="7AF56912" w14:textId="77777777" w:rsidR="00B900D4" w:rsidRPr="00590CB5" w:rsidRDefault="00B900D4" w:rsidP="002A7F5B">
      <w:pPr>
        <w:pStyle w:val="ListParagraph"/>
        <w:numPr>
          <w:ilvl w:val="0"/>
          <w:numId w:val="6"/>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 xml:space="preserve">Habrían sido despedidos 80 empleados públicos del Fondo de Garantías de Depósitos y Protección Bancaria, supuestamente por estar incluidos en “una lista, con base en parte en la lista </w:t>
      </w:r>
      <w:proofErr w:type="spellStart"/>
      <w:r w:rsidRPr="00590CB5">
        <w:rPr>
          <w:rFonts w:ascii="Verdana" w:hAnsi="Verdana"/>
          <w:sz w:val="16"/>
          <w:szCs w:val="16"/>
          <w:lang w:val="es-CR"/>
        </w:rPr>
        <w:t>Tascón</w:t>
      </w:r>
      <w:proofErr w:type="spellEnd"/>
      <w:r w:rsidRPr="00590CB5">
        <w:rPr>
          <w:rFonts w:ascii="Verdana" w:hAnsi="Verdana"/>
          <w:sz w:val="16"/>
          <w:szCs w:val="16"/>
          <w:lang w:val="es-CR"/>
        </w:rPr>
        <w:t xml:space="preserve">, que circuló dentro de la institución”. Algunos empleados habrían declarado que en el listado que se distribuyó dentro de la organización aparecía el nombre de cada empleado, su perfil político (desde “1” para chavistas militantes hasta “6” para oposición política radical) y una inicial indicando si el empleado había firmado la solicitud de referendo consultivo o revocatorios, según los datos de la lista </w:t>
      </w:r>
      <w:proofErr w:type="spellStart"/>
      <w:r w:rsidRPr="00590CB5">
        <w:rPr>
          <w:rFonts w:ascii="Verdana" w:hAnsi="Verdana"/>
          <w:sz w:val="16"/>
          <w:szCs w:val="16"/>
          <w:lang w:val="es-CR"/>
        </w:rPr>
        <w:t>Tascón</w:t>
      </w:r>
      <w:proofErr w:type="spellEnd"/>
      <w:r w:rsidRPr="00590CB5">
        <w:rPr>
          <w:rFonts w:ascii="Verdana" w:hAnsi="Verdana"/>
          <w:sz w:val="16"/>
          <w:szCs w:val="16"/>
          <w:lang w:val="es-CR"/>
        </w:rPr>
        <w:t>. Según empleados cesados de sus cargos, todos ellos se encontraban clasificados como opositores al gobierno en la lista que circuló. Según información publicada en la prensa, el Director de dicha institución declaró, al referirse a los despidos, que “se trataba de funcionarios de libre remoción y que venían arrastrando una cultura no cónsona con el proyecto que está contemplado para el desarrollo socioeconómico”.</w:t>
      </w:r>
    </w:p>
    <w:p w14:paraId="5A058024" w14:textId="73B35FE5" w:rsidR="00B859B5" w:rsidRPr="00B3460A" w:rsidRDefault="00B900D4" w:rsidP="002A7F5B">
      <w:pPr>
        <w:pStyle w:val="ListParagraph"/>
        <w:numPr>
          <w:ilvl w:val="0"/>
          <w:numId w:val="6"/>
        </w:numPr>
        <w:pBdr>
          <w:top w:val="nil"/>
        </w:pBdr>
        <w:ind w:left="1134" w:right="708" w:firstLine="0"/>
        <w:jc w:val="both"/>
        <w:rPr>
          <w:rFonts w:ascii="Verdana" w:hAnsi="Verdana"/>
          <w:sz w:val="16"/>
          <w:szCs w:val="16"/>
          <w:lang w:val="es-CR"/>
        </w:rPr>
      </w:pPr>
      <w:r w:rsidRPr="00590CB5">
        <w:rPr>
          <w:rFonts w:ascii="Verdana" w:hAnsi="Verdana"/>
          <w:sz w:val="16"/>
          <w:szCs w:val="16"/>
          <w:lang w:val="es-CR"/>
        </w:rPr>
        <w:t xml:space="preserve">Se reportaron otras denuncias de represalias similares contra funcionarios en otras instituciones estatales, tales como el Centro Nacional de Tecnologías de Información, Gobernación del Estado Miranda, Ministerio para la Economía Popular, el Instituto de </w:t>
      </w:r>
      <w:r w:rsidRPr="00590CB5">
        <w:rPr>
          <w:rFonts w:ascii="Verdana" w:hAnsi="Verdana"/>
          <w:sz w:val="16"/>
          <w:szCs w:val="16"/>
          <w:lang w:val="es-CR"/>
        </w:rPr>
        <w:lastRenderedPageBreak/>
        <w:t xml:space="preserve">Previsión y Asistencia Social para el Personal del Ministerio de Educación, Dirección de Educación de Miranda, y el Consejo Nacional Electoral; así como en la Defensoría del </w:t>
      </w:r>
      <w:proofErr w:type="spellStart"/>
      <w:r w:rsidRPr="00590CB5">
        <w:rPr>
          <w:rFonts w:ascii="Verdana" w:hAnsi="Verdana"/>
          <w:sz w:val="16"/>
          <w:szCs w:val="16"/>
          <w:lang w:val="es-CR"/>
        </w:rPr>
        <w:t>Puebl</w:t>
      </w:r>
      <w:proofErr w:type="spellEnd"/>
      <w:r w:rsidRPr="00590CB5">
        <w:rPr>
          <w:rFonts w:ascii="Verdana" w:hAnsi="Verdana"/>
          <w:sz w:val="16"/>
          <w:szCs w:val="16"/>
          <w:lang w:val="es-CR"/>
        </w:rPr>
        <w:t>, Ministerio de Salud, “SENIAT”, gobernaciones, alcaldías y Ministerio de Relaciones Exteriores; la Fuerza Armada Nacional y la entidad llamada Protección Civil y Administración de Desastres</w:t>
      </w:r>
      <w:r w:rsidRPr="00590CB5">
        <w:rPr>
          <w:rStyle w:val="FootnoteReference"/>
          <w:rFonts w:ascii="Verdana" w:hAnsi="Verdana"/>
          <w:sz w:val="16"/>
          <w:szCs w:val="16"/>
          <w:lang w:val="es-CR"/>
        </w:rPr>
        <w:footnoteReference w:id="76"/>
      </w:r>
      <w:r w:rsidRPr="00590CB5">
        <w:rPr>
          <w:rFonts w:ascii="Verdana" w:hAnsi="Verdana"/>
          <w:sz w:val="16"/>
          <w:szCs w:val="16"/>
          <w:lang w:val="es-CR"/>
        </w:rPr>
        <w:t>. [Énfasis añadido]</w:t>
      </w:r>
    </w:p>
    <w:p w14:paraId="63BC94AE" w14:textId="77777777" w:rsidR="00B859B5" w:rsidRPr="00B3460A" w:rsidRDefault="00B859B5" w:rsidP="002A7F5B">
      <w:pPr>
        <w:rPr>
          <w:rFonts w:ascii="Verdana" w:hAnsi="Verdana"/>
          <w:sz w:val="20"/>
          <w:szCs w:val="20"/>
          <w:lang w:val="es-CR"/>
        </w:rPr>
      </w:pPr>
    </w:p>
    <w:p w14:paraId="4642EAB5" w14:textId="28521995" w:rsidR="00B900D4" w:rsidRPr="00590CB5" w:rsidRDefault="00A503F9" w:rsidP="002A7F5B">
      <w:pPr>
        <w:pStyle w:val="ListParagraph"/>
        <w:numPr>
          <w:ilvl w:val="0"/>
          <w:numId w:val="1"/>
        </w:numPr>
        <w:ind w:left="0" w:firstLine="0"/>
        <w:jc w:val="both"/>
        <w:rPr>
          <w:rFonts w:ascii="Verdana" w:hAnsi="Verdana" w:cs="BookAntiqua"/>
          <w:sz w:val="20"/>
          <w:szCs w:val="20"/>
          <w:lang w:val="es-CR"/>
        </w:rPr>
      </w:pPr>
      <w:r>
        <w:rPr>
          <w:rFonts w:ascii="Verdana" w:hAnsi="Verdana"/>
          <w:sz w:val="20"/>
          <w:szCs w:val="20"/>
          <w:lang w:val="es-CR"/>
        </w:rPr>
        <w:t>Todo lo anterior debió ser conside</w:t>
      </w:r>
      <w:r w:rsidR="005270BB">
        <w:rPr>
          <w:rFonts w:ascii="Verdana" w:hAnsi="Verdana"/>
          <w:sz w:val="20"/>
          <w:szCs w:val="20"/>
          <w:lang w:val="es-CR"/>
        </w:rPr>
        <w:t>r</w:t>
      </w:r>
      <w:r>
        <w:rPr>
          <w:rFonts w:ascii="Verdana" w:hAnsi="Verdana"/>
          <w:sz w:val="20"/>
          <w:szCs w:val="20"/>
          <w:lang w:val="es-CR"/>
        </w:rPr>
        <w:t xml:space="preserve">ado en el caso para declarar la violación al derecho a ser oído por un tribunal independiente. </w:t>
      </w:r>
      <w:r w:rsidR="008055CE">
        <w:rPr>
          <w:rFonts w:ascii="Verdana" w:hAnsi="Verdana"/>
          <w:sz w:val="20"/>
          <w:szCs w:val="20"/>
          <w:lang w:val="es-CR"/>
        </w:rPr>
        <w:t>E</w:t>
      </w:r>
      <w:r w:rsidR="00B900D4" w:rsidRPr="00590CB5">
        <w:rPr>
          <w:rFonts w:ascii="Verdana" w:hAnsi="Verdana"/>
          <w:sz w:val="20"/>
          <w:szCs w:val="20"/>
          <w:lang w:val="es-CR"/>
        </w:rPr>
        <w:t>n</w:t>
      </w:r>
      <w:r w:rsidR="00690A57">
        <w:rPr>
          <w:rFonts w:ascii="Verdana" w:hAnsi="Verdana" w:cs="BookAntiqua"/>
          <w:sz w:val="20"/>
          <w:szCs w:val="20"/>
          <w:lang w:val="es-CR"/>
        </w:rPr>
        <w:t xml:space="preserve"> el </w:t>
      </w:r>
      <w:r w:rsidR="00B900D4" w:rsidRPr="00590CB5">
        <w:rPr>
          <w:rFonts w:ascii="Verdana" w:hAnsi="Verdana" w:cs="BookAntiqua"/>
          <w:sz w:val="20"/>
          <w:szCs w:val="20"/>
          <w:lang w:val="es-CR"/>
        </w:rPr>
        <w:t>caso</w:t>
      </w:r>
      <w:r w:rsidR="00690A57">
        <w:rPr>
          <w:rFonts w:ascii="Verdana" w:hAnsi="Verdana" w:cs="BookAntiqua"/>
          <w:sz w:val="20"/>
          <w:szCs w:val="20"/>
          <w:lang w:val="es-CR"/>
        </w:rPr>
        <w:t xml:space="preserve"> </w:t>
      </w:r>
      <w:r w:rsidR="00B900D4" w:rsidRPr="00590CB5">
        <w:rPr>
          <w:rFonts w:ascii="Verdana" w:hAnsi="Verdana" w:cs="BookAntiqua"/>
          <w:sz w:val="20"/>
          <w:szCs w:val="20"/>
          <w:lang w:val="es-CR"/>
        </w:rPr>
        <w:t xml:space="preserve">quedó demostrado que las autoridades judiciales </w:t>
      </w:r>
      <w:r w:rsidR="007451F5">
        <w:rPr>
          <w:rFonts w:ascii="Verdana" w:hAnsi="Verdana" w:cs="BookAntiqua"/>
          <w:sz w:val="20"/>
          <w:szCs w:val="20"/>
          <w:lang w:val="es-CR"/>
        </w:rPr>
        <w:t>“</w:t>
      </w:r>
      <w:r w:rsidR="00B900D4" w:rsidRPr="00590CB5">
        <w:rPr>
          <w:rFonts w:ascii="Verdana" w:hAnsi="Verdana" w:cs="BookAntiqua"/>
          <w:sz w:val="20"/>
          <w:szCs w:val="20"/>
          <w:lang w:val="es-CR"/>
        </w:rPr>
        <w:t xml:space="preserve">estaban en posición y obligación, </w:t>
      </w:r>
      <w:r w:rsidR="00B900D4" w:rsidRPr="00724730">
        <w:rPr>
          <w:rFonts w:ascii="Verdana" w:hAnsi="Verdana" w:cs="BookAntiqua"/>
          <w:sz w:val="20"/>
          <w:szCs w:val="20"/>
          <w:lang w:val="es-CR"/>
        </w:rPr>
        <w:t>por control de convencionalidad</w:t>
      </w:r>
      <w:r w:rsidR="00B900D4" w:rsidRPr="00590CB5">
        <w:rPr>
          <w:rFonts w:ascii="Verdana" w:hAnsi="Verdana" w:cs="BookAntiqua"/>
          <w:sz w:val="20"/>
          <w:szCs w:val="20"/>
          <w:lang w:val="es-CR"/>
        </w:rPr>
        <w:t xml:space="preserve">, de garantizar una protección judicial con las debidas garantías a las […] víctimas, […] </w:t>
      </w:r>
      <w:r w:rsidR="00B900D4" w:rsidRPr="00590CB5">
        <w:rPr>
          <w:rFonts w:ascii="Verdana" w:hAnsi="Verdana" w:cs="BookAntiqua"/>
          <w:i/>
          <w:sz w:val="20"/>
          <w:szCs w:val="20"/>
          <w:u w:val="single"/>
          <w:lang w:val="es-CR"/>
        </w:rPr>
        <w:t>analizando la motivación o la finalidad real del acto impugnado más allá de las razones formales invocadas por la autoridad recurrida, así como los elementos contextuales e indiciarios</w:t>
      </w:r>
      <w:r w:rsidR="00B900D4" w:rsidRPr="00590CB5">
        <w:rPr>
          <w:rFonts w:ascii="Verdana" w:hAnsi="Verdana" w:cs="BookAntiqua"/>
          <w:i/>
          <w:sz w:val="20"/>
          <w:szCs w:val="20"/>
          <w:lang w:val="es-CR"/>
        </w:rPr>
        <w:t xml:space="preserve"> […]”</w:t>
      </w:r>
      <w:r w:rsidR="00B900D4" w:rsidRPr="00590CB5">
        <w:rPr>
          <w:rStyle w:val="FootnoteReference"/>
          <w:rFonts w:ascii="Verdana" w:hAnsi="Verdana" w:cs="BookAntiqua"/>
          <w:i/>
          <w:sz w:val="20"/>
          <w:szCs w:val="20"/>
          <w:lang w:val="es-CR"/>
        </w:rPr>
        <w:footnoteReference w:id="77"/>
      </w:r>
      <w:r w:rsidR="00B900D4" w:rsidRPr="00590CB5">
        <w:rPr>
          <w:rFonts w:ascii="Verdana" w:hAnsi="Verdana" w:cs="BookAntiqua"/>
          <w:i/>
          <w:sz w:val="20"/>
          <w:szCs w:val="20"/>
          <w:lang w:val="es-CR"/>
        </w:rPr>
        <w:t xml:space="preserve">. </w:t>
      </w:r>
      <w:r w:rsidR="00B859B5">
        <w:rPr>
          <w:rFonts w:ascii="Verdana" w:hAnsi="Verdana" w:cs="BookAntiqua"/>
          <w:sz w:val="20"/>
          <w:szCs w:val="20"/>
          <w:lang w:val="es-CR"/>
        </w:rPr>
        <w:t xml:space="preserve">De hecho, en el </w:t>
      </w:r>
      <w:r w:rsidR="00B900D4" w:rsidRPr="00590CB5">
        <w:rPr>
          <w:rFonts w:ascii="Verdana" w:hAnsi="Verdana" w:cs="BookAntiqua"/>
          <w:sz w:val="20"/>
          <w:szCs w:val="20"/>
          <w:lang w:val="es-CR"/>
        </w:rPr>
        <w:t xml:space="preserve">caso la Corte IDH constató que en el recurso de amparo las autoridades no indagaron </w:t>
      </w:r>
      <w:r w:rsidR="00B900D4" w:rsidRPr="00590CB5">
        <w:rPr>
          <w:rFonts w:ascii="Verdana" w:hAnsi="Verdana"/>
          <w:sz w:val="20"/>
          <w:szCs w:val="20"/>
          <w:u w:val="single"/>
          <w:lang w:val="es-CR"/>
        </w:rPr>
        <w:t>acerca de las motivaciones del despido, conformándose con las generalidades sin sustento particularizado</w:t>
      </w:r>
      <w:r w:rsidR="00B900D4" w:rsidRPr="00590CB5">
        <w:rPr>
          <w:rStyle w:val="FootnoteReference"/>
          <w:rFonts w:ascii="Verdana" w:hAnsi="Verdana"/>
          <w:sz w:val="20"/>
          <w:szCs w:val="20"/>
          <w:u w:val="single"/>
          <w:lang w:val="es-CR"/>
        </w:rPr>
        <w:footnoteReference w:id="78"/>
      </w:r>
      <w:r w:rsidR="00B900D4" w:rsidRPr="00590CB5">
        <w:rPr>
          <w:rFonts w:ascii="Verdana" w:hAnsi="Verdana" w:cs="BookAntiqua"/>
          <w:sz w:val="20"/>
          <w:szCs w:val="20"/>
          <w:lang w:val="es-CR"/>
        </w:rPr>
        <w:t xml:space="preserve">. </w:t>
      </w:r>
    </w:p>
    <w:p w14:paraId="39009516" w14:textId="77777777" w:rsidR="00B900D4" w:rsidRPr="00590CB5" w:rsidRDefault="00B900D4" w:rsidP="002A7F5B">
      <w:pPr>
        <w:pStyle w:val="ListParagraph"/>
        <w:pBdr>
          <w:top w:val="nil"/>
        </w:pBdr>
        <w:autoSpaceDE w:val="0"/>
        <w:autoSpaceDN w:val="0"/>
        <w:adjustRightInd w:val="0"/>
        <w:ind w:left="0"/>
        <w:jc w:val="both"/>
        <w:rPr>
          <w:rFonts w:ascii="Verdana" w:hAnsi="Verdana" w:cs="BookAntiqua"/>
          <w:sz w:val="20"/>
          <w:szCs w:val="20"/>
          <w:lang w:val="es-CR"/>
        </w:rPr>
      </w:pPr>
    </w:p>
    <w:p w14:paraId="2EB8E9B8" w14:textId="3F660A37" w:rsidR="000F7E8B" w:rsidRPr="000F7E8B" w:rsidRDefault="00B900D4" w:rsidP="002A7F5B">
      <w:pPr>
        <w:pStyle w:val="ListParagraph"/>
        <w:numPr>
          <w:ilvl w:val="0"/>
          <w:numId w:val="1"/>
        </w:numPr>
        <w:ind w:left="0" w:firstLine="0"/>
        <w:jc w:val="both"/>
        <w:rPr>
          <w:rFonts w:ascii="Verdana" w:hAnsi="Verdana" w:cs="BookAntiqua"/>
          <w:sz w:val="20"/>
          <w:szCs w:val="20"/>
          <w:lang w:val="es-CR"/>
        </w:rPr>
      </w:pPr>
      <w:r w:rsidRPr="00590CB5">
        <w:rPr>
          <w:rFonts w:ascii="Verdana" w:hAnsi="Verdana" w:cs="BookAntiqua"/>
          <w:sz w:val="20"/>
          <w:szCs w:val="20"/>
          <w:lang w:val="es-CR"/>
        </w:rPr>
        <w:t xml:space="preserve">Cabe destacar que </w:t>
      </w:r>
      <w:r w:rsidRPr="00590CB5">
        <w:rPr>
          <w:rFonts w:ascii="Verdana" w:hAnsi="Verdana"/>
          <w:sz w:val="20"/>
          <w:szCs w:val="20"/>
          <w:lang w:val="es-CR"/>
        </w:rPr>
        <w:t xml:space="preserve">uno de los aspectos de mayor incidencia en el ejercicio efectivo de la democracia es el de la separación de poderes y, más específicamente, el de la independencia del Poder Judicial; lo cual, como lo hizo notar la Corte IDH en la Sentencia, está recogido también en la Carta Democrática Interamericana. Puesto que tales cualidades, en </w:t>
      </w:r>
      <w:proofErr w:type="gramStart"/>
      <w:r w:rsidRPr="00590CB5">
        <w:rPr>
          <w:rFonts w:ascii="Verdana" w:hAnsi="Verdana"/>
          <w:sz w:val="20"/>
          <w:szCs w:val="20"/>
          <w:lang w:val="es-CR"/>
        </w:rPr>
        <w:t>tanto</w:t>
      </w:r>
      <w:proofErr w:type="gramEnd"/>
      <w:r w:rsidRPr="00590CB5">
        <w:rPr>
          <w:rFonts w:ascii="Verdana" w:hAnsi="Verdana"/>
          <w:sz w:val="20"/>
          <w:szCs w:val="20"/>
          <w:lang w:val="es-CR"/>
        </w:rPr>
        <w:t xml:space="preserve"> elementos esenciales de la democracia, deben ser reales y efectivas, y no solo formales, su ausencia en un determinado Estado hace que éste no sea plenamente democrático, en violación de la Carta Democrática Interamericana y de los tratados que ésta interpreta. </w:t>
      </w:r>
    </w:p>
    <w:p w14:paraId="7F6EE225" w14:textId="77777777" w:rsidR="000F7E8B" w:rsidRPr="000F7E8B" w:rsidRDefault="000F7E8B" w:rsidP="002A7F5B">
      <w:pPr>
        <w:pStyle w:val="ListParagraph"/>
        <w:rPr>
          <w:rFonts w:ascii="Verdana" w:hAnsi="Verdana"/>
          <w:sz w:val="20"/>
          <w:szCs w:val="20"/>
          <w:lang w:val="es-CR"/>
        </w:rPr>
      </w:pPr>
    </w:p>
    <w:p w14:paraId="66643D03" w14:textId="06EAF969" w:rsidR="00B900D4" w:rsidRPr="00590CB5" w:rsidRDefault="00B900D4" w:rsidP="002A7F5B">
      <w:pPr>
        <w:pStyle w:val="ListParagraph"/>
        <w:numPr>
          <w:ilvl w:val="0"/>
          <w:numId w:val="1"/>
        </w:numPr>
        <w:ind w:left="0" w:firstLine="0"/>
        <w:jc w:val="both"/>
        <w:rPr>
          <w:rFonts w:ascii="Verdana" w:hAnsi="Verdana" w:cs="BookAntiqua"/>
          <w:sz w:val="20"/>
          <w:szCs w:val="20"/>
          <w:lang w:val="es-CR"/>
        </w:rPr>
      </w:pPr>
      <w:r w:rsidRPr="00590CB5">
        <w:rPr>
          <w:rFonts w:ascii="Verdana" w:hAnsi="Verdana"/>
          <w:sz w:val="20"/>
          <w:szCs w:val="20"/>
          <w:lang w:val="es-CR"/>
        </w:rPr>
        <w:t xml:space="preserve">En este sentido, la Corte IDH expresó: </w:t>
      </w:r>
    </w:p>
    <w:p w14:paraId="2E859BFE" w14:textId="77777777" w:rsidR="00B900D4" w:rsidRPr="00590CB5" w:rsidRDefault="00B900D4" w:rsidP="002A7F5B">
      <w:pPr>
        <w:pStyle w:val="ListParagraph"/>
        <w:pBdr>
          <w:top w:val="nil"/>
        </w:pBdr>
        <w:autoSpaceDE w:val="0"/>
        <w:autoSpaceDN w:val="0"/>
        <w:adjustRightInd w:val="0"/>
        <w:ind w:left="0" w:right="708"/>
        <w:jc w:val="both"/>
        <w:rPr>
          <w:rFonts w:ascii="Verdana" w:hAnsi="Verdana"/>
          <w:sz w:val="20"/>
          <w:szCs w:val="20"/>
          <w:lang w:val="es-CR"/>
        </w:rPr>
      </w:pPr>
    </w:p>
    <w:p w14:paraId="56BE3B6F" w14:textId="77777777" w:rsidR="00B900D4" w:rsidRPr="00590CB5" w:rsidRDefault="00B900D4" w:rsidP="002A7F5B">
      <w:pPr>
        <w:pStyle w:val="ListParagraph"/>
        <w:numPr>
          <w:ilvl w:val="0"/>
          <w:numId w:val="13"/>
        </w:numPr>
        <w:pBdr>
          <w:top w:val="nil"/>
        </w:pBdr>
        <w:ind w:right="708" w:firstLine="31"/>
        <w:jc w:val="both"/>
        <w:rPr>
          <w:rFonts w:ascii="Verdana" w:hAnsi="Verdana"/>
          <w:b/>
          <w:sz w:val="18"/>
          <w:szCs w:val="18"/>
          <w:lang w:val="es-CR"/>
        </w:rPr>
      </w:pPr>
      <w:r w:rsidRPr="00590CB5">
        <w:rPr>
          <w:rFonts w:ascii="Verdana" w:hAnsi="Verdana"/>
          <w:sz w:val="18"/>
          <w:szCs w:val="18"/>
          <w:shd w:val="clear" w:color="auto" w:fill="FFFFFF"/>
          <w:lang w:val="es-CR"/>
        </w:rPr>
        <w:t xml:space="preserve">Pues bien, según la referida Carta, </w:t>
      </w:r>
      <w:r w:rsidRPr="00590CB5">
        <w:rPr>
          <w:rFonts w:ascii="Verdana" w:hAnsi="Verdana"/>
          <w:sz w:val="18"/>
          <w:szCs w:val="18"/>
          <w:u w:val="single"/>
          <w:shd w:val="clear" w:color="auto" w:fill="FFFFFF"/>
          <w:lang w:val="es-CR"/>
        </w:rPr>
        <w:t>son “elementos esenciales de la democracia representativa”,</w:t>
      </w:r>
      <w:r w:rsidRPr="00590CB5">
        <w:rPr>
          <w:rFonts w:ascii="Verdana" w:hAnsi="Verdana"/>
          <w:sz w:val="18"/>
          <w:szCs w:val="18"/>
          <w:shd w:val="clear" w:color="auto" w:fill="FFFFFF"/>
          <w:lang w:val="es-CR"/>
        </w:rPr>
        <w:t xml:space="preserve"> entre otros: “el respeto a los derechos humanos y las libertades fundamentales; el acceso al poder y su ejercicio con sujeción al estado de derecho; </w:t>
      </w:r>
      <w:r w:rsidRPr="00590CB5">
        <w:rPr>
          <w:rFonts w:ascii="Verdana" w:hAnsi="Verdana"/>
          <w:color w:val="000000"/>
          <w:sz w:val="18"/>
          <w:szCs w:val="18"/>
          <w:u w:val="single"/>
          <w:shd w:val="clear" w:color="auto" w:fill="FFFFFF"/>
          <w:lang w:val="es-CR"/>
        </w:rPr>
        <w:t xml:space="preserve">[…] </w:t>
      </w:r>
      <w:r w:rsidRPr="00590CB5">
        <w:rPr>
          <w:rFonts w:ascii="Verdana" w:hAnsi="Verdana"/>
          <w:i/>
          <w:color w:val="000000"/>
          <w:sz w:val="18"/>
          <w:szCs w:val="18"/>
          <w:u w:val="single"/>
          <w:shd w:val="clear" w:color="auto" w:fill="FFFFFF"/>
          <w:lang w:val="es-CR"/>
        </w:rPr>
        <w:t>la separación e independencia de los poderes público</w:t>
      </w:r>
      <w:r w:rsidRPr="00590CB5">
        <w:rPr>
          <w:rFonts w:ascii="Verdana" w:hAnsi="Verdana"/>
          <w:i/>
          <w:color w:val="000000"/>
          <w:sz w:val="18"/>
          <w:szCs w:val="18"/>
          <w:shd w:val="clear" w:color="auto" w:fill="FFFFFF"/>
          <w:lang w:val="es-CR"/>
        </w:rPr>
        <w:t>s”</w:t>
      </w:r>
      <w:r w:rsidRPr="00590CB5">
        <w:rPr>
          <w:rFonts w:ascii="Verdana" w:hAnsi="Verdana"/>
          <w:sz w:val="18"/>
          <w:szCs w:val="18"/>
          <w:shd w:val="clear" w:color="auto" w:fill="FFFFFF"/>
          <w:lang w:val="es-CR"/>
        </w:rPr>
        <w:t xml:space="preserve"> y, en definitiva, “la participación de la ciudadanía en las decisiones relativas a su propio desarrollo es un derecho y una responsabilidad” y “es también una condición necesaria para el pleno y efectivo ejercicio de la democracia”, por lo cual “la eliminación de toda forma de discriminación […] y de las diversas formas de intolerancia […] contribuyen al fortalecimiento de la democracia y la participación ciudadana”</w:t>
      </w:r>
      <w:r w:rsidRPr="00590CB5">
        <w:rPr>
          <w:rStyle w:val="FootnoteReference"/>
          <w:rFonts w:ascii="Verdana" w:hAnsi="Verdana"/>
          <w:sz w:val="18"/>
          <w:szCs w:val="18"/>
          <w:shd w:val="clear" w:color="auto" w:fill="FFFFFF"/>
          <w:lang w:val="es-CR"/>
        </w:rPr>
        <w:footnoteReference w:id="79"/>
      </w:r>
      <w:r w:rsidRPr="00590CB5">
        <w:rPr>
          <w:rFonts w:ascii="Verdana" w:hAnsi="Verdana"/>
          <w:sz w:val="18"/>
          <w:szCs w:val="18"/>
          <w:shd w:val="clear" w:color="auto" w:fill="FFFFFF"/>
          <w:lang w:val="es-CR"/>
        </w:rPr>
        <w:t>. [Énfasis añadido]</w:t>
      </w:r>
    </w:p>
    <w:p w14:paraId="5AFAFB32" w14:textId="77777777" w:rsidR="00B900D4" w:rsidRPr="00590CB5" w:rsidRDefault="00B900D4" w:rsidP="002A7F5B">
      <w:pPr>
        <w:pStyle w:val="ListParagraph"/>
        <w:pBdr>
          <w:top w:val="nil"/>
        </w:pBdr>
        <w:autoSpaceDE w:val="0"/>
        <w:autoSpaceDN w:val="0"/>
        <w:adjustRightInd w:val="0"/>
        <w:ind w:left="0"/>
        <w:jc w:val="both"/>
        <w:rPr>
          <w:rFonts w:ascii="Verdana" w:hAnsi="Verdana" w:cs="BookAntiqua"/>
          <w:sz w:val="20"/>
          <w:szCs w:val="20"/>
          <w:lang w:val="es-CR"/>
        </w:rPr>
      </w:pPr>
    </w:p>
    <w:p w14:paraId="6983A040" w14:textId="1A0B075B" w:rsidR="00B900D4" w:rsidRPr="00590CB5" w:rsidRDefault="00B900D4" w:rsidP="002A7F5B">
      <w:pPr>
        <w:pStyle w:val="ListParagraph"/>
        <w:numPr>
          <w:ilvl w:val="0"/>
          <w:numId w:val="1"/>
        </w:numPr>
        <w:ind w:left="0" w:firstLine="0"/>
        <w:jc w:val="both"/>
        <w:rPr>
          <w:rFonts w:ascii="Verdana" w:hAnsi="Verdana" w:cs="BookAntiqua"/>
          <w:sz w:val="20"/>
          <w:szCs w:val="20"/>
          <w:lang w:val="es-CR"/>
        </w:rPr>
      </w:pPr>
      <w:r w:rsidRPr="00590CB5">
        <w:rPr>
          <w:rFonts w:ascii="Verdana" w:hAnsi="Verdana" w:cs="BookAntiqua"/>
          <w:sz w:val="20"/>
          <w:szCs w:val="20"/>
          <w:lang w:val="es-CR"/>
        </w:rPr>
        <w:t>La falta de independencia del Poder Judicial era un hecho público y notorio en la época de los hechos</w:t>
      </w:r>
      <w:r w:rsidRPr="00590CB5">
        <w:rPr>
          <w:rStyle w:val="FootnoteReference"/>
          <w:rFonts w:ascii="Verdana" w:hAnsi="Verdana" w:cs="BookAntiqua"/>
          <w:sz w:val="20"/>
          <w:szCs w:val="20"/>
          <w:lang w:val="es-CR"/>
        </w:rPr>
        <w:footnoteReference w:id="80"/>
      </w:r>
      <w:r w:rsidR="00B3460A">
        <w:rPr>
          <w:rFonts w:ascii="Verdana" w:hAnsi="Verdana" w:cs="BookAntiqua"/>
          <w:sz w:val="20"/>
          <w:szCs w:val="20"/>
          <w:lang w:val="es-CR"/>
        </w:rPr>
        <w:t xml:space="preserve"> y la Corte IDH lo deja ver en la Sentencia</w:t>
      </w:r>
      <w:r w:rsidR="00B3460A" w:rsidRPr="00590CB5">
        <w:rPr>
          <w:rStyle w:val="FootnoteReference"/>
          <w:rFonts w:ascii="Verdana" w:hAnsi="Verdana" w:cs="BookAntiqua"/>
          <w:sz w:val="20"/>
          <w:szCs w:val="20"/>
          <w:lang w:val="es-CR"/>
        </w:rPr>
        <w:footnoteReference w:id="81"/>
      </w:r>
      <w:r w:rsidR="00B3460A">
        <w:rPr>
          <w:rFonts w:ascii="Verdana" w:hAnsi="Verdana" w:cs="BookAntiqua"/>
          <w:sz w:val="20"/>
          <w:szCs w:val="20"/>
          <w:lang w:val="es-CR"/>
        </w:rPr>
        <w:t xml:space="preserve"> (véase </w:t>
      </w:r>
      <w:r w:rsidR="00B3460A" w:rsidRPr="00B3460A">
        <w:rPr>
          <w:rFonts w:ascii="Verdana" w:hAnsi="Verdana" w:cs="BookAntiqua"/>
          <w:i/>
          <w:sz w:val="20"/>
          <w:szCs w:val="20"/>
          <w:lang w:val="es-CR"/>
        </w:rPr>
        <w:t>supra</w:t>
      </w:r>
      <w:r w:rsidR="00BD30E2">
        <w:rPr>
          <w:rFonts w:ascii="Verdana" w:hAnsi="Verdana" w:cs="BookAntiqua"/>
          <w:sz w:val="20"/>
          <w:szCs w:val="20"/>
          <w:lang w:val="es-CR"/>
        </w:rPr>
        <w:t>, párr. 49</w:t>
      </w:r>
      <w:r w:rsidR="00B3460A">
        <w:rPr>
          <w:rFonts w:ascii="Verdana" w:hAnsi="Verdana" w:cs="BookAntiqua"/>
          <w:sz w:val="20"/>
          <w:szCs w:val="20"/>
          <w:lang w:val="es-CR"/>
        </w:rPr>
        <w:t xml:space="preserve"> del </w:t>
      </w:r>
      <w:r w:rsidR="00B3460A">
        <w:rPr>
          <w:rFonts w:ascii="Verdana" w:hAnsi="Verdana" w:cs="BookAntiqua"/>
          <w:sz w:val="20"/>
          <w:szCs w:val="20"/>
          <w:lang w:val="es-CR"/>
        </w:rPr>
        <w:lastRenderedPageBreak/>
        <w:t>presente Voto)</w:t>
      </w:r>
      <w:r w:rsidRPr="00590CB5">
        <w:rPr>
          <w:rFonts w:ascii="Verdana" w:hAnsi="Verdana" w:cs="BookAntiqua"/>
          <w:sz w:val="20"/>
          <w:szCs w:val="20"/>
          <w:lang w:val="es-CR"/>
        </w:rPr>
        <w:t>. Además, cabe destacar que si bien el amparo constitucional fue admitido, lo cierto es que al exigir la prueba diabólica —es decir, que lograra comprobar que la verdadera razón de la terminación de los contratos laborales fue la firma de</w:t>
      </w:r>
      <w:r w:rsidR="00520678">
        <w:rPr>
          <w:rFonts w:ascii="Verdana" w:hAnsi="Verdana" w:cs="BookAntiqua"/>
          <w:sz w:val="20"/>
          <w:szCs w:val="20"/>
          <w:lang w:val="es-CR"/>
        </w:rPr>
        <w:t xml:space="preserve"> </w:t>
      </w:r>
      <w:r w:rsidRPr="00590CB5">
        <w:rPr>
          <w:rFonts w:ascii="Verdana" w:hAnsi="Verdana" w:cs="BookAntiqua"/>
          <w:sz w:val="20"/>
          <w:szCs w:val="20"/>
          <w:lang w:val="es-CR"/>
        </w:rPr>
        <w:t>l</w:t>
      </w:r>
      <w:r w:rsidR="00520678">
        <w:rPr>
          <w:rFonts w:ascii="Verdana" w:hAnsi="Verdana" w:cs="BookAntiqua"/>
          <w:sz w:val="20"/>
          <w:szCs w:val="20"/>
          <w:lang w:val="es-CR"/>
        </w:rPr>
        <w:t>a solicitud de</w:t>
      </w:r>
      <w:r w:rsidRPr="00590CB5">
        <w:rPr>
          <w:rFonts w:ascii="Verdana" w:hAnsi="Verdana" w:cs="BookAntiqua"/>
          <w:sz w:val="20"/>
          <w:szCs w:val="20"/>
          <w:lang w:val="es-CR"/>
        </w:rPr>
        <w:t xml:space="preserve"> revocatori</w:t>
      </w:r>
      <w:r w:rsidR="00520678">
        <w:rPr>
          <w:rFonts w:ascii="Verdana" w:hAnsi="Verdana" w:cs="BookAntiqua"/>
          <w:sz w:val="20"/>
          <w:szCs w:val="20"/>
          <w:lang w:val="es-CR"/>
        </w:rPr>
        <w:t xml:space="preserve">a del </w:t>
      </w:r>
      <w:r w:rsidR="00520678" w:rsidRPr="00590CB5">
        <w:rPr>
          <w:rFonts w:ascii="Verdana" w:hAnsi="Verdana" w:cs="BookAntiqua"/>
          <w:sz w:val="20"/>
          <w:szCs w:val="20"/>
          <w:lang w:val="es-CR"/>
        </w:rPr>
        <w:t xml:space="preserve">mandato </w:t>
      </w:r>
      <w:r w:rsidR="00520678">
        <w:rPr>
          <w:rFonts w:ascii="Verdana" w:hAnsi="Verdana" w:cs="BookAntiqua"/>
          <w:sz w:val="20"/>
          <w:szCs w:val="20"/>
          <w:lang w:val="es-CR"/>
        </w:rPr>
        <w:t>presidencial</w:t>
      </w:r>
      <w:r w:rsidR="009B4069" w:rsidRPr="00590CB5">
        <w:rPr>
          <w:rFonts w:ascii="Verdana" w:hAnsi="Verdana" w:cs="BookAntiqua"/>
          <w:sz w:val="20"/>
          <w:szCs w:val="20"/>
          <w:lang w:val="es-CR"/>
        </w:rPr>
        <w:t>—</w:t>
      </w:r>
      <w:r w:rsidRPr="00590CB5">
        <w:rPr>
          <w:rFonts w:ascii="Verdana" w:hAnsi="Verdana" w:cs="BookAntiqua"/>
          <w:sz w:val="20"/>
          <w:szCs w:val="20"/>
          <w:lang w:val="es-CR"/>
        </w:rPr>
        <w:t>; al excluir la única prueba directa (las grabaciones telefónicas)</w:t>
      </w:r>
      <w:r w:rsidRPr="00590CB5">
        <w:rPr>
          <w:rStyle w:val="FootnoteReference"/>
          <w:rFonts w:ascii="Verdana" w:hAnsi="Verdana" w:cs="BookAntiqua"/>
          <w:sz w:val="20"/>
          <w:szCs w:val="20"/>
          <w:lang w:val="es-CR"/>
        </w:rPr>
        <w:footnoteReference w:id="82"/>
      </w:r>
      <w:r w:rsidRPr="00590CB5">
        <w:rPr>
          <w:rFonts w:ascii="Verdana" w:hAnsi="Verdana" w:cs="BookAntiqua"/>
          <w:sz w:val="20"/>
          <w:szCs w:val="20"/>
          <w:lang w:val="es-CR"/>
        </w:rPr>
        <w:t>; y al faltar en su deber de adecuada fundamentación, las autoridades judiciales no garantizaron, de manera independiente, un efectivo acceso a la justicia. Ello implicó, desde un principio, que la acción de amparo fue</w:t>
      </w:r>
      <w:r w:rsidR="00484365">
        <w:rPr>
          <w:rFonts w:ascii="Verdana" w:hAnsi="Verdana" w:cs="BookAntiqua"/>
          <w:sz w:val="20"/>
          <w:szCs w:val="20"/>
          <w:lang w:val="es-CR"/>
        </w:rPr>
        <w:t>ra</w:t>
      </w:r>
      <w:r w:rsidRPr="00590CB5">
        <w:rPr>
          <w:rFonts w:ascii="Verdana" w:hAnsi="Verdana" w:cs="BookAntiqua"/>
          <w:sz w:val="20"/>
          <w:szCs w:val="20"/>
          <w:lang w:val="es-CR"/>
        </w:rPr>
        <w:t xml:space="preserve"> un recurso ilusorio frente a los derechos q</w:t>
      </w:r>
      <w:r w:rsidR="00BD30E2">
        <w:rPr>
          <w:rFonts w:ascii="Verdana" w:hAnsi="Verdana" w:cs="BookAntiqua"/>
          <w:sz w:val="20"/>
          <w:szCs w:val="20"/>
          <w:lang w:val="es-CR"/>
        </w:rPr>
        <w:t>ue se alegaban como vulnerados, contribuyendo a la desviación de poder probada en la Sentencia.</w:t>
      </w:r>
    </w:p>
    <w:p w14:paraId="79A7B773" w14:textId="77777777" w:rsidR="00B900D4" w:rsidRPr="00590CB5" w:rsidRDefault="00B900D4" w:rsidP="002A7F5B">
      <w:pPr>
        <w:pStyle w:val="ListParagraph"/>
        <w:pBdr>
          <w:top w:val="nil"/>
        </w:pBdr>
        <w:autoSpaceDE w:val="0"/>
        <w:autoSpaceDN w:val="0"/>
        <w:adjustRightInd w:val="0"/>
        <w:ind w:left="0"/>
        <w:jc w:val="both"/>
        <w:rPr>
          <w:rFonts w:ascii="Verdana" w:hAnsi="Verdana" w:cs="BookAntiqua"/>
          <w:sz w:val="20"/>
          <w:szCs w:val="20"/>
          <w:lang w:val="es-CR"/>
        </w:rPr>
      </w:pPr>
    </w:p>
    <w:p w14:paraId="3235AED0" w14:textId="778F9830" w:rsidR="00B900D4" w:rsidRPr="005E1578" w:rsidRDefault="00B900D4" w:rsidP="002A7F5B">
      <w:pPr>
        <w:pStyle w:val="ListParagraph"/>
        <w:numPr>
          <w:ilvl w:val="0"/>
          <w:numId w:val="1"/>
        </w:numPr>
        <w:ind w:left="0" w:firstLine="0"/>
        <w:jc w:val="both"/>
        <w:rPr>
          <w:rFonts w:ascii="Verdana" w:hAnsi="Verdana" w:cs="BookAntiqua"/>
          <w:sz w:val="20"/>
          <w:szCs w:val="20"/>
          <w:lang w:val="es-CR"/>
        </w:rPr>
      </w:pPr>
      <w:r w:rsidRPr="00590CB5">
        <w:rPr>
          <w:rFonts w:ascii="Verdana" w:hAnsi="Verdana" w:cs="BookAntiqua"/>
          <w:sz w:val="20"/>
          <w:szCs w:val="20"/>
          <w:lang w:val="es-CR"/>
        </w:rPr>
        <w:t xml:space="preserve">En este contexto, no resultaría extraño que todo recurso que interpusieran las víctimas a nivel interno estuviera destinado al fracaso. Es fundamental señalar que la lista </w:t>
      </w:r>
      <w:proofErr w:type="spellStart"/>
      <w:r w:rsidRPr="00590CB5">
        <w:rPr>
          <w:rFonts w:ascii="Verdana" w:hAnsi="Verdana" w:cs="BookAntiqua"/>
          <w:sz w:val="20"/>
          <w:szCs w:val="20"/>
          <w:lang w:val="es-CR"/>
        </w:rPr>
        <w:t>Tascón</w:t>
      </w:r>
      <w:proofErr w:type="spellEnd"/>
      <w:r w:rsidRPr="00590CB5">
        <w:rPr>
          <w:rFonts w:ascii="Verdana" w:hAnsi="Verdana" w:cs="BookAntiqua"/>
          <w:sz w:val="20"/>
          <w:szCs w:val="20"/>
          <w:lang w:val="es-CR"/>
        </w:rPr>
        <w:t xml:space="preserve"> era de carácter público y que las altas a</w:t>
      </w:r>
      <w:r w:rsidR="004A3D52">
        <w:rPr>
          <w:rFonts w:ascii="Verdana" w:hAnsi="Verdana" w:cs="BookAntiqua"/>
          <w:sz w:val="20"/>
          <w:szCs w:val="20"/>
          <w:lang w:val="es-CR"/>
        </w:rPr>
        <w:t>utoridades del Poder Ejecutivo —</w:t>
      </w:r>
      <w:r w:rsidRPr="00590CB5">
        <w:rPr>
          <w:rFonts w:ascii="Verdana" w:hAnsi="Verdana" w:cs="BookAntiqua"/>
          <w:sz w:val="20"/>
          <w:szCs w:val="20"/>
          <w:lang w:val="es-CR"/>
        </w:rPr>
        <w:t>inclusive el propio Presidente de la República</w:t>
      </w:r>
      <w:r w:rsidR="004A3D52">
        <w:rPr>
          <w:rFonts w:ascii="Verdana" w:hAnsi="Verdana" w:cs="BookAntiqua"/>
          <w:sz w:val="20"/>
          <w:szCs w:val="20"/>
          <w:lang w:val="es-CR"/>
        </w:rPr>
        <w:t>—</w:t>
      </w:r>
      <w:r w:rsidRPr="00590CB5">
        <w:rPr>
          <w:rFonts w:ascii="Verdana" w:hAnsi="Verdana" w:cs="BookAntiqua"/>
          <w:sz w:val="20"/>
          <w:szCs w:val="20"/>
          <w:lang w:val="es-CR"/>
        </w:rPr>
        <w:t xml:space="preserve"> emitían declaraciones amedrentadoras con el propósito de desincentivar la p</w:t>
      </w:r>
      <w:r w:rsidR="00E85244">
        <w:rPr>
          <w:rFonts w:ascii="Verdana" w:hAnsi="Verdana" w:cs="BookAntiqua"/>
          <w:sz w:val="20"/>
          <w:szCs w:val="20"/>
          <w:lang w:val="es-CR"/>
        </w:rPr>
        <w:t xml:space="preserve">articipación política. </w:t>
      </w:r>
      <w:r w:rsidR="00E85244" w:rsidRPr="005E1578">
        <w:rPr>
          <w:rFonts w:ascii="Verdana" w:hAnsi="Verdana" w:cs="BookAntiqua"/>
          <w:sz w:val="20"/>
          <w:szCs w:val="20"/>
          <w:lang w:val="es-CR"/>
        </w:rPr>
        <w:t>Esto influyó</w:t>
      </w:r>
      <w:r w:rsidRPr="005E1578">
        <w:rPr>
          <w:rFonts w:ascii="Verdana" w:hAnsi="Verdana" w:cs="BookAntiqua"/>
          <w:sz w:val="20"/>
          <w:szCs w:val="20"/>
          <w:lang w:val="es-CR"/>
        </w:rPr>
        <w:t xml:space="preserve"> de manera negativa en las decisiones que se tomaban en el Poder Judicial. En la Sentencia se comprobó y declaró una “desviación de poder”, en la cual existía una finalidad declarada (que se encubre con un velo de legalidad) pero que es muy distinta de la finalidad real que perseguían los actos de las autoridades. Es bajo este contexto, que el Poder Judicial no era plenamente independiente para decidir sobre las violaciones de derechos constitucionales y convencionales, máxime si quienes lo solicitaban eran percibidos como disidentes u opositores al régimen político en turno.</w:t>
      </w:r>
    </w:p>
    <w:p w14:paraId="521D942E" w14:textId="77777777" w:rsidR="00B900D4" w:rsidRPr="00590CB5" w:rsidRDefault="00B900D4" w:rsidP="002A7F5B">
      <w:pPr>
        <w:pStyle w:val="ListParagraph"/>
        <w:pBdr>
          <w:top w:val="nil"/>
        </w:pBdr>
        <w:autoSpaceDE w:val="0"/>
        <w:autoSpaceDN w:val="0"/>
        <w:adjustRightInd w:val="0"/>
        <w:ind w:left="0"/>
        <w:jc w:val="both"/>
        <w:rPr>
          <w:rFonts w:ascii="Verdana" w:hAnsi="Verdana" w:cs="BookAntiqua"/>
          <w:b/>
          <w:sz w:val="20"/>
          <w:szCs w:val="20"/>
          <w:lang w:val="es-CR"/>
        </w:rPr>
      </w:pPr>
    </w:p>
    <w:p w14:paraId="4A7BF25A" w14:textId="3659B279" w:rsidR="00401338" w:rsidRPr="00B94758" w:rsidRDefault="00E85244" w:rsidP="002A7F5B">
      <w:pPr>
        <w:pStyle w:val="ListParagraph"/>
        <w:numPr>
          <w:ilvl w:val="0"/>
          <w:numId w:val="1"/>
        </w:numPr>
        <w:ind w:left="0" w:firstLine="0"/>
        <w:jc w:val="both"/>
        <w:rPr>
          <w:rFonts w:ascii="Verdana" w:hAnsi="Verdana"/>
          <w:sz w:val="20"/>
          <w:szCs w:val="20"/>
          <w:lang w:val="es-CR"/>
        </w:rPr>
      </w:pPr>
      <w:r>
        <w:rPr>
          <w:rFonts w:ascii="Verdana" w:hAnsi="Verdana" w:cs="BookAntiqua"/>
          <w:sz w:val="20"/>
          <w:szCs w:val="20"/>
          <w:lang w:val="es-CR"/>
        </w:rPr>
        <w:t>En conclusión, las víctimas fueron objeto de discriminación política mediante un despido arbitrario</w:t>
      </w:r>
      <w:r w:rsidR="00776CDA">
        <w:rPr>
          <w:rFonts w:ascii="Verdana" w:hAnsi="Verdana" w:cs="BookAntiqua"/>
          <w:sz w:val="20"/>
          <w:szCs w:val="20"/>
          <w:lang w:val="es-CR"/>
        </w:rPr>
        <w:t xml:space="preserve"> y el Poder Judicial no fue</w:t>
      </w:r>
      <w:r w:rsidR="0072215B">
        <w:rPr>
          <w:rFonts w:ascii="Verdana" w:hAnsi="Verdana" w:cs="BookAntiqua"/>
          <w:sz w:val="20"/>
          <w:szCs w:val="20"/>
          <w:lang w:val="es-CR"/>
        </w:rPr>
        <w:t xml:space="preserve"> independien</w:t>
      </w:r>
      <w:r w:rsidR="00520678">
        <w:rPr>
          <w:rFonts w:ascii="Verdana" w:hAnsi="Verdana" w:cs="BookAntiqua"/>
          <w:sz w:val="20"/>
          <w:szCs w:val="20"/>
          <w:lang w:val="es-CR"/>
        </w:rPr>
        <w:t>t</w:t>
      </w:r>
      <w:r w:rsidR="0072215B">
        <w:rPr>
          <w:rFonts w:ascii="Verdana" w:hAnsi="Verdana" w:cs="BookAntiqua"/>
          <w:sz w:val="20"/>
          <w:szCs w:val="20"/>
          <w:lang w:val="es-CR"/>
        </w:rPr>
        <w:t xml:space="preserve">e frente a actos del régimen de turno. En el caso se comprobó una “desviación de poder”, debido a que </w:t>
      </w:r>
      <w:r w:rsidRPr="0072215B">
        <w:rPr>
          <w:rFonts w:ascii="Verdana" w:hAnsi="Verdana"/>
          <w:sz w:val="20"/>
          <w:szCs w:val="20"/>
          <w:lang w:val="es-CR" w:eastAsia="en-US"/>
        </w:rPr>
        <w:t xml:space="preserve">los despidos de las víctimas tenía </w:t>
      </w:r>
      <w:r w:rsidR="0072215B">
        <w:rPr>
          <w:rFonts w:ascii="Verdana" w:hAnsi="Verdana"/>
          <w:sz w:val="20"/>
          <w:szCs w:val="20"/>
          <w:lang w:val="es-CR" w:eastAsia="en-US"/>
        </w:rPr>
        <w:t>“</w:t>
      </w:r>
      <w:r w:rsidRPr="0072215B">
        <w:rPr>
          <w:rFonts w:ascii="Verdana" w:hAnsi="Verdana"/>
          <w:sz w:val="20"/>
          <w:szCs w:val="20"/>
          <w:lang w:val="es-CR" w:eastAsia="en-US"/>
        </w:rPr>
        <w:t>la intención e</w:t>
      </w:r>
      <w:r w:rsidR="00776CDA">
        <w:rPr>
          <w:rFonts w:ascii="Verdana" w:hAnsi="Verdana"/>
          <w:sz w:val="20"/>
          <w:szCs w:val="20"/>
          <w:lang w:val="es-CR" w:eastAsia="en-US"/>
        </w:rPr>
        <w:t>n</w:t>
      </w:r>
      <w:r w:rsidRPr="0072215B">
        <w:rPr>
          <w:rFonts w:ascii="Verdana" w:hAnsi="Verdana"/>
          <w:sz w:val="20"/>
          <w:szCs w:val="20"/>
          <w:lang w:val="es-CR" w:eastAsia="en-US"/>
        </w:rPr>
        <w:t>cubierta de acallar y desincentivar la disidencia política, pues fue instrumentalizado para que otras personas se vieran amedrentadas de participar políticamente y de expresar sus ideas y opiniones</w:t>
      </w:r>
      <w:r w:rsidR="0072215B">
        <w:rPr>
          <w:rFonts w:ascii="Verdana" w:hAnsi="Verdana"/>
          <w:sz w:val="20"/>
          <w:szCs w:val="20"/>
          <w:lang w:val="es-CR" w:eastAsia="en-US"/>
        </w:rPr>
        <w:t>”</w:t>
      </w:r>
      <w:r w:rsidR="0072215B" w:rsidRPr="0072215B">
        <w:rPr>
          <w:rStyle w:val="FootnoteReference"/>
          <w:rFonts w:ascii="Verdana" w:eastAsia="Cambria" w:hAnsi="Verdana" w:cs="Cambria"/>
          <w:color w:val="000000"/>
          <w:sz w:val="20"/>
          <w:szCs w:val="20"/>
          <w:u w:color="000000"/>
        </w:rPr>
        <w:t xml:space="preserve"> </w:t>
      </w:r>
      <w:r w:rsidR="0072215B" w:rsidRPr="006D2DE2">
        <w:rPr>
          <w:rStyle w:val="FootnoteReference"/>
          <w:rFonts w:ascii="Verdana" w:eastAsia="Cambria" w:hAnsi="Verdana" w:cs="Cambria"/>
          <w:color w:val="000000"/>
          <w:sz w:val="20"/>
          <w:szCs w:val="20"/>
          <w:u w:color="000000"/>
        </w:rPr>
        <w:footnoteReference w:id="83"/>
      </w:r>
      <w:r w:rsidR="0072215B">
        <w:rPr>
          <w:rFonts w:ascii="Verdana" w:eastAsia="Cambria" w:hAnsi="Verdana" w:cs="Cambria"/>
          <w:color w:val="000000"/>
          <w:sz w:val="20"/>
          <w:szCs w:val="20"/>
          <w:u w:color="000000"/>
        </w:rPr>
        <w:t xml:space="preserve">. </w:t>
      </w:r>
      <w:r w:rsidR="004612ED" w:rsidRPr="00B94758">
        <w:rPr>
          <w:rFonts w:ascii="Verdana" w:hAnsi="Verdana"/>
          <w:sz w:val="20"/>
          <w:szCs w:val="20"/>
          <w:lang w:val="es-CR"/>
        </w:rPr>
        <w:t>L</w:t>
      </w:r>
      <w:r w:rsidR="00B900D4" w:rsidRPr="00B94758">
        <w:rPr>
          <w:rFonts w:ascii="Verdana" w:hAnsi="Verdana"/>
          <w:sz w:val="20"/>
          <w:szCs w:val="20"/>
          <w:lang w:val="es-CR"/>
        </w:rPr>
        <w:t xml:space="preserve">as autoridades </w:t>
      </w:r>
      <w:r w:rsidR="0072215B" w:rsidRPr="00B94758">
        <w:rPr>
          <w:rFonts w:ascii="Verdana" w:hAnsi="Verdana"/>
          <w:sz w:val="20"/>
          <w:szCs w:val="20"/>
          <w:lang w:val="es-CR"/>
        </w:rPr>
        <w:t xml:space="preserve">judiciales </w:t>
      </w:r>
      <w:r w:rsidR="00B900D4" w:rsidRPr="00B94758">
        <w:rPr>
          <w:rFonts w:ascii="Verdana" w:hAnsi="Verdana"/>
          <w:sz w:val="20"/>
          <w:szCs w:val="20"/>
          <w:lang w:val="es-CR"/>
        </w:rPr>
        <w:t>no indagaron acerca de las motiva</w:t>
      </w:r>
      <w:r w:rsidR="0072215B" w:rsidRPr="00B94758">
        <w:rPr>
          <w:rFonts w:ascii="Verdana" w:hAnsi="Verdana"/>
          <w:sz w:val="20"/>
          <w:szCs w:val="20"/>
          <w:lang w:val="es-CR"/>
        </w:rPr>
        <w:t>ciones del despido ante la alegada</w:t>
      </w:r>
      <w:r w:rsidR="00B900D4" w:rsidRPr="00B94758">
        <w:rPr>
          <w:rFonts w:ascii="Verdana" w:hAnsi="Verdana"/>
          <w:sz w:val="20"/>
          <w:szCs w:val="20"/>
          <w:lang w:val="es-CR"/>
        </w:rPr>
        <w:t xml:space="preserve"> desviación de p</w:t>
      </w:r>
      <w:r w:rsidR="007A2BF7" w:rsidRPr="00B94758">
        <w:rPr>
          <w:rFonts w:ascii="Verdana" w:hAnsi="Verdana"/>
          <w:sz w:val="20"/>
          <w:szCs w:val="20"/>
          <w:lang w:val="es-CR"/>
        </w:rPr>
        <w:t>oder y discriminación política, coadyuvando</w:t>
      </w:r>
      <w:r w:rsidR="007A2BF7" w:rsidRPr="00B94758">
        <w:rPr>
          <w:rFonts w:ascii="Verdana" w:hAnsi="Verdana"/>
          <w:sz w:val="20"/>
          <w:szCs w:val="20"/>
        </w:rPr>
        <w:t xml:space="preserve"> a la intención real y finalidad no declarada, </w:t>
      </w:r>
      <w:r w:rsidR="00B94758" w:rsidRPr="00B94758">
        <w:rPr>
          <w:rFonts w:ascii="Verdana" w:hAnsi="Verdana"/>
          <w:sz w:val="20"/>
          <w:szCs w:val="20"/>
          <w:lang w:val="es-CR"/>
        </w:rPr>
        <w:t>debido a que se hizo uso de una facultad discrecional en una cláusula contractual para dar por terminada una relación laboral como medida ejemplarizante y amedrentadora para otras personas que hubieran manifestado su disidencia política mediante la firma de la solicitud de revocatoria del mandato presidencial</w:t>
      </w:r>
      <w:r w:rsidR="00B94758" w:rsidRPr="00590CB5">
        <w:rPr>
          <w:rStyle w:val="FootnoteReference"/>
          <w:rFonts w:ascii="Verdana" w:hAnsi="Verdana"/>
          <w:sz w:val="20"/>
          <w:szCs w:val="20"/>
          <w:lang w:val="es-CR"/>
        </w:rPr>
        <w:footnoteReference w:id="84"/>
      </w:r>
      <w:r w:rsidR="00B94758" w:rsidRPr="00B94758">
        <w:rPr>
          <w:rFonts w:ascii="Verdana" w:hAnsi="Verdana"/>
          <w:sz w:val="20"/>
          <w:szCs w:val="20"/>
          <w:lang w:val="es-CR"/>
        </w:rPr>
        <w:t>.</w:t>
      </w:r>
      <w:r w:rsidR="00B94758">
        <w:rPr>
          <w:rFonts w:ascii="Verdana" w:hAnsi="Verdana"/>
          <w:sz w:val="20"/>
          <w:szCs w:val="20"/>
          <w:lang w:val="es-CR"/>
        </w:rPr>
        <w:t xml:space="preserve"> </w:t>
      </w:r>
      <w:r w:rsidR="00401338" w:rsidRPr="00B94758">
        <w:rPr>
          <w:rFonts w:ascii="Verdana" w:hAnsi="Verdana"/>
          <w:sz w:val="20"/>
          <w:szCs w:val="20"/>
          <w:lang w:val="es-CR"/>
        </w:rPr>
        <w:t>Bajo es</w:t>
      </w:r>
      <w:r w:rsidR="00B94758">
        <w:rPr>
          <w:rFonts w:ascii="Verdana" w:hAnsi="Verdana"/>
          <w:sz w:val="20"/>
          <w:szCs w:val="20"/>
          <w:lang w:val="es-CR"/>
        </w:rPr>
        <w:t>e contexto probado en la Sentencia,</w:t>
      </w:r>
      <w:r w:rsidR="00401338" w:rsidRPr="00B94758">
        <w:rPr>
          <w:rFonts w:ascii="Verdana" w:hAnsi="Verdana"/>
          <w:sz w:val="20"/>
          <w:szCs w:val="20"/>
          <w:lang w:val="es-CR"/>
        </w:rPr>
        <w:t xml:space="preserve"> considero que la consecuencia lógica hubiese sido que la Corte IDH</w:t>
      </w:r>
      <w:r w:rsidR="008055CE">
        <w:rPr>
          <w:rFonts w:ascii="Verdana" w:hAnsi="Verdana"/>
          <w:sz w:val="20"/>
          <w:szCs w:val="20"/>
          <w:lang w:val="es-CR"/>
        </w:rPr>
        <w:t>, además de declarar la violación del artículo 25 del Pacto de San José (protección judicial),</w:t>
      </w:r>
      <w:r w:rsidR="00BD30E2">
        <w:rPr>
          <w:rFonts w:ascii="Verdana" w:hAnsi="Verdana"/>
          <w:sz w:val="20"/>
          <w:szCs w:val="20"/>
          <w:lang w:val="es-CR"/>
        </w:rPr>
        <w:t xml:space="preserve"> declarara también la </w:t>
      </w:r>
      <w:r w:rsidR="00BD30E2">
        <w:rPr>
          <w:rFonts w:ascii="Verdana" w:hAnsi="Verdana"/>
          <w:sz w:val="20"/>
          <w:szCs w:val="20"/>
          <w:lang w:val="es-CR"/>
        </w:rPr>
        <w:lastRenderedPageBreak/>
        <w:t xml:space="preserve">violación del </w:t>
      </w:r>
      <w:r w:rsidR="00401338" w:rsidRPr="00B94758">
        <w:rPr>
          <w:rFonts w:ascii="Verdana" w:hAnsi="Verdana"/>
          <w:sz w:val="20"/>
          <w:szCs w:val="20"/>
          <w:lang w:val="es-CR"/>
        </w:rPr>
        <w:t xml:space="preserve">derecho de las víctimas a ser </w:t>
      </w:r>
      <w:r w:rsidR="003A41AB">
        <w:rPr>
          <w:rFonts w:ascii="Verdana" w:hAnsi="Verdana"/>
          <w:sz w:val="20"/>
          <w:szCs w:val="20"/>
          <w:lang w:val="es-CR"/>
        </w:rPr>
        <w:t>oídas por jueces independientes, contenido</w:t>
      </w:r>
      <w:r w:rsidR="003A41AB">
        <w:rPr>
          <w:rFonts w:ascii="Verdana" w:hAnsi="Verdana"/>
          <w:sz w:val="20"/>
          <w:szCs w:val="20"/>
        </w:rPr>
        <w:t xml:space="preserve"> en el artículo</w:t>
      </w:r>
      <w:r w:rsidR="003A41AB" w:rsidRPr="006D2DE2">
        <w:rPr>
          <w:rFonts w:ascii="Verdana" w:hAnsi="Verdana"/>
          <w:sz w:val="20"/>
          <w:szCs w:val="20"/>
        </w:rPr>
        <w:t xml:space="preserve"> 8.1 de la Convención Americana</w:t>
      </w:r>
      <w:r w:rsidR="00F87C1F">
        <w:rPr>
          <w:rFonts w:ascii="Verdana" w:hAnsi="Verdana"/>
          <w:sz w:val="20"/>
          <w:szCs w:val="20"/>
        </w:rPr>
        <w:t>.</w:t>
      </w:r>
    </w:p>
    <w:p w14:paraId="48C35073" w14:textId="7667E437" w:rsidR="000374FC" w:rsidRDefault="000374FC" w:rsidP="002A7F5B">
      <w:pPr>
        <w:pStyle w:val="ListParagraph"/>
        <w:pBdr>
          <w:top w:val="nil"/>
        </w:pBdr>
        <w:autoSpaceDE w:val="0"/>
        <w:autoSpaceDN w:val="0"/>
        <w:adjustRightInd w:val="0"/>
        <w:ind w:left="0"/>
        <w:jc w:val="both"/>
        <w:rPr>
          <w:rFonts w:ascii="Verdana" w:hAnsi="Verdana"/>
          <w:sz w:val="20"/>
          <w:szCs w:val="20"/>
          <w:lang w:val="es-CR"/>
        </w:rPr>
      </w:pPr>
    </w:p>
    <w:p w14:paraId="60CFE37A" w14:textId="77777777" w:rsidR="00B94758" w:rsidRDefault="00B94758" w:rsidP="002A7F5B">
      <w:pPr>
        <w:pStyle w:val="ListParagraph"/>
        <w:pBdr>
          <w:top w:val="nil"/>
        </w:pBdr>
        <w:autoSpaceDE w:val="0"/>
        <w:autoSpaceDN w:val="0"/>
        <w:adjustRightInd w:val="0"/>
        <w:ind w:left="0"/>
        <w:jc w:val="both"/>
        <w:rPr>
          <w:rFonts w:ascii="Verdana" w:hAnsi="Verdana"/>
          <w:sz w:val="20"/>
          <w:szCs w:val="20"/>
          <w:lang w:val="es-CR"/>
        </w:rPr>
      </w:pPr>
    </w:p>
    <w:p w14:paraId="6DE6C169" w14:textId="77777777" w:rsidR="005E3836" w:rsidRDefault="005E3836" w:rsidP="002A7F5B">
      <w:pPr>
        <w:pStyle w:val="ListParagraph"/>
        <w:pBdr>
          <w:top w:val="nil"/>
        </w:pBdr>
        <w:autoSpaceDE w:val="0"/>
        <w:autoSpaceDN w:val="0"/>
        <w:adjustRightInd w:val="0"/>
        <w:ind w:left="0"/>
        <w:jc w:val="both"/>
        <w:rPr>
          <w:rFonts w:ascii="Verdana" w:hAnsi="Verdana"/>
          <w:sz w:val="20"/>
          <w:szCs w:val="20"/>
          <w:lang w:val="es-CR"/>
        </w:rPr>
      </w:pPr>
    </w:p>
    <w:p w14:paraId="4F31E239" w14:textId="77777777" w:rsidR="001D522A" w:rsidRDefault="001D522A" w:rsidP="002A7F5B">
      <w:pPr>
        <w:pStyle w:val="ListParagraph"/>
        <w:pBdr>
          <w:top w:val="nil"/>
        </w:pBdr>
        <w:autoSpaceDE w:val="0"/>
        <w:autoSpaceDN w:val="0"/>
        <w:adjustRightInd w:val="0"/>
        <w:ind w:left="0"/>
        <w:jc w:val="both"/>
        <w:rPr>
          <w:rFonts w:ascii="Verdana" w:hAnsi="Verdana"/>
          <w:sz w:val="20"/>
          <w:szCs w:val="20"/>
          <w:lang w:val="es-CR"/>
        </w:rPr>
      </w:pPr>
    </w:p>
    <w:p w14:paraId="02EAA37A" w14:textId="77777777" w:rsidR="005270BB" w:rsidRDefault="005270BB" w:rsidP="002A7F5B">
      <w:pPr>
        <w:pStyle w:val="ListParagraph"/>
        <w:pBdr>
          <w:top w:val="nil"/>
        </w:pBdr>
        <w:autoSpaceDE w:val="0"/>
        <w:autoSpaceDN w:val="0"/>
        <w:adjustRightInd w:val="0"/>
        <w:ind w:left="0"/>
        <w:jc w:val="both"/>
        <w:rPr>
          <w:rFonts w:ascii="Verdana" w:hAnsi="Verdana"/>
          <w:sz w:val="20"/>
          <w:szCs w:val="20"/>
          <w:lang w:val="es-CR"/>
        </w:rPr>
      </w:pPr>
    </w:p>
    <w:p w14:paraId="2256B928" w14:textId="0AAB15EF" w:rsidR="00B94758" w:rsidRDefault="00B94758" w:rsidP="001D522A">
      <w:pPr>
        <w:pStyle w:val="ListParagraph"/>
        <w:pBdr>
          <w:top w:val="nil"/>
        </w:pBdr>
        <w:autoSpaceDE w:val="0"/>
        <w:autoSpaceDN w:val="0"/>
        <w:adjustRightInd w:val="0"/>
        <w:ind w:left="0" w:right="944"/>
        <w:jc w:val="right"/>
        <w:rPr>
          <w:rFonts w:ascii="Verdana" w:hAnsi="Verdana" w:cs="BookAntiqua"/>
          <w:sz w:val="20"/>
          <w:szCs w:val="20"/>
        </w:rPr>
      </w:pPr>
    </w:p>
    <w:p w14:paraId="1A0D3172" w14:textId="18E8E76D" w:rsidR="005E7FB7" w:rsidRPr="001B4A16" w:rsidRDefault="00F87C1F" w:rsidP="002A7F5B">
      <w:pPr>
        <w:pStyle w:val="NormalWeb"/>
        <w:spacing w:before="0" w:beforeAutospacing="0" w:after="0" w:afterAutospacing="0"/>
        <w:ind w:left="3600" w:right="96" w:firstLine="720"/>
        <w:jc w:val="center"/>
        <w:rPr>
          <w:rFonts w:ascii="Verdana" w:eastAsia="Calibri" w:hAnsi="Verdana"/>
          <w:lang w:eastAsia="en-US"/>
        </w:rPr>
      </w:pPr>
      <w:r>
        <w:rPr>
          <w:rFonts w:ascii="Verdana" w:eastAsia="Calibri" w:hAnsi="Verdana"/>
          <w:lang w:eastAsia="en-US"/>
        </w:rPr>
        <w:t xml:space="preserve">          </w:t>
      </w:r>
      <w:r w:rsidR="005E7FB7" w:rsidRPr="001B4A16">
        <w:rPr>
          <w:rFonts w:ascii="Verdana" w:eastAsia="Calibri" w:hAnsi="Verdana"/>
          <w:lang w:eastAsia="en-US"/>
        </w:rPr>
        <w:t>Eduardo Ferrer Mac-Gregor Poisot</w:t>
      </w:r>
    </w:p>
    <w:p w14:paraId="68140031" w14:textId="63929101" w:rsidR="005E7FB7" w:rsidRPr="004E73F3" w:rsidRDefault="00F87C1F" w:rsidP="002A7F5B">
      <w:pPr>
        <w:pStyle w:val="NormalWeb"/>
        <w:spacing w:before="0" w:beforeAutospacing="0" w:after="0" w:afterAutospacing="0"/>
        <w:ind w:left="3960" w:right="96" w:firstLine="360"/>
        <w:jc w:val="center"/>
        <w:rPr>
          <w:rFonts w:ascii="Verdana" w:eastAsia="Calibri" w:hAnsi="Verdana"/>
          <w:lang w:eastAsia="en-US"/>
        </w:rPr>
      </w:pPr>
      <w:r>
        <w:rPr>
          <w:rFonts w:ascii="Verdana" w:eastAsia="Calibri" w:hAnsi="Verdana"/>
          <w:lang w:eastAsia="en-US"/>
        </w:rPr>
        <w:t xml:space="preserve">      </w:t>
      </w:r>
      <w:r w:rsidR="002F0B94">
        <w:rPr>
          <w:rFonts w:ascii="Verdana" w:eastAsia="Calibri" w:hAnsi="Verdana"/>
          <w:lang w:eastAsia="en-US"/>
        </w:rPr>
        <w:t xml:space="preserve">  </w:t>
      </w:r>
      <w:r>
        <w:rPr>
          <w:rFonts w:ascii="Verdana" w:eastAsia="Calibri" w:hAnsi="Verdana"/>
          <w:lang w:eastAsia="en-US"/>
        </w:rPr>
        <w:t xml:space="preserve"> </w:t>
      </w:r>
      <w:r w:rsidR="005E7FB7" w:rsidRPr="001B4A16">
        <w:rPr>
          <w:rFonts w:ascii="Verdana" w:eastAsia="Calibri" w:hAnsi="Verdana"/>
          <w:lang w:eastAsia="en-US"/>
        </w:rPr>
        <w:t>Juez</w:t>
      </w:r>
    </w:p>
    <w:p w14:paraId="35045982" w14:textId="77777777" w:rsidR="005270BB" w:rsidRDefault="005270BB" w:rsidP="002A7F5B">
      <w:pPr>
        <w:rPr>
          <w:lang w:val="es-CR"/>
        </w:rPr>
      </w:pPr>
    </w:p>
    <w:p w14:paraId="1E1F13D6" w14:textId="77777777" w:rsidR="00FB5C75" w:rsidRDefault="00FB5C75" w:rsidP="002A7F5B">
      <w:pPr>
        <w:rPr>
          <w:lang w:val="es-CR"/>
        </w:rPr>
      </w:pPr>
    </w:p>
    <w:p w14:paraId="308EE15E" w14:textId="77777777" w:rsidR="005E3836" w:rsidRDefault="005E3836" w:rsidP="002A7F5B">
      <w:pPr>
        <w:rPr>
          <w:lang w:val="es-CR"/>
        </w:rPr>
      </w:pPr>
    </w:p>
    <w:p w14:paraId="7468A74A" w14:textId="77777777" w:rsidR="005E3836" w:rsidRDefault="005E3836" w:rsidP="002A7F5B">
      <w:pPr>
        <w:rPr>
          <w:lang w:val="es-CR"/>
        </w:rPr>
      </w:pPr>
    </w:p>
    <w:p w14:paraId="396E2217" w14:textId="2A6236C4" w:rsidR="003A41AB" w:rsidRPr="001B4A16" w:rsidRDefault="003A41AB" w:rsidP="002A7F5B">
      <w:pPr>
        <w:rPr>
          <w:lang w:val="es-CR"/>
        </w:rPr>
      </w:pPr>
    </w:p>
    <w:p w14:paraId="28BA5E9D" w14:textId="40AEFD0E" w:rsidR="005E7FB7" w:rsidRPr="005E7FB7" w:rsidRDefault="00F87C1F" w:rsidP="002A7F5B">
      <w:pPr>
        <w:rPr>
          <w:rFonts w:ascii="Verdana" w:hAnsi="Verdana"/>
          <w:sz w:val="20"/>
          <w:szCs w:val="20"/>
          <w:lang w:val="es-CR"/>
        </w:rPr>
      </w:pPr>
      <w:r>
        <w:rPr>
          <w:rFonts w:ascii="Verdana" w:hAnsi="Verdana"/>
          <w:sz w:val="20"/>
          <w:szCs w:val="20"/>
          <w:lang w:val="es-CR"/>
        </w:rPr>
        <w:t xml:space="preserve">      </w:t>
      </w:r>
      <w:r w:rsidR="005E7FB7" w:rsidRPr="005E7FB7">
        <w:rPr>
          <w:rFonts w:ascii="Verdana" w:hAnsi="Verdana"/>
          <w:sz w:val="20"/>
          <w:szCs w:val="20"/>
          <w:lang w:val="es-CR"/>
        </w:rPr>
        <w:t>Pablo Saavedra Alessandri</w:t>
      </w:r>
    </w:p>
    <w:p w14:paraId="0676E3C8" w14:textId="142EE61E" w:rsidR="005E7FB7" w:rsidRPr="00381A51" w:rsidRDefault="005E7FB7" w:rsidP="002A7F5B">
      <w:pPr>
        <w:rPr>
          <w:rFonts w:ascii="Verdana" w:hAnsi="Verdana"/>
          <w:sz w:val="20"/>
          <w:szCs w:val="20"/>
          <w:lang w:val="es-CR"/>
        </w:rPr>
      </w:pPr>
      <w:r w:rsidRPr="005E7FB7">
        <w:rPr>
          <w:rFonts w:ascii="Verdana" w:hAnsi="Verdana"/>
          <w:sz w:val="20"/>
          <w:szCs w:val="20"/>
          <w:lang w:val="es-CR"/>
        </w:rPr>
        <w:tab/>
      </w:r>
      <w:r w:rsidR="00F87C1F">
        <w:rPr>
          <w:rFonts w:ascii="Verdana" w:hAnsi="Verdana"/>
          <w:sz w:val="20"/>
          <w:szCs w:val="20"/>
          <w:lang w:val="es-CR"/>
        </w:rPr>
        <w:t xml:space="preserve">     </w:t>
      </w:r>
      <w:r w:rsidRPr="005E7FB7">
        <w:rPr>
          <w:rFonts w:ascii="Verdana" w:hAnsi="Verdana"/>
          <w:sz w:val="20"/>
          <w:szCs w:val="20"/>
          <w:lang w:val="es-CR"/>
        </w:rPr>
        <w:t>Secretario</w:t>
      </w:r>
    </w:p>
    <w:sectPr w:rsidR="005E7FB7" w:rsidRPr="00381A51" w:rsidSect="00484365">
      <w:footerReference w:type="even" r:id="rId9"/>
      <w:footerReference w:type="default" r:id="rId10"/>
      <w:pgSz w:w="12240" w:h="15840"/>
      <w:pgMar w:top="1417" w:right="1418"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C170" w14:textId="77777777" w:rsidR="006F062E" w:rsidRDefault="006F062E" w:rsidP="005715A6">
      <w:r>
        <w:separator/>
      </w:r>
    </w:p>
  </w:endnote>
  <w:endnote w:type="continuationSeparator" w:id="0">
    <w:p w14:paraId="4CE92633" w14:textId="77777777" w:rsidR="006F062E" w:rsidRDefault="006F062E" w:rsidP="005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1041" w14:textId="77777777" w:rsidR="007451F5" w:rsidRDefault="007451F5" w:rsidP="004843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7B15C" w14:textId="77777777" w:rsidR="007451F5" w:rsidRDefault="0074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0B7E" w14:textId="77777777" w:rsidR="007451F5" w:rsidRPr="002747B7" w:rsidRDefault="007451F5" w:rsidP="00484365">
    <w:pPr>
      <w:pStyle w:val="Footer"/>
      <w:framePr w:wrap="none" w:vAnchor="text" w:hAnchor="margin" w:xAlign="center" w:y="1"/>
      <w:rPr>
        <w:rStyle w:val="PageNumber"/>
        <w:rFonts w:ascii="Verdana" w:hAnsi="Verdana"/>
        <w:sz w:val="20"/>
        <w:szCs w:val="20"/>
      </w:rPr>
    </w:pPr>
    <w:r w:rsidRPr="002747B7">
      <w:rPr>
        <w:rStyle w:val="PageNumber"/>
        <w:rFonts w:ascii="Verdana" w:hAnsi="Verdana"/>
        <w:sz w:val="20"/>
        <w:szCs w:val="20"/>
      </w:rPr>
      <w:fldChar w:fldCharType="begin"/>
    </w:r>
    <w:r w:rsidRPr="002747B7">
      <w:rPr>
        <w:rStyle w:val="PageNumber"/>
        <w:rFonts w:ascii="Verdana" w:hAnsi="Verdana"/>
        <w:sz w:val="20"/>
        <w:szCs w:val="20"/>
      </w:rPr>
      <w:instrText xml:space="preserve">PAGE  </w:instrText>
    </w:r>
    <w:r w:rsidRPr="002747B7">
      <w:rPr>
        <w:rStyle w:val="PageNumber"/>
        <w:rFonts w:ascii="Verdana" w:hAnsi="Verdana"/>
        <w:sz w:val="20"/>
        <w:szCs w:val="20"/>
      </w:rPr>
      <w:fldChar w:fldCharType="separate"/>
    </w:r>
    <w:r w:rsidR="00C932A0">
      <w:rPr>
        <w:rStyle w:val="PageNumber"/>
        <w:rFonts w:ascii="Verdana" w:hAnsi="Verdana"/>
        <w:noProof/>
        <w:sz w:val="20"/>
        <w:szCs w:val="20"/>
      </w:rPr>
      <w:t>2</w:t>
    </w:r>
    <w:r w:rsidRPr="002747B7">
      <w:rPr>
        <w:rStyle w:val="PageNumber"/>
        <w:rFonts w:ascii="Verdana" w:hAnsi="Verdana"/>
        <w:sz w:val="20"/>
        <w:szCs w:val="20"/>
      </w:rPr>
      <w:fldChar w:fldCharType="end"/>
    </w:r>
  </w:p>
  <w:p w14:paraId="144547CC" w14:textId="77777777" w:rsidR="007451F5" w:rsidRDefault="0074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0A6A" w14:textId="77777777" w:rsidR="006F062E" w:rsidRDefault="006F062E" w:rsidP="005715A6">
      <w:r>
        <w:separator/>
      </w:r>
    </w:p>
  </w:footnote>
  <w:footnote w:type="continuationSeparator" w:id="0">
    <w:p w14:paraId="560D9FE8" w14:textId="77777777" w:rsidR="006F062E" w:rsidRDefault="006F062E" w:rsidP="005715A6">
      <w:r>
        <w:continuationSeparator/>
      </w:r>
    </w:p>
  </w:footnote>
  <w:footnote w:id="1">
    <w:p w14:paraId="36F107BD" w14:textId="0E7BBF3D" w:rsidR="007451F5" w:rsidRPr="001D32B8" w:rsidRDefault="007451F5" w:rsidP="003A4786">
      <w:pPr>
        <w:jc w:val="both"/>
        <w:rPr>
          <w:rFonts w:ascii="Verdana" w:eastAsia="Times New Roman" w:hAnsi="Verdana" w:cs="Times New Roman"/>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w:t>
      </w:r>
    </w:p>
    <w:p w14:paraId="2B7CE841" w14:textId="42011AFE" w:rsidR="007451F5" w:rsidRPr="001D32B8" w:rsidRDefault="007451F5" w:rsidP="003A4786">
      <w:pPr>
        <w:pStyle w:val="FootnoteText"/>
        <w:jc w:val="both"/>
        <w:rPr>
          <w:rFonts w:ascii="Verdana" w:hAnsi="Verdana"/>
          <w:sz w:val="16"/>
          <w:szCs w:val="16"/>
        </w:rPr>
      </w:pPr>
    </w:p>
  </w:footnote>
  <w:footnote w:id="2">
    <w:p w14:paraId="19725AFC" w14:textId="77777777" w:rsidR="007451F5" w:rsidRPr="001D32B8" w:rsidRDefault="007451F5" w:rsidP="003A4786">
      <w:pPr>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p>
    <w:p w14:paraId="08322093" w14:textId="5319474B" w:rsidR="007451F5" w:rsidRPr="001D32B8" w:rsidRDefault="007451F5" w:rsidP="003A4786">
      <w:pPr>
        <w:jc w:val="both"/>
        <w:rPr>
          <w:rFonts w:ascii="Verdana" w:eastAsia="Times New Roman" w:hAnsi="Verdana" w:cs="Times New Roman"/>
          <w:sz w:val="16"/>
          <w:szCs w:val="16"/>
          <w:lang w:val="es-MX"/>
        </w:rPr>
      </w:pPr>
      <w:r w:rsidRPr="001D32B8">
        <w:rPr>
          <w:rFonts w:ascii="Verdana" w:eastAsia="Times New Roman" w:hAnsi="Verdana" w:cs="Times New Roman"/>
          <w:bCs/>
          <w:color w:val="000000"/>
          <w:sz w:val="16"/>
          <w:szCs w:val="16"/>
          <w:lang w:val="es-MX"/>
        </w:rPr>
        <w:t xml:space="preserve"> </w:t>
      </w:r>
    </w:p>
  </w:footnote>
  <w:footnote w:id="3">
    <w:p w14:paraId="6702F6F7" w14:textId="3425F89D" w:rsidR="007451F5" w:rsidRPr="001D32B8" w:rsidRDefault="007451F5" w:rsidP="00FD3A68">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221. </w:t>
      </w:r>
    </w:p>
    <w:p w14:paraId="77C9478E" w14:textId="77777777" w:rsidR="007451F5" w:rsidRPr="001D32B8" w:rsidRDefault="007451F5" w:rsidP="00FD3A68">
      <w:pPr>
        <w:pStyle w:val="FootnoteText"/>
        <w:jc w:val="both"/>
        <w:rPr>
          <w:rFonts w:ascii="Verdana" w:hAnsi="Verdana"/>
          <w:sz w:val="16"/>
          <w:szCs w:val="16"/>
        </w:rPr>
      </w:pPr>
    </w:p>
  </w:footnote>
  <w:footnote w:id="4">
    <w:p w14:paraId="73E46830" w14:textId="12031EA6"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Al respecto</w:t>
      </w:r>
      <w:r w:rsidR="00B97227">
        <w:rPr>
          <w:rFonts w:ascii="Verdana" w:hAnsi="Verdana"/>
          <w:sz w:val="16"/>
          <w:szCs w:val="16"/>
        </w:rPr>
        <w:t>,</w:t>
      </w:r>
      <w:r w:rsidRPr="001D32B8">
        <w:rPr>
          <w:rFonts w:ascii="Verdana" w:hAnsi="Verdana"/>
          <w:sz w:val="16"/>
          <w:szCs w:val="16"/>
        </w:rPr>
        <w:t xml:space="preserve"> el punto resolutivo 7 establece: “El Estado no es responsable por la alegada violación del derecho a las garantías judiciales, específicamente a ser oído por un juez independiente y en un plazo razonable, reconocido en el artículo 8.1 de la Convención Americana sobre Derechos Humanos, por las razones señaladas en los párrafos 197 y 201 a 210 de esta Sentencia”. </w:t>
      </w:r>
    </w:p>
    <w:p w14:paraId="4B2C23D6" w14:textId="77777777" w:rsidR="007451F5" w:rsidRPr="001D32B8" w:rsidRDefault="007451F5" w:rsidP="003A4786">
      <w:pPr>
        <w:pStyle w:val="FootnoteText"/>
        <w:jc w:val="both"/>
        <w:rPr>
          <w:rFonts w:ascii="Verdana" w:hAnsi="Verdana"/>
          <w:sz w:val="16"/>
          <w:szCs w:val="16"/>
        </w:rPr>
      </w:pPr>
    </w:p>
  </w:footnote>
  <w:footnote w:id="5">
    <w:p w14:paraId="5967AA8C" w14:textId="2FBF6E9C"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210. </w:t>
      </w:r>
    </w:p>
    <w:p w14:paraId="3A61463F" w14:textId="77777777" w:rsidR="007451F5" w:rsidRPr="001D32B8" w:rsidRDefault="007451F5" w:rsidP="003A4786">
      <w:pPr>
        <w:pStyle w:val="FootnoteText"/>
        <w:jc w:val="both"/>
        <w:rPr>
          <w:rFonts w:ascii="Verdana" w:hAnsi="Verdana"/>
          <w:sz w:val="16"/>
          <w:szCs w:val="16"/>
        </w:rPr>
      </w:pPr>
    </w:p>
  </w:footnote>
  <w:footnote w:id="6">
    <w:p w14:paraId="084C9019" w14:textId="6679FD35" w:rsidR="007451F5" w:rsidRPr="001D32B8" w:rsidRDefault="007451F5" w:rsidP="003A4786">
      <w:pPr>
        <w:widowControl w:val="0"/>
        <w:autoSpaceDE w:val="0"/>
        <w:autoSpaceDN w:val="0"/>
        <w:adjustRightInd w:val="0"/>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1.  </w:t>
      </w:r>
    </w:p>
    <w:p w14:paraId="687D5859" w14:textId="1BFDC111" w:rsidR="007451F5" w:rsidRPr="001D32B8" w:rsidRDefault="007451F5" w:rsidP="003A4786">
      <w:pPr>
        <w:pStyle w:val="FootnoteText"/>
        <w:jc w:val="both"/>
        <w:rPr>
          <w:rFonts w:ascii="Verdana" w:hAnsi="Verdana"/>
          <w:sz w:val="16"/>
          <w:szCs w:val="16"/>
        </w:rPr>
      </w:pPr>
    </w:p>
  </w:footnote>
  <w:footnote w:id="7">
    <w:p w14:paraId="61E95ED3" w14:textId="03EB814D"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6. </w:t>
      </w:r>
    </w:p>
    <w:p w14:paraId="66A78EDA" w14:textId="77777777" w:rsidR="007451F5" w:rsidRPr="001D32B8" w:rsidRDefault="007451F5" w:rsidP="003A4786">
      <w:pPr>
        <w:pStyle w:val="FootnoteText"/>
        <w:jc w:val="both"/>
        <w:rPr>
          <w:rFonts w:ascii="Verdana" w:hAnsi="Verdana"/>
          <w:sz w:val="16"/>
          <w:szCs w:val="16"/>
        </w:rPr>
      </w:pPr>
    </w:p>
  </w:footnote>
  <w:footnote w:id="8">
    <w:p w14:paraId="531D9DD1" w14:textId="1E63685E"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19. </w:t>
      </w:r>
    </w:p>
    <w:p w14:paraId="3652388F" w14:textId="77777777" w:rsidR="007451F5" w:rsidRPr="001D32B8" w:rsidRDefault="007451F5" w:rsidP="003A4786">
      <w:pPr>
        <w:pStyle w:val="FootnoteText"/>
        <w:jc w:val="both"/>
        <w:rPr>
          <w:rFonts w:ascii="Verdana" w:hAnsi="Verdana"/>
          <w:sz w:val="16"/>
          <w:szCs w:val="16"/>
        </w:rPr>
      </w:pPr>
    </w:p>
  </w:footnote>
  <w:footnote w:id="9">
    <w:p w14:paraId="697A71BE" w14:textId="78C19A87"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2. </w:t>
      </w:r>
    </w:p>
    <w:p w14:paraId="331B20AF" w14:textId="77777777" w:rsidR="007451F5" w:rsidRPr="001D32B8" w:rsidRDefault="007451F5" w:rsidP="003A4786">
      <w:pPr>
        <w:pStyle w:val="FootnoteText"/>
        <w:jc w:val="both"/>
        <w:rPr>
          <w:rFonts w:ascii="Verdana" w:hAnsi="Verdana"/>
          <w:sz w:val="16"/>
          <w:szCs w:val="16"/>
        </w:rPr>
      </w:pPr>
    </w:p>
  </w:footnote>
  <w:footnote w:id="10">
    <w:p w14:paraId="020F41F2" w14:textId="6C1313FB"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sidR="00B97227">
        <w:rPr>
          <w:rFonts w:ascii="Verdana" w:hAnsi="Verdana"/>
          <w:sz w:val="16"/>
          <w:szCs w:val="16"/>
        </w:rPr>
        <w:t xml:space="preserve">ONU, </w:t>
      </w:r>
      <w:r w:rsidRPr="001D32B8">
        <w:rPr>
          <w:rFonts w:ascii="Verdana" w:hAnsi="Verdana"/>
          <w:sz w:val="16"/>
          <w:szCs w:val="16"/>
        </w:rPr>
        <w:t xml:space="preserve">Comité </w:t>
      </w:r>
      <w:r w:rsidR="00B97227">
        <w:rPr>
          <w:rFonts w:ascii="Verdana" w:hAnsi="Verdana"/>
          <w:sz w:val="16"/>
          <w:szCs w:val="16"/>
        </w:rPr>
        <w:t>DESC</w:t>
      </w:r>
      <w:r w:rsidRPr="001D32B8">
        <w:rPr>
          <w:rFonts w:ascii="Verdana" w:hAnsi="Verdana"/>
          <w:sz w:val="16"/>
          <w:szCs w:val="16"/>
        </w:rPr>
        <w:t xml:space="preserve">, Observación General No. 20, </w:t>
      </w:r>
      <w:r w:rsidRPr="001D32B8">
        <w:rPr>
          <w:rFonts w:ascii="Verdana" w:hAnsi="Verdana"/>
          <w:i/>
          <w:sz w:val="16"/>
          <w:szCs w:val="16"/>
        </w:rPr>
        <w:t>La no discriminación y los derechos económicos, sociales y culturales (artículo 2, párrafo 2 del Pacto Internacional de los Derechos Económicos, Sociales y Culturales)</w:t>
      </w:r>
      <w:r w:rsidRPr="001D32B8">
        <w:rPr>
          <w:rFonts w:ascii="Verdana" w:hAnsi="Verdana"/>
          <w:sz w:val="16"/>
          <w:szCs w:val="16"/>
        </w:rPr>
        <w:t xml:space="preserve">, 2 de julio de 2009, E/C.12/GC/20, </w:t>
      </w:r>
      <w:r w:rsidRPr="001D32B8">
        <w:rPr>
          <w:rFonts w:ascii="Verdana" w:hAnsi="Verdana" w:cs="Times"/>
          <w:sz w:val="16"/>
          <w:szCs w:val="16"/>
          <w:lang w:val="es-ES"/>
        </w:rPr>
        <w:t xml:space="preserve">párr. 23. </w:t>
      </w:r>
    </w:p>
    <w:p w14:paraId="32C1B36A" w14:textId="77777777" w:rsidR="007451F5" w:rsidRPr="001D32B8" w:rsidRDefault="007451F5" w:rsidP="003A4786">
      <w:pPr>
        <w:pStyle w:val="FootnoteText"/>
        <w:jc w:val="both"/>
        <w:rPr>
          <w:rFonts w:ascii="Verdana" w:hAnsi="Verdana"/>
          <w:sz w:val="16"/>
          <w:szCs w:val="16"/>
        </w:rPr>
      </w:pPr>
    </w:p>
  </w:footnote>
  <w:footnote w:id="11">
    <w:p w14:paraId="5567B848" w14:textId="7214A7E5"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33. </w:t>
      </w:r>
    </w:p>
    <w:p w14:paraId="40D0AAF0" w14:textId="77777777" w:rsidR="007451F5" w:rsidRPr="001D32B8" w:rsidRDefault="007451F5" w:rsidP="003A4786">
      <w:pPr>
        <w:pStyle w:val="FootnoteText"/>
        <w:jc w:val="both"/>
        <w:rPr>
          <w:rFonts w:ascii="Verdana" w:hAnsi="Verdana"/>
          <w:sz w:val="16"/>
          <w:szCs w:val="16"/>
        </w:rPr>
      </w:pPr>
    </w:p>
  </w:footnote>
  <w:footnote w:id="12">
    <w:p w14:paraId="1F75AD1A" w14:textId="098A60DE"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48. </w:t>
      </w:r>
    </w:p>
    <w:p w14:paraId="11F6A908" w14:textId="77777777" w:rsidR="007451F5" w:rsidRPr="001D32B8" w:rsidRDefault="007451F5" w:rsidP="003A4786">
      <w:pPr>
        <w:pStyle w:val="FootnoteText"/>
        <w:jc w:val="both"/>
        <w:rPr>
          <w:rFonts w:ascii="Verdana" w:hAnsi="Verdana"/>
          <w:sz w:val="16"/>
          <w:szCs w:val="16"/>
        </w:rPr>
      </w:pPr>
    </w:p>
  </w:footnote>
  <w:footnote w:id="13">
    <w:p w14:paraId="0476B8D5" w14:textId="44AF3E52" w:rsidR="007451F5" w:rsidRPr="001D32B8" w:rsidRDefault="007451F5" w:rsidP="003A4786">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50. </w:t>
      </w:r>
    </w:p>
    <w:p w14:paraId="3DF035E5" w14:textId="77777777" w:rsidR="007451F5" w:rsidRPr="001D32B8" w:rsidRDefault="007451F5" w:rsidP="003A4786">
      <w:pPr>
        <w:pStyle w:val="FootnoteText"/>
        <w:jc w:val="both"/>
        <w:rPr>
          <w:rFonts w:ascii="Verdana" w:hAnsi="Verdana"/>
          <w:sz w:val="16"/>
          <w:szCs w:val="16"/>
        </w:rPr>
      </w:pPr>
    </w:p>
  </w:footnote>
  <w:footnote w:id="14">
    <w:p w14:paraId="7502E0DE" w14:textId="44585D19" w:rsidR="007451F5" w:rsidRPr="001D32B8" w:rsidRDefault="007451F5" w:rsidP="003A4786">
      <w:pPr>
        <w:jc w:val="both"/>
        <w:rPr>
          <w:rFonts w:ascii="Verdana" w:eastAsia="Times New Roman" w:hAnsi="Verdana" w:cs="Times New Roman"/>
          <w:b/>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Me refiero a lo decidido en los casos </w:t>
      </w:r>
      <w:r w:rsidRPr="001D32B8">
        <w:rPr>
          <w:rFonts w:ascii="Verdana" w:hAnsi="Verdana"/>
          <w:i/>
          <w:sz w:val="16"/>
          <w:szCs w:val="16"/>
        </w:rPr>
        <w:t>Lagos del Campo Vs. Perú</w:t>
      </w:r>
      <w:r w:rsidRPr="001D32B8">
        <w:rPr>
          <w:rFonts w:ascii="Verdana" w:hAnsi="Verdana"/>
          <w:sz w:val="16"/>
          <w:szCs w:val="16"/>
        </w:rPr>
        <w:t xml:space="preserve"> y </w:t>
      </w:r>
      <w:r w:rsidRPr="001D32B8">
        <w:rPr>
          <w:rFonts w:ascii="Verdana" w:hAnsi="Verdana"/>
          <w:i/>
          <w:sz w:val="16"/>
          <w:szCs w:val="16"/>
        </w:rPr>
        <w:t>Trabajadores Cesados del Petroperú</w:t>
      </w:r>
      <w:r w:rsidRPr="001D32B8">
        <w:rPr>
          <w:rFonts w:ascii="Verdana" w:hAnsi="Verdana"/>
          <w:sz w:val="16"/>
          <w:szCs w:val="16"/>
        </w:rPr>
        <w:t xml:space="preserve"> en lo relativo al derecho al trabajo; por otra parte también hay que tener en consideración lo considerado por la Corte IDH en la Opinión Consultiva No. 23 sobre la </w:t>
      </w:r>
      <w:proofErr w:type="spellStart"/>
      <w:r w:rsidRPr="001D32B8">
        <w:rPr>
          <w:rFonts w:ascii="Verdana" w:hAnsi="Verdana"/>
          <w:sz w:val="16"/>
          <w:szCs w:val="16"/>
        </w:rPr>
        <w:t>justiciabilidad</w:t>
      </w:r>
      <w:proofErr w:type="spellEnd"/>
      <w:r w:rsidRPr="001D32B8">
        <w:rPr>
          <w:rFonts w:ascii="Verdana" w:hAnsi="Verdana"/>
          <w:sz w:val="16"/>
          <w:szCs w:val="16"/>
        </w:rPr>
        <w:t xml:space="preserve"> del derecho al medio ambiente sano protegido por el artículo 26 de la Convención Americana. </w:t>
      </w:r>
      <w:r w:rsidRPr="001D32B8">
        <w:rPr>
          <w:rFonts w:ascii="Verdana" w:hAnsi="Verdana"/>
          <w:i/>
          <w:sz w:val="16"/>
          <w:szCs w:val="16"/>
        </w:rPr>
        <w:t>Cfr.</w:t>
      </w:r>
      <w:r w:rsidRPr="001D32B8">
        <w:rPr>
          <w:rFonts w:ascii="Verdana" w:hAnsi="Verdana"/>
          <w:sz w:val="16"/>
          <w:szCs w:val="16"/>
        </w:rPr>
        <w:t xml:space="preserve"> </w:t>
      </w:r>
      <w:r w:rsidRPr="005270BB">
        <w:rPr>
          <w:rFonts w:ascii="Verdana" w:eastAsia="Times New Roman" w:hAnsi="Verdana" w:cs="Times New Roman"/>
          <w:bCs/>
          <w:i/>
          <w:color w:val="000000"/>
          <w:sz w:val="16"/>
          <w:szCs w:val="16"/>
          <w:lang w:val="es-MX"/>
        </w:rPr>
        <w:t>M</w:t>
      </w:r>
      <w:r w:rsidRPr="001D32B8">
        <w:rPr>
          <w:rFonts w:ascii="Verdana" w:eastAsia="Times New Roman" w:hAnsi="Verdana" w:cs="Times New Roman"/>
          <w:bCs/>
          <w:i/>
          <w:color w:val="000000"/>
          <w:sz w:val="16"/>
          <w:szCs w:val="16"/>
          <w:lang w:val="es-MX"/>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1D32B8">
        <w:rPr>
          <w:rFonts w:ascii="Verdana" w:eastAsia="Times New Roman" w:hAnsi="Verdana" w:cs="Times New Roman"/>
          <w:bCs/>
          <w:color w:val="000000"/>
          <w:sz w:val="16"/>
          <w:szCs w:val="16"/>
          <w:lang w:val="es-MX"/>
        </w:rPr>
        <w:t>. Opinión Consultiva OC-23/17 de 15 de noviembre de 2017. Serie A No. 23.</w:t>
      </w:r>
    </w:p>
    <w:p w14:paraId="1AF8C663" w14:textId="52EE8C6B" w:rsidR="007451F5" w:rsidRPr="001D32B8" w:rsidRDefault="007451F5" w:rsidP="003A4786">
      <w:pPr>
        <w:pStyle w:val="FootnoteText"/>
        <w:jc w:val="both"/>
        <w:rPr>
          <w:rFonts w:ascii="Verdana" w:hAnsi="Verdana"/>
          <w:sz w:val="16"/>
          <w:szCs w:val="16"/>
        </w:rPr>
      </w:pPr>
    </w:p>
  </w:footnote>
  <w:footnote w:id="15">
    <w:p w14:paraId="54DF8E71" w14:textId="180DB258"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Por ejemplo, </w:t>
      </w:r>
      <w:r w:rsidR="00B97227">
        <w:rPr>
          <w:rFonts w:ascii="Verdana" w:hAnsi="Verdana"/>
          <w:sz w:val="16"/>
          <w:szCs w:val="16"/>
        </w:rPr>
        <w:t>los derechos a</w:t>
      </w:r>
      <w:r w:rsidRPr="001D32B8">
        <w:rPr>
          <w:rFonts w:ascii="Verdana" w:hAnsi="Verdana"/>
          <w:sz w:val="16"/>
          <w:szCs w:val="16"/>
        </w:rPr>
        <w:t xml:space="preserve"> la salud, alimentación, cultura, vivienda, medio ambiente, educación, seguridad social, sindica</w:t>
      </w:r>
      <w:r>
        <w:rPr>
          <w:rFonts w:ascii="Verdana" w:hAnsi="Verdana"/>
          <w:sz w:val="16"/>
          <w:szCs w:val="16"/>
        </w:rPr>
        <w:t>liza</w:t>
      </w:r>
      <w:r w:rsidRPr="001D32B8">
        <w:rPr>
          <w:rFonts w:ascii="Verdana" w:hAnsi="Verdana"/>
          <w:sz w:val="16"/>
          <w:szCs w:val="16"/>
        </w:rPr>
        <w:t xml:space="preserve">ción. </w:t>
      </w:r>
    </w:p>
    <w:p w14:paraId="28D406A6" w14:textId="77777777" w:rsidR="007451F5" w:rsidRPr="001D32B8" w:rsidRDefault="007451F5" w:rsidP="003A4786">
      <w:pPr>
        <w:pStyle w:val="FootnoteText"/>
        <w:jc w:val="both"/>
        <w:rPr>
          <w:rFonts w:ascii="Verdana" w:hAnsi="Verdana"/>
          <w:sz w:val="16"/>
          <w:szCs w:val="16"/>
        </w:rPr>
      </w:pPr>
    </w:p>
  </w:footnote>
  <w:footnote w:id="16">
    <w:p w14:paraId="040CD0A3" w14:textId="54C88F3C"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 xml:space="preserve">Véase: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párr. 166 y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párr. 193. </w:t>
      </w:r>
    </w:p>
    <w:p w14:paraId="1F687406" w14:textId="68C0D22F" w:rsidR="007451F5" w:rsidRPr="001D32B8" w:rsidRDefault="007451F5" w:rsidP="003A4786">
      <w:pPr>
        <w:pStyle w:val="FootnoteText"/>
        <w:jc w:val="both"/>
        <w:rPr>
          <w:rFonts w:ascii="Verdana" w:hAnsi="Verdana"/>
          <w:sz w:val="16"/>
          <w:szCs w:val="16"/>
        </w:rPr>
      </w:pPr>
    </w:p>
  </w:footnote>
  <w:footnote w:id="17">
    <w:p w14:paraId="31037267" w14:textId="41E0F9E3"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La Corte IDH ha tenido la oportunidad de analizar el despido injustificado o arbitrario, estabilidad laboral y el derecho de asociación laboral para la defensa y promoción de los intereses de los trabajadores. </w:t>
      </w:r>
    </w:p>
    <w:p w14:paraId="043C864B" w14:textId="77777777" w:rsidR="007451F5" w:rsidRPr="001D32B8" w:rsidRDefault="007451F5" w:rsidP="003A4786">
      <w:pPr>
        <w:pStyle w:val="FootnoteText"/>
        <w:jc w:val="both"/>
        <w:rPr>
          <w:rFonts w:ascii="Verdana" w:hAnsi="Verdana"/>
          <w:sz w:val="16"/>
          <w:szCs w:val="16"/>
        </w:rPr>
      </w:pPr>
    </w:p>
  </w:footnote>
  <w:footnote w:id="18">
    <w:p w14:paraId="4682070E" w14:textId="560100F5"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220. </w:t>
      </w:r>
    </w:p>
    <w:p w14:paraId="6D8C7E95" w14:textId="77777777" w:rsidR="007451F5" w:rsidRPr="001D32B8" w:rsidRDefault="007451F5" w:rsidP="003A4786">
      <w:pPr>
        <w:pStyle w:val="FootnoteText"/>
        <w:jc w:val="both"/>
        <w:rPr>
          <w:rFonts w:ascii="Verdana" w:hAnsi="Verdana"/>
          <w:sz w:val="16"/>
          <w:szCs w:val="16"/>
        </w:rPr>
      </w:pPr>
    </w:p>
  </w:footnote>
  <w:footnote w:id="19">
    <w:p w14:paraId="20EE0D7B" w14:textId="34D1FA03" w:rsidR="007451F5" w:rsidRPr="001D32B8" w:rsidRDefault="007451F5" w:rsidP="003A4786">
      <w:pPr>
        <w:contextualSpacing/>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“143. Respecto a los derechos laborales específicos protegidos por el artículo 26 de la Convención Americana, la Corte observa que los términos del mismo indican que son aquellos derechos que se derivan de las normas económicas, sociales y sobre educación, ciencia y cultura contenidas en la Carta de la OEA. Ahora bien, los artículos 45.b y c, 46 y 34.g de la Carta establecen que “[e]l trabajo es un derecho y un deber social” y que ese debe prestarse con “salarios justos, oportunidades de empleo y condiciones de trabajo aceptables para todos”. Asimismo, señalan que el derecho de los trabajadores y trabajadoras a “asociarse libremente para la defensa y promoción de sus intereses”. Además, indican que los Estados deben “armonizar la legislación social” para la protección de tales derechos. Desde su Opinión Consultiva OC-10/89, la Corte señaló que: […]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13683D23" w14:textId="2F431659" w:rsidR="007451F5" w:rsidRPr="001D32B8" w:rsidRDefault="007451F5" w:rsidP="003A4786">
      <w:pPr>
        <w:pStyle w:val="FootnoteText"/>
        <w:jc w:val="both"/>
        <w:rPr>
          <w:rFonts w:ascii="Verdana" w:hAnsi="Verdana"/>
          <w:sz w:val="16"/>
          <w:szCs w:val="16"/>
        </w:rPr>
      </w:pPr>
    </w:p>
  </w:footnote>
  <w:footnote w:id="20">
    <w:p w14:paraId="6DEACD76" w14:textId="535E552B" w:rsidR="007451F5" w:rsidRPr="001D32B8" w:rsidRDefault="007451F5" w:rsidP="003A4786">
      <w:pPr>
        <w:contextualSpacing/>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“144. En este sentido, el artículo XIV de la Declaración Americana dispone que “[t]oda persona tiene derecho al trabajo en condiciones dignas y a seguir libremente su vocación […]”. Tal disposición resulta relevante para definir el alcance del artículo 26, dado que “la Declaración Americana, constituye, en lo pertinente y en relación con la Carta de la Organización, una fuente de obligaciones internacionales”. Asimismo, el artículo 29.d de la Convención Americana dispone expresamente que “[n]</w:t>
      </w:r>
      <w:proofErr w:type="spellStart"/>
      <w:r w:rsidRPr="001D32B8">
        <w:rPr>
          <w:rFonts w:ascii="Verdana" w:hAnsi="Verdana"/>
          <w:sz w:val="16"/>
          <w:szCs w:val="16"/>
        </w:rPr>
        <w:t>inguna</w:t>
      </w:r>
      <w:proofErr w:type="spellEnd"/>
      <w:r w:rsidRPr="001D32B8">
        <w:rPr>
          <w:rFonts w:ascii="Verdana" w:hAnsi="Verdana"/>
          <w:sz w:val="16"/>
          <w:szCs w:val="16"/>
        </w:rPr>
        <w:t xml:space="preserve"> disposición de la presente Convención puede ser interpretada en el sentido de: […] d) excluir o limitar el efecto que puedan producir la Declaración Americana de Derechos y Deberes del Hombre y otros actos internacionales de la misma naturaleza”.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62F7F9AB" w14:textId="77777777" w:rsidR="007451F5" w:rsidRPr="001D32B8" w:rsidRDefault="007451F5" w:rsidP="003A4786">
      <w:pPr>
        <w:pStyle w:val="FootnoteText"/>
        <w:jc w:val="both"/>
        <w:rPr>
          <w:rFonts w:ascii="Verdana" w:hAnsi="Verdana"/>
          <w:sz w:val="16"/>
          <w:szCs w:val="16"/>
        </w:rPr>
      </w:pPr>
    </w:p>
  </w:footnote>
  <w:footnote w:id="21">
    <w:p w14:paraId="40D65583" w14:textId="569CB951" w:rsidR="007451F5" w:rsidRPr="001D32B8" w:rsidRDefault="007451F5" w:rsidP="003A4786">
      <w:pPr>
        <w:contextualSpacing/>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 xml:space="preserve">“145. Además de la derivación del derecho al trabajo a partir de una interpretación del artículo 26 en relación con la Carta de la OEA, junto con la Declaración Americana, el derecho al trabajo está reconocido explícitamente en diversas leyes internas de los Estados de la región, así como </w:t>
      </w:r>
      <w:r w:rsidR="008D1FE9">
        <w:rPr>
          <w:rFonts w:ascii="Verdana" w:hAnsi="Verdana"/>
          <w:sz w:val="16"/>
          <w:szCs w:val="16"/>
        </w:rPr>
        <w:t xml:space="preserve">en </w:t>
      </w:r>
      <w:r w:rsidRPr="001D32B8">
        <w:rPr>
          <w:rFonts w:ascii="Verdana" w:hAnsi="Verdana"/>
          <w:sz w:val="16"/>
          <w:szCs w:val="16"/>
        </w:rPr>
        <w:t xml:space="preserve">un vasto </w:t>
      </w:r>
      <w:r w:rsidRPr="001D32B8">
        <w:rPr>
          <w:rFonts w:ascii="Verdana" w:hAnsi="Verdana"/>
          <w:i/>
          <w:sz w:val="16"/>
          <w:szCs w:val="16"/>
        </w:rPr>
        <w:t>corpus iuris</w:t>
      </w:r>
      <w:r w:rsidRPr="001D32B8">
        <w:rPr>
          <w:rFonts w:ascii="Verdana" w:hAnsi="Verdana"/>
          <w:sz w:val="16"/>
          <w:szCs w:val="16"/>
        </w:rPr>
        <w:t xml:space="preserve"> internacional; </w:t>
      </w:r>
      <w:r w:rsidRPr="001D32B8">
        <w:rPr>
          <w:rFonts w:ascii="Verdana" w:hAnsi="Verdana"/>
          <w:i/>
          <w:sz w:val="16"/>
          <w:szCs w:val="16"/>
        </w:rPr>
        <w:t xml:space="preserve">inter </w:t>
      </w:r>
      <w:proofErr w:type="spellStart"/>
      <w:r w:rsidRPr="001D32B8">
        <w:rPr>
          <w:rFonts w:ascii="Verdana" w:hAnsi="Verdana"/>
          <w:i/>
          <w:sz w:val="16"/>
          <w:szCs w:val="16"/>
        </w:rPr>
        <w:t>alia</w:t>
      </w:r>
      <w:proofErr w:type="spellEnd"/>
      <w:r w:rsidRPr="001D32B8">
        <w:rPr>
          <w:rFonts w:ascii="Verdana" w:hAnsi="Verdana"/>
          <w:sz w:val="16"/>
          <w:szCs w:val="16"/>
        </w:rPr>
        <w:t xml:space="preserve">: el artículo 6 del Pacto Internacional de Derechos Económicos, Sociales y Culturales, el artículo 23 de la Declaración Universal de Derechos Humanos, los artículos 7 y 8 de la Carta Social de las Américas, los artículos 6 y 7 del Protocolo Adicional a la Convención Americana sobre Derechos Económicos, Sociales y Culturales, el artículo 11 de la Convención sobre la Eliminación de Todas las Formas de Discriminación contra la Mujer, el artículo 32.1 de la Convención sobre los Derechos del Niño, así como el artículo 1 de la Carta Social Europea y el artículo 15 de la Carta Africana sobre los Derechos Humanos y de los Pueblos”.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077E4B63" w14:textId="77777777" w:rsidR="007451F5" w:rsidRPr="001D32B8" w:rsidRDefault="007451F5" w:rsidP="003A4786">
      <w:pPr>
        <w:pStyle w:val="FootnoteText"/>
        <w:jc w:val="both"/>
        <w:rPr>
          <w:rFonts w:ascii="Verdana" w:hAnsi="Verdana"/>
          <w:sz w:val="16"/>
          <w:szCs w:val="16"/>
        </w:rPr>
      </w:pPr>
    </w:p>
  </w:footnote>
  <w:footnote w:id="22">
    <w:p w14:paraId="32161249" w14:textId="3760ED12" w:rsidR="007451F5" w:rsidRPr="001D32B8" w:rsidRDefault="007451F5" w:rsidP="001B0865">
      <w:pPr>
        <w:pStyle w:val="FootnoteText"/>
        <w:jc w:val="both"/>
        <w:rPr>
          <w:rFonts w:ascii="Verdana" w:hAnsi="Verdana"/>
          <w:sz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bCs/>
          <w:i/>
          <w:sz w:val="16"/>
          <w:szCs w:val="16"/>
          <w:lang w:val="es-VE"/>
        </w:rPr>
        <w:t xml:space="preserve">Cfr., inter </w:t>
      </w:r>
      <w:proofErr w:type="spellStart"/>
      <w:r w:rsidRPr="001D32B8">
        <w:rPr>
          <w:rFonts w:ascii="Verdana" w:hAnsi="Verdana"/>
          <w:bCs/>
          <w:i/>
          <w:sz w:val="16"/>
          <w:szCs w:val="16"/>
          <w:lang w:val="es-VE"/>
        </w:rPr>
        <w:t>alia</w:t>
      </w:r>
      <w:proofErr w:type="spellEnd"/>
      <w:r w:rsidRPr="001D32B8">
        <w:rPr>
          <w:rFonts w:ascii="Verdana" w:hAnsi="Verdana"/>
          <w:bCs/>
          <w:i/>
          <w:sz w:val="16"/>
          <w:szCs w:val="16"/>
          <w:lang w:val="es-VE"/>
        </w:rPr>
        <w:t>, Caso Velásquez Rodríguez Vs. Honduras. Fondo</w:t>
      </w:r>
      <w:r>
        <w:rPr>
          <w:rFonts w:ascii="Verdana" w:hAnsi="Verdana"/>
          <w:bCs/>
          <w:i/>
          <w:sz w:val="16"/>
          <w:szCs w:val="16"/>
          <w:lang w:val="es-VE"/>
        </w:rPr>
        <w:t xml:space="preserve">. </w:t>
      </w:r>
      <w:r w:rsidRPr="005E1DEB">
        <w:rPr>
          <w:rFonts w:ascii="Verdana" w:hAnsi="Verdana"/>
          <w:bCs/>
          <w:sz w:val="16"/>
          <w:szCs w:val="16"/>
          <w:lang w:val="es-VE"/>
        </w:rPr>
        <w:t>Sentencia de 29 de julio de 1988. Serie C No.4</w:t>
      </w:r>
      <w:r w:rsidRPr="001D32B8">
        <w:rPr>
          <w:rFonts w:ascii="Verdana" w:hAnsi="Verdana"/>
          <w:bCs/>
          <w:i/>
          <w:sz w:val="16"/>
          <w:szCs w:val="16"/>
          <w:lang w:val="es-VE"/>
        </w:rPr>
        <w:t xml:space="preserve">, </w:t>
      </w:r>
      <w:r w:rsidRPr="001D32B8">
        <w:rPr>
          <w:rFonts w:ascii="Verdana" w:hAnsi="Verdana"/>
          <w:bCs/>
          <w:sz w:val="16"/>
          <w:szCs w:val="16"/>
          <w:lang w:val="es-VE"/>
        </w:rPr>
        <w:t xml:space="preserve">párr. 163; </w:t>
      </w:r>
      <w:r w:rsidRPr="001D32B8">
        <w:rPr>
          <w:rFonts w:ascii="Verdana" w:hAnsi="Verdana"/>
          <w:bCs/>
          <w:i/>
          <w:sz w:val="16"/>
          <w:szCs w:val="16"/>
          <w:lang w:val="es-VE"/>
        </w:rPr>
        <w:t>Caso Acosta y otros Vs. Nicaragua</w:t>
      </w:r>
      <w:r>
        <w:rPr>
          <w:rFonts w:ascii="Verdana" w:hAnsi="Verdana"/>
          <w:bCs/>
          <w:i/>
          <w:sz w:val="16"/>
          <w:szCs w:val="16"/>
          <w:lang w:val="es-VE"/>
        </w:rPr>
        <w:t xml:space="preserve">. </w:t>
      </w:r>
      <w:r w:rsidRPr="005E1DEB">
        <w:rPr>
          <w:rFonts w:ascii="Verdana" w:hAnsi="Verdana"/>
          <w:bCs/>
          <w:i/>
          <w:sz w:val="16"/>
          <w:szCs w:val="16"/>
          <w:lang w:val="es-VE"/>
        </w:rPr>
        <w:t>Excepciones Preliminares, Fondo, Reparaciones y Costas</w:t>
      </w:r>
      <w:r w:rsidRPr="005E1DEB">
        <w:rPr>
          <w:rFonts w:ascii="Verdana" w:hAnsi="Verdana"/>
          <w:bCs/>
          <w:sz w:val="16"/>
          <w:szCs w:val="16"/>
          <w:lang w:val="es-VE"/>
        </w:rPr>
        <w:t>. Sentencia de 25 de marzo de 2017. Serie C No. 334</w:t>
      </w:r>
      <w:r w:rsidRPr="001D32B8">
        <w:rPr>
          <w:rFonts w:ascii="Verdana" w:hAnsi="Verdana"/>
          <w:bCs/>
          <w:i/>
          <w:sz w:val="16"/>
          <w:szCs w:val="16"/>
          <w:lang w:val="es-VE"/>
        </w:rPr>
        <w:t xml:space="preserve">, </w:t>
      </w:r>
      <w:r w:rsidRPr="001D32B8">
        <w:rPr>
          <w:rFonts w:ascii="Verdana" w:hAnsi="Verdana"/>
          <w:bCs/>
          <w:sz w:val="16"/>
          <w:szCs w:val="16"/>
          <w:lang w:val="es-VE"/>
        </w:rPr>
        <w:t>párr. 189; y</w:t>
      </w:r>
      <w:r w:rsidRPr="001D32B8">
        <w:rPr>
          <w:rFonts w:ascii="Verdana" w:hAnsi="Verdana"/>
          <w:bCs/>
          <w:i/>
          <w:sz w:val="16"/>
          <w:szCs w:val="16"/>
          <w:lang w:val="es-VE"/>
        </w:rPr>
        <w:t xml:space="preserve"> Caso Lagos del Campo vs. Perú, supra, </w:t>
      </w:r>
      <w:r w:rsidRPr="001D32B8">
        <w:rPr>
          <w:rFonts w:ascii="Verdana" w:hAnsi="Verdana"/>
          <w:bCs/>
          <w:sz w:val="16"/>
          <w:szCs w:val="16"/>
          <w:lang w:val="es-VE"/>
        </w:rPr>
        <w:t xml:space="preserve">párr. 139.  Ver también TPJI, </w:t>
      </w:r>
      <w:r w:rsidRPr="001D32B8">
        <w:rPr>
          <w:rFonts w:ascii="Verdana" w:hAnsi="Verdana"/>
          <w:bCs/>
          <w:i/>
          <w:sz w:val="16"/>
          <w:szCs w:val="16"/>
          <w:lang w:val="es-VE"/>
        </w:rPr>
        <w:t>Caso del Vapor “Lotus” (Francia Vs. Turquía).</w:t>
      </w:r>
      <w:r w:rsidRPr="001D32B8">
        <w:rPr>
          <w:rFonts w:ascii="Verdana" w:hAnsi="Verdana"/>
          <w:bCs/>
          <w:sz w:val="16"/>
          <w:szCs w:val="16"/>
          <w:lang w:val="es-VE"/>
        </w:rPr>
        <w:t xml:space="preserve"> Sentencia No. 9, 7 de septiembre de 1927. Serie A; TPJI, </w:t>
      </w:r>
      <w:r w:rsidRPr="001D32B8">
        <w:rPr>
          <w:rFonts w:ascii="Verdana" w:hAnsi="Verdana"/>
          <w:bCs/>
          <w:i/>
          <w:sz w:val="16"/>
          <w:szCs w:val="16"/>
          <w:lang w:val="es-VE"/>
        </w:rPr>
        <w:t xml:space="preserve">Caso relativo a la competencia territorial de la Comisión internacional del río </w:t>
      </w:r>
      <w:proofErr w:type="spellStart"/>
      <w:r w:rsidRPr="001D32B8">
        <w:rPr>
          <w:rFonts w:ascii="Verdana" w:hAnsi="Verdana"/>
          <w:bCs/>
          <w:i/>
          <w:sz w:val="16"/>
          <w:szCs w:val="16"/>
          <w:lang w:val="es-VE"/>
        </w:rPr>
        <w:t>Oder</w:t>
      </w:r>
      <w:proofErr w:type="spellEnd"/>
      <w:r w:rsidRPr="001D32B8">
        <w:rPr>
          <w:rFonts w:ascii="Verdana" w:hAnsi="Verdana"/>
          <w:bCs/>
          <w:i/>
          <w:sz w:val="16"/>
          <w:szCs w:val="16"/>
          <w:lang w:val="es-VE"/>
        </w:rPr>
        <w:t xml:space="preserve"> (Gran Bretaña, Checoeslovaquia, Dinamarca, Francia, Alemania, Suecia; Polonia)</w:t>
      </w:r>
      <w:r w:rsidRPr="001D32B8">
        <w:rPr>
          <w:rFonts w:ascii="Verdana" w:hAnsi="Verdana"/>
          <w:bCs/>
          <w:sz w:val="16"/>
          <w:szCs w:val="16"/>
          <w:lang w:val="es-VE"/>
        </w:rPr>
        <w:t xml:space="preserve">. Sentencia No. 23, 10 de septiembre de 1929. Serie A; TPJI, </w:t>
      </w:r>
      <w:r w:rsidRPr="001D32B8">
        <w:rPr>
          <w:rFonts w:ascii="Verdana" w:hAnsi="Verdana"/>
          <w:bCs/>
          <w:i/>
          <w:sz w:val="16"/>
          <w:szCs w:val="16"/>
          <w:lang w:val="es-VE"/>
        </w:rPr>
        <w:t xml:space="preserve">Caso relativo a las Zonas francas de la Alta Saboya y del País de </w:t>
      </w:r>
      <w:proofErr w:type="spellStart"/>
      <w:r w:rsidRPr="001D32B8">
        <w:rPr>
          <w:rFonts w:ascii="Verdana" w:hAnsi="Verdana"/>
          <w:bCs/>
          <w:i/>
          <w:sz w:val="16"/>
          <w:szCs w:val="16"/>
          <w:lang w:val="es-VE"/>
        </w:rPr>
        <w:t>Gex</w:t>
      </w:r>
      <w:proofErr w:type="spellEnd"/>
      <w:r w:rsidRPr="001D32B8">
        <w:rPr>
          <w:rFonts w:ascii="Verdana" w:hAnsi="Verdana"/>
          <w:bCs/>
          <w:i/>
          <w:sz w:val="16"/>
          <w:szCs w:val="16"/>
          <w:lang w:val="es-VE"/>
        </w:rPr>
        <w:t xml:space="preserve"> (Francia Vs. Suiza). </w:t>
      </w:r>
      <w:r w:rsidRPr="001D32B8">
        <w:rPr>
          <w:rFonts w:ascii="Verdana" w:hAnsi="Verdana"/>
          <w:bCs/>
          <w:sz w:val="16"/>
          <w:szCs w:val="16"/>
          <w:lang w:val="es-VE"/>
        </w:rPr>
        <w:t xml:space="preserve">Sentencia No. 46, 7 de junio de 1932. Serie A/B; TEDH, </w:t>
      </w:r>
      <w:r w:rsidRPr="001D32B8">
        <w:rPr>
          <w:rFonts w:ascii="Verdana" w:hAnsi="Verdana"/>
          <w:bCs/>
          <w:i/>
          <w:sz w:val="16"/>
          <w:szCs w:val="16"/>
          <w:lang w:val="es-VE"/>
        </w:rPr>
        <w:t>Caso de Guerra y otros Vs. Italia</w:t>
      </w:r>
      <w:r w:rsidRPr="001D32B8">
        <w:rPr>
          <w:rFonts w:ascii="Verdana" w:hAnsi="Verdana"/>
          <w:bCs/>
          <w:sz w:val="16"/>
          <w:szCs w:val="16"/>
          <w:lang w:val="es-VE"/>
        </w:rPr>
        <w:t xml:space="preserve">. No. 14967/89. Sentencia de 19 de febrero de 1998, párr. 45; </w:t>
      </w:r>
      <w:r w:rsidRPr="001D32B8">
        <w:rPr>
          <w:rFonts w:ascii="Verdana" w:hAnsi="Verdana"/>
          <w:bCs/>
          <w:i/>
          <w:sz w:val="16"/>
          <w:szCs w:val="16"/>
          <w:lang w:val="es-VE"/>
        </w:rPr>
        <w:t xml:space="preserve">Caso de </w:t>
      </w:r>
      <w:proofErr w:type="spellStart"/>
      <w:r w:rsidRPr="001D32B8">
        <w:rPr>
          <w:rFonts w:ascii="Verdana" w:hAnsi="Verdana"/>
          <w:bCs/>
          <w:i/>
          <w:sz w:val="16"/>
          <w:szCs w:val="16"/>
          <w:lang w:val="es-VE"/>
        </w:rPr>
        <w:t>Handyside</w:t>
      </w:r>
      <w:proofErr w:type="spellEnd"/>
      <w:r w:rsidRPr="001D32B8">
        <w:rPr>
          <w:rFonts w:ascii="Verdana" w:hAnsi="Verdana"/>
          <w:bCs/>
          <w:i/>
          <w:sz w:val="16"/>
          <w:szCs w:val="16"/>
          <w:lang w:val="es-VE"/>
        </w:rPr>
        <w:t xml:space="preserve"> Vs. Reino Unido</w:t>
      </w:r>
      <w:r w:rsidRPr="001D32B8">
        <w:rPr>
          <w:rFonts w:ascii="Verdana" w:hAnsi="Verdana"/>
          <w:bCs/>
          <w:sz w:val="16"/>
          <w:szCs w:val="16"/>
          <w:lang w:val="es-VE"/>
        </w:rPr>
        <w:t xml:space="preserve">. No. 5493/72. Sentencia de 7 de diciembre de 1976, párr. 41, y </w:t>
      </w:r>
      <w:r w:rsidRPr="001D32B8">
        <w:rPr>
          <w:rFonts w:ascii="Verdana" w:hAnsi="Verdana"/>
          <w:bCs/>
          <w:i/>
          <w:sz w:val="16"/>
          <w:szCs w:val="16"/>
          <w:lang w:val="es-VE"/>
        </w:rPr>
        <w:t xml:space="preserve">Caso de </w:t>
      </w:r>
      <w:proofErr w:type="spellStart"/>
      <w:r w:rsidRPr="001D32B8">
        <w:rPr>
          <w:rFonts w:ascii="Verdana" w:hAnsi="Verdana"/>
          <w:bCs/>
          <w:i/>
          <w:sz w:val="16"/>
          <w:szCs w:val="16"/>
          <w:lang w:val="es-VE"/>
        </w:rPr>
        <w:t>Philis</w:t>
      </w:r>
      <w:proofErr w:type="spellEnd"/>
      <w:r w:rsidRPr="001D32B8">
        <w:rPr>
          <w:rFonts w:ascii="Verdana" w:hAnsi="Verdana"/>
          <w:bCs/>
          <w:i/>
          <w:sz w:val="16"/>
          <w:szCs w:val="16"/>
          <w:lang w:val="es-VE"/>
        </w:rPr>
        <w:t xml:space="preserve"> Vs. Grecia</w:t>
      </w:r>
      <w:r w:rsidRPr="001D32B8">
        <w:rPr>
          <w:rFonts w:ascii="Verdana" w:hAnsi="Verdana"/>
          <w:bCs/>
          <w:sz w:val="16"/>
          <w:szCs w:val="16"/>
          <w:lang w:val="es-VE"/>
        </w:rPr>
        <w:t>. Nos. 12750/87, 13780/88 y 14003/88. Sentencia de 27 de agosto de 1991, párr. 56.</w:t>
      </w:r>
    </w:p>
    <w:p w14:paraId="00F6EEE9" w14:textId="77777777" w:rsidR="007451F5" w:rsidRPr="001D32B8" w:rsidRDefault="007451F5" w:rsidP="00516371">
      <w:pPr>
        <w:pStyle w:val="FootnoteText"/>
        <w:jc w:val="both"/>
        <w:rPr>
          <w:rFonts w:ascii="Verdana" w:hAnsi="Verdana"/>
          <w:sz w:val="16"/>
          <w:szCs w:val="16"/>
        </w:rPr>
      </w:pPr>
    </w:p>
  </w:footnote>
  <w:footnote w:id="23">
    <w:p w14:paraId="0A321341" w14:textId="1C739C9D" w:rsidR="007451F5" w:rsidRPr="001D32B8" w:rsidRDefault="007451F5" w:rsidP="00A5451A">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211 a 215. </w:t>
      </w:r>
    </w:p>
    <w:p w14:paraId="6F8DC0B8" w14:textId="77777777" w:rsidR="007451F5" w:rsidRPr="001D32B8" w:rsidRDefault="007451F5" w:rsidP="00A5451A">
      <w:pPr>
        <w:pStyle w:val="FootnoteText"/>
        <w:jc w:val="both"/>
        <w:rPr>
          <w:rFonts w:ascii="Verdana" w:hAnsi="Verdana"/>
          <w:sz w:val="16"/>
          <w:szCs w:val="16"/>
        </w:rPr>
      </w:pPr>
    </w:p>
  </w:footnote>
  <w:footnote w:id="24">
    <w:p w14:paraId="1741E0B9" w14:textId="1A4BFB0B" w:rsidR="007451F5" w:rsidRPr="001D32B8" w:rsidRDefault="007451F5" w:rsidP="00A5451A">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Hay que destacar que el representante no alegó la violación del artículo 26 de la Convención o del derecho al trabajo en su escrito de solicitudes y argumentos. Sin embargo, alegó que “la causa de los despidos” fue el ejercicio de sus derechos políticos, incluido el “derecho de todos los ciudadanos a tener acceso, en condiciones de igualdad, a las funciones públicas de su país”, el cual, según alegó, estaría reconocido en el art. 23.1.c) de la Convención y comprende la garantía de permanecer en su puesto mientras no cambien las circunstancias que justificaron el ingreso de ese ciudadano a la administración pública. Por ello, alegó que si se acepta el alegato del Estado, en cuanto a que la terminación del contrato de trabajo era una facultad discrecional suya cuando lo considerara conveniente sin tener que expresar motivo alguno, implicaría la anulación de ese derecho.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215.</w:t>
      </w:r>
    </w:p>
    <w:p w14:paraId="2C274D5A" w14:textId="77777777" w:rsidR="007451F5" w:rsidRPr="001D32B8" w:rsidRDefault="007451F5" w:rsidP="00A5451A">
      <w:pPr>
        <w:pStyle w:val="FootnoteText"/>
        <w:jc w:val="both"/>
        <w:rPr>
          <w:rFonts w:ascii="Verdana" w:hAnsi="Verdana"/>
          <w:sz w:val="16"/>
          <w:szCs w:val="16"/>
        </w:rPr>
      </w:pPr>
    </w:p>
  </w:footnote>
  <w:footnote w:id="25">
    <w:p w14:paraId="3BBCA2AA" w14:textId="6FEA9DD3" w:rsidR="007451F5" w:rsidRPr="001D32B8" w:rsidRDefault="007451F5" w:rsidP="00381A51">
      <w:pPr>
        <w:pStyle w:val="FootnoteText"/>
        <w:jc w:val="both"/>
        <w:rPr>
          <w:rFonts w:ascii="Verdana" w:hAnsi="Verdana"/>
          <w:sz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En efecto, del marco fáctico contenido en el Informe de Fondo No. 75/15 de la Comisión Interamericana se advierte lo siguiente: según información de público conocimiento, con posterioridad a la publicación de la Lista </w:t>
      </w:r>
      <w:proofErr w:type="spellStart"/>
      <w:r w:rsidRPr="001D32B8">
        <w:rPr>
          <w:rFonts w:ascii="Verdana" w:hAnsi="Verdana"/>
          <w:sz w:val="16"/>
          <w:szCs w:val="16"/>
        </w:rPr>
        <w:t>Tascón</w:t>
      </w:r>
      <w:proofErr w:type="spellEnd"/>
      <w:r w:rsidRPr="001D32B8">
        <w:rPr>
          <w:rFonts w:ascii="Verdana" w:hAnsi="Verdana"/>
          <w:sz w:val="16"/>
          <w:szCs w:val="16"/>
        </w:rPr>
        <w:t xml:space="preserve"> los medios de comunicación se refirieron a denuncias sobre despidos de trabajadores públicos como represalia a su firma en el referendo revocatorio presidencial; algunos de los despidos fueron precedidos de declaraciones de funcionarios públicos acusando a los firmantes de traición; organizaciones no gubernamentales internacionales y venezolana documentaron una serie de casos de supuestos despidos motivados en la participación de funcionarios en la solicitud de referendo revocatorio; en abril de 2005 el Fiscal General de la República ordenó abrir una investigación tomando en cuenta las denuncias consignadas en diversos medios de comunicación respecto de discriminación política y despidos de funcionarios públicos como alegada represalia a su aparición en las listas de firmantes; las víctimas laboraron en el Consejo Nacional de Fronteras, mediante la suscripción continuada de contratos temporales de servicios, entre 1996, 1997 o 2000 y abril de 2004, cuando su relación laboral fue terminada por medio de comunicación fechada 12 de marzo de 2004 suscrita por el Presidente del Consejo Nacional de Fronteras. </w:t>
      </w:r>
      <w:r w:rsidRPr="001D32B8">
        <w:rPr>
          <w:rFonts w:ascii="Verdana" w:hAnsi="Verdana"/>
          <w:i/>
          <w:sz w:val="16"/>
          <w:szCs w:val="16"/>
        </w:rPr>
        <w:t xml:space="preserve">Cfr. </w:t>
      </w:r>
      <w:r w:rsidRPr="001D32B8">
        <w:rPr>
          <w:rFonts w:ascii="Verdana" w:hAnsi="Verdana"/>
          <w:sz w:val="16"/>
          <w:szCs w:val="16"/>
        </w:rPr>
        <w:t xml:space="preserve">CIDH, Informe No.  75/15, Caso 12.923. Fondo. Rocío San Miguel Sosa y otras. Venezuela. 28 de octubre de 2015, </w:t>
      </w:r>
      <w:proofErr w:type="spellStart"/>
      <w:r w:rsidRPr="001D32B8">
        <w:rPr>
          <w:rFonts w:ascii="Verdana" w:hAnsi="Verdana"/>
          <w:sz w:val="16"/>
          <w:szCs w:val="16"/>
        </w:rPr>
        <w:t>párrs</w:t>
      </w:r>
      <w:proofErr w:type="spellEnd"/>
      <w:r w:rsidRPr="001D32B8">
        <w:rPr>
          <w:rFonts w:ascii="Verdana" w:hAnsi="Verdana"/>
          <w:sz w:val="16"/>
          <w:szCs w:val="16"/>
        </w:rPr>
        <w:t>. 77, 81 y 86</w:t>
      </w:r>
      <w:r>
        <w:rPr>
          <w:rFonts w:ascii="Verdana" w:hAnsi="Verdana"/>
          <w:sz w:val="16"/>
          <w:szCs w:val="16"/>
        </w:rPr>
        <w:t>.</w:t>
      </w:r>
      <w:r w:rsidRPr="001D32B8">
        <w:rPr>
          <w:rFonts w:ascii="Verdana" w:hAnsi="Verdana"/>
          <w:sz w:val="16"/>
          <w:szCs w:val="16"/>
        </w:rPr>
        <w:t xml:space="preserve"> </w:t>
      </w:r>
    </w:p>
    <w:p w14:paraId="61B81F18" w14:textId="7A196821" w:rsidR="007451F5" w:rsidRPr="001D32B8" w:rsidRDefault="007451F5" w:rsidP="00632A20">
      <w:pPr>
        <w:pStyle w:val="FootnoteText"/>
        <w:jc w:val="both"/>
        <w:rPr>
          <w:rFonts w:ascii="Verdana" w:hAnsi="Verdana"/>
          <w:sz w:val="16"/>
          <w:szCs w:val="16"/>
        </w:rPr>
      </w:pPr>
    </w:p>
  </w:footnote>
  <w:footnote w:id="26">
    <w:p w14:paraId="07170926" w14:textId="663651DD" w:rsidR="007451F5" w:rsidRPr="001D32B8" w:rsidRDefault="007451F5" w:rsidP="003A4786">
      <w:pPr>
        <w:autoSpaceDE w:val="0"/>
        <w:autoSpaceDN w:val="0"/>
        <w:adjustRightInd w:val="0"/>
        <w:jc w:val="both"/>
        <w:rPr>
          <w:rFonts w:ascii="Verdana" w:eastAsiaTheme="minorHAnsi" w:hAnsi="Verdana"/>
          <w:sz w:val="16"/>
          <w:szCs w:val="16"/>
          <w:lang w:val="es-C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 </w:t>
      </w:r>
      <w:r w:rsidRPr="001D32B8">
        <w:rPr>
          <w:rFonts w:ascii="Verdana" w:hAnsi="Verdana"/>
          <w:i/>
          <w:sz w:val="16"/>
          <w:szCs w:val="16"/>
        </w:rPr>
        <w:t>Cfr.</w:t>
      </w:r>
      <w:r w:rsidRPr="001D32B8">
        <w:rPr>
          <w:rFonts w:ascii="Verdana" w:hAnsi="Verdana"/>
          <w:sz w:val="16"/>
          <w:szCs w:val="16"/>
        </w:rPr>
        <w:t xml:space="preserve"> Denuncia por violación de derechos humanos en la persona de Rocío San Miguel Sosa y otras. Venezuela. 7 de marzo de 2006. Expediente</w:t>
      </w:r>
      <w:r>
        <w:rPr>
          <w:rFonts w:ascii="Verdana" w:hAnsi="Verdana"/>
          <w:sz w:val="16"/>
          <w:szCs w:val="16"/>
        </w:rPr>
        <w:t xml:space="preserve"> del caso ante la Comisión IDH</w:t>
      </w:r>
      <w:r w:rsidRPr="001D32B8">
        <w:rPr>
          <w:rFonts w:ascii="Verdana" w:hAnsi="Verdana"/>
          <w:sz w:val="16"/>
          <w:szCs w:val="16"/>
        </w:rPr>
        <w:t xml:space="preserve">, Folios 1198 a 1203. </w:t>
      </w:r>
    </w:p>
    <w:p w14:paraId="48081168" w14:textId="46CBF0FC" w:rsidR="007451F5" w:rsidRPr="001D32B8" w:rsidRDefault="007451F5" w:rsidP="003A4786">
      <w:pPr>
        <w:pStyle w:val="FootnoteText"/>
        <w:jc w:val="both"/>
        <w:rPr>
          <w:rFonts w:ascii="Verdana" w:hAnsi="Verdana"/>
          <w:sz w:val="16"/>
          <w:szCs w:val="16"/>
        </w:rPr>
      </w:pPr>
      <w:r w:rsidRPr="001D32B8">
        <w:rPr>
          <w:rFonts w:ascii="Verdana" w:hAnsi="Verdana"/>
          <w:sz w:val="16"/>
          <w:szCs w:val="16"/>
        </w:rPr>
        <w:tab/>
      </w:r>
    </w:p>
  </w:footnote>
  <w:footnote w:id="27">
    <w:p w14:paraId="49E3BB31" w14:textId="78527868" w:rsidR="007451F5" w:rsidRPr="00776CDA" w:rsidRDefault="007451F5" w:rsidP="006D17A2">
      <w:pPr>
        <w:spacing w:before="120" w:after="120"/>
        <w:jc w:val="both"/>
        <w:rPr>
          <w:rFonts w:ascii="Verdana" w:hAnsi="Verdana"/>
          <w:spacing w:val="-12"/>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Pr>
          <w:rFonts w:ascii="Verdana" w:hAnsi="Verdana"/>
          <w:sz w:val="16"/>
          <w:szCs w:val="16"/>
        </w:rPr>
        <w:t xml:space="preserve">Ver </w:t>
      </w:r>
      <w:r w:rsidRPr="001D32B8">
        <w:rPr>
          <w:rFonts w:ascii="Verdana" w:hAnsi="Verdana"/>
          <w:sz w:val="16"/>
          <w:szCs w:val="16"/>
        </w:rPr>
        <w:t xml:space="preserve">Audiencia Pública, Alegatos Finales Orales de los Representantes de las Víctimas, </w:t>
      </w:r>
      <w:r w:rsidRPr="006D17A2">
        <w:rPr>
          <w:rFonts w:ascii="Verdana" w:hAnsi="Verdana"/>
          <w:sz w:val="16"/>
          <w:szCs w:val="16"/>
        </w:rPr>
        <w:t>Video disponible en:</w:t>
      </w:r>
      <w:r w:rsidRPr="0069409D">
        <w:rPr>
          <w:rFonts w:ascii="Verdana" w:hAnsi="Verdana" w:cs="Arial"/>
          <w:spacing w:val="-12"/>
          <w:sz w:val="16"/>
          <w:szCs w:val="16"/>
          <w:lang w:val="es-MX"/>
        </w:rPr>
        <w:t xml:space="preserve"> </w:t>
      </w:r>
      <w:hyperlink r:id="rId1" w:history="1">
        <w:r w:rsidRPr="00776CDA">
          <w:rPr>
            <w:rStyle w:val="Hyperlink"/>
            <w:rFonts w:ascii="Verdana" w:hAnsi="Verdana" w:cs="Arial"/>
            <w:color w:val="auto"/>
            <w:spacing w:val="-12"/>
            <w:sz w:val="16"/>
            <w:szCs w:val="16"/>
            <w:lang w:val="es-MX"/>
          </w:rPr>
          <w:t>https://vimeopro.com/corteidh/caso-san-miguel-sosa-y-otros-vs-venezuela</w:t>
        </w:r>
      </w:hyperlink>
      <w:r w:rsidRPr="00776CDA">
        <w:rPr>
          <w:rStyle w:val="Hyperlink"/>
          <w:rFonts w:ascii="Verdana" w:hAnsi="Verdana" w:cs="Arial"/>
          <w:color w:val="auto"/>
          <w:spacing w:val="-12"/>
          <w:sz w:val="16"/>
          <w:szCs w:val="16"/>
          <w:lang w:val="es-MX"/>
        </w:rPr>
        <w:t xml:space="preserve"> </w:t>
      </w:r>
    </w:p>
    <w:p w14:paraId="1D374B9F" w14:textId="77777777" w:rsidR="007451F5" w:rsidRPr="001D32B8" w:rsidRDefault="007451F5" w:rsidP="003A4786">
      <w:pPr>
        <w:pStyle w:val="FootnoteText"/>
        <w:jc w:val="both"/>
        <w:rPr>
          <w:rFonts w:ascii="Verdana" w:hAnsi="Verdana"/>
          <w:sz w:val="16"/>
          <w:szCs w:val="16"/>
        </w:rPr>
      </w:pPr>
    </w:p>
  </w:footnote>
  <w:footnote w:id="28">
    <w:p w14:paraId="5B6CB330" w14:textId="3E26502C"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sidRPr="001D32B8">
        <w:rPr>
          <w:rFonts w:ascii="Verdana" w:hAnsi="Verdana"/>
          <w:sz w:val="16"/>
          <w:szCs w:val="16"/>
        </w:rPr>
        <w:t>Escrito de Argumentos Finales de la Representación de las Víctimas, Caso San Miguel Sosa y otras Vs. Venezuela. Expediente</w:t>
      </w:r>
      <w:r>
        <w:rPr>
          <w:rFonts w:ascii="Verdana" w:hAnsi="Verdana"/>
          <w:sz w:val="16"/>
          <w:szCs w:val="16"/>
        </w:rPr>
        <w:t>,</w:t>
      </w:r>
      <w:r w:rsidRPr="001D32B8">
        <w:rPr>
          <w:rFonts w:ascii="Verdana" w:hAnsi="Verdana"/>
          <w:sz w:val="16"/>
          <w:szCs w:val="16"/>
        </w:rPr>
        <w:t xml:space="preserve"> Folio 1065.</w:t>
      </w:r>
    </w:p>
    <w:p w14:paraId="712BC080" w14:textId="77777777" w:rsidR="007451F5" w:rsidRPr="001D32B8" w:rsidRDefault="007451F5" w:rsidP="003A4786">
      <w:pPr>
        <w:pStyle w:val="FootnoteText"/>
        <w:jc w:val="both"/>
        <w:rPr>
          <w:rFonts w:ascii="Verdana" w:hAnsi="Verdana"/>
          <w:sz w:val="16"/>
          <w:szCs w:val="16"/>
        </w:rPr>
      </w:pPr>
    </w:p>
  </w:footnote>
  <w:footnote w:id="29">
    <w:p w14:paraId="44857088" w14:textId="141397A0"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heme="minorHAnsi" w:hAnsi="Verdana"/>
          <w:sz w:val="16"/>
          <w:szCs w:val="16"/>
          <w:lang w:val="es-CR"/>
        </w:rPr>
        <w:t xml:space="preserve">En la acción de amparo alegaron la violación de los derechos al trabajo y a la estabilidad laboral. </w:t>
      </w:r>
      <w:r w:rsidRPr="001D32B8">
        <w:rPr>
          <w:rFonts w:ascii="Verdana" w:hAnsi="Verdana"/>
          <w:sz w:val="16"/>
          <w:szCs w:val="16"/>
          <w:lang w:val="es-VE"/>
        </w:rPr>
        <w:t>En cuanto a los hechos, las demandantes señalaron que fueron despedidas sin causa justificada, a pesar de cumplir con las labores encomendadas, no contar con amonestación o sanción alguna en sus expedientes laborales por incumplir labores u horarios, y no existir un proceso de reorganización en el órgano que ameritara reducción de personal. Alegaron que, antes del despido, se hicieron frecuentes anuncios informales o bromas, por sujetos con influencia política, de que quien participare en procesos contra el Presidente ser</w:t>
      </w:r>
      <w:r>
        <w:rPr>
          <w:rFonts w:ascii="Verdana" w:hAnsi="Verdana"/>
          <w:sz w:val="16"/>
          <w:szCs w:val="16"/>
          <w:lang w:val="es-VE"/>
        </w:rPr>
        <w:t>í</w:t>
      </w:r>
      <w:r w:rsidRPr="001D32B8">
        <w:rPr>
          <w:rFonts w:ascii="Verdana" w:hAnsi="Verdana"/>
          <w:sz w:val="16"/>
          <w:szCs w:val="16"/>
          <w:lang w:val="es-VE"/>
        </w:rPr>
        <w:t>a despedido. Señalaron una serie de hechos de contexto e indicios que consideraron relevantes. Alegaron la violación del “derecho constitucional a la igualdad ante la ley[, …] la garantía a no ser discriminadas así como los derechos al trabajo y a la estabilidad laboral [… por una] actuación contraria a los artículo</w:t>
      </w:r>
      <w:r>
        <w:rPr>
          <w:rFonts w:ascii="Verdana" w:hAnsi="Verdana"/>
          <w:sz w:val="16"/>
          <w:szCs w:val="16"/>
          <w:lang w:val="es-VE"/>
        </w:rPr>
        <w:t>s</w:t>
      </w:r>
      <w:r w:rsidRPr="001D32B8">
        <w:rPr>
          <w:rFonts w:ascii="Verdana" w:hAnsi="Verdana"/>
          <w:sz w:val="16"/>
          <w:szCs w:val="16"/>
          <w:lang w:val="es-VE"/>
        </w:rPr>
        <w:t xml:space="preserve"> 21, 87, 89 y 93 de la Constitución Política de la República Bolivariana de Venezuela y los artículos 24 de la Convención Americana[, …] 2.2 y 6.1 del Pacto Internacional de Derechos Económicos, Sociales y Culturales y el artículo 26 del Pacto Internacional de Derechos Civiles y Políticos […], así como del artículo 26 de la Ley Orgánica del Trabajo y el literal E del artículo 8 del Reglamento de la Ley Orgánica del Trabajo [y que </w:t>
      </w:r>
      <w:proofErr w:type="spellStart"/>
      <w:r w:rsidRPr="001D32B8">
        <w:rPr>
          <w:rFonts w:ascii="Verdana" w:hAnsi="Verdana"/>
          <w:sz w:val="16"/>
          <w:szCs w:val="16"/>
          <w:lang w:val="es-VE"/>
        </w:rPr>
        <w:t>e</w:t>
      </w:r>
      <w:proofErr w:type="spellEnd"/>
      <w:r w:rsidRPr="001D32B8">
        <w:rPr>
          <w:rFonts w:ascii="Verdana" w:hAnsi="Verdana"/>
          <w:sz w:val="16"/>
          <w:szCs w:val="16"/>
          <w:lang w:val="es-VE"/>
        </w:rPr>
        <w:t xml:space="preserve">]l acto de discriminación condujo igualmente a la violación del derecho de participación política normado en el artículo 70 de la Constitución”. </w:t>
      </w:r>
      <w:r w:rsidRPr="001D32B8">
        <w:rPr>
          <w:rFonts w:ascii="Verdana" w:hAnsi="Verdana"/>
          <w:i/>
          <w:sz w:val="16"/>
          <w:szCs w:val="16"/>
          <w:lang w:val="es-VE"/>
        </w:rPr>
        <w:t>Cfr.</w:t>
      </w:r>
      <w:r w:rsidRPr="001D32B8">
        <w:rPr>
          <w:rFonts w:ascii="Verdana" w:hAnsi="Verdana"/>
          <w:sz w:val="16"/>
          <w:szCs w:val="16"/>
          <w:lang w:val="es-VE"/>
        </w:rPr>
        <w:t xml:space="preserve"> Demanda de amparo constitucional, 22 de julio de 2004.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nota al pie 142.</w:t>
      </w:r>
    </w:p>
    <w:p w14:paraId="45925EF2" w14:textId="77777777" w:rsidR="007451F5" w:rsidRPr="001D32B8" w:rsidRDefault="007451F5" w:rsidP="003A4786">
      <w:pPr>
        <w:pStyle w:val="FootnoteText"/>
        <w:jc w:val="both"/>
        <w:rPr>
          <w:rFonts w:ascii="Verdana" w:hAnsi="Verdana"/>
          <w:sz w:val="16"/>
          <w:szCs w:val="16"/>
        </w:rPr>
      </w:pPr>
    </w:p>
  </w:footnote>
  <w:footnote w:id="30">
    <w:p w14:paraId="45022659" w14:textId="4EAC9689" w:rsidR="007451F5" w:rsidRPr="001D32B8" w:rsidRDefault="007451F5" w:rsidP="00A35DFD">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219. </w:t>
      </w:r>
    </w:p>
    <w:p w14:paraId="7E86109A" w14:textId="77777777" w:rsidR="007451F5" w:rsidRPr="001D32B8" w:rsidRDefault="007451F5" w:rsidP="00A35DFD">
      <w:pPr>
        <w:pStyle w:val="FootnoteText"/>
        <w:jc w:val="both"/>
        <w:rPr>
          <w:rFonts w:ascii="Verdana" w:hAnsi="Verdana"/>
          <w:sz w:val="16"/>
          <w:szCs w:val="16"/>
        </w:rPr>
      </w:pPr>
    </w:p>
  </w:footnote>
  <w:footnote w:id="31">
    <w:p w14:paraId="7643C116" w14:textId="4E17F590"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151, 160 y 200. </w:t>
      </w:r>
    </w:p>
    <w:p w14:paraId="63A349C1" w14:textId="77777777" w:rsidR="007451F5" w:rsidRPr="001D32B8" w:rsidRDefault="007451F5" w:rsidP="003A4786">
      <w:pPr>
        <w:pStyle w:val="FootnoteText"/>
        <w:jc w:val="both"/>
        <w:rPr>
          <w:rFonts w:ascii="Verdana" w:hAnsi="Verdana"/>
          <w:sz w:val="16"/>
          <w:szCs w:val="16"/>
        </w:rPr>
      </w:pPr>
    </w:p>
  </w:footnote>
  <w:footnote w:id="32">
    <w:p w14:paraId="6AEFD9C2" w14:textId="08346F74"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222. </w:t>
      </w:r>
    </w:p>
    <w:p w14:paraId="010AFC0F" w14:textId="77777777" w:rsidR="007451F5" w:rsidRPr="001D32B8" w:rsidRDefault="007451F5" w:rsidP="003A4786">
      <w:pPr>
        <w:pStyle w:val="FootnoteText"/>
        <w:jc w:val="both"/>
        <w:rPr>
          <w:rFonts w:ascii="Verdana" w:hAnsi="Verdana"/>
          <w:sz w:val="16"/>
          <w:szCs w:val="16"/>
        </w:rPr>
      </w:pPr>
    </w:p>
  </w:footnote>
  <w:footnote w:id="33">
    <w:p w14:paraId="5DCCB0EE" w14:textId="5EA47C52" w:rsidR="007451F5" w:rsidRPr="001D32B8" w:rsidRDefault="007451F5" w:rsidP="003A4786">
      <w:pPr>
        <w:pBdr>
          <w:top w:val="nil"/>
        </w:pBdr>
        <w:ind w:right="48"/>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Al respecto, en la Sentencia se considera que: “108. La Corte hace notar que la Comisión y el representante sustentan las alegadas violaciones de derechos en un mismo hecho generador: la terminación de los contratos de las presuntas víctimas por haber firmado la solicitud de convocatoria a referendo revocatorio. Es decir, consideraron que tal acto de firma constituyó tanto el ejercicio de un derecho político como “un acto motivado por la opinión política expresada a través de la firma” y, a la vez, que tal acto estaría protegido por un principio de no discriminación (como una categoría prohibida o “sospechosa”) y por el derecho a igualdad ante la ley, pues el despido habría constituido un acto de discriminación con base en la opinión política”.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108. </w:t>
      </w:r>
    </w:p>
    <w:p w14:paraId="558F1C98" w14:textId="77777777" w:rsidR="007451F5" w:rsidRPr="001D32B8" w:rsidRDefault="007451F5" w:rsidP="003A4786">
      <w:pPr>
        <w:pStyle w:val="FootnoteText"/>
        <w:jc w:val="both"/>
        <w:rPr>
          <w:rFonts w:ascii="Verdana" w:hAnsi="Verdana"/>
          <w:sz w:val="16"/>
          <w:szCs w:val="16"/>
        </w:rPr>
      </w:pPr>
    </w:p>
  </w:footnote>
  <w:footnote w:id="34">
    <w:p w14:paraId="4061AF69" w14:textId="7460202C"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149 y 150.</w:t>
      </w:r>
    </w:p>
    <w:p w14:paraId="36F4FFFB" w14:textId="77777777" w:rsidR="007451F5" w:rsidRPr="001D32B8" w:rsidRDefault="007451F5" w:rsidP="003A4786">
      <w:pPr>
        <w:pStyle w:val="FootnoteText"/>
        <w:jc w:val="both"/>
        <w:rPr>
          <w:rFonts w:ascii="Verdana" w:hAnsi="Verdana"/>
          <w:sz w:val="16"/>
          <w:szCs w:val="16"/>
        </w:rPr>
      </w:pPr>
    </w:p>
  </w:footnote>
  <w:footnote w:id="35">
    <w:p w14:paraId="496490C8" w14:textId="26BF1C04"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156.</w:t>
      </w:r>
    </w:p>
    <w:p w14:paraId="4658DB81" w14:textId="77777777" w:rsidR="007451F5" w:rsidRPr="001D32B8" w:rsidRDefault="007451F5" w:rsidP="003A4786">
      <w:pPr>
        <w:pStyle w:val="FootnoteText"/>
        <w:jc w:val="both"/>
        <w:rPr>
          <w:rFonts w:ascii="Verdana" w:hAnsi="Verdana"/>
          <w:sz w:val="16"/>
          <w:szCs w:val="16"/>
        </w:rPr>
      </w:pPr>
    </w:p>
  </w:footnote>
  <w:footnote w:id="36">
    <w:p w14:paraId="59E9C618" w14:textId="0CA28BD0"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158.</w:t>
      </w:r>
      <w:r w:rsidRPr="001D32B8">
        <w:rPr>
          <w:rFonts w:ascii="Verdana" w:hAnsi="Verdana"/>
          <w:sz w:val="16"/>
          <w:szCs w:val="16"/>
        </w:rPr>
        <w:tab/>
      </w:r>
    </w:p>
    <w:p w14:paraId="0F170136" w14:textId="77777777" w:rsidR="007451F5" w:rsidRPr="001D32B8" w:rsidRDefault="007451F5" w:rsidP="003A4786">
      <w:pPr>
        <w:pStyle w:val="FootnoteText"/>
        <w:jc w:val="both"/>
        <w:rPr>
          <w:rFonts w:ascii="Verdana" w:hAnsi="Verdana"/>
          <w:sz w:val="16"/>
          <w:szCs w:val="16"/>
        </w:rPr>
      </w:pPr>
    </w:p>
  </w:footnote>
  <w:footnote w:id="37">
    <w:p w14:paraId="10BE0A34" w14:textId="171C7B59"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18</w:t>
      </w:r>
      <w:r>
        <w:rPr>
          <w:rFonts w:ascii="Verdana" w:hAnsi="Verdana"/>
          <w:sz w:val="16"/>
          <w:szCs w:val="16"/>
        </w:rPr>
        <w:t>6</w:t>
      </w:r>
      <w:r w:rsidRPr="001D32B8">
        <w:rPr>
          <w:rFonts w:ascii="Verdana" w:hAnsi="Verdana"/>
          <w:sz w:val="16"/>
          <w:szCs w:val="16"/>
        </w:rPr>
        <w:t xml:space="preserve">. Al respecto en la Sentencia también se consideró que “184. De hecho, lo relevante es que el Juzgado que conoció del amparo, antes de expresar sus dudas sobre la competencia para resolverlo en razón del cargo del funcionario contra quien se presentaba, señaló que “como el derecho infringido o amenazado de infracción es un derecho constitucional, cualquier juez, en su condición de garante de la supremacía constitucional […], podría en principio conocer las violaciones de dichos derechos o garantías constitucionales”. Luego, al resolver la cuestión de la competencia, la Sala Constitucional de la Corte Suprema de Justicia señaló que “para dilucidar la afinidad de la naturaleza del derecho violado o amenazado de violación, […] el juzgador ha de revisar la particular esfera en la cual se generó o pudiera producirse la violación o amenaza; revisar, pues, la situación jurídica que ostenta el presunto agraviado frente al agente lesivo”. Así, al observar que las accionantes propusieron la acción de amparo “en razón de supuestas violaciones constitucionales”, entre otras razones, dicha Sala declaró que el Juzgado era competente para resolver la acción, la cual, en efecto, fue admitida a trámite. Posteriormente, el referido Juzgado observó que “la pretensión principal no es que se califique el despido, para luego obtener el reenganche y el pago de los salarios caídos, [que] en todo caso, es la pretensión accesoria, [sino] que se determine que en efecto, las accionantes sufrieron o fueron víctimas de un trato discriminatorio por parte del Estado”. Es decir, hizo notar que la acción se había “instaurado para determinar la relación o nexo causal entre una conducta no solo antijurídica o inconstitucional, sino vejatoria de derechos humanos fundamentales como lo es la igualdad ante la ley y la prohibición de discriminación fundadas en razones políticas, como hecho generador de la ruptura de las relaciones de trabajo que mantenían las accionantes con el organismo accionado en amparo. Si esto es así, no puede hablarse en ningún momento de la inadmisibilidad de la presente acción […] sino que se hace necesario entrar al fondo de la controversia para resolver sobre la procedencia o improcedencia de la acción”.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184. </w:t>
      </w:r>
    </w:p>
    <w:p w14:paraId="33CD794C" w14:textId="77777777" w:rsidR="007451F5" w:rsidRPr="001D32B8" w:rsidRDefault="007451F5" w:rsidP="003A4786">
      <w:pPr>
        <w:pStyle w:val="FootnoteText"/>
        <w:jc w:val="both"/>
        <w:rPr>
          <w:rFonts w:ascii="Verdana" w:hAnsi="Verdana"/>
          <w:sz w:val="16"/>
          <w:szCs w:val="16"/>
        </w:rPr>
      </w:pPr>
    </w:p>
  </w:footnote>
  <w:footnote w:id="38">
    <w:p w14:paraId="35381BA7" w14:textId="77777777" w:rsidR="00D43BBE"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En la Sentencia la Corte IDH constató que: “190. Las presuntas víctimas tuvieron acceso a la acción de amparo, la cual fue decidida por el fondo luego haber sido evacuadas determinadas pruebas en audiencia. Sin embargo, las autoridades que decidieron la acción por el fondo o en apelación dejaron de valorar las grabaciones de las conversaciones telefónicas aportadas, por considerarlas pruebas ilícitas, y centraron su análisis en que las pruebas aportadas por la parte quejosa no permitían “establecer fehacientemente el nexo causal entre el pretendido trato discriminatorio por haber firmado y la decisión de poner fin a la relación de trabajo”. Además, tomaron como cierta la explicación de la autoridad administrativa recurrida, a saber, la aplicación de la cláusula séptima del contrato como una facultad discrecional del empleador</w:t>
      </w:r>
      <w:r>
        <w:rPr>
          <w:rFonts w:ascii="Verdana" w:hAnsi="Verdana"/>
          <w:sz w:val="16"/>
          <w:szCs w:val="16"/>
        </w:rPr>
        <w:t>”</w:t>
      </w:r>
      <w:r w:rsidRPr="001D32B8">
        <w:rPr>
          <w:rFonts w:ascii="Verdana" w:hAnsi="Verdana"/>
          <w:sz w:val="16"/>
          <w:szCs w:val="16"/>
        </w:rPr>
        <w:t xml:space="preserve"> y “194. Los juzgados nacionales rechazaron como pruebas las grabaciones y </w:t>
      </w:r>
      <w:r w:rsidRPr="001D32B8">
        <w:rPr>
          <w:rFonts w:ascii="Verdana" w:eastAsia="Calibri" w:hAnsi="Verdana"/>
          <w:sz w:val="16"/>
          <w:szCs w:val="16"/>
        </w:rPr>
        <w:t>transcripciones de grabaciones de conversaciones telefónicas entre la señora San Miguel y dos funcionarios relacionados con los hechos (</w:t>
      </w:r>
      <w:r w:rsidRPr="001D32B8">
        <w:rPr>
          <w:rFonts w:ascii="Verdana" w:eastAsia="Calibri" w:hAnsi="Verdana"/>
          <w:i/>
          <w:sz w:val="16"/>
          <w:szCs w:val="16"/>
        </w:rPr>
        <w:t xml:space="preserve">supra </w:t>
      </w:r>
      <w:r w:rsidRPr="001D32B8">
        <w:rPr>
          <w:rFonts w:ascii="Verdana" w:eastAsia="Calibri" w:hAnsi="Verdana"/>
          <w:sz w:val="16"/>
          <w:szCs w:val="16"/>
        </w:rPr>
        <w:t xml:space="preserve">párr. 32), por considerarlas pruebas “ilícitas </w:t>
      </w:r>
      <w:r w:rsidRPr="001D32B8">
        <w:rPr>
          <w:rFonts w:ascii="Verdana" w:hAnsi="Verdana"/>
          <w:sz w:val="16"/>
          <w:szCs w:val="16"/>
        </w:rPr>
        <w:t>e ilegítimas” que no podían ser admitidas en juicio,</w:t>
      </w:r>
      <w:r w:rsidRPr="001D32B8">
        <w:rPr>
          <w:rFonts w:ascii="Verdana" w:eastAsia="Calibri" w:hAnsi="Verdana"/>
          <w:sz w:val="16"/>
          <w:szCs w:val="16"/>
        </w:rPr>
        <w:t xml:space="preserve"> con base en que habrían sido “obtenidas sin el consentimiento de los presuntos interlocutores” y que no tenía certeza sobre las voces de éstos</w:t>
      </w:r>
      <w:r w:rsidRPr="001D32B8">
        <w:rPr>
          <w:rFonts w:ascii="Verdana" w:hAnsi="Verdana"/>
          <w:sz w:val="16"/>
          <w:szCs w:val="16"/>
        </w:rPr>
        <w:t>. Co</w:t>
      </w:r>
      <w:r w:rsidRPr="001D32B8">
        <w:rPr>
          <w:rFonts w:ascii="Verdana" w:eastAsia="Calibri" w:hAnsi="Verdana"/>
          <w:sz w:val="16"/>
          <w:szCs w:val="16"/>
        </w:rPr>
        <w:t xml:space="preserve">ntra el propio concepto de prueba prohibida sobre el que decide, el juzgado no refirió o explicó la específica norma legal o principio de derecho que la grabación registrada por la señora San Miguel habría contrariado, ni señaló cual fue correspondientemente la prohibición de naturaleza material y procesal que tales pruebas habrían infringido. La resolución del juzgado no precisa sobre la base de qué norma jurídica o principio entendía que el consentimiento de uno de los interlocutores de una conversación era, en las circunstancias de ese caso, un elemento imprescindible para considerar que el registro o grabación de la comunicación realizada por el otro interlocutor, que alegaba una vulneración de sus derechos, era ilícito y por ello afectaba su carácter de prueba. El tribunal que conoció la apelación no dio argumentación adicional al respecto”.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190 y 194.</w:t>
      </w:r>
    </w:p>
    <w:p w14:paraId="75AAE281" w14:textId="4489B31B" w:rsidR="007451F5" w:rsidRPr="001D32B8" w:rsidRDefault="007451F5" w:rsidP="003A4786">
      <w:pPr>
        <w:pStyle w:val="FootnoteText"/>
        <w:jc w:val="both"/>
        <w:rPr>
          <w:rFonts w:ascii="Verdana" w:hAnsi="Verdana"/>
          <w:sz w:val="16"/>
          <w:szCs w:val="16"/>
        </w:rPr>
      </w:pPr>
      <w:r w:rsidRPr="001D32B8">
        <w:rPr>
          <w:rFonts w:ascii="Verdana" w:hAnsi="Verdana"/>
          <w:sz w:val="16"/>
          <w:szCs w:val="16"/>
        </w:rPr>
        <w:tab/>
      </w:r>
    </w:p>
  </w:footnote>
  <w:footnote w:id="39">
    <w:p w14:paraId="5F21F1C8" w14:textId="0E055E6A"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195.</w:t>
      </w:r>
    </w:p>
    <w:p w14:paraId="2FED6FD4" w14:textId="77777777" w:rsidR="007451F5" w:rsidRPr="001D32B8" w:rsidRDefault="007451F5" w:rsidP="003A4786">
      <w:pPr>
        <w:pStyle w:val="FootnoteText"/>
        <w:jc w:val="both"/>
        <w:rPr>
          <w:rFonts w:ascii="Verdana" w:hAnsi="Verdana"/>
          <w:sz w:val="16"/>
          <w:szCs w:val="16"/>
        </w:rPr>
      </w:pPr>
    </w:p>
  </w:footnote>
  <w:footnote w:id="40">
    <w:p w14:paraId="066B29BD" w14:textId="7F03C38C"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196.</w:t>
      </w:r>
    </w:p>
    <w:p w14:paraId="2C0AD5DD" w14:textId="77777777" w:rsidR="007451F5" w:rsidRPr="001D32B8" w:rsidRDefault="007451F5" w:rsidP="003A4786">
      <w:pPr>
        <w:pStyle w:val="FootnoteText"/>
        <w:jc w:val="both"/>
        <w:rPr>
          <w:rFonts w:ascii="Verdana" w:hAnsi="Verdana"/>
          <w:sz w:val="16"/>
          <w:szCs w:val="16"/>
        </w:rPr>
      </w:pPr>
    </w:p>
  </w:footnote>
  <w:footnote w:id="41">
    <w:p w14:paraId="6D5BC340" w14:textId="4E71D728" w:rsidR="007451F5" w:rsidRPr="001D32B8" w:rsidRDefault="007451F5" w:rsidP="003A4786">
      <w:pPr>
        <w:pStyle w:val="NormalWeb"/>
        <w:spacing w:before="0" w:beforeAutospacing="0" w:after="0" w:afterAutospacing="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Al respecto en la </w:t>
      </w:r>
      <w:proofErr w:type="spellStart"/>
      <w:r w:rsidRPr="001D32B8">
        <w:rPr>
          <w:rFonts w:ascii="Verdana" w:hAnsi="Verdana"/>
          <w:sz w:val="16"/>
          <w:szCs w:val="16"/>
        </w:rPr>
        <w:t>Opinion</w:t>
      </w:r>
      <w:proofErr w:type="spellEnd"/>
      <w:r w:rsidRPr="001D32B8">
        <w:rPr>
          <w:rFonts w:ascii="Verdana" w:hAnsi="Verdana"/>
          <w:sz w:val="16"/>
          <w:szCs w:val="16"/>
        </w:rPr>
        <w:t xml:space="preserve"> Consultiva No. 23 relativa al medio ambiente, la Corte IDH expresó que también es pertinente realizar el control de convencionalidad en materia de derechos sociales. Sobre este punto señaló que “[…] Es por tal </w:t>
      </w:r>
      <w:proofErr w:type="spellStart"/>
      <w:r w:rsidRPr="001D32B8">
        <w:rPr>
          <w:rFonts w:ascii="Verdana" w:hAnsi="Verdana"/>
          <w:sz w:val="16"/>
          <w:szCs w:val="16"/>
        </w:rPr>
        <w:t>razón</w:t>
      </w:r>
      <w:proofErr w:type="spellEnd"/>
      <w:r w:rsidRPr="001D32B8">
        <w:rPr>
          <w:rFonts w:ascii="Verdana" w:hAnsi="Verdana"/>
          <w:sz w:val="16"/>
          <w:szCs w:val="16"/>
        </w:rPr>
        <w:t xml:space="preserve"> que estima necesario que los diversos </w:t>
      </w:r>
      <w:proofErr w:type="spellStart"/>
      <w:r w:rsidRPr="001D32B8">
        <w:rPr>
          <w:rFonts w:ascii="Verdana" w:hAnsi="Verdana"/>
          <w:sz w:val="16"/>
          <w:szCs w:val="16"/>
        </w:rPr>
        <w:t>órganos</w:t>
      </w:r>
      <w:proofErr w:type="spellEnd"/>
      <w:r w:rsidRPr="001D32B8">
        <w:rPr>
          <w:rFonts w:ascii="Verdana" w:hAnsi="Verdana"/>
          <w:sz w:val="16"/>
          <w:szCs w:val="16"/>
        </w:rPr>
        <w:t xml:space="preserve"> del Estado </w:t>
      </w:r>
      <w:r w:rsidRPr="001D32B8">
        <w:rPr>
          <w:rFonts w:ascii="Verdana" w:hAnsi="Verdana"/>
          <w:i/>
          <w:sz w:val="16"/>
          <w:szCs w:val="16"/>
        </w:rPr>
        <w:t xml:space="preserve">realicen el correspondiente control de convencionalidad para la </w:t>
      </w:r>
      <w:proofErr w:type="spellStart"/>
      <w:r w:rsidRPr="001D32B8">
        <w:rPr>
          <w:rFonts w:ascii="Verdana" w:hAnsi="Verdana"/>
          <w:i/>
          <w:sz w:val="16"/>
          <w:szCs w:val="16"/>
        </w:rPr>
        <w:t>protección</w:t>
      </w:r>
      <w:proofErr w:type="spellEnd"/>
      <w:r w:rsidRPr="001D32B8">
        <w:rPr>
          <w:rFonts w:ascii="Verdana" w:hAnsi="Verdana"/>
          <w:i/>
          <w:sz w:val="16"/>
          <w:szCs w:val="16"/>
        </w:rPr>
        <w:t xml:space="preserve"> de </w:t>
      </w:r>
      <w:r w:rsidRPr="001D32B8">
        <w:rPr>
          <w:rFonts w:ascii="Verdana" w:hAnsi="Verdana"/>
          <w:sz w:val="16"/>
          <w:szCs w:val="16"/>
          <w:u w:val="single"/>
        </w:rPr>
        <w:t xml:space="preserve">todos los derechos </w:t>
      </w:r>
      <w:proofErr w:type="gramStart"/>
      <w:r w:rsidRPr="001D32B8">
        <w:rPr>
          <w:rFonts w:ascii="Verdana" w:hAnsi="Verdana"/>
          <w:sz w:val="16"/>
          <w:szCs w:val="16"/>
          <w:u w:val="single"/>
        </w:rPr>
        <w:t>humanos</w:t>
      </w:r>
      <w:r w:rsidRPr="001D32B8">
        <w:rPr>
          <w:rFonts w:ascii="Verdana" w:hAnsi="Verdana"/>
          <w:sz w:val="16"/>
          <w:szCs w:val="16"/>
        </w:rPr>
        <w:t>[</w:t>
      </w:r>
      <w:proofErr w:type="gramEnd"/>
      <w:r w:rsidRPr="001D32B8">
        <w:rPr>
          <w:rFonts w:ascii="Verdana" w:hAnsi="Verdana"/>
          <w:sz w:val="16"/>
          <w:szCs w:val="16"/>
        </w:rPr>
        <w:t>…]” (</w:t>
      </w:r>
      <w:proofErr w:type="spellStart"/>
      <w:r w:rsidRPr="001D32B8">
        <w:rPr>
          <w:rFonts w:ascii="Verdana" w:hAnsi="Verdana"/>
          <w:sz w:val="16"/>
          <w:szCs w:val="16"/>
        </w:rPr>
        <w:t>enfasis</w:t>
      </w:r>
      <w:proofErr w:type="spellEnd"/>
      <w:r w:rsidRPr="001D32B8">
        <w:rPr>
          <w:rFonts w:ascii="Verdana" w:hAnsi="Verdana"/>
          <w:sz w:val="16"/>
          <w:szCs w:val="16"/>
        </w:rPr>
        <w:t xml:space="preserve"> añadido). </w:t>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bCs/>
          <w:color w:val="000000"/>
          <w:sz w:val="16"/>
          <w:szCs w:val="16"/>
        </w:rPr>
        <w:t>M</w:t>
      </w:r>
      <w:r w:rsidRPr="001D32B8">
        <w:rPr>
          <w:rFonts w:ascii="Verdana" w:eastAsia="Times New Roman" w:hAnsi="Verdana"/>
          <w:bCs/>
          <w:i/>
          <w:color w:val="000000"/>
          <w:sz w:val="16"/>
          <w:szCs w:val="16"/>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1D32B8">
        <w:rPr>
          <w:rFonts w:ascii="Verdana" w:eastAsia="Times New Roman" w:hAnsi="Verdana"/>
          <w:bCs/>
          <w:color w:val="000000"/>
          <w:sz w:val="16"/>
          <w:szCs w:val="16"/>
        </w:rPr>
        <w:t xml:space="preserve">. Opinión Consultiva OC-23/17 de 15 de noviembre de 2017. Serie A No. 23, párr. 28. </w:t>
      </w:r>
    </w:p>
    <w:p w14:paraId="12873F28" w14:textId="1918F42B" w:rsidR="007451F5" w:rsidRPr="001D32B8" w:rsidRDefault="007451F5" w:rsidP="003A4786">
      <w:pPr>
        <w:pStyle w:val="FootnoteText"/>
        <w:jc w:val="both"/>
        <w:rPr>
          <w:rFonts w:ascii="Verdana" w:hAnsi="Verdana"/>
          <w:sz w:val="16"/>
          <w:szCs w:val="16"/>
        </w:rPr>
      </w:pPr>
      <w:r w:rsidRPr="001D32B8">
        <w:rPr>
          <w:rFonts w:ascii="Verdana" w:hAnsi="Verdana"/>
          <w:sz w:val="16"/>
          <w:szCs w:val="16"/>
        </w:rPr>
        <w:t xml:space="preserve"> </w:t>
      </w:r>
    </w:p>
  </w:footnote>
  <w:footnote w:id="42">
    <w:p w14:paraId="71282C4F" w14:textId="1E6AAB3C" w:rsidR="007451F5" w:rsidRPr="001D32B8" w:rsidRDefault="007451F5" w:rsidP="003A4786">
      <w:pPr>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Sobre este punto, es pertinente </w:t>
      </w:r>
      <w:r w:rsidR="00B97227">
        <w:rPr>
          <w:rFonts w:ascii="Verdana" w:hAnsi="Verdana"/>
          <w:sz w:val="16"/>
          <w:szCs w:val="16"/>
        </w:rPr>
        <w:t xml:space="preserve">recordar </w:t>
      </w:r>
      <w:r w:rsidRPr="001D32B8">
        <w:rPr>
          <w:rFonts w:ascii="Verdana" w:hAnsi="Verdana"/>
          <w:sz w:val="16"/>
          <w:szCs w:val="16"/>
        </w:rPr>
        <w:t xml:space="preserve">el criterio establecido en el caso </w:t>
      </w:r>
      <w:r w:rsidR="00B97227">
        <w:rPr>
          <w:rFonts w:ascii="Verdana" w:hAnsi="Verdana"/>
          <w:i/>
          <w:sz w:val="16"/>
          <w:szCs w:val="16"/>
        </w:rPr>
        <w:t>Acevedo Buendía</w:t>
      </w:r>
      <w:r w:rsidRPr="001D32B8">
        <w:rPr>
          <w:rFonts w:ascii="Verdana" w:hAnsi="Verdana"/>
          <w:i/>
          <w:sz w:val="16"/>
          <w:szCs w:val="16"/>
        </w:rPr>
        <w:t xml:space="preserve"> y otros</w:t>
      </w:r>
      <w:proofErr w:type="gramStart"/>
      <w:r w:rsidRPr="001D32B8">
        <w:rPr>
          <w:rFonts w:ascii="Verdana" w:hAnsi="Verdana"/>
          <w:i/>
          <w:sz w:val="16"/>
          <w:szCs w:val="16"/>
        </w:rPr>
        <w:t>:  “</w:t>
      </w:r>
      <w:proofErr w:type="gramEnd"/>
      <w:r w:rsidRPr="001D32B8">
        <w:rPr>
          <w:rFonts w:ascii="Verdana" w:hAnsi="Verdana"/>
          <w:sz w:val="16"/>
          <w:szCs w:val="16"/>
        </w:rPr>
        <w:t xml:space="preserve">100. Asimismo, resulta pertinente observar que si bien el </w:t>
      </w:r>
      <w:proofErr w:type="spellStart"/>
      <w:r w:rsidRPr="001D32B8">
        <w:rPr>
          <w:rFonts w:ascii="Verdana" w:hAnsi="Verdana"/>
          <w:sz w:val="16"/>
          <w:szCs w:val="16"/>
        </w:rPr>
        <w:t>artículo</w:t>
      </w:r>
      <w:proofErr w:type="spellEnd"/>
      <w:r w:rsidRPr="001D32B8">
        <w:rPr>
          <w:rFonts w:ascii="Verdana" w:hAnsi="Verdana"/>
          <w:sz w:val="16"/>
          <w:szCs w:val="16"/>
        </w:rPr>
        <w:t xml:space="preserve"> 26 se encuentra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III de la </w:t>
      </w:r>
      <w:proofErr w:type="spellStart"/>
      <w:r w:rsidRPr="001D32B8">
        <w:rPr>
          <w:rFonts w:ascii="Verdana" w:hAnsi="Verdana"/>
          <w:sz w:val="16"/>
          <w:szCs w:val="16"/>
        </w:rPr>
        <w:t>Convención</w:t>
      </w:r>
      <w:proofErr w:type="spellEnd"/>
      <w:r w:rsidRPr="001D32B8">
        <w:rPr>
          <w:rFonts w:ascii="Verdana" w:hAnsi="Verdana"/>
          <w:sz w:val="16"/>
          <w:szCs w:val="16"/>
        </w:rPr>
        <w:t xml:space="preserve">, titulado “Derechos </w:t>
      </w:r>
      <w:proofErr w:type="spellStart"/>
      <w:r w:rsidRPr="001D32B8">
        <w:rPr>
          <w:rFonts w:ascii="Verdana" w:hAnsi="Verdana"/>
          <w:sz w:val="16"/>
          <w:szCs w:val="16"/>
        </w:rPr>
        <w:t>Económicos</w:t>
      </w:r>
      <w:proofErr w:type="spellEnd"/>
      <w:r w:rsidRPr="001D32B8">
        <w:rPr>
          <w:rFonts w:ascii="Verdana" w:hAnsi="Verdana"/>
          <w:sz w:val="16"/>
          <w:szCs w:val="16"/>
        </w:rPr>
        <w:t xml:space="preserve">, Sociales y Culturales”, se ubica, </w:t>
      </w:r>
      <w:proofErr w:type="spellStart"/>
      <w:r w:rsidRPr="001D32B8">
        <w:rPr>
          <w:rFonts w:ascii="Verdana" w:hAnsi="Verdana"/>
          <w:sz w:val="16"/>
          <w:szCs w:val="16"/>
        </w:rPr>
        <w:t>también</w:t>
      </w:r>
      <w:proofErr w:type="spellEnd"/>
      <w:r w:rsidRPr="001D32B8">
        <w:rPr>
          <w:rFonts w:ascii="Verdana" w:hAnsi="Verdana"/>
          <w:sz w:val="16"/>
          <w:szCs w:val="16"/>
        </w:rPr>
        <w:t xml:space="preserve">, en la Parte I de dicho instrumento, titulado “Deberes de los Estados y Derechos Protegidos” y, por ende, está sujeto a las obligaciones generales contenidas en los </w:t>
      </w:r>
      <w:proofErr w:type="spellStart"/>
      <w:r w:rsidRPr="001D32B8">
        <w:rPr>
          <w:rFonts w:ascii="Verdana" w:hAnsi="Verdana"/>
          <w:sz w:val="16"/>
          <w:szCs w:val="16"/>
        </w:rPr>
        <w:t>artículos</w:t>
      </w:r>
      <w:proofErr w:type="spellEnd"/>
      <w:r w:rsidRPr="001D32B8">
        <w:rPr>
          <w:rFonts w:ascii="Verdana" w:hAnsi="Verdana"/>
          <w:sz w:val="16"/>
          <w:szCs w:val="16"/>
        </w:rPr>
        <w:t xml:space="preserve"> 1.1 y 2 </w:t>
      </w:r>
      <w:proofErr w:type="spellStart"/>
      <w:r w:rsidRPr="001D32B8">
        <w:rPr>
          <w:rFonts w:ascii="Verdana" w:hAnsi="Verdana"/>
          <w:sz w:val="16"/>
          <w:szCs w:val="16"/>
        </w:rPr>
        <w:t>señalados</w:t>
      </w:r>
      <w:proofErr w:type="spellEnd"/>
      <w:r w:rsidRPr="001D32B8">
        <w:rPr>
          <w:rFonts w:ascii="Verdana" w:hAnsi="Verdana"/>
          <w:sz w:val="16"/>
          <w:szCs w:val="16"/>
        </w:rPr>
        <w:t xml:space="preserve">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 (titulado “</w:t>
      </w:r>
      <w:proofErr w:type="spellStart"/>
      <w:r w:rsidRPr="001D32B8">
        <w:rPr>
          <w:rFonts w:ascii="Verdana" w:hAnsi="Verdana"/>
          <w:sz w:val="16"/>
          <w:szCs w:val="16"/>
        </w:rPr>
        <w:t>Enumeración</w:t>
      </w:r>
      <w:proofErr w:type="spellEnd"/>
      <w:r w:rsidRPr="001D32B8">
        <w:rPr>
          <w:rFonts w:ascii="Verdana" w:hAnsi="Verdana"/>
          <w:sz w:val="16"/>
          <w:szCs w:val="16"/>
        </w:rPr>
        <w:t xml:space="preserve"> de Deberes”), </w:t>
      </w:r>
      <w:proofErr w:type="spellStart"/>
      <w:r w:rsidRPr="001D32B8">
        <w:rPr>
          <w:rFonts w:ascii="Verdana" w:hAnsi="Verdana"/>
          <w:sz w:val="16"/>
          <w:szCs w:val="16"/>
        </w:rPr>
        <w:t>asi</w:t>
      </w:r>
      <w:proofErr w:type="spellEnd"/>
      <w:r w:rsidRPr="001D32B8">
        <w:rPr>
          <w:rFonts w:ascii="Verdana" w:hAnsi="Verdana"/>
          <w:sz w:val="16"/>
          <w:szCs w:val="16"/>
        </w:rPr>
        <w:t xml:space="preserve">́ como lo </w:t>
      </w:r>
      <w:proofErr w:type="spellStart"/>
      <w:r w:rsidRPr="001D32B8">
        <w:rPr>
          <w:rFonts w:ascii="Verdana" w:hAnsi="Verdana"/>
          <w:sz w:val="16"/>
          <w:szCs w:val="16"/>
        </w:rPr>
        <w:t>están</w:t>
      </w:r>
      <w:proofErr w:type="spellEnd"/>
      <w:r w:rsidRPr="001D32B8">
        <w:rPr>
          <w:rFonts w:ascii="Verdana" w:hAnsi="Verdana"/>
          <w:sz w:val="16"/>
          <w:szCs w:val="16"/>
        </w:rPr>
        <w:t xml:space="preserve"> los </w:t>
      </w:r>
      <w:proofErr w:type="spellStart"/>
      <w:r w:rsidRPr="001D32B8">
        <w:rPr>
          <w:rFonts w:ascii="Verdana" w:hAnsi="Verdana"/>
          <w:sz w:val="16"/>
          <w:szCs w:val="16"/>
        </w:rPr>
        <w:t>artículos</w:t>
      </w:r>
      <w:proofErr w:type="spellEnd"/>
      <w:r w:rsidRPr="001D32B8">
        <w:rPr>
          <w:rFonts w:ascii="Verdana" w:hAnsi="Verdana"/>
          <w:sz w:val="16"/>
          <w:szCs w:val="16"/>
        </w:rPr>
        <w:t xml:space="preserve"> 3 al 25 </w:t>
      </w:r>
      <w:proofErr w:type="spellStart"/>
      <w:r w:rsidRPr="001D32B8">
        <w:rPr>
          <w:rFonts w:ascii="Verdana" w:hAnsi="Verdana"/>
          <w:sz w:val="16"/>
          <w:szCs w:val="16"/>
        </w:rPr>
        <w:t>señalados</w:t>
      </w:r>
      <w:proofErr w:type="spellEnd"/>
      <w:r w:rsidRPr="001D32B8">
        <w:rPr>
          <w:rFonts w:ascii="Verdana" w:hAnsi="Verdana"/>
          <w:sz w:val="16"/>
          <w:szCs w:val="16"/>
        </w:rPr>
        <w:t xml:space="preserve">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II (titulado “Derechos Civiles y </w:t>
      </w:r>
      <w:proofErr w:type="spellStart"/>
      <w:r w:rsidRPr="001D32B8">
        <w:rPr>
          <w:rFonts w:ascii="Verdana" w:hAnsi="Verdana"/>
          <w:sz w:val="16"/>
          <w:szCs w:val="16"/>
        </w:rPr>
        <w:t>Políticos</w:t>
      </w:r>
      <w:proofErr w:type="spellEnd"/>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Acevedo Buendía y otros (“Cesantes y Jubilados de la Contraloría”) Vs. Perú. Excepción Preliminar, Fondo, Reparaciones y Costas</w:t>
      </w:r>
      <w:r w:rsidRPr="001D32B8">
        <w:rPr>
          <w:rFonts w:ascii="Verdana" w:eastAsia="Times New Roman" w:hAnsi="Verdana" w:cs="Times New Roman"/>
          <w:bCs/>
          <w:color w:val="000000"/>
          <w:sz w:val="16"/>
          <w:szCs w:val="16"/>
          <w:lang w:val="es-MX"/>
        </w:rPr>
        <w:t>. Sentencia de 1 de julio de 2009. Serie C No. 198, párr. 100.</w:t>
      </w:r>
    </w:p>
    <w:p w14:paraId="6ADBE7EE" w14:textId="77777777" w:rsidR="007451F5" w:rsidRPr="001D32B8" w:rsidRDefault="007451F5" w:rsidP="003A4786">
      <w:pPr>
        <w:jc w:val="both"/>
        <w:rPr>
          <w:rFonts w:ascii="Verdana" w:eastAsia="Times New Roman" w:hAnsi="Verdana" w:cs="Times New Roman"/>
          <w:sz w:val="16"/>
          <w:szCs w:val="16"/>
          <w:lang w:val="es-MX"/>
        </w:rPr>
      </w:pPr>
    </w:p>
  </w:footnote>
  <w:footnote w:id="43">
    <w:p w14:paraId="77C35C74" w14:textId="3F62A41A" w:rsidR="007451F5" w:rsidRPr="001D32B8" w:rsidRDefault="007451F5" w:rsidP="00C439DC">
      <w:pPr>
        <w:pStyle w:val="NormalWeb"/>
        <w:spacing w:before="0" w:beforeAutospacing="0" w:after="0" w:afterAutospacing="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 xml:space="preserve">En similar sentido, la Corte IDH externó que: “102. […] </w:t>
      </w:r>
      <w:proofErr w:type="spellStart"/>
      <w:r w:rsidRPr="001D32B8">
        <w:rPr>
          <w:rFonts w:ascii="Verdana" w:hAnsi="Verdana"/>
          <w:sz w:val="16"/>
          <w:szCs w:val="16"/>
        </w:rPr>
        <w:t>Asi</w:t>
      </w:r>
      <w:proofErr w:type="spellEnd"/>
      <w:r w:rsidRPr="001D32B8">
        <w:rPr>
          <w:rFonts w:ascii="Verdana" w:hAnsi="Verdana"/>
          <w:sz w:val="16"/>
          <w:szCs w:val="16"/>
        </w:rPr>
        <w:t xml:space="preserve">́, la </w:t>
      </w:r>
      <w:proofErr w:type="spellStart"/>
      <w:r w:rsidRPr="001D32B8">
        <w:rPr>
          <w:rFonts w:ascii="Verdana" w:hAnsi="Verdana"/>
          <w:sz w:val="16"/>
          <w:szCs w:val="16"/>
        </w:rPr>
        <w:t>implementación</w:t>
      </w:r>
      <w:proofErr w:type="spellEnd"/>
      <w:r w:rsidRPr="001D32B8">
        <w:rPr>
          <w:rFonts w:ascii="Verdana" w:hAnsi="Verdana"/>
          <w:sz w:val="16"/>
          <w:szCs w:val="16"/>
        </w:rPr>
        <w:t xml:space="preserve"> progresiva de dichas medidas </w:t>
      </w:r>
      <w:proofErr w:type="spellStart"/>
      <w:r w:rsidRPr="001D32B8">
        <w:rPr>
          <w:rFonts w:ascii="Verdana" w:hAnsi="Verdana"/>
          <w:sz w:val="16"/>
          <w:szCs w:val="16"/>
        </w:rPr>
        <w:t>podra</w:t>
      </w:r>
      <w:proofErr w:type="spellEnd"/>
      <w:r w:rsidRPr="001D32B8">
        <w:rPr>
          <w:rFonts w:ascii="Verdana" w:hAnsi="Verdana"/>
          <w:sz w:val="16"/>
          <w:szCs w:val="16"/>
        </w:rPr>
        <w:t xml:space="preserve">́ ser objeto de </w:t>
      </w:r>
      <w:proofErr w:type="spellStart"/>
      <w:r w:rsidRPr="001D32B8">
        <w:rPr>
          <w:rFonts w:ascii="Verdana" w:hAnsi="Verdana"/>
          <w:sz w:val="16"/>
          <w:szCs w:val="16"/>
        </w:rPr>
        <w:t>rendición</w:t>
      </w:r>
      <w:proofErr w:type="spellEnd"/>
      <w:r w:rsidRPr="001D32B8">
        <w:rPr>
          <w:rFonts w:ascii="Verdana" w:hAnsi="Verdana"/>
          <w:sz w:val="16"/>
          <w:szCs w:val="16"/>
        </w:rPr>
        <w:t xml:space="preserve"> de cuentas y, de ser el caso, el cumplimiento del respectivo compromiso adquirido por el Estado </w:t>
      </w:r>
      <w:proofErr w:type="spellStart"/>
      <w:r w:rsidRPr="001D32B8">
        <w:rPr>
          <w:rFonts w:ascii="Verdana" w:hAnsi="Verdana"/>
          <w:sz w:val="16"/>
          <w:szCs w:val="16"/>
        </w:rPr>
        <w:t>podra</w:t>
      </w:r>
      <w:proofErr w:type="spellEnd"/>
      <w:r w:rsidRPr="001D32B8">
        <w:rPr>
          <w:rFonts w:ascii="Verdana" w:hAnsi="Verdana"/>
          <w:sz w:val="16"/>
          <w:szCs w:val="16"/>
        </w:rPr>
        <w:t xml:space="preserve">́ ser exigido ante las instancias llamadas a resolver eventuales violaciones a los derechos humanos. </w:t>
      </w:r>
      <w:r w:rsidRPr="001D32B8">
        <w:rPr>
          <w:rFonts w:ascii="Verdana" w:eastAsia="Times New Roman" w:hAnsi="Verdana"/>
          <w:bCs/>
          <w:i/>
          <w:color w:val="000000"/>
          <w:sz w:val="16"/>
          <w:szCs w:val="16"/>
        </w:rPr>
        <w:t>Caso Acevedo Buendía y otros (“Cesantes y Jubilados de la Contraloría”) Vs. Perú. Excepción Preliminar, Fondo, Reparaciones y Costas</w:t>
      </w:r>
      <w:r w:rsidRPr="001D32B8">
        <w:rPr>
          <w:rFonts w:ascii="Verdana" w:eastAsia="Times New Roman" w:hAnsi="Verdana"/>
          <w:bCs/>
          <w:color w:val="000000"/>
          <w:sz w:val="16"/>
          <w:szCs w:val="16"/>
        </w:rPr>
        <w:t>. Sentencia de 1 de julio de 2009. Serie C No. 198, párr. 102.</w:t>
      </w:r>
    </w:p>
    <w:p w14:paraId="616670E0" w14:textId="1CBEBF49" w:rsidR="007451F5" w:rsidRPr="001D32B8" w:rsidRDefault="007451F5" w:rsidP="003A4786">
      <w:pPr>
        <w:pStyle w:val="FootnoteText"/>
        <w:jc w:val="both"/>
        <w:rPr>
          <w:rFonts w:ascii="Verdana" w:hAnsi="Verdana"/>
          <w:sz w:val="16"/>
          <w:szCs w:val="16"/>
        </w:rPr>
      </w:pPr>
      <w:r w:rsidRPr="001D32B8">
        <w:rPr>
          <w:rFonts w:ascii="Verdana" w:hAnsi="Verdana"/>
          <w:sz w:val="16"/>
          <w:szCs w:val="16"/>
        </w:rPr>
        <w:t xml:space="preserve"> </w:t>
      </w:r>
    </w:p>
  </w:footnote>
  <w:footnote w:id="44">
    <w:p w14:paraId="39188F7B" w14:textId="46D625B9" w:rsidR="007451F5" w:rsidRPr="001D32B8" w:rsidRDefault="007451F5" w:rsidP="00C439DC">
      <w:pPr>
        <w:pStyle w:val="NormalWeb"/>
        <w:spacing w:before="0" w:beforeAutospacing="0" w:after="0" w:afterAutospacing="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En el caso la Corte IDH consideró que: “184. </w:t>
      </w:r>
      <w:proofErr w:type="spellStart"/>
      <w:r w:rsidRPr="001D32B8">
        <w:rPr>
          <w:rFonts w:ascii="Verdana" w:hAnsi="Verdana"/>
          <w:sz w:val="16"/>
          <w:szCs w:val="16"/>
        </w:rPr>
        <w:t>Asi</w:t>
      </w:r>
      <w:proofErr w:type="spellEnd"/>
      <w:r w:rsidRPr="001D32B8">
        <w:rPr>
          <w:rFonts w:ascii="Verdana" w:hAnsi="Verdana"/>
          <w:sz w:val="16"/>
          <w:szCs w:val="16"/>
        </w:rPr>
        <w:t xml:space="preserve">́, el Tribunal estima, que si bien el recurso de amparo estaba </w:t>
      </w:r>
      <w:proofErr w:type="spellStart"/>
      <w:r w:rsidRPr="001D32B8">
        <w:rPr>
          <w:rFonts w:ascii="Verdana" w:hAnsi="Verdana"/>
          <w:sz w:val="16"/>
          <w:szCs w:val="16"/>
        </w:rPr>
        <w:t>diseñado</w:t>
      </w:r>
      <w:proofErr w:type="spellEnd"/>
      <w:r w:rsidRPr="001D32B8">
        <w:rPr>
          <w:rFonts w:ascii="Verdana" w:hAnsi="Verdana"/>
          <w:sz w:val="16"/>
          <w:szCs w:val="16"/>
        </w:rPr>
        <w:t xml:space="preserve"> para tutelar los derechos constitucionales, en el presente caso, la falta de </w:t>
      </w:r>
      <w:proofErr w:type="spellStart"/>
      <w:r w:rsidRPr="001D32B8">
        <w:rPr>
          <w:rFonts w:ascii="Verdana" w:hAnsi="Verdana"/>
          <w:sz w:val="16"/>
          <w:szCs w:val="16"/>
        </w:rPr>
        <w:t>consideración</w:t>
      </w:r>
      <w:proofErr w:type="spellEnd"/>
      <w:r w:rsidRPr="001D32B8">
        <w:rPr>
          <w:rFonts w:ascii="Verdana" w:hAnsi="Verdana"/>
          <w:sz w:val="16"/>
          <w:szCs w:val="16"/>
        </w:rPr>
        <w:t xml:space="preserve"> de los </w:t>
      </w:r>
      <w:r w:rsidRPr="001D32B8">
        <w:rPr>
          <w:rFonts w:ascii="Verdana" w:hAnsi="Verdana"/>
          <w:i/>
          <w:iCs/>
          <w:sz w:val="16"/>
          <w:szCs w:val="16"/>
        </w:rPr>
        <w:t>derechos a la estabilidad laboral y debido proceso</w:t>
      </w:r>
      <w:r w:rsidRPr="001D32B8">
        <w:rPr>
          <w:rFonts w:ascii="Verdana" w:hAnsi="Verdana"/>
          <w:sz w:val="16"/>
          <w:szCs w:val="16"/>
        </w:rPr>
        <w:t xml:space="preserve">, impidieron que el recurso de amparo pudiera producir el resultado para el cual fue concebido […]”. </w:t>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bCs/>
          <w:i/>
          <w:color w:val="000000"/>
          <w:sz w:val="16"/>
          <w:szCs w:val="16"/>
        </w:rPr>
        <w:t>Caso Lagos del Campo Vs. Perú. Excepciones Preliminares, Fondo, Reparaciones y Costas</w:t>
      </w:r>
      <w:r w:rsidRPr="001D32B8">
        <w:rPr>
          <w:rFonts w:ascii="Verdana" w:eastAsia="Times New Roman" w:hAnsi="Verdana"/>
          <w:bCs/>
          <w:color w:val="000000"/>
          <w:sz w:val="16"/>
          <w:szCs w:val="16"/>
        </w:rPr>
        <w:t xml:space="preserve">. Sentencia de 31 de agosto de 2017. Serie C No. 340, párr. </w:t>
      </w:r>
      <w:r w:rsidRPr="001D32B8">
        <w:rPr>
          <w:rFonts w:ascii="Verdana" w:hAnsi="Verdana"/>
          <w:sz w:val="16"/>
          <w:szCs w:val="16"/>
        </w:rPr>
        <w:t xml:space="preserve">184.  </w:t>
      </w:r>
    </w:p>
    <w:p w14:paraId="713808DF" w14:textId="77777777" w:rsidR="007451F5" w:rsidRPr="001D32B8" w:rsidRDefault="007451F5" w:rsidP="00C439DC">
      <w:pPr>
        <w:pStyle w:val="NormalWeb"/>
        <w:spacing w:before="0" w:beforeAutospacing="0" w:after="0" w:afterAutospacing="0"/>
        <w:jc w:val="both"/>
        <w:rPr>
          <w:rFonts w:ascii="Verdana" w:hAnsi="Verdana"/>
          <w:sz w:val="16"/>
          <w:szCs w:val="16"/>
        </w:rPr>
      </w:pPr>
    </w:p>
  </w:footnote>
  <w:footnote w:id="45">
    <w:p w14:paraId="6186783F" w14:textId="6448DC0D" w:rsidR="007451F5" w:rsidRPr="001D32B8" w:rsidRDefault="007451F5" w:rsidP="000B31B3">
      <w:pPr>
        <w:pStyle w:val="NormalWeb"/>
        <w:spacing w:before="0" w:beforeAutospacing="0" w:after="0" w:afterAutospacing="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En </w:t>
      </w:r>
      <w:r w:rsidR="00B97227">
        <w:rPr>
          <w:rFonts w:ascii="Verdana" w:hAnsi="Verdana"/>
          <w:sz w:val="16"/>
          <w:szCs w:val="16"/>
        </w:rPr>
        <w:t>la Sentencia se</w:t>
      </w:r>
      <w:r w:rsidRPr="001D32B8">
        <w:rPr>
          <w:rFonts w:ascii="Verdana" w:hAnsi="Verdana"/>
          <w:sz w:val="16"/>
          <w:szCs w:val="16"/>
        </w:rPr>
        <w:t xml:space="preserve"> consideró que: “178. La Corte considera que el Tribunal Constitucional se encontraba obligado a realizar una adecuada </w:t>
      </w:r>
      <w:proofErr w:type="spellStart"/>
      <w:r w:rsidRPr="001D32B8">
        <w:rPr>
          <w:rFonts w:ascii="Verdana" w:hAnsi="Verdana"/>
          <w:sz w:val="16"/>
          <w:szCs w:val="16"/>
        </w:rPr>
        <w:t>revisión</w:t>
      </w:r>
      <w:proofErr w:type="spellEnd"/>
      <w:r w:rsidRPr="001D32B8">
        <w:rPr>
          <w:rFonts w:ascii="Verdana" w:hAnsi="Verdana"/>
          <w:sz w:val="16"/>
          <w:szCs w:val="16"/>
        </w:rPr>
        <w:t xml:space="preserve"> judicial del acto reclamado como violatorio por las presuntas </w:t>
      </w:r>
      <w:proofErr w:type="spellStart"/>
      <w:r w:rsidRPr="001D32B8">
        <w:rPr>
          <w:rFonts w:ascii="Verdana" w:hAnsi="Verdana"/>
          <w:sz w:val="16"/>
          <w:szCs w:val="16"/>
        </w:rPr>
        <w:t>víctimas</w:t>
      </w:r>
      <w:proofErr w:type="spellEnd"/>
      <w:r w:rsidRPr="001D32B8">
        <w:rPr>
          <w:rFonts w:ascii="Verdana" w:hAnsi="Verdana"/>
          <w:sz w:val="16"/>
          <w:szCs w:val="16"/>
        </w:rPr>
        <w:t xml:space="preserve">, lo cual implicaba examinar los alegatos y argumentos sometidos a su conocimiento sobre la </w:t>
      </w:r>
      <w:proofErr w:type="spellStart"/>
      <w:r w:rsidRPr="001D32B8">
        <w:rPr>
          <w:rFonts w:ascii="Verdana" w:hAnsi="Verdana"/>
          <w:sz w:val="16"/>
          <w:szCs w:val="16"/>
        </w:rPr>
        <w:t>decisión</w:t>
      </w:r>
      <w:proofErr w:type="spellEnd"/>
      <w:r w:rsidRPr="001D32B8">
        <w:rPr>
          <w:rFonts w:ascii="Verdana" w:hAnsi="Verdana"/>
          <w:sz w:val="16"/>
          <w:szCs w:val="16"/>
        </w:rPr>
        <w:t xml:space="preserve"> del MEF respecto al cese por causal de excedencia, sin declinar su competencia para conocer de ellos o al determinar los hechos […]”. </w:t>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bCs/>
          <w:i/>
          <w:color w:val="000000"/>
          <w:sz w:val="16"/>
          <w:szCs w:val="16"/>
        </w:rPr>
        <w:t>Caso Trabajadores Cesados de Petroperú y otros Vs. Perú. Excepciones Preliminares, Fondo, Reparaciones y Costas.</w:t>
      </w:r>
      <w:r w:rsidRPr="001D32B8">
        <w:rPr>
          <w:rFonts w:ascii="Verdana" w:eastAsia="Times New Roman" w:hAnsi="Verdana"/>
          <w:bCs/>
          <w:color w:val="000000"/>
          <w:sz w:val="16"/>
          <w:szCs w:val="16"/>
        </w:rPr>
        <w:t xml:space="preserve"> Sentencia de 23 de noviembre 2017. Serie C No. 344, párr. </w:t>
      </w:r>
      <w:r w:rsidRPr="001D32B8">
        <w:rPr>
          <w:rFonts w:ascii="Verdana" w:hAnsi="Verdana"/>
          <w:sz w:val="16"/>
          <w:szCs w:val="16"/>
        </w:rPr>
        <w:t>178.</w:t>
      </w:r>
    </w:p>
    <w:p w14:paraId="56A6E1B5" w14:textId="77777777" w:rsidR="007451F5" w:rsidRPr="001D32B8" w:rsidRDefault="007451F5">
      <w:pPr>
        <w:pStyle w:val="FootnoteText"/>
        <w:rPr>
          <w:rFonts w:ascii="Verdana" w:hAnsi="Verdana"/>
          <w:sz w:val="16"/>
          <w:szCs w:val="16"/>
        </w:rPr>
      </w:pPr>
    </w:p>
  </w:footnote>
  <w:footnote w:id="46">
    <w:p w14:paraId="32C19014" w14:textId="2DEEE935" w:rsidR="007451F5" w:rsidRPr="001D32B8" w:rsidRDefault="007451F5" w:rsidP="00C439DC">
      <w:pPr>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párr. </w:t>
      </w:r>
      <w:r w:rsidRPr="001D32B8">
        <w:rPr>
          <w:rFonts w:ascii="Verdana" w:hAnsi="Verdana"/>
          <w:sz w:val="16"/>
          <w:szCs w:val="16"/>
        </w:rPr>
        <w:t xml:space="preserve">178. </w:t>
      </w:r>
    </w:p>
    <w:p w14:paraId="5B62C0D7" w14:textId="77777777" w:rsidR="007451F5" w:rsidRPr="001D32B8" w:rsidRDefault="007451F5" w:rsidP="00C439DC">
      <w:pPr>
        <w:jc w:val="both"/>
        <w:rPr>
          <w:rFonts w:ascii="Verdana" w:eastAsia="Times New Roman" w:hAnsi="Verdana" w:cs="Times New Roman"/>
          <w:bCs/>
          <w:color w:val="000000"/>
          <w:sz w:val="16"/>
          <w:szCs w:val="16"/>
          <w:lang w:val="es-MX"/>
        </w:rPr>
      </w:pPr>
    </w:p>
  </w:footnote>
  <w:footnote w:id="47">
    <w:p w14:paraId="101F969E" w14:textId="7E0C651B" w:rsidR="007451F5" w:rsidRPr="001D32B8" w:rsidRDefault="007451F5" w:rsidP="00C439DC">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párr. </w:t>
      </w:r>
      <w:r w:rsidRPr="001D32B8">
        <w:rPr>
          <w:rFonts w:ascii="Verdana" w:hAnsi="Verdana"/>
          <w:sz w:val="16"/>
          <w:szCs w:val="16"/>
        </w:rPr>
        <w:t xml:space="preserve">184. </w:t>
      </w:r>
    </w:p>
    <w:p w14:paraId="3C8FBF2F" w14:textId="77777777" w:rsidR="007451F5" w:rsidRPr="001D32B8" w:rsidRDefault="007451F5" w:rsidP="003A4786">
      <w:pPr>
        <w:pStyle w:val="FootnoteText"/>
        <w:jc w:val="both"/>
        <w:rPr>
          <w:rFonts w:ascii="Verdana" w:hAnsi="Verdana"/>
          <w:sz w:val="16"/>
          <w:szCs w:val="16"/>
        </w:rPr>
      </w:pPr>
    </w:p>
  </w:footnote>
  <w:footnote w:id="48">
    <w:p w14:paraId="2299DA95" w14:textId="441C51A8"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Sin embargo existen ciertos derechos de esta naturaleza que también son de incidencia colectiva y tienen su máxima expresión cuando son ejercidos por una colectividad, como </w:t>
      </w:r>
      <w:r w:rsidR="00B97227">
        <w:rPr>
          <w:rFonts w:ascii="Verdana" w:hAnsi="Verdana"/>
          <w:sz w:val="16"/>
          <w:szCs w:val="16"/>
        </w:rPr>
        <w:t xml:space="preserve">pueden ser los </w:t>
      </w:r>
      <w:r w:rsidRPr="001D32B8">
        <w:rPr>
          <w:rFonts w:ascii="Verdana" w:hAnsi="Verdana"/>
          <w:sz w:val="16"/>
          <w:szCs w:val="16"/>
        </w:rPr>
        <w:t>derecho</w:t>
      </w:r>
      <w:r w:rsidR="00B97227">
        <w:rPr>
          <w:rFonts w:ascii="Verdana" w:hAnsi="Verdana"/>
          <w:sz w:val="16"/>
          <w:szCs w:val="16"/>
        </w:rPr>
        <w:t>s</w:t>
      </w:r>
      <w:r w:rsidRPr="001D32B8">
        <w:rPr>
          <w:rFonts w:ascii="Verdana" w:hAnsi="Verdana"/>
          <w:sz w:val="16"/>
          <w:szCs w:val="16"/>
        </w:rPr>
        <w:t xml:space="preserve"> de asociación o reunión. </w:t>
      </w:r>
    </w:p>
    <w:p w14:paraId="1DC45AB1" w14:textId="77777777" w:rsidR="007451F5" w:rsidRPr="001D32B8" w:rsidRDefault="007451F5" w:rsidP="003A4786">
      <w:pPr>
        <w:pStyle w:val="FootnoteText"/>
        <w:jc w:val="both"/>
        <w:rPr>
          <w:rFonts w:ascii="Verdana" w:hAnsi="Verdana"/>
          <w:b/>
          <w:sz w:val="16"/>
          <w:szCs w:val="16"/>
        </w:rPr>
      </w:pPr>
    </w:p>
  </w:footnote>
  <w:footnote w:id="49">
    <w:p w14:paraId="2763A740" w14:textId="0057F8C5" w:rsidR="007451F5" w:rsidRPr="001D32B8" w:rsidRDefault="007451F5" w:rsidP="003A4786">
      <w:pPr>
        <w:pStyle w:val="NormalWeb"/>
        <w:spacing w:before="0" w:beforeAutospacing="0" w:after="0" w:afterAutospacing="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Por ejemplo en la Opinión Consultiva No. 23 la Corte IDH consideró que el derecho al medio ambiente tiene connotaciones individuales y colectivas. Sobre este punto señaló que: </w:t>
      </w:r>
      <w:r>
        <w:rPr>
          <w:rFonts w:ascii="Verdana" w:hAnsi="Verdana"/>
          <w:sz w:val="16"/>
          <w:szCs w:val="16"/>
        </w:rPr>
        <w:t>“</w:t>
      </w:r>
      <w:r w:rsidRPr="001D32B8">
        <w:rPr>
          <w:rFonts w:ascii="Verdana" w:hAnsi="Verdana"/>
          <w:sz w:val="16"/>
          <w:szCs w:val="16"/>
        </w:rPr>
        <w:t xml:space="preserve">59. El derecho humano a un medio ambiente sano se ha entendido como un derecho con connotaciones tanto individuales como colectivas. En su </w:t>
      </w:r>
      <w:proofErr w:type="spellStart"/>
      <w:r w:rsidRPr="001D32B8">
        <w:rPr>
          <w:rFonts w:ascii="Verdana" w:hAnsi="Verdana"/>
          <w:sz w:val="16"/>
          <w:szCs w:val="16"/>
        </w:rPr>
        <w:t>dimensión</w:t>
      </w:r>
      <w:proofErr w:type="spellEnd"/>
      <w:r w:rsidRPr="001D32B8">
        <w:rPr>
          <w:rFonts w:ascii="Verdana" w:hAnsi="Verdana"/>
          <w:sz w:val="16"/>
          <w:szCs w:val="16"/>
        </w:rPr>
        <w:t xml:space="preserve"> colectiva, el derecho a un medio ambiente sano constituye un </w:t>
      </w:r>
      <w:proofErr w:type="spellStart"/>
      <w:r w:rsidRPr="001D32B8">
        <w:rPr>
          <w:rFonts w:ascii="Verdana" w:hAnsi="Verdana"/>
          <w:sz w:val="16"/>
          <w:szCs w:val="16"/>
        </w:rPr>
        <w:t>interés</w:t>
      </w:r>
      <w:proofErr w:type="spellEnd"/>
      <w:r w:rsidRPr="001D32B8">
        <w:rPr>
          <w:rFonts w:ascii="Verdana" w:hAnsi="Verdana"/>
          <w:sz w:val="16"/>
          <w:szCs w:val="16"/>
        </w:rPr>
        <w:t xml:space="preserve"> universal, que se debe tanto a las generaciones presentes y futuras. Ahora bien, el derecho al medio ambiente sano </w:t>
      </w:r>
      <w:proofErr w:type="spellStart"/>
      <w:r w:rsidRPr="001D32B8">
        <w:rPr>
          <w:rFonts w:ascii="Verdana" w:hAnsi="Verdana"/>
          <w:sz w:val="16"/>
          <w:szCs w:val="16"/>
        </w:rPr>
        <w:t>también</w:t>
      </w:r>
      <w:proofErr w:type="spellEnd"/>
      <w:r w:rsidRPr="001D32B8">
        <w:rPr>
          <w:rFonts w:ascii="Verdana" w:hAnsi="Verdana"/>
          <w:sz w:val="16"/>
          <w:szCs w:val="16"/>
        </w:rPr>
        <w:t xml:space="preserve"> tiene una </w:t>
      </w:r>
      <w:proofErr w:type="spellStart"/>
      <w:r w:rsidRPr="001D32B8">
        <w:rPr>
          <w:rFonts w:ascii="Verdana" w:hAnsi="Verdana"/>
          <w:sz w:val="16"/>
          <w:szCs w:val="16"/>
        </w:rPr>
        <w:t>dimensión</w:t>
      </w:r>
      <w:proofErr w:type="spellEnd"/>
      <w:r w:rsidRPr="001D32B8">
        <w:rPr>
          <w:rFonts w:ascii="Verdana" w:hAnsi="Verdana"/>
          <w:sz w:val="16"/>
          <w:szCs w:val="16"/>
        </w:rPr>
        <w:t xml:space="preserve"> individual, en la medida en que su </w:t>
      </w:r>
      <w:proofErr w:type="spellStart"/>
      <w:r w:rsidRPr="001D32B8">
        <w:rPr>
          <w:rFonts w:ascii="Verdana" w:hAnsi="Verdana"/>
          <w:sz w:val="16"/>
          <w:szCs w:val="16"/>
        </w:rPr>
        <w:t>vulneración</w:t>
      </w:r>
      <w:proofErr w:type="spellEnd"/>
      <w:r w:rsidRPr="001D32B8">
        <w:rPr>
          <w:rFonts w:ascii="Verdana" w:hAnsi="Verdana"/>
          <w:sz w:val="16"/>
          <w:szCs w:val="16"/>
        </w:rPr>
        <w:t xml:space="preserve"> puede tener repercusiones directas o indirectas sobre las personas debido a su conexidad con otros derechos, tales como el derecho a la salud, la integridad personal o la vida, entre otros. La </w:t>
      </w:r>
      <w:proofErr w:type="spellStart"/>
      <w:r w:rsidRPr="001D32B8">
        <w:rPr>
          <w:rFonts w:ascii="Verdana" w:hAnsi="Verdana"/>
          <w:sz w:val="16"/>
          <w:szCs w:val="16"/>
        </w:rPr>
        <w:t>degradación</w:t>
      </w:r>
      <w:proofErr w:type="spellEnd"/>
      <w:r w:rsidRPr="001D32B8">
        <w:rPr>
          <w:rFonts w:ascii="Verdana" w:hAnsi="Verdana"/>
          <w:sz w:val="16"/>
          <w:szCs w:val="16"/>
        </w:rPr>
        <w:t xml:space="preserve"> del medio ambiente puede causar </w:t>
      </w:r>
      <w:proofErr w:type="spellStart"/>
      <w:r w:rsidRPr="001D32B8">
        <w:rPr>
          <w:rFonts w:ascii="Verdana" w:hAnsi="Verdana"/>
          <w:sz w:val="16"/>
          <w:szCs w:val="16"/>
        </w:rPr>
        <w:t>daños</w:t>
      </w:r>
      <w:proofErr w:type="spellEnd"/>
      <w:r w:rsidRPr="001D32B8">
        <w:rPr>
          <w:rFonts w:ascii="Verdana" w:hAnsi="Verdana"/>
          <w:sz w:val="16"/>
          <w:szCs w:val="16"/>
        </w:rPr>
        <w:t xml:space="preserve"> irreparables en los seres humanos, por lo cual un medio ambiente sano es un derecho fundamental para la existencia de la humanidad. </w:t>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bCs/>
          <w:color w:val="000000"/>
          <w:sz w:val="16"/>
          <w:szCs w:val="16"/>
        </w:rPr>
        <w:t>M</w:t>
      </w:r>
      <w:r w:rsidRPr="001D32B8">
        <w:rPr>
          <w:rFonts w:ascii="Verdana" w:eastAsia="Times New Roman" w:hAnsi="Verdana"/>
          <w:bCs/>
          <w:i/>
          <w:color w:val="000000"/>
          <w:sz w:val="16"/>
          <w:szCs w:val="16"/>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1D32B8">
        <w:rPr>
          <w:rFonts w:ascii="Verdana" w:eastAsia="Times New Roman" w:hAnsi="Verdana"/>
          <w:bCs/>
          <w:color w:val="000000"/>
          <w:sz w:val="16"/>
          <w:szCs w:val="16"/>
        </w:rPr>
        <w:t xml:space="preserve">. Opinión Consultiva OC-23/17 de 15 de noviembre de 2017. Serie A No. 23, párr. 59. </w:t>
      </w:r>
    </w:p>
    <w:p w14:paraId="3796E129" w14:textId="77777777" w:rsidR="007451F5" w:rsidRPr="001D32B8" w:rsidRDefault="007451F5" w:rsidP="003A4786">
      <w:pPr>
        <w:pStyle w:val="FootnoteText"/>
        <w:jc w:val="both"/>
        <w:rPr>
          <w:rFonts w:ascii="Verdana" w:hAnsi="Verdana"/>
          <w:sz w:val="16"/>
          <w:szCs w:val="16"/>
        </w:rPr>
      </w:pPr>
    </w:p>
  </w:footnote>
  <w:footnote w:id="50">
    <w:p w14:paraId="5243944A" w14:textId="15FD0C05"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párr. 149. </w:t>
      </w:r>
    </w:p>
    <w:p w14:paraId="14BFF4F0" w14:textId="77777777" w:rsidR="007451F5" w:rsidRPr="001D32B8" w:rsidRDefault="007451F5" w:rsidP="003A4786">
      <w:pPr>
        <w:pStyle w:val="FootnoteText"/>
        <w:jc w:val="both"/>
        <w:rPr>
          <w:rFonts w:ascii="Verdana" w:hAnsi="Verdana"/>
          <w:sz w:val="16"/>
          <w:szCs w:val="16"/>
        </w:rPr>
      </w:pPr>
    </w:p>
  </w:footnote>
  <w:footnote w:id="51">
    <w:p w14:paraId="4259E0B0" w14:textId="7C3E8D97" w:rsidR="007451F5" w:rsidRPr="001D32B8" w:rsidRDefault="007451F5" w:rsidP="003A4786">
      <w:pPr>
        <w:widowControl w:val="0"/>
        <w:autoSpaceDE w:val="0"/>
        <w:autoSpaceDN w:val="0"/>
        <w:adjustRightInd w:val="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w:t>
      </w:r>
      <w:r w:rsidRPr="001D32B8">
        <w:rPr>
          <w:rFonts w:ascii="Verdana" w:hAnsi="Verdana" w:cs="Verdana"/>
          <w:sz w:val="16"/>
          <w:szCs w:val="16"/>
          <w:lang w:val="es-ES"/>
        </w:rPr>
        <w:t xml:space="preserve">193. En el presente caso, en relación con los alegatos relacionados con la violación al derecho al trabajo, este Tribunal considera que, tal y como fue establecido en el precedente de </w:t>
      </w:r>
      <w:r w:rsidRPr="001D32B8">
        <w:rPr>
          <w:rFonts w:ascii="Verdana" w:hAnsi="Verdana" w:cs="Verdana"/>
          <w:i/>
          <w:iCs/>
          <w:sz w:val="16"/>
          <w:szCs w:val="16"/>
          <w:lang w:val="es-ES"/>
        </w:rPr>
        <w:t>Lagos del Campo Vs. Perú</w:t>
      </w:r>
      <w:r w:rsidRPr="001D32B8">
        <w:rPr>
          <w:rFonts w:ascii="Verdana" w:hAnsi="Verdana" w:cs="Verdana"/>
          <w:sz w:val="16"/>
          <w:szCs w:val="16"/>
          <w:lang w:val="es-ES"/>
        </w:rPr>
        <w:t xml:space="preserve">, el derecho al trabajo incluye el derecho a garantizar el derecho de acceso a la justicia y a la tutela judicial efectiva, tanto en el ámbito público como en el ámbito privado de las relaciones laborales […]”. </w:t>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sz w:val="16"/>
          <w:szCs w:val="16"/>
        </w:rPr>
        <w:t xml:space="preserve">, párr.  193. </w:t>
      </w:r>
    </w:p>
    <w:p w14:paraId="124C4DF9" w14:textId="77777777" w:rsidR="007451F5" w:rsidRPr="001D32B8" w:rsidRDefault="007451F5" w:rsidP="003A4786">
      <w:pPr>
        <w:widowControl w:val="0"/>
        <w:autoSpaceDE w:val="0"/>
        <w:autoSpaceDN w:val="0"/>
        <w:adjustRightInd w:val="0"/>
        <w:jc w:val="both"/>
        <w:rPr>
          <w:rFonts w:ascii="Verdana" w:hAnsi="Verdana" w:cs="Verdana"/>
          <w:sz w:val="16"/>
          <w:szCs w:val="16"/>
          <w:lang w:val="es-ES"/>
        </w:rPr>
      </w:pPr>
    </w:p>
  </w:footnote>
  <w:footnote w:id="52">
    <w:p w14:paraId="2C13A6F4" w14:textId="2DD1B1FF" w:rsidR="007451F5" w:rsidRPr="001D32B8" w:rsidRDefault="007451F5">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w:t>
      </w:r>
      <w:r>
        <w:rPr>
          <w:rFonts w:ascii="Verdana" w:hAnsi="Verdana"/>
          <w:i/>
          <w:sz w:val="16"/>
          <w:szCs w:val="16"/>
        </w:rPr>
        <w:t>fr. C</w:t>
      </w:r>
      <w:r w:rsidRPr="001D32B8">
        <w:rPr>
          <w:rFonts w:ascii="Verdana" w:hAnsi="Verdana"/>
          <w:i/>
          <w:sz w:val="16"/>
          <w:szCs w:val="16"/>
        </w:rPr>
        <w:t>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w:t>
      </w:r>
      <w:r>
        <w:rPr>
          <w:rFonts w:ascii="Verdana" w:hAnsi="Verdana"/>
          <w:sz w:val="16"/>
          <w:szCs w:val="16"/>
        </w:rPr>
        <w:t>4</w:t>
      </w:r>
      <w:r w:rsidRPr="001D32B8">
        <w:rPr>
          <w:rFonts w:ascii="Verdana" w:hAnsi="Verdana"/>
          <w:sz w:val="16"/>
          <w:szCs w:val="16"/>
        </w:rPr>
        <w:t xml:space="preserve">9. </w:t>
      </w:r>
    </w:p>
    <w:p w14:paraId="0EC996F2" w14:textId="77777777" w:rsidR="007451F5" w:rsidRPr="001D32B8" w:rsidRDefault="007451F5">
      <w:pPr>
        <w:pStyle w:val="FootnoteText"/>
        <w:rPr>
          <w:rFonts w:ascii="Verdana" w:hAnsi="Verdana"/>
          <w:sz w:val="16"/>
          <w:szCs w:val="16"/>
        </w:rPr>
      </w:pPr>
    </w:p>
  </w:footnote>
  <w:footnote w:id="53">
    <w:p w14:paraId="3910AA1D" w14:textId="4CBD8277" w:rsidR="007451F5" w:rsidRPr="001D32B8" w:rsidRDefault="007451F5" w:rsidP="003A4786">
      <w:pPr>
        <w:widowControl w:val="0"/>
        <w:autoSpaceDE w:val="0"/>
        <w:autoSpaceDN w:val="0"/>
        <w:adjustRightInd w:val="0"/>
        <w:jc w:val="both"/>
        <w:rPr>
          <w:rFonts w:ascii="Verdana" w:hAnsi="Verdana" w:cs="Verdana"/>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w:t>
      </w:r>
      <w:r w:rsidRPr="001D32B8">
        <w:rPr>
          <w:rFonts w:ascii="Verdana" w:hAnsi="Verdana" w:cs="Verdana"/>
          <w:sz w:val="16"/>
          <w:szCs w:val="16"/>
          <w:lang w:val="es-ES"/>
        </w:rPr>
        <w:t xml:space="preserve"> 188 y 189.</w:t>
      </w:r>
    </w:p>
    <w:p w14:paraId="7583BB9F" w14:textId="4F5ADC52" w:rsidR="007451F5" w:rsidRPr="001D32B8" w:rsidRDefault="007451F5" w:rsidP="003A4786">
      <w:pPr>
        <w:widowControl w:val="0"/>
        <w:autoSpaceDE w:val="0"/>
        <w:autoSpaceDN w:val="0"/>
        <w:adjustRightInd w:val="0"/>
        <w:jc w:val="both"/>
        <w:rPr>
          <w:rFonts w:ascii="Verdana" w:hAnsi="Verdana" w:cs="Times"/>
          <w:sz w:val="16"/>
          <w:szCs w:val="16"/>
          <w:lang w:val="es-ES"/>
        </w:rPr>
      </w:pPr>
      <w:r w:rsidRPr="001D32B8">
        <w:rPr>
          <w:rFonts w:ascii="Verdana" w:hAnsi="Verdana" w:cs="Verdana"/>
          <w:sz w:val="16"/>
          <w:szCs w:val="16"/>
          <w:lang w:val="es-ES"/>
        </w:rPr>
        <w:t xml:space="preserve"> </w:t>
      </w:r>
    </w:p>
  </w:footnote>
  <w:footnote w:id="54">
    <w:p w14:paraId="5DA76CFF" w14:textId="080A1C21"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1D32B8">
        <w:rPr>
          <w:rFonts w:ascii="Verdana" w:hAnsi="Verdana"/>
          <w:i/>
          <w:sz w:val="16"/>
          <w:szCs w:val="16"/>
        </w:rPr>
        <w:t xml:space="preserve">Caso </w:t>
      </w:r>
      <w:proofErr w:type="spellStart"/>
      <w:r w:rsidRPr="001D32B8">
        <w:rPr>
          <w:rFonts w:ascii="Verdana" w:hAnsi="Verdana"/>
          <w:i/>
          <w:sz w:val="16"/>
          <w:szCs w:val="16"/>
        </w:rPr>
        <w:t>Bámaca</w:t>
      </w:r>
      <w:proofErr w:type="spellEnd"/>
      <w:r w:rsidRPr="001D32B8">
        <w:rPr>
          <w:rFonts w:ascii="Verdana" w:hAnsi="Verdana"/>
          <w:i/>
          <w:sz w:val="16"/>
          <w:szCs w:val="16"/>
        </w:rPr>
        <w:t xml:space="preserve"> Velásquez Vs. Guatemala. Reparaciones y Costas</w:t>
      </w:r>
      <w:r w:rsidRPr="001D32B8">
        <w:rPr>
          <w:rFonts w:ascii="Verdana" w:hAnsi="Verdana"/>
          <w:sz w:val="16"/>
          <w:szCs w:val="16"/>
        </w:rPr>
        <w:t xml:space="preserve">. Sentencia de 22 de febrero de 2002. Serie C No. 91, párr. 43, y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bCs/>
          <w:sz w:val="16"/>
          <w:szCs w:val="16"/>
          <w:lang w:val="es-VE"/>
        </w:rPr>
        <w:t>párr. 198</w:t>
      </w:r>
      <w:r w:rsidRPr="001D32B8">
        <w:rPr>
          <w:rFonts w:ascii="Verdana" w:hAnsi="Verdana"/>
          <w:sz w:val="16"/>
          <w:szCs w:val="16"/>
        </w:rPr>
        <w:t>.</w:t>
      </w:r>
    </w:p>
    <w:p w14:paraId="6BC3220F" w14:textId="77777777" w:rsidR="007451F5" w:rsidRPr="001D32B8" w:rsidRDefault="007451F5" w:rsidP="003A4786">
      <w:pPr>
        <w:pStyle w:val="FootnoteText"/>
        <w:jc w:val="both"/>
        <w:rPr>
          <w:rFonts w:ascii="Verdana" w:hAnsi="Verdana"/>
          <w:sz w:val="16"/>
          <w:szCs w:val="16"/>
        </w:rPr>
      </w:pPr>
    </w:p>
  </w:footnote>
  <w:footnote w:id="55">
    <w:p w14:paraId="42B5BD15" w14:textId="14580481"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w:t>
      </w:r>
      <w:r w:rsidRPr="001D32B8">
        <w:rPr>
          <w:rFonts w:ascii="Verdana" w:hAnsi="Verdana" w:cs="Verdana"/>
          <w:sz w:val="16"/>
          <w:szCs w:val="16"/>
          <w:lang w:val="es-ES"/>
        </w:rPr>
        <w:t xml:space="preserve"> </w:t>
      </w:r>
      <w:r w:rsidRPr="001D32B8">
        <w:rPr>
          <w:rFonts w:ascii="Verdana" w:hAnsi="Verdana"/>
          <w:sz w:val="16"/>
          <w:szCs w:val="16"/>
        </w:rPr>
        <w:t>215 y 216.</w:t>
      </w:r>
    </w:p>
    <w:p w14:paraId="510CCCE9" w14:textId="77777777" w:rsidR="007451F5" w:rsidRPr="001D32B8" w:rsidRDefault="007451F5" w:rsidP="003A4786">
      <w:pPr>
        <w:pStyle w:val="FootnoteText"/>
        <w:jc w:val="both"/>
        <w:rPr>
          <w:rFonts w:ascii="Verdana" w:hAnsi="Verdana"/>
          <w:sz w:val="16"/>
          <w:szCs w:val="16"/>
        </w:rPr>
      </w:pPr>
    </w:p>
  </w:footnote>
  <w:footnote w:id="56">
    <w:p w14:paraId="3DFA7A65" w14:textId="0CA6017E" w:rsidR="007451F5" w:rsidRPr="001D32B8" w:rsidRDefault="007451F5" w:rsidP="003A4786">
      <w:pPr>
        <w:widowControl w:val="0"/>
        <w:autoSpaceDE w:val="0"/>
        <w:autoSpaceDN w:val="0"/>
        <w:adjustRightInd w:val="0"/>
        <w:jc w:val="both"/>
        <w:rPr>
          <w:rFonts w:ascii="Verdana" w:hAnsi="Verdana" w:cs="Verdana"/>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w:t>
      </w:r>
      <w:r w:rsidRPr="001D32B8">
        <w:rPr>
          <w:rFonts w:ascii="Verdana" w:hAnsi="Verdana" w:cs="Verdana"/>
          <w:sz w:val="16"/>
          <w:szCs w:val="16"/>
          <w:lang w:val="es-ES"/>
        </w:rPr>
        <w:t xml:space="preserve">222. Sin perjuicio de lo anterior, tomando en cuenta que el Estado es responsable por la violación a los artículos 8, 25 y 26 de la Convención Americana en relación con el artículo 1.1 del mismo instrumento, y que las 164 víctimas del presente caso dejaron de percibir sus salarios con motivo de sus ceses, situación que se mantiene vigente hasta la fecha de la emisión de esta sentencia, la Corte estima pertinente fijar, en equidad, la cantidad de US$ 43.792 (cuarenta y tres mil setecientos noventa y dos dólares de los Estados Unidos de América), por concepto de lucro cesante, para cada una de las víctimas del presente caso, los cuales deberán ser entregados directamente a las mismas. Asimismo, la Corte considera que la compensación económica que haya sido recibida por las víctimas, como parte de los beneficios previstos por el Decreto Ley 27803, deberá ser descontada del monto establecido por esta Corte por concepto de lucro cesante en el presente caso”.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párr. 222. </w:t>
      </w:r>
    </w:p>
    <w:p w14:paraId="0EF290D3" w14:textId="77777777" w:rsidR="007451F5" w:rsidRPr="001D32B8" w:rsidRDefault="007451F5" w:rsidP="003A4786">
      <w:pPr>
        <w:widowControl w:val="0"/>
        <w:autoSpaceDE w:val="0"/>
        <w:autoSpaceDN w:val="0"/>
        <w:adjustRightInd w:val="0"/>
        <w:jc w:val="both"/>
        <w:rPr>
          <w:rFonts w:ascii="Verdana" w:hAnsi="Verdana" w:cs="Times"/>
          <w:sz w:val="16"/>
          <w:szCs w:val="16"/>
          <w:lang w:val="es-ES"/>
        </w:rPr>
      </w:pPr>
    </w:p>
  </w:footnote>
  <w:footnote w:id="57">
    <w:p w14:paraId="769B92DB" w14:textId="215ECBCF"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w:t>
      </w:r>
      <w:r>
        <w:rPr>
          <w:rFonts w:ascii="Verdana" w:hAnsi="Verdana"/>
          <w:sz w:val="16"/>
          <w:szCs w:val="16"/>
        </w:rPr>
        <w:t xml:space="preserve"> febrero de 2018. Serie C No. 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237.</w:t>
      </w:r>
    </w:p>
    <w:p w14:paraId="242E9EB4" w14:textId="77777777" w:rsidR="007451F5" w:rsidRPr="001D32B8" w:rsidRDefault="007451F5" w:rsidP="003A4786">
      <w:pPr>
        <w:pStyle w:val="FootnoteText"/>
        <w:jc w:val="both"/>
        <w:rPr>
          <w:rFonts w:ascii="Verdana" w:hAnsi="Verdana"/>
          <w:sz w:val="16"/>
          <w:szCs w:val="16"/>
        </w:rPr>
      </w:pPr>
    </w:p>
  </w:footnote>
  <w:footnote w:id="58">
    <w:p w14:paraId="032B528F" w14:textId="67D859D8" w:rsidR="007451F5" w:rsidRPr="001D32B8" w:rsidRDefault="007451F5" w:rsidP="003A4786">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 </w:t>
      </w:r>
      <w:r w:rsidRPr="001D32B8">
        <w:rPr>
          <w:rFonts w:ascii="Verdana" w:hAnsi="Verdana"/>
          <w:i/>
          <w:sz w:val="16"/>
          <w:szCs w:val="16"/>
        </w:rPr>
        <w:t xml:space="preserve">Cfr. </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r w:rsidRPr="001D32B8">
        <w:rPr>
          <w:rFonts w:ascii="Verdana" w:hAnsi="Verdana"/>
          <w:sz w:val="16"/>
          <w:szCs w:val="16"/>
        </w:rPr>
        <w:t xml:space="preserve"> párr. 150. </w:t>
      </w:r>
    </w:p>
    <w:p w14:paraId="5793EC8E" w14:textId="77777777" w:rsidR="007451F5" w:rsidRPr="001D32B8" w:rsidRDefault="007451F5" w:rsidP="003A4786">
      <w:pPr>
        <w:pStyle w:val="FootnoteText"/>
        <w:jc w:val="both"/>
        <w:rPr>
          <w:rFonts w:ascii="Verdana" w:hAnsi="Verdana"/>
          <w:sz w:val="16"/>
          <w:szCs w:val="16"/>
        </w:rPr>
      </w:pPr>
    </w:p>
  </w:footnote>
  <w:footnote w:id="59">
    <w:p w14:paraId="3CCC84B0" w14:textId="77777777" w:rsidR="007451F5" w:rsidRPr="001D32B8" w:rsidRDefault="007451F5" w:rsidP="00B900D4">
      <w:pPr>
        <w:autoSpaceDE w:val="0"/>
        <w:autoSpaceDN w:val="0"/>
        <w:adjustRightInd w:val="0"/>
        <w:jc w:val="both"/>
        <w:rPr>
          <w:rFonts w:ascii="Verdana" w:hAnsi="Verdana"/>
          <w:bCs/>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lang w:val="es-EC"/>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hAnsi="Verdana"/>
          <w:i/>
          <w:sz w:val="16"/>
          <w:szCs w:val="16"/>
          <w:lang w:val="es-EC"/>
        </w:rPr>
        <w:t xml:space="preserve">mutatis </w:t>
      </w:r>
      <w:proofErr w:type="spellStart"/>
      <w:r w:rsidRPr="001D32B8">
        <w:rPr>
          <w:rFonts w:ascii="Verdana" w:hAnsi="Verdana"/>
          <w:i/>
          <w:sz w:val="16"/>
          <w:szCs w:val="16"/>
          <w:lang w:val="es-EC"/>
        </w:rPr>
        <w:t>mutandi</w:t>
      </w:r>
      <w:proofErr w:type="spellEnd"/>
      <w:r w:rsidRPr="001D32B8">
        <w:rPr>
          <w:rFonts w:ascii="Verdana" w:hAnsi="Verdana"/>
          <w:i/>
          <w:sz w:val="16"/>
          <w:szCs w:val="16"/>
          <w:lang w:val="es-EC"/>
        </w:rPr>
        <w:t>,</w:t>
      </w:r>
      <w:r w:rsidRPr="001D32B8">
        <w:rPr>
          <w:rFonts w:ascii="Verdana" w:hAnsi="Verdana"/>
          <w:sz w:val="16"/>
          <w:szCs w:val="16"/>
          <w:lang w:val="es-EC"/>
        </w:rPr>
        <w:t xml:space="preserve"> </w:t>
      </w:r>
      <w:r w:rsidRPr="001D32B8">
        <w:rPr>
          <w:rFonts w:ascii="Verdana" w:hAnsi="Verdana"/>
          <w:i/>
          <w:iCs/>
          <w:sz w:val="16"/>
          <w:szCs w:val="16"/>
          <w:lang w:val="es-EC"/>
        </w:rPr>
        <w:t xml:space="preserve">Caso Mejía </w:t>
      </w:r>
      <w:proofErr w:type="spellStart"/>
      <w:r w:rsidRPr="001D32B8">
        <w:rPr>
          <w:rFonts w:ascii="Verdana" w:hAnsi="Verdana"/>
          <w:i/>
          <w:iCs/>
          <w:sz w:val="16"/>
          <w:szCs w:val="16"/>
          <w:lang w:val="es-EC"/>
        </w:rPr>
        <w:t>Idrovo</w:t>
      </w:r>
      <w:proofErr w:type="spellEnd"/>
      <w:r w:rsidRPr="001D32B8">
        <w:rPr>
          <w:rFonts w:ascii="Verdana" w:hAnsi="Verdana"/>
          <w:i/>
          <w:iCs/>
          <w:sz w:val="16"/>
          <w:szCs w:val="16"/>
          <w:lang w:val="es-EC"/>
        </w:rPr>
        <w:t xml:space="preserve"> Vs. Ecuador</w:t>
      </w:r>
      <w:r w:rsidRPr="001D32B8">
        <w:rPr>
          <w:rFonts w:ascii="Verdana" w:hAnsi="Verdana"/>
          <w:sz w:val="16"/>
          <w:szCs w:val="16"/>
          <w:lang w:val="es-EC"/>
        </w:rPr>
        <w:t xml:space="preserve">. </w:t>
      </w:r>
      <w:r w:rsidRPr="001D32B8">
        <w:rPr>
          <w:rFonts w:ascii="Verdana" w:hAnsi="Verdana"/>
          <w:i/>
          <w:sz w:val="16"/>
          <w:szCs w:val="16"/>
          <w:lang w:val="es-EC"/>
        </w:rPr>
        <w:t>Excepciones preliminares, Fondo, Reparaciones y Costas</w:t>
      </w:r>
      <w:r w:rsidRPr="001D32B8">
        <w:rPr>
          <w:rFonts w:ascii="Verdana" w:hAnsi="Verdana"/>
          <w:sz w:val="16"/>
          <w:szCs w:val="16"/>
          <w:lang w:val="es-EC"/>
        </w:rPr>
        <w:t>. Sentencia de 5 de julio de 2011. Serie</w:t>
      </w:r>
      <w:r w:rsidRPr="001D32B8">
        <w:rPr>
          <w:rFonts w:ascii="Verdana" w:hAnsi="Verdana"/>
          <w:iCs/>
          <w:sz w:val="16"/>
          <w:szCs w:val="16"/>
          <w:lang w:val="es-EC"/>
        </w:rPr>
        <w:t xml:space="preserve"> C No. 228</w:t>
      </w:r>
      <w:r w:rsidRPr="001D32B8">
        <w:rPr>
          <w:rFonts w:ascii="Verdana" w:hAnsi="Verdana"/>
          <w:i/>
          <w:iCs/>
          <w:sz w:val="16"/>
          <w:szCs w:val="16"/>
          <w:lang w:val="es-EC"/>
        </w:rPr>
        <w:t xml:space="preserve">, </w:t>
      </w:r>
      <w:r w:rsidRPr="001D32B8">
        <w:rPr>
          <w:rFonts w:ascii="Verdana" w:hAnsi="Verdana"/>
          <w:sz w:val="16"/>
          <w:szCs w:val="16"/>
          <w:lang w:val="es-EC"/>
        </w:rPr>
        <w:t xml:space="preserve">párr. 106, y </w:t>
      </w:r>
      <w:r w:rsidRPr="001D32B8">
        <w:rPr>
          <w:rFonts w:ascii="Verdana" w:hAnsi="Verdana"/>
          <w:bCs/>
          <w:i/>
          <w:sz w:val="16"/>
          <w:szCs w:val="16"/>
        </w:rPr>
        <w:t xml:space="preserve">Caso </w:t>
      </w:r>
      <w:proofErr w:type="spellStart"/>
      <w:r w:rsidRPr="001D32B8">
        <w:rPr>
          <w:rFonts w:ascii="Verdana" w:hAnsi="Verdana"/>
          <w:bCs/>
          <w:i/>
          <w:sz w:val="16"/>
          <w:szCs w:val="16"/>
        </w:rPr>
        <w:t>Furlan</w:t>
      </w:r>
      <w:proofErr w:type="spellEnd"/>
      <w:r w:rsidRPr="001D32B8">
        <w:rPr>
          <w:rFonts w:ascii="Verdana" w:hAnsi="Verdana"/>
          <w:bCs/>
          <w:i/>
          <w:sz w:val="16"/>
          <w:szCs w:val="16"/>
        </w:rPr>
        <w:t xml:space="preserve"> y familiares Vs. Argentina. Excepciones Preliminares, Fondo, Reparaciones y Costas.</w:t>
      </w:r>
      <w:r w:rsidRPr="001D32B8">
        <w:rPr>
          <w:rFonts w:ascii="Verdana" w:hAnsi="Verdana"/>
          <w:bCs/>
          <w:sz w:val="16"/>
          <w:szCs w:val="16"/>
        </w:rPr>
        <w:t xml:space="preserve"> Sentencia de 31 de agosto de 2012. Serie C No. 246, párr. 211.</w:t>
      </w:r>
    </w:p>
    <w:p w14:paraId="0D0B223E" w14:textId="77777777" w:rsidR="007451F5" w:rsidRPr="001D32B8" w:rsidRDefault="007451F5" w:rsidP="00B900D4">
      <w:pPr>
        <w:autoSpaceDE w:val="0"/>
        <w:autoSpaceDN w:val="0"/>
        <w:adjustRightInd w:val="0"/>
        <w:jc w:val="both"/>
        <w:rPr>
          <w:rFonts w:ascii="Verdana" w:eastAsia="Calibri" w:hAnsi="Verdana"/>
          <w:sz w:val="16"/>
          <w:szCs w:val="16"/>
          <w:lang w:val="es-EC"/>
        </w:rPr>
      </w:pPr>
    </w:p>
  </w:footnote>
  <w:footnote w:id="60">
    <w:p w14:paraId="7F2D50E1" w14:textId="65942E93" w:rsidR="007451F5" w:rsidRPr="001D32B8" w:rsidRDefault="007451F5" w:rsidP="00B900D4">
      <w:pPr>
        <w:jc w:val="both"/>
        <w:rPr>
          <w:rFonts w:ascii="Verdana" w:eastAsia="Times New Roman" w:hAnsi="Verdana" w:cs="Times New Roman"/>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eastAsia="Times New Roman" w:hAnsi="Verdana" w:cs="Times New Roman"/>
          <w:bCs/>
          <w:i/>
          <w:color w:val="000000"/>
          <w:sz w:val="16"/>
          <w:szCs w:val="16"/>
          <w:lang w:val="es-MX"/>
        </w:rPr>
        <w:t>Garantías judiciales en estados de emergencia (Arts. 27.2, 25 y 8 Convención Americana sobre Derechos Humanos)</w:t>
      </w:r>
      <w:r w:rsidRPr="001D32B8">
        <w:rPr>
          <w:rFonts w:ascii="Verdana" w:eastAsia="Times New Roman" w:hAnsi="Verdana" w:cs="Times New Roman"/>
          <w:bCs/>
          <w:color w:val="000000"/>
          <w:sz w:val="16"/>
          <w:szCs w:val="16"/>
          <w:lang w:val="es-MX"/>
        </w:rPr>
        <w:t xml:space="preserve">. Opinión Consultiva OC-9/87 de 6 de octubre de 1987. Serie A No. 9, </w:t>
      </w:r>
      <w:r w:rsidRPr="001D32B8">
        <w:rPr>
          <w:rFonts w:ascii="Verdana" w:hAnsi="Verdana"/>
          <w:sz w:val="16"/>
          <w:szCs w:val="16"/>
        </w:rPr>
        <w:t xml:space="preserve">párr. 24, y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w:t>
      </w:r>
      <w:r w:rsidRPr="001D32B8">
        <w:rPr>
          <w:rFonts w:ascii="Verdana" w:hAnsi="Verdana"/>
          <w:bCs/>
          <w:iCs/>
          <w:sz w:val="16"/>
          <w:szCs w:val="16"/>
        </w:rPr>
        <w:t>párr. 188</w:t>
      </w:r>
      <w:r w:rsidRPr="001D32B8">
        <w:rPr>
          <w:rFonts w:ascii="Verdana" w:hAnsi="Verdana" w:cs="Arial"/>
          <w:sz w:val="16"/>
          <w:szCs w:val="16"/>
        </w:rPr>
        <w:t>.</w:t>
      </w:r>
    </w:p>
    <w:p w14:paraId="0884B5F6" w14:textId="77777777" w:rsidR="007451F5" w:rsidRPr="001D32B8" w:rsidRDefault="007451F5" w:rsidP="00B900D4">
      <w:pPr>
        <w:pStyle w:val="FootnoteText"/>
        <w:jc w:val="both"/>
        <w:rPr>
          <w:rFonts w:ascii="Verdana" w:hAnsi="Verdana"/>
          <w:sz w:val="16"/>
          <w:szCs w:val="16"/>
        </w:rPr>
      </w:pPr>
    </w:p>
  </w:footnote>
  <w:footnote w:id="61">
    <w:p w14:paraId="66455955" w14:textId="77777777" w:rsidR="007451F5" w:rsidRPr="001D32B8" w:rsidRDefault="007451F5" w:rsidP="00B900D4">
      <w:pPr>
        <w:jc w:val="both"/>
        <w:rPr>
          <w:rFonts w:ascii="Verdana" w:eastAsia="Times New Roman" w:hAnsi="Verdana" w:cs="Times New Roman"/>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eastAsia="Times New Roman" w:hAnsi="Verdana" w:cs="Times New Roman"/>
          <w:bCs/>
          <w:i/>
          <w:color w:val="000000"/>
          <w:sz w:val="16"/>
          <w:szCs w:val="16"/>
          <w:lang w:val="es-MX"/>
        </w:rPr>
        <w:t>Caso Maldonado Vargas y otros Vs. Chile. Fondo, Reparaciones y Costas</w:t>
      </w:r>
      <w:r w:rsidRPr="001D32B8">
        <w:rPr>
          <w:rFonts w:ascii="Verdana" w:eastAsia="Times New Roman" w:hAnsi="Verdana" w:cs="Times New Roman"/>
          <w:bCs/>
          <w:color w:val="000000"/>
          <w:sz w:val="16"/>
          <w:szCs w:val="16"/>
          <w:lang w:val="es-MX"/>
        </w:rPr>
        <w:t xml:space="preserve">. Sentencia de 2 de septiembre de 2015. Serie C No. 300, </w:t>
      </w:r>
      <w:r w:rsidRPr="001D32B8">
        <w:rPr>
          <w:rFonts w:ascii="Verdana" w:hAnsi="Verdana" w:cs="Arial"/>
          <w:sz w:val="16"/>
          <w:szCs w:val="16"/>
        </w:rPr>
        <w:t>párr. 123</w:t>
      </w:r>
      <w:r w:rsidRPr="001D32B8">
        <w:rPr>
          <w:rFonts w:ascii="Verdana" w:hAnsi="Verdana"/>
          <w:sz w:val="16"/>
          <w:szCs w:val="16"/>
        </w:rPr>
        <w:t xml:space="preserve">, y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bCs/>
          <w:sz w:val="16"/>
          <w:szCs w:val="16"/>
          <w:lang w:val="es-VE"/>
        </w:rPr>
        <w:t xml:space="preserve"> párr. 155</w:t>
      </w:r>
      <w:r w:rsidRPr="001D32B8">
        <w:rPr>
          <w:rFonts w:ascii="Verdana" w:hAnsi="Verdana" w:cs="Arial"/>
          <w:sz w:val="16"/>
          <w:szCs w:val="16"/>
        </w:rPr>
        <w:t>.</w:t>
      </w:r>
    </w:p>
    <w:p w14:paraId="0D811036" w14:textId="77777777" w:rsidR="007451F5" w:rsidRPr="001D32B8" w:rsidRDefault="007451F5" w:rsidP="00B900D4">
      <w:pPr>
        <w:pStyle w:val="FootnoteText"/>
        <w:jc w:val="both"/>
        <w:rPr>
          <w:rFonts w:ascii="Verdana" w:hAnsi="Verdana"/>
          <w:sz w:val="16"/>
          <w:szCs w:val="16"/>
          <w:lang w:val="pt-BR"/>
        </w:rPr>
      </w:pPr>
    </w:p>
  </w:footnote>
  <w:footnote w:id="62">
    <w:p w14:paraId="2B57A489" w14:textId="77777777" w:rsidR="007451F5" w:rsidRPr="001D32B8" w:rsidRDefault="007451F5" w:rsidP="00B900D4">
      <w:pPr>
        <w:pStyle w:val="FootnoteText"/>
        <w:jc w:val="both"/>
        <w:rPr>
          <w:rFonts w:ascii="Verdana" w:hAnsi="Verdana" w:cs="Arial"/>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 Caso</w:t>
      </w:r>
      <w:r w:rsidRPr="001D32B8">
        <w:rPr>
          <w:rFonts w:ascii="Verdana" w:hAnsi="Verdana"/>
          <w:sz w:val="16"/>
          <w:szCs w:val="16"/>
        </w:rPr>
        <w:t xml:space="preserve"> </w:t>
      </w:r>
      <w:r w:rsidRPr="001D32B8">
        <w:rPr>
          <w:rFonts w:ascii="Verdana" w:hAnsi="Verdana"/>
          <w:i/>
          <w:sz w:val="16"/>
          <w:szCs w:val="16"/>
        </w:rPr>
        <w:t>López Álvarez Vs. Honduras. Fondo, Reparaciones y Costas</w:t>
      </w:r>
      <w:r w:rsidRPr="001D32B8">
        <w:rPr>
          <w:rFonts w:ascii="Verdana" w:hAnsi="Verdana"/>
          <w:sz w:val="16"/>
          <w:szCs w:val="16"/>
        </w:rPr>
        <w:t>. Sentencia de 1 de febrero de 2006. Serie C No. 141, párr. 96,</w:t>
      </w:r>
      <w:r w:rsidRPr="001D32B8">
        <w:rPr>
          <w:rFonts w:ascii="Verdana" w:hAnsi="Verdana"/>
          <w:i/>
          <w:sz w:val="16"/>
          <w:szCs w:val="16"/>
        </w:rPr>
        <w:t xml:space="preserve"> </w:t>
      </w:r>
      <w:r w:rsidRPr="001D32B8">
        <w:rPr>
          <w:rFonts w:ascii="Verdana" w:hAnsi="Verdana"/>
          <w:sz w:val="16"/>
          <w:szCs w:val="16"/>
        </w:rPr>
        <w:t xml:space="preserve">y </w:t>
      </w:r>
      <w:r w:rsidRPr="001D32B8">
        <w:rPr>
          <w:rFonts w:ascii="Verdana" w:eastAsia="Times New Roman" w:hAnsi="Verdana" w:cs="Times New Roman"/>
          <w:bCs/>
          <w:i/>
          <w:color w:val="000000"/>
          <w:sz w:val="16"/>
          <w:szCs w:val="16"/>
          <w:lang w:val="es-MX"/>
        </w:rPr>
        <w:t>Caso Maldonado Vargas y otros Vs. Chile. Fondo, Reparaciones y Costas</w:t>
      </w:r>
      <w:r w:rsidRPr="001D32B8">
        <w:rPr>
          <w:rFonts w:ascii="Verdana" w:eastAsia="Times New Roman" w:hAnsi="Verdana" w:cs="Times New Roman"/>
          <w:bCs/>
          <w:color w:val="000000"/>
          <w:sz w:val="16"/>
          <w:szCs w:val="16"/>
          <w:lang w:val="es-MX"/>
        </w:rPr>
        <w:t>. Sentencia de 2 de septiembre de 2015. Serie C No. 300</w:t>
      </w:r>
      <w:r w:rsidRPr="001D32B8">
        <w:rPr>
          <w:rFonts w:ascii="Verdana" w:hAnsi="Verdana" w:cs="Arial"/>
          <w:sz w:val="16"/>
          <w:szCs w:val="16"/>
        </w:rPr>
        <w:t xml:space="preserve"> párr. 123.</w:t>
      </w:r>
    </w:p>
    <w:p w14:paraId="5C4FE918" w14:textId="77777777" w:rsidR="007451F5" w:rsidRPr="001D32B8" w:rsidRDefault="007451F5" w:rsidP="00B900D4">
      <w:pPr>
        <w:pStyle w:val="FootnoteText"/>
        <w:jc w:val="both"/>
        <w:rPr>
          <w:rFonts w:ascii="Verdana" w:hAnsi="Verdana"/>
          <w:sz w:val="16"/>
          <w:szCs w:val="16"/>
        </w:rPr>
      </w:pPr>
    </w:p>
  </w:footnote>
  <w:footnote w:id="63">
    <w:p w14:paraId="00AE28F2" w14:textId="77777777" w:rsidR="007451F5" w:rsidRPr="001D32B8" w:rsidRDefault="007451F5" w:rsidP="00B900D4">
      <w:pPr>
        <w:jc w:val="both"/>
        <w:rPr>
          <w:rFonts w:ascii="Verdana" w:hAnsi="Verdana" w:cs="Arial"/>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eastAsia="Times New Roman" w:hAnsi="Verdana" w:cs="Times New Roman"/>
          <w:bCs/>
          <w:i/>
          <w:color w:val="000000"/>
          <w:sz w:val="16"/>
          <w:szCs w:val="16"/>
          <w:lang w:val="es-MX"/>
        </w:rPr>
        <w:t>Caso Herrera Ulloa Vs. Costa Rica. Excepciones Preliminares, Fondo, Reparaciones y Costas</w:t>
      </w:r>
      <w:r w:rsidRPr="001D32B8">
        <w:rPr>
          <w:rFonts w:ascii="Verdana" w:eastAsia="Times New Roman" w:hAnsi="Verdana" w:cs="Times New Roman"/>
          <w:bCs/>
          <w:color w:val="000000"/>
          <w:sz w:val="16"/>
          <w:szCs w:val="16"/>
          <w:lang w:val="es-MX"/>
        </w:rPr>
        <w:t xml:space="preserve">. Sentencia de 2 de julio de 2004. Serie C No. 107, </w:t>
      </w:r>
      <w:r w:rsidRPr="001D32B8">
        <w:rPr>
          <w:rFonts w:ascii="Verdana" w:hAnsi="Verdana" w:cs="Arial"/>
          <w:sz w:val="16"/>
          <w:szCs w:val="16"/>
          <w:lang w:val="es-ES"/>
        </w:rPr>
        <w:t xml:space="preserve">párr. 171 y </w:t>
      </w:r>
      <w:r w:rsidRPr="001D32B8">
        <w:rPr>
          <w:rFonts w:ascii="Verdana" w:eastAsia="Times New Roman" w:hAnsi="Verdana" w:cs="Times New Roman"/>
          <w:bCs/>
          <w:i/>
          <w:color w:val="000000"/>
          <w:sz w:val="16"/>
          <w:szCs w:val="16"/>
          <w:lang w:val="es-MX"/>
        </w:rPr>
        <w:t xml:space="preserve">Caso </w:t>
      </w:r>
      <w:proofErr w:type="spellStart"/>
      <w:r w:rsidRPr="001D32B8">
        <w:rPr>
          <w:rFonts w:ascii="Verdana" w:eastAsia="Times New Roman" w:hAnsi="Verdana" w:cs="Times New Roman"/>
          <w:bCs/>
          <w:i/>
          <w:color w:val="000000"/>
          <w:sz w:val="16"/>
          <w:szCs w:val="16"/>
          <w:lang w:val="es-MX"/>
        </w:rPr>
        <w:t>Palamara</w:t>
      </w:r>
      <w:proofErr w:type="spellEnd"/>
      <w:r w:rsidRPr="001D32B8">
        <w:rPr>
          <w:rFonts w:ascii="Verdana" w:eastAsia="Times New Roman" w:hAnsi="Verdana" w:cs="Times New Roman"/>
          <w:bCs/>
          <w:i/>
          <w:color w:val="000000"/>
          <w:sz w:val="16"/>
          <w:szCs w:val="16"/>
          <w:lang w:val="es-MX"/>
        </w:rPr>
        <w:t xml:space="preserve"> Iribarne Vs. Chile. Fondo, Reparaciones y Costas.</w:t>
      </w:r>
      <w:r w:rsidRPr="001D32B8">
        <w:rPr>
          <w:rFonts w:ascii="Verdana" w:eastAsia="Times New Roman" w:hAnsi="Verdana" w:cs="Times New Roman"/>
          <w:bCs/>
          <w:color w:val="000000"/>
          <w:sz w:val="16"/>
          <w:szCs w:val="16"/>
          <w:lang w:val="es-MX"/>
        </w:rPr>
        <w:t xml:space="preserve"> Sentencia de 22 de noviembre de 2005. Serie C No. 135, </w:t>
      </w:r>
      <w:r w:rsidRPr="001D32B8">
        <w:rPr>
          <w:rFonts w:ascii="Verdana" w:hAnsi="Verdana" w:cs="Arial"/>
          <w:sz w:val="16"/>
          <w:szCs w:val="16"/>
          <w:lang w:val="es-ES"/>
        </w:rPr>
        <w:t>párr. 145.</w:t>
      </w:r>
    </w:p>
    <w:p w14:paraId="34657C9E" w14:textId="77777777" w:rsidR="007451F5" w:rsidRPr="001D32B8" w:rsidRDefault="007451F5" w:rsidP="00B900D4">
      <w:pPr>
        <w:jc w:val="both"/>
        <w:rPr>
          <w:rFonts w:ascii="Verdana" w:eastAsia="Times New Roman" w:hAnsi="Verdana" w:cs="Times New Roman"/>
          <w:sz w:val="16"/>
          <w:szCs w:val="16"/>
          <w:lang w:val="es-MX"/>
        </w:rPr>
      </w:pPr>
    </w:p>
  </w:footnote>
  <w:footnote w:id="64">
    <w:p w14:paraId="346A95CA" w14:textId="77777777" w:rsidR="007451F5" w:rsidRPr="001D32B8" w:rsidRDefault="007451F5" w:rsidP="00B900D4">
      <w:pPr>
        <w:pStyle w:val="FootnoteText"/>
        <w:jc w:val="both"/>
        <w:rPr>
          <w:rFonts w:ascii="Verdana" w:hAnsi="Verdana"/>
          <w:sz w:val="16"/>
          <w:szCs w:val="16"/>
          <w:lang w:val="es-A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eastAsia="Times New Roman" w:hAnsi="Verdana" w:cs="Times New Roman"/>
          <w:bCs/>
          <w:i/>
          <w:color w:val="000000"/>
          <w:sz w:val="16"/>
          <w:szCs w:val="16"/>
          <w:lang w:val="es-MX"/>
        </w:rPr>
        <w:t>Caso Herrera Ulloa Vs. Costa Rica. Excepciones Preliminares, Fondo, Reparaciones y Costas</w:t>
      </w:r>
      <w:r w:rsidRPr="001D32B8">
        <w:rPr>
          <w:rFonts w:ascii="Verdana" w:eastAsia="Times New Roman" w:hAnsi="Verdana" w:cs="Times New Roman"/>
          <w:bCs/>
          <w:color w:val="000000"/>
          <w:sz w:val="16"/>
          <w:szCs w:val="16"/>
          <w:lang w:val="es-MX"/>
        </w:rPr>
        <w:t xml:space="preserve">. Sentencia de 2 de julio de 2004. Serie C No. 107, </w:t>
      </w:r>
      <w:r w:rsidRPr="001D32B8">
        <w:rPr>
          <w:rFonts w:ascii="Verdana" w:hAnsi="Verdana" w:cs="Arial"/>
          <w:sz w:val="16"/>
          <w:szCs w:val="16"/>
          <w:lang w:val="es-ES"/>
        </w:rPr>
        <w:t xml:space="preserve">párr. 171. </w:t>
      </w:r>
    </w:p>
    <w:p w14:paraId="780123EF" w14:textId="77777777" w:rsidR="007451F5" w:rsidRPr="001D32B8" w:rsidRDefault="007451F5" w:rsidP="00B900D4">
      <w:pPr>
        <w:pStyle w:val="FootnoteText"/>
        <w:jc w:val="both"/>
        <w:rPr>
          <w:rFonts w:ascii="Verdana" w:hAnsi="Verdana"/>
          <w:sz w:val="16"/>
          <w:szCs w:val="16"/>
          <w:lang w:val="es-AR"/>
        </w:rPr>
      </w:pPr>
    </w:p>
  </w:footnote>
  <w:footnote w:id="65">
    <w:p w14:paraId="5ECC7D33" w14:textId="77777777" w:rsidR="007451F5" w:rsidRPr="001D32B8" w:rsidRDefault="007451F5" w:rsidP="00B900D4">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eastAsia="Times New Roman" w:hAnsi="Verdana" w:cs="Times New Roman"/>
          <w:bCs/>
          <w:i/>
          <w:color w:val="000000"/>
          <w:sz w:val="16"/>
          <w:szCs w:val="16"/>
          <w:lang w:val="es-MX"/>
        </w:rPr>
        <w:t xml:space="preserve">Caso </w:t>
      </w:r>
      <w:proofErr w:type="spellStart"/>
      <w:r w:rsidRPr="001D32B8">
        <w:rPr>
          <w:rFonts w:ascii="Verdana" w:eastAsia="Times New Roman" w:hAnsi="Verdana" w:cs="Times New Roman"/>
          <w:bCs/>
          <w:i/>
          <w:color w:val="000000"/>
          <w:sz w:val="16"/>
          <w:szCs w:val="16"/>
          <w:lang w:val="es-MX"/>
        </w:rPr>
        <w:t>Palamara</w:t>
      </w:r>
      <w:proofErr w:type="spellEnd"/>
      <w:r w:rsidRPr="001D32B8">
        <w:rPr>
          <w:rFonts w:ascii="Verdana" w:eastAsia="Times New Roman" w:hAnsi="Verdana" w:cs="Times New Roman"/>
          <w:bCs/>
          <w:i/>
          <w:color w:val="000000"/>
          <w:sz w:val="16"/>
          <w:szCs w:val="16"/>
          <w:lang w:val="es-MX"/>
        </w:rPr>
        <w:t xml:space="preserve"> Iribarne Vs. Chile. Fondo, Reparaciones y Costas.</w:t>
      </w:r>
      <w:r w:rsidRPr="001D32B8">
        <w:rPr>
          <w:rFonts w:ascii="Verdana" w:eastAsia="Times New Roman" w:hAnsi="Verdana" w:cs="Times New Roman"/>
          <w:bCs/>
          <w:color w:val="000000"/>
          <w:sz w:val="16"/>
          <w:szCs w:val="16"/>
          <w:lang w:val="es-MX"/>
        </w:rPr>
        <w:t xml:space="preserve"> Sentencia de 22 de noviembre de 2005. Serie C No. 135, </w:t>
      </w:r>
      <w:r w:rsidRPr="001D32B8">
        <w:rPr>
          <w:rFonts w:ascii="Verdana" w:hAnsi="Verdana" w:cs="Arial"/>
          <w:sz w:val="16"/>
          <w:szCs w:val="16"/>
          <w:lang w:val="es-ES"/>
        </w:rPr>
        <w:t xml:space="preserve">párr. 146; </w:t>
      </w:r>
      <w:hyperlink r:id="rId2" w:history="1">
        <w:r w:rsidRPr="001D32B8">
          <w:rPr>
            <w:rFonts w:ascii="Verdana" w:hAnsi="Verdana" w:cs="Arial"/>
            <w:i/>
            <w:sz w:val="16"/>
            <w:szCs w:val="16"/>
            <w:lang w:val="es-ES"/>
          </w:rPr>
          <w:t xml:space="preserve">Caso </w:t>
        </w:r>
        <w:proofErr w:type="spellStart"/>
        <w:r w:rsidRPr="001D32B8">
          <w:rPr>
            <w:rFonts w:ascii="Verdana" w:hAnsi="Verdana" w:cs="Arial"/>
            <w:i/>
            <w:sz w:val="16"/>
            <w:szCs w:val="16"/>
            <w:lang w:val="es-ES"/>
          </w:rPr>
          <w:t>Usón</w:t>
        </w:r>
        <w:proofErr w:type="spellEnd"/>
        <w:r w:rsidRPr="001D32B8">
          <w:rPr>
            <w:rFonts w:ascii="Verdana" w:hAnsi="Verdana" w:cs="Arial"/>
            <w:i/>
            <w:sz w:val="16"/>
            <w:szCs w:val="16"/>
            <w:lang w:val="es-ES"/>
          </w:rPr>
          <w:t xml:space="preserve"> Ramírez Vs. Venezuela. Excepción Preliminar, Fondo, Reparaciones y Costas</w:t>
        </w:r>
        <w:r w:rsidRPr="001D32B8">
          <w:rPr>
            <w:rFonts w:ascii="Verdana" w:hAnsi="Verdana" w:cs="Arial"/>
            <w:sz w:val="16"/>
            <w:szCs w:val="16"/>
            <w:lang w:val="es-ES"/>
          </w:rPr>
          <w:t>. Sentencia de 20 de noviembre de 2009. Serie C No. 207, párr. 117</w:t>
        </w:r>
      </w:hyperlink>
      <w:r w:rsidRPr="001D32B8">
        <w:rPr>
          <w:rFonts w:ascii="Verdana" w:hAnsi="Verdana" w:cs="Arial"/>
          <w:sz w:val="16"/>
          <w:szCs w:val="16"/>
          <w:lang w:val="es-ES"/>
        </w:rPr>
        <w:t xml:space="preserve">. </w:t>
      </w:r>
      <w:r w:rsidRPr="001D32B8">
        <w:rPr>
          <w:rFonts w:ascii="Verdana" w:hAnsi="Verdana"/>
          <w:sz w:val="16"/>
          <w:szCs w:val="16"/>
        </w:rPr>
        <w:tab/>
      </w:r>
    </w:p>
    <w:p w14:paraId="65EBE903" w14:textId="77777777" w:rsidR="007451F5" w:rsidRPr="001D32B8" w:rsidRDefault="007451F5" w:rsidP="00B900D4">
      <w:pPr>
        <w:pStyle w:val="FootnoteText"/>
        <w:jc w:val="both"/>
        <w:rPr>
          <w:rFonts w:ascii="Verdana" w:hAnsi="Verdana"/>
          <w:sz w:val="16"/>
          <w:szCs w:val="16"/>
        </w:rPr>
      </w:pPr>
    </w:p>
  </w:footnote>
  <w:footnote w:id="66">
    <w:p w14:paraId="26570FFA" w14:textId="4580D464" w:rsidR="007451F5" w:rsidRPr="001D32B8" w:rsidRDefault="007451F5" w:rsidP="00B900D4">
      <w:pPr>
        <w:pStyle w:val="FootnoteText"/>
        <w:tabs>
          <w:tab w:val="left" w:pos="567"/>
        </w:tabs>
        <w:spacing w:before="120" w:after="120"/>
        <w:jc w:val="both"/>
        <w:rPr>
          <w:rFonts w:ascii="Verdana" w:hAnsi="Verdana" w:cs="Arial"/>
          <w:sz w:val="16"/>
          <w:szCs w:val="16"/>
        </w:rPr>
      </w:pPr>
      <w:r w:rsidRPr="001D32B8">
        <w:rPr>
          <w:rStyle w:val="FootnoteReference"/>
          <w:rFonts w:ascii="Verdana" w:hAnsi="Verdana"/>
          <w:sz w:val="16"/>
          <w:szCs w:val="16"/>
        </w:rPr>
        <w:footnoteRef/>
      </w:r>
      <w:r w:rsidRPr="001D32B8">
        <w:rPr>
          <w:rStyle w:val="FootnoteReference"/>
          <w:rFonts w:ascii="Verdana" w:hAnsi="Verdana"/>
          <w:sz w:val="16"/>
        </w:rPr>
        <w:t xml:space="preserve"> </w:t>
      </w:r>
      <w:r w:rsidRPr="001D32B8">
        <w:rPr>
          <w:rFonts w:ascii="Verdana" w:hAnsi="Verdana" w:cs="Arial"/>
          <w:sz w:val="16"/>
          <w:szCs w:val="16"/>
        </w:rPr>
        <w:tab/>
      </w:r>
      <w:r w:rsidR="00D02CF1">
        <w:rPr>
          <w:rFonts w:ascii="Verdana" w:hAnsi="Verdana" w:cs="Arial"/>
          <w:sz w:val="16"/>
          <w:szCs w:val="16"/>
        </w:rPr>
        <w:tab/>
      </w:r>
      <w:r w:rsidRPr="001D32B8">
        <w:rPr>
          <w:rFonts w:ascii="Verdana" w:hAnsi="Verdana" w:cs="Arial"/>
          <w:i/>
          <w:sz w:val="16"/>
          <w:szCs w:val="16"/>
          <w:lang w:val="es-CL"/>
        </w:rPr>
        <w:t xml:space="preserve">Cfr.  Caso </w:t>
      </w:r>
      <w:proofErr w:type="spellStart"/>
      <w:r w:rsidRPr="001D32B8">
        <w:rPr>
          <w:rFonts w:ascii="Verdana" w:hAnsi="Verdana" w:cs="Arial"/>
          <w:i/>
          <w:sz w:val="16"/>
          <w:szCs w:val="16"/>
          <w:lang w:val="es-CL"/>
        </w:rPr>
        <w:t>Apitz</w:t>
      </w:r>
      <w:proofErr w:type="spellEnd"/>
      <w:r w:rsidRPr="001D32B8">
        <w:rPr>
          <w:rFonts w:ascii="Verdana" w:hAnsi="Verdana" w:cs="Arial"/>
          <w:i/>
          <w:sz w:val="16"/>
          <w:szCs w:val="16"/>
          <w:lang w:val="es-CL"/>
        </w:rPr>
        <w:t xml:space="preserve"> Barbera y otros (“Corte Primera de lo Contencioso Administrativo”) Vs. Venezuela.</w:t>
      </w:r>
      <w:r w:rsidRPr="001D32B8">
        <w:rPr>
          <w:rFonts w:ascii="Verdana" w:hAnsi="Verdana" w:cs="Arial"/>
          <w:sz w:val="16"/>
          <w:szCs w:val="16"/>
          <w:lang w:val="es-CL"/>
        </w:rPr>
        <w:t xml:space="preserve"> </w:t>
      </w:r>
      <w:r w:rsidRPr="001D32B8">
        <w:rPr>
          <w:rFonts w:ascii="Verdana" w:hAnsi="Verdana"/>
          <w:i/>
          <w:sz w:val="16"/>
          <w:szCs w:val="16"/>
        </w:rPr>
        <w:t>Excepción Preliminar, Fondo, Reparaciones y Costas</w:t>
      </w:r>
      <w:r w:rsidRPr="001D32B8">
        <w:rPr>
          <w:rFonts w:ascii="Verdana" w:hAnsi="Verdana"/>
          <w:sz w:val="16"/>
          <w:szCs w:val="16"/>
        </w:rPr>
        <w:t xml:space="preserve">. Sentencia de 5 de agosto de 2008. Serie C No. 182, </w:t>
      </w:r>
      <w:r w:rsidRPr="001D32B8">
        <w:rPr>
          <w:rFonts w:ascii="Verdana" w:hAnsi="Verdana" w:cs="Arial"/>
          <w:sz w:val="16"/>
          <w:szCs w:val="16"/>
          <w:lang w:val="es-CL"/>
        </w:rPr>
        <w:t xml:space="preserve">párr. 55, y </w:t>
      </w:r>
      <w:r w:rsidRPr="001D32B8">
        <w:rPr>
          <w:rFonts w:ascii="Verdana" w:hAnsi="Verdana"/>
          <w:i/>
          <w:sz w:val="16"/>
          <w:szCs w:val="16"/>
        </w:rPr>
        <w:t>Caso Acosta y otros Vs. Nicaragua</w:t>
      </w:r>
      <w:r w:rsidRPr="001D32B8">
        <w:rPr>
          <w:rFonts w:ascii="Verdana" w:hAnsi="Verdana"/>
          <w:sz w:val="16"/>
          <w:szCs w:val="16"/>
        </w:rPr>
        <w:t xml:space="preserve">. </w:t>
      </w:r>
      <w:r w:rsidRPr="001D32B8">
        <w:rPr>
          <w:rFonts w:ascii="Verdana" w:hAnsi="Verdana"/>
          <w:i/>
          <w:sz w:val="16"/>
          <w:szCs w:val="16"/>
          <w:lang w:val="es-CR"/>
        </w:rPr>
        <w:t>Excepciones Preliminares, Fondo, Reparaciones y Costas</w:t>
      </w:r>
      <w:r w:rsidRPr="001D32B8">
        <w:rPr>
          <w:rFonts w:ascii="Verdana" w:hAnsi="Verdana"/>
          <w:sz w:val="16"/>
          <w:szCs w:val="16"/>
          <w:lang w:val="es-CR"/>
        </w:rPr>
        <w:t>. Sentencia de 25 de marzo de 2017. Serie C No. 334</w:t>
      </w:r>
      <w:r w:rsidRPr="001D32B8">
        <w:rPr>
          <w:rFonts w:ascii="Verdana" w:hAnsi="Verdana"/>
          <w:i/>
          <w:sz w:val="16"/>
          <w:szCs w:val="16"/>
        </w:rPr>
        <w:t xml:space="preserve">, </w:t>
      </w:r>
      <w:r w:rsidRPr="001D32B8">
        <w:rPr>
          <w:rFonts w:ascii="Verdana" w:hAnsi="Verdana"/>
          <w:sz w:val="16"/>
          <w:szCs w:val="16"/>
        </w:rPr>
        <w:t>párr. 171</w:t>
      </w:r>
      <w:r w:rsidRPr="001D32B8">
        <w:rPr>
          <w:rFonts w:ascii="Verdana" w:hAnsi="Verdana" w:cs="Arial"/>
          <w:sz w:val="16"/>
          <w:szCs w:val="16"/>
        </w:rPr>
        <w:t>.</w:t>
      </w:r>
    </w:p>
  </w:footnote>
  <w:footnote w:id="67">
    <w:p w14:paraId="750CB545" w14:textId="1E8CCAA7" w:rsidR="007451F5" w:rsidRPr="001D32B8" w:rsidRDefault="007451F5" w:rsidP="00B900D4">
      <w:pPr>
        <w:pStyle w:val="FootnoteText"/>
        <w:tabs>
          <w:tab w:val="left" w:pos="567"/>
        </w:tabs>
        <w:spacing w:before="120" w:after="120"/>
        <w:jc w:val="both"/>
        <w:rPr>
          <w:rFonts w:ascii="Verdana" w:hAnsi="Verdana" w:cs="Arial"/>
          <w:color w:val="000000" w:themeColor="text1"/>
          <w:sz w:val="16"/>
          <w:szCs w:val="16"/>
        </w:rPr>
      </w:pPr>
      <w:r w:rsidRPr="001D32B8">
        <w:rPr>
          <w:rStyle w:val="FootnoteReference"/>
          <w:rFonts w:ascii="Verdana" w:hAnsi="Verdana"/>
          <w:sz w:val="16"/>
          <w:szCs w:val="16"/>
        </w:rPr>
        <w:footnoteRef/>
      </w:r>
      <w:r w:rsidRPr="001D32B8">
        <w:rPr>
          <w:rFonts w:ascii="Verdana" w:hAnsi="Verdana" w:cs="Arial"/>
          <w:sz w:val="16"/>
          <w:szCs w:val="16"/>
        </w:rPr>
        <w:t xml:space="preserve"> </w:t>
      </w:r>
      <w:r w:rsidRPr="001D32B8">
        <w:rPr>
          <w:rFonts w:ascii="Verdana" w:hAnsi="Verdana" w:cs="Arial"/>
          <w:sz w:val="16"/>
          <w:szCs w:val="16"/>
        </w:rPr>
        <w:tab/>
      </w:r>
      <w:r w:rsidR="00D02CF1">
        <w:rPr>
          <w:rFonts w:ascii="Verdana" w:hAnsi="Verdana" w:cs="Arial"/>
          <w:sz w:val="16"/>
          <w:szCs w:val="16"/>
        </w:rPr>
        <w:tab/>
      </w:r>
      <w:r w:rsidRPr="001D32B8">
        <w:rPr>
          <w:rFonts w:ascii="Verdana" w:hAnsi="Verdana" w:cs="Arial"/>
          <w:i/>
          <w:sz w:val="16"/>
          <w:szCs w:val="16"/>
          <w:lang w:val="es-CL"/>
        </w:rPr>
        <w:t>Cfr. Caso del Tribunal Constitucional Vs. Perú</w:t>
      </w:r>
      <w:r w:rsidRPr="001D32B8">
        <w:rPr>
          <w:rFonts w:ascii="Verdana" w:hAnsi="Verdana" w:cs="Arial"/>
          <w:bCs/>
          <w:i/>
          <w:sz w:val="16"/>
          <w:szCs w:val="16"/>
          <w:lang w:val="es-CR"/>
        </w:rPr>
        <w:t xml:space="preserve">. Fondo, Reparaciones y Costas. </w:t>
      </w:r>
      <w:r w:rsidRPr="001D32B8">
        <w:rPr>
          <w:rFonts w:ascii="Verdana" w:hAnsi="Verdana" w:cs="Arial"/>
          <w:bCs/>
          <w:sz w:val="16"/>
          <w:szCs w:val="16"/>
          <w:lang w:val="es-CR"/>
        </w:rPr>
        <w:t>Sentencia de 31 de enero de 2001. Serie C No. 71</w:t>
      </w:r>
      <w:r w:rsidRPr="001D32B8">
        <w:rPr>
          <w:rFonts w:ascii="Verdana" w:hAnsi="Verdana" w:cs="Arial"/>
          <w:sz w:val="16"/>
          <w:szCs w:val="16"/>
          <w:lang w:val="es-CL"/>
        </w:rPr>
        <w:t xml:space="preserve">, párr. 75, y </w:t>
      </w:r>
      <w:r w:rsidRPr="001D32B8">
        <w:rPr>
          <w:rFonts w:ascii="Verdana" w:hAnsi="Verdana"/>
          <w:i/>
          <w:sz w:val="16"/>
          <w:szCs w:val="16"/>
        </w:rPr>
        <w:t>Caso Acosta y otros Vs. Nicaragua</w:t>
      </w:r>
      <w:r>
        <w:rPr>
          <w:rFonts w:ascii="Verdana" w:hAnsi="Verdana"/>
          <w:sz w:val="16"/>
          <w:szCs w:val="16"/>
        </w:rPr>
        <w:t xml:space="preserve">. </w:t>
      </w:r>
      <w:r w:rsidRPr="001D32B8">
        <w:rPr>
          <w:rFonts w:ascii="Verdana" w:hAnsi="Verdana"/>
          <w:i/>
          <w:sz w:val="16"/>
          <w:szCs w:val="16"/>
          <w:lang w:val="es-CR"/>
        </w:rPr>
        <w:t>Excepciones Preliminares, Fondo, Reparaciones y Costas</w:t>
      </w:r>
      <w:r w:rsidRPr="001D32B8">
        <w:rPr>
          <w:rFonts w:ascii="Verdana" w:hAnsi="Verdana"/>
          <w:sz w:val="16"/>
          <w:szCs w:val="16"/>
          <w:lang w:val="es-CR"/>
        </w:rPr>
        <w:t>. Sentencia de 25 de marzo de 2017. Serie C No. 334</w:t>
      </w:r>
      <w:r w:rsidRPr="001D32B8">
        <w:rPr>
          <w:rFonts w:ascii="Verdana" w:hAnsi="Verdana"/>
          <w:i/>
          <w:sz w:val="16"/>
          <w:szCs w:val="16"/>
        </w:rPr>
        <w:t xml:space="preserve">, </w:t>
      </w:r>
      <w:r w:rsidRPr="001D32B8">
        <w:rPr>
          <w:rFonts w:ascii="Verdana" w:hAnsi="Verdana"/>
          <w:sz w:val="16"/>
          <w:szCs w:val="16"/>
        </w:rPr>
        <w:t>párr. 171</w:t>
      </w:r>
      <w:r w:rsidRPr="001D32B8">
        <w:rPr>
          <w:rFonts w:ascii="Verdana" w:hAnsi="Verdana" w:cs="Arial"/>
          <w:sz w:val="16"/>
          <w:szCs w:val="16"/>
        </w:rPr>
        <w:t xml:space="preserve">. </w:t>
      </w:r>
      <w:r w:rsidRPr="001D32B8">
        <w:rPr>
          <w:rFonts w:ascii="Verdana" w:hAnsi="Verdana" w:cs="Arial"/>
          <w:sz w:val="16"/>
          <w:szCs w:val="16"/>
          <w:lang w:val="es-ES"/>
        </w:rPr>
        <w:t>Ver también:</w:t>
      </w:r>
      <w:r w:rsidRPr="001D32B8">
        <w:rPr>
          <w:rFonts w:ascii="Verdana" w:hAnsi="Verdana" w:cs="Arial"/>
          <w:i/>
          <w:sz w:val="16"/>
          <w:szCs w:val="16"/>
          <w:lang w:val="es-ES"/>
        </w:rPr>
        <w:t xml:space="preserve"> </w:t>
      </w:r>
      <w:r w:rsidRPr="001D32B8">
        <w:rPr>
          <w:rFonts w:ascii="Verdana" w:hAnsi="Verdana" w:cs="Arial"/>
          <w:sz w:val="16"/>
          <w:szCs w:val="16"/>
          <w:lang w:val="es-ES"/>
        </w:rPr>
        <w:t xml:space="preserve">TEDH, </w:t>
      </w:r>
      <w:r w:rsidRPr="001D32B8">
        <w:rPr>
          <w:rFonts w:ascii="Verdana" w:hAnsi="Verdana" w:cs="Arial"/>
          <w:i/>
          <w:sz w:val="16"/>
          <w:szCs w:val="16"/>
          <w:lang w:val="es-ES"/>
        </w:rPr>
        <w:t xml:space="preserve">Campbell y </w:t>
      </w:r>
      <w:proofErr w:type="spellStart"/>
      <w:r w:rsidRPr="001D32B8">
        <w:rPr>
          <w:rFonts w:ascii="Verdana" w:hAnsi="Verdana" w:cs="Arial"/>
          <w:i/>
          <w:sz w:val="16"/>
          <w:szCs w:val="16"/>
          <w:lang w:val="es-ES"/>
        </w:rPr>
        <w:t>Fell</w:t>
      </w:r>
      <w:proofErr w:type="spellEnd"/>
      <w:r w:rsidRPr="001D32B8">
        <w:rPr>
          <w:rFonts w:ascii="Verdana" w:hAnsi="Verdana" w:cs="Arial"/>
          <w:i/>
          <w:sz w:val="16"/>
          <w:szCs w:val="16"/>
          <w:lang w:val="es-ES"/>
        </w:rPr>
        <w:t xml:space="preserve"> Vs. Reino Unido</w:t>
      </w:r>
      <w:r w:rsidRPr="001D32B8">
        <w:rPr>
          <w:rFonts w:ascii="Verdana" w:hAnsi="Verdana" w:cs="Arial"/>
          <w:sz w:val="16"/>
          <w:szCs w:val="16"/>
          <w:lang w:val="es-ES"/>
        </w:rPr>
        <w:t>, (No.</w:t>
      </w:r>
      <w:r w:rsidRPr="001D32B8">
        <w:rPr>
          <w:rFonts w:ascii="Verdana" w:hAnsi="Verdana"/>
          <w:sz w:val="16"/>
          <w:szCs w:val="16"/>
        </w:rPr>
        <w:t xml:space="preserve"> </w:t>
      </w:r>
      <w:r w:rsidRPr="001D32B8">
        <w:rPr>
          <w:rFonts w:ascii="Verdana" w:hAnsi="Verdana" w:cs="Arial"/>
          <w:sz w:val="16"/>
          <w:szCs w:val="16"/>
          <w:lang w:val="es-ES"/>
        </w:rPr>
        <w:t xml:space="preserve">7819/77; 7878/77), Sentencia de 28 de junio de 1984, párr. 78, y TEDH, </w:t>
      </w:r>
      <w:proofErr w:type="spellStart"/>
      <w:r w:rsidRPr="001D32B8">
        <w:rPr>
          <w:rFonts w:ascii="Verdana" w:hAnsi="Verdana" w:cs="Arial"/>
          <w:i/>
          <w:sz w:val="16"/>
          <w:szCs w:val="16"/>
          <w:lang w:val="es-ES"/>
        </w:rPr>
        <w:t>Langborger</w:t>
      </w:r>
      <w:proofErr w:type="spellEnd"/>
      <w:r w:rsidRPr="001D32B8">
        <w:rPr>
          <w:rFonts w:ascii="Verdana" w:hAnsi="Verdana" w:cs="Arial"/>
          <w:sz w:val="16"/>
          <w:szCs w:val="16"/>
          <w:lang w:val="es-ES"/>
        </w:rPr>
        <w:t xml:space="preserve"> </w:t>
      </w:r>
      <w:r w:rsidRPr="001D32B8">
        <w:rPr>
          <w:rFonts w:ascii="Verdana" w:hAnsi="Verdana" w:cs="Arial"/>
          <w:i/>
          <w:sz w:val="16"/>
          <w:szCs w:val="16"/>
          <w:lang w:val="es-ES"/>
        </w:rPr>
        <w:t>Vs. Suecia</w:t>
      </w:r>
      <w:r w:rsidRPr="001D32B8">
        <w:rPr>
          <w:rFonts w:ascii="Verdana" w:hAnsi="Verdana" w:cs="Arial"/>
          <w:sz w:val="16"/>
          <w:szCs w:val="16"/>
          <w:lang w:val="es-ES"/>
        </w:rPr>
        <w:t>, (No.</w:t>
      </w:r>
      <w:r w:rsidRPr="001D32B8">
        <w:rPr>
          <w:rFonts w:ascii="Verdana" w:hAnsi="Verdana"/>
          <w:sz w:val="16"/>
          <w:szCs w:val="16"/>
        </w:rPr>
        <w:t xml:space="preserve"> </w:t>
      </w:r>
      <w:r w:rsidRPr="001D32B8">
        <w:rPr>
          <w:rFonts w:ascii="Verdana" w:hAnsi="Verdana" w:cs="Arial"/>
          <w:sz w:val="16"/>
          <w:szCs w:val="16"/>
          <w:lang w:val="es-ES"/>
        </w:rPr>
        <w:t xml:space="preserve">11179/84), Sentencia de 22 de junio de 1989, párr. </w:t>
      </w:r>
      <w:r w:rsidRPr="001D32B8">
        <w:rPr>
          <w:rFonts w:ascii="Verdana" w:hAnsi="Verdana" w:cs="Arial"/>
          <w:sz w:val="16"/>
          <w:szCs w:val="16"/>
        </w:rPr>
        <w:t>32. Asimismo, ver: Principios Básicos de las Naciones Unidas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r w:rsidRPr="001D32B8">
        <w:rPr>
          <w:rFonts w:ascii="Verdana" w:hAnsi="Verdana" w:cs="Arial"/>
          <w:i/>
          <w:sz w:val="16"/>
          <w:szCs w:val="16"/>
        </w:rPr>
        <w:t xml:space="preserve"> </w:t>
      </w:r>
      <w:r w:rsidRPr="001D32B8">
        <w:rPr>
          <w:rFonts w:ascii="Verdana" w:hAnsi="Verdana" w:cs="Arial"/>
          <w:sz w:val="16"/>
          <w:szCs w:val="16"/>
        </w:rPr>
        <w:t xml:space="preserve">principios 2, y 4, disponible en: </w:t>
      </w:r>
      <w:hyperlink r:id="rId3" w:history="1">
        <w:r w:rsidRPr="001D32B8">
          <w:rPr>
            <w:rStyle w:val="Hyperlink"/>
            <w:rFonts w:ascii="Verdana" w:hAnsi="Verdana" w:cs="Arial"/>
            <w:color w:val="000000" w:themeColor="text1"/>
            <w:sz w:val="16"/>
            <w:szCs w:val="16"/>
          </w:rPr>
          <w:t>http://www.ohchr.org/SP/ProfessionalInterest/Pages/IndependenceJudiciary.aspx</w:t>
        </w:r>
      </w:hyperlink>
      <w:r w:rsidRPr="001D32B8">
        <w:rPr>
          <w:rFonts w:ascii="Verdana" w:hAnsi="Verdana" w:cs="Arial"/>
          <w:color w:val="000000" w:themeColor="text1"/>
          <w:sz w:val="16"/>
          <w:szCs w:val="16"/>
        </w:rPr>
        <w:t>.</w:t>
      </w:r>
    </w:p>
  </w:footnote>
  <w:footnote w:id="68">
    <w:p w14:paraId="039314E7" w14:textId="7275E015" w:rsidR="007451F5" w:rsidRPr="001D32B8" w:rsidRDefault="007451F5" w:rsidP="00B900D4">
      <w:pPr>
        <w:pStyle w:val="FootnoteText"/>
        <w:tabs>
          <w:tab w:val="left" w:pos="567"/>
        </w:tabs>
        <w:spacing w:before="120" w:after="12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00D02CF1">
        <w:rPr>
          <w:rFonts w:ascii="Verdana" w:hAnsi="Verdana"/>
          <w:sz w:val="16"/>
          <w:szCs w:val="16"/>
        </w:rPr>
        <w:tab/>
      </w:r>
      <w:r w:rsidRPr="001D32B8">
        <w:rPr>
          <w:rFonts w:ascii="Verdana" w:hAnsi="Verdana"/>
          <w:i/>
          <w:sz w:val="16"/>
          <w:szCs w:val="16"/>
        </w:rPr>
        <w:t xml:space="preserve">Cfr. Caso </w:t>
      </w:r>
      <w:proofErr w:type="spellStart"/>
      <w:r w:rsidRPr="001D32B8">
        <w:rPr>
          <w:rFonts w:ascii="Verdana" w:hAnsi="Verdana"/>
          <w:i/>
          <w:sz w:val="16"/>
          <w:szCs w:val="16"/>
        </w:rPr>
        <w:t>Reverón</w:t>
      </w:r>
      <w:proofErr w:type="spellEnd"/>
      <w:r w:rsidRPr="001D32B8">
        <w:rPr>
          <w:rFonts w:ascii="Verdana" w:hAnsi="Verdana"/>
          <w:i/>
          <w:sz w:val="16"/>
          <w:szCs w:val="16"/>
        </w:rPr>
        <w:t xml:space="preserve"> Trujillo Vs. Venezuela</w:t>
      </w:r>
      <w:r w:rsidRPr="001D32B8">
        <w:rPr>
          <w:rFonts w:ascii="Verdana" w:hAnsi="Verdana"/>
          <w:i/>
          <w:sz w:val="16"/>
          <w:szCs w:val="16"/>
          <w:lang w:val="es-VE"/>
        </w:rPr>
        <w:t>. Excepción Preliminar, Fondo, Reparaciones y Costas</w:t>
      </w:r>
      <w:r w:rsidRPr="001D32B8">
        <w:rPr>
          <w:rFonts w:ascii="Verdana" w:hAnsi="Verdana"/>
          <w:sz w:val="16"/>
          <w:szCs w:val="16"/>
          <w:lang w:val="es-VE"/>
        </w:rPr>
        <w:t>. Sentencia de 30 de junio de 2009. Serie C No. 197</w:t>
      </w:r>
      <w:r w:rsidRPr="001D32B8">
        <w:rPr>
          <w:rFonts w:ascii="Verdana" w:hAnsi="Verdana"/>
          <w:sz w:val="16"/>
          <w:szCs w:val="16"/>
        </w:rPr>
        <w:t xml:space="preserve">, párr. 146, y </w:t>
      </w:r>
      <w:r w:rsidRPr="001D32B8">
        <w:rPr>
          <w:rFonts w:ascii="Verdana" w:hAnsi="Verdana"/>
          <w:i/>
          <w:sz w:val="16"/>
          <w:szCs w:val="16"/>
        </w:rPr>
        <w:t xml:space="preserve">Caso </w:t>
      </w:r>
      <w:proofErr w:type="spellStart"/>
      <w:r w:rsidRPr="001D32B8">
        <w:rPr>
          <w:rFonts w:ascii="Verdana" w:hAnsi="Verdana"/>
          <w:i/>
          <w:sz w:val="16"/>
          <w:szCs w:val="16"/>
        </w:rPr>
        <w:t>Atala</w:t>
      </w:r>
      <w:proofErr w:type="spellEnd"/>
      <w:r w:rsidRPr="001D32B8">
        <w:rPr>
          <w:rFonts w:ascii="Verdana" w:hAnsi="Verdana"/>
          <w:i/>
          <w:sz w:val="16"/>
          <w:szCs w:val="16"/>
        </w:rPr>
        <w:t xml:space="preserve"> </w:t>
      </w:r>
      <w:proofErr w:type="spellStart"/>
      <w:r w:rsidRPr="001D32B8">
        <w:rPr>
          <w:rFonts w:ascii="Verdana" w:hAnsi="Verdana"/>
          <w:i/>
          <w:sz w:val="16"/>
          <w:szCs w:val="16"/>
        </w:rPr>
        <w:t>Riffo</w:t>
      </w:r>
      <w:proofErr w:type="spellEnd"/>
      <w:r w:rsidRPr="001D32B8">
        <w:rPr>
          <w:rFonts w:ascii="Verdana" w:hAnsi="Verdana"/>
          <w:i/>
          <w:sz w:val="16"/>
          <w:szCs w:val="16"/>
        </w:rPr>
        <w:t xml:space="preserve"> y Niñas Vs. Chile</w:t>
      </w:r>
      <w:r w:rsidRPr="001D32B8">
        <w:rPr>
          <w:rFonts w:ascii="Verdana" w:hAnsi="Verdana"/>
          <w:sz w:val="16"/>
          <w:szCs w:val="16"/>
        </w:rPr>
        <w:t xml:space="preserve">. </w:t>
      </w:r>
      <w:r w:rsidRPr="001D32B8">
        <w:rPr>
          <w:rFonts w:ascii="Verdana" w:hAnsi="Verdana"/>
          <w:bCs/>
          <w:i/>
          <w:sz w:val="16"/>
          <w:szCs w:val="16"/>
          <w:lang w:val="es-CR"/>
        </w:rPr>
        <w:t xml:space="preserve">Fondo, Reparaciones y Costas. </w:t>
      </w:r>
      <w:r w:rsidRPr="001D32B8">
        <w:rPr>
          <w:rFonts w:ascii="Verdana" w:hAnsi="Verdana"/>
          <w:bCs/>
          <w:sz w:val="16"/>
          <w:szCs w:val="16"/>
          <w:lang w:val="es-CR"/>
        </w:rPr>
        <w:t>Sentencia de 24 de febrero de 2012. Serie C No. 239</w:t>
      </w:r>
      <w:r w:rsidRPr="001D32B8">
        <w:rPr>
          <w:rFonts w:ascii="Verdana" w:hAnsi="Verdana"/>
          <w:sz w:val="16"/>
          <w:szCs w:val="16"/>
        </w:rPr>
        <w:t>,</w:t>
      </w:r>
      <w:r w:rsidRPr="001D32B8">
        <w:rPr>
          <w:rFonts w:ascii="Verdana" w:hAnsi="Verdana"/>
          <w:i/>
          <w:sz w:val="16"/>
          <w:szCs w:val="16"/>
        </w:rPr>
        <w:t xml:space="preserve"> </w:t>
      </w:r>
      <w:r w:rsidRPr="001D32B8">
        <w:rPr>
          <w:rFonts w:ascii="Verdana" w:hAnsi="Verdana"/>
          <w:sz w:val="16"/>
          <w:szCs w:val="16"/>
        </w:rPr>
        <w:t>párr. 186.</w:t>
      </w:r>
    </w:p>
  </w:footnote>
  <w:footnote w:id="69">
    <w:p w14:paraId="3C9586B5" w14:textId="77777777" w:rsidR="007451F5" w:rsidRPr="001D32B8" w:rsidRDefault="007451F5" w:rsidP="00B900D4">
      <w:pPr>
        <w:pStyle w:val="FootnoteText"/>
        <w:jc w:val="both"/>
        <w:rPr>
          <w:rFonts w:ascii="Verdana" w:hAnsi="Verdana"/>
          <w:bCs/>
          <w:sz w:val="16"/>
          <w:szCs w:val="16"/>
          <w:lang w:val="es-C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bCs/>
          <w:i/>
          <w:sz w:val="16"/>
          <w:szCs w:val="16"/>
          <w:lang w:val="es-CR"/>
        </w:rPr>
        <w:tab/>
        <w:t xml:space="preserve"> </w:t>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eastAsia="Times New Roman" w:hAnsi="Verdana" w:cs="Times New Roman"/>
          <w:bCs/>
          <w:i/>
          <w:color w:val="000000"/>
          <w:sz w:val="16"/>
          <w:szCs w:val="16"/>
          <w:lang w:val="es-MX"/>
        </w:rPr>
        <w:t>Garantías judiciales en estados de emergencia (Arts. 27.2, 25 y 8 Convención Americana sobre Derechos Humanos)</w:t>
      </w:r>
      <w:r w:rsidRPr="001D32B8">
        <w:rPr>
          <w:rFonts w:ascii="Verdana" w:eastAsia="Times New Roman" w:hAnsi="Verdana" w:cs="Times New Roman"/>
          <w:bCs/>
          <w:color w:val="000000"/>
          <w:sz w:val="16"/>
          <w:szCs w:val="16"/>
          <w:lang w:val="es-MX"/>
        </w:rPr>
        <w:t xml:space="preserve">. Opinión Consultiva OC-9/87 de 6 de octubre de 1987. Serie A No. 9, </w:t>
      </w:r>
      <w:r w:rsidRPr="001D32B8">
        <w:rPr>
          <w:rFonts w:ascii="Verdana" w:hAnsi="Verdana"/>
          <w:sz w:val="16"/>
          <w:szCs w:val="16"/>
        </w:rPr>
        <w:t xml:space="preserve">párr. </w:t>
      </w:r>
      <w:r w:rsidRPr="001D32B8">
        <w:rPr>
          <w:rFonts w:ascii="Verdana" w:hAnsi="Verdana"/>
          <w:bCs/>
          <w:sz w:val="16"/>
          <w:szCs w:val="16"/>
          <w:lang w:val="es-CR"/>
        </w:rPr>
        <w:t xml:space="preserve">párr. 24;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bCs/>
          <w:sz w:val="16"/>
          <w:szCs w:val="16"/>
          <w:lang w:val="es-VE"/>
        </w:rPr>
        <w:t xml:space="preserve"> párr. 154</w:t>
      </w:r>
      <w:r w:rsidRPr="001D32B8">
        <w:rPr>
          <w:rFonts w:ascii="Verdana" w:hAnsi="Verdana"/>
          <w:bCs/>
          <w:sz w:val="16"/>
          <w:szCs w:val="16"/>
          <w:lang w:val="es-CR"/>
        </w:rPr>
        <w:t>.</w:t>
      </w:r>
    </w:p>
    <w:p w14:paraId="4F5DAEB6" w14:textId="77777777" w:rsidR="007451F5" w:rsidRPr="001D32B8" w:rsidRDefault="007451F5" w:rsidP="00B900D4">
      <w:pPr>
        <w:pStyle w:val="FootnoteText"/>
        <w:jc w:val="both"/>
        <w:rPr>
          <w:rFonts w:ascii="Verdana" w:hAnsi="Verdana"/>
          <w:sz w:val="16"/>
          <w:szCs w:val="16"/>
        </w:rPr>
      </w:pPr>
    </w:p>
  </w:footnote>
  <w:footnote w:id="70">
    <w:p w14:paraId="5804579A" w14:textId="1A4731F4" w:rsidR="007451F5" w:rsidRPr="001D32B8" w:rsidRDefault="007451F5" w:rsidP="00B900D4">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210. </w:t>
      </w:r>
    </w:p>
    <w:p w14:paraId="39A1A6D5" w14:textId="77777777" w:rsidR="007451F5" w:rsidRPr="001D32B8" w:rsidRDefault="007451F5" w:rsidP="00B900D4">
      <w:pPr>
        <w:pStyle w:val="FootnoteText"/>
        <w:rPr>
          <w:rFonts w:ascii="Verdana" w:hAnsi="Verdana"/>
          <w:sz w:val="16"/>
          <w:szCs w:val="16"/>
        </w:rPr>
      </w:pPr>
    </w:p>
  </w:footnote>
  <w:footnote w:id="71">
    <w:p w14:paraId="098A04D6" w14:textId="38540EFB" w:rsidR="007451F5" w:rsidRPr="001D32B8" w:rsidRDefault="007451F5" w:rsidP="00B900D4">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150 y punto resolutivo 1 de la Sentencia. </w:t>
      </w:r>
    </w:p>
    <w:p w14:paraId="0EE835D9" w14:textId="77777777" w:rsidR="007451F5" w:rsidRPr="001D32B8" w:rsidRDefault="007451F5" w:rsidP="00B900D4">
      <w:pPr>
        <w:pStyle w:val="FootnoteText"/>
        <w:jc w:val="both"/>
        <w:rPr>
          <w:rFonts w:ascii="Verdana" w:hAnsi="Verdana"/>
          <w:sz w:val="16"/>
          <w:szCs w:val="16"/>
        </w:rPr>
      </w:pPr>
    </w:p>
  </w:footnote>
  <w:footnote w:id="72">
    <w:p w14:paraId="7D6690D5" w14:textId="77777777" w:rsidR="007451F5" w:rsidRPr="001D32B8" w:rsidRDefault="007451F5" w:rsidP="00B900D4">
      <w:pPr>
        <w:pStyle w:val="FootnoteText"/>
        <w:jc w:val="both"/>
        <w:rPr>
          <w:rFonts w:ascii="Verdana" w:hAnsi="Verdana"/>
          <w:sz w:val="16"/>
          <w:szCs w:val="16"/>
          <w:u w:val="single"/>
        </w:rPr>
      </w:pPr>
      <w:r w:rsidRPr="001D32B8">
        <w:rPr>
          <w:rStyle w:val="FootnoteReference"/>
          <w:rFonts w:ascii="Verdana" w:hAnsi="Verdana"/>
          <w:sz w:val="16"/>
          <w:szCs w:val="16"/>
        </w:rPr>
        <w:footnoteRef/>
      </w:r>
      <w:r w:rsidRPr="001D32B8">
        <w:rPr>
          <w:rFonts w:ascii="Verdana" w:hAnsi="Verdana"/>
          <w:sz w:val="16"/>
        </w:rPr>
        <w:t xml:space="preserve"> </w:t>
      </w:r>
      <w:r w:rsidRPr="001D32B8">
        <w:rPr>
          <w:rFonts w:ascii="Verdana" w:hAnsi="Verdana"/>
          <w:sz w:val="16"/>
          <w:szCs w:val="16"/>
        </w:rPr>
        <w:tab/>
        <w:t xml:space="preserve">En este sentido, en la Sentencia se constató lo siguiente: “145. </w:t>
      </w:r>
      <w:r w:rsidRPr="001D32B8">
        <w:rPr>
          <w:rFonts w:ascii="Verdana" w:eastAsia="Calibri" w:hAnsi="Verdana"/>
          <w:sz w:val="16"/>
          <w:szCs w:val="16"/>
        </w:rPr>
        <w:t>La Corte considera que, en ese contexto</w:t>
      </w:r>
      <w:r w:rsidRPr="001D32B8">
        <w:rPr>
          <w:rFonts w:ascii="Verdana" w:hAnsi="Verdana"/>
          <w:sz w:val="16"/>
          <w:szCs w:val="16"/>
        </w:rPr>
        <w:t xml:space="preserve"> y por la alta investidura de quienes los pronunciaron y su reiteración</w:t>
      </w:r>
      <w:r w:rsidRPr="001D32B8">
        <w:rPr>
          <w:rFonts w:ascii="Verdana" w:eastAsia="Calibri" w:hAnsi="Verdana"/>
          <w:sz w:val="16"/>
          <w:szCs w:val="16"/>
        </w:rPr>
        <w:t>,</w:t>
      </w:r>
      <w:r w:rsidRPr="001D32B8">
        <w:rPr>
          <w:rFonts w:ascii="Verdana" w:hAnsi="Verdana"/>
          <w:sz w:val="16"/>
          <w:szCs w:val="16"/>
        </w:rPr>
        <w:t xml:space="preserve"> dichos pronunciamientos de altos funcionarios públicos dirigidas a desincentivar la participación política no contribuyeron a impedir, e incluso pudieron propiciar o exacerbar, situaciones de hostilidad e intolerancia hacia la disidencia política, lo cual es incompatible con la obligación estatal de garantizar el derecho de participación política. </w:t>
      </w:r>
      <w:r w:rsidRPr="001D32B8">
        <w:rPr>
          <w:rFonts w:ascii="Verdana" w:eastAsia="Calibri" w:hAnsi="Verdana"/>
          <w:sz w:val="16"/>
          <w:szCs w:val="16"/>
          <w:u w:val="single"/>
        </w:rPr>
        <w:t xml:space="preserve">En este sentido, otras declaraciones de funcionarios </w:t>
      </w:r>
      <w:r w:rsidRPr="001D32B8">
        <w:rPr>
          <w:rFonts w:ascii="Verdana" w:hAnsi="Verdana"/>
          <w:sz w:val="16"/>
          <w:szCs w:val="16"/>
          <w:u w:val="single"/>
        </w:rPr>
        <w:t>que indicaban que “nadie puede ser perseguido” o una retractación del Ministro de Salud […], no contribuyeron a impedir los efectos intimidatorios, de incertidumbre y de polarización que pudieron generar las demás manifestaciones en ese contexto”. [Énfasis añadido]</w:t>
      </w:r>
      <w:r w:rsidRPr="001D32B8">
        <w:rPr>
          <w:rFonts w:ascii="Verdana" w:hAnsi="Verdana" w:cs="Verdana"/>
          <w:i/>
          <w:sz w:val="16"/>
          <w:szCs w:val="16"/>
          <w:lang w:val="es-ES"/>
        </w:rPr>
        <w:t xml:space="preserve"> 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145 y 64. </w:t>
      </w:r>
    </w:p>
    <w:p w14:paraId="62CF34C3" w14:textId="77777777" w:rsidR="007451F5" w:rsidRPr="001D32B8" w:rsidRDefault="007451F5" w:rsidP="00B900D4">
      <w:pPr>
        <w:pStyle w:val="FootnoteText"/>
        <w:jc w:val="both"/>
        <w:rPr>
          <w:rFonts w:ascii="Verdana" w:hAnsi="Verdana"/>
          <w:sz w:val="16"/>
          <w:szCs w:val="16"/>
        </w:rPr>
      </w:pPr>
    </w:p>
  </w:footnote>
  <w:footnote w:id="73">
    <w:p w14:paraId="2E08D8A4" w14:textId="77777777" w:rsidR="00B66279" w:rsidRPr="001D32B8" w:rsidRDefault="00B66279" w:rsidP="00B66279">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209.</w:t>
      </w:r>
    </w:p>
    <w:p w14:paraId="246BDE14" w14:textId="77777777" w:rsidR="00B66279" w:rsidRPr="001D32B8" w:rsidRDefault="00B66279" w:rsidP="00B66279">
      <w:pPr>
        <w:pStyle w:val="FootnoteText"/>
        <w:jc w:val="both"/>
        <w:rPr>
          <w:rFonts w:ascii="Verdana" w:hAnsi="Verdana"/>
          <w:sz w:val="16"/>
          <w:szCs w:val="16"/>
        </w:rPr>
      </w:pPr>
    </w:p>
  </w:footnote>
  <w:footnote w:id="74">
    <w:p w14:paraId="42280092" w14:textId="7CD064A0" w:rsidR="007451F5" w:rsidRPr="00D02CF1" w:rsidRDefault="007451F5" w:rsidP="00D02CF1">
      <w:pPr>
        <w:pStyle w:val="FootnoteText"/>
        <w:jc w:val="both"/>
        <w:rPr>
          <w:rStyle w:val="Hyperlink"/>
          <w:rFonts w:ascii="Verdana" w:hAnsi="Verdana" w:cs="Arial"/>
          <w:color w:val="000000" w:themeColor="text1"/>
          <w:spacing w:val="-12"/>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Audiencia Pública, Alegatos Finales Orales de los Representantes de las Víctimas.</w:t>
      </w:r>
      <w:r>
        <w:rPr>
          <w:rFonts w:ascii="Verdana" w:hAnsi="Verdana"/>
          <w:sz w:val="16"/>
          <w:szCs w:val="16"/>
        </w:rPr>
        <w:t xml:space="preserve"> </w:t>
      </w:r>
      <w:r w:rsidRPr="006D17A2">
        <w:rPr>
          <w:rFonts w:ascii="Verdana" w:hAnsi="Verdana"/>
          <w:sz w:val="16"/>
          <w:szCs w:val="16"/>
        </w:rPr>
        <w:t>Video disponible en:</w:t>
      </w:r>
      <w:r w:rsidRPr="0069409D">
        <w:rPr>
          <w:rFonts w:ascii="Verdana" w:hAnsi="Verdana" w:cs="Arial"/>
          <w:spacing w:val="-12"/>
          <w:sz w:val="16"/>
          <w:szCs w:val="16"/>
          <w:lang w:val="es-MX"/>
        </w:rPr>
        <w:t xml:space="preserve"> </w:t>
      </w:r>
      <w:hyperlink r:id="rId4" w:history="1">
        <w:r w:rsidRPr="00D02CF1">
          <w:rPr>
            <w:rStyle w:val="Hyperlink"/>
            <w:rFonts w:ascii="Verdana" w:hAnsi="Verdana" w:cs="Arial"/>
            <w:color w:val="000000" w:themeColor="text1"/>
            <w:spacing w:val="-12"/>
            <w:sz w:val="16"/>
            <w:szCs w:val="16"/>
            <w:lang w:val="es-MX"/>
          </w:rPr>
          <w:t>https://vimeopro.com/corteidh/caso-san-miguel-sosa-y-otros-vs-venezuela</w:t>
        </w:r>
      </w:hyperlink>
    </w:p>
    <w:p w14:paraId="7FA764F8" w14:textId="77777777" w:rsidR="00D02CF1" w:rsidRPr="00D02CF1" w:rsidRDefault="00D02CF1" w:rsidP="00D02CF1">
      <w:pPr>
        <w:pStyle w:val="FootnoteText"/>
        <w:jc w:val="both"/>
        <w:rPr>
          <w:rFonts w:ascii="Verdana" w:hAnsi="Verdana"/>
          <w:color w:val="000000" w:themeColor="text1"/>
          <w:sz w:val="16"/>
          <w:szCs w:val="16"/>
        </w:rPr>
      </w:pPr>
    </w:p>
    <w:p w14:paraId="13AAB1D1" w14:textId="77777777" w:rsidR="007451F5" w:rsidRPr="001D32B8" w:rsidRDefault="007451F5" w:rsidP="00B900D4">
      <w:pPr>
        <w:pStyle w:val="FootnoteText"/>
        <w:rPr>
          <w:rFonts w:ascii="Verdana" w:hAnsi="Verdana"/>
          <w:sz w:val="16"/>
          <w:szCs w:val="16"/>
        </w:rPr>
      </w:pPr>
    </w:p>
  </w:footnote>
  <w:footnote w:id="75">
    <w:p w14:paraId="1EE3C176" w14:textId="53D969C4" w:rsidR="007451F5" w:rsidRPr="001D32B8" w:rsidRDefault="007451F5" w:rsidP="00B900D4">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w:t>
      </w:r>
      <w:proofErr w:type="spellStart"/>
      <w:r w:rsidRPr="001D32B8">
        <w:rPr>
          <w:rFonts w:ascii="Verdana" w:hAnsi="Verdana"/>
          <w:sz w:val="16"/>
          <w:szCs w:val="16"/>
        </w:rPr>
        <w:t>párr</w:t>
      </w:r>
      <w:r w:rsidR="00D02CF1">
        <w:rPr>
          <w:rFonts w:ascii="Verdana" w:hAnsi="Verdana"/>
          <w:sz w:val="16"/>
          <w:szCs w:val="16"/>
        </w:rPr>
        <w:t>s</w:t>
      </w:r>
      <w:proofErr w:type="spellEnd"/>
      <w:r w:rsidRPr="001D32B8">
        <w:rPr>
          <w:rFonts w:ascii="Verdana" w:hAnsi="Verdana"/>
          <w:sz w:val="16"/>
          <w:szCs w:val="16"/>
        </w:rPr>
        <w:t xml:space="preserve">. 143 y 146.  </w:t>
      </w:r>
    </w:p>
    <w:p w14:paraId="22819BBE" w14:textId="77777777" w:rsidR="007451F5" w:rsidRPr="001D32B8" w:rsidRDefault="007451F5" w:rsidP="00B900D4">
      <w:pPr>
        <w:pStyle w:val="FootnoteText"/>
        <w:jc w:val="both"/>
        <w:rPr>
          <w:rFonts w:ascii="Verdana" w:hAnsi="Verdana"/>
          <w:sz w:val="16"/>
          <w:szCs w:val="16"/>
        </w:rPr>
      </w:pPr>
    </w:p>
  </w:footnote>
  <w:footnote w:id="76">
    <w:p w14:paraId="614093A0" w14:textId="77777777" w:rsidR="007451F5" w:rsidRPr="001D32B8" w:rsidRDefault="007451F5" w:rsidP="00B900D4">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w:t>
      </w:r>
      <w:proofErr w:type="spellStart"/>
      <w:r w:rsidRPr="001D32B8">
        <w:rPr>
          <w:rFonts w:ascii="Verdana" w:hAnsi="Verdana"/>
          <w:sz w:val="16"/>
          <w:szCs w:val="16"/>
        </w:rPr>
        <w:t>párrs</w:t>
      </w:r>
      <w:proofErr w:type="spellEnd"/>
      <w:r w:rsidRPr="001D32B8">
        <w:rPr>
          <w:rFonts w:ascii="Verdana" w:hAnsi="Verdana"/>
          <w:sz w:val="16"/>
          <w:szCs w:val="16"/>
        </w:rPr>
        <w:t xml:space="preserve">. 64 y 65. </w:t>
      </w:r>
    </w:p>
    <w:p w14:paraId="056C4588" w14:textId="77777777" w:rsidR="007451F5" w:rsidRPr="001D32B8" w:rsidRDefault="007451F5" w:rsidP="00B900D4">
      <w:pPr>
        <w:pStyle w:val="FootnoteText"/>
        <w:jc w:val="both"/>
        <w:rPr>
          <w:rFonts w:ascii="Verdana" w:hAnsi="Verdana"/>
          <w:sz w:val="16"/>
          <w:szCs w:val="16"/>
        </w:rPr>
      </w:pPr>
    </w:p>
  </w:footnote>
  <w:footnote w:id="77">
    <w:p w14:paraId="25B4352B" w14:textId="77777777" w:rsidR="007451F5" w:rsidRPr="001D32B8" w:rsidRDefault="007451F5" w:rsidP="00B900D4">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192.</w:t>
      </w:r>
    </w:p>
    <w:p w14:paraId="0D688665" w14:textId="77777777" w:rsidR="007451F5" w:rsidRPr="001D32B8" w:rsidRDefault="007451F5" w:rsidP="00B900D4">
      <w:pPr>
        <w:pStyle w:val="FootnoteText"/>
        <w:jc w:val="both"/>
        <w:rPr>
          <w:rFonts w:ascii="Verdana" w:hAnsi="Verdana"/>
          <w:sz w:val="16"/>
          <w:szCs w:val="16"/>
        </w:rPr>
      </w:pPr>
    </w:p>
  </w:footnote>
  <w:footnote w:id="78">
    <w:p w14:paraId="7DF88703" w14:textId="77777777" w:rsidR="007451F5" w:rsidRPr="001D32B8" w:rsidRDefault="007451F5" w:rsidP="00B900D4">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193.</w:t>
      </w:r>
    </w:p>
    <w:p w14:paraId="42607261" w14:textId="77777777" w:rsidR="007451F5" w:rsidRPr="001D32B8" w:rsidRDefault="007451F5" w:rsidP="00B900D4">
      <w:pPr>
        <w:pStyle w:val="FootnoteText"/>
        <w:jc w:val="both"/>
        <w:rPr>
          <w:rFonts w:ascii="Verdana" w:hAnsi="Verdana"/>
          <w:sz w:val="16"/>
          <w:szCs w:val="16"/>
        </w:rPr>
      </w:pPr>
    </w:p>
  </w:footnote>
  <w:footnote w:id="79">
    <w:p w14:paraId="14257AD4" w14:textId="77777777" w:rsidR="007451F5" w:rsidRPr="001D32B8" w:rsidRDefault="007451F5" w:rsidP="00B900D4">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115. </w:t>
      </w:r>
    </w:p>
    <w:p w14:paraId="7CE5D341" w14:textId="77777777" w:rsidR="007451F5" w:rsidRPr="001D32B8" w:rsidRDefault="007451F5" w:rsidP="00B900D4">
      <w:pPr>
        <w:pStyle w:val="FootnoteText"/>
        <w:jc w:val="both"/>
        <w:rPr>
          <w:rFonts w:ascii="Verdana" w:hAnsi="Verdana"/>
          <w:sz w:val="16"/>
          <w:szCs w:val="16"/>
        </w:rPr>
      </w:pPr>
    </w:p>
  </w:footnote>
  <w:footnote w:id="80">
    <w:p w14:paraId="17E66651" w14:textId="04501594" w:rsidR="007451F5" w:rsidRPr="001D32B8" w:rsidRDefault="007451F5" w:rsidP="00B900D4">
      <w:pPr>
        <w:jc w:val="both"/>
        <w:rPr>
          <w:rFonts w:ascii="Verdana" w:eastAsia="Times New Roman" w:hAnsi="Verdana" w:cs="Tahoma"/>
          <w:color w:val="333333"/>
          <w:sz w:val="16"/>
          <w:szCs w:val="16"/>
          <w:shd w:val="clear" w:color="auto" w:fill="FFFFFF"/>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Esto ha sido ampliamente documento por la Comisión Interamericana de Derechos Humanos en tres informes (2003, 2009 y 2017) respecto de Venezuela y la situación de derechos humanos. </w:t>
      </w:r>
      <w:r w:rsidRPr="001D32B8">
        <w:rPr>
          <w:rFonts w:ascii="Verdana" w:hAnsi="Verdana"/>
          <w:i/>
          <w:sz w:val="16"/>
          <w:szCs w:val="16"/>
        </w:rPr>
        <w:t>Cfr.</w:t>
      </w:r>
      <w:r w:rsidRPr="001D32B8">
        <w:rPr>
          <w:rFonts w:ascii="Verdana" w:hAnsi="Verdana"/>
          <w:sz w:val="16"/>
          <w:szCs w:val="16"/>
        </w:rPr>
        <w:t xml:space="preserve"> Situación de los derechos humanos en Venezuela, </w:t>
      </w:r>
      <w:r w:rsidRPr="001D32B8">
        <w:rPr>
          <w:rFonts w:ascii="Verdana" w:hAnsi="Verdana" w:cs="Times New Roman"/>
          <w:sz w:val="16"/>
          <w:szCs w:val="16"/>
          <w:lang w:val="es-MX"/>
        </w:rPr>
        <w:t>OEA/</w:t>
      </w:r>
      <w:proofErr w:type="spellStart"/>
      <w:r w:rsidRPr="001D32B8">
        <w:rPr>
          <w:rFonts w:ascii="Verdana" w:hAnsi="Verdana" w:cs="Times New Roman"/>
          <w:sz w:val="16"/>
          <w:szCs w:val="16"/>
          <w:lang w:val="es-MX"/>
        </w:rPr>
        <w:t>Ser.L</w:t>
      </w:r>
      <w:proofErr w:type="spellEnd"/>
      <w:r w:rsidRPr="001D32B8">
        <w:rPr>
          <w:rFonts w:ascii="Verdana" w:hAnsi="Verdana" w:cs="Times New Roman"/>
          <w:sz w:val="16"/>
          <w:szCs w:val="16"/>
          <w:lang w:val="es-MX"/>
        </w:rPr>
        <w:t xml:space="preserve">/V/II.118, Doc. 4 </w:t>
      </w:r>
      <w:proofErr w:type="spellStart"/>
      <w:r w:rsidRPr="001D32B8">
        <w:rPr>
          <w:rFonts w:ascii="Verdana" w:hAnsi="Verdana" w:cs="Times New Roman"/>
          <w:sz w:val="16"/>
          <w:szCs w:val="16"/>
          <w:lang w:val="es-MX"/>
        </w:rPr>
        <w:t>rev.</w:t>
      </w:r>
      <w:proofErr w:type="spellEnd"/>
      <w:r w:rsidRPr="001D32B8">
        <w:rPr>
          <w:rFonts w:ascii="Verdana" w:hAnsi="Verdana" w:cs="Times New Roman"/>
          <w:sz w:val="16"/>
          <w:szCs w:val="16"/>
          <w:lang w:val="es-MX"/>
        </w:rPr>
        <w:t xml:space="preserve"> 1, </w:t>
      </w:r>
      <w:r w:rsidRPr="001D32B8">
        <w:rPr>
          <w:rFonts w:ascii="Verdana" w:hAnsi="Verdana" w:cs="Times New Roman"/>
          <w:sz w:val="16"/>
          <w:szCs w:val="16"/>
          <w:lang w:val="es-CO"/>
        </w:rPr>
        <w:t>24 octubre 2003</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153 a 220; Democracia y Derechos Humanos en Venezuela, </w:t>
      </w:r>
      <w:r w:rsidRPr="001D32B8">
        <w:rPr>
          <w:rFonts w:ascii="Verdana" w:hAnsi="Verdana" w:cs="Times New Roman"/>
          <w:sz w:val="16"/>
          <w:szCs w:val="16"/>
          <w:lang w:val="es-ES"/>
        </w:rPr>
        <w:t>OEA/</w:t>
      </w:r>
      <w:proofErr w:type="spellStart"/>
      <w:r w:rsidRPr="001D32B8">
        <w:rPr>
          <w:rFonts w:ascii="Verdana" w:hAnsi="Verdana" w:cs="Times New Roman"/>
          <w:sz w:val="16"/>
          <w:szCs w:val="16"/>
          <w:lang w:val="es-ES"/>
        </w:rPr>
        <w:t>Ser.L</w:t>
      </w:r>
      <w:proofErr w:type="spellEnd"/>
      <w:r w:rsidRPr="001D32B8">
        <w:rPr>
          <w:rFonts w:ascii="Verdana" w:hAnsi="Verdana" w:cs="Times New Roman"/>
          <w:sz w:val="16"/>
          <w:szCs w:val="16"/>
          <w:lang w:val="es-ES"/>
        </w:rPr>
        <w:t xml:space="preserve">/V/IIDoc.54, 30 diciembre 2009, </w:t>
      </w:r>
      <w:proofErr w:type="spellStart"/>
      <w:r w:rsidRPr="001D32B8">
        <w:rPr>
          <w:rFonts w:ascii="Verdana" w:hAnsi="Verdana"/>
          <w:sz w:val="16"/>
          <w:szCs w:val="16"/>
        </w:rPr>
        <w:t>párrs</w:t>
      </w:r>
      <w:proofErr w:type="spellEnd"/>
      <w:r w:rsidRPr="001D32B8">
        <w:rPr>
          <w:rFonts w:ascii="Verdana" w:hAnsi="Verdana"/>
          <w:sz w:val="16"/>
          <w:szCs w:val="16"/>
        </w:rPr>
        <w:t>. 180 a 339</w:t>
      </w:r>
      <w:r w:rsidR="00D02CF1">
        <w:rPr>
          <w:rFonts w:ascii="Verdana" w:hAnsi="Verdana"/>
          <w:sz w:val="16"/>
          <w:szCs w:val="16"/>
        </w:rPr>
        <w:t>;</w:t>
      </w:r>
      <w:r w:rsidRPr="001D32B8">
        <w:rPr>
          <w:rFonts w:ascii="Verdana" w:hAnsi="Verdana"/>
          <w:sz w:val="16"/>
          <w:szCs w:val="16"/>
        </w:rPr>
        <w:t xml:space="preserve"> y </w:t>
      </w:r>
      <w:r w:rsidRPr="001D32B8">
        <w:rPr>
          <w:rFonts w:ascii="Verdana" w:eastAsia="Times New Roman" w:hAnsi="Verdana" w:cs="Tahoma"/>
          <w:sz w:val="16"/>
          <w:szCs w:val="16"/>
          <w:shd w:val="clear" w:color="auto" w:fill="FFFFFF"/>
          <w:lang w:val="es-MX"/>
        </w:rPr>
        <w:t xml:space="preserve">Situación de </w:t>
      </w:r>
      <w:r w:rsidR="00A503F9">
        <w:rPr>
          <w:rFonts w:ascii="Verdana" w:eastAsia="Times New Roman" w:hAnsi="Verdana" w:cs="Tahoma"/>
          <w:sz w:val="16"/>
          <w:szCs w:val="16"/>
          <w:shd w:val="clear" w:color="auto" w:fill="FFFFFF"/>
          <w:lang w:val="es-MX"/>
        </w:rPr>
        <w:t>derechos humanos en Venezuela</w:t>
      </w:r>
      <w:r w:rsidR="00D02CF1">
        <w:rPr>
          <w:rFonts w:ascii="Verdana" w:eastAsia="Times New Roman" w:hAnsi="Verdana" w:cs="Tahoma"/>
          <w:sz w:val="16"/>
          <w:szCs w:val="16"/>
          <w:shd w:val="clear" w:color="auto" w:fill="FFFFFF"/>
          <w:lang w:val="es-MX"/>
        </w:rPr>
        <w:t>-</w:t>
      </w:r>
      <w:r w:rsidRPr="001D32B8">
        <w:rPr>
          <w:rFonts w:ascii="Verdana" w:eastAsia="Times New Roman" w:hAnsi="Verdana" w:cs="Tahoma"/>
          <w:sz w:val="16"/>
          <w:szCs w:val="16"/>
          <w:shd w:val="clear" w:color="auto" w:fill="FFFFFF"/>
          <w:lang w:val="es-MX"/>
        </w:rPr>
        <w:t xml:space="preserve">Institucionalidad democrática, Estado de derecho y derechos humanos en Venezuela", </w:t>
      </w:r>
      <w:r w:rsidRPr="001D32B8">
        <w:rPr>
          <w:rFonts w:ascii="Verdana" w:hAnsi="Verdana" w:cs="Times New Roman"/>
          <w:sz w:val="16"/>
          <w:szCs w:val="16"/>
          <w:lang w:val="es-MX"/>
        </w:rPr>
        <w:t>OEA/</w:t>
      </w:r>
      <w:proofErr w:type="spellStart"/>
      <w:r w:rsidRPr="001D32B8">
        <w:rPr>
          <w:rFonts w:ascii="Verdana" w:hAnsi="Verdana" w:cs="Times New Roman"/>
          <w:sz w:val="16"/>
          <w:szCs w:val="16"/>
          <w:lang w:val="es-MX"/>
        </w:rPr>
        <w:t>Ser.L</w:t>
      </w:r>
      <w:proofErr w:type="spellEnd"/>
      <w:r w:rsidRPr="001D32B8">
        <w:rPr>
          <w:rFonts w:ascii="Verdana" w:hAnsi="Verdana" w:cs="Times New Roman"/>
          <w:sz w:val="16"/>
          <w:szCs w:val="16"/>
          <w:lang w:val="es-MX"/>
        </w:rPr>
        <w:t xml:space="preserve">/V/II. Doc. 20, 931 diciembre 2017, pp. 45 a 84. </w:t>
      </w:r>
    </w:p>
    <w:p w14:paraId="7CEFF515" w14:textId="77777777" w:rsidR="007451F5" w:rsidRPr="001D32B8" w:rsidRDefault="007451F5" w:rsidP="00B900D4">
      <w:pPr>
        <w:jc w:val="both"/>
        <w:rPr>
          <w:rFonts w:ascii="Verdana" w:eastAsia="Times New Roman" w:hAnsi="Verdana" w:cs="Tahoma"/>
          <w:color w:val="333333"/>
          <w:sz w:val="16"/>
          <w:szCs w:val="16"/>
          <w:shd w:val="clear" w:color="auto" w:fill="FFFFFF"/>
          <w:lang w:val="es-MX"/>
        </w:rPr>
      </w:pPr>
    </w:p>
  </w:footnote>
  <w:footnote w:id="81">
    <w:p w14:paraId="0F90C002" w14:textId="10EEB73E" w:rsidR="007451F5" w:rsidRPr="001D32B8" w:rsidRDefault="007451F5" w:rsidP="00B3460A">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209.</w:t>
      </w:r>
    </w:p>
    <w:p w14:paraId="3F22CFF0" w14:textId="77777777" w:rsidR="007451F5" w:rsidRPr="001D32B8" w:rsidRDefault="007451F5" w:rsidP="00B3460A">
      <w:pPr>
        <w:jc w:val="both"/>
        <w:rPr>
          <w:rFonts w:ascii="Verdana" w:eastAsia="Times New Roman" w:hAnsi="Verdana" w:cs="Tahoma"/>
          <w:color w:val="333333"/>
          <w:sz w:val="16"/>
          <w:szCs w:val="16"/>
          <w:shd w:val="clear" w:color="auto" w:fill="FFFFFF"/>
          <w:lang w:val="es-MX"/>
        </w:rPr>
      </w:pPr>
    </w:p>
  </w:footnote>
  <w:footnote w:id="82">
    <w:p w14:paraId="1C9A27A8" w14:textId="77777777" w:rsidR="007451F5" w:rsidRPr="001D32B8" w:rsidRDefault="007451F5" w:rsidP="00B900D4">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192. </w:t>
      </w:r>
    </w:p>
    <w:p w14:paraId="60F029C7" w14:textId="77777777" w:rsidR="007451F5" w:rsidRPr="001D32B8" w:rsidRDefault="007451F5" w:rsidP="00B900D4">
      <w:pPr>
        <w:pStyle w:val="FootnoteText"/>
        <w:jc w:val="both"/>
        <w:rPr>
          <w:rFonts w:ascii="Verdana" w:hAnsi="Verdana"/>
          <w:sz w:val="16"/>
          <w:szCs w:val="16"/>
        </w:rPr>
      </w:pPr>
    </w:p>
  </w:footnote>
  <w:footnote w:id="83">
    <w:p w14:paraId="377FB06C" w14:textId="0BCF9142" w:rsidR="007451F5" w:rsidRPr="001D32B8" w:rsidRDefault="007451F5" w:rsidP="0072215B">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221. </w:t>
      </w:r>
    </w:p>
    <w:p w14:paraId="389FF9D3" w14:textId="77777777" w:rsidR="007451F5" w:rsidRPr="001D32B8" w:rsidRDefault="007451F5" w:rsidP="0072215B">
      <w:pPr>
        <w:pStyle w:val="FootnoteText"/>
        <w:jc w:val="both"/>
        <w:rPr>
          <w:rFonts w:ascii="Verdana" w:hAnsi="Verdana"/>
          <w:sz w:val="16"/>
          <w:szCs w:val="16"/>
        </w:rPr>
      </w:pPr>
    </w:p>
  </w:footnote>
  <w:footnote w:id="84">
    <w:p w14:paraId="78DD3964" w14:textId="77777777" w:rsidR="007451F5" w:rsidRPr="001D32B8" w:rsidRDefault="007451F5" w:rsidP="00B94758">
      <w:pPr>
        <w:pStyle w:val="FootnoteText"/>
        <w:jc w:val="both"/>
        <w:rPr>
          <w:rFonts w:ascii="Verdana" w:hAnsi="Verdana"/>
          <w:sz w:val="16"/>
          <w:szCs w:val="16"/>
          <w:u w:val="single"/>
        </w:rPr>
      </w:pPr>
      <w:r w:rsidRPr="001D32B8">
        <w:rPr>
          <w:rStyle w:val="FootnoteReference"/>
          <w:rFonts w:ascii="Verdana" w:hAnsi="Verdana"/>
          <w:sz w:val="16"/>
          <w:szCs w:val="16"/>
        </w:rPr>
        <w:footnoteRef/>
      </w:r>
      <w:r w:rsidRPr="001D32B8">
        <w:rPr>
          <w:rFonts w:ascii="Verdana" w:hAnsi="Verdana"/>
          <w:sz w:val="16"/>
        </w:rPr>
        <w:t xml:space="preserve"> </w:t>
      </w:r>
      <w:r w:rsidRPr="001D32B8">
        <w:rPr>
          <w:rFonts w:ascii="Verdana" w:hAnsi="Verdana"/>
          <w:sz w:val="16"/>
          <w:szCs w:val="16"/>
        </w:rPr>
        <w:tab/>
        <w:t xml:space="preserve">En este sentido, en la Sentencia se constató lo siguiente: “145. </w:t>
      </w:r>
      <w:r w:rsidRPr="001D32B8">
        <w:rPr>
          <w:rFonts w:ascii="Verdana" w:eastAsia="Calibri" w:hAnsi="Verdana"/>
          <w:sz w:val="16"/>
          <w:szCs w:val="16"/>
        </w:rPr>
        <w:t>La Corte considera que, en ese contexto</w:t>
      </w:r>
      <w:r w:rsidRPr="001D32B8">
        <w:rPr>
          <w:rFonts w:ascii="Verdana" w:hAnsi="Verdana"/>
          <w:sz w:val="16"/>
          <w:szCs w:val="16"/>
        </w:rPr>
        <w:t xml:space="preserve"> y por la alta investidura de quienes los pronunciaron y su reiteración</w:t>
      </w:r>
      <w:r w:rsidRPr="001D32B8">
        <w:rPr>
          <w:rFonts w:ascii="Verdana" w:eastAsia="Calibri" w:hAnsi="Verdana"/>
          <w:sz w:val="16"/>
          <w:szCs w:val="16"/>
        </w:rPr>
        <w:t>,</w:t>
      </w:r>
      <w:r w:rsidRPr="001D32B8">
        <w:rPr>
          <w:rFonts w:ascii="Verdana" w:hAnsi="Verdana"/>
          <w:sz w:val="16"/>
          <w:szCs w:val="16"/>
        </w:rPr>
        <w:t xml:space="preserve"> dichos pronunciamientos de altos funcionarios públicos dirigidas a desincentivar la participación política no contribuyeron a impedir, e incluso pudieron propiciar o exacerbar, situaciones de hostilidad e intolerancia hacia la disidencia política, lo cual es incompatible con la obligación estatal de garantizar el derecho de participación política. </w:t>
      </w:r>
      <w:r w:rsidRPr="001D32B8">
        <w:rPr>
          <w:rFonts w:ascii="Verdana" w:eastAsia="Calibri" w:hAnsi="Verdana"/>
          <w:sz w:val="16"/>
          <w:szCs w:val="16"/>
          <w:u w:val="single"/>
        </w:rPr>
        <w:t xml:space="preserve">En este sentido, otras declaraciones de funcionarios </w:t>
      </w:r>
      <w:r w:rsidRPr="001D32B8">
        <w:rPr>
          <w:rFonts w:ascii="Verdana" w:hAnsi="Verdana"/>
          <w:sz w:val="16"/>
          <w:szCs w:val="16"/>
          <w:u w:val="single"/>
        </w:rPr>
        <w:t>que indicaban que “nadie puede ser perseguido” o una retractación del Ministro de Salud […], no contribuyeron a impedir los efectos intimidatorios, de incertidumbre y de polarización que pudieron generar las demás manifestaciones en ese contexto”. [Énfasis añadido]</w:t>
      </w:r>
      <w:r w:rsidRPr="001D32B8">
        <w:rPr>
          <w:rFonts w:ascii="Verdana" w:hAnsi="Verdana" w:cs="Verdana"/>
          <w:i/>
          <w:sz w:val="16"/>
          <w:szCs w:val="16"/>
          <w:lang w:val="es-ES"/>
        </w:rPr>
        <w:t xml:space="preserve"> 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145 y 64. </w:t>
      </w:r>
    </w:p>
    <w:p w14:paraId="59EFA025" w14:textId="77777777" w:rsidR="007451F5" w:rsidRPr="001D32B8" w:rsidRDefault="007451F5" w:rsidP="00B94758">
      <w:pPr>
        <w:pStyle w:val="FootnoteText"/>
        <w:jc w:val="both"/>
        <w:rPr>
          <w:rFonts w:ascii="Verdana" w:hAnsi="Verdan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B53"/>
    <w:multiLevelType w:val="hybridMultilevel"/>
    <w:tmpl w:val="F3549630"/>
    <w:lvl w:ilvl="0" w:tplc="D27ED4C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B20744"/>
    <w:multiLevelType w:val="hybridMultilevel"/>
    <w:tmpl w:val="41E20D4C"/>
    <w:lvl w:ilvl="0" w:tplc="0C0A000F">
      <w:start w:val="4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56073"/>
    <w:multiLevelType w:val="hybridMultilevel"/>
    <w:tmpl w:val="E25A1AF6"/>
    <w:lvl w:ilvl="0" w:tplc="2056FA4C">
      <w:start w:val="6"/>
      <w:numFmt w:val="decimal"/>
      <w:lvlText w:val="%1"/>
      <w:lvlJc w:val="left"/>
      <w:pPr>
        <w:ind w:left="720"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50B76"/>
    <w:multiLevelType w:val="multilevel"/>
    <w:tmpl w:val="F9F02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0022AF"/>
    <w:multiLevelType w:val="hybridMultilevel"/>
    <w:tmpl w:val="3FAC22E0"/>
    <w:lvl w:ilvl="0" w:tplc="B22E0C32">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F6623E9"/>
    <w:multiLevelType w:val="hybridMultilevel"/>
    <w:tmpl w:val="CB82DFD2"/>
    <w:lvl w:ilvl="0" w:tplc="0C0A000F">
      <w:start w:val="6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D84848"/>
    <w:multiLevelType w:val="hybridMultilevel"/>
    <w:tmpl w:val="0C1E2CD4"/>
    <w:lvl w:ilvl="0" w:tplc="57945EAA">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39291692"/>
    <w:multiLevelType w:val="hybridMultilevel"/>
    <w:tmpl w:val="13306962"/>
    <w:lvl w:ilvl="0" w:tplc="9BC66CFA">
      <w:start w:val="192"/>
      <w:numFmt w:val="decimal"/>
      <w:lvlText w:val="%1."/>
      <w:lvlJc w:val="left"/>
      <w:pPr>
        <w:ind w:left="820" w:hanging="4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9D03AA"/>
    <w:multiLevelType w:val="hybridMultilevel"/>
    <w:tmpl w:val="A4D28258"/>
    <w:lvl w:ilvl="0" w:tplc="8294F2E4">
      <w:start w:val="210"/>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F22EBB"/>
    <w:multiLevelType w:val="hybridMultilevel"/>
    <w:tmpl w:val="C20E44AE"/>
    <w:lvl w:ilvl="0" w:tplc="8F38D8C0">
      <w:start w:val="195"/>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A16168"/>
    <w:multiLevelType w:val="hybridMultilevel"/>
    <w:tmpl w:val="EE4EE62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18FCCB44">
      <w:start w:val="1"/>
      <w:numFmt w:val="lowerLetter"/>
      <w:lvlText w:val="%3."/>
      <w:lvlJc w:val="left"/>
      <w:pPr>
        <w:ind w:left="2651" w:hanging="180"/>
      </w:pPr>
      <w:rPr>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5BBF0368"/>
    <w:multiLevelType w:val="hybridMultilevel"/>
    <w:tmpl w:val="235027DC"/>
    <w:lvl w:ilvl="0" w:tplc="92986990">
      <w:start w:val="5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3">
    <w:nsid w:val="61C05083"/>
    <w:multiLevelType w:val="hybridMultilevel"/>
    <w:tmpl w:val="9162E12C"/>
    <w:lvl w:ilvl="0" w:tplc="DA68706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10D4F29"/>
    <w:multiLevelType w:val="hybridMultilevel"/>
    <w:tmpl w:val="AAE484F8"/>
    <w:lvl w:ilvl="0" w:tplc="5498C22C">
      <w:start w:val="115"/>
      <w:numFmt w:val="decimal"/>
      <w:lvlText w:val="%1."/>
      <w:lvlJc w:val="left"/>
      <w:pPr>
        <w:ind w:left="820" w:hanging="4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1"/>
  </w:num>
  <w:num w:numId="5">
    <w:abstractNumId w:val="8"/>
  </w:num>
  <w:num w:numId="6">
    <w:abstractNumId w:val="4"/>
  </w:num>
  <w:num w:numId="7">
    <w:abstractNumId w:val="6"/>
  </w:num>
  <w:num w:numId="8">
    <w:abstractNumId w:val="5"/>
  </w:num>
  <w:num w:numId="9">
    <w:abstractNumId w:val="1"/>
  </w:num>
  <w:num w:numId="10">
    <w:abstractNumId w:val="7"/>
  </w:num>
  <w:num w:numId="11">
    <w:abstractNumId w:val="9"/>
  </w:num>
  <w:num w:numId="12">
    <w:abstractNumId w:val="10"/>
  </w:num>
  <w:num w:numId="13">
    <w:abstractNumId w:val="14"/>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F"/>
    <w:rsid w:val="00006703"/>
    <w:rsid w:val="00027AED"/>
    <w:rsid w:val="0003428E"/>
    <w:rsid w:val="00035751"/>
    <w:rsid w:val="000374FC"/>
    <w:rsid w:val="000410E2"/>
    <w:rsid w:val="000716BD"/>
    <w:rsid w:val="000732D2"/>
    <w:rsid w:val="00091D50"/>
    <w:rsid w:val="000A12C5"/>
    <w:rsid w:val="000B31B3"/>
    <w:rsid w:val="000B43C7"/>
    <w:rsid w:val="000B6F39"/>
    <w:rsid w:val="000C189A"/>
    <w:rsid w:val="000C1FAC"/>
    <w:rsid w:val="000D7CB2"/>
    <w:rsid w:val="000E603A"/>
    <w:rsid w:val="000E7C4F"/>
    <w:rsid w:val="000F228D"/>
    <w:rsid w:val="000F7E8B"/>
    <w:rsid w:val="00105028"/>
    <w:rsid w:val="0013769B"/>
    <w:rsid w:val="00145A29"/>
    <w:rsid w:val="00145D2D"/>
    <w:rsid w:val="001624E9"/>
    <w:rsid w:val="001707D8"/>
    <w:rsid w:val="001809DA"/>
    <w:rsid w:val="001938EB"/>
    <w:rsid w:val="001B0865"/>
    <w:rsid w:val="001D1A8E"/>
    <w:rsid w:val="001D32B8"/>
    <w:rsid w:val="001D522A"/>
    <w:rsid w:val="001D5D28"/>
    <w:rsid w:val="001E2021"/>
    <w:rsid w:val="00203E7F"/>
    <w:rsid w:val="00212944"/>
    <w:rsid w:val="00215796"/>
    <w:rsid w:val="00225B99"/>
    <w:rsid w:val="002473F1"/>
    <w:rsid w:val="00260B08"/>
    <w:rsid w:val="002747B7"/>
    <w:rsid w:val="00276747"/>
    <w:rsid w:val="002845BC"/>
    <w:rsid w:val="00293141"/>
    <w:rsid w:val="002A07ED"/>
    <w:rsid w:val="002A7F5B"/>
    <w:rsid w:val="002E1EF8"/>
    <w:rsid w:val="002F0B94"/>
    <w:rsid w:val="0030147D"/>
    <w:rsid w:val="00306A81"/>
    <w:rsid w:val="0031082F"/>
    <w:rsid w:val="00327A5A"/>
    <w:rsid w:val="00334AD3"/>
    <w:rsid w:val="0033558B"/>
    <w:rsid w:val="00337699"/>
    <w:rsid w:val="00354FB2"/>
    <w:rsid w:val="0036381D"/>
    <w:rsid w:val="00363ABD"/>
    <w:rsid w:val="00364029"/>
    <w:rsid w:val="0036654B"/>
    <w:rsid w:val="00372078"/>
    <w:rsid w:val="00381A51"/>
    <w:rsid w:val="00387CEA"/>
    <w:rsid w:val="0039248D"/>
    <w:rsid w:val="00395DFC"/>
    <w:rsid w:val="00396A9B"/>
    <w:rsid w:val="003A41AB"/>
    <w:rsid w:val="003A4786"/>
    <w:rsid w:val="003B5B16"/>
    <w:rsid w:val="003B7A2B"/>
    <w:rsid w:val="003D1746"/>
    <w:rsid w:val="003D38AB"/>
    <w:rsid w:val="003D6B67"/>
    <w:rsid w:val="00401338"/>
    <w:rsid w:val="00401914"/>
    <w:rsid w:val="00402F6D"/>
    <w:rsid w:val="00415094"/>
    <w:rsid w:val="00435AD0"/>
    <w:rsid w:val="00440A59"/>
    <w:rsid w:val="004569B6"/>
    <w:rsid w:val="00457E95"/>
    <w:rsid w:val="00457EB2"/>
    <w:rsid w:val="004612ED"/>
    <w:rsid w:val="00467985"/>
    <w:rsid w:val="0047111A"/>
    <w:rsid w:val="00471120"/>
    <w:rsid w:val="004819BC"/>
    <w:rsid w:val="00481B6D"/>
    <w:rsid w:val="00484365"/>
    <w:rsid w:val="00495A18"/>
    <w:rsid w:val="004A3D52"/>
    <w:rsid w:val="004B7790"/>
    <w:rsid w:val="004C5255"/>
    <w:rsid w:val="004C594F"/>
    <w:rsid w:val="004C5B8C"/>
    <w:rsid w:val="004D1D7E"/>
    <w:rsid w:val="004D47B8"/>
    <w:rsid w:val="004E73F3"/>
    <w:rsid w:val="004F5DE9"/>
    <w:rsid w:val="00516371"/>
    <w:rsid w:val="0051687A"/>
    <w:rsid w:val="00520678"/>
    <w:rsid w:val="00522B87"/>
    <w:rsid w:val="005270BB"/>
    <w:rsid w:val="00534609"/>
    <w:rsid w:val="005401FD"/>
    <w:rsid w:val="00547F43"/>
    <w:rsid w:val="00564249"/>
    <w:rsid w:val="005661A7"/>
    <w:rsid w:val="00567436"/>
    <w:rsid w:val="005715A6"/>
    <w:rsid w:val="00581857"/>
    <w:rsid w:val="00584785"/>
    <w:rsid w:val="00586447"/>
    <w:rsid w:val="00591F43"/>
    <w:rsid w:val="00592841"/>
    <w:rsid w:val="005B42B0"/>
    <w:rsid w:val="005D2BE7"/>
    <w:rsid w:val="005E1578"/>
    <w:rsid w:val="005E1DEB"/>
    <w:rsid w:val="005E3836"/>
    <w:rsid w:val="005E7FB7"/>
    <w:rsid w:val="006030E4"/>
    <w:rsid w:val="0060491F"/>
    <w:rsid w:val="0062020C"/>
    <w:rsid w:val="00632A20"/>
    <w:rsid w:val="0064534E"/>
    <w:rsid w:val="006513F1"/>
    <w:rsid w:val="00663A23"/>
    <w:rsid w:val="006642DA"/>
    <w:rsid w:val="00665BBD"/>
    <w:rsid w:val="00690A57"/>
    <w:rsid w:val="00692F8B"/>
    <w:rsid w:val="006D15C3"/>
    <w:rsid w:val="006D17A2"/>
    <w:rsid w:val="006D2DE2"/>
    <w:rsid w:val="006E0052"/>
    <w:rsid w:val="006E153E"/>
    <w:rsid w:val="006E3203"/>
    <w:rsid w:val="006F062E"/>
    <w:rsid w:val="007070F7"/>
    <w:rsid w:val="00707519"/>
    <w:rsid w:val="007152F1"/>
    <w:rsid w:val="0072133D"/>
    <w:rsid w:val="0072215B"/>
    <w:rsid w:val="00724730"/>
    <w:rsid w:val="00732E8F"/>
    <w:rsid w:val="007363A3"/>
    <w:rsid w:val="00736ED6"/>
    <w:rsid w:val="00742B02"/>
    <w:rsid w:val="0074390C"/>
    <w:rsid w:val="00744F15"/>
    <w:rsid w:val="007451F5"/>
    <w:rsid w:val="007520B0"/>
    <w:rsid w:val="0075652D"/>
    <w:rsid w:val="00767E32"/>
    <w:rsid w:val="00771218"/>
    <w:rsid w:val="00772F6C"/>
    <w:rsid w:val="00776CDA"/>
    <w:rsid w:val="007A2BF7"/>
    <w:rsid w:val="007B432E"/>
    <w:rsid w:val="007D4C10"/>
    <w:rsid w:val="007E5A30"/>
    <w:rsid w:val="007F13FA"/>
    <w:rsid w:val="0080023C"/>
    <w:rsid w:val="008006CD"/>
    <w:rsid w:val="00801F4F"/>
    <w:rsid w:val="008055CE"/>
    <w:rsid w:val="00805FA2"/>
    <w:rsid w:val="008060BF"/>
    <w:rsid w:val="00807824"/>
    <w:rsid w:val="00835065"/>
    <w:rsid w:val="008400E7"/>
    <w:rsid w:val="008661DA"/>
    <w:rsid w:val="008A3C97"/>
    <w:rsid w:val="008A3D8B"/>
    <w:rsid w:val="008B7867"/>
    <w:rsid w:val="008D1FE9"/>
    <w:rsid w:val="008D5A69"/>
    <w:rsid w:val="008E1DB9"/>
    <w:rsid w:val="008E5462"/>
    <w:rsid w:val="008F23EE"/>
    <w:rsid w:val="00901E78"/>
    <w:rsid w:val="009123F7"/>
    <w:rsid w:val="00915971"/>
    <w:rsid w:val="00920D1A"/>
    <w:rsid w:val="00921FE4"/>
    <w:rsid w:val="00931148"/>
    <w:rsid w:val="00940866"/>
    <w:rsid w:val="00962976"/>
    <w:rsid w:val="00963AB5"/>
    <w:rsid w:val="0098682A"/>
    <w:rsid w:val="00992F75"/>
    <w:rsid w:val="009A2FF9"/>
    <w:rsid w:val="009A3817"/>
    <w:rsid w:val="009B4069"/>
    <w:rsid w:val="009C482F"/>
    <w:rsid w:val="009E31D7"/>
    <w:rsid w:val="009E75D3"/>
    <w:rsid w:val="00A00ADA"/>
    <w:rsid w:val="00A20298"/>
    <w:rsid w:val="00A253F5"/>
    <w:rsid w:val="00A31AEB"/>
    <w:rsid w:val="00A35DFD"/>
    <w:rsid w:val="00A3719F"/>
    <w:rsid w:val="00A47903"/>
    <w:rsid w:val="00A502B1"/>
    <w:rsid w:val="00A503F9"/>
    <w:rsid w:val="00A5451A"/>
    <w:rsid w:val="00A72630"/>
    <w:rsid w:val="00A75A10"/>
    <w:rsid w:val="00AB361D"/>
    <w:rsid w:val="00AD4CEE"/>
    <w:rsid w:val="00AF0EF9"/>
    <w:rsid w:val="00B02B7F"/>
    <w:rsid w:val="00B106FF"/>
    <w:rsid w:val="00B1080A"/>
    <w:rsid w:val="00B1356C"/>
    <w:rsid w:val="00B15DEF"/>
    <w:rsid w:val="00B205F9"/>
    <w:rsid w:val="00B3460A"/>
    <w:rsid w:val="00B37673"/>
    <w:rsid w:val="00B472C0"/>
    <w:rsid w:val="00B66279"/>
    <w:rsid w:val="00B75E72"/>
    <w:rsid w:val="00B83A01"/>
    <w:rsid w:val="00B84245"/>
    <w:rsid w:val="00B845DA"/>
    <w:rsid w:val="00B859B5"/>
    <w:rsid w:val="00B900D4"/>
    <w:rsid w:val="00B94758"/>
    <w:rsid w:val="00B97227"/>
    <w:rsid w:val="00BA2617"/>
    <w:rsid w:val="00BA523B"/>
    <w:rsid w:val="00BC1C82"/>
    <w:rsid w:val="00BC5C5F"/>
    <w:rsid w:val="00BC6DD6"/>
    <w:rsid w:val="00BD30E2"/>
    <w:rsid w:val="00BD6E4C"/>
    <w:rsid w:val="00BE068E"/>
    <w:rsid w:val="00BE542D"/>
    <w:rsid w:val="00C03F6A"/>
    <w:rsid w:val="00C0746B"/>
    <w:rsid w:val="00C133CF"/>
    <w:rsid w:val="00C20AAC"/>
    <w:rsid w:val="00C234DD"/>
    <w:rsid w:val="00C347EA"/>
    <w:rsid w:val="00C4376C"/>
    <w:rsid w:val="00C439DC"/>
    <w:rsid w:val="00C46001"/>
    <w:rsid w:val="00C63000"/>
    <w:rsid w:val="00C63835"/>
    <w:rsid w:val="00C64176"/>
    <w:rsid w:val="00C72256"/>
    <w:rsid w:val="00C72955"/>
    <w:rsid w:val="00C763B1"/>
    <w:rsid w:val="00C77E3F"/>
    <w:rsid w:val="00C86283"/>
    <w:rsid w:val="00C932A0"/>
    <w:rsid w:val="00C934EF"/>
    <w:rsid w:val="00C97639"/>
    <w:rsid w:val="00CA05B5"/>
    <w:rsid w:val="00CA293C"/>
    <w:rsid w:val="00CB2FEB"/>
    <w:rsid w:val="00CC1688"/>
    <w:rsid w:val="00CD75B3"/>
    <w:rsid w:val="00CF2FD9"/>
    <w:rsid w:val="00D02CF1"/>
    <w:rsid w:val="00D03C17"/>
    <w:rsid w:val="00D12979"/>
    <w:rsid w:val="00D26703"/>
    <w:rsid w:val="00D36214"/>
    <w:rsid w:val="00D43BBE"/>
    <w:rsid w:val="00D5589C"/>
    <w:rsid w:val="00D56100"/>
    <w:rsid w:val="00D63A76"/>
    <w:rsid w:val="00D67DDE"/>
    <w:rsid w:val="00D80745"/>
    <w:rsid w:val="00DA3962"/>
    <w:rsid w:val="00DC0B7D"/>
    <w:rsid w:val="00DC660B"/>
    <w:rsid w:val="00DD1AE5"/>
    <w:rsid w:val="00DD37C5"/>
    <w:rsid w:val="00DE0974"/>
    <w:rsid w:val="00DE68C2"/>
    <w:rsid w:val="00DE7D43"/>
    <w:rsid w:val="00DF2F1A"/>
    <w:rsid w:val="00DF3B61"/>
    <w:rsid w:val="00E22F0B"/>
    <w:rsid w:val="00E32CF1"/>
    <w:rsid w:val="00E36477"/>
    <w:rsid w:val="00E42BDA"/>
    <w:rsid w:val="00E57F6F"/>
    <w:rsid w:val="00E85244"/>
    <w:rsid w:val="00E8568B"/>
    <w:rsid w:val="00E9105A"/>
    <w:rsid w:val="00E92A00"/>
    <w:rsid w:val="00EA6ED8"/>
    <w:rsid w:val="00EB1A26"/>
    <w:rsid w:val="00EB53B3"/>
    <w:rsid w:val="00EB5F8B"/>
    <w:rsid w:val="00EC0A0C"/>
    <w:rsid w:val="00ED671E"/>
    <w:rsid w:val="00EE0CE1"/>
    <w:rsid w:val="00EE125A"/>
    <w:rsid w:val="00EF1606"/>
    <w:rsid w:val="00EF3A0D"/>
    <w:rsid w:val="00F02A28"/>
    <w:rsid w:val="00F06F67"/>
    <w:rsid w:val="00F11DC3"/>
    <w:rsid w:val="00F12BAB"/>
    <w:rsid w:val="00F17A45"/>
    <w:rsid w:val="00F234DA"/>
    <w:rsid w:val="00F26008"/>
    <w:rsid w:val="00F30E20"/>
    <w:rsid w:val="00F31B19"/>
    <w:rsid w:val="00F47DD6"/>
    <w:rsid w:val="00F50052"/>
    <w:rsid w:val="00F520F9"/>
    <w:rsid w:val="00F60B5E"/>
    <w:rsid w:val="00F720A6"/>
    <w:rsid w:val="00F73020"/>
    <w:rsid w:val="00F87C1F"/>
    <w:rsid w:val="00F900E6"/>
    <w:rsid w:val="00F92952"/>
    <w:rsid w:val="00FA034D"/>
    <w:rsid w:val="00FB5C75"/>
    <w:rsid w:val="00FB5E1B"/>
    <w:rsid w:val="00FB6B7B"/>
    <w:rsid w:val="00FD036D"/>
    <w:rsid w:val="00FD3A68"/>
    <w:rsid w:val="00FD4C1B"/>
    <w:rsid w:val="00FE361F"/>
    <w:rsid w:val="00FE46C1"/>
    <w:rsid w:val="00FE7DD7"/>
    <w:rsid w:val="00FF3A40"/>
    <w:rsid w:val="00FF46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3E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Párrafo de lista1,List Paragraph1,Colorful List - Accent 11"/>
    <w:basedOn w:val="Normal"/>
    <w:link w:val="ListParagraphChar"/>
    <w:uiPriority w:val="99"/>
    <w:qFormat/>
    <w:rsid w:val="00FE361F"/>
    <w:pPr>
      <w:ind w:left="720"/>
      <w:contextualSpacing/>
    </w:p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FA Fu?notente,ft"/>
    <w:basedOn w:val="Normal"/>
    <w:link w:val="FootnoteTextChar"/>
    <w:uiPriority w:val="99"/>
    <w:unhideWhenUsed/>
    <w:qFormat/>
    <w:rsid w:val="005715A6"/>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qFormat/>
    <w:rsid w:val="005715A6"/>
    <w:rPr>
      <w:lang w:val="es-ES_tradnl"/>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5715A6"/>
    <w:rPr>
      <w:vertAlign w:val="superscript"/>
    </w:rPr>
  </w:style>
  <w:style w:type="paragraph" w:styleId="NormalWeb">
    <w:name w:val="Normal (Web)"/>
    <w:aliases w:val="Normal (Web) Char1,Normal (Web) Char Char,Normal (Web) Char1 Char,Normal (Web) Char Char Char"/>
    <w:basedOn w:val="Normal"/>
    <w:uiPriority w:val="99"/>
    <w:unhideWhenUsed/>
    <w:rsid w:val="001E2021"/>
    <w:pPr>
      <w:spacing w:before="100" w:beforeAutospacing="1" w:after="100" w:afterAutospacing="1"/>
    </w:pPr>
    <w:rPr>
      <w:rFonts w:ascii="Times" w:hAnsi="Times" w:cs="Times New Roman"/>
      <w:sz w:val="20"/>
      <w:szCs w:val="20"/>
      <w:lang w:val="es-MX"/>
    </w:rPr>
  </w:style>
  <w:style w:type="paragraph" w:styleId="EndnoteText">
    <w:name w:val="endnote text"/>
    <w:basedOn w:val="Normal"/>
    <w:link w:val="EndnoteTextChar"/>
    <w:uiPriority w:val="99"/>
    <w:unhideWhenUsed/>
    <w:rsid w:val="00212944"/>
  </w:style>
  <w:style w:type="character" w:customStyle="1" w:styleId="EndnoteTextChar">
    <w:name w:val="Endnote Text Char"/>
    <w:basedOn w:val="DefaultParagraphFont"/>
    <w:link w:val="EndnoteText"/>
    <w:uiPriority w:val="99"/>
    <w:rsid w:val="00212944"/>
    <w:rPr>
      <w:lang w:val="es-ES_tradnl"/>
    </w:rPr>
  </w:style>
  <w:style w:type="character" w:styleId="EndnoteReference">
    <w:name w:val="endnote reference"/>
    <w:basedOn w:val="DefaultParagraphFont"/>
    <w:uiPriority w:val="99"/>
    <w:unhideWhenUsed/>
    <w:rsid w:val="00212944"/>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64534E"/>
    <w:rPr>
      <w:rFonts w:ascii="Univers" w:eastAsia="Times New Roman" w:hAnsi="Univers" w:cs="Times New Roman"/>
      <w:sz w:val="20"/>
      <w:szCs w:val="20"/>
      <w:lang w:val="es-CO"/>
    </w:rPr>
  </w:style>
  <w:style w:type="character" w:styleId="Hyperlink">
    <w:name w:val="Hyperlink"/>
    <w:uiPriority w:val="99"/>
    <w:rsid w:val="0064534E"/>
    <w:rPr>
      <w:color w:val="4659C4"/>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4534E"/>
    <w:pPr>
      <w:jc w:val="both"/>
    </w:pPr>
    <w:rPr>
      <w:vertAlign w:val="superscript"/>
      <w:lang w:val="es-MX"/>
    </w:rPr>
  </w:style>
  <w:style w:type="character" w:customStyle="1" w:styleId="ListParagraphChar">
    <w:name w:val="List Paragraph Char"/>
    <w:aliases w:val="List Paragraph2 Char,Párrafo de lista1 Char,List Paragraph1 Char,Colorful List - Accent 11 Char"/>
    <w:link w:val="ListParagraph"/>
    <w:uiPriority w:val="99"/>
    <w:locked/>
    <w:rsid w:val="0064534E"/>
    <w:rPr>
      <w:lang w:val="es-ES_tradnl"/>
    </w:rPr>
  </w:style>
  <w:style w:type="character" w:styleId="Strong">
    <w:name w:val="Strong"/>
    <w:uiPriority w:val="22"/>
    <w:qFormat/>
    <w:rsid w:val="0030147D"/>
    <w:rPr>
      <w:b/>
      <w:bCs/>
    </w:rPr>
  </w:style>
  <w:style w:type="character" w:customStyle="1" w:styleId="apple-converted-space">
    <w:name w:val="apple-converted-space"/>
    <w:basedOn w:val="DefaultParagraphFont"/>
    <w:rsid w:val="00440A59"/>
  </w:style>
  <w:style w:type="paragraph" w:styleId="Footer">
    <w:name w:val="footer"/>
    <w:basedOn w:val="Normal"/>
    <w:link w:val="FooterChar"/>
    <w:uiPriority w:val="99"/>
    <w:unhideWhenUsed/>
    <w:rsid w:val="00B1356C"/>
    <w:pPr>
      <w:tabs>
        <w:tab w:val="center" w:pos="4252"/>
        <w:tab w:val="right" w:pos="8504"/>
      </w:tabs>
    </w:pPr>
  </w:style>
  <w:style w:type="character" w:customStyle="1" w:styleId="FooterChar">
    <w:name w:val="Footer Char"/>
    <w:basedOn w:val="DefaultParagraphFont"/>
    <w:link w:val="Footer"/>
    <w:uiPriority w:val="99"/>
    <w:rsid w:val="00B1356C"/>
    <w:rPr>
      <w:lang w:val="es-ES_tradnl"/>
    </w:rPr>
  </w:style>
  <w:style w:type="character" w:styleId="PageNumber">
    <w:name w:val="page number"/>
    <w:basedOn w:val="DefaultParagraphFont"/>
    <w:uiPriority w:val="99"/>
    <w:semiHidden/>
    <w:unhideWhenUsed/>
    <w:rsid w:val="00B1356C"/>
  </w:style>
  <w:style w:type="paragraph" w:styleId="Title">
    <w:name w:val="Title"/>
    <w:basedOn w:val="Normal"/>
    <w:link w:val="TitleChar"/>
    <w:qFormat/>
    <w:rsid w:val="006D2DE2"/>
    <w:pPr>
      <w:jc w:val="center"/>
    </w:pPr>
    <w:rPr>
      <w:rFonts w:ascii="Verdana" w:eastAsia="Times New Roman" w:hAnsi="Verdana" w:cs="Times New Roman"/>
      <w:b/>
      <w:noProof/>
      <w:sz w:val="20"/>
      <w:szCs w:val="20"/>
      <w:lang w:eastAsia="en-US"/>
    </w:rPr>
  </w:style>
  <w:style w:type="character" w:customStyle="1" w:styleId="TitleChar">
    <w:name w:val="Title Char"/>
    <w:basedOn w:val="DefaultParagraphFont"/>
    <w:link w:val="Title"/>
    <w:rsid w:val="006D2DE2"/>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6D2DE2"/>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6D2DE2"/>
    <w:rPr>
      <w:color w:val="5A5A5A" w:themeColor="text1" w:themeTint="A5"/>
      <w:spacing w:val="15"/>
      <w:sz w:val="22"/>
      <w:szCs w:val="22"/>
      <w:lang w:val="es-ES_tradnl"/>
    </w:rPr>
  </w:style>
  <w:style w:type="character" w:customStyle="1" w:styleId="SubtitleChar">
    <w:name w:val="Subtitle Char"/>
    <w:basedOn w:val="DefaultParagraphFont"/>
    <w:link w:val="Subtitle"/>
    <w:uiPriority w:val="11"/>
    <w:rsid w:val="006D2DE2"/>
    <w:rPr>
      <w:rFonts w:ascii="Verdana" w:eastAsia="Times New Roman" w:hAnsi="Verdana" w:cs="Times New Roman"/>
      <w:b/>
      <w:i/>
      <w:iCs/>
      <w:noProof/>
      <w:spacing w:val="15"/>
      <w:sz w:val="20"/>
      <w:lang w:val="es-ES_tradnl" w:eastAsia="en-US"/>
    </w:rPr>
  </w:style>
  <w:style w:type="paragraph" w:styleId="BalloonText">
    <w:name w:val="Balloon Text"/>
    <w:basedOn w:val="Normal"/>
    <w:link w:val="BalloonTextChar"/>
    <w:uiPriority w:val="99"/>
    <w:semiHidden/>
    <w:unhideWhenUsed/>
    <w:rsid w:val="00E42BDA"/>
    <w:rPr>
      <w:rFonts w:ascii="Tahoma" w:hAnsi="Tahoma" w:cs="Tahoma"/>
      <w:sz w:val="16"/>
      <w:szCs w:val="16"/>
    </w:rPr>
  </w:style>
  <w:style w:type="character" w:customStyle="1" w:styleId="BalloonTextChar">
    <w:name w:val="Balloon Text Char"/>
    <w:basedOn w:val="DefaultParagraphFont"/>
    <w:link w:val="BalloonText"/>
    <w:uiPriority w:val="99"/>
    <w:semiHidden/>
    <w:rsid w:val="00E42BDA"/>
    <w:rPr>
      <w:rFonts w:ascii="Tahoma" w:hAnsi="Tahoma" w:cs="Tahoma"/>
      <w:sz w:val="16"/>
      <w:szCs w:val="16"/>
      <w:lang w:val="es-ES_tradnl"/>
    </w:rPr>
  </w:style>
  <w:style w:type="character" w:styleId="FollowedHyperlink">
    <w:name w:val="FollowedHyperlink"/>
    <w:basedOn w:val="DefaultParagraphFont"/>
    <w:uiPriority w:val="99"/>
    <w:semiHidden/>
    <w:unhideWhenUsed/>
    <w:rsid w:val="006D17A2"/>
    <w:rPr>
      <w:color w:val="800080" w:themeColor="followedHyperlink"/>
      <w:u w:val="single"/>
    </w:rPr>
  </w:style>
  <w:style w:type="character" w:styleId="CommentReference">
    <w:name w:val="annotation reference"/>
    <w:basedOn w:val="DefaultParagraphFont"/>
    <w:uiPriority w:val="99"/>
    <w:semiHidden/>
    <w:unhideWhenUsed/>
    <w:rsid w:val="00225B99"/>
    <w:rPr>
      <w:sz w:val="16"/>
      <w:szCs w:val="16"/>
    </w:rPr>
  </w:style>
  <w:style w:type="paragraph" w:styleId="CommentText">
    <w:name w:val="annotation text"/>
    <w:basedOn w:val="Normal"/>
    <w:link w:val="CommentTextChar"/>
    <w:uiPriority w:val="99"/>
    <w:semiHidden/>
    <w:unhideWhenUsed/>
    <w:rsid w:val="00225B99"/>
    <w:rPr>
      <w:sz w:val="20"/>
      <w:szCs w:val="20"/>
    </w:rPr>
  </w:style>
  <w:style w:type="character" w:customStyle="1" w:styleId="CommentTextChar">
    <w:name w:val="Comment Text Char"/>
    <w:basedOn w:val="DefaultParagraphFont"/>
    <w:link w:val="CommentText"/>
    <w:uiPriority w:val="99"/>
    <w:semiHidden/>
    <w:rsid w:val="00225B99"/>
    <w:rPr>
      <w:sz w:val="20"/>
      <w:szCs w:val="20"/>
      <w:lang w:val="es-ES_tradnl"/>
    </w:rPr>
  </w:style>
  <w:style w:type="paragraph" w:styleId="CommentSubject">
    <w:name w:val="annotation subject"/>
    <w:basedOn w:val="CommentText"/>
    <w:next w:val="CommentText"/>
    <w:link w:val="CommentSubjectChar"/>
    <w:uiPriority w:val="99"/>
    <w:semiHidden/>
    <w:unhideWhenUsed/>
    <w:rsid w:val="00225B99"/>
    <w:rPr>
      <w:b/>
      <w:bCs/>
    </w:rPr>
  </w:style>
  <w:style w:type="character" w:customStyle="1" w:styleId="CommentSubjectChar">
    <w:name w:val="Comment Subject Char"/>
    <w:basedOn w:val="CommentTextChar"/>
    <w:link w:val="CommentSubject"/>
    <w:uiPriority w:val="99"/>
    <w:semiHidden/>
    <w:rsid w:val="00225B99"/>
    <w:rPr>
      <w:b/>
      <w:bCs/>
      <w:sz w:val="20"/>
      <w:szCs w:val="20"/>
      <w:lang w:val="es-ES_tradnl"/>
    </w:rPr>
  </w:style>
  <w:style w:type="paragraph" w:styleId="Header">
    <w:name w:val="header"/>
    <w:basedOn w:val="Normal"/>
    <w:link w:val="HeaderChar"/>
    <w:uiPriority w:val="99"/>
    <w:unhideWhenUsed/>
    <w:rsid w:val="002747B7"/>
    <w:pPr>
      <w:tabs>
        <w:tab w:val="center" w:pos="4680"/>
        <w:tab w:val="right" w:pos="9360"/>
      </w:tabs>
    </w:pPr>
  </w:style>
  <w:style w:type="character" w:customStyle="1" w:styleId="HeaderChar">
    <w:name w:val="Header Char"/>
    <w:basedOn w:val="DefaultParagraphFont"/>
    <w:link w:val="Header"/>
    <w:uiPriority w:val="99"/>
    <w:rsid w:val="002747B7"/>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Párrafo de lista1,List Paragraph1,Colorful List - Accent 11"/>
    <w:basedOn w:val="Normal"/>
    <w:link w:val="ListParagraphChar"/>
    <w:uiPriority w:val="99"/>
    <w:qFormat/>
    <w:rsid w:val="00FE361F"/>
    <w:pPr>
      <w:ind w:left="720"/>
      <w:contextualSpacing/>
    </w:p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FA Fu?notente,ft"/>
    <w:basedOn w:val="Normal"/>
    <w:link w:val="FootnoteTextChar"/>
    <w:uiPriority w:val="99"/>
    <w:unhideWhenUsed/>
    <w:qFormat/>
    <w:rsid w:val="005715A6"/>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qFormat/>
    <w:rsid w:val="005715A6"/>
    <w:rPr>
      <w:lang w:val="es-ES_tradnl"/>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5715A6"/>
    <w:rPr>
      <w:vertAlign w:val="superscript"/>
    </w:rPr>
  </w:style>
  <w:style w:type="paragraph" w:styleId="NormalWeb">
    <w:name w:val="Normal (Web)"/>
    <w:aliases w:val="Normal (Web) Char1,Normal (Web) Char Char,Normal (Web) Char1 Char,Normal (Web) Char Char Char"/>
    <w:basedOn w:val="Normal"/>
    <w:uiPriority w:val="99"/>
    <w:unhideWhenUsed/>
    <w:rsid w:val="001E2021"/>
    <w:pPr>
      <w:spacing w:before="100" w:beforeAutospacing="1" w:after="100" w:afterAutospacing="1"/>
    </w:pPr>
    <w:rPr>
      <w:rFonts w:ascii="Times" w:hAnsi="Times" w:cs="Times New Roman"/>
      <w:sz w:val="20"/>
      <w:szCs w:val="20"/>
      <w:lang w:val="es-MX"/>
    </w:rPr>
  </w:style>
  <w:style w:type="paragraph" w:styleId="EndnoteText">
    <w:name w:val="endnote text"/>
    <w:basedOn w:val="Normal"/>
    <w:link w:val="EndnoteTextChar"/>
    <w:uiPriority w:val="99"/>
    <w:unhideWhenUsed/>
    <w:rsid w:val="00212944"/>
  </w:style>
  <w:style w:type="character" w:customStyle="1" w:styleId="EndnoteTextChar">
    <w:name w:val="Endnote Text Char"/>
    <w:basedOn w:val="DefaultParagraphFont"/>
    <w:link w:val="EndnoteText"/>
    <w:uiPriority w:val="99"/>
    <w:rsid w:val="00212944"/>
    <w:rPr>
      <w:lang w:val="es-ES_tradnl"/>
    </w:rPr>
  </w:style>
  <w:style w:type="character" w:styleId="EndnoteReference">
    <w:name w:val="endnote reference"/>
    <w:basedOn w:val="DefaultParagraphFont"/>
    <w:uiPriority w:val="99"/>
    <w:unhideWhenUsed/>
    <w:rsid w:val="00212944"/>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64534E"/>
    <w:rPr>
      <w:rFonts w:ascii="Univers" w:eastAsia="Times New Roman" w:hAnsi="Univers" w:cs="Times New Roman"/>
      <w:sz w:val="20"/>
      <w:szCs w:val="20"/>
      <w:lang w:val="es-CO"/>
    </w:rPr>
  </w:style>
  <w:style w:type="character" w:styleId="Hyperlink">
    <w:name w:val="Hyperlink"/>
    <w:uiPriority w:val="99"/>
    <w:rsid w:val="0064534E"/>
    <w:rPr>
      <w:color w:val="4659C4"/>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4534E"/>
    <w:pPr>
      <w:jc w:val="both"/>
    </w:pPr>
    <w:rPr>
      <w:vertAlign w:val="superscript"/>
      <w:lang w:val="es-MX"/>
    </w:rPr>
  </w:style>
  <w:style w:type="character" w:customStyle="1" w:styleId="ListParagraphChar">
    <w:name w:val="List Paragraph Char"/>
    <w:aliases w:val="List Paragraph2 Char,Párrafo de lista1 Char,List Paragraph1 Char,Colorful List - Accent 11 Char"/>
    <w:link w:val="ListParagraph"/>
    <w:uiPriority w:val="99"/>
    <w:locked/>
    <w:rsid w:val="0064534E"/>
    <w:rPr>
      <w:lang w:val="es-ES_tradnl"/>
    </w:rPr>
  </w:style>
  <w:style w:type="character" w:styleId="Strong">
    <w:name w:val="Strong"/>
    <w:uiPriority w:val="22"/>
    <w:qFormat/>
    <w:rsid w:val="0030147D"/>
    <w:rPr>
      <w:b/>
      <w:bCs/>
    </w:rPr>
  </w:style>
  <w:style w:type="character" w:customStyle="1" w:styleId="apple-converted-space">
    <w:name w:val="apple-converted-space"/>
    <w:basedOn w:val="DefaultParagraphFont"/>
    <w:rsid w:val="00440A59"/>
  </w:style>
  <w:style w:type="paragraph" w:styleId="Footer">
    <w:name w:val="footer"/>
    <w:basedOn w:val="Normal"/>
    <w:link w:val="FooterChar"/>
    <w:uiPriority w:val="99"/>
    <w:unhideWhenUsed/>
    <w:rsid w:val="00B1356C"/>
    <w:pPr>
      <w:tabs>
        <w:tab w:val="center" w:pos="4252"/>
        <w:tab w:val="right" w:pos="8504"/>
      </w:tabs>
    </w:pPr>
  </w:style>
  <w:style w:type="character" w:customStyle="1" w:styleId="FooterChar">
    <w:name w:val="Footer Char"/>
    <w:basedOn w:val="DefaultParagraphFont"/>
    <w:link w:val="Footer"/>
    <w:uiPriority w:val="99"/>
    <w:rsid w:val="00B1356C"/>
    <w:rPr>
      <w:lang w:val="es-ES_tradnl"/>
    </w:rPr>
  </w:style>
  <w:style w:type="character" w:styleId="PageNumber">
    <w:name w:val="page number"/>
    <w:basedOn w:val="DefaultParagraphFont"/>
    <w:uiPriority w:val="99"/>
    <w:semiHidden/>
    <w:unhideWhenUsed/>
    <w:rsid w:val="00B1356C"/>
  </w:style>
  <w:style w:type="paragraph" w:styleId="Title">
    <w:name w:val="Title"/>
    <w:basedOn w:val="Normal"/>
    <w:link w:val="TitleChar"/>
    <w:qFormat/>
    <w:rsid w:val="006D2DE2"/>
    <w:pPr>
      <w:jc w:val="center"/>
    </w:pPr>
    <w:rPr>
      <w:rFonts w:ascii="Verdana" w:eastAsia="Times New Roman" w:hAnsi="Verdana" w:cs="Times New Roman"/>
      <w:b/>
      <w:noProof/>
      <w:sz w:val="20"/>
      <w:szCs w:val="20"/>
      <w:lang w:eastAsia="en-US"/>
    </w:rPr>
  </w:style>
  <w:style w:type="character" w:customStyle="1" w:styleId="TitleChar">
    <w:name w:val="Title Char"/>
    <w:basedOn w:val="DefaultParagraphFont"/>
    <w:link w:val="Title"/>
    <w:rsid w:val="006D2DE2"/>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6D2DE2"/>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6D2DE2"/>
    <w:rPr>
      <w:color w:val="5A5A5A" w:themeColor="text1" w:themeTint="A5"/>
      <w:spacing w:val="15"/>
      <w:sz w:val="22"/>
      <w:szCs w:val="22"/>
      <w:lang w:val="es-ES_tradnl"/>
    </w:rPr>
  </w:style>
  <w:style w:type="character" w:customStyle="1" w:styleId="SubtitleChar">
    <w:name w:val="Subtitle Char"/>
    <w:basedOn w:val="DefaultParagraphFont"/>
    <w:link w:val="Subtitle"/>
    <w:uiPriority w:val="11"/>
    <w:rsid w:val="006D2DE2"/>
    <w:rPr>
      <w:rFonts w:ascii="Verdana" w:eastAsia="Times New Roman" w:hAnsi="Verdana" w:cs="Times New Roman"/>
      <w:b/>
      <w:i/>
      <w:iCs/>
      <w:noProof/>
      <w:spacing w:val="15"/>
      <w:sz w:val="20"/>
      <w:lang w:val="es-ES_tradnl" w:eastAsia="en-US"/>
    </w:rPr>
  </w:style>
  <w:style w:type="paragraph" w:styleId="BalloonText">
    <w:name w:val="Balloon Text"/>
    <w:basedOn w:val="Normal"/>
    <w:link w:val="BalloonTextChar"/>
    <w:uiPriority w:val="99"/>
    <w:semiHidden/>
    <w:unhideWhenUsed/>
    <w:rsid w:val="00E42BDA"/>
    <w:rPr>
      <w:rFonts w:ascii="Tahoma" w:hAnsi="Tahoma" w:cs="Tahoma"/>
      <w:sz w:val="16"/>
      <w:szCs w:val="16"/>
    </w:rPr>
  </w:style>
  <w:style w:type="character" w:customStyle="1" w:styleId="BalloonTextChar">
    <w:name w:val="Balloon Text Char"/>
    <w:basedOn w:val="DefaultParagraphFont"/>
    <w:link w:val="BalloonText"/>
    <w:uiPriority w:val="99"/>
    <w:semiHidden/>
    <w:rsid w:val="00E42BDA"/>
    <w:rPr>
      <w:rFonts w:ascii="Tahoma" w:hAnsi="Tahoma" w:cs="Tahoma"/>
      <w:sz w:val="16"/>
      <w:szCs w:val="16"/>
      <w:lang w:val="es-ES_tradnl"/>
    </w:rPr>
  </w:style>
  <w:style w:type="character" w:styleId="FollowedHyperlink">
    <w:name w:val="FollowedHyperlink"/>
    <w:basedOn w:val="DefaultParagraphFont"/>
    <w:uiPriority w:val="99"/>
    <w:semiHidden/>
    <w:unhideWhenUsed/>
    <w:rsid w:val="006D17A2"/>
    <w:rPr>
      <w:color w:val="800080" w:themeColor="followedHyperlink"/>
      <w:u w:val="single"/>
    </w:rPr>
  </w:style>
  <w:style w:type="character" w:styleId="CommentReference">
    <w:name w:val="annotation reference"/>
    <w:basedOn w:val="DefaultParagraphFont"/>
    <w:uiPriority w:val="99"/>
    <w:semiHidden/>
    <w:unhideWhenUsed/>
    <w:rsid w:val="00225B99"/>
    <w:rPr>
      <w:sz w:val="16"/>
      <w:szCs w:val="16"/>
    </w:rPr>
  </w:style>
  <w:style w:type="paragraph" w:styleId="CommentText">
    <w:name w:val="annotation text"/>
    <w:basedOn w:val="Normal"/>
    <w:link w:val="CommentTextChar"/>
    <w:uiPriority w:val="99"/>
    <w:semiHidden/>
    <w:unhideWhenUsed/>
    <w:rsid w:val="00225B99"/>
    <w:rPr>
      <w:sz w:val="20"/>
      <w:szCs w:val="20"/>
    </w:rPr>
  </w:style>
  <w:style w:type="character" w:customStyle="1" w:styleId="CommentTextChar">
    <w:name w:val="Comment Text Char"/>
    <w:basedOn w:val="DefaultParagraphFont"/>
    <w:link w:val="CommentText"/>
    <w:uiPriority w:val="99"/>
    <w:semiHidden/>
    <w:rsid w:val="00225B99"/>
    <w:rPr>
      <w:sz w:val="20"/>
      <w:szCs w:val="20"/>
      <w:lang w:val="es-ES_tradnl"/>
    </w:rPr>
  </w:style>
  <w:style w:type="paragraph" w:styleId="CommentSubject">
    <w:name w:val="annotation subject"/>
    <w:basedOn w:val="CommentText"/>
    <w:next w:val="CommentText"/>
    <w:link w:val="CommentSubjectChar"/>
    <w:uiPriority w:val="99"/>
    <w:semiHidden/>
    <w:unhideWhenUsed/>
    <w:rsid w:val="00225B99"/>
    <w:rPr>
      <w:b/>
      <w:bCs/>
    </w:rPr>
  </w:style>
  <w:style w:type="character" w:customStyle="1" w:styleId="CommentSubjectChar">
    <w:name w:val="Comment Subject Char"/>
    <w:basedOn w:val="CommentTextChar"/>
    <w:link w:val="CommentSubject"/>
    <w:uiPriority w:val="99"/>
    <w:semiHidden/>
    <w:rsid w:val="00225B99"/>
    <w:rPr>
      <w:b/>
      <w:bCs/>
      <w:sz w:val="20"/>
      <w:szCs w:val="20"/>
      <w:lang w:val="es-ES_tradnl"/>
    </w:rPr>
  </w:style>
  <w:style w:type="paragraph" w:styleId="Header">
    <w:name w:val="header"/>
    <w:basedOn w:val="Normal"/>
    <w:link w:val="HeaderChar"/>
    <w:uiPriority w:val="99"/>
    <w:unhideWhenUsed/>
    <w:rsid w:val="002747B7"/>
    <w:pPr>
      <w:tabs>
        <w:tab w:val="center" w:pos="4680"/>
        <w:tab w:val="right" w:pos="9360"/>
      </w:tabs>
    </w:pPr>
  </w:style>
  <w:style w:type="character" w:customStyle="1" w:styleId="HeaderChar">
    <w:name w:val="Header Char"/>
    <w:basedOn w:val="DefaultParagraphFont"/>
    <w:link w:val="Header"/>
    <w:uiPriority w:val="99"/>
    <w:rsid w:val="002747B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532">
      <w:bodyDiv w:val="1"/>
      <w:marLeft w:val="0"/>
      <w:marRight w:val="0"/>
      <w:marTop w:val="0"/>
      <w:marBottom w:val="0"/>
      <w:divBdr>
        <w:top w:val="none" w:sz="0" w:space="0" w:color="auto"/>
        <w:left w:val="none" w:sz="0" w:space="0" w:color="auto"/>
        <w:bottom w:val="none" w:sz="0" w:space="0" w:color="auto"/>
        <w:right w:val="none" w:sz="0" w:space="0" w:color="auto"/>
      </w:divBdr>
      <w:divsChild>
        <w:div w:id="512914907">
          <w:marLeft w:val="0"/>
          <w:marRight w:val="0"/>
          <w:marTop w:val="0"/>
          <w:marBottom w:val="0"/>
          <w:divBdr>
            <w:top w:val="none" w:sz="0" w:space="0" w:color="auto"/>
            <w:left w:val="none" w:sz="0" w:space="0" w:color="auto"/>
            <w:bottom w:val="none" w:sz="0" w:space="0" w:color="auto"/>
            <w:right w:val="none" w:sz="0" w:space="0" w:color="auto"/>
          </w:divBdr>
          <w:divsChild>
            <w:div w:id="816797689">
              <w:marLeft w:val="0"/>
              <w:marRight w:val="0"/>
              <w:marTop w:val="0"/>
              <w:marBottom w:val="0"/>
              <w:divBdr>
                <w:top w:val="none" w:sz="0" w:space="0" w:color="auto"/>
                <w:left w:val="none" w:sz="0" w:space="0" w:color="auto"/>
                <w:bottom w:val="none" w:sz="0" w:space="0" w:color="auto"/>
                <w:right w:val="none" w:sz="0" w:space="0" w:color="auto"/>
              </w:divBdr>
              <w:divsChild>
                <w:div w:id="1774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2500">
      <w:bodyDiv w:val="1"/>
      <w:marLeft w:val="0"/>
      <w:marRight w:val="0"/>
      <w:marTop w:val="0"/>
      <w:marBottom w:val="0"/>
      <w:divBdr>
        <w:top w:val="none" w:sz="0" w:space="0" w:color="auto"/>
        <w:left w:val="none" w:sz="0" w:space="0" w:color="auto"/>
        <w:bottom w:val="none" w:sz="0" w:space="0" w:color="auto"/>
        <w:right w:val="none" w:sz="0" w:space="0" w:color="auto"/>
      </w:divBdr>
    </w:div>
    <w:div w:id="238027003">
      <w:bodyDiv w:val="1"/>
      <w:marLeft w:val="0"/>
      <w:marRight w:val="0"/>
      <w:marTop w:val="0"/>
      <w:marBottom w:val="0"/>
      <w:divBdr>
        <w:top w:val="none" w:sz="0" w:space="0" w:color="auto"/>
        <w:left w:val="none" w:sz="0" w:space="0" w:color="auto"/>
        <w:bottom w:val="none" w:sz="0" w:space="0" w:color="auto"/>
        <w:right w:val="none" w:sz="0" w:space="0" w:color="auto"/>
      </w:divBdr>
      <w:divsChild>
        <w:div w:id="382758410">
          <w:marLeft w:val="0"/>
          <w:marRight w:val="0"/>
          <w:marTop w:val="0"/>
          <w:marBottom w:val="0"/>
          <w:divBdr>
            <w:top w:val="none" w:sz="0" w:space="0" w:color="auto"/>
            <w:left w:val="none" w:sz="0" w:space="0" w:color="auto"/>
            <w:bottom w:val="none" w:sz="0" w:space="0" w:color="auto"/>
            <w:right w:val="none" w:sz="0" w:space="0" w:color="auto"/>
          </w:divBdr>
          <w:divsChild>
            <w:div w:id="991830796">
              <w:marLeft w:val="0"/>
              <w:marRight w:val="0"/>
              <w:marTop w:val="0"/>
              <w:marBottom w:val="0"/>
              <w:divBdr>
                <w:top w:val="none" w:sz="0" w:space="0" w:color="auto"/>
                <w:left w:val="none" w:sz="0" w:space="0" w:color="auto"/>
                <w:bottom w:val="none" w:sz="0" w:space="0" w:color="auto"/>
                <w:right w:val="none" w:sz="0" w:space="0" w:color="auto"/>
              </w:divBdr>
              <w:divsChild>
                <w:div w:id="58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4732">
      <w:bodyDiv w:val="1"/>
      <w:marLeft w:val="0"/>
      <w:marRight w:val="0"/>
      <w:marTop w:val="0"/>
      <w:marBottom w:val="0"/>
      <w:divBdr>
        <w:top w:val="none" w:sz="0" w:space="0" w:color="auto"/>
        <w:left w:val="none" w:sz="0" w:space="0" w:color="auto"/>
        <w:bottom w:val="none" w:sz="0" w:space="0" w:color="auto"/>
        <w:right w:val="none" w:sz="0" w:space="0" w:color="auto"/>
      </w:divBdr>
    </w:div>
    <w:div w:id="664088432">
      <w:bodyDiv w:val="1"/>
      <w:marLeft w:val="0"/>
      <w:marRight w:val="0"/>
      <w:marTop w:val="0"/>
      <w:marBottom w:val="0"/>
      <w:divBdr>
        <w:top w:val="none" w:sz="0" w:space="0" w:color="auto"/>
        <w:left w:val="none" w:sz="0" w:space="0" w:color="auto"/>
        <w:bottom w:val="none" w:sz="0" w:space="0" w:color="auto"/>
        <w:right w:val="none" w:sz="0" w:space="0" w:color="auto"/>
      </w:divBdr>
    </w:div>
    <w:div w:id="782114515">
      <w:bodyDiv w:val="1"/>
      <w:marLeft w:val="0"/>
      <w:marRight w:val="0"/>
      <w:marTop w:val="0"/>
      <w:marBottom w:val="0"/>
      <w:divBdr>
        <w:top w:val="none" w:sz="0" w:space="0" w:color="auto"/>
        <w:left w:val="none" w:sz="0" w:space="0" w:color="auto"/>
        <w:bottom w:val="none" w:sz="0" w:space="0" w:color="auto"/>
        <w:right w:val="none" w:sz="0" w:space="0" w:color="auto"/>
      </w:divBdr>
    </w:div>
    <w:div w:id="876232668">
      <w:bodyDiv w:val="1"/>
      <w:marLeft w:val="0"/>
      <w:marRight w:val="0"/>
      <w:marTop w:val="0"/>
      <w:marBottom w:val="0"/>
      <w:divBdr>
        <w:top w:val="none" w:sz="0" w:space="0" w:color="auto"/>
        <w:left w:val="none" w:sz="0" w:space="0" w:color="auto"/>
        <w:bottom w:val="none" w:sz="0" w:space="0" w:color="auto"/>
        <w:right w:val="none" w:sz="0" w:space="0" w:color="auto"/>
      </w:divBdr>
      <w:divsChild>
        <w:div w:id="1622490434">
          <w:marLeft w:val="0"/>
          <w:marRight w:val="0"/>
          <w:marTop w:val="0"/>
          <w:marBottom w:val="0"/>
          <w:divBdr>
            <w:top w:val="none" w:sz="0" w:space="0" w:color="auto"/>
            <w:left w:val="none" w:sz="0" w:space="0" w:color="auto"/>
            <w:bottom w:val="none" w:sz="0" w:space="0" w:color="auto"/>
            <w:right w:val="none" w:sz="0" w:space="0" w:color="auto"/>
          </w:divBdr>
          <w:divsChild>
            <w:div w:id="1925451496">
              <w:marLeft w:val="0"/>
              <w:marRight w:val="0"/>
              <w:marTop w:val="0"/>
              <w:marBottom w:val="0"/>
              <w:divBdr>
                <w:top w:val="none" w:sz="0" w:space="0" w:color="auto"/>
                <w:left w:val="none" w:sz="0" w:space="0" w:color="auto"/>
                <w:bottom w:val="none" w:sz="0" w:space="0" w:color="auto"/>
                <w:right w:val="none" w:sz="0" w:space="0" w:color="auto"/>
              </w:divBdr>
              <w:divsChild>
                <w:div w:id="637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361">
      <w:bodyDiv w:val="1"/>
      <w:marLeft w:val="0"/>
      <w:marRight w:val="0"/>
      <w:marTop w:val="0"/>
      <w:marBottom w:val="0"/>
      <w:divBdr>
        <w:top w:val="none" w:sz="0" w:space="0" w:color="auto"/>
        <w:left w:val="none" w:sz="0" w:space="0" w:color="auto"/>
        <w:bottom w:val="none" w:sz="0" w:space="0" w:color="auto"/>
        <w:right w:val="none" w:sz="0" w:space="0" w:color="auto"/>
      </w:divBdr>
    </w:div>
    <w:div w:id="983774394">
      <w:bodyDiv w:val="1"/>
      <w:marLeft w:val="0"/>
      <w:marRight w:val="0"/>
      <w:marTop w:val="0"/>
      <w:marBottom w:val="0"/>
      <w:divBdr>
        <w:top w:val="none" w:sz="0" w:space="0" w:color="auto"/>
        <w:left w:val="none" w:sz="0" w:space="0" w:color="auto"/>
        <w:bottom w:val="none" w:sz="0" w:space="0" w:color="auto"/>
        <w:right w:val="none" w:sz="0" w:space="0" w:color="auto"/>
      </w:divBdr>
    </w:div>
    <w:div w:id="1105151347">
      <w:bodyDiv w:val="1"/>
      <w:marLeft w:val="0"/>
      <w:marRight w:val="0"/>
      <w:marTop w:val="0"/>
      <w:marBottom w:val="0"/>
      <w:divBdr>
        <w:top w:val="none" w:sz="0" w:space="0" w:color="auto"/>
        <w:left w:val="none" w:sz="0" w:space="0" w:color="auto"/>
        <w:bottom w:val="none" w:sz="0" w:space="0" w:color="auto"/>
        <w:right w:val="none" w:sz="0" w:space="0" w:color="auto"/>
      </w:divBdr>
      <w:divsChild>
        <w:div w:id="52849510">
          <w:marLeft w:val="0"/>
          <w:marRight w:val="0"/>
          <w:marTop w:val="0"/>
          <w:marBottom w:val="0"/>
          <w:divBdr>
            <w:top w:val="none" w:sz="0" w:space="0" w:color="auto"/>
            <w:left w:val="none" w:sz="0" w:space="0" w:color="auto"/>
            <w:bottom w:val="none" w:sz="0" w:space="0" w:color="auto"/>
            <w:right w:val="none" w:sz="0" w:space="0" w:color="auto"/>
          </w:divBdr>
          <w:divsChild>
            <w:div w:id="1959137451">
              <w:marLeft w:val="0"/>
              <w:marRight w:val="0"/>
              <w:marTop w:val="0"/>
              <w:marBottom w:val="0"/>
              <w:divBdr>
                <w:top w:val="none" w:sz="0" w:space="0" w:color="auto"/>
                <w:left w:val="none" w:sz="0" w:space="0" w:color="auto"/>
                <w:bottom w:val="none" w:sz="0" w:space="0" w:color="auto"/>
                <w:right w:val="none" w:sz="0" w:space="0" w:color="auto"/>
              </w:divBdr>
              <w:divsChild>
                <w:div w:id="1860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265">
      <w:bodyDiv w:val="1"/>
      <w:marLeft w:val="0"/>
      <w:marRight w:val="0"/>
      <w:marTop w:val="0"/>
      <w:marBottom w:val="0"/>
      <w:divBdr>
        <w:top w:val="none" w:sz="0" w:space="0" w:color="auto"/>
        <w:left w:val="none" w:sz="0" w:space="0" w:color="auto"/>
        <w:bottom w:val="none" w:sz="0" w:space="0" w:color="auto"/>
        <w:right w:val="none" w:sz="0" w:space="0" w:color="auto"/>
      </w:divBdr>
      <w:divsChild>
        <w:div w:id="312178605">
          <w:marLeft w:val="0"/>
          <w:marRight w:val="0"/>
          <w:marTop w:val="0"/>
          <w:marBottom w:val="0"/>
          <w:divBdr>
            <w:top w:val="none" w:sz="0" w:space="0" w:color="auto"/>
            <w:left w:val="none" w:sz="0" w:space="0" w:color="auto"/>
            <w:bottom w:val="none" w:sz="0" w:space="0" w:color="auto"/>
            <w:right w:val="none" w:sz="0" w:space="0" w:color="auto"/>
          </w:divBdr>
          <w:divsChild>
            <w:div w:id="1603488010">
              <w:marLeft w:val="0"/>
              <w:marRight w:val="0"/>
              <w:marTop w:val="0"/>
              <w:marBottom w:val="0"/>
              <w:divBdr>
                <w:top w:val="none" w:sz="0" w:space="0" w:color="auto"/>
                <w:left w:val="none" w:sz="0" w:space="0" w:color="auto"/>
                <w:bottom w:val="none" w:sz="0" w:space="0" w:color="auto"/>
                <w:right w:val="none" w:sz="0" w:space="0" w:color="auto"/>
              </w:divBdr>
              <w:divsChild>
                <w:div w:id="714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579">
      <w:bodyDiv w:val="1"/>
      <w:marLeft w:val="0"/>
      <w:marRight w:val="0"/>
      <w:marTop w:val="0"/>
      <w:marBottom w:val="0"/>
      <w:divBdr>
        <w:top w:val="none" w:sz="0" w:space="0" w:color="auto"/>
        <w:left w:val="none" w:sz="0" w:space="0" w:color="auto"/>
        <w:bottom w:val="none" w:sz="0" w:space="0" w:color="auto"/>
        <w:right w:val="none" w:sz="0" w:space="0" w:color="auto"/>
      </w:divBdr>
      <w:divsChild>
        <w:div w:id="1607931674">
          <w:marLeft w:val="0"/>
          <w:marRight w:val="0"/>
          <w:marTop w:val="0"/>
          <w:marBottom w:val="0"/>
          <w:divBdr>
            <w:top w:val="none" w:sz="0" w:space="0" w:color="auto"/>
            <w:left w:val="none" w:sz="0" w:space="0" w:color="auto"/>
            <w:bottom w:val="none" w:sz="0" w:space="0" w:color="auto"/>
            <w:right w:val="none" w:sz="0" w:space="0" w:color="auto"/>
          </w:divBdr>
          <w:divsChild>
            <w:div w:id="310254710">
              <w:marLeft w:val="0"/>
              <w:marRight w:val="0"/>
              <w:marTop w:val="0"/>
              <w:marBottom w:val="0"/>
              <w:divBdr>
                <w:top w:val="none" w:sz="0" w:space="0" w:color="auto"/>
                <w:left w:val="none" w:sz="0" w:space="0" w:color="auto"/>
                <w:bottom w:val="none" w:sz="0" w:space="0" w:color="auto"/>
                <w:right w:val="none" w:sz="0" w:space="0" w:color="auto"/>
              </w:divBdr>
              <w:divsChild>
                <w:div w:id="1489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182">
      <w:bodyDiv w:val="1"/>
      <w:marLeft w:val="0"/>
      <w:marRight w:val="0"/>
      <w:marTop w:val="0"/>
      <w:marBottom w:val="0"/>
      <w:divBdr>
        <w:top w:val="none" w:sz="0" w:space="0" w:color="auto"/>
        <w:left w:val="none" w:sz="0" w:space="0" w:color="auto"/>
        <w:bottom w:val="none" w:sz="0" w:space="0" w:color="auto"/>
        <w:right w:val="none" w:sz="0" w:space="0" w:color="auto"/>
      </w:divBdr>
      <w:divsChild>
        <w:div w:id="1275676819">
          <w:marLeft w:val="0"/>
          <w:marRight w:val="0"/>
          <w:marTop w:val="0"/>
          <w:marBottom w:val="0"/>
          <w:divBdr>
            <w:top w:val="none" w:sz="0" w:space="0" w:color="auto"/>
            <w:left w:val="none" w:sz="0" w:space="0" w:color="auto"/>
            <w:bottom w:val="none" w:sz="0" w:space="0" w:color="auto"/>
            <w:right w:val="none" w:sz="0" w:space="0" w:color="auto"/>
          </w:divBdr>
          <w:divsChild>
            <w:div w:id="2096432871">
              <w:marLeft w:val="0"/>
              <w:marRight w:val="0"/>
              <w:marTop w:val="0"/>
              <w:marBottom w:val="0"/>
              <w:divBdr>
                <w:top w:val="none" w:sz="0" w:space="0" w:color="auto"/>
                <w:left w:val="none" w:sz="0" w:space="0" w:color="auto"/>
                <w:bottom w:val="none" w:sz="0" w:space="0" w:color="auto"/>
                <w:right w:val="none" w:sz="0" w:space="0" w:color="auto"/>
              </w:divBdr>
              <w:divsChild>
                <w:div w:id="1507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3092">
      <w:bodyDiv w:val="1"/>
      <w:marLeft w:val="0"/>
      <w:marRight w:val="0"/>
      <w:marTop w:val="0"/>
      <w:marBottom w:val="0"/>
      <w:divBdr>
        <w:top w:val="none" w:sz="0" w:space="0" w:color="auto"/>
        <w:left w:val="none" w:sz="0" w:space="0" w:color="auto"/>
        <w:bottom w:val="none" w:sz="0" w:space="0" w:color="auto"/>
        <w:right w:val="none" w:sz="0" w:space="0" w:color="auto"/>
      </w:divBdr>
    </w:div>
    <w:div w:id="1588809376">
      <w:bodyDiv w:val="1"/>
      <w:marLeft w:val="0"/>
      <w:marRight w:val="0"/>
      <w:marTop w:val="0"/>
      <w:marBottom w:val="0"/>
      <w:divBdr>
        <w:top w:val="none" w:sz="0" w:space="0" w:color="auto"/>
        <w:left w:val="none" w:sz="0" w:space="0" w:color="auto"/>
        <w:bottom w:val="none" w:sz="0" w:space="0" w:color="auto"/>
        <w:right w:val="none" w:sz="0" w:space="0" w:color="auto"/>
      </w:divBdr>
    </w:div>
    <w:div w:id="1822576865">
      <w:bodyDiv w:val="1"/>
      <w:marLeft w:val="0"/>
      <w:marRight w:val="0"/>
      <w:marTop w:val="0"/>
      <w:marBottom w:val="0"/>
      <w:divBdr>
        <w:top w:val="none" w:sz="0" w:space="0" w:color="auto"/>
        <w:left w:val="none" w:sz="0" w:space="0" w:color="auto"/>
        <w:bottom w:val="none" w:sz="0" w:space="0" w:color="auto"/>
        <w:right w:val="none" w:sz="0" w:space="0" w:color="auto"/>
      </w:divBdr>
      <w:divsChild>
        <w:div w:id="1290280351">
          <w:marLeft w:val="0"/>
          <w:marRight w:val="0"/>
          <w:marTop w:val="0"/>
          <w:marBottom w:val="0"/>
          <w:divBdr>
            <w:top w:val="none" w:sz="0" w:space="0" w:color="auto"/>
            <w:left w:val="none" w:sz="0" w:space="0" w:color="auto"/>
            <w:bottom w:val="none" w:sz="0" w:space="0" w:color="auto"/>
            <w:right w:val="none" w:sz="0" w:space="0" w:color="auto"/>
          </w:divBdr>
          <w:divsChild>
            <w:div w:id="296490785">
              <w:marLeft w:val="0"/>
              <w:marRight w:val="0"/>
              <w:marTop w:val="0"/>
              <w:marBottom w:val="0"/>
              <w:divBdr>
                <w:top w:val="none" w:sz="0" w:space="0" w:color="auto"/>
                <w:left w:val="none" w:sz="0" w:space="0" w:color="auto"/>
                <w:bottom w:val="none" w:sz="0" w:space="0" w:color="auto"/>
                <w:right w:val="none" w:sz="0" w:space="0" w:color="auto"/>
              </w:divBdr>
              <w:divsChild>
                <w:div w:id="2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2364">
      <w:bodyDiv w:val="1"/>
      <w:marLeft w:val="0"/>
      <w:marRight w:val="0"/>
      <w:marTop w:val="0"/>
      <w:marBottom w:val="0"/>
      <w:divBdr>
        <w:top w:val="none" w:sz="0" w:space="0" w:color="auto"/>
        <w:left w:val="none" w:sz="0" w:space="0" w:color="auto"/>
        <w:bottom w:val="none" w:sz="0" w:space="0" w:color="auto"/>
        <w:right w:val="none" w:sz="0" w:space="0" w:color="auto"/>
      </w:divBdr>
    </w:div>
    <w:div w:id="2016835402">
      <w:bodyDiv w:val="1"/>
      <w:marLeft w:val="0"/>
      <w:marRight w:val="0"/>
      <w:marTop w:val="0"/>
      <w:marBottom w:val="0"/>
      <w:divBdr>
        <w:top w:val="none" w:sz="0" w:space="0" w:color="auto"/>
        <w:left w:val="none" w:sz="0" w:space="0" w:color="auto"/>
        <w:bottom w:val="none" w:sz="0" w:space="0" w:color="auto"/>
        <w:right w:val="none" w:sz="0" w:space="0" w:color="auto"/>
      </w:divBdr>
    </w:div>
    <w:div w:id="2058385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SP/ProfessionalInterest/Pages/IndependenceJudiciary.aspx" TargetMode="External"/><Relationship Id="rId2" Type="http://schemas.openxmlformats.org/officeDocument/2006/relationships/hyperlink" Target="http://www.bjdh.org.mx/interamericano/busqueda" TargetMode="External"/><Relationship Id="rId1" Type="http://schemas.openxmlformats.org/officeDocument/2006/relationships/hyperlink" Target="https://vimeopro.com/corteidh/caso-san-miguel-sosa-y-otros-vs-venezuela" TargetMode="External"/><Relationship Id="rId4" Type="http://schemas.openxmlformats.org/officeDocument/2006/relationships/hyperlink" Target="https://vimeopro.com/corteidh/caso-san-miguel-sosa-y-otros-vs-venezu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F5E4-D040-452C-A8C4-46FDAD1A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8918</Words>
  <Characters>50834</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2018-05-29T22:51:00Z</cp:lastPrinted>
  <dcterms:created xsi:type="dcterms:W3CDTF">2018-05-30T17:18:00Z</dcterms:created>
  <dcterms:modified xsi:type="dcterms:W3CDTF">2018-05-30T17:18:00Z</dcterms:modified>
</cp:coreProperties>
</file>