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E6D35" w14:textId="3C3F7277" w:rsidR="00E66336" w:rsidRPr="007E1845" w:rsidRDefault="00E66336" w:rsidP="00267F70">
      <w:pPr>
        <w:tabs>
          <w:tab w:val="left" w:pos="1701"/>
          <w:tab w:val="left" w:pos="1843"/>
        </w:tabs>
        <w:autoSpaceDE w:val="0"/>
        <w:autoSpaceDN w:val="0"/>
        <w:adjustRightInd w:val="0"/>
        <w:jc w:val="both"/>
        <w:rPr>
          <w:rFonts w:ascii="Verdana" w:hAnsi="Verdana"/>
          <w:color w:val="000000" w:themeColor="text1"/>
          <w:sz w:val="20"/>
          <w:szCs w:val="20"/>
          <w:lang w:val="es-ES"/>
        </w:rPr>
      </w:pPr>
      <w:bookmarkStart w:id="0" w:name="_GoBack"/>
      <w:bookmarkEnd w:id="0"/>
    </w:p>
    <w:p w14:paraId="7C5007EF" w14:textId="77777777" w:rsidR="00F41D1F" w:rsidRPr="007E1845" w:rsidRDefault="00F41D1F" w:rsidP="00267F70">
      <w:pPr>
        <w:pStyle w:val="Prrafodelista"/>
        <w:tabs>
          <w:tab w:val="left" w:pos="1701"/>
          <w:tab w:val="left" w:pos="1843"/>
        </w:tabs>
        <w:autoSpaceDE w:val="0"/>
        <w:autoSpaceDN w:val="0"/>
        <w:adjustRightInd w:val="0"/>
        <w:spacing w:after="0" w:line="240" w:lineRule="auto"/>
        <w:ind w:left="0"/>
        <w:rPr>
          <w:rFonts w:ascii="Verdana" w:hAnsi="Verdana"/>
          <w:b/>
          <w:bCs/>
          <w:color w:val="000000" w:themeColor="text1"/>
          <w:sz w:val="20"/>
          <w:szCs w:val="20"/>
          <w:lang w:val="es-ES"/>
        </w:rPr>
      </w:pPr>
    </w:p>
    <w:p w14:paraId="63C50026" w14:textId="77777777" w:rsidR="00F41D1F" w:rsidRPr="007E1845" w:rsidRDefault="00F41D1F" w:rsidP="00267F70">
      <w:pPr>
        <w:jc w:val="center"/>
        <w:rPr>
          <w:rFonts w:ascii="Verdana" w:hAnsi="Verdana"/>
          <w:b/>
          <w:sz w:val="20"/>
          <w:szCs w:val="20"/>
        </w:rPr>
      </w:pPr>
      <w:r w:rsidRPr="007E1845">
        <w:rPr>
          <w:rFonts w:ascii="Verdana" w:hAnsi="Verdana"/>
          <w:b/>
          <w:sz w:val="20"/>
          <w:szCs w:val="20"/>
        </w:rPr>
        <w:t>VOTO RAZONADO DEL</w:t>
      </w:r>
    </w:p>
    <w:p w14:paraId="17A39516" w14:textId="77777777" w:rsidR="00F41D1F" w:rsidRPr="007E1845" w:rsidRDefault="00F41D1F" w:rsidP="00267F70">
      <w:pPr>
        <w:jc w:val="center"/>
        <w:rPr>
          <w:rFonts w:ascii="Verdana" w:hAnsi="Verdana"/>
          <w:b/>
          <w:sz w:val="20"/>
          <w:szCs w:val="20"/>
          <w:lang w:val="pt-BR"/>
        </w:rPr>
      </w:pPr>
      <w:r w:rsidRPr="007E1845">
        <w:rPr>
          <w:rFonts w:ascii="Verdana" w:hAnsi="Verdana"/>
          <w:b/>
          <w:sz w:val="20"/>
          <w:szCs w:val="20"/>
          <w:lang w:val="pt-BR"/>
        </w:rPr>
        <w:t>JUEZ EDUARDO FERRER MAC-GREGOR POISOT</w:t>
      </w:r>
    </w:p>
    <w:p w14:paraId="1DD4C17C" w14:textId="77777777" w:rsidR="00C1470C" w:rsidRPr="007E1845" w:rsidRDefault="00C1470C" w:rsidP="00267F70">
      <w:pPr>
        <w:rPr>
          <w:rFonts w:ascii="Verdana" w:hAnsi="Verdana"/>
          <w:b/>
          <w:bCs/>
          <w:color w:val="000000" w:themeColor="text1"/>
          <w:sz w:val="20"/>
          <w:szCs w:val="20"/>
          <w:lang w:val="es-ES"/>
        </w:rPr>
      </w:pPr>
    </w:p>
    <w:p w14:paraId="5F6A5B3C" w14:textId="6209BDA6" w:rsidR="00F41D1F" w:rsidRPr="007E1845" w:rsidRDefault="00F41D1F" w:rsidP="00267F70">
      <w:pPr>
        <w:pStyle w:val="Prrafodelista"/>
        <w:tabs>
          <w:tab w:val="left" w:pos="1843"/>
        </w:tabs>
        <w:autoSpaceDE w:val="0"/>
        <w:autoSpaceDN w:val="0"/>
        <w:adjustRightInd w:val="0"/>
        <w:spacing w:after="0" w:line="240" w:lineRule="auto"/>
        <w:ind w:left="0"/>
        <w:jc w:val="center"/>
        <w:rPr>
          <w:rFonts w:ascii="Verdana" w:eastAsia="MS Mincho" w:hAnsi="Verdana"/>
          <w:b/>
          <w:i/>
          <w:iCs/>
          <w:sz w:val="20"/>
          <w:szCs w:val="20"/>
          <w:u w:val="single"/>
          <w:lang w:val="es-CR" w:eastAsia="es-CR"/>
        </w:rPr>
      </w:pPr>
      <w:r w:rsidRPr="007E1845">
        <w:rPr>
          <w:rFonts w:ascii="Verdana" w:hAnsi="Verdana"/>
          <w:b/>
          <w:bCs/>
          <w:i/>
          <w:iCs/>
          <w:color w:val="000000" w:themeColor="text1"/>
          <w:sz w:val="20"/>
          <w:szCs w:val="20"/>
          <w:u w:val="single"/>
          <w:lang w:val="es-ES"/>
        </w:rPr>
        <w:t xml:space="preserve">CASO </w:t>
      </w:r>
      <w:r w:rsidRPr="007E1845">
        <w:rPr>
          <w:rFonts w:ascii="Verdana" w:eastAsia="MS Mincho" w:hAnsi="Verdana"/>
          <w:b/>
          <w:i/>
          <w:iCs/>
          <w:sz w:val="20"/>
          <w:szCs w:val="20"/>
          <w:u w:val="single"/>
          <w:lang w:val="es-CR" w:eastAsia="es-CR"/>
        </w:rPr>
        <w:t>COMUN</w:t>
      </w:r>
      <w:r w:rsidR="006F62A1" w:rsidRPr="007E1845">
        <w:rPr>
          <w:rFonts w:ascii="Verdana" w:eastAsia="MS Mincho" w:hAnsi="Verdana"/>
          <w:b/>
          <w:i/>
          <w:iCs/>
          <w:sz w:val="20"/>
          <w:szCs w:val="20"/>
          <w:u w:val="single"/>
          <w:lang w:val="es-CR" w:eastAsia="es-CR"/>
        </w:rPr>
        <w:t xml:space="preserve">IDADES INDÍGENAS MIEMBROS DE LA </w:t>
      </w:r>
      <w:r w:rsidRPr="007E1845">
        <w:rPr>
          <w:rFonts w:ascii="Verdana" w:eastAsia="MS Mincho" w:hAnsi="Verdana"/>
          <w:b/>
          <w:i/>
          <w:iCs/>
          <w:sz w:val="20"/>
          <w:szCs w:val="20"/>
          <w:u w:val="single"/>
          <w:lang w:val="es-CR" w:eastAsia="es-CR"/>
        </w:rPr>
        <w:t>ASOCIACIÓN LHAKA HONHAT (NUESTRA TIERRA) VS. ARGENTINA</w:t>
      </w:r>
    </w:p>
    <w:p w14:paraId="633636C0" w14:textId="77777777" w:rsidR="00F41D1F" w:rsidRPr="007E1845" w:rsidRDefault="00F41D1F" w:rsidP="00267F70">
      <w:pPr>
        <w:jc w:val="center"/>
        <w:rPr>
          <w:rFonts w:ascii="Verdana" w:hAnsi="Verdana"/>
          <w:b/>
          <w:i/>
          <w:sz w:val="18"/>
          <w:szCs w:val="18"/>
        </w:rPr>
      </w:pPr>
    </w:p>
    <w:p w14:paraId="31DF3F77" w14:textId="626B9093" w:rsidR="00F41D1F" w:rsidRPr="007E1845" w:rsidRDefault="00692113" w:rsidP="00267F70">
      <w:pPr>
        <w:jc w:val="center"/>
        <w:rPr>
          <w:rFonts w:ascii="Verdana" w:hAnsi="Verdana"/>
          <w:b/>
          <w:i/>
          <w:sz w:val="18"/>
          <w:szCs w:val="18"/>
        </w:rPr>
      </w:pPr>
      <w:r>
        <w:rPr>
          <w:rFonts w:ascii="Verdana" w:hAnsi="Verdana"/>
          <w:b/>
          <w:i/>
          <w:sz w:val="18"/>
          <w:szCs w:val="18"/>
        </w:rPr>
        <w:t>SENTENCIA DE 6</w:t>
      </w:r>
      <w:r w:rsidR="00F41D1F" w:rsidRPr="007E1845">
        <w:rPr>
          <w:rFonts w:ascii="Verdana" w:hAnsi="Verdana"/>
          <w:b/>
          <w:i/>
          <w:sz w:val="18"/>
          <w:szCs w:val="18"/>
        </w:rPr>
        <w:t xml:space="preserve"> DE </w:t>
      </w:r>
      <w:r>
        <w:rPr>
          <w:rFonts w:ascii="Verdana" w:hAnsi="Verdana"/>
          <w:b/>
          <w:i/>
          <w:sz w:val="18"/>
          <w:szCs w:val="18"/>
        </w:rPr>
        <w:t>FEBRERO DE 2020</w:t>
      </w:r>
    </w:p>
    <w:p w14:paraId="5C92784B" w14:textId="4DC60E53" w:rsidR="00F41D1F" w:rsidRPr="007E1845" w:rsidRDefault="00F41D1F" w:rsidP="00267F70">
      <w:pPr>
        <w:jc w:val="center"/>
        <w:rPr>
          <w:rFonts w:ascii="Verdana" w:hAnsi="Verdana"/>
          <w:b/>
          <w:i/>
          <w:sz w:val="18"/>
          <w:szCs w:val="18"/>
        </w:rPr>
      </w:pPr>
      <w:r w:rsidRPr="007E1845">
        <w:rPr>
          <w:rFonts w:ascii="Verdana" w:hAnsi="Verdana"/>
          <w:b/>
          <w:i/>
          <w:sz w:val="18"/>
          <w:szCs w:val="18"/>
        </w:rPr>
        <w:t>(Fondo, Reparaciones y Costas)</w:t>
      </w:r>
    </w:p>
    <w:p w14:paraId="6F419D0A" w14:textId="2833C1C9" w:rsidR="004221EC" w:rsidRPr="007E1845" w:rsidRDefault="004221EC" w:rsidP="00267F70">
      <w:pPr>
        <w:pStyle w:val="Prrafodelista"/>
        <w:tabs>
          <w:tab w:val="left" w:pos="1701"/>
          <w:tab w:val="left" w:pos="1843"/>
        </w:tabs>
        <w:autoSpaceDE w:val="0"/>
        <w:autoSpaceDN w:val="0"/>
        <w:adjustRightInd w:val="0"/>
        <w:spacing w:after="0" w:line="240" w:lineRule="auto"/>
        <w:ind w:left="851"/>
        <w:jc w:val="center"/>
        <w:rPr>
          <w:rFonts w:ascii="Verdana" w:hAnsi="Verdana"/>
          <w:b/>
          <w:bCs/>
          <w:color w:val="000000" w:themeColor="text1"/>
          <w:sz w:val="20"/>
          <w:szCs w:val="20"/>
          <w:lang w:val="es-ES"/>
        </w:rPr>
      </w:pPr>
    </w:p>
    <w:p w14:paraId="266A1B01" w14:textId="40E30086" w:rsidR="00C169D4" w:rsidRPr="007E1845" w:rsidRDefault="00C169D4" w:rsidP="00267F70">
      <w:pPr>
        <w:jc w:val="center"/>
        <w:rPr>
          <w:rFonts w:ascii="Verdana" w:hAnsi="Verdana"/>
          <w:b/>
          <w:bCs/>
          <w:color w:val="000000" w:themeColor="text1"/>
          <w:sz w:val="20"/>
          <w:szCs w:val="20"/>
          <w:lang w:val="es-ES"/>
        </w:rPr>
      </w:pPr>
    </w:p>
    <w:p w14:paraId="78466F69" w14:textId="3EC20D2A" w:rsidR="000647BE" w:rsidRPr="00340041" w:rsidRDefault="00C169D4" w:rsidP="00796E26">
      <w:pPr>
        <w:tabs>
          <w:tab w:val="left" w:pos="1134"/>
          <w:tab w:val="left" w:pos="1701"/>
          <w:tab w:val="left" w:pos="2977"/>
          <w:tab w:val="left" w:pos="3402"/>
          <w:tab w:val="left" w:pos="3969"/>
        </w:tabs>
        <w:autoSpaceDE w:val="0"/>
        <w:autoSpaceDN w:val="0"/>
        <w:adjustRightInd w:val="0"/>
        <w:jc w:val="center"/>
        <w:rPr>
          <w:rFonts w:ascii="Verdana" w:hAnsi="Verdana"/>
          <w:b/>
          <w:color w:val="000000" w:themeColor="text1"/>
          <w:sz w:val="20"/>
          <w:szCs w:val="20"/>
          <w:lang w:val="es-ES"/>
        </w:rPr>
      </w:pPr>
      <w:r w:rsidRPr="00340041">
        <w:rPr>
          <w:rFonts w:ascii="Verdana" w:hAnsi="Verdana"/>
          <w:b/>
          <w:color w:val="000000" w:themeColor="text1"/>
          <w:sz w:val="20"/>
          <w:szCs w:val="20"/>
          <w:lang w:val="es-ES"/>
        </w:rPr>
        <w:t>INTRODUCCIÓN</w:t>
      </w:r>
    </w:p>
    <w:p w14:paraId="77C125F0" w14:textId="77777777" w:rsidR="000647BE" w:rsidRPr="007E1845" w:rsidRDefault="000647BE" w:rsidP="00267F70">
      <w:pPr>
        <w:pStyle w:val="Prrafodelista"/>
        <w:tabs>
          <w:tab w:val="left" w:pos="1701"/>
          <w:tab w:val="left" w:pos="1843"/>
        </w:tabs>
        <w:autoSpaceDE w:val="0"/>
        <w:autoSpaceDN w:val="0"/>
        <w:adjustRightInd w:val="0"/>
        <w:spacing w:after="0" w:line="240" w:lineRule="auto"/>
        <w:ind w:left="851"/>
        <w:jc w:val="center"/>
        <w:rPr>
          <w:rFonts w:ascii="Verdana" w:hAnsi="Verdana"/>
          <w:b/>
          <w:bCs/>
          <w:color w:val="000000" w:themeColor="text1"/>
          <w:sz w:val="20"/>
          <w:szCs w:val="20"/>
          <w:lang w:val="es-ES"/>
        </w:rPr>
      </w:pPr>
    </w:p>
    <w:p w14:paraId="1CF96405" w14:textId="0C4D14EC" w:rsidR="00A326B5" w:rsidRPr="007E1845" w:rsidRDefault="000647BE" w:rsidP="00267F70">
      <w:pPr>
        <w:pStyle w:val="Prrafodelista"/>
        <w:numPr>
          <w:ilvl w:val="0"/>
          <w:numId w:val="16"/>
        </w:numPr>
        <w:spacing w:after="0" w:line="240" w:lineRule="auto"/>
        <w:ind w:left="0" w:firstLine="0"/>
        <w:contextualSpacing w:val="0"/>
        <w:jc w:val="both"/>
        <w:rPr>
          <w:rFonts w:ascii="Verdana" w:hAnsi="Verdana"/>
          <w:bCs/>
          <w:sz w:val="20"/>
          <w:szCs w:val="20"/>
        </w:rPr>
      </w:pPr>
      <w:r w:rsidRPr="007E1845">
        <w:rPr>
          <w:rFonts w:ascii="Verdana" w:hAnsi="Verdana"/>
          <w:bCs/>
          <w:sz w:val="20"/>
          <w:szCs w:val="20"/>
        </w:rPr>
        <w:t xml:space="preserve">Han pasado </w:t>
      </w:r>
      <w:r w:rsidR="006C2C57" w:rsidRPr="007E1845">
        <w:rPr>
          <w:rFonts w:ascii="Verdana" w:hAnsi="Verdana"/>
          <w:bCs/>
          <w:sz w:val="20"/>
          <w:szCs w:val="20"/>
        </w:rPr>
        <w:t xml:space="preserve">casi veinte años </w:t>
      </w:r>
      <w:r w:rsidRPr="007E1845">
        <w:rPr>
          <w:rFonts w:ascii="Verdana" w:hAnsi="Verdana"/>
          <w:bCs/>
          <w:sz w:val="20"/>
          <w:szCs w:val="20"/>
        </w:rPr>
        <w:t>desde que la Corte Interamericana</w:t>
      </w:r>
      <w:r w:rsidR="001730F2" w:rsidRPr="007E1845">
        <w:rPr>
          <w:rFonts w:ascii="Verdana" w:hAnsi="Verdana"/>
          <w:bCs/>
          <w:sz w:val="20"/>
          <w:szCs w:val="20"/>
        </w:rPr>
        <w:t xml:space="preserve"> de Derechos Humanos </w:t>
      </w:r>
      <w:r w:rsidR="001730F2" w:rsidRPr="007E1845">
        <w:rPr>
          <w:rFonts w:ascii="Verdana" w:hAnsi="Verdana"/>
          <w:sz w:val="20"/>
          <w:szCs w:val="20"/>
        </w:rPr>
        <w:t>(en adelante “Corte IDH” o “Tribunal Interamericano”)</w:t>
      </w:r>
      <w:r w:rsidR="001730F2" w:rsidRPr="007E1845">
        <w:rPr>
          <w:rFonts w:ascii="Verdana" w:hAnsi="Verdana"/>
          <w:bCs/>
          <w:sz w:val="20"/>
          <w:szCs w:val="20"/>
        </w:rPr>
        <w:t xml:space="preserve"> </w:t>
      </w:r>
      <w:r w:rsidRPr="007E1845">
        <w:rPr>
          <w:rFonts w:ascii="Verdana" w:hAnsi="Verdana"/>
          <w:bCs/>
          <w:sz w:val="20"/>
          <w:szCs w:val="20"/>
        </w:rPr>
        <w:t>decidió el primer caso en donde abordó la propiedad colectiva indígena e hizo</w:t>
      </w:r>
      <w:r w:rsidR="00797FC1" w:rsidRPr="007E1845">
        <w:rPr>
          <w:rFonts w:ascii="Verdana" w:hAnsi="Verdana"/>
          <w:bCs/>
          <w:sz w:val="20"/>
          <w:szCs w:val="20"/>
        </w:rPr>
        <w:t xml:space="preserve"> alusión</w:t>
      </w:r>
      <w:r w:rsidR="009364D3" w:rsidRPr="007E1845">
        <w:rPr>
          <w:rFonts w:ascii="Verdana" w:hAnsi="Verdana"/>
          <w:bCs/>
          <w:sz w:val="20"/>
          <w:szCs w:val="20"/>
        </w:rPr>
        <w:t xml:space="preserve"> a la </w:t>
      </w:r>
      <w:r w:rsidR="007239C3" w:rsidRPr="007E1845">
        <w:rPr>
          <w:rFonts w:ascii="Verdana" w:hAnsi="Verdana"/>
          <w:bCs/>
          <w:sz w:val="20"/>
          <w:szCs w:val="20"/>
        </w:rPr>
        <w:t>relación</w:t>
      </w:r>
      <w:r w:rsidRPr="007E1845">
        <w:rPr>
          <w:rFonts w:ascii="Verdana" w:hAnsi="Verdana"/>
          <w:bCs/>
          <w:sz w:val="20"/>
          <w:szCs w:val="20"/>
        </w:rPr>
        <w:t xml:space="preserve"> especial que los pueblos </w:t>
      </w:r>
      <w:r w:rsidR="006C2C57" w:rsidRPr="007E1845">
        <w:rPr>
          <w:rFonts w:ascii="Verdana" w:hAnsi="Verdana"/>
          <w:bCs/>
          <w:sz w:val="20"/>
          <w:szCs w:val="20"/>
        </w:rPr>
        <w:t xml:space="preserve">y comunidades </w:t>
      </w:r>
      <w:r w:rsidRPr="007E1845">
        <w:rPr>
          <w:rFonts w:ascii="Verdana" w:hAnsi="Verdana"/>
          <w:bCs/>
          <w:sz w:val="20"/>
          <w:szCs w:val="20"/>
        </w:rPr>
        <w:t>indígenas</w:t>
      </w:r>
      <w:r w:rsidR="00106C24" w:rsidRPr="007E1845">
        <w:rPr>
          <w:rFonts w:ascii="Verdana" w:hAnsi="Verdana"/>
          <w:bCs/>
          <w:sz w:val="20"/>
          <w:szCs w:val="20"/>
        </w:rPr>
        <w:t xml:space="preserve"> </w:t>
      </w:r>
      <w:r w:rsidRPr="007E1845">
        <w:rPr>
          <w:rFonts w:ascii="Verdana" w:hAnsi="Verdana"/>
          <w:bCs/>
          <w:sz w:val="20"/>
          <w:szCs w:val="20"/>
        </w:rPr>
        <w:t>tienen con s</w:t>
      </w:r>
      <w:r w:rsidR="00797FC1" w:rsidRPr="007E1845">
        <w:rPr>
          <w:rFonts w:ascii="Verdana" w:hAnsi="Verdana"/>
          <w:bCs/>
          <w:sz w:val="20"/>
          <w:szCs w:val="20"/>
        </w:rPr>
        <w:t>us tierras, territorios y recursos naturales</w:t>
      </w:r>
      <w:r w:rsidRPr="007E1845">
        <w:rPr>
          <w:rStyle w:val="Refdenotaalpie"/>
          <w:rFonts w:ascii="Verdana" w:hAnsi="Verdana"/>
          <w:bCs/>
          <w:sz w:val="20"/>
        </w:rPr>
        <w:footnoteReference w:id="1"/>
      </w:r>
      <w:r w:rsidRPr="007E1845">
        <w:rPr>
          <w:rFonts w:ascii="Verdana" w:hAnsi="Verdana"/>
          <w:bCs/>
          <w:sz w:val="20"/>
          <w:szCs w:val="20"/>
        </w:rPr>
        <w:t xml:space="preserve">. </w:t>
      </w:r>
    </w:p>
    <w:p w14:paraId="39E53E94" w14:textId="267EE4D1" w:rsidR="00A326B5" w:rsidRPr="007E1845" w:rsidRDefault="007C3513" w:rsidP="00267F70">
      <w:pPr>
        <w:pStyle w:val="Prrafodelista"/>
        <w:spacing w:after="0" w:line="240" w:lineRule="auto"/>
        <w:ind w:left="0"/>
        <w:contextualSpacing w:val="0"/>
        <w:jc w:val="both"/>
        <w:rPr>
          <w:rFonts w:ascii="Verdana" w:hAnsi="Verdana"/>
          <w:bCs/>
          <w:sz w:val="20"/>
          <w:szCs w:val="20"/>
        </w:rPr>
      </w:pPr>
      <w:r w:rsidRPr="007E1845">
        <w:rPr>
          <w:rFonts w:ascii="Verdana" w:hAnsi="Verdana"/>
          <w:bCs/>
          <w:sz w:val="20"/>
          <w:szCs w:val="20"/>
        </w:rPr>
        <w:t xml:space="preserve"> </w:t>
      </w:r>
    </w:p>
    <w:p w14:paraId="1C9A5F0B" w14:textId="42DB6E66" w:rsidR="00F53257" w:rsidRPr="007E1845" w:rsidRDefault="001730F2" w:rsidP="00267F70">
      <w:pPr>
        <w:pStyle w:val="Prrafodelista"/>
        <w:numPr>
          <w:ilvl w:val="0"/>
          <w:numId w:val="16"/>
        </w:numPr>
        <w:spacing w:after="0" w:line="240" w:lineRule="auto"/>
        <w:ind w:left="0" w:firstLine="0"/>
        <w:contextualSpacing w:val="0"/>
        <w:jc w:val="both"/>
        <w:rPr>
          <w:rFonts w:ascii="Verdana" w:hAnsi="Verdana"/>
          <w:bCs/>
          <w:sz w:val="20"/>
          <w:szCs w:val="20"/>
        </w:rPr>
      </w:pPr>
      <w:r w:rsidRPr="007E1845">
        <w:rPr>
          <w:rFonts w:ascii="Verdana" w:hAnsi="Verdana"/>
          <w:bCs/>
          <w:sz w:val="20"/>
          <w:szCs w:val="20"/>
        </w:rPr>
        <w:t>A partir de entonces, y en casos subsecuentes</w:t>
      </w:r>
      <w:r w:rsidRPr="007E1845">
        <w:rPr>
          <w:rStyle w:val="Refdenotaalpie"/>
          <w:rFonts w:ascii="Verdana" w:hAnsi="Verdana"/>
          <w:bCs/>
          <w:sz w:val="20"/>
        </w:rPr>
        <w:footnoteReference w:id="2"/>
      </w:r>
      <w:r w:rsidRPr="007E1845">
        <w:rPr>
          <w:rFonts w:ascii="Verdana" w:hAnsi="Verdana"/>
          <w:bCs/>
          <w:sz w:val="20"/>
          <w:szCs w:val="20"/>
        </w:rPr>
        <w:t xml:space="preserve">, la Corte </w:t>
      </w:r>
      <w:r w:rsidR="00F41D1F" w:rsidRPr="007E1845">
        <w:rPr>
          <w:rFonts w:ascii="Verdana" w:hAnsi="Verdana"/>
          <w:bCs/>
          <w:sz w:val="20"/>
          <w:szCs w:val="20"/>
        </w:rPr>
        <w:t xml:space="preserve">IDH </w:t>
      </w:r>
      <w:r w:rsidRPr="007E1845">
        <w:rPr>
          <w:rFonts w:ascii="Verdana" w:hAnsi="Verdana"/>
          <w:bCs/>
          <w:sz w:val="20"/>
          <w:szCs w:val="20"/>
        </w:rPr>
        <w:t xml:space="preserve">ha tenido una visión comprensiva de lo que la </w:t>
      </w:r>
      <w:r w:rsidR="00486F8E" w:rsidRPr="007E1845">
        <w:rPr>
          <w:rFonts w:ascii="Verdana" w:hAnsi="Verdana"/>
          <w:bCs/>
          <w:sz w:val="20"/>
          <w:szCs w:val="20"/>
        </w:rPr>
        <w:t>“</w:t>
      </w:r>
      <w:r w:rsidRPr="007E1845">
        <w:rPr>
          <w:rFonts w:ascii="Verdana" w:hAnsi="Verdana"/>
          <w:bCs/>
          <w:sz w:val="20"/>
          <w:szCs w:val="20"/>
        </w:rPr>
        <w:t>tierra</w:t>
      </w:r>
      <w:r w:rsidR="00486F8E" w:rsidRPr="007E1845">
        <w:rPr>
          <w:rFonts w:ascii="Verdana" w:hAnsi="Verdana"/>
          <w:bCs/>
          <w:sz w:val="20"/>
          <w:szCs w:val="20"/>
        </w:rPr>
        <w:t>”</w:t>
      </w:r>
      <w:r w:rsidRPr="007E1845">
        <w:rPr>
          <w:rFonts w:ascii="Verdana" w:hAnsi="Verdana"/>
          <w:bCs/>
          <w:sz w:val="20"/>
          <w:szCs w:val="20"/>
        </w:rPr>
        <w:t xml:space="preserve"> y el </w:t>
      </w:r>
      <w:r w:rsidR="00486F8E" w:rsidRPr="007E1845">
        <w:rPr>
          <w:rFonts w:ascii="Verdana" w:hAnsi="Verdana"/>
          <w:bCs/>
          <w:sz w:val="20"/>
          <w:szCs w:val="20"/>
        </w:rPr>
        <w:t>“</w:t>
      </w:r>
      <w:r w:rsidRPr="007E1845">
        <w:rPr>
          <w:rFonts w:ascii="Verdana" w:hAnsi="Verdana"/>
          <w:bCs/>
          <w:sz w:val="20"/>
          <w:szCs w:val="20"/>
        </w:rPr>
        <w:t>territorio</w:t>
      </w:r>
      <w:r w:rsidR="00486F8E" w:rsidRPr="007E1845">
        <w:rPr>
          <w:rFonts w:ascii="Verdana" w:hAnsi="Verdana"/>
          <w:bCs/>
          <w:sz w:val="20"/>
          <w:szCs w:val="20"/>
        </w:rPr>
        <w:t>”</w:t>
      </w:r>
      <w:r w:rsidRPr="007E1845">
        <w:rPr>
          <w:rFonts w:ascii="Verdana" w:hAnsi="Verdana"/>
          <w:bCs/>
          <w:sz w:val="20"/>
          <w:szCs w:val="20"/>
        </w:rPr>
        <w:t xml:space="preserve"> significa para las comunidades originarias que habitan </w:t>
      </w:r>
      <w:r w:rsidR="00797FC1" w:rsidRPr="007E1845">
        <w:rPr>
          <w:rFonts w:ascii="Verdana" w:hAnsi="Verdana"/>
          <w:bCs/>
          <w:sz w:val="20"/>
          <w:szCs w:val="20"/>
        </w:rPr>
        <w:t>en los Estados que conforman el Sistema Interamericano</w:t>
      </w:r>
      <w:r w:rsidRPr="007E1845">
        <w:rPr>
          <w:rFonts w:ascii="Verdana" w:hAnsi="Verdana"/>
          <w:bCs/>
          <w:sz w:val="20"/>
          <w:szCs w:val="20"/>
        </w:rPr>
        <w:t xml:space="preserve">. Si bien </w:t>
      </w:r>
      <w:r w:rsidR="000F1B6B">
        <w:rPr>
          <w:rFonts w:ascii="Verdana" w:hAnsi="Verdana"/>
          <w:bCs/>
          <w:sz w:val="20"/>
          <w:szCs w:val="20"/>
        </w:rPr>
        <w:t>la Corte IDH</w:t>
      </w:r>
      <w:r w:rsidR="00797FC1" w:rsidRPr="007E1845">
        <w:rPr>
          <w:rFonts w:ascii="Verdana" w:hAnsi="Verdana"/>
          <w:bCs/>
          <w:sz w:val="20"/>
          <w:szCs w:val="20"/>
        </w:rPr>
        <w:t xml:space="preserve"> </w:t>
      </w:r>
      <w:r w:rsidRPr="007E1845">
        <w:rPr>
          <w:rFonts w:ascii="Verdana" w:hAnsi="Verdana"/>
          <w:bCs/>
          <w:sz w:val="20"/>
          <w:szCs w:val="20"/>
        </w:rPr>
        <w:t>no fue el primer órgano internacional en abordar la territorialidad como parte de la vida de los pueblos indígenas y tribales</w:t>
      </w:r>
      <w:r w:rsidR="00F53257" w:rsidRPr="007E1845">
        <w:rPr>
          <w:rStyle w:val="Refdenotaalpie"/>
          <w:rFonts w:ascii="Verdana" w:hAnsi="Verdana"/>
          <w:bCs/>
          <w:sz w:val="20"/>
        </w:rPr>
        <w:footnoteReference w:id="3"/>
      </w:r>
      <w:r w:rsidR="006C2C57" w:rsidRPr="007E1845">
        <w:rPr>
          <w:rFonts w:ascii="Verdana" w:hAnsi="Verdana"/>
          <w:bCs/>
          <w:sz w:val="20"/>
          <w:szCs w:val="20"/>
        </w:rPr>
        <w:t>,</w:t>
      </w:r>
      <w:r w:rsidRPr="007E1845">
        <w:rPr>
          <w:rFonts w:ascii="Verdana" w:hAnsi="Verdana"/>
          <w:bCs/>
          <w:sz w:val="20"/>
          <w:szCs w:val="20"/>
        </w:rPr>
        <w:t xml:space="preserve"> </w:t>
      </w:r>
      <w:r w:rsidR="00F53257" w:rsidRPr="007E1845">
        <w:rPr>
          <w:rFonts w:ascii="Verdana" w:hAnsi="Verdana"/>
          <w:bCs/>
          <w:sz w:val="20"/>
          <w:szCs w:val="20"/>
        </w:rPr>
        <w:t>l</w:t>
      </w:r>
      <w:r w:rsidR="00990191" w:rsidRPr="007E1845">
        <w:rPr>
          <w:rFonts w:ascii="Verdana" w:hAnsi="Verdana"/>
          <w:bCs/>
          <w:sz w:val="20"/>
          <w:szCs w:val="20"/>
        </w:rPr>
        <w:t xml:space="preserve">o cierto es </w:t>
      </w:r>
      <w:r w:rsidR="008473A4" w:rsidRPr="007E1845">
        <w:rPr>
          <w:rFonts w:ascii="Verdana" w:hAnsi="Verdana"/>
          <w:bCs/>
          <w:sz w:val="20"/>
          <w:szCs w:val="20"/>
        </w:rPr>
        <w:t xml:space="preserve">que </w:t>
      </w:r>
      <w:r w:rsidR="00F53257" w:rsidRPr="007E1845">
        <w:rPr>
          <w:rFonts w:ascii="Verdana" w:hAnsi="Verdana"/>
          <w:bCs/>
          <w:sz w:val="20"/>
          <w:szCs w:val="20"/>
        </w:rPr>
        <w:t>en cada uno de los casos en los que</w:t>
      </w:r>
      <w:r w:rsidR="00797FC1" w:rsidRPr="007E1845">
        <w:rPr>
          <w:rFonts w:ascii="Verdana" w:hAnsi="Verdana"/>
          <w:bCs/>
          <w:sz w:val="20"/>
          <w:szCs w:val="20"/>
        </w:rPr>
        <w:t xml:space="preserve"> </w:t>
      </w:r>
      <w:r w:rsidR="00F53257" w:rsidRPr="007E1845">
        <w:rPr>
          <w:rFonts w:ascii="Verdana" w:hAnsi="Verdana"/>
          <w:bCs/>
          <w:sz w:val="20"/>
          <w:szCs w:val="20"/>
        </w:rPr>
        <w:t>ha tenido la oportunidad de pronunciarse sobre la temática</w:t>
      </w:r>
      <w:r w:rsidR="007239C3" w:rsidRPr="007E1845">
        <w:rPr>
          <w:rFonts w:ascii="Verdana" w:hAnsi="Verdana"/>
          <w:bCs/>
          <w:sz w:val="20"/>
          <w:szCs w:val="20"/>
        </w:rPr>
        <w:t>,</w:t>
      </w:r>
      <w:r w:rsidR="00F53257" w:rsidRPr="007E1845">
        <w:rPr>
          <w:rFonts w:ascii="Verdana" w:hAnsi="Verdana"/>
          <w:bCs/>
          <w:sz w:val="20"/>
          <w:szCs w:val="20"/>
        </w:rPr>
        <w:t xml:space="preserve"> ha </w:t>
      </w:r>
      <w:r w:rsidR="00F53257" w:rsidRPr="007E1845">
        <w:rPr>
          <w:rFonts w:ascii="Verdana" w:hAnsi="Verdana"/>
          <w:bCs/>
          <w:sz w:val="20"/>
          <w:szCs w:val="20"/>
        </w:rPr>
        <w:lastRenderedPageBreak/>
        <w:t>realizado un esfuerzo constante y considerable por conceptualizar de manera exhaustiva las obligaciones que los Estados tienen que observar para respetar y garantizar los derechos de estos pueblos</w:t>
      </w:r>
      <w:r w:rsidR="006C2C57" w:rsidRPr="007E1845">
        <w:rPr>
          <w:rFonts w:ascii="Verdana" w:hAnsi="Verdana"/>
          <w:bCs/>
          <w:sz w:val="20"/>
          <w:szCs w:val="20"/>
        </w:rPr>
        <w:t xml:space="preserve"> y comunidades.</w:t>
      </w:r>
      <w:r w:rsidR="00F53257" w:rsidRPr="007E1845">
        <w:rPr>
          <w:rFonts w:ascii="Verdana" w:hAnsi="Verdana"/>
          <w:bCs/>
          <w:sz w:val="20"/>
          <w:szCs w:val="20"/>
        </w:rPr>
        <w:t xml:space="preserve"> </w:t>
      </w:r>
    </w:p>
    <w:p w14:paraId="622759FE" w14:textId="77777777" w:rsidR="00F53257" w:rsidRPr="007E1845" w:rsidRDefault="00F53257" w:rsidP="00267F70">
      <w:pPr>
        <w:pStyle w:val="Prrafodelista"/>
        <w:spacing w:after="0" w:line="240" w:lineRule="auto"/>
        <w:ind w:left="0"/>
        <w:contextualSpacing w:val="0"/>
        <w:jc w:val="both"/>
        <w:rPr>
          <w:rFonts w:ascii="Verdana" w:hAnsi="Verdana"/>
          <w:bCs/>
          <w:sz w:val="20"/>
          <w:szCs w:val="20"/>
        </w:rPr>
      </w:pPr>
    </w:p>
    <w:p w14:paraId="3D760A4F" w14:textId="669D0F92" w:rsidR="000647BE" w:rsidRPr="007E1845" w:rsidRDefault="00F53257" w:rsidP="00267F70">
      <w:pPr>
        <w:pStyle w:val="Prrafodelista"/>
        <w:numPr>
          <w:ilvl w:val="0"/>
          <w:numId w:val="16"/>
        </w:numPr>
        <w:spacing w:after="0" w:line="240" w:lineRule="auto"/>
        <w:ind w:left="0" w:firstLine="0"/>
        <w:contextualSpacing w:val="0"/>
        <w:jc w:val="both"/>
        <w:rPr>
          <w:rFonts w:ascii="Verdana" w:hAnsi="Verdana"/>
          <w:bCs/>
          <w:sz w:val="20"/>
          <w:szCs w:val="20"/>
        </w:rPr>
      </w:pPr>
      <w:r w:rsidRPr="007E1845">
        <w:rPr>
          <w:rFonts w:ascii="Verdana" w:hAnsi="Verdana"/>
          <w:sz w:val="20"/>
          <w:szCs w:val="20"/>
        </w:rPr>
        <w:t xml:space="preserve">El caso de las </w:t>
      </w:r>
      <w:r w:rsidRPr="007E1845">
        <w:rPr>
          <w:rFonts w:ascii="Verdana" w:hAnsi="Verdana"/>
          <w:i/>
          <w:iCs/>
          <w:sz w:val="20"/>
          <w:szCs w:val="20"/>
        </w:rPr>
        <w:t xml:space="preserve">Comunidades indígenas miembros de la asociación Lhaka Honhat (Nuestra Tierra) Vs. Argentina </w:t>
      </w:r>
      <w:r w:rsidRPr="007E1845">
        <w:rPr>
          <w:rFonts w:ascii="Verdana" w:hAnsi="Verdana"/>
          <w:sz w:val="20"/>
          <w:szCs w:val="20"/>
        </w:rPr>
        <w:t xml:space="preserve">(en adelante “la Sentencia” o “el caso </w:t>
      </w:r>
      <w:r w:rsidRPr="007E1845">
        <w:rPr>
          <w:rFonts w:ascii="Verdana" w:hAnsi="Verdana"/>
          <w:i/>
          <w:sz w:val="20"/>
          <w:szCs w:val="20"/>
        </w:rPr>
        <w:t>L</w:t>
      </w:r>
      <w:r w:rsidR="007239C3" w:rsidRPr="007E1845">
        <w:rPr>
          <w:rFonts w:ascii="Verdana" w:hAnsi="Verdana"/>
          <w:i/>
          <w:sz w:val="20"/>
          <w:szCs w:val="20"/>
        </w:rPr>
        <w:t>hak</w:t>
      </w:r>
      <w:r w:rsidRPr="007E1845">
        <w:rPr>
          <w:rFonts w:ascii="Verdana" w:hAnsi="Verdana"/>
          <w:i/>
          <w:sz w:val="20"/>
          <w:szCs w:val="20"/>
        </w:rPr>
        <w:t>a Honhat</w:t>
      </w:r>
      <w:r w:rsidRPr="007E1845">
        <w:rPr>
          <w:rFonts w:ascii="Verdana" w:hAnsi="Verdana"/>
          <w:sz w:val="20"/>
          <w:szCs w:val="20"/>
        </w:rPr>
        <w:t>”)</w:t>
      </w:r>
      <w:r w:rsidRPr="007E1845">
        <w:rPr>
          <w:rStyle w:val="Refdenotaalpie"/>
          <w:rFonts w:ascii="Verdana" w:hAnsi="Verdana"/>
          <w:sz w:val="20"/>
        </w:rPr>
        <w:footnoteReference w:id="4"/>
      </w:r>
      <w:r w:rsidRPr="007E1845">
        <w:rPr>
          <w:rFonts w:ascii="Verdana" w:hAnsi="Verdana"/>
          <w:sz w:val="20"/>
          <w:szCs w:val="20"/>
        </w:rPr>
        <w:t xml:space="preserve"> </w:t>
      </w:r>
      <w:r w:rsidRPr="007E1845">
        <w:rPr>
          <w:rFonts w:ascii="Verdana" w:hAnsi="Verdana"/>
          <w:i/>
          <w:iCs/>
          <w:sz w:val="20"/>
          <w:szCs w:val="20"/>
        </w:rPr>
        <w:t xml:space="preserve"> </w:t>
      </w:r>
      <w:r w:rsidRPr="007E1845">
        <w:rPr>
          <w:rFonts w:ascii="Verdana" w:hAnsi="Verdana"/>
          <w:sz w:val="20"/>
          <w:szCs w:val="20"/>
        </w:rPr>
        <w:t>se suma a los precedentes que han abordado la justiciabilidad directa de los derechos económicos, sociales, culturales y ambientales (en adelante “DESCA” o “los derechos sociales”)</w:t>
      </w:r>
      <w:r w:rsidR="000647BE" w:rsidRPr="007E1845">
        <w:rPr>
          <w:rStyle w:val="Refdenotaalpie"/>
          <w:rFonts w:ascii="Verdana" w:hAnsi="Verdana"/>
          <w:sz w:val="20"/>
        </w:rPr>
        <w:footnoteReference w:id="5"/>
      </w:r>
      <w:r w:rsidR="00106C24" w:rsidRPr="007E1845">
        <w:rPr>
          <w:rFonts w:ascii="Verdana" w:hAnsi="Verdana"/>
          <w:sz w:val="20"/>
          <w:szCs w:val="20"/>
        </w:rPr>
        <w:t>;</w:t>
      </w:r>
      <w:r w:rsidRPr="007E1845">
        <w:rPr>
          <w:rFonts w:ascii="Verdana" w:hAnsi="Verdana"/>
          <w:sz w:val="20"/>
          <w:szCs w:val="20"/>
        </w:rPr>
        <w:t xml:space="preserve"> y reafirma que, frente a los derechos civiles y políticos, los primeros tienen un contenido y</w:t>
      </w:r>
      <w:r w:rsidR="007D49CF" w:rsidRPr="007E1845">
        <w:rPr>
          <w:rFonts w:ascii="Verdana" w:hAnsi="Verdana"/>
          <w:sz w:val="20"/>
          <w:szCs w:val="20"/>
        </w:rPr>
        <w:t xml:space="preserve"> alcances</w:t>
      </w:r>
      <w:r w:rsidRPr="007E1845">
        <w:rPr>
          <w:rFonts w:ascii="Verdana" w:hAnsi="Verdana"/>
          <w:sz w:val="20"/>
          <w:szCs w:val="20"/>
        </w:rPr>
        <w:t xml:space="preserve"> propios que pueden ser protegidos de manera autónoma pero interdependiente e indivisible, postulado que</w:t>
      </w:r>
      <w:r w:rsidRPr="007E1845">
        <w:rPr>
          <w:rFonts w:ascii="Verdana" w:hAnsi="Verdana"/>
          <w:i/>
          <w:iCs/>
          <w:sz w:val="20"/>
          <w:szCs w:val="20"/>
        </w:rPr>
        <w:t xml:space="preserve"> </w:t>
      </w:r>
      <w:r w:rsidRPr="007E1845">
        <w:rPr>
          <w:rFonts w:ascii="Verdana" w:hAnsi="Verdana"/>
          <w:sz w:val="20"/>
          <w:szCs w:val="20"/>
        </w:rPr>
        <w:t xml:space="preserve">sostuve desde el caso </w:t>
      </w:r>
      <w:r w:rsidRPr="007E1845">
        <w:rPr>
          <w:rFonts w:ascii="Verdana" w:hAnsi="Verdana"/>
          <w:i/>
          <w:iCs/>
          <w:sz w:val="20"/>
          <w:szCs w:val="20"/>
        </w:rPr>
        <w:t>Suarez Peralta y otros</w:t>
      </w:r>
      <w:r w:rsidRPr="00FF057E">
        <w:rPr>
          <w:rStyle w:val="Refdenotaalpie"/>
          <w:rFonts w:ascii="Verdana" w:hAnsi="Verdana"/>
          <w:iCs/>
          <w:sz w:val="20"/>
        </w:rPr>
        <w:footnoteReference w:id="6"/>
      </w:r>
      <w:r w:rsidRPr="007E1845">
        <w:rPr>
          <w:rFonts w:ascii="Verdana" w:hAnsi="Verdana"/>
          <w:i/>
          <w:iCs/>
          <w:sz w:val="20"/>
          <w:szCs w:val="20"/>
        </w:rPr>
        <w:t xml:space="preserve">. </w:t>
      </w:r>
      <w:r w:rsidR="000647BE" w:rsidRPr="007E1845">
        <w:rPr>
          <w:rFonts w:ascii="Verdana" w:hAnsi="Verdana"/>
          <w:sz w:val="20"/>
          <w:szCs w:val="20"/>
        </w:rPr>
        <w:t xml:space="preserve"> </w:t>
      </w:r>
    </w:p>
    <w:p w14:paraId="77246E03" w14:textId="77777777" w:rsidR="000647BE" w:rsidRPr="007E1845" w:rsidRDefault="000647BE" w:rsidP="00267F70">
      <w:pPr>
        <w:rPr>
          <w:rFonts w:ascii="Verdana" w:hAnsi="Verdana"/>
          <w:sz w:val="20"/>
          <w:szCs w:val="20"/>
        </w:rPr>
      </w:pPr>
    </w:p>
    <w:p w14:paraId="6AA35D9F" w14:textId="0F993375" w:rsidR="00FD28BA" w:rsidRPr="00B320D4" w:rsidRDefault="000647BE" w:rsidP="00267F70">
      <w:pPr>
        <w:pStyle w:val="Prrafodelista"/>
        <w:numPr>
          <w:ilvl w:val="0"/>
          <w:numId w:val="16"/>
        </w:numPr>
        <w:spacing w:after="0" w:line="240" w:lineRule="auto"/>
        <w:ind w:left="0" w:firstLine="0"/>
        <w:contextualSpacing w:val="0"/>
        <w:jc w:val="both"/>
        <w:rPr>
          <w:rFonts w:ascii="Verdana" w:hAnsi="Verdana"/>
          <w:sz w:val="20"/>
          <w:szCs w:val="20"/>
        </w:rPr>
      </w:pPr>
      <w:r w:rsidRPr="007E1845">
        <w:rPr>
          <w:rFonts w:ascii="Verdana" w:hAnsi="Verdana"/>
          <w:sz w:val="20"/>
          <w:szCs w:val="20"/>
        </w:rPr>
        <w:t xml:space="preserve">El caso </w:t>
      </w:r>
      <w:r w:rsidR="00BC52BB" w:rsidRPr="007E1845">
        <w:rPr>
          <w:rFonts w:ascii="Verdana" w:hAnsi="Verdana"/>
          <w:i/>
          <w:iCs/>
          <w:sz w:val="20"/>
          <w:szCs w:val="20"/>
        </w:rPr>
        <w:t>Lhaka Honhat</w:t>
      </w:r>
      <w:r w:rsidRPr="007E1845">
        <w:rPr>
          <w:rFonts w:ascii="Verdana" w:hAnsi="Verdana"/>
          <w:i/>
          <w:sz w:val="20"/>
          <w:szCs w:val="20"/>
        </w:rPr>
        <w:t xml:space="preserve"> </w:t>
      </w:r>
      <w:r w:rsidRPr="007E1845">
        <w:rPr>
          <w:rFonts w:ascii="Verdana" w:hAnsi="Verdana"/>
          <w:sz w:val="20"/>
          <w:szCs w:val="20"/>
        </w:rPr>
        <w:t xml:space="preserve">representa </w:t>
      </w:r>
      <w:r w:rsidR="00BC52BB" w:rsidRPr="007E1845">
        <w:rPr>
          <w:rFonts w:ascii="Verdana" w:hAnsi="Verdana"/>
          <w:sz w:val="20"/>
          <w:szCs w:val="20"/>
        </w:rPr>
        <w:t>un hito en la jurisprudencia</w:t>
      </w:r>
      <w:r w:rsidR="00106C24" w:rsidRPr="007E1845">
        <w:rPr>
          <w:rFonts w:ascii="Verdana" w:hAnsi="Verdana"/>
          <w:sz w:val="20"/>
          <w:szCs w:val="20"/>
        </w:rPr>
        <w:t xml:space="preserve"> interamericana</w:t>
      </w:r>
      <w:r w:rsidR="00797FC1" w:rsidRPr="007E1845">
        <w:rPr>
          <w:rFonts w:ascii="Verdana" w:hAnsi="Verdana"/>
          <w:sz w:val="20"/>
          <w:szCs w:val="20"/>
        </w:rPr>
        <w:t xml:space="preserve"> fundamentalmente</w:t>
      </w:r>
      <w:r w:rsidR="00BC52BB" w:rsidRPr="007E1845">
        <w:rPr>
          <w:rFonts w:ascii="Verdana" w:hAnsi="Verdana"/>
          <w:sz w:val="20"/>
          <w:szCs w:val="20"/>
        </w:rPr>
        <w:t xml:space="preserve"> por tres razones</w:t>
      </w:r>
      <w:r w:rsidR="007239C3" w:rsidRPr="007E1845">
        <w:rPr>
          <w:rFonts w:ascii="Verdana" w:hAnsi="Verdana"/>
          <w:sz w:val="20"/>
          <w:szCs w:val="20"/>
        </w:rPr>
        <w:t>. E</w:t>
      </w:r>
      <w:r w:rsidR="00BC52BB" w:rsidRPr="007E1845">
        <w:rPr>
          <w:rFonts w:ascii="Verdana" w:hAnsi="Verdana"/>
          <w:sz w:val="20"/>
          <w:szCs w:val="20"/>
        </w:rPr>
        <w:t xml:space="preserve">n primer lugar, constituye la primera ocasión en que el Tribunal </w:t>
      </w:r>
      <w:r w:rsidR="00797FC1" w:rsidRPr="007E1845">
        <w:rPr>
          <w:rFonts w:ascii="Verdana" w:hAnsi="Verdana"/>
          <w:sz w:val="20"/>
          <w:szCs w:val="20"/>
        </w:rPr>
        <w:t>Interamericano</w:t>
      </w:r>
      <w:r w:rsidR="00E659AA" w:rsidRPr="007E1845">
        <w:rPr>
          <w:rFonts w:ascii="Verdana" w:hAnsi="Verdana"/>
          <w:sz w:val="20"/>
          <w:szCs w:val="20"/>
        </w:rPr>
        <w:t xml:space="preserve"> se pronuncia de manera autónoma </w:t>
      </w:r>
      <w:r w:rsidR="00BC52BB" w:rsidRPr="007E1845">
        <w:rPr>
          <w:rFonts w:ascii="Verdana" w:hAnsi="Verdana"/>
          <w:sz w:val="20"/>
          <w:szCs w:val="20"/>
        </w:rPr>
        <w:t xml:space="preserve">sobre </w:t>
      </w:r>
      <w:r w:rsidR="007239C3" w:rsidRPr="007E1845">
        <w:rPr>
          <w:rFonts w:ascii="Verdana" w:hAnsi="Verdana"/>
          <w:sz w:val="20"/>
          <w:szCs w:val="20"/>
        </w:rPr>
        <w:t>DESCA</w:t>
      </w:r>
      <w:r w:rsidR="00BC52BB" w:rsidRPr="007E1845">
        <w:rPr>
          <w:rFonts w:ascii="Verdana" w:hAnsi="Verdana"/>
          <w:sz w:val="20"/>
          <w:szCs w:val="20"/>
        </w:rPr>
        <w:t xml:space="preserve"> que atañen a pueblos </w:t>
      </w:r>
      <w:r w:rsidR="00E659AA" w:rsidRPr="007E1845">
        <w:rPr>
          <w:rFonts w:ascii="Verdana" w:hAnsi="Verdana"/>
          <w:sz w:val="20"/>
          <w:szCs w:val="20"/>
        </w:rPr>
        <w:t xml:space="preserve">y comunidades </w:t>
      </w:r>
      <w:r w:rsidR="00BC52BB" w:rsidRPr="007E1845">
        <w:rPr>
          <w:rFonts w:ascii="Verdana" w:hAnsi="Verdana"/>
          <w:sz w:val="20"/>
          <w:szCs w:val="20"/>
        </w:rPr>
        <w:t>indígenas</w:t>
      </w:r>
      <w:r w:rsidR="007239C3" w:rsidRPr="00EE35BE">
        <w:rPr>
          <w:rFonts w:ascii="Verdana" w:hAnsi="Verdana"/>
          <w:sz w:val="20"/>
          <w:szCs w:val="20"/>
        </w:rPr>
        <w:t>. En segundo término</w:t>
      </w:r>
      <w:r w:rsidR="00BC52BB" w:rsidRPr="00EE35BE">
        <w:rPr>
          <w:rFonts w:ascii="Verdana" w:hAnsi="Verdana"/>
          <w:sz w:val="20"/>
          <w:szCs w:val="20"/>
        </w:rPr>
        <w:t>, a diferencia de los precedentes que había tenido la oportunidad de conocer</w:t>
      </w:r>
      <w:r w:rsidR="00E659AA" w:rsidRPr="00EE35BE">
        <w:rPr>
          <w:rFonts w:ascii="Verdana" w:hAnsi="Verdana"/>
          <w:sz w:val="20"/>
          <w:szCs w:val="20"/>
        </w:rPr>
        <w:t>,</w:t>
      </w:r>
      <w:r w:rsidR="00BC52BB" w:rsidRPr="00B320D4">
        <w:rPr>
          <w:rFonts w:ascii="Verdana" w:hAnsi="Verdana"/>
          <w:sz w:val="20"/>
          <w:szCs w:val="20"/>
        </w:rPr>
        <w:t xml:space="preserve"> la </w:t>
      </w:r>
      <w:r w:rsidR="00797FC1" w:rsidRPr="00B320D4">
        <w:rPr>
          <w:rFonts w:ascii="Verdana" w:hAnsi="Verdana"/>
          <w:sz w:val="20"/>
          <w:szCs w:val="20"/>
        </w:rPr>
        <w:t xml:space="preserve">Sentencia </w:t>
      </w:r>
      <w:r w:rsidR="00BC52BB" w:rsidRPr="00B320D4">
        <w:rPr>
          <w:rFonts w:ascii="Verdana" w:hAnsi="Verdana"/>
          <w:sz w:val="20"/>
          <w:szCs w:val="20"/>
        </w:rPr>
        <w:t>declara l</w:t>
      </w:r>
      <w:r w:rsidR="00E659AA" w:rsidRPr="00B320D4">
        <w:rPr>
          <w:rFonts w:ascii="Verdana" w:hAnsi="Verdana"/>
          <w:sz w:val="20"/>
          <w:szCs w:val="20"/>
        </w:rPr>
        <w:t xml:space="preserve">a vulneración de cuatro DESCA </w:t>
      </w:r>
      <w:r w:rsidR="004F1B5D" w:rsidRPr="00B320D4">
        <w:rPr>
          <w:rFonts w:ascii="Verdana" w:hAnsi="Verdana"/>
          <w:sz w:val="20"/>
          <w:szCs w:val="20"/>
        </w:rPr>
        <w:t xml:space="preserve">que pueden ser </w:t>
      </w:r>
      <w:r w:rsidR="00C600CB" w:rsidRPr="00B320D4">
        <w:rPr>
          <w:rFonts w:ascii="Verdana" w:hAnsi="Verdana"/>
          <w:sz w:val="20"/>
          <w:szCs w:val="20"/>
        </w:rPr>
        <w:t xml:space="preserve">derivados </w:t>
      </w:r>
      <w:r w:rsidR="00FD28BA" w:rsidRPr="00B320D4">
        <w:rPr>
          <w:rFonts w:ascii="Verdana" w:hAnsi="Verdana"/>
          <w:sz w:val="20"/>
          <w:szCs w:val="20"/>
        </w:rPr>
        <w:t xml:space="preserve">y protegidos </w:t>
      </w:r>
      <w:r w:rsidR="007239C3" w:rsidRPr="00B320D4">
        <w:rPr>
          <w:rFonts w:ascii="Verdana" w:hAnsi="Verdana"/>
          <w:sz w:val="20"/>
          <w:szCs w:val="20"/>
        </w:rPr>
        <w:t>por el</w:t>
      </w:r>
      <w:r w:rsidR="004F1B5D" w:rsidRPr="00B320D4">
        <w:rPr>
          <w:rFonts w:ascii="Verdana" w:hAnsi="Verdana"/>
          <w:sz w:val="20"/>
          <w:szCs w:val="20"/>
        </w:rPr>
        <w:t xml:space="preserve"> artículo 26 del Pacto de San José </w:t>
      </w:r>
      <w:r w:rsidR="00C600CB" w:rsidRPr="00B320D4">
        <w:rPr>
          <w:rFonts w:ascii="Verdana" w:hAnsi="Verdana"/>
          <w:sz w:val="20"/>
          <w:szCs w:val="20"/>
        </w:rPr>
        <w:t>—</w:t>
      </w:r>
      <w:r w:rsidR="004F1B5D" w:rsidRPr="00B320D4">
        <w:rPr>
          <w:rFonts w:ascii="Verdana" w:hAnsi="Verdana"/>
          <w:sz w:val="20"/>
          <w:szCs w:val="20"/>
        </w:rPr>
        <w:t>d</w:t>
      </w:r>
      <w:r w:rsidR="00C600CB" w:rsidRPr="00B320D4">
        <w:rPr>
          <w:rFonts w:ascii="Verdana" w:hAnsi="Verdana"/>
          <w:sz w:val="20"/>
          <w:szCs w:val="20"/>
        </w:rPr>
        <w:t xml:space="preserve">erecho a la identidad cultural, </w:t>
      </w:r>
      <w:r w:rsidR="004F1B5D" w:rsidRPr="00B320D4">
        <w:rPr>
          <w:rFonts w:ascii="Verdana" w:hAnsi="Verdana"/>
          <w:sz w:val="20"/>
          <w:szCs w:val="20"/>
        </w:rPr>
        <w:t>en lo atinente a</w:t>
      </w:r>
      <w:r w:rsidR="00C600CB" w:rsidRPr="00B320D4">
        <w:rPr>
          <w:rFonts w:ascii="Verdana" w:hAnsi="Verdana"/>
          <w:sz w:val="20"/>
          <w:szCs w:val="20"/>
        </w:rPr>
        <w:t xml:space="preserve"> participar</w:t>
      </w:r>
      <w:r w:rsidR="00FD28BA" w:rsidRPr="00B320D4">
        <w:rPr>
          <w:rFonts w:ascii="Verdana" w:hAnsi="Verdana"/>
          <w:sz w:val="20"/>
          <w:szCs w:val="20"/>
        </w:rPr>
        <w:t xml:space="preserve"> en la vida cultural,</w:t>
      </w:r>
      <w:r w:rsidR="004F1B5D" w:rsidRPr="00B320D4">
        <w:rPr>
          <w:rFonts w:ascii="Verdana" w:hAnsi="Verdana"/>
          <w:sz w:val="20"/>
          <w:szCs w:val="20"/>
        </w:rPr>
        <w:t xml:space="preserve"> de</w:t>
      </w:r>
      <w:r w:rsidR="00FD28BA" w:rsidRPr="00B320D4">
        <w:rPr>
          <w:rFonts w:ascii="Verdana" w:hAnsi="Verdana"/>
          <w:sz w:val="20"/>
          <w:szCs w:val="20"/>
        </w:rPr>
        <w:t>recho al medio ambiente sano, derecho a la alimentación</w:t>
      </w:r>
      <w:r w:rsidR="008F5ED0" w:rsidRPr="00B320D4">
        <w:rPr>
          <w:rFonts w:ascii="Verdana" w:hAnsi="Verdana"/>
          <w:sz w:val="20"/>
          <w:szCs w:val="20"/>
        </w:rPr>
        <w:t>,</w:t>
      </w:r>
      <w:r w:rsidR="00FD28BA" w:rsidRPr="00B320D4">
        <w:rPr>
          <w:rFonts w:ascii="Verdana" w:hAnsi="Verdana"/>
          <w:sz w:val="20"/>
          <w:szCs w:val="20"/>
        </w:rPr>
        <w:t xml:space="preserve"> y</w:t>
      </w:r>
      <w:r w:rsidR="004F1B5D" w:rsidRPr="00B320D4">
        <w:rPr>
          <w:rFonts w:ascii="Verdana" w:hAnsi="Verdana"/>
          <w:sz w:val="20"/>
          <w:szCs w:val="20"/>
        </w:rPr>
        <w:t xml:space="preserve"> derecho al agua</w:t>
      </w:r>
      <w:r w:rsidR="00C600CB" w:rsidRPr="00B320D4">
        <w:rPr>
          <w:rFonts w:ascii="Verdana" w:hAnsi="Verdana"/>
          <w:sz w:val="20"/>
          <w:szCs w:val="20"/>
        </w:rPr>
        <w:t>—</w:t>
      </w:r>
      <w:r w:rsidR="00FA3B56" w:rsidRPr="00FF057E">
        <w:rPr>
          <w:rStyle w:val="Refdenotaalpie"/>
          <w:rFonts w:ascii="Verdana" w:hAnsi="Verdana"/>
          <w:sz w:val="20"/>
        </w:rPr>
        <w:footnoteReference w:id="7"/>
      </w:r>
      <w:r w:rsidR="00BC52BB" w:rsidRPr="007E1845">
        <w:rPr>
          <w:rFonts w:ascii="Verdana" w:hAnsi="Verdana"/>
          <w:sz w:val="20"/>
          <w:szCs w:val="20"/>
        </w:rPr>
        <w:t>.</w:t>
      </w:r>
      <w:r w:rsidR="00FD28BA" w:rsidRPr="00914E2E">
        <w:rPr>
          <w:rFonts w:ascii="Verdana" w:hAnsi="Verdana"/>
          <w:sz w:val="20"/>
          <w:szCs w:val="20"/>
        </w:rPr>
        <w:t xml:space="preserve"> E</w:t>
      </w:r>
      <w:r w:rsidR="004F1B5D" w:rsidRPr="001865F1">
        <w:rPr>
          <w:rFonts w:ascii="Verdana" w:hAnsi="Verdana"/>
          <w:sz w:val="20"/>
          <w:szCs w:val="20"/>
        </w:rPr>
        <w:t>n tercer lugar, las reparaciones</w:t>
      </w:r>
      <w:r w:rsidR="0087790B" w:rsidRPr="00EE35BE">
        <w:rPr>
          <w:rFonts w:ascii="Verdana" w:hAnsi="Verdana"/>
          <w:sz w:val="20"/>
          <w:szCs w:val="20"/>
        </w:rPr>
        <w:t xml:space="preserve"> ordenadas están centradas de manera diferenciada</w:t>
      </w:r>
      <w:r w:rsidR="004F1B5D" w:rsidRPr="00EE35BE">
        <w:rPr>
          <w:rFonts w:ascii="Verdana" w:hAnsi="Verdana"/>
          <w:sz w:val="20"/>
          <w:szCs w:val="20"/>
        </w:rPr>
        <w:t>,</w:t>
      </w:r>
      <w:r w:rsidR="004F1B5D" w:rsidRPr="00B320D4">
        <w:rPr>
          <w:rFonts w:ascii="Verdana" w:hAnsi="Verdana"/>
          <w:sz w:val="20"/>
          <w:szCs w:val="20"/>
        </w:rPr>
        <w:t xml:space="preserve"> </w:t>
      </w:r>
      <w:r w:rsidR="00E659AA" w:rsidRPr="00B320D4">
        <w:rPr>
          <w:rFonts w:ascii="Verdana" w:hAnsi="Verdana"/>
          <w:sz w:val="20"/>
          <w:szCs w:val="20"/>
        </w:rPr>
        <w:t>tratando</w:t>
      </w:r>
      <w:r w:rsidR="004F1B5D" w:rsidRPr="00B320D4">
        <w:rPr>
          <w:rFonts w:ascii="Verdana" w:hAnsi="Verdana"/>
          <w:sz w:val="20"/>
          <w:szCs w:val="20"/>
        </w:rPr>
        <w:t xml:space="preserve"> de restituir la violación de cada uno de los derechos sociales</w:t>
      </w:r>
      <w:r w:rsidR="00F30A7F" w:rsidRPr="00B320D4">
        <w:rPr>
          <w:rFonts w:ascii="Verdana" w:hAnsi="Verdana"/>
          <w:sz w:val="20"/>
          <w:szCs w:val="20"/>
        </w:rPr>
        <w:t>, culturales y ambientales</w:t>
      </w:r>
      <w:r w:rsidR="004F1B5D" w:rsidRPr="00B320D4">
        <w:rPr>
          <w:rFonts w:ascii="Verdana" w:hAnsi="Verdana"/>
          <w:sz w:val="20"/>
          <w:szCs w:val="20"/>
        </w:rPr>
        <w:t xml:space="preserve"> declarados violados</w:t>
      </w:r>
      <w:r w:rsidR="00E659AA" w:rsidRPr="00B320D4">
        <w:rPr>
          <w:rFonts w:ascii="Verdana" w:hAnsi="Verdana"/>
          <w:sz w:val="20"/>
          <w:szCs w:val="20"/>
        </w:rPr>
        <w:t xml:space="preserve"> en la Sentencia</w:t>
      </w:r>
      <w:r w:rsidR="004F1B5D" w:rsidRPr="00B320D4">
        <w:rPr>
          <w:rFonts w:ascii="Verdana" w:hAnsi="Verdana"/>
          <w:sz w:val="20"/>
          <w:szCs w:val="20"/>
        </w:rPr>
        <w:t xml:space="preserve">.  </w:t>
      </w:r>
    </w:p>
    <w:p w14:paraId="2439AACA" w14:textId="77777777" w:rsidR="00FD28BA" w:rsidRPr="00B320D4" w:rsidRDefault="00FD28BA" w:rsidP="00267F70">
      <w:pPr>
        <w:pStyle w:val="Prrafodelista"/>
        <w:spacing w:line="240" w:lineRule="auto"/>
        <w:rPr>
          <w:rFonts w:ascii="Verdana" w:hAnsi="Verdana"/>
          <w:sz w:val="20"/>
          <w:szCs w:val="20"/>
        </w:rPr>
      </w:pPr>
    </w:p>
    <w:p w14:paraId="4EECD71A" w14:textId="72791410" w:rsidR="008B2E59" w:rsidRPr="001865F1" w:rsidRDefault="00F27F8E" w:rsidP="00267F70">
      <w:pPr>
        <w:pStyle w:val="Prrafodelista"/>
        <w:numPr>
          <w:ilvl w:val="0"/>
          <w:numId w:val="16"/>
        </w:numPr>
        <w:spacing w:after="0" w:line="240" w:lineRule="auto"/>
        <w:ind w:left="0" w:firstLine="0"/>
        <w:contextualSpacing w:val="0"/>
        <w:jc w:val="both"/>
        <w:rPr>
          <w:rFonts w:ascii="Verdana" w:hAnsi="Verdana"/>
          <w:sz w:val="20"/>
          <w:szCs w:val="20"/>
        </w:rPr>
      </w:pPr>
      <w:r w:rsidRPr="00B320D4">
        <w:rPr>
          <w:rFonts w:ascii="Verdana" w:hAnsi="Verdana"/>
          <w:sz w:val="20"/>
          <w:szCs w:val="20"/>
        </w:rPr>
        <w:t>No debe pasar inad</w:t>
      </w:r>
      <w:r w:rsidR="006F62A1" w:rsidRPr="00B320D4">
        <w:rPr>
          <w:rFonts w:ascii="Verdana" w:hAnsi="Verdana"/>
          <w:sz w:val="20"/>
          <w:szCs w:val="20"/>
        </w:rPr>
        <w:t xml:space="preserve">vertido que </w:t>
      </w:r>
      <w:r w:rsidRPr="00B320D4">
        <w:rPr>
          <w:rFonts w:ascii="Verdana" w:hAnsi="Verdana"/>
          <w:i/>
          <w:sz w:val="20"/>
          <w:szCs w:val="20"/>
        </w:rPr>
        <w:t>los representantes de las víctimas</w:t>
      </w:r>
      <w:r w:rsidR="001F4F37" w:rsidRPr="00B320D4">
        <w:rPr>
          <w:rFonts w:ascii="Verdana" w:hAnsi="Verdana"/>
          <w:sz w:val="20"/>
          <w:szCs w:val="20"/>
        </w:rPr>
        <w:t xml:space="preserve"> </w:t>
      </w:r>
      <w:r w:rsidR="002770B5">
        <w:rPr>
          <w:rFonts w:ascii="Verdana" w:hAnsi="Verdana"/>
          <w:sz w:val="20"/>
          <w:szCs w:val="20"/>
        </w:rPr>
        <w:t>solicitaron de manera destacada</w:t>
      </w:r>
      <w:r w:rsidR="008B2E59" w:rsidRPr="00B320D4">
        <w:rPr>
          <w:rFonts w:ascii="Verdana" w:hAnsi="Verdana"/>
          <w:sz w:val="20"/>
          <w:szCs w:val="20"/>
        </w:rPr>
        <w:t xml:space="preserve"> en el “e</w:t>
      </w:r>
      <w:r w:rsidR="00106C24" w:rsidRPr="00B320D4">
        <w:rPr>
          <w:rFonts w:ascii="Verdana" w:hAnsi="Verdana"/>
          <w:sz w:val="20"/>
          <w:szCs w:val="20"/>
        </w:rPr>
        <w:t>scrito de solicitudes, argumentos y pruebas</w:t>
      </w:r>
      <w:r w:rsidR="008B2E59" w:rsidRPr="00B320D4">
        <w:rPr>
          <w:rFonts w:ascii="Verdana" w:hAnsi="Verdana"/>
          <w:sz w:val="20"/>
          <w:szCs w:val="20"/>
        </w:rPr>
        <w:t>”, que se “declare la violación del artículo 26 de la Convención Americana por la vulneración de los derechos al medio a</w:t>
      </w:r>
      <w:r w:rsidR="00FF057E">
        <w:rPr>
          <w:rFonts w:ascii="Verdana" w:hAnsi="Verdana"/>
          <w:sz w:val="20"/>
          <w:szCs w:val="20"/>
        </w:rPr>
        <w:t>mbiente, a la identidad cultura</w:t>
      </w:r>
      <w:r w:rsidR="008B2E59" w:rsidRPr="00B320D4">
        <w:rPr>
          <w:rFonts w:ascii="Verdana" w:hAnsi="Verdana"/>
          <w:sz w:val="20"/>
          <w:szCs w:val="20"/>
        </w:rPr>
        <w:t xml:space="preserve"> y a alimentación, </w:t>
      </w:r>
      <w:r w:rsidR="008B2E59" w:rsidRPr="00B320D4">
        <w:rPr>
          <w:rFonts w:ascii="Verdana" w:hAnsi="Verdana"/>
          <w:i/>
          <w:sz w:val="20"/>
          <w:szCs w:val="20"/>
        </w:rPr>
        <w:t xml:space="preserve">como derechos </w:t>
      </w:r>
      <w:r w:rsidR="008B2E59" w:rsidRPr="00B320D4">
        <w:rPr>
          <w:rFonts w:ascii="Verdana" w:hAnsi="Verdana"/>
          <w:i/>
          <w:sz w:val="20"/>
          <w:szCs w:val="20"/>
        </w:rPr>
        <w:lastRenderedPageBreak/>
        <w:t>autónomos</w:t>
      </w:r>
      <w:r w:rsidR="008B2E59" w:rsidRPr="00B320D4">
        <w:rPr>
          <w:rFonts w:ascii="Verdana" w:hAnsi="Verdana"/>
          <w:sz w:val="20"/>
          <w:szCs w:val="20"/>
        </w:rPr>
        <w:t xml:space="preserve">, todos ellos derechos que </w:t>
      </w:r>
      <w:r w:rsidR="00FF057E">
        <w:rPr>
          <w:rFonts w:ascii="Verdana" w:hAnsi="Verdana"/>
          <w:sz w:val="20"/>
          <w:szCs w:val="20"/>
        </w:rPr>
        <w:t xml:space="preserve">—afirman— </w:t>
      </w:r>
      <w:r w:rsidR="008B2E59" w:rsidRPr="00B320D4">
        <w:rPr>
          <w:rFonts w:ascii="Verdana" w:hAnsi="Verdana"/>
          <w:sz w:val="20"/>
          <w:szCs w:val="20"/>
        </w:rPr>
        <w:t>se derivan de las normas económicas, sociales y sobre educación, ciencia y cultura, contenid</w:t>
      </w:r>
      <w:r w:rsidR="0087790B" w:rsidRPr="00B320D4">
        <w:rPr>
          <w:rFonts w:ascii="Verdana" w:hAnsi="Verdana"/>
          <w:sz w:val="20"/>
          <w:szCs w:val="20"/>
        </w:rPr>
        <w:t>o</w:t>
      </w:r>
      <w:r w:rsidR="008B2E59" w:rsidRPr="00B320D4">
        <w:rPr>
          <w:rFonts w:ascii="Verdana" w:hAnsi="Verdana"/>
          <w:sz w:val="20"/>
          <w:szCs w:val="20"/>
        </w:rPr>
        <w:t>s en la Carta de la Organización de los Estados Americanos” (en adelante “la Carta de la OEA</w:t>
      </w:r>
      <w:r w:rsidR="00FF057E">
        <w:rPr>
          <w:rFonts w:ascii="Verdana" w:hAnsi="Verdana"/>
          <w:sz w:val="20"/>
          <w:szCs w:val="20"/>
        </w:rPr>
        <w:t>”</w:t>
      </w:r>
      <w:r w:rsidR="008B2E59" w:rsidRPr="00B320D4">
        <w:rPr>
          <w:rFonts w:ascii="Verdana" w:hAnsi="Verdana"/>
          <w:sz w:val="20"/>
          <w:szCs w:val="20"/>
        </w:rPr>
        <w:t>)</w:t>
      </w:r>
      <w:r w:rsidR="006759AC" w:rsidRPr="00B320D4">
        <w:rPr>
          <w:rStyle w:val="Refdenotaalpie"/>
          <w:rFonts w:ascii="Verdana" w:hAnsi="Verdana"/>
          <w:sz w:val="20"/>
        </w:rPr>
        <w:t xml:space="preserve"> </w:t>
      </w:r>
      <w:r w:rsidR="006759AC" w:rsidRPr="007E1845">
        <w:rPr>
          <w:rStyle w:val="Refdenotaalpie"/>
          <w:rFonts w:ascii="Verdana" w:hAnsi="Verdana"/>
          <w:sz w:val="20"/>
        </w:rPr>
        <w:footnoteReference w:id="8"/>
      </w:r>
      <w:r w:rsidR="008B2E59" w:rsidRPr="007E1845">
        <w:rPr>
          <w:rFonts w:ascii="Verdana" w:hAnsi="Verdana"/>
          <w:sz w:val="20"/>
          <w:szCs w:val="20"/>
        </w:rPr>
        <w:t>.</w:t>
      </w:r>
      <w:r w:rsidR="0087790B" w:rsidRPr="00914E2E">
        <w:rPr>
          <w:rFonts w:ascii="Verdana" w:hAnsi="Verdana"/>
          <w:sz w:val="20"/>
          <w:szCs w:val="20"/>
        </w:rPr>
        <w:t xml:space="preserve"> </w:t>
      </w:r>
    </w:p>
    <w:p w14:paraId="285C5283" w14:textId="77777777" w:rsidR="008B2E59" w:rsidRPr="00EE35BE" w:rsidRDefault="008B2E59" w:rsidP="00267F70">
      <w:pPr>
        <w:pStyle w:val="Prrafodelista"/>
        <w:spacing w:after="0" w:line="240" w:lineRule="auto"/>
        <w:ind w:left="0"/>
        <w:contextualSpacing w:val="0"/>
        <w:jc w:val="both"/>
        <w:rPr>
          <w:rFonts w:ascii="Verdana" w:hAnsi="Verdana"/>
          <w:sz w:val="20"/>
          <w:szCs w:val="20"/>
        </w:rPr>
      </w:pPr>
    </w:p>
    <w:p w14:paraId="6327D688" w14:textId="7C153DA7" w:rsidR="006C7D6D" w:rsidRPr="00914E2E" w:rsidRDefault="00B303DF" w:rsidP="00267F70">
      <w:pPr>
        <w:pStyle w:val="Prrafodelista"/>
        <w:spacing w:after="0" w:line="240" w:lineRule="auto"/>
        <w:ind w:left="0"/>
        <w:jc w:val="both"/>
        <w:rPr>
          <w:rFonts w:ascii="Verdana" w:hAnsi="Verdana"/>
          <w:sz w:val="20"/>
          <w:szCs w:val="20"/>
        </w:rPr>
      </w:pPr>
      <w:r w:rsidRPr="00EE35BE">
        <w:rPr>
          <w:rFonts w:ascii="Verdana" w:hAnsi="Verdana"/>
          <w:sz w:val="20"/>
          <w:szCs w:val="20"/>
        </w:rPr>
        <w:t>6.</w:t>
      </w:r>
      <w:r w:rsidRPr="00EE35BE">
        <w:rPr>
          <w:rFonts w:ascii="Verdana" w:hAnsi="Verdana"/>
          <w:sz w:val="20"/>
          <w:szCs w:val="20"/>
        </w:rPr>
        <w:tab/>
      </w:r>
      <w:r w:rsidR="006F62A1" w:rsidRPr="00EE35BE">
        <w:rPr>
          <w:rFonts w:ascii="Verdana" w:hAnsi="Verdana"/>
          <w:sz w:val="20"/>
          <w:szCs w:val="20"/>
        </w:rPr>
        <w:t>Ante esta pretensión, en su escrito de contestación,</w:t>
      </w:r>
      <w:r w:rsidR="008B2E59" w:rsidRPr="00EE35BE">
        <w:rPr>
          <w:rFonts w:ascii="Verdana" w:hAnsi="Verdana"/>
          <w:sz w:val="20"/>
          <w:szCs w:val="20"/>
        </w:rPr>
        <w:t xml:space="preserve"> </w:t>
      </w:r>
      <w:r w:rsidR="008B2E59" w:rsidRPr="00B320D4">
        <w:rPr>
          <w:rFonts w:ascii="Verdana" w:hAnsi="Verdana"/>
          <w:i/>
          <w:sz w:val="20"/>
          <w:szCs w:val="20"/>
        </w:rPr>
        <w:t>el Estado</w:t>
      </w:r>
      <w:r w:rsidR="008B2E59" w:rsidRPr="00B320D4">
        <w:rPr>
          <w:rFonts w:ascii="Verdana" w:hAnsi="Verdana"/>
          <w:sz w:val="20"/>
          <w:szCs w:val="20"/>
        </w:rPr>
        <w:t xml:space="preserve"> no opone como excepción preliminar la falta de competencia de la Corte IDH para conocer sobre </w:t>
      </w:r>
      <w:r w:rsidR="00FF057E">
        <w:rPr>
          <w:rFonts w:ascii="Verdana" w:hAnsi="Verdana"/>
          <w:sz w:val="20"/>
          <w:szCs w:val="20"/>
        </w:rPr>
        <w:t xml:space="preserve">las alegadas </w:t>
      </w:r>
      <w:r w:rsidR="008B2E59" w:rsidRPr="00B320D4">
        <w:rPr>
          <w:rFonts w:ascii="Verdana" w:hAnsi="Verdana"/>
          <w:sz w:val="20"/>
          <w:szCs w:val="20"/>
        </w:rPr>
        <w:t>violaciones a los DESCA contenidos en el artículo 26</w:t>
      </w:r>
      <w:r w:rsidR="00F5387B" w:rsidRPr="00B320D4">
        <w:rPr>
          <w:rFonts w:ascii="Verdana" w:hAnsi="Verdana"/>
          <w:sz w:val="20"/>
          <w:szCs w:val="20"/>
        </w:rPr>
        <w:t xml:space="preserve"> del Pacto de San José</w:t>
      </w:r>
      <w:r w:rsidR="008B2E59" w:rsidRPr="00B320D4">
        <w:rPr>
          <w:rFonts w:ascii="Verdana" w:hAnsi="Verdana"/>
          <w:sz w:val="20"/>
          <w:szCs w:val="20"/>
        </w:rPr>
        <w:t xml:space="preserve">. Por el contrario, </w:t>
      </w:r>
      <w:r w:rsidR="0052710F" w:rsidRPr="00B320D4">
        <w:rPr>
          <w:rFonts w:ascii="Verdana" w:hAnsi="Verdana"/>
          <w:sz w:val="20"/>
          <w:szCs w:val="20"/>
        </w:rPr>
        <w:t xml:space="preserve">expresa </w:t>
      </w:r>
      <w:r w:rsidR="008B2E59" w:rsidRPr="00B320D4">
        <w:rPr>
          <w:rFonts w:ascii="Verdana" w:hAnsi="Verdana"/>
          <w:sz w:val="20"/>
          <w:szCs w:val="20"/>
        </w:rPr>
        <w:t>las razones por las cuales los mismos no fueron violados en el caso particular</w:t>
      </w:r>
      <w:r w:rsidR="0052710F" w:rsidRPr="00B320D4">
        <w:rPr>
          <w:rFonts w:ascii="Verdana" w:hAnsi="Verdana"/>
          <w:sz w:val="20"/>
          <w:szCs w:val="20"/>
        </w:rPr>
        <w:t xml:space="preserve">, </w:t>
      </w:r>
      <w:r w:rsidRPr="00B320D4">
        <w:rPr>
          <w:rFonts w:ascii="Verdana" w:hAnsi="Verdana"/>
          <w:sz w:val="20"/>
          <w:szCs w:val="20"/>
        </w:rPr>
        <w:t xml:space="preserve">lo que demuestra que no existía controversia sobre la justiciabilidad de los mismos desde dicho precepto de la Convención Americana. </w:t>
      </w:r>
      <w:r w:rsidR="008B2E59" w:rsidRPr="00B320D4">
        <w:rPr>
          <w:rFonts w:ascii="Verdana" w:hAnsi="Verdana"/>
          <w:sz w:val="20"/>
          <w:szCs w:val="20"/>
        </w:rPr>
        <w:t xml:space="preserve">Asimismo, cabe destacar que la </w:t>
      </w:r>
      <w:r w:rsidR="008B2E59" w:rsidRPr="00B320D4">
        <w:rPr>
          <w:rFonts w:ascii="Verdana" w:hAnsi="Verdana"/>
          <w:i/>
          <w:sz w:val="20"/>
          <w:szCs w:val="20"/>
        </w:rPr>
        <w:t>Comisión Interamericana</w:t>
      </w:r>
      <w:r w:rsidR="0052710F" w:rsidRPr="00B320D4">
        <w:rPr>
          <w:rFonts w:ascii="Verdana" w:hAnsi="Verdana"/>
          <w:sz w:val="20"/>
          <w:szCs w:val="20"/>
        </w:rPr>
        <w:t xml:space="preserve">, en su escrito de “observaciones finales” escritas </w:t>
      </w:r>
      <w:r w:rsidR="00D67B9E" w:rsidRPr="00B320D4">
        <w:rPr>
          <w:rFonts w:ascii="Verdana" w:hAnsi="Verdana"/>
          <w:sz w:val="20"/>
          <w:szCs w:val="20"/>
        </w:rPr>
        <w:t>señaló que</w:t>
      </w:r>
      <w:r w:rsidR="00BE38D6" w:rsidRPr="007E1845">
        <w:rPr>
          <w:rStyle w:val="Refdenotaalpie"/>
          <w:rFonts w:ascii="Verdana" w:hAnsi="Verdana"/>
          <w:sz w:val="20"/>
        </w:rPr>
        <w:footnoteReference w:id="9"/>
      </w:r>
      <w:r w:rsidR="00D67B9E" w:rsidRPr="007E1845">
        <w:rPr>
          <w:rFonts w:ascii="Verdana" w:hAnsi="Verdana"/>
          <w:sz w:val="20"/>
          <w:szCs w:val="20"/>
        </w:rPr>
        <w:t>:</w:t>
      </w:r>
    </w:p>
    <w:p w14:paraId="4C829BF2" w14:textId="77777777" w:rsidR="00267F70" w:rsidRPr="00EE35BE" w:rsidRDefault="00267F70" w:rsidP="00267F70">
      <w:pPr>
        <w:pStyle w:val="Prrafodelista"/>
        <w:spacing w:after="0" w:line="240" w:lineRule="auto"/>
        <w:ind w:left="0"/>
        <w:jc w:val="both"/>
        <w:rPr>
          <w:rFonts w:ascii="Verdana" w:hAnsi="Verdana"/>
          <w:sz w:val="20"/>
          <w:szCs w:val="20"/>
        </w:rPr>
      </w:pPr>
    </w:p>
    <w:p w14:paraId="329C5102" w14:textId="002B8595" w:rsidR="00106C24" w:rsidRPr="00EE35BE" w:rsidRDefault="00D67B9E" w:rsidP="0075294F">
      <w:pPr>
        <w:pStyle w:val="Prrafodelista"/>
        <w:spacing w:after="0" w:line="240" w:lineRule="auto"/>
        <w:ind w:left="567"/>
        <w:contextualSpacing w:val="0"/>
        <w:jc w:val="both"/>
        <w:rPr>
          <w:rFonts w:ascii="Verdana" w:hAnsi="Verdana"/>
          <w:sz w:val="16"/>
          <w:szCs w:val="16"/>
        </w:rPr>
      </w:pPr>
      <w:r w:rsidRPr="00EE35BE">
        <w:rPr>
          <w:rFonts w:ascii="Verdana" w:hAnsi="Verdana"/>
          <w:sz w:val="16"/>
          <w:szCs w:val="16"/>
        </w:rPr>
        <w:t>“Si bien la Comisión no determinó violación del artículo 26 de la Convención en su Informe de Fondo 2/12, considera importante que, dado el reciente desarrollo de la jurisprudencia de esa Honorable Corte, pueda desarrollar, por primera vez, la violación al artículo 26, respecto a los derechos territoriales de los pueblos indígenas, en particular en lo relativo al derecho a la alimentación y otros que resulten pertinentes”.</w:t>
      </w:r>
    </w:p>
    <w:p w14:paraId="74DDDAE6" w14:textId="77777777" w:rsidR="008F5ED0" w:rsidRPr="00B320D4" w:rsidRDefault="008F5ED0" w:rsidP="00267F70">
      <w:pPr>
        <w:jc w:val="both"/>
        <w:rPr>
          <w:rFonts w:ascii="Verdana" w:hAnsi="Verdana"/>
          <w:sz w:val="20"/>
          <w:szCs w:val="20"/>
        </w:rPr>
      </w:pPr>
    </w:p>
    <w:p w14:paraId="4BEB248D" w14:textId="38D45CEE" w:rsidR="00D8484E" w:rsidRPr="00B320D4" w:rsidRDefault="00540896" w:rsidP="00267F70">
      <w:pPr>
        <w:jc w:val="both"/>
        <w:rPr>
          <w:rFonts w:ascii="Verdana" w:hAnsi="Verdana"/>
          <w:b/>
          <w:bCs/>
          <w:sz w:val="20"/>
          <w:szCs w:val="20"/>
        </w:rPr>
      </w:pPr>
      <w:r w:rsidRPr="00B320D4">
        <w:rPr>
          <w:rFonts w:ascii="Verdana" w:hAnsi="Verdana"/>
          <w:sz w:val="20"/>
          <w:szCs w:val="20"/>
        </w:rPr>
        <w:t xml:space="preserve">7. </w:t>
      </w:r>
      <w:r w:rsidRPr="00B320D4">
        <w:rPr>
          <w:rFonts w:ascii="Verdana" w:hAnsi="Verdana"/>
          <w:sz w:val="20"/>
          <w:szCs w:val="20"/>
        </w:rPr>
        <w:tab/>
      </w:r>
      <w:r w:rsidR="0087790B" w:rsidRPr="00B320D4">
        <w:rPr>
          <w:rFonts w:ascii="Verdana" w:hAnsi="Verdana"/>
          <w:sz w:val="20"/>
          <w:szCs w:val="20"/>
        </w:rPr>
        <w:t xml:space="preserve">Debe destacarse que no ha sido la primera ocasión en que se le ha solicitado a la Corte IDH  —ya sea por parte de la Comisión Interamericana o por los representantes de las víctimas—que se pronuncie sobre el contenido del artículo 26 frente a los derechos de las comunidades indígenas más allá de la protección que se pueda otorgar sobre las tierras mediante el artículo 21 de la Convención Americana. En este sentido, ya el Tribunal Interamericano en los casos </w:t>
      </w:r>
      <w:r w:rsidR="0087790B" w:rsidRPr="00B320D4">
        <w:rPr>
          <w:rFonts w:ascii="Verdana" w:hAnsi="Verdana"/>
          <w:i/>
          <w:iCs/>
          <w:sz w:val="20"/>
          <w:szCs w:val="20"/>
        </w:rPr>
        <w:t>Yakye Axa</w:t>
      </w:r>
      <w:r w:rsidR="0087790B" w:rsidRPr="00B320D4">
        <w:rPr>
          <w:rFonts w:ascii="Verdana" w:hAnsi="Verdana"/>
          <w:sz w:val="20"/>
          <w:szCs w:val="20"/>
        </w:rPr>
        <w:t xml:space="preserve"> (2005)</w:t>
      </w:r>
      <w:r w:rsidR="007D49CF" w:rsidRPr="007E1845">
        <w:rPr>
          <w:rStyle w:val="Refdenotaalpie"/>
          <w:rFonts w:ascii="Verdana" w:hAnsi="Verdana"/>
          <w:sz w:val="20"/>
        </w:rPr>
        <w:footnoteReference w:id="10"/>
      </w:r>
      <w:r w:rsidR="0087790B" w:rsidRPr="007E1845">
        <w:rPr>
          <w:rFonts w:ascii="Verdana" w:hAnsi="Verdana"/>
          <w:sz w:val="20"/>
          <w:szCs w:val="20"/>
        </w:rPr>
        <w:t xml:space="preserve"> y </w:t>
      </w:r>
      <w:r w:rsidR="0087790B" w:rsidRPr="00914E2E">
        <w:rPr>
          <w:rFonts w:ascii="Verdana" w:hAnsi="Verdana"/>
          <w:i/>
          <w:iCs/>
          <w:sz w:val="20"/>
          <w:szCs w:val="20"/>
        </w:rPr>
        <w:t>Sarayaku</w:t>
      </w:r>
      <w:r w:rsidR="0087790B" w:rsidRPr="001865F1">
        <w:rPr>
          <w:rFonts w:ascii="Verdana" w:hAnsi="Verdana"/>
          <w:sz w:val="20"/>
          <w:szCs w:val="20"/>
        </w:rPr>
        <w:t xml:space="preserve"> (2012)</w:t>
      </w:r>
      <w:r w:rsidR="007D49CF" w:rsidRPr="007E1845">
        <w:rPr>
          <w:rStyle w:val="Refdenotaalpie"/>
          <w:rFonts w:ascii="Verdana" w:hAnsi="Verdana"/>
          <w:sz w:val="20"/>
        </w:rPr>
        <w:footnoteReference w:id="11"/>
      </w:r>
      <w:r w:rsidR="0087790B" w:rsidRPr="007E1845">
        <w:rPr>
          <w:rFonts w:ascii="Verdana" w:hAnsi="Verdana"/>
          <w:sz w:val="20"/>
          <w:szCs w:val="20"/>
        </w:rPr>
        <w:t xml:space="preserve"> había </w:t>
      </w:r>
      <w:r w:rsidR="00E90E49" w:rsidRPr="00914E2E">
        <w:rPr>
          <w:rFonts w:ascii="Verdana" w:hAnsi="Verdana"/>
          <w:sz w:val="20"/>
          <w:szCs w:val="20"/>
        </w:rPr>
        <w:t>con</w:t>
      </w:r>
      <w:r w:rsidR="00E90E49" w:rsidRPr="001865F1">
        <w:rPr>
          <w:rFonts w:ascii="Verdana" w:hAnsi="Verdana"/>
          <w:sz w:val="20"/>
          <w:szCs w:val="20"/>
        </w:rPr>
        <w:t xml:space="preserve">ocido </w:t>
      </w:r>
      <w:r w:rsidR="0087790B" w:rsidRPr="00EE35BE">
        <w:rPr>
          <w:rFonts w:ascii="Verdana" w:hAnsi="Verdana"/>
          <w:sz w:val="20"/>
          <w:szCs w:val="20"/>
        </w:rPr>
        <w:t>el alegato</w:t>
      </w:r>
      <w:r w:rsidR="008F5ED0" w:rsidRPr="00EE35BE">
        <w:rPr>
          <w:rFonts w:ascii="Verdana" w:hAnsi="Verdana"/>
          <w:sz w:val="20"/>
          <w:szCs w:val="20"/>
        </w:rPr>
        <w:t xml:space="preserve"> respecto de la violación al </w:t>
      </w:r>
      <w:r w:rsidR="006F62A1" w:rsidRPr="00EE35BE">
        <w:rPr>
          <w:rFonts w:ascii="Verdana" w:hAnsi="Verdana"/>
          <w:sz w:val="20"/>
          <w:szCs w:val="20"/>
        </w:rPr>
        <w:t>artículo 26</w:t>
      </w:r>
      <w:r w:rsidR="008F5ED0" w:rsidRPr="00EE35BE">
        <w:rPr>
          <w:rFonts w:ascii="Verdana" w:hAnsi="Verdana"/>
          <w:sz w:val="20"/>
          <w:szCs w:val="20"/>
        </w:rPr>
        <w:t xml:space="preserve"> del Pacto de San José</w:t>
      </w:r>
      <w:r w:rsidR="00E90E49" w:rsidRPr="00B320D4">
        <w:rPr>
          <w:rFonts w:ascii="Verdana" w:hAnsi="Verdana"/>
          <w:sz w:val="20"/>
          <w:szCs w:val="20"/>
        </w:rPr>
        <w:t>, sin que l</w:t>
      </w:r>
      <w:r w:rsidR="0087790B" w:rsidRPr="00B320D4">
        <w:rPr>
          <w:rFonts w:ascii="Verdana" w:hAnsi="Verdana"/>
          <w:sz w:val="20"/>
          <w:szCs w:val="20"/>
        </w:rPr>
        <w:t xml:space="preserve">a Corte IDH </w:t>
      </w:r>
      <w:r w:rsidR="00E90E49" w:rsidRPr="00B320D4">
        <w:rPr>
          <w:rFonts w:ascii="Verdana" w:hAnsi="Verdana"/>
          <w:sz w:val="20"/>
          <w:szCs w:val="20"/>
        </w:rPr>
        <w:t xml:space="preserve">hubiese considerado </w:t>
      </w:r>
      <w:r w:rsidR="00C54CAB" w:rsidRPr="00B320D4">
        <w:rPr>
          <w:rFonts w:ascii="Verdana" w:hAnsi="Verdana"/>
          <w:sz w:val="20"/>
          <w:szCs w:val="20"/>
        </w:rPr>
        <w:t xml:space="preserve">vulnerada </w:t>
      </w:r>
      <w:r w:rsidR="00E90E49" w:rsidRPr="00B320D4">
        <w:rPr>
          <w:rFonts w:ascii="Verdana" w:hAnsi="Verdana"/>
          <w:sz w:val="20"/>
          <w:szCs w:val="20"/>
        </w:rPr>
        <w:t>dicha disposición.</w:t>
      </w:r>
      <w:r w:rsidR="00D8484E" w:rsidRPr="00B320D4">
        <w:rPr>
          <w:rFonts w:ascii="Verdana" w:hAnsi="Verdana"/>
          <w:sz w:val="20"/>
          <w:szCs w:val="20"/>
        </w:rPr>
        <w:t xml:space="preserve"> Y de ahí la relevancia de este caso en la jurisprudencia interamericana e internacional, al abonar a una deuda pendiente para los pueblos y comunidades indígenas y tribales de nuestra región.</w:t>
      </w:r>
    </w:p>
    <w:p w14:paraId="742E0670" w14:textId="77777777" w:rsidR="00024A21" w:rsidRPr="00B320D4" w:rsidRDefault="00024A21" w:rsidP="00267F70">
      <w:pPr>
        <w:pStyle w:val="Prrafodelista"/>
        <w:spacing w:after="0" w:line="240" w:lineRule="auto"/>
        <w:ind w:left="0"/>
        <w:contextualSpacing w:val="0"/>
        <w:jc w:val="both"/>
        <w:rPr>
          <w:rFonts w:ascii="Verdana" w:hAnsi="Verdana"/>
          <w:sz w:val="20"/>
          <w:szCs w:val="20"/>
        </w:rPr>
      </w:pPr>
    </w:p>
    <w:p w14:paraId="33C5ACAB" w14:textId="339A57CC" w:rsidR="009C0E94" w:rsidRPr="00B320D4" w:rsidRDefault="00540896" w:rsidP="00267F70">
      <w:pPr>
        <w:pStyle w:val="Prrafodelista"/>
        <w:spacing w:after="0" w:line="240" w:lineRule="auto"/>
        <w:ind w:left="0"/>
        <w:contextualSpacing w:val="0"/>
        <w:jc w:val="both"/>
        <w:rPr>
          <w:rFonts w:ascii="Verdana" w:hAnsi="Verdana"/>
          <w:sz w:val="20"/>
          <w:szCs w:val="20"/>
        </w:rPr>
      </w:pPr>
      <w:r w:rsidRPr="00B320D4">
        <w:rPr>
          <w:rFonts w:ascii="Verdana" w:hAnsi="Verdana"/>
          <w:sz w:val="20"/>
          <w:szCs w:val="20"/>
        </w:rPr>
        <w:t xml:space="preserve">8. </w:t>
      </w:r>
      <w:r w:rsidRPr="00B320D4">
        <w:rPr>
          <w:rFonts w:ascii="Verdana" w:hAnsi="Verdana"/>
          <w:sz w:val="20"/>
          <w:szCs w:val="20"/>
        </w:rPr>
        <w:tab/>
      </w:r>
      <w:r w:rsidR="00EF4ABB" w:rsidRPr="00B320D4">
        <w:rPr>
          <w:rFonts w:ascii="Verdana" w:hAnsi="Verdana"/>
          <w:sz w:val="20"/>
          <w:szCs w:val="20"/>
        </w:rPr>
        <w:t>Asimismo, resulta importante resaltar</w:t>
      </w:r>
      <w:r w:rsidR="009C0E94" w:rsidRPr="00B320D4">
        <w:rPr>
          <w:rFonts w:ascii="Verdana" w:hAnsi="Verdana"/>
          <w:sz w:val="20"/>
          <w:szCs w:val="20"/>
        </w:rPr>
        <w:t xml:space="preserve"> el </w:t>
      </w:r>
      <w:r w:rsidR="00EF4ABB" w:rsidRPr="00B320D4">
        <w:rPr>
          <w:rFonts w:ascii="Verdana" w:hAnsi="Verdana"/>
          <w:sz w:val="20"/>
          <w:szCs w:val="20"/>
        </w:rPr>
        <w:t xml:space="preserve">especial </w:t>
      </w:r>
      <w:r w:rsidR="009C0E94" w:rsidRPr="00B320D4">
        <w:rPr>
          <w:rFonts w:ascii="Verdana" w:hAnsi="Verdana"/>
          <w:sz w:val="20"/>
          <w:szCs w:val="20"/>
        </w:rPr>
        <w:t>interés que despertó en la sociedad civil el caso</w:t>
      </w:r>
      <w:r w:rsidR="008B656B" w:rsidRPr="00B320D4">
        <w:rPr>
          <w:rFonts w:ascii="Verdana" w:hAnsi="Verdana"/>
          <w:sz w:val="20"/>
          <w:szCs w:val="20"/>
        </w:rPr>
        <w:t xml:space="preserve"> </w:t>
      </w:r>
      <w:r w:rsidR="008B656B" w:rsidRPr="00B320D4">
        <w:rPr>
          <w:rFonts w:ascii="Verdana" w:hAnsi="Verdana"/>
          <w:i/>
          <w:iCs/>
          <w:sz w:val="20"/>
          <w:szCs w:val="20"/>
        </w:rPr>
        <w:t>Lhaka Honhat</w:t>
      </w:r>
      <w:r w:rsidR="009C0E94" w:rsidRPr="00B320D4">
        <w:rPr>
          <w:rFonts w:ascii="Verdana" w:hAnsi="Verdana"/>
          <w:sz w:val="20"/>
          <w:szCs w:val="20"/>
        </w:rPr>
        <w:t xml:space="preserve">, como se </w:t>
      </w:r>
      <w:r w:rsidR="00B90328" w:rsidRPr="00B320D4">
        <w:rPr>
          <w:rFonts w:ascii="Verdana" w:hAnsi="Verdana"/>
          <w:sz w:val="20"/>
          <w:szCs w:val="20"/>
        </w:rPr>
        <w:t>aprecia</w:t>
      </w:r>
      <w:r w:rsidR="009C0E94" w:rsidRPr="00B320D4">
        <w:rPr>
          <w:rFonts w:ascii="Verdana" w:hAnsi="Verdana"/>
          <w:sz w:val="20"/>
          <w:szCs w:val="20"/>
        </w:rPr>
        <w:t xml:space="preserve"> por los numerosos y valiosos escritos </w:t>
      </w:r>
      <w:r w:rsidRPr="00B320D4">
        <w:rPr>
          <w:rFonts w:ascii="Verdana" w:hAnsi="Verdana"/>
          <w:sz w:val="20"/>
          <w:szCs w:val="20"/>
        </w:rPr>
        <w:t xml:space="preserve">presentados </w:t>
      </w:r>
      <w:r w:rsidR="008F5ED0" w:rsidRPr="00B320D4">
        <w:rPr>
          <w:rFonts w:ascii="Verdana" w:hAnsi="Verdana"/>
          <w:sz w:val="20"/>
          <w:szCs w:val="20"/>
        </w:rPr>
        <w:t xml:space="preserve">por asociaciones, instituciones y personas </w:t>
      </w:r>
      <w:r w:rsidRPr="00B320D4">
        <w:rPr>
          <w:rFonts w:ascii="Verdana" w:hAnsi="Verdana"/>
          <w:sz w:val="20"/>
          <w:szCs w:val="20"/>
        </w:rPr>
        <w:t xml:space="preserve">en calidad </w:t>
      </w:r>
      <w:r w:rsidR="009C0E94" w:rsidRPr="00B320D4">
        <w:rPr>
          <w:rFonts w:ascii="Verdana" w:hAnsi="Verdana"/>
          <w:sz w:val="20"/>
          <w:szCs w:val="20"/>
        </w:rPr>
        <w:t xml:space="preserve">de </w:t>
      </w:r>
      <w:r w:rsidR="009C0E94" w:rsidRPr="00B320D4">
        <w:rPr>
          <w:rFonts w:ascii="Verdana" w:hAnsi="Verdana"/>
          <w:i/>
          <w:sz w:val="20"/>
          <w:szCs w:val="20"/>
        </w:rPr>
        <w:t>amicus curiae</w:t>
      </w:r>
      <w:r w:rsidR="009C0E94" w:rsidRPr="007E1845">
        <w:rPr>
          <w:rStyle w:val="Refdenotaalpie"/>
          <w:rFonts w:ascii="Verdana" w:hAnsi="Verdana"/>
          <w:sz w:val="20"/>
        </w:rPr>
        <w:footnoteReference w:id="12"/>
      </w:r>
      <w:r w:rsidR="00B90328" w:rsidRPr="007E1845">
        <w:rPr>
          <w:rFonts w:ascii="Verdana" w:hAnsi="Verdana"/>
          <w:i/>
          <w:sz w:val="20"/>
          <w:szCs w:val="20"/>
        </w:rPr>
        <w:t>,</w:t>
      </w:r>
      <w:r w:rsidR="00B90328" w:rsidRPr="00914E2E">
        <w:rPr>
          <w:rFonts w:ascii="Verdana" w:hAnsi="Verdana"/>
          <w:sz w:val="20"/>
          <w:szCs w:val="20"/>
        </w:rPr>
        <w:t xml:space="preserve"> </w:t>
      </w:r>
      <w:r w:rsidR="008F5ED0" w:rsidRPr="001865F1">
        <w:rPr>
          <w:rFonts w:ascii="Verdana" w:hAnsi="Verdana"/>
          <w:sz w:val="20"/>
          <w:szCs w:val="20"/>
        </w:rPr>
        <w:t>los cuales resultaron</w:t>
      </w:r>
      <w:r w:rsidR="00024A21" w:rsidRPr="00EE35BE">
        <w:rPr>
          <w:rFonts w:ascii="Verdana" w:hAnsi="Verdana"/>
          <w:sz w:val="20"/>
          <w:szCs w:val="20"/>
        </w:rPr>
        <w:t xml:space="preserve"> de mucha utilidad y </w:t>
      </w:r>
      <w:r w:rsidR="008F5ED0" w:rsidRPr="00EE35BE">
        <w:rPr>
          <w:rFonts w:ascii="Verdana" w:hAnsi="Verdana"/>
          <w:sz w:val="20"/>
          <w:szCs w:val="20"/>
        </w:rPr>
        <w:t xml:space="preserve">fueron </w:t>
      </w:r>
      <w:r w:rsidR="00EF4ABB" w:rsidRPr="00EE35BE">
        <w:rPr>
          <w:rFonts w:ascii="Verdana" w:hAnsi="Verdana"/>
          <w:sz w:val="20"/>
          <w:szCs w:val="20"/>
        </w:rPr>
        <w:t>particularmente</w:t>
      </w:r>
      <w:r w:rsidR="00024A21" w:rsidRPr="00EE35BE">
        <w:rPr>
          <w:rFonts w:ascii="Verdana" w:hAnsi="Verdana"/>
          <w:sz w:val="20"/>
          <w:szCs w:val="20"/>
        </w:rPr>
        <w:t xml:space="preserve"> citados </w:t>
      </w:r>
      <w:r w:rsidR="00181855" w:rsidRPr="00B320D4">
        <w:rPr>
          <w:rFonts w:ascii="Verdana" w:hAnsi="Verdana"/>
          <w:sz w:val="20"/>
          <w:szCs w:val="20"/>
        </w:rPr>
        <w:t xml:space="preserve">a lo </w:t>
      </w:r>
      <w:r w:rsidR="00181855" w:rsidRPr="00B320D4">
        <w:rPr>
          <w:rFonts w:ascii="Verdana" w:hAnsi="Verdana"/>
          <w:sz w:val="20"/>
          <w:szCs w:val="20"/>
        </w:rPr>
        <w:lastRenderedPageBreak/>
        <w:t>largo de</w:t>
      </w:r>
      <w:r w:rsidR="00024A21" w:rsidRPr="00B320D4">
        <w:rPr>
          <w:rFonts w:ascii="Verdana" w:hAnsi="Verdana"/>
          <w:sz w:val="20"/>
          <w:szCs w:val="20"/>
        </w:rPr>
        <w:t xml:space="preserve"> la Sentencia</w:t>
      </w:r>
      <w:r w:rsidR="00F5387B" w:rsidRPr="00B320D4">
        <w:rPr>
          <w:rFonts w:ascii="Verdana" w:hAnsi="Verdana"/>
          <w:sz w:val="20"/>
          <w:szCs w:val="20"/>
        </w:rPr>
        <w:t xml:space="preserve"> como se destaca más adelante</w:t>
      </w:r>
      <w:r w:rsidR="00653CF5" w:rsidRPr="007E1845">
        <w:rPr>
          <w:rStyle w:val="Refdenotaalpie"/>
          <w:rFonts w:ascii="Verdana" w:hAnsi="Verdana"/>
          <w:sz w:val="20"/>
        </w:rPr>
        <w:footnoteReference w:id="13"/>
      </w:r>
      <w:r w:rsidR="00B90328" w:rsidRPr="007E1845">
        <w:rPr>
          <w:rFonts w:ascii="Verdana" w:hAnsi="Verdana"/>
          <w:sz w:val="20"/>
          <w:szCs w:val="20"/>
        </w:rPr>
        <w:t>;</w:t>
      </w:r>
      <w:r w:rsidR="00024A21" w:rsidRPr="00914E2E">
        <w:rPr>
          <w:rFonts w:ascii="Verdana" w:hAnsi="Verdana"/>
          <w:sz w:val="20"/>
          <w:szCs w:val="20"/>
        </w:rPr>
        <w:t xml:space="preserve"> </w:t>
      </w:r>
      <w:r w:rsidR="009C0E94" w:rsidRPr="00914E2E">
        <w:rPr>
          <w:rFonts w:ascii="Verdana" w:hAnsi="Verdana"/>
          <w:sz w:val="20"/>
          <w:szCs w:val="20"/>
        </w:rPr>
        <w:t xml:space="preserve">varios de ellos </w:t>
      </w:r>
      <w:r w:rsidR="00B90328" w:rsidRPr="001865F1">
        <w:rPr>
          <w:rFonts w:ascii="Verdana" w:hAnsi="Verdana"/>
          <w:sz w:val="20"/>
          <w:szCs w:val="20"/>
        </w:rPr>
        <w:t xml:space="preserve">referidos a la competencia para conocer de la </w:t>
      </w:r>
      <w:r w:rsidR="009C0E94" w:rsidRPr="00EE35BE">
        <w:rPr>
          <w:rFonts w:ascii="Verdana" w:hAnsi="Verdana"/>
          <w:sz w:val="20"/>
          <w:szCs w:val="20"/>
        </w:rPr>
        <w:t>violación autónoma de los DESCA</w:t>
      </w:r>
      <w:r w:rsidR="00B90328" w:rsidRPr="00EE35BE">
        <w:rPr>
          <w:rFonts w:ascii="Verdana" w:hAnsi="Verdana"/>
          <w:sz w:val="20"/>
          <w:szCs w:val="20"/>
        </w:rPr>
        <w:t xml:space="preserve"> protegidos por el artículo 26 de la Convención Americana, </w:t>
      </w:r>
      <w:r w:rsidR="009C0E94" w:rsidRPr="00EE35BE">
        <w:rPr>
          <w:rFonts w:ascii="Verdana" w:hAnsi="Verdana"/>
          <w:sz w:val="20"/>
          <w:szCs w:val="20"/>
        </w:rPr>
        <w:t xml:space="preserve">a la luz de la metodología adoptada por la Corte IDH </w:t>
      </w:r>
      <w:r w:rsidR="00B90328" w:rsidRPr="00EE35BE">
        <w:rPr>
          <w:rFonts w:ascii="Verdana" w:hAnsi="Verdana"/>
          <w:sz w:val="20"/>
          <w:szCs w:val="20"/>
        </w:rPr>
        <w:t>en sus precedentes sobre la materia, de</w:t>
      </w:r>
      <w:r w:rsidR="00B90328" w:rsidRPr="00B320D4">
        <w:rPr>
          <w:rFonts w:ascii="Verdana" w:hAnsi="Verdana"/>
          <w:sz w:val="20"/>
          <w:szCs w:val="20"/>
        </w:rPr>
        <w:t>sde el cambio jurisprudencial del año 2017</w:t>
      </w:r>
      <w:r w:rsidR="009C0E94" w:rsidRPr="00B320D4">
        <w:rPr>
          <w:rFonts w:ascii="Verdana" w:hAnsi="Verdana"/>
          <w:sz w:val="20"/>
          <w:szCs w:val="20"/>
        </w:rPr>
        <w:t>.</w:t>
      </w:r>
    </w:p>
    <w:p w14:paraId="7306FFF6" w14:textId="77777777" w:rsidR="00F27F8E" w:rsidRPr="00B320D4" w:rsidRDefault="00F27F8E" w:rsidP="00267F70">
      <w:pPr>
        <w:rPr>
          <w:rFonts w:ascii="Verdana" w:hAnsi="Verdana"/>
          <w:sz w:val="20"/>
          <w:szCs w:val="20"/>
        </w:rPr>
      </w:pPr>
    </w:p>
    <w:p w14:paraId="7FA94746" w14:textId="29B15214" w:rsidR="00642D42" w:rsidRPr="00B320D4" w:rsidRDefault="00540896" w:rsidP="00267F70">
      <w:pPr>
        <w:pStyle w:val="Prrafodelista"/>
        <w:spacing w:after="0" w:line="240" w:lineRule="auto"/>
        <w:ind w:left="0"/>
        <w:contextualSpacing w:val="0"/>
        <w:jc w:val="both"/>
        <w:rPr>
          <w:rFonts w:ascii="Verdana" w:hAnsi="Verdana"/>
          <w:sz w:val="20"/>
          <w:szCs w:val="20"/>
        </w:rPr>
      </w:pPr>
      <w:r w:rsidRPr="00B320D4">
        <w:rPr>
          <w:rFonts w:ascii="Verdana" w:hAnsi="Verdana"/>
          <w:sz w:val="20"/>
          <w:szCs w:val="20"/>
        </w:rPr>
        <w:t xml:space="preserve">9. </w:t>
      </w:r>
      <w:r w:rsidRPr="00B320D4">
        <w:rPr>
          <w:rFonts w:ascii="Verdana" w:hAnsi="Verdana"/>
          <w:sz w:val="20"/>
          <w:szCs w:val="20"/>
        </w:rPr>
        <w:tab/>
      </w:r>
      <w:r w:rsidR="000647BE" w:rsidRPr="00B320D4">
        <w:rPr>
          <w:rFonts w:ascii="Verdana" w:hAnsi="Verdana"/>
          <w:sz w:val="20"/>
          <w:szCs w:val="20"/>
        </w:rPr>
        <w:t>Teniendo en cuenta lo anterior, así como lo ya razonado en otras ocasiones sobre el particular</w:t>
      </w:r>
      <w:r w:rsidR="000647BE" w:rsidRPr="007E1845">
        <w:rPr>
          <w:rStyle w:val="Refdenotaalpie"/>
          <w:rFonts w:ascii="Verdana" w:hAnsi="Verdana"/>
          <w:sz w:val="20"/>
        </w:rPr>
        <w:footnoteReference w:id="14"/>
      </w:r>
      <w:r w:rsidR="000647BE" w:rsidRPr="007E1845">
        <w:rPr>
          <w:rFonts w:ascii="Verdana" w:hAnsi="Verdana"/>
          <w:sz w:val="20"/>
          <w:szCs w:val="20"/>
        </w:rPr>
        <w:t xml:space="preserve">, emito el presente voto razonado con el objetivo de reflexionar en torno a algunos aspectos relevantes </w:t>
      </w:r>
      <w:r w:rsidR="00B90328" w:rsidRPr="00914E2E">
        <w:rPr>
          <w:rFonts w:ascii="Verdana" w:hAnsi="Verdana"/>
          <w:sz w:val="20"/>
          <w:szCs w:val="20"/>
        </w:rPr>
        <w:t>para el</w:t>
      </w:r>
      <w:r w:rsidR="00B90328" w:rsidRPr="001865F1">
        <w:rPr>
          <w:rFonts w:ascii="Verdana" w:hAnsi="Verdana"/>
          <w:sz w:val="20"/>
          <w:szCs w:val="20"/>
        </w:rPr>
        <w:t xml:space="preserve"> orden público interamericano</w:t>
      </w:r>
      <w:r w:rsidR="00B90328" w:rsidRPr="00EE35BE">
        <w:rPr>
          <w:rFonts w:ascii="Verdana" w:hAnsi="Verdana"/>
          <w:sz w:val="20"/>
          <w:szCs w:val="20"/>
        </w:rPr>
        <w:t xml:space="preserve"> </w:t>
      </w:r>
      <w:r w:rsidR="000647BE" w:rsidRPr="00EE35BE">
        <w:rPr>
          <w:rFonts w:ascii="Verdana" w:hAnsi="Verdana"/>
          <w:sz w:val="20"/>
          <w:szCs w:val="20"/>
        </w:rPr>
        <w:t xml:space="preserve">que surgen de esta Sentencia. Para ello, he dividido el presente </w:t>
      </w:r>
      <w:r w:rsidR="00797FC1" w:rsidRPr="00EE35BE">
        <w:rPr>
          <w:rFonts w:ascii="Verdana" w:hAnsi="Verdana"/>
          <w:sz w:val="20"/>
          <w:szCs w:val="20"/>
        </w:rPr>
        <w:t>V</w:t>
      </w:r>
      <w:r w:rsidR="000647BE" w:rsidRPr="00EE35BE">
        <w:rPr>
          <w:rFonts w:ascii="Verdana" w:hAnsi="Verdana"/>
          <w:sz w:val="20"/>
          <w:szCs w:val="20"/>
        </w:rPr>
        <w:t>oto de la siguiente manera:</w:t>
      </w:r>
      <w:r w:rsidR="00F5387B" w:rsidRPr="00B320D4">
        <w:rPr>
          <w:rFonts w:ascii="Verdana" w:hAnsi="Verdana"/>
          <w:sz w:val="20"/>
          <w:szCs w:val="20"/>
        </w:rPr>
        <w:t xml:space="preserve"> </w:t>
      </w:r>
      <w:r w:rsidR="00EF4ABB" w:rsidRPr="00B320D4">
        <w:rPr>
          <w:rFonts w:ascii="Verdana" w:hAnsi="Verdana"/>
          <w:b/>
          <w:sz w:val="20"/>
          <w:szCs w:val="20"/>
        </w:rPr>
        <w:t>I.</w:t>
      </w:r>
      <w:r w:rsidR="00EF4ABB" w:rsidRPr="00B320D4">
        <w:rPr>
          <w:rFonts w:ascii="Verdana" w:hAnsi="Verdana"/>
          <w:sz w:val="20"/>
          <w:szCs w:val="20"/>
        </w:rPr>
        <w:t xml:space="preserve"> </w:t>
      </w:r>
      <w:r w:rsidR="00FE0B35" w:rsidRPr="00B320D4">
        <w:rPr>
          <w:rFonts w:ascii="Verdana" w:hAnsi="Verdana"/>
          <w:iCs/>
          <w:sz w:val="20"/>
          <w:szCs w:val="20"/>
        </w:rPr>
        <w:t xml:space="preserve">La tierra y el territorio: su protección diferenciada desde la </w:t>
      </w:r>
      <w:r w:rsidR="00797FC1" w:rsidRPr="00B320D4">
        <w:rPr>
          <w:rFonts w:ascii="Verdana" w:hAnsi="Verdana"/>
          <w:iCs/>
          <w:sz w:val="20"/>
          <w:szCs w:val="20"/>
        </w:rPr>
        <w:t>C</w:t>
      </w:r>
      <w:r w:rsidR="00FE0B35" w:rsidRPr="00B320D4">
        <w:rPr>
          <w:rFonts w:ascii="Verdana" w:hAnsi="Verdana"/>
          <w:iCs/>
          <w:sz w:val="20"/>
          <w:szCs w:val="20"/>
        </w:rPr>
        <w:t xml:space="preserve">onvención </w:t>
      </w:r>
      <w:r w:rsidR="00797FC1" w:rsidRPr="00B320D4">
        <w:rPr>
          <w:rFonts w:ascii="Verdana" w:hAnsi="Verdana"/>
          <w:iCs/>
          <w:sz w:val="20"/>
          <w:szCs w:val="20"/>
        </w:rPr>
        <w:t>A</w:t>
      </w:r>
      <w:r w:rsidR="00FE0B35" w:rsidRPr="00B320D4">
        <w:rPr>
          <w:rFonts w:ascii="Verdana" w:hAnsi="Verdana"/>
          <w:iCs/>
          <w:sz w:val="20"/>
          <w:szCs w:val="20"/>
        </w:rPr>
        <w:t xml:space="preserve">mericana sobre </w:t>
      </w:r>
      <w:r w:rsidR="00797FC1" w:rsidRPr="00B320D4">
        <w:rPr>
          <w:rFonts w:ascii="Verdana" w:hAnsi="Verdana"/>
          <w:iCs/>
          <w:sz w:val="20"/>
          <w:szCs w:val="20"/>
        </w:rPr>
        <w:t>D</w:t>
      </w:r>
      <w:r w:rsidR="00FE0B35" w:rsidRPr="00B320D4">
        <w:rPr>
          <w:rFonts w:ascii="Verdana" w:hAnsi="Verdana"/>
          <w:iCs/>
          <w:sz w:val="20"/>
          <w:szCs w:val="20"/>
        </w:rPr>
        <w:t xml:space="preserve">erechos </w:t>
      </w:r>
      <w:r w:rsidR="00797FC1" w:rsidRPr="00B320D4">
        <w:rPr>
          <w:rFonts w:ascii="Verdana" w:hAnsi="Verdana"/>
          <w:iCs/>
          <w:sz w:val="20"/>
          <w:szCs w:val="20"/>
        </w:rPr>
        <w:t>H</w:t>
      </w:r>
      <w:r w:rsidR="00FE0B35" w:rsidRPr="00B320D4">
        <w:rPr>
          <w:rFonts w:ascii="Verdana" w:hAnsi="Verdana"/>
          <w:iCs/>
          <w:sz w:val="20"/>
          <w:szCs w:val="20"/>
        </w:rPr>
        <w:t>umanos</w:t>
      </w:r>
      <w:r w:rsidR="009F2DE9" w:rsidRPr="00B320D4">
        <w:rPr>
          <w:rFonts w:ascii="Verdana" w:hAnsi="Verdana"/>
          <w:iCs/>
          <w:sz w:val="20"/>
          <w:szCs w:val="20"/>
        </w:rPr>
        <w:t xml:space="preserve"> y los DESCA</w:t>
      </w:r>
      <w:r w:rsidR="00FE0B35" w:rsidRPr="00B320D4">
        <w:rPr>
          <w:rFonts w:ascii="Verdana" w:hAnsi="Verdana"/>
          <w:b/>
          <w:bCs/>
          <w:sz w:val="20"/>
          <w:szCs w:val="20"/>
        </w:rPr>
        <w:t xml:space="preserve"> </w:t>
      </w:r>
      <w:r w:rsidR="000647BE" w:rsidRPr="00B320D4">
        <w:rPr>
          <w:rFonts w:ascii="Verdana" w:hAnsi="Verdana"/>
          <w:i/>
          <w:sz w:val="20"/>
          <w:szCs w:val="20"/>
        </w:rPr>
        <w:t>(</w:t>
      </w:r>
      <w:r w:rsidR="000647BE" w:rsidRPr="00B320D4">
        <w:rPr>
          <w:rFonts w:ascii="Verdana" w:hAnsi="Verdana"/>
          <w:i/>
          <w:sz w:val="20"/>
          <w:szCs w:val="20"/>
          <w:u w:val="single"/>
        </w:rPr>
        <w:t>párr</w:t>
      </w:r>
      <w:r w:rsidR="000F4A00" w:rsidRPr="00B320D4">
        <w:rPr>
          <w:rFonts w:ascii="Verdana" w:hAnsi="Verdana"/>
          <w:i/>
          <w:sz w:val="20"/>
          <w:szCs w:val="20"/>
          <w:u w:val="single"/>
        </w:rPr>
        <w:t>s.</w:t>
      </w:r>
      <w:r w:rsidR="000647BE" w:rsidRPr="00B320D4">
        <w:rPr>
          <w:rFonts w:ascii="Verdana" w:hAnsi="Verdana"/>
          <w:i/>
          <w:sz w:val="20"/>
          <w:szCs w:val="20"/>
          <w:u w:val="single"/>
        </w:rPr>
        <w:t xml:space="preserve"> </w:t>
      </w:r>
      <w:r w:rsidR="00222ECF" w:rsidRPr="00B320D4">
        <w:rPr>
          <w:rFonts w:ascii="Verdana" w:hAnsi="Verdana"/>
          <w:i/>
          <w:sz w:val="20"/>
          <w:szCs w:val="20"/>
          <w:u w:val="single"/>
        </w:rPr>
        <w:t>10</w:t>
      </w:r>
      <w:r w:rsidR="00F71F86" w:rsidRPr="00B320D4">
        <w:rPr>
          <w:rFonts w:ascii="Verdana" w:hAnsi="Verdana"/>
          <w:i/>
          <w:sz w:val="20"/>
          <w:szCs w:val="20"/>
          <w:u w:val="single"/>
        </w:rPr>
        <w:t>-</w:t>
      </w:r>
      <w:r w:rsidR="00FB0638">
        <w:rPr>
          <w:rFonts w:ascii="Verdana" w:hAnsi="Verdana"/>
          <w:i/>
          <w:sz w:val="20"/>
          <w:szCs w:val="20"/>
          <w:u w:val="single"/>
        </w:rPr>
        <w:t>41</w:t>
      </w:r>
      <w:r w:rsidR="000647BE" w:rsidRPr="00B320D4">
        <w:rPr>
          <w:rFonts w:ascii="Verdana" w:hAnsi="Verdana"/>
          <w:sz w:val="20"/>
          <w:szCs w:val="20"/>
        </w:rPr>
        <w:t xml:space="preserve">); </w:t>
      </w:r>
      <w:r w:rsidR="0058240E" w:rsidRPr="008961DD">
        <w:rPr>
          <w:rFonts w:ascii="Verdana" w:hAnsi="Verdana"/>
          <w:b/>
          <w:sz w:val="20"/>
          <w:szCs w:val="20"/>
        </w:rPr>
        <w:t>II.</w:t>
      </w:r>
      <w:r w:rsidR="0058240E" w:rsidRPr="00B320D4">
        <w:rPr>
          <w:rFonts w:ascii="Verdana" w:hAnsi="Verdana"/>
          <w:sz w:val="20"/>
          <w:szCs w:val="20"/>
        </w:rPr>
        <w:t xml:space="preserve"> Autonomía e interdependencia de los derechos humanos </w:t>
      </w:r>
      <w:r w:rsidR="0058240E" w:rsidRPr="00B320D4">
        <w:rPr>
          <w:rFonts w:ascii="Verdana" w:hAnsi="Verdana"/>
          <w:i/>
          <w:sz w:val="20"/>
          <w:szCs w:val="20"/>
        </w:rPr>
        <w:t>(p</w:t>
      </w:r>
      <w:r w:rsidR="00FB0638">
        <w:rPr>
          <w:rFonts w:ascii="Verdana" w:hAnsi="Verdana"/>
          <w:i/>
          <w:sz w:val="20"/>
          <w:szCs w:val="20"/>
        </w:rPr>
        <w:t>árrs. 42-59</w:t>
      </w:r>
      <w:r w:rsidR="0058240E" w:rsidRPr="00B320D4">
        <w:rPr>
          <w:rFonts w:ascii="Verdana" w:hAnsi="Verdana"/>
          <w:i/>
          <w:sz w:val="20"/>
          <w:szCs w:val="20"/>
        </w:rPr>
        <w:t>)</w:t>
      </w:r>
      <w:r w:rsidR="0058240E" w:rsidRPr="00B320D4">
        <w:rPr>
          <w:rFonts w:ascii="Verdana" w:hAnsi="Verdana"/>
          <w:sz w:val="20"/>
          <w:szCs w:val="20"/>
        </w:rPr>
        <w:t xml:space="preserve">; </w:t>
      </w:r>
      <w:r w:rsidR="00F5387B" w:rsidRPr="00B320D4">
        <w:rPr>
          <w:rFonts w:ascii="Verdana" w:hAnsi="Verdana"/>
          <w:b/>
          <w:sz w:val="20"/>
          <w:szCs w:val="20"/>
        </w:rPr>
        <w:t>I</w:t>
      </w:r>
      <w:r w:rsidR="0058240E" w:rsidRPr="00B320D4">
        <w:rPr>
          <w:rFonts w:ascii="Verdana" w:hAnsi="Verdana"/>
          <w:b/>
          <w:sz w:val="20"/>
          <w:szCs w:val="20"/>
        </w:rPr>
        <w:t>I</w:t>
      </w:r>
      <w:r w:rsidR="00EF4ABB" w:rsidRPr="00B320D4">
        <w:rPr>
          <w:rFonts w:ascii="Verdana" w:hAnsi="Verdana"/>
          <w:b/>
          <w:sz w:val="20"/>
          <w:szCs w:val="20"/>
        </w:rPr>
        <w:t>I</w:t>
      </w:r>
      <w:r w:rsidR="000647BE" w:rsidRPr="00B320D4">
        <w:rPr>
          <w:rFonts w:ascii="Verdana" w:hAnsi="Verdana"/>
          <w:b/>
          <w:sz w:val="20"/>
          <w:szCs w:val="20"/>
        </w:rPr>
        <w:t>.</w:t>
      </w:r>
      <w:r w:rsidR="000647BE" w:rsidRPr="00B320D4">
        <w:rPr>
          <w:rFonts w:ascii="Verdana" w:hAnsi="Verdana"/>
          <w:sz w:val="20"/>
          <w:szCs w:val="20"/>
        </w:rPr>
        <w:t xml:space="preserve"> </w:t>
      </w:r>
      <w:r w:rsidR="00FE0B35" w:rsidRPr="00B320D4">
        <w:rPr>
          <w:rFonts w:ascii="Verdana" w:hAnsi="Verdana"/>
          <w:iCs/>
          <w:sz w:val="20"/>
          <w:szCs w:val="20"/>
        </w:rPr>
        <w:t>Las reparaciones con enfoque de derechos económicos, sociales, culturales y ambientales</w:t>
      </w:r>
      <w:r w:rsidR="000647BE" w:rsidRPr="00B320D4">
        <w:rPr>
          <w:rFonts w:ascii="Verdana" w:hAnsi="Verdana"/>
          <w:sz w:val="20"/>
          <w:szCs w:val="20"/>
        </w:rPr>
        <w:t xml:space="preserve"> (</w:t>
      </w:r>
      <w:r w:rsidR="000647BE" w:rsidRPr="00B320D4">
        <w:rPr>
          <w:rFonts w:ascii="Verdana" w:hAnsi="Verdana"/>
          <w:i/>
          <w:sz w:val="20"/>
          <w:szCs w:val="20"/>
          <w:u w:val="single"/>
        </w:rPr>
        <w:t>párr</w:t>
      </w:r>
      <w:r w:rsidR="00F71F86" w:rsidRPr="00B320D4">
        <w:rPr>
          <w:rFonts w:ascii="Verdana" w:hAnsi="Verdana"/>
          <w:i/>
          <w:sz w:val="20"/>
          <w:szCs w:val="20"/>
          <w:u w:val="single"/>
        </w:rPr>
        <w:t xml:space="preserve">s. </w:t>
      </w:r>
      <w:r w:rsidR="00FB0638">
        <w:rPr>
          <w:rFonts w:ascii="Verdana" w:hAnsi="Verdana"/>
          <w:i/>
          <w:sz w:val="20"/>
          <w:szCs w:val="20"/>
          <w:u w:val="single"/>
          <w:lang w:val="es-MX"/>
        </w:rPr>
        <w:t>60</w:t>
      </w:r>
      <w:r w:rsidR="00F71F86" w:rsidRPr="006A7E31">
        <w:rPr>
          <w:rFonts w:ascii="Verdana" w:hAnsi="Verdana"/>
          <w:i/>
          <w:sz w:val="20"/>
          <w:szCs w:val="20"/>
          <w:u w:val="single"/>
          <w:lang w:val="es-MX"/>
        </w:rPr>
        <w:t>-</w:t>
      </w:r>
      <w:r w:rsidR="009F2DE9" w:rsidRPr="006A7E31">
        <w:rPr>
          <w:rFonts w:ascii="Verdana" w:hAnsi="Verdana"/>
          <w:i/>
          <w:sz w:val="20"/>
          <w:szCs w:val="20"/>
          <w:u w:val="single"/>
          <w:lang w:val="es-MX"/>
        </w:rPr>
        <w:t>6</w:t>
      </w:r>
      <w:r w:rsidR="00FB0638">
        <w:rPr>
          <w:rFonts w:ascii="Verdana" w:hAnsi="Verdana"/>
          <w:i/>
          <w:sz w:val="20"/>
          <w:szCs w:val="20"/>
          <w:u w:val="single"/>
          <w:lang w:val="es-MX"/>
        </w:rPr>
        <w:t>9</w:t>
      </w:r>
      <w:r w:rsidR="000647BE" w:rsidRPr="006A7E31">
        <w:rPr>
          <w:rFonts w:ascii="Verdana" w:hAnsi="Verdana"/>
          <w:sz w:val="20"/>
          <w:szCs w:val="20"/>
          <w:lang w:val="es-MX"/>
        </w:rPr>
        <w:t>)</w:t>
      </w:r>
      <w:r w:rsidR="00EF4ABB" w:rsidRPr="006A7E31">
        <w:rPr>
          <w:rFonts w:ascii="Verdana" w:hAnsi="Verdana"/>
          <w:sz w:val="20"/>
          <w:szCs w:val="20"/>
          <w:lang w:val="es-MX"/>
        </w:rPr>
        <w:t xml:space="preserve">, </w:t>
      </w:r>
      <w:r w:rsidR="00F5387B" w:rsidRPr="006A7E31">
        <w:rPr>
          <w:rFonts w:ascii="Verdana" w:hAnsi="Verdana"/>
          <w:b/>
          <w:sz w:val="20"/>
          <w:szCs w:val="20"/>
          <w:lang w:val="es-MX"/>
        </w:rPr>
        <w:t>I</w:t>
      </w:r>
      <w:r w:rsidR="0058240E" w:rsidRPr="006A7E31">
        <w:rPr>
          <w:rFonts w:ascii="Verdana" w:hAnsi="Verdana"/>
          <w:b/>
          <w:sz w:val="20"/>
          <w:szCs w:val="20"/>
          <w:lang w:val="es-MX"/>
        </w:rPr>
        <w:t>V</w:t>
      </w:r>
      <w:r w:rsidR="00F5387B" w:rsidRPr="006A7E31">
        <w:rPr>
          <w:rFonts w:ascii="Verdana" w:hAnsi="Verdana"/>
          <w:b/>
          <w:sz w:val="20"/>
          <w:szCs w:val="20"/>
          <w:lang w:val="es-MX"/>
        </w:rPr>
        <w:t>.</w:t>
      </w:r>
      <w:r w:rsidR="00F5387B" w:rsidRPr="006A7E31">
        <w:rPr>
          <w:rFonts w:ascii="Verdana" w:hAnsi="Verdana"/>
          <w:sz w:val="20"/>
          <w:szCs w:val="20"/>
          <w:lang w:val="es-MX"/>
        </w:rPr>
        <w:t xml:space="preserve"> </w:t>
      </w:r>
      <w:r w:rsidR="00F5387B" w:rsidRPr="006A7E31">
        <w:rPr>
          <w:rFonts w:ascii="Verdana" w:hAnsi="Verdana"/>
          <w:iCs/>
          <w:sz w:val="20"/>
          <w:szCs w:val="20"/>
          <w:lang w:val="es-MX"/>
        </w:rPr>
        <w:t xml:space="preserve">Los </w:t>
      </w:r>
      <w:r w:rsidR="00F5387B" w:rsidRPr="006A7E31">
        <w:rPr>
          <w:rFonts w:ascii="Verdana" w:hAnsi="Verdana"/>
          <w:i/>
          <w:iCs/>
          <w:sz w:val="20"/>
          <w:szCs w:val="20"/>
          <w:lang w:val="es-MX"/>
        </w:rPr>
        <w:t>amici curiae</w:t>
      </w:r>
      <w:r w:rsidR="00F5387B" w:rsidRPr="006A7E31">
        <w:rPr>
          <w:rFonts w:ascii="Verdana" w:hAnsi="Verdana"/>
          <w:iCs/>
          <w:sz w:val="20"/>
          <w:szCs w:val="20"/>
          <w:lang w:val="es-MX"/>
        </w:rPr>
        <w:t xml:space="preserve"> como medio de diálogo de la sociedad civil con la Corte Interamericana</w:t>
      </w:r>
      <w:r w:rsidR="00F5387B" w:rsidRPr="006A7E31">
        <w:rPr>
          <w:rFonts w:ascii="Verdana" w:hAnsi="Verdana"/>
          <w:b/>
          <w:bCs/>
          <w:sz w:val="20"/>
          <w:szCs w:val="20"/>
          <w:lang w:val="es-MX"/>
        </w:rPr>
        <w:t xml:space="preserve"> </w:t>
      </w:r>
      <w:r w:rsidR="00F5387B" w:rsidRPr="006A7E31">
        <w:rPr>
          <w:rFonts w:ascii="Verdana" w:hAnsi="Verdana"/>
          <w:sz w:val="20"/>
          <w:szCs w:val="20"/>
          <w:lang w:val="es-MX"/>
        </w:rPr>
        <w:t>(</w:t>
      </w:r>
      <w:r w:rsidR="00F5387B" w:rsidRPr="006A7E31">
        <w:rPr>
          <w:rFonts w:ascii="Verdana" w:hAnsi="Verdana"/>
          <w:i/>
          <w:sz w:val="20"/>
          <w:szCs w:val="20"/>
          <w:u w:val="single"/>
          <w:lang w:val="es-MX"/>
        </w:rPr>
        <w:t>párrs.</w:t>
      </w:r>
      <w:r w:rsidR="00F71F86" w:rsidRPr="006A7E31">
        <w:rPr>
          <w:rFonts w:ascii="Verdana" w:hAnsi="Verdana"/>
          <w:i/>
          <w:sz w:val="20"/>
          <w:szCs w:val="20"/>
          <w:u w:val="single"/>
          <w:lang w:val="es-MX"/>
        </w:rPr>
        <w:t xml:space="preserve"> </w:t>
      </w:r>
      <w:r w:rsidR="00FB0638">
        <w:rPr>
          <w:rFonts w:ascii="Verdana" w:hAnsi="Verdana"/>
          <w:i/>
          <w:sz w:val="20"/>
          <w:szCs w:val="20"/>
          <w:u w:val="single"/>
          <w:lang w:val="es-MX"/>
        </w:rPr>
        <w:t>70</w:t>
      </w:r>
      <w:r w:rsidR="00222ECF" w:rsidRPr="00B320D4">
        <w:rPr>
          <w:rFonts w:ascii="Verdana" w:hAnsi="Verdana"/>
          <w:i/>
          <w:sz w:val="20"/>
          <w:szCs w:val="20"/>
          <w:u w:val="single"/>
          <w:lang w:val="es-MX"/>
        </w:rPr>
        <w:t xml:space="preserve"> </w:t>
      </w:r>
      <w:r w:rsidR="00222ECF" w:rsidRPr="00B320D4">
        <w:rPr>
          <w:rFonts w:ascii="Verdana" w:hAnsi="Verdana"/>
          <w:i/>
          <w:sz w:val="20"/>
          <w:szCs w:val="20"/>
          <w:u w:val="single"/>
        </w:rPr>
        <w:t>a</w:t>
      </w:r>
      <w:r w:rsidR="00F5387B" w:rsidRPr="00B320D4">
        <w:rPr>
          <w:rFonts w:ascii="Verdana" w:hAnsi="Verdana"/>
          <w:i/>
          <w:sz w:val="20"/>
          <w:szCs w:val="20"/>
          <w:u w:val="single"/>
        </w:rPr>
        <w:t xml:space="preserve"> </w:t>
      </w:r>
      <w:r w:rsidR="00FF3399" w:rsidRPr="00B320D4">
        <w:rPr>
          <w:rFonts w:ascii="Verdana" w:hAnsi="Verdana"/>
          <w:i/>
          <w:sz w:val="20"/>
          <w:szCs w:val="20"/>
          <w:u w:val="single"/>
        </w:rPr>
        <w:t>8</w:t>
      </w:r>
      <w:r w:rsidR="00FB0638">
        <w:rPr>
          <w:rFonts w:ascii="Verdana" w:hAnsi="Verdana"/>
          <w:i/>
          <w:sz w:val="20"/>
          <w:szCs w:val="20"/>
          <w:u w:val="single"/>
        </w:rPr>
        <w:t>2</w:t>
      </w:r>
      <w:r w:rsidR="00F5387B" w:rsidRPr="00B320D4">
        <w:rPr>
          <w:rFonts w:ascii="Verdana" w:hAnsi="Verdana"/>
          <w:sz w:val="20"/>
          <w:szCs w:val="20"/>
        </w:rPr>
        <w:t>),</w:t>
      </w:r>
      <w:r w:rsidR="00E67487" w:rsidRPr="00B320D4">
        <w:rPr>
          <w:rFonts w:ascii="Verdana" w:hAnsi="Verdana"/>
          <w:sz w:val="20"/>
          <w:szCs w:val="20"/>
        </w:rPr>
        <w:t xml:space="preserve"> </w:t>
      </w:r>
      <w:r w:rsidR="00EF4ABB" w:rsidRPr="00B320D4">
        <w:rPr>
          <w:rFonts w:ascii="Verdana" w:hAnsi="Verdana"/>
          <w:sz w:val="20"/>
          <w:szCs w:val="20"/>
        </w:rPr>
        <w:t>y</w:t>
      </w:r>
      <w:r w:rsidR="000647BE" w:rsidRPr="00B320D4">
        <w:rPr>
          <w:rFonts w:ascii="Verdana" w:hAnsi="Verdana"/>
          <w:sz w:val="20"/>
          <w:szCs w:val="20"/>
        </w:rPr>
        <w:t xml:space="preserve"> </w:t>
      </w:r>
      <w:r w:rsidR="00EF4ABB" w:rsidRPr="00B320D4">
        <w:rPr>
          <w:rFonts w:ascii="Verdana" w:hAnsi="Verdana"/>
          <w:b/>
          <w:sz w:val="20"/>
          <w:szCs w:val="20"/>
        </w:rPr>
        <w:t>V</w:t>
      </w:r>
      <w:r w:rsidR="00952808" w:rsidRPr="00B320D4">
        <w:rPr>
          <w:rFonts w:ascii="Verdana" w:hAnsi="Verdana"/>
          <w:sz w:val="20"/>
          <w:szCs w:val="20"/>
        </w:rPr>
        <w:t xml:space="preserve">. </w:t>
      </w:r>
      <w:r w:rsidR="00952808" w:rsidRPr="00B320D4">
        <w:rPr>
          <w:rFonts w:ascii="Verdana" w:hAnsi="Verdana"/>
          <w:iCs/>
          <w:sz w:val="20"/>
          <w:szCs w:val="20"/>
        </w:rPr>
        <w:t>Conclusiones</w:t>
      </w:r>
      <w:r w:rsidR="00952808" w:rsidRPr="00B320D4">
        <w:rPr>
          <w:rFonts w:ascii="Verdana" w:hAnsi="Verdana"/>
          <w:sz w:val="20"/>
          <w:szCs w:val="20"/>
        </w:rPr>
        <w:t xml:space="preserve"> (</w:t>
      </w:r>
      <w:r w:rsidR="00952808" w:rsidRPr="00B320D4">
        <w:rPr>
          <w:rFonts w:ascii="Verdana" w:hAnsi="Verdana"/>
          <w:i/>
          <w:sz w:val="20"/>
          <w:szCs w:val="20"/>
          <w:u w:val="single"/>
        </w:rPr>
        <w:t>párr</w:t>
      </w:r>
      <w:r w:rsidR="00F71F86" w:rsidRPr="00B320D4">
        <w:rPr>
          <w:rFonts w:ascii="Verdana" w:hAnsi="Verdana"/>
          <w:i/>
          <w:sz w:val="20"/>
          <w:szCs w:val="20"/>
          <w:u w:val="single"/>
        </w:rPr>
        <w:t xml:space="preserve">s. </w:t>
      </w:r>
      <w:r w:rsidR="00FB0638">
        <w:rPr>
          <w:rFonts w:ascii="Verdana" w:hAnsi="Verdana"/>
          <w:i/>
          <w:sz w:val="20"/>
          <w:szCs w:val="20"/>
          <w:u w:val="single"/>
        </w:rPr>
        <w:t>83</w:t>
      </w:r>
      <w:r w:rsidR="000F4A00" w:rsidRPr="00B320D4">
        <w:rPr>
          <w:rFonts w:ascii="Verdana" w:hAnsi="Verdana"/>
          <w:i/>
          <w:sz w:val="20"/>
          <w:szCs w:val="20"/>
          <w:u w:val="single"/>
        </w:rPr>
        <w:t xml:space="preserve"> a</w:t>
      </w:r>
      <w:r w:rsidR="00952808" w:rsidRPr="00B320D4">
        <w:rPr>
          <w:rFonts w:ascii="Verdana" w:hAnsi="Verdana"/>
          <w:i/>
          <w:sz w:val="20"/>
          <w:szCs w:val="20"/>
          <w:u w:val="single"/>
        </w:rPr>
        <w:t xml:space="preserve"> </w:t>
      </w:r>
      <w:r w:rsidR="004646DA" w:rsidRPr="00B320D4">
        <w:rPr>
          <w:rFonts w:ascii="Verdana" w:hAnsi="Verdana"/>
          <w:i/>
          <w:sz w:val="20"/>
          <w:szCs w:val="20"/>
          <w:u w:val="single"/>
        </w:rPr>
        <w:t>8</w:t>
      </w:r>
      <w:r w:rsidR="00FB0638">
        <w:rPr>
          <w:rFonts w:ascii="Verdana" w:hAnsi="Verdana"/>
          <w:i/>
          <w:sz w:val="20"/>
          <w:szCs w:val="20"/>
          <w:u w:val="single"/>
        </w:rPr>
        <w:t>7</w:t>
      </w:r>
      <w:r w:rsidR="00952808" w:rsidRPr="00B320D4">
        <w:rPr>
          <w:rFonts w:ascii="Verdana" w:hAnsi="Verdana"/>
          <w:sz w:val="20"/>
          <w:szCs w:val="20"/>
        </w:rPr>
        <w:t>)</w:t>
      </w:r>
      <w:r w:rsidR="000647BE" w:rsidRPr="00B320D4">
        <w:rPr>
          <w:rFonts w:ascii="Verdana" w:hAnsi="Verdana"/>
          <w:sz w:val="20"/>
          <w:szCs w:val="20"/>
        </w:rPr>
        <w:t>.</w:t>
      </w:r>
    </w:p>
    <w:p w14:paraId="1C205752" w14:textId="77777777" w:rsidR="00642D42" w:rsidRPr="00340041" w:rsidRDefault="00642D42" w:rsidP="00267F70">
      <w:pPr>
        <w:jc w:val="center"/>
        <w:rPr>
          <w:rFonts w:ascii="Verdana" w:hAnsi="Verdana"/>
          <w:b/>
          <w:sz w:val="20"/>
          <w:szCs w:val="20"/>
        </w:rPr>
      </w:pPr>
    </w:p>
    <w:p w14:paraId="45932158" w14:textId="1D889E06" w:rsidR="00B26381" w:rsidRPr="00340041" w:rsidRDefault="00B26381" w:rsidP="0075294F">
      <w:pPr>
        <w:jc w:val="center"/>
        <w:rPr>
          <w:rFonts w:ascii="Verdana" w:hAnsi="Verdana"/>
          <w:b/>
          <w:sz w:val="20"/>
          <w:szCs w:val="20"/>
        </w:rPr>
      </w:pPr>
      <w:r w:rsidRPr="00340041">
        <w:rPr>
          <w:rFonts w:ascii="Verdana" w:hAnsi="Verdana"/>
          <w:b/>
          <w:sz w:val="20"/>
          <w:szCs w:val="20"/>
        </w:rPr>
        <w:t>I. LA TIERRA Y EL TERRITORIO: SU PROTECCIÓN DIFERENCIADA DESDE LA CONVENCIÓN AMERICANA SOBRE DERECHOS HUMANOS</w:t>
      </w:r>
      <w:r w:rsidR="00604CA1" w:rsidRPr="00340041">
        <w:rPr>
          <w:rFonts w:ascii="Verdana" w:hAnsi="Verdana"/>
          <w:b/>
          <w:sz w:val="20"/>
          <w:szCs w:val="20"/>
        </w:rPr>
        <w:t xml:space="preserve"> Y LOS DESCA</w:t>
      </w:r>
    </w:p>
    <w:p w14:paraId="22BD45FA" w14:textId="77777777" w:rsidR="00694A68" w:rsidRPr="00B320D4" w:rsidRDefault="00694A68" w:rsidP="00267F70">
      <w:pPr>
        <w:jc w:val="both"/>
        <w:rPr>
          <w:rFonts w:ascii="Verdana" w:hAnsi="Verdana"/>
          <w:sz w:val="20"/>
          <w:szCs w:val="20"/>
        </w:rPr>
      </w:pPr>
    </w:p>
    <w:p w14:paraId="4B45C35B" w14:textId="3C17A0F3" w:rsidR="0058240E" w:rsidRPr="00B320D4" w:rsidRDefault="00B26381" w:rsidP="00267F70">
      <w:pPr>
        <w:pStyle w:val="NormalWeb"/>
        <w:spacing w:before="0" w:beforeAutospacing="0" w:after="0" w:afterAutospacing="0"/>
        <w:jc w:val="both"/>
        <w:rPr>
          <w:rFonts w:ascii="Verdana" w:hAnsi="Verdana"/>
          <w:sz w:val="20"/>
          <w:szCs w:val="20"/>
        </w:rPr>
      </w:pPr>
      <w:r w:rsidRPr="00B320D4">
        <w:rPr>
          <w:rFonts w:ascii="Verdana" w:hAnsi="Verdana"/>
          <w:sz w:val="20"/>
          <w:szCs w:val="20"/>
        </w:rPr>
        <w:t xml:space="preserve">10. </w:t>
      </w:r>
      <w:r w:rsidRPr="00B320D4">
        <w:rPr>
          <w:rFonts w:ascii="Verdana" w:hAnsi="Verdana"/>
          <w:sz w:val="20"/>
          <w:szCs w:val="20"/>
        </w:rPr>
        <w:tab/>
      </w:r>
      <w:r w:rsidR="00694A68" w:rsidRPr="00B320D4">
        <w:rPr>
          <w:rFonts w:ascii="Verdana" w:hAnsi="Verdana"/>
          <w:sz w:val="20"/>
          <w:szCs w:val="20"/>
        </w:rPr>
        <w:t>La Corte I</w:t>
      </w:r>
      <w:r w:rsidRPr="00B320D4">
        <w:rPr>
          <w:rFonts w:ascii="Verdana" w:hAnsi="Verdana"/>
          <w:sz w:val="20"/>
          <w:szCs w:val="20"/>
        </w:rPr>
        <w:t>DH</w:t>
      </w:r>
      <w:r w:rsidR="00694A68" w:rsidRPr="00B320D4">
        <w:rPr>
          <w:rFonts w:ascii="Verdana" w:hAnsi="Verdana"/>
          <w:sz w:val="20"/>
          <w:szCs w:val="20"/>
        </w:rPr>
        <w:t xml:space="preserve">, en su evolución jurisprudencial, ha sustentado derechos de los pueblos </w:t>
      </w:r>
      <w:r w:rsidR="000451BF">
        <w:rPr>
          <w:rFonts w:ascii="Verdana" w:hAnsi="Verdana"/>
          <w:sz w:val="20"/>
          <w:szCs w:val="20"/>
        </w:rPr>
        <w:t xml:space="preserve">y comunidades </w:t>
      </w:r>
      <w:r w:rsidR="00694A68" w:rsidRPr="00B320D4">
        <w:rPr>
          <w:rFonts w:ascii="Verdana" w:hAnsi="Verdana"/>
          <w:sz w:val="20"/>
          <w:szCs w:val="20"/>
        </w:rPr>
        <w:t xml:space="preserve">indígenas </w:t>
      </w:r>
      <w:r w:rsidR="000451BF">
        <w:rPr>
          <w:rFonts w:ascii="Verdana" w:hAnsi="Verdana"/>
          <w:sz w:val="20"/>
          <w:szCs w:val="20"/>
        </w:rPr>
        <w:t xml:space="preserve">y tribales </w:t>
      </w:r>
      <w:r w:rsidR="00694A68" w:rsidRPr="00B320D4">
        <w:rPr>
          <w:rFonts w:ascii="Verdana" w:hAnsi="Verdana"/>
          <w:sz w:val="20"/>
          <w:szCs w:val="20"/>
        </w:rPr>
        <w:t xml:space="preserve">relacionados con su </w:t>
      </w:r>
      <w:r w:rsidR="00F5387B" w:rsidRPr="00B320D4">
        <w:rPr>
          <w:rFonts w:ascii="Verdana" w:hAnsi="Verdana"/>
          <w:sz w:val="20"/>
          <w:szCs w:val="20"/>
        </w:rPr>
        <w:t xml:space="preserve">tierra y </w:t>
      </w:r>
      <w:r w:rsidR="00694A68" w:rsidRPr="00B320D4">
        <w:rPr>
          <w:rFonts w:ascii="Verdana" w:hAnsi="Verdana"/>
          <w:sz w:val="20"/>
          <w:szCs w:val="20"/>
        </w:rPr>
        <w:t>territorio a través del derecho de propiedad privada</w:t>
      </w:r>
      <w:r w:rsidR="002B21BB" w:rsidRPr="00B320D4">
        <w:rPr>
          <w:rFonts w:ascii="Verdana" w:hAnsi="Verdana"/>
          <w:sz w:val="20"/>
          <w:szCs w:val="20"/>
        </w:rPr>
        <w:t xml:space="preserve"> contenido</w:t>
      </w:r>
      <w:r w:rsidR="00694A68" w:rsidRPr="00B320D4">
        <w:rPr>
          <w:rFonts w:ascii="Verdana" w:hAnsi="Verdana"/>
          <w:sz w:val="20"/>
          <w:szCs w:val="20"/>
        </w:rPr>
        <w:t xml:space="preserve"> en el artículo 21 de la Convención Americana</w:t>
      </w:r>
      <w:r w:rsidRPr="00B320D4">
        <w:rPr>
          <w:rFonts w:ascii="Verdana" w:hAnsi="Verdana"/>
          <w:sz w:val="20"/>
          <w:szCs w:val="20"/>
        </w:rPr>
        <w:t xml:space="preserve">. </w:t>
      </w:r>
      <w:r w:rsidR="00694A68" w:rsidRPr="00B320D4">
        <w:rPr>
          <w:rFonts w:ascii="Verdana" w:hAnsi="Verdana"/>
          <w:sz w:val="20"/>
          <w:szCs w:val="20"/>
        </w:rPr>
        <w:t xml:space="preserve">Esto no </w:t>
      </w:r>
      <w:r w:rsidR="00063061" w:rsidRPr="00B320D4">
        <w:rPr>
          <w:rFonts w:ascii="Verdana" w:hAnsi="Verdana"/>
          <w:sz w:val="20"/>
          <w:szCs w:val="20"/>
        </w:rPr>
        <w:t xml:space="preserve">debe hacer pensar </w:t>
      </w:r>
      <w:r w:rsidR="00694A68" w:rsidRPr="00B320D4">
        <w:rPr>
          <w:rFonts w:ascii="Verdana" w:hAnsi="Verdana"/>
          <w:sz w:val="20"/>
          <w:szCs w:val="20"/>
        </w:rPr>
        <w:t xml:space="preserve">que los derechos territoriales de los pueblos indígenas se ciñen o asimilan a un aspecto </w:t>
      </w:r>
      <w:r w:rsidR="0094723A" w:rsidRPr="00B320D4">
        <w:rPr>
          <w:rFonts w:ascii="Verdana" w:hAnsi="Verdana"/>
          <w:sz w:val="20"/>
          <w:szCs w:val="20"/>
        </w:rPr>
        <w:t xml:space="preserve">meramente </w:t>
      </w:r>
      <w:r w:rsidR="00694A68" w:rsidRPr="00B320D4">
        <w:rPr>
          <w:rFonts w:ascii="Verdana" w:hAnsi="Verdana"/>
          <w:sz w:val="20"/>
          <w:szCs w:val="20"/>
        </w:rPr>
        <w:t xml:space="preserve">económico o patrimonial. </w:t>
      </w:r>
    </w:p>
    <w:p w14:paraId="7B66568B" w14:textId="77777777" w:rsidR="0058240E" w:rsidRPr="00B320D4" w:rsidRDefault="0058240E" w:rsidP="00267F70">
      <w:pPr>
        <w:pStyle w:val="NormalWeb"/>
        <w:spacing w:before="0" w:beforeAutospacing="0" w:after="0" w:afterAutospacing="0"/>
        <w:jc w:val="both"/>
        <w:rPr>
          <w:rFonts w:ascii="Verdana" w:hAnsi="Verdana"/>
          <w:sz w:val="20"/>
          <w:szCs w:val="20"/>
        </w:rPr>
      </w:pPr>
    </w:p>
    <w:p w14:paraId="52324795" w14:textId="26CD1F0F" w:rsidR="00694A68" w:rsidRPr="00914E2E" w:rsidRDefault="0058240E" w:rsidP="00267F70">
      <w:pPr>
        <w:pStyle w:val="NormalWeb"/>
        <w:spacing w:before="0" w:beforeAutospacing="0" w:after="0" w:afterAutospacing="0"/>
        <w:jc w:val="both"/>
        <w:rPr>
          <w:rFonts w:ascii="Verdana" w:eastAsiaTheme="minorHAnsi" w:hAnsi="Verdana"/>
          <w:sz w:val="20"/>
          <w:szCs w:val="20"/>
          <w:lang w:val="es-ES_tradnl" w:eastAsia="es-ES_tradnl"/>
        </w:rPr>
      </w:pPr>
      <w:r w:rsidRPr="00B320D4">
        <w:rPr>
          <w:rFonts w:ascii="Verdana" w:hAnsi="Verdana"/>
          <w:sz w:val="20"/>
          <w:szCs w:val="20"/>
        </w:rPr>
        <w:t xml:space="preserve">11. </w:t>
      </w:r>
      <w:r w:rsidRPr="00B320D4">
        <w:rPr>
          <w:rFonts w:ascii="Verdana" w:hAnsi="Verdana"/>
          <w:sz w:val="20"/>
          <w:szCs w:val="20"/>
        </w:rPr>
        <w:tab/>
      </w:r>
      <w:r w:rsidR="00694A68" w:rsidRPr="00B320D4">
        <w:rPr>
          <w:rFonts w:ascii="Verdana" w:hAnsi="Verdana"/>
          <w:sz w:val="20"/>
          <w:szCs w:val="20"/>
        </w:rPr>
        <w:t xml:space="preserve">El Tribunal </w:t>
      </w:r>
      <w:r w:rsidR="00B26381" w:rsidRPr="00B320D4">
        <w:rPr>
          <w:rFonts w:ascii="Verdana" w:hAnsi="Verdana"/>
          <w:sz w:val="20"/>
          <w:szCs w:val="20"/>
        </w:rPr>
        <w:t xml:space="preserve">Interamericano </w:t>
      </w:r>
      <w:r w:rsidR="00694A68" w:rsidRPr="00B320D4">
        <w:rPr>
          <w:rFonts w:ascii="Verdana" w:hAnsi="Verdana"/>
          <w:sz w:val="20"/>
          <w:szCs w:val="20"/>
        </w:rPr>
        <w:t>lo señaló desde su primera sentencia en la que abordó la cuestión de un modo central. Así, en 2001</w:t>
      </w:r>
      <w:r w:rsidR="00E67487" w:rsidRPr="00B320D4">
        <w:rPr>
          <w:rFonts w:ascii="Verdana" w:hAnsi="Verdana"/>
          <w:sz w:val="20"/>
          <w:szCs w:val="20"/>
        </w:rPr>
        <w:t>, al resover</w:t>
      </w:r>
      <w:r w:rsidR="00694A68" w:rsidRPr="00B320D4">
        <w:rPr>
          <w:rFonts w:ascii="Verdana" w:hAnsi="Verdana"/>
          <w:sz w:val="20"/>
          <w:szCs w:val="20"/>
        </w:rPr>
        <w:t xml:space="preserve"> el caso </w:t>
      </w:r>
      <w:r w:rsidR="00694A68" w:rsidRPr="00B320D4">
        <w:rPr>
          <w:rFonts w:ascii="Verdana" w:hAnsi="Verdana"/>
          <w:bCs/>
          <w:i/>
          <w:sz w:val="20"/>
          <w:szCs w:val="20"/>
          <w:lang w:val="es-ES_tradnl"/>
        </w:rPr>
        <w:t>Comunidad Mayagna (Sumo) Awas Tingni</w:t>
      </w:r>
      <w:r w:rsidR="00694A68" w:rsidRPr="00B320D4">
        <w:rPr>
          <w:rFonts w:ascii="Verdana" w:hAnsi="Verdana"/>
          <w:i/>
          <w:sz w:val="20"/>
          <w:szCs w:val="20"/>
        </w:rPr>
        <w:t xml:space="preserve"> Vs. Nicaragua</w:t>
      </w:r>
      <w:r w:rsidR="00694A68" w:rsidRPr="00B320D4">
        <w:rPr>
          <w:rFonts w:ascii="Verdana" w:hAnsi="Verdana"/>
          <w:sz w:val="20"/>
          <w:szCs w:val="20"/>
        </w:rPr>
        <w:t>, expresó que</w:t>
      </w:r>
      <w:r w:rsidR="00017377" w:rsidRPr="00B320D4">
        <w:rPr>
          <w:rFonts w:ascii="Verdana" w:hAnsi="Verdana"/>
          <w:sz w:val="20"/>
          <w:szCs w:val="20"/>
        </w:rPr>
        <w:t xml:space="preserve"> “entre los indígenas existe una tradición comunitaria sobre una forma comunal de la propiedad colectiva de la tierra</w:t>
      </w:r>
      <w:r w:rsidR="006F26BE" w:rsidRPr="00B320D4">
        <w:rPr>
          <w:rFonts w:ascii="Verdana" w:hAnsi="Verdana"/>
          <w:sz w:val="20"/>
          <w:szCs w:val="20"/>
        </w:rPr>
        <w:t xml:space="preserve">, en el sentido </w:t>
      </w:r>
      <w:r w:rsidR="006F26BE" w:rsidRPr="00B320D4">
        <w:rPr>
          <w:rFonts w:ascii="Verdana" w:hAnsi="Verdana"/>
          <w:sz w:val="20"/>
          <w:szCs w:val="20"/>
        </w:rPr>
        <w:lastRenderedPageBreak/>
        <w:t>de que la pertenencia de ésta no se centra en un individuo sino en el grupo y su comunidad”. Asimismo, se precisó qu</w:t>
      </w:r>
      <w:r w:rsidR="00822C36" w:rsidRPr="00B320D4">
        <w:rPr>
          <w:rFonts w:ascii="Verdana" w:hAnsi="Verdana"/>
          <w:sz w:val="20"/>
          <w:szCs w:val="20"/>
        </w:rPr>
        <w:t>e</w:t>
      </w:r>
      <w:r w:rsidR="00822C36" w:rsidRPr="00B320D4">
        <w:rPr>
          <w:rFonts w:ascii="Verdana" w:hAnsi="Verdana"/>
          <w:i/>
          <w:sz w:val="20"/>
          <w:szCs w:val="20"/>
        </w:rPr>
        <w:t xml:space="preserve"> </w:t>
      </w:r>
      <w:r w:rsidR="00694A68" w:rsidRPr="00B320D4">
        <w:rPr>
          <w:rFonts w:ascii="Verdana" w:hAnsi="Verdana"/>
          <w:sz w:val="20"/>
          <w:szCs w:val="20"/>
        </w:rPr>
        <w:t>“[</w:t>
      </w:r>
      <w:r w:rsidR="00694A68" w:rsidRPr="00B320D4">
        <w:rPr>
          <w:rFonts w:ascii="Verdana" w:eastAsiaTheme="minorHAnsi" w:hAnsi="Verdana"/>
          <w:sz w:val="20"/>
          <w:szCs w:val="20"/>
          <w:lang w:val="es-ES_tradnl" w:eastAsia="es-ES_tradnl"/>
        </w:rPr>
        <w:t xml:space="preserve">p]ara las comunidades </w:t>
      </w:r>
      <w:r w:rsidR="007E1845" w:rsidRPr="00B320D4">
        <w:rPr>
          <w:rFonts w:ascii="Verdana" w:eastAsiaTheme="minorHAnsi" w:hAnsi="Verdana"/>
          <w:sz w:val="20"/>
          <w:szCs w:val="20"/>
          <w:lang w:val="es-ES_tradnl" w:eastAsia="es-ES_tradnl"/>
        </w:rPr>
        <w:t>indígenas</w:t>
      </w:r>
      <w:r w:rsidR="00694A68" w:rsidRPr="00B320D4">
        <w:rPr>
          <w:rFonts w:ascii="Verdana" w:eastAsiaTheme="minorHAnsi" w:hAnsi="Verdana"/>
          <w:sz w:val="20"/>
          <w:szCs w:val="20"/>
          <w:lang w:val="es-ES_tradnl" w:eastAsia="es-ES_tradnl"/>
        </w:rPr>
        <w:t xml:space="preserve"> la </w:t>
      </w:r>
      <w:r w:rsidR="007E1845" w:rsidRPr="00B320D4">
        <w:rPr>
          <w:rFonts w:ascii="Verdana" w:eastAsiaTheme="minorHAnsi" w:hAnsi="Verdana"/>
          <w:sz w:val="20"/>
          <w:szCs w:val="20"/>
          <w:lang w:val="es-ES_tradnl" w:eastAsia="es-ES_tradnl"/>
        </w:rPr>
        <w:t>relación</w:t>
      </w:r>
      <w:r w:rsidR="00694A68" w:rsidRPr="00B320D4">
        <w:rPr>
          <w:rFonts w:ascii="Verdana" w:eastAsiaTheme="minorHAnsi" w:hAnsi="Verdana"/>
          <w:sz w:val="20"/>
          <w:szCs w:val="20"/>
          <w:lang w:val="es-ES_tradnl" w:eastAsia="es-ES_tradnl"/>
        </w:rPr>
        <w:t xml:space="preserve"> con la tierra no es meramente una </w:t>
      </w:r>
      <w:r w:rsidR="007E1845" w:rsidRPr="00B320D4">
        <w:rPr>
          <w:rFonts w:ascii="Verdana" w:eastAsiaTheme="minorHAnsi" w:hAnsi="Verdana"/>
          <w:sz w:val="20"/>
          <w:szCs w:val="20"/>
          <w:lang w:val="es-ES_tradnl" w:eastAsia="es-ES_tradnl"/>
        </w:rPr>
        <w:t>cuestión</w:t>
      </w:r>
      <w:r w:rsidR="00694A68" w:rsidRPr="00B320D4">
        <w:rPr>
          <w:rFonts w:ascii="Verdana" w:eastAsiaTheme="minorHAnsi" w:hAnsi="Verdana"/>
          <w:sz w:val="20"/>
          <w:szCs w:val="20"/>
          <w:lang w:val="es-ES_tradnl" w:eastAsia="es-ES_tradnl"/>
        </w:rPr>
        <w:t xml:space="preserve"> de </w:t>
      </w:r>
      <w:r w:rsidR="007E1845" w:rsidRPr="00B320D4">
        <w:rPr>
          <w:rFonts w:ascii="Verdana" w:eastAsiaTheme="minorHAnsi" w:hAnsi="Verdana"/>
          <w:sz w:val="20"/>
          <w:szCs w:val="20"/>
          <w:lang w:val="es-ES_tradnl" w:eastAsia="es-ES_tradnl"/>
        </w:rPr>
        <w:t>posesión</w:t>
      </w:r>
      <w:r w:rsidR="00694A68" w:rsidRPr="00B320D4">
        <w:rPr>
          <w:rFonts w:ascii="Verdana" w:eastAsiaTheme="minorHAnsi" w:hAnsi="Verdana"/>
          <w:sz w:val="20"/>
          <w:szCs w:val="20"/>
          <w:lang w:val="es-ES_tradnl" w:eastAsia="es-ES_tradnl"/>
        </w:rPr>
        <w:t xml:space="preserve"> y </w:t>
      </w:r>
      <w:r w:rsidR="007E1845" w:rsidRPr="00B320D4">
        <w:rPr>
          <w:rFonts w:ascii="Verdana" w:eastAsiaTheme="minorHAnsi" w:hAnsi="Verdana"/>
          <w:sz w:val="20"/>
          <w:szCs w:val="20"/>
          <w:lang w:val="es-ES_tradnl" w:eastAsia="es-ES_tradnl"/>
        </w:rPr>
        <w:t>producción</w:t>
      </w:r>
      <w:r w:rsidR="00DF1133" w:rsidRPr="00B320D4">
        <w:rPr>
          <w:rFonts w:ascii="Verdana" w:eastAsiaTheme="minorHAnsi" w:hAnsi="Verdana"/>
          <w:sz w:val="20"/>
          <w:szCs w:val="20"/>
          <w:lang w:val="es-ES_tradnl" w:eastAsia="es-ES_tradnl"/>
        </w:rPr>
        <w:t>,</w:t>
      </w:r>
      <w:r w:rsidR="00694A68" w:rsidRPr="00B320D4">
        <w:rPr>
          <w:rFonts w:ascii="Verdana" w:eastAsiaTheme="minorHAnsi" w:hAnsi="Verdana"/>
          <w:sz w:val="20"/>
          <w:szCs w:val="20"/>
          <w:lang w:val="es-ES_tradnl" w:eastAsia="es-ES_tradnl"/>
        </w:rPr>
        <w:t xml:space="preserve"> sino un elemento material y espiritual del que deben gozar plenamente, inclusive para preservar su legado cultural y transmitirlo a las generaciones futuras”</w:t>
      </w:r>
      <w:r w:rsidR="00694A68" w:rsidRPr="00B320D4">
        <w:rPr>
          <w:rStyle w:val="Refdenotaalpie"/>
          <w:rFonts w:ascii="Verdana" w:eastAsiaTheme="minorHAnsi" w:hAnsi="Verdana"/>
          <w:lang w:val="es-ES_tradnl" w:eastAsia="es-ES_tradnl"/>
        </w:rPr>
        <w:footnoteReference w:id="15"/>
      </w:r>
      <w:r w:rsidR="00694A68" w:rsidRPr="007E1845">
        <w:rPr>
          <w:rFonts w:ascii="Verdana" w:eastAsiaTheme="minorHAnsi" w:hAnsi="Verdana"/>
          <w:sz w:val="20"/>
          <w:szCs w:val="20"/>
          <w:lang w:val="es-ES_tradnl" w:eastAsia="es-ES_tradnl"/>
        </w:rPr>
        <w:t xml:space="preserve">. En la misma oportunidad la Corte </w:t>
      </w:r>
      <w:r w:rsidR="00F5387B" w:rsidRPr="00914E2E">
        <w:rPr>
          <w:rFonts w:ascii="Verdana" w:eastAsiaTheme="minorHAnsi" w:hAnsi="Verdana"/>
          <w:sz w:val="20"/>
          <w:szCs w:val="20"/>
          <w:lang w:val="es-ES_tradnl" w:eastAsia="es-ES_tradnl"/>
        </w:rPr>
        <w:t xml:space="preserve">IDH </w:t>
      </w:r>
      <w:r w:rsidR="00694A68" w:rsidRPr="00914E2E">
        <w:rPr>
          <w:rFonts w:ascii="Verdana" w:eastAsiaTheme="minorHAnsi" w:hAnsi="Verdana"/>
          <w:sz w:val="20"/>
          <w:szCs w:val="20"/>
          <w:lang w:val="es-ES_tradnl" w:eastAsia="es-ES_tradnl"/>
        </w:rPr>
        <w:t xml:space="preserve">indicó el derecho de los pueblos indígenas a “vivir libremente en sus propios </w:t>
      </w:r>
      <w:r w:rsidR="00694A68" w:rsidRPr="001865F1">
        <w:rPr>
          <w:rFonts w:ascii="Verdana" w:eastAsiaTheme="minorHAnsi" w:hAnsi="Verdana"/>
          <w:i/>
          <w:sz w:val="20"/>
          <w:szCs w:val="20"/>
          <w:lang w:val="es-ES_tradnl" w:eastAsia="es-ES_tradnl"/>
        </w:rPr>
        <w:t>territorios</w:t>
      </w:r>
      <w:r w:rsidR="00694A68" w:rsidRPr="00EE35BE">
        <w:rPr>
          <w:rFonts w:ascii="Verdana" w:eastAsiaTheme="minorHAnsi" w:hAnsi="Verdana"/>
          <w:sz w:val="20"/>
          <w:szCs w:val="20"/>
          <w:lang w:val="es-ES_tradnl" w:eastAsia="es-ES_tradnl"/>
        </w:rPr>
        <w:t>”</w:t>
      </w:r>
      <w:r w:rsidR="00694A68" w:rsidRPr="00B320D4">
        <w:rPr>
          <w:rStyle w:val="Refdenotaalpie"/>
          <w:rFonts w:ascii="Verdana" w:eastAsiaTheme="minorHAnsi" w:hAnsi="Verdana"/>
          <w:sz w:val="20"/>
          <w:lang w:val="es-ES_tradnl" w:eastAsia="es-ES_tradnl"/>
        </w:rPr>
        <w:footnoteReference w:id="16"/>
      </w:r>
      <w:r w:rsidR="00694A68" w:rsidRPr="007E1845">
        <w:rPr>
          <w:rFonts w:ascii="Verdana" w:eastAsiaTheme="minorHAnsi" w:hAnsi="Verdana"/>
          <w:sz w:val="20"/>
          <w:szCs w:val="20"/>
          <w:lang w:val="es-ES_tradnl" w:eastAsia="es-ES_tradnl"/>
        </w:rPr>
        <w:t>; más adelante destacó los “lazos únicos y duraderos que unen a las comunidades indígenas con su territorio</w:t>
      </w:r>
      <w:r w:rsidR="00694A68" w:rsidRPr="00914E2E">
        <w:rPr>
          <w:rFonts w:ascii="Verdana" w:eastAsiaTheme="minorHAnsi" w:hAnsi="Verdana"/>
          <w:sz w:val="20"/>
          <w:szCs w:val="20"/>
          <w:lang w:val="es-ES_tradnl" w:eastAsia="es-ES_tradnl"/>
        </w:rPr>
        <w:t xml:space="preserve"> ancestral”</w:t>
      </w:r>
      <w:r w:rsidR="00694A68" w:rsidRPr="00B320D4">
        <w:rPr>
          <w:rStyle w:val="Refdenotaalpie"/>
          <w:rFonts w:ascii="Verdana" w:eastAsiaTheme="minorHAnsi" w:hAnsi="Verdana"/>
          <w:sz w:val="20"/>
          <w:lang w:val="es-ES_tradnl" w:eastAsia="es-ES_tradnl"/>
        </w:rPr>
        <w:footnoteReference w:id="17"/>
      </w:r>
      <w:r w:rsidR="00694A68" w:rsidRPr="007E1845">
        <w:rPr>
          <w:rFonts w:ascii="Verdana" w:eastAsiaTheme="minorHAnsi" w:hAnsi="Verdana"/>
          <w:sz w:val="20"/>
          <w:szCs w:val="20"/>
          <w:lang w:val="es-ES_tradnl" w:eastAsia="es-ES_tradnl"/>
        </w:rPr>
        <w:t>.</w:t>
      </w:r>
    </w:p>
    <w:p w14:paraId="2E61181F" w14:textId="77777777" w:rsidR="000A7E08" w:rsidRPr="00914E2E" w:rsidRDefault="000A7E08" w:rsidP="00267F70">
      <w:pPr>
        <w:pStyle w:val="NormalWeb"/>
        <w:spacing w:before="0" w:beforeAutospacing="0" w:after="0" w:afterAutospacing="0"/>
        <w:jc w:val="both"/>
        <w:rPr>
          <w:rFonts w:ascii="Verdana" w:eastAsiaTheme="minorHAnsi" w:hAnsi="Verdana"/>
          <w:sz w:val="20"/>
          <w:szCs w:val="20"/>
          <w:lang w:val="es-ES_tradnl" w:eastAsia="es-ES_tradnl"/>
        </w:rPr>
      </w:pPr>
    </w:p>
    <w:p w14:paraId="7C2A7CBF" w14:textId="08562CCB" w:rsidR="00B578C2" w:rsidRPr="00B320D4" w:rsidRDefault="00C323F7" w:rsidP="00267F70">
      <w:pPr>
        <w:pStyle w:val="Prrafodelista"/>
        <w:spacing w:after="0" w:line="240" w:lineRule="auto"/>
        <w:ind w:left="0"/>
        <w:jc w:val="both"/>
        <w:rPr>
          <w:rFonts w:ascii="Verdana" w:hAnsi="Verdana"/>
          <w:sz w:val="20"/>
          <w:szCs w:val="20"/>
        </w:rPr>
      </w:pPr>
      <w:r w:rsidRPr="00EE35BE">
        <w:rPr>
          <w:rFonts w:ascii="Verdana" w:hAnsi="Verdana"/>
          <w:sz w:val="20"/>
          <w:szCs w:val="20"/>
        </w:rPr>
        <w:t>12</w:t>
      </w:r>
      <w:r w:rsidR="00B578C2" w:rsidRPr="00EE35BE">
        <w:rPr>
          <w:rFonts w:ascii="Verdana" w:hAnsi="Verdana"/>
          <w:sz w:val="20"/>
          <w:szCs w:val="20"/>
        </w:rPr>
        <w:t xml:space="preserve">. </w:t>
      </w:r>
      <w:r w:rsidR="00B578C2" w:rsidRPr="00EE35BE">
        <w:rPr>
          <w:rFonts w:ascii="Verdana" w:hAnsi="Verdana"/>
          <w:sz w:val="20"/>
          <w:szCs w:val="20"/>
        </w:rPr>
        <w:tab/>
        <w:t>Desde mi</w:t>
      </w:r>
      <w:r w:rsidR="003C6321" w:rsidRPr="00EE35BE">
        <w:rPr>
          <w:rFonts w:ascii="Verdana" w:hAnsi="Verdana"/>
          <w:sz w:val="20"/>
          <w:szCs w:val="20"/>
        </w:rPr>
        <w:t xml:space="preserve"> perspectiva, este importante —</w:t>
      </w:r>
      <w:r w:rsidR="00B578C2" w:rsidRPr="00EE35BE">
        <w:rPr>
          <w:rFonts w:ascii="Verdana" w:hAnsi="Verdana"/>
          <w:sz w:val="20"/>
          <w:szCs w:val="20"/>
        </w:rPr>
        <w:t>y trascendental</w:t>
      </w:r>
      <w:r w:rsidR="00822C36" w:rsidRPr="00B320D4">
        <w:rPr>
          <w:rFonts w:ascii="Verdana" w:hAnsi="Verdana"/>
          <w:sz w:val="20"/>
          <w:szCs w:val="20"/>
        </w:rPr>
        <w:t>—</w:t>
      </w:r>
      <w:r w:rsidR="00B578C2" w:rsidRPr="00B320D4">
        <w:rPr>
          <w:rFonts w:ascii="Verdana" w:hAnsi="Verdana"/>
          <w:sz w:val="20"/>
          <w:szCs w:val="20"/>
        </w:rPr>
        <w:t xml:space="preserve"> precedente tiene diversos componentes que pueden ser protegidos de forma diferenciada dependiendo del contenido del derecho que se encuentre vulnerado. En este entendido, “la tierra” puede comprender algunos aspectos que se encontrarían protegidos por el artículo 21 desde la conc</w:t>
      </w:r>
      <w:r w:rsidR="00822C36" w:rsidRPr="00B320D4">
        <w:rPr>
          <w:rFonts w:ascii="Verdana" w:hAnsi="Verdana"/>
          <w:sz w:val="20"/>
          <w:szCs w:val="20"/>
        </w:rPr>
        <w:t xml:space="preserve">epción de propiedad colectiva. </w:t>
      </w:r>
      <w:r w:rsidR="00B578C2" w:rsidRPr="00B320D4">
        <w:rPr>
          <w:rFonts w:ascii="Verdana" w:hAnsi="Verdana"/>
          <w:sz w:val="20"/>
          <w:szCs w:val="20"/>
        </w:rPr>
        <w:t xml:space="preserve">Por otro lado, se encuentra un concepto más general como lo es “el territorio” (que si bien comprende </w:t>
      </w:r>
      <w:r w:rsidR="00E67487" w:rsidRPr="00B320D4">
        <w:rPr>
          <w:rFonts w:ascii="Verdana" w:hAnsi="Verdana"/>
          <w:sz w:val="20"/>
          <w:szCs w:val="20"/>
        </w:rPr>
        <w:t xml:space="preserve">a </w:t>
      </w:r>
      <w:r w:rsidR="00B578C2" w:rsidRPr="00B320D4">
        <w:rPr>
          <w:rFonts w:ascii="Verdana" w:hAnsi="Verdana"/>
          <w:sz w:val="20"/>
          <w:szCs w:val="20"/>
        </w:rPr>
        <w:t xml:space="preserve">la tierra como uno de los elementos, </w:t>
      </w:r>
      <w:r w:rsidR="00E67487" w:rsidRPr="00B320D4">
        <w:rPr>
          <w:rFonts w:ascii="Verdana" w:hAnsi="Verdana"/>
          <w:sz w:val="20"/>
          <w:szCs w:val="20"/>
        </w:rPr>
        <w:t>el mismo</w:t>
      </w:r>
      <w:r w:rsidR="00B578C2" w:rsidRPr="00B320D4">
        <w:rPr>
          <w:rFonts w:ascii="Verdana" w:hAnsi="Verdana"/>
          <w:sz w:val="20"/>
          <w:szCs w:val="20"/>
        </w:rPr>
        <w:t xml:space="preserve"> no se agota en aquella). Así, el territorio comprendería otros elementos más específicos que pueden ser tutelad</w:t>
      </w:r>
      <w:r w:rsidR="005550A7" w:rsidRPr="00B320D4">
        <w:rPr>
          <w:rFonts w:ascii="Verdana" w:hAnsi="Verdana"/>
          <w:sz w:val="20"/>
          <w:szCs w:val="20"/>
        </w:rPr>
        <w:t xml:space="preserve">os </w:t>
      </w:r>
      <w:r w:rsidR="003C6321" w:rsidRPr="00B320D4">
        <w:rPr>
          <w:rFonts w:ascii="Verdana" w:hAnsi="Verdana"/>
          <w:sz w:val="20"/>
          <w:szCs w:val="20"/>
        </w:rPr>
        <w:t>—</w:t>
      </w:r>
      <w:r w:rsidR="005550A7" w:rsidRPr="00B320D4">
        <w:rPr>
          <w:rFonts w:ascii="Verdana" w:hAnsi="Verdana"/>
          <w:sz w:val="20"/>
          <w:szCs w:val="20"/>
        </w:rPr>
        <w:t xml:space="preserve">como ocurrió en el </w:t>
      </w:r>
      <w:r w:rsidR="00B578C2" w:rsidRPr="00B320D4">
        <w:rPr>
          <w:rFonts w:ascii="Verdana" w:hAnsi="Verdana"/>
          <w:sz w:val="20"/>
          <w:szCs w:val="20"/>
        </w:rPr>
        <w:t>caso</w:t>
      </w:r>
      <w:r w:rsidR="005550A7" w:rsidRPr="00B320D4">
        <w:rPr>
          <w:rFonts w:ascii="Verdana" w:hAnsi="Verdana"/>
          <w:sz w:val="20"/>
          <w:szCs w:val="20"/>
        </w:rPr>
        <w:t xml:space="preserve"> </w:t>
      </w:r>
      <w:r w:rsidR="00F57F8B" w:rsidRPr="00B320D4">
        <w:rPr>
          <w:rFonts w:ascii="Verdana" w:hAnsi="Verdana"/>
          <w:i/>
          <w:iCs/>
          <w:sz w:val="20"/>
          <w:szCs w:val="20"/>
        </w:rPr>
        <w:t>Lhaka Honhat</w:t>
      </w:r>
      <w:r w:rsidR="003C6321" w:rsidRPr="00B320D4">
        <w:rPr>
          <w:rFonts w:ascii="Verdana" w:hAnsi="Verdana"/>
          <w:sz w:val="20"/>
          <w:szCs w:val="20"/>
        </w:rPr>
        <w:t>—</w:t>
      </w:r>
      <w:r w:rsidR="00B578C2" w:rsidRPr="00B320D4">
        <w:rPr>
          <w:rFonts w:ascii="Verdana" w:hAnsi="Verdana"/>
          <w:sz w:val="20"/>
          <w:szCs w:val="20"/>
        </w:rPr>
        <w:t xml:space="preserve"> mediante los derechos protegidos por el artículo 26 de la Convención Americana en lo atinente a los derechos sociales, culturales</w:t>
      </w:r>
      <w:r w:rsidR="00822C36" w:rsidRPr="00B320D4">
        <w:rPr>
          <w:rFonts w:ascii="Verdana" w:hAnsi="Verdana"/>
          <w:sz w:val="20"/>
          <w:szCs w:val="20"/>
        </w:rPr>
        <w:t xml:space="preserve"> y ambientales. Estos elementos incluyen</w:t>
      </w:r>
      <w:r w:rsidR="00B578C2" w:rsidRPr="00B320D4">
        <w:rPr>
          <w:rFonts w:ascii="Verdana" w:hAnsi="Verdana"/>
          <w:sz w:val="20"/>
          <w:szCs w:val="20"/>
        </w:rPr>
        <w:t xml:space="preserve"> el agua, la protección al ambiente, los recursos que forman base de la alimentación de los pueblos indígenas, así como el vínculo que tienen con el ter</w:t>
      </w:r>
      <w:r w:rsidR="00336A99" w:rsidRPr="00B320D4">
        <w:rPr>
          <w:rFonts w:ascii="Verdana" w:hAnsi="Verdana"/>
          <w:sz w:val="20"/>
          <w:szCs w:val="20"/>
        </w:rPr>
        <w:t>ritorio como manifestación de su</w:t>
      </w:r>
      <w:r w:rsidR="00B578C2" w:rsidRPr="00B320D4">
        <w:rPr>
          <w:rFonts w:ascii="Verdana" w:hAnsi="Verdana"/>
          <w:sz w:val="20"/>
          <w:szCs w:val="20"/>
        </w:rPr>
        <w:t xml:space="preserve"> identidad cultural. </w:t>
      </w:r>
    </w:p>
    <w:p w14:paraId="6DF10F12" w14:textId="77777777" w:rsidR="00694A68" w:rsidRPr="00B320D4" w:rsidRDefault="00694A68" w:rsidP="00267F70">
      <w:pPr>
        <w:pStyle w:val="NormalWeb"/>
        <w:spacing w:before="0" w:beforeAutospacing="0" w:after="0" w:afterAutospacing="0"/>
        <w:jc w:val="both"/>
        <w:rPr>
          <w:rFonts w:ascii="Verdana" w:eastAsiaTheme="minorHAnsi" w:hAnsi="Verdana"/>
          <w:sz w:val="20"/>
          <w:szCs w:val="20"/>
          <w:lang w:val="es-ES_tradnl" w:eastAsia="es-ES_tradnl"/>
        </w:rPr>
      </w:pPr>
    </w:p>
    <w:p w14:paraId="5500C34D" w14:textId="359DBA64" w:rsidR="0057714A" w:rsidRPr="00B320D4" w:rsidRDefault="00C323F7" w:rsidP="00267F70">
      <w:pPr>
        <w:pStyle w:val="NormalWeb"/>
        <w:spacing w:before="0" w:beforeAutospacing="0" w:after="0" w:afterAutospacing="0"/>
        <w:jc w:val="both"/>
        <w:rPr>
          <w:rFonts w:ascii="Verdana" w:hAnsi="Verdana"/>
          <w:sz w:val="20"/>
          <w:szCs w:val="20"/>
        </w:rPr>
      </w:pPr>
      <w:r w:rsidRPr="007E1845">
        <w:rPr>
          <w:rFonts w:ascii="Verdana" w:hAnsi="Verdana"/>
          <w:sz w:val="20"/>
          <w:szCs w:val="20"/>
          <w:lang w:eastAsia="es-ES_tradnl"/>
        </w:rPr>
        <w:t>13</w:t>
      </w:r>
      <w:r w:rsidR="00B26381" w:rsidRPr="00914E2E">
        <w:rPr>
          <w:rFonts w:ascii="Verdana" w:hAnsi="Verdana"/>
          <w:sz w:val="20"/>
          <w:szCs w:val="20"/>
          <w:lang w:eastAsia="es-ES_tradnl"/>
        </w:rPr>
        <w:t xml:space="preserve">. </w:t>
      </w:r>
      <w:r w:rsidR="00B26381" w:rsidRPr="00914E2E">
        <w:rPr>
          <w:rFonts w:ascii="Verdana" w:hAnsi="Verdana"/>
          <w:sz w:val="20"/>
          <w:szCs w:val="20"/>
          <w:lang w:eastAsia="es-ES_tradnl"/>
        </w:rPr>
        <w:tab/>
      </w:r>
      <w:r w:rsidR="00694A68" w:rsidRPr="00914E2E">
        <w:rPr>
          <w:rFonts w:ascii="Verdana" w:hAnsi="Verdana"/>
          <w:sz w:val="20"/>
          <w:szCs w:val="20"/>
          <w:lang w:eastAsia="es-ES_tradnl"/>
        </w:rPr>
        <w:t>En e</w:t>
      </w:r>
      <w:r w:rsidR="00B578C2" w:rsidRPr="00914E2E">
        <w:rPr>
          <w:rFonts w:ascii="Verdana" w:hAnsi="Verdana"/>
          <w:sz w:val="20"/>
          <w:szCs w:val="20"/>
          <w:lang w:eastAsia="es-ES_tradnl"/>
        </w:rPr>
        <w:t>ste sentido</w:t>
      </w:r>
      <w:r w:rsidR="003C6321" w:rsidRPr="001865F1">
        <w:rPr>
          <w:rFonts w:ascii="Verdana" w:hAnsi="Verdana"/>
          <w:sz w:val="20"/>
          <w:szCs w:val="20"/>
          <w:lang w:eastAsia="es-ES_tradnl"/>
        </w:rPr>
        <w:t xml:space="preserve">, </w:t>
      </w:r>
      <w:r w:rsidR="0057714A" w:rsidRPr="00EE35BE">
        <w:rPr>
          <w:rFonts w:ascii="Verdana" w:hAnsi="Verdana"/>
          <w:sz w:val="20"/>
          <w:szCs w:val="20"/>
        </w:rPr>
        <w:t xml:space="preserve">resulta particularmente importante el contenido del artículo 13 </w:t>
      </w:r>
      <w:r w:rsidR="0057714A" w:rsidRPr="00EE35BE">
        <w:rPr>
          <w:rFonts w:ascii="Verdana" w:hAnsi="Verdana"/>
          <w:sz w:val="20"/>
          <w:szCs w:val="20"/>
          <w:lang w:eastAsia="es-ES_tradnl"/>
        </w:rPr>
        <w:t>del Convenio No. 169 de la Organización Internacional del Trabajo</w:t>
      </w:r>
      <w:r w:rsidR="00A9014D" w:rsidRPr="00AB28A3">
        <w:rPr>
          <w:rStyle w:val="Refdenotaalpie"/>
          <w:rFonts w:ascii="Verdana" w:eastAsiaTheme="minorHAnsi" w:hAnsi="Verdana"/>
          <w:sz w:val="20"/>
          <w:lang w:val="es-ES_tradnl" w:eastAsia="es-ES_tradnl"/>
        </w:rPr>
        <w:footnoteReference w:id="18"/>
      </w:r>
      <w:r w:rsidR="00A9014D" w:rsidRPr="00AB28A3">
        <w:rPr>
          <w:rFonts w:ascii="Verdana" w:hAnsi="Verdana"/>
          <w:sz w:val="20"/>
          <w:szCs w:val="20"/>
          <w:lang w:eastAsia="es-ES_tradnl"/>
        </w:rPr>
        <w:t xml:space="preserve">, </w:t>
      </w:r>
      <w:r w:rsidR="00C86F84" w:rsidRPr="00AB28A3">
        <w:rPr>
          <w:rFonts w:ascii="Verdana" w:hAnsi="Verdana"/>
          <w:sz w:val="20"/>
          <w:szCs w:val="20"/>
          <w:lang w:eastAsia="es-ES_tradnl"/>
        </w:rPr>
        <w:t xml:space="preserve">suscrito y </w:t>
      </w:r>
      <w:r w:rsidR="00A9014D" w:rsidRPr="00AB28A3">
        <w:rPr>
          <w:rFonts w:ascii="Verdana" w:hAnsi="Verdana"/>
          <w:sz w:val="20"/>
          <w:szCs w:val="20"/>
          <w:lang w:eastAsia="es-ES_tradnl"/>
        </w:rPr>
        <w:t>ratificado por Argentina</w:t>
      </w:r>
      <w:r w:rsidR="00AB28A3">
        <w:rPr>
          <w:rStyle w:val="Refdenotaalpie"/>
          <w:rFonts w:ascii="Verdana" w:hAnsi="Verdana"/>
          <w:sz w:val="20"/>
          <w:lang w:eastAsia="es-ES_tradnl"/>
        </w:rPr>
        <w:footnoteReference w:id="19"/>
      </w:r>
      <w:r w:rsidR="0057714A" w:rsidRPr="00AB28A3">
        <w:rPr>
          <w:rFonts w:ascii="Verdana" w:hAnsi="Verdana"/>
          <w:sz w:val="20"/>
          <w:szCs w:val="20"/>
        </w:rPr>
        <w:t>:</w:t>
      </w:r>
    </w:p>
    <w:p w14:paraId="46A53F85" w14:textId="77777777" w:rsidR="00267F70" w:rsidRPr="00B320D4" w:rsidRDefault="00267F70" w:rsidP="00267F70">
      <w:pPr>
        <w:pStyle w:val="NormalWeb"/>
        <w:spacing w:before="0" w:beforeAutospacing="0" w:after="0" w:afterAutospacing="0"/>
        <w:jc w:val="both"/>
        <w:rPr>
          <w:rFonts w:ascii="Verdana" w:hAnsi="Verdana"/>
          <w:sz w:val="20"/>
          <w:szCs w:val="20"/>
        </w:rPr>
      </w:pPr>
    </w:p>
    <w:p w14:paraId="1951398A" w14:textId="77777777" w:rsidR="0057714A" w:rsidRPr="00B320D4" w:rsidRDefault="0057714A" w:rsidP="0075294F">
      <w:pPr>
        <w:shd w:val="clear" w:color="auto" w:fill="FFFFFF"/>
        <w:ind w:left="425"/>
        <w:jc w:val="center"/>
        <w:rPr>
          <w:rFonts w:ascii="Verdana" w:hAnsi="Verdana"/>
          <w:sz w:val="16"/>
          <w:szCs w:val="16"/>
        </w:rPr>
      </w:pPr>
      <w:r w:rsidRPr="00B320D4">
        <w:rPr>
          <w:rFonts w:ascii="Verdana" w:hAnsi="Verdana"/>
          <w:sz w:val="16"/>
          <w:szCs w:val="16"/>
        </w:rPr>
        <w:t>Parte II. Tierras</w:t>
      </w:r>
    </w:p>
    <w:p w14:paraId="5C19316E" w14:textId="77777777" w:rsidR="0057714A" w:rsidRPr="00B320D4" w:rsidRDefault="0057714A" w:rsidP="0075294F">
      <w:pPr>
        <w:shd w:val="clear" w:color="auto" w:fill="FFFFFF"/>
        <w:ind w:left="425"/>
        <w:jc w:val="center"/>
        <w:rPr>
          <w:rFonts w:ascii="Verdana" w:hAnsi="Verdana"/>
          <w:sz w:val="16"/>
          <w:szCs w:val="16"/>
        </w:rPr>
      </w:pPr>
    </w:p>
    <w:p w14:paraId="4D8A420B" w14:textId="77777777" w:rsidR="0057714A" w:rsidRPr="00B320D4" w:rsidRDefault="0057714A" w:rsidP="0075294F">
      <w:pPr>
        <w:shd w:val="clear" w:color="auto" w:fill="FFFFFF"/>
        <w:ind w:left="426"/>
        <w:jc w:val="center"/>
        <w:rPr>
          <w:rFonts w:ascii="Verdana" w:hAnsi="Verdana"/>
          <w:sz w:val="16"/>
          <w:szCs w:val="16"/>
        </w:rPr>
      </w:pPr>
      <w:r w:rsidRPr="00B320D4">
        <w:rPr>
          <w:rFonts w:ascii="Verdana" w:hAnsi="Verdana"/>
          <w:sz w:val="16"/>
          <w:szCs w:val="16"/>
        </w:rPr>
        <w:t>Artículo 13</w:t>
      </w:r>
    </w:p>
    <w:p w14:paraId="4C148E37" w14:textId="77777777" w:rsidR="0057714A" w:rsidRPr="00B320D4" w:rsidRDefault="0057714A" w:rsidP="0075294F">
      <w:pPr>
        <w:shd w:val="clear" w:color="auto" w:fill="FFFFFF"/>
        <w:ind w:left="426"/>
        <w:jc w:val="both"/>
        <w:rPr>
          <w:rFonts w:ascii="Verdana" w:hAnsi="Verdana"/>
          <w:sz w:val="16"/>
          <w:szCs w:val="16"/>
        </w:rPr>
      </w:pPr>
    </w:p>
    <w:p w14:paraId="4BA0B53D" w14:textId="77777777" w:rsidR="0057714A" w:rsidRPr="00B320D4" w:rsidRDefault="0057714A" w:rsidP="0075294F">
      <w:pPr>
        <w:pStyle w:val="NormalWeb"/>
        <w:shd w:val="clear" w:color="auto" w:fill="FFFFFF"/>
        <w:spacing w:before="0" w:beforeAutospacing="0" w:after="0" w:afterAutospacing="0"/>
        <w:ind w:left="426"/>
        <w:jc w:val="both"/>
        <w:rPr>
          <w:rFonts w:ascii="Verdana" w:hAnsi="Verdana"/>
          <w:sz w:val="16"/>
          <w:szCs w:val="16"/>
        </w:rPr>
      </w:pPr>
      <w:r w:rsidRPr="00B320D4">
        <w:rPr>
          <w:rFonts w:ascii="Verdana" w:hAnsi="Verdana"/>
          <w:sz w:val="16"/>
          <w:szCs w:val="16"/>
        </w:rPr>
        <w:lastRenderedPageBreak/>
        <w:t xml:space="preserve">1. Al aplicar las disposiciones de esta parte del Convenio, los gobiernos deberán respetar la importancia especial que para las culturas y valores espirituales de los pueblos interesados reviste </w:t>
      </w:r>
      <w:r w:rsidRPr="00B320D4">
        <w:rPr>
          <w:rFonts w:ascii="Verdana" w:hAnsi="Verdana"/>
          <w:b/>
          <w:sz w:val="16"/>
          <w:szCs w:val="16"/>
        </w:rPr>
        <w:t>su relación con las tierras o territorios, o con ambos</w:t>
      </w:r>
      <w:r w:rsidRPr="00B320D4">
        <w:rPr>
          <w:rFonts w:ascii="Verdana" w:hAnsi="Verdana"/>
          <w:sz w:val="16"/>
          <w:szCs w:val="16"/>
        </w:rPr>
        <w:t xml:space="preserve">, según los casos, que ocupan o utilizan de alguna otra manera, y en particular los aspectos colectivos de esa relación. </w:t>
      </w:r>
    </w:p>
    <w:p w14:paraId="6F55B628" w14:textId="77777777" w:rsidR="0057714A" w:rsidRPr="00B320D4" w:rsidRDefault="0057714A" w:rsidP="0075294F">
      <w:pPr>
        <w:shd w:val="clear" w:color="auto" w:fill="FFFFFF"/>
        <w:jc w:val="both"/>
        <w:rPr>
          <w:rFonts w:ascii="Verdana" w:hAnsi="Verdana"/>
          <w:sz w:val="16"/>
          <w:szCs w:val="16"/>
        </w:rPr>
      </w:pPr>
    </w:p>
    <w:p w14:paraId="463A03EF" w14:textId="3A6466F4" w:rsidR="0057714A" w:rsidRPr="00B320D4" w:rsidRDefault="0057714A" w:rsidP="0075294F">
      <w:pPr>
        <w:shd w:val="clear" w:color="auto" w:fill="FFFFFF"/>
        <w:ind w:left="426"/>
        <w:jc w:val="both"/>
        <w:rPr>
          <w:rFonts w:ascii="Verdana" w:hAnsi="Verdana"/>
          <w:sz w:val="16"/>
          <w:szCs w:val="16"/>
        </w:rPr>
      </w:pPr>
      <w:r w:rsidRPr="00B320D4">
        <w:rPr>
          <w:rFonts w:ascii="Verdana" w:hAnsi="Verdana"/>
          <w:b/>
          <w:bCs/>
          <w:sz w:val="16"/>
          <w:szCs w:val="16"/>
        </w:rPr>
        <w:t xml:space="preserve">2. La utilización del término </w:t>
      </w:r>
      <w:r w:rsidRPr="00B320D4">
        <w:rPr>
          <w:rFonts w:ascii="Verdana" w:hAnsi="Verdana"/>
          <w:b/>
          <w:bCs/>
          <w:i/>
          <w:iCs/>
          <w:sz w:val="16"/>
          <w:szCs w:val="16"/>
        </w:rPr>
        <w:t xml:space="preserve">tierras </w:t>
      </w:r>
      <w:r w:rsidRPr="00B320D4">
        <w:rPr>
          <w:rFonts w:ascii="Verdana" w:hAnsi="Verdana"/>
          <w:b/>
          <w:bCs/>
          <w:sz w:val="16"/>
          <w:szCs w:val="16"/>
        </w:rPr>
        <w:t>en los artículos 15 y 16 deberá incluir el concepto de territorios,</w:t>
      </w:r>
      <w:r w:rsidRPr="00B320D4">
        <w:rPr>
          <w:rFonts w:ascii="Verdana" w:hAnsi="Verdana"/>
          <w:sz w:val="16"/>
          <w:szCs w:val="16"/>
        </w:rPr>
        <w:t xml:space="preserve"> lo que cubre la totalidad del hábitat de las regiones que los pueblos interesados ocupan o utilizan de alguna otra manera. (</w:t>
      </w:r>
      <w:r w:rsidRPr="00B320D4">
        <w:rPr>
          <w:rFonts w:ascii="Verdana" w:hAnsi="Verdana"/>
          <w:i/>
          <w:iCs/>
          <w:sz w:val="16"/>
          <w:szCs w:val="16"/>
        </w:rPr>
        <w:t>Énfasis añadido</w:t>
      </w:r>
      <w:r w:rsidRPr="00B320D4">
        <w:rPr>
          <w:rFonts w:ascii="Verdana" w:hAnsi="Verdana"/>
          <w:sz w:val="16"/>
          <w:szCs w:val="16"/>
        </w:rPr>
        <w:t>)</w:t>
      </w:r>
      <w:r w:rsidR="0075294F">
        <w:rPr>
          <w:rFonts w:ascii="Verdana" w:hAnsi="Verdana"/>
          <w:sz w:val="16"/>
          <w:szCs w:val="16"/>
        </w:rPr>
        <w:t>.</w:t>
      </w:r>
    </w:p>
    <w:p w14:paraId="3AB5B4C7" w14:textId="77777777" w:rsidR="0057714A" w:rsidRPr="00B320D4" w:rsidRDefault="0057714A" w:rsidP="00267F70">
      <w:pPr>
        <w:pStyle w:val="Prrafodelista"/>
        <w:spacing w:after="0" w:line="240" w:lineRule="auto"/>
        <w:rPr>
          <w:rFonts w:ascii="Verdana" w:hAnsi="Verdana"/>
          <w:sz w:val="20"/>
          <w:szCs w:val="20"/>
        </w:rPr>
      </w:pPr>
      <w:r w:rsidRPr="00B320D4">
        <w:rPr>
          <w:rFonts w:ascii="Verdana" w:hAnsi="Verdana"/>
          <w:sz w:val="20"/>
          <w:szCs w:val="20"/>
        </w:rPr>
        <w:t xml:space="preserve"> </w:t>
      </w:r>
    </w:p>
    <w:p w14:paraId="7E191983" w14:textId="767C61F8" w:rsidR="007B597B" w:rsidRPr="00914E2E" w:rsidRDefault="00C323F7" w:rsidP="00267F70">
      <w:pPr>
        <w:pStyle w:val="Prrafodelista"/>
        <w:spacing w:after="0" w:line="240" w:lineRule="auto"/>
        <w:ind w:left="0"/>
        <w:jc w:val="both"/>
        <w:rPr>
          <w:rFonts w:ascii="Verdana" w:hAnsi="Verdana"/>
          <w:sz w:val="20"/>
          <w:szCs w:val="20"/>
        </w:rPr>
      </w:pPr>
      <w:r w:rsidRPr="00B320D4">
        <w:rPr>
          <w:rFonts w:ascii="Verdana" w:hAnsi="Verdana"/>
          <w:sz w:val="20"/>
          <w:szCs w:val="20"/>
        </w:rPr>
        <w:t>14</w:t>
      </w:r>
      <w:r w:rsidR="0057714A" w:rsidRPr="00B320D4">
        <w:rPr>
          <w:rFonts w:ascii="Verdana" w:hAnsi="Verdana"/>
          <w:sz w:val="20"/>
          <w:szCs w:val="20"/>
        </w:rPr>
        <w:t xml:space="preserve">. </w:t>
      </w:r>
      <w:r w:rsidR="0057714A" w:rsidRPr="00B320D4">
        <w:rPr>
          <w:rFonts w:ascii="Verdana" w:hAnsi="Verdana"/>
          <w:sz w:val="20"/>
          <w:szCs w:val="20"/>
        </w:rPr>
        <w:tab/>
      </w:r>
      <w:r w:rsidR="005550A7" w:rsidRPr="00B320D4">
        <w:rPr>
          <w:rFonts w:ascii="Verdana" w:hAnsi="Verdana"/>
          <w:sz w:val="20"/>
          <w:szCs w:val="20"/>
        </w:rPr>
        <w:t xml:space="preserve">Como se advierte del </w:t>
      </w:r>
      <w:r w:rsidR="003C6321" w:rsidRPr="00B320D4">
        <w:rPr>
          <w:rFonts w:ascii="Verdana" w:hAnsi="Verdana"/>
          <w:sz w:val="20"/>
          <w:szCs w:val="20"/>
        </w:rPr>
        <w:t xml:space="preserve">artículo </w:t>
      </w:r>
      <w:r w:rsidR="005550A7" w:rsidRPr="00B320D4">
        <w:rPr>
          <w:rFonts w:ascii="Verdana" w:hAnsi="Verdana"/>
          <w:sz w:val="20"/>
          <w:szCs w:val="20"/>
        </w:rPr>
        <w:t>transcrito del Convenio No. 169 de la OIT,</w:t>
      </w:r>
      <w:r w:rsidR="005550A7" w:rsidRPr="00B320D4">
        <w:rPr>
          <w:rFonts w:ascii="Verdana" w:hAnsi="Verdana"/>
          <w:bCs/>
          <w:color w:val="000000"/>
          <w:sz w:val="20"/>
          <w:szCs w:val="20"/>
          <w:lang w:eastAsia="es-ES_tradnl"/>
        </w:rPr>
        <w:t xml:space="preserve"> en su primer apartado, alude a “tierras o territorios” y luego agrega “o a ambos”, mientras que el segundo apartado del mismo </w:t>
      </w:r>
      <w:r w:rsidR="003C6321" w:rsidRPr="00B320D4">
        <w:rPr>
          <w:rFonts w:ascii="Verdana" w:hAnsi="Verdana"/>
          <w:bCs/>
          <w:color w:val="000000"/>
          <w:sz w:val="20"/>
          <w:szCs w:val="20"/>
          <w:lang w:eastAsia="es-ES_tradnl"/>
        </w:rPr>
        <w:t xml:space="preserve">precepto </w:t>
      </w:r>
      <w:r w:rsidR="005550A7" w:rsidRPr="00B320D4">
        <w:rPr>
          <w:rFonts w:ascii="Verdana" w:hAnsi="Verdana"/>
          <w:bCs/>
          <w:color w:val="000000"/>
          <w:sz w:val="20"/>
          <w:szCs w:val="20"/>
          <w:lang w:eastAsia="es-ES_tradnl"/>
        </w:rPr>
        <w:t>aclara que el término “tierras”, en los artículos 15 y 16 de ese instrumento —referidos a derechos sobre recursos naturales y pautas relativas al traslado de pueblos indígenas de las tierras que ocupan—, “</w:t>
      </w:r>
      <w:r w:rsidR="005550A7" w:rsidRPr="00B320D4">
        <w:rPr>
          <w:rFonts w:ascii="Verdana" w:hAnsi="Verdana"/>
          <w:sz w:val="20"/>
          <w:szCs w:val="20"/>
          <w:lang w:eastAsia="es-ES_tradnl"/>
        </w:rPr>
        <w:t>deberá incluir el concepto de territorios, lo que cubre la totalidad del hábitat de las regiones que los pueblos interesados ocupan o utilizan de alguna otra manera”.</w:t>
      </w:r>
      <w:r w:rsidR="00822C36" w:rsidRPr="00B320D4">
        <w:rPr>
          <w:rFonts w:ascii="Verdana" w:hAnsi="Verdana"/>
          <w:sz w:val="20"/>
          <w:szCs w:val="20"/>
        </w:rPr>
        <w:t xml:space="preserve"> La OIT ha señalado al explicar el artículo 13 citado, que “[e]l territorio es la base de la economía y las estrategias de sustento, las instituciones tradicionales, el bienestar espiritual y la identidad cultural particular de la mayoría de los pueblos indígenas”</w:t>
      </w:r>
      <w:r w:rsidR="00822C36" w:rsidRPr="00B320D4">
        <w:rPr>
          <w:rStyle w:val="Refdenotaalpie"/>
          <w:rFonts w:ascii="Verdana" w:hAnsi="Verdana"/>
          <w:sz w:val="20"/>
        </w:rPr>
        <w:t xml:space="preserve"> </w:t>
      </w:r>
      <w:r w:rsidR="00822C36" w:rsidRPr="007E1845">
        <w:rPr>
          <w:rStyle w:val="Refdenotaalpie"/>
          <w:rFonts w:ascii="Verdana" w:hAnsi="Verdana"/>
          <w:sz w:val="20"/>
        </w:rPr>
        <w:footnoteReference w:id="20"/>
      </w:r>
      <w:r w:rsidR="00822C36" w:rsidRPr="007E1845">
        <w:rPr>
          <w:rFonts w:ascii="Verdana" w:hAnsi="Verdana"/>
          <w:sz w:val="20"/>
        </w:rPr>
        <w:t>.</w:t>
      </w:r>
    </w:p>
    <w:p w14:paraId="35D21D05" w14:textId="77777777" w:rsidR="0057714A" w:rsidRPr="00914E2E" w:rsidRDefault="0057714A" w:rsidP="00267F70">
      <w:pPr>
        <w:rPr>
          <w:rFonts w:ascii="Verdana" w:hAnsi="Verdana"/>
          <w:sz w:val="20"/>
          <w:szCs w:val="20"/>
        </w:rPr>
      </w:pPr>
    </w:p>
    <w:p w14:paraId="58B0237A" w14:textId="05ACCD28" w:rsidR="0057714A" w:rsidRPr="00B320D4" w:rsidRDefault="00C323F7" w:rsidP="00267F70">
      <w:pPr>
        <w:pStyle w:val="Prrafodelista"/>
        <w:spacing w:after="0" w:line="240" w:lineRule="auto"/>
        <w:ind w:left="0"/>
        <w:jc w:val="both"/>
        <w:rPr>
          <w:rFonts w:ascii="Verdana" w:hAnsi="Verdana"/>
          <w:sz w:val="20"/>
          <w:szCs w:val="20"/>
        </w:rPr>
      </w:pPr>
      <w:r w:rsidRPr="00EE35BE">
        <w:rPr>
          <w:rFonts w:ascii="Verdana" w:hAnsi="Verdana"/>
          <w:sz w:val="20"/>
          <w:szCs w:val="20"/>
        </w:rPr>
        <w:t>15</w:t>
      </w:r>
      <w:r w:rsidR="0057714A" w:rsidRPr="00EE35BE">
        <w:rPr>
          <w:rFonts w:ascii="Verdana" w:hAnsi="Verdana"/>
          <w:sz w:val="20"/>
          <w:szCs w:val="20"/>
        </w:rPr>
        <w:t xml:space="preserve">. </w:t>
      </w:r>
      <w:r w:rsidR="0057714A" w:rsidRPr="00EE35BE">
        <w:rPr>
          <w:rFonts w:ascii="Verdana" w:hAnsi="Verdana"/>
          <w:sz w:val="20"/>
          <w:szCs w:val="20"/>
        </w:rPr>
        <w:tab/>
      </w:r>
      <w:r w:rsidR="0058530A" w:rsidRPr="00EE35BE">
        <w:rPr>
          <w:rFonts w:ascii="Verdana" w:hAnsi="Verdana"/>
          <w:sz w:val="20"/>
          <w:szCs w:val="20"/>
        </w:rPr>
        <w:t xml:space="preserve">De manera muy clara, la </w:t>
      </w:r>
      <w:r w:rsidR="0057714A" w:rsidRPr="00EE35BE">
        <w:rPr>
          <w:rFonts w:ascii="Verdana" w:hAnsi="Verdana"/>
          <w:sz w:val="20"/>
          <w:szCs w:val="20"/>
        </w:rPr>
        <w:t xml:space="preserve">Declaración de Naciones Unidas sobre los Derechos de los Pueblos Indígenas adoptada en </w:t>
      </w:r>
      <w:r w:rsidR="0057714A" w:rsidRPr="00B320D4">
        <w:rPr>
          <w:rFonts w:ascii="Verdana" w:hAnsi="Verdana"/>
          <w:sz w:val="20"/>
          <w:szCs w:val="20"/>
        </w:rPr>
        <w:t>2007</w:t>
      </w:r>
      <w:r w:rsidR="0058530A" w:rsidRPr="00B320D4">
        <w:rPr>
          <w:rFonts w:ascii="Verdana" w:hAnsi="Verdana"/>
          <w:sz w:val="20"/>
          <w:szCs w:val="20"/>
        </w:rPr>
        <w:t xml:space="preserve">, prevé </w:t>
      </w:r>
      <w:r w:rsidR="0057714A" w:rsidRPr="00B320D4">
        <w:rPr>
          <w:rFonts w:ascii="Verdana" w:hAnsi="Verdana"/>
          <w:sz w:val="20"/>
          <w:szCs w:val="20"/>
        </w:rPr>
        <w:t>la protección brindada tanto para la tierra como para el territorio</w:t>
      </w:r>
      <w:r w:rsidR="004617F4" w:rsidRPr="00B320D4">
        <w:rPr>
          <w:rFonts w:ascii="Verdana" w:hAnsi="Verdana"/>
          <w:sz w:val="20"/>
          <w:szCs w:val="20"/>
        </w:rPr>
        <w:t xml:space="preserve">, </w:t>
      </w:r>
      <w:r w:rsidR="0057714A" w:rsidRPr="00B320D4">
        <w:rPr>
          <w:rFonts w:ascii="Verdana" w:hAnsi="Verdana"/>
          <w:sz w:val="20"/>
          <w:szCs w:val="20"/>
        </w:rPr>
        <w:t>de manera diferenciada y sin subsumir “el territorio” en el concepto de “tierra”</w:t>
      </w:r>
      <w:r w:rsidR="004617F4" w:rsidRPr="00B320D4">
        <w:rPr>
          <w:rFonts w:ascii="Verdana" w:hAnsi="Verdana"/>
          <w:sz w:val="20"/>
          <w:szCs w:val="20"/>
        </w:rPr>
        <w:t xml:space="preserve">. El </w:t>
      </w:r>
      <w:r w:rsidR="0057714A" w:rsidRPr="00B320D4">
        <w:rPr>
          <w:rFonts w:ascii="Verdana" w:hAnsi="Verdana"/>
          <w:sz w:val="20"/>
          <w:szCs w:val="20"/>
        </w:rPr>
        <w:t>artículo 25</w:t>
      </w:r>
      <w:r w:rsidR="004617F4" w:rsidRPr="00B320D4">
        <w:rPr>
          <w:rFonts w:ascii="Verdana" w:hAnsi="Verdana"/>
          <w:sz w:val="20"/>
          <w:szCs w:val="20"/>
        </w:rPr>
        <w:t xml:space="preserve"> señala:</w:t>
      </w:r>
      <w:r w:rsidR="0057714A" w:rsidRPr="00B320D4">
        <w:rPr>
          <w:rFonts w:ascii="Verdana" w:hAnsi="Verdana"/>
          <w:sz w:val="20"/>
          <w:szCs w:val="20"/>
        </w:rPr>
        <w:t xml:space="preserve"> </w:t>
      </w:r>
    </w:p>
    <w:p w14:paraId="784DF747" w14:textId="23F690A3" w:rsidR="0057714A" w:rsidRPr="00B320D4" w:rsidRDefault="0057714A" w:rsidP="00267F70">
      <w:pPr>
        <w:pStyle w:val="Prrafodelista"/>
        <w:spacing w:after="0" w:line="240" w:lineRule="auto"/>
        <w:ind w:left="0"/>
        <w:jc w:val="both"/>
        <w:rPr>
          <w:rFonts w:ascii="Verdana" w:hAnsi="Verdana"/>
          <w:sz w:val="20"/>
          <w:szCs w:val="20"/>
        </w:rPr>
      </w:pPr>
    </w:p>
    <w:p w14:paraId="62145793" w14:textId="77777777" w:rsidR="0057714A" w:rsidRPr="00B320D4" w:rsidRDefault="0057714A" w:rsidP="0075294F">
      <w:pPr>
        <w:jc w:val="center"/>
        <w:rPr>
          <w:rFonts w:ascii="Verdana" w:hAnsi="Verdana"/>
          <w:sz w:val="16"/>
          <w:szCs w:val="16"/>
        </w:rPr>
      </w:pPr>
      <w:r w:rsidRPr="00B320D4">
        <w:rPr>
          <w:rFonts w:ascii="Verdana" w:hAnsi="Verdana"/>
          <w:sz w:val="16"/>
          <w:szCs w:val="16"/>
        </w:rPr>
        <w:t>Artículo 25</w:t>
      </w:r>
    </w:p>
    <w:p w14:paraId="41709B1D" w14:textId="77777777" w:rsidR="0057714A" w:rsidRPr="00B320D4" w:rsidRDefault="0057714A" w:rsidP="0075294F">
      <w:pPr>
        <w:jc w:val="center"/>
        <w:rPr>
          <w:rFonts w:ascii="Verdana" w:hAnsi="Verdana"/>
          <w:sz w:val="16"/>
          <w:szCs w:val="16"/>
        </w:rPr>
      </w:pPr>
    </w:p>
    <w:p w14:paraId="17FB72EA" w14:textId="1A18552D" w:rsidR="0057714A" w:rsidRPr="00B320D4" w:rsidRDefault="0057714A" w:rsidP="0075294F">
      <w:pPr>
        <w:ind w:left="708"/>
        <w:jc w:val="both"/>
        <w:rPr>
          <w:rFonts w:ascii="Verdana" w:hAnsi="Verdana"/>
          <w:sz w:val="16"/>
          <w:szCs w:val="16"/>
        </w:rPr>
      </w:pPr>
      <w:r w:rsidRPr="00B320D4">
        <w:rPr>
          <w:rFonts w:ascii="Verdana" w:hAnsi="Verdana"/>
          <w:sz w:val="16"/>
          <w:szCs w:val="16"/>
        </w:rPr>
        <w:t xml:space="preserve">Los pueblos indígenas tienen derecho a mantener y fortalecer su propia relación espiritual con </w:t>
      </w:r>
      <w:r w:rsidRPr="00B320D4">
        <w:rPr>
          <w:rFonts w:ascii="Verdana" w:hAnsi="Verdana"/>
          <w:b/>
          <w:bCs/>
          <w:sz w:val="16"/>
          <w:szCs w:val="16"/>
        </w:rPr>
        <w:t xml:space="preserve">las tierras, territorios, aguas, mares costeros y otros recursos </w:t>
      </w:r>
      <w:r w:rsidRPr="00B320D4">
        <w:rPr>
          <w:rFonts w:ascii="Verdana" w:hAnsi="Verdana"/>
          <w:sz w:val="16"/>
          <w:szCs w:val="16"/>
        </w:rPr>
        <w:t>que tradicionalmente han poseído u ocupado y utilizado y a asumir las responsabilidades que a ese respecto les incumben para con las generaciones venideras. (</w:t>
      </w:r>
      <w:r w:rsidRPr="00B320D4">
        <w:rPr>
          <w:rFonts w:ascii="Verdana" w:hAnsi="Verdana"/>
          <w:i/>
          <w:iCs/>
          <w:sz w:val="16"/>
          <w:szCs w:val="16"/>
        </w:rPr>
        <w:t>Énfasis añadido</w:t>
      </w:r>
      <w:r w:rsidRPr="00B320D4">
        <w:rPr>
          <w:rFonts w:ascii="Verdana" w:hAnsi="Verdana"/>
          <w:sz w:val="16"/>
          <w:szCs w:val="16"/>
        </w:rPr>
        <w:t>)</w:t>
      </w:r>
      <w:r w:rsidR="0075294F">
        <w:rPr>
          <w:rFonts w:ascii="Verdana" w:hAnsi="Verdana"/>
          <w:sz w:val="16"/>
          <w:szCs w:val="16"/>
        </w:rPr>
        <w:t>.</w:t>
      </w:r>
    </w:p>
    <w:p w14:paraId="24744A82" w14:textId="77777777" w:rsidR="0057714A" w:rsidRPr="00B320D4" w:rsidRDefault="0057714A" w:rsidP="00267F70">
      <w:pPr>
        <w:jc w:val="both"/>
        <w:rPr>
          <w:rFonts w:ascii="Verdana" w:hAnsi="Verdana"/>
          <w:sz w:val="16"/>
          <w:szCs w:val="16"/>
        </w:rPr>
      </w:pPr>
    </w:p>
    <w:p w14:paraId="1C5B2C5A" w14:textId="2B314294" w:rsidR="0057714A" w:rsidRPr="00914E2E" w:rsidRDefault="00C323F7" w:rsidP="00267F70">
      <w:pPr>
        <w:pStyle w:val="Prrafodelista"/>
        <w:spacing w:after="0" w:line="240" w:lineRule="auto"/>
        <w:ind w:left="0"/>
        <w:rPr>
          <w:rFonts w:ascii="Verdana" w:hAnsi="Verdana"/>
          <w:sz w:val="20"/>
          <w:szCs w:val="20"/>
        </w:rPr>
      </w:pPr>
      <w:r w:rsidRPr="00B320D4">
        <w:rPr>
          <w:rFonts w:ascii="Verdana" w:hAnsi="Verdana"/>
          <w:sz w:val="20"/>
          <w:szCs w:val="20"/>
        </w:rPr>
        <w:t>16</w:t>
      </w:r>
      <w:r w:rsidR="0057714A" w:rsidRPr="00B320D4">
        <w:rPr>
          <w:rFonts w:ascii="Verdana" w:hAnsi="Verdana"/>
          <w:sz w:val="20"/>
          <w:szCs w:val="20"/>
        </w:rPr>
        <w:t xml:space="preserve">. </w:t>
      </w:r>
      <w:r w:rsidR="0057714A" w:rsidRPr="00B320D4">
        <w:rPr>
          <w:rFonts w:ascii="Verdana" w:hAnsi="Verdana"/>
          <w:sz w:val="20"/>
          <w:szCs w:val="20"/>
        </w:rPr>
        <w:tab/>
        <w:t>Asimismo, el artí</w:t>
      </w:r>
      <w:r w:rsidR="0057714A" w:rsidRPr="007E1845">
        <w:rPr>
          <w:rFonts w:ascii="Verdana" w:hAnsi="Verdana"/>
          <w:sz w:val="20"/>
          <w:szCs w:val="20"/>
        </w:rPr>
        <w:t>culo 26 de la misma Declaraci</w:t>
      </w:r>
      <w:r w:rsidR="0057714A" w:rsidRPr="00B320D4">
        <w:rPr>
          <w:rFonts w:ascii="Verdana" w:hAnsi="Verdana"/>
          <w:sz w:val="20"/>
          <w:szCs w:val="20"/>
        </w:rPr>
        <w:t>ó</w:t>
      </w:r>
      <w:r w:rsidR="004617F4" w:rsidRPr="007E1845">
        <w:rPr>
          <w:rFonts w:ascii="Verdana" w:hAnsi="Verdana"/>
          <w:sz w:val="20"/>
          <w:szCs w:val="20"/>
        </w:rPr>
        <w:t>n precisa</w:t>
      </w:r>
      <w:r w:rsidR="0057714A" w:rsidRPr="00914E2E">
        <w:rPr>
          <w:rFonts w:ascii="Verdana" w:hAnsi="Verdana"/>
          <w:sz w:val="20"/>
          <w:szCs w:val="20"/>
        </w:rPr>
        <w:t xml:space="preserve">: </w:t>
      </w:r>
    </w:p>
    <w:p w14:paraId="70C14B57" w14:textId="77777777" w:rsidR="0057714A" w:rsidRPr="00914E2E" w:rsidRDefault="0057714A" w:rsidP="00267F70">
      <w:pPr>
        <w:pStyle w:val="Prrafodelista"/>
        <w:spacing w:after="0" w:line="240" w:lineRule="auto"/>
        <w:ind w:left="0"/>
        <w:rPr>
          <w:rFonts w:ascii="Verdana" w:hAnsi="Verdana"/>
          <w:sz w:val="20"/>
          <w:szCs w:val="20"/>
        </w:rPr>
      </w:pPr>
    </w:p>
    <w:p w14:paraId="42742FDB" w14:textId="77777777" w:rsidR="0057714A" w:rsidRPr="00914E2E" w:rsidRDefault="0057714A" w:rsidP="0075294F">
      <w:pPr>
        <w:jc w:val="center"/>
        <w:rPr>
          <w:rFonts w:ascii="Verdana" w:hAnsi="Verdana"/>
          <w:sz w:val="16"/>
          <w:szCs w:val="16"/>
        </w:rPr>
      </w:pPr>
      <w:r w:rsidRPr="00914E2E">
        <w:rPr>
          <w:rFonts w:ascii="Verdana" w:hAnsi="Verdana"/>
          <w:sz w:val="16"/>
          <w:szCs w:val="16"/>
        </w:rPr>
        <w:t xml:space="preserve"> Artículo 26</w:t>
      </w:r>
    </w:p>
    <w:p w14:paraId="7E5CCA15" w14:textId="77777777" w:rsidR="0057714A" w:rsidRPr="00EE35BE" w:rsidRDefault="0057714A" w:rsidP="0075294F">
      <w:pPr>
        <w:jc w:val="center"/>
        <w:rPr>
          <w:rFonts w:ascii="Verdana" w:hAnsi="Verdana"/>
          <w:sz w:val="16"/>
          <w:szCs w:val="16"/>
        </w:rPr>
      </w:pPr>
    </w:p>
    <w:p w14:paraId="48C18C8D" w14:textId="36A44214" w:rsidR="0057714A" w:rsidRDefault="0057714A" w:rsidP="0075294F">
      <w:pPr>
        <w:ind w:left="708"/>
        <w:jc w:val="both"/>
        <w:rPr>
          <w:rFonts w:ascii="Verdana" w:hAnsi="Verdana"/>
          <w:sz w:val="16"/>
          <w:szCs w:val="16"/>
        </w:rPr>
      </w:pPr>
      <w:r w:rsidRPr="00EE35BE">
        <w:rPr>
          <w:rFonts w:ascii="Verdana" w:hAnsi="Verdana"/>
          <w:sz w:val="16"/>
          <w:szCs w:val="16"/>
        </w:rPr>
        <w:t xml:space="preserve">1. Los pueblos indígenas tienen derecho </w:t>
      </w:r>
      <w:r w:rsidRPr="00EE35BE">
        <w:rPr>
          <w:rFonts w:ascii="Verdana" w:hAnsi="Verdana"/>
          <w:b/>
          <w:bCs/>
          <w:sz w:val="16"/>
          <w:szCs w:val="16"/>
        </w:rPr>
        <w:t>a las tierras, territorios y recurso</w:t>
      </w:r>
      <w:r w:rsidRPr="00B320D4">
        <w:rPr>
          <w:rFonts w:ascii="Verdana" w:hAnsi="Verdana"/>
          <w:sz w:val="16"/>
          <w:szCs w:val="16"/>
        </w:rPr>
        <w:t xml:space="preserve">s que tradicionalmente han poseído, ocupado o utilizado o adquirido. </w:t>
      </w:r>
    </w:p>
    <w:p w14:paraId="5687CA56" w14:textId="77777777" w:rsidR="00914E2E" w:rsidRPr="00914E2E" w:rsidRDefault="00914E2E" w:rsidP="0075294F">
      <w:pPr>
        <w:ind w:left="708"/>
        <w:jc w:val="both"/>
        <w:rPr>
          <w:rFonts w:ascii="Verdana" w:hAnsi="Verdana"/>
          <w:sz w:val="16"/>
          <w:szCs w:val="16"/>
        </w:rPr>
      </w:pPr>
    </w:p>
    <w:p w14:paraId="4439E00E" w14:textId="77777777" w:rsidR="0057714A" w:rsidRPr="00914E2E" w:rsidRDefault="0057714A" w:rsidP="0075294F">
      <w:pPr>
        <w:ind w:left="708"/>
        <w:jc w:val="both"/>
        <w:rPr>
          <w:rFonts w:ascii="Verdana" w:hAnsi="Verdana"/>
          <w:sz w:val="16"/>
          <w:szCs w:val="16"/>
        </w:rPr>
      </w:pPr>
      <w:r w:rsidRPr="00914E2E">
        <w:rPr>
          <w:rFonts w:ascii="Verdana" w:hAnsi="Verdana"/>
          <w:sz w:val="16"/>
          <w:szCs w:val="16"/>
        </w:rPr>
        <w:t xml:space="preserve">2. Los pueblos indígenas tienen derecho a poseer, utilizar, desarrollar y controlar </w:t>
      </w:r>
      <w:r w:rsidRPr="00914E2E">
        <w:rPr>
          <w:rFonts w:ascii="Verdana" w:hAnsi="Verdana"/>
          <w:b/>
          <w:bCs/>
          <w:sz w:val="16"/>
          <w:szCs w:val="16"/>
        </w:rPr>
        <w:t xml:space="preserve">las tierras, territorios y recursos </w:t>
      </w:r>
      <w:r w:rsidRPr="00914E2E">
        <w:rPr>
          <w:rFonts w:ascii="Verdana" w:hAnsi="Verdana"/>
          <w:sz w:val="16"/>
          <w:szCs w:val="16"/>
        </w:rPr>
        <w:t xml:space="preserve">que poseen en razón de la propiedad tradicional u otro tipo tradicional de ocupación o utilización, así como aquellos que hayan adquirido de otra forma. </w:t>
      </w:r>
    </w:p>
    <w:p w14:paraId="7B5542F6" w14:textId="77777777" w:rsidR="0057714A" w:rsidRPr="00914E2E" w:rsidRDefault="0057714A" w:rsidP="0075294F">
      <w:pPr>
        <w:ind w:left="708"/>
        <w:jc w:val="both"/>
        <w:rPr>
          <w:rFonts w:ascii="Verdana" w:hAnsi="Verdana"/>
          <w:sz w:val="16"/>
          <w:szCs w:val="16"/>
        </w:rPr>
      </w:pPr>
    </w:p>
    <w:p w14:paraId="10F6DB52" w14:textId="7ADA0C57" w:rsidR="0057714A" w:rsidRPr="00914E2E" w:rsidRDefault="0057714A" w:rsidP="0075294F">
      <w:pPr>
        <w:ind w:left="708"/>
        <w:jc w:val="both"/>
        <w:rPr>
          <w:rFonts w:ascii="Verdana" w:hAnsi="Verdana"/>
          <w:sz w:val="16"/>
          <w:szCs w:val="16"/>
        </w:rPr>
      </w:pPr>
      <w:r w:rsidRPr="00914E2E">
        <w:rPr>
          <w:rFonts w:ascii="Verdana" w:hAnsi="Verdana"/>
          <w:sz w:val="16"/>
          <w:szCs w:val="16"/>
        </w:rPr>
        <w:t xml:space="preserve">3. Los Estados asegurarán el reconocimiento y protección jurídicos de </w:t>
      </w:r>
      <w:r w:rsidRPr="00914E2E">
        <w:rPr>
          <w:rFonts w:ascii="Verdana" w:hAnsi="Verdana"/>
          <w:b/>
          <w:bCs/>
          <w:sz w:val="16"/>
          <w:szCs w:val="16"/>
        </w:rPr>
        <w:t>esas tierras, territorios y recursos</w:t>
      </w:r>
      <w:r w:rsidRPr="00914E2E">
        <w:rPr>
          <w:rFonts w:ascii="Verdana" w:hAnsi="Verdana"/>
          <w:sz w:val="16"/>
          <w:szCs w:val="16"/>
        </w:rPr>
        <w:t>. Dicho reconocimiento respetará debidamente las costumbres, las tradiciones y los sistemas de tenencia de la tierra de los pueblos indígenas de que se trate. (</w:t>
      </w:r>
      <w:r w:rsidRPr="00914E2E">
        <w:rPr>
          <w:rFonts w:ascii="Verdana" w:hAnsi="Verdana"/>
          <w:i/>
          <w:iCs/>
          <w:sz w:val="16"/>
          <w:szCs w:val="16"/>
        </w:rPr>
        <w:t>Énfasis añadido</w:t>
      </w:r>
      <w:r w:rsidRPr="00914E2E">
        <w:rPr>
          <w:rFonts w:ascii="Verdana" w:hAnsi="Verdana"/>
          <w:sz w:val="16"/>
          <w:szCs w:val="16"/>
        </w:rPr>
        <w:t>)</w:t>
      </w:r>
      <w:r w:rsidR="0075294F">
        <w:rPr>
          <w:rFonts w:ascii="Verdana" w:hAnsi="Verdana"/>
          <w:sz w:val="16"/>
          <w:szCs w:val="16"/>
        </w:rPr>
        <w:t>.</w:t>
      </w:r>
    </w:p>
    <w:p w14:paraId="69488751" w14:textId="77777777" w:rsidR="0057714A" w:rsidRPr="00914E2E" w:rsidRDefault="0057714A" w:rsidP="0075294F">
      <w:pPr>
        <w:ind w:left="708"/>
        <w:jc w:val="both"/>
        <w:rPr>
          <w:rFonts w:ascii="Verdana" w:hAnsi="Verdana"/>
          <w:sz w:val="16"/>
          <w:szCs w:val="16"/>
        </w:rPr>
      </w:pPr>
    </w:p>
    <w:p w14:paraId="1E7C26EA" w14:textId="1C2D912E" w:rsidR="0057714A" w:rsidRPr="00914E2E" w:rsidRDefault="00C323F7" w:rsidP="00B320D4">
      <w:pPr>
        <w:pStyle w:val="Prrafodelista"/>
        <w:spacing w:after="0" w:line="240" w:lineRule="auto"/>
        <w:ind w:left="0"/>
        <w:jc w:val="both"/>
        <w:rPr>
          <w:rFonts w:ascii="Verdana" w:hAnsi="Verdana"/>
          <w:sz w:val="20"/>
          <w:szCs w:val="20"/>
        </w:rPr>
      </w:pPr>
      <w:r w:rsidRPr="00914E2E">
        <w:rPr>
          <w:rFonts w:ascii="Verdana" w:hAnsi="Verdana"/>
          <w:sz w:val="20"/>
          <w:szCs w:val="20"/>
        </w:rPr>
        <w:t>17</w:t>
      </w:r>
      <w:r w:rsidR="0057714A" w:rsidRPr="00914E2E">
        <w:rPr>
          <w:rFonts w:ascii="Verdana" w:hAnsi="Verdana"/>
          <w:sz w:val="20"/>
          <w:szCs w:val="20"/>
        </w:rPr>
        <w:t xml:space="preserve">. </w:t>
      </w:r>
      <w:r w:rsidR="0057714A" w:rsidRPr="00914E2E">
        <w:rPr>
          <w:rFonts w:ascii="Verdana" w:hAnsi="Verdana"/>
          <w:sz w:val="20"/>
          <w:szCs w:val="20"/>
        </w:rPr>
        <w:tab/>
        <w:t xml:space="preserve">Lo indicado y expresado por la Declaración de Naciones Unidas, fue reafirmado </w:t>
      </w:r>
      <w:r w:rsidR="005D672B" w:rsidRPr="00914E2E">
        <w:rPr>
          <w:rFonts w:ascii="Verdana" w:hAnsi="Verdana"/>
          <w:sz w:val="20"/>
          <w:szCs w:val="20"/>
        </w:rPr>
        <w:t>—</w:t>
      </w:r>
      <w:r w:rsidR="0057714A" w:rsidRPr="00914E2E">
        <w:rPr>
          <w:rFonts w:ascii="Verdana" w:hAnsi="Verdana"/>
          <w:sz w:val="20"/>
          <w:szCs w:val="20"/>
        </w:rPr>
        <w:t>con ciertos matices</w:t>
      </w:r>
      <w:r w:rsidR="005D672B" w:rsidRPr="00914E2E">
        <w:rPr>
          <w:rFonts w:ascii="Verdana" w:hAnsi="Verdana"/>
          <w:sz w:val="20"/>
          <w:szCs w:val="20"/>
        </w:rPr>
        <w:t>—</w:t>
      </w:r>
      <w:r w:rsidR="0057714A" w:rsidRPr="00914E2E">
        <w:rPr>
          <w:rFonts w:ascii="Verdana" w:hAnsi="Verdana"/>
          <w:sz w:val="20"/>
          <w:szCs w:val="20"/>
        </w:rPr>
        <w:t xml:space="preserve"> por la Declaración Americana sobre los Derechos de los Pueblos Indígenas de 2016. Particularmente la Declaración agrega como un aspecto diferenciado de la tierra y el territorio, al medio ambiente. Así el artículo XIX prescribe:</w:t>
      </w:r>
    </w:p>
    <w:p w14:paraId="1BED957C" w14:textId="77777777" w:rsidR="0057714A" w:rsidRPr="00914E2E" w:rsidRDefault="0057714A" w:rsidP="00267F70">
      <w:pPr>
        <w:pStyle w:val="Prrafodelista"/>
        <w:spacing w:after="0" w:line="240" w:lineRule="auto"/>
        <w:ind w:left="0"/>
        <w:jc w:val="both"/>
        <w:rPr>
          <w:rFonts w:ascii="Verdana" w:hAnsi="Verdana"/>
          <w:sz w:val="20"/>
          <w:szCs w:val="20"/>
        </w:rPr>
      </w:pPr>
    </w:p>
    <w:p w14:paraId="048C6B8D" w14:textId="77777777" w:rsidR="0057714A" w:rsidRPr="00EE35BE" w:rsidRDefault="0057714A" w:rsidP="0075294F">
      <w:pPr>
        <w:jc w:val="center"/>
        <w:rPr>
          <w:rFonts w:ascii="Verdana" w:hAnsi="Verdana"/>
          <w:sz w:val="16"/>
          <w:szCs w:val="16"/>
        </w:rPr>
      </w:pPr>
      <w:r w:rsidRPr="00F820A3">
        <w:rPr>
          <w:rFonts w:ascii="Verdana" w:hAnsi="Verdana"/>
          <w:sz w:val="16"/>
          <w:szCs w:val="16"/>
        </w:rPr>
        <w:t>Artículo XIX. Derech</w:t>
      </w:r>
      <w:r w:rsidRPr="001865F1">
        <w:rPr>
          <w:rFonts w:ascii="Verdana" w:hAnsi="Verdana"/>
          <w:sz w:val="16"/>
          <w:szCs w:val="16"/>
        </w:rPr>
        <w:t>o a la p</w:t>
      </w:r>
      <w:r w:rsidRPr="00EE35BE">
        <w:rPr>
          <w:rFonts w:ascii="Verdana" w:hAnsi="Verdana"/>
          <w:sz w:val="16"/>
          <w:szCs w:val="16"/>
        </w:rPr>
        <w:t>rotección del medio ambiente sano</w:t>
      </w:r>
    </w:p>
    <w:p w14:paraId="1A06A7DD" w14:textId="77777777" w:rsidR="0057714A" w:rsidRPr="00EE35BE" w:rsidRDefault="0057714A" w:rsidP="0075294F">
      <w:pPr>
        <w:jc w:val="center"/>
        <w:rPr>
          <w:rFonts w:ascii="Verdana" w:hAnsi="Verdana"/>
          <w:sz w:val="16"/>
          <w:szCs w:val="16"/>
        </w:rPr>
      </w:pPr>
    </w:p>
    <w:p w14:paraId="0C628023" w14:textId="77777777" w:rsidR="0057714A" w:rsidRPr="00B320D4" w:rsidRDefault="0057714A" w:rsidP="0075294F">
      <w:pPr>
        <w:ind w:left="708"/>
        <w:jc w:val="both"/>
        <w:rPr>
          <w:rFonts w:ascii="Verdana" w:hAnsi="Verdana"/>
          <w:sz w:val="16"/>
          <w:szCs w:val="16"/>
        </w:rPr>
      </w:pPr>
      <w:r w:rsidRPr="00EE35BE">
        <w:rPr>
          <w:rFonts w:ascii="Verdana" w:hAnsi="Verdana"/>
          <w:sz w:val="16"/>
          <w:szCs w:val="16"/>
        </w:rPr>
        <w:lastRenderedPageBreak/>
        <w:t xml:space="preserve">1. Los pueblos indígenas tienen derecho a vivir en armonía con la naturaleza y a un ambiente sano, seguro y sustentable, condiciones esenciales para el pleno goce del derecho a la vida, a su espiritualidad, cosmovisión y al bienestar colectivo. </w:t>
      </w:r>
    </w:p>
    <w:p w14:paraId="39DA70B1" w14:textId="77777777" w:rsidR="0057714A" w:rsidRPr="00B320D4" w:rsidRDefault="0057714A" w:rsidP="0075294F">
      <w:pPr>
        <w:ind w:left="708"/>
        <w:jc w:val="both"/>
        <w:rPr>
          <w:rFonts w:ascii="Verdana" w:hAnsi="Verdana"/>
          <w:sz w:val="16"/>
          <w:szCs w:val="16"/>
        </w:rPr>
      </w:pPr>
    </w:p>
    <w:p w14:paraId="0C221610" w14:textId="77777777" w:rsidR="0057714A" w:rsidRPr="00B320D4" w:rsidRDefault="0057714A" w:rsidP="0075294F">
      <w:pPr>
        <w:ind w:left="708"/>
        <w:jc w:val="both"/>
        <w:rPr>
          <w:rFonts w:ascii="Verdana" w:hAnsi="Verdana"/>
          <w:sz w:val="16"/>
          <w:szCs w:val="16"/>
        </w:rPr>
      </w:pPr>
      <w:r w:rsidRPr="00B320D4">
        <w:rPr>
          <w:rFonts w:ascii="Verdana" w:hAnsi="Verdana"/>
          <w:sz w:val="16"/>
          <w:szCs w:val="16"/>
        </w:rPr>
        <w:t xml:space="preserve">2. Los pueblos indígenas tienen derecho a conservar, restaurar y proteger </w:t>
      </w:r>
      <w:r w:rsidRPr="00B320D4">
        <w:rPr>
          <w:rFonts w:ascii="Verdana" w:hAnsi="Verdana"/>
          <w:b/>
          <w:bCs/>
          <w:sz w:val="16"/>
          <w:szCs w:val="16"/>
        </w:rPr>
        <w:t>el medio ambiente y al manejo sustentable de sus tierras, territorios y recursos.</w:t>
      </w:r>
      <w:r w:rsidRPr="00B320D4">
        <w:rPr>
          <w:rFonts w:ascii="Verdana" w:hAnsi="Verdana"/>
          <w:sz w:val="16"/>
          <w:szCs w:val="16"/>
        </w:rPr>
        <w:t xml:space="preserve"> </w:t>
      </w:r>
    </w:p>
    <w:p w14:paraId="12B51C89" w14:textId="77777777" w:rsidR="0057714A" w:rsidRPr="00B320D4" w:rsidRDefault="0057714A" w:rsidP="0075294F">
      <w:pPr>
        <w:ind w:left="708"/>
        <w:jc w:val="both"/>
        <w:rPr>
          <w:rFonts w:ascii="Verdana" w:hAnsi="Verdana"/>
          <w:sz w:val="16"/>
          <w:szCs w:val="16"/>
        </w:rPr>
      </w:pPr>
    </w:p>
    <w:p w14:paraId="49147A80" w14:textId="77777777" w:rsidR="0057714A" w:rsidRPr="00B320D4" w:rsidRDefault="0057714A" w:rsidP="0075294F">
      <w:pPr>
        <w:ind w:left="708"/>
        <w:jc w:val="both"/>
        <w:rPr>
          <w:rFonts w:ascii="Verdana" w:hAnsi="Verdana"/>
          <w:sz w:val="16"/>
          <w:szCs w:val="16"/>
        </w:rPr>
      </w:pPr>
      <w:r w:rsidRPr="00B320D4">
        <w:rPr>
          <w:rFonts w:ascii="Verdana" w:hAnsi="Verdana"/>
          <w:sz w:val="16"/>
          <w:szCs w:val="16"/>
        </w:rPr>
        <w:t>3. Los pueblos indígenas tienen el derecho de ser protegidos contra la introducción, abandono, dispersión, tránsito, uso indiscriminado o depósito de cualquier material peligroso que pueda afectar negativamente a las comunidades, tierras, territorios y recursos indígenas.</w:t>
      </w:r>
    </w:p>
    <w:p w14:paraId="31AC6C53" w14:textId="77777777" w:rsidR="0057714A" w:rsidRPr="00B320D4" w:rsidRDefault="0057714A" w:rsidP="0075294F">
      <w:pPr>
        <w:ind w:left="708"/>
        <w:jc w:val="both"/>
        <w:rPr>
          <w:rFonts w:ascii="Verdana" w:hAnsi="Verdana"/>
          <w:sz w:val="16"/>
          <w:szCs w:val="16"/>
        </w:rPr>
      </w:pPr>
      <w:r w:rsidRPr="00B320D4">
        <w:rPr>
          <w:rFonts w:ascii="Verdana" w:hAnsi="Verdana"/>
          <w:sz w:val="16"/>
          <w:szCs w:val="16"/>
        </w:rPr>
        <w:t xml:space="preserve"> </w:t>
      </w:r>
    </w:p>
    <w:p w14:paraId="3EC46E3D" w14:textId="7FF77956" w:rsidR="0057714A" w:rsidRPr="00B320D4" w:rsidRDefault="0057714A" w:rsidP="0075294F">
      <w:pPr>
        <w:ind w:left="708"/>
        <w:jc w:val="both"/>
        <w:rPr>
          <w:rFonts w:ascii="Verdana" w:hAnsi="Verdana"/>
          <w:sz w:val="16"/>
          <w:szCs w:val="16"/>
        </w:rPr>
      </w:pPr>
      <w:r w:rsidRPr="00B320D4">
        <w:rPr>
          <w:rFonts w:ascii="Verdana" w:hAnsi="Verdana"/>
          <w:sz w:val="16"/>
          <w:szCs w:val="16"/>
        </w:rPr>
        <w:t xml:space="preserve">4. Los pueblos indígenas tienen derecho a la </w:t>
      </w:r>
      <w:r w:rsidRPr="00B320D4">
        <w:rPr>
          <w:rFonts w:ascii="Verdana" w:hAnsi="Verdana"/>
          <w:b/>
          <w:bCs/>
          <w:sz w:val="16"/>
          <w:szCs w:val="16"/>
        </w:rPr>
        <w:t>conservación y protección del medio ambiente y de la capacidad productiva de sus tierras o territorios y recursos.</w:t>
      </w:r>
      <w:r w:rsidRPr="00B320D4">
        <w:rPr>
          <w:rFonts w:ascii="Verdana" w:hAnsi="Verdana"/>
          <w:sz w:val="16"/>
          <w:szCs w:val="16"/>
        </w:rPr>
        <w:t xml:space="preserve"> Los Estados deberán establecer y ejecutar programas de asistencia a los pueblos indígenas para asegurar esa conservación y protección, sin discriminación. (</w:t>
      </w:r>
      <w:r w:rsidRPr="00B320D4">
        <w:rPr>
          <w:rFonts w:ascii="Verdana" w:hAnsi="Verdana"/>
          <w:i/>
          <w:iCs/>
          <w:sz w:val="16"/>
          <w:szCs w:val="16"/>
        </w:rPr>
        <w:t>Énfasis añadido</w:t>
      </w:r>
      <w:r w:rsidRPr="00B320D4">
        <w:rPr>
          <w:rFonts w:ascii="Verdana" w:hAnsi="Verdana"/>
          <w:sz w:val="16"/>
          <w:szCs w:val="16"/>
        </w:rPr>
        <w:t>)</w:t>
      </w:r>
      <w:r w:rsidR="0075294F">
        <w:rPr>
          <w:rFonts w:ascii="Verdana" w:hAnsi="Verdana"/>
          <w:sz w:val="16"/>
          <w:szCs w:val="16"/>
        </w:rPr>
        <w:t>.</w:t>
      </w:r>
    </w:p>
    <w:p w14:paraId="10C5FBF2" w14:textId="77777777" w:rsidR="0057714A" w:rsidRPr="00B320D4" w:rsidRDefault="0057714A" w:rsidP="00267F70">
      <w:pPr>
        <w:ind w:left="708"/>
        <w:jc w:val="both"/>
        <w:rPr>
          <w:rFonts w:ascii="Verdana" w:hAnsi="Verdana"/>
          <w:sz w:val="16"/>
          <w:szCs w:val="16"/>
        </w:rPr>
      </w:pPr>
    </w:p>
    <w:p w14:paraId="165F27F7" w14:textId="3941CB12" w:rsidR="0057714A" w:rsidRPr="00B320D4" w:rsidRDefault="00C323F7" w:rsidP="00267F70">
      <w:pPr>
        <w:pStyle w:val="Prrafodelista"/>
        <w:spacing w:after="0" w:line="240" w:lineRule="auto"/>
        <w:ind w:left="0"/>
        <w:jc w:val="both"/>
        <w:rPr>
          <w:rFonts w:ascii="Verdana" w:hAnsi="Verdana"/>
          <w:sz w:val="20"/>
          <w:szCs w:val="20"/>
        </w:rPr>
      </w:pPr>
      <w:r w:rsidRPr="00B320D4">
        <w:rPr>
          <w:rFonts w:ascii="Verdana" w:hAnsi="Verdana"/>
          <w:sz w:val="20"/>
          <w:szCs w:val="20"/>
        </w:rPr>
        <w:t>18</w:t>
      </w:r>
      <w:r w:rsidR="0057714A" w:rsidRPr="00B320D4">
        <w:rPr>
          <w:rFonts w:ascii="Verdana" w:hAnsi="Verdana"/>
          <w:sz w:val="20"/>
          <w:szCs w:val="20"/>
        </w:rPr>
        <w:t xml:space="preserve">. </w:t>
      </w:r>
      <w:r w:rsidR="0057714A" w:rsidRPr="00B320D4">
        <w:rPr>
          <w:rFonts w:ascii="Verdana" w:hAnsi="Verdana"/>
          <w:sz w:val="20"/>
          <w:szCs w:val="20"/>
        </w:rPr>
        <w:tab/>
        <w:t xml:space="preserve">Adicionalmente, y mostrando como aspectos de contenido diferente a la tierra, el territorio y los recursos, así como su relación con los DESCA, la misma Declaración Americana estipula en su sección quinta a “los derechos sociales, económicos y de propiedad”, en donde el artículo XXV indica que: </w:t>
      </w:r>
    </w:p>
    <w:p w14:paraId="5B8CF948" w14:textId="16576B1F" w:rsidR="0057714A" w:rsidRPr="00B320D4" w:rsidRDefault="0057714A" w:rsidP="0075294F">
      <w:pPr>
        <w:ind w:left="709"/>
        <w:jc w:val="center"/>
        <w:rPr>
          <w:rFonts w:ascii="Verdana" w:hAnsi="Verdana"/>
          <w:sz w:val="16"/>
          <w:szCs w:val="16"/>
        </w:rPr>
      </w:pPr>
      <w:r w:rsidRPr="00B320D4">
        <w:rPr>
          <w:rFonts w:ascii="Verdana" w:hAnsi="Verdana"/>
          <w:sz w:val="16"/>
          <w:szCs w:val="16"/>
        </w:rPr>
        <w:br/>
        <w:t xml:space="preserve">Artículo XXV. Formas tradicionales de propiedad y supervivencia cultural. Derecho a </w:t>
      </w:r>
      <w:r w:rsidRPr="0075294F">
        <w:rPr>
          <w:rFonts w:ascii="Verdana" w:hAnsi="Verdana"/>
          <w:b/>
          <w:sz w:val="16"/>
          <w:szCs w:val="16"/>
        </w:rPr>
        <w:t>tierras,</w:t>
      </w:r>
      <w:r w:rsidR="0075294F" w:rsidRPr="0075294F">
        <w:rPr>
          <w:rFonts w:ascii="Verdana" w:hAnsi="Verdana"/>
          <w:b/>
          <w:sz w:val="16"/>
          <w:szCs w:val="16"/>
        </w:rPr>
        <w:t xml:space="preserve"> </w:t>
      </w:r>
      <w:r w:rsidRPr="0075294F">
        <w:rPr>
          <w:rFonts w:ascii="Verdana" w:hAnsi="Verdana"/>
          <w:b/>
          <w:sz w:val="16"/>
          <w:szCs w:val="16"/>
        </w:rPr>
        <w:t>territorios y recursos</w:t>
      </w:r>
    </w:p>
    <w:p w14:paraId="4A443518" w14:textId="77777777" w:rsidR="0057714A" w:rsidRPr="00B320D4" w:rsidRDefault="0057714A" w:rsidP="0075294F">
      <w:pPr>
        <w:ind w:left="709"/>
        <w:jc w:val="center"/>
        <w:rPr>
          <w:rFonts w:ascii="Verdana" w:hAnsi="Verdana"/>
          <w:sz w:val="16"/>
          <w:szCs w:val="16"/>
        </w:rPr>
      </w:pPr>
    </w:p>
    <w:p w14:paraId="35B5AFD0" w14:textId="77777777" w:rsidR="0057714A" w:rsidRPr="00B320D4" w:rsidRDefault="0057714A" w:rsidP="0075294F">
      <w:pPr>
        <w:ind w:left="709"/>
        <w:jc w:val="both"/>
        <w:rPr>
          <w:rFonts w:ascii="Verdana" w:hAnsi="Verdana"/>
          <w:sz w:val="16"/>
          <w:szCs w:val="16"/>
        </w:rPr>
      </w:pPr>
      <w:r w:rsidRPr="00B320D4">
        <w:rPr>
          <w:rFonts w:ascii="Verdana" w:hAnsi="Verdana"/>
          <w:sz w:val="16"/>
          <w:szCs w:val="16"/>
        </w:rPr>
        <w:t xml:space="preserve">1. Los pueblos indígenas tienen derecho a </w:t>
      </w:r>
      <w:r w:rsidRPr="00B320D4">
        <w:rPr>
          <w:rFonts w:ascii="Verdana" w:hAnsi="Verdana"/>
          <w:b/>
          <w:bCs/>
          <w:sz w:val="16"/>
          <w:szCs w:val="16"/>
        </w:rPr>
        <w:t>mantener y fortalecer su propia relación espiritual, cultural y material con sus tierras, territorios y recursos,</w:t>
      </w:r>
      <w:r w:rsidRPr="00B320D4">
        <w:rPr>
          <w:rFonts w:ascii="Verdana" w:hAnsi="Verdana"/>
          <w:sz w:val="16"/>
          <w:szCs w:val="16"/>
        </w:rPr>
        <w:t xml:space="preserve"> y a asumir sus responsabilidades para conservarlos para ellos mismos y para las generaciones venideras. </w:t>
      </w:r>
    </w:p>
    <w:p w14:paraId="16268D17" w14:textId="77777777" w:rsidR="0057714A" w:rsidRPr="00B320D4" w:rsidRDefault="0057714A" w:rsidP="0075294F">
      <w:pPr>
        <w:ind w:left="709"/>
        <w:jc w:val="both"/>
        <w:rPr>
          <w:rFonts w:ascii="Verdana" w:hAnsi="Verdana"/>
          <w:sz w:val="16"/>
          <w:szCs w:val="16"/>
        </w:rPr>
      </w:pPr>
    </w:p>
    <w:p w14:paraId="5FFF6C9E" w14:textId="77777777" w:rsidR="0057714A" w:rsidRPr="00B320D4" w:rsidRDefault="0057714A" w:rsidP="0075294F">
      <w:pPr>
        <w:ind w:left="709"/>
        <w:jc w:val="both"/>
        <w:rPr>
          <w:rFonts w:ascii="Verdana" w:hAnsi="Verdana"/>
          <w:sz w:val="16"/>
          <w:szCs w:val="16"/>
        </w:rPr>
      </w:pPr>
      <w:r w:rsidRPr="00B320D4">
        <w:rPr>
          <w:rFonts w:ascii="Verdana" w:hAnsi="Verdana"/>
          <w:sz w:val="16"/>
          <w:szCs w:val="16"/>
        </w:rPr>
        <w:t xml:space="preserve">2. Los pueblos indígenas </w:t>
      </w:r>
      <w:r w:rsidRPr="00B320D4">
        <w:rPr>
          <w:rFonts w:ascii="Verdana" w:hAnsi="Verdana"/>
          <w:b/>
          <w:bCs/>
          <w:sz w:val="16"/>
          <w:szCs w:val="16"/>
        </w:rPr>
        <w:t>tienen derecho a las tierras, territorios y recursos que tradicionalmente han poseído, ocupado o utilizado o adquirido.</w:t>
      </w:r>
      <w:r w:rsidRPr="00B320D4">
        <w:rPr>
          <w:rFonts w:ascii="Verdana" w:hAnsi="Verdana"/>
          <w:sz w:val="16"/>
          <w:szCs w:val="16"/>
        </w:rPr>
        <w:t xml:space="preserve"> </w:t>
      </w:r>
    </w:p>
    <w:p w14:paraId="64F6CB41" w14:textId="77777777" w:rsidR="0057714A" w:rsidRPr="00B320D4" w:rsidRDefault="0057714A" w:rsidP="0075294F">
      <w:pPr>
        <w:ind w:left="709"/>
        <w:jc w:val="both"/>
        <w:rPr>
          <w:rFonts w:ascii="Verdana" w:hAnsi="Verdana"/>
          <w:sz w:val="16"/>
          <w:szCs w:val="16"/>
        </w:rPr>
      </w:pPr>
    </w:p>
    <w:p w14:paraId="6AE05EFE" w14:textId="77777777" w:rsidR="0057714A" w:rsidRPr="00B320D4" w:rsidRDefault="0057714A" w:rsidP="0075294F">
      <w:pPr>
        <w:ind w:left="709"/>
        <w:jc w:val="both"/>
        <w:rPr>
          <w:rFonts w:ascii="Verdana" w:hAnsi="Verdana"/>
          <w:sz w:val="16"/>
          <w:szCs w:val="16"/>
        </w:rPr>
      </w:pPr>
      <w:r w:rsidRPr="00B320D4">
        <w:rPr>
          <w:rFonts w:ascii="Verdana" w:hAnsi="Verdana"/>
          <w:sz w:val="16"/>
          <w:szCs w:val="16"/>
        </w:rPr>
        <w:t>3. Los pueblos indígenas tienen derecho a p</w:t>
      </w:r>
      <w:r w:rsidRPr="00B320D4">
        <w:rPr>
          <w:rFonts w:ascii="Verdana" w:hAnsi="Verdana"/>
          <w:b/>
          <w:bCs/>
          <w:sz w:val="16"/>
          <w:szCs w:val="16"/>
        </w:rPr>
        <w:t>oseer, utilizar, desarrollar y controlar las tierras, territorios y recursos</w:t>
      </w:r>
      <w:r w:rsidRPr="00B320D4">
        <w:rPr>
          <w:rFonts w:ascii="Verdana" w:hAnsi="Verdana"/>
          <w:sz w:val="16"/>
          <w:szCs w:val="16"/>
        </w:rPr>
        <w:t xml:space="preserve"> que poseen en razón de la propiedad tradicional u otro tipo tradicional de ocupación o utilización, así como aquellos que hayan adquirido de otra forma.</w:t>
      </w:r>
    </w:p>
    <w:p w14:paraId="3CA92312" w14:textId="77777777" w:rsidR="0057714A" w:rsidRPr="00B320D4" w:rsidRDefault="0057714A" w:rsidP="0075294F">
      <w:pPr>
        <w:ind w:left="709"/>
        <w:jc w:val="both"/>
        <w:rPr>
          <w:rFonts w:ascii="Verdana" w:hAnsi="Verdana"/>
          <w:sz w:val="16"/>
          <w:szCs w:val="16"/>
        </w:rPr>
      </w:pPr>
      <w:r w:rsidRPr="00B320D4">
        <w:rPr>
          <w:rFonts w:ascii="Verdana" w:hAnsi="Verdana"/>
          <w:sz w:val="16"/>
          <w:szCs w:val="16"/>
        </w:rPr>
        <w:t xml:space="preserve"> </w:t>
      </w:r>
    </w:p>
    <w:p w14:paraId="3FB3397D" w14:textId="77777777" w:rsidR="0057714A" w:rsidRPr="00B320D4" w:rsidRDefault="0057714A" w:rsidP="0075294F">
      <w:pPr>
        <w:ind w:left="709"/>
        <w:jc w:val="both"/>
        <w:rPr>
          <w:rFonts w:ascii="Verdana" w:hAnsi="Verdana"/>
          <w:sz w:val="16"/>
          <w:szCs w:val="16"/>
        </w:rPr>
      </w:pPr>
      <w:r w:rsidRPr="00B320D4">
        <w:rPr>
          <w:rFonts w:ascii="Verdana" w:hAnsi="Verdana"/>
          <w:sz w:val="16"/>
          <w:szCs w:val="16"/>
        </w:rPr>
        <w:t xml:space="preserve">4. Los Estados asegurarán el </w:t>
      </w:r>
      <w:r w:rsidRPr="00B320D4">
        <w:rPr>
          <w:rFonts w:ascii="Verdana" w:hAnsi="Verdana"/>
          <w:b/>
          <w:bCs/>
          <w:sz w:val="16"/>
          <w:szCs w:val="16"/>
        </w:rPr>
        <w:t>reconocimiento y protección jurídicos de esas tierras, territorios y recursos.</w:t>
      </w:r>
      <w:r w:rsidRPr="00B320D4">
        <w:rPr>
          <w:rFonts w:ascii="Verdana" w:hAnsi="Verdana"/>
          <w:sz w:val="16"/>
          <w:szCs w:val="16"/>
        </w:rPr>
        <w:t xml:space="preserve"> Dicho reconocimiento respetará debidamente las costumbres, las tradiciones y los sistemas de tenencia de la tierra de los pueblos indígenas de que se trate. </w:t>
      </w:r>
    </w:p>
    <w:p w14:paraId="59B142FB" w14:textId="77777777" w:rsidR="0057714A" w:rsidRPr="00B320D4" w:rsidRDefault="0057714A" w:rsidP="0075294F">
      <w:pPr>
        <w:ind w:left="709"/>
        <w:jc w:val="both"/>
        <w:rPr>
          <w:rFonts w:ascii="Verdana" w:hAnsi="Verdana"/>
          <w:sz w:val="16"/>
          <w:szCs w:val="16"/>
        </w:rPr>
      </w:pPr>
    </w:p>
    <w:p w14:paraId="00637778" w14:textId="77777777" w:rsidR="0057714A" w:rsidRPr="00F820A3" w:rsidRDefault="0057714A" w:rsidP="0075294F">
      <w:pPr>
        <w:ind w:left="709"/>
        <w:jc w:val="both"/>
        <w:rPr>
          <w:rFonts w:ascii="Verdana" w:hAnsi="Verdana"/>
          <w:sz w:val="16"/>
          <w:szCs w:val="16"/>
        </w:rPr>
      </w:pPr>
      <w:r w:rsidRPr="00B320D4">
        <w:rPr>
          <w:rFonts w:ascii="Verdana" w:hAnsi="Verdana"/>
          <w:sz w:val="16"/>
          <w:szCs w:val="16"/>
        </w:rPr>
        <w:t xml:space="preserve">5. Los pueblos indígenas tienen </w:t>
      </w:r>
      <w:r w:rsidRPr="00B320D4">
        <w:rPr>
          <w:rFonts w:ascii="Verdana" w:hAnsi="Verdana"/>
          <w:b/>
          <w:bCs/>
          <w:sz w:val="16"/>
          <w:szCs w:val="16"/>
        </w:rPr>
        <w:t>el derecho al re</w:t>
      </w:r>
      <w:r w:rsidRPr="00914E2E">
        <w:rPr>
          <w:rFonts w:ascii="Verdana" w:hAnsi="Verdana"/>
          <w:b/>
          <w:bCs/>
          <w:sz w:val="16"/>
          <w:szCs w:val="16"/>
        </w:rPr>
        <w:t>conocimiento legal de las modalidades y formas diversas y particulares de propiedad, posesión o dominio de sus tierras, territorios y recursos de acuerdo con el ordenamiento jurídico de cada Estado y los instrumentos internacionales pertinentes.</w:t>
      </w:r>
      <w:r w:rsidRPr="00F820A3">
        <w:rPr>
          <w:rFonts w:ascii="Verdana" w:hAnsi="Verdana"/>
          <w:sz w:val="16"/>
          <w:szCs w:val="16"/>
        </w:rPr>
        <w:t xml:space="preserve"> Los Estados establecerán los regímenes especiales apropiados para este reconocimiento y su efectiva demarcación o titulación. (</w:t>
      </w:r>
      <w:r w:rsidRPr="00F820A3">
        <w:rPr>
          <w:rFonts w:ascii="Verdana" w:hAnsi="Verdana"/>
          <w:i/>
          <w:iCs/>
          <w:sz w:val="16"/>
          <w:szCs w:val="16"/>
        </w:rPr>
        <w:t>Énfasis añadido</w:t>
      </w:r>
      <w:r w:rsidRPr="00F820A3">
        <w:rPr>
          <w:rFonts w:ascii="Verdana" w:hAnsi="Verdana"/>
          <w:sz w:val="16"/>
          <w:szCs w:val="16"/>
        </w:rPr>
        <w:t>)</w:t>
      </w:r>
    </w:p>
    <w:p w14:paraId="02EAF9BC" w14:textId="77777777" w:rsidR="0057714A" w:rsidRPr="00F820A3" w:rsidRDefault="0057714A" w:rsidP="0075294F">
      <w:pPr>
        <w:ind w:left="709"/>
        <w:jc w:val="both"/>
        <w:rPr>
          <w:rFonts w:ascii="Verdana" w:hAnsi="Verdana"/>
          <w:sz w:val="16"/>
          <w:szCs w:val="16"/>
        </w:rPr>
      </w:pPr>
    </w:p>
    <w:p w14:paraId="0B7B4B30" w14:textId="067E9DE8" w:rsidR="0057714A" w:rsidRPr="00B320D4" w:rsidRDefault="00C323F7" w:rsidP="00267F70">
      <w:pPr>
        <w:pStyle w:val="Prrafodelista"/>
        <w:spacing w:after="0" w:line="240" w:lineRule="auto"/>
        <w:ind w:left="0"/>
        <w:jc w:val="both"/>
        <w:rPr>
          <w:rFonts w:ascii="Verdana" w:hAnsi="Verdana"/>
          <w:sz w:val="20"/>
          <w:szCs w:val="20"/>
        </w:rPr>
      </w:pPr>
      <w:r w:rsidRPr="00EE35BE">
        <w:rPr>
          <w:rFonts w:ascii="Verdana" w:hAnsi="Verdana"/>
          <w:sz w:val="20"/>
          <w:szCs w:val="20"/>
        </w:rPr>
        <w:t>19</w:t>
      </w:r>
      <w:r w:rsidR="0057714A" w:rsidRPr="00EE35BE">
        <w:rPr>
          <w:rFonts w:ascii="Verdana" w:hAnsi="Verdana"/>
          <w:sz w:val="20"/>
          <w:szCs w:val="20"/>
        </w:rPr>
        <w:t xml:space="preserve">. </w:t>
      </w:r>
      <w:r w:rsidR="0057714A" w:rsidRPr="00EE35BE">
        <w:rPr>
          <w:rFonts w:ascii="Verdana" w:hAnsi="Verdana"/>
          <w:sz w:val="20"/>
          <w:szCs w:val="20"/>
        </w:rPr>
        <w:tab/>
        <w:t>Como podemos observar</w:t>
      </w:r>
      <w:r w:rsidR="0058530A" w:rsidRPr="00EE35BE">
        <w:rPr>
          <w:rFonts w:ascii="Verdana" w:hAnsi="Verdana"/>
          <w:sz w:val="20"/>
          <w:szCs w:val="20"/>
        </w:rPr>
        <w:t xml:space="preserve"> de</w:t>
      </w:r>
      <w:r w:rsidR="004617F4" w:rsidRPr="00B320D4">
        <w:rPr>
          <w:rFonts w:ascii="Verdana" w:hAnsi="Verdana"/>
          <w:sz w:val="20"/>
          <w:szCs w:val="20"/>
        </w:rPr>
        <w:t>l desarrollo normativo internacional</w:t>
      </w:r>
      <w:r w:rsidR="0058530A" w:rsidRPr="00B320D4">
        <w:rPr>
          <w:rFonts w:ascii="Verdana" w:hAnsi="Verdana"/>
          <w:sz w:val="20"/>
          <w:szCs w:val="20"/>
        </w:rPr>
        <w:t xml:space="preserve">, </w:t>
      </w:r>
      <w:r w:rsidR="0057714A" w:rsidRPr="00B320D4">
        <w:rPr>
          <w:rFonts w:ascii="Verdana" w:hAnsi="Verdana"/>
          <w:sz w:val="20"/>
          <w:szCs w:val="20"/>
        </w:rPr>
        <w:t xml:space="preserve">se pone de manifiesto que la tierra y el territorio son dos aspectos que atañen a los pueblos indígenas que pueden </w:t>
      </w:r>
      <w:r w:rsidR="0058530A" w:rsidRPr="00B320D4">
        <w:rPr>
          <w:rFonts w:ascii="Verdana" w:hAnsi="Verdana"/>
          <w:sz w:val="20"/>
          <w:szCs w:val="20"/>
        </w:rPr>
        <w:t xml:space="preserve">ser </w:t>
      </w:r>
      <w:r w:rsidR="0057714A" w:rsidRPr="00B320D4">
        <w:rPr>
          <w:rFonts w:ascii="Verdana" w:hAnsi="Verdana"/>
          <w:sz w:val="20"/>
          <w:szCs w:val="20"/>
        </w:rPr>
        <w:t xml:space="preserve">protegidos de manera diferenciada, aunque en muchos casos de manera interrelacionada. </w:t>
      </w:r>
      <w:r w:rsidR="004617F4" w:rsidRPr="00B320D4">
        <w:rPr>
          <w:rFonts w:ascii="Verdana" w:hAnsi="Verdana"/>
          <w:sz w:val="20"/>
          <w:szCs w:val="20"/>
        </w:rPr>
        <w:t>Lo anterior se advierte con especial claridad en la reciente</w:t>
      </w:r>
      <w:r w:rsidR="0057714A" w:rsidRPr="00B320D4">
        <w:rPr>
          <w:rFonts w:ascii="Verdana" w:hAnsi="Verdana"/>
          <w:sz w:val="20"/>
          <w:szCs w:val="20"/>
        </w:rPr>
        <w:t xml:space="preserve"> Declaración Americana</w:t>
      </w:r>
      <w:r w:rsidR="0058530A" w:rsidRPr="00B320D4">
        <w:rPr>
          <w:rFonts w:ascii="Verdana" w:hAnsi="Verdana"/>
          <w:sz w:val="20"/>
          <w:szCs w:val="20"/>
        </w:rPr>
        <w:t xml:space="preserve"> sobre los Derechos de los Pueblos Indígenas</w:t>
      </w:r>
      <w:r w:rsidR="0057714A" w:rsidRPr="00B320D4">
        <w:rPr>
          <w:rFonts w:ascii="Verdana" w:hAnsi="Verdana"/>
          <w:sz w:val="20"/>
          <w:szCs w:val="20"/>
        </w:rPr>
        <w:t xml:space="preserve">, pues distingue en diferentes preceptos </w:t>
      </w:r>
      <w:r w:rsidR="004617F4" w:rsidRPr="00B320D4">
        <w:rPr>
          <w:rFonts w:ascii="Verdana" w:hAnsi="Verdana"/>
          <w:sz w:val="20"/>
          <w:szCs w:val="20"/>
        </w:rPr>
        <w:t>“</w:t>
      </w:r>
      <w:r w:rsidR="0057714A" w:rsidRPr="00B320D4">
        <w:rPr>
          <w:rFonts w:ascii="Verdana" w:hAnsi="Verdana"/>
          <w:sz w:val="20"/>
          <w:szCs w:val="20"/>
        </w:rPr>
        <w:t>la tierra</w:t>
      </w:r>
      <w:r w:rsidR="004617F4" w:rsidRPr="00B320D4">
        <w:rPr>
          <w:rFonts w:ascii="Verdana" w:hAnsi="Verdana"/>
          <w:sz w:val="20"/>
          <w:szCs w:val="20"/>
        </w:rPr>
        <w:t>”</w:t>
      </w:r>
      <w:r w:rsidR="0057714A" w:rsidRPr="00B320D4">
        <w:rPr>
          <w:rFonts w:ascii="Verdana" w:hAnsi="Verdana"/>
          <w:sz w:val="20"/>
          <w:szCs w:val="20"/>
        </w:rPr>
        <w:t xml:space="preserve"> y </w:t>
      </w:r>
      <w:r w:rsidR="004617F4" w:rsidRPr="00B320D4">
        <w:rPr>
          <w:rFonts w:ascii="Verdana" w:hAnsi="Verdana"/>
          <w:sz w:val="20"/>
          <w:szCs w:val="20"/>
        </w:rPr>
        <w:t>“</w:t>
      </w:r>
      <w:r w:rsidR="0057714A" w:rsidRPr="00B320D4">
        <w:rPr>
          <w:rFonts w:ascii="Verdana" w:hAnsi="Verdana"/>
          <w:sz w:val="20"/>
          <w:szCs w:val="20"/>
        </w:rPr>
        <w:t>el territorio</w:t>
      </w:r>
      <w:r w:rsidR="004617F4" w:rsidRPr="00B320D4">
        <w:rPr>
          <w:rFonts w:ascii="Verdana" w:hAnsi="Verdana"/>
          <w:sz w:val="20"/>
          <w:szCs w:val="20"/>
        </w:rPr>
        <w:t>”</w:t>
      </w:r>
      <w:r w:rsidR="0057714A" w:rsidRPr="00B320D4">
        <w:rPr>
          <w:rFonts w:ascii="Verdana" w:hAnsi="Verdana"/>
          <w:sz w:val="20"/>
          <w:szCs w:val="20"/>
        </w:rPr>
        <w:t xml:space="preserve">, pero además agrega la protección </w:t>
      </w:r>
      <w:r w:rsidR="005D672B" w:rsidRPr="00B320D4">
        <w:rPr>
          <w:rFonts w:ascii="Verdana" w:hAnsi="Verdana"/>
          <w:sz w:val="20"/>
          <w:szCs w:val="20"/>
        </w:rPr>
        <w:t>a</w:t>
      </w:r>
      <w:r w:rsidR="0057714A" w:rsidRPr="00B320D4">
        <w:rPr>
          <w:rFonts w:ascii="Verdana" w:hAnsi="Verdana"/>
          <w:sz w:val="20"/>
          <w:szCs w:val="20"/>
        </w:rPr>
        <w:t xml:space="preserve">l </w:t>
      </w:r>
      <w:r w:rsidR="004617F4" w:rsidRPr="00B320D4">
        <w:rPr>
          <w:rFonts w:ascii="Verdana" w:hAnsi="Verdana"/>
          <w:sz w:val="20"/>
          <w:szCs w:val="20"/>
        </w:rPr>
        <w:t>“</w:t>
      </w:r>
      <w:r w:rsidR="0057714A" w:rsidRPr="00B320D4">
        <w:rPr>
          <w:rFonts w:ascii="Verdana" w:hAnsi="Verdana"/>
          <w:sz w:val="20"/>
          <w:szCs w:val="20"/>
        </w:rPr>
        <w:t xml:space="preserve">medio </w:t>
      </w:r>
      <w:r w:rsidR="005D672B" w:rsidRPr="00B320D4">
        <w:rPr>
          <w:rFonts w:ascii="Verdana" w:hAnsi="Verdana"/>
          <w:sz w:val="20"/>
          <w:szCs w:val="20"/>
        </w:rPr>
        <w:t>ambiente</w:t>
      </w:r>
      <w:r w:rsidR="004617F4" w:rsidRPr="00B320D4">
        <w:rPr>
          <w:rFonts w:ascii="Verdana" w:hAnsi="Verdana"/>
          <w:sz w:val="20"/>
          <w:szCs w:val="20"/>
        </w:rPr>
        <w:t>”</w:t>
      </w:r>
      <w:r w:rsidR="005D672B" w:rsidRPr="00B320D4">
        <w:rPr>
          <w:rFonts w:ascii="Verdana" w:hAnsi="Verdana"/>
          <w:sz w:val="20"/>
          <w:szCs w:val="20"/>
        </w:rPr>
        <w:t xml:space="preserve"> (art. XIX</w:t>
      </w:r>
      <w:r w:rsidR="0057714A" w:rsidRPr="00B320D4">
        <w:rPr>
          <w:rFonts w:ascii="Verdana" w:hAnsi="Verdana"/>
          <w:sz w:val="20"/>
          <w:szCs w:val="20"/>
        </w:rPr>
        <w:t>)</w:t>
      </w:r>
      <w:r w:rsidR="005D672B" w:rsidRPr="00B320D4">
        <w:rPr>
          <w:rFonts w:ascii="Verdana" w:hAnsi="Verdana"/>
          <w:sz w:val="20"/>
          <w:szCs w:val="20"/>
        </w:rPr>
        <w:t>.</w:t>
      </w:r>
    </w:p>
    <w:p w14:paraId="5196F0F1" w14:textId="77777777" w:rsidR="0057714A" w:rsidRPr="00B320D4" w:rsidRDefault="0057714A" w:rsidP="00267F70">
      <w:pPr>
        <w:pStyle w:val="NormalWeb"/>
        <w:spacing w:before="0" w:beforeAutospacing="0" w:after="0" w:afterAutospacing="0"/>
        <w:jc w:val="both"/>
        <w:rPr>
          <w:rFonts w:ascii="Verdana" w:hAnsi="Verdana"/>
          <w:sz w:val="20"/>
          <w:szCs w:val="20"/>
          <w:lang w:eastAsia="es-ES_tradnl"/>
        </w:rPr>
      </w:pPr>
    </w:p>
    <w:p w14:paraId="5FBF2421" w14:textId="00987888" w:rsidR="00694A68" w:rsidRPr="00B320D4" w:rsidRDefault="00A359F6" w:rsidP="00267F70">
      <w:pPr>
        <w:pStyle w:val="NormalWeb"/>
        <w:spacing w:before="0" w:beforeAutospacing="0" w:after="0" w:afterAutospacing="0"/>
        <w:jc w:val="both"/>
        <w:rPr>
          <w:rFonts w:ascii="Verdana" w:eastAsiaTheme="minorHAnsi" w:hAnsi="Verdana"/>
          <w:sz w:val="20"/>
          <w:szCs w:val="20"/>
          <w:lang w:val="es-ES_tradnl" w:eastAsia="es-ES_tradnl"/>
        </w:rPr>
      </w:pPr>
      <w:r w:rsidRPr="00B320D4">
        <w:rPr>
          <w:rFonts w:ascii="Verdana" w:hAnsi="Verdana"/>
          <w:sz w:val="20"/>
          <w:szCs w:val="20"/>
          <w:lang w:val="es-ES_tradnl" w:eastAsia="es-ES_tradnl"/>
        </w:rPr>
        <w:t xml:space="preserve">20. </w:t>
      </w:r>
      <w:r w:rsidRPr="00B320D4">
        <w:rPr>
          <w:rFonts w:ascii="Verdana" w:hAnsi="Verdana"/>
          <w:sz w:val="20"/>
          <w:szCs w:val="20"/>
          <w:lang w:val="es-ES_tradnl" w:eastAsia="es-ES_tradnl"/>
        </w:rPr>
        <w:tab/>
      </w:r>
      <w:r w:rsidR="00694A68" w:rsidRPr="00B320D4">
        <w:rPr>
          <w:rFonts w:ascii="Verdana" w:hAnsi="Verdana"/>
          <w:sz w:val="20"/>
          <w:szCs w:val="20"/>
          <w:lang w:val="es-ES_tradnl" w:eastAsia="es-ES_tradnl"/>
        </w:rPr>
        <w:t xml:space="preserve">De lo </w:t>
      </w:r>
      <w:r w:rsidR="0058530A" w:rsidRPr="00B320D4">
        <w:rPr>
          <w:rFonts w:ascii="Verdana" w:hAnsi="Verdana"/>
          <w:sz w:val="20"/>
          <w:szCs w:val="20"/>
          <w:lang w:val="es-ES_tradnl" w:eastAsia="es-ES_tradnl"/>
        </w:rPr>
        <w:t>todo lo expresado</w:t>
      </w:r>
      <w:r w:rsidR="00694A68" w:rsidRPr="00B320D4">
        <w:rPr>
          <w:rFonts w:ascii="Verdana" w:hAnsi="Verdana"/>
          <w:sz w:val="20"/>
          <w:szCs w:val="20"/>
          <w:lang w:val="es-ES_tradnl" w:eastAsia="es-ES_tradnl"/>
        </w:rPr>
        <w:t xml:space="preserve"> surge que ambos conceptos (“tierra” y “territorio”), se encuentras fuertemente interrelacionados, </w:t>
      </w:r>
      <w:r w:rsidR="00F5387B" w:rsidRPr="00B320D4">
        <w:rPr>
          <w:rFonts w:ascii="Verdana" w:hAnsi="Verdana"/>
          <w:sz w:val="20"/>
          <w:szCs w:val="20"/>
          <w:lang w:val="es-ES_tradnl" w:eastAsia="es-ES_tradnl"/>
        </w:rPr>
        <w:t xml:space="preserve">pero </w:t>
      </w:r>
      <w:r w:rsidR="00694A68" w:rsidRPr="00B320D4">
        <w:rPr>
          <w:rFonts w:ascii="Verdana" w:hAnsi="Verdana"/>
          <w:sz w:val="20"/>
          <w:szCs w:val="20"/>
          <w:lang w:val="es-ES_tradnl" w:eastAsia="es-ES_tradnl"/>
        </w:rPr>
        <w:t xml:space="preserve">que no son estrictamente equivalentes. </w:t>
      </w:r>
    </w:p>
    <w:p w14:paraId="3DFBFC34" w14:textId="6F7B539F" w:rsidR="00694A68" w:rsidRPr="00914E2E" w:rsidRDefault="00BB3086" w:rsidP="00267F70">
      <w:pPr>
        <w:pStyle w:val="NormalWeb"/>
        <w:spacing w:before="0" w:beforeAutospacing="0" w:after="0" w:afterAutospacing="0"/>
        <w:jc w:val="both"/>
        <w:rPr>
          <w:rFonts w:ascii="Verdana" w:hAnsi="Verdana"/>
          <w:sz w:val="20"/>
          <w:szCs w:val="20"/>
          <w:lang w:val="es-ES_tradnl" w:eastAsia="es-ES_tradnl"/>
        </w:rPr>
      </w:pPr>
      <w:r w:rsidRPr="007E1845">
        <w:rPr>
          <w:rFonts w:ascii="Verdana" w:hAnsi="Verdana"/>
          <w:sz w:val="20"/>
          <w:szCs w:val="20"/>
          <w:lang w:val="es-ES_tradnl" w:eastAsia="es-ES_tradnl"/>
        </w:rPr>
        <w:t>En efecto, l</w:t>
      </w:r>
      <w:r w:rsidR="00694A68" w:rsidRPr="00914E2E">
        <w:rPr>
          <w:rFonts w:ascii="Verdana" w:hAnsi="Verdana"/>
          <w:sz w:val="20"/>
          <w:szCs w:val="20"/>
          <w:lang w:val="es-ES_tradnl" w:eastAsia="es-ES_tradnl"/>
        </w:rPr>
        <w:t xml:space="preserve">os instrumentos internacionales citados, cuando se refieren en forma conjunta a “tierra” y “territorio” (como también a “recursos”), adoptan una técnica que permite una protección que abarque de la forma más completa el vínculo de los pueblos indígenas con su hábitat. Al mismo tiempo, de la misma normativa se infiere que los términos presentan matices, siendo más abarcador el concepto de “territorio”, que denota el ejercicio de autonomía o jurisdicción, mientras que el de “tierra” queda más </w:t>
      </w:r>
      <w:r w:rsidR="00694A68" w:rsidRPr="00914E2E">
        <w:rPr>
          <w:rFonts w:ascii="Verdana" w:hAnsi="Verdana"/>
          <w:sz w:val="20"/>
          <w:szCs w:val="20"/>
          <w:lang w:val="es-ES_tradnl" w:eastAsia="es-ES_tradnl"/>
        </w:rPr>
        <w:lastRenderedPageBreak/>
        <w:t>vinculado a la noción de un bien material, susceptible de ocupación</w:t>
      </w:r>
      <w:r w:rsidR="00694A68" w:rsidRPr="00EE35BE">
        <w:rPr>
          <w:rFonts w:ascii="Verdana" w:hAnsi="Verdana"/>
          <w:sz w:val="20"/>
          <w:szCs w:val="20"/>
          <w:lang w:val="es-ES_tradnl" w:eastAsia="es-ES_tradnl"/>
        </w:rPr>
        <w:t>, tenencia o propiedad. El territorio abarca una dimensión cultural y una vinculación espiritual. El derecho de los pueblos indígenas y tribales a determinar libremente su propio desarrollo social, cultural y económico incluye el derecho a “go</w:t>
      </w:r>
      <w:r w:rsidR="00C71E99" w:rsidRPr="00EE35BE">
        <w:rPr>
          <w:rFonts w:ascii="Verdana" w:hAnsi="Verdana"/>
          <w:sz w:val="20"/>
          <w:szCs w:val="20"/>
          <w:lang w:val="es-ES_tradnl" w:eastAsia="es-ES_tradnl"/>
        </w:rPr>
        <w:t>zar de la particular re</w:t>
      </w:r>
      <w:r w:rsidR="00F5387B" w:rsidRPr="00EE35BE">
        <w:rPr>
          <w:rFonts w:ascii="Verdana" w:hAnsi="Verdana"/>
          <w:sz w:val="20"/>
          <w:szCs w:val="20"/>
          <w:lang w:val="es-ES_tradnl" w:eastAsia="es-ES_tradnl"/>
        </w:rPr>
        <w:t>la</w:t>
      </w:r>
      <w:r w:rsidR="00C71E99" w:rsidRPr="00B320D4">
        <w:rPr>
          <w:rFonts w:ascii="Verdana" w:hAnsi="Verdana"/>
          <w:sz w:val="20"/>
          <w:szCs w:val="20"/>
          <w:lang w:val="es-ES_tradnl" w:eastAsia="es-ES_tradnl"/>
        </w:rPr>
        <w:t>ció</w:t>
      </w:r>
      <w:r w:rsidR="00694A68" w:rsidRPr="00B320D4">
        <w:rPr>
          <w:rFonts w:ascii="Verdana" w:hAnsi="Verdana"/>
          <w:sz w:val="20"/>
          <w:szCs w:val="20"/>
          <w:lang w:val="es-ES_tradnl" w:eastAsia="es-ES_tradnl"/>
        </w:rPr>
        <w:t>n espiritual con el territorio que han usado y ocupado tradicionalmente”</w:t>
      </w:r>
      <w:r w:rsidR="00694A68" w:rsidRPr="00B320D4">
        <w:rPr>
          <w:rStyle w:val="Refdenotaalpie"/>
          <w:rFonts w:ascii="Verdana" w:eastAsia="Batang" w:hAnsi="Verdana"/>
          <w:sz w:val="20"/>
          <w:lang w:val="es-ES_tradnl" w:eastAsia="es-ES_tradnl"/>
        </w:rPr>
        <w:footnoteReference w:id="21"/>
      </w:r>
      <w:r w:rsidR="00694A68" w:rsidRPr="007E1845">
        <w:rPr>
          <w:rFonts w:ascii="Verdana" w:hAnsi="Verdana"/>
          <w:sz w:val="20"/>
          <w:szCs w:val="20"/>
          <w:lang w:val="es-ES_tradnl" w:eastAsia="es-ES_tradnl"/>
        </w:rPr>
        <w:t>.</w:t>
      </w:r>
      <w:r w:rsidR="00694A68" w:rsidRPr="00914E2E">
        <w:rPr>
          <w:rFonts w:ascii="Verdana" w:hAnsi="Verdana"/>
          <w:sz w:val="20"/>
          <w:szCs w:val="20"/>
          <w:lang w:val="es-ES_tradnl" w:eastAsia="es-ES_tradnl"/>
        </w:rPr>
        <w:t xml:space="preserve"> </w:t>
      </w:r>
    </w:p>
    <w:p w14:paraId="07071D67" w14:textId="77777777" w:rsidR="00694A68" w:rsidRPr="00914E2E" w:rsidRDefault="00694A68" w:rsidP="00267F70">
      <w:pPr>
        <w:pStyle w:val="NormalWeb"/>
        <w:spacing w:before="0" w:beforeAutospacing="0" w:after="0" w:afterAutospacing="0"/>
        <w:jc w:val="both"/>
        <w:rPr>
          <w:rFonts w:ascii="Verdana" w:eastAsiaTheme="minorHAnsi" w:hAnsi="Verdana"/>
          <w:sz w:val="20"/>
          <w:szCs w:val="20"/>
          <w:lang w:val="es-ES_tradnl" w:eastAsia="es-ES_tradnl"/>
        </w:rPr>
      </w:pPr>
    </w:p>
    <w:p w14:paraId="36FFA8F9" w14:textId="06CE90DB" w:rsidR="00694A68" w:rsidRPr="00914E2E" w:rsidRDefault="00555643" w:rsidP="00267F70">
      <w:pPr>
        <w:pStyle w:val="NormalWeb"/>
        <w:spacing w:before="0" w:beforeAutospacing="0" w:after="0" w:afterAutospacing="0"/>
        <w:jc w:val="both"/>
        <w:rPr>
          <w:rFonts w:ascii="Verdana" w:eastAsiaTheme="minorHAnsi" w:hAnsi="Verdana"/>
          <w:sz w:val="20"/>
          <w:szCs w:val="20"/>
          <w:lang w:val="es-ES_tradnl" w:eastAsia="es-ES_tradnl"/>
        </w:rPr>
      </w:pPr>
      <w:r w:rsidRPr="00914E2E">
        <w:rPr>
          <w:rFonts w:ascii="Verdana" w:eastAsiaTheme="minorHAnsi" w:hAnsi="Verdana"/>
          <w:sz w:val="20"/>
          <w:szCs w:val="20"/>
          <w:lang w:val="es-ES_tradnl" w:eastAsia="es-ES_tradnl"/>
        </w:rPr>
        <w:t>21</w:t>
      </w:r>
      <w:r w:rsidR="00B26381" w:rsidRPr="00EE35BE">
        <w:rPr>
          <w:rFonts w:ascii="Verdana" w:eastAsiaTheme="minorHAnsi" w:hAnsi="Verdana"/>
          <w:sz w:val="20"/>
          <w:szCs w:val="20"/>
          <w:lang w:val="es-ES_tradnl" w:eastAsia="es-ES_tradnl"/>
        </w:rPr>
        <w:t xml:space="preserve">. </w:t>
      </w:r>
      <w:r w:rsidR="00B26381" w:rsidRPr="00EE35BE">
        <w:rPr>
          <w:rFonts w:ascii="Verdana" w:eastAsiaTheme="minorHAnsi" w:hAnsi="Verdana"/>
          <w:sz w:val="20"/>
          <w:szCs w:val="20"/>
          <w:lang w:val="es-ES_tradnl" w:eastAsia="es-ES_tradnl"/>
        </w:rPr>
        <w:tab/>
      </w:r>
      <w:r w:rsidR="00694A68" w:rsidRPr="00EE35BE">
        <w:rPr>
          <w:rFonts w:ascii="Verdana" w:eastAsiaTheme="minorHAnsi" w:hAnsi="Verdana"/>
          <w:sz w:val="20"/>
          <w:szCs w:val="20"/>
          <w:lang w:val="es-ES_tradnl" w:eastAsia="es-ES_tradnl"/>
        </w:rPr>
        <w:t xml:space="preserve">Parecen insertarse en este entendimiento precisiones efectuadas por la Corte </w:t>
      </w:r>
      <w:r w:rsidR="00F5387B" w:rsidRPr="00EE35BE">
        <w:rPr>
          <w:rFonts w:ascii="Verdana" w:eastAsiaTheme="minorHAnsi" w:hAnsi="Verdana"/>
          <w:sz w:val="20"/>
          <w:szCs w:val="20"/>
          <w:lang w:val="es-ES_tradnl" w:eastAsia="es-ES_tradnl"/>
        </w:rPr>
        <w:t xml:space="preserve">IDH </w:t>
      </w:r>
      <w:r w:rsidR="00694A68" w:rsidRPr="00EE35BE">
        <w:rPr>
          <w:rFonts w:ascii="Verdana" w:eastAsiaTheme="minorHAnsi" w:hAnsi="Verdana"/>
          <w:sz w:val="20"/>
          <w:szCs w:val="20"/>
          <w:lang w:val="es-ES_tradnl" w:eastAsia="es-ES_tradnl"/>
        </w:rPr>
        <w:t xml:space="preserve">en </w:t>
      </w:r>
      <w:r w:rsidR="00694A68" w:rsidRPr="00B320D4">
        <w:rPr>
          <w:rFonts w:ascii="Verdana" w:eastAsiaTheme="minorHAnsi" w:hAnsi="Verdana"/>
          <w:sz w:val="20"/>
          <w:szCs w:val="20"/>
          <w:lang w:val="es-ES_tradnl" w:eastAsia="es-ES_tradnl"/>
        </w:rPr>
        <w:t xml:space="preserve">2007, al pronunciarse sobre el caso del </w:t>
      </w:r>
      <w:r w:rsidR="00694A68" w:rsidRPr="00B320D4">
        <w:rPr>
          <w:rFonts w:ascii="Verdana" w:eastAsiaTheme="minorHAnsi" w:hAnsi="Verdana"/>
          <w:i/>
          <w:sz w:val="20"/>
          <w:szCs w:val="20"/>
          <w:lang w:val="es-ES_tradnl" w:eastAsia="es-ES_tradnl"/>
        </w:rPr>
        <w:t>Pueblo Saramaka Vs. Surinam</w:t>
      </w:r>
      <w:r w:rsidR="00694A68" w:rsidRPr="00B320D4">
        <w:rPr>
          <w:rFonts w:ascii="Verdana" w:eastAsiaTheme="minorHAnsi" w:hAnsi="Verdana"/>
          <w:sz w:val="20"/>
          <w:szCs w:val="20"/>
          <w:lang w:val="es-ES_tradnl" w:eastAsia="es-ES_tradnl"/>
        </w:rPr>
        <w:t xml:space="preserve">. El Tribunal </w:t>
      </w:r>
      <w:r w:rsidR="00F5387B" w:rsidRPr="00B320D4">
        <w:rPr>
          <w:rFonts w:ascii="Verdana" w:eastAsiaTheme="minorHAnsi" w:hAnsi="Verdana"/>
          <w:sz w:val="20"/>
          <w:szCs w:val="20"/>
          <w:lang w:val="es-ES_tradnl" w:eastAsia="es-ES_tradnl"/>
        </w:rPr>
        <w:t xml:space="preserve">Interamericano </w:t>
      </w:r>
      <w:r w:rsidR="00694A68" w:rsidRPr="00B320D4">
        <w:rPr>
          <w:rFonts w:ascii="Verdana" w:eastAsiaTheme="minorHAnsi" w:hAnsi="Verdana"/>
          <w:sz w:val="20"/>
          <w:szCs w:val="20"/>
          <w:lang w:val="es-ES_tradnl" w:eastAsia="es-ES_tradnl"/>
        </w:rPr>
        <w:t xml:space="preserve">notó que los integrantes de dicho pueblo “mantienen una fuerte relación espiritual con el territorio”, y aclaró que “[a]l hacer referencia al término ‘territorio’ la Corte se refiere a la totalidad de tierra y recursos que los </w:t>
      </w:r>
      <w:r w:rsidR="00694A68" w:rsidRPr="00B320D4">
        <w:rPr>
          <w:rFonts w:ascii="Verdana" w:hAnsi="Verdana"/>
          <w:sz w:val="20"/>
          <w:szCs w:val="20"/>
          <w:lang w:val="es-ES_tradnl" w:eastAsia="es-ES_tradnl"/>
        </w:rPr>
        <w:t>Saramaka han utilizado tradicionalmente. En este sentido, el territorio Saramaka pertenece de manera colectiva a los miembros del pueblo Saramaka, mientras que las tierras</w:t>
      </w:r>
      <w:r w:rsidR="008345E8">
        <w:rPr>
          <w:rFonts w:ascii="Verdana" w:hAnsi="Verdana"/>
          <w:sz w:val="20"/>
          <w:szCs w:val="20"/>
          <w:lang w:val="es-ES_tradnl" w:eastAsia="es-ES_tradnl"/>
        </w:rPr>
        <w:t xml:space="preserve"> dentro de ese territorio están</w:t>
      </w:r>
      <w:r w:rsidR="00694A68" w:rsidRPr="00B320D4">
        <w:rPr>
          <w:rFonts w:ascii="Verdana" w:hAnsi="Verdana"/>
          <w:sz w:val="20"/>
          <w:szCs w:val="20"/>
          <w:lang w:val="es-ES_tradnl" w:eastAsia="es-ES_tradnl"/>
        </w:rPr>
        <w:t xml:space="preserve"> divididas entre los doce clanes Saramaka”</w:t>
      </w:r>
      <w:r w:rsidR="00694A68" w:rsidRPr="00B320D4">
        <w:rPr>
          <w:rStyle w:val="Refdenotaalpie"/>
          <w:rFonts w:ascii="Verdana" w:eastAsia="Batang" w:hAnsi="Verdana"/>
          <w:lang w:val="es-ES_tradnl" w:eastAsia="es-ES_tradnl"/>
        </w:rPr>
        <w:footnoteReference w:id="22"/>
      </w:r>
      <w:r w:rsidR="00694A68" w:rsidRPr="007E1845">
        <w:rPr>
          <w:rFonts w:ascii="Verdana" w:hAnsi="Verdana"/>
          <w:sz w:val="20"/>
          <w:szCs w:val="20"/>
          <w:lang w:val="es-ES_tradnl" w:eastAsia="es-ES_tradnl"/>
        </w:rPr>
        <w:t xml:space="preserve">. </w:t>
      </w:r>
    </w:p>
    <w:p w14:paraId="090226E9" w14:textId="77777777" w:rsidR="00694A68" w:rsidRPr="00914E2E" w:rsidRDefault="00694A68" w:rsidP="00267F70">
      <w:pPr>
        <w:pStyle w:val="NormalWeb"/>
        <w:spacing w:before="0" w:beforeAutospacing="0" w:after="0" w:afterAutospacing="0"/>
        <w:jc w:val="both"/>
        <w:rPr>
          <w:rFonts w:ascii="Verdana" w:eastAsiaTheme="minorHAnsi" w:hAnsi="Verdana"/>
          <w:sz w:val="20"/>
          <w:szCs w:val="20"/>
          <w:lang w:val="es-ES_tradnl" w:eastAsia="es-ES_tradnl"/>
        </w:rPr>
      </w:pPr>
    </w:p>
    <w:p w14:paraId="624478AE" w14:textId="0F97FD2E" w:rsidR="000A7E08" w:rsidRPr="00914E2E" w:rsidRDefault="00A359F6" w:rsidP="00267F70">
      <w:pPr>
        <w:pStyle w:val="NormalWeb"/>
        <w:spacing w:before="0" w:beforeAutospacing="0" w:after="0" w:afterAutospacing="0"/>
        <w:jc w:val="both"/>
        <w:rPr>
          <w:rFonts w:ascii="Verdana" w:eastAsiaTheme="minorHAnsi" w:hAnsi="Verdana"/>
          <w:sz w:val="20"/>
          <w:szCs w:val="20"/>
          <w:lang w:val="es-ES_tradnl" w:eastAsia="es-ES_tradnl"/>
        </w:rPr>
      </w:pPr>
      <w:r w:rsidRPr="00EE35BE">
        <w:rPr>
          <w:rFonts w:ascii="Verdana" w:eastAsiaTheme="minorHAnsi" w:hAnsi="Verdana"/>
          <w:sz w:val="20"/>
          <w:szCs w:val="20"/>
          <w:lang w:val="es-ES_tradnl" w:eastAsia="es-ES_tradnl"/>
        </w:rPr>
        <w:t>22</w:t>
      </w:r>
      <w:r w:rsidR="00B26381" w:rsidRPr="00EE35BE">
        <w:rPr>
          <w:rFonts w:ascii="Verdana" w:eastAsiaTheme="minorHAnsi" w:hAnsi="Verdana"/>
          <w:sz w:val="20"/>
          <w:szCs w:val="20"/>
          <w:lang w:val="es-ES_tradnl" w:eastAsia="es-ES_tradnl"/>
        </w:rPr>
        <w:t xml:space="preserve">. </w:t>
      </w:r>
      <w:r w:rsidR="00B26381" w:rsidRPr="00EE35BE">
        <w:rPr>
          <w:rFonts w:ascii="Verdana" w:eastAsiaTheme="minorHAnsi" w:hAnsi="Verdana"/>
          <w:sz w:val="20"/>
          <w:szCs w:val="20"/>
          <w:lang w:val="es-ES_tradnl" w:eastAsia="es-ES_tradnl"/>
        </w:rPr>
        <w:tab/>
      </w:r>
      <w:r w:rsidR="00694A68" w:rsidRPr="00EE35BE">
        <w:rPr>
          <w:rFonts w:ascii="Verdana" w:eastAsiaTheme="minorHAnsi" w:hAnsi="Verdana"/>
          <w:sz w:val="20"/>
          <w:szCs w:val="20"/>
          <w:lang w:val="es-ES_tradnl" w:eastAsia="es-ES_tradnl"/>
        </w:rPr>
        <w:t xml:space="preserve">Se ha referido el Tribunal </w:t>
      </w:r>
      <w:r w:rsidR="00F5387B" w:rsidRPr="00EE35BE">
        <w:rPr>
          <w:rFonts w:ascii="Verdana" w:eastAsiaTheme="minorHAnsi" w:hAnsi="Verdana"/>
          <w:sz w:val="20"/>
          <w:szCs w:val="20"/>
          <w:lang w:val="es-ES_tradnl" w:eastAsia="es-ES_tradnl"/>
        </w:rPr>
        <w:t xml:space="preserve">Interamericano </w:t>
      </w:r>
      <w:r w:rsidR="00694A68" w:rsidRPr="00B320D4">
        <w:rPr>
          <w:rFonts w:ascii="Verdana" w:eastAsiaTheme="minorHAnsi" w:hAnsi="Verdana"/>
          <w:sz w:val="20"/>
          <w:szCs w:val="20"/>
          <w:lang w:val="es-ES_tradnl" w:eastAsia="es-ES_tradnl"/>
        </w:rPr>
        <w:t>en otra sentencia, de 2012, a “elementos incorporales” ligados al territorio, entendiendo</w:t>
      </w:r>
      <w:r w:rsidR="00694A68" w:rsidRPr="00B320D4">
        <w:rPr>
          <w:rFonts w:ascii="Verdana" w:hAnsi="Verdana"/>
          <w:sz w:val="20"/>
          <w:szCs w:val="20"/>
          <w:lang w:val="es-ES_tradnl" w:eastAsia="es-ES_tradnl"/>
        </w:rPr>
        <w:t xml:space="preserve"> “pertinente destacar el profundo lazo cultural, inmaterial y espiritual que la comunidad mantiene con su territorio, para com</w:t>
      </w:r>
      <w:r w:rsidR="00C71E99" w:rsidRPr="00B320D4">
        <w:rPr>
          <w:rFonts w:ascii="Verdana" w:hAnsi="Verdana"/>
          <w:sz w:val="20"/>
          <w:szCs w:val="20"/>
          <w:lang w:val="es-ES_tradnl" w:eastAsia="es-ES_tradnl"/>
        </w:rPr>
        <w:t>prender má</w:t>
      </w:r>
      <w:r w:rsidR="00694A68" w:rsidRPr="00B320D4">
        <w:rPr>
          <w:rFonts w:ascii="Verdana" w:hAnsi="Verdana"/>
          <w:sz w:val="20"/>
          <w:szCs w:val="20"/>
          <w:lang w:val="es-ES_tradnl" w:eastAsia="es-ES_tradnl"/>
        </w:rPr>
        <w:t>s integralmente las afectaciones ocasionadas en el […]caso”</w:t>
      </w:r>
      <w:r w:rsidR="00694A68" w:rsidRPr="00B320D4">
        <w:rPr>
          <w:rStyle w:val="Refdenotaalpie"/>
          <w:rFonts w:ascii="Verdana" w:eastAsiaTheme="minorHAnsi" w:hAnsi="Verdana"/>
          <w:lang w:val="es-ES_tradnl" w:eastAsia="es-ES_tradnl"/>
        </w:rPr>
        <w:footnoteReference w:id="23"/>
      </w:r>
      <w:r w:rsidR="00694A68" w:rsidRPr="007E1845">
        <w:rPr>
          <w:rFonts w:ascii="Verdana" w:eastAsiaTheme="minorHAnsi" w:hAnsi="Verdana"/>
          <w:sz w:val="20"/>
          <w:szCs w:val="20"/>
          <w:lang w:val="es-ES_tradnl" w:eastAsia="es-ES_tradnl"/>
        </w:rPr>
        <w:t xml:space="preserve">. </w:t>
      </w:r>
    </w:p>
    <w:p w14:paraId="7DD77D14" w14:textId="77777777" w:rsidR="000A7E08" w:rsidRPr="00914E2E" w:rsidRDefault="000A7E08" w:rsidP="00267F70">
      <w:pPr>
        <w:pStyle w:val="NormalWeb"/>
        <w:spacing w:before="0" w:beforeAutospacing="0" w:after="0" w:afterAutospacing="0"/>
        <w:jc w:val="both"/>
        <w:rPr>
          <w:rFonts w:ascii="Verdana" w:eastAsiaTheme="minorHAnsi" w:hAnsi="Verdana"/>
          <w:sz w:val="20"/>
          <w:szCs w:val="20"/>
          <w:lang w:val="es-ES_tradnl" w:eastAsia="es-ES_tradnl"/>
        </w:rPr>
      </w:pPr>
    </w:p>
    <w:p w14:paraId="329B72F1" w14:textId="3FA129B0" w:rsidR="00694A68" w:rsidRPr="00914E2E" w:rsidRDefault="00A359F6" w:rsidP="00267F70">
      <w:pPr>
        <w:pStyle w:val="NormalWeb"/>
        <w:spacing w:before="0" w:beforeAutospacing="0" w:after="0" w:afterAutospacing="0"/>
        <w:jc w:val="both"/>
        <w:rPr>
          <w:rFonts w:ascii="Verdana" w:eastAsiaTheme="minorHAnsi" w:hAnsi="Verdana"/>
          <w:sz w:val="20"/>
          <w:szCs w:val="20"/>
          <w:lang w:val="es-ES_tradnl" w:eastAsia="es-ES_tradnl"/>
        </w:rPr>
      </w:pPr>
      <w:r w:rsidRPr="00EE35BE">
        <w:rPr>
          <w:rFonts w:ascii="Verdana" w:eastAsiaTheme="minorHAnsi" w:hAnsi="Verdana"/>
          <w:sz w:val="20"/>
          <w:szCs w:val="20"/>
          <w:lang w:val="es-ES_tradnl" w:eastAsia="es-ES_tradnl"/>
        </w:rPr>
        <w:t>23</w:t>
      </w:r>
      <w:r w:rsidR="00C323F7" w:rsidRPr="00EE35BE">
        <w:rPr>
          <w:rFonts w:ascii="Verdana" w:eastAsiaTheme="minorHAnsi" w:hAnsi="Verdana"/>
          <w:sz w:val="20"/>
          <w:szCs w:val="20"/>
          <w:lang w:val="es-ES_tradnl" w:eastAsia="es-ES_tradnl"/>
        </w:rPr>
        <w:t>.</w:t>
      </w:r>
      <w:r w:rsidR="00C323F7" w:rsidRPr="00EE35BE">
        <w:rPr>
          <w:rFonts w:ascii="Verdana" w:eastAsiaTheme="minorHAnsi" w:hAnsi="Verdana"/>
          <w:sz w:val="20"/>
          <w:szCs w:val="20"/>
          <w:lang w:val="es-ES_tradnl" w:eastAsia="es-ES_tradnl"/>
        </w:rPr>
        <w:tab/>
      </w:r>
      <w:r w:rsidR="00694A68" w:rsidRPr="00EE35BE">
        <w:rPr>
          <w:rFonts w:ascii="Verdana" w:eastAsiaTheme="minorHAnsi" w:hAnsi="Verdana"/>
          <w:sz w:val="20"/>
          <w:szCs w:val="20"/>
          <w:lang w:val="es-ES_tradnl" w:eastAsia="es-ES_tradnl"/>
        </w:rPr>
        <w:t xml:space="preserve">De igual modo, en 2014, respecto al caso </w:t>
      </w:r>
      <w:r w:rsidR="00694A68" w:rsidRPr="00B320D4">
        <w:rPr>
          <w:rFonts w:ascii="Verdana" w:hAnsi="Verdana"/>
          <w:bCs/>
          <w:i/>
          <w:color w:val="000000"/>
          <w:sz w:val="20"/>
          <w:szCs w:val="20"/>
          <w:lang w:val="es-ES_tradnl" w:eastAsia="es-ES_tradnl"/>
        </w:rPr>
        <w:t xml:space="preserve">Pueblos Indígenas Kuna de Madungandí y Emberá de Bayano y sus miembros Vs. Panamá, </w:t>
      </w:r>
      <w:r w:rsidR="00694A68" w:rsidRPr="00B320D4">
        <w:rPr>
          <w:rFonts w:ascii="Verdana" w:hAnsi="Verdana"/>
          <w:bCs/>
          <w:color w:val="000000"/>
          <w:sz w:val="20"/>
          <w:szCs w:val="20"/>
          <w:lang w:val="es-ES_tradnl" w:eastAsia="es-ES_tradnl"/>
        </w:rPr>
        <w:t xml:space="preserve">la Corte </w:t>
      </w:r>
      <w:r w:rsidR="004D17B8" w:rsidRPr="00B320D4">
        <w:rPr>
          <w:rFonts w:ascii="Verdana" w:hAnsi="Verdana"/>
          <w:bCs/>
          <w:color w:val="000000"/>
          <w:sz w:val="20"/>
          <w:szCs w:val="20"/>
          <w:lang w:val="es-ES_tradnl" w:eastAsia="es-ES_tradnl"/>
        </w:rPr>
        <w:t xml:space="preserve">IDH </w:t>
      </w:r>
      <w:r w:rsidR="00694A68" w:rsidRPr="00B320D4">
        <w:rPr>
          <w:rFonts w:ascii="Verdana" w:hAnsi="Verdana"/>
          <w:bCs/>
          <w:color w:val="000000"/>
          <w:sz w:val="20"/>
          <w:szCs w:val="20"/>
          <w:lang w:val="es-ES_tradnl" w:eastAsia="es-ES_tradnl"/>
        </w:rPr>
        <w:t xml:space="preserve">advirtió </w:t>
      </w:r>
      <w:r w:rsidR="00694A68" w:rsidRPr="00B320D4">
        <w:rPr>
          <w:rFonts w:ascii="Verdana" w:eastAsiaTheme="minorHAnsi" w:hAnsi="Verdana"/>
          <w:sz w:val="20"/>
          <w:szCs w:val="20"/>
          <w:lang w:val="es-ES_tradnl" w:eastAsia="es-ES_tradnl"/>
        </w:rPr>
        <w:t>c</w:t>
      </w:r>
      <w:r w:rsidR="00571235" w:rsidRPr="00B320D4">
        <w:rPr>
          <w:rFonts w:ascii="Verdana" w:eastAsiaTheme="minorHAnsi" w:hAnsi="Verdana"/>
          <w:sz w:val="20"/>
          <w:szCs w:val="20"/>
          <w:lang w:val="es-ES_tradnl" w:eastAsia="es-ES_tradnl"/>
        </w:rPr>
        <w:t>ó</w:t>
      </w:r>
      <w:r w:rsidR="00694A68" w:rsidRPr="00B320D4">
        <w:rPr>
          <w:rFonts w:ascii="Verdana" w:eastAsiaTheme="minorHAnsi" w:hAnsi="Verdana"/>
          <w:sz w:val="20"/>
          <w:szCs w:val="20"/>
          <w:lang w:val="es-ES_tradnl" w:eastAsia="es-ES_tradnl"/>
        </w:rPr>
        <w:t xml:space="preserve">mo la “conexión” entre “territorio” y “recursos naturales” de uso tradicional, tiene implicancias para la “supervivencia física y cultural, así como [para] el desarrollo y continuidad de su cosmovisión, […] su modo de vida </w:t>
      </w:r>
      <w:r w:rsidR="00694A68" w:rsidRPr="00B320D4">
        <w:rPr>
          <w:rFonts w:ascii="Verdana" w:hAnsi="Verdana"/>
          <w:sz w:val="20"/>
          <w:szCs w:val="20"/>
          <w:lang w:val="es-ES_tradnl" w:eastAsia="es-ES_tradnl"/>
        </w:rPr>
        <w:t>tradicional[,] su identidad cultural, estructura social, sistema económico, costumbres, creencias y tradiciones”</w:t>
      </w:r>
      <w:r w:rsidR="00694A68" w:rsidRPr="00B320D4">
        <w:rPr>
          <w:rStyle w:val="Refdenotaalpie"/>
          <w:rFonts w:ascii="Verdana" w:eastAsia="Batang" w:hAnsi="Verdana"/>
          <w:lang w:val="es-ES_tradnl" w:eastAsia="es-ES_tradnl"/>
        </w:rPr>
        <w:footnoteReference w:id="24"/>
      </w:r>
      <w:r w:rsidR="00694A68" w:rsidRPr="007E1845">
        <w:rPr>
          <w:rFonts w:ascii="Verdana" w:hAnsi="Verdana"/>
          <w:sz w:val="20"/>
          <w:szCs w:val="20"/>
          <w:lang w:val="es-ES_tradnl" w:eastAsia="es-ES_tradnl"/>
        </w:rPr>
        <w:t xml:space="preserve">. </w:t>
      </w:r>
      <w:r w:rsidR="00694A68" w:rsidRPr="00914E2E">
        <w:rPr>
          <w:rFonts w:ascii="Verdana" w:hAnsi="Verdana"/>
          <w:sz w:val="20"/>
          <w:szCs w:val="20"/>
          <w:lang w:val="es-ES_tradnl" w:eastAsia="es-ES_tradnl"/>
        </w:rPr>
        <w:t>En la misma línea, recordando sus propios precedentes</w:t>
      </w:r>
      <w:r w:rsidR="00694A68" w:rsidRPr="00B320D4">
        <w:rPr>
          <w:rStyle w:val="Refdenotaalpie"/>
          <w:rFonts w:ascii="Verdana" w:eastAsia="Batang" w:hAnsi="Verdana"/>
          <w:lang w:val="es-ES_tradnl" w:eastAsia="es-ES_tradnl"/>
        </w:rPr>
        <w:footnoteReference w:id="25"/>
      </w:r>
      <w:r w:rsidR="00694A68" w:rsidRPr="007E1845">
        <w:rPr>
          <w:rFonts w:ascii="Verdana" w:hAnsi="Verdana"/>
          <w:sz w:val="20"/>
          <w:szCs w:val="20"/>
          <w:lang w:val="es-ES_tradnl" w:eastAsia="es-ES_tradnl"/>
        </w:rPr>
        <w:t xml:space="preserve">, en 2018 la Corte </w:t>
      </w:r>
      <w:r w:rsidR="004D17B8" w:rsidRPr="00914E2E">
        <w:rPr>
          <w:rFonts w:ascii="Verdana" w:hAnsi="Verdana"/>
          <w:sz w:val="20"/>
          <w:szCs w:val="20"/>
          <w:lang w:val="es-ES_tradnl" w:eastAsia="es-ES_tradnl"/>
        </w:rPr>
        <w:t xml:space="preserve">IDH </w:t>
      </w:r>
      <w:r w:rsidR="00694A68" w:rsidRPr="00914E2E">
        <w:rPr>
          <w:rFonts w:ascii="Verdana" w:hAnsi="Verdana"/>
          <w:sz w:val="20"/>
          <w:szCs w:val="20"/>
          <w:lang w:val="es-ES_tradnl" w:eastAsia="es-ES_tradnl"/>
        </w:rPr>
        <w:t xml:space="preserve">expresó que “[a]l desconocerse el derecho ancestral de los miembros de las comunidades </w:t>
      </w:r>
      <w:r w:rsidR="000E6B70" w:rsidRPr="00914E2E">
        <w:rPr>
          <w:rFonts w:ascii="Verdana" w:hAnsi="Verdana"/>
          <w:sz w:val="20"/>
          <w:szCs w:val="20"/>
          <w:lang w:val="es-ES_tradnl" w:eastAsia="es-ES_tradnl"/>
        </w:rPr>
        <w:t>indígenas</w:t>
      </w:r>
      <w:r w:rsidR="00694A68" w:rsidRPr="00914E2E">
        <w:rPr>
          <w:rFonts w:ascii="Verdana" w:hAnsi="Verdana"/>
          <w:sz w:val="20"/>
          <w:szCs w:val="20"/>
          <w:lang w:val="es-ES_tradnl" w:eastAsia="es-ES_tradnl"/>
        </w:rPr>
        <w:t xml:space="preserve"> sobre sus territorios, se podría estar afectando otros derechos </w:t>
      </w:r>
      <w:r w:rsidR="000E6B70" w:rsidRPr="00F820A3">
        <w:rPr>
          <w:rFonts w:ascii="Verdana" w:hAnsi="Verdana"/>
          <w:sz w:val="20"/>
          <w:szCs w:val="20"/>
          <w:lang w:val="es-ES_tradnl" w:eastAsia="es-ES_tradnl"/>
        </w:rPr>
        <w:t>básicos</w:t>
      </w:r>
      <w:r w:rsidR="00694A68" w:rsidRPr="00F820A3">
        <w:rPr>
          <w:rFonts w:ascii="Verdana" w:hAnsi="Verdana"/>
          <w:sz w:val="20"/>
          <w:szCs w:val="20"/>
          <w:lang w:val="es-ES_tradnl" w:eastAsia="es-ES_tradnl"/>
        </w:rPr>
        <w:t xml:space="preserve">, como el derecho a la </w:t>
      </w:r>
      <w:r w:rsidR="00694A68" w:rsidRPr="00F820A3">
        <w:rPr>
          <w:rFonts w:ascii="Verdana" w:hAnsi="Verdana"/>
          <w:sz w:val="20"/>
          <w:szCs w:val="20"/>
          <w:lang w:val="es-ES_tradnl" w:eastAsia="es-ES_tradnl"/>
        </w:rPr>
        <w:lastRenderedPageBreak/>
        <w:t xml:space="preserve">identidad cultural y la supervivencia misma de las comunidades </w:t>
      </w:r>
      <w:r w:rsidR="000E6B70" w:rsidRPr="00EE35BE">
        <w:rPr>
          <w:rFonts w:ascii="Verdana" w:hAnsi="Verdana"/>
          <w:sz w:val="20"/>
          <w:szCs w:val="20"/>
          <w:lang w:val="es-ES_tradnl" w:eastAsia="es-ES_tradnl"/>
        </w:rPr>
        <w:t>indígenas</w:t>
      </w:r>
      <w:r w:rsidR="00694A68" w:rsidRPr="00EE35BE">
        <w:rPr>
          <w:rFonts w:ascii="Verdana" w:hAnsi="Verdana"/>
          <w:sz w:val="20"/>
          <w:szCs w:val="20"/>
          <w:lang w:val="es-ES_tradnl" w:eastAsia="es-ES_tradnl"/>
        </w:rPr>
        <w:t xml:space="preserve"> y sus miembros”</w:t>
      </w:r>
      <w:r w:rsidR="00694A68" w:rsidRPr="00B320D4">
        <w:rPr>
          <w:rStyle w:val="Refdenotaalpie"/>
          <w:rFonts w:ascii="Verdana" w:eastAsia="Batang" w:hAnsi="Verdana"/>
          <w:lang w:val="es-ES_tradnl" w:eastAsia="es-ES_tradnl"/>
        </w:rPr>
        <w:footnoteReference w:id="26"/>
      </w:r>
      <w:r w:rsidR="00694A68" w:rsidRPr="007E1845">
        <w:rPr>
          <w:rFonts w:ascii="Verdana" w:hAnsi="Verdana"/>
          <w:sz w:val="20"/>
          <w:szCs w:val="20"/>
          <w:lang w:val="es-ES_tradnl" w:eastAsia="es-ES_tradnl"/>
        </w:rPr>
        <w:t>.</w:t>
      </w:r>
      <w:r w:rsidR="00694A68" w:rsidRPr="00914E2E">
        <w:rPr>
          <w:rFonts w:ascii="Verdana" w:hAnsi="Verdana"/>
          <w:sz w:val="20"/>
          <w:szCs w:val="20"/>
          <w:lang w:val="es-ES_tradnl" w:eastAsia="es-ES_tradnl"/>
        </w:rPr>
        <w:t xml:space="preserve"> </w:t>
      </w:r>
    </w:p>
    <w:p w14:paraId="1095472B" w14:textId="77777777" w:rsidR="00694A68" w:rsidRPr="00914E2E" w:rsidRDefault="00694A68" w:rsidP="00267F70">
      <w:pPr>
        <w:pStyle w:val="NormalWeb"/>
        <w:spacing w:before="0" w:beforeAutospacing="0" w:after="0" w:afterAutospacing="0"/>
        <w:jc w:val="both"/>
        <w:rPr>
          <w:rFonts w:ascii="Verdana" w:eastAsiaTheme="minorHAnsi" w:hAnsi="Verdana"/>
          <w:sz w:val="20"/>
          <w:szCs w:val="20"/>
          <w:lang w:val="es-ES_tradnl" w:eastAsia="es-ES_tradnl"/>
        </w:rPr>
      </w:pPr>
    </w:p>
    <w:p w14:paraId="49D7F844" w14:textId="5E984988" w:rsidR="00694A68" w:rsidRPr="00B320D4" w:rsidRDefault="00A359F6" w:rsidP="00267F70">
      <w:pPr>
        <w:pStyle w:val="NormalWeb"/>
        <w:spacing w:before="0" w:beforeAutospacing="0" w:after="0" w:afterAutospacing="0"/>
        <w:jc w:val="both"/>
        <w:rPr>
          <w:rFonts w:ascii="Verdana" w:eastAsiaTheme="minorHAnsi" w:hAnsi="Verdana"/>
          <w:sz w:val="20"/>
          <w:szCs w:val="20"/>
          <w:lang w:val="es-ES_tradnl" w:eastAsia="es-ES_tradnl"/>
        </w:rPr>
      </w:pPr>
      <w:r w:rsidRPr="00F820A3">
        <w:rPr>
          <w:rFonts w:ascii="Verdana" w:hAnsi="Verdana"/>
          <w:sz w:val="20"/>
          <w:szCs w:val="20"/>
          <w:lang w:val="es-ES_tradnl" w:eastAsia="es-ES_tradnl"/>
        </w:rPr>
        <w:t>24</w:t>
      </w:r>
      <w:r w:rsidR="00B26381" w:rsidRPr="00F820A3">
        <w:rPr>
          <w:rFonts w:ascii="Verdana" w:hAnsi="Verdana"/>
          <w:sz w:val="20"/>
          <w:szCs w:val="20"/>
          <w:lang w:val="es-ES_tradnl" w:eastAsia="es-ES_tradnl"/>
        </w:rPr>
        <w:t xml:space="preserve">. </w:t>
      </w:r>
      <w:r w:rsidR="00B26381" w:rsidRPr="00F820A3">
        <w:rPr>
          <w:rFonts w:ascii="Verdana" w:hAnsi="Verdana"/>
          <w:sz w:val="20"/>
          <w:szCs w:val="20"/>
          <w:lang w:val="es-ES_tradnl" w:eastAsia="es-ES_tradnl"/>
        </w:rPr>
        <w:tab/>
      </w:r>
      <w:r w:rsidR="00694A68" w:rsidRPr="001865F1">
        <w:rPr>
          <w:rFonts w:ascii="Verdana" w:hAnsi="Verdana"/>
          <w:sz w:val="20"/>
          <w:szCs w:val="20"/>
          <w:lang w:val="es-ES_tradnl" w:eastAsia="es-ES_tradnl"/>
        </w:rPr>
        <w:t xml:space="preserve">Es posible, entonces, con base en las pautas referidas, sustentadas en el derecho internacional, diferenciar </w:t>
      </w:r>
      <w:r w:rsidR="003D241A" w:rsidRPr="00EE35BE">
        <w:rPr>
          <w:rFonts w:ascii="Verdana" w:hAnsi="Verdana"/>
          <w:sz w:val="20"/>
          <w:szCs w:val="20"/>
          <w:lang w:val="es-ES_tradnl" w:eastAsia="es-ES_tradnl"/>
        </w:rPr>
        <w:t xml:space="preserve">las </w:t>
      </w:r>
      <w:r w:rsidR="00694A68" w:rsidRPr="00EE35BE">
        <w:rPr>
          <w:rFonts w:ascii="Verdana" w:hAnsi="Verdana"/>
          <w:sz w:val="20"/>
          <w:szCs w:val="20"/>
          <w:lang w:val="es-ES_tradnl" w:eastAsia="es-ES_tradnl"/>
        </w:rPr>
        <w:t>nociones de “territorio” y “tierra”. Este último concepto implicaría un espacio físico, mientras que por “territorio” debería entenderse la vida cultural, en un amplio sentido, relacionada con ese espacio físico.</w:t>
      </w:r>
      <w:r w:rsidR="00694A68" w:rsidRPr="00EE35BE">
        <w:rPr>
          <w:rFonts w:ascii="Verdana" w:eastAsiaTheme="minorHAnsi" w:hAnsi="Verdana"/>
          <w:sz w:val="20"/>
          <w:szCs w:val="20"/>
          <w:lang w:val="es-ES_tradnl" w:eastAsia="es-ES_tradnl"/>
        </w:rPr>
        <w:t xml:space="preserve"> </w:t>
      </w:r>
      <w:r w:rsidR="00694A68" w:rsidRPr="00B320D4">
        <w:rPr>
          <w:rFonts w:ascii="Verdana" w:eastAsiaTheme="minorHAnsi" w:hAnsi="Verdana"/>
          <w:sz w:val="20"/>
          <w:szCs w:val="20"/>
          <w:lang w:val="es-ES_tradnl" w:eastAsia="es-ES_tradnl"/>
        </w:rPr>
        <w:t>Hay un enlace, entonces, entre “territorio” e “identidad cultural” indígena. En palabras de la Corte</w:t>
      </w:r>
      <w:r w:rsidR="004D17B8" w:rsidRPr="00B320D4">
        <w:rPr>
          <w:rFonts w:ascii="Verdana" w:eastAsiaTheme="minorHAnsi" w:hAnsi="Verdana"/>
          <w:sz w:val="20"/>
          <w:szCs w:val="20"/>
          <w:lang w:val="es-ES_tradnl" w:eastAsia="es-ES_tradnl"/>
        </w:rPr>
        <w:t xml:space="preserve"> IDH</w:t>
      </w:r>
      <w:r w:rsidR="00694A68" w:rsidRPr="00B320D4">
        <w:rPr>
          <w:rFonts w:ascii="Verdana" w:eastAsiaTheme="minorHAnsi" w:hAnsi="Verdana"/>
          <w:sz w:val="20"/>
          <w:szCs w:val="20"/>
          <w:lang w:val="es-ES_tradnl" w:eastAsia="es-ES_tradnl"/>
        </w:rPr>
        <w:t xml:space="preserve">: </w:t>
      </w:r>
    </w:p>
    <w:p w14:paraId="7D5C12A7" w14:textId="77777777" w:rsidR="00694A68" w:rsidRPr="00B320D4" w:rsidRDefault="00694A68" w:rsidP="00267F70">
      <w:pPr>
        <w:pStyle w:val="NormalWeb"/>
        <w:spacing w:before="0" w:beforeAutospacing="0" w:after="0" w:afterAutospacing="0"/>
        <w:jc w:val="both"/>
        <w:rPr>
          <w:rFonts w:ascii="Verdana" w:eastAsiaTheme="minorHAnsi" w:hAnsi="Verdana"/>
          <w:sz w:val="20"/>
          <w:szCs w:val="20"/>
          <w:lang w:val="es-ES_tradnl" w:eastAsia="es-ES_tradnl"/>
        </w:rPr>
      </w:pPr>
    </w:p>
    <w:p w14:paraId="50449B96" w14:textId="1EC5EF0D" w:rsidR="00694A68" w:rsidRPr="00914E2E" w:rsidRDefault="003D241A" w:rsidP="0075294F">
      <w:pPr>
        <w:ind w:left="567"/>
        <w:jc w:val="both"/>
        <w:rPr>
          <w:rFonts w:ascii="Verdana" w:hAnsi="Verdana"/>
          <w:sz w:val="16"/>
          <w:szCs w:val="16"/>
          <w:lang w:val="es-ES_tradnl" w:eastAsia="es-ES_tradnl"/>
        </w:rPr>
      </w:pPr>
      <w:r w:rsidRPr="007E1845">
        <w:rPr>
          <w:rFonts w:ascii="Verdana" w:hAnsi="Verdana"/>
          <w:sz w:val="16"/>
          <w:szCs w:val="16"/>
          <w:lang w:val="es-ES_tradnl" w:eastAsia="es-ES_tradnl"/>
        </w:rPr>
        <w:t>“</w:t>
      </w:r>
      <w:r w:rsidR="00694A68" w:rsidRPr="00914E2E">
        <w:rPr>
          <w:rFonts w:ascii="Verdana" w:hAnsi="Verdana"/>
          <w:sz w:val="16"/>
          <w:szCs w:val="16"/>
          <w:lang w:val="es-ES_tradnl" w:eastAsia="es-ES_tradnl"/>
        </w:rPr>
        <w:t>La cultura de los miembros de las comunidades indígenas corresponde a una forma de vida particular de ser, ver y actuar en el mundo, constituido a partir de su estrecha relación con sus territorios tradicionales y los recursos que allí se encuentran, no sólo por ser estos su principal medio de subsistencia, sino además porque constituyen un elemento integrante de su cosmovisión, religiosidad y, por ende, de su identidad cultural</w:t>
      </w:r>
      <w:r w:rsidRPr="00914E2E">
        <w:rPr>
          <w:rFonts w:ascii="Verdana" w:hAnsi="Verdana"/>
          <w:sz w:val="16"/>
          <w:szCs w:val="16"/>
          <w:lang w:val="es-ES_tradnl" w:eastAsia="es-ES_tradnl"/>
        </w:rPr>
        <w:t>”</w:t>
      </w:r>
      <w:r w:rsidR="00694A68" w:rsidRPr="00B320D4">
        <w:rPr>
          <w:rStyle w:val="Refdenotaalpie"/>
          <w:rFonts w:ascii="Verdana" w:eastAsia="Batang" w:hAnsi="Verdana"/>
          <w:sz w:val="16"/>
          <w:szCs w:val="16"/>
          <w:lang w:val="es-ES_tradnl" w:eastAsia="es-ES_tradnl"/>
        </w:rPr>
        <w:footnoteReference w:id="27"/>
      </w:r>
      <w:r w:rsidR="00694A68" w:rsidRPr="007E1845">
        <w:rPr>
          <w:rFonts w:ascii="Verdana" w:hAnsi="Verdana"/>
          <w:sz w:val="16"/>
          <w:szCs w:val="16"/>
          <w:lang w:val="es-ES_tradnl" w:eastAsia="es-ES_tradnl"/>
        </w:rPr>
        <w:t xml:space="preserve">. </w:t>
      </w:r>
    </w:p>
    <w:p w14:paraId="73119A56" w14:textId="77777777" w:rsidR="00694A68" w:rsidRPr="00914E2E" w:rsidRDefault="00694A68" w:rsidP="00267F70">
      <w:pPr>
        <w:pStyle w:val="NormalWeb"/>
        <w:spacing w:before="0" w:beforeAutospacing="0" w:after="0" w:afterAutospacing="0"/>
        <w:jc w:val="both"/>
        <w:rPr>
          <w:rFonts w:ascii="Verdana" w:eastAsiaTheme="minorHAnsi" w:hAnsi="Verdana"/>
          <w:sz w:val="20"/>
          <w:szCs w:val="20"/>
          <w:lang w:val="es-ES_tradnl" w:eastAsia="es-ES_tradnl"/>
        </w:rPr>
      </w:pPr>
    </w:p>
    <w:p w14:paraId="055AD513" w14:textId="30E20A99" w:rsidR="00694A68" w:rsidRPr="00914E2E" w:rsidRDefault="00A359F6" w:rsidP="0075294F">
      <w:pPr>
        <w:pStyle w:val="NormalWeb"/>
        <w:spacing w:before="0" w:beforeAutospacing="0" w:after="0" w:afterAutospacing="0"/>
        <w:jc w:val="both"/>
        <w:rPr>
          <w:rFonts w:ascii="Verdana" w:hAnsi="Verdana"/>
          <w:sz w:val="20"/>
          <w:szCs w:val="20"/>
          <w:lang w:eastAsia="es-ES_tradnl"/>
        </w:rPr>
      </w:pPr>
      <w:r w:rsidRPr="00914E2E">
        <w:rPr>
          <w:rFonts w:ascii="Verdana" w:eastAsiaTheme="minorHAnsi" w:hAnsi="Verdana"/>
          <w:sz w:val="20"/>
          <w:szCs w:val="20"/>
          <w:lang w:val="es-ES_tradnl" w:eastAsia="es-ES_tradnl"/>
        </w:rPr>
        <w:t>25</w:t>
      </w:r>
      <w:r w:rsidR="00B26381" w:rsidRPr="00914E2E">
        <w:rPr>
          <w:rFonts w:ascii="Verdana" w:eastAsiaTheme="minorHAnsi" w:hAnsi="Verdana"/>
          <w:sz w:val="20"/>
          <w:szCs w:val="20"/>
          <w:lang w:val="es-ES_tradnl" w:eastAsia="es-ES_tradnl"/>
        </w:rPr>
        <w:t xml:space="preserve">. </w:t>
      </w:r>
      <w:r w:rsidR="00B26381" w:rsidRPr="00914E2E">
        <w:rPr>
          <w:rFonts w:ascii="Verdana" w:eastAsiaTheme="minorHAnsi" w:hAnsi="Verdana"/>
          <w:sz w:val="20"/>
          <w:szCs w:val="20"/>
          <w:lang w:val="es-ES_tradnl" w:eastAsia="es-ES_tradnl"/>
        </w:rPr>
        <w:tab/>
      </w:r>
      <w:r w:rsidR="00694A68" w:rsidRPr="00F820A3">
        <w:rPr>
          <w:rFonts w:ascii="Verdana" w:eastAsiaTheme="minorHAnsi" w:hAnsi="Verdana"/>
          <w:sz w:val="20"/>
          <w:szCs w:val="20"/>
          <w:lang w:val="es-ES_tradnl" w:eastAsia="es-ES_tradnl"/>
        </w:rPr>
        <w:t xml:space="preserve">Ahora bien, la Corte </w:t>
      </w:r>
      <w:r w:rsidR="004D17B8" w:rsidRPr="00F820A3">
        <w:rPr>
          <w:rFonts w:ascii="Verdana" w:eastAsiaTheme="minorHAnsi" w:hAnsi="Verdana"/>
          <w:sz w:val="20"/>
          <w:szCs w:val="20"/>
          <w:lang w:val="es-ES_tradnl" w:eastAsia="es-ES_tradnl"/>
        </w:rPr>
        <w:t xml:space="preserve">IDH </w:t>
      </w:r>
      <w:r w:rsidR="00694A68" w:rsidRPr="001865F1">
        <w:rPr>
          <w:rFonts w:ascii="Verdana" w:eastAsiaTheme="minorHAnsi" w:hAnsi="Verdana"/>
          <w:sz w:val="20"/>
          <w:szCs w:val="20"/>
          <w:lang w:val="es-ES_tradnl" w:eastAsia="es-ES_tradnl"/>
        </w:rPr>
        <w:t>ha señal</w:t>
      </w:r>
      <w:r w:rsidR="003D241A" w:rsidRPr="00EE35BE">
        <w:rPr>
          <w:rFonts w:ascii="Verdana" w:eastAsiaTheme="minorHAnsi" w:hAnsi="Verdana"/>
          <w:sz w:val="20"/>
          <w:szCs w:val="20"/>
          <w:lang w:val="es-ES_tradnl" w:eastAsia="es-ES_tradnl"/>
        </w:rPr>
        <w:t>ado en 2005, al decidir el caso</w:t>
      </w:r>
      <w:r w:rsidR="00694A68" w:rsidRPr="00EE35BE">
        <w:rPr>
          <w:rFonts w:ascii="Verdana" w:eastAsiaTheme="minorHAnsi" w:hAnsi="Verdana"/>
          <w:sz w:val="20"/>
          <w:szCs w:val="20"/>
          <w:lang w:val="es-ES_tradnl" w:eastAsia="es-ES_tradnl"/>
        </w:rPr>
        <w:t xml:space="preserve"> </w:t>
      </w:r>
      <w:r w:rsidR="00694A68" w:rsidRPr="00EE35BE">
        <w:rPr>
          <w:rFonts w:ascii="Verdana" w:eastAsiaTheme="minorHAnsi" w:hAnsi="Verdana"/>
          <w:i/>
          <w:sz w:val="20"/>
          <w:szCs w:val="20"/>
          <w:lang w:val="es-ES_tradnl" w:eastAsia="es-ES_tradnl"/>
        </w:rPr>
        <w:t>Yakye Axa Vs. Paraguay</w:t>
      </w:r>
      <w:r w:rsidR="00694A68" w:rsidRPr="00EE35BE">
        <w:rPr>
          <w:rFonts w:ascii="Verdana" w:eastAsiaTheme="minorHAnsi" w:hAnsi="Verdana"/>
          <w:sz w:val="20"/>
          <w:szCs w:val="20"/>
          <w:lang w:val="es-ES_tradnl" w:eastAsia="es-ES_tradnl"/>
        </w:rPr>
        <w:t>, que “</w:t>
      </w:r>
      <w:r w:rsidR="00694A68" w:rsidRPr="00B320D4">
        <w:rPr>
          <w:rFonts w:ascii="Verdana" w:hAnsi="Verdana"/>
          <w:sz w:val="20"/>
          <w:szCs w:val="20"/>
          <w:lang w:eastAsia="es-ES_tradnl"/>
        </w:rPr>
        <w:t xml:space="preserve">la estrecha vinculación de los pueblos indígenas sobre sus territorios tradicionales y los recursos naturales ligados a su cultura que ahí se encuentren, así como los elementos incorporales que se desprendan de ellos, deben ser salvaguardados por el artículo 21 de la Convención Americana”, </w:t>
      </w:r>
      <w:r w:rsidR="002B21BB" w:rsidRPr="00B320D4">
        <w:rPr>
          <w:rFonts w:ascii="Verdana" w:hAnsi="Verdana"/>
          <w:sz w:val="20"/>
          <w:szCs w:val="20"/>
          <w:lang w:eastAsia="es-ES_tradnl"/>
        </w:rPr>
        <w:t>referido al</w:t>
      </w:r>
      <w:r w:rsidR="00694A68" w:rsidRPr="00B320D4">
        <w:rPr>
          <w:rFonts w:ascii="Verdana" w:hAnsi="Verdana"/>
          <w:sz w:val="20"/>
          <w:szCs w:val="20"/>
          <w:lang w:eastAsia="es-ES_tradnl"/>
        </w:rPr>
        <w:t xml:space="preserve"> derecho de propiedad</w:t>
      </w:r>
      <w:r w:rsidR="00694A68" w:rsidRPr="00B320D4">
        <w:rPr>
          <w:rStyle w:val="Refdenotaalpie"/>
          <w:rFonts w:ascii="Verdana" w:eastAsia="Batang" w:hAnsi="Verdana"/>
          <w:lang w:eastAsia="es-ES_tradnl"/>
        </w:rPr>
        <w:footnoteReference w:id="28"/>
      </w:r>
      <w:r w:rsidR="00694A68" w:rsidRPr="007E1845">
        <w:rPr>
          <w:rFonts w:ascii="Verdana" w:hAnsi="Verdana"/>
          <w:sz w:val="20"/>
          <w:szCs w:val="20"/>
          <w:lang w:eastAsia="es-ES_tradnl"/>
        </w:rPr>
        <w:t xml:space="preserve">. </w:t>
      </w:r>
      <w:r w:rsidR="00694A68" w:rsidRPr="00914E2E">
        <w:rPr>
          <w:rFonts w:ascii="Verdana" w:hAnsi="Verdana"/>
          <w:sz w:val="20"/>
          <w:szCs w:val="20"/>
          <w:lang w:eastAsia="es-ES_tradnl"/>
        </w:rPr>
        <w:t>Eso fue reiterado, con matices, con posterioridad</w:t>
      </w:r>
      <w:r w:rsidR="00694A68" w:rsidRPr="00B320D4">
        <w:rPr>
          <w:rStyle w:val="Refdenotaalpie"/>
          <w:rFonts w:ascii="Verdana" w:eastAsia="Batang" w:hAnsi="Verdana"/>
          <w:lang w:eastAsia="es-ES_tradnl"/>
        </w:rPr>
        <w:footnoteReference w:id="29"/>
      </w:r>
      <w:r w:rsidR="00694A68" w:rsidRPr="007E1845">
        <w:rPr>
          <w:rFonts w:ascii="Verdana" w:hAnsi="Verdana"/>
          <w:sz w:val="20"/>
          <w:szCs w:val="20"/>
          <w:lang w:eastAsia="es-ES_tradnl"/>
        </w:rPr>
        <w:t xml:space="preserve">. </w:t>
      </w:r>
    </w:p>
    <w:p w14:paraId="7287D007" w14:textId="77777777" w:rsidR="00B26381" w:rsidRPr="00914E2E" w:rsidRDefault="00B26381" w:rsidP="00267F70">
      <w:pPr>
        <w:pStyle w:val="NormalWeb"/>
        <w:spacing w:before="0" w:beforeAutospacing="0" w:after="0" w:afterAutospacing="0"/>
        <w:jc w:val="both"/>
        <w:rPr>
          <w:rFonts w:ascii="Verdana" w:eastAsiaTheme="minorHAnsi" w:hAnsi="Verdana"/>
          <w:sz w:val="20"/>
          <w:szCs w:val="20"/>
          <w:lang w:val="es-ES_tradnl" w:eastAsia="es-ES_tradnl"/>
        </w:rPr>
      </w:pPr>
    </w:p>
    <w:p w14:paraId="08ACE8E3" w14:textId="19D746C0" w:rsidR="00694A68" w:rsidRPr="00B320D4" w:rsidRDefault="00A359F6" w:rsidP="00267F70">
      <w:pPr>
        <w:pStyle w:val="NormalWeb"/>
        <w:spacing w:before="0" w:beforeAutospacing="0" w:after="0" w:afterAutospacing="0"/>
        <w:jc w:val="both"/>
        <w:rPr>
          <w:rFonts w:ascii="Verdana" w:eastAsiaTheme="minorHAnsi" w:hAnsi="Verdana"/>
          <w:sz w:val="20"/>
          <w:szCs w:val="20"/>
          <w:lang w:val="es-ES_tradnl" w:eastAsia="es-ES_tradnl"/>
        </w:rPr>
      </w:pPr>
      <w:r w:rsidRPr="00EE35BE">
        <w:rPr>
          <w:rFonts w:ascii="Verdana" w:hAnsi="Verdana"/>
          <w:sz w:val="20"/>
          <w:szCs w:val="20"/>
          <w:lang w:eastAsia="es-ES_tradnl"/>
        </w:rPr>
        <w:t>26</w:t>
      </w:r>
      <w:r w:rsidR="00B26381" w:rsidRPr="00EE35BE">
        <w:rPr>
          <w:rFonts w:ascii="Verdana" w:hAnsi="Verdana"/>
          <w:sz w:val="20"/>
          <w:szCs w:val="20"/>
          <w:lang w:eastAsia="es-ES_tradnl"/>
        </w:rPr>
        <w:t xml:space="preserve">. </w:t>
      </w:r>
      <w:r w:rsidR="00B26381" w:rsidRPr="00EE35BE">
        <w:rPr>
          <w:rFonts w:ascii="Verdana" w:hAnsi="Verdana"/>
          <w:sz w:val="20"/>
          <w:szCs w:val="20"/>
          <w:lang w:eastAsia="es-ES_tradnl"/>
        </w:rPr>
        <w:tab/>
      </w:r>
      <w:r w:rsidR="00694A68" w:rsidRPr="00EE35BE">
        <w:rPr>
          <w:rFonts w:ascii="Verdana" w:hAnsi="Verdana"/>
          <w:sz w:val="20"/>
          <w:szCs w:val="20"/>
          <w:lang w:eastAsia="es-ES_tradnl"/>
        </w:rPr>
        <w:t>La salvaguarda de aspectos territoriales a partir del derecho de propiedad privada tiene por base la vinculación, ya expuesta, entre “territorio” y “tierra”, de modo tal que el derecho de propiedad sobre la tierra permitió, en un entendimiento amplio de la propiedad colectiva, la protección del territorio. Ello se encue</w:t>
      </w:r>
      <w:r w:rsidR="00694A68" w:rsidRPr="00B320D4">
        <w:rPr>
          <w:rFonts w:ascii="Verdana" w:hAnsi="Verdana"/>
          <w:sz w:val="20"/>
          <w:szCs w:val="20"/>
          <w:lang w:eastAsia="es-ES_tradnl"/>
        </w:rPr>
        <w:t>ntra justificado y ha sido efectivo, en el marco de los pronunciamientos de la Corte Interamericana, para tutelar derechos de pueblos indígenas</w:t>
      </w:r>
      <w:r w:rsidR="006C0ECE" w:rsidRPr="00B320D4">
        <w:rPr>
          <w:rFonts w:ascii="Verdana" w:hAnsi="Verdana"/>
          <w:sz w:val="20"/>
          <w:szCs w:val="20"/>
          <w:lang w:eastAsia="es-ES_tradnl"/>
        </w:rPr>
        <w:t xml:space="preserve"> y tribunales</w:t>
      </w:r>
      <w:r w:rsidR="005D672B" w:rsidRPr="00B320D4">
        <w:rPr>
          <w:rFonts w:ascii="Verdana" w:hAnsi="Verdana"/>
          <w:sz w:val="20"/>
          <w:szCs w:val="20"/>
          <w:lang w:eastAsia="es-ES_tradnl"/>
        </w:rPr>
        <w:t xml:space="preserve">, </w:t>
      </w:r>
      <w:r w:rsidR="008202C3" w:rsidRPr="00B320D4">
        <w:rPr>
          <w:rFonts w:ascii="Verdana" w:hAnsi="Verdana"/>
          <w:sz w:val="20"/>
          <w:szCs w:val="20"/>
          <w:lang w:eastAsia="es-ES_tradnl"/>
        </w:rPr>
        <w:t>especialmente en la etapa jurisprudencial de la protección indirecta o por conexidad de los DESCA.</w:t>
      </w:r>
    </w:p>
    <w:p w14:paraId="6C6EFBAB" w14:textId="77777777" w:rsidR="00694A68" w:rsidRPr="00B320D4" w:rsidRDefault="00694A68" w:rsidP="00267F70">
      <w:pPr>
        <w:pStyle w:val="NormalWeb"/>
        <w:spacing w:before="0" w:beforeAutospacing="0" w:after="0" w:afterAutospacing="0"/>
        <w:jc w:val="both"/>
        <w:rPr>
          <w:rFonts w:ascii="Verdana" w:eastAsiaTheme="minorHAnsi" w:hAnsi="Verdana"/>
          <w:sz w:val="20"/>
          <w:szCs w:val="20"/>
          <w:lang w:val="es-ES_tradnl" w:eastAsia="es-ES_tradnl"/>
        </w:rPr>
      </w:pPr>
      <w:r w:rsidRPr="00B320D4">
        <w:rPr>
          <w:rFonts w:ascii="Verdana" w:hAnsi="Verdana"/>
          <w:sz w:val="20"/>
          <w:szCs w:val="20"/>
          <w:lang w:eastAsia="es-ES_tradnl"/>
        </w:rPr>
        <w:t xml:space="preserve"> </w:t>
      </w:r>
    </w:p>
    <w:p w14:paraId="64824B77" w14:textId="09E3C5B2" w:rsidR="000A7E08" w:rsidRPr="00B320D4" w:rsidRDefault="00A359F6" w:rsidP="00267F70">
      <w:pPr>
        <w:pStyle w:val="NormalWeb"/>
        <w:spacing w:before="0" w:beforeAutospacing="0" w:after="0" w:afterAutospacing="0"/>
        <w:jc w:val="both"/>
        <w:rPr>
          <w:rFonts w:ascii="Verdana" w:eastAsiaTheme="minorHAnsi" w:hAnsi="Verdana"/>
          <w:sz w:val="20"/>
          <w:szCs w:val="20"/>
          <w:lang w:val="es-ES_tradnl" w:eastAsia="es-ES_tradnl"/>
        </w:rPr>
      </w:pPr>
      <w:r w:rsidRPr="00B320D4">
        <w:rPr>
          <w:rFonts w:ascii="Verdana" w:eastAsiaTheme="minorHAnsi" w:hAnsi="Verdana"/>
          <w:sz w:val="20"/>
          <w:szCs w:val="20"/>
          <w:lang w:val="es-ES_tradnl" w:eastAsia="es-ES_tradnl"/>
        </w:rPr>
        <w:t>27</w:t>
      </w:r>
      <w:r w:rsidR="00B26381" w:rsidRPr="00B320D4">
        <w:rPr>
          <w:rFonts w:ascii="Verdana" w:eastAsiaTheme="minorHAnsi" w:hAnsi="Verdana"/>
          <w:sz w:val="20"/>
          <w:szCs w:val="20"/>
          <w:lang w:val="es-ES_tradnl" w:eastAsia="es-ES_tradnl"/>
        </w:rPr>
        <w:t xml:space="preserve">. </w:t>
      </w:r>
      <w:r w:rsidR="00B26381" w:rsidRPr="00B320D4">
        <w:rPr>
          <w:rFonts w:ascii="Verdana" w:eastAsiaTheme="minorHAnsi" w:hAnsi="Verdana"/>
          <w:sz w:val="20"/>
          <w:szCs w:val="20"/>
          <w:lang w:val="es-ES_tradnl" w:eastAsia="es-ES_tradnl"/>
        </w:rPr>
        <w:tab/>
      </w:r>
      <w:r w:rsidR="000A7E08" w:rsidRPr="00B320D4">
        <w:rPr>
          <w:rFonts w:ascii="Verdana" w:eastAsiaTheme="minorHAnsi" w:hAnsi="Verdana"/>
          <w:sz w:val="20"/>
          <w:szCs w:val="20"/>
          <w:lang w:val="es-ES_tradnl" w:eastAsia="es-ES_tradnl"/>
        </w:rPr>
        <w:t>Sin embargo, lo anterior</w:t>
      </w:r>
      <w:r w:rsidR="00694A68" w:rsidRPr="00B320D4">
        <w:rPr>
          <w:rFonts w:ascii="Verdana" w:eastAsiaTheme="minorHAnsi" w:hAnsi="Verdana"/>
          <w:sz w:val="20"/>
          <w:szCs w:val="20"/>
          <w:lang w:val="es-ES_tradnl" w:eastAsia="es-ES_tradnl"/>
        </w:rPr>
        <w:t xml:space="preserve"> no obsta a advertir que hay diversos aspectos que pueden tener relación con el “territorio”, y que son múltiples los derechos que, según los diversos casos, pueden verse afectados. Si bien la Corte </w:t>
      </w:r>
      <w:r w:rsidR="004D17B8" w:rsidRPr="00B320D4">
        <w:rPr>
          <w:rFonts w:ascii="Verdana" w:eastAsiaTheme="minorHAnsi" w:hAnsi="Verdana"/>
          <w:sz w:val="20"/>
          <w:szCs w:val="20"/>
          <w:lang w:val="es-ES_tradnl" w:eastAsia="es-ES_tradnl"/>
        </w:rPr>
        <w:t xml:space="preserve">IDH </w:t>
      </w:r>
      <w:r w:rsidR="00694A68" w:rsidRPr="00B320D4">
        <w:rPr>
          <w:rFonts w:ascii="Verdana" w:eastAsiaTheme="minorHAnsi" w:hAnsi="Verdana"/>
          <w:sz w:val="20"/>
          <w:szCs w:val="20"/>
          <w:lang w:val="es-ES_tradnl" w:eastAsia="es-ES_tradnl"/>
        </w:rPr>
        <w:t xml:space="preserve">había, en general, </w:t>
      </w:r>
      <w:r w:rsidR="00694A68" w:rsidRPr="00B320D4">
        <w:rPr>
          <w:rFonts w:ascii="Verdana" w:eastAsiaTheme="minorHAnsi" w:hAnsi="Verdana"/>
          <w:sz w:val="20"/>
          <w:szCs w:val="20"/>
          <w:lang w:val="es-ES_tradnl" w:eastAsia="es-ES_tradnl"/>
        </w:rPr>
        <w:lastRenderedPageBreak/>
        <w:t>examinado afectaciones ligadas al “territorio” con base en el artículo 21 de la Convención</w:t>
      </w:r>
      <w:r w:rsidR="004D17B8" w:rsidRPr="00B320D4">
        <w:rPr>
          <w:rFonts w:ascii="Verdana" w:eastAsiaTheme="minorHAnsi" w:hAnsi="Verdana"/>
          <w:sz w:val="20"/>
          <w:szCs w:val="20"/>
          <w:lang w:val="es-ES_tradnl" w:eastAsia="es-ES_tradnl"/>
        </w:rPr>
        <w:t xml:space="preserve"> Americana</w:t>
      </w:r>
      <w:r w:rsidR="00694A68" w:rsidRPr="00B320D4">
        <w:rPr>
          <w:rFonts w:ascii="Verdana" w:eastAsiaTheme="minorHAnsi" w:hAnsi="Verdana"/>
          <w:sz w:val="20"/>
          <w:szCs w:val="20"/>
          <w:lang w:val="es-ES_tradnl" w:eastAsia="es-ES_tradnl"/>
        </w:rPr>
        <w:t xml:space="preserve">, no hay motivo para excluir </w:t>
      </w:r>
      <w:r w:rsidR="00694A68" w:rsidRPr="00B320D4">
        <w:rPr>
          <w:rFonts w:ascii="Verdana" w:eastAsiaTheme="minorHAnsi" w:hAnsi="Verdana"/>
          <w:i/>
          <w:sz w:val="20"/>
          <w:szCs w:val="20"/>
          <w:lang w:val="es-ES_tradnl" w:eastAsia="es-ES_tradnl"/>
        </w:rPr>
        <w:t>a priori</w:t>
      </w:r>
      <w:r w:rsidR="00694A68" w:rsidRPr="00B320D4">
        <w:rPr>
          <w:rFonts w:ascii="Verdana" w:eastAsiaTheme="minorHAnsi" w:hAnsi="Verdana"/>
          <w:sz w:val="20"/>
          <w:szCs w:val="20"/>
          <w:lang w:val="es-ES_tradnl" w:eastAsia="es-ES_tradnl"/>
        </w:rPr>
        <w:t xml:space="preserve"> la posibilidad de analizar otros derechos. Esto puede ser incluso, según el caso, más adecuado, considerando la amplitud de la noción de “territorio” y los distintos bienes que abarca. </w:t>
      </w:r>
      <w:r w:rsidR="00497DE8" w:rsidRPr="00B320D4">
        <w:rPr>
          <w:rFonts w:ascii="Verdana" w:eastAsiaTheme="minorHAnsi" w:hAnsi="Verdana"/>
          <w:sz w:val="20"/>
          <w:szCs w:val="20"/>
          <w:lang w:val="es-ES_tradnl" w:eastAsia="es-ES_tradnl"/>
        </w:rPr>
        <w:t>Lo anterior tiene especial relevancia</w:t>
      </w:r>
      <w:r w:rsidR="00694A68" w:rsidRPr="00B320D4">
        <w:rPr>
          <w:rFonts w:ascii="Verdana" w:eastAsiaTheme="minorHAnsi" w:hAnsi="Verdana"/>
          <w:sz w:val="20"/>
          <w:szCs w:val="20"/>
          <w:lang w:val="es-ES_tradnl" w:eastAsia="es-ES_tradnl"/>
        </w:rPr>
        <w:t xml:space="preserve"> a partir del caso </w:t>
      </w:r>
      <w:r w:rsidR="00694A68" w:rsidRPr="00B320D4">
        <w:rPr>
          <w:rFonts w:ascii="Verdana" w:eastAsiaTheme="minorHAnsi" w:hAnsi="Verdana"/>
          <w:i/>
          <w:sz w:val="20"/>
          <w:szCs w:val="20"/>
          <w:lang w:val="es-ES_tradnl" w:eastAsia="es-ES_tradnl"/>
        </w:rPr>
        <w:t>Lagos del Campo Vs.</w:t>
      </w:r>
      <w:r w:rsidR="00694A68" w:rsidRPr="00B320D4">
        <w:rPr>
          <w:rFonts w:ascii="Verdana" w:eastAsiaTheme="minorHAnsi" w:hAnsi="Verdana"/>
          <w:sz w:val="20"/>
          <w:szCs w:val="20"/>
          <w:lang w:val="es-ES_tradnl" w:eastAsia="es-ES_tradnl"/>
        </w:rPr>
        <w:t xml:space="preserve"> </w:t>
      </w:r>
      <w:r w:rsidR="00694A68" w:rsidRPr="00B320D4">
        <w:rPr>
          <w:rFonts w:ascii="Verdana" w:eastAsiaTheme="minorHAnsi" w:hAnsi="Verdana"/>
          <w:i/>
          <w:sz w:val="20"/>
          <w:szCs w:val="20"/>
          <w:lang w:val="es-ES_tradnl" w:eastAsia="es-ES_tradnl"/>
        </w:rPr>
        <w:t>Perú</w:t>
      </w:r>
      <w:r w:rsidR="00694A68" w:rsidRPr="00B320D4">
        <w:rPr>
          <w:rStyle w:val="Refdenotaalpie"/>
          <w:rFonts w:ascii="Verdana" w:eastAsiaTheme="minorHAnsi" w:hAnsi="Verdana"/>
          <w:lang w:val="es-ES_tradnl" w:eastAsia="es-ES_tradnl"/>
        </w:rPr>
        <w:footnoteReference w:id="30"/>
      </w:r>
      <w:r w:rsidR="00694A68" w:rsidRPr="007E1845">
        <w:rPr>
          <w:rFonts w:ascii="Verdana" w:eastAsiaTheme="minorHAnsi" w:hAnsi="Verdana"/>
          <w:sz w:val="20"/>
          <w:szCs w:val="20"/>
          <w:lang w:val="es-ES_tradnl" w:eastAsia="es-ES_tradnl"/>
        </w:rPr>
        <w:t xml:space="preserve">, </w:t>
      </w:r>
      <w:r w:rsidR="00497DE8" w:rsidRPr="00914E2E">
        <w:rPr>
          <w:rFonts w:ascii="Verdana" w:eastAsiaTheme="minorHAnsi" w:hAnsi="Verdana"/>
          <w:sz w:val="20"/>
          <w:szCs w:val="20"/>
          <w:lang w:val="es-ES_tradnl" w:eastAsia="es-ES_tradnl"/>
        </w:rPr>
        <w:t xml:space="preserve">en el que </w:t>
      </w:r>
      <w:r w:rsidR="00694A68" w:rsidRPr="00914E2E">
        <w:rPr>
          <w:rFonts w:ascii="Verdana" w:eastAsiaTheme="minorHAnsi" w:hAnsi="Verdana"/>
          <w:sz w:val="20"/>
          <w:szCs w:val="20"/>
          <w:lang w:val="es-ES_tradnl" w:eastAsia="es-ES_tradnl"/>
        </w:rPr>
        <w:t xml:space="preserve">la Corte </w:t>
      </w:r>
      <w:r w:rsidR="004D17B8" w:rsidRPr="00914E2E">
        <w:rPr>
          <w:rFonts w:ascii="Verdana" w:eastAsiaTheme="minorHAnsi" w:hAnsi="Verdana"/>
          <w:sz w:val="20"/>
          <w:szCs w:val="20"/>
          <w:lang w:val="es-ES_tradnl" w:eastAsia="es-ES_tradnl"/>
        </w:rPr>
        <w:t xml:space="preserve">IDH </w:t>
      </w:r>
      <w:r w:rsidR="00694A68" w:rsidRPr="00914E2E">
        <w:rPr>
          <w:rFonts w:ascii="Verdana" w:eastAsiaTheme="minorHAnsi" w:hAnsi="Verdana"/>
          <w:sz w:val="20"/>
          <w:szCs w:val="20"/>
          <w:lang w:val="es-ES_tradnl" w:eastAsia="es-ES_tradnl"/>
        </w:rPr>
        <w:t xml:space="preserve">ha </w:t>
      </w:r>
      <w:r w:rsidR="00322261" w:rsidRPr="00914E2E">
        <w:rPr>
          <w:rFonts w:ascii="Verdana" w:eastAsiaTheme="minorHAnsi" w:hAnsi="Verdana"/>
          <w:sz w:val="20"/>
          <w:szCs w:val="20"/>
          <w:lang w:val="es-ES_tradnl" w:eastAsia="es-ES_tradnl"/>
        </w:rPr>
        <w:t>venido analizando</w:t>
      </w:r>
      <w:r w:rsidR="00694A68" w:rsidRPr="00F820A3">
        <w:rPr>
          <w:rFonts w:ascii="Verdana" w:eastAsiaTheme="minorHAnsi" w:hAnsi="Verdana"/>
          <w:sz w:val="20"/>
          <w:szCs w:val="20"/>
          <w:lang w:val="es-ES_tradnl" w:eastAsia="es-ES_tradnl"/>
        </w:rPr>
        <w:t xml:space="preserve"> en forma au</w:t>
      </w:r>
      <w:r w:rsidR="00694A68" w:rsidRPr="003C2A1F">
        <w:rPr>
          <w:rFonts w:ascii="Verdana" w:eastAsiaTheme="minorHAnsi" w:hAnsi="Verdana"/>
          <w:sz w:val="20"/>
          <w:szCs w:val="20"/>
          <w:lang w:val="es-ES_tradnl" w:eastAsia="es-ES_tradnl"/>
        </w:rPr>
        <w:t xml:space="preserve">tónoma los </w:t>
      </w:r>
      <w:r w:rsidR="004D17B8" w:rsidRPr="00914E2E">
        <w:rPr>
          <w:rFonts w:ascii="Verdana" w:eastAsiaTheme="minorHAnsi" w:hAnsi="Verdana"/>
          <w:sz w:val="20"/>
          <w:szCs w:val="20"/>
          <w:lang w:val="es-ES_tradnl" w:eastAsia="es-ES_tradnl"/>
        </w:rPr>
        <w:t>DESCA</w:t>
      </w:r>
      <w:r w:rsidR="00694A68" w:rsidRPr="00914E2E">
        <w:rPr>
          <w:rFonts w:ascii="Verdana" w:eastAsiaTheme="minorHAnsi" w:hAnsi="Verdana"/>
          <w:sz w:val="20"/>
          <w:szCs w:val="20"/>
          <w:lang w:val="es-ES_tradnl" w:eastAsia="es-ES_tradnl"/>
        </w:rPr>
        <w:t xml:space="preserve"> a través del artículo 26</w:t>
      </w:r>
      <w:r w:rsidR="00694A68" w:rsidRPr="00F820A3">
        <w:rPr>
          <w:rFonts w:ascii="Verdana" w:eastAsiaTheme="minorHAnsi" w:hAnsi="Verdana"/>
          <w:sz w:val="20"/>
          <w:szCs w:val="20"/>
          <w:lang w:val="es-ES_tradnl" w:eastAsia="es-ES_tradnl"/>
        </w:rPr>
        <w:t xml:space="preserve"> de la Convención Americana, y los mismos</w:t>
      </w:r>
      <w:r w:rsidR="000A7E08" w:rsidRPr="00EE35BE">
        <w:rPr>
          <w:rFonts w:ascii="Verdana" w:eastAsiaTheme="minorHAnsi" w:hAnsi="Verdana"/>
          <w:sz w:val="20"/>
          <w:szCs w:val="20"/>
          <w:lang w:val="es-ES_tradnl" w:eastAsia="es-ES_tradnl"/>
        </w:rPr>
        <w:t xml:space="preserve"> pueden dar cuenta de problemáticas territoriales</w:t>
      </w:r>
      <w:r w:rsidR="00694A68" w:rsidRPr="00EE35BE">
        <w:rPr>
          <w:rFonts w:ascii="Verdana" w:eastAsiaTheme="minorHAnsi" w:hAnsi="Verdana"/>
          <w:sz w:val="20"/>
          <w:szCs w:val="20"/>
          <w:lang w:val="es-ES_tradnl" w:eastAsia="es-ES_tradnl"/>
        </w:rPr>
        <w:t xml:space="preserve">, como ha sucedido en el </w:t>
      </w:r>
      <w:r w:rsidR="006F26BE" w:rsidRPr="00EE35BE">
        <w:rPr>
          <w:rFonts w:ascii="Verdana" w:eastAsiaTheme="minorHAnsi" w:hAnsi="Verdana"/>
          <w:sz w:val="20"/>
          <w:szCs w:val="20"/>
          <w:lang w:val="es-ES_tradnl" w:eastAsia="es-ES_tradnl"/>
        </w:rPr>
        <w:t xml:space="preserve">caso </w:t>
      </w:r>
      <w:r w:rsidR="00694A68" w:rsidRPr="00B320D4">
        <w:rPr>
          <w:rFonts w:ascii="Verdana" w:eastAsiaTheme="minorHAnsi" w:hAnsi="Verdana"/>
          <w:i/>
          <w:sz w:val="20"/>
          <w:szCs w:val="20"/>
          <w:lang w:val="es-ES_tradnl" w:eastAsia="es-ES_tradnl"/>
        </w:rPr>
        <w:t>Lhaka Honhat</w:t>
      </w:r>
      <w:r w:rsidR="000A7E08" w:rsidRPr="00B320D4">
        <w:rPr>
          <w:rFonts w:ascii="Verdana" w:eastAsiaTheme="minorHAnsi" w:hAnsi="Verdana"/>
          <w:sz w:val="20"/>
          <w:szCs w:val="20"/>
          <w:lang w:val="es-ES_tradnl" w:eastAsia="es-ES_tradnl"/>
        </w:rPr>
        <w:t>.</w:t>
      </w:r>
    </w:p>
    <w:p w14:paraId="08AAD352" w14:textId="77777777" w:rsidR="00B578C2" w:rsidRPr="00B320D4" w:rsidRDefault="00B578C2" w:rsidP="00267F70">
      <w:pPr>
        <w:pStyle w:val="NormalWeb"/>
        <w:spacing w:before="0" w:beforeAutospacing="0" w:after="0" w:afterAutospacing="0"/>
        <w:jc w:val="both"/>
        <w:rPr>
          <w:rFonts w:ascii="Verdana" w:eastAsiaTheme="minorHAnsi" w:hAnsi="Verdana"/>
          <w:sz w:val="20"/>
          <w:szCs w:val="20"/>
          <w:lang w:val="es-ES_tradnl" w:eastAsia="es-ES_tradnl"/>
        </w:rPr>
      </w:pPr>
    </w:p>
    <w:p w14:paraId="010A1D1B" w14:textId="24C90B39" w:rsidR="00B578C2" w:rsidRPr="00B320D4" w:rsidRDefault="00A359F6" w:rsidP="00267F70">
      <w:pPr>
        <w:pStyle w:val="NormalWeb"/>
        <w:spacing w:before="0" w:beforeAutospacing="0" w:after="0" w:afterAutospacing="0"/>
        <w:jc w:val="both"/>
        <w:rPr>
          <w:rFonts w:ascii="Verdana" w:eastAsiaTheme="minorHAnsi" w:hAnsi="Verdana"/>
          <w:sz w:val="20"/>
          <w:szCs w:val="20"/>
          <w:lang w:val="es-ES_tradnl" w:eastAsia="es-ES_tradnl"/>
        </w:rPr>
      </w:pPr>
      <w:r w:rsidRPr="00B320D4">
        <w:rPr>
          <w:rFonts w:ascii="Verdana" w:hAnsi="Verdana"/>
          <w:sz w:val="20"/>
          <w:szCs w:val="20"/>
        </w:rPr>
        <w:t>28</w:t>
      </w:r>
      <w:r w:rsidR="00B578C2" w:rsidRPr="00B320D4">
        <w:rPr>
          <w:rFonts w:ascii="Verdana" w:hAnsi="Verdana"/>
          <w:sz w:val="20"/>
          <w:szCs w:val="20"/>
        </w:rPr>
        <w:t xml:space="preserve">. </w:t>
      </w:r>
      <w:r w:rsidR="00B578C2" w:rsidRPr="00B320D4">
        <w:rPr>
          <w:rFonts w:ascii="Verdana" w:hAnsi="Verdana"/>
          <w:sz w:val="20"/>
          <w:szCs w:val="20"/>
        </w:rPr>
        <w:tab/>
        <w:t xml:space="preserve">Desde mi entender, lo que clarifica la Corte IDH </w:t>
      </w:r>
      <w:r w:rsidR="008202C3" w:rsidRPr="00B320D4">
        <w:rPr>
          <w:rFonts w:ascii="Verdana" w:hAnsi="Verdana"/>
          <w:sz w:val="20"/>
          <w:szCs w:val="20"/>
        </w:rPr>
        <w:t xml:space="preserve">en el </w:t>
      </w:r>
      <w:r w:rsidR="003C2A1F">
        <w:rPr>
          <w:rFonts w:ascii="Verdana" w:hAnsi="Verdana"/>
          <w:sz w:val="20"/>
          <w:szCs w:val="20"/>
        </w:rPr>
        <w:t>c</w:t>
      </w:r>
      <w:r w:rsidR="008202C3" w:rsidRPr="00914E2E">
        <w:rPr>
          <w:rFonts w:ascii="Verdana" w:hAnsi="Verdana"/>
          <w:sz w:val="20"/>
          <w:szCs w:val="20"/>
        </w:rPr>
        <w:t xml:space="preserve">aso </w:t>
      </w:r>
      <w:r w:rsidR="008202C3" w:rsidRPr="00914E2E">
        <w:rPr>
          <w:rFonts w:ascii="Verdana" w:eastAsiaTheme="minorHAnsi" w:hAnsi="Verdana"/>
          <w:i/>
          <w:sz w:val="20"/>
          <w:szCs w:val="20"/>
          <w:lang w:val="es-ES_tradnl" w:eastAsia="es-ES_tradnl"/>
        </w:rPr>
        <w:t xml:space="preserve">Lhaka Honhat </w:t>
      </w:r>
      <w:r w:rsidR="00B578C2" w:rsidRPr="00914E2E">
        <w:rPr>
          <w:rFonts w:ascii="Verdana" w:hAnsi="Verdana"/>
          <w:sz w:val="20"/>
          <w:szCs w:val="20"/>
        </w:rPr>
        <w:t>es que</w:t>
      </w:r>
      <w:r w:rsidR="008202C3" w:rsidRPr="00914E2E">
        <w:rPr>
          <w:rFonts w:ascii="Verdana" w:hAnsi="Verdana"/>
          <w:sz w:val="20"/>
          <w:szCs w:val="20"/>
        </w:rPr>
        <w:t>,</w:t>
      </w:r>
      <w:r w:rsidR="00B578C2" w:rsidRPr="00914E2E">
        <w:rPr>
          <w:rFonts w:ascii="Verdana" w:hAnsi="Verdana"/>
          <w:sz w:val="20"/>
          <w:szCs w:val="20"/>
        </w:rPr>
        <w:t xml:space="preserve"> por un lado</w:t>
      </w:r>
      <w:r w:rsidR="008202C3" w:rsidRPr="00EE35BE">
        <w:rPr>
          <w:rFonts w:ascii="Verdana" w:hAnsi="Verdana"/>
          <w:sz w:val="20"/>
          <w:szCs w:val="20"/>
        </w:rPr>
        <w:t>,</w:t>
      </w:r>
      <w:r w:rsidR="00B578C2" w:rsidRPr="00EE35BE">
        <w:rPr>
          <w:rFonts w:ascii="Verdana" w:hAnsi="Verdana"/>
          <w:sz w:val="20"/>
          <w:szCs w:val="20"/>
        </w:rPr>
        <w:t xml:space="preserve"> “la tierra” como propiedad colectiva ancestral indígena</w:t>
      </w:r>
      <w:r w:rsidR="00B578C2" w:rsidRPr="00B320D4">
        <w:rPr>
          <w:rFonts w:ascii="Verdana" w:hAnsi="Verdana"/>
          <w:b/>
          <w:bCs/>
          <w:sz w:val="20"/>
          <w:szCs w:val="20"/>
        </w:rPr>
        <w:t xml:space="preserve"> </w:t>
      </w:r>
      <w:r w:rsidR="00B578C2" w:rsidRPr="00B320D4">
        <w:rPr>
          <w:rFonts w:ascii="Verdana" w:hAnsi="Verdana"/>
          <w:sz w:val="20"/>
          <w:szCs w:val="20"/>
        </w:rPr>
        <w:t xml:space="preserve">tiene un contenido que puede ser protegido por el artículo 21 del Pacto de San José. Por otro lado, al analizar en un capitulo por separado los DESCA, se distingue recursos como el agua, los productos que forman parte de la dieta tradicional y el entorno natural, como forma de expresión cultural y de su identidad, como elementos que si bien están conectados con la “tierra” son, en realidad, parte del concepto de “territorio”, elemento que es mucho más amplio y comprensivo desde el punto de vista </w:t>
      </w:r>
      <w:r w:rsidR="004D10DC" w:rsidRPr="00B320D4">
        <w:rPr>
          <w:rFonts w:ascii="Verdana" w:hAnsi="Verdana"/>
          <w:sz w:val="20"/>
          <w:szCs w:val="20"/>
        </w:rPr>
        <w:t>de la cosmovisión</w:t>
      </w:r>
      <w:r w:rsidR="00B578C2" w:rsidRPr="00B320D4">
        <w:rPr>
          <w:rFonts w:ascii="Verdana" w:hAnsi="Verdana"/>
          <w:sz w:val="20"/>
          <w:szCs w:val="20"/>
        </w:rPr>
        <w:t xml:space="preserve"> de las comunidades indígenas dada la estrecha relación que mantienen con </w:t>
      </w:r>
      <w:r w:rsidR="004D10DC" w:rsidRPr="00B320D4">
        <w:rPr>
          <w:rFonts w:ascii="Verdana" w:hAnsi="Verdana"/>
          <w:sz w:val="20"/>
          <w:szCs w:val="20"/>
        </w:rPr>
        <w:t>su territorio</w:t>
      </w:r>
      <w:r w:rsidR="00B578C2" w:rsidRPr="00B320D4">
        <w:rPr>
          <w:rFonts w:ascii="Verdana" w:hAnsi="Verdana"/>
          <w:sz w:val="20"/>
          <w:szCs w:val="20"/>
        </w:rPr>
        <w:t xml:space="preserve">. </w:t>
      </w:r>
    </w:p>
    <w:p w14:paraId="0811DA68" w14:textId="77777777" w:rsidR="00694A68" w:rsidRPr="00B320D4" w:rsidRDefault="00694A68" w:rsidP="00267F70">
      <w:pPr>
        <w:pStyle w:val="NormalWeb"/>
        <w:spacing w:before="0" w:beforeAutospacing="0" w:after="0" w:afterAutospacing="0"/>
        <w:jc w:val="both"/>
        <w:rPr>
          <w:rFonts w:ascii="Verdana" w:hAnsi="Verdana"/>
        </w:rPr>
      </w:pPr>
    </w:p>
    <w:p w14:paraId="5A62A15C" w14:textId="4FC04BB8" w:rsidR="006C0ECE" w:rsidRPr="00EE35BE" w:rsidRDefault="00C323F7" w:rsidP="00267F70">
      <w:pPr>
        <w:pStyle w:val="NormalWeb"/>
        <w:spacing w:before="0" w:beforeAutospacing="0" w:after="0" w:afterAutospacing="0"/>
        <w:jc w:val="both"/>
        <w:rPr>
          <w:rFonts w:ascii="Verdana" w:hAnsi="Verdana"/>
          <w:sz w:val="20"/>
          <w:szCs w:val="20"/>
        </w:rPr>
      </w:pPr>
      <w:r w:rsidRPr="00B320D4">
        <w:rPr>
          <w:rFonts w:ascii="Verdana" w:hAnsi="Verdana"/>
          <w:sz w:val="20"/>
          <w:szCs w:val="20"/>
        </w:rPr>
        <w:t>29</w:t>
      </w:r>
      <w:r w:rsidR="00B26381" w:rsidRPr="00B320D4">
        <w:rPr>
          <w:rFonts w:ascii="Verdana" w:hAnsi="Verdana"/>
          <w:sz w:val="20"/>
          <w:szCs w:val="20"/>
        </w:rPr>
        <w:t xml:space="preserve">. </w:t>
      </w:r>
      <w:r w:rsidR="00B26381" w:rsidRPr="00B320D4">
        <w:rPr>
          <w:rFonts w:ascii="Verdana" w:hAnsi="Verdana"/>
          <w:sz w:val="20"/>
          <w:szCs w:val="20"/>
        </w:rPr>
        <w:tab/>
      </w:r>
      <w:r w:rsidR="006C0ECE" w:rsidRPr="00B320D4">
        <w:rPr>
          <w:rFonts w:ascii="Verdana" w:hAnsi="Verdana"/>
          <w:sz w:val="20"/>
          <w:szCs w:val="20"/>
        </w:rPr>
        <w:t xml:space="preserve">Por ello estimo apropiada la manera en que la Sentencia </w:t>
      </w:r>
      <w:r w:rsidR="006C0ECE" w:rsidRPr="00B320D4">
        <w:rPr>
          <w:rFonts w:ascii="Verdana" w:hAnsi="Verdana"/>
          <w:sz w:val="20"/>
          <w:szCs w:val="20"/>
          <w:lang w:val="es-ES_tradnl"/>
        </w:rPr>
        <w:t>aborda en un</w:t>
      </w:r>
      <w:r w:rsidR="006C0ECE" w:rsidRPr="00B320D4">
        <w:rPr>
          <w:rFonts w:ascii="Verdana" w:hAnsi="Verdana"/>
          <w:color w:val="000000" w:themeColor="text1"/>
          <w:sz w:val="20"/>
          <w:szCs w:val="20"/>
        </w:rPr>
        <w:t xml:space="preserve"> cap</w:t>
      </w:r>
      <w:r w:rsidR="00914E2E">
        <w:rPr>
          <w:rFonts w:ascii="Verdana" w:hAnsi="Verdana"/>
          <w:color w:val="000000" w:themeColor="text1"/>
          <w:sz w:val="20"/>
          <w:szCs w:val="20"/>
        </w:rPr>
        <w:t>í</w:t>
      </w:r>
      <w:r w:rsidR="006C0ECE" w:rsidRPr="00914E2E">
        <w:rPr>
          <w:rFonts w:ascii="Verdana" w:hAnsi="Verdana"/>
          <w:color w:val="000000" w:themeColor="text1"/>
          <w:sz w:val="20"/>
          <w:szCs w:val="20"/>
        </w:rPr>
        <w:t>tulo diferente, las violaciones relativas al derecho al medio ambiente, al agua y a la alimentación y su particular impacto en el derecho a la identidad cultural como proyección especifica del derecho a participar en la vida cultural</w:t>
      </w:r>
      <w:r w:rsidR="006C0ECE" w:rsidRPr="007E1845">
        <w:rPr>
          <w:rStyle w:val="Refdenotaalpie"/>
          <w:rFonts w:ascii="Verdana" w:hAnsi="Verdana"/>
          <w:color w:val="000000" w:themeColor="text1"/>
          <w:sz w:val="20"/>
        </w:rPr>
        <w:footnoteReference w:id="31"/>
      </w:r>
      <w:r w:rsidR="006C0ECE" w:rsidRPr="007E1845">
        <w:rPr>
          <w:rFonts w:ascii="Verdana" w:hAnsi="Verdana"/>
          <w:color w:val="000000" w:themeColor="text1"/>
          <w:sz w:val="20"/>
          <w:szCs w:val="20"/>
        </w:rPr>
        <w:t xml:space="preserve">. Particularmente, este ejercicio realizado en el Capitulo </w:t>
      </w:r>
      <w:r w:rsidR="006C0ECE" w:rsidRPr="003C2A1F">
        <w:rPr>
          <w:rFonts w:ascii="Verdana" w:hAnsi="Verdana"/>
          <w:color w:val="000000" w:themeColor="text1"/>
          <w:sz w:val="20"/>
          <w:szCs w:val="20"/>
        </w:rPr>
        <w:t>VII.2</w:t>
      </w:r>
      <w:r w:rsidR="006C0ECE" w:rsidRPr="00914E2E">
        <w:rPr>
          <w:rFonts w:ascii="Verdana" w:hAnsi="Verdana"/>
          <w:color w:val="000000" w:themeColor="text1"/>
          <w:sz w:val="20"/>
          <w:szCs w:val="20"/>
        </w:rPr>
        <w:t xml:space="preserve"> de la Sentencia</w:t>
      </w:r>
      <w:r w:rsidR="00FD0B06" w:rsidRPr="00B320D4">
        <w:rPr>
          <w:rStyle w:val="Refdenotaalpie"/>
          <w:rFonts w:ascii="Verdana" w:eastAsiaTheme="minorHAnsi" w:hAnsi="Verdana"/>
          <w:sz w:val="20"/>
          <w:lang w:val="es-ES_tradnl" w:eastAsia="es-ES_tradnl"/>
        </w:rPr>
        <w:footnoteReference w:id="32"/>
      </w:r>
      <w:r w:rsidR="006C0ECE" w:rsidRPr="00914E2E">
        <w:rPr>
          <w:rFonts w:ascii="Verdana" w:hAnsi="Verdana"/>
          <w:color w:val="000000" w:themeColor="text1"/>
          <w:sz w:val="20"/>
          <w:szCs w:val="20"/>
        </w:rPr>
        <w:t xml:space="preserve">, enmarca un análisis autónomo de cada uno de los derechos que resultan de vital importancia en este caso pues los pueblos indígenas </w:t>
      </w:r>
      <w:r w:rsidR="005D672B" w:rsidRPr="00914E2E">
        <w:rPr>
          <w:rFonts w:ascii="Verdana" w:hAnsi="Verdana"/>
          <w:color w:val="000000" w:themeColor="text1"/>
          <w:sz w:val="20"/>
          <w:szCs w:val="20"/>
        </w:rPr>
        <w:t>tienen un especial ví</w:t>
      </w:r>
      <w:r w:rsidR="006C0ECE" w:rsidRPr="00F820A3">
        <w:rPr>
          <w:rFonts w:ascii="Verdana" w:hAnsi="Verdana"/>
          <w:color w:val="000000" w:themeColor="text1"/>
          <w:sz w:val="20"/>
          <w:szCs w:val="20"/>
        </w:rPr>
        <w:t>nculo con sus territorios,</w:t>
      </w:r>
      <w:r w:rsidR="005D672B" w:rsidRPr="001865F1">
        <w:rPr>
          <w:rFonts w:ascii="Verdana" w:hAnsi="Verdana"/>
          <w:color w:val="000000" w:themeColor="text1"/>
          <w:sz w:val="20"/>
          <w:szCs w:val="20"/>
        </w:rPr>
        <w:t xml:space="preserve"> pero en especí</w:t>
      </w:r>
      <w:r w:rsidR="006C0ECE" w:rsidRPr="00EE35BE">
        <w:rPr>
          <w:rFonts w:ascii="Verdana" w:hAnsi="Verdana"/>
          <w:color w:val="000000" w:themeColor="text1"/>
          <w:sz w:val="20"/>
          <w:szCs w:val="20"/>
        </w:rPr>
        <w:t xml:space="preserve">fico con los elementos </w:t>
      </w:r>
      <w:r w:rsidR="00571235" w:rsidRPr="00EE35BE">
        <w:rPr>
          <w:rFonts w:ascii="Verdana" w:hAnsi="Verdana"/>
          <w:color w:val="000000" w:themeColor="text1"/>
          <w:sz w:val="20"/>
          <w:szCs w:val="20"/>
        </w:rPr>
        <w:t>que se encuentren inmersos en el mismo</w:t>
      </w:r>
      <w:r w:rsidR="006C0ECE" w:rsidRPr="00EE35BE">
        <w:rPr>
          <w:rFonts w:ascii="Verdana" w:hAnsi="Verdana"/>
          <w:color w:val="000000" w:themeColor="text1"/>
          <w:sz w:val="20"/>
          <w:szCs w:val="20"/>
        </w:rPr>
        <w:t xml:space="preserve">. </w:t>
      </w:r>
    </w:p>
    <w:p w14:paraId="14D52FA0" w14:textId="77777777" w:rsidR="006C0ECE" w:rsidRPr="00B320D4" w:rsidRDefault="006C0ECE" w:rsidP="00267F70">
      <w:pPr>
        <w:rPr>
          <w:rFonts w:ascii="Verdana" w:hAnsi="Verdana"/>
          <w:sz w:val="20"/>
          <w:szCs w:val="20"/>
        </w:rPr>
      </w:pPr>
    </w:p>
    <w:p w14:paraId="2B08A213" w14:textId="0856261A" w:rsidR="002275C3" w:rsidRPr="002275C3" w:rsidRDefault="002275C3" w:rsidP="002275C3">
      <w:pPr>
        <w:jc w:val="both"/>
        <w:rPr>
          <w:rFonts w:ascii="Verdana" w:hAnsi="Verdana"/>
          <w:sz w:val="20"/>
          <w:szCs w:val="20"/>
        </w:rPr>
      </w:pPr>
      <w:r w:rsidRPr="002275C3">
        <w:rPr>
          <w:rFonts w:ascii="Verdana" w:hAnsi="Verdana"/>
          <w:sz w:val="20"/>
          <w:szCs w:val="20"/>
        </w:rPr>
        <w:t xml:space="preserve">30. </w:t>
      </w:r>
      <w:r w:rsidRPr="002275C3">
        <w:rPr>
          <w:rFonts w:ascii="Verdana" w:hAnsi="Verdana"/>
          <w:sz w:val="20"/>
          <w:szCs w:val="20"/>
        </w:rPr>
        <w:tab/>
        <w:t>En este abor</w:t>
      </w:r>
      <w:r>
        <w:rPr>
          <w:rFonts w:ascii="Verdana" w:hAnsi="Verdana"/>
          <w:sz w:val="20"/>
          <w:szCs w:val="20"/>
        </w:rPr>
        <w:t>d</w:t>
      </w:r>
      <w:r w:rsidRPr="002275C3">
        <w:rPr>
          <w:rFonts w:ascii="Verdana" w:hAnsi="Verdana"/>
          <w:sz w:val="20"/>
          <w:szCs w:val="20"/>
        </w:rPr>
        <w:t xml:space="preserve">aje realizado en la Sentencia, debe destacarse la decisión del Tribunal </w:t>
      </w:r>
      <w:r>
        <w:rPr>
          <w:rFonts w:ascii="Verdana" w:hAnsi="Verdana"/>
          <w:sz w:val="20"/>
          <w:szCs w:val="20"/>
        </w:rPr>
        <w:t xml:space="preserve">Interamericano </w:t>
      </w:r>
      <w:r w:rsidRPr="002275C3">
        <w:rPr>
          <w:rFonts w:ascii="Verdana" w:hAnsi="Verdana"/>
          <w:sz w:val="20"/>
          <w:szCs w:val="20"/>
        </w:rPr>
        <w:t>en determinar una violación al derecho al agua, que no fue directamente alegado por las partes o la Comisión</w:t>
      </w:r>
      <w:r>
        <w:rPr>
          <w:rFonts w:ascii="Verdana" w:hAnsi="Verdana"/>
          <w:sz w:val="20"/>
          <w:szCs w:val="20"/>
        </w:rPr>
        <w:t xml:space="preserve"> Interamericana</w:t>
      </w:r>
      <w:r w:rsidRPr="002275C3">
        <w:rPr>
          <w:rFonts w:ascii="Verdana" w:hAnsi="Verdana"/>
          <w:sz w:val="20"/>
          <w:szCs w:val="20"/>
        </w:rPr>
        <w:t>. Es cierto que este derecho, como resalta la Sentencia, tiene una estrecha vinculación con otros, tales como el derecho a un medio ambiente sano y a la alimentación. No obstante, tiene una especificidad propia y presenta una importancia particular para los pueblos y comunidades indígenas, en tanto el acceso y la utlización del agua, y el modo en que se desarrolla, resulta central, no</w:t>
      </w:r>
      <w:r>
        <w:rPr>
          <w:rFonts w:ascii="Verdana" w:hAnsi="Verdana"/>
          <w:sz w:val="20"/>
          <w:szCs w:val="20"/>
        </w:rPr>
        <w:t xml:space="preserve"> solo por las obvias implicaciones</w:t>
      </w:r>
      <w:r w:rsidRPr="002275C3">
        <w:rPr>
          <w:rFonts w:ascii="Verdana" w:hAnsi="Verdana"/>
          <w:sz w:val="20"/>
          <w:szCs w:val="20"/>
        </w:rPr>
        <w:t xml:space="preserve"> para la supervivencia física de los individuos, sino también por la relevancia para el desarrollo de la vida cutural, de los propios modos de vida indígenas</w:t>
      </w:r>
      <w:r w:rsidRPr="002275C3">
        <w:rPr>
          <w:rStyle w:val="Refdenotaalpie"/>
          <w:rFonts w:ascii="Verdana" w:hAnsi="Verdana"/>
          <w:sz w:val="20"/>
        </w:rPr>
        <w:footnoteReference w:id="33"/>
      </w:r>
      <w:r w:rsidRPr="002275C3">
        <w:rPr>
          <w:rFonts w:ascii="Verdana" w:hAnsi="Verdana"/>
          <w:sz w:val="20"/>
          <w:szCs w:val="20"/>
        </w:rPr>
        <w:t xml:space="preserve">. </w:t>
      </w:r>
    </w:p>
    <w:p w14:paraId="053E8A59" w14:textId="77777777" w:rsidR="002275C3" w:rsidRPr="00B6444B" w:rsidRDefault="002275C3" w:rsidP="002275C3">
      <w:pPr>
        <w:jc w:val="both"/>
        <w:rPr>
          <w:rFonts w:ascii="Verdana" w:hAnsi="Verdana"/>
          <w:sz w:val="20"/>
          <w:szCs w:val="20"/>
          <w:highlight w:val="yellow"/>
        </w:rPr>
      </w:pPr>
    </w:p>
    <w:p w14:paraId="4B4E2AD5" w14:textId="0FF975A2" w:rsidR="002275C3" w:rsidRDefault="002275C3" w:rsidP="002275C3">
      <w:pPr>
        <w:jc w:val="both"/>
        <w:rPr>
          <w:rFonts w:ascii="Verdana" w:hAnsi="Verdana"/>
          <w:sz w:val="20"/>
          <w:szCs w:val="20"/>
        </w:rPr>
      </w:pPr>
      <w:r w:rsidRPr="002275C3">
        <w:rPr>
          <w:rFonts w:ascii="Verdana" w:hAnsi="Verdana"/>
          <w:sz w:val="20"/>
          <w:szCs w:val="20"/>
        </w:rPr>
        <w:t xml:space="preserve">31. </w:t>
      </w:r>
      <w:r w:rsidRPr="002275C3">
        <w:rPr>
          <w:rFonts w:ascii="Verdana" w:hAnsi="Verdana"/>
          <w:sz w:val="20"/>
          <w:szCs w:val="20"/>
        </w:rPr>
        <w:tab/>
        <w:t xml:space="preserve">La Sentencia destaca, en ese sentido, cómo la presencia en el territorio de población no indígena y de actividades ajenas </w:t>
      </w:r>
      <w:r>
        <w:rPr>
          <w:rFonts w:ascii="Verdana" w:hAnsi="Verdana"/>
          <w:sz w:val="20"/>
          <w:szCs w:val="20"/>
        </w:rPr>
        <w:t xml:space="preserve">a </w:t>
      </w:r>
      <w:r w:rsidRPr="002275C3">
        <w:rPr>
          <w:rFonts w:ascii="Verdana" w:hAnsi="Verdana"/>
          <w:sz w:val="20"/>
          <w:szCs w:val="20"/>
        </w:rPr>
        <w:t xml:space="preserve">las prácticas tradicionales de las comunidades, como la ganadería, afectaron el acceso al agua, generando desertificación y contaminación, así como las posibilidades de “superviviencia de las culturas aborígenes que […] dependen del río [Pilcomayo]”, como indicó un peritaje. Lo anterior, pese a que la zona había sido considerada de preservación y recuperación ambiental por el propio Estado. En este marco, prueba presentada en el caso indicó que la mayoría </w:t>
      </w:r>
      <w:r w:rsidR="008516B9">
        <w:rPr>
          <w:rFonts w:ascii="Verdana" w:hAnsi="Verdana"/>
          <w:sz w:val="20"/>
          <w:szCs w:val="20"/>
        </w:rPr>
        <w:t xml:space="preserve">de </w:t>
      </w:r>
      <w:r w:rsidRPr="002275C3">
        <w:rPr>
          <w:rFonts w:ascii="Verdana" w:hAnsi="Verdana"/>
          <w:sz w:val="20"/>
          <w:szCs w:val="20"/>
        </w:rPr>
        <w:t>comunidades indígenas no obtiene agua apta para el consumo, ni alimentación suficiente</w:t>
      </w:r>
      <w:r>
        <w:rPr>
          <w:rFonts w:ascii="Verdana" w:hAnsi="Verdana"/>
          <w:sz w:val="20"/>
          <w:szCs w:val="20"/>
        </w:rPr>
        <w:t>, alterá</w:t>
      </w:r>
      <w:r w:rsidRPr="002275C3">
        <w:rPr>
          <w:rFonts w:ascii="Verdana" w:hAnsi="Verdana"/>
          <w:sz w:val="20"/>
          <w:szCs w:val="20"/>
        </w:rPr>
        <w:t xml:space="preserve">ndose por ello, además, el modo de vida indígena. De ahí que en un caso con las características del caso </w:t>
      </w:r>
      <w:r w:rsidRPr="002275C3">
        <w:rPr>
          <w:rFonts w:ascii="Verdana" w:hAnsi="Verdana"/>
          <w:i/>
          <w:sz w:val="20"/>
          <w:szCs w:val="20"/>
        </w:rPr>
        <w:t>Lhaka Honhat</w:t>
      </w:r>
      <w:r w:rsidRPr="002275C3">
        <w:rPr>
          <w:rFonts w:ascii="Verdana" w:hAnsi="Verdana"/>
          <w:sz w:val="20"/>
          <w:szCs w:val="20"/>
        </w:rPr>
        <w:t>, resuta apropiado un examen, como el que se hizo, que considere la interrelación del agua, el ambiente y la alimentación con la vida cultural. Este análisis, al relacionar los diversos derechos entre sí y considerar las características particulares de los pueblos indígenas, evitó una visión restrictiva o sesgada, que podría haber llevado a no comprender</w:t>
      </w:r>
      <w:r>
        <w:rPr>
          <w:rFonts w:ascii="Verdana" w:hAnsi="Verdana"/>
          <w:sz w:val="20"/>
          <w:szCs w:val="20"/>
        </w:rPr>
        <w:t xml:space="preserve"> en su caba</w:t>
      </w:r>
      <w:r w:rsidRPr="002275C3">
        <w:rPr>
          <w:rFonts w:ascii="Verdana" w:hAnsi="Verdana"/>
          <w:sz w:val="20"/>
          <w:szCs w:val="20"/>
        </w:rPr>
        <w:t>l dimensión la problemática del caso y las violaciónes a derechos humanos que se cometieron</w:t>
      </w:r>
      <w:r w:rsidRPr="002275C3">
        <w:rPr>
          <w:rStyle w:val="Refdenotaalpie"/>
          <w:rFonts w:ascii="Verdana" w:hAnsi="Verdana"/>
          <w:sz w:val="20"/>
        </w:rPr>
        <w:footnoteReference w:id="34"/>
      </w:r>
      <w:r w:rsidRPr="002275C3">
        <w:rPr>
          <w:rFonts w:ascii="Verdana" w:hAnsi="Verdana"/>
          <w:sz w:val="20"/>
          <w:szCs w:val="20"/>
        </w:rPr>
        <w:t>.</w:t>
      </w:r>
      <w:r>
        <w:rPr>
          <w:rFonts w:ascii="Verdana" w:hAnsi="Verdana"/>
          <w:sz w:val="20"/>
          <w:szCs w:val="20"/>
        </w:rPr>
        <w:t xml:space="preserve"> </w:t>
      </w:r>
    </w:p>
    <w:p w14:paraId="2E09BBA1" w14:textId="77777777" w:rsidR="002275C3" w:rsidRDefault="002275C3" w:rsidP="00267F70">
      <w:pPr>
        <w:pStyle w:val="Prrafodelista"/>
        <w:widowControl w:val="0"/>
        <w:tabs>
          <w:tab w:val="left" w:pos="567"/>
        </w:tabs>
        <w:autoSpaceDE w:val="0"/>
        <w:autoSpaceDN w:val="0"/>
        <w:adjustRightInd w:val="0"/>
        <w:spacing w:after="0" w:line="240" w:lineRule="auto"/>
        <w:ind w:left="0"/>
        <w:jc w:val="both"/>
        <w:rPr>
          <w:rFonts w:ascii="Verdana" w:hAnsi="Verdana"/>
          <w:sz w:val="20"/>
          <w:szCs w:val="20"/>
        </w:rPr>
      </w:pPr>
    </w:p>
    <w:p w14:paraId="5190C180" w14:textId="7745DE61" w:rsidR="006C0ECE" w:rsidRPr="00B320D4" w:rsidRDefault="00FB0638" w:rsidP="00267F70">
      <w:pPr>
        <w:pStyle w:val="Prrafodelista"/>
        <w:widowControl w:val="0"/>
        <w:tabs>
          <w:tab w:val="left" w:pos="567"/>
        </w:tabs>
        <w:autoSpaceDE w:val="0"/>
        <w:autoSpaceDN w:val="0"/>
        <w:adjustRightInd w:val="0"/>
        <w:spacing w:after="0" w:line="240" w:lineRule="auto"/>
        <w:ind w:left="0"/>
        <w:jc w:val="both"/>
        <w:rPr>
          <w:rFonts w:ascii="Verdana" w:hAnsi="Verdana"/>
          <w:sz w:val="20"/>
          <w:szCs w:val="20"/>
          <w:lang w:val="es-MX"/>
        </w:rPr>
      </w:pPr>
      <w:r>
        <w:rPr>
          <w:rFonts w:ascii="Verdana" w:hAnsi="Verdana"/>
          <w:sz w:val="20"/>
          <w:szCs w:val="20"/>
        </w:rPr>
        <w:t>32</w:t>
      </w:r>
      <w:r w:rsidR="006C0ECE" w:rsidRPr="00B320D4">
        <w:rPr>
          <w:rFonts w:ascii="Verdana" w:hAnsi="Verdana"/>
          <w:sz w:val="20"/>
          <w:szCs w:val="20"/>
        </w:rPr>
        <w:t xml:space="preserve">. </w:t>
      </w:r>
      <w:r w:rsidR="006C0ECE" w:rsidRPr="00B320D4">
        <w:rPr>
          <w:rFonts w:ascii="Verdana" w:hAnsi="Verdana"/>
          <w:sz w:val="20"/>
          <w:szCs w:val="20"/>
        </w:rPr>
        <w:tab/>
      </w:r>
      <w:r w:rsidR="00571235" w:rsidRPr="00B320D4">
        <w:rPr>
          <w:rFonts w:ascii="Verdana" w:hAnsi="Verdana"/>
          <w:sz w:val="20"/>
          <w:szCs w:val="20"/>
        </w:rPr>
        <w:tab/>
      </w:r>
      <w:r w:rsidR="006C0ECE" w:rsidRPr="00B320D4">
        <w:rPr>
          <w:rFonts w:ascii="Verdana" w:hAnsi="Verdana"/>
          <w:sz w:val="20"/>
          <w:szCs w:val="20"/>
        </w:rPr>
        <w:t>Adicionalmente, considero que la forma en la que fue decidido este caso</w:t>
      </w:r>
      <w:r w:rsidR="004D10DC" w:rsidRPr="00B320D4">
        <w:rPr>
          <w:rFonts w:ascii="Verdana" w:hAnsi="Verdana"/>
          <w:sz w:val="20"/>
          <w:szCs w:val="20"/>
        </w:rPr>
        <w:t xml:space="preserve"> (</w:t>
      </w:r>
      <w:r w:rsidR="006C0ECE" w:rsidRPr="00B320D4">
        <w:rPr>
          <w:rFonts w:ascii="Verdana" w:hAnsi="Verdana"/>
          <w:sz w:val="20"/>
          <w:szCs w:val="20"/>
        </w:rPr>
        <w:t>es decir</w:t>
      </w:r>
      <w:r w:rsidR="00914E2E">
        <w:rPr>
          <w:rFonts w:ascii="Verdana" w:hAnsi="Verdana"/>
          <w:sz w:val="20"/>
          <w:szCs w:val="20"/>
        </w:rPr>
        <w:t>,</w:t>
      </w:r>
      <w:r w:rsidR="006C0ECE" w:rsidRPr="00914E2E">
        <w:rPr>
          <w:rFonts w:ascii="Verdana" w:hAnsi="Verdana"/>
          <w:sz w:val="20"/>
          <w:szCs w:val="20"/>
        </w:rPr>
        <w:t xml:space="preserve"> analizar en un capítulo los temas relativos a la propiedad comunal indígena de manera separada del capítulo relativo al análisis de las cuestiones relativas a los DESCA</w:t>
      </w:r>
      <w:r w:rsidR="004D10DC" w:rsidRPr="00EE35BE">
        <w:rPr>
          <w:rFonts w:ascii="Verdana" w:hAnsi="Verdana"/>
          <w:sz w:val="20"/>
          <w:szCs w:val="20"/>
        </w:rPr>
        <w:t>)</w:t>
      </w:r>
      <w:r w:rsidR="006C0ECE" w:rsidRPr="00EE35BE">
        <w:rPr>
          <w:rFonts w:ascii="Verdana" w:hAnsi="Verdana"/>
          <w:sz w:val="20"/>
          <w:szCs w:val="20"/>
        </w:rPr>
        <w:t xml:space="preserve">, fue acertada, ya que de lo contrario se hubiera </w:t>
      </w:r>
      <w:r w:rsidR="006C0ECE" w:rsidRPr="00B320D4">
        <w:rPr>
          <w:rFonts w:ascii="Verdana" w:hAnsi="Verdana"/>
          <w:sz w:val="20"/>
          <w:szCs w:val="20"/>
        </w:rPr>
        <w:t xml:space="preserve">corrido el riesgo de considerar que solo en la medida </w:t>
      </w:r>
      <w:r w:rsidR="00571235" w:rsidRPr="00B320D4">
        <w:rPr>
          <w:rFonts w:ascii="Verdana" w:hAnsi="Verdana"/>
          <w:sz w:val="20"/>
          <w:szCs w:val="20"/>
        </w:rPr>
        <w:t xml:space="preserve">en </w:t>
      </w:r>
      <w:r w:rsidR="006C0ECE" w:rsidRPr="00B320D4">
        <w:rPr>
          <w:rFonts w:ascii="Verdana" w:hAnsi="Verdana"/>
          <w:sz w:val="20"/>
          <w:szCs w:val="20"/>
        </w:rPr>
        <w:t>que la propiedad comunal indígena protegida por el artículo 21 sea declarada violada, se podría analizar posibles violaciones a DESCA relacionadas con</w:t>
      </w:r>
      <w:r w:rsidR="00CD199D" w:rsidRPr="00B320D4">
        <w:rPr>
          <w:rFonts w:ascii="Verdana" w:hAnsi="Verdana"/>
          <w:sz w:val="20"/>
          <w:szCs w:val="20"/>
        </w:rPr>
        <w:t xml:space="preserve"> el territorio indígena</w:t>
      </w:r>
      <w:r w:rsidR="006C0ECE" w:rsidRPr="00B320D4">
        <w:rPr>
          <w:rFonts w:ascii="Verdana" w:hAnsi="Verdana"/>
          <w:sz w:val="20"/>
          <w:szCs w:val="20"/>
        </w:rPr>
        <w:t xml:space="preserve">. </w:t>
      </w:r>
    </w:p>
    <w:p w14:paraId="395C2411" w14:textId="77777777" w:rsidR="006C0ECE" w:rsidRPr="00B320D4" w:rsidRDefault="006C0ECE" w:rsidP="00267F70">
      <w:pPr>
        <w:pStyle w:val="Prrafodelista"/>
        <w:spacing w:after="0" w:line="240" w:lineRule="auto"/>
        <w:rPr>
          <w:rFonts w:ascii="Verdana" w:hAnsi="Verdana"/>
          <w:sz w:val="20"/>
          <w:szCs w:val="20"/>
        </w:rPr>
      </w:pPr>
    </w:p>
    <w:p w14:paraId="1EE06E7A" w14:textId="172D1673" w:rsidR="006C0ECE" w:rsidRPr="00B320D4" w:rsidRDefault="00FB0638" w:rsidP="00267F70">
      <w:pPr>
        <w:pStyle w:val="Prrafodelista"/>
        <w:widowControl w:val="0"/>
        <w:tabs>
          <w:tab w:val="left" w:pos="567"/>
        </w:tabs>
        <w:autoSpaceDE w:val="0"/>
        <w:autoSpaceDN w:val="0"/>
        <w:adjustRightInd w:val="0"/>
        <w:spacing w:after="0" w:line="240" w:lineRule="auto"/>
        <w:ind w:left="0"/>
        <w:jc w:val="both"/>
        <w:rPr>
          <w:rFonts w:ascii="Verdana" w:hAnsi="Verdana"/>
          <w:sz w:val="20"/>
          <w:szCs w:val="20"/>
          <w:lang w:val="es-MX"/>
        </w:rPr>
      </w:pPr>
      <w:r>
        <w:rPr>
          <w:rFonts w:ascii="Verdana" w:hAnsi="Verdana"/>
          <w:sz w:val="20"/>
          <w:szCs w:val="20"/>
        </w:rPr>
        <w:t>33</w:t>
      </w:r>
      <w:r w:rsidR="006C0ECE" w:rsidRPr="00B320D4">
        <w:rPr>
          <w:rFonts w:ascii="Verdana" w:hAnsi="Verdana"/>
          <w:sz w:val="20"/>
          <w:szCs w:val="20"/>
        </w:rPr>
        <w:t xml:space="preserve">. </w:t>
      </w:r>
      <w:r w:rsidR="006C0ECE" w:rsidRPr="00B320D4">
        <w:rPr>
          <w:rFonts w:ascii="Verdana" w:hAnsi="Verdana"/>
          <w:sz w:val="20"/>
          <w:szCs w:val="20"/>
        </w:rPr>
        <w:tab/>
      </w:r>
      <w:r w:rsidR="008202C3" w:rsidRPr="00B320D4">
        <w:rPr>
          <w:rFonts w:ascii="Verdana" w:hAnsi="Verdana"/>
          <w:sz w:val="20"/>
          <w:szCs w:val="20"/>
        </w:rPr>
        <w:tab/>
      </w:r>
      <w:r w:rsidR="006C0ECE" w:rsidRPr="00B320D4">
        <w:rPr>
          <w:rFonts w:ascii="Verdana" w:hAnsi="Verdana"/>
          <w:sz w:val="20"/>
          <w:szCs w:val="20"/>
        </w:rPr>
        <w:t xml:space="preserve">Debo destacar que el análisis separado entre el artículo 21 y 26 de la Convención Americana, no desconoce la jurisprudencia previa de la Corte IDH relacionada con en el territorio, mismo que abarca la tierra y los recursos naturales; por el contrario, se refuerza la tesis que en el caso de los pueblos indígenas, al tener una relación especial con sus territorios ancestrales es necesario hacer un análisis pormenorizado entre todos y cada uno de los elementos que forman parte de sus derechos, es decir, tanto “su derecho a la propiedad colectiva indígena” como su “derecho al territorio”. </w:t>
      </w:r>
    </w:p>
    <w:p w14:paraId="22FB110B" w14:textId="77777777" w:rsidR="006C0ECE" w:rsidRPr="00B320D4" w:rsidRDefault="006C0ECE" w:rsidP="00267F70">
      <w:pPr>
        <w:pStyle w:val="Prrafodelista"/>
        <w:spacing w:line="240" w:lineRule="auto"/>
        <w:rPr>
          <w:rFonts w:ascii="Verdana" w:hAnsi="Verdana"/>
          <w:sz w:val="20"/>
          <w:szCs w:val="20"/>
          <w:lang w:val="es-MX"/>
        </w:rPr>
      </w:pPr>
    </w:p>
    <w:p w14:paraId="14C99ADB" w14:textId="4953EF21" w:rsidR="006C0ECE" w:rsidRPr="00B320D4" w:rsidRDefault="00FB0638" w:rsidP="00267F70">
      <w:pPr>
        <w:pStyle w:val="Prrafodelista"/>
        <w:widowControl w:val="0"/>
        <w:tabs>
          <w:tab w:val="left" w:pos="567"/>
        </w:tabs>
        <w:autoSpaceDE w:val="0"/>
        <w:autoSpaceDN w:val="0"/>
        <w:adjustRightInd w:val="0"/>
        <w:spacing w:after="0" w:line="240" w:lineRule="auto"/>
        <w:ind w:left="0"/>
        <w:jc w:val="both"/>
        <w:rPr>
          <w:rFonts w:ascii="Verdana" w:hAnsi="Verdana"/>
          <w:sz w:val="20"/>
          <w:szCs w:val="20"/>
          <w:lang w:val="es-MX"/>
        </w:rPr>
      </w:pPr>
      <w:r>
        <w:rPr>
          <w:rFonts w:ascii="Verdana" w:hAnsi="Verdana"/>
          <w:sz w:val="20"/>
          <w:szCs w:val="20"/>
        </w:rPr>
        <w:t>34</w:t>
      </w:r>
      <w:r w:rsidR="006C0ECE" w:rsidRPr="00B320D4">
        <w:rPr>
          <w:rFonts w:ascii="Verdana" w:hAnsi="Verdana"/>
          <w:sz w:val="20"/>
          <w:szCs w:val="20"/>
        </w:rPr>
        <w:t xml:space="preserve">. </w:t>
      </w:r>
      <w:r w:rsidR="006C0ECE" w:rsidRPr="00B320D4">
        <w:rPr>
          <w:rFonts w:ascii="Verdana" w:hAnsi="Verdana"/>
          <w:sz w:val="20"/>
          <w:szCs w:val="20"/>
        </w:rPr>
        <w:tab/>
      </w:r>
      <w:r w:rsidR="008202C3" w:rsidRPr="00B320D4">
        <w:rPr>
          <w:rFonts w:ascii="Verdana" w:hAnsi="Verdana"/>
          <w:sz w:val="20"/>
          <w:szCs w:val="20"/>
        </w:rPr>
        <w:tab/>
      </w:r>
      <w:r w:rsidR="006C0ECE" w:rsidRPr="00B320D4">
        <w:rPr>
          <w:rFonts w:ascii="Verdana" w:hAnsi="Verdana"/>
          <w:sz w:val="20"/>
          <w:szCs w:val="20"/>
        </w:rPr>
        <w:t xml:space="preserve">En este entendido, lo que hace el Tribunal Interamericano al momento de decidir sobre algunos elementos que se encuentran dentro del concepto de “territorio” mediante el artículo 26 de la Convención Americana, es decir, </w:t>
      </w:r>
      <w:r w:rsidR="008202C3" w:rsidRPr="00B320D4">
        <w:rPr>
          <w:rFonts w:ascii="Verdana" w:hAnsi="Verdana"/>
          <w:sz w:val="20"/>
          <w:szCs w:val="20"/>
        </w:rPr>
        <w:t>sobre los derecho</w:t>
      </w:r>
      <w:r w:rsidR="00571235" w:rsidRPr="00B320D4">
        <w:rPr>
          <w:rFonts w:ascii="Verdana" w:hAnsi="Verdana"/>
          <w:sz w:val="20"/>
          <w:szCs w:val="20"/>
        </w:rPr>
        <w:t>s al medio ambiente</w:t>
      </w:r>
      <w:r w:rsidR="007E7FF6">
        <w:rPr>
          <w:rFonts w:ascii="Verdana" w:hAnsi="Verdana"/>
          <w:sz w:val="20"/>
          <w:szCs w:val="20"/>
        </w:rPr>
        <w:t xml:space="preserve"> sano</w:t>
      </w:r>
      <w:r w:rsidR="00571235" w:rsidRPr="00B320D4">
        <w:rPr>
          <w:rFonts w:ascii="Verdana" w:hAnsi="Verdana"/>
          <w:sz w:val="20"/>
          <w:szCs w:val="20"/>
        </w:rPr>
        <w:t xml:space="preserve">, </w:t>
      </w:r>
      <w:r w:rsidR="008202C3" w:rsidRPr="00B320D4">
        <w:rPr>
          <w:rFonts w:ascii="Verdana" w:hAnsi="Verdana"/>
          <w:sz w:val="20"/>
          <w:szCs w:val="20"/>
        </w:rPr>
        <w:t>al agua, a la alimentación y a</w:t>
      </w:r>
      <w:r w:rsidR="006C0ECE" w:rsidRPr="00B320D4">
        <w:rPr>
          <w:rFonts w:ascii="Verdana" w:hAnsi="Verdana"/>
          <w:sz w:val="20"/>
          <w:szCs w:val="20"/>
        </w:rPr>
        <w:t xml:space="preserve"> participar en la vida cultural, no lo hace </w:t>
      </w:r>
      <w:r w:rsidR="006C0ECE" w:rsidRPr="00B320D4">
        <w:rPr>
          <w:rFonts w:ascii="Verdana" w:hAnsi="Verdana"/>
          <w:sz w:val="20"/>
          <w:szCs w:val="20"/>
        </w:rPr>
        <w:lastRenderedPageBreak/>
        <w:t xml:space="preserve">en el entendido de desconocer la amplia jurisprudencia en la materia. Por el contrario, la Corte IDH perfecciona la forma en la que debe ser entendida este concepto que va más allá del </w:t>
      </w:r>
      <w:r w:rsidR="008202C3" w:rsidRPr="00B320D4">
        <w:rPr>
          <w:rFonts w:ascii="Verdana" w:hAnsi="Verdana"/>
          <w:sz w:val="20"/>
          <w:szCs w:val="20"/>
        </w:rPr>
        <w:t xml:space="preserve">entendimiento </w:t>
      </w:r>
      <w:r w:rsidR="006C0ECE" w:rsidRPr="00B320D4">
        <w:rPr>
          <w:rFonts w:ascii="Verdana" w:hAnsi="Verdana"/>
          <w:sz w:val="20"/>
          <w:szCs w:val="20"/>
        </w:rPr>
        <w:t xml:space="preserve">tradicional </w:t>
      </w:r>
      <w:r w:rsidR="008202C3" w:rsidRPr="00B320D4">
        <w:rPr>
          <w:rFonts w:ascii="Verdana" w:hAnsi="Verdana"/>
          <w:sz w:val="20"/>
          <w:szCs w:val="20"/>
        </w:rPr>
        <w:t xml:space="preserve">sobre la propiedad privada protegido por el </w:t>
      </w:r>
      <w:r w:rsidR="006C0ECE" w:rsidRPr="00B320D4">
        <w:rPr>
          <w:rFonts w:ascii="Verdana" w:hAnsi="Verdana"/>
          <w:sz w:val="20"/>
          <w:szCs w:val="20"/>
        </w:rPr>
        <w:t>artículo 21 de la Convención Americana.</w:t>
      </w:r>
    </w:p>
    <w:p w14:paraId="15467E75" w14:textId="77777777" w:rsidR="006C0ECE" w:rsidRPr="00B320D4" w:rsidRDefault="006C0ECE" w:rsidP="00267F70">
      <w:pPr>
        <w:pStyle w:val="Prrafodelista"/>
        <w:spacing w:after="0" w:line="240" w:lineRule="auto"/>
        <w:rPr>
          <w:rFonts w:ascii="Verdana" w:hAnsi="Verdana"/>
          <w:sz w:val="20"/>
          <w:szCs w:val="20"/>
        </w:rPr>
      </w:pPr>
    </w:p>
    <w:p w14:paraId="4C6DF923" w14:textId="5712F37A" w:rsidR="006C0ECE" w:rsidRPr="00914E2E" w:rsidRDefault="00FB0638" w:rsidP="00267F70">
      <w:pPr>
        <w:pStyle w:val="Prrafodelista"/>
        <w:widowControl w:val="0"/>
        <w:tabs>
          <w:tab w:val="left" w:pos="567"/>
        </w:tabs>
        <w:autoSpaceDE w:val="0"/>
        <w:autoSpaceDN w:val="0"/>
        <w:adjustRightInd w:val="0"/>
        <w:spacing w:after="0" w:line="240" w:lineRule="auto"/>
        <w:ind w:left="0"/>
        <w:jc w:val="both"/>
        <w:rPr>
          <w:rFonts w:ascii="Verdana" w:hAnsi="Verdana"/>
          <w:sz w:val="20"/>
          <w:szCs w:val="20"/>
          <w:lang w:val="es-MX"/>
        </w:rPr>
      </w:pPr>
      <w:r>
        <w:rPr>
          <w:rFonts w:ascii="Verdana" w:hAnsi="Verdana"/>
          <w:sz w:val="20"/>
          <w:szCs w:val="20"/>
        </w:rPr>
        <w:t>35</w:t>
      </w:r>
      <w:r w:rsidR="006C0ECE" w:rsidRPr="00B320D4">
        <w:rPr>
          <w:rFonts w:ascii="Verdana" w:hAnsi="Verdana"/>
          <w:sz w:val="20"/>
          <w:szCs w:val="20"/>
        </w:rPr>
        <w:t xml:space="preserve">. </w:t>
      </w:r>
      <w:r w:rsidR="006C0ECE" w:rsidRPr="00B320D4">
        <w:rPr>
          <w:rFonts w:ascii="Verdana" w:hAnsi="Verdana"/>
          <w:sz w:val="20"/>
          <w:szCs w:val="20"/>
        </w:rPr>
        <w:tab/>
      </w:r>
      <w:r w:rsidR="005D672B" w:rsidRPr="00B320D4">
        <w:rPr>
          <w:rFonts w:ascii="Verdana" w:hAnsi="Verdana"/>
          <w:sz w:val="20"/>
          <w:szCs w:val="20"/>
        </w:rPr>
        <w:tab/>
      </w:r>
      <w:r w:rsidR="006C0ECE" w:rsidRPr="00B320D4">
        <w:rPr>
          <w:rFonts w:ascii="Verdana" w:hAnsi="Verdana"/>
          <w:sz w:val="20"/>
          <w:szCs w:val="20"/>
        </w:rPr>
        <w:t xml:space="preserve">En consonancia con </w:t>
      </w:r>
      <w:r w:rsidR="005D672B" w:rsidRPr="00B320D4">
        <w:rPr>
          <w:rFonts w:ascii="Verdana" w:hAnsi="Verdana"/>
          <w:sz w:val="20"/>
          <w:szCs w:val="20"/>
        </w:rPr>
        <w:t>lo anterior,</w:t>
      </w:r>
      <w:r w:rsidR="006C0ECE" w:rsidRPr="00B320D4">
        <w:rPr>
          <w:rFonts w:ascii="Verdana" w:hAnsi="Verdana"/>
          <w:sz w:val="20"/>
          <w:szCs w:val="20"/>
        </w:rPr>
        <w:t xml:space="preserve"> la Corte Africana de Derechos Humanos, al resolver el caso del pueblo </w:t>
      </w:r>
      <w:r w:rsidR="006C0ECE" w:rsidRPr="00B320D4">
        <w:rPr>
          <w:rFonts w:ascii="Verdana" w:hAnsi="Verdana"/>
          <w:i/>
          <w:iCs/>
          <w:sz w:val="20"/>
          <w:szCs w:val="20"/>
        </w:rPr>
        <w:t>Ogiek Vs. Kenia</w:t>
      </w:r>
      <w:r w:rsidR="006C0ECE" w:rsidRPr="00B320D4">
        <w:rPr>
          <w:rFonts w:ascii="Verdana" w:hAnsi="Verdana"/>
          <w:sz w:val="20"/>
          <w:szCs w:val="20"/>
        </w:rPr>
        <w:t xml:space="preserve"> en el año 2017, analizó por separado lo relativo a la tierra (propiedad) del contenido de otros derechos, como lo f</w:t>
      </w:r>
      <w:r w:rsidR="008202C3" w:rsidRPr="00B320D4">
        <w:rPr>
          <w:rFonts w:ascii="Verdana" w:hAnsi="Verdana"/>
          <w:sz w:val="20"/>
          <w:szCs w:val="20"/>
        </w:rPr>
        <w:t>ueron el derecho a la cultura y</w:t>
      </w:r>
      <w:r w:rsidR="006C0ECE" w:rsidRPr="00B320D4">
        <w:rPr>
          <w:rFonts w:ascii="Verdana" w:hAnsi="Verdana"/>
          <w:sz w:val="20"/>
          <w:szCs w:val="20"/>
        </w:rPr>
        <w:t xml:space="preserve"> el derecho a disponer los recursos naturales. Sobre el primer derecho indicó que “en su concepción clásica, el derecho a la propiedad generalmente se refiere a tres elementos, a saber: el derecho a usar lo que es el sujeto del derecho</w:t>
      </w:r>
      <w:r w:rsidR="006C0ECE" w:rsidRPr="007E1845">
        <w:rPr>
          <w:rStyle w:val="Refdenotaalpie"/>
          <w:rFonts w:ascii="Verdana" w:hAnsi="Verdana"/>
        </w:rPr>
        <w:footnoteReference w:id="35"/>
      </w:r>
      <w:r w:rsidR="006C0ECE" w:rsidRPr="007E1845">
        <w:rPr>
          <w:rFonts w:ascii="Verdana" w:hAnsi="Verdana"/>
          <w:sz w:val="20"/>
          <w:szCs w:val="20"/>
        </w:rPr>
        <w:t xml:space="preserve"> (usus), el derecho a disfrutar el fruto del mismo (fructus) y el derecho a deshacerse de la cosa, es decir, el </w:t>
      </w:r>
      <w:r w:rsidR="008202C3" w:rsidRPr="00914E2E">
        <w:rPr>
          <w:rFonts w:ascii="Verdana" w:hAnsi="Verdana"/>
          <w:sz w:val="20"/>
          <w:szCs w:val="20"/>
        </w:rPr>
        <w:t>derecho a transferirla (abuso)”;</w:t>
      </w:r>
      <w:r w:rsidR="006C0ECE" w:rsidRPr="00914E2E">
        <w:rPr>
          <w:rFonts w:ascii="Verdana" w:hAnsi="Verdana"/>
          <w:sz w:val="20"/>
          <w:szCs w:val="20"/>
        </w:rPr>
        <w:t xml:space="preserve"> por lo tanto “se desprende del </w:t>
      </w:r>
      <w:r w:rsidR="006C0ECE" w:rsidRPr="00EE35BE">
        <w:rPr>
          <w:rFonts w:ascii="Verdana" w:hAnsi="Verdana"/>
          <w:sz w:val="20"/>
          <w:szCs w:val="20"/>
        </w:rPr>
        <w:t>[a]rtículo 26 (2) de la Declaración [de Naciones Unidas sobre los Derechos de los Pueblos Indígenas] que los derechos que pueden reconocerse para los pueblos/comunidades indígenas en sus tierras ancestrales son variables y no implican necesariamente el derecho de propiedad en su significado clásico, incluido el derecho a disponer del mismo (abuso). Sin excluir el derecho a la propiedad en el sentido tradicional, esta disposición pone mayor énfasis en los derechos de posesión, ocupación, uso/utilización de la tierra”</w:t>
      </w:r>
      <w:r w:rsidR="006C0ECE" w:rsidRPr="007E1845">
        <w:rPr>
          <w:rStyle w:val="Refdenotaalpie"/>
          <w:rFonts w:ascii="Verdana" w:hAnsi="Verdana"/>
          <w:sz w:val="20"/>
        </w:rPr>
        <w:footnoteReference w:id="36"/>
      </w:r>
      <w:r w:rsidR="006C0ECE" w:rsidRPr="007E1845">
        <w:rPr>
          <w:rFonts w:ascii="Verdana" w:hAnsi="Verdana"/>
          <w:sz w:val="20"/>
          <w:szCs w:val="20"/>
        </w:rPr>
        <w:t xml:space="preserve">. </w:t>
      </w:r>
    </w:p>
    <w:p w14:paraId="31FB9B1E" w14:textId="77777777" w:rsidR="006C0ECE" w:rsidRPr="00914E2E" w:rsidRDefault="006C0ECE" w:rsidP="00267F70">
      <w:pPr>
        <w:pStyle w:val="Prrafodelista"/>
        <w:widowControl w:val="0"/>
        <w:tabs>
          <w:tab w:val="left" w:pos="567"/>
        </w:tabs>
        <w:autoSpaceDE w:val="0"/>
        <w:autoSpaceDN w:val="0"/>
        <w:adjustRightInd w:val="0"/>
        <w:spacing w:after="0" w:line="240" w:lineRule="auto"/>
        <w:ind w:left="0"/>
        <w:jc w:val="both"/>
        <w:rPr>
          <w:rFonts w:ascii="Verdana" w:hAnsi="Verdana"/>
          <w:sz w:val="20"/>
          <w:szCs w:val="20"/>
          <w:lang w:val="es-MX"/>
        </w:rPr>
      </w:pPr>
    </w:p>
    <w:p w14:paraId="1C7A9ADA" w14:textId="661BCE12" w:rsidR="006C0ECE" w:rsidRPr="00B320D4" w:rsidRDefault="00FB0638" w:rsidP="00267F70">
      <w:pPr>
        <w:pStyle w:val="Prrafodelista"/>
        <w:widowControl w:val="0"/>
        <w:tabs>
          <w:tab w:val="left" w:pos="567"/>
        </w:tabs>
        <w:autoSpaceDE w:val="0"/>
        <w:autoSpaceDN w:val="0"/>
        <w:adjustRightInd w:val="0"/>
        <w:spacing w:after="0" w:line="240" w:lineRule="auto"/>
        <w:ind w:left="0"/>
        <w:jc w:val="both"/>
        <w:rPr>
          <w:rFonts w:ascii="Verdana" w:hAnsi="Verdana"/>
          <w:sz w:val="20"/>
          <w:szCs w:val="20"/>
          <w:lang w:val="es-MX"/>
        </w:rPr>
      </w:pPr>
      <w:r>
        <w:rPr>
          <w:rFonts w:ascii="Verdana" w:hAnsi="Verdana"/>
          <w:sz w:val="20"/>
          <w:szCs w:val="20"/>
        </w:rPr>
        <w:t>36</w:t>
      </w:r>
      <w:r w:rsidR="006C0ECE" w:rsidRPr="00EE35BE">
        <w:rPr>
          <w:rFonts w:ascii="Verdana" w:hAnsi="Verdana"/>
          <w:sz w:val="20"/>
          <w:szCs w:val="20"/>
        </w:rPr>
        <w:t xml:space="preserve">. </w:t>
      </w:r>
      <w:r w:rsidR="006C0ECE" w:rsidRPr="00EE35BE">
        <w:rPr>
          <w:rFonts w:ascii="Verdana" w:hAnsi="Verdana"/>
          <w:sz w:val="20"/>
          <w:szCs w:val="20"/>
        </w:rPr>
        <w:tab/>
      </w:r>
      <w:r w:rsidR="000D7406" w:rsidRPr="00B320D4">
        <w:rPr>
          <w:rFonts w:ascii="Verdana" w:hAnsi="Verdana"/>
          <w:sz w:val="20"/>
          <w:szCs w:val="20"/>
        </w:rPr>
        <w:tab/>
      </w:r>
      <w:r w:rsidR="006C0ECE" w:rsidRPr="00B320D4">
        <w:rPr>
          <w:rFonts w:ascii="Verdana" w:hAnsi="Verdana"/>
          <w:sz w:val="20"/>
          <w:szCs w:val="20"/>
        </w:rPr>
        <w:t xml:space="preserve">Por otro lado, en cuanto al derecho </w:t>
      </w:r>
      <w:r w:rsidR="00CD199D" w:rsidRPr="00B320D4">
        <w:rPr>
          <w:rFonts w:ascii="Verdana" w:hAnsi="Verdana"/>
          <w:sz w:val="20"/>
          <w:szCs w:val="20"/>
        </w:rPr>
        <w:t>de los pueblos a disfrutar de sus</w:t>
      </w:r>
      <w:r w:rsidR="006C0ECE" w:rsidRPr="00B320D4">
        <w:rPr>
          <w:rFonts w:ascii="Verdana" w:hAnsi="Verdana"/>
          <w:sz w:val="20"/>
          <w:szCs w:val="20"/>
        </w:rPr>
        <w:t xml:space="preserve"> riquezas</w:t>
      </w:r>
      <w:r w:rsidR="00CD199D" w:rsidRPr="00B320D4">
        <w:rPr>
          <w:rFonts w:ascii="Verdana" w:hAnsi="Verdana"/>
          <w:sz w:val="20"/>
          <w:szCs w:val="20"/>
        </w:rPr>
        <w:t xml:space="preserve"> y recursos naturales</w:t>
      </w:r>
      <w:r w:rsidR="006C0ECE" w:rsidRPr="00B320D4">
        <w:rPr>
          <w:rFonts w:ascii="Verdana" w:hAnsi="Verdana"/>
          <w:sz w:val="20"/>
          <w:szCs w:val="20"/>
        </w:rPr>
        <w:t xml:space="preserve">, </w:t>
      </w:r>
      <w:r w:rsidR="00CD199D" w:rsidRPr="00B320D4">
        <w:rPr>
          <w:rFonts w:ascii="Verdana" w:hAnsi="Verdana"/>
          <w:sz w:val="20"/>
          <w:szCs w:val="20"/>
        </w:rPr>
        <w:t xml:space="preserve">que tiene un reconocimiento autónomo en el artículo 21 de la Carta Africana de Derechos Humanos y de los Pueblos, </w:t>
      </w:r>
      <w:r w:rsidR="006C0ECE" w:rsidRPr="00B320D4">
        <w:rPr>
          <w:rFonts w:ascii="Verdana" w:hAnsi="Verdana"/>
          <w:sz w:val="20"/>
          <w:szCs w:val="20"/>
        </w:rPr>
        <w:t>la Corte Africana indicó que “[e]n la medida en que [el Estado] haya violado [la propiedad], el Tribunal sostiene que este último también ha violado el [a]rtículo 21 de la Carta, ya que los Ogiek han sido privados del derecho a disfrutar y disponer libremente de la abundancia de alimentos producidos por sus tierras ancestrales”. En este entendido, la Corte Africana en lugar subsumir el contenido del derecho a “disfrutar de los recursos naturales” dentro del contenido del derecho a la propiedad, e</w:t>
      </w:r>
      <w:r w:rsidR="008202C3" w:rsidRPr="00B320D4">
        <w:rPr>
          <w:rFonts w:ascii="Verdana" w:hAnsi="Verdana"/>
          <w:sz w:val="20"/>
          <w:szCs w:val="20"/>
        </w:rPr>
        <w:t>n su Sentencia analiza, entendiendo</w:t>
      </w:r>
      <w:r w:rsidR="006C0ECE" w:rsidRPr="00B320D4">
        <w:rPr>
          <w:rFonts w:ascii="Verdana" w:hAnsi="Verdana"/>
          <w:sz w:val="20"/>
          <w:szCs w:val="20"/>
        </w:rPr>
        <w:t xml:space="preserve"> que tienen un contenido propio, cada uno de los derechos. Ello no niega, tal como enma</w:t>
      </w:r>
      <w:r w:rsidR="008202C3" w:rsidRPr="00B320D4">
        <w:rPr>
          <w:rFonts w:ascii="Verdana" w:hAnsi="Verdana"/>
          <w:sz w:val="20"/>
          <w:szCs w:val="20"/>
        </w:rPr>
        <w:t>r</w:t>
      </w:r>
      <w:r w:rsidR="00CD199D" w:rsidRPr="00B320D4">
        <w:rPr>
          <w:rFonts w:ascii="Verdana" w:hAnsi="Verdana"/>
          <w:sz w:val="20"/>
          <w:szCs w:val="20"/>
        </w:rPr>
        <w:t>ca la Sentencia, el ví</w:t>
      </w:r>
      <w:r w:rsidR="008202C3" w:rsidRPr="00B320D4">
        <w:rPr>
          <w:rFonts w:ascii="Verdana" w:hAnsi="Verdana"/>
          <w:sz w:val="20"/>
          <w:szCs w:val="20"/>
        </w:rPr>
        <w:t>nculo exi</w:t>
      </w:r>
      <w:r w:rsidR="006C0ECE" w:rsidRPr="00B320D4">
        <w:rPr>
          <w:rFonts w:ascii="Verdana" w:hAnsi="Verdana"/>
          <w:sz w:val="20"/>
          <w:szCs w:val="20"/>
        </w:rPr>
        <w:t>stente entre las violaciones.</w:t>
      </w:r>
    </w:p>
    <w:p w14:paraId="488429B9" w14:textId="77777777" w:rsidR="00220700" w:rsidRPr="00B320D4" w:rsidRDefault="00220700" w:rsidP="00267F70">
      <w:pPr>
        <w:pStyle w:val="Prrafodelista"/>
        <w:widowControl w:val="0"/>
        <w:tabs>
          <w:tab w:val="left" w:pos="567"/>
        </w:tabs>
        <w:autoSpaceDE w:val="0"/>
        <w:autoSpaceDN w:val="0"/>
        <w:adjustRightInd w:val="0"/>
        <w:spacing w:after="0" w:line="240" w:lineRule="auto"/>
        <w:ind w:left="0"/>
        <w:jc w:val="both"/>
        <w:rPr>
          <w:rFonts w:ascii="Verdana" w:hAnsi="Verdana"/>
          <w:sz w:val="20"/>
          <w:szCs w:val="20"/>
        </w:rPr>
      </w:pPr>
    </w:p>
    <w:p w14:paraId="7FACA412" w14:textId="691E99FF" w:rsidR="006C0ECE" w:rsidRPr="00914E2E" w:rsidRDefault="00FB0638" w:rsidP="00267F70">
      <w:pPr>
        <w:pStyle w:val="Prrafodelista"/>
        <w:widowControl w:val="0"/>
        <w:tabs>
          <w:tab w:val="left" w:pos="567"/>
        </w:tabs>
        <w:autoSpaceDE w:val="0"/>
        <w:autoSpaceDN w:val="0"/>
        <w:adjustRightInd w:val="0"/>
        <w:spacing w:after="0" w:line="240" w:lineRule="auto"/>
        <w:ind w:left="0"/>
        <w:jc w:val="both"/>
        <w:rPr>
          <w:rFonts w:ascii="Verdana" w:hAnsi="Verdana"/>
          <w:sz w:val="20"/>
          <w:szCs w:val="20"/>
          <w:lang w:val="es-MX"/>
        </w:rPr>
      </w:pPr>
      <w:r>
        <w:rPr>
          <w:rFonts w:ascii="Verdana" w:hAnsi="Verdana"/>
          <w:sz w:val="20"/>
          <w:szCs w:val="20"/>
        </w:rPr>
        <w:t>37</w:t>
      </w:r>
      <w:r w:rsidR="006C0ECE" w:rsidRPr="00B320D4">
        <w:rPr>
          <w:rFonts w:ascii="Verdana" w:hAnsi="Verdana"/>
          <w:sz w:val="20"/>
          <w:szCs w:val="20"/>
        </w:rPr>
        <w:t xml:space="preserve">. </w:t>
      </w:r>
      <w:r w:rsidR="006C0ECE" w:rsidRPr="00B320D4">
        <w:rPr>
          <w:rFonts w:ascii="Verdana" w:hAnsi="Verdana"/>
          <w:sz w:val="20"/>
          <w:szCs w:val="20"/>
        </w:rPr>
        <w:tab/>
      </w:r>
      <w:r w:rsidR="000D7406" w:rsidRPr="00B320D4">
        <w:rPr>
          <w:rFonts w:ascii="Verdana" w:hAnsi="Verdana"/>
          <w:sz w:val="20"/>
          <w:szCs w:val="20"/>
        </w:rPr>
        <w:tab/>
      </w:r>
      <w:r w:rsidR="006C0ECE" w:rsidRPr="00B320D4">
        <w:rPr>
          <w:rFonts w:ascii="Verdana" w:hAnsi="Verdana"/>
          <w:sz w:val="20"/>
          <w:szCs w:val="20"/>
        </w:rPr>
        <w:t xml:space="preserve">En la misma Sentencia del caso </w:t>
      </w:r>
      <w:r w:rsidR="006C0ECE" w:rsidRPr="00B320D4">
        <w:rPr>
          <w:rFonts w:ascii="Verdana" w:hAnsi="Verdana"/>
          <w:i/>
          <w:iCs/>
          <w:sz w:val="20"/>
          <w:szCs w:val="20"/>
        </w:rPr>
        <w:t>Ogiek</w:t>
      </w:r>
      <w:r w:rsidR="006C0ECE" w:rsidRPr="00B320D4">
        <w:rPr>
          <w:rFonts w:ascii="Verdana" w:hAnsi="Verdana"/>
          <w:sz w:val="20"/>
          <w:szCs w:val="20"/>
        </w:rPr>
        <w:t>, siguiendo esta postura sobre entender de manera autónoma el contenido de cada uno de los derechos, el Tribunal Africano hizo una distinción entre “el derecho a la religión” y el “derech</w:t>
      </w:r>
      <w:r w:rsidR="008202C3" w:rsidRPr="00B320D4">
        <w:rPr>
          <w:rFonts w:ascii="Verdana" w:hAnsi="Verdana"/>
          <w:sz w:val="20"/>
          <w:szCs w:val="20"/>
        </w:rPr>
        <w:t>o a la cultura”. Al respecto, dicha</w:t>
      </w:r>
      <w:r w:rsidR="006C0ECE" w:rsidRPr="00B320D4">
        <w:rPr>
          <w:rFonts w:ascii="Verdana" w:hAnsi="Verdana"/>
          <w:sz w:val="20"/>
          <w:szCs w:val="20"/>
        </w:rPr>
        <w:t xml:space="preserve"> Corte </w:t>
      </w:r>
      <w:r w:rsidR="00914E2E">
        <w:rPr>
          <w:rFonts w:ascii="Verdana" w:hAnsi="Verdana"/>
          <w:sz w:val="20"/>
          <w:szCs w:val="20"/>
        </w:rPr>
        <w:t xml:space="preserve">Africana </w:t>
      </w:r>
      <w:r w:rsidR="006C0ECE" w:rsidRPr="00914E2E">
        <w:rPr>
          <w:rFonts w:ascii="Verdana" w:hAnsi="Verdana"/>
          <w:sz w:val="20"/>
          <w:szCs w:val="20"/>
        </w:rPr>
        <w:t>indicó que  “[e]l derecho a la libertad de culto [o en otras palabras, el derecho a la religión] ofrece protección a todas las formas de creencias, independientemente de las denominaciones: creencias teístas, no teístas y ateas, así como el derecho a no profes</w:t>
      </w:r>
      <w:r w:rsidR="00565A66" w:rsidRPr="00914E2E">
        <w:rPr>
          <w:rFonts w:ascii="Verdana" w:hAnsi="Verdana"/>
          <w:sz w:val="20"/>
          <w:szCs w:val="20"/>
        </w:rPr>
        <w:t>ar ninguna religión o creencia”;</w:t>
      </w:r>
      <w:r w:rsidR="006C0ECE" w:rsidRPr="00914E2E">
        <w:rPr>
          <w:rFonts w:ascii="Verdana" w:hAnsi="Verdana"/>
          <w:sz w:val="20"/>
          <w:szCs w:val="20"/>
        </w:rPr>
        <w:t xml:space="preserve"> sin embargo</w:t>
      </w:r>
      <w:r w:rsidR="00565A66" w:rsidRPr="00F820A3">
        <w:rPr>
          <w:rFonts w:ascii="Verdana" w:hAnsi="Verdana"/>
          <w:sz w:val="20"/>
          <w:szCs w:val="20"/>
        </w:rPr>
        <w:t>,</w:t>
      </w:r>
      <w:r w:rsidR="006C0ECE" w:rsidRPr="00F820A3">
        <w:rPr>
          <w:rFonts w:ascii="Verdana" w:hAnsi="Verdana"/>
          <w:sz w:val="20"/>
          <w:szCs w:val="20"/>
        </w:rPr>
        <w:t xml:space="preserve"> precisó que “[l]a Corte nota que, en el</w:t>
      </w:r>
      <w:r w:rsidR="006C0ECE" w:rsidRPr="00EE35BE">
        <w:rPr>
          <w:rFonts w:ascii="Verdana" w:hAnsi="Verdana"/>
          <w:sz w:val="20"/>
          <w:szCs w:val="20"/>
        </w:rPr>
        <w:t xml:space="preserve"> contexto de las sociedades tradicionales, donde a menudo no existen instituciones religiosas formales, la práctica y la profesión de la religión generalmente están inextricablemente vinculadas con la tierra y el medio ambiente”. Indicó, además que “[e]</w:t>
      </w:r>
      <w:r w:rsidR="006C0ECE" w:rsidRPr="00B320D4">
        <w:rPr>
          <w:rFonts w:ascii="Verdana" w:hAnsi="Verdana"/>
          <w:sz w:val="20"/>
          <w:szCs w:val="20"/>
        </w:rPr>
        <w:t xml:space="preserve">n las sociedades indígenas en particular, la libertad de adorar y participar en ceremonias religiosas depende del acceso a la tierra y al medio ambiente natural. Cualquier impedimento o interferencia para acceder al medio ambiente natural, incluida la tierra, restringe severamente su capacidad para realizar o participar en rituales religiosos con una considerable repercusión en el disfrute de su libertad de </w:t>
      </w:r>
      <w:r w:rsidR="006C0ECE" w:rsidRPr="00B320D4">
        <w:rPr>
          <w:rFonts w:ascii="Verdana" w:hAnsi="Verdana"/>
          <w:sz w:val="20"/>
          <w:szCs w:val="20"/>
        </w:rPr>
        <w:lastRenderedPageBreak/>
        <w:t>culto”. De lo anterior la Corte Africana concluyó que en el caso se violaba el artículo 8 de la Carta Africana, sobre el derecho a la libertad de culto</w:t>
      </w:r>
      <w:r w:rsidR="006C0ECE" w:rsidRPr="007E1845">
        <w:rPr>
          <w:rStyle w:val="Refdenotaalpie"/>
          <w:rFonts w:ascii="Verdana" w:hAnsi="Verdana"/>
          <w:sz w:val="20"/>
        </w:rPr>
        <w:footnoteReference w:id="37"/>
      </w:r>
      <w:r w:rsidR="006C0ECE" w:rsidRPr="007E1845">
        <w:rPr>
          <w:rFonts w:ascii="Verdana" w:hAnsi="Verdana"/>
          <w:sz w:val="20"/>
          <w:szCs w:val="20"/>
        </w:rPr>
        <w:t xml:space="preserve">. </w:t>
      </w:r>
    </w:p>
    <w:p w14:paraId="1D1F476B" w14:textId="77777777" w:rsidR="006C0ECE" w:rsidRPr="00914E2E" w:rsidRDefault="006C0ECE" w:rsidP="00267F70">
      <w:pPr>
        <w:pStyle w:val="Prrafodelista"/>
        <w:widowControl w:val="0"/>
        <w:tabs>
          <w:tab w:val="left" w:pos="567"/>
        </w:tabs>
        <w:autoSpaceDE w:val="0"/>
        <w:autoSpaceDN w:val="0"/>
        <w:adjustRightInd w:val="0"/>
        <w:spacing w:after="0" w:line="240" w:lineRule="auto"/>
        <w:ind w:left="0"/>
        <w:jc w:val="both"/>
        <w:rPr>
          <w:rFonts w:ascii="Verdana" w:hAnsi="Verdana"/>
          <w:sz w:val="20"/>
          <w:szCs w:val="20"/>
          <w:lang w:val="es-MX"/>
        </w:rPr>
      </w:pPr>
    </w:p>
    <w:p w14:paraId="54039788" w14:textId="53E7D864" w:rsidR="006C0ECE" w:rsidRPr="00914E2E" w:rsidRDefault="00FB0638" w:rsidP="00267F70">
      <w:pPr>
        <w:pStyle w:val="Prrafodelista"/>
        <w:widowControl w:val="0"/>
        <w:tabs>
          <w:tab w:val="left" w:pos="567"/>
        </w:tabs>
        <w:autoSpaceDE w:val="0"/>
        <w:autoSpaceDN w:val="0"/>
        <w:adjustRightInd w:val="0"/>
        <w:spacing w:after="0" w:line="240" w:lineRule="auto"/>
        <w:ind w:left="0"/>
        <w:jc w:val="both"/>
        <w:rPr>
          <w:rFonts w:ascii="Verdana" w:hAnsi="Verdana"/>
          <w:sz w:val="20"/>
          <w:szCs w:val="20"/>
          <w:lang w:val="es-MX"/>
        </w:rPr>
      </w:pPr>
      <w:r>
        <w:rPr>
          <w:rFonts w:ascii="Verdana" w:hAnsi="Verdana"/>
          <w:sz w:val="20"/>
          <w:szCs w:val="20"/>
        </w:rPr>
        <w:t>38</w:t>
      </w:r>
      <w:r w:rsidR="006C0ECE" w:rsidRPr="00EE35BE">
        <w:rPr>
          <w:rFonts w:ascii="Verdana" w:hAnsi="Verdana"/>
          <w:sz w:val="20"/>
          <w:szCs w:val="20"/>
        </w:rPr>
        <w:t xml:space="preserve">. </w:t>
      </w:r>
      <w:r w:rsidR="006C0ECE" w:rsidRPr="00EE35BE">
        <w:rPr>
          <w:rFonts w:ascii="Verdana" w:hAnsi="Verdana"/>
          <w:sz w:val="20"/>
          <w:szCs w:val="20"/>
        </w:rPr>
        <w:tab/>
      </w:r>
      <w:r w:rsidR="000D7406" w:rsidRPr="00B320D4">
        <w:rPr>
          <w:rFonts w:ascii="Verdana" w:hAnsi="Verdana"/>
          <w:sz w:val="20"/>
          <w:szCs w:val="20"/>
        </w:rPr>
        <w:tab/>
      </w:r>
      <w:r w:rsidR="006C0ECE" w:rsidRPr="00B320D4">
        <w:rPr>
          <w:rFonts w:ascii="Verdana" w:hAnsi="Verdana"/>
          <w:sz w:val="20"/>
          <w:szCs w:val="20"/>
        </w:rPr>
        <w:t>Por otro lado, la Corte Africana hizo la distinción de la violación del artículo 8 con el contenido de la violación del derecho a la cultura, contemplado en los artículos 17.2 y 17.3 de la Carta de Banjul</w:t>
      </w:r>
      <w:r w:rsidR="006C0ECE" w:rsidRPr="007E1845">
        <w:rPr>
          <w:rStyle w:val="Refdenotaalpie"/>
          <w:rFonts w:ascii="Verdana" w:hAnsi="Verdana"/>
          <w:sz w:val="20"/>
        </w:rPr>
        <w:footnoteReference w:id="38"/>
      </w:r>
      <w:r w:rsidR="006C0ECE" w:rsidRPr="007E1845">
        <w:rPr>
          <w:rFonts w:ascii="Verdana" w:hAnsi="Verdana"/>
          <w:sz w:val="20"/>
          <w:szCs w:val="20"/>
        </w:rPr>
        <w:t>.</w:t>
      </w:r>
      <w:r w:rsidR="006C0ECE" w:rsidRPr="00914E2E">
        <w:rPr>
          <w:rFonts w:ascii="Verdana" w:hAnsi="Verdana"/>
          <w:sz w:val="20"/>
          <w:szCs w:val="20"/>
        </w:rPr>
        <w:t xml:space="preserve"> Al respecto</w:t>
      </w:r>
      <w:r w:rsidR="00565A66" w:rsidRPr="00914E2E">
        <w:rPr>
          <w:rFonts w:ascii="Verdana" w:hAnsi="Verdana"/>
          <w:sz w:val="20"/>
          <w:szCs w:val="20"/>
        </w:rPr>
        <w:t>,</w:t>
      </w:r>
      <w:r w:rsidR="004D10DC" w:rsidRPr="00914E2E">
        <w:rPr>
          <w:rFonts w:ascii="Verdana" w:hAnsi="Verdana"/>
          <w:sz w:val="20"/>
          <w:szCs w:val="20"/>
        </w:rPr>
        <w:t xml:space="preserve"> dicha </w:t>
      </w:r>
      <w:r w:rsidR="006C0ECE" w:rsidRPr="00914E2E">
        <w:rPr>
          <w:rFonts w:ascii="Verdana" w:hAnsi="Verdana"/>
          <w:sz w:val="20"/>
          <w:szCs w:val="20"/>
        </w:rPr>
        <w:t xml:space="preserve">Corte indicó que “[e]l derecho a la cultura consagrado </w:t>
      </w:r>
      <w:r w:rsidR="006C0ECE" w:rsidRPr="00EE35BE">
        <w:rPr>
          <w:rFonts w:ascii="Verdana" w:hAnsi="Verdana"/>
          <w:sz w:val="20"/>
          <w:szCs w:val="20"/>
        </w:rPr>
        <w:t xml:space="preserve">en [la] Carta [Africana] debe considerarse en una doble dimensión, tanto en su naturaleza individual como colectiva. </w:t>
      </w:r>
      <w:r w:rsidR="006C0ECE" w:rsidRPr="00B320D4">
        <w:rPr>
          <w:rFonts w:ascii="Verdana" w:hAnsi="Verdana"/>
          <w:sz w:val="20"/>
          <w:szCs w:val="20"/>
        </w:rPr>
        <w:t>[P]or un lado [asegura] la participación de los individuos en la vida cultural de su comunidad y, por otro, obliga al Estado a promover y proteger los valores tradicionales de la comunidad”</w:t>
      </w:r>
      <w:r w:rsidR="006C0ECE" w:rsidRPr="007E1845">
        <w:rPr>
          <w:rStyle w:val="Refdenotaalpie"/>
          <w:rFonts w:ascii="Verdana" w:hAnsi="Verdana"/>
          <w:sz w:val="20"/>
        </w:rPr>
        <w:footnoteReference w:id="39"/>
      </w:r>
      <w:r w:rsidR="006C0ECE" w:rsidRPr="007E1845">
        <w:rPr>
          <w:rFonts w:ascii="Verdana" w:hAnsi="Verdana"/>
          <w:sz w:val="20"/>
          <w:szCs w:val="20"/>
        </w:rPr>
        <w:t xml:space="preserve">. </w:t>
      </w:r>
      <w:r w:rsidR="006C0ECE" w:rsidRPr="00914E2E">
        <w:rPr>
          <w:rFonts w:ascii="Verdana" w:hAnsi="Verdana"/>
          <w:sz w:val="20"/>
          <w:szCs w:val="20"/>
        </w:rPr>
        <w:t>Además, en su Sentencia agregó que:</w:t>
      </w:r>
    </w:p>
    <w:p w14:paraId="28D91712" w14:textId="77777777" w:rsidR="006C0ECE" w:rsidRPr="00914E2E" w:rsidRDefault="006C0ECE" w:rsidP="00267F70">
      <w:pPr>
        <w:pStyle w:val="Prrafodelista"/>
        <w:spacing w:after="0" w:line="240" w:lineRule="auto"/>
        <w:jc w:val="both"/>
        <w:rPr>
          <w:rFonts w:ascii="Verdana" w:hAnsi="Verdana"/>
          <w:sz w:val="20"/>
          <w:szCs w:val="20"/>
        </w:rPr>
      </w:pPr>
    </w:p>
    <w:p w14:paraId="2B56DF23" w14:textId="77777777" w:rsidR="006C0ECE" w:rsidRPr="00914E2E" w:rsidRDefault="006C0ECE" w:rsidP="0075294F">
      <w:pPr>
        <w:ind w:left="708"/>
        <w:jc w:val="both"/>
        <w:rPr>
          <w:rFonts w:ascii="Verdana" w:hAnsi="Verdana"/>
          <w:sz w:val="16"/>
          <w:szCs w:val="16"/>
        </w:rPr>
      </w:pPr>
      <w:r w:rsidRPr="00914E2E">
        <w:rPr>
          <w:rFonts w:ascii="Verdana" w:hAnsi="Verdana"/>
          <w:sz w:val="16"/>
          <w:szCs w:val="16"/>
        </w:rPr>
        <w:t xml:space="preserve">“La protección del derecho a la cultura va más allá del deber, no de destruir o debilitar deliberadamente a los grupos minoritarios, sino que requiere el respeto y la protección de su patrimonio cultural esencial para la identidad del grupo. A este respecto, la cultura debe interpretarse en su sentido más amplio que abarque la forma de vida total de un grupo en particular, incluidos los idiomas del grupo, símbolos como los códigos de vestimenta y la forma en que el grupo construye refugios; participa en ciertas actividades económicas, produce artículos para la supervivencia; rituales como la forma particular del grupo de tratar problemas y practicando ceremonias espirituales; identificación y veneración de sus propios héroes o modelos y valores compartidos de sus miembros que reflejan su carácter y personalidad distintivos” </w:t>
      </w:r>
      <w:r w:rsidRPr="007E1845">
        <w:rPr>
          <w:rStyle w:val="Refdenotaalpie"/>
          <w:rFonts w:ascii="Verdana" w:hAnsi="Verdana"/>
          <w:sz w:val="16"/>
          <w:szCs w:val="16"/>
        </w:rPr>
        <w:footnoteReference w:id="40"/>
      </w:r>
      <w:r w:rsidRPr="007E1845">
        <w:rPr>
          <w:rFonts w:ascii="Verdana" w:hAnsi="Verdana"/>
          <w:sz w:val="16"/>
          <w:szCs w:val="16"/>
        </w:rPr>
        <w:t xml:space="preserve">. </w:t>
      </w:r>
    </w:p>
    <w:p w14:paraId="3EBB1423" w14:textId="77777777" w:rsidR="006C0ECE" w:rsidRPr="00914E2E" w:rsidRDefault="006C0ECE" w:rsidP="0075294F">
      <w:pPr>
        <w:jc w:val="both"/>
        <w:rPr>
          <w:rFonts w:ascii="Verdana" w:hAnsi="Verdana"/>
          <w:sz w:val="20"/>
          <w:szCs w:val="20"/>
        </w:rPr>
      </w:pPr>
    </w:p>
    <w:p w14:paraId="2A005510" w14:textId="77777777" w:rsidR="006C0ECE" w:rsidRPr="00914E2E" w:rsidRDefault="006C0ECE" w:rsidP="0075294F">
      <w:pPr>
        <w:pStyle w:val="Prrafodelista"/>
        <w:spacing w:after="0" w:line="240" w:lineRule="auto"/>
        <w:jc w:val="both"/>
        <w:rPr>
          <w:rFonts w:ascii="Verdana" w:hAnsi="Verdana"/>
          <w:sz w:val="16"/>
          <w:szCs w:val="16"/>
        </w:rPr>
      </w:pPr>
      <w:r w:rsidRPr="00914E2E">
        <w:rPr>
          <w:rFonts w:ascii="Verdana" w:hAnsi="Verdana"/>
          <w:sz w:val="16"/>
          <w:szCs w:val="16"/>
        </w:rPr>
        <w:t>“En el presente caso, el Tribunal observa de los registros disponibles ante ella que la población Ogiek tiene una forma de vida distinta centrada y dependiente del Complejo Forestal de Mau. Como comunidad de cazadores-recolectores, obtienen sus medios de supervivencia a través de la caza de animales y la recolección de miel y frutas, tienen su propia ropa tradicional, su propio idioma, una forma distinta de sepultar a los muertos, practicar rituales y medicina tradicional, y su propia espiritualidad y valores tradicionales, que los distinguen de otras comunidades que viven alrededor y fuera del Complejo Forestal de Mau, lo que demuestra que los Ogieks tienen su propia cultura”</w:t>
      </w:r>
      <w:r w:rsidRPr="007E1845">
        <w:rPr>
          <w:rStyle w:val="Refdenotaalpie"/>
          <w:rFonts w:ascii="Verdana" w:hAnsi="Verdana"/>
          <w:sz w:val="16"/>
        </w:rPr>
        <w:footnoteReference w:id="41"/>
      </w:r>
      <w:r w:rsidRPr="007E1845">
        <w:rPr>
          <w:rFonts w:ascii="Verdana" w:hAnsi="Verdana"/>
          <w:sz w:val="16"/>
          <w:szCs w:val="16"/>
        </w:rPr>
        <w:t>.</w:t>
      </w:r>
    </w:p>
    <w:p w14:paraId="69CC1230" w14:textId="77777777" w:rsidR="006C0ECE" w:rsidRPr="00914E2E" w:rsidRDefault="006C0ECE" w:rsidP="00267F70">
      <w:pPr>
        <w:pStyle w:val="Prrafodelista"/>
        <w:spacing w:after="0" w:line="240" w:lineRule="auto"/>
        <w:ind w:left="0"/>
        <w:jc w:val="both"/>
        <w:rPr>
          <w:rFonts w:ascii="Verdana" w:hAnsi="Verdana"/>
          <w:sz w:val="20"/>
          <w:szCs w:val="20"/>
        </w:rPr>
      </w:pPr>
    </w:p>
    <w:p w14:paraId="54E2B14C" w14:textId="38337E32" w:rsidR="006C0ECE" w:rsidRPr="00B320D4" w:rsidRDefault="00FB0638" w:rsidP="00267F70">
      <w:pPr>
        <w:pStyle w:val="Prrafodelista"/>
        <w:spacing w:after="0" w:line="240" w:lineRule="auto"/>
        <w:ind w:left="0"/>
        <w:jc w:val="both"/>
        <w:rPr>
          <w:rFonts w:ascii="Verdana" w:hAnsi="Verdana"/>
          <w:sz w:val="20"/>
          <w:szCs w:val="20"/>
        </w:rPr>
      </w:pPr>
      <w:r>
        <w:rPr>
          <w:rFonts w:ascii="Verdana" w:hAnsi="Verdana"/>
          <w:sz w:val="20"/>
          <w:szCs w:val="20"/>
        </w:rPr>
        <w:t>39</w:t>
      </w:r>
      <w:r w:rsidR="006C0ECE" w:rsidRPr="00914E2E">
        <w:rPr>
          <w:rFonts w:ascii="Verdana" w:hAnsi="Verdana"/>
          <w:sz w:val="20"/>
          <w:szCs w:val="20"/>
        </w:rPr>
        <w:t xml:space="preserve">. </w:t>
      </w:r>
      <w:r w:rsidR="006C0ECE" w:rsidRPr="00914E2E">
        <w:rPr>
          <w:rFonts w:ascii="Verdana" w:hAnsi="Verdana"/>
          <w:sz w:val="20"/>
          <w:szCs w:val="20"/>
        </w:rPr>
        <w:tab/>
        <w:t xml:space="preserve">Como lo muestra el precedente de la Corte Africana en el caso </w:t>
      </w:r>
      <w:r w:rsidR="006C0ECE" w:rsidRPr="00F820A3">
        <w:rPr>
          <w:rFonts w:ascii="Verdana" w:hAnsi="Verdana"/>
          <w:i/>
          <w:iCs/>
          <w:sz w:val="20"/>
          <w:szCs w:val="20"/>
        </w:rPr>
        <w:t>Ogiek</w:t>
      </w:r>
      <w:r w:rsidR="006C0ECE" w:rsidRPr="00F820A3">
        <w:rPr>
          <w:rFonts w:ascii="Verdana" w:hAnsi="Verdana"/>
          <w:sz w:val="20"/>
          <w:szCs w:val="20"/>
        </w:rPr>
        <w:t xml:space="preserve">, y ahora la Corte Interamericana con el caso </w:t>
      </w:r>
      <w:r w:rsidR="006C0ECE" w:rsidRPr="00EE35BE">
        <w:rPr>
          <w:rFonts w:ascii="Verdana" w:hAnsi="Verdana"/>
          <w:i/>
          <w:iCs/>
          <w:sz w:val="20"/>
          <w:szCs w:val="20"/>
        </w:rPr>
        <w:t>Lakha Hon</w:t>
      </w:r>
      <w:r w:rsidR="00914E2E">
        <w:rPr>
          <w:rFonts w:ascii="Verdana" w:hAnsi="Verdana"/>
          <w:i/>
          <w:iCs/>
          <w:sz w:val="20"/>
          <w:szCs w:val="20"/>
        </w:rPr>
        <w:t>h</w:t>
      </w:r>
      <w:r w:rsidR="006C0ECE" w:rsidRPr="00914E2E">
        <w:rPr>
          <w:rFonts w:ascii="Verdana" w:hAnsi="Verdana"/>
          <w:i/>
          <w:iCs/>
          <w:sz w:val="20"/>
          <w:szCs w:val="20"/>
        </w:rPr>
        <w:t>at,</w:t>
      </w:r>
      <w:r w:rsidR="006C0ECE" w:rsidRPr="00914E2E">
        <w:rPr>
          <w:rFonts w:ascii="Verdana" w:hAnsi="Verdana"/>
          <w:sz w:val="20"/>
          <w:szCs w:val="20"/>
        </w:rPr>
        <w:t xml:space="preserve"> se posicionan como dos precedentes que demuestran que cada uno de los derechos que pueden ser analizados en un caso (en estos fallos sobre temática indígena y tribal)</w:t>
      </w:r>
      <w:r w:rsidR="00565A66" w:rsidRPr="00914E2E">
        <w:rPr>
          <w:rFonts w:ascii="Verdana" w:hAnsi="Verdana"/>
          <w:sz w:val="20"/>
          <w:szCs w:val="20"/>
        </w:rPr>
        <w:t>,</w:t>
      </w:r>
      <w:r w:rsidR="00CD199D" w:rsidRPr="00914E2E">
        <w:rPr>
          <w:rFonts w:ascii="Verdana" w:hAnsi="Verdana"/>
          <w:sz w:val="20"/>
          <w:szCs w:val="20"/>
        </w:rPr>
        <w:t xml:space="preserve"> tienen connotaciones especí</w:t>
      </w:r>
      <w:r w:rsidR="006C0ECE" w:rsidRPr="00F820A3">
        <w:rPr>
          <w:rFonts w:ascii="Verdana" w:hAnsi="Verdana"/>
          <w:sz w:val="20"/>
          <w:szCs w:val="20"/>
        </w:rPr>
        <w:t>ficas que deben de ser observadas y valoradas de manera autó</w:t>
      </w:r>
      <w:r w:rsidR="006C0ECE" w:rsidRPr="00EE35BE">
        <w:rPr>
          <w:rFonts w:ascii="Verdana" w:hAnsi="Verdana"/>
          <w:sz w:val="20"/>
          <w:szCs w:val="20"/>
        </w:rPr>
        <w:t xml:space="preserve">noma para poder entender y comprender la forma integral </w:t>
      </w:r>
      <w:r w:rsidR="000D7406" w:rsidRPr="00EE35BE">
        <w:rPr>
          <w:rFonts w:ascii="Verdana" w:hAnsi="Verdana"/>
          <w:sz w:val="20"/>
          <w:szCs w:val="20"/>
        </w:rPr>
        <w:t xml:space="preserve">la manera </w:t>
      </w:r>
      <w:r w:rsidR="006C0ECE" w:rsidRPr="00EE35BE">
        <w:rPr>
          <w:rFonts w:ascii="Verdana" w:hAnsi="Verdana"/>
          <w:sz w:val="20"/>
          <w:szCs w:val="20"/>
        </w:rPr>
        <w:t>en que los pueblos indígenas se relacionan con su entorno. Justamente la posibilidad de la justiciabilidad autónoma de los DESCA mediante el artículo 26 del Pacto de San José</w:t>
      </w:r>
      <w:r w:rsidR="005D672B" w:rsidRPr="00EE35BE">
        <w:rPr>
          <w:rFonts w:ascii="Verdana" w:hAnsi="Verdana"/>
          <w:sz w:val="20"/>
          <w:szCs w:val="20"/>
        </w:rPr>
        <w:t>,</w:t>
      </w:r>
      <w:r w:rsidR="006C0ECE" w:rsidRPr="00B320D4">
        <w:rPr>
          <w:rFonts w:ascii="Verdana" w:hAnsi="Verdana"/>
          <w:sz w:val="20"/>
          <w:szCs w:val="20"/>
        </w:rPr>
        <w:t xml:space="preserve"> permite a la Corte IDH hacer este ejercicio sin negar la jurisprudencia existente previamente. </w:t>
      </w:r>
    </w:p>
    <w:p w14:paraId="71C0E70C" w14:textId="77777777" w:rsidR="006C0ECE" w:rsidRPr="00B320D4" w:rsidRDefault="006C0ECE" w:rsidP="00267F70">
      <w:pPr>
        <w:pStyle w:val="NormalWeb"/>
        <w:spacing w:before="0" w:beforeAutospacing="0" w:after="0" w:afterAutospacing="0"/>
        <w:jc w:val="both"/>
        <w:rPr>
          <w:rFonts w:ascii="Verdana" w:hAnsi="Verdana"/>
          <w:sz w:val="20"/>
          <w:szCs w:val="20"/>
          <w:lang w:val="es-ES_tradnl"/>
        </w:rPr>
      </w:pPr>
    </w:p>
    <w:p w14:paraId="2FF487B2" w14:textId="0C262826" w:rsidR="00694A68" w:rsidRPr="00B320D4" w:rsidRDefault="00FB0638" w:rsidP="00267F70">
      <w:pPr>
        <w:pStyle w:val="NormalWeb"/>
        <w:spacing w:before="0" w:beforeAutospacing="0" w:after="0" w:afterAutospacing="0"/>
        <w:jc w:val="both"/>
        <w:rPr>
          <w:rFonts w:ascii="Verdana" w:eastAsiaTheme="minorHAnsi" w:hAnsi="Verdana"/>
          <w:sz w:val="20"/>
          <w:szCs w:val="20"/>
          <w:lang w:val="es-ES_tradnl" w:eastAsia="es-ES_tradnl"/>
        </w:rPr>
      </w:pPr>
      <w:r>
        <w:rPr>
          <w:rFonts w:ascii="Verdana" w:hAnsi="Verdana"/>
          <w:sz w:val="20"/>
          <w:szCs w:val="20"/>
          <w:lang w:val="es-ES_tradnl"/>
        </w:rPr>
        <w:t>40</w:t>
      </w:r>
      <w:r w:rsidR="006C0ECE" w:rsidRPr="00B320D4">
        <w:rPr>
          <w:rFonts w:ascii="Verdana" w:hAnsi="Verdana"/>
          <w:sz w:val="20"/>
          <w:szCs w:val="20"/>
          <w:lang w:val="es-ES_tradnl"/>
        </w:rPr>
        <w:t xml:space="preserve">. </w:t>
      </w:r>
      <w:r w:rsidR="006C0ECE" w:rsidRPr="00B320D4">
        <w:rPr>
          <w:rFonts w:ascii="Verdana" w:hAnsi="Verdana"/>
          <w:sz w:val="20"/>
          <w:szCs w:val="20"/>
          <w:lang w:val="es-ES_tradnl"/>
        </w:rPr>
        <w:tab/>
      </w:r>
      <w:r w:rsidR="00694A68" w:rsidRPr="00B320D4">
        <w:rPr>
          <w:rFonts w:ascii="Verdana" w:hAnsi="Verdana"/>
          <w:sz w:val="20"/>
          <w:szCs w:val="20"/>
        </w:rPr>
        <w:t xml:space="preserve">La diferencia entre “tierra” y “territorio”, </w:t>
      </w:r>
      <w:r w:rsidR="004D17B8" w:rsidRPr="00B320D4">
        <w:rPr>
          <w:rFonts w:ascii="Verdana" w:hAnsi="Verdana"/>
          <w:sz w:val="20"/>
          <w:szCs w:val="20"/>
        </w:rPr>
        <w:t>evidentemente</w:t>
      </w:r>
      <w:r w:rsidR="00694A68" w:rsidRPr="00B320D4">
        <w:rPr>
          <w:rFonts w:ascii="Verdana" w:hAnsi="Verdana"/>
          <w:sz w:val="20"/>
          <w:szCs w:val="20"/>
        </w:rPr>
        <w:t>, no puede entenderse en forma tajante respecto a pueblos indígenas</w:t>
      </w:r>
      <w:r w:rsidR="004D17B8" w:rsidRPr="00B320D4">
        <w:rPr>
          <w:rFonts w:ascii="Verdana" w:hAnsi="Verdana"/>
          <w:sz w:val="20"/>
          <w:szCs w:val="20"/>
        </w:rPr>
        <w:t xml:space="preserve"> o tribales</w:t>
      </w:r>
      <w:r w:rsidR="003D241A" w:rsidRPr="00B320D4">
        <w:rPr>
          <w:rFonts w:ascii="Verdana" w:hAnsi="Verdana"/>
          <w:sz w:val="20"/>
          <w:szCs w:val="20"/>
        </w:rPr>
        <w:t>,</w:t>
      </w:r>
      <w:r w:rsidR="00694A68" w:rsidRPr="00B320D4">
        <w:rPr>
          <w:rFonts w:ascii="Verdana" w:hAnsi="Verdana"/>
          <w:sz w:val="20"/>
          <w:szCs w:val="20"/>
        </w:rPr>
        <w:t xml:space="preserve"> </w:t>
      </w:r>
      <w:r w:rsidR="006C0ECE" w:rsidRPr="00B320D4">
        <w:rPr>
          <w:rFonts w:ascii="Verdana" w:hAnsi="Verdana"/>
          <w:sz w:val="20"/>
          <w:szCs w:val="20"/>
        </w:rPr>
        <w:t xml:space="preserve">como </w:t>
      </w:r>
      <w:r w:rsidR="00694A68" w:rsidRPr="00B320D4">
        <w:rPr>
          <w:rFonts w:ascii="Verdana" w:hAnsi="Verdana"/>
          <w:sz w:val="20"/>
          <w:szCs w:val="20"/>
        </w:rPr>
        <w:t>la jurisprudencia de la Corte</w:t>
      </w:r>
      <w:r w:rsidR="004D17B8" w:rsidRPr="00B320D4">
        <w:rPr>
          <w:rFonts w:ascii="Verdana" w:hAnsi="Verdana"/>
          <w:sz w:val="20"/>
          <w:szCs w:val="20"/>
        </w:rPr>
        <w:t xml:space="preserve"> IDH</w:t>
      </w:r>
      <w:r w:rsidR="00694A68" w:rsidRPr="00B320D4">
        <w:rPr>
          <w:rFonts w:ascii="Verdana" w:hAnsi="Verdana"/>
          <w:sz w:val="20"/>
          <w:szCs w:val="20"/>
        </w:rPr>
        <w:t xml:space="preserve"> da cuenta de ello. No obstante, el uso de ambos conceptos permite, entre </w:t>
      </w:r>
      <w:r w:rsidR="00694A68" w:rsidRPr="00B320D4">
        <w:rPr>
          <w:rFonts w:ascii="Verdana" w:hAnsi="Verdana"/>
          <w:sz w:val="20"/>
          <w:szCs w:val="20"/>
        </w:rPr>
        <w:lastRenderedPageBreak/>
        <w:t xml:space="preserve">otras cosas, distinguir y comprender </w:t>
      </w:r>
      <w:r w:rsidR="003D241A" w:rsidRPr="00B320D4">
        <w:rPr>
          <w:rFonts w:ascii="Verdana" w:hAnsi="Verdana"/>
          <w:sz w:val="20"/>
          <w:szCs w:val="20"/>
        </w:rPr>
        <w:t xml:space="preserve">distintas </w:t>
      </w:r>
      <w:r w:rsidR="00694A68" w:rsidRPr="00B320D4">
        <w:rPr>
          <w:rFonts w:ascii="Verdana" w:hAnsi="Verdana"/>
          <w:sz w:val="20"/>
          <w:szCs w:val="20"/>
        </w:rPr>
        <w:t xml:space="preserve">caracteristicas que pueden presentar lesiones a los derechos de pueblos indígenas. Asi, muchas vulneraciones a esa vida cultural y bienes asociados podrán presentar vínculos con el libre disfrute del territorio, pero no en todos los casos </w:t>
      </w:r>
      <w:r w:rsidR="00FD0B06" w:rsidRPr="00B320D4">
        <w:rPr>
          <w:rFonts w:ascii="Verdana" w:hAnsi="Verdana"/>
          <w:sz w:val="20"/>
          <w:szCs w:val="20"/>
        </w:rPr>
        <w:t xml:space="preserve">necesariamente </w:t>
      </w:r>
      <w:r w:rsidR="00694A68" w:rsidRPr="00B320D4">
        <w:rPr>
          <w:rFonts w:ascii="Verdana" w:hAnsi="Verdana"/>
          <w:sz w:val="20"/>
          <w:szCs w:val="20"/>
        </w:rPr>
        <w:t>presentará relación con el derecho de propiedad. Puede haber lesiones a derechos de pueblos indígenas</w:t>
      </w:r>
      <w:r w:rsidR="003D241A" w:rsidRPr="00B320D4">
        <w:rPr>
          <w:rFonts w:ascii="Verdana" w:hAnsi="Verdana"/>
          <w:sz w:val="20"/>
          <w:szCs w:val="20"/>
        </w:rPr>
        <w:t xml:space="preserve"> o tribales</w:t>
      </w:r>
      <w:r w:rsidR="00694A68" w:rsidRPr="00B320D4">
        <w:rPr>
          <w:rFonts w:ascii="Verdana" w:hAnsi="Verdana"/>
          <w:sz w:val="20"/>
          <w:szCs w:val="20"/>
        </w:rPr>
        <w:t xml:space="preserve"> que, estando vinculadas al territorio, puedan ser analizadas de mejor modo con base en derechos distintos del de propiedad. </w:t>
      </w:r>
    </w:p>
    <w:p w14:paraId="53068F2E" w14:textId="77777777" w:rsidR="00694A68" w:rsidRPr="00B320D4" w:rsidRDefault="00694A68" w:rsidP="00267F70">
      <w:pPr>
        <w:pStyle w:val="NormalWeb"/>
        <w:spacing w:before="0" w:beforeAutospacing="0" w:after="0" w:afterAutospacing="0"/>
        <w:jc w:val="both"/>
        <w:rPr>
          <w:rFonts w:ascii="Verdana" w:hAnsi="Verdana"/>
          <w:sz w:val="20"/>
          <w:szCs w:val="20"/>
        </w:rPr>
      </w:pPr>
    </w:p>
    <w:p w14:paraId="6E58023D" w14:textId="11052141" w:rsidR="00220700" w:rsidRPr="00B320D4" w:rsidRDefault="00FB0638" w:rsidP="00267F70">
      <w:pPr>
        <w:pStyle w:val="Prrafodelista"/>
        <w:spacing w:line="240" w:lineRule="auto"/>
        <w:ind w:left="0"/>
        <w:jc w:val="both"/>
        <w:rPr>
          <w:rFonts w:ascii="Verdana" w:hAnsi="Verdana"/>
          <w:b/>
          <w:bCs/>
          <w:sz w:val="20"/>
          <w:szCs w:val="20"/>
        </w:rPr>
      </w:pPr>
      <w:r>
        <w:rPr>
          <w:rFonts w:ascii="Verdana" w:hAnsi="Verdana"/>
          <w:sz w:val="20"/>
          <w:szCs w:val="20"/>
        </w:rPr>
        <w:t>41</w:t>
      </w:r>
      <w:r w:rsidR="00B26381" w:rsidRPr="00B320D4">
        <w:rPr>
          <w:rFonts w:ascii="Verdana" w:hAnsi="Verdana"/>
          <w:sz w:val="20"/>
          <w:szCs w:val="20"/>
        </w:rPr>
        <w:t xml:space="preserve">. </w:t>
      </w:r>
      <w:r w:rsidR="00B26381" w:rsidRPr="00B320D4">
        <w:rPr>
          <w:rFonts w:ascii="Verdana" w:hAnsi="Verdana"/>
          <w:sz w:val="20"/>
          <w:szCs w:val="20"/>
        </w:rPr>
        <w:tab/>
      </w:r>
      <w:r w:rsidR="00694A68" w:rsidRPr="00B320D4">
        <w:rPr>
          <w:rFonts w:ascii="Verdana" w:hAnsi="Verdana"/>
          <w:sz w:val="20"/>
          <w:szCs w:val="20"/>
        </w:rPr>
        <w:t>La evolución de la jurisprudencia</w:t>
      </w:r>
      <w:r w:rsidR="004D17B8" w:rsidRPr="00B320D4">
        <w:rPr>
          <w:rFonts w:ascii="Verdana" w:hAnsi="Verdana"/>
          <w:sz w:val="20"/>
          <w:szCs w:val="20"/>
        </w:rPr>
        <w:t xml:space="preserve"> interamericana</w:t>
      </w:r>
      <w:r w:rsidR="00694A68" w:rsidRPr="00B320D4">
        <w:rPr>
          <w:rFonts w:ascii="Verdana" w:hAnsi="Verdana"/>
          <w:sz w:val="20"/>
          <w:szCs w:val="20"/>
        </w:rPr>
        <w:t xml:space="preserve">, que ha derivado en un entendimiento autónomo de los DESCA, ayuda a resaltar las diferencias y matices mencionados, y a efectuar un examen más preciso: no siempre será necesario o pertinente reconducir al derecho de propiedad lesiones a derechos asociadas al territorio. La Sentencia sobre el caso </w:t>
      </w:r>
      <w:r w:rsidR="00694A68" w:rsidRPr="00B320D4">
        <w:rPr>
          <w:rFonts w:ascii="Verdana" w:hAnsi="Verdana"/>
          <w:i/>
          <w:sz w:val="20"/>
          <w:szCs w:val="20"/>
        </w:rPr>
        <w:t xml:space="preserve">Lhaka Honhat </w:t>
      </w:r>
      <w:r w:rsidR="00694A68" w:rsidRPr="00B320D4">
        <w:rPr>
          <w:rFonts w:ascii="Verdana" w:hAnsi="Verdana"/>
          <w:sz w:val="20"/>
          <w:szCs w:val="20"/>
        </w:rPr>
        <w:t>es muestra de esto. El examen de der</w:t>
      </w:r>
      <w:r w:rsidR="004D17B8" w:rsidRPr="00B320D4">
        <w:rPr>
          <w:rFonts w:ascii="Verdana" w:hAnsi="Verdana"/>
          <w:sz w:val="20"/>
          <w:szCs w:val="20"/>
        </w:rPr>
        <w:t>e</w:t>
      </w:r>
      <w:r w:rsidR="00694A68" w:rsidRPr="00B320D4">
        <w:rPr>
          <w:rFonts w:ascii="Verdana" w:hAnsi="Verdana"/>
          <w:sz w:val="20"/>
          <w:szCs w:val="20"/>
        </w:rPr>
        <w:t>chos a través del artículo 26 no ha pretendido negar la relación entre los derechos al medio ambiente sano, la alimentación adecuada, el agua y la identidad cultural con el territorio. Por el contrario, es in</w:t>
      </w:r>
      <w:r w:rsidR="003D241A" w:rsidRPr="00B320D4">
        <w:rPr>
          <w:rFonts w:ascii="Verdana" w:hAnsi="Verdana"/>
          <w:sz w:val="20"/>
          <w:szCs w:val="20"/>
        </w:rPr>
        <w:t>n</w:t>
      </w:r>
      <w:r w:rsidR="00694A68" w:rsidRPr="00B320D4">
        <w:rPr>
          <w:rFonts w:ascii="Verdana" w:hAnsi="Verdana"/>
          <w:sz w:val="20"/>
          <w:szCs w:val="20"/>
        </w:rPr>
        <w:t>egable esa relación en el caso</w:t>
      </w:r>
      <w:r w:rsidR="003D241A" w:rsidRPr="00B320D4">
        <w:rPr>
          <w:rFonts w:ascii="Verdana" w:hAnsi="Verdana"/>
          <w:sz w:val="20"/>
          <w:szCs w:val="20"/>
        </w:rPr>
        <w:t>, existiendo una interdependencia entre ellos</w:t>
      </w:r>
      <w:r w:rsidR="00694A68" w:rsidRPr="00B320D4">
        <w:rPr>
          <w:rFonts w:ascii="Verdana" w:hAnsi="Verdana"/>
          <w:sz w:val="20"/>
          <w:szCs w:val="20"/>
        </w:rPr>
        <w:t xml:space="preserve">. Pero la misma ha generado impactos propios y diferenciados en los derechos referidos, que permitieron su examen autónomo, </w:t>
      </w:r>
      <w:r w:rsidR="00565A66" w:rsidRPr="00B320D4">
        <w:rPr>
          <w:rFonts w:ascii="Verdana" w:hAnsi="Verdana"/>
          <w:sz w:val="20"/>
          <w:szCs w:val="20"/>
        </w:rPr>
        <w:t xml:space="preserve">con respecto a </w:t>
      </w:r>
      <w:r w:rsidR="004D17B8" w:rsidRPr="00B320D4">
        <w:rPr>
          <w:rFonts w:ascii="Verdana" w:hAnsi="Verdana"/>
          <w:sz w:val="20"/>
          <w:szCs w:val="20"/>
        </w:rPr>
        <w:t>la vulneración del</w:t>
      </w:r>
      <w:r w:rsidR="00694A68" w:rsidRPr="00B320D4">
        <w:rPr>
          <w:rFonts w:ascii="Verdana" w:hAnsi="Verdana"/>
          <w:sz w:val="20"/>
          <w:szCs w:val="20"/>
        </w:rPr>
        <w:t xml:space="preserve"> derecho a la propiedad.</w:t>
      </w:r>
    </w:p>
    <w:p w14:paraId="415ADAD7" w14:textId="77777777" w:rsidR="00220700" w:rsidRPr="00B320D4" w:rsidRDefault="00220700" w:rsidP="00267F70">
      <w:pPr>
        <w:pStyle w:val="Prrafodelista"/>
        <w:spacing w:line="240" w:lineRule="auto"/>
        <w:ind w:left="0"/>
        <w:jc w:val="both"/>
        <w:rPr>
          <w:rFonts w:ascii="Verdana" w:hAnsi="Verdana"/>
          <w:b/>
          <w:bCs/>
          <w:sz w:val="20"/>
          <w:szCs w:val="20"/>
        </w:rPr>
      </w:pPr>
    </w:p>
    <w:p w14:paraId="34C161EA" w14:textId="4086218A" w:rsidR="000C28E9" w:rsidRPr="00340041" w:rsidRDefault="008A5D0F" w:rsidP="00267F70">
      <w:pPr>
        <w:pStyle w:val="Prrafodelista"/>
        <w:spacing w:line="240" w:lineRule="auto"/>
        <w:ind w:left="0"/>
        <w:jc w:val="center"/>
        <w:rPr>
          <w:rFonts w:ascii="Verdana" w:hAnsi="Verdana"/>
          <w:b/>
          <w:bCs/>
          <w:sz w:val="20"/>
          <w:szCs w:val="20"/>
        </w:rPr>
      </w:pPr>
      <w:r w:rsidRPr="00340041">
        <w:rPr>
          <w:rFonts w:ascii="Verdana" w:hAnsi="Verdana"/>
          <w:b/>
          <w:bCs/>
          <w:sz w:val="20"/>
          <w:szCs w:val="20"/>
        </w:rPr>
        <w:t xml:space="preserve">II. AUTONOMÍA E </w:t>
      </w:r>
      <w:r w:rsidR="000C28E9" w:rsidRPr="00340041">
        <w:rPr>
          <w:rFonts w:ascii="Verdana" w:hAnsi="Verdana"/>
          <w:b/>
          <w:bCs/>
          <w:sz w:val="20"/>
          <w:szCs w:val="20"/>
        </w:rPr>
        <w:t>INTERDEPENDENCIA DE LOS DERECHOS</w:t>
      </w:r>
      <w:r w:rsidRPr="00340041">
        <w:rPr>
          <w:rFonts w:ascii="Verdana" w:hAnsi="Verdana"/>
          <w:b/>
          <w:bCs/>
          <w:sz w:val="20"/>
          <w:szCs w:val="20"/>
        </w:rPr>
        <w:t xml:space="preserve"> </w:t>
      </w:r>
      <w:r w:rsidR="0058240E" w:rsidRPr="00340041">
        <w:rPr>
          <w:rFonts w:ascii="Verdana" w:hAnsi="Verdana"/>
          <w:b/>
          <w:bCs/>
          <w:sz w:val="20"/>
          <w:szCs w:val="20"/>
        </w:rPr>
        <w:t>HUMANOS</w:t>
      </w:r>
    </w:p>
    <w:p w14:paraId="1EB70847" w14:textId="77777777" w:rsidR="000C28E9" w:rsidRPr="00B320D4" w:rsidRDefault="000C28E9" w:rsidP="00267F70">
      <w:pPr>
        <w:pStyle w:val="Prrafodelista"/>
        <w:spacing w:line="240" w:lineRule="auto"/>
        <w:ind w:left="0"/>
        <w:jc w:val="both"/>
        <w:rPr>
          <w:rFonts w:ascii="Verdana" w:hAnsi="Verdana"/>
          <w:sz w:val="20"/>
          <w:szCs w:val="20"/>
        </w:rPr>
      </w:pPr>
    </w:p>
    <w:p w14:paraId="6EC5469C" w14:textId="3816B6C0" w:rsidR="000C28E9" w:rsidRPr="00B320D4" w:rsidRDefault="00FB0638" w:rsidP="00267F70">
      <w:pPr>
        <w:pStyle w:val="Prrafodelista"/>
        <w:spacing w:after="160" w:line="240" w:lineRule="auto"/>
        <w:ind w:left="0"/>
        <w:jc w:val="both"/>
        <w:rPr>
          <w:rFonts w:ascii="Verdana" w:hAnsi="Verdana"/>
          <w:sz w:val="20"/>
          <w:szCs w:val="20"/>
        </w:rPr>
      </w:pPr>
      <w:r>
        <w:rPr>
          <w:rFonts w:ascii="Verdana" w:hAnsi="Verdana" w:cstheme="minorHAnsi"/>
          <w:sz w:val="20"/>
          <w:szCs w:val="20"/>
        </w:rPr>
        <w:t>42</w:t>
      </w:r>
      <w:r w:rsidR="0058240E" w:rsidRPr="00B320D4">
        <w:rPr>
          <w:rFonts w:ascii="Verdana" w:hAnsi="Verdana" w:cstheme="minorHAnsi"/>
          <w:sz w:val="20"/>
          <w:szCs w:val="20"/>
        </w:rPr>
        <w:t xml:space="preserve">. </w:t>
      </w:r>
      <w:r w:rsidR="0058240E" w:rsidRPr="00B320D4">
        <w:rPr>
          <w:rFonts w:ascii="Verdana" w:hAnsi="Verdana" w:cstheme="minorHAnsi"/>
          <w:sz w:val="20"/>
          <w:szCs w:val="20"/>
        </w:rPr>
        <w:tab/>
      </w:r>
      <w:r w:rsidR="000C28E9" w:rsidRPr="00B320D4">
        <w:rPr>
          <w:rFonts w:ascii="Verdana" w:hAnsi="Verdana" w:cstheme="minorHAnsi"/>
          <w:sz w:val="20"/>
          <w:szCs w:val="20"/>
        </w:rPr>
        <w:t xml:space="preserve">La autonomía de los derechos (tanto DESCA como </w:t>
      </w:r>
      <w:r w:rsidR="008A5D0F" w:rsidRPr="00B320D4">
        <w:rPr>
          <w:rFonts w:ascii="Verdana" w:hAnsi="Verdana" w:cstheme="minorHAnsi"/>
          <w:sz w:val="20"/>
          <w:szCs w:val="20"/>
        </w:rPr>
        <w:t>civiles y polít</w:t>
      </w:r>
      <w:r w:rsidR="00110A4B" w:rsidRPr="00B320D4">
        <w:rPr>
          <w:rFonts w:ascii="Verdana" w:hAnsi="Verdana" w:cstheme="minorHAnsi"/>
          <w:sz w:val="20"/>
          <w:szCs w:val="20"/>
        </w:rPr>
        <w:t>i</w:t>
      </w:r>
      <w:r w:rsidR="008A5D0F" w:rsidRPr="00B320D4">
        <w:rPr>
          <w:rFonts w:ascii="Verdana" w:hAnsi="Verdana" w:cstheme="minorHAnsi"/>
          <w:sz w:val="20"/>
          <w:szCs w:val="20"/>
        </w:rPr>
        <w:t>cos</w:t>
      </w:r>
      <w:r w:rsidR="000C28E9" w:rsidRPr="00B320D4">
        <w:rPr>
          <w:rFonts w:ascii="Verdana" w:hAnsi="Verdana" w:cstheme="minorHAnsi"/>
          <w:sz w:val="20"/>
          <w:szCs w:val="20"/>
        </w:rPr>
        <w:t>) en modo alguno se opone a la interdependencia de los mismos. De hecho, el concepto</w:t>
      </w:r>
      <w:r w:rsidR="008A5D0F" w:rsidRPr="00B320D4">
        <w:rPr>
          <w:rFonts w:ascii="Verdana" w:hAnsi="Verdana" w:cstheme="minorHAnsi"/>
          <w:sz w:val="20"/>
          <w:szCs w:val="20"/>
        </w:rPr>
        <w:t xml:space="preserve"> de interdependencia solo puede</w:t>
      </w:r>
      <w:r w:rsidR="000C28E9" w:rsidRPr="00B320D4">
        <w:rPr>
          <w:rFonts w:ascii="Verdana" w:hAnsi="Verdana" w:cstheme="minorHAnsi"/>
          <w:sz w:val="20"/>
          <w:szCs w:val="20"/>
        </w:rPr>
        <w:t xml:space="preserve"> entenderse a partir de la autonomía. La interdependencia se predica respecto de entidades autónomas, de lo contrario carecería de sentido. La significación de estos conceptos, entonces, debe vedar un entendimiento que, por vía de enfatizar la conexidad entre los derechos, lleve que la exigibilidad de uno de ellos sea condición necesaria para la exigibilidad de otros. </w:t>
      </w:r>
    </w:p>
    <w:p w14:paraId="2132BF11" w14:textId="77777777" w:rsidR="000C28E9" w:rsidRPr="00B320D4" w:rsidRDefault="000C28E9" w:rsidP="00267F70">
      <w:pPr>
        <w:pStyle w:val="Prrafodelista"/>
        <w:spacing w:line="240" w:lineRule="auto"/>
        <w:rPr>
          <w:rFonts w:ascii="Verdana" w:hAnsi="Verdana" w:cstheme="minorHAnsi"/>
          <w:sz w:val="20"/>
          <w:szCs w:val="20"/>
        </w:rPr>
      </w:pPr>
    </w:p>
    <w:p w14:paraId="32D8B456" w14:textId="5BAFB870" w:rsidR="000C28E9" w:rsidRPr="00B320D4" w:rsidRDefault="00FB0638" w:rsidP="00267F70">
      <w:pPr>
        <w:pStyle w:val="Prrafodelista"/>
        <w:spacing w:after="160" w:line="240" w:lineRule="auto"/>
        <w:ind w:left="0"/>
        <w:jc w:val="both"/>
        <w:rPr>
          <w:rFonts w:ascii="Verdana" w:hAnsi="Verdana" w:cstheme="minorHAnsi"/>
          <w:sz w:val="20"/>
          <w:szCs w:val="20"/>
        </w:rPr>
      </w:pPr>
      <w:r>
        <w:rPr>
          <w:rFonts w:ascii="Verdana" w:hAnsi="Verdana" w:cstheme="minorHAnsi"/>
          <w:sz w:val="20"/>
          <w:szCs w:val="20"/>
        </w:rPr>
        <w:t>43</w:t>
      </w:r>
      <w:r w:rsidR="0058240E" w:rsidRPr="00B320D4">
        <w:rPr>
          <w:rFonts w:ascii="Verdana" w:hAnsi="Verdana" w:cstheme="minorHAnsi"/>
          <w:sz w:val="20"/>
          <w:szCs w:val="20"/>
        </w:rPr>
        <w:t xml:space="preserve">. </w:t>
      </w:r>
      <w:r w:rsidR="0058240E" w:rsidRPr="00B320D4">
        <w:rPr>
          <w:rFonts w:ascii="Verdana" w:hAnsi="Verdana" w:cstheme="minorHAnsi"/>
          <w:sz w:val="20"/>
          <w:szCs w:val="20"/>
        </w:rPr>
        <w:tab/>
      </w:r>
      <w:r w:rsidR="008A5D0F" w:rsidRPr="00B320D4">
        <w:rPr>
          <w:rFonts w:ascii="Verdana" w:hAnsi="Verdana" w:cstheme="minorHAnsi"/>
          <w:sz w:val="20"/>
          <w:szCs w:val="20"/>
        </w:rPr>
        <w:t>La</w:t>
      </w:r>
      <w:r w:rsidR="000C28E9" w:rsidRPr="00B320D4">
        <w:rPr>
          <w:rFonts w:ascii="Verdana" w:hAnsi="Verdana" w:cstheme="minorHAnsi"/>
          <w:sz w:val="20"/>
          <w:szCs w:val="20"/>
        </w:rPr>
        <w:t xml:space="preserve"> “autonomía” </w:t>
      </w:r>
      <w:r w:rsidR="008A5D0F" w:rsidRPr="00B320D4">
        <w:rPr>
          <w:rFonts w:ascii="Verdana" w:hAnsi="Verdana" w:cstheme="minorHAnsi"/>
          <w:sz w:val="20"/>
          <w:szCs w:val="20"/>
        </w:rPr>
        <w:t xml:space="preserve">hace </w:t>
      </w:r>
      <w:r w:rsidR="000C28E9" w:rsidRPr="00B320D4">
        <w:rPr>
          <w:rFonts w:ascii="Verdana" w:hAnsi="Verdana" w:cstheme="minorHAnsi"/>
          <w:sz w:val="20"/>
          <w:szCs w:val="20"/>
        </w:rPr>
        <w:t xml:space="preserve">alusión a que cada derecho tiene un contenido jurídico propio, distinto del de otros. Los diversos derechos se refieren a diferentes bienes (salud, libertad, educación, vida, etc.), para cuya tutela o protección existe un conjunto de obligaciones que deben cumplirse. El contenido de cada derecho presenta particularidades, que dan sentido a su reconocimiento jurídico diferenciado. </w:t>
      </w:r>
    </w:p>
    <w:p w14:paraId="3E8B13D2" w14:textId="77777777" w:rsidR="000C28E9" w:rsidRPr="00B320D4" w:rsidRDefault="000C28E9" w:rsidP="00267F70">
      <w:pPr>
        <w:pStyle w:val="Prrafodelista"/>
        <w:spacing w:line="240" w:lineRule="auto"/>
        <w:rPr>
          <w:rFonts w:ascii="Verdana" w:hAnsi="Verdana" w:cstheme="minorHAnsi"/>
          <w:sz w:val="20"/>
          <w:szCs w:val="20"/>
        </w:rPr>
      </w:pPr>
    </w:p>
    <w:p w14:paraId="1659BB06" w14:textId="0526CFE9" w:rsidR="008A5D0F" w:rsidRPr="00B320D4" w:rsidRDefault="00FB0638" w:rsidP="00267F70">
      <w:pPr>
        <w:pStyle w:val="Prrafodelista"/>
        <w:spacing w:after="160" w:line="240" w:lineRule="auto"/>
        <w:ind w:left="0"/>
        <w:jc w:val="both"/>
        <w:rPr>
          <w:rFonts w:ascii="Verdana" w:hAnsi="Verdana" w:cstheme="minorHAnsi"/>
          <w:sz w:val="20"/>
          <w:szCs w:val="20"/>
        </w:rPr>
      </w:pPr>
      <w:r>
        <w:rPr>
          <w:rFonts w:ascii="Verdana" w:hAnsi="Verdana" w:cstheme="minorHAnsi"/>
          <w:sz w:val="20"/>
          <w:szCs w:val="20"/>
        </w:rPr>
        <w:t>44</w:t>
      </w:r>
      <w:r w:rsidR="0058240E" w:rsidRPr="00B320D4">
        <w:rPr>
          <w:rFonts w:ascii="Verdana" w:hAnsi="Verdana" w:cstheme="minorHAnsi"/>
          <w:sz w:val="20"/>
          <w:szCs w:val="20"/>
        </w:rPr>
        <w:t xml:space="preserve">. </w:t>
      </w:r>
      <w:r w:rsidR="0058240E" w:rsidRPr="00B320D4">
        <w:rPr>
          <w:rFonts w:ascii="Verdana" w:hAnsi="Verdana" w:cstheme="minorHAnsi"/>
          <w:sz w:val="20"/>
          <w:szCs w:val="20"/>
        </w:rPr>
        <w:tab/>
      </w:r>
      <w:r w:rsidR="000C28E9" w:rsidRPr="00B320D4">
        <w:rPr>
          <w:rFonts w:ascii="Verdana" w:hAnsi="Verdana" w:cstheme="minorHAnsi"/>
          <w:sz w:val="20"/>
          <w:szCs w:val="20"/>
        </w:rPr>
        <w:t>Así, solo por poner un ejemplo, t</w:t>
      </w:r>
      <w:r w:rsidR="008A5D0F" w:rsidRPr="00B320D4">
        <w:rPr>
          <w:rFonts w:ascii="Verdana" w:hAnsi="Verdana" w:cstheme="minorHAnsi"/>
          <w:sz w:val="20"/>
          <w:szCs w:val="20"/>
        </w:rPr>
        <w:t>eniendo como base</w:t>
      </w:r>
      <w:r w:rsidR="000C28E9" w:rsidRPr="00B320D4">
        <w:rPr>
          <w:rFonts w:ascii="Verdana" w:hAnsi="Verdana" w:cstheme="minorHAnsi"/>
          <w:sz w:val="20"/>
          <w:szCs w:val="20"/>
        </w:rPr>
        <w:t xml:space="preserve"> señalamientos del Comité de Derechos Económicos, Sociales y Culturales de l</w:t>
      </w:r>
      <w:r w:rsidR="008A5D0F" w:rsidRPr="00B320D4">
        <w:rPr>
          <w:rFonts w:ascii="Verdana" w:hAnsi="Verdana" w:cstheme="minorHAnsi"/>
          <w:sz w:val="20"/>
          <w:szCs w:val="20"/>
        </w:rPr>
        <w:t>as Naciones Unidas (en adelante</w:t>
      </w:r>
      <w:r w:rsidR="000C28E9" w:rsidRPr="00B320D4">
        <w:rPr>
          <w:rFonts w:ascii="Verdana" w:hAnsi="Verdana" w:cstheme="minorHAnsi"/>
          <w:sz w:val="20"/>
          <w:szCs w:val="20"/>
        </w:rPr>
        <w:t xml:space="preserve"> “Comité DESC</w:t>
      </w:r>
      <w:r w:rsidR="003D241A" w:rsidRPr="00B320D4">
        <w:rPr>
          <w:rFonts w:ascii="Verdana" w:hAnsi="Verdana" w:cstheme="minorHAnsi"/>
          <w:sz w:val="20"/>
          <w:szCs w:val="20"/>
        </w:rPr>
        <w:t>”),</w:t>
      </w:r>
      <w:r w:rsidR="000C28E9" w:rsidRPr="00B320D4">
        <w:rPr>
          <w:rFonts w:ascii="Verdana" w:hAnsi="Verdana" w:cstheme="minorHAnsi"/>
          <w:sz w:val="20"/>
          <w:szCs w:val="20"/>
        </w:rPr>
        <w:t xml:space="preserve"> el derecho a la seguridad social, conforme está plasmado en el Pacto Internacional de Derechos Económicos, Sociales y Culturales, implica, entre otras</w:t>
      </w:r>
      <w:r w:rsidR="003D241A" w:rsidRPr="00B320D4">
        <w:rPr>
          <w:rFonts w:ascii="Verdana" w:hAnsi="Verdana" w:cstheme="minorHAnsi"/>
          <w:sz w:val="20"/>
          <w:szCs w:val="20"/>
        </w:rPr>
        <w:t xml:space="preserve"> cuestiones</w:t>
      </w:r>
      <w:r w:rsidR="000C28E9" w:rsidRPr="00B320D4">
        <w:rPr>
          <w:rFonts w:ascii="Verdana" w:hAnsi="Verdana" w:cstheme="minorHAnsi"/>
          <w:sz w:val="20"/>
          <w:szCs w:val="20"/>
        </w:rPr>
        <w:t>, el establecimiento por parte de los Estados de planes de seguridad social, que concedan prestaciones a las personas a partir de una edad determinada por la legislación</w:t>
      </w:r>
      <w:r w:rsidR="006B2688" w:rsidRPr="00B320D4">
        <w:rPr>
          <w:rFonts w:ascii="Verdana" w:hAnsi="Verdana" w:cstheme="minorHAnsi"/>
          <w:sz w:val="20"/>
          <w:szCs w:val="20"/>
        </w:rPr>
        <w:t>;</w:t>
      </w:r>
      <w:r w:rsidR="000C28E9" w:rsidRPr="00B320D4">
        <w:rPr>
          <w:rFonts w:ascii="Verdana" w:hAnsi="Verdana" w:cstheme="minorHAnsi"/>
          <w:sz w:val="20"/>
          <w:szCs w:val="20"/>
        </w:rPr>
        <w:t xml:space="preserve"> y que prevean “ayuda” para todas las personas que cumplan la edad prescrita aun cuando “no tengan cubiertos los períodos mínimos de cotización exigidos, o por cualquier otra causa no tengan derecho a disfrutar de una pensión de vejez o de otro tipo de prestación o ayuda de la seguridad social y carezcan de cualquier otra fuente de ingresos”. </w:t>
      </w:r>
    </w:p>
    <w:p w14:paraId="43948F1C" w14:textId="77777777" w:rsidR="008A5D0F" w:rsidRPr="00B320D4" w:rsidRDefault="008A5D0F" w:rsidP="00267F70">
      <w:pPr>
        <w:pStyle w:val="Prrafodelista"/>
        <w:spacing w:line="240" w:lineRule="auto"/>
        <w:rPr>
          <w:rFonts w:ascii="Verdana" w:hAnsi="Verdana" w:cstheme="minorHAnsi"/>
          <w:sz w:val="20"/>
          <w:szCs w:val="20"/>
        </w:rPr>
      </w:pPr>
    </w:p>
    <w:p w14:paraId="78842B30" w14:textId="15E3B054" w:rsidR="000C28E9" w:rsidRPr="00914E2E" w:rsidRDefault="00FB0638" w:rsidP="00267F70">
      <w:pPr>
        <w:pStyle w:val="Prrafodelista"/>
        <w:spacing w:after="160" w:line="240" w:lineRule="auto"/>
        <w:ind w:left="0"/>
        <w:jc w:val="both"/>
        <w:rPr>
          <w:rFonts w:ascii="Verdana" w:hAnsi="Verdana" w:cstheme="minorHAnsi"/>
          <w:sz w:val="20"/>
          <w:szCs w:val="20"/>
        </w:rPr>
      </w:pPr>
      <w:r>
        <w:rPr>
          <w:rFonts w:ascii="Verdana" w:hAnsi="Verdana" w:cstheme="minorHAnsi"/>
          <w:sz w:val="20"/>
          <w:szCs w:val="20"/>
        </w:rPr>
        <w:t>45</w:t>
      </w:r>
      <w:r w:rsidR="0058240E" w:rsidRPr="00B320D4">
        <w:rPr>
          <w:rFonts w:ascii="Verdana" w:hAnsi="Verdana" w:cstheme="minorHAnsi"/>
          <w:sz w:val="20"/>
          <w:szCs w:val="20"/>
        </w:rPr>
        <w:t xml:space="preserve">. </w:t>
      </w:r>
      <w:r w:rsidR="0058240E" w:rsidRPr="00B320D4">
        <w:rPr>
          <w:rFonts w:ascii="Verdana" w:hAnsi="Verdana" w:cstheme="minorHAnsi"/>
          <w:sz w:val="20"/>
          <w:szCs w:val="20"/>
        </w:rPr>
        <w:tab/>
      </w:r>
      <w:r w:rsidR="000C28E9" w:rsidRPr="00B320D4">
        <w:rPr>
          <w:rFonts w:ascii="Verdana" w:hAnsi="Verdana" w:cstheme="minorHAnsi"/>
          <w:sz w:val="20"/>
          <w:szCs w:val="20"/>
        </w:rPr>
        <w:t xml:space="preserve">Parece que esta obligación estatal de prever prestaciones relacionadas con la vejez, no relacionada necesariamente con una actividad laboral, excede el contenido obligacional que podría desprenderse de otros derechos, pues no deriva </w:t>
      </w:r>
      <w:r w:rsidR="000C28E9" w:rsidRPr="00B320D4">
        <w:rPr>
          <w:rFonts w:ascii="Verdana" w:hAnsi="Verdana" w:cstheme="minorHAnsi"/>
          <w:i/>
          <w:sz w:val="20"/>
          <w:szCs w:val="20"/>
        </w:rPr>
        <w:t>a priori</w:t>
      </w:r>
      <w:r w:rsidR="000C28E9" w:rsidRPr="00B320D4">
        <w:rPr>
          <w:rFonts w:ascii="Verdana" w:hAnsi="Verdana" w:cstheme="minorHAnsi"/>
          <w:sz w:val="20"/>
          <w:szCs w:val="20"/>
        </w:rPr>
        <w:t xml:space="preserve"> de ellos. Ello no obsta a que, en diversas circunstancias, la eventual vulneración del derecho a la seguridad social pueda tener impacto en el goce de otros derechos. El mismo Comité </w:t>
      </w:r>
      <w:r w:rsidR="000C28E9" w:rsidRPr="00B320D4">
        <w:rPr>
          <w:rFonts w:ascii="Verdana" w:hAnsi="Verdana" w:cstheme="minorHAnsi"/>
          <w:sz w:val="20"/>
          <w:szCs w:val="20"/>
        </w:rPr>
        <w:lastRenderedPageBreak/>
        <w:t>aclara que el derecho a la seguridad social distingue su contenido del de otros derechos: “[e]</w:t>
      </w:r>
      <w:r w:rsidR="000C28E9" w:rsidRPr="00B320D4">
        <w:rPr>
          <w:rFonts w:ascii="Verdana" w:hAnsi="Verdana"/>
          <w:color w:val="000000"/>
          <w:sz w:val="20"/>
          <w:szCs w:val="20"/>
        </w:rPr>
        <w:t>l derecho a la seguridad social contribuye en gran medida a reforzar el ejercicio de muchos de los derechos enunciados en el Pacto, […s]in embargo, la adopción de medidas para el disfrute de otros derechos enunciados en el Pacto no constituirá en sí misma un sustituto de la creación de sistemas de seguridad social”</w:t>
      </w:r>
      <w:r w:rsidR="000C28E9" w:rsidRPr="007E1845">
        <w:rPr>
          <w:rStyle w:val="Refdenotaalpie"/>
          <w:rFonts w:ascii="Verdana" w:hAnsi="Verdana"/>
          <w:color w:val="000000"/>
          <w:sz w:val="20"/>
        </w:rPr>
        <w:footnoteReference w:id="42"/>
      </w:r>
      <w:r w:rsidR="008A5D0F" w:rsidRPr="007E1845">
        <w:rPr>
          <w:rFonts w:ascii="Verdana" w:hAnsi="Verdana"/>
          <w:color w:val="000000"/>
          <w:sz w:val="20"/>
          <w:szCs w:val="20"/>
        </w:rPr>
        <w:t>.</w:t>
      </w:r>
    </w:p>
    <w:p w14:paraId="0179D0B8" w14:textId="77777777" w:rsidR="000C28E9" w:rsidRPr="00914E2E" w:rsidRDefault="000C28E9" w:rsidP="00267F70">
      <w:pPr>
        <w:pStyle w:val="Prrafodelista"/>
        <w:spacing w:line="240" w:lineRule="auto"/>
        <w:ind w:left="0"/>
        <w:jc w:val="both"/>
        <w:rPr>
          <w:rFonts w:ascii="Verdana" w:hAnsi="Verdana" w:cstheme="minorHAnsi"/>
          <w:sz w:val="20"/>
          <w:szCs w:val="20"/>
        </w:rPr>
      </w:pPr>
    </w:p>
    <w:p w14:paraId="3948D51F" w14:textId="3DC6C9CF" w:rsidR="000C28E9" w:rsidRPr="00F820A3" w:rsidRDefault="00FB0638" w:rsidP="00267F70">
      <w:pPr>
        <w:pStyle w:val="Prrafodelista"/>
        <w:spacing w:after="160" w:line="240" w:lineRule="auto"/>
        <w:ind w:left="0"/>
        <w:jc w:val="both"/>
        <w:rPr>
          <w:rFonts w:ascii="Verdana" w:hAnsi="Verdana" w:cstheme="minorHAnsi"/>
          <w:sz w:val="20"/>
          <w:szCs w:val="20"/>
        </w:rPr>
      </w:pPr>
      <w:r>
        <w:rPr>
          <w:rFonts w:ascii="Verdana" w:hAnsi="Verdana" w:cstheme="minorHAnsi"/>
          <w:sz w:val="20"/>
          <w:szCs w:val="20"/>
        </w:rPr>
        <w:t>46</w:t>
      </w:r>
      <w:r w:rsidR="0058240E" w:rsidRPr="00EE35BE">
        <w:rPr>
          <w:rFonts w:ascii="Verdana" w:hAnsi="Verdana" w:cstheme="minorHAnsi"/>
          <w:sz w:val="20"/>
          <w:szCs w:val="20"/>
        </w:rPr>
        <w:t xml:space="preserve">. </w:t>
      </w:r>
      <w:r w:rsidR="0058240E" w:rsidRPr="00EE35BE">
        <w:rPr>
          <w:rFonts w:ascii="Verdana" w:hAnsi="Verdana" w:cstheme="minorHAnsi"/>
          <w:sz w:val="20"/>
          <w:szCs w:val="20"/>
        </w:rPr>
        <w:tab/>
      </w:r>
      <w:r w:rsidR="000C28E9" w:rsidRPr="00EE35BE">
        <w:rPr>
          <w:rFonts w:ascii="Verdana" w:hAnsi="Verdana" w:cstheme="minorHAnsi"/>
          <w:sz w:val="20"/>
          <w:szCs w:val="20"/>
        </w:rPr>
        <w:t xml:space="preserve">Lo último señalado, que un derecho puede “reforzar el ejercicio” de otros, </w:t>
      </w:r>
      <w:r w:rsidR="008A5D0F" w:rsidRPr="00EE35BE">
        <w:rPr>
          <w:rFonts w:ascii="Verdana" w:hAnsi="Verdana" w:cstheme="minorHAnsi"/>
          <w:sz w:val="20"/>
          <w:szCs w:val="20"/>
        </w:rPr>
        <w:t>se</w:t>
      </w:r>
      <w:r w:rsidR="000C28E9" w:rsidRPr="00B320D4">
        <w:rPr>
          <w:rFonts w:ascii="Verdana" w:hAnsi="Verdana" w:cstheme="minorHAnsi"/>
          <w:sz w:val="20"/>
          <w:szCs w:val="20"/>
        </w:rPr>
        <w:t xml:space="preserve"> relaciona con la int</w:t>
      </w:r>
      <w:r w:rsidR="000C28E9" w:rsidRPr="00F820A3">
        <w:rPr>
          <w:rFonts w:ascii="Verdana" w:hAnsi="Verdana" w:cstheme="minorHAnsi"/>
          <w:sz w:val="20"/>
          <w:szCs w:val="20"/>
        </w:rPr>
        <w:t>erdependencia de los derechos. En 1993, la Declaración y Programa de Acción de Viena, que marcó la agenda internacional sobre Derechos Humanos a nivel global, estableció que “[t]odos los derechos humanos son universales, indivisibles e</w:t>
      </w:r>
      <w:r w:rsidR="000C28E9" w:rsidRPr="00EE35BE">
        <w:rPr>
          <w:rFonts w:ascii="Verdana" w:hAnsi="Verdana" w:cstheme="minorHAnsi"/>
          <w:sz w:val="20"/>
          <w:szCs w:val="20"/>
        </w:rPr>
        <w:t xml:space="preserve"> interdependientes y están relacionados entre sí. La comunidad internacional debe tratar los derechos  humanos en forma global…”. En 2012 esto fue reafirmado en el ámbito americano, en la Carta Social de las Américas, que señala “</w:t>
      </w:r>
      <w:r w:rsidR="000C28E9" w:rsidRPr="00EE35BE">
        <w:rPr>
          <w:rFonts w:ascii="Verdana" w:hAnsi="Verdana"/>
          <w:sz w:val="20"/>
          <w:szCs w:val="20"/>
          <w:lang w:val="es-AR"/>
        </w:rPr>
        <w:t>la universalidad, indivisibilidad e interdependencia de todos los derechos humanos y su papel esencial para el desarrollo social y la realización del potencial humano”</w:t>
      </w:r>
      <w:r w:rsidR="000C28E9" w:rsidRPr="007E1845">
        <w:rPr>
          <w:rStyle w:val="Refdenotaalpie"/>
          <w:rFonts w:ascii="Verdana" w:hAnsi="Verdana"/>
          <w:sz w:val="20"/>
          <w:lang w:val="es-AR"/>
        </w:rPr>
        <w:footnoteReference w:id="43"/>
      </w:r>
      <w:r w:rsidR="000C28E9" w:rsidRPr="007E1845">
        <w:rPr>
          <w:rFonts w:ascii="Verdana" w:hAnsi="Verdana"/>
          <w:sz w:val="20"/>
          <w:szCs w:val="20"/>
          <w:lang w:val="es-AR"/>
        </w:rPr>
        <w:t>. N</w:t>
      </w:r>
      <w:r w:rsidR="000C28E9" w:rsidRPr="00914E2E">
        <w:rPr>
          <w:rFonts w:ascii="Verdana" w:hAnsi="Verdana" w:cstheme="minorHAnsi"/>
          <w:sz w:val="20"/>
          <w:szCs w:val="20"/>
        </w:rPr>
        <w:t>ingún derecho puede disfrutarse de forma aislada, sino que ese disfrute depende del disfrute de todos los demás derechos.</w:t>
      </w:r>
    </w:p>
    <w:p w14:paraId="3A24DB88" w14:textId="77777777" w:rsidR="000C28E9" w:rsidRPr="00EE35BE" w:rsidRDefault="000C28E9" w:rsidP="00267F70">
      <w:pPr>
        <w:pStyle w:val="Prrafodelista"/>
        <w:spacing w:line="240" w:lineRule="auto"/>
        <w:ind w:left="0"/>
        <w:jc w:val="both"/>
        <w:rPr>
          <w:rFonts w:ascii="Verdana" w:hAnsi="Verdana" w:cstheme="minorHAnsi"/>
          <w:sz w:val="20"/>
          <w:szCs w:val="20"/>
        </w:rPr>
      </w:pPr>
    </w:p>
    <w:p w14:paraId="3306CA79" w14:textId="20E5FE30" w:rsidR="000C28E9" w:rsidRPr="00B320D4" w:rsidRDefault="00FB0638" w:rsidP="00267F70">
      <w:pPr>
        <w:pStyle w:val="Prrafodelista"/>
        <w:spacing w:after="160" w:line="240" w:lineRule="auto"/>
        <w:ind w:left="0"/>
        <w:jc w:val="both"/>
        <w:rPr>
          <w:rFonts w:ascii="Verdana" w:hAnsi="Verdana" w:cstheme="minorHAnsi"/>
          <w:sz w:val="20"/>
          <w:szCs w:val="20"/>
        </w:rPr>
      </w:pPr>
      <w:r>
        <w:rPr>
          <w:rFonts w:ascii="Verdana" w:hAnsi="Verdana" w:cstheme="minorHAnsi"/>
          <w:sz w:val="20"/>
          <w:szCs w:val="20"/>
        </w:rPr>
        <w:t>47</w:t>
      </w:r>
      <w:r w:rsidR="0058240E" w:rsidRPr="00EE35BE">
        <w:rPr>
          <w:rFonts w:ascii="Verdana" w:hAnsi="Verdana" w:cstheme="minorHAnsi"/>
          <w:sz w:val="20"/>
          <w:szCs w:val="20"/>
        </w:rPr>
        <w:t xml:space="preserve">. </w:t>
      </w:r>
      <w:r w:rsidR="0058240E" w:rsidRPr="00EE35BE">
        <w:rPr>
          <w:rFonts w:ascii="Verdana" w:hAnsi="Verdana" w:cstheme="minorHAnsi"/>
          <w:sz w:val="20"/>
          <w:szCs w:val="20"/>
        </w:rPr>
        <w:tab/>
      </w:r>
      <w:r w:rsidR="000C28E9" w:rsidRPr="00EE35BE">
        <w:rPr>
          <w:rFonts w:ascii="Verdana" w:hAnsi="Verdana" w:cstheme="minorHAnsi"/>
          <w:sz w:val="20"/>
          <w:szCs w:val="20"/>
        </w:rPr>
        <w:t xml:space="preserve">El concepto de “interdependencia” alude al vínculo entre los derechos, que hace que la concreción o satisfacción de unos dependa de la de otros. </w:t>
      </w:r>
      <w:r w:rsidR="00CD199D" w:rsidRPr="00B320D4">
        <w:rPr>
          <w:rFonts w:ascii="Verdana" w:hAnsi="Verdana" w:cstheme="minorHAnsi"/>
          <w:sz w:val="20"/>
          <w:szCs w:val="20"/>
        </w:rPr>
        <w:t>Así</w:t>
      </w:r>
      <w:r w:rsidR="006B2688" w:rsidRPr="00B320D4">
        <w:rPr>
          <w:rFonts w:ascii="Verdana" w:hAnsi="Verdana" w:cstheme="minorHAnsi"/>
          <w:sz w:val="20"/>
          <w:szCs w:val="20"/>
        </w:rPr>
        <w:t xml:space="preserve">, </w:t>
      </w:r>
      <w:r w:rsidR="000C28E9" w:rsidRPr="00B320D4">
        <w:rPr>
          <w:rFonts w:ascii="Verdana" w:hAnsi="Verdana" w:cstheme="minorHAnsi"/>
          <w:sz w:val="20"/>
          <w:szCs w:val="20"/>
        </w:rPr>
        <w:t xml:space="preserve">por ejemplo, no podría pensarse que puede realmente realizarse la libertad de conciencia y religión si, a su vez, no se garantiza la libertad de pensamiento y expresión. </w:t>
      </w:r>
    </w:p>
    <w:p w14:paraId="2692442C" w14:textId="77777777" w:rsidR="000C28E9" w:rsidRPr="00B320D4" w:rsidRDefault="000C28E9" w:rsidP="00267F70">
      <w:pPr>
        <w:pStyle w:val="Prrafodelista"/>
        <w:spacing w:line="240" w:lineRule="auto"/>
        <w:rPr>
          <w:rFonts w:ascii="Verdana" w:hAnsi="Verdana" w:cstheme="minorHAnsi"/>
          <w:sz w:val="20"/>
          <w:szCs w:val="20"/>
        </w:rPr>
      </w:pPr>
    </w:p>
    <w:p w14:paraId="544E1902" w14:textId="756B2CD1" w:rsidR="000C28E9" w:rsidRPr="00B320D4" w:rsidRDefault="00FB0638" w:rsidP="00267F70">
      <w:pPr>
        <w:pStyle w:val="Prrafodelista"/>
        <w:spacing w:after="160" w:line="240" w:lineRule="auto"/>
        <w:ind w:left="0"/>
        <w:jc w:val="both"/>
        <w:rPr>
          <w:rFonts w:ascii="Verdana" w:hAnsi="Verdana" w:cstheme="minorHAnsi"/>
          <w:sz w:val="20"/>
          <w:szCs w:val="20"/>
        </w:rPr>
      </w:pPr>
      <w:r>
        <w:rPr>
          <w:rFonts w:ascii="Verdana" w:hAnsi="Verdana" w:cstheme="minorHAnsi"/>
          <w:sz w:val="20"/>
          <w:szCs w:val="20"/>
        </w:rPr>
        <w:t>48</w:t>
      </w:r>
      <w:r w:rsidR="0058240E" w:rsidRPr="00B320D4">
        <w:rPr>
          <w:rFonts w:ascii="Verdana" w:hAnsi="Verdana" w:cstheme="minorHAnsi"/>
          <w:sz w:val="20"/>
          <w:szCs w:val="20"/>
        </w:rPr>
        <w:t xml:space="preserve">. </w:t>
      </w:r>
      <w:r w:rsidR="0058240E" w:rsidRPr="00B320D4">
        <w:rPr>
          <w:rFonts w:ascii="Verdana" w:hAnsi="Verdana" w:cstheme="minorHAnsi"/>
          <w:sz w:val="20"/>
          <w:szCs w:val="20"/>
        </w:rPr>
        <w:tab/>
      </w:r>
      <w:r w:rsidR="000C28E9" w:rsidRPr="00B320D4">
        <w:rPr>
          <w:rFonts w:ascii="Verdana" w:hAnsi="Verdana" w:cstheme="minorHAnsi"/>
          <w:sz w:val="20"/>
          <w:szCs w:val="20"/>
        </w:rPr>
        <w:t>La autonomía de los DESCA a partir del artículo 26 no niega (no podría hacerlo) su carácter interdependiente, entre sí y con otros derechos</w:t>
      </w:r>
      <w:r w:rsidR="00FD0B06" w:rsidRPr="00B320D4">
        <w:rPr>
          <w:rFonts w:ascii="Verdana" w:hAnsi="Verdana" w:cstheme="minorHAnsi"/>
          <w:sz w:val="20"/>
          <w:szCs w:val="20"/>
        </w:rPr>
        <w:t xml:space="preserve"> civiles y políticos</w:t>
      </w:r>
      <w:r w:rsidR="000C28E9" w:rsidRPr="00B320D4">
        <w:rPr>
          <w:rFonts w:ascii="Verdana" w:hAnsi="Verdana" w:cstheme="minorHAnsi"/>
          <w:sz w:val="20"/>
          <w:szCs w:val="20"/>
        </w:rPr>
        <w:t xml:space="preserve">. </w:t>
      </w:r>
      <w:r w:rsidR="00FD0B06" w:rsidRPr="00B320D4">
        <w:rPr>
          <w:rFonts w:ascii="Verdana" w:hAnsi="Verdana" w:cstheme="minorHAnsi"/>
          <w:sz w:val="20"/>
          <w:szCs w:val="20"/>
        </w:rPr>
        <w:t>L</w:t>
      </w:r>
      <w:r w:rsidR="000C28E9" w:rsidRPr="00B320D4">
        <w:rPr>
          <w:rFonts w:ascii="Verdana" w:hAnsi="Verdana" w:cstheme="minorHAnsi"/>
          <w:sz w:val="20"/>
          <w:szCs w:val="20"/>
        </w:rPr>
        <w:t>a Corte</w:t>
      </w:r>
      <w:r w:rsidR="008A5D0F" w:rsidRPr="00B320D4">
        <w:rPr>
          <w:rFonts w:ascii="Verdana" w:hAnsi="Verdana" w:cstheme="minorHAnsi"/>
          <w:sz w:val="20"/>
          <w:szCs w:val="20"/>
        </w:rPr>
        <w:t xml:space="preserve"> IDH</w:t>
      </w:r>
      <w:r w:rsidR="000C28E9" w:rsidRPr="00B320D4">
        <w:rPr>
          <w:rFonts w:ascii="Verdana" w:hAnsi="Verdana" w:cstheme="minorHAnsi"/>
          <w:sz w:val="20"/>
          <w:szCs w:val="20"/>
        </w:rPr>
        <w:t xml:space="preserve">, al examinar casos que involucraron derechos </w:t>
      </w:r>
      <w:r w:rsidR="006B2688" w:rsidRPr="00B320D4">
        <w:rPr>
          <w:rFonts w:ascii="Verdana" w:hAnsi="Verdana" w:cstheme="minorHAnsi"/>
          <w:sz w:val="20"/>
          <w:szCs w:val="20"/>
        </w:rPr>
        <w:t xml:space="preserve">protegidos </w:t>
      </w:r>
      <w:r w:rsidR="000C28E9" w:rsidRPr="00B320D4">
        <w:rPr>
          <w:rFonts w:ascii="Verdana" w:hAnsi="Verdana" w:cstheme="minorHAnsi"/>
          <w:sz w:val="20"/>
          <w:szCs w:val="20"/>
        </w:rPr>
        <w:t xml:space="preserve">por esa disposición, con frecuencia ha decidido de conformidad </w:t>
      </w:r>
      <w:r w:rsidR="00FD0B06" w:rsidRPr="00B320D4">
        <w:rPr>
          <w:rFonts w:ascii="Verdana" w:hAnsi="Verdana" w:cstheme="minorHAnsi"/>
          <w:sz w:val="20"/>
          <w:szCs w:val="20"/>
        </w:rPr>
        <w:t xml:space="preserve">con </w:t>
      </w:r>
      <w:r w:rsidR="000C28E9" w:rsidRPr="00B320D4">
        <w:rPr>
          <w:rFonts w:ascii="Verdana" w:hAnsi="Verdana" w:cstheme="minorHAnsi"/>
          <w:sz w:val="20"/>
          <w:szCs w:val="20"/>
        </w:rPr>
        <w:t>tal carácter. Pueden mencionarse</w:t>
      </w:r>
      <w:r w:rsidR="006B2688" w:rsidRPr="00B320D4">
        <w:rPr>
          <w:rFonts w:ascii="Verdana" w:hAnsi="Verdana" w:cstheme="minorHAnsi"/>
          <w:sz w:val="20"/>
          <w:szCs w:val="20"/>
        </w:rPr>
        <w:t>, al respecto, algunos ejemplos.</w:t>
      </w:r>
      <w:r w:rsidR="000C28E9" w:rsidRPr="00B320D4">
        <w:rPr>
          <w:rFonts w:ascii="Verdana" w:hAnsi="Verdana" w:cstheme="minorHAnsi"/>
          <w:sz w:val="20"/>
          <w:szCs w:val="20"/>
        </w:rPr>
        <w:t xml:space="preserve"> </w:t>
      </w:r>
    </w:p>
    <w:p w14:paraId="53225770" w14:textId="05FDC192" w:rsidR="000C28E9" w:rsidRPr="00914E2E" w:rsidRDefault="00FB0638" w:rsidP="00267F70">
      <w:pPr>
        <w:spacing w:after="160"/>
        <w:jc w:val="both"/>
        <w:rPr>
          <w:rFonts w:ascii="Verdana" w:hAnsi="Verdana"/>
          <w:sz w:val="20"/>
          <w:szCs w:val="20"/>
        </w:rPr>
      </w:pPr>
      <w:r>
        <w:rPr>
          <w:rFonts w:ascii="Verdana" w:hAnsi="Verdana" w:cstheme="minorHAnsi"/>
          <w:sz w:val="20"/>
          <w:szCs w:val="20"/>
        </w:rPr>
        <w:t>49</w:t>
      </w:r>
      <w:r w:rsidR="0058240E" w:rsidRPr="00B320D4">
        <w:rPr>
          <w:rFonts w:ascii="Verdana" w:hAnsi="Verdana" w:cstheme="minorHAnsi"/>
          <w:sz w:val="20"/>
          <w:szCs w:val="20"/>
        </w:rPr>
        <w:t xml:space="preserve">. </w:t>
      </w:r>
      <w:r w:rsidR="0058240E" w:rsidRPr="00B320D4">
        <w:rPr>
          <w:rFonts w:ascii="Verdana" w:hAnsi="Verdana" w:cstheme="minorHAnsi"/>
          <w:sz w:val="20"/>
          <w:szCs w:val="20"/>
        </w:rPr>
        <w:tab/>
      </w:r>
      <w:r w:rsidR="000C28E9" w:rsidRPr="00B320D4">
        <w:rPr>
          <w:rFonts w:ascii="Verdana" w:hAnsi="Verdana" w:cstheme="minorHAnsi"/>
          <w:sz w:val="20"/>
          <w:szCs w:val="20"/>
        </w:rPr>
        <w:t xml:space="preserve">En el caso </w:t>
      </w:r>
      <w:r w:rsidR="000C28E9" w:rsidRPr="00B320D4">
        <w:rPr>
          <w:rFonts w:ascii="Verdana" w:hAnsi="Verdana" w:cstheme="minorHAnsi"/>
          <w:i/>
          <w:sz w:val="20"/>
          <w:szCs w:val="20"/>
        </w:rPr>
        <w:t>Poblete Vilches Vs. Chile</w:t>
      </w:r>
      <w:r w:rsidR="000C28E9" w:rsidRPr="00B320D4">
        <w:rPr>
          <w:rFonts w:ascii="Verdana" w:hAnsi="Verdana" w:cstheme="minorHAnsi"/>
          <w:sz w:val="20"/>
          <w:szCs w:val="20"/>
        </w:rPr>
        <w:t xml:space="preserve">, la Corte </w:t>
      </w:r>
      <w:r w:rsidR="008A5D0F" w:rsidRPr="00B320D4">
        <w:rPr>
          <w:rFonts w:ascii="Verdana" w:hAnsi="Verdana" w:cstheme="minorHAnsi"/>
          <w:sz w:val="20"/>
          <w:szCs w:val="20"/>
        </w:rPr>
        <w:t xml:space="preserve">IDH </w:t>
      </w:r>
      <w:r w:rsidR="000C28E9" w:rsidRPr="00B320D4">
        <w:rPr>
          <w:rFonts w:ascii="Verdana" w:hAnsi="Verdana" w:cstheme="minorHAnsi"/>
          <w:sz w:val="20"/>
          <w:szCs w:val="20"/>
        </w:rPr>
        <w:t>advirtió que</w:t>
      </w:r>
      <w:r w:rsidR="000C28E9" w:rsidRPr="00B320D4">
        <w:rPr>
          <w:rFonts w:ascii="Verdana" w:hAnsi="Verdana"/>
          <w:sz w:val="20"/>
          <w:szCs w:val="20"/>
        </w:rPr>
        <w:t xml:space="preserve"> la falta de obtención de consentimiento informado para un tratamiento médico, afectó no solo el ejercicio del derecho a la salud, sino también el derecho a acceder a información y a tomar decisiones libres sobre el propio cuerpo, lo que incidió en la autonomía personal y la vida privada y familiar. Por otra parte, dado que se concluyó que hubo una relación entre omisiones en prestaciones de salud y padecimientos y la muerte de la víctima, se declararon violados los derechos a la vida y a la integridad personal “en relación” con el derecho a la salud</w:t>
      </w:r>
      <w:r w:rsidR="000C28E9" w:rsidRPr="007E1845">
        <w:rPr>
          <w:rStyle w:val="Refdenotaalpie"/>
          <w:rFonts w:ascii="Verdana" w:hAnsi="Verdana"/>
          <w:sz w:val="20"/>
        </w:rPr>
        <w:footnoteReference w:id="44"/>
      </w:r>
      <w:r w:rsidR="000C28E9" w:rsidRPr="007E1845">
        <w:rPr>
          <w:rFonts w:ascii="Verdana" w:hAnsi="Verdana"/>
          <w:sz w:val="20"/>
          <w:szCs w:val="20"/>
        </w:rPr>
        <w:t xml:space="preserve">.  </w:t>
      </w:r>
    </w:p>
    <w:p w14:paraId="67814B3C" w14:textId="3DD225CC" w:rsidR="000C28E9" w:rsidRPr="00914E2E" w:rsidRDefault="00FB0638" w:rsidP="00267F70">
      <w:pPr>
        <w:spacing w:after="160"/>
        <w:jc w:val="both"/>
        <w:rPr>
          <w:rFonts w:ascii="Verdana" w:hAnsi="Verdana"/>
          <w:sz w:val="20"/>
          <w:szCs w:val="20"/>
        </w:rPr>
      </w:pPr>
      <w:r>
        <w:rPr>
          <w:rFonts w:ascii="Verdana" w:hAnsi="Verdana"/>
          <w:sz w:val="20"/>
          <w:szCs w:val="20"/>
        </w:rPr>
        <w:t>50</w:t>
      </w:r>
      <w:r w:rsidR="0058240E" w:rsidRPr="00F820A3">
        <w:rPr>
          <w:rFonts w:ascii="Verdana" w:hAnsi="Verdana"/>
          <w:sz w:val="20"/>
          <w:szCs w:val="20"/>
        </w:rPr>
        <w:t xml:space="preserve">. </w:t>
      </w:r>
      <w:r w:rsidR="0058240E" w:rsidRPr="00F820A3">
        <w:rPr>
          <w:rFonts w:ascii="Verdana" w:hAnsi="Verdana"/>
          <w:sz w:val="20"/>
          <w:szCs w:val="20"/>
        </w:rPr>
        <w:tab/>
      </w:r>
      <w:r w:rsidR="000C28E9" w:rsidRPr="00F820A3">
        <w:rPr>
          <w:rFonts w:ascii="Verdana" w:hAnsi="Verdana"/>
          <w:sz w:val="20"/>
          <w:szCs w:val="20"/>
        </w:rPr>
        <w:t xml:space="preserve">En su decisión sobre el caso </w:t>
      </w:r>
      <w:r w:rsidR="000C28E9" w:rsidRPr="00F820A3">
        <w:rPr>
          <w:rFonts w:ascii="Verdana" w:hAnsi="Verdana"/>
          <w:i/>
          <w:sz w:val="20"/>
          <w:szCs w:val="20"/>
        </w:rPr>
        <w:t>San Miguel Sosa y otras Vs. Venezuela</w:t>
      </w:r>
      <w:r w:rsidR="000C28E9" w:rsidRPr="001865F1">
        <w:rPr>
          <w:rFonts w:ascii="Verdana" w:hAnsi="Verdana"/>
          <w:sz w:val="20"/>
          <w:szCs w:val="20"/>
        </w:rPr>
        <w:t xml:space="preserve">, el Tribunal </w:t>
      </w:r>
      <w:r w:rsidR="008A5D0F" w:rsidRPr="00EE35BE">
        <w:rPr>
          <w:rFonts w:ascii="Verdana" w:hAnsi="Verdana"/>
          <w:sz w:val="20"/>
          <w:szCs w:val="20"/>
        </w:rPr>
        <w:t xml:space="preserve">Interamericano </w:t>
      </w:r>
      <w:r w:rsidR="000C28E9" w:rsidRPr="00EE35BE">
        <w:rPr>
          <w:rFonts w:ascii="Verdana" w:hAnsi="Verdana"/>
          <w:sz w:val="20"/>
          <w:szCs w:val="20"/>
        </w:rPr>
        <w:t xml:space="preserve">constató que los hechos del caso mostraban que la terminación arbitraria de una relación laboral se había utilizado como forma de represalia y “discriminación política” por el ejercicio de derechos de participación política y libertad de expresión y que, al respecto, no se garantizó a las víctimas el acceso a la justicia. Por ello determinó una vulneración al derecho al trabajo (artículo 26) “en relación” con </w:t>
      </w:r>
      <w:r w:rsidR="000C28E9" w:rsidRPr="00EE35BE">
        <w:rPr>
          <w:rFonts w:ascii="Verdana" w:hAnsi="Verdana"/>
          <w:sz w:val="20"/>
          <w:szCs w:val="20"/>
        </w:rPr>
        <w:lastRenderedPageBreak/>
        <w:t>“los derechos a la participación política, a la libertad de expresión y de acceso a la justicia, así como con el principio de no discriminación”</w:t>
      </w:r>
      <w:r w:rsidR="000C28E9" w:rsidRPr="007E1845">
        <w:rPr>
          <w:rStyle w:val="Refdenotaalpie"/>
          <w:rFonts w:ascii="Verdana" w:hAnsi="Verdana"/>
          <w:sz w:val="20"/>
        </w:rPr>
        <w:footnoteReference w:id="45"/>
      </w:r>
      <w:r w:rsidR="000C28E9" w:rsidRPr="007E1845">
        <w:rPr>
          <w:rFonts w:ascii="Verdana" w:hAnsi="Verdana"/>
          <w:sz w:val="20"/>
          <w:szCs w:val="20"/>
        </w:rPr>
        <w:t>.</w:t>
      </w:r>
    </w:p>
    <w:p w14:paraId="66303E0C" w14:textId="43FEE44F" w:rsidR="000C28E9" w:rsidRPr="00914E2E" w:rsidRDefault="00FB0638" w:rsidP="00267F70">
      <w:pPr>
        <w:spacing w:after="160"/>
        <w:jc w:val="both"/>
        <w:rPr>
          <w:rFonts w:ascii="Verdana" w:hAnsi="Verdana"/>
          <w:sz w:val="20"/>
          <w:szCs w:val="20"/>
        </w:rPr>
      </w:pPr>
      <w:r>
        <w:rPr>
          <w:rStyle w:val="Textoennegrita"/>
          <w:rFonts w:ascii="Verdana" w:hAnsi="Verdana"/>
          <w:b w:val="0"/>
          <w:color w:val="000000"/>
          <w:sz w:val="20"/>
          <w:szCs w:val="20"/>
          <w:shd w:val="clear" w:color="auto" w:fill="FFFFFF"/>
        </w:rPr>
        <w:t>51</w:t>
      </w:r>
      <w:r w:rsidR="0058240E" w:rsidRPr="00F820A3">
        <w:rPr>
          <w:rStyle w:val="Textoennegrita"/>
          <w:rFonts w:ascii="Verdana" w:hAnsi="Verdana"/>
          <w:b w:val="0"/>
          <w:color w:val="000000"/>
          <w:sz w:val="20"/>
          <w:szCs w:val="20"/>
          <w:shd w:val="clear" w:color="auto" w:fill="FFFFFF"/>
        </w:rPr>
        <w:t>.</w:t>
      </w:r>
      <w:r w:rsidR="0058240E" w:rsidRPr="00F820A3">
        <w:rPr>
          <w:rStyle w:val="Textoennegrita"/>
          <w:rFonts w:ascii="Verdana" w:hAnsi="Verdana"/>
          <w:b w:val="0"/>
          <w:color w:val="000000"/>
          <w:sz w:val="20"/>
          <w:szCs w:val="20"/>
          <w:shd w:val="clear" w:color="auto" w:fill="FFFFFF"/>
        </w:rPr>
        <w:tab/>
      </w:r>
      <w:r w:rsidR="000C28E9" w:rsidRPr="00F820A3">
        <w:rPr>
          <w:rStyle w:val="Textoennegrita"/>
          <w:rFonts w:ascii="Verdana" w:hAnsi="Verdana"/>
          <w:b w:val="0"/>
          <w:color w:val="000000"/>
          <w:sz w:val="20"/>
          <w:szCs w:val="20"/>
          <w:shd w:val="clear" w:color="auto" w:fill="FFFFFF"/>
        </w:rPr>
        <w:t xml:space="preserve">En el caso </w:t>
      </w:r>
      <w:r w:rsidR="000C28E9" w:rsidRPr="00F820A3">
        <w:rPr>
          <w:rStyle w:val="Textoennegrita"/>
          <w:rFonts w:ascii="Verdana" w:hAnsi="Verdana"/>
          <w:b w:val="0"/>
          <w:i/>
          <w:color w:val="000000"/>
          <w:sz w:val="20"/>
          <w:szCs w:val="20"/>
          <w:shd w:val="clear" w:color="auto" w:fill="FFFFFF"/>
        </w:rPr>
        <w:t>Asociación Nacional de Cesantes y Jubilados de la Superintendencia Nacional de Administración Tributaria (ANCEJUB-SUNAT) Vs. Perú,</w:t>
      </w:r>
      <w:r w:rsidR="000C28E9" w:rsidRPr="00EE35BE">
        <w:rPr>
          <w:rStyle w:val="Textoennegrita"/>
          <w:rFonts w:ascii="Verdana" w:hAnsi="Verdana"/>
          <w:i/>
          <w:color w:val="000000"/>
          <w:shd w:val="clear" w:color="auto" w:fill="FFFFFF"/>
        </w:rPr>
        <w:t xml:space="preserve"> </w:t>
      </w:r>
      <w:r w:rsidR="000C28E9" w:rsidRPr="00EE35BE">
        <w:rPr>
          <w:rFonts w:ascii="Verdana" w:hAnsi="Verdana"/>
          <w:sz w:val="20"/>
          <w:szCs w:val="20"/>
        </w:rPr>
        <w:t xml:space="preserve">la Corte </w:t>
      </w:r>
      <w:r w:rsidR="00FD0B06" w:rsidRPr="00EE35BE">
        <w:rPr>
          <w:rFonts w:ascii="Verdana" w:hAnsi="Verdana"/>
          <w:sz w:val="20"/>
          <w:szCs w:val="20"/>
        </w:rPr>
        <w:t xml:space="preserve">IDH </w:t>
      </w:r>
      <w:r w:rsidR="000C28E9" w:rsidRPr="00EE35BE">
        <w:rPr>
          <w:rFonts w:ascii="Verdana" w:hAnsi="Verdana"/>
          <w:sz w:val="20"/>
          <w:szCs w:val="20"/>
        </w:rPr>
        <w:t>señaló además que uno de “de los elementos fundamentales de la seguridad social lo constituye su relación con la</w:t>
      </w:r>
      <w:r w:rsidR="000C28E9" w:rsidRPr="00B320D4">
        <w:rPr>
          <w:rFonts w:ascii="Verdana" w:hAnsi="Verdana"/>
          <w:sz w:val="20"/>
          <w:szCs w:val="20"/>
        </w:rPr>
        <w:t xml:space="preserve"> garantía de otros derechos” y que ese derecho se “interrelaciona” con el derecho a la vida digna, que se vio incidido en el caso. Asimismo, concluyó que la falta de percepción de montos </w:t>
      </w:r>
      <w:r w:rsidR="00FD0B06" w:rsidRPr="00B320D4">
        <w:rPr>
          <w:rFonts w:ascii="Verdana" w:hAnsi="Verdana"/>
          <w:sz w:val="20"/>
          <w:szCs w:val="20"/>
        </w:rPr>
        <w:t xml:space="preserve">pecuniarios </w:t>
      </w:r>
      <w:r w:rsidR="000C28E9" w:rsidRPr="00B320D4">
        <w:rPr>
          <w:rFonts w:ascii="Verdana" w:hAnsi="Verdana"/>
          <w:sz w:val="20"/>
          <w:szCs w:val="20"/>
        </w:rPr>
        <w:t xml:space="preserve">a los que las víctimas tenían derecho dado su derecho a la pensión, afectó también el derecho de propiedad. En el caso, todo lo anterior se vinculó con el incumplimiento y demora respecto de sentencias relativas a pensiones. La Corte </w:t>
      </w:r>
      <w:r w:rsidR="006B2688" w:rsidRPr="00B320D4">
        <w:rPr>
          <w:rFonts w:ascii="Verdana" w:hAnsi="Verdana"/>
          <w:sz w:val="20"/>
          <w:szCs w:val="20"/>
        </w:rPr>
        <w:t xml:space="preserve">IDH </w:t>
      </w:r>
      <w:r w:rsidR="000C28E9" w:rsidRPr="00B320D4">
        <w:rPr>
          <w:rFonts w:ascii="Verdana" w:hAnsi="Verdana"/>
          <w:sz w:val="20"/>
          <w:szCs w:val="20"/>
        </w:rPr>
        <w:t>determinó que se violaron los derechos a la seguridad social, a una vida digna y a la propiedad “en relación” con los derechos a las garantías judiciales y a la protección judicial</w:t>
      </w:r>
      <w:r w:rsidR="000C28E9" w:rsidRPr="007E1845">
        <w:rPr>
          <w:rStyle w:val="Refdenotaalpie"/>
          <w:rFonts w:ascii="Verdana" w:hAnsi="Verdana"/>
          <w:sz w:val="20"/>
        </w:rPr>
        <w:footnoteReference w:id="46"/>
      </w:r>
      <w:r w:rsidR="000C28E9" w:rsidRPr="007E1845">
        <w:rPr>
          <w:rFonts w:ascii="Verdana" w:hAnsi="Verdana"/>
          <w:sz w:val="20"/>
          <w:szCs w:val="20"/>
        </w:rPr>
        <w:t>.</w:t>
      </w:r>
    </w:p>
    <w:p w14:paraId="63C938DC" w14:textId="48DE7392" w:rsidR="000C28E9" w:rsidRPr="00914E2E" w:rsidRDefault="00FB0638" w:rsidP="00267F70">
      <w:pPr>
        <w:spacing w:after="160"/>
        <w:jc w:val="both"/>
        <w:rPr>
          <w:rFonts w:ascii="Verdana" w:hAnsi="Verdana"/>
          <w:sz w:val="20"/>
          <w:szCs w:val="20"/>
        </w:rPr>
      </w:pPr>
      <w:r>
        <w:rPr>
          <w:rFonts w:ascii="Verdana" w:hAnsi="Verdana"/>
          <w:sz w:val="20"/>
          <w:szCs w:val="20"/>
        </w:rPr>
        <w:t>52</w:t>
      </w:r>
      <w:r w:rsidR="0058240E" w:rsidRPr="00EE35BE">
        <w:rPr>
          <w:rFonts w:ascii="Verdana" w:hAnsi="Verdana"/>
          <w:sz w:val="20"/>
          <w:szCs w:val="20"/>
        </w:rPr>
        <w:t xml:space="preserve">. </w:t>
      </w:r>
      <w:r w:rsidR="0058240E" w:rsidRPr="00EE35BE">
        <w:rPr>
          <w:rFonts w:ascii="Verdana" w:hAnsi="Verdana"/>
          <w:sz w:val="20"/>
          <w:szCs w:val="20"/>
        </w:rPr>
        <w:tab/>
      </w:r>
      <w:r w:rsidR="000C28E9" w:rsidRPr="00EE35BE">
        <w:rPr>
          <w:rFonts w:ascii="Verdana" w:hAnsi="Verdana"/>
          <w:sz w:val="20"/>
          <w:szCs w:val="20"/>
        </w:rPr>
        <w:t xml:space="preserve">En el caso </w:t>
      </w:r>
      <w:r w:rsidR="000C28E9" w:rsidRPr="00EE35BE">
        <w:rPr>
          <w:rFonts w:ascii="Verdana" w:hAnsi="Verdana"/>
          <w:i/>
          <w:sz w:val="20"/>
          <w:szCs w:val="20"/>
        </w:rPr>
        <w:t>Cuscul Pivaral y otros Vs. Guatemala</w:t>
      </w:r>
      <w:r w:rsidR="000C28E9" w:rsidRPr="00B320D4">
        <w:rPr>
          <w:rFonts w:ascii="Verdana" w:hAnsi="Verdana"/>
          <w:sz w:val="20"/>
          <w:szCs w:val="20"/>
        </w:rPr>
        <w:t xml:space="preserve"> se determinó una vulneración al derecho a la salud y el incumplimiento, respecto de ese derecho, de la prohibición de discriminación y del principio de progresividad; pero además que la falta de tratamiento médico adecuado tuvo un nexo causal con los padecimientos y la muerte de determinadas personas, por lo que declaró violado los derechos a la integridad personal y a la vida “en relación” con el artículo 26, que protege el derecho a la salud</w:t>
      </w:r>
      <w:r w:rsidR="000C28E9" w:rsidRPr="007E1845">
        <w:rPr>
          <w:rStyle w:val="Refdenotaalpie"/>
          <w:rFonts w:ascii="Verdana" w:hAnsi="Verdana"/>
          <w:sz w:val="20"/>
        </w:rPr>
        <w:footnoteReference w:id="47"/>
      </w:r>
      <w:r w:rsidR="000C28E9" w:rsidRPr="007E1845">
        <w:rPr>
          <w:rFonts w:ascii="Verdana" w:hAnsi="Verdana"/>
          <w:sz w:val="20"/>
          <w:szCs w:val="20"/>
        </w:rPr>
        <w:t>.</w:t>
      </w:r>
    </w:p>
    <w:p w14:paraId="79F2CF70" w14:textId="19C34C37" w:rsidR="000C28E9" w:rsidRPr="00914E2E" w:rsidRDefault="00FB0638" w:rsidP="00267F70">
      <w:pPr>
        <w:spacing w:after="160"/>
        <w:jc w:val="both"/>
        <w:rPr>
          <w:rFonts w:ascii="Verdana" w:hAnsi="Verdana"/>
          <w:sz w:val="20"/>
          <w:szCs w:val="20"/>
        </w:rPr>
      </w:pPr>
      <w:r>
        <w:rPr>
          <w:rFonts w:ascii="Verdana" w:hAnsi="Verdana"/>
          <w:sz w:val="20"/>
          <w:szCs w:val="20"/>
        </w:rPr>
        <w:t>53</w:t>
      </w:r>
      <w:r w:rsidR="0058240E" w:rsidRPr="00EE35BE">
        <w:rPr>
          <w:rFonts w:ascii="Verdana" w:hAnsi="Verdana"/>
          <w:sz w:val="20"/>
          <w:szCs w:val="20"/>
        </w:rPr>
        <w:t xml:space="preserve">. </w:t>
      </w:r>
      <w:r w:rsidR="0058240E" w:rsidRPr="00EE35BE">
        <w:rPr>
          <w:rFonts w:ascii="Verdana" w:hAnsi="Verdana"/>
          <w:sz w:val="20"/>
          <w:szCs w:val="20"/>
        </w:rPr>
        <w:tab/>
      </w:r>
      <w:r w:rsidR="000C28E9" w:rsidRPr="00EE35BE">
        <w:rPr>
          <w:rFonts w:ascii="Verdana" w:hAnsi="Verdana"/>
          <w:sz w:val="20"/>
          <w:szCs w:val="20"/>
        </w:rPr>
        <w:t xml:space="preserve">En el caso </w:t>
      </w:r>
      <w:r w:rsidR="000C28E9" w:rsidRPr="00EE35BE">
        <w:rPr>
          <w:rFonts w:ascii="Verdana" w:hAnsi="Verdana"/>
          <w:i/>
          <w:sz w:val="20"/>
          <w:szCs w:val="20"/>
        </w:rPr>
        <w:t xml:space="preserve">Hernández Vs. Argentina </w:t>
      </w:r>
      <w:r w:rsidR="000C28E9" w:rsidRPr="00B320D4">
        <w:rPr>
          <w:rFonts w:ascii="Verdana" w:hAnsi="Verdana"/>
          <w:sz w:val="20"/>
          <w:szCs w:val="20"/>
        </w:rPr>
        <w:t>el Tribunal advirtió que hubo una falta de atención médica a una persona privada de la libertad, y que “el sufrimiento y el deterioro a la integridad personal causado por la fal</w:t>
      </w:r>
      <w:r w:rsidR="00634D6B" w:rsidRPr="00B320D4">
        <w:rPr>
          <w:rFonts w:ascii="Verdana" w:hAnsi="Verdana"/>
          <w:sz w:val="20"/>
          <w:szCs w:val="20"/>
        </w:rPr>
        <w:t>ta de atención médica adecuada —</w:t>
      </w:r>
      <w:r w:rsidR="000C28E9" w:rsidRPr="00B320D4">
        <w:rPr>
          <w:rFonts w:ascii="Verdana" w:hAnsi="Verdana"/>
          <w:sz w:val="20"/>
          <w:szCs w:val="20"/>
        </w:rPr>
        <w:t>y el consecuente daño a su salud</w:t>
      </w:r>
      <w:r w:rsidR="00634D6B" w:rsidRPr="00B320D4">
        <w:rPr>
          <w:rFonts w:ascii="Verdana" w:hAnsi="Verdana"/>
          <w:sz w:val="20"/>
          <w:szCs w:val="20"/>
        </w:rPr>
        <w:t>—</w:t>
      </w:r>
      <w:r w:rsidR="000C28E9" w:rsidRPr="00B320D4">
        <w:rPr>
          <w:rFonts w:ascii="Verdana" w:hAnsi="Verdana"/>
          <w:sz w:val="20"/>
          <w:szCs w:val="20"/>
        </w:rPr>
        <w:t xml:space="preserve"> de una persona privada de libertad pueden constituir por sí mismos tratos crueles, inhumanos y degradantes”. Entendió entonces que hubo una lesión tanto a la integridad personal (que configuró un trato degradante) como al derecho a la salud</w:t>
      </w:r>
      <w:r w:rsidR="000C28E9" w:rsidRPr="007E1845">
        <w:rPr>
          <w:rStyle w:val="Refdenotaalpie"/>
          <w:rFonts w:ascii="Verdana" w:hAnsi="Verdana"/>
          <w:sz w:val="20"/>
        </w:rPr>
        <w:footnoteReference w:id="48"/>
      </w:r>
      <w:r w:rsidR="000C28E9" w:rsidRPr="007E1845">
        <w:rPr>
          <w:rFonts w:ascii="Verdana" w:hAnsi="Verdana"/>
          <w:sz w:val="20"/>
          <w:szCs w:val="20"/>
        </w:rPr>
        <w:t xml:space="preserve">. </w:t>
      </w:r>
    </w:p>
    <w:p w14:paraId="730CE2DC" w14:textId="63BC6536" w:rsidR="000C28E9" w:rsidRPr="00B320D4" w:rsidRDefault="00FB0638" w:rsidP="00267F70">
      <w:pPr>
        <w:pStyle w:val="Prrafodelista"/>
        <w:spacing w:after="160" w:line="240" w:lineRule="auto"/>
        <w:ind w:left="0"/>
        <w:jc w:val="both"/>
        <w:rPr>
          <w:rFonts w:ascii="Verdana" w:hAnsi="Verdana" w:cstheme="minorHAnsi"/>
          <w:sz w:val="20"/>
          <w:szCs w:val="20"/>
        </w:rPr>
      </w:pPr>
      <w:r>
        <w:rPr>
          <w:rFonts w:ascii="Verdana" w:hAnsi="Verdana" w:cstheme="minorHAnsi"/>
          <w:sz w:val="20"/>
          <w:szCs w:val="20"/>
        </w:rPr>
        <w:t>54</w:t>
      </w:r>
      <w:r w:rsidR="0058240E" w:rsidRPr="00EE35BE">
        <w:rPr>
          <w:rFonts w:ascii="Verdana" w:hAnsi="Verdana" w:cstheme="minorHAnsi"/>
          <w:sz w:val="20"/>
          <w:szCs w:val="20"/>
        </w:rPr>
        <w:t xml:space="preserve">. </w:t>
      </w:r>
      <w:r w:rsidR="0058240E" w:rsidRPr="00EE35BE">
        <w:rPr>
          <w:rFonts w:ascii="Verdana" w:hAnsi="Verdana" w:cstheme="minorHAnsi"/>
          <w:sz w:val="20"/>
          <w:szCs w:val="20"/>
        </w:rPr>
        <w:tab/>
      </w:r>
      <w:r w:rsidR="000C28E9" w:rsidRPr="00EE35BE">
        <w:rPr>
          <w:rFonts w:ascii="Verdana" w:hAnsi="Verdana" w:cstheme="minorHAnsi"/>
          <w:sz w:val="20"/>
          <w:szCs w:val="20"/>
        </w:rPr>
        <w:t xml:space="preserve">Ahora bien, los ejemplos citados (a los que podrían adicionarse otros) se diferencian de un entendimiento que, so pretexto de advertir una conexidad entre los derechos, niegue de plano su autonomía. </w:t>
      </w:r>
    </w:p>
    <w:p w14:paraId="506816C5" w14:textId="77777777" w:rsidR="000C28E9" w:rsidRPr="00B320D4" w:rsidRDefault="000C28E9" w:rsidP="00267F70">
      <w:pPr>
        <w:pStyle w:val="Prrafodelista"/>
        <w:spacing w:line="240" w:lineRule="auto"/>
        <w:ind w:left="0"/>
        <w:jc w:val="both"/>
        <w:rPr>
          <w:rFonts w:ascii="Verdana" w:hAnsi="Verdana" w:cstheme="minorHAnsi"/>
          <w:sz w:val="20"/>
          <w:szCs w:val="20"/>
        </w:rPr>
      </w:pPr>
    </w:p>
    <w:p w14:paraId="443E5F5B" w14:textId="730AF5E8" w:rsidR="000C28E9" w:rsidRPr="00B320D4" w:rsidRDefault="00FB0638" w:rsidP="00267F70">
      <w:pPr>
        <w:pStyle w:val="Prrafodelista"/>
        <w:spacing w:after="160" w:line="240" w:lineRule="auto"/>
        <w:ind w:left="0"/>
        <w:jc w:val="both"/>
        <w:rPr>
          <w:rFonts w:ascii="Verdana" w:hAnsi="Verdana" w:cstheme="minorHAnsi"/>
          <w:sz w:val="20"/>
          <w:szCs w:val="20"/>
        </w:rPr>
      </w:pPr>
      <w:r>
        <w:rPr>
          <w:rFonts w:ascii="Verdana" w:hAnsi="Verdana" w:cstheme="minorHAnsi"/>
          <w:sz w:val="20"/>
          <w:szCs w:val="20"/>
        </w:rPr>
        <w:t>55</w:t>
      </w:r>
      <w:r w:rsidR="0058240E" w:rsidRPr="00B320D4">
        <w:rPr>
          <w:rFonts w:ascii="Verdana" w:hAnsi="Verdana" w:cstheme="minorHAnsi"/>
          <w:sz w:val="20"/>
          <w:szCs w:val="20"/>
        </w:rPr>
        <w:t xml:space="preserve">. </w:t>
      </w:r>
      <w:r w:rsidR="0058240E" w:rsidRPr="00B320D4">
        <w:rPr>
          <w:rFonts w:ascii="Verdana" w:hAnsi="Verdana" w:cstheme="minorHAnsi"/>
          <w:sz w:val="20"/>
          <w:szCs w:val="20"/>
        </w:rPr>
        <w:tab/>
      </w:r>
      <w:r w:rsidR="000C28E9" w:rsidRPr="00B320D4">
        <w:rPr>
          <w:rFonts w:ascii="Verdana" w:hAnsi="Verdana" w:cstheme="minorHAnsi"/>
          <w:sz w:val="20"/>
          <w:szCs w:val="20"/>
        </w:rPr>
        <w:t>En el marco específico de la aplicación del artículo 26</w:t>
      </w:r>
      <w:r w:rsidR="006B2688" w:rsidRPr="00B320D4">
        <w:rPr>
          <w:rFonts w:ascii="Verdana" w:hAnsi="Verdana" w:cstheme="minorHAnsi"/>
          <w:sz w:val="20"/>
          <w:szCs w:val="20"/>
        </w:rPr>
        <w:t xml:space="preserve"> de la Convención Americana</w:t>
      </w:r>
      <w:r w:rsidR="000C28E9" w:rsidRPr="00B320D4">
        <w:rPr>
          <w:rFonts w:ascii="Verdana" w:hAnsi="Verdana" w:cstheme="minorHAnsi"/>
          <w:sz w:val="20"/>
          <w:szCs w:val="20"/>
        </w:rPr>
        <w:t xml:space="preserve">, si se colige, como </w:t>
      </w:r>
      <w:r w:rsidR="006B2688" w:rsidRPr="00B320D4">
        <w:rPr>
          <w:rFonts w:ascii="Verdana" w:hAnsi="Verdana" w:cstheme="minorHAnsi"/>
          <w:sz w:val="20"/>
          <w:szCs w:val="20"/>
        </w:rPr>
        <w:t xml:space="preserve">lo </w:t>
      </w:r>
      <w:r w:rsidR="000C28E9" w:rsidRPr="00B320D4">
        <w:rPr>
          <w:rFonts w:ascii="Verdana" w:hAnsi="Verdana" w:cstheme="minorHAnsi"/>
          <w:sz w:val="20"/>
          <w:szCs w:val="20"/>
        </w:rPr>
        <w:t>ha hecho la Corte</w:t>
      </w:r>
      <w:r w:rsidR="008A5D0F" w:rsidRPr="00B320D4">
        <w:rPr>
          <w:rFonts w:ascii="Verdana" w:hAnsi="Verdana" w:cstheme="minorHAnsi"/>
          <w:sz w:val="20"/>
          <w:szCs w:val="20"/>
        </w:rPr>
        <w:t xml:space="preserve"> IDH</w:t>
      </w:r>
      <w:r w:rsidR="000C28E9" w:rsidRPr="00B320D4">
        <w:rPr>
          <w:rFonts w:ascii="Verdana" w:hAnsi="Verdana" w:cstheme="minorHAnsi"/>
          <w:sz w:val="20"/>
          <w:szCs w:val="20"/>
        </w:rPr>
        <w:t xml:space="preserve">, que esa disposición </w:t>
      </w:r>
      <w:r w:rsidR="006B2688" w:rsidRPr="00B320D4">
        <w:rPr>
          <w:rFonts w:ascii="Verdana" w:hAnsi="Verdana" w:cstheme="minorHAnsi"/>
          <w:sz w:val="20"/>
          <w:szCs w:val="20"/>
        </w:rPr>
        <w:t>protege DESCA</w:t>
      </w:r>
      <w:r w:rsidR="000C28E9" w:rsidRPr="00B320D4">
        <w:rPr>
          <w:rFonts w:ascii="Verdana" w:hAnsi="Verdana" w:cstheme="minorHAnsi"/>
          <w:sz w:val="20"/>
          <w:szCs w:val="20"/>
        </w:rPr>
        <w:t xml:space="preserve">, y que el Tribunal </w:t>
      </w:r>
      <w:r w:rsidR="006B2688" w:rsidRPr="00B320D4">
        <w:rPr>
          <w:rFonts w:ascii="Verdana" w:hAnsi="Verdana" w:cstheme="minorHAnsi"/>
          <w:sz w:val="20"/>
          <w:szCs w:val="20"/>
        </w:rPr>
        <w:t>Interamerican</w:t>
      </w:r>
      <w:r w:rsidR="00F820A3">
        <w:rPr>
          <w:rFonts w:ascii="Verdana" w:hAnsi="Verdana" w:cstheme="minorHAnsi"/>
          <w:sz w:val="20"/>
          <w:szCs w:val="20"/>
        </w:rPr>
        <w:t>o</w:t>
      </w:r>
      <w:r w:rsidR="006B2688" w:rsidRPr="00F820A3">
        <w:rPr>
          <w:rFonts w:ascii="Verdana" w:hAnsi="Verdana" w:cstheme="minorHAnsi"/>
          <w:sz w:val="20"/>
          <w:szCs w:val="20"/>
        </w:rPr>
        <w:t xml:space="preserve"> </w:t>
      </w:r>
      <w:r w:rsidR="000C28E9" w:rsidRPr="001865F1">
        <w:rPr>
          <w:rFonts w:ascii="Verdana" w:hAnsi="Verdana" w:cstheme="minorHAnsi"/>
          <w:sz w:val="20"/>
          <w:szCs w:val="20"/>
        </w:rPr>
        <w:t>tiene competencia para decidir sobre presuntas violaciones a los mismos, no se advierte motivo para luego hacer depender su examen de su vinculación</w:t>
      </w:r>
      <w:r w:rsidR="000C28E9" w:rsidRPr="00EE35BE">
        <w:rPr>
          <w:rFonts w:ascii="Verdana" w:hAnsi="Verdana" w:cstheme="minorHAnsi"/>
          <w:sz w:val="20"/>
          <w:szCs w:val="20"/>
        </w:rPr>
        <w:t xml:space="preserve"> con alguno de los demás derechos establecidos en la Convención</w:t>
      </w:r>
      <w:r w:rsidR="006B2688" w:rsidRPr="00EE35BE">
        <w:rPr>
          <w:rFonts w:ascii="Verdana" w:hAnsi="Verdana" w:cstheme="minorHAnsi"/>
          <w:sz w:val="20"/>
          <w:szCs w:val="20"/>
        </w:rPr>
        <w:t xml:space="preserve"> Americana </w:t>
      </w:r>
      <w:r w:rsidR="000C28E9" w:rsidRPr="00EE35BE">
        <w:rPr>
          <w:rFonts w:ascii="Verdana" w:hAnsi="Verdana" w:cstheme="minorHAnsi"/>
          <w:sz w:val="20"/>
          <w:szCs w:val="20"/>
        </w:rPr>
        <w:t>o, eventualmente, en otros tratados que</w:t>
      </w:r>
      <w:r w:rsidR="006B2688" w:rsidRPr="00EE35BE">
        <w:rPr>
          <w:rFonts w:ascii="Verdana" w:hAnsi="Verdana" w:cstheme="minorHAnsi"/>
          <w:sz w:val="20"/>
          <w:szCs w:val="20"/>
        </w:rPr>
        <w:t xml:space="preserve"> asignen competencia a la Corte IDH</w:t>
      </w:r>
      <w:r w:rsidR="000C28E9" w:rsidRPr="00B320D4">
        <w:rPr>
          <w:rFonts w:ascii="Verdana" w:hAnsi="Verdana" w:cstheme="minorHAnsi"/>
          <w:sz w:val="20"/>
          <w:szCs w:val="20"/>
        </w:rPr>
        <w:t xml:space="preserve">. </w:t>
      </w:r>
    </w:p>
    <w:p w14:paraId="27DCED18" w14:textId="77777777" w:rsidR="000C28E9" w:rsidRPr="00B320D4" w:rsidRDefault="000C28E9" w:rsidP="00267F70">
      <w:pPr>
        <w:pStyle w:val="Prrafodelista"/>
        <w:spacing w:line="240" w:lineRule="auto"/>
        <w:rPr>
          <w:rFonts w:ascii="Verdana" w:hAnsi="Verdana" w:cstheme="minorHAnsi"/>
          <w:sz w:val="20"/>
          <w:szCs w:val="20"/>
        </w:rPr>
      </w:pPr>
    </w:p>
    <w:p w14:paraId="61806CB0" w14:textId="520B4CEB" w:rsidR="000C28E9" w:rsidRPr="00B320D4" w:rsidRDefault="00FB0638" w:rsidP="00267F70">
      <w:pPr>
        <w:pStyle w:val="Prrafodelista"/>
        <w:spacing w:after="160" w:line="240" w:lineRule="auto"/>
        <w:ind w:left="0"/>
        <w:jc w:val="both"/>
        <w:rPr>
          <w:rFonts w:ascii="Verdana" w:hAnsi="Verdana" w:cstheme="minorHAnsi"/>
          <w:sz w:val="20"/>
          <w:szCs w:val="20"/>
        </w:rPr>
      </w:pPr>
      <w:r>
        <w:rPr>
          <w:rFonts w:ascii="Verdana" w:hAnsi="Verdana" w:cstheme="minorHAnsi"/>
          <w:sz w:val="20"/>
          <w:szCs w:val="20"/>
        </w:rPr>
        <w:lastRenderedPageBreak/>
        <w:t>56</w:t>
      </w:r>
      <w:r w:rsidR="0058240E" w:rsidRPr="00B320D4">
        <w:rPr>
          <w:rFonts w:ascii="Verdana" w:hAnsi="Verdana" w:cstheme="minorHAnsi"/>
          <w:sz w:val="20"/>
          <w:szCs w:val="20"/>
        </w:rPr>
        <w:t xml:space="preserve">. </w:t>
      </w:r>
      <w:r w:rsidR="0058240E" w:rsidRPr="00B320D4">
        <w:rPr>
          <w:rFonts w:ascii="Verdana" w:hAnsi="Verdana" w:cstheme="minorHAnsi"/>
          <w:sz w:val="20"/>
          <w:szCs w:val="20"/>
        </w:rPr>
        <w:tab/>
      </w:r>
      <w:r w:rsidR="000C28E9" w:rsidRPr="00B320D4">
        <w:rPr>
          <w:rFonts w:ascii="Verdana" w:hAnsi="Verdana" w:cstheme="minorHAnsi"/>
          <w:sz w:val="20"/>
          <w:szCs w:val="20"/>
        </w:rPr>
        <w:t xml:space="preserve">Una intelección como la señalada derivaría en una injustificada jerarquización de los derechos plasmados en los artículos 3 a 25 de la Convención </w:t>
      </w:r>
      <w:r w:rsidR="006B2688" w:rsidRPr="00B320D4">
        <w:rPr>
          <w:rFonts w:ascii="Verdana" w:hAnsi="Verdana" w:cstheme="minorHAnsi"/>
          <w:sz w:val="20"/>
          <w:szCs w:val="20"/>
        </w:rPr>
        <w:t xml:space="preserve">Americana, </w:t>
      </w:r>
      <w:r w:rsidR="000C28E9" w:rsidRPr="00B320D4">
        <w:rPr>
          <w:rFonts w:ascii="Verdana" w:hAnsi="Verdana" w:cstheme="minorHAnsi"/>
          <w:sz w:val="20"/>
          <w:szCs w:val="20"/>
        </w:rPr>
        <w:t xml:space="preserve">sobre aquellos incluidos en su artículo 26. Esto sería contrario a la igual jerarquía que, </w:t>
      </w:r>
      <w:r w:rsidR="000C28E9" w:rsidRPr="00B320D4">
        <w:rPr>
          <w:rFonts w:ascii="Verdana" w:hAnsi="Verdana" w:cstheme="minorHAnsi"/>
          <w:i/>
          <w:sz w:val="20"/>
          <w:szCs w:val="20"/>
        </w:rPr>
        <w:t>a priori</w:t>
      </w:r>
      <w:r w:rsidR="000C28E9" w:rsidRPr="00B320D4">
        <w:rPr>
          <w:rFonts w:ascii="Verdana" w:hAnsi="Verdana" w:cstheme="minorHAnsi"/>
          <w:sz w:val="20"/>
          <w:szCs w:val="20"/>
        </w:rPr>
        <w:t>, tienen ambos grupos de derechos, y que puede desprenderse de expresiones del propio Preámbulo de la Convención</w:t>
      </w:r>
      <w:r w:rsidR="000C448B" w:rsidRPr="00B320D4">
        <w:rPr>
          <w:rFonts w:ascii="Verdana" w:hAnsi="Verdana" w:cstheme="minorHAnsi"/>
          <w:sz w:val="20"/>
          <w:szCs w:val="20"/>
        </w:rPr>
        <w:t xml:space="preserve"> Americana</w:t>
      </w:r>
      <w:r w:rsidR="000C28E9" w:rsidRPr="00B320D4">
        <w:rPr>
          <w:rFonts w:ascii="Verdana" w:hAnsi="Verdana" w:cstheme="minorHAnsi"/>
          <w:sz w:val="20"/>
          <w:szCs w:val="20"/>
        </w:rPr>
        <w:t xml:space="preserve">, que dice que “(…) sólo puede realizarse el ideal del ser humano libre, exento del temor y la miseria, si se crean condiciones que permitan a cada persona gozar </w:t>
      </w:r>
      <w:r w:rsidR="000C28E9" w:rsidRPr="00B320D4">
        <w:rPr>
          <w:rFonts w:ascii="Verdana" w:hAnsi="Verdana" w:cstheme="minorHAnsi"/>
          <w:i/>
          <w:sz w:val="20"/>
          <w:szCs w:val="20"/>
        </w:rPr>
        <w:t>de sus derechos económicos, sociales y culturales, tanto como de sus derechos civiles y políticos</w:t>
      </w:r>
      <w:r w:rsidR="000C28E9" w:rsidRPr="00B320D4">
        <w:rPr>
          <w:rFonts w:ascii="Verdana" w:hAnsi="Verdana" w:cstheme="minorHAnsi"/>
          <w:sz w:val="20"/>
          <w:szCs w:val="20"/>
        </w:rPr>
        <w:t xml:space="preserve">”. </w:t>
      </w:r>
    </w:p>
    <w:p w14:paraId="16D673E8" w14:textId="77777777" w:rsidR="000C28E9" w:rsidRPr="00B320D4" w:rsidRDefault="000C28E9" w:rsidP="00267F70">
      <w:pPr>
        <w:pStyle w:val="Prrafodelista"/>
        <w:spacing w:line="240" w:lineRule="auto"/>
        <w:rPr>
          <w:rFonts w:ascii="Verdana" w:hAnsi="Verdana" w:cstheme="minorHAnsi"/>
          <w:sz w:val="20"/>
          <w:szCs w:val="20"/>
        </w:rPr>
      </w:pPr>
    </w:p>
    <w:p w14:paraId="3DC075EA" w14:textId="3FE7EA4D" w:rsidR="00016BB2" w:rsidRPr="00914E2E" w:rsidRDefault="00FB0638" w:rsidP="00267F70">
      <w:pPr>
        <w:pStyle w:val="Prrafodelista"/>
        <w:spacing w:after="160" w:line="240" w:lineRule="auto"/>
        <w:ind w:left="0"/>
        <w:jc w:val="both"/>
        <w:rPr>
          <w:rFonts w:ascii="Verdana" w:hAnsi="Verdana" w:cstheme="minorHAnsi"/>
          <w:sz w:val="20"/>
          <w:szCs w:val="20"/>
        </w:rPr>
      </w:pPr>
      <w:r>
        <w:rPr>
          <w:rFonts w:ascii="Verdana" w:hAnsi="Verdana" w:cstheme="minorHAnsi"/>
          <w:sz w:val="20"/>
          <w:szCs w:val="20"/>
        </w:rPr>
        <w:t>57</w:t>
      </w:r>
      <w:r w:rsidR="0058240E" w:rsidRPr="00B320D4">
        <w:rPr>
          <w:rFonts w:ascii="Verdana" w:hAnsi="Verdana" w:cstheme="minorHAnsi"/>
          <w:sz w:val="20"/>
          <w:szCs w:val="20"/>
        </w:rPr>
        <w:t xml:space="preserve">. </w:t>
      </w:r>
      <w:r w:rsidR="006B2688" w:rsidRPr="00B320D4">
        <w:rPr>
          <w:rFonts w:ascii="Verdana" w:hAnsi="Verdana" w:cstheme="minorHAnsi"/>
          <w:sz w:val="20"/>
          <w:szCs w:val="20"/>
        </w:rPr>
        <w:tab/>
        <w:t>De ah</w:t>
      </w:r>
      <w:r w:rsidR="004311DF" w:rsidRPr="00B320D4">
        <w:rPr>
          <w:rFonts w:ascii="Verdana" w:hAnsi="Verdana" w:cstheme="minorHAnsi"/>
          <w:sz w:val="20"/>
          <w:szCs w:val="20"/>
        </w:rPr>
        <w:t>í que en el c</w:t>
      </w:r>
      <w:r w:rsidR="006B2688" w:rsidRPr="00B320D4">
        <w:rPr>
          <w:rFonts w:ascii="Verdana" w:hAnsi="Verdana" w:cstheme="minorHAnsi"/>
          <w:sz w:val="20"/>
          <w:szCs w:val="20"/>
        </w:rPr>
        <w:t xml:space="preserve">aso </w:t>
      </w:r>
      <w:r w:rsidR="006B2688" w:rsidRPr="00B320D4">
        <w:rPr>
          <w:rFonts w:ascii="Verdana" w:hAnsi="Verdana" w:cstheme="minorHAnsi"/>
          <w:i/>
          <w:sz w:val="20"/>
          <w:szCs w:val="20"/>
        </w:rPr>
        <w:t>Lagos del Campo Vs. Perú</w:t>
      </w:r>
      <w:r w:rsidR="006B2688" w:rsidRPr="00B320D4">
        <w:rPr>
          <w:rFonts w:ascii="Verdana" w:hAnsi="Verdana" w:cstheme="minorHAnsi"/>
          <w:sz w:val="20"/>
          <w:szCs w:val="20"/>
        </w:rPr>
        <w:t>, en el</w:t>
      </w:r>
      <w:r w:rsidR="004311DF" w:rsidRPr="00B320D4">
        <w:rPr>
          <w:rFonts w:ascii="Verdana" w:hAnsi="Verdana" w:cstheme="minorHAnsi"/>
          <w:sz w:val="20"/>
          <w:szCs w:val="20"/>
        </w:rPr>
        <w:t xml:space="preserve"> que se declaró por primera vez violaciones directas a los DESCA vía el artículo 26 del Pacto de San José, se consideró que </w:t>
      </w:r>
      <w:r w:rsidR="00D75C20" w:rsidRPr="00B320D4">
        <w:rPr>
          <w:rFonts w:ascii="Verdana" w:hAnsi="Verdana" w:cstheme="minorHAnsi"/>
          <w:sz w:val="20"/>
          <w:szCs w:val="20"/>
        </w:rPr>
        <w:t>la Corte IDH “</w:t>
      </w:r>
      <w:r w:rsidR="00D75C20" w:rsidRPr="00B320D4">
        <w:rPr>
          <w:rFonts w:ascii="Verdana" w:hAnsi="Verdana"/>
          <w:sz w:val="20"/>
          <w:szCs w:val="20"/>
          <w:lang w:eastAsia="es-ES_tradnl"/>
        </w:rPr>
        <w:t xml:space="preserve">ha reiterado la interdependencia e indivisibilidad existente entre los derechos civiles y políticos, y los económicos, sociales y culturales, puesto que deben ser entendidos integralmente y de forma conglobada como derechos humanos, </w:t>
      </w:r>
      <w:r w:rsidR="00D75C20" w:rsidRPr="00B320D4">
        <w:rPr>
          <w:rFonts w:ascii="Verdana" w:hAnsi="Verdana"/>
          <w:i/>
          <w:sz w:val="20"/>
          <w:szCs w:val="20"/>
          <w:lang w:eastAsia="es-ES_tradnl"/>
        </w:rPr>
        <w:t>sin jerarquía entre sí y exigibles</w:t>
      </w:r>
      <w:r w:rsidR="00D75C20" w:rsidRPr="00B320D4">
        <w:rPr>
          <w:rFonts w:ascii="Verdana" w:hAnsi="Verdana"/>
          <w:sz w:val="20"/>
          <w:szCs w:val="20"/>
          <w:lang w:eastAsia="es-ES_tradnl"/>
        </w:rPr>
        <w:t xml:space="preserve"> en todos los casos ante aquellas autoridades que resulten competentes para ello”</w:t>
      </w:r>
      <w:r w:rsidR="00D75C20" w:rsidRPr="007E1845">
        <w:rPr>
          <w:rStyle w:val="Refdenotaalpie"/>
          <w:rFonts w:ascii="Verdana" w:hAnsi="Verdana"/>
          <w:sz w:val="20"/>
        </w:rPr>
        <w:footnoteReference w:id="49"/>
      </w:r>
      <w:r w:rsidR="00D75C20" w:rsidRPr="007E1845">
        <w:rPr>
          <w:rFonts w:ascii="Verdana" w:hAnsi="Verdana"/>
          <w:sz w:val="20"/>
          <w:szCs w:val="20"/>
          <w:lang w:eastAsia="es-ES_tradnl"/>
        </w:rPr>
        <w:t xml:space="preserve">. </w:t>
      </w:r>
    </w:p>
    <w:p w14:paraId="77B3FFA5" w14:textId="77777777" w:rsidR="00016BB2" w:rsidRPr="00EE35BE" w:rsidRDefault="00016BB2" w:rsidP="00267F70">
      <w:pPr>
        <w:pStyle w:val="Prrafodelista"/>
        <w:spacing w:after="160" w:line="240" w:lineRule="auto"/>
        <w:ind w:left="0"/>
        <w:jc w:val="both"/>
        <w:rPr>
          <w:rFonts w:ascii="Verdana" w:hAnsi="Verdana" w:cstheme="minorHAnsi"/>
          <w:sz w:val="20"/>
          <w:szCs w:val="20"/>
        </w:rPr>
      </w:pPr>
    </w:p>
    <w:p w14:paraId="3C294833" w14:textId="4F1D384A" w:rsidR="000C28E9" w:rsidRPr="00B320D4" w:rsidRDefault="00FB0638" w:rsidP="00267F70">
      <w:pPr>
        <w:pStyle w:val="Prrafodelista"/>
        <w:spacing w:after="160" w:line="240" w:lineRule="auto"/>
        <w:ind w:left="0"/>
        <w:jc w:val="both"/>
        <w:rPr>
          <w:rFonts w:ascii="Verdana" w:hAnsi="Verdana" w:cstheme="minorHAnsi"/>
          <w:sz w:val="20"/>
          <w:szCs w:val="20"/>
        </w:rPr>
      </w:pPr>
      <w:r>
        <w:rPr>
          <w:rFonts w:ascii="Verdana" w:hAnsi="Verdana" w:cstheme="minorHAnsi"/>
          <w:sz w:val="20"/>
          <w:szCs w:val="20"/>
        </w:rPr>
        <w:t>58</w:t>
      </w:r>
      <w:r w:rsidR="00016BB2" w:rsidRPr="00EE35BE">
        <w:rPr>
          <w:rFonts w:ascii="Verdana" w:hAnsi="Verdana" w:cstheme="minorHAnsi"/>
          <w:sz w:val="20"/>
          <w:szCs w:val="20"/>
        </w:rPr>
        <w:t xml:space="preserve">. </w:t>
      </w:r>
      <w:r w:rsidR="00016BB2" w:rsidRPr="00EE35BE">
        <w:rPr>
          <w:rFonts w:ascii="Verdana" w:hAnsi="Verdana" w:cstheme="minorHAnsi"/>
          <w:sz w:val="20"/>
          <w:szCs w:val="20"/>
        </w:rPr>
        <w:tab/>
      </w:r>
      <w:r w:rsidR="000C28E9" w:rsidRPr="00EE35BE">
        <w:rPr>
          <w:rFonts w:ascii="Verdana" w:hAnsi="Verdana" w:cstheme="minorHAnsi"/>
          <w:sz w:val="20"/>
          <w:szCs w:val="20"/>
        </w:rPr>
        <w:t xml:space="preserve">Por otra parte, una forma de examen que, aun considerando el artículo 26 </w:t>
      </w:r>
      <w:r w:rsidR="00016BB2" w:rsidRPr="00B320D4">
        <w:rPr>
          <w:rFonts w:ascii="Verdana" w:hAnsi="Verdana" w:cstheme="minorHAnsi"/>
          <w:sz w:val="20"/>
          <w:szCs w:val="20"/>
        </w:rPr>
        <w:t xml:space="preserve">del Pacto de San José </w:t>
      </w:r>
      <w:r w:rsidR="000C28E9" w:rsidRPr="00B320D4">
        <w:rPr>
          <w:rFonts w:ascii="Verdana" w:hAnsi="Verdana" w:cstheme="minorHAnsi"/>
          <w:sz w:val="20"/>
          <w:szCs w:val="20"/>
        </w:rPr>
        <w:t xml:space="preserve">haga depender la aplicación de dicha norma de la conexidad de un derecho recogido en la misma a otro que no lo esté, llevaría a una comprensión de los DESCA parcial y limitada. Ello </w:t>
      </w:r>
      <w:r w:rsidR="008A5D0F" w:rsidRPr="00B320D4">
        <w:rPr>
          <w:rFonts w:ascii="Verdana" w:hAnsi="Verdana" w:cstheme="minorHAnsi"/>
          <w:sz w:val="20"/>
          <w:szCs w:val="20"/>
        </w:rPr>
        <w:t xml:space="preserve">debido a que </w:t>
      </w:r>
      <w:r w:rsidR="000C28E9" w:rsidRPr="00B320D4">
        <w:rPr>
          <w:rFonts w:ascii="Verdana" w:hAnsi="Verdana" w:cstheme="minorHAnsi"/>
          <w:sz w:val="20"/>
          <w:szCs w:val="20"/>
        </w:rPr>
        <w:t xml:space="preserve">el contenido </w:t>
      </w:r>
      <w:r w:rsidR="00634D6B" w:rsidRPr="00B320D4">
        <w:rPr>
          <w:rFonts w:ascii="Verdana" w:hAnsi="Verdana" w:cstheme="minorHAnsi"/>
          <w:sz w:val="20"/>
          <w:szCs w:val="20"/>
        </w:rPr>
        <w:t xml:space="preserve">de </w:t>
      </w:r>
      <w:r w:rsidR="000C28E9" w:rsidRPr="00B320D4">
        <w:rPr>
          <w:rFonts w:ascii="Verdana" w:hAnsi="Verdana" w:cstheme="minorHAnsi"/>
          <w:sz w:val="20"/>
          <w:szCs w:val="20"/>
        </w:rPr>
        <w:t>los derechos incluidos en el artículo 26 que sería</w:t>
      </w:r>
      <w:r w:rsidR="00634D6B" w:rsidRPr="00B320D4">
        <w:rPr>
          <w:rFonts w:ascii="Verdana" w:hAnsi="Verdana" w:cstheme="minorHAnsi"/>
          <w:sz w:val="20"/>
          <w:szCs w:val="20"/>
        </w:rPr>
        <w:t>n</w:t>
      </w:r>
      <w:r w:rsidR="000C28E9" w:rsidRPr="00B320D4">
        <w:rPr>
          <w:rFonts w:ascii="Verdana" w:hAnsi="Verdana" w:cstheme="minorHAnsi"/>
          <w:sz w:val="20"/>
          <w:szCs w:val="20"/>
        </w:rPr>
        <w:t xml:space="preserve"> justiciable ante el Tribunal </w:t>
      </w:r>
      <w:r w:rsidR="008A5D0F" w:rsidRPr="00B320D4">
        <w:rPr>
          <w:rFonts w:ascii="Verdana" w:hAnsi="Verdana" w:cstheme="minorHAnsi"/>
          <w:sz w:val="20"/>
          <w:szCs w:val="20"/>
        </w:rPr>
        <w:t>Interamericano</w:t>
      </w:r>
      <w:r w:rsidR="00016BB2" w:rsidRPr="00B320D4">
        <w:rPr>
          <w:rFonts w:ascii="Verdana" w:hAnsi="Verdana" w:cstheme="minorHAnsi"/>
          <w:sz w:val="20"/>
          <w:szCs w:val="20"/>
        </w:rPr>
        <w:t>,</w:t>
      </w:r>
      <w:r w:rsidR="008A5D0F" w:rsidRPr="00B320D4">
        <w:rPr>
          <w:rFonts w:ascii="Verdana" w:hAnsi="Verdana" w:cstheme="minorHAnsi"/>
          <w:sz w:val="20"/>
          <w:szCs w:val="20"/>
        </w:rPr>
        <w:t xml:space="preserve"> </w:t>
      </w:r>
      <w:r w:rsidR="000C28E9" w:rsidRPr="00B320D4">
        <w:rPr>
          <w:rFonts w:ascii="Verdana" w:hAnsi="Verdana" w:cstheme="minorHAnsi"/>
          <w:sz w:val="20"/>
          <w:szCs w:val="20"/>
        </w:rPr>
        <w:t xml:space="preserve">se limitaría a aquél que pudiera relacionarse con el contenido de otro derecho </w:t>
      </w:r>
      <w:r w:rsidR="000C448B" w:rsidRPr="00B320D4">
        <w:rPr>
          <w:rFonts w:ascii="Verdana" w:hAnsi="Verdana" w:cstheme="minorHAnsi"/>
          <w:sz w:val="20"/>
          <w:szCs w:val="20"/>
        </w:rPr>
        <w:t>civil o</w:t>
      </w:r>
      <w:r w:rsidR="00016BB2" w:rsidRPr="00B320D4">
        <w:rPr>
          <w:rFonts w:ascii="Verdana" w:hAnsi="Verdana" w:cstheme="minorHAnsi"/>
          <w:sz w:val="20"/>
          <w:szCs w:val="20"/>
        </w:rPr>
        <w:t xml:space="preserve"> pol</w:t>
      </w:r>
      <w:r w:rsidR="000C448B" w:rsidRPr="00B320D4">
        <w:rPr>
          <w:rFonts w:ascii="Verdana" w:hAnsi="Verdana" w:cstheme="minorHAnsi"/>
          <w:sz w:val="20"/>
          <w:szCs w:val="20"/>
        </w:rPr>
        <w:t>ítico</w:t>
      </w:r>
      <w:r w:rsidR="00016BB2" w:rsidRPr="00B320D4">
        <w:rPr>
          <w:rFonts w:ascii="Verdana" w:hAnsi="Verdana" w:cstheme="minorHAnsi"/>
          <w:sz w:val="20"/>
          <w:szCs w:val="20"/>
        </w:rPr>
        <w:t xml:space="preserve"> </w:t>
      </w:r>
      <w:r w:rsidR="000C28E9" w:rsidRPr="00B320D4">
        <w:rPr>
          <w:rFonts w:ascii="Verdana" w:hAnsi="Verdana" w:cstheme="minorHAnsi"/>
          <w:sz w:val="20"/>
          <w:szCs w:val="20"/>
        </w:rPr>
        <w:t>incorporado en otras disposiciones de la Convención</w:t>
      </w:r>
      <w:r w:rsidR="008A5D0F" w:rsidRPr="00B320D4">
        <w:rPr>
          <w:rFonts w:ascii="Verdana" w:hAnsi="Verdana" w:cstheme="minorHAnsi"/>
          <w:sz w:val="20"/>
          <w:szCs w:val="20"/>
        </w:rPr>
        <w:t xml:space="preserve"> Americana</w:t>
      </w:r>
      <w:r w:rsidR="000C28E9" w:rsidRPr="00B320D4">
        <w:rPr>
          <w:rFonts w:ascii="Verdana" w:hAnsi="Verdana" w:cstheme="minorHAnsi"/>
          <w:sz w:val="20"/>
          <w:szCs w:val="20"/>
        </w:rPr>
        <w:t xml:space="preserve">. </w:t>
      </w:r>
    </w:p>
    <w:p w14:paraId="16C399DB" w14:textId="77777777" w:rsidR="000C28E9" w:rsidRPr="00B320D4" w:rsidRDefault="000C28E9" w:rsidP="00267F70">
      <w:pPr>
        <w:pStyle w:val="Prrafodelista"/>
        <w:spacing w:line="240" w:lineRule="auto"/>
        <w:rPr>
          <w:rFonts w:ascii="Verdana" w:hAnsi="Verdana" w:cstheme="minorHAnsi"/>
          <w:sz w:val="20"/>
          <w:szCs w:val="20"/>
        </w:rPr>
      </w:pPr>
    </w:p>
    <w:p w14:paraId="41A1219A" w14:textId="2B7197F1" w:rsidR="00590F51" w:rsidRPr="008C5C62" w:rsidRDefault="00FB0638" w:rsidP="008C5C62">
      <w:pPr>
        <w:pStyle w:val="Prrafodelista"/>
        <w:spacing w:after="160" w:line="240" w:lineRule="auto"/>
        <w:ind w:left="0"/>
        <w:jc w:val="both"/>
        <w:rPr>
          <w:rFonts w:ascii="Verdana" w:hAnsi="Verdana" w:cstheme="minorHAnsi"/>
          <w:sz w:val="20"/>
          <w:szCs w:val="20"/>
        </w:rPr>
      </w:pPr>
      <w:r>
        <w:rPr>
          <w:rFonts w:ascii="Verdana" w:hAnsi="Verdana" w:cstheme="minorHAnsi"/>
          <w:sz w:val="20"/>
          <w:szCs w:val="20"/>
        </w:rPr>
        <w:t>59</w:t>
      </w:r>
      <w:r w:rsidR="0058240E" w:rsidRPr="00B320D4">
        <w:rPr>
          <w:rFonts w:ascii="Verdana" w:hAnsi="Verdana" w:cstheme="minorHAnsi"/>
          <w:sz w:val="20"/>
          <w:szCs w:val="20"/>
        </w:rPr>
        <w:t xml:space="preserve">. </w:t>
      </w:r>
      <w:r w:rsidR="0058240E" w:rsidRPr="00B320D4">
        <w:rPr>
          <w:rFonts w:ascii="Verdana" w:hAnsi="Verdana" w:cstheme="minorHAnsi"/>
          <w:sz w:val="20"/>
          <w:szCs w:val="20"/>
        </w:rPr>
        <w:tab/>
      </w:r>
      <w:r w:rsidR="000C28E9" w:rsidRPr="00B320D4">
        <w:rPr>
          <w:rFonts w:ascii="Verdana" w:hAnsi="Verdana" w:cstheme="minorHAnsi"/>
          <w:sz w:val="20"/>
          <w:szCs w:val="20"/>
        </w:rPr>
        <w:t xml:space="preserve">El resultado de una interpretación de estas características, que </w:t>
      </w:r>
      <w:r w:rsidR="0059358E" w:rsidRPr="00B320D4">
        <w:rPr>
          <w:rFonts w:ascii="Verdana" w:hAnsi="Verdana" w:cstheme="minorHAnsi"/>
          <w:sz w:val="20"/>
          <w:szCs w:val="20"/>
        </w:rPr>
        <w:t xml:space="preserve">considero </w:t>
      </w:r>
      <w:r w:rsidR="000C28E9" w:rsidRPr="00B320D4">
        <w:rPr>
          <w:rFonts w:ascii="Verdana" w:hAnsi="Verdana" w:cstheme="minorHAnsi"/>
          <w:sz w:val="20"/>
          <w:szCs w:val="20"/>
        </w:rPr>
        <w:t xml:space="preserve">no resulta justificada, sería, en términos prácticos, volver al estado de cosas anterior al cambio jurisprudencial generado a partir del caso </w:t>
      </w:r>
      <w:r w:rsidR="000C28E9" w:rsidRPr="00B320D4">
        <w:rPr>
          <w:rFonts w:ascii="Verdana" w:hAnsi="Verdana" w:cstheme="minorHAnsi"/>
          <w:i/>
          <w:sz w:val="20"/>
          <w:szCs w:val="20"/>
        </w:rPr>
        <w:t>Lagos del Campo</w:t>
      </w:r>
      <w:r w:rsidR="00634D6B" w:rsidRPr="00B320D4">
        <w:rPr>
          <w:rFonts w:ascii="Verdana" w:hAnsi="Verdana" w:cstheme="minorHAnsi"/>
          <w:sz w:val="20"/>
          <w:szCs w:val="20"/>
        </w:rPr>
        <w:t xml:space="preserve"> en 2017</w:t>
      </w:r>
      <w:r w:rsidR="000C28E9" w:rsidRPr="00B320D4">
        <w:rPr>
          <w:rFonts w:ascii="Verdana" w:hAnsi="Verdana" w:cstheme="minorHAnsi"/>
          <w:sz w:val="20"/>
          <w:szCs w:val="20"/>
        </w:rPr>
        <w:t xml:space="preserve">. </w:t>
      </w:r>
      <w:r w:rsidR="003648F3" w:rsidRPr="00B320D4">
        <w:rPr>
          <w:rFonts w:ascii="Verdana" w:hAnsi="Verdana" w:cstheme="minorHAnsi"/>
          <w:sz w:val="20"/>
          <w:szCs w:val="20"/>
        </w:rPr>
        <w:t xml:space="preserve">De tal manera que dicho entendimiento llevaría a que </w:t>
      </w:r>
      <w:r w:rsidR="000C28E9" w:rsidRPr="00B320D4">
        <w:rPr>
          <w:rFonts w:ascii="Verdana" w:hAnsi="Verdana" w:cstheme="minorHAnsi"/>
          <w:sz w:val="20"/>
          <w:szCs w:val="20"/>
        </w:rPr>
        <w:t xml:space="preserve">la eventual determinación de una violación al artículo 26 </w:t>
      </w:r>
      <w:r w:rsidR="003648F3" w:rsidRPr="00B320D4">
        <w:rPr>
          <w:rFonts w:ascii="Verdana" w:hAnsi="Verdana" w:cstheme="minorHAnsi"/>
          <w:sz w:val="20"/>
          <w:szCs w:val="20"/>
        </w:rPr>
        <w:t xml:space="preserve">del Pacto de San José </w:t>
      </w:r>
      <w:r w:rsidR="000C28E9" w:rsidRPr="00B320D4">
        <w:rPr>
          <w:rFonts w:ascii="Verdana" w:hAnsi="Verdana" w:cstheme="minorHAnsi"/>
          <w:sz w:val="20"/>
          <w:szCs w:val="20"/>
        </w:rPr>
        <w:t>solo se efectuaría si algún aspecto de un DESCA incluido en la norma puede desprenderse de otro derecho</w:t>
      </w:r>
      <w:r w:rsidR="00016BB2" w:rsidRPr="00B320D4">
        <w:rPr>
          <w:rFonts w:ascii="Verdana" w:hAnsi="Verdana" w:cstheme="minorHAnsi"/>
          <w:sz w:val="20"/>
          <w:szCs w:val="20"/>
        </w:rPr>
        <w:t xml:space="preserve"> previamente declarada su violación</w:t>
      </w:r>
      <w:r w:rsidR="000C28E9" w:rsidRPr="00B320D4">
        <w:rPr>
          <w:rFonts w:ascii="Verdana" w:hAnsi="Verdana" w:cstheme="minorHAnsi"/>
          <w:sz w:val="20"/>
          <w:szCs w:val="20"/>
        </w:rPr>
        <w:t>. Es decir, la mención del artículo 26 resultaría mera</w:t>
      </w:r>
      <w:r w:rsidR="00016BB2" w:rsidRPr="00B320D4">
        <w:rPr>
          <w:rFonts w:ascii="Verdana" w:hAnsi="Verdana" w:cstheme="minorHAnsi"/>
          <w:sz w:val="20"/>
          <w:szCs w:val="20"/>
        </w:rPr>
        <w:t>mente accesoria, no sustancial, jerarquizando y estableciendo ca</w:t>
      </w:r>
      <w:r w:rsidR="008C5C62">
        <w:rPr>
          <w:rFonts w:ascii="Verdana" w:hAnsi="Verdana" w:cstheme="minorHAnsi"/>
          <w:sz w:val="20"/>
          <w:szCs w:val="20"/>
        </w:rPr>
        <w:t>tegorías entre derechos humanos.</w:t>
      </w:r>
    </w:p>
    <w:p w14:paraId="6D34582E" w14:textId="77777777" w:rsidR="0075294F" w:rsidRDefault="0075294F" w:rsidP="00267F70">
      <w:pPr>
        <w:spacing w:line="360" w:lineRule="auto"/>
        <w:jc w:val="center"/>
        <w:rPr>
          <w:rFonts w:ascii="Verdana" w:hAnsi="Verdana"/>
          <w:b/>
          <w:bCs/>
          <w:sz w:val="20"/>
          <w:szCs w:val="20"/>
        </w:rPr>
      </w:pPr>
    </w:p>
    <w:p w14:paraId="7A259266" w14:textId="59453488" w:rsidR="00E87385" w:rsidRPr="00FF5F9A" w:rsidRDefault="00590F51" w:rsidP="008C5C62">
      <w:pPr>
        <w:jc w:val="center"/>
        <w:rPr>
          <w:rFonts w:ascii="Verdana" w:hAnsi="Verdana"/>
          <w:b/>
          <w:bCs/>
          <w:sz w:val="20"/>
          <w:szCs w:val="20"/>
        </w:rPr>
      </w:pPr>
      <w:r w:rsidRPr="00FF5F9A">
        <w:rPr>
          <w:rFonts w:ascii="Verdana" w:hAnsi="Verdana"/>
          <w:b/>
          <w:bCs/>
          <w:sz w:val="20"/>
          <w:szCs w:val="20"/>
        </w:rPr>
        <w:t>I</w:t>
      </w:r>
      <w:r w:rsidR="003648F3" w:rsidRPr="00FF5F9A">
        <w:rPr>
          <w:rFonts w:ascii="Verdana" w:hAnsi="Verdana"/>
          <w:b/>
          <w:bCs/>
          <w:sz w:val="20"/>
          <w:szCs w:val="20"/>
        </w:rPr>
        <w:t>I</w:t>
      </w:r>
      <w:r w:rsidR="00811BFC" w:rsidRPr="00FF5F9A">
        <w:rPr>
          <w:rFonts w:ascii="Verdana" w:hAnsi="Verdana"/>
          <w:b/>
          <w:bCs/>
          <w:sz w:val="20"/>
          <w:szCs w:val="20"/>
        </w:rPr>
        <w:t>I</w:t>
      </w:r>
      <w:r w:rsidRPr="00FF5F9A">
        <w:rPr>
          <w:rFonts w:ascii="Verdana" w:hAnsi="Verdana"/>
          <w:b/>
          <w:bCs/>
          <w:sz w:val="20"/>
          <w:szCs w:val="20"/>
        </w:rPr>
        <w:t xml:space="preserve">. LAS REPARACIONES CON ENFOQUE DE </w:t>
      </w:r>
    </w:p>
    <w:p w14:paraId="569D46E8" w14:textId="11C590A1" w:rsidR="00590F51" w:rsidRPr="00FF5F9A" w:rsidRDefault="00590F51" w:rsidP="008C5C62">
      <w:pPr>
        <w:jc w:val="center"/>
        <w:rPr>
          <w:rFonts w:ascii="Verdana" w:hAnsi="Verdana"/>
          <w:b/>
          <w:bCs/>
          <w:sz w:val="20"/>
          <w:szCs w:val="20"/>
        </w:rPr>
      </w:pPr>
      <w:r w:rsidRPr="00FF5F9A">
        <w:rPr>
          <w:rFonts w:ascii="Verdana" w:hAnsi="Verdana"/>
          <w:b/>
          <w:bCs/>
          <w:sz w:val="20"/>
          <w:szCs w:val="20"/>
        </w:rPr>
        <w:t>DERECHOS ECONÓMICOS, S</w:t>
      </w:r>
      <w:r w:rsidR="00A359F6" w:rsidRPr="00FF5F9A">
        <w:rPr>
          <w:rFonts w:ascii="Verdana" w:hAnsi="Verdana"/>
          <w:b/>
          <w:bCs/>
          <w:sz w:val="20"/>
          <w:szCs w:val="20"/>
        </w:rPr>
        <w:t>OCIALES, CULTUR</w:t>
      </w:r>
      <w:r w:rsidRPr="00FF5F9A">
        <w:rPr>
          <w:rFonts w:ascii="Verdana" w:hAnsi="Verdana"/>
          <w:b/>
          <w:bCs/>
          <w:sz w:val="20"/>
          <w:szCs w:val="20"/>
        </w:rPr>
        <w:t>ALES Y AMBIENTALES</w:t>
      </w:r>
    </w:p>
    <w:p w14:paraId="6AB6066C" w14:textId="77777777" w:rsidR="00590F51" w:rsidRPr="00B320D4" w:rsidRDefault="00590F51" w:rsidP="00267F70">
      <w:pPr>
        <w:jc w:val="center"/>
        <w:rPr>
          <w:rFonts w:ascii="Verdana" w:hAnsi="Verdana"/>
          <w:b/>
          <w:bCs/>
          <w:sz w:val="20"/>
          <w:szCs w:val="20"/>
        </w:rPr>
      </w:pPr>
    </w:p>
    <w:p w14:paraId="67963548" w14:textId="1E0EB3C4" w:rsidR="00811BFC" w:rsidRPr="00B320D4" w:rsidRDefault="00FB0638" w:rsidP="00267F70">
      <w:pPr>
        <w:jc w:val="both"/>
        <w:rPr>
          <w:rFonts w:ascii="Verdana" w:hAnsi="Verdana"/>
          <w:bCs/>
          <w:iCs/>
          <w:sz w:val="20"/>
          <w:szCs w:val="20"/>
        </w:rPr>
      </w:pPr>
      <w:r>
        <w:rPr>
          <w:rFonts w:ascii="Verdana" w:hAnsi="Verdana"/>
          <w:sz w:val="20"/>
          <w:szCs w:val="20"/>
        </w:rPr>
        <w:t>60</w:t>
      </w:r>
      <w:r w:rsidR="00590F51" w:rsidRPr="00B320D4">
        <w:rPr>
          <w:rFonts w:ascii="Verdana" w:hAnsi="Verdana"/>
          <w:sz w:val="20"/>
          <w:szCs w:val="20"/>
        </w:rPr>
        <w:t xml:space="preserve">. </w:t>
      </w:r>
      <w:r w:rsidR="00590F51" w:rsidRPr="00B320D4">
        <w:rPr>
          <w:rFonts w:ascii="Verdana" w:hAnsi="Verdana"/>
          <w:sz w:val="20"/>
          <w:szCs w:val="20"/>
        </w:rPr>
        <w:tab/>
      </w:r>
      <w:r w:rsidR="00811BFC" w:rsidRPr="00B320D4">
        <w:rPr>
          <w:rFonts w:ascii="Verdana" w:hAnsi="Verdana"/>
          <w:sz w:val="20"/>
          <w:szCs w:val="20"/>
        </w:rPr>
        <w:t xml:space="preserve">Un aspecto central desde la perspectiva DESCA es el </w:t>
      </w:r>
      <w:r w:rsidR="00590F51" w:rsidRPr="00B320D4">
        <w:rPr>
          <w:rFonts w:ascii="Verdana" w:hAnsi="Verdana"/>
          <w:sz w:val="20"/>
          <w:szCs w:val="20"/>
        </w:rPr>
        <w:t xml:space="preserve">capitulo de reparaciones denominado </w:t>
      </w:r>
      <w:r w:rsidR="00590F51" w:rsidRPr="00B320D4">
        <w:rPr>
          <w:rFonts w:ascii="Verdana" w:hAnsi="Verdana"/>
          <w:i/>
          <w:iCs/>
          <w:sz w:val="20"/>
          <w:szCs w:val="20"/>
        </w:rPr>
        <w:t>“</w:t>
      </w:r>
      <w:r w:rsidR="00590F51" w:rsidRPr="00B320D4">
        <w:rPr>
          <w:rFonts w:ascii="Verdana" w:hAnsi="Verdana"/>
          <w:bCs/>
          <w:i/>
          <w:iCs/>
          <w:sz w:val="20"/>
          <w:szCs w:val="20"/>
        </w:rPr>
        <w:t>Medidas para la restitución de los derechos al medio ambiente sano, a la alimentación, al agua y a la identidad cultural”</w:t>
      </w:r>
      <w:r w:rsidR="00811BFC" w:rsidRPr="00B320D4">
        <w:rPr>
          <w:rFonts w:ascii="Verdana" w:hAnsi="Verdana"/>
          <w:bCs/>
          <w:i/>
          <w:iCs/>
          <w:sz w:val="20"/>
          <w:szCs w:val="20"/>
        </w:rPr>
        <w:t xml:space="preserve">. </w:t>
      </w:r>
      <w:r w:rsidR="00811BFC" w:rsidRPr="00B320D4">
        <w:rPr>
          <w:rFonts w:ascii="Verdana" w:hAnsi="Verdana"/>
          <w:bCs/>
          <w:iCs/>
          <w:sz w:val="20"/>
          <w:szCs w:val="20"/>
        </w:rPr>
        <w:t>Lo anterior</w:t>
      </w:r>
      <w:r w:rsidR="00590F51" w:rsidRPr="00B320D4">
        <w:rPr>
          <w:rFonts w:ascii="Verdana" w:hAnsi="Verdana"/>
          <w:bCs/>
          <w:i/>
          <w:sz w:val="20"/>
          <w:szCs w:val="20"/>
        </w:rPr>
        <w:t xml:space="preserve"> </w:t>
      </w:r>
      <w:r w:rsidR="00590F51" w:rsidRPr="00B320D4">
        <w:rPr>
          <w:rFonts w:ascii="Verdana" w:hAnsi="Verdana"/>
          <w:bCs/>
          <w:iCs/>
          <w:sz w:val="20"/>
          <w:szCs w:val="20"/>
        </w:rPr>
        <w:t xml:space="preserve">es único en la jurisprudencia </w:t>
      </w:r>
      <w:r w:rsidR="00811BFC" w:rsidRPr="00B320D4">
        <w:rPr>
          <w:rFonts w:ascii="Verdana" w:hAnsi="Verdana"/>
          <w:bCs/>
          <w:iCs/>
          <w:sz w:val="20"/>
          <w:szCs w:val="20"/>
        </w:rPr>
        <w:t>interamericana en</w:t>
      </w:r>
      <w:r w:rsidR="00590F51" w:rsidRPr="00B320D4">
        <w:rPr>
          <w:rFonts w:ascii="Verdana" w:hAnsi="Verdana"/>
          <w:bCs/>
          <w:iCs/>
          <w:sz w:val="20"/>
          <w:szCs w:val="20"/>
        </w:rPr>
        <w:t xml:space="preserve"> materia indígena</w:t>
      </w:r>
      <w:r w:rsidR="00811BFC" w:rsidRPr="00B320D4">
        <w:rPr>
          <w:rFonts w:ascii="Verdana" w:hAnsi="Verdana"/>
          <w:bCs/>
          <w:iCs/>
          <w:sz w:val="20"/>
          <w:szCs w:val="20"/>
        </w:rPr>
        <w:t>, ya que no centra</w:t>
      </w:r>
      <w:r w:rsidR="00590F51" w:rsidRPr="00B320D4">
        <w:rPr>
          <w:rFonts w:ascii="Verdana" w:hAnsi="Verdana"/>
          <w:bCs/>
          <w:iCs/>
          <w:sz w:val="20"/>
          <w:szCs w:val="20"/>
        </w:rPr>
        <w:t xml:space="preserve"> las reparaciones desde una visión de la “tierra” como aspecto de posesión comunal, sino que </w:t>
      </w:r>
      <w:r w:rsidR="00811BFC" w:rsidRPr="00B320D4">
        <w:rPr>
          <w:rFonts w:ascii="Verdana" w:hAnsi="Verdana"/>
          <w:bCs/>
          <w:iCs/>
          <w:sz w:val="20"/>
          <w:szCs w:val="20"/>
        </w:rPr>
        <w:t>se fundamenta</w:t>
      </w:r>
      <w:r w:rsidR="00590F51" w:rsidRPr="00B320D4">
        <w:rPr>
          <w:rFonts w:ascii="Verdana" w:hAnsi="Verdana"/>
          <w:bCs/>
          <w:iCs/>
          <w:sz w:val="20"/>
          <w:szCs w:val="20"/>
        </w:rPr>
        <w:t xml:space="preserve"> en la reparación </w:t>
      </w:r>
      <w:r w:rsidR="00811BFC" w:rsidRPr="00B320D4">
        <w:rPr>
          <w:rFonts w:ascii="Verdana" w:hAnsi="Verdana"/>
          <w:bCs/>
          <w:iCs/>
          <w:sz w:val="20"/>
          <w:szCs w:val="20"/>
        </w:rPr>
        <w:t xml:space="preserve">integral </w:t>
      </w:r>
      <w:r w:rsidR="00590F51" w:rsidRPr="00B320D4">
        <w:rPr>
          <w:rFonts w:ascii="Verdana" w:hAnsi="Verdana"/>
          <w:bCs/>
          <w:iCs/>
          <w:sz w:val="20"/>
          <w:szCs w:val="20"/>
        </w:rPr>
        <w:t xml:space="preserve">de aspectos diferenciados del </w:t>
      </w:r>
      <w:r w:rsidR="000C448B" w:rsidRPr="00B320D4">
        <w:rPr>
          <w:rFonts w:ascii="Verdana" w:hAnsi="Verdana"/>
          <w:bCs/>
          <w:iCs/>
          <w:sz w:val="20"/>
          <w:szCs w:val="20"/>
        </w:rPr>
        <w:t>“</w:t>
      </w:r>
      <w:r w:rsidR="00590F51" w:rsidRPr="00B320D4">
        <w:rPr>
          <w:rFonts w:ascii="Verdana" w:hAnsi="Verdana"/>
          <w:bCs/>
          <w:iCs/>
          <w:sz w:val="20"/>
          <w:szCs w:val="20"/>
        </w:rPr>
        <w:t>territorio</w:t>
      </w:r>
      <w:r w:rsidR="000C448B" w:rsidRPr="00B320D4">
        <w:rPr>
          <w:rFonts w:ascii="Verdana" w:hAnsi="Verdana"/>
          <w:bCs/>
          <w:iCs/>
          <w:sz w:val="20"/>
          <w:szCs w:val="20"/>
        </w:rPr>
        <w:t>”</w:t>
      </w:r>
      <w:r w:rsidR="00811BFC" w:rsidRPr="00B320D4">
        <w:rPr>
          <w:rFonts w:ascii="Verdana" w:hAnsi="Verdana"/>
          <w:bCs/>
          <w:iCs/>
          <w:sz w:val="20"/>
          <w:szCs w:val="20"/>
        </w:rPr>
        <w:t xml:space="preserve"> y que fueron declarados violados de manera autónoma en la Sentencia.</w:t>
      </w:r>
    </w:p>
    <w:p w14:paraId="3C5C01AB" w14:textId="77777777" w:rsidR="00811BFC" w:rsidRPr="00B320D4" w:rsidRDefault="00811BFC" w:rsidP="00267F70">
      <w:pPr>
        <w:jc w:val="both"/>
        <w:rPr>
          <w:rFonts w:ascii="Verdana" w:hAnsi="Verdana"/>
          <w:bCs/>
          <w:iCs/>
          <w:sz w:val="20"/>
          <w:szCs w:val="20"/>
        </w:rPr>
      </w:pPr>
    </w:p>
    <w:p w14:paraId="14743D68" w14:textId="38692D9F" w:rsidR="00590F51" w:rsidRPr="00B320D4" w:rsidRDefault="00FB0638" w:rsidP="00267F70">
      <w:pPr>
        <w:spacing w:after="120"/>
        <w:jc w:val="both"/>
        <w:rPr>
          <w:rFonts w:ascii="Verdana" w:hAnsi="Verdana"/>
          <w:sz w:val="20"/>
          <w:szCs w:val="20"/>
        </w:rPr>
      </w:pPr>
      <w:r>
        <w:rPr>
          <w:rFonts w:ascii="Verdana" w:hAnsi="Verdana"/>
          <w:sz w:val="20"/>
          <w:szCs w:val="20"/>
        </w:rPr>
        <w:t>61</w:t>
      </w:r>
      <w:r w:rsidR="00811BFC" w:rsidRPr="00B320D4">
        <w:rPr>
          <w:rFonts w:ascii="Verdana" w:hAnsi="Verdana"/>
          <w:sz w:val="20"/>
          <w:szCs w:val="20"/>
        </w:rPr>
        <w:t xml:space="preserve">. </w:t>
      </w:r>
      <w:r w:rsidR="00811BFC" w:rsidRPr="00B320D4">
        <w:rPr>
          <w:rFonts w:ascii="Verdana" w:hAnsi="Verdana"/>
          <w:sz w:val="20"/>
          <w:szCs w:val="20"/>
        </w:rPr>
        <w:tab/>
        <w:t xml:space="preserve">En efecto, la determinación en forma autónoma a los derechos al medio ambiente sano, a la alimentación adecuada, al agua y a la participación en la vida cultural, tuvo </w:t>
      </w:r>
      <w:r w:rsidR="00811BFC" w:rsidRPr="00B320D4">
        <w:rPr>
          <w:rFonts w:ascii="Verdana" w:hAnsi="Verdana"/>
          <w:sz w:val="20"/>
          <w:szCs w:val="20"/>
        </w:rPr>
        <w:lastRenderedPageBreak/>
        <w:t xml:space="preserve">consecuencias concretas en las medidas de reparación ordenadas en la Sentencia. </w:t>
      </w:r>
      <w:r w:rsidR="00590F51" w:rsidRPr="00B320D4">
        <w:rPr>
          <w:rFonts w:ascii="Verdana" w:hAnsi="Verdana"/>
          <w:sz w:val="20"/>
          <w:szCs w:val="20"/>
        </w:rPr>
        <w:t xml:space="preserve">Al evidenciarse las afectaciones a tales derechos, resultó apropiado determinar reparaciones que tuvieran por objeto atender a tales lesiones en forma específica. Un eventual entendimiento contrario, que hubiera subsumido la problemática en el derecho de propiedad, podría haber derivado en reparaciones más acotadas dirigidas solo a restituir este derecho. </w:t>
      </w:r>
    </w:p>
    <w:p w14:paraId="0D06F98E" w14:textId="3799EB79" w:rsidR="00590F51" w:rsidRPr="00914E2E" w:rsidRDefault="00FB0638" w:rsidP="00267F70">
      <w:pPr>
        <w:spacing w:after="120"/>
        <w:jc w:val="both"/>
        <w:rPr>
          <w:rFonts w:ascii="Verdana" w:hAnsi="Verdana"/>
          <w:sz w:val="20"/>
          <w:szCs w:val="20"/>
        </w:rPr>
      </w:pPr>
      <w:r>
        <w:rPr>
          <w:rFonts w:ascii="Verdana" w:hAnsi="Verdana"/>
          <w:sz w:val="20"/>
          <w:szCs w:val="20"/>
        </w:rPr>
        <w:t>62</w:t>
      </w:r>
      <w:r w:rsidR="00E87385" w:rsidRPr="00B320D4">
        <w:rPr>
          <w:rFonts w:ascii="Verdana" w:hAnsi="Verdana"/>
          <w:sz w:val="20"/>
          <w:szCs w:val="20"/>
        </w:rPr>
        <w:t xml:space="preserve">. </w:t>
      </w:r>
      <w:r w:rsidR="00E87385" w:rsidRPr="00B320D4">
        <w:rPr>
          <w:rFonts w:ascii="Verdana" w:hAnsi="Verdana"/>
          <w:sz w:val="20"/>
          <w:szCs w:val="20"/>
        </w:rPr>
        <w:tab/>
      </w:r>
      <w:r w:rsidR="00590F51" w:rsidRPr="00B320D4">
        <w:rPr>
          <w:rFonts w:ascii="Verdana" w:hAnsi="Verdana"/>
          <w:sz w:val="20"/>
          <w:szCs w:val="20"/>
        </w:rPr>
        <w:t>De ese modo, aunadas a medidas para la delimitación, demarcación y titulación de la propiedad, así como para el traslado de la población no indígena fuera de la misma, se han ordenado otras medidas de restitución, específicamente dirigidas a los derechos a un medio ambiente sano, a la alimentación adecuada, al agua y a la identidad cultural: a) la elaboración por parte del Estado de un estudio en el que identifique situaciones críticas de falta de acceso a agua potable o alimentación y la formulación e implementación de un plan de acción al respecto; b) la elaboración y presentación de otro estudio que establezca acciones a instrumentar para lograr en forma permanente la conservación de aguas existentes en el territorio indígena, el acceso a agua potable y alimentación, y evitar la continuidad de pérdida de forestación y lograr su paulatina recuperación, y c) la constitución de un fondo de desarrollo comunitario destinado a financiar acciones para la recuperación de la cultura indígena</w:t>
      </w:r>
      <w:r w:rsidR="00590F51" w:rsidRPr="007E1845">
        <w:rPr>
          <w:rStyle w:val="Refdenotaalpie"/>
          <w:rFonts w:ascii="Verdana" w:hAnsi="Verdana"/>
          <w:sz w:val="20"/>
        </w:rPr>
        <w:footnoteReference w:id="50"/>
      </w:r>
      <w:r w:rsidR="00590F51" w:rsidRPr="007E1845">
        <w:rPr>
          <w:rFonts w:ascii="Verdana" w:hAnsi="Verdana"/>
          <w:sz w:val="20"/>
          <w:szCs w:val="20"/>
        </w:rPr>
        <w:t xml:space="preserve">. </w:t>
      </w:r>
    </w:p>
    <w:p w14:paraId="5DB07DAB" w14:textId="17CFFC55" w:rsidR="00CD199D" w:rsidRPr="00B320D4" w:rsidRDefault="00FB0638" w:rsidP="00267F70">
      <w:pPr>
        <w:spacing w:after="120"/>
        <w:jc w:val="both"/>
        <w:rPr>
          <w:rFonts w:ascii="Verdana" w:hAnsi="Verdana"/>
          <w:sz w:val="20"/>
          <w:szCs w:val="20"/>
        </w:rPr>
      </w:pPr>
      <w:r>
        <w:rPr>
          <w:rFonts w:ascii="Verdana" w:hAnsi="Verdana"/>
          <w:sz w:val="20"/>
          <w:szCs w:val="20"/>
        </w:rPr>
        <w:t>63</w:t>
      </w:r>
      <w:r w:rsidR="00E87385" w:rsidRPr="00EE35BE">
        <w:rPr>
          <w:rFonts w:ascii="Verdana" w:hAnsi="Verdana"/>
          <w:sz w:val="20"/>
          <w:szCs w:val="20"/>
        </w:rPr>
        <w:t xml:space="preserve">. </w:t>
      </w:r>
      <w:r w:rsidR="00E87385" w:rsidRPr="00EE35BE">
        <w:rPr>
          <w:rFonts w:ascii="Verdana" w:hAnsi="Verdana"/>
          <w:sz w:val="20"/>
          <w:szCs w:val="20"/>
        </w:rPr>
        <w:tab/>
      </w:r>
      <w:r w:rsidR="00590F51" w:rsidRPr="00EE35BE">
        <w:rPr>
          <w:rFonts w:ascii="Verdana" w:hAnsi="Verdana"/>
          <w:sz w:val="20"/>
          <w:szCs w:val="20"/>
        </w:rPr>
        <w:t>Debe resaltarse que la Corte</w:t>
      </w:r>
      <w:r w:rsidR="000C448B" w:rsidRPr="00EE35BE">
        <w:rPr>
          <w:rFonts w:ascii="Verdana" w:hAnsi="Verdana"/>
          <w:sz w:val="20"/>
          <w:szCs w:val="20"/>
        </w:rPr>
        <w:t xml:space="preserve"> IDH</w:t>
      </w:r>
      <w:r w:rsidR="00590F51" w:rsidRPr="00B320D4">
        <w:rPr>
          <w:rFonts w:ascii="Verdana" w:hAnsi="Verdana"/>
          <w:sz w:val="20"/>
          <w:szCs w:val="20"/>
        </w:rPr>
        <w:t>, advirtiendo la complejidad propia del caso y de las acciones ordenadas, ha procurado que la definición precisa de las acciones puntuales a implementar surja de determinaciones posteriores, con intervención de autoridades estatales y las comunidades indígenas víctimas y sus representantes. En este proceso, la Sentencia prevé una intervención activa de</w:t>
      </w:r>
      <w:r w:rsidR="000C448B" w:rsidRPr="00B320D4">
        <w:rPr>
          <w:rFonts w:ascii="Verdana" w:hAnsi="Verdana"/>
          <w:sz w:val="20"/>
          <w:szCs w:val="20"/>
        </w:rPr>
        <w:t>l Tribunal Interamericano</w:t>
      </w:r>
      <w:r w:rsidR="00590F51" w:rsidRPr="00B320D4">
        <w:rPr>
          <w:rFonts w:ascii="Verdana" w:hAnsi="Verdana"/>
          <w:sz w:val="20"/>
          <w:szCs w:val="20"/>
        </w:rPr>
        <w:t>, a partir de la evaluación de los estudios referidos.</w:t>
      </w:r>
      <w:r w:rsidR="00CD199D" w:rsidRPr="00B320D4">
        <w:rPr>
          <w:rFonts w:ascii="Verdana" w:hAnsi="Verdana"/>
          <w:sz w:val="20"/>
          <w:szCs w:val="20"/>
        </w:rPr>
        <w:t xml:space="preserve"> </w:t>
      </w:r>
    </w:p>
    <w:p w14:paraId="2C5080F2" w14:textId="34099AA2" w:rsidR="00590F51" w:rsidRPr="00B320D4" w:rsidRDefault="00FB0638" w:rsidP="00267F70">
      <w:pPr>
        <w:spacing w:after="120"/>
        <w:jc w:val="both"/>
        <w:rPr>
          <w:rFonts w:ascii="Verdana" w:hAnsi="Verdana"/>
          <w:sz w:val="20"/>
          <w:szCs w:val="20"/>
        </w:rPr>
      </w:pPr>
      <w:r>
        <w:rPr>
          <w:rFonts w:ascii="Verdana" w:hAnsi="Verdana"/>
          <w:sz w:val="20"/>
          <w:szCs w:val="20"/>
        </w:rPr>
        <w:t>64</w:t>
      </w:r>
      <w:r w:rsidR="005D034B" w:rsidRPr="00B320D4">
        <w:rPr>
          <w:rFonts w:ascii="Verdana" w:hAnsi="Verdana"/>
          <w:sz w:val="20"/>
          <w:szCs w:val="20"/>
        </w:rPr>
        <w:t>.</w:t>
      </w:r>
      <w:r w:rsidR="005D034B" w:rsidRPr="00B320D4">
        <w:rPr>
          <w:rFonts w:ascii="Verdana" w:hAnsi="Verdana"/>
          <w:sz w:val="20"/>
          <w:szCs w:val="20"/>
        </w:rPr>
        <w:tab/>
      </w:r>
      <w:r w:rsidR="00CD199D" w:rsidRPr="00B320D4">
        <w:rPr>
          <w:rFonts w:ascii="Verdana" w:hAnsi="Verdana"/>
          <w:sz w:val="20"/>
          <w:szCs w:val="20"/>
        </w:rPr>
        <w:t>En cuanto al fondo de desarrollo comunitario, también las definici</w:t>
      </w:r>
      <w:r w:rsidR="007E7FF6">
        <w:rPr>
          <w:rFonts w:ascii="Verdana" w:hAnsi="Verdana"/>
          <w:sz w:val="20"/>
          <w:szCs w:val="20"/>
        </w:rPr>
        <w:t>o</w:t>
      </w:r>
      <w:r w:rsidR="00CD199D" w:rsidRPr="00B320D4">
        <w:rPr>
          <w:rFonts w:ascii="Verdana" w:hAnsi="Verdana"/>
          <w:sz w:val="20"/>
          <w:szCs w:val="20"/>
        </w:rPr>
        <w:t>nes puntuales para su utilización —sin perjuicio de las pautas básicas establecidas por la Corte IDH—</w:t>
      </w:r>
      <w:r w:rsidR="00590F51" w:rsidRPr="00B320D4">
        <w:rPr>
          <w:rFonts w:ascii="Verdana" w:hAnsi="Verdana"/>
          <w:sz w:val="20"/>
          <w:szCs w:val="20"/>
        </w:rPr>
        <w:t xml:space="preserve"> </w:t>
      </w:r>
      <w:r w:rsidR="00CD199D" w:rsidRPr="00B320D4">
        <w:rPr>
          <w:rFonts w:ascii="Verdana" w:hAnsi="Verdana"/>
          <w:sz w:val="20"/>
          <w:szCs w:val="20"/>
        </w:rPr>
        <w:t>serán determinadas a partir de la intervención tanto del Estado como de las comunidades indígenas. Así, la Sentencia prevé: a) que los objetivos a que debe destinarse en el fondo sean definidos por las comunidades indígenas; b) que, sobre la base de lo anterior, el diseño y ejecución de programas sea definido a partir de la “participación activa” de las comunidades indígenas y sus representantes, y c) que la administración del fondo, para cumplir lo anterior, esté a cargo de un Comité que, en su integración, contará con representación de las comunidades indígenas y del Estado.</w:t>
      </w:r>
    </w:p>
    <w:p w14:paraId="1E0D6924" w14:textId="6F7E03ED" w:rsidR="00234EF1" w:rsidRPr="00B320D4" w:rsidRDefault="00FB0638" w:rsidP="00267F70">
      <w:pPr>
        <w:spacing w:after="120"/>
        <w:jc w:val="both"/>
        <w:rPr>
          <w:rFonts w:ascii="Verdana" w:hAnsi="Verdana"/>
          <w:sz w:val="20"/>
          <w:szCs w:val="20"/>
        </w:rPr>
      </w:pPr>
      <w:r>
        <w:rPr>
          <w:rFonts w:ascii="Verdana" w:hAnsi="Verdana"/>
          <w:sz w:val="20"/>
          <w:szCs w:val="20"/>
        </w:rPr>
        <w:t>65</w:t>
      </w:r>
      <w:r w:rsidR="005D034B" w:rsidRPr="00B320D4">
        <w:rPr>
          <w:rFonts w:ascii="Verdana" w:hAnsi="Verdana"/>
          <w:sz w:val="20"/>
          <w:szCs w:val="20"/>
        </w:rPr>
        <w:t xml:space="preserve">. </w:t>
      </w:r>
      <w:r w:rsidR="005D034B" w:rsidRPr="00B320D4">
        <w:rPr>
          <w:rFonts w:ascii="Verdana" w:hAnsi="Verdana"/>
          <w:sz w:val="20"/>
          <w:szCs w:val="20"/>
        </w:rPr>
        <w:tab/>
      </w:r>
      <w:r w:rsidR="00234EF1" w:rsidRPr="00B320D4">
        <w:rPr>
          <w:rFonts w:ascii="Verdana" w:hAnsi="Verdana"/>
          <w:sz w:val="20"/>
          <w:szCs w:val="20"/>
        </w:rPr>
        <w:t xml:space="preserve">Este </w:t>
      </w:r>
      <w:r w:rsidR="00CD199D" w:rsidRPr="00B320D4">
        <w:rPr>
          <w:rFonts w:ascii="Verdana" w:hAnsi="Verdana"/>
          <w:sz w:val="20"/>
          <w:szCs w:val="20"/>
        </w:rPr>
        <w:t>modo de establecer las medidas de reparación correlativas a afectaciones a DESCA busca cumplir distintos fines. Por una parte, posibilitar la debida participación de las comunidades indígenas víctimas, por sí mi</w:t>
      </w:r>
      <w:r w:rsidR="00234EF1" w:rsidRPr="00B320D4">
        <w:rPr>
          <w:rFonts w:ascii="Verdana" w:hAnsi="Verdana"/>
          <w:sz w:val="20"/>
          <w:szCs w:val="20"/>
        </w:rPr>
        <w:t>s</w:t>
      </w:r>
      <w:r w:rsidR="00CD199D" w:rsidRPr="00B320D4">
        <w:rPr>
          <w:rFonts w:ascii="Verdana" w:hAnsi="Verdana"/>
          <w:sz w:val="20"/>
          <w:szCs w:val="20"/>
        </w:rPr>
        <w:t xml:space="preserve">mas, y también con la intervención de sus representantes, en la determinación de acciones que incidirán en el modo en que recuperarán el goce de sus derechos. Por otra parte, permitir una mayor efectividad de las medidas, dada las definiciones más precisas que se posibilitan a partir de la interacción participativa, informes técnicos y planes de trabajo detallados, conforme lo mandado en la Sentencia. A su vez, esta mayor precisión y efectividad se persigue, además, </w:t>
      </w:r>
      <w:r w:rsidR="005D034B" w:rsidRPr="00B320D4">
        <w:rPr>
          <w:rFonts w:ascii="Verdana" w:hAnsi="Verdana"/>
          <w:sz w:val="20"/>
          <w:szCs w:val="20"/>
        </w:rPr>
        <w:t>—</w:t>
      </w:r>
      <w:r w:rsidR="00CD199D" w:rsidRPr="00B320D4">
        <w:rPr>
          <w:rFonts w:ascii="Verdana" w:hAnsi="Verdana"/>
          <w:sz w:val="20"/>
          <w:szCs w:val="20"/>
        </w:rPr>
        <w:t>por lo que podría denominarse un “control dinámico” de la observancia de las medidas</w:t>
      </w:r>
      <w:r w:rsidR="005D034B" w:rsidRPr="00B320D4">
        <w:rPr>
          <w:rFonts w:ascii="Verdana" w:hAnsi="Verdana"/>
          <w:sz w:val="20"/>
          <w:szCs w:val="20"/>
        </w:rPr>
        <w:t>—</w:t>
      </w:r>
      <w:r w:rsidR="00CD199D" w:rsidRPr="00B320D4">
        <w:rPr>
          <w:rFonts w:ascii="Verdana" w:hAnsi="Verdana"/>
          <w:sz w:val="20"/>
          <w:szCs w:val="20"/>
        </w:rPr>
        <w:t>, en que algunas definiciones de las mismas podrían realizarse en el curso del proceso de supervición de su cumplimiento, con intervención de los diversos actores del proceso, inclusive la Comisión Interamericana. En ese sentido, la Sentencia indica que la Corte</w:t>
      </w:r>
      <w:r w:rsidR="00234EF1" w:rsidRPr="00B320D4">
        <w:rPr>
          <w:rFonts w:ascii="Verdana" w:hAnsi="Verdana"/>
          <w:sz w:val="20"/>
          <w:szCs w:val="20"/>
        </w:rPr>
        <w:t xml:space="preserve"> IDH</w:t>
      </w:r>
      <w:r w:rsidR="00CD199D" w:rsidRPr="00B320D4">
        <w:rPr>
          <w:rFonts w:ascii="Verdana" w:hAnsi="Verdana"/>
          <w:sz w:val="20"/>
          <w:szCs w:val="20"/>
        </w:rPr>
        <w:t xml:space="preserve">, previas observaciones de los representantes de las víctimas y la </w:t>
      </w:r>
      <w:r w:rsidR="00CD199D" w:rsidRPr="00B320D4">
        <w:rPr>
          <w:rFonts w:ascii="Verdana" w:hAnsi="Verdana"/>
          <w:sz w:val="20"/>
          <w:szCs w:val="20"/>
        </w:rPr>
        <w:lastRenderedPageBreak/>
        <w:t>Comisión Ineramericana, evaluará los planes de acción que presente el Estado, pudiendo requeri</w:t>
      </w:r>
      <w:r w:rsidR="00234EF1" w:rsidRPr="00B320D4">
        <w:rPr>
          <w:rFonts w:ascii="Verdana" w:hAnsi="Verdana"/>
          <w:sz w:val="20"/>
          <w:szCs w:val="20"/>
        </w:rPr>
        <w:t>r, según el caso, su ampliación</w:t>
      </w:r>
      <w:r w:rsidR="00CD199D" w:rsidRPr="00B320D4">
        <w:rPr>
          <w:rFonts w:ascii="Verdana" w:hAnsi="Verdana"/>
          <w:sz w:val="20"/>
          <w:szCs w:val="20"/>
        </w:rPr>
        <w:t xml:space="preserve"> o que sean completados. </w:t>
      </w:r>
    </w:p>
    <w:p w14:paraId="2AC9828A" w14:textId="5B9B5E1F" w:rsidR="006555F6" w:rsidRPr="00914E2E" w:rsidRDefault="00FB0638" w:rsidP="00267F70">
      <w:pPr>
        <w:spacing w:after="120"/>
        <w:jc w:val="both"/>
        <w:rPr>
          <w:rFonts w:ascii="Verdana" w:hAnsi="Verdana"/>
          <w:sz w:val="20"/>
          <w:szCs w:val="20"/>
        </w:rPr>
      </w:pPr>
      <w:r>
        <w:rPr>
          <w:rFonts w:ascii="Verdana" w:hAnsi="Verdana"/>
          <w:sz w:val="20"/>
          <w:szCs w:val="20"/>
        </w:rPr>
        <w:t>66</w:t>
      </w:r>
      <w:r w:rsidR="005D034B" w:rsidRPr="00B320D4">
        <w:rPr>
          <w:rFonts w:ascii="Verdana" w:hAnsi="Verdana"/>
          <w:sz w:val="20"/>
          <w:szCs w:val="20"/>
        </w:rPr>
        <w:t>.</w:t>
      </w:r>
      <w:r w:rsidR="005D034B" w:rsidRPr="00B320D4">
        <w:rPr>
          <w:rFonts w:ascii="Verdana" w:hAnsi="Verdana"/>
          <w:sz w:val="20"/>
          <w:szCs w:val="20"/>
        </w:rPr>
        <w:tab/>
      </w:r>
      <w:r w:rsidR="00CD199D" w:rsidRPr="00B320D4">
        <w:rPr>
          <w:rFonts w:ascii="Verdana" w:hAnsi="Verdana"/>
          <w:sz w:val="20"/>
          <w:szCs w:val="20"/>
        </w:rPr>
        <w:t xml:space="preserve">La Sentencia contempla también un papel activo de la Comisón Interamericana, exhortando a la misma, siempre “en el marco de sus posibilidades y funciones”, a “facilita[r]” la interacción entre las partes, a fin de “coadyuvar” al cumplimiento de las medidas. Por último, también se ha procurado tener el debido respeto a las funciones y deberes estatales en la determinación de las acciones. Debe destacarse, en ese sentido, no solo que es el Estado quien debe, bajo las pautas ya referidas, desarrollar estudios y planificar las acciones a realizar, sino también </w:t>
      </w:r>
      <w:r w:rsidR="00234EF1" w:rsidRPr="00B320D4">
        <w:rPr>
          <w:rFonts w:ascii="Verdana" w:hAnsi="Verdana"/>
          <w:sz w:val="20"/>
          <w:szCs w:val="20"/>
        </w:rPr>
        <w:t>se aclara que las medidas que se adopten deben ser adecuadas, guardando “armonía con políticas públicas estatales, planes de gobierno y la normativa nacional o provincial pertinente”</w:t>
      </w:r>
      <w:r w:rsidR="00234EF1" w:rsidRPr="00B320D4">
        <w:rPr>
          <w:rStyle w:val="Refdenotaalpie"/>
          <w:rFonts w:ascii="Verdana" w:hAnsi="Verdana"/>
          <w:sz w:val="20"/>
        </w:rPr>
        <w:t xml:space="preserve"> </w:t>
      </w:r>
      <w:r w:rsidR="00234EF1" w:rsidRPr="007E1845">
        <w:rPr>
          <w:rStyle w:val="Refdenotaalpie"/>
          <w:rFonts w:ascii="Verdana" w:hAnsi="Verdana"/>
          <w:sz w:val="20"/>
        </w:rPr>
        <w:footnoteReference w:id="51"/>
      </w:r>
      <w:r w:rsidR="00234EF1" w:rsidRPr="007E1845">
        <w:rPr>
          <w:rFonts w:ascii="Verdana" w:hAnsi="Verdana"/>
          <w:sz w:val="20"/>
          <w:szCs w:val="20"/>
        </w:rPr>
        <w:t>.</w:t>
      </w:r>
    </w:p>
    <w:p w14:paraId="49061CE0" w14:textId="36260FAE" w:rsidR="006555F6" w:rsidRPr="00B320D4" w:rsidRDefault="00FB0638" w:rsidP="00267F70">
      <w:pPr>
        <w:spacing w:after="120"/>
        <w:jc w:val="both"/>
        <w:rPr>
          <w:rFonts w:ascii="Verdana" w:hAnsi="Verdana"/>
          <w:sz w:val="20"/>
          <w:szCs w:val="20"/>
        </w:rPr>
      </w:pPr>
      <w:r>
        <w:rPr>
          <w:rFonts w:ascii="Verdana" w:hAnsi="Verdana"/>
          <w:sz w:val="20"/>
          <w:szCs w:val="20"/>
        </w:rPr>
        <w:t>67</w:t>
      </w:r>
      <w:r w:rsidR="005D034B" w:rsidRPr="00F04312">
        <w:rPr>
          <w:rFonts w:ascii="Verdana" w:hAnsi="Verdana"/>
          <w:sz w:val="20"/>
          <w:szCs w:val="20"/>
        </w:rPr>
        <w:t xml:space="preserve">. </w:t>
      </w:r>
      <w:r w:rsidR="005D034B" w:rsidRPr="00F04312">
        <w:rPr>
          <w:rFonts w:ascii="Verdana" w:hAnsi="Verdana"/>
          <w:sz w:val="20"/>
          <w:szCs w:val="20"/>
        </w:rPr>
        <w:tab/>
      </w:r>
      <w:r w:rsidR="006555F6" w:rsidRPr="00F04312">
        <w:rPr>
          <w:rFonts w:ascii="Verdana" w:hAnsi="Verdana"/>
          <w:sz w:val="20"/>
          <w:szCs w:val="20"/>
        </w:rPr>
        <w:t>Resulta frecu</w:t>
      </w:r>
      <w:r w:rsidR="00F04312">
        <w:rPr>
          <w:rFonts w:ascii="Verdana" w:hAnsi="Verdana"/>
          <w:sz w:val="20"/>
          <w:szCs w:val="20"/>
        </w:rPr>
        <w:t>e</w:t>
      </w:r>
      <w:r w:rsidR="006555F6" w:rsidRPr="00F04312">
        <w:rPr>
          <w:rFonts w:ascii="Verdana" w:hAnsi="Verdana"/>
          <w:sz w:val="20"/>
          <w:szCs w:val="20"/>
        </w:rPr>
        <w:t>nte que se objete la intervención de tribunales en litigios que involucren DESCA, considerando aspectos pr</w:t>
      </w:r>
      <w:r w:rsidR="006555F6" w:rsidRPr="00EE35BE">
        <w:rPr>
          <w:rFonts w:ascii="Verdana" w:hAnsi="Verdana"/>
          <w:sz w:val="20"/>
          <w:szCs w:val="20"/>
        </w:rPr>
        <w:t>estacionales de est</w:t>
      </w:r>
      <w:r w:rsidR="007E7FF6">
        <w:rPr>
          <w:rFonts w:ascii="Verdana" w:hAnsi="Verdana"/>
          <w:sz w:val="20"/>
          <w:szCs w:val="20"/>
        </w:rPr>
        <w:t xml:space="preserve">os derechos —que no son ajenos </w:t>
      </w:r>
      <w:r w:rsidR="006555F6" w:rsidRPr="00EE35BE">
        <w:rPr>
          <w:rFonts w:ascii="Verdana" w:hAnsi="Verdana"/>
          <w:sz w:val="20"/>
          <w:szCs w:val="20"/>
        </w:rPr>
        <w:t>a los derechos civiles y políticos—</w:t>
      </w:r>
      <w:r w:rsidR="006555F6" w:rsidRPr="00B320D4">
        <w:rPr>
          <w:rFonts w:ascii="Verdana" w:hAnsi="Verdana"/>
          <w:sz w:val="20"/>
          <w:szCs w:val="20"/>
        </w:rPr>
        <w:t>, con base en razones que, de diversos modos, aluden a la falta de legiti</w:t>
      </w:r>
      <w:r w:rsidR="00C301DF">
        <w:rPr>
          <w:rFonts w:ascii="Verdana" w:hAnsi="Verdana"/>
          <w:sz w:val="20"/>
          <w:szCs w:val="20"/>
        </w:rPr>
        <w:t>midad o capacidad de los órganos</w:t>
      </w:r>
      <w:r w:rsidR="006555F6" w:rsidRPr="00B320D4">
        <w:rPr>
          <w:rFonts w:ascii="Verdana" w:hAnsi="Verdana"/>
          <w:sz w:val="20"/>
          <w:szCs w:val="20"/>
        </w:rPr>
        <w:t xml:space="preserve"> ju</w:t>
      </w:r>
      <w:r w:rsidR="00C301DF">
        <w:rPr>
          <w:rFonts w:ascii="Verdana" w:hAnsi="Verdana"/>
          <w:sz w:val="20"/>
          <w:szCs w:val="20"/>
        </w:rPr>
        <w:t>risdiccionales</w:t>
      </w:r>
      <w:r w:rsidR="006555F6" w:rsidRPr="00B320D4">
        <w:rPr>
          <w:rFonts w:ascii="Verdana" w:hAnsi="Verdana"/>
          <w:sz w:val="20"/>
          <w:szCs w:val="20"/>
        </w:rPr>
        <w:t xml:space="preserve"> respecto a la definición de políticas púbicas. Así, por ejemplo, se alude a la falta de información técnica o presupuestaria de los tribunales, a su incapacidad para evaluar adecuadamente dicha información, o a la ilegitimidad de tal ejercicio (atribuido, en general, a órganos ejecutivos o legislativos). Aspectos como los señalados presentan ciertamente, </w:t>
      </w:r>
      <w:r w:rsidR="0075294F">
        <w:rPr>
          <w:rFonts w:ascii="Verdana" w:hAnsi="Verdana"/>
          <w:sz w:val="20"/>
          <w:szCs w:val="20"/>
        </w:rPr>
        <w:t>y de acuerdo a cada caso, desafí</w:t>
      </w:r>
      <w:r w:rsidR="006555F6" w:rsidRPr="00B320D4">
        <w:rPr>
          <w:rFonts w:ascii="Verdana" w:hAnsi="Verdana"/>
          <w:sz w:val="20"/>
          <w:szCs w:val="20"/>
        </w:rPr>
        <w:t>os importantes para la actividad ju</w:t>
      </w:r>
      <w:r w:rsidR="005D034B" w:rsidRPr="00B320D4">
        <w:rPr>
          <w:rFonts w:ascii="Verdana" w:hAnsi="Verdana"/>
          <w:sz w:val="20"/>
          <w:szCs w:val="20"/>
        </w:rPr>
        <w:t>risdiccional</w:t>
      </w:r>
      <w:r w:rsidR="006555F6" w:rsidRPr="00B320D4">
        <w:rPr>
          <w:rFonts w:ascii="Verdana" w:hAnsi="Verdana"/>
          <w:sz w:val="20"/>
          <w:szCs w:val="20"/>
        </w:rPr>
        <w:t>. No obstante, no pueden llevar a negar o mermar la justiciabilidad o eficacia de derechos plenamente vigentes y autónomos. La Sentencia, al respecto, ha procurado asumir tal desafío, buscando un modo de implementación de las medidas de reparación que, a la vez, sea eficaz para restiti</w:t>
      </w:r>
      <w:r w:rsidR="00C301DF">
        <w:rPr>
          <w:rFonts w:ascii="Verdana" w:hAnsi="Verdana"/>
          <w:sz w:val="20"/>
          <w:szCs w:val="20"/>
        </w:rPr>
        <w:t>u</w:t>
      </w:r>
      <w:r w:rsidR="006555F6" w:rsidRPr="00B320D4">
        <w:rPr>
          <w:rFonts w:ascii="Verdana" w:hAnsi="Verdana"/>
          <w:sz w:val="20"/>
          <w:szCs w:val="20"/>
        </w:rPr>
        <w:t>r</w:t>
      </w:r>
      <w:r w:rsidR="005D034B" w:rsidRPr="00B320D4">
        <w:rPr>
          <w:rFonts w:ascii="Verdana" w:hAnsi="Verdana"/>
          <w:sz w:val="20"/>
          <w:szCs w:val="20"/>
        </w:rPr>
        <w:t xml:space="preserve"> </w:t>
      </w:r>
      <w:r w:rsidR="006555F6" w:rsidRPr="00B320D4">
        <w:rPr>
          <w:rFonts w:ascii="Verdana" w:hAnsi="Verdana"/>
          <w:sz w:val="20"/>
          <w:szCs w:val="20"/>
        </w:rPr>
        <w:t xml:space="preserve">los derechos lesionados y atienda a las dificultades y complejidad que presentan las acciones necesarias para tal fin. </w:t>
      </w:r>
    </w:p>
    <w:p w14:paraId="276F9CDB" w14:textId="574648C7" w:rsidR="00590F51" w:rsidRPr="00B320D4" w:rsidRDefault="00FB0638" w:rsidP="00267F70">
      <w:pPr>
        <w:spacing w:after="120"/>
        <w:jc w:val="both"/>
        <w:rPr>
          <w:rFonts w:ascii="Verdana" w:hAnsi="Verdana"/>
          <w:sz w:val="20"/>
          <w:szCs w:val="20"/>
        </w:rPr>
      </w:pPr>
      <w:r>
        <w:rPr>
          <w:rFonts w:ascii="Verdana" w:hAnsi="Verdana"/>
          <w:sz w:val="20"/>
          <w:szCs w:val="20"/>
        </w:rPr>
        <w:t>68</w:t>
      </w:r>
      <w:r w:rsidR="00E87385" w:rsidRPr="00B320D4">
        <w:rPr>
          <w:rFonts w:ascii="Verdana" w:hAnsi="Verdana"/>
          <w:sz w:val="20"/>
          <w:szCs w:val="20"/>
        </w:rPr>
        <w:t xml:space="preserve">. </w:t>
      </w:r>
      <w:r w:rsidR="00E87385" w:rsidRPr="00B320D4">
        <w:rPr>
          <w:rFonts w:ascii="Verdana" w:hAnsi="Verdana"/>
          <w:sz w:val="20"/>
          <w:szCs w:val="20"/>
        </w:rPr>
        <w:tab/>
      </w:r>
      <w:r w:rsidR="00590F51" w:rsidRPr="00B320D4">
        <w:rPr>
          <w:rFonts w:ascii="Verdana" w:hAnsi="Verdana"/>
          <w:sz w:val="20"/>
          <w:szCs w:val="20"/>
        </w:rPr>
        <w:t xml:space="preserve">Del modo referido, la Corte </w:t>
      </w:r>
      <w:r w:rsidR="000C448B" w:rsidRPr="00B320D4">
        <w:rPr>
          <w:rFonts w:ascii="Verdana" w:hAnsi="Verdana"/>
          <w:sz w:val="20"/>
          <w:szCs w:val="20"/>
        </w:rPr>
        <w:t xml:space="preserve">IDH </w:t>
      </w:r>
      <w:r w:rsidR="00590F51" w:rsidRPr="00B320D4">
        <w:rPr>
          <w:rFonts w:ascii="Verdana" w:hAnsi="Verdana"/>
          <w:sz w:val="20"/>
          <w:szCs w:val="20"/>
        </w:rPr>
        <w:t>h</w:t>
      </w:r>
      <w:r w:rsidR="00C301DF">
        <w:rPr>
          <w:rFonts w:ascii="Verdana" w:hAnsi="Verdana"/>
          <w:sz w:val="20"/>
          <w:szCs w:val="20"/>
        </w:rPr>
        <w:t>a procurado lograr, a la vez de</w:t>
      </w:r>
      <w:r w:rsidR="00590F51" w:rsidRPr="00B320D4">
        <w:rPr>
          <w:rFonts w:ascii="Verdana" w:hAnsi="Verdana"/>
          <w:sz w:val="20"/>
          <w:szCs w:val="20"/>
        </w:rPr>
        <w:t xml:space="preserve"> un examen autónomo de los DESCA, establecer medidas de reparación acordes a la lesión de los mismos, y que estas resulten realmente idóneas en la materia. Ello, a partir de posibilitar definiciones posteriores más precisas para</w:t>
      </w:r>
      <w:r w:rsidR="000C448B" w:rsidRPr="00B320D4">
        <w:rPr>
          <w:rFonts w:ascii="Verdana" w:hAnsi="Verdana"/>
          <w:sz w:val="20"/>
          <w:szCs w:val="20"/>
        </w:rPr>
        <w:t xml:space="preserve"> </w:t>
      </w:r>
      <w:r w:rsidR="00590F51" w:rsidRPr="00B320D4">
        <w:rPr>
          <w:rFonts w:ascii="Verdana" w:hAnsi="Verdana"/>
          <w:sz w:val="20"/>
          <w:szCs w:val="20"/>
        </w:rPr>
        <w:t>su implementación, siempre supervisada por la Corte</w:t>
      </w:r>
      <w:r w:rsidR="000C448B" w:rsidRPr="00B320D4">
        <w:rPr>
          <w:rFonts w:ascii="Verdana" w:hAnsi="Verdana"/>
          <w:sz w:val="20"/>
          <w:szCs w:val="20"/>
        </w:rPr>
        <w:t xml:space="preserve"> IDH y en los</w:t>
      </w:r>
      <w:r w:rsidR="00590F51" w:rsidRPr="00B320D4">
        <w:rPr>
          <w:rFonts w:ascii="Verdana" w:hAnsi="Verdana"/>
          <w:sz w:val="20"/>
          <w:szCs w:val="20"/>
        </w:rPr>
        <w:t xml:space="preserve"> tiempos que se estiman suficientes para su ejecución. </w:t>
      </w:r>
    </w:p>
    <w:p w14:paraId="38D3D2E8" w14:textId="060BE0AA" w:rsidR="0075294F" w:rsidRDefault="00FB0638" w:rsidP="008C5C62">
      <w:pPr>
        <w:spacing w:after="120"/>
        <w:jc w:val="both"/>
        <w:rPr>
          <w:rFonts w:ascii="Verdana" w:hAnsi="Verdana"/>
          <w:bCs/>
          <w:sz w:val="20"/>
          <w:szCs w:val="20"/>
        </w:rPr>
      </w:pPr>
      <w:r>
        <w:rPr>
          <w:rFonts w:ascii="Verdana" w:hAnsi="Verdana"/>
          <w:bCs/>
          <w:sz w:val="20"/>
          <w:szCs w:val="20"/>
        </w:rPr>
        <w:t>69</w:t>
      </w:r>
      <w:r w:rsidR="00666F50" w:rsidRPr="00B320D4">
        <w:rPr>
          <w:rFonts w:ascii="Verdana" w:hAnsi="Verdana"/>
          <w:bCs/>
          <w:sz w:val="20"/>
          <w:szCs w:val="20"/>
        </w:rPr>
        <w:t xml:space="preserve">. </w:t>
      </w:r>
      <w:r w:rsidR="00666F50" w:rsidRPr="00B320D4">
        <w:rPr>
          <w:rFonts w:ascii="Verdana" w:hAnsi="Verdana"/>
          <w:bCs/>
          <w:sz w:val="20"/>
          <w:szCs w:val="20"/>
        </w:rPr>
        <w:tab/>
        <w:t xml:space="preserve">De este modo las reparaciones como </w:t>
      </w:r>
      <w:r w:rsidR="0059358E" w:rsidRPr="00B320D4">
        <w:rPr>
          <w:rFonts w:ascii="Verdana" w:hAnsi="Verdana"/>
          <w:bCs/>
          <w:sz w:val="20"/>
          <w:szCs w:val="20"/>
        </w:rPr>
        <w:t>las indicadas en ese capítu</w:t>
      </w:r>
      <w:r w:rsidR="00666F50" w:rsidRPr="00B320D4">
        <w:rPr>
          <w:rFonts w:ascii="Verdana" w:hAnsi="Verdana"/>
          <w:bCs/>
          <w:sz w:val="20"/>
          <w:szCs w:val="20"/>
        </w:rPr>
        <w:t>lo tienen un verdadero trasfondo de derechos sociales y buscan</w:t>
      </w:r>
      <w:r w:rsidR="00666F50" w:rsidRPr="00B320D4">
        <w:rPr>
          <w:rFonts w:ascii="Verdana" w:hAnsi="Verdana"/>
          <w:b/>
          <w:bCs/>
          <w:sz w:val="20"/>
          <w:szCs w:val="20"/>
        </w:rPr>
        <w:t xml:space="preserve"> </w:t>
      </w:r>
      <w:r w:rsidR="00666F50" w:rsidRPr="00B320D4">
        <w:rPr>
          <w:rFonts w:ascii="Verdana" w:hAnsi="Verdana"/>
          <w:bCs/>
          <w:sz w:val="20"/>
          <w:szCs w:val="20"/>
        </w:rPr>
        <w:t>restaurar el goce del contenido de cada uno de los derechos indicados y declarados violados en la Sentencia. Considero que esta especificación en cuanto a las me</w:t>
      </w:r>
      <w:r w:rsidR="007E7FF6">
        <w:rPr>
          <w:rFonts w:ascii="Verdana" w:hAnsi="Verdana"/>
          <w:bCs/>
          <w:sz w:val="20"/>
          <w:szCs w:val="20"/>
        </w:rPr>
        <w:t>didas de reparación, constituye</w:t>
      </w:r>
      <w:r w:rsidR="00666F50" w:rsidRPr="00B320D4">
        <w:rPr>
          <w:rFonts w:ascii="Verdana" w:hAnsi="Verdana"/>
          <w:bCs/>
          <w:sz w:val="20"/>
          <w:szCs w:val="20"/>
        </w:rPr>
        <w:t xml:space="preserve"> una muestra de la posibilidad que tiene el Tribunal </w:t>
      </w:r>
      <w:r w:rsidR="001C05E8" w:rsidRPr="00B320D4">
        <w:rPr>
          <w:rFonts w:ascii="Verdana" w:hAnsi="Verdana"/>
          <w:bCs/>
          <w:sz w:val="20"/>
          <w:szCs w:val="20"/>
        </w:rPr>
        <w:t xml:space="preserve">Interamericano </w:t>
      </w:r>
      <w:r w:rsidR="00666F50" w:rsidRPr="00B320D4">
        <w:rPr>
          <w:rFonts w:ascii="Verdana" w:hAnsi="Verdana"/>
          <w:bCs/>
          <w:sz w:val="20"/>
          <w:szCs w:val="20"/>
        </w:rPr>
        <w:t xml:space="preserve">para </w:t>
      </w:r>
      <w:r w:rsidR="001C05E8" w:rsidRPr="00B320D4">
        <w:rPr>
          <w:rFonts w:ascii="Verdana" w:hAnsi="Verdana"/>
          <w:bCs/>
          <w:sz w:val="20"/>
          <w:szCs w:val="20"/>
        </w:rPr>
        <w:t>ir estableciendo reparaciones acorde con las violaciones a DESCA y conforme a las particularidades de cada caso.</w:t>
      </w:r>
    </w:p>
    <w:p w14:paraId="79555B8F" w14:textId="77777777" w:rsidR="008C5C62" w:rsidRDefault="008C5C62" w:rsidP="008C5C62">
      <w:pPr>
        <w:spacing w:after="120"/>
        <w:jc w:val="both"/>
        <w:rPr>
          <w:rFonts w:ascii="Verdana" w:hAnsi="Verdana"/>
          <w:bCs/>
          <w:sz w:val="20"/>
          <w:szCs w:val="20"/>
        </w:rPr>
      </w:pPr>
    </w:p>
    <w:p w14:paraId="50DEE25E" w14:textId="77777777" w:rsidR="00997507" w:rsidRPr="00340041" w:rsidRDefault="00E87385" w:rsidP="008C5C62">
      <w:pPr>
        <w:spacing w:before="120"/>
        <w:jc w:val="center"/>
        <w:rPr>
          <w:rFonts w:ascii="Verdana" w:hAnsi="Verdana"/>
          <w:b/>
          <w:sz w:val="20"/>
          <w:szCs w:val="20"/>
        </w:rPr>
      </w:pPr>
      <w:r w:rsidRPr="00340041">
        <w:rPr>
          <w:rFonts w:ascii="Verdana" w:hAnsi="Verdana"/>
          <w:b/>
          <w:sz w:val="20"/>
          <w:szCs w:val="20"/>
        </w:rPr>
        <w:t>I</w:t>
      </w:r>
      <w:r w:rsidR="0058240E" w:rsidRPr="00340041">
        <w:rPr>
          <w:rFonts w:ascii="Verdana" w:hAnsi="Verdana"/>
          <w:b/>
          <w:sz w:val="20"/>
          <w:szCs w:val="20"/>
        </w:rPr>
        <w:t>V</w:t>
      </w:r>
      <w:r w:rsidRPr="00340041">
        <w:rPr>
          <w:rFonts w:ascii="Verdana" w:hAnsi="Verdana"/>
          <w:b/>
          <w:sz w:val="20"/>
          <w:szCs w:val="20"/>
        </w:rPr>
        <w:t xml:space="preserve">. LOS </w:t>
      </w:r>
      <w:r w:rsidRPr="00340041">
        <w:rPr>
          <w:rFonts w:ascii="Verdana" w:hAnsi="Verdana"/>
          <w:b/>
          <w:i/>
          <w:sz w:val="20"/>
          <w:szCs w:val="20"/>
        </w:rPr>
        <w:t>AMICI CURIAE</w:t>
      </w:r>
      <w:r w:rsidRPr="00340041">
        <w:rPr>
          <w:rFonts w:ascii="Verdana" w:hAnsi="Verdana"/>
          <w:b/>
          <w:sz w:val="20"/>
          <w:szCs w:val="20"/>
        </w:rPr>
        <w:t xml:space="preserve"> COMO MEDIO DE DIÁLOGO DE LA SOCIEDAD CIVIL </w:t>
      </w:r>
    </w:p>
    <w:p w14:paraId="247C698A" w14:textId="71625247" w:rsidR="00E87385" w:rsidRDefault="00E87385" w:rsidP="008C5C62">
      <w:pPr>
        <w:jc w:val="center"/>
        <w:rPr>
          <w:rFonts w:ascii="Verdana" w:hAnsi="Verdana"/>
          <w:b/>
          <w:sz w:val="20"/>
          <w:szCs w:val="20"/>
        </w:rPr>
      </w:pPr>
      <w:r w:rsidRPr="00340041">
        <w:rPr>
          <w:rFonts w:ascii="Verdana" w:hAnsi="Verdana"/>
          <w:b/>
          <w:sz w:val="20"/>
          <w:szCs w:val="20"/>
        </w:rPr>
        <w:t>CON LA CORTE INTERAMERICAN</w:t>
      </w:r>
      <w:r w:rsidR="008C5C62">
        <w:rPr>
          <w:rFonts w:ascii="Verdana" w:hAnsi="Verdana"/>
          <w:b/>
          <w:sz w:val="20"/>
          <w:szCs w:val="20"/>
        </w:rPr>
        <w:t>A</w:t>
      </w:r>
    </w:p>
    <w:p w14:paraId="43ECE036" w14:textId="77777777" w:rsidR="008C5C62" w:rsidRPr="008C5C62" w:rsidRDefault="008C5C62" w:rsidP="008C5C62">
      <w:pPr>
        <w:jc w:val="center"/>
        <w:rPr>
          <w:rFonts w:ascii="Verdana" w:hAnsi="Verdana"/>
          <w:b/>
          <w:sz w:val="20"/>
          <w:szCs w:val="20"/>
        </w:rPr>
      </w:pPr>
    </w:p>
    <w:p w14:paraId="53E9955E" w14:textId="62BF190A" w:rsidR="00E87385" w:rsidRPr="00914E2E" w:rsidRDefault="00FB0638" w:rsidP="00267F70">
      <w:pPr>
        <w:pStyle w:val="Prrafodelista"/>
        <w:spacing w:after="0" w:line="240" w:lineRule="auto"/>
        <w:ind w:left="0"/>
        <w:jc w:val="both"/>
        <w:rPr>
          <w:rFonts w:ascii="Verdana" w:hAnsi="Verdana"/>
          <w:sz w:val="20"/>
          <w:szCs w:val="20"/>
        </w:rPr>
      </w:pPr>
      <w:r>
        <w:rPr>
          <w:rFonts w:ascii="Verdana" w:hAnsi="Verdana"/>
          <w:sz w:val="20"/>
          <w:szCs w:val="20"/>
        </w:rPr>
        <w:t>70</w:t>
      </w:r>
      <w:r w:rsidR="00E87385" w:rsidRPr="00B320D4">
        <w:rPr>
          <w:rFonts w:ascii="Verdana" w:hAnsi="Verdana"/>
          <w:sz w:val="20"/>
          <w:szCs w:val="20"/>
        </w:rPr>
        <w:t xml:space="preserve">. </w:t>
      </w:r>
      <w:r w:rsidR="00E87385" w:rsidRPr="00B320D4">
        <w:rPr>
          <w:rFonts w:ascii="Verdana" w:hAnsi="Verdana"/>
          <w:sz w:val="20"/>
          <w:szCs w:val="20"/>
        </w:rPr>
        <w:tab/>
        <w:t xml:space="preserve">Los primeros cinco reglamentos del Tribunal Interamericano no contemplaban la figura del </w:t>
      </w:r>
      <w:r w:rsidR="00E87385" w:rsidRPr="00B320D4">
        <w:rPr>
          <w:rFonts w:ascii="Verdana" w:hAnsi="Verdana"/>
          <w:i/>
          <w:iCs/>
          <w:sz w:val="20"/>
          <w:szCs w:val="20"/>
        </w:rPr>
        <w:t>amicus curiae</w:t>
      </w:r>
      <w:r w:rsidR="00E87385" w:rsidRPr="00B320D4">
        <w:rPr>
          <w:rFonts w:ascii="Verdana" w:hAnsi="Verdana"/>
          <w:sz w:val="20"/>
          <w:szCs w:val="20"/>
        </w:rPr>
        <w:t xml:space="preserve">. Sin embargo, ello no fue impedimento para que desde el primer caso contencioso en el que la Corte IDH se pronunció sobre el fondo, se recibieran </w:t>
      </w:r>
      <w:r w:rsidR="00E87385" w:rsidRPr="00B320D4">
        <w:rPr>
          <w:rFonts w:ascii="Verdana" w:hAnsi="Verdana"/>
          <w:bCs/>
          <w:sz w:val="20"/>
          <w:szCs w:val="20"/>
        </w:rPr>
        <w:lastRenderedPageBreak/>
        <w:t>diversos</w:t>
      </w:r>
      <w:r w:rsidR="00E87385" w:rsidRPr="00B320D4">
        <w:rPr>
          <w:rFonts w:ascii="Verdana" w:hAnsi="Verdana"/>
          <w:sz w:val="20"/>
          <w:szCs w:val="20"/>
        </w:rPr>
        <w:t xml:space="preserve"> </w:t>
      </w:r>
      <w:r w:rsidR="00E87385" w:rsidRPr="00B320D4">
        <w:rPr>
          <w:rFonts w:ascii="Verdana" w:hAnsi="Verdana"/>
          <w:i/>
          <w:iCs/>
          <w:sz w:val="20"/>
          <w:szCs w:val="20"/>
        </w:rPr>
        <w:t>amici curiae</w:t>
      </w:r>
      <w:r w:rsidR="00E87385" w:rsidRPr="00B320D4">
        <w:rPr>
          <w:rFonts w:ascii="Verdana" w:hAnsi="Verdana"/>
          <w:sz w:val="20"/>
          <w:szCs w:val="20"/>
        </w:rPr>
        <w:t xml:space="preserve"> por organizaciones no gubernamentales</w:t>
      </w:r>
      <w:r w:rsidR="00E87385" w:rsidRPr="007E1845">
        <w:rPr>
          <w:rStyle w:val="Refdenotaalpie"/>
          <w:rFonts w:ascii="Verdana" w:hAnsi="Verdana"/>
          <w:sz w:val="20"/>
        </w:rPr>
        <w:footnoteReference w:id="52"/>
      </w:r>
      <w:r w:rsidR="00E87385" w:rsidRPr="007E1845">
        <w:rPr>
          <w:rFonts w:ascii="Verdana" w:hAnsi="Verdana"/>
          <w:sz w:val="20"/>
          <w:szCs w:val="20"/>
        </w:rPr>
        <w:t xml:space="preserve">, lo que abrió el camino procedimiental para que siguiera como una práctica habitual ante la Corte IDH. </w:t>
      </w:r>
      <w:r w:rsidR="00E87385" w:rsidRPr="00914E2E">
        <w:rPr>
          <w:rFonts w:ascii="Verdana" w:hAnsi="Verdana"/>
          <w:sz w:val="20"/>
          <w:szCs w:val="20"/>
        </w:rPr>
        <w:t xml:space="preserve">Fue hasta el </w:t>
      </w:r>
      <w:r w:rsidR="00E87385" w:rsidRPr="00EE35BE">
        <w:rPr>
          <w:rFonts w:ascii="Verdana" w:hAnsi="Verdana"/>
          <w:sz w:val="20"/>
          <w:szCs w:val="20"/>
        </w:rPr>
        <w:t>año 2009 cuando, a través de una reforma al entonces reglamento, se introduce la definición de dicha institución, así como la primera regulación específica para su presentación</w:t>
      </w:r>
      <w:r w:rsidR="00E87385" w:rsidRPr="007E1845">
        <w:rPr>
          <w:rStyle w:val="Refdenotaalpie"/>
          <w:rFonts w:ascii="Verdana" w:hAnsi="Verdana"/>
          <w:sz w:val="20"/>
        </w:rPr>
        <w:footnoteReference w:id="53"/>
      </w:r>
      <w:r w:rsidR="00E87385" w:rsidRPr="007E1845">
        <w:rPr>
          <w:rFonts w:ascii="Verdana" w:hAnsi="Verdana"/>
          <w:sz w:val="20"/>
          <w:szCs w:val="20"/>
        </w:rPr>
        <w:t xml:space="preserve">. </w:t>
      </w:r>
    </w:p>
    <w:p w14:paraId="431426DE" w14:textId="77777777" w:rsidR="00E87385" w:rsidRPr="00EE35BE" w:rsidRDefault="00E87385" w:rsidP="00267F70">
      <w:pPr>
        <w:pStyle w:val="Prrafodelista"/>
        <w:spacing w:after="0" w:line="240" w:lineRule="auto"/>
        <w:ind w:left="0"/>
        <w:jc w:val="both"/>
        <w:rPr>
          <w:rFonts w:ascii="Verdana" w:hAnsi="Verdana"/>
          <w:sz w:val="20"/>
          <w:szCs w:val="20"/>
        </w:rPr>
      </w:pPr>
    </w:p>
    <w:p w14:paraId="7723E5D1" w14:textId="2E0F9BD6" w:rsidR="00E87385" w:rsidRPr="00914E2E" w:rsidRDefault="00FB0638" w:rsidP="00267F70">
      <w:pPr>
        <w:pStyle w:val="Prrafodelista"/>
        <w:spacing w:after="0" w:line="240" w:lineRule="auto"/>
        <w:ind w:left="0"/>
        <w:jc w:val="both"/>
        <w:rPr>
          <w:rFonts w:ascii="Verdana" w:hAnsi="Verdana"/>
          <w:sz w:val="20"/>
          <w:szCs w:val="20"/>
        </w:rPr>
      </w:pPr>
      <w:r>
        <w:rPr>
          <w:rFonts w:ascii="Verdana" w:hAnsi="Verdana"/>
          <w:sz w:val="20"/>
          <w:szCs w:val="20"/>
        </w:rPr>
        <w:t>71</w:t>
      </w:r>
      <w:r w:rsidR="00E87385" w:rsidRPr="00EE35BE">
        <w:rPr>
          <w:rFonts w:ascii="Verdana" w:hAnsi="Verdana"/>
          <w:sz w:val="20"/>
          <w:szCs w:val="20"/>
        </w:rPr>
        <w:t xml:space="preserve">. </w:t>
      </w:r>
      <w:r w:rsidR="00E87385" w:rsidRPr="00EE35BE">
        <w:rPr>
          <w:rFonts w:ascii="Verdana" w:hAnsi="Verdana"/>
          <w:sz w:val="20"/>
          <w:szCs w:val="20"/>
        </w:rPr>
        <w:tab/>
        <w:t>Así, la figura del</w:t>
      </w:r>
      <w:r w:rsidR="00E87385" w:rsidRPr="00EE35BE">
        <w:rPr>
          <w:rFonts w:ascii="Verdana" w:hAnsi="Verdana"/>
          <w:i/>
          <w:iCs/>
          <w:sz w:val="20"/>
          <w:szCs w:val="20"/>
        </w:rPr>
        <w:t xml:space="preserve"> amicus c</w:t>
      </w:r>
      <w:r w:rsidR="00E87385" w:rsidRPr="00B320D4">
        <w:rPr>
          <w:rFonts w:ascii="Verdana" w:hAnsi="Verdana"/>
          <w:i/>
          <w:iCs/>
          <w:sz w:val="20"/>
          <w:szCs w:val="20"/>
        </w:rPr>
        <w:t>uriae</w:t>
      </w:r>
      <w:r w:rsidR="00E87385" w:rsidRPr="00B320D4">
        <w:rPr>
          <w:rFonts w:ascii="Verdana" w:hAnsi="Verdana"/>
          <w:sz w:val="20"/>
          <w:szCs w:val="20"/>
        </w:rPr>
        <w:t xml:space="preserve"> </w:t>
      </w:r>
      <w:r w:rsidR="000A4C41" w:rsidRPr="00B320D4">
        <w:rPr>
          <w:rFonts w:ascii="Verdana" w:hAnsi="Verdana"/>
          <w:sz w:val="20"/>
          <w:szCs w:val="20"/>
        </w:rPr>
        <w:t xml:space="preserve">hace referencia </w:t>
      </w:r>
      <w:r w:rsidR="00E87385" w:rsidRPr="00B320D4">
        <w:rPr>
          <w:rFonts w:ascii="Verdana" w:hAnsi="Verdana"/>
          <w:sz w:val="20"/>
          <w:szCs w:val="20"/>
        </w:rPr>
        <w:t xml:space="preserve"> </w:t>
      </w:r>
      <w:r w:rsidR="000A4C41" w:rsidRPr="00B320D4">
        <w:rPr>
          <w:rFonts w:ascii="Verdana" w:hAnsi="Verdana"/>
          <w:sz w:val="20"/>
          <w:szCs w:val="20"/>
        </w:rPr>
        <w:t xml:space="preserve">a “la </w:t>
      </w:r>
      <w:r w:rsidR="00E87385" w:rsidRPr="00B320D4">
        <w:rPr>
          <w:rFonts w:ascii="Verdana" w:hAnsi="Verdana"/>
          <w:sz w:val="20"/>
          <w:szCs w:val="20"/>
        </w:rPr>
        <w:t>persona o institución, ajena al litig</w:t>
      </w:r>
      <w:r w:rsidR="000A4C41" w:rsidRPr="00B320D4">
        <w:rPr>
          <w:rFonts w:ascii="Verdana" w:hAnsi="Verdana"/>
          <w:sz w:val="20"/>
          <w:szCs w:val="20"/>
        </w:rPr>
        <w:t>io y al proceso</w:t>
      </w:r>
      <w:r w:rsidR="00E87385" w:rsidRPr="00B320D4">
        <w:rPr>
          <w:rFonts w:ascii="Verdana" w:hAnsi="Verdana"/>
          <w:sz w:val="20"/>
          <w:szCs w:val="20"/>
        </w:rPr>
        <w:t xml:space="preserve"> que presenta a</w:t>
      </w:r>
      <w:r w:rsidR="000A4C41" w:rsidRPr="00B320D4">
        <w:rPr>
          <w:rFonts w:ascii="Verdana" w:hAnsi="Verdana"/>
          <w:sz w:val="20"/>
          <w:szCs w:val="20"/>
        </w:rPr>
        <w:t xml:space="preserve"> la Corte</w:t>
      </w:r>
      <w:r w:rsidR="00E87385" w:rsidRPr="00B320D4">
        <w:rPr>
          <w:rFonts w:ascii="Verdana" w:hAnsi="Verdana"/>
          <w:sz w:val="20"/>
          <w:szCs w:val="20"/>
        </w:rPr>
        <w:t xml:space="preserve"> razonamientos en torno a los hechos contenidos en el sometimiento del caso o formula consideraciones jurídicas sobre la materia del proceso, a través de un documento o de un alegato en audiencia</w:t>
      </w:r>
      <w:r w:rsidR="0018590D" w:rsidRPr="00B320D4">
        <w:rPr>
          <w:rFonts w:ascii="Verdana" w:hAnsi="Verdana"/>
          <w:sz w:val="20"/>
          <w:szCs w:val="20"/>
        </w:rPr>
        <w:t>”</w:t>
      </w:r>
      <w:r w:rsidR="00E87385" w:rsidRPr="007E1845">
        <w:rPr>
          <w:rStyle w:val="Refdenotaalpie"/>
          <w:rFonts w:ascii="Verdana" w:hAnsi="Verdana"/>
          <w:sz w:val="20"/>
        </w:rPr>
        <w:footnoteReference w:id="54"/>
      </w:r>
      <w:r w:rsidR="00E87385" w:rsidRPr="007E1845">
        <w:rPr>
          <w:rFonts w:ascii="Verdana" w:hAnsi="Verdana"/>
          <w:sz w:val="20"/>
          <w:szCs w:val="20"/>
        </w:rPr>
        <w:t xml:space="preserve">. </w:t>
      </w:r>
    </w:p>
    <w:p w14:paraId="37347498" w14:textId="77777777" w:rsidR="00E87385" w:rsidRPr="00EE35BE" w:rsidRDefault="00E87385" w:rsidP="00267F70">
      <w:pPr>
        <w:pStyle w:val="Prrafodelista"/>
        <w:spacing w:after="0" w:line="240" w:lineRule="auto"/>
        <w:ind w:left="0"/>
        <w:jc w:val="both"/>
        <w:rPr>
          <w:rFonts w:ascii="Verdana" w:hAnsi="Verdana"/>
          <w:sz w:val="20"/>
          <w:szCs w:val="20"/>
        </w:rPr>
      </w:pPr>
    </w:p>
    <w:p w14:paraId="7B527508" w14:textId="65B592B7" w:rsidR="00284555" w:rsidRPr="00914E2E" w:rsidRDefault="00FB0638" w:rsidP="00267F70">
      <w:pPr>
        <w:pStyle w:val="Prrafodelista"/>
        <w:spacing w:after="0" w:line="240" w:lineRule="auto"/>
        <w:ind w:left="0"/>
        <w:jc w:val="both"/>
        <w:rPr>
          <w:rFonts w:ascii="Verdana" w:hAnsi="Verdana"/>
          <w:sz w:val="20"/>
          <w:szCs w:val="20"/>
        </w:rPr>
      </w:pPr>
      <w:r>
        <w:rPr>
          <w:rFonts w:ascii="Verdana" w:hAnsi="Verdana"/>
          <w:sz w:val="20"/>
          <w:szCs w:val="20"/>
        </w:rPr>
        <w:t>72</w:t>
      </w:r>
      <w:r w:rsidR="00E87385" w:rsidRPr="00EE35BE">
        <w:rPr>
          <w:rFonts w:ascii="Verdana" w:hAnsi="Verdana"/>
          <w:sz w:val="20"/>
          <w:szCs w:val="20"/>
        </w:rPr>
        <w:t xml:space="preserve">. </w:t>
      </w:r>
      <w:r w:rsidR="00E87385" w:rsidRPr="00EE35BE">
        <w:rPr>
          <w:rFonts w:ascii="Verdana" w:hAnsi="Verdana"/>
          <w:sz w:val="20"/>
          <w:szCs w:val="20"/>
        </w:rPr>
        <w:tab/>
        <w:t xml:space="preserve">El actual Reglamento de la Corte </w:t>
      </w:r>
      <w:r w:rsidR="00E87385" w:rsidRPr="00B320D4">
        <w:rPr>
          <w:rFonts w:ascii="Verdana" w:hAnsi="Verdana"/>
          <w:sz w:val="20"/>
          <w:szCs w:val="20"/>
        </w:rPr>
        <w:t xml:space="preserve">IDH, vigente desde enero de 2010, establece la posibilidad de presentar un escrito en calidad de </w:t>
      </w:r>
      <w:r w:rsidR="00E87385" w:rsidRPr="00B320D4">
        <w:rPr>
          <w:rFonts w:ascii="Verdana" w:hAnsi="Verdana"/>
          <w:i/>
          <w:iCs/>
          <w:sz w:val="20"/>
          <w:szCs w:val="20"/>
        </w:rPr>
        <w:t>amicus curiae</w:t>
      </w:r>
      <w:r w:rsidR="00E87385" w:rsidRPr="00B320D4">
        <w:rPr>
          <w:rFonts w:ascii="Verdana" w:hAnsi="Verdana"/>
          <w:sz w:val="20"/>
          <w:szCs w:val="20"/>
        </w:rPr>
        <w:t xml:space="preserve"> en los casos contenciosos del Tribunal Interamericano, así como también en los procedimientos de supervisión de cumplimiento de sentencia y de medidas provisionales</w:t>
      </w:r>
      <w:r w:rsidR="00284555" w:rsidRPr="007E1845">
        <w:rPr>
          <w:rStyle w:val="Refdenotaalpie"/>
          <w:rFonts w:ascii="Verdana" w:hAnsi="Verdana"/>
          <w:sz w:val="20"/>
        </w:rPr>
        <w:footnoteReference w:id="55"/>
      </w:r>
      <w:r w:rsidR="00E87385" w:rsidRPr="007E1845">
        <w:rPr>
          <w:rFonts w:ascii="Verdana" w:hAnsi="Verdana"/>
          <w:sz w:val="20"/>
          <w:szCs w:val="20"/>
        </w:rPr>
        <w:t>;</w:t>
      </w:r>
      <w:r w:rsidR="00E87385" w:rsidRPr="00914E2E">
        <w:rPr>
          <w:rFonts w:ascii="Verdana" w:hAnsi="Verdana"/>
          <w:sz w:val="20"/>
          <w:szCs w:val="20"/>
        </w:rPr>
        <w:t xml:space="preserve"> </w:t>
      </w:r>
      <w:r w:rsidR="00E87385" w:rsidRPr="00F820A3">
        <w:rPr>
          <w:rFonts w:ascii="Verdana" w:hAnsi="Verdana"/>
          <w:sz w:val="20"/>
          <w:szCs w:val="20"/>
        </w:rPr>
        <w:t xml:space="preserve">en lo que respecta a su función consultiva, </w:t>
      </w:r>
      <w:r w:rsidR="007231B3" w:rsidRPr="00EE35BE">
        <w:rPr>
          <w:rFonts w:ascii="Verdana" w:hAnsi="Verdana"/>
          <w:sz w:val="20"/>
          <w:szCs w:val="20"/>
        </w:rPr>
        <w:t>el Reglamento prevé que “cualquier persona</w:t>
      </w:r>
      <w:r w:rsidR="00284555" w:rsidRPr="00EE35BE">
        <w:rPr>
          <w:rFonts w:ascii="Verdana" w:hAnsi="Verdana"/>
          <w:sz w:val="20"/>
          <w:szCs w:val="20"/>
        </w:rPr>
        <w:t>” puede presentar “su opinión escrita sobre los puntos sometidos a la consulta</w:t>
      </w:r>
      <w:r w:rsidR="00284555" w:rsidRPr="007E1845">
        <w:rPr>
          <w:rStyle w:val="Refdenotaalpie"/>
          <w:rFonts w:ascii="Verdana" w:hAnsi="Verdana"/>
          <w:sz w:val="20"/>
        </w:rPr>
        <w:footnoteReference w:id="56"/>
      </w:r>
      <w:r w:rsidR="00284555" w:rsidRPr="007E1845">
        <w:rPr>
          <w:rFonts w:ascii="Verdana" w:hAnsi="Verdana"/>
          <w:sz w:val="20"/>
          <w:szCs w:val="20"/>
        </w:rPr>
        <w:t>.</w:t>
      </w:r>
    </w:p>
    <w:p w14:paraId="5C247FDD" w14:textId="77777777" w:rsidR="00E87385" w:rsidRPr="00EE35BE" w:rsidRDefault="00E87385" w:rsidP="00267F70">
      <w:pPr>
        <w:pStyle w:val="Prrafodelista"/>
        <w:spacing w:after="0" w:line="240" w:lineRule="auto"/>
        <w:ind w:left="0"/>
        <w:jc w:val="both"/>
        <w:rPr>
          <w:rFonts w:ascii="Verdana" w:hAnsi="Verdana"/>
          <w:sz w:val="20"/>
          <w:szCs w:val="20"/>
        </w:rPr>
      </w:pPr>
    </w:p>
    <w:p w14:paraId="16AF43C2" w14:textId="29C3B784" w:rsidR="0053180C" w:rsidRPr="00914E2E" w:rsidRDefault="00FB0638" w:rsidP="00267F70">
      <w:pPr>
        <w:pStyle w:val="Prrafodelista"/>
        <w:spacing w:after="0" w:line="240" w:lineRule="auto"/>
        <w:ind w:left="0"/>
        <w:jc w:val="both"/>
        <w:rPr>
          <w:rFonts w:ascii="Verdana" w:hAnsi="Verdana"/>
          <w:sz w:val="20"/>
          <w:szCs w:val="20"/>
        </w:rPr>
      </w:pPr>
      <w:r>
        <w:rPr>
          <w:rFonts w:ascii="Verdana" w:hAnsi="Verdana"/>
          <w:sz w:val="20"/>
          <w:szCs w:val="20"/>
        </w:rPr>
        <w:t>73</w:t>
      </w:r>
      <w:r w:rsidR="00E87385" w:rsidRPr="00EE35BE">
        <w:rPr>
          <w:rFonts w:ascii="Verdana" w:hAnsi="Verdana"/>
          <w:sz w:val="20"/>
          <w:szCs w:val="20"/>
        </w:rPr>
        <w:t xml:space="preserve">. </w:t>
      </w:r>
      <w:r w:rsidR="00E87385" w:rsidRPr="00EE35BE">
        <w:rPr>
          <w:rFonts w:ascii="Verdana" w:hAnsi="Verdana"/>
          <w:sz w:val="20"/>
          <w:szCs w:val="20"/>
        </w:rPr>
        <w:tab/>
        <w:t>Esta institución,</w:t>
      </w:r>
      <w:r w:rsidR="00E87385" w:rsidRPr="00B320D4">
        <w:rPr>
          <w:rFonts w:ascii="Verdana" w:hAnsi="Verdana"/>
          <w:sz w:val="20"/>
          <w:szCs w:val="20"/>
        </w:rPr>
        <w:t xml:space="preserve"> ha tenido una gran presencia en la jurisprudencia de la Corte IDH. Esto se ve reflejado por el hecho de que se han presentado escritos de </w:t>
      </w:r>
      <w:r w:rsidR="00E87385" w:rsidRPr="00B320D4">
        <w:rPr>
          <w:rFonts w:ascii="Verdana" w:hAnsi="Verdana"/>
          <w:i/>
          <w:sz w:val="20"/>
          <w:szCs w:val="20"/>
        </w:rPr>
        <w:t xml:space="preserve">amicus curiae </w:t>
      </w:r>
      <w:r w:rsidR="00E87385" w:rsidRPr="00B320D4">
        <w:rPr>
          <w:rFonts w:ascii="Verdana" w:hAnsi="Verdana"/>
          <w:sz w:val="20"/>
          <w:szCs w:val="20"/>
        </w:rPr>
        <w:t>en 143 casos contenciosos y</w:t>
      </w:r>
      <w:r w:rsidR="008108EE" w:rsidRPr="00B320D4">
        <w:rPr>
          <w:rFonts w:ascii="Verdana" w:hAnsi="Verdana"/>
          <w:sz w:val="20"/>
          <w:szCs w:val="20"/>
        </w:rPr>
        <w:t xml:space="preserve"> se han emitido opiniones escritas en</w:t>
      </w:r>
      <w:r w:rsidR="00E87385" w:rsidRPr="00B320D4">
        <w:rPr>
          <w:rFonts w:ascii="Verdana" w:hAnsi="Verdana"/>
          <w:sz w:val="20"/>
          <w:szCs w:val="20"/>
        </w:rPr>
        <w:t xml:space="preserve"> 23 opiniones consultivas. </w:t>
      </w:r>
      <w:r w:rsidR="00E87385" w:rsidRPr="00B320D4">
        <w:rPr>
          <w:rFonts w:ascii="Verdana" w:hAnsi="Verdana"/>
          <w:sz w:val="20"/>
          <w:szCs w:val="20"/>
          <w:lang w:val="es-ES"/>
        </w:rPr>
        <w:t>También se han presentado en procedimientos de medidas provisionales y de supervisión de cumplimiento de sentencias</w:t>
      </w:r>
      <w:r w:rsidR="00E87385" w:rsidRPr="00B320D4">
        <w:rPr>
          <w:rFonts w:ascii="Verdana" w:hAnsi="Verdana"/>
          <w:i/>
          <w:iCs/>
          <w:sz w:val="20"/>
          <w:szCs w:val="20"/>
          <w:lang w:val="es-ES"/>
        </w:rPr>
        <w:t xml:space="preserve">, </w:t>
      </w:r>
      <w:r w:rsidR="00E87385" w:rsidRPr="00B320D4">
        <w:rPr>
          <w:rFonts w:ascii="Verdana" w:hAnsi="Verdana"/>
          <w:sz w:val="20"/>
          <w:szCs w:val="20"/>
          <w:lang w:val="es-ES"/>
        </w:rPr>
        <w:t>aunque en menor cantidad</w:t>
      </w:r>
      <w:r w:rsidR="00E87385" w:rsidRPr="007E1845">
        <w:rPr>
          <w:rStyle w:val="Refdenotaalpie"/>
          <w:rFonts w:ascii="Verdana" w:hAnsi="Verdana"/>
          <w:sz w:val="20"/>
        </w:rPr>
        <w:footnoteReference w:id="57"/>
      </w:r>
      <w:r w:rsidR="00E87385" w:rsidRPr="007E1845">
        <w:rPr>
          <w:rFonts w:ascii="Verdana" w:hAnsi="Verdana"/>
          <w:sz w:val="20"/>
          <w:szCs w:val="20"/>
          <w:lang w:val="es-ES"/>
        </w:rPr>
        <w:t>.</w:t>
      </w:r>
      <w:r w:rsidR="0053180C" w:rsidRPr="00914E2E">
        <w:rPr>
          <w:rFonts w:ascii="Verdana" w:hAnsi="Verdana"/>
          <w:sz w:val="20"/>
          <w:szCs w:val="20"/>
          <w:lang w:val="es-ES"/>
        </w:rPr>
        <w:t xml:space="preserve"> </w:t>
      </w:r>
      <w:r w:rsidR="0053180C" w:rsidRPr="00F820A3">
        <w:rPr>
          <w:rFonts w:ascii="Verdana" w:hAnsi="Verdana"/>
          <w:sz w:val="20"/>
          <w:szCs w:val="20"/>
        </w:rPr>
        <w:t>En palabras de la propia Corte IDH</w:t>
      </w:r>
      <w:r w:rsidR="00713995" w:rsidRPr="00F04312">
        <w:rPr>
          <w:rFonts w:ascii="Verdana" w:hAnsi="Verdana"/>
          <w:sz w:val="20"/>
          <w:szCs w:val="20"/>
        </w:rPr>
        <w:t xml:space="preserve"> sobre su utilidad</w:t>
      </w:r>
      <w:r w:rsidR="0053180C" w:rsidRPr="00B320D4">
        <w:rPr>
          <w:rStyle w:val="Refdenotaalpie"/>
          <w:rFonts w:ascii="Verdana" w:eastAsia="Batang" w:hAnsi="Verdana"/>
          <w:sz w:val="20"/>
        </w:rPr>
        <w:footnoteReference w:id="58"/>
      </w:r>
      <w:r w:rsidR="0053180C" w:rsidRPr="007E1845">
        <w:rPr>
          <w:rFonts w:ascii="Verdana" w:hAnsi="Verdana"/>
          <w:sz w:val="20"/>
          <w:szCs w:val="20"/>
        </w:rPr>
        <w:t xml:space="preserve">: </w:t>
      </w:r>
    </w:p>
    <w:p w14:paraId="5CFEBE41" w14:textId="041F07F8" w:rsidR="00E87385" w:rsidRPr="00B320D4" w:rsidRDefault="0053180C" w:rsidP="00B320D4">
      <w:pPr>
        <w:pStyle w:val="NormalWeb"/>
        <w:ind w:left="697" w:right="567"/>
        <w:jc w:val="both"/>
        <w:rPr>
          <w:rFonts w:ascii="Verdana" w:hAnsi="Verdana"/>
          <w:sz w:val="16"/>
          <w:szCs w:val="16"/>
        </w:rPr>
      </w:pPr>
      <w:r w:rsidRPr="00F820A3">
        <w:rPr>
          <w:rFonts w:ascii="Verdana" w:hAnsi="Verdana"/>
          <w:sz w:val="16"/>
          <w:szCs w:val="16"/>
        </w:rPr>
        <w:lastRenderedPageBreak/>
        <w:t xml:space="preserve">60. Especial mención tienen para esta Corte la presentación de </w:t>
      </w:r>
      <w:r w:rsidRPr="00F04312">
        <w:rPr>
          <w:rFonts w:ascii="Verdana" w:hAnsi="Verdana"/>
          <w:i/>
          <w:iCs/>
          <w:sz w:val="16"/>
          <w:szCs w:val="16"/>
        </w:rPr>
        <w:t>amicus curiae</w:t>
      </w:r>
      <w:r w:rsidRPr="00F04312">
        <w:rPr>
          <w:rFonts w:ascii="Verdana" w:hAnsi="Verdana"/>
          <w:sz w:val="16"/>
          <w:szCs w:val="16"/>
        </w:rPr>
        <w:t xml:space="preserve">, de los cuales reconoce el gran aporte que han hecho al Sistema Interamericano a través de la exposición de razonamientos en torno a hechos de casos concretos, consideraciones jurídicas sobre la materia del proceso y otras temáticas específicas. Como el Tribunal lo ha señalado en diversas oportunidades, aportan argumentos u opiniones que pueden servir como elementos de juicio relativos a aspectos de derecho que se ventilan ante el mismo. </w:t>
      </w:r>
    </w:p>
    <w:p w14:paraId="33D5BA3A" w14:textId="7A5727E0" w:rsidR="00E87385" w:rsidRPr="00340041" w:rsidRDefault="00FB0638" w:rsidP="00267F70">
      <w:pPr>
        <w:pStyle w:val="Prrafodelista"/>
        <w:spacing w:after="0" w:line="240" w:lineRule="auto"/>
        <w:ind w:left="0"/>
        <w:jc w:val="both"/>
        <w:rPr>
          <w:rFonts w:ascii="Verdana" w:hAnsi="Verdana"/>
          <w:sz w:val="20"/>
          <w:szCs w:val="20"/>
        </w:rPr>
      </w:pPr>
      <w:r>
        <w:rPr>
          <w:rFonts w:ascii="Verdana" w:hAnsi="Verdana"/>
          <w:sz w:val="20"/>
          <w:szCs w:val="20"/>
        </w:rPr>
        <w:t>74</w:t>
      </w:r>
      <w:r w:rsidR="00E87385" w:rsidRPr="00914E2E">
        <w:rPr>
          <w:rFonts w:ascii="Verdana" w:hAnsi="Verdana"/>
          <w:sz w:val="20"/>
          <w:szCs w:val="20"/>
        </w:rPr>
        <w:t xml:space="preserve">. </w:t>
      </w:r>
      <w:r w:rsidR="00E87385" w:rsidRPr="00914E2E">
        <w:rPr>
          <w:rFonts w:ascii="Verdana" w:hAnsi="Verdana"/>
          <w:sz w:val="20"/>
          <w:szCs w:val="20"/>
        </w:rPr>
        <w:tab/>
        <w:t>En lo que respecta a la temática indígena o tribal, la Corte IDH ha re</w:t>
      </w:r>
      <w:r w:rsidR="00E87385" w:rsidRPr="00F820A3">
        <w:rPr>
          <w:rFonts w:ascii="Verdana" w:hAnsi="Verdana"/>
          <w:sz w:val="20"/>
          <w:szCs w:val="20"/>
        </w:rPr>
        <w:t xml:space="preserve">cibido en su función contenciosa escritos de </w:t>
      </w:r>
      <w:r w:rsidR="00E87385" w:rsidRPr="00EE35BE">
        <w:rPr>
          <w:rFonts w:ascii="Verdana" w:hAnsi="Verdana"/>
          <w:i/>
          <w:iCs/>
          <w:sz w:val="20"/>
          <w:szCs w:val="20"/>
        </w:rPr>
        <w:t>amicus curiae</w:t>
      </w:r>
      <w:r w:rsidR="00E87385" w:rsidRPr="00B320D4">
        <w:rPr>
          <w:rFonts w:ascii="Verdana" w:hAnsi="Verdana"/>
          <w:sz w:val="20"/>
          <w:szCs w:val="20"/>
        </w:rPr>
        <w:t xml:space="preserve"> en diez casos que </w:t>
      </w:r>
      <w:r w:rsidR="008108EE" w:rsidRPr="00B320D4">
        <w:rPr>
          <w:rFonts w:ascii="Verdana" w:hAnsi="Verdana"/>
          <w:sz w:val="20"/>
          <w:szCs w:val="20"/>
        </w:rPr>
        <w:t xml:space="preserve">han versado esencialmente sobre aspectos de la tierra y el </w:t>
      </w:r>
      <w:r w:rsidR="00E87385" w:rsidRPr="00B320D4">
        <w:rPr>
          <w:rFonts w:ascii="Verdana" w:hAnsi="Verdana"/>
          <w:sz w:val="20"/>
          <w:szCs w:val="20"/>
        </w:rPr>
        <w:t>territorio</w:t>
      </w:r>
      <w:r w:rsidR="00E87385" w:rsidRPr="007E1845">
        <w:rPr>
          <w:rStyle w:val="Refdenotaalpie"/>
          <w:rFonts w:ascii="Verdana" w:hAnsi="Verdana"/>
          <w:sz w:val="20"/>
        </w:rPr>
        <w:footnoteReference w:id="59"/>
      </w:r>
      <w:r w:rsidR="00E87385" w:rsidRPr="007E1845">
        <w:rPr>
          <w:rFonts w:ascii="Verdana" w:hAnsi="Verdana"/>
          <w:sz w:val="20"/>
          <w:szCs w:val="20"/>
        </w:rPr>
        <w:t xml:space="preserve">, </w:t>
      </w:r>
      <w:r w:rsidR="00E87385" w:rsidRPr="00914E2E">
        <w:rPr>
          <w:rFonts w:ascii="Verdana" w:hAnsi="Verdana"/>
          <w:sz w:val="20"/>
          <w:szCs w:val="20"/>
        </w:rPr>
        <w:t>desplazamiento forzado</w:t>
      </w:r>
      <w:r w:rsidR="00E87385" w:rsidRPr="007E1845">
        <w:rPr>
          <w:rStyle w:val="Refdenotaalpie"/>
          <w:rFonts w:ascii="Verdana" w:hAnsi="Verdana"/>
          <w:sz w:val="20"/>
        </w:rPr>
        <w:footnoteReference w:id="60"/>
      </w:r>
      <w:r w:rsidR="00E87385" w:rsidRPr="007E1845">
        <w:rPr>
          <w:rFonts w:ascii="Verdana" w:hAnsi="Verdana"/>
          <w:sz w:val="20"/>
          <w:szCs w:val="20"/>
        </w:rPr>
        <w:t>, participación política</w:t>
      </w:r>
      <w:r w:rsidR="00E87385" w:rsidRPr="007E1845">
        <w:rPr>
          <w:rStyle w:val="Refdenotaalpie"/>
          <w:rFonts w:ascii="Verdana" w:hAnsi="Verdana"/>
          <w:sz w:val="20"/>
        </w:rPr>
        <w:footnoteReference w:id="61"/>
      </w:r>
      <w:r w:rsidR="00E87385" w:rsidRPr="007E1845">
        <w:rPr>
          <w:rFonts w:ascii="Verdana" w:hAnsi="Verdana"/>
          <w:b/>
          <w:bCs/>
          <w:sz w:val="20"/>
          <w:szCs w:val="20"/>
        </w:rPr>
        <w:t xml:space="preserve"> </w:t>
      </w:r>
      <w:r w:rsidR="00E87385" w:rsidRPr="00914E2E">
        <w:rPr>
          <w:rFonts w:ascii="Verdana" w:hAnsi="Verdana"/>
          <w:sz w:val="20"/>
          <w:szCs w:val="20"/>
        </w:rPr>
        <w:t>y masacres</w:t>
      </w:r>
      <w:r w:rsidR="00E87385" w:rsidRPr="007E1845">
        <w:rPr>
          <w:rStyle w:val="Refdenotaalpie"/>
          <w:rFonts w:ascii="Verdana" w:hAnsi="Verdana"/>
          <w:sz w:val="20"/>
        </w:rPr>
        <w:footnoteReference w:id="62"/>
      </w:r>
      <w:r w:rsidR="00E87385" w:rsidRPr="007E1845">
        <w:rPr>
          <w:rFonts w:ascii="Verdana" w:hAnsi="Verdana"/>
          <w:sz w:val="20"/>
          <w:szCs w:val="20"/>
        </w:rPr>
        <w:t xml:space="preserve">. El caso </w:t>
      </w:r>
      <w:r w:rsidR="00E87385" w:rsidRPr="00914E2E">
        <w:rPr>
          <w:rFonts w:ascii="Verdana" w:hAnsi="Verdana"/>
          <w:i/>
          <w:iCs/>
          <w:sz w:val="20"/>
          <w:szCs w:val="20"/>
        </w:rPr>
        <w:t>Lakha Honat</w:t>
      </w:r>
      <w:r w:rsidR="00E87385" w:rsidRPr="00F820A3">
        <w:rPr>
          <w:rFonts w:ascii="Verdana" w:hAnsi="Verdana"/>
          <w:sz w:val="20"/>
          <w:szCs w:val="20"/>
        </w:rPr>
        <w:t xml:space="preserve"> se suma a los anteriores. Su utilidad en la presente Sentencia resulta evidente, ya que en diversas secciones </w:t>
      </w:r>
      <w:r w:rsidR="00713995" w:rsidRPr="00EE35BE">
        <w:rPr>
          <w:rFonts w:ascii="Verdana" w:hAnsi="Verdana"/>
          <w:sz w:val="20"/>
          <w:szCs w:val="20"/>
        </w:rPr>
        <w:t xml:space="preserve">se </w:t>
      </w:r>
      <w:r w:rsidR="00E87385" w:rsidRPr="00EE35BE">
        <w:rPr>
          <w:rFonts w:ascii="Verdana" w:hAnsi="Verdana"/>
          <w:sz w:val="20"/>
          <w:szCs w:val="20"/>
        </w:rPr>
        <w:t xml:space="preserve">incorpora el </w:t>
      </w:r>
      <w:r w:rsidR="00E87385" w:rsidRPr="00340041">
        <w:rPr>
          <w:rFonts w:ascii="Verdana" w:hAnsi="Verdana"/>
          <w:sz w:val="20"/>
          <w:szCs w:val="20"/>
        </w:rPr>
        <w:t xml:space="preserve">valioso contenido de los </w:t>
      </w:r>
      <w:r w:rsidR="00E87385" w:rsidRPr="00340041">
        <w:rPr>
          <w:rFonts w:ascii="Verdana" w:hAnsi="Verdana"/>
          <w:i/>
          <w:sz w:val="20"/>
          <w:szCs w:val="20"/>
        </w:rPr>
        <w:t>amici curiae</w:t>
      </w:r>
      <w:r w:rsidR="00E87385" w:rsidRPr="00340041">
        <w:rPr>
          <w:rFonts w:ascii="Verdana" w:hAnsi="Verdana"/>
          <w:sz w:val="20"/>
          <w:szCs w:val="20"/>
        </w:rPr>
        <w:t xml:space="preserve"> remitidos por</w:t>
      </w:r>
      <w:r w:rsidR="00BF27F4" w:rsidRPr="00340041">
        <w:rPr>
          <w:rFonts w:ascii="Verdana" w:hAnsi="Verdana"/>
          <w:sz w:val="20"/>
          <w:szCs w:val="20"/>
        </w:rPr>
        <w:t xml:space="preserve"> organizaciones, instituciones y</w:t>
      </w:r>
      <w:r w:rsidR="00E87385" w:rsidRPr="00340041">
        <w:rPr>
          <w:rFonts w:ascii="Verdana" w:hAnsi="Verdana"/>
          <w:sz w:val="20"/>
          <w:szCs w:val="20"/>
        </w:rPr>
        <w:t xml:space="preserve"> personas</w:t>
      </w:r>
      <w:r w:rsidR="00E87385" w:rsidRPr="00340041">
        <w:rPr>
          <w:rStyle w:val="Refdenotaalpie"/>
          <w:rFonts w:ascii="Verdana" w:hAnsi="Verdana"/>
          <w:sz w:val="20"/>
        </w:rPr>
        <w:footnoteReference w:id="63"/>
      </w:r>
      <w:r w:rsidR="00E87385" w:rsidRPr="00340041">
        <w:rPr>
          <w:rFonts w:ascii="Verdana" w:hAnsi="Verdana"/>
          <w:sz w:val="20"/>
          <w:szCs w:val="20"/>
        </w:rPr>
        <w:t xml:space="preserve">. </w:t>
      </w:r>
    </w:p>
    <w:p w14:paraId="29560B27" w14:textId="77777777" w:rsidR="00E87385" w:rsidRPr="00340041" w:rsidRDefault="00E87385" w:rsidP="00267F70">
      <w:pPr>
        <w:pStyle w:val="Prrafodelista"/>
        <w:spacing w:line="240" w:lineRule="auto"/>
        <w:rPr>
          <w:rFonts w:ascii="Verdana" w:hAnsi="Verdana"/>
          <w:sz w:val="20"/>
          <w:szCs w:val="20"/>
        </w:rPr>
      </w:pPr>
    </w:p>
    <w:p w14:paraId="64F6A6F7" w14:textId="2371F73C" w:rsidR="00E87385" w:rsidRPr="00914E2E" w:rsidRDefault="00FB0638" w:rsidP="00267F70">
      <w:pPr>
        <w:pStyle w:val="Prrafodelista"/>
        <w:spacing w:after="0" w:line="240" w:lineRule="auto"/>
        <w:ind w:left="0"/>
        <w:jc w:val="both"/>
        <w:rPr>
          <w:rFonts w:ascii="Verdana" w:hAnsi="Verdana"/>
          <w:sz w:val="20"/>
          <w:szCs w:val="20"/>
        </w:rPr>
      </w:pPr>
      <w:r>
        <w:rPr>
          <w:rFonts w:ascii="Verdana" w:hAnsi="Verdana"/>
          <w:sz w:val="20"/>
          <w:szCs w:val="20"/>
        </w:rPr>
        <w:t>75</w:t>
      </w:r>
      <w:r w:rsidR="00E87385" w:rsidRPr="00340041">
        <w:rPr>
          <w:rFonts w:ascii="Verdana" w:hAnsi="Verdana"/>
          <w:sz w:val="20"/>
          <w:szCs w:val="20"/>
        </w:rPr>
        <w:t xml:space="preserve">. </w:t>
      </w:r>
      <w:r w:rsidR="00E87385" w:rsidRPr="00340041">
        <w:rPr>
          <w:rFonts w:ascii="Verdana" w:hAnsi="Verdana"/>
          <w:sz w:val="20"/>
          <w:szCs w:val="20"/>
        </w:rPr>
        <w:tab/>
        <w:t xml:space="preserve">Así, en el caso </w:t>
      </w:r>
      <w:r w:rsidR="00E87385" w:rsidRPr="00340041">
        <w:rPr>
          <w:rFonts w:ascii="Verdana" w:hAnsi="Verdana"/>
          <w:i/>
          <w:iCs/>
          <w:sz w:val="20"/>
          <w:szCs w:val="20"/>
        </w:rPr>
        <w:t>Lakha</w:t>
      </w:r>
      <w:r w:rsidR="00E87385" w:rsidRPr="00B320D4">
        <w:rPr>
          <w:rFonts w:ascii="Verdana" w:hAnsi="Verdana"/>
          <w:i/>
          <w:iCs/>
          <w:sz w:val="20"/>
          <w:szCs w:val="20"/>
        </w:rPr>
        <w:t xml:space="preserve"> Honat</w:t>
      </w:r>
      <w:r w:rsidR="00E87385" w:rsidRPr="00B320D4">
        <w:rPr>
          <w:rFonts w:ascii="Verdana" w:hAnsi="Verdana"/>
          <w:sz w:val="20"/>
          <w:szCs w:val="20"/>
        </w:rPr>
        <w:t xml:space="preserve"> fueron presentados un total de 8 escritos en esta calidad ante la Corte IDH, por parte de 20 diferentes organizaciones, instituciones y personas de la sociedad civil, quienes sometieron diversas observaciones y expresaron ricos argumentos, que comparten ciertas líneas temáticas. En los escritos fue común el abordaje del derecho al territorio ancestral de los pueblos indígenas, con especial énfasis en el derecho a la consulta</w:t>
      </w:r>
      <w:r w:rsidR="00E87385" w:rsidRPr="007E1845">
        <w:rPr>
          <w:rStyle w:val="Refdenotaalpie"/>
          <w:rFonts w:ascii="Verdana" w:hAnsi="Verdana"/>
          <w:sz w:val="20"/>
        </w:rPr>
        <w:footnoteReference w:id="64"/>
      </w:r>
      <w:r w:rsidR="00E87385" w:rsidRPr="007E1845">
        <w:rPr>
          <w:rFonts w:ascii="Verdana" w:hAnsi="Verdana"/>
          <w:sz w:val="20"/>
          <w:szCs w:val="20"/>
        </w:rPr>
        <w:t>, así como aspectos relativos a la ocupación parcial por parte de colonos y la necesidad de que los territorios</w:t>
      </w:r>
      <w:r w:rsidR="00E87385" w:rsidRPr="00914E2E">
        <w:rPr>
          <w:rFonts w:ascii="Verdana" w:hAnsi="Verdana"/>
          <w:sz w:val="20"/>
          <w:szCs w:val="20"/>
        </w:rPr>
        <w:t xml:space="preserve"> de pueblos indígenas y tribales sean de suficiente extensión y calidad</w:t>
      </w:r>
      <w:r w:rsidR="00E87385" w:rsidRPr="007E1845">
        <w:rPr>
          <w:rStyle w:val="Refdenotaalpie"/>
          <w:rFonts w:ascii="Verdana" w:hAnsi="Verdana"/>
          <w:sz w:val="20"/>
        </w:rPr>
        <w:footnoteReference w:id="65"/>
      </w:r>
      <w:r w:rsidR="00E87385" w:rsidRPr="007E1845">
        <w:rPr>
          <w:rFonts w:ascii="Verdana" w:hAnsi="Verdana"/>
          <w:sz w:val="20"/>
          <w:szCs w:val="20"/>
        </w:rPr>
        <w:t xml:space="preserve">. </w:t>
      </w:r>
    </w:p>
    <w:p w14:paraId="65703CBA" w14:textId="77777777" w:rsidR="00E87385" w:rsidRPr="00914E2E" w:rsidRDefault="00E87385" w:rsidP="00267F70">
      <w:pPr>
        <w:pStyle w:val="Prrafodelista"/>
        <w:spacing w:line="240" w:lineRule="auto"/>
        <w:rPr>
          <w:rFonts w:ascii="Verdana" w:hAnsi="Verdana"/>
          <w:sz w:val="20"/>
          <w:szCs w:val="20"/>
        </w:rPr>
      </w:pPr>
    </w:p>
    <w:p w14:paraId="7E82CEC0" w14:textId="1D030707" w:rsidR="001C05E8" w:rsidRPr="00914E2E" w:rsidRDefault="00FB0638" w:rsidP="00267F70">
      <w:pPr>
        <w:pStyle w:val="Prrafodelista"/>
        <w:spacing w:after="0" w:line="240" w:lineRule="auto"/>
        <w:ind w:left="0"/>
        <w:jc w:val="both"/>
        <w:rPr>
          <w:rFonts w:ascii="Verdana" w:hAnsi="Verdana"/>
          <w:sz w:val="20"/>
          <w:szCs w:val="20"/>
        </w:rPr>
      </w:pPr>
      <w:r>
        <w:rPr>
          <w:rFonts w:ascii="Verdana" w:hAnsi="Verdana"/>
          <w:sz w:val="20"/>
          <w:szCs w:val="20"/>
        </w:rPr>
        <w:t>76</w:t>
      </w:r>
      <w:r w:rsidR="00E87385" w:rsidRPr="00EE35BE">
        <w:rPr>
          <w:rFonts w:ascii="Verdana" w:hAnsi="Verdana"/>
          <w:sz w:val="20"/>
          <w:szCs w:val="20"/>
        </w:rPr>
        <w:t xml:space="preserve">. </w:t>
      </w:r>
      <w:r w:rsidR="00E87385" w:rsidRPr="00EE35BE">
        <w:rPr>
          <w:rFonts w:ascii="Verdana" w:hAnsi="Verdana"/>
          <w:sz w:val="20"/>
          <w:szCs w:val="20"/>
        </w:rPr>
        <w:tab/>
        <w:t>O</w:t>
      </w:r>
      <w:r w:rsidR="00267F70" w:rsidRPr="00EE35BE">
        <w:rPr>
          <w:rFonts w:ascii="Verdana" w:hAnsi="Verdana"/>
          <w:sz w:val="20"/>
          <w:szCs w:val="20"/>
        </w:rPr>
        <w:t>tra vertiente</w:t>
      </w:r>
      <w:r w:rsidR="00E87385" w:rsidRPr="00EE35BE">
        <w:rPr>
          <w:rFonts w:ascii="Verdana" w:hAnsi="Verdana"/>
          <w:sz w:val="20"/>
          <w:szCs w:val="20"/>
        </w:rPr>
        <w:t xml:space="preserve"> de los referidos escritos se refiere a</w:t>
      </w:r>
      <w:r w:rsidR="00E87385" w:rsidRPr="00B320D4">
        <w:rPr>
          <w:rFonts w:ascii="Verdana" w:hAnsi="Verdana"/>
          <w:sz w:val="20"/>
          <w:szCs w:val="20"/>
        </w:rPr>
        <w:t xml:space="preserve"> la justiciabilidad directa y la protección autónoma de los derechos económicos, sociales, culturales y ambientales. Sobre esta línea se presentaron argumentos para declarar que los derechos humanos a la alimentación, a la identidad cultural, al medio ambiente sano e incluso al derecho al agua —este último, no alegado por los representantes de las víctimas ni por la Comisión Interamericana, pero que fue incorporado vía </w:t>
      </w:r>
      <w:r w:rsidR="00E87385" w:rsidRPr="00B320D4">
        <w:rPr>
          <w:rFonts w:ascii="Verdana" w:hAnsi="Verdana"/>
          <w:i/>
          <w:iCs/>
          <w:sz w:val="20"/>
          <w:szCs w:val="20"/>
        </w:rPr>
        <w:t xml:space="preserve">iura novit curia </w:t>
      </w:r>
      <w:r w:rsidR="00E87385" w:rsidRPr="00B320D4">
        <w:rPr>
          <w:rFonts w:ascii="Verdana" w:hAnsi="Verdana"/>
          <w:sz w:val="20"/>
          <w:szCs w:val="20"/>
        </w:rPr>
        <w:t xml:space="preserve">en la Sentencia—, eran derechos </w:t>
      </w:r>
      <w:r w:rsidR="006D7B46" w:rsidRPr="00B320D4">
        <w:rPr>
          <w:rFonts w:ascii="Verdana" w:hAnsi="Verdana"/>
          <w:sz w:val="20"/>
          <w:szCs w:val="20"/>
        </w:rPr>
        <w:t xml:space="preserve">protegidos por el artículo 26 de la Convención Americana </w:t>
      </w:r>
      <w:r w:rsidR="00E87385" w:rsidRPr="00B320D4">
        <w:rPr>
          <w:rFonts w:ascii="Verdana" w:hAnsi="Verdana"/>
          <w:sz w:val="20"/>
          <w:szCs w:val="20"/>
        </w:rPr>
        <w:t>de acuerdo a la metodología previa de la jurisprudencia de la Corte IDH y que, de acuerdo a esos escritos, fueron vulnerados en este caso por el Estado argentino</w:t>
      </w:r>
      <w:r w:rsidR="00E87385" w:rsidRPr="007E1845">
        <w:rPr>
          <w:rStyle w:val="Refdenotaalpie"/>
          <w:rFonts w:ascii="Verdana" w:hAnsi="Verdana"/>
          <w:sz w:val="20"/>
        </w:rPr>
        <w:footnoteReference w:id="66"/>
      </w:r>
      <w:r w:rsidR="00E87385" w:rsidRPr="007E1845">
        <w:rPr>
          <w:rFonts w:ascii="Verdana" w:hAnsi="Verdana"/>
          <w:sz w:val="20"/>
          <w:szCs w:val="20"/>
        </w:rPr>
        <w:t xml:space="preserve">. </w:t>
      </w:r>
    </w:p>
    <w:p w14:paraId="4634B39D" w14:textId="77777777" w:rsidR="001C05E8" w:rsidRPr="00EE35BE" w:rsidRDefault="001C05E8" w:rsidP="00267F70">
      <w:pPr>
        <w:pStyle w:val="Prrafodelista"/>
        <w:spacing w:after="0" w:line="240" w:lineRule="auto"/>
        <w:ind w:left="0"/>
        <w:jc w:val="both"/>
        <w:rPr>
          <w:rFonts w:ascii="Verdana" w:hAnsi="Verdana"/>
          <w:sz w:val="20"/>
          <w:szCs w:val="20"/>
        </w:rPr>
      </w:pPr>
    </w:p>
    <w:p w14:paraId="1DD69419" w14:textId="1CF5D59F" w:rsidR="00E87385" w:rsidRPr="00B320D4" w:rsidRDefault="00FB0638" w:rsidP="00267F70">
      <w:pPr>
        <w:pStyle w:val="Prrafodelista"/>
        <w:spacing w:after="0" w:line="240" w:lineRule="auto"/>
        <w:ind w:left="0"/>
        <w:jc w:val="both"/>
        <w:rPr>
          <w:rFonts w:ascii="Verdana" w:hAnsi="Verdana"/>
          <w:sz w:val="20"/>
          <w:szCs w:val="20"/>
        </w:rPr>
      </w:pPr>
      <w:r>
        <w:rPr>
          <w:rFonts w:ascii="Verdana" w:hAnsi="Verdana"/>
          <w:sz w:val="20"/>
          <w:szCs w:val="20"/>
        </w:rPr>
        <w:t>77</w:t>
      </w:r>
      <w:r w:rsidR="001C05E8" w:rsidRPr="00EE35BE">
        <w:rPr>
          <w:rFonts w:ascii="Verdana" w:hAnsi="Verdana"/>
          <w:sz w:val="20"/>
          <w:szCs w:val="20"/>
        </w:rPr>
        <w:t xml:space="preserve">. </w:t>
      </w:r>
      <w:r w:rsidR="001C05E8" w:rsidRPr="00EE35BE">
        <w:rPr>
          <w:rFonts w:ascii="Verdana" w:hAnsi="Verdana"/>
          <w:sz w:val="20"/>
          <w:szCs w:val="20"/>
        </w:rPr>
        <w:tab/>
      </w:r>
      <w:r w:rsidR="00E87385" w:rsidRPr="00EE35BE">
        <w:rPr>
          <w:rFonts w:ascii="Verdana" w:hAnsi="Verdana"/>
          <w:sz w:val="20"/>
          <w:szCs w:val="20"/>
        </w:rPr>
        <w:t xml:space="preserve">Además, se propusieron criterios mediante las cuales el Tribunal Interamericano, a partir de su metodología fijada desde el caso </w:t>
      </w:r>
      <w:r w:rsidR="00E87385" w:rsidRPr="00B320D4">
        <w:rPr>
          <w:rFonts w:ascii="Verdana" w:hAnsi="Verdana"/>
          <w:i/>
          <w:iCs/>
          <w:sz w:val="20"/>
          <w:szCs w:val="20"/>
        </w:rPr>
        <w:t xml:space="preserve">Lagos del Campo </w:t>
      </w:r>
      <w:r w:rsidR="00E87385" w:rsidRPr="00B320D4">
        <w:rPr>
          <w:rFonts w:ascii="Verdana" w:hAnsi="Verdana"/>
          <w:iCs/>
          <w:sz w:val="20"/>
          <w:szCs w:val="20"/>
        </w:rPr>
        <w:t>de 2017</w:t>
      </w:r>
      <w:r w:rsidR="00E87385" w:rsidRPr="00B320D4">
        <w:rPr>
          <w:rFonts w:ascii="Verdana" w:hAnsi="Verdana"/>
          <w:i/>
          <w:iCs/>
          <w:sz w:val="20"/>
          <w:szCs w:val="20"/>
        </w:rPr>
        <w:t xml:space="preserve">, </w:t>
      </w:r>
      <w:r w:rsidR="00E87385" w:rsidRPr="00B320D4">
        <w:rPr>
          <w:rFonts w:ascii="Verdana" w:hAnsi="Verdana"/>
          <w:sz w:val="20"/>
          <w:szCs w:val="20"/>
        </w:rPr>
        <w:t xml:space="preserve">debería interpretar tanto el contenido como el régimen de obligaciones de los derechos antes mencionados. De esta forma, los referidos escritos afianzaron el camino jurisprudencial emprendido por esta Corte IDH, pero ahora con una visión y bajo un enfoque sobre la relación existente de los DESCA y los territorios ancestrales indígenas, con lo que se demuestra la necesidad </w:t>
      </w:r>
      <w:r w:rsidR="006D7B46" w:rsidRPr="00B320D4">
        <w:rPr>
          <w:rFonts w:ascii="Verdana" w:hAnsi="Verdana"/>
          <w:sz w:val="20"/>
          <w:szCs w:val="20"/>
        </w:rPr>
        <w:t xml:space="preserve">e importancia </w:t>
      </w:r>
      <w:r w:rsidR="00E87385" w:rsidRPr="00B320D4">
        <w:rPr>
          <w:rFonts w:ascii="Verdana" w:hAnsi="Verdana"/>
          <w:sz w:val="20"/>
          <w:szCs w:val="20"/>
        </w:rPr>
        <w:t xml:space="preserve">de seguir abordando estas problemáticas de manera autónoma, directa e integral. </w:t>
      </w:r>
    </w:p>
    <w:p w14:paraId="5B186DF4" w14:textId="77777777" w:rsidR="00FF3399" w:rsidRPr="00B320D4" w:rsidRDefault="00FF3399" w:rsidP="00267F70">
      <w:pPr>
        <w:pStyle w:val="Prrafodelista"/>
        <w:spacing w:after="0" w:line="240" w:lineRule="auto"/>
        <w:ind w:left="0"/>
        <w:jc w:val="both"/>
        <w:rPr>
          <w:rFonts w:ascii="Verdana" w:hAnsi="Verdana"/>
          <w:sz w:val="20"/>
          <w:szCs w:val="20"/>
        </w:rPr>
      </w:pPr>
    </w:p>
    <w:p w14:paraId="533F1EFA" w14:textId="54BD1CF1" w:rsidR="00FF3399" w:rsidRPr="00EE35BE" w:rsidRDefault="00FB0638" w:rsidP="00267F70">
      <w:pPr>
        <w:pStyle w:val="Prrafodelista"/>
        <w:spacing w:after="0" w:line="240" w:lineRule="auto"/>
        <w:ind w:left="0"/>
        <w:jc w:val="both"/>
        <w:rPr>
          <w:rFonts w:ascii="Verdana" w:hAnsi="Verdana"/>
          <w:sz w:val="20"/>
          <w:szCs w:val="20"/>
        </w:rPr>
      </w:pPr>
      <w:r w:rsidRPr="00D93B5F">
        <w:rPr>
          <w:rFonts w:ascii="Verdana" w:hAnsi="Verdana"/>
          <w:sz w:val="20"/>
          <w:szCs w:val="20"/>
        </w:rPr>
        <w:t>78</w:t>
      </w:r>
      <w:r w:rsidR="00FF3399" w:rsidRPr="00D93B5F">
        <w:rPr>
          <w:rFonts w:ascii="Verdana" w:hAnsi="Verdana"/>
          <w:sz w:val="20"/>
          <w:szCs w:val="20"/>
        </w:rPr>
        <w:t xml:space="preserve">. </w:t>
      </w:r>
      <w:r w:rsidR="00FF3399" w:rsidRPr="00D93B5F">
        <w:rPr>
          <w:rFonts w:ascii="Verdana" w:hAnsi="Verdana"/>
          <w:sz w:val="20"/>
          <w:szCs w:val="20"/>
        </w:rPr>
        <w:tab/>
        <w:t xml:space="preserve">También los </w:t>
      </w:r>
      <w:r w:rsidR="00FF3399" w:rsidRPr="00D93B5F">
        <w:rPr>
          <w:rFonts w:ascii="Verdana" w:hAnsi="Verdana"/>
          <w:i/>
          <w:sz w:val="20"/>
          <w:szCs w:val="20"/>
        </w:rPr>
        <w:t>amici curiae</w:t>
      </w:r>
      <w:r w:rsidR="00A635C3" w:rsidRPr="00D93B5F">
        <w:rPr>
          <w:rFonts w:ascii="Verdana" w:hAnsi="Verdana"/>
          <w:sz w:val="20"/>
          <w:szCs w:val="20"/>
        </w:rPr>
        <w:t xml:space="preserve"> presentados</w:t>
      </w:r>
      <w:r w:rsidR="00FF3399" w:rsidRPr="00D93B5F">
        <w:rPr>
          <w:rFonts w:ascii="Verdana" w:hAnsi="Verdana"/>
          <w:sz w:val="20"/>
          <w:szCs w:val="20"/>
        </w:rPr>
        <w:t xml:space="preserve"> aportaron elementos muy importantes</w:t>
      </w:r>
      <w:r w:rsidR="00746DC4" w:rsidRPr="00D93B5F">
        <w:rPr>
          <w:rFonts w:ascii="Verdana" w:hAnsi="Verdana"/>
          <w:sz w:val="20"/>
          <w:szCs w:val="20"/>
        </w:rPr>
        <w:t xml:space="preserve"> que quedaron reflejados en la Sentencia,</w:t>
      </w:r>
      <w:r w:rsidR="00FF3399" w:rsidRPr="00D93B5F">
        <w:rPr>
          <w:rFonts w:ascii="Verdana" w:hAnsi="Verdana"/>
          <w:sz w:val="20"/>
          <w:szCs w:val="20"/>
        </w:rPr>
        <w:t xml:space="preserve"> relacionados con los procesos de “fisión-fusión”</w:t>
      </w:r>
      <w:r w:rsidR="00EE35BE" w:rsidRPr="00D93B5F">
        <w:rPr>
          <w:rStyle w:val="Refdenotaalpie"/>
          <w:rFonts w:ascii="Verdana" w:hAnsi="Verdana"/>
          <w:sz w:val="20"/>
        </w:rPr>
        <w:footnoteReference w:id="67"/>
      </w:r>
      <w:r w:rsidR="00FF3399" w:rsidRPr="00D93B5F">
        <w:rPr>
          <w:rFonts w:ascii="Verdana" w:hAnsi="Verdana"/>
          <w:sz w:val="20"/>
          <w:szCs w:val="20"/>
        </w:rPr>
        <w:t xml:space="preserve">, </w:t>
      </w:r>
      <w:r w:rsidR="007E7FF6" w:rsidRPr="00D93B5F">
        <w:rPr>
          <w:rFonts w:ascii="Verdana" w:hAnsi="Verdana"/>
          <w:sz w:val="20"/>
          <w:szCs w:val="20"/>
        </w:rPr>
        <w:t>problemáticas del régimen legal interno respecto a la propiedad comunitaria</w:t>
      </w:r>
      <w:r w:rsidR="00D77D57" w:rsidRPr="00D93B5F">
        <w:rPr>
          <w:rFonts w:ascii="Verdana" w:hAnsi="Verdana"/>
          <w:sz w:val="20"/>
          <w:szCs w:val="20"/>
        </w:rPr>
        <w:t xml:space="preserve"> indígena</w:t>
      </w:r>
      <w:r w:rsidR="00EE35BE" w:rsidRPr="00D93B5F">
        <w:rPr>
          <w:rStyle w:val="Refdenotaalpie"/>
          <w:rFonts w:ascii="Verdana" w:hAnsi="Verdana"/>
          <w:sz w:val="20"/>
        </w:rPr>
        <w:footnoteReference w:id="68"/>
      </w:r>
      <w:r w:rsidR="00FF3399" w:rsidRPr="00D93B5F">
        <w:rPr>
          <w:rFonts w:ascii="Verdana" w:hAnsi="Verdana"/>
          <w:sz w:val="20"/>
          <w:szCs w:val="20"/>
        </w:rPr>
        <w:t>, la importancia de los estudios de impacto ambiental realizada por entidades independientes y técnicamente capaces o sobre el derecho al medio ambiente sano</w:t>
      </w:r>
      <w:r w:rsidR="00EE35BE" w:rsidRPr="00D93B5F">
        <w:rPr>
          <w:rStyle w:val="Refdenotaalpie"/>
          <w:rFonts w:ascii="Verdana" w:hAnsi="Verdana"/>
          <w:sz w:val="20"/>
        </w:rPr>
        <w:footnoteReference w:id="69"/>
      </w:r>
      <w:r w:rsidR="00FF3399" w:rsidRPr="00D93B5F">
        <w:rPr>
          <w:rFonts w:ascii="Verdana" w:hAnsi="Verdana"/>
          <w:sz w:val="20"/>
          <w:szCs w:val="20"/>
        </w:rPr>
        <w:t>, a la alimentación, al agua y a la identidad cultural de los pueblos indígenas</w:t>
      </w:r>
      <w:r w:rsidR="00FF3399" w:rsidRPr="00D93B5F">
        <w:rPr>
          <w:rStyle w:val="Refdenotaalpie"/>
          <w:rFonts w:ascii="Verdana" w:eastAsia="Batang" w:hAnsi="Verdana"/>
        </w:rPr>
        <w:footnoteReference w:id="70"/>
      </w:r>
      <w:r w:rsidR="00A43727" w:rsidRPr="00D93B5F">
        <w:rPr>
          <w:rFonts w:ascii="Verdana" w:hAnsi="Verdana"/>
          <w:sz w:val="20"/>
          <w:szCs w:val="20"/>
        </w:rPr>
        <w:t xml:space="preserve">, </w:t>
      </w:r>
      <w:r w:rsidR="00EE35BE" w:rsidRPr="00D93B5F">
        <w:rPr>
          <w:rFonts w:ascii="Verdana" w:hAnsi="Verdana"/>
          <w:sz w:val="20"/>
          <w:szCs w:val="20"/>
        </w:rPr>
        <w:t>o la importancia que tiene el derech</w:t>
      </w:r>
      <w:r w:rsidR="00D77D57" w:rsidRPr="00D93B5F">
        <w:rPr>
          <w:rFonts w:ascii="Verdana" w:hAnsi="Verdana"/>
          <w:sz w:val="20"/>
          <w:szCs w:val="20"/>
        </w:rPr>
        <w:t xml:space="preserve">o al medio ambiente sano </w:t>
      </w:r>
      <w:r w:rsidR="00D77D57" w:rsidRPr="00D93B5F">
        <w:rPr>
          <w:rFonts w:ascii="Verdana" w:hAnsi="Verdana" w:cs="Cambria"/>
          <w:sz w:val="20"/>
          <w:szCs w:val="20"/>
          <w:lang w:val="es-CR"/>
        </w:rPr>
        <w:t xml:space="preserve">como un componente </w:t>
      </w:r>
      <w:r w:rsidR="00D77D57" w:rsidRPr="00D93B5F">
        <w:rPr>
          <w:rFonts w:ascii="Verdana" w:hAnsi="Verdana" w:cs="Cambria"/>
          <w:sz w:val="20"/>
          <w:szCs w:val="20"/>
          <w:lang w:val="es-CR"/>
        </w:rPr>
        <w:lastRenderedPageBreak/>
        <w:t>prioritario de las políticas de desarrollo y con el fin de combatir el cambio climático, así</w:t>
      </w:r>
      <w:r w:rsidR="00D77D57" w:rsidRPr="00D93B5F">
        <w:rPr>
          <w:rFonts w:ascii="Verdana" w:hAnsi="Verdana"/>
          <w:sz w:val="20"/>
          <w:szCs w:val="20"/>
        </w:rPr>
        <w:t xml:space="preserve"> como su ví</w:t>
      </w:r>
      <w:r w:rsidR="00EE35BE" w:rsidRPr="00D93B5F">
        <w:rPr>
          <w:rFonts w:ascii="Verdana" w:hAnsi="Verdana"/>
          <w:sz w:val="20"/>
          <w:szCs w:val="20"/>
        </w:rPr>
        <w:t>nculo con los pueblos indígenas en la Agenda 2030 de las Naciones Unidas</w:t>
      </w:r>
      <w:r w:rsidR="00EE35BE" w:rsidRPr="00D93B5F">
        <w:rPr>
          <w:rStyle w:val="Refdenotaalpie"/>
          <w:rFonts w:ascii="Verdana" w:hAnsi="Verdana"/>
          <w:sz w:val="20"/>
        </w:rPr>
        <w:footnoteReference w:id="71"/>
      </w:r>
      <w:r w:rsidR="00EE35BE" w:rsidRPr="00D93B5F">
        <w:rPr>
          <w:rFonts w:ascii="Verdana" w:hAnsi="Verdana"/>
          <w:sz w:val="20"/>
          <w:szCs w:val="20"/>
        </w:rPr>
        <w:t>.</w:t>
      </w:r>
      <w:r w:rsidR="00EE35BE" w:rsidRPr="00A43727">
        <w:rPr>
          <w:rFonts w:ascii="Verdana" w:hAnsi="Verdana"/>
          <w:sz w:val="20"/>
          <w:szCs w:val="20"/>
        </w:rPr>
        <w:t xml:space="preserve"> </w:t>
      </w:r>
      <w:r w:rsidR="00B01E47" w:rsidRPr="00A43727">
        <w:rPr>
          <w:rFonts w:ascii="Verdana" w:hAnsi="Verdana"/>
          <w:sz w:val="20"/>
          <w:szCs w:val="20"/>
        </w:rPr>
        <w:t xml:space="preserve">  </w:t>
      </w:r>
    </w:p>
    <w:p w14:paraId="4BFC4578" w14:textId="77777777" w:rsidR="00E87385" w:rsidRPr="00EE35BE" w:rsidRDefault="00E87385" w:rsidP="00267F70">
      <w:pPr>
        <w:rPr>
          <w:rFonts w:ascii="Verdana" w:hAnsi="Verdana"/>
          <w:sz w:val="20"/>
          <w:szCs w:val="20"/>
        </w:rPr>
      </w:pPr>
    </w:p>
    <w:p w14:paraId="2801E3E3" w14:textId="190277B6" w:rsidR="00E87385" w:rsidRPr="00B320D4" w:rsidRDefault="00FB0638" w:rsidP="00267F70">
      <w:pPr>
        <w:pStyle w:val="Prrafodelista"/>
        <w:spacing w:after="0" w:line="240" w:lineRule="auto"/>
        <w:ind w:left="0"/>
        <w:jc w:val="both"/>
        <w:rPr>
          <w:rFonts w:ascii="Verdana" w:hAnsi="Verdana"/>
          <w:sz w:val="20"/>
          <w:szCs w:val="20"/>
        </w:rPr>
      </w:pPr>
      <w:r>
        <w:rPr>
          <w:rFonts w:ascii="Verdana" w:hAnsi="Verdana"/>
          <w:sz w:val="20"/>
          <w:szCs w:val="20"/>
        </w:rPr>
        <w:t>79</w:t>
      </w:r>
      <w:r w:rsidR="00E87385" w:rsidRPr="00B320D4">
        <w:rPr>
          <w:rFonts w:ascii="Verdana" w:hAnsi="Verdana"/>
          <w:sz w:val="20"/>
          <w:szCs w:val="20"/>
        </w:rPr>
        <w:t xml:space="preserve">. </w:t>
      </w:r>
      <w:r w:rsidR="00E87385" w:rsidRPr="00B320D4">
        <w:rPr>
          <w:rFonts w:ascii="Verdana" w:hAnsi="Verdana"/>
          <w:sz w:val="20"/>
          <w:szCs w:val="20"/>
        </w:rPr>
        <w:tab/>
        <w:t xml:space="preserve">Con todo lo anterior, es posible señalar que la Corte IDH tiene como pilar fundamental en su labor, la comunicación permanente con organizaciones, instituciones y la sociedad en general, lo cual se realiza en ambas direcciones; es decir, la Corte IDH mediante establecimiento de estándares regionales en materia de derechos humanos, y las organizaciones, instituciones y personas mediante su activa participación en los procesos y procedimientos mediante la figura del </w:t>
      </w:r>
      <w:r w:rsidR="00E87385" w:rsidRPr="00B320D4">
        <w:rPr>
          <w:rFonts w:ascii="Verdana" w:hAnsi="Verdana"/>
          <w:i/>
          <w:sz w:val="20"/>
          <w:szCs w:val="20"/>
        </w:rPr>
        <w:t>amicus curiae</w:t>
      </w:r>
      <w:r w:rsidR="00E87385" w:rsidRPr="00B320D4">
        <w:rPr>
          <w:rFonts w:ascii="Verdana" w:hAnsi="Verdana"/>
          <w:sz w:val="20"/>
          <w:szCs w:val="20"/>
        </w:rPr>
        <w:t xml:space="preserve">, lo que fortalece el diálogo multidimensional a favor del orden público interamericano en la región.   </w:t>
      </w:r>
    </w:p>
    <w:p w14:paraId="6B904664" w14:textId="77777777" w:rsidR="00E87385" w:rsidRPr="00B320D4" w:rsidRDefault="00E87385" w:rsidP="00267F70">
      <w:pPr>
        <w:pStyle w:val="Prrafodelista"/>
        <w:spacing w:after="0" w:line="240" w:lineRule="auto"/>
        <w:ind w:left="0"/>
        <w:jc w:val="both"/>
        <w:rPr>
          <w:rFonts w:ascii="Verdana" w:hAnsi="Verdana"/>
          <w:sz w:val="20"/>
          <w:szCs w:val="20"/>
        </w:rPr>
      </w:pPr>
      <w:r w:rsidRPr="00B320D4">
        <w:rPr>
          <w:rFonts w:ascii="Verdana" w:hAnsi="Verdana"/>
          <w:sz w:val="20"/>
          <w:szCs w:val="20"/>
        </w:rPr>
        <w:t xml:space="preserve"> </w:t>
      </w:r>
    </w:p>
    <w:p w14:paraId="18E95CBF" w14:textId="300FD94C" w:rsidR="00E87385" w:rsidRPr="00EE35BE" w:rsidRDefault="00FB0638" w:rsidP="00267F70">
      <w:pPr>
        <w:pStyle w:val="Prrafodelista"/>
        <w:spacing w:after="0" w:line="240" w:lineRule="auto"/>
        <w:ind w:left="0"/>
        <w:jc w:val="both"/>
        <w:rPr>
          <w:rFonts w:ascii="Verdana" w:hAnsi="Verdana"/>
          <w:sz w:val="20"/>
          <w:szCs w:val="20"/>
        </w:rPr>
      </w:pPr>
      <w:r>
        <w:rPr>
          <w:rFonts w:ascii="Verdana" w:hAnsi="Verdana"/>
          <w:sz w:val="20"/>
          <w:szCs w:val="20"/>
        </w:rPr>
        <w:t>80</w:t>
      </w:r>
      <w:r w:rsidR="00E87385" w:rsidRPr="00B320D4">
        <w:rPr>
          <w:rFonts w:ascii="Verdana" w:hAnsi="Verdana"/>
          <w:sz w:val="20"/>
          <w:szCs w:val="20"/>
        </w:rPr>
        <w:t xml:space="preserve">. </w:t>
      </w:r>
      <w:r w:rsidR="00E87385" w:rsidRPr="00B320D4">
        <w:rPr>
          <w:rFonts w:ascii="Verdana" w:hAnsi="Verdana"/>
          <w:sz w:val="20"/>
          <w:szCs w:val="20"/>
        </w:rPr>
        <w:tab/>
        <w:t xml:space="preserve">El </w:t>
      </w:r>
      <w:r w:rsidR="00E87385" w:rsidRPr="00B320D4">
        <w:rPr>
          <w:rFonts w:ascii="Verdana" w:hAnsi="Verdana"/>
          <w:i/>
          <w:iCs/>
          <w:sz w:val="20"/>
          <w:szCs w:val="20"/>
        </w:rPr>
        <w:t>amicus curiae</w:t>
      </w:r>
      <w:r w:rsidR="00E87385" w:rsidRPr="00B320D4">
        <w:rPr>
          <w:rFonts w:ascii="Verdana" w:hAnsi="Verdana"/>
          <w:sz w:val="20"/>
          <w:szCs w:val="20"/>
        </w:rPr>
        <w:t xml:space="preserve"> se erige ante el Tribunal Interamericano como una importante herramienta que enriquece el trabajo jurisprudencial de esta Corte IDH y la efectiva protección de los derechos humanos, y cada vez tiene una mayor atención por parte de las organizaciones no gubernamentales, instituciones académicas y personas de la sociedad civil, que tienen un interés legítimo en los temas que se discuten ante los órganos del Sistema Interamericano. Pese a que no son vinculantes y que carecen de valor probatorio</w:t>
      </w:r>
      <w:r w:rsidR="00E87385" w:rsidRPr="007E1845">
        <w:rPr>
          <w:rStyle w:val="Refdenotaalpie"/>
          <w:rFonts w:ascii="Verdana" w:hAnsi="Verdana"/>
          <w:sz w:val="20"/>
        </w:rPr>
        <w:footnoteReference w:id="72"/>
      </w:r>
      <w:r w:rsidR="00E87385" w:rsidRPr="007E1845">
        <w:rPr>
          <w:rFonts w:ascii="Verdana" w:hAnsi="Verdana"/>
          <w:sz w:val="20"/>
          <w:szCs w:val="20"/>
        </w:rPr>
        <w:t>, le permiten</w:t>
      </w:r>
      <w:r w:rsidR="00E87385" w:rsidRPr="00914E2E">
        <w:rPr>
          <w:rFonts w:ascii="Verdana" w:hAnsi="Verdana"/>
          <w:sz w:val="20"/>
          <w:szCs w:val="20"/>
        </w:rPr>
        <w:t xml:space="preserve"> al Tribunal Interamericano favorecerse con mayores elementos conforme al derecho nacional e internacional, y de esta manera tener una panorámica de las implicaciones de la decisión, nutriéndose de valiosas consideraciones desde la sociedad civil. </w:t>
      </w:r>
    </w:p>
    <w:p w14:paraId="4B97CCF3" w14:textId="77777777" w:rsidR="00E87385" w:rsidRPr="00EE35BE" w:rsidRDefault="00E87385" w:rsidP="00267F70">
      <w:pPr>
        <w:pStyle w:val="Prrafodelista"/>
        <w:spacing w:after="0" w:line="240" w:lineRule="auto"/>
        <w:ind w:left="0"/>
        <w:jc w:val="both"/>
        <w:rPr>
          <w:rFonts w:ascii="Verdana" w:hAnsi="Verdana"/>
          <w:sz w:val="20"/>
          <w:szCs w:val="20"/>
        </w:rPr>
      </w:pPr>
    </w:p>
    <w:p w14:paraId="63208B49" w14:textId="3CE74A0F" w:rsidR="004646DA" w:rsidRPr="00B320D4" w:rsidRDefault="00FB0638" w:rsidP="00267F70">
      <w:pPr>
        <w:pStyle w:val="Prrafodelista"/>
        <w:spacing w:after="0" w:line="240" w:lineRule="auto"/>
        <w:ind w:left="0"/>
        <w:jc w:val="both"/>
        <w:rPr>
          <w:rFonts w:ascii="Verdana" w:hAnsi="Verdana"/>
          <w:sz w:val="20"/>
          <w:szCs w:val="20"/>
        </w:rPr>
      </w:pPr>
      <w:r>
        <w:rPr>
          <w:rFonts w:ascii="Verdana" w:hAnsi="Verdana"/>
          <w:sz w:val="20"/>
          <w:szCs w:val="20"/>
        </w:rPr>
        <w:t>81</w:t>
      </w:r>
      <w:r w:rsidR="00E87385" w:rsidRPr="00EE35BE">
        <w:rPr>
          <w:rFonts w:ascii="Verdana" w:hAnsi="Verdana"/>
          <w:sz w:val="20"/>
          <w:szCs w:val="20"/>
        </w:rPr>
        <w:t xml:space="preserve">. </w:t>
      </w:r>
      <w:r w:rsidR="00E87385" w:rsidRPr="00EE35BE">
        <w:rPr>
          <w:rFonts w:ascii="Verdana" w:hAnsi="Verdana"/>
          <w:sz w:val="20"/>
          <w:szCs w:val="20"/>
        </w:rPr>
        <w:tab/>
        <w:t xml:space="preserve">En el Sistema Interamericano se ha incentivado no sólo el acercamiento a los estándares emitidos por el Tribunal Interamericano, sino también su apertura para </w:t>
      </w:r>
      <w:r w:rsidR="00E87385" w:rsidRPr="00B320D4">
        <w:rPr>
          <w:rFonts w:ascii="Verdana" w:hAnsi="Verdana"/>
          <w:sz w:val="20"/>
          <w:szCs w:val="20"/>
        </w:rPr>
        <w:t xml:space="preserve">recibir observaciones y opiniones en el ejercicio de su competencia contenciosa y consultiva, con lo que se garantiza que exista un diálogo de emisión y recepción de ideas recíproco, y no sólo unidireccional. </w:t>
      </w:r>
    </w:p>
    <w:p w14:paraId="0E73773B" w14:textId="77777777" w:rsidR="004646DA" w:rsidRPr="00B320D4" w:rsidRDefault="004646DA" w:rsidP="00267F70">
      <w:pPr>
        <w:pStyle w:val="Prrafodelista"/>
        <w:spacing w:after="0" w:line="240" w:lineRule="auto"/>
        <w:ind w:left="0"/>
        <w:jc w:val="both"/>
        <w:rPr>
          <w:rFonts w:ascii="Verdana" w:hAnsi="Verdana"/>
          <w:sz w:val="20"/>
          <w:szCs w:val="20"/>
        </w:rPr>
      </w:pPr>
    </w:p>
    <w:p w14:paraId="3926F6DA" w14:textId="1A3F51D6" w:rsidR="005B1DB4" w:rsidRPr="00B320D4" w:rsidRDefault="00FB0638" w:rsidP="00267F70">
      <w:pPr>
        <w:pStyle w:val="Prrafodelista"/>
        <w:spacing w:after="0" w:line="240" w:lineRule="auto"/>
        <w:ind w:left="0"/>
        <w:jc w:val="both"/>
        <w:rPr>
          <w:rFonts w:ascii="Verdana" w:hAnsi="Verdana"/>
          <w:sz w:val="20"/>
          <w:szCs w:val="20"/>
        </w:rPr>
      </w:pPr>
      <w:r>
        <w:rPr>
          <w:rFonts w:ascii="Verdana" w:hAnsi="Verdana"/>
          <w:sz w:val="20"/>
          <w:szCs w:val="20"/>
        </w:rPr>
        <w:t>82</w:t>
      </w:r>
      <w:r w:rsidR="004646DA" w:rsidRPr="00B320D4">
        <w:rPr>
          <w:rFonts w:ascii="Verdana" w:hAnsi="Verdana"/>
          <w:sz w:val="20"/>
          <w:szCs w:val="20"/>
        </w:rPr>
        <w:t>.</w:t>
      </w:r>
      <w:r w:rsidR="004646DA" w:rsidRPr="00B320D4">
        <w:rPr>
          <w:rFonts w:ascii="Verdana" w:hAnsi="Verdana"/>
          <w:sz w:val="20"/>
          <w:szCs w:val="20"/>
        </w:rPr>
        <w:tab/>
      </w:r>
      <w:r w:rsidR="00E87385" w:rsidRPr="00B320D4">
        <w:rPr>
          <w:rFonts w:ascii="Verdana" w:hAnsi="Verdana"/>
          <w:sz w:val="20"/>
          <w:szCs w:val="20"/>
        </w:rPr>
        <w:t xml:space="preserve">Es necesario seguir impulsando el diálogo constructivo y virtuoso que se genera con la participación de las organizaciones, instituciones y personas mediante la figura del </w:t>
      </w:r>
      <w:r w:rsidR="00E87385" w:rsidRPr="00B320D4">
        <w:rPr>
          <w:rFonts w:ascii="Verdana" w:hAnsi="Verdana"/>
          <w:i/>
          <w:iCs/>
          <w:sz w:val="20"/>
          <w:szCs w:val="20"/>
        </w:rPr>
        <w:t>amicus curiae</w:t>
      </w:r>
      <w:r w:rsidR="00E87385" w:rsidRPr="00B320D4">
        <w:rPr>
          <w:rFonts w:ascii="Verdana" w:hAnsi="Verdana"/>
          <w:sz w:val="20"/>
          <w:szCs w:val="20"/>
        </w:rPr>
        <w:t xml:space="preserve"> ante la Corte IDH y así procurar un ámbito de ideas incluyente, para la mayor y mejor protección de los derechos humanos en la región, lo que permite un Derecho Americano en permanente evolución.</w:t>
      </w:r>
    </w:p>
    <w:p w14:paraId="4D28270A" w14:textId="77777777" w:rsidR="00FF3399" w:rsidRPr="00B320D4" w:rsidRDefault="00FF3399" w:rsidP="00267F70">
      <w:pPr>
        <w:tabs>
          <w:tab w:val="left" w:pos="1701"/>
          <w:tab w:val="left" w:pos="1843"/>
        </w:tabs>
        <w:autoSpaceDE w:val="0"/>
        <w:autoSpaceDN w:val="0"/>
        <w:adjustRightInd w:val="0"/>
        <w:jc w:val="both"/>
        <w:rPr>
          <w:rFonts w:ascii="Verdana" w:hAnsi="Verdana"/>
          <w:b/>
          <w:bCs/>
          <w:color w:val="000000" w:themeColor="text1"/>
          <w:sz w:val="20"/>
          <w:szCs w:val="20"/>
          <w:lang w:val="es-ES_tradnl"/>
        </w:rPr>
      </w:pPr>
    </w:p>
    <w:p w14:paraId="0D8F418B" w14:textId="2DE98057" w:rsidR="00E87385" w:rsidRPr="00FF5F9A" w:rsidRDefault="00E87385" w:rsidP="00267F70">
      <w:pPr>
        <w:jc w:val="center"/>
        <w:rPr>
          <w:rFonts w:ascii="Verdana" w:hAnsi="Verdana"/>
          <w:b/>
          <w:sz w:val="20"/>
          <w:szCs w:val="20"/>
        </w:rPr>
      </w:pPr>
      <w:r w:rsidRPr="00FF5F9A">
        <w:rPr>
          <w:rFonts w:ascii="Verdana" w:hAnsi="Verdana"/>
          <w:b/>
          <w:sz w:val="20"/>
          <w:szCs w:val="20"/>
        </w:rPr>
        <w:t>V. CONCLUSIONES</w:t>
      </w:r>
    </w:p>
    <w:p w14:paraId="4BD22D23" w14:textId="77777777" w:rsidR="00E87385" w:rsidRPr="00EE35BE" w:rsidRDefault="00E87385" w:rsidP="00267F70">
      <w:pPr>
        <w:jc w:val="center"/>
        <w:rPr>
          <w:rFonts w:ascii="Verdana" w:hAnsi="Verdana"/>
          <w:b/>
          <w:bCs/>
          <w:sz w:val="20"/>
          <w:szCs w:val="20"/>
        </w:rPr>
      </w:pPr>
    </w:p>
    <w:p w14:paraId="6BA7D6D5" w14:textId="5BF921B7" w:rsidR="002061F9" w:rsidRPr="00914E2E" w:rsidRDefault="00FB0638" w:rsidP="00267F70">
      <w:pPr>
        <w:pStyle w:val="Prrafodelista"/>
        <w:spacing w:after="0" w:line="240" w:lineRule="auto"/>
        <w:ind w:left="0"/>
        <w:jc w:val="both"/>
        <w:rPr>
          <w:rFonts w:ascii="Verdana" w:hAnsi="Verdana"/>
          <w:sz w:val="20"/>
          <w:szCs w:val="20"/>
        </w:rPr>
      </w:pPr>
      <w:r>
        <w:rPr>
          <w:rFonts w:ascii="Verdana" w:hAnsi="Verdana"/>
          <w:sz w:val="20"/>
          <w:szCs w:val="20"/>
        </w:rPr>
        <w:t>83</w:t>
      </w:r>
      <w:r w:rsidR="006D7B46" w:rsidRPr="00EE35BE">
        <w:rPr>
          <w:rFonts w:ascii="Verdana" w:hAnsi="Verdana"/>
          <w:sz w:val="20"/>
          <w:szCs w:val="20"/>
        </w:rPr>
        <w:t>.</w:t>
      </w:r>
      <w:r w:rsidR="006D7B46" w:rsidRPr="00EE35BE">
        <w:rPr>
          <w:rFonts w:ascii="Verdana" w:hAnsi="Verdana"/>
          <w:sz w:val="20"/>
          <w:szCs w:val="20"/>
        </w:rPr>
        <w:tab/>
        <w:t xml:space="preserve">El caso </w:t>
      </w:r>
      <w:r w:rsidR="006D7B46" w:rsidRPr="00EE35BE">
        <w:rPr>
          <w:rFonts w:ascii="Verdana" w:hAnsi="Verdana"/>
          <w:i/>
          <w:sz w:val="20"/>
          <w:szCs w:val="20"/>
        </w:rPr>
        <w:t xml:space="preserve">Lakha Honhat </w:t>
      </w:r>
      <w:r w:rsidR="00A40F16" w:rsidRPr="00EE35BE">
        <w:rPr>
          <w:rFonts w:ascii="Verdana" w:hAnsi="Verdana"/>
          <w:sz w:val="20"/>
          <w:szCs w:val="20"/>
        </w:rPr>
        <w:t xml:space="preserve">constituye </w:t>
      </w:r>
      <w:r w:rsidR="00B578C2" w:rsidRPr="00EE35BE">
        <w:rPr>
          <w:rFonts w:ascii="Verdana" w:hAnsi="Verdana"/>
          <w:sz w:val="20"/>
          <w:szCs w:val="20"/>
        </w:rPr>
        <w:t xml:space="preserve">el primer caso contencioso en el cual la Corte IDH se </w:t>
      </w:r>
      <w:r w:rsidR="00A40F16" w:rsidRPr="00EE35BE">
        <w:rPr>
          <w:rFonts w:ascii="Verdana" w:hAnsi="Verdana"/>
          <w:sz w:val="20"/>
          <w:szCs w:val="20"/>
        </w:rPr>
        <w:t xml:space="preserve">pronuncia de manera directa y autónoma sobre los derechos </w:t>
      </w:r>
      <w:r w:rsidR="00B578C2" w:rsidRPr="00EE35BE">
        <w:rPr>
          <w:rFonts w:ascii="Verdana" w:hAnsi="Verdana"/>
          <w:sz w:val="20"/>
          <w:szCs w:val="20"/>
        </w:rPr>
        <w:t>al medio ambiente</w:t>
      </w:r>
      <w:r w:rsidR="0075294F">
        <w:rPr>
          <w:rFonts w:ascii="Verdana" w:hAnsi="Verdana"/>
          <w:sz w:val="20"/>
          <w:szCs w:val="20"/>
        </w:rPr>
        <w:t xml:space="preserve"> sano</w:t>
      </w:r>
      <w:r w:rsidR="00B578C2" w:rsidRPr="00EE35BE">
        <w:rPr>
          <w:rFonts w:ascii="Verdana" w:hAnsi="Verdana"/>
          <w:sz w:val="20"/>
          <w:szCs w:val="20"/>
        </w:rPr>
        <w:t xml:space="preserve">, </w:t>
      </w:r>
      <w:r w:rsidR="00A40F16" w:rsidRPr="00EE35BE">
        <w:rPr>
          <w:rFonts w:ascii="Verdana" w:hAnsi="Verdana"/>
          <w:sz w:val="20"/>
          <w:szCs w:val="20"/>
        </w:rPr>
        <w:t>a la alimentación, al agua y a</w:t>
      </w:r>
      <w:r w:rsidR="005A202B" w:rsidRPr="00DE42C2">
        <w:rPr>
          <w:rFonts w:ascii="Verdana" w:hAnsi="Verdana"/>
          <w:sz w:val="20"/>
          <w:szCs w:val="20"/>
        </w:rPr>
        <w:t xml:space="preserve"> </w:t>
      </w:r>
      <w:r w:rsidR="00A43727">
        <w:rPr>
          <w:rFonts w:ascii="Verdana" w:hAnsi="Verdana"/>
          <w:sz w:val="20"/>
          <w:szCs w:val="20"/>
        </w:rPr>
        <w:t xml:space="preserve">la identidad cultural, este último </w:t>
      </w:r>
      <w:r w:rsidR="00B578C2" w:rsidRPr="00F04312">
        <w:rPr>
          <w:rFonts w:ascii="Verdana" w:hAnsi="Verdana"/>
          <w:sz w:val="20"/>
          <w:szCs w:val="20"/>
        </w:rPr>
        <w:t>como proyección del derecho a disfrutar de la vida cultural</w:t>
      </w:r>
      <w:r w:rsidR="00B578C2" w:rsidRPr="007E1845">
        <w:rPr>
          <w:rStyle w:val="Refdenotaalpie"/>
          <w:rFonts w:ascii="Verdana" w:hAnsi="Verdana"/>
          <w:sz w:val="20"/>
        </w:rPr>
        <w:footnoteReference w:id="73"/>
      </w:r>
      <w:r w:rsidR="00500C59" w:rsidRPr="007E1845">
        <w:rPr>
          <w:rFonts w:ascii="Verdana" w:hAnsi="Verdana"/>
          <w:sz w:val="20"/>
          <w:szCs w:val="20"/>
        </w:rPr>
        <w:t>.</w:t>
      </w:r>
    </w:p>
    <w:p w14:paraId="3D04E2EE" w14:textId="77777777" w:rsidR="002061F9" w:rsidRPr="00EE35BE" w:rsidRDefault="002061F9" w:rsidP="00267F70">
      <w:pPr>
        <w:pStyle w:val="Prrafodelista"/>
        <w:spacing w:after="0" w:line="240" w:lineRule="auto"/>
        <w:ind w:left="0"/>
        <w:jc w:val="both"/>
        <w:rPr>
          <w:rFonts w:ascii="Verdana" w:hAnsi="Verdana"/>
          <w:sz w:val="20"/>
          <w:szCs w:val="20"/>
        </w:rPr>
      </w:pPr>
    </w:p>
    <w:p w14:paraId="3015F7A6" w14:textId="6C4A9E7F" w:rsidR="00B578C2" w:rsidRPr="00EE35BE" w:rsidRDefault="00FB0638" w:rsidP="00267F70">
      <w:pPr>
        <w:pStyle w:val="Prrafodelista"/>
        <w:spacing w:after="0" w:line="240" w:lineRule="auto"/>
        <w:ind w:left="0"/>
        <w:jc w:val="both"/>
        <w:rPr>
          <w:rFonts w:ascii="Verdana" w:hAnsi="Verdana"/>
          <w:sz w:val="20"/>
          <w:szCs w:val="20"/>
        </w:rPr>
      </w:pPr>
      <w:r>
        <w:rPr>
          <w:rFonts w:ascii="Verdana" w:hAnsi="Verdana"/>
          <w:sz w:val="20"/>
          <w:szCs w:val="20"/>
        </w:rPr>
        <w:lastRenderedPageBreak/>
        <w:t>84</w:t>
      </w:r>
      <w:r w:rsidR="002061F9" w:rsidRPr="00EE35BE">
        <w:rPr>
          <w:rFonts w:ascii="Verdana" w:hAnsi="Verdana"/>
          <w:sz w:val="20"/>
          <w:szCs w:val="20"/>
        </w:rPr>
        <w:t xml:space="preserve">. </w:t>
      </w:r>
      <w:r w:rsidR="002061F9" w:rsidRPr="00EE35BE">
        <w:rPr>
          <w:rFonts w:ascii="Verdana" w:hAnsi="Verdana"/>
          <w:sz w:val="20"/>
          <w:szCs w:val="20"/>
        </w:rPr>
        <w:tab/>
      </w:r>
      <w:r w:rsidR="00B578C2" w:rsidRPr="00EE35BE">
        <w:rPr>
          <w:rFonts w:ascii="Verdana" w:hAnsi="Verdana"/>
          <w:sz w:val="20"/>
          <w:szCs w:val="20"/>
        </w:rPr>
        <w:t xml:space="preserve">Al respecto, por cada uno de los derechos </w:t>
      </w:r>
      <w:r w:rsidR="004646DA" w:rsidRPr="00EE35BE">
        <w:rPr>
          <w:rFonts w:ascii="Verdana" w:hAnsi="Verdana"/>
          <w:sz w:val="20"/>
          <w:szCs w:val="20"/>
        </w:rPr>
        <w:t xml:space="preserve">analizados </w:t>
      </w:r>
      <w:r w:rsidR="00957056">
        <w:rPr>
          <w:rFonts w:ascii="Verdana" w:hAnsi="Verdana"/>
          <w:sz w:val="20"/>
          <w:szCs w:val="20"/>
        </w:rPr>
        <w:t xml:space="preserve">se </w:t>
      </w:r>
      <w:r w:rsidR="00B578C2" w:rsidRPr="00EE35BE">
        <w:rPr>
          <w:rFonts w:ascii="Verdana" w:hAnsi="Verdana"/>
          <w:sz w:val="20"/>
          <w:szCs w:val="20"/>
        </w:rPr>
        <w:t>realiza un ejercicio de identificación de las disposiciones tanto de derecho internacional</w:t>
      </w:r>
      <w:r w:rsidR="00B578C2" w:rsidRPr="007E1845">
        <w:rPr>
          <w:rStyle w:val="Refdenotaalpie"/>
          <w:rFonts w:ascii="Verdana" w:hAnsi="Verdana"/>
          <w:sz w:val="20"/>
        </w:rPr>
        <w:footnoteReference w:id="74"/>
      </w:r>
      <w:r w:rsidR="00B578C2" w:rsidRPr="007E1845">
        <w:rPr>
          <w:rFonts w:ascii="Verdana" w:hAnsi="Verdana"/>
          <w:b/>
          <w:bCs/>
          <w:sz w:val="20"/>
          <w:szCs w:val="20"/>
        </w:rPr>
        <w:t xml:space="preserve"> </w:t>
      </w:r>
      <w:r w:rsidR="00B578C2" w:rsidRPr="00914E2E">
        <w:rPr>
          <w:rFonts w:ascii="Verdana" w:hAnsi="Verdana"/>
          <w:sz w:val="20"/>
          <w:szCs w:val="20"/>
        </w:rPr>
        <w:t xml:space="preserve">como las pertinentes en relación con el derecho </w:t>
      </w:r>
      <w:r w:rsidR="00B578C2" w:rsidRPr="00F820A3">
        <w:rPr>
          <w:rFonts w:ascii="Verdana" w:hAnsi="Verdana"/>
          <w:sz w:val="20"/>
          <w:szCs w:val="20"/>
        </w:rPr>
        <w:t>constitucional comparado</w:t>
      </w:r>
      <w:r w:rsidR="00B578C2" w:rsidRPr="007E1845">
        <w:rPr>
          <w:rStyle w:val="Refdenotaalpie"/>
          <w:rFonts w:ascii="Verdana" w:hAnsi="Verdana"/>
          <w:sz w:val="20"/>
        </w:rPr>
        <w:footnoteReference w:id="75"/>
      </w:r>
      <w:r w:rsidR="00B578C2" w:rsidRPr="007E1845">
        <w:rPr>
          <w:rFonts w:ascii="Verdana" w:hAnsi="Verdana"/>
          <w:sz w:val="20"/>
          <w:szCs w:val="20"/>
        </w:rPr>
        <w:t xml:space="preserve">, pero en lo particular la forma en la que </w:t>
      </w:r>
      <w:r w:rsidR="006F6E50">
        <w:rPr>
          <w:rFonts w:ascii="Verdana" w:hAnsi="Verdana"/>
          <w:sz w:val="20"/>
          <w:szCs w:val="20"/>
        </w:rPr>
        <w:t xml:space="preserve">dichos </w:t>
      </w:r>
      <w:r w:rsidR="00B578C2" w:rsidRPr="007E1845">
        <w:rPr>
          <w:rFonts w:ascii="Verdana" w:hAnsi="Verdana"/>
          <w:sz w:val="20"/>
          <w:szCs w:val="20"/>
        </w:rPr>
        <w:t>derechos han sido reconocidos e integrados por el derecho constitucional argentino</w:t>
      </w:r>
      <w:r w:rsidR="00B578C2" w:rsidRPr="007E1845">
        <w:rPr>
          <w:rStyle w:val="Refdenotaalpie"/>
          <w:rFonts w:ascii="Verdana" w:hAnsi="Verdana"/>
          <w:sz w:val="20"/>
        </w:rPr>
        <w:footnoteReference w:id="76"/>
      </w:r>
      <w:r w:rsidR="00B578C2" w:rsidRPr="007E1845">
        <w:rPr>
          <w:rFonts w:ascii="Verdana" w:hAnsi="Verdana"/>
          <w:sz w:val="20"/>
          <w:szCs w:val="20"/>
        </w:rPr>
        <w:t>.</w:t>
      </w:r>
      <w:r w:rsidR="00A40C79">
        <w:rPr>
          <w:rFonts w:ascii="Verdana" w:hAnsi="Verdana"/>
          <w:sz w:val="20"/>
          <w:szCs w:val="20"/>
        </w:rPr>
        <w:t xml:space="preserve"> Además, es pertinente destacar </w:t>
      </w:r>
      <w:r w:rsidR="00B578C2" w:rsidRPr="007E1845">
        <w:rPr>
          <w:rFonts w:ascii="Verdana" w:hAnsi="Verdana"/>
          <w:sz w:val="20"/>
          <w:szCs w:val="20"/>
        </w:rPr>
        <w:t xml:space="preserve">que Argentina no </w:t>
      </w:r>
      <w:r w:rsidR="006F6E50">
        <w:rPr>
          <w:rFonts w:ascii="Verdana" w:hAnsi="Verdana"/>
          <w:sz w:val="20"/>
          <w:szCs w:val="20"/>
        </w:rPr>
        <w:t>presentó excepción preliminar cuestionando</w:t>
      </w:r>
      <w:r w:rsidR="00B578C2" w:rsidRPr="007E1845">
        <w:rPr>
          <w:rFonts w:ascii="Verdana" w:hAnsi="Verdana"/>
          <w:sz w:val="20"/>
          <w:szCs w:val="20"/>
        </w:rPr>
        <w:t xml:space="preserve"> la competencia de la Corte IDH sobre </w:t>
      </w:r>
      <w:r w:rsidR="00B578C2" w:rsidRPr="00914E2E">
        <w:rPr>
          <w:rFonts w:ascii="Verdana" w:hAnsi="Verdana"/>
          <w:sz w:val="20"/>
          <w:szCs w:val="20"/>
        </w:rPr>
        <w:t xml:space="preserve">la posibilidad de conocer sobre la vulneración </w:t>
      </w:r>
      <w:r w:rsidR="006F6E50">
        <w:rPr>
          <w:rFonts w:ascii="Verdana" w:hAnsi="Verdana"/>
          <w:sz w:val="20"/>
          <w:szCs w:val="20"/>
        </w:rPr>
        <w:t xml:space="preserve">autónoma de estos derechos; </w:t>
      </w:r>
      <w:r w:rsidR="00B578C2" w:rsidRPr="00914E2E">
        <w:rPr>
          <w:rFonts w:ascii="Verdana" w:hAnsi="Verdana"/>
          <w:sz w:val="20"/>
          <w:szCs w:val="20"/>
        </w:rPr>
        <w:t>por el contrario, el Estado se limit</w:t>
      </w:r>
      <w:r w:rsidR="00F04312">
        <w:rPr>
          <w:rFonts w:ascii="Verdana" w:hAnsi="Verdana"/>
          <w:sz w:val="20"/>
          <w:szCs w:val="20"/>
        </w:rPr>
        <w:t>ó</w:t>
      </w:r>
      <w:r w:rsidR="00B578C2" w:rsidRPr="00914E2E">
        <w:rPr>
          <w:rFonts w:ascii="Verdana" w:hAnsi="Verdana"/>
          <w:sz w:val="20"/>
          <w:szCs w:val="20"/>
        </w:rPr>
        <w:t xml:space="preserve"> a emitir argumentos por los cuales consideró que dichos derechos no fueron vulnerados en el presente caso, lo que demuestra que no existía cont</w:t>
      </w:r>
      <w:r w:rsidR="00B578C2" w:rsidRPr="00F04312">
        <w:rPr>
          <w:rFonts w:ascii="Verdana" w:hAnsi="Verdana"/>
          <w:sz w:val="20"/>
          <w:szCs w:val="20"/>
        </w:rPr>
        <w:t>roversia sobre la</w:t>
      </w:r>
      <w:r w:rsidR="00500C59" w:rsidRPr="00F04312">
        <w:rPr>
          <w:rFonts w:ascii="Verdana" w:hAnsi="Verdana"/>
          <w:sz w:val="20"/>
          <w:szCs w:val="20"/>
        </w:rPr>
        <w:t xml:space="preserve"> justiciabilidad de los mismos.</w:t>
      </w:r>
    </w:p>
    <w:p w14:paraId="51BF6388" w14:textId="77777777" w:rsidR="00B578C2" w:rsidRPr="00EE35BE" w:rsidRDefault="00B578C2" w:rsidP="00267F70">
      <w:pPr>
        <w:jc w:val="center"/>
        <w:rPr>
          <w:rFonts w:ascii="Verdana" w:hAnsi="Verdana"/>
          <w:b/>
          <w:bCs/>
          <w:sz w:val="20"/>
          <w:szCs w:val="20"/>
          <w:lang w:val="es-ES_tradnl"/>
        </w:rPr>
      </w:pPr>
    </w:p>
    <w:p w14:paraId="00B74A15" w14:textId="5703FB18" w:rsidR="00E87385" w:rsidRPr="00B320D4" w:rsidRDefault="00FB0638" w:rsidP="00267F70">
      <w:pPr>
        <w:pStyle w:val="Prrafodelista"/>
        <w:spacing w:line="240" w:lineRule="auto"/>
        <w:ind w:left="0"/>
        <w:jc w:val="both"/>
        <w:rPr>
          <w:rFonts w:ascii="Verdana" w:hAnsi="Verdana"/>
          <w:sz w:val="20"/>
          <w:szCs w:val="20"/>
        </w:rPr>
      </w:pPr>
      <w:r>
        <w:rPr>
          <w:rFonts w:ascii="Verdana" w:hAnsi="Verdana"/>
          <w:sz w:val="20"/>
          <w:szCs w:val="20"/>
        </w:rPr>
        <w:t>85</w:t>
      </w:r>
      <w:r w:rsidR="00E87385" w:rsidRPr="00EE35BE">
        <w:rPr>
          <w:rFonts w:ascii="Verdana" w:hAnsi="Verdana"/>
          <w:sz w:val="20"/>
          <w:szCs w:val="20"/>
        </w:rPr>
        <w:t xml:space="preserve">. </w:t>
      </w:r>
      <w:r w:rsidR="00E87385" w:rsidRPr="00EE35BE">
        <w:rPr>
          <w:rFonts w:ascii="Verdana" w:hAnsi="Verdana"/>
          <w:sz w:val="20"/>
          <w:szCs w:val="20"/>
        </w:rPr>
        <w:tab/>
      </w:r>
      <w:r w:rsidR="00A40F16" w:rsidRPr="00EE35BE">
        <w:rPr>
          <w:rFonts w:ascii="Verdana" w:hAnsi="Verdana"/>
          <w:sz w:val="20"/>
          <w:szCs w:val="20"/>
        </w:rPr>
        <w:t xml:space="preserve">También </w:t>
      </w:r>
      <w:r w:rsidR="00E87385" w:rsidRPr="00EE35BE">
        <w:rPr>
          <w:rFonts w:ascii="Verdana" w:hAnsi="Verdana"/>
          <w:sz w:val="20"/>
          <w:szCs w:val="20"/>
        </w:rPr>
        <w:t>es la primera</w:t>
      </w:r>
      <w:r w:rsidR="00E87385" w:rsidRPr="00DE42C2">
        <w:rPr>
          <w:rFonts w:ascii="Verdana" w:hAnsi="Verdana"/>
          <w:sz w:val="20"/>
          <w:szCs w:val="20"/>
        </w:rPr>
        <w:t xml:space="preserve"> ocasión en el que se declara violado el artículo 26 de la Convención Americana</w:t>
      </w:r>
      <w:r w:rsidR="004646DA" w:rsidRPr="00B320D4">
        <w:rPr>
          <w:rFonts w:ascii="Verdana" w:hAnsi="Verdana"/>
          <w:sz w:val="20"/>
          <w:szCs w:val="20"/>
        </w:rPr>
        <w:t xml:space="preserve"> en un caso de pueblos y comunidades indígenas y tribales</w:t>
      </w:r>
      <w:r w:rsidR="00227E83" w:rsidRPr="00B320D4">
        <w:rPr>
          <w:rFonts w:ascii="Verdana" w:hAnsi="Verdana"/>
          <w:sz w:val="20"/>
          <w:szCs w:val="20"/>
        </w:rPr>
        <w:t xml:space="preserve">, conforme a la metodología seguida en los precedentes sobre la justiciabilidad directa de los DESCA. En el caso se </w:t>
      </w:r>
      <w:r w:rsidR="00397F1E">
        <w:rPr>
          <w:rFonts w:ascii="Verdana" w:hAnsi="Verdana"/>
          <w:sz w:val="20"/>
          <w:szCs w:val="20"/>
        </w:rPr>
        <w:t xml:space="preserve">ha </w:t>
      </w:r>
      <w:r w:rsidR="00756E04">
        <w:rPr>
          <w:rFonts w:ascii="Verdana" w:hAnsi="Verdana"/>
          <w:sz w:val="20"/>
          <w:szCs w:val="20"/>
        </w:rPr>
        <w:t xml:space="preserve">puesto de relieve la estrecha vinculación entre </w:t>
      </w:r>
      <w:r w:rsidR="00227E83" w:rsidRPr="00B320D4">
        <w:rPr>
          <w:rFonts w:ascii="Verdana" w:hAnsi="Verdana"/>
          <w:sz w:val="20"/>
          <w:szCs w:val="20"/>
        </w:rPr>
        <w:t xml:space="preserve">los derechos </w:t>
      </w:r>
      <w:r w:rsidR="005A202B" w:rsidRPr="00B320D4">
        <w:rPr>
          <w:rFonts w:ascii="Verdana" w:hAnsi="Verdana"/>
          <w:sz w:val="20"/>
          <w:szCs w:val="20"/>
        </w:rPr>
        <w:t>a participar en la vida cultural, en lo atinente a su identidad cultural, al medio ambiente sano, a la alimentación adecuada y al agua</w:t>
      </w:r>
      <w:r w:rsidR="00227E83" w:rsidRPr="00B320D4">
        <w:rPr>
          <w:rFonts w:ascii="Verdana" w:hAnsi="Verdana"/>
          <w:sz w:val="20"/>
          <w:szCs w:val="20"/>
        </w:rPr>
        <w:t>,</w:t>
      </w:r>
      <w:r w:rsidR="00E87385" w:rsidRPr="00B320D4">
        <w:rPr>
          <w:rFonts w:ascii="Verdana" w:hAnsi="Verdana"/>
          <w:sz w:val="20"/>
          <w:szCs w:val="20"/>
        </w:rPr>
        <w:t xml:space="preserve"> que son analizados desde una visión de garantía para las comunidades que fueron víctimas. Particularmente</w:t>
      </w:r>
      <w:r w:rsidR="00A40F16" w:rsidRPr="00B320D4">
        <w:rPr>
          <w:rFonts w:ascii="Verdana" w:hAnsi="Verdana"/>
          <w:sz w:val="20"/>
          <w:szCs w:val="20"/>
        </w:rPr>
        <w:t>,</w:t>
      </w:r>
      <w:r w:rsidR="00E87385" w:rsidRPr="00B320D4">
        <w:rPr>
          <w:rFonts w:ascii="Verdana" w:hAnsi="Verdana"/>
          <w:sz w:val="20"/>
          <w:szCs w:val="20"/>
        </w:rPr>
        <w:t xml:space="preserve"> la Sentencia enfoca el contenido de estos derechos atendiendo al sujeto del cua</w:t>
      </w:r>
      <w:r w:rsidR="005A202B" w:rsidRPr="00B320D4">
        <w:rPr>
          <w:rFonts w:ascii="Verdana" w:hAnsi="Verdana"/>
          <w:sz w:val="20"/>
          <w:szCs w:val="20"/>
        </w:rPr>
        <w:t>l se trata, es decir, pueblos y comunidades</w:t>
      </w:r>
      <w:r w:rsidR="00E87385" w:rsidRPr="00B320D4">
        <w:rPr>
          <w:rFonts w:ascii="Verdana" w:hAnsi="Verdana"/>
          <w:sz w:val="20"/>
          <w:szCs w:val="20"/>
        </w:rPr>
        <w:t xml:space="preserve"> indígenas; la Sentencia comprende que éstos tienen, y manifiestan, una particular forma de ver y comprender el entorno que los rodea</w:t>
      </w:r>
      <w:r w:rsidR="00227E83" w:rsidRPr="00B320D4">
        <w:rPr>
          <w:rFonts w:ascii="Verdana" w:hAnsi="Verdana"/>
          <w:sz w:val="20"/>
          <w:szCs w:val="20"/>
        </w:rPr>
        <w:t xml:space="preserve">, a la luz de su propia cosmovisión, </w:t>
      </w:r>
      <w:r w:rsidR="00E87385" w:rsidRPr="00B320D4">
        <w:rPr>
          <w:rFonts w:ascii="Verdana" w:hAnsi="Verdana"/>
          <w:sz w:val="20"/>
          <w:szCs w:val="20"/>
        </w:rPr>
        <w:t xml:space="preserve">por lo </w:t>
      </w:r>
      <w:r w:rsidR="00227E83" w:rsidRPr="00B320D4">
        <w:rPr>
          <w:rFonts w:ascii="Verdana" w:hAnsi="Verdana"/>
          <w:sz w:val="20"/>
          <w:szCs w:val="20"/>
        </w:rPr>
        <w:t>que</w:t>
      </w:r>
      <w:r w:rsidR="00E87385" w:rsidRPr="00B320D4">
        <w:rPr>
          <w:rFonts w:ascii="Verdana" w:hAnsi="Verdana"/>
          <w:sz w:val="20"/>
          <w:szCs w:val="20"/>
        </w:rPr>
        <w:t xml:space="preserve"> requieren una forma integral de evaluar las posibles violaciones que se derivan del Pacto de San José.</w:t>
      </w:r>
    </w:p>
    <w:p w14:paraId="12A1B5A3" w14:textId="77777777" w:rsidR="00E87385" w:rsidRPr="00B320D4" w:rsidRDefault="00E87385" w:rsidP="00267F70">
      <w:pPr>
        <w:pStyle w:val="Prrafodelista"/>
        <w:spacing w:line="240" w:lineRule="auto"/>
        <w:ind w:left="0"/>
        <w:jc w:val="both"/>
        <w:rPr>
          <w:rFonts w:ascii="Verdana" w:hAnsi="Verdana"/>
          <w:sz w:val="20"/>
          <w:szCs w:val="20"/>
        </w:rPr>
      </w:pPr>
    </w:p>
    <w:p w14:paraId="2CCFC534" w14:textId="172BB32B" w:rsidR="00ED41FA" w:rsidRPr="00F04312" w:rsidRDefault="00FB0638" w:rsidP="00267F70">
      <w:pPr>
        <w:pStyle w:val="Prrafodelista"/>
        <w:spacing w:line="240" w:lineRule="auto"/>
        <w:ind w:left="0"/>
        <w:jc w:val="both"/>
        <w:rPr>
          <w:rFonts w:ascii="Verdana" w:hAnsi="Verdana"/>
          <w:sz w:val="20"/>
          <w:szCs w:val="20"/>
          <w:lang w:val="es-CR"/>
        </w:rPr>
      </w:pPr>
      <w:r>
        <w:rPr>
          <w:rFonts w:ascii="Verdana" w:hAnsi="Verdana"/>
          <w:sz w:val="20"/>
          <w:szCs w:val="20"/>
          <w:lang w:val="es-CR"/>
        </w:rPr>
        <w:t>86</w:t>
      </w:r>
      <w:r w:rsidR="00E87385" w:rsidRPr="00B320D4">
        <w:rPr>
          <w:rFonts w:ascii="Verdana" w:hAnsi="Verdana"/>
          <w:sz w:val="20"/>
          <w:szCs w:val="20"/>
          <w:lang w:val="es-CR"/>
        </w:rPr>
        <w:t xml:space="preserve">. </w:t>
      </w:r>
      <w:r w:rsidR="00E87385" w:rsidRPr="00B320D4">
        <w:rPr>
          <w:rFonts w:ascii="Verdana" w:hAnsi="Verdana"/>
          <w:sz w:val="20"/>
          <w:szCs w:val="20"/>
          <w:lang w:val="es-CR"/>
        </w:rPr>
        <w:tab/>
        <w:t xml:space="preserve">La presente Sentencia se erige como </w:t>
      </w:r>
      <w:r w:rsidR="00397F1E">
        <w:rPr>
          <w:rFonts w:ascii="Verdana" w:hAnsi="Verdana"/>
          <w:sz w:val="20"/>
          <w:szCs w:val="20"/>
          <w:lang w:val="es-CR"/>
        </w:rPr>
        <w:t xml:space="preserve">respuesta a </w:t>
      </w:r>
      <w:r w:rsidR="00E87385" w:rsidRPr="00B320D4">
        <w:rPr>
          <w:rFonts w:ascii="Verdana" w:hAnsi="Verdana"/>
          <w:sz w:val="20"/>
          <w:szCs w:val="20"/>
          <w:lang w:val="es-CR"/>
        </w:rPr>
        <w:t>una</w:t>
      </w:r>
      <w:r w:rsidR="001C05E8" w:rsidRPr="00B320D4">
        <w:rPr>
          <w:rFonts w:ascii="Verdana" w:hAnsi="Verdana"/>
          <w:sz w:val="20"/>
          <w:szCs w:val="20"/>
          <w:lang w:val="es-CR"/>
        </w:rPr>
        <w:t xml:space="preserve"> de las grandes deudas que tiene</w:t>
      </w:r>
      <w:r w:rsidR="00E87385" w:rsidRPr="00B320D4">
        <w:rPr>
          <w:rFonts w:ascii="Verdana" w:hAnsi="Verdana"/>
          <w:sz w:val="20"/>
          <w:szCs w:val="20"/>
          <w:lang w:val="es-CR"/>
        </w:rPr>
        <w:t xml:space="preserve"> la jurisprudencia interamericana en la materia indigena, en lo particular porque desarrolla y pone como eje central al </w:t>
      </w:r>
      <w:r w:rsidR="00227E83" w:rsidRPr="00B320D4">
        <w:rPr>
          <w:rFonts w:ascii="Verdana" w:hAnsi="Verdana"/>
          <w:sz w:val="20"/>
          <w:szCs w:val="20"/>
          <w:lang w:val="es-CR"/>
        </w:rPr>
        <w:t>“</w:t>
      </w:r>
      <w:r w:rsidR="00E87385" w:rsidRPr="00B320D4">
        <w:rPr>
          <w:rFonts w:ascii="Verdana" w:hAnsi="Verdana"/>
          <w:sz w:val="20"/>
          <w:szCs w:val="20"/>
          <w:lang w:val="es-CR"/>
        </w:rPr>
        <w:t>territorio</w:t>
      </w:r>
      <w:r w:rsidR="00227E83" w:rsidRPr="00B320D4">
        <w:rPr>
          <w:rFonts w:ascii="Verdana" w:hAnsi="Verdana"/>
          <w:sz w:val="20"/>
          <w:szCs w:val="20"/>
          <w:lang w:val="es-CR"/>
        </w:rPr>
        <w:t>”</w:t>
      </w:r>
      <w:r w:rsidR="00E87385" w:rsidRPr="00B320D4">
        <w:rPr>
          <w:rFonts w:ascii="Verdana" w:hAnsi="Verdana"/>
          <w:sz w:val="20"/>
          <w:szCs w:val="20"/>
          <w:lang w:val="es-CR"/>
        </w:rPr>
        <w:t xml:space="preserve"> como concepto que comprende no sólo la </w:t>
      </w:r>
      <w:r w:rsidR="00227E83" w:rsidRPr="00B320D4">
        <w:rPr>
          <w:rFonts w:ascii="Verdana" w:hAnsi="Verdana"/>
          <w:sz w:val="20"/>
          <w:szCs w:val="20"/>
          <w:lang w:val="es-CR"/>
        </w:rPr>
        <w:t>“</w:t>
      </w:r>
      <w:r w:rsidR="00E87385" w:rsidRPr="00B320D4">
        <w:rPr>
          <w:rFonts w:ascii="Verdana" w:hAnsi="Verdana"/>
          <w:sz w:val="20"/>
          <w:szCs w:val="20"/>
          <w:lang w:val="es-CR"/>
        </w:rPr>
        <w:t>tierra</w:t>
      </w:r>
      <w:r w:rsidR="00227E83" w:rsidRPr="00B320D4">
        <w:rPr>
          <w:rFonts w:ascii="Verdana" w:hAnsi="Verdana"/>
          <w:sz w:val="20"/>
          <w:szCs w:val="20"/>
          <w:lang w:val="es-CR"/>
        </w:rPr>
        <w:t>”</w:t>
      </w:r>
      <w:r w:rsidR="00E87385" w:rsidRPr="00B320D4">
        <w:rPr>
          <w:rFonts w:ascii="Verdana" w:hAnsi="Verdana"/>
          <w:sz w:val="20"/>
          <w:szCs w:val="20"/>
          <w:lang w:val="es-CR"/>
        </w:rPr>
        <w:t xml:space="preserve">, sino tambien otros elementos que fueron tutelados de manera </w:t>
      </w:r>
      <w:r w:rsidR="006A7E31">
        <w:rPr>
          <w:rFonts w:ascii="Verdana" w:hAnsi="Verdana"/>
          <w:sz w:val="20"/>
          <w:szCs w:val="20"/>
          <w:lang w:val="es-CR"/>
        </w:rPr>
        <w:t>autónoma,</w:t>
      </w:r>
      <w:r w:rsidR="00F04312" w:rsidRPr="00340041">
        <w:rPr>
          <w:rFonts w:ascii="Verdana" w:hAnsi="Verdana"/>
          <w:sz w:val="20"/>
          <w:szCs w:val="20"/>
          <w:lang w:val="es-CR"/>
        </w:rPr>
        <w:t xml:space="preserve"> en esta oportunidad</w:t>
      </w:r>
      <w:r w:rsidR="00F04312">
        <w:rPr>
          <w:rFonts w:ascii="Verdana" w:hAnsi="Verdana"/>
          <w:sz w:val="20"/>
          <w:szCs w:val="20"/>
          <w:lang w:val="es-CR"/>
        </w:rPr>
        <w:t xml:space="preserve"> </w:t>
      </w:r>
      <w:r w:rsidR="00E87385" w:rsidRPr="00F04312">
        <w:rPr>
          <w:rFonts w:ascii="Verdana" w:hAnsi="Verdana"/>
          <w:sz w:val="20"/>
          <w:szCs w:val="20"/>
          <w:lang w:val="es-CR"/>
        </w:rPr>
        <w:t>a trav</w:t>
      </w:r>
      <w:r w:rsidR="00F04312">
        <w:rPr>
          <w:rFonts w:ascii="Verdana" w:hAnsi="Verdana"/>
          <w:sz w:val="20"/>
          <w:szCs w:val="20"/>
          <w:lang w:val="es-CR"/>
        </w:rPr>
        <w:t>é</w:t>
      </w:r>
      <w:r w:rsidR="00E87385" w:rsidRPr="00F04312">
        <w:rPr>
          <w:rFonts w:ascii="Verdana" w:hAnsi="Verdana"/>
          <w:sz w:val="20"/>
          <w:szCs w:val="20"/>
          <w:lang w:val="es-CR"/>
        </w:rPr>
        <w:t>s del artículo 26</w:t>
      </w:r>
      <w:r w:rsidR="001C05E8" w:rsidRPr="00F04312">
        <w:rPr>
          <w:rFonts w:ascii="Verdana" w:hAnsi="Verdana"/>
          <w:sz w:val="20"/>
          <w:szCs w:val="20"/>
          <w:lang w:val="es-CR"/>
        </w:rPr>
        <w:t xml:space="preserve"> de la Convención Americana</w:t>
      </w:r>
      <w:r w:rsidR="00E87385" w:rsidRPr="00F04312">
        <w:rPr>
          <w:rFonts w:ascii="Verdana" w:hAnsi="Verdana"/>
          <w:sz w:val="20"/>
          <w:szCs w:val="20"/>
          <w:lang w:val="es-CR"/>
        </w:rPr>
        <w:t xml:space="preserve">. Este razonamiento permite que </w:t>
      </w:r>
      <w:r w:rsidR="00DA278C" w:rsidRPr="00F04312">
        <w:rPr>
          <w:rFonts w:ascii="Verdana" w:hAnsi="Verdana"/>
          <w:sz w:val="20"/>
          <w:szCs w:val="20"/>
          <w:lang w:val="es-CR"/>
        </w:rPr>
        <w:t>las comunidades y</w:t>
      </w:r>
      <w:r w:rsidR="00E87385" w:rsidRPr="00F04312">
        <w:rPr>
          <w:rFonts w:ascii="Verdana" w:hAnsi="Verdana"/>
          <w:sz w:val="20"/>
          <w:szCs w:val="20"/>
          <w:lang w:val="es-CR"/>
        </w:rPr>
        <w:t xml:space="preserve"> pueblos indigenas y tribales de la región encuentren en este precedente </w:t>
      </w:r>
      <w:r w:rsidR="001C05E8" w:rsidRPr="00F04312">
        <w:rPr>
          <w:rFonts w:ascii="Verdana" w:hAnsi="Verdana"/>
          <w:sz w:val="20"/>
          <w:szCs w:val="20"/>
          <w:lang w:val="es-CR"/>
        </w:rPr>
        <w:t xml:space="preserve">un mayor acceso a la justicia y </w:t>
      </w:r>
      <w:r w:rsidR="00E87385" w:rsidRPr="00F04312">
        <w:rPr>
          <w:rFonts w:ascii="Verdana" w:hAnsi="Verdana"/>
          <w:sz w:val="20"/>
          <w:szCs w:val="20"/>
          <w:lang w:val="es-CR"/>
        </w:rPr>
        <w:t xml:space="preserve">una </w:t>
      </w:r>
      <w:r w:rsidR="00DA278C" w:rsidRPr="00F04312">
        <w:rPr>
          <w:rFonts w:ascii="Verdana" w:hAnsi="Verdana"/>
          <w:sz w:val="20"/>
          <w:szCs w:val="20"/>
          <w:lang w:val="es-CR"/>
        </w:rPr>
        <w:t xml:space="preserve">visión holística en la </w:t>
      </w:r>
      <w:r w:rsidR="00E87385" w:rsidRPr="00F04312">
        <w:rPr>
          <w:rFonts w:ascii="Verdana" w:hAnsi="Verdana"/>
          <w:sz w:val="20"/>
          <w:szCs w:val="20"/>
          <w:lang w:val="es-CR"/>
        </w:rPr>
        <w:t>protección a sus derechos</w:t>
      </w:r>
      <w:r w:rsidR="00BC4B61" w:rsidRPr="00FF5F9A">
        <w:rPr>
          <w:rFonts w:ascii="Verdana" w:hAnsi="Verdana"/>
          <w:sz w:val="20"/>
          <w:szCs w:val="20"/>
          <w:lang w:val="es-CR"/>
        </w:rPr>
        <w:t xml:space="preserve">, </w:t>
      </w:r>
      <w:r w:rsidR="00957056">
        <w:rPr>
          <w:rFonts w:ascii="Verdana" w:hAnsi="Verdana"/>
          <w:sz w:val="20"/>
          <w:szCs w:val="20"/>
          <w:lang w:val="es-CR"/>
        </w:rPr>
        <w:t xml:space="preserve">lo que también debe verse </w:t>
      </w:r>
      <w:r w:rsidR="00A1438D">
        <w:rPr>
          <w:rFonts w:ascii="Verdana" w:hAnsi="Verdana"/>
          <w:sz w:val="20"/>
          <w:szCs w:val="20"/>
          <w:lang w:val="es-CR"/>
        </w:rPr>
        <w:t>en sinton</w:t>
      </w:r>
      <w:r w:rsidR="00A1536A">
        <w:rPr>
          <w:rFonts w:ascii="Verdana" w:hAnsi="Verdana"/>
          <w:sz w:val="20"/>
          <w:szCs w:val="20"/>
          <w:lang w:val="es-CR"/>
        </w:rPr>
        <w:t>ía con la</w:t>
      </w:r>
      <w:r w:rsidR="00BC4B61" w:rsidRPr="00FF5F9A">
        <w:rPr>
          <w:rFonts w:ascii="Verdana" w:hAnsi="Verdana"/>
          <w:sz w:val="20"/>
          <w:szCs w:val="20"/>
          <w:lang w:val="es-CR"/>
        </w:rPr>
        <w:t xml:space="preserve"> </w:t>
      </w:r>
      <w:r w:rsidR="00A1438D">
        <w:rPr>
          <w:rFonts w:ascii="Verdana" w:hAnsi="Verdana"/>
          <w:sz w:val="20"/>
          <w:szCs w:val="20"/>
          <w:lang w:val="es-CR"/>
        </w:rPr>
        <w:t>Agenda 2030 de la ONU</w:t>
      </w:r>
      <w:r w:rsidR="00EF21AB" w:rsidRPr="00FF5F9A">
        <w:rPr>
          <w:rStyle w:val="Refdenotaalpie"/>
          <w:rFonts w:ascii="Verdana" w:hAnsi="Verdana"/>
          <w:sz w:val="20"/>
          <w:lang w:val="es-CR"/>
        </w:rPr>
        <w:footnoteReference w:id="77"/>
      </w:r>
      <w:r w:rsidR="00A1438D">
        <w:rPr>
          <w:rFonts w:ascii="Verdana" w:hAnsi="Verdana"/>
          <w:sz w:val="20"/>
          <w:szCs w:val="20"/>
          <w:lang w:val="es-CR"/>
        </w:rPr>
        <w:t xml:space="preserve"> y sus Objetivos de Desarrollo Sostenible (ODS)</w:t>
      </w:r>
      <w:r w:rsidR="00EA198C" w:rsidRPr="00FF5F9A">
        <w:rPr>
          <w:rStyle w:val="Refdenotaalpie"/>
          <w:rFonts w:ascii="Verdana" w:hAnsi="Verdana"/>
          <w:sz w:val="20"/>
          <w:lang w:val="es-CR"/>
        </w:rPr>
        <w:footnoteReference w:id="78"/>
      </w:r>
      <w:r w:rsidR="00340041" w:rsidRPr="00FF5F9A">
        <w:rPr>
          <w:rFonts w:ascii="Verdana" w:hAnsi="Verdana"/>
          <w:sz w:val="20"/>
          <w:szCs w:val="20"/>
          <w:lang w:val="es-CR"/>
        </w:rPr>
        <w:t>.</w:t>
      </w:r>
      <w:r w:rsidR="00E87385" w:rsidRPr="00B320D4">
        <w:rPr>
          <w:rFonts w:ascii="Verdana" w:hAnsi="Verdana"/>
          <w:sz w:val="20"/>
          <w:szCs w:val="20"/>
          <w:lang w:val="es-CR"/>
        </w:rPr>
        <w:t xml:space="preserve"> </w:t>
      </w:r>
    </w:p>
    <w:p w14:paraId="0C043D8F" w14:textId="77777777" w:rsidR="00E87385" w:rsidRPr="00EE35BE" w:rsidRDefault="00E87385" w:rsidP="00267F70">
      <w:pPr>
        <w:pStyle w:val="Prrafodelista"/>
        <w:spacing w:line="240" w:lineRule="auto"/>
        <w:ind w:left="0"/>
        <w:jc w:val="both"/>
        <w:rPr>
          <w:rFonts w:ascii="Verdana" w:hAnsi="Verdana"/>
          <w:sz w:val="20"/>
          <w:szCs w:val="20"/>
        </w:rPr>
      </w:pPr>
    </w:p>
    <w:p w14:paraId="47CDCF02" w14:textId="64E262E7" w:rsidR="00E87385" w:rsidRDefault="00FB0638" w:rsidP="00F82E34">
      <w:pPr>
        <w:pStyle w:val="Prrafodelista"/>
        <w:spacing w:line="240" w:lineRule="auto"/>
        <w:ind w:left="0"/>
        <w:jc w:val="both"/>
        <w:rPr>
          <w:rFonts w:ascii="Verdana" w:hAnsi="Verdana"/>
          <w:sz w:val="20"/>
          <w:szCs w:val="20"/>
        </w:rPr>
      </w:pPr>
      <w:r>
        <w:rPr>
          <w:rFonts w:ascii="Verdana" w:hAnsi="Verdana"/>
          <w:sz w:val="20"/>
          <w:szCs w:val="20"/>
        </w:rPr>
        <w:t>87</w:t>
      </w:r>
      <w:r w:rsidR="00E87385" w:rsidRPr="00EE35BE">
        <w:rPr>
          <w:rFonts w:ascii="Verdana" w:hAnsi="Verdana"/>
          <w:sz w:val="20"/>
          <w:szCs w:val="20"/>
        </w:rPr>
        <w:t xml:space="preserve">. </w:t>
      </w:r>
      <w:r w:rsidR="00E87385" w:rsidRPr="00EE35BE">
        <w:rPr>
          <w:rFonts w:ascii="Verdana" w:hAnsi="Verdana"/>
          <w:sz w:val="20"/>
          <w:szCs w:val="20"/>
        </w:rPr>
        <w:tab/>
        <w:t xml:space="preserve">En suma, el caso </w:t>
      </w:r>
      <w:r w:rsidR="00E87385" w:rsidRPr="00EE35BE">
        <w:rPr>
          <w:rFonts w:ascii="Verdana" w:hAnsi="Verdana"/>
          <w:i/>
          <w:sz w:val="20"/>
          <w:szCs w:val="20"/>
        </w:rPr>
        <w:t xml:space="preserve">Lakha Honhat </w:t>
      </w:r>
      <w:r w:rsidR="00E87385" w:rsidRPr="00EE35BE">
        <w:rPr>
          <w:rFonts w:ascii="Verdana" w:hAnsi="Verdana"/>
          <w:sz w:val="20"/>
          <w:szCs w:val="20"/>
        </w:rPr>
        <w:t>es un elemento más en la consolidación de la línea jurisprudencial en materia de DESCA en el Sistema Interamericano y, en general, contribuye a una mayor claridad en el contenido de los derechos y en las obligaciones estatales para la protección de los derechos sociales en nuestra región.</w:t>
      </w:r>
      <w:r w:rsidR="00A1438D">
        <w:rPr>
          <w:rFonts w:ascii="Verdana" w:hAnsi="Verdana"/>
          <w:sz w:val="20"/>
          <w:szCs w:val="20"/>
        </w:rPr>
        <w:t xml:space="preserve"> </w:t>
      </w:r>
      <w:r w:rsidR="00E87385" w:rsidRPr="00EE35BE">
        <w:rPr>
          <w:rFonts w:ascii="Verdana" w:hAnsi="Verdana"/>
          <w:sz w:val="20"/>
          <w:szCs w:val="20"/>
        </w:rPr>
        <w:t>Se trata de una aproximación que ha adoptado la</w:t>
      </w:r>
      <w:r w:rsidR="00E87385" w:rsidRPr="0054037B">
        <w:rPr>
          <w:rFonts w:ascii="Verdana" w:hAnsi="Verdana"/>
          <w:sz w:val="20"/>
          <w:szCs w:val="20"/>
        </w:rPr>
        <w:t xml:space="preserve"> Corte IDH para</w:t>
      </w:r>
      <w:r w:rsidR="00B95C24" w:rsidRPr="0054037B">
        <w:rPr>
          <w:rFonts w:ascii="Verdana" w:hAnsi="Verdana"/>
          <w:sz w:val="20"/>
          <w:szCs w:val="20"/>
        </w:rPr>
        <w:t xml:space="preserve"> lograr que todos los derechos —</w:t>
      </w:r>
      <w:r w:rsidR="00E87385" w:rsidRPr="0054037B">
        <w:rPr>
          <w:rFonts w:ascii="Verdana" w:hAnsi="Verdana"/>
          <w:sz w:val="20"/>
          <w:szCs w:val="20"/>
        </w:rPr>
        <w:t>civiles, políticos, ec</w:t>
      </w:r>
      <w:r w:rsidR="00E87385" w:rsidRPr="00EE35BE">
        <w:rPr>
          <w:rFonts w:ascii="Verdana" w:hAnsi="Verdana"/>
          <w:sz w:val="20"/>
          <w:szCs w:val="20"/>
        </w:rPr>
        <w:t>onómicos, sociales, culturales y ambientales</w:t>
      </w:r>
      <w:r w:rsidR="00B95C24" w:rsidRPr="00EE35BE">
        <w:rPr>
          <w:rFonts w:ascii="Verdana" w:hAnsi="Verdana"/>
          <w:sz w:val="20"/>
          <w:szCs w:val="20"/>
        </w:rPr>
        <w:t>—</w:t>
      </w:r>
      <w:r w:rsidR="00E87385" w:rsidRPr="00EE35BE">
        <w:rPr>
          <w:rFonts w:ascii="Verdana" w:hAnsi="Verdana"/>
          <w:sz w:val="20"/>
          <w:szCs w:val="20"/>
        </w:rPr>
        <w:t xml:space="preserve"> sean vistos como tales, a la luz de la interdependencia e indivisibilidad de los</w:t>
      </w:r>
      <w:r w:rsidR="006236FE">
        <w:rPr>
          <w:rFonts w:ascii="Verdana" w:hAnsi="Verdana"/>
          <w:sz w:val="20"/>
          <w:szCs w:val="20"/>
        </w:rPr>
        <w:t xml:space="preserve"> </w:t>
      </w:r>
      <w:r w:rsidR="00E87385" w:rsidRPr="00EE35BE">
        <w:rPr>
          <w:rFonts w:ascii="Verdana" w:hAnsi="Verdana"/>
          <w:sz w:val="20"/>
          <w:szCs w:val="20"/>
        </w:rPr>
        <w:t>mismos, sin jerarquía entre sí, y para que los Estado</w:t>
      </w:r>
      <w:r w:rsidR="00397F1E">
        <w:rPr>
          <w:rFonts w:ascii="Verdana" w:hAnsi="Verdana"/>
          <w:sz w:val="20"/>
          <w:szCs w:val="20"/>
        </w:rPr>
        <w:t>s</w:t>
      </w:r>
      <w:r w:rsidR="00E87385" w:rsidRPr="00EE35BE">
        <w:rPr>
          <w:rFonts w:ascii="Verdana" w:hAnsi="Verdana"/>
          <w:sz w:val="20"/>
          <w:szCs w:val="20"/>
        </w:rPr>
        <w:t xml:space="preserve"> cumplan y materialicen </w:t>
      </w:r>
      <w:r w:rsidR="00DA278C" w:rsidRPr="00EE35BE">
        <w:rPr>
          <w:rFonts w:ascii="Verdana" w:hAnsi="Verdana"/>
          <w:sz w:val="20"/>
          <w:szCs w:val="20"/>
        </w:rPr>
        <w:t xml:space="preserve">de mejor forma </w:t>
      </w:r>
      <w:r w:rsidR="00E87385" w:rsidRPr="00EE35BE">
        <w:rPr>
          <w:rFonts w:ascii="Verdana" w:hAnsi="Verdana"/>
          <w:sz w:val="20"/>
          <w:szCs w:val="20"/>
        </w:rPr>
        <w:t xml:space="preserve">sus obligaciones de respeto y </w:t>
      </w:r>
      <w:r w:rsidR="00E87385" w:rsidRPr="00B320D4">
        <w:rPr>
          <w:rFonts w:ascii="Verdana" w:hAnsi="Verdana"/>
          <w:sz w:val="20"/>
          <w:szCs w:val="20"/>
        </w:rPr>
        <w:t>garantía</w:t>
      </w:r>
      <w:r w:rsidR="00DA278C" w:rsidRPr="00B320D4">
        <w:rPr>
          <w:rFonts w:ascii="Verdana" w:hAnsi="Verdana"/>
          <w:sz w:val="20"/>
          <w:szCs w:val="20"/>
        </w:rPr>
        <w:t xml:space="preserve"> </w:t>
      </w:r>
      <w:r w:rsidR="00397F1E">
        <w:rPr>
          <w:rFonts w:ascii="Verdana" w:hAnsi="Verdana"/>
          <w:sz w:val="20"/>
          <w:szCs w:val="20"/>
        </w:rPr>
        <w:t>a</w:t>
      </w:r>
      <w:r w:rsidR="00D34759" w:rsidRPr="00B320D4">
        <w:rPr>
          <w:rFonts w:ascii="Verdana" w:hAnsi="Verdana"/>
          <w:sz w:val="20"/>
          <w:szCs w:val="20"/>
        </w:rPr>
        <w:t xml:space="preserve"> los derechos humanos. Lo anterior</w:t>
      </w:r>
      <w:r w:rsidR="00E87385" w:rsidRPr="00B320D4">
        <w:rPr>
          <w:rFonts w:ascii="Verdana" w:hAnsi="Verdana"/>
          <w:sz w:val="20"/>
          <w:szCs w:val="20"/>
        </w:rPr>
        <w:t xml:space="preserve"> </w:t>
      </w:r>
      <w:r w:rsidR="00B95C24" w:rsidRPr="00B320D4">
        <w:rPr>
          <w:rFonts w:ascii="Verdana" w:hAnsi="Verdana"/>
          <w:sz w:val="20"/>
          <w:szCs w:val="20"/>
        </w:rPr>
        <w:t xml:space="preserve">resulta </w:t>
      </w:r>
      <w:r w:rsidR="00E87385" w:rsidRPr="00B320D4">
        <w:rPr>
          <w:rFonts w:ascii="Verdana" w:hAnsi="Verdana"/>
          <w:sz w:val="20"/>
          <w:szCs w:val="20"/>
        </w:rPr>
        <w:t xml:space="preserve">especialmente importante para </w:t>
      </w:r>
      <w:r w:rsidR="00500C59" w:rsidRPr="00B320D4">
        <w:rPr>
          <w:rFonts w:ascii="Verdana" w:hAnsi="Verdana"/>
          <w:sz w:val="20"/>
          <w:szCs w:val="20"/>
        </w:rPr>
        <w:t>ciertos grupos</w:t>
      </w:r>
      <w:r w:rsidR="0068624C" w:rsidRPr="00B320D4">
        <w:rPr>
          <w:rFonts w:ascii="Verdana" w:hAnsi="Verdana"/>
          <w:sz w:val="20"/>
          <w:szCs w:val="20"/>
        </w:rPr>
        <w:t xml:space="preserve"> en situación de vulnerabilidad en la región</w:t>
      </w:r>
      <w:r w:rsidR="00500C59" w:rsidRPr="007E1845">
        <w:rPr>
          <w:rFonts w:ascii="Verdana" w:hAnsi="Verdana"/>
          <w:sz w:val="20"/>
          <w:szCs w:val="20"/>
        </w:rPr>
        <w:t>, como la</w:t>
      </w:r>
      <w:r w:rsidR="00E87385" w:rsidRPr="00914E2E">
        <w:rPr>
          <w:rFonts w:ascii="Verdana" w:hAnsi="Verdana"/>
          <w:sz w:val="20"/>
          <w:szCs w:val="20"/>
        </w:rPr>
        <w:t xml:space="preserve">s </w:t>
      </w:r>
      <w:r w:rsidR="00500C59" w:rsidRPr="00F820A3">
        <w:rPr>
          <w:rFonts w:ascii="Verdana" w:hAnsi="Verdana"/>
          <w:sz w:val="20"/>
          <w:szCs w:val="20"/>
        </w:rPr>
        <w:t xml:space="preserve">comunidades y </w:t>
      </w:r>
      <w:r w:rsidR="00E87385" w:rsidRPr="0054037B">
        <w:rPr>
          <w:rFonts w:ascii="Verdana" w:hAnsi="Verdana"/>
          <w:sz w:val="20"/>
          <w:szCs w:val="20"/>
        </w:rPr>
        <w:t>pueblos indígenas</w:t>
      </w:r>
      <w:r w:rsidR="006D7B46" w:rsidRPr="0054037B">
        <w:rPr>
          <w:rFonts w:ascii="Verdana" w:hAnsi="Verdana"/>
          <w:sz w:val="20"/>
          <w:szCs w:val="20"/>
        </w:rPr>
        <w:t xml:space="preserve"> y tribales</w:t>
      </w:r>
      <w:r w:rsidR="004D554D">
        <w:rPr>
          <w:rFonts w:ascii="Verdana" w:hAnsi="Verdana"/>
          <w:sz w:val="20"/>
          <w:szCs w:val="20"/>
        </w:rPr>
        <w:t xml:space="preserve"> (</w:t>
      </w:r>
      <w:r w:rsidR="00F26EA5">
        <w:rPr>
          <w:rFonts w:ascii="Verdana" w:hAnsi="Verdana"/>
          <w:sz w:val="20"/>
          <w:szCs w:val="20"/>
        </w:rPr>
        <w:t xml:space="preserve">que </w:t>
      </w:r>
      <w:r w:rsidR="00DE46B9">
        <w:rPr>
          <w:rFonts w:ascii="Verdana" w:hAnsi="Verdana"/>
          <w:sz w:val="20"/>
          <w:szCs w:val="20"/>
        </w:rPr>
        <w:t>siguen siendo “los más pobres entre los pobres”</w:t>
      </w:r>
      <w:r w:rsidR="00DE4F88" w:rsidRPr="007E1845">
        <w:rPr>
          <w:rStyle w:val="Refdenotaalpie"/>
          <w:rFonts w:ascii="Verdana" w:hAnsi="Verdana"/>
          <w:sz w:val="20"/>
        </w:rPr>
        <w:footnoteReference w:id="79"/>
      </w:r>
      <w:r w:rsidR="004D554D">
        <w:rPr>
          <w:rFonts w:ascii="Verdana" w:hAnsi="Verdana"/>
          <w:sz w:val="20"/>
          <w:szCs w:val="20"/>
        </w:rPr>
        <w:t>),</w:t>
      </w:r>
      <w:r w:rsidR="00DE4F88">
        <w:rPr>
          <w:rFonts w:ascii="Verdana" w:hAnsi="Verdana"/>
          <w:sz w:val="20"/>
          <w:szCs w:val="20"/>
        </w:rPr>
        <w:t xml:space="preserve"> </w:t>
      </w:r>
      <w:r w:rsidR="004D554D">
        <w:rPr>
          <w:rFonts w:ascii="Verdana" w:hAnsi="Verdana"/>
          <w:sz w:val="20"/>
          <w:szCs w:val="20"/>
        </w:rPr>
        <w:t>sufriendo “</w:t>
      </w:r>
      <w:r w:rsidR="00F26EA5">
        <w:rPr>
          <w:rFonts w:ascii="Verdana" w:hAnsi="Verdana"/>
          <w:sz w:val="20"/>
          <w:szCs w:val="20"/>
        </w:rPr>
        <w:t>injusticias históricas</w:t>
      </w:r>
      <w:r w:rsidR="004D554D">
        <w:rPr>
          <w:rFonts w:ascii="Verdana" w:hAnsi="Verdana"/>
          <w:sz w:val="20"/>
          <w:szCs w:val="20"/>
        </w:rPr>
        <w:t>”</w:t>
      </w:r>
      <w:r w:rsidR="00F26EA5" w:rsidRPr="007E1845">
        <w:rPr>
          <w:rStyle w:val="Refdenotaalpie"/>
          <w:rFonts w:ascii="Verdana" w:hAnsi="Verdana"/>
          <w:sz w:val="20"/>
        </w:rPr>
        <w:footnoteReference w:id="80"/>
      </w:r>
      <w:r w:rsidR="005D6691">
        <w:rPr>
          <w:rFonts w:ascii="Verdana" w:hAnsi="Verdana"/>
          <w:sz w:val="20"/>
          <w:szCs w:val="20"/>
        </w:rPr>
        <w:t>,</w:t>
      </w:r>
      <w:r w:rsidR="00F26EA5">
        <w:rPr>
          <w:rFonts w:ascii="Verdana" w:hAnsi="Verdana"/>
          <w:sz w:val="20"/>
          <w:szCs w:val="20"/>
        </w:rPr>
        <w:t xml:space="preserve"> y </w:t>
      </w:r>
      <w:r w:rsidR="00E87385" w:rsidRPr="0054037B">
        <w:rPr>
          <w:rFonts w:ascii="Verdana" w:hAnsi="Verdana"/>
          <w:sz w:val="20"/>
          <w:szCs w:val="20"/>
        </w:rPr>
        <w:t xml:space="preserve">que no solo dependen físicamente de los recursos que se encuentran en su territorio, sino que también tienen una simbiosis espiritual con los mismos.   </w:t>
      </w:r>
    </w:p>
    <w:p w14:paraId="33016CC2" w14:textId="77777777" w:rsidR="00F82E34" w:rsidRDefault="00F82E34" w:rsidP="00F82E34">
      <w:pPr>
        <w:pStyle w:val="Prrafodelista"/>
        <w:spacing w:line="240" w:lineRule="auto"/>
        <w:ind w:left="0"/>
        <w:jc w:val="both"/>
        <w:rPr>
          <w:rFonts w:ascii="Verdana" w:hAnsi="Verdana"/>
          <w:sz w:val="20"/>
          <w:szCs w:val="20"/>
        </w:rPr>
      </w:pPr>
    </w:p>
    <w:p w14:paraId="6FCDF491" w14:textId="77777777" w:rsidR="00FF5F9A" w:rsidRPr="00EE35BE" w:rsidRDefault="00FF5F9A" w:rsidP="00267F70">
      <w:pPr>
        <w:rPr>
          <w:rFonts w:ascii="Verdana" w:hAnsi="Verdana"/>
          <w:sz w:val="20"/>
          <w:szCs w:val="20"/>
        </w:rPr>
      </w:pPr>
    </w:p>
    <w:p w14:paraId="3D8B6DA6" w14:textId="77777777" w:rsidR="00E87385" w:rsidRPr="00EE35BE" w:rsidRDefault="00E87385" w:rsidP="00267F70">
      <w:pPr>
        <w:tabs>
          <w:tab w:val="left" w:pos="709"/>
          <w:tab w:val="left" w:pos="9356"/>
        </w:tabs>
        <w:ind w:left="5041"/>
        <w:jc w:val="center"/>
        <w:rPr>
          <w:rFonts w:ascii="Verdana" w:hAnsi="Verdana"/>
          <w:sz w:val="20"/>
          <w:szCs w:val="20"/>
          <w:lang w:val="pt-BR"/>
        </w:rPr>
      </w:pPr>
      <w:r w:rsidRPr="00EE35BE">
        <w:rPr>
          <w:rFonts w:ascii="Verdana" w:hAnsi="Verdana"/>
          <w:sz w:val="20"/>
          <w:szCs w:val="20"/>
          <w:lang w:val="pt-BR"/>
        </w:rPr>
        <w:t>Eduardo Ferrer Mac-Gregor Poisot</w:t>
      </w:r>
    </w:p>
    <w:p w14:paraId="53C153D2" w14:textId="2C22BFAE" w:rsidR="00642D42" w:rsidRPr="00EE35BE" w:rsidRDefault="00E87385" w:rsidP="00267F70">
      <w:pPr>
        <w:tabs>
          <w:tab w:val="left" w:pos="709"/>
          <w:tab w:val="left" w:pos="9356"/>
        </w:tabs>
        <w:ind w:left="5041"/>
        <w:jc w:val="center"/>
        <w:rPr>
          <w:rFonts w:ascii="Verdana" w:hAnsi="Verdana"/>
          <w:i/>
          <w:sz w:val="20"/>
          <w:szCs w:val="20"/>
          <w:lang w:val="pt-BR"/>
        </w:rPr>
      </w:pPr>
      <w:r w:rsidRPr="00EE35BE">
        <w:rPr>
          <w:rFonts w:ascii="Verdana" w:hAnsi="Verdana"/>
          <w:sz w:val="20"/>
          <w:szCs w:val="20"/>
          <w:lang w:val="pt-BR"/>
        </w:rPr>
        <w:t>Juez</w:t>
      </w:r>
    </w:p>
    <w:p w14:paraId="0E7536DB" w14:textId="77777777" w:rsidR="00642D42" w:rsidRDefault="00642D42" w:rsidP="00267F70">
      <w:pPr>
        <w:tabs>
          <w:tab w:val="left" w:pos="709"/>
          <w:tab w:val="left" w:pos="9356"/>
        </w:tabs>
        <w:rPr>
          <w:rFonts w:ascii="Verdana" w:hAnsi="Verdana"/>
          <w:i/>
          <w:sz w:val="20"/>
          <w:szCs w:val="20"/>
          <w:lang w:val="pt-BR"/>
        </w:rPr>
      </w:pPr>
    </w:p>
    <w:p w14:paraId="046A3D50" w14:textId="77777777" w:rsidR="00FF5F9A" w:rsidRDefault="00FF5F9A" w:rsidP="00267F70">
      <w:pPr>
        <w:tabs>
          <w:tab w:val="left" w:pos="709"/>
          <w:tab w:val="left" w:pos="9356"/>
        </w:tabs>
        <w:rPr>
          <w:rFonts w:ascii="Verdana" w:hAnsi="Verdana"/>
          <w:i/>
          <w:sz w:val="20"/>
          <w:szCs w:val="20"/>
          <w:lang w:val="pt-BR"/>
        </w:rPr>
      </w:pPr>
    </w:p>
    <w:p w14:paraId="2D5F104F" w14:textId="77777777" w:rsidR="00F82E34" w:rsidRDefault="00F82E34" w:rsidP="00267F70">
      <w:pPr>
        <w:tabs>
          <w:tab w:val="left" w:pos="709"/>
          <w:tab w:val="left" w:pos="9356"/>
        </w:tabs>
        <w:rPr>
          <w:rFonts w:ascii="Verdana" w:hAnsi="Verdana"/>
          <w:i/>
          <w:sz w:val="20"/>
          <w:szCs w:val="20"/>
          <w:lang w:val="pt-BR"/>
        </w:rPr>
      </w:pPr>
    </w:p>
    <w:p w14:paraId="02491A10" w14:textId="77777777" w:rsidR="006656DF" w:rsidRPr="00B320D4" w:rsidRDefault="006656DF" w:rsidP="00267F70">
      <w:pPr>
        <w:tabs>
          <w:tab w:val="left" w:pos="709"/>
          <w:tab w:val="left" w:pos="9356"/>
        </w:tabs>
        <w:rPr>
          <w:rFonts w:ascii="Verdana" w:hAnsi="Verdana"/>
          <w:i/>
          <w:sz w:val="20"/>
          <w:szCs w:val="20"/>
          <w:lang w:val="pt-BR"/>
        </w:rPr>
      </w:pPr>
    </w:p>
    <w:p w14:paraId="5545A0BF" w14:textId="77777777" w:rsidR="00E87385" w:rsidRPr="00B320D4" w:rsidRDefault="00E87385" w:rsidP="00267F70">
      <w:pPr>
        <w:tabs>
          <w:tab w:val="left" w:pos="709"/>
          <w:tab w:val="left" w:pos="9356"/>
        </w:tabs>
        <w:jc w:val="both"/>
        <w:rPr>
          <w:rFonts w:ascii="Verdana" w:hAnsi="Verdana" w:cs="Verdana"/>
          <w:sz w:val="20"/>
          <w:szCs w:val="20"/>
        </w:rPr>
      </w:pPr>
      <w:r w:rsidRPr="00B320D4">
        <w:rPr>
          <w:rFonts w:ascii="Verdana" w:hAnsi="Verdana" w:cs="Verdana"/>
          <w:sz w:val="20"/>
          <w:szCs w:val="20"/>
        </w:rPr>
        <w:t>Pablo Saavedra Alessandri</w:t>
      </w:r>
    </w:p>
    <w:p w14:paraId="54D9DE60" w14:textId="1605190A" w:rsidR="00E87385" w:rsidRPr="00B320D4" w:rsidRDefault="00E87385" w:rsidP="00267F70">
      <w:pPr>
        <w:tabs>
          <w:tab w:val="left" w:pos="709"/>
          <w:tab w:val="left" w:pos="9356"/>
        </w:tabs>
        <w:rPr>
          <w:rFonts w:ascii="Verdana" w:hAnsi="Verdana"/>
          <w:b/>
          <w:sz w:val="20"/>
          <w:szCs w:val="20"/>
        </w:rPr>
      </w:pPr>
      <w:r w:rsidRPr="00B320D4">
        <w:rPr>
          <w:rFonts w:ascii="Verdana" w:hAnsi="Verdana" w:cs="Verdana"/>
          <w:sz w:val="20"/>
          <w:szCs w:val="20"/>
        </w:rPr>
        <w:tab/>
        <w:t>Secretario</w:t>
      </w:r>
    </w:p>
    <w:sectPr w:rsidR="00E87385" w:rsidRPr="00B320D4" w:rsidSect="00570C96">
      <w:footerReference w:type="even" r:id="rId8"/>
      <w:footerReference w:type="default" r:id="rId9"/>
      <w:pgSz w:w="12240" w:h="15840"/>
      <w:pgMar w:top="1418" w:right="2033"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E2978E" w14:textId="77777777" w:rsidR="003D3DB7" w:rsidRDefault="003D3DB7" w:rsidP="00580E12">
      <w:r>
        <w:separator/>
      </w:r>
    </w:p>
  </w:endnote>
  <w:endnote w:type="continuationSeparator" w:id="0">
    <w:p w14:paraId="32FD0E8B" w14:textId="77777777" w:rsidR="003D3DB7" w:rsidRDefault="003D3DB7" w:rsidP="00580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auto"/>
    <w:pitch w:val="variable"/>
    <w:sig w:usb0="00000003" w:usb1="00000000" w:usb2="00000000" w:usb3="00000000" w:csb0="00000001" w:csb1="00000000"/>
  </w:font>
  <w:font w:name="Palatino-Italic">
    <w:altName w:val="Segoe UI Historic"/>
    <w:charset w:val="00"/>
    <w:family w:val="auto"/>
    <w:pitch w:val="variable"/>
    <w:sig w:usb0="00000001"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919943633"/>
      <w:docPartObj>
        <w:docPartGallery w:val="Page Numbers (Bottom of Page)"/>
        <w:docPartUnique/>
      </w:docPartObj>
    </w:sdtPr>
    <w:sdtEndPr>
      <w:rPr>
        <w:rStyle w:val="Nmerodepgina"/>
      </w:rPr>
    </w:sdtEndPr>
    <w:sdtContent>
      <w:p w14:paraId="16204695" w14:textId="77777777" w:rsidR="002275C3" w:rsidRDefault="002275C3" w:rsidP="00570C96">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F408171" w14:textId="77777777" w:rsidR="002275C3" w:rsidRDefault="002275C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821224266"/>
      <w:docPartObj>
        <w:docPartGallery w:val="Page Numbers (Bottom of Page)"/>
        <w:docPartUnique/>
      </w:docPartObj>
    </w:sdtPr>
    <w:sdtEndPr>
      <w:rPr>
        <w:rStyle w:val="Nmerodepgina"/>
        <w:sz w:val="20"/>
        <w:szCs w:val="20"/>
      </w:rPr>
    </w:sdtEndPr>
    <w:sdtContent>
      <w:p w14:paraId="1B5EAD4D" w14:textId="77777777" w:rsidR="002275C3" w:rsidRDefault="002275C3" w:rsidP="00570C96">
        <w:pPr>
          <w:pStyle w:val="Piedepgina"/>
          <w:framePr w:wrap="none" w:vAnchor="text" w:hAnchor="margin" w:xAlign="center" w:y="1"/>
          <w:rPr>
            <w:rStyle w:val="Nmerodepgina"/>
          </w:rPr>
        </w:pPr>
        <w:r w:rsidRPr="001F6A51">
          <w:rPr>
            <w:rStyle w:val="Nmerodepgina"/>
            <w:rFonts w:ascii="Verdana" w:hAnsi="Verdana"/>
            <w:sz w:val="16"/>
            <w:szCs w:val="16"/>
          </w:rPr>
          <w:fldChar w:fldCharType="begin"/>
        </w:r>
        <w:r w:rsidRPr="001F6A51">
          <w:rPr>
            <w:rStyle w:val="Nmerodepgina"/>
            <w:rFonts w:ascii="Verdana" w:hAnsi="Verdana"/>
            <w:sz w:val="16"/>
            <w:szCs w:val="16"/>
          </w:rPr>
          <w:instrText xml:space="preserve"> PAGE </w:instrText>
        </w:r>
        <w:r w:rsidRPr="001F6A51">
          <w:rPr>
            <w:rStyle w:val="Nmerodepgina"/>
            <w:rFonts w:ascii="Verdana" w:hAnsi="Verdana"/>
            <w:sz w:val="16"/>
            <w:szCs w:val="16"/>
          </w:rPr>
          <w:fldChar w:fldCharType="separate"/>
        </w:r>
        <w:r w:rsidR="001F742D">
          <w:rPr>
            <w:rStyle w:val="Nmerodepgina"/>
            <w:rFonts w:ascii="Verdana" w:hAnsi="Verdana"/>
            <w:noProof/>
            <w:sz w:val="16"/>
            <w:szCs w:val="16"/>
          </w:rPr>
          <w:t>25</w:t>
        </w:r>
        <w:r w:rsidRPr="001F6A51">
          <w:rPr>
            <w:rStyle w:val="Nmerodepgina"/>
            <w:rFonts w:ascii="Verdana" w:hAnsi="Verdana"/>
            <w:sz w:val="16"/>
            <w:szCs w:val="16"/>
          </w:rPr>
          <w:fldChar w:fldCharType="end"/>
        </w:r>
      </w:p>
    </w:sdtContent>
  </w:sdt>
  <w:p w14:paraId="1A2B1FAB" w14:textId="77777777" w:rsidR="002275C3" w:rsidRDefault="002275C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6C379" w14:textId="77777777" w:rsidR="003D3DB7" w:rsidRDefault="003D3DB7" w:rsidP="00580E12">
      <w:r>
        <w:separator/>
      </w:r>
    </w:p>
  </w:footnote>
  <w:footnote w:type="continuationSeparator" w:id="0">
    <w:p w14:paraId="0917EF14" w14:textId="77777777" w:rsidR="003D3DB7" w:rsidRDefault="003D3DB7" w:rsidP="00580E12">
      <w:r>
        <w:continuationSeparator/>
      </w:r>
    </w:p>
  </w:footnote>
  <w:footnote w:id="1">
    <w:p w14:paraId="1FB76DAE" w14:textId="60AD6417" w:rsidR="002275C3" w:rsidRPr="004221EC" w:rsidRDefault="002275C3" w:rsidP="00685548">
      <w:pPr>
        <w:pStyle w:val="Textonotapie"/>
        <w:tabs>
          <w:tab w:val="left" w:pos="142"/>
          <w:tab w:val="left" w:pos="709"/>
          <w:tab w:val="left" w:pos="1182"/>
        </w:tabs>
        <w:spacing w:after="120"/>
        <w:rPr>
          <w:rFonts w:cs="Arial"/>
          <w:sz w:val="16"/>
          <w:szCs w:val="16"/>
          <w:lang w:val="es-ES"/>
        </w:rPr>
      </w:pPr>
      <w:r w:rsidRPr="004221EC">
        <w:rPr>
          <w:rStyle w:val="Refdenotaalpie"/>
          <w:rFonts w:cs="Arial"/>
          <w:sz w:val="16"/>
          <w:szCs w:val="16"/>
          <w:lang w:val="es-ES"/>
        </w:rPr>
        <w:footnoteRef/>
      </w:r>
      <w:r w:rsidRPr="004221EC">
        <w:rPr>
          <w:rFonts w:cs="Arial"/>
          <w:sz w:val="16"/>
          <w:szCs w:val="16"/>
          <w:lang w:val="es-ES"/>
        </w:rPr>
        <w:t xml:space="preserve"> </w:t>
      </w:r>
      <w:r>
        <w:rPr>
          <w:rFonts w:cs="Arial"/>
          <w:sz w:val="16"/>
          <w:szCs w:val="16"/>
          <w:lang w:val="es-ES"/>
        </w:rPr>
        <w:tab/>
      </w:r>
      <w:r>
        <w:rPr>
          <w:rFonts w:cs="Arial"/>
          <w:sz w:val="16"/>
          <w:szCs w:val="16"/>
          <w:lang w:val="es-ES"/>
        </w:rPr>
        <w:tab/>
      </w:r>
      <w:r w:rsidRPr="006C2C57">
        <w:rPr>
          <w:rFonts w:cs="Arial"/>
          <w:i/>
          <w:sz w:val="16"/>
          <w:szCs w:val="16"/>
          <w:lang w:val="es-ES"/>
        </w:rPr>
        <w:t>Caso</w:t>
      </w:r>
      <w:r>
        <w:rPr>
          <w:rFonts w:cs="Arial"/>
          <w:i/>
          <w:sz w:val="16"/>
          <w:szCs w:val="16"/>
          <w:lang w:val="es-ES"/>
        </w:rPr>
        <w:t xml:space="preserve"> de la Comunidad</w:t>
      </w:r>
      <w:r>
        <w:rPr>
          <w:rFonts w:cs="Arial"/>
          <w:sz w:val="16"/>
          <w:szCs w:val="16"/>
          <w:lang w:val="es-ES"/>
        </w:rPr>
        <w:t xml:space="preserve"> </w:t>
      </w:r>
      <w:r w:rsidRPr="004221EC">
        <w:rPr>
          <w:rFonts w:cs="Arial"/>
          <w:i/>
          <w:iCs/>
          <w:sz w:val="16"/>
          <w:szCs w:val="16"/>
          <w:lang w:val="es-ES"/>
        </w:rPr>
        <w:t>Mayagna (Sumo) Awas Tigni Vs Nicaragua</w:t>
      </w:r>
      <w:r>
        <w:rPr>
          <w:rFonts w:cs="Arial"/>
          <w:i/>
          <w:iCs/>
          <w:sz w:val="16"/>
          <w:szCs w:val="16"/>
          <w:lang w:val="es-ES"/>
        </w:rPr>
        <w:t xml:space="preserve">. Fondo, Reparaciones y Costas. </w:t>
      </w:r>
      <w:r>
        <w:rPr>
          <w:rFonts w:cs="Arial"/>
          <w:iCs/>
          <w:sz w:val="16"/>
          <w:szCs w:val="16"/>
          <w:lang w:val="es-ES"/>
        </w:rPr>
        <w:t>Sentencia de 31 de agosto de 2001</w:t>
      </w:r>
      <w:r>
        <w:rPr>
          <w:rFonts w:cs="Arial"/>
          <w:sz w:val="16"/>
          <w:szCs w:val="16"/>
          <w:lang w:val="es-ES"/>
        </w:rPr>
        <w:t xml:space="preserve">. Serie C No. 71. Previamente se decidieron las </w:t>
      </w:r>
      <w:r>
        <w:rPr>
          <w:rFonts w:cs="Arial"/>
          <w:i/>
          <w:sz w:val="16"/>
          <w:szCs w:val="16"/>
          <w:lang w:val="es-ES"/>
        </w:rPr>
        <w:t xml:space="preserve">Excepciones Preliminares, </w:t>
      </w:r>
      <w:r>
        <w:rPr>
          <w:rFonts w:cs="Arial"/>
          <w:sz w:val="16"/>
          <w:szCs w:val="16"/>
          <w:lang w:val="es-ES"/>
        </w:rPr>
        <w:t>Sentencia de 1 de febrero de 2000.</w:t>
      </w:r>
    </w:p>
  </w:footnote>
  <w:footnote w:id="2">
    <w:p w14:paraId="62AE0217" w14:textId="2FD8CB87" w:rsidR="002275C3" w:rsidRDefault="002275C3" w:rsidP="00685548">
      <w:pPr>
        <w:spacing w:after="120"/>
        <w:jc w:val="both"/>
      </w:pPr>
      <w:r w:rsidRPr="00C52A73">
        <w:rPr>
          <w:rStyle w:val="Refdenotaalpie"/>
          <w:rFonts w:ascii="Verdana" w:hAnsi="Verdana" w:cs="Arial"/>
          <w:sz w:val="16"/>
          <w:szCs w:val="16"/>
          <w:lang w:val="es-ES"/>
        </w:rPr>
        <w:footnoteRef/>
      </w:r>
      <w:r w:rsidRPr="00C52A73">
        <w:rPr>
          <w:rFonts w:ascii="Verdana" w:hAnsi="Verdana" w:cs="Arial"/>
          <w:sz w:val="16"/>
          <w:szCs w:val="16"/>
          <w:lang w:val="es-ES"/>
        </w:rPr>
        <w:t xml:space="preserve">  </w:t>
      </w:r>
      <w:r>
        <w:rPr>
          <w:rFonts w:ascii="Verdana" w:hAnsi="Verdana" w:cs="Arial"/>
          <w:sz w:val="16"/>
          <w:szCs w:val="16"/>
          <w:lang w:val="es-ES"/>
        </w:rPr>
        <w:tab/>
      </w:r>
      <w:r w:rsidRPr="00C52A73">
        <w:rPr>
          <w:rFonts w:ascii="Verdana" w:hAnsi="Verdana" w:cs="Arial"/>
          <w:sz w:val="16"/>
          <w:szCs w:val="16"/>
          <w:lang w:val="es-ES"/>
        </w:rPr>
        <w:t xml:space="preserve">La Corte </w:t>
      </w:r>
      <w:r>
        <w:rPr>
          <w:rFonts w:ascii="Verdana" w:hAnsi="Verdana" w:cs="Arial"/>
          <w:sz w:val="16"/>
          <w:szCs w:val="16"/>
          <w:lang w:val="es-ES"/>
        </w:rPr>
        <w:t>IDH tiene</w:t>
      </w:r>
      <w:r w:rsidRPr="00C52A73">
        <w:rPr>
          <w:rFonts w:ascii="Verdana" w:hAnsi="Verdana" w:cs="Arial"/>
          <w:sz w:val="16"/>
          <w:szCs w:val="16"/>
          <w:lang w:val="es-ES"/>
        </w:rPr>
        <w:t xml:space="preserve"> una amplia jurisprudencia sobre los derechos de los pueblos</w:t>
      </w:r>
      <w:r>
        <w:rPr>
          <w:rFonts w:ascii="Verdana" w:hAnsi="Verdana" w:cs="Arial"/>
          <w:sz w:val="16"/>
          <w:szCs w:val="16"/>
          <w:lang w:val="es-ES"/>
        </w:rPr>
        <w:t xml:space="preserve"> y comunidades</w:t>
      </w:r>
      <w:r w:rsidRPr="00C52A73">
        <w:rPr>
          <w:rFonts w:ascii="Verdana" w:hAnsi="Verdana" w:cs="Arial"/>
          <w:sz w:val="16"/>
          <w:szCs w:val="16"/>
          <w:lang w:val="es-ES"/>
        </w:rPr>
        <w:t xml:space="preserve"> indígenas y </w:t>
      </w:r>
      <w:r>
        <w:rPr>
          <w:rFonts w:ascii="Verdana" w:hAnsi="Verdana" w:cs="Arial"/>
          <w:sz w:val="16"/>
          <w:szCs w:val="16"/>
          <w:lang w:val="es-ES"/>
        </w:rPr>
        <w:t xml:space="preserve">tribales, con respecto a </w:t>
      </w:r>
      <w:r w:rsidRPr="00C52A73">
        <w:rPr>
          <w:rFonts w:ascii="Verdana" w:hAnsi="Verdana" w:cs="Arial"/>
          <w:sz w:val="16"/>
          <w:szCs w:val="16"/>
          <w:lang w:val="es-ES"/>
        </w:rPr>
        <w:t xml:space="preserve">sus territorios. </w:t>
      </w:r>
      <w:r>
        <w:rPr>
          <w:rFonts w:ascii="Verdana" w:hAnsi="Verdana" w:cs="Arial"/>
          <w:sz w:val="16"/>
          <w:szCs w:val="16"/>
          <w:lang w:val="es-ES"/>
        </w:rPr>
        <w:t>El Tribunal Interamericano</w:t>
      </w:r>
      <w:r w:rsidRPr="00C52A73">
        <w:rPr>
          <w:rFonts w:ascii="Verdana" w:hAnsi="Verdana" w:cs="Arial"/>
          <w:sz w:val="16"/>
          <w:szCs w:val="16"/>
          <w:lang w:val="es-ES"/>
        </w:rPr>
        <w:t xml:space="preserve"> ha abordado esta cuestión con posterioridad al </w:t>
      </w:r>
      <w:r w:rsidRPr="007239C3">
        <w:rPr>
          <w:rFonts w:ascii="Verdana" w:hAnsi="Verdana" w:cs="Arial"/>
          <w:i/>
          <w:sz w:val="16"/>
          <w:szCs w:val="16"/>
          <w:lang w:val="es-ES"/>
        </w:rPr>
        <w:t>leading case</w:t>
      </w:r>
      <w:r>
        <w:rPr>
          <w:rFonts w:ascii="Verdana" w:hAnsi="Verdana" w:cs="Arial"/>
          <w:sz w:val="16"/>
          <w:szCs w:val="16"/>
          <w:lang w:val="es-ES"/>
        </w:rPr>
        <w:t xml:space="preserve">, el referido </w:t>
      </w:r>
      <w:r w:rsidRPr="007239C3">
        <w:rPr>
          <w:rFonts w:ascii="Verdana" w:hAnsi="Verdana" w:cs="Arial"/>
          <w:i/>
          <w:sz w:val="16"/>
          <w:szCs w:val="16"/>
          <w:lang w:val="es-ES"/>
        </w:rPr>
        <w:t xml:space="preserve">Caso de la Comunidad </w:t>
      </w:r>
      <w:r w:rsidRPr="007239C3">
        <w:rPr>
          <w:rFonts w:ascii="Verdana" w:hAnsi="Verdana" w:cs="Arial"/>
          <w:i/>
          <w:iCs/>
          <w:sz w:val="16"/>
          <w:szCs w:val="16"/>
          <w:lang w:val="es-ES"/>
        </w:rPr>
        <w:t>Mayagna</w:t>
      </w:r>
      <w:r>
        <w:rPr>
          <w:rFonts w:ascii="Verdana" w:hAnsi="Verdana" w:cs="Arial"/>
          <w:i/>
          <w:iCs/>
          <w:sz w:val="16"/>
          <w:szCs w:val="16"/>
          <w:lang w:val="es-ES"/>
        </w:rPr>
        <w:t xml:space="preserve"> (Sumo) Awas Tigni</w:t>
      </w:r>
      <w:r w:rsidRPr="00C52A73">
        <w:rPr>
          <w:rFonts w:ascii="Verdana" w:hAnsi="Verdana" w:cs="Arial"/>
          <w:i/>
          <w:iCs/>
          <w:sz w:val="16"/>
          <w:szCs w:val="16"/>
          <w:lang w:val="es-ES"/>
        </w:rPr>
        <w:t xml:space="preserve">: </w:t>
      </w:r>
      <w:r w:rsidRPr="00C52A73">
        <w:rPr>
          <w:rFonts w:ascii="Verdana" w:hAnsi="Verdana"/>
          <w:i/>
          <w:iCs/>
          <w:color w:val="000000"/>
          <w:sz w:val="16"/>
          <w:szCs w:val="16"/>
        </w:rPr>
        <w:t>Caso Comunidad Indígena Yakye Axa Vs. Paraguay. Fondo, Reparaciones y Costas</w:t>
      </w:r>
      <w:r w:rsidRPr="00C52A73">
        <w:rPr>
          <w:rFonts w:ascii="Verdana" w:hAnsi="Verdana"/>
          <w:color w:val="000000"/>
          <w:sz w:val="16"/>
          <w:szCs w:val="16"/>
        </w:rPr>
        <w:t xml:space="preserve">. Sentencia de 17 de junio de 2005. Serie C No. 125; </w:t>
      </w:r>
      <w:r w:rsidRPr="00C52A73">
        <w:rPr>
          <w:rFonts w:ascii="Verdana" w:hAnsi="Verdana"/>
          <w:i/>
          <w:iCs/>
          <w:color w:val="000000"/>
          <w:sz w:val="16"/>
          <w:szCs w:val="16"/>
        </w:rPr>
        <w:t>Caso Comunidad Indígena Sawhoyamaxa Vs. Paraguay. Fondo, Reparaciones y Costas</w:t>
      </w:r>
      <w:r w:rsidRPr="00C52A73">
        <w:rPr>
          <w:rFonts w:ascii="Verdana" w:hAnsi="Verdana"/>
          <w:color w:val="000000"/>
          <w:sz w:val="16"/>
          <w:szCs w:val="16"/>
        </w:rPr>
        <w:t xml:space="preserve">. Sentencia de 29 de marzo de 2006. Serie C No. 146; </w:t>
      </w:r>
      <w:r w:rsidRPr="00C52A73">
        <w:rPr>
          <w:rFonts w:ascii="Verdana" w:hAnsi="Verdana"/>
          <w:i/>
          <w:iCs/>
          <w:color w:val="000000"/>
          <w:sz w:val="16"/>
          <w:szCs w:val="16"/>
        </w:rPr>
        <w:t>Caso del Pueblo Saramaka Vs. Surinam. Excepciones Preliminares, Fondo, Reparaciones y Costas</w:t>
      </w:r>
      <w:r w:rsidRPr="00C52A73">
        <w:rPr>
          <w:rFonts w:ascii="Verdana" w:hAnsi="Verdana"/>
          <w:color w:val="000000"/>
          <w:sz w:val="16"/>
          <w:szCs w:val="16"/>
        </w:rPr>
        <w:t xml:space="preserve">. Sentencia de 28 de noviembre de 2007. Serie C No. 172; </w:t>
      </w:r>
      <w:r w:rsidRPr="00C52A73">
        <w:rPr>
          <w:rFonts w:ascii="Verdana" w:hAnsi="Verdana"/>
          <w:i/>
          <w:iCs/>
          <w:color w:val="000000"/>
          <w:sz w:val="16"/>
          <w:szCs w:val="16"/>
        </w:rPr>
        <w:t>Caso Comunidad Indígena Xákmok Kásek Vs. Paraguay. Fondo, Reparaciones y Costas</w:t>
      </w:r>
      <w:r w:rsidRPr="00C52A73">
        <w:rPr>
          <w:rFonts w:ascii="Verdana" w:hAnsi="Verdana"/>
          <w:color w:val="000000"/>
          <w:sz w:val="16"/>
          <w:szCs w:val="16"/>
        </w:rPr>
        <w:t xml:space="preserve">. Sentencia de 24 de agosto de 2010. Serie C No. 214; </w:t>
      </w:r>
      <w:r w:rsidRPr="00C52A73">
        <w:rPr>
          <w:rFonts w:ascii="Verdana" w:hAnsi="Verdana"/>
          <w:i/>
          <w:iCs/>
          <w:color w:val="000000"/>
          <w:sz w:val="16"/>
          <w:szCs w:val="16"/>
        </w:rPr>
        <w:t>Caso Pueblo Indígena Kichwa de Sarayaku Vs. Ecuador. Fondo y Reparaciones</w:t>
      </w:r>
      <w:r w:rsidRPr="00C52A73">
        <w:rPr>
          <w:rFonts w:ascii="Verdana" w:hAnsi="Verdana"/>
          <w:color w:val="000000"/>
          <w:sz w:val="16"/>
          <w:szCs w:val="16"/>
        </w:rPr>
        <w:t xml:space="preserve">. Sentencia de 27 de junio de 2012. Serie C No. 245; </w:t>
      </w:r>
      <w:r w:rsidRPr="00C52A73">
        <w:rPr>
          <w:rFonts w:ascii="Verdana" w:hAnsi="Verdana"/>
          <w:i/>
          <w:iCs/>
          <w:color w:val="000000"/>
          <w:sz w:val="16"/>
          <w:szCs w:val="16"/>
        </w:rPr>
        <w:t>Caso de las Comunidades Afrodescendientes desplazadas de la Cuenca del Río Cacarica (Operación Génesis) Vs. Colombia. Excepciones Preliminares, Fondo, Reparaciones y Costas</w:t>
      </w:r>
      <w:r w:rsidRPr="00C52A73">
        <w:rPr>
          <w:rFonts w:ascii="Verdana" w:hAnsi="Verdana"/>
          <w:color w:val="000000"/>
          <w:sz w:val="16"/>
          <w:szCs w:val="16"/>
        </w:rPr>
        <w:t>. Sentencia de 20 de noviembre de 2013. Serie C No. 270;  </w:t>
      </w:r>
      <w:r w:rsidRPr="00C52A73">
        <w:rPr>
          <w:rFonts w:ascii="Verdana" w:hAnsi="Verdana"/>
          <w:i/>
          <w:iCs/>
          <w:color w:val="000000"/>
          <w:sz w:val="16"/>
          <w:szCs w:val="16"/>
        </w:rPr>
        <w:t>Caso de los Pueblos Indígenas Kuna de Madungandí y Emberá de Bayano y sus miembros Vs. Panamá. Excepciones Preliminares, Fondo, Reparaciones y Costas</w:t>
      </w:r>
      <w:r w:rsidRPr="00C52A73">
        <w:rPr>
          <w:rFonts w:ascii="Verdana" w:hAnsi="Verdana"/>
          <w:color w:val="000000"/>
          <w:sz w:val="16"/>
          <w:szCs w:val="16"/>
        </w:rPr>
        <w:t>. Sentencia de 14 de octubre de 2014. Serie C No. 284;  </w:t>
      </w:r>
      <w:r w:rsidRPr="00C52A73">
        <w:rPr>
          <w:rFonts w:ascii="Verdana" w:hAnsi="Verdana"/>
          <w:i/>
          <w:iCs/>
          <w:color w:val="000000"/>
          <w:sz w:val="16"/>
          <w:szCs w:val="16"/>
        </w:rPr>
        <w:t>Caso Comunidad Garífuna de Punta Piedra y sus miembros Vs. Honduras. Excepciones Preliminares, Fondo, Reparaciones y Costas.</w:t>
      </w:r>
      <w:r w:rsidRPr="00C52A73">
        <w:rPr>
          <w:rFonts w:ascii="Verdana" w:hAnsi="Verdana"/>
          <w:color w:val="000000"/>
          <w:sz w:val="16"/>
          <w:szCs w:val="16"/>
        </w:rPr>
        <w:t xml:space="preserve"> Sentencia de 8 de octubre de 2015. Serie C No. 304; </w:t>
      </w:r>
      <w:r w:rsidRPr="00C52A73">
        <w:rPr>
          <w:rFonts w:ascii="Verdana" w:hAnsi="Verdana"/>
          <w:i/>
          <w:iCs/>
          <w:color w:val="000000"/>
          <w:sz w:val="16"/>
          <w:szCs w:val="16"/>
        </w:rPr>
        <w:t>Caso Comunidad Garífuna Triunfo de la Cruz y sus miembros Vs. Honduras. Fondo, Reparaciones y Costas.</w:t>
      </w:r>
      <w:r w:rsidRPr="00C52A73">
        <w:rPr>
          <w:rFonts w:ascii="Verdana" w:hAnsi="Verdana"/>
          <w:color w:val="000000"/>
          <w:sz w:val="16"/>
          <w:szCs w:val="16"/>
        </w:rPr>
        <w:t xml:space="preserve"> Sentencia de 8 de octubre de 2015. Serie C No. 305; </w:t>
      </w:r>
      <w:r w:rsidRPr="00C52A73">
        <w:rPr>
          <w:rFonts w:ascii="Verdana" w:hAnsi="Verdana"/>
          <w:i/>
          <w:iCs/>
          <w:color w:val="000000"/>
          <w:sz w:val="16"/>
          <w:szCs w:val="16"/>
        </w:rPr>
        <w:t>Caso Pueblos Kaliña y Lokono Vs. Surinam. Fondo, Reparaciones y Costas</w:t>
      </w:r>
      <w:r w:rsidRPr="00C52A73">
        <w:rPr>
          <w:rFonts w:ascii="Verdana" w:hAnsi="Verdana"/>
          <w:color w:val="000000"/>
          <w:sz w:val="16"/>
          <w:szCs w:val="16"/>
        </w:rPr>
        <w:t>. Sentencia de 25 de noviembre de 2015. Serie C No. 309</w:t>
      </w:r>
      <w:r>
        <w:rPr>
          <w:rFonts w:ascii="Verdana" w:hAnsi="Verdana"/>
          <w:color w:val="000000"/>
          <w:sz w:val="16"/>
          <w:szCs w:val="16"/>
        </w:rPr>
        <w:t>,</w:t>
      </w:r>
      <w:r w:rsidRPr="00C52A73">
        <w:rPr>
          <w:rFonts w:ascii="Verdana" w:hAnsi="Verdana"/>
          <w:color w:val="000000"/>
          <w:sz w:val="16"/>
          <w:szCs w:val="16"/>
        </w:rPr>
        <w:t xml:space="preserve"> y </w:t>
      </w:r>
      <w:r w:rsidRPr="00C52A73">
        <w:rPr>
          <w:rFonts w:ascii="Verdana" w:hAnsi="Verdana"/>
          <w:i/>
          <w:iCs/>
          <w:color w:val="000000"/>
          <w:sz w:val="16"/>
          <w:szCs w:val="16"/>
        </w:rPr>
        <w:t>Caso Pueblo Indígena Xucuru y sus miembros Vs. Brasil. Excepciones Preliminares, Fondo, Reparaciones y Costas.</w:t>
      </w:r>
      <w:r w:rsidRPr="00C52A73">
        <w:rPr>
          <w:rFonts w:ascii="Verdana" w:hAnsi="Verdana"/>
          <w:color w:val="000000"/>
          <w:sz w:val="16"/>
          <w:szCs w:val="16"/>
        </w:rPr>
        <w:t xml:space="preserve"> Sentencia de 5 de febrero de 2018. Serie C No. 346.</w:t>
      </w:r>
      <w:r>
        <w:t xml:space="preserve"> </w:t>
      </w:r>
    </w:p>
    <w:p w14:paraId="0926DBF7" w14:textId="2D649F88" w:rsidR="002275C3" w:rsidRPr="00267F70" w:rsidRDefault="002275C3" w:rsidP="00685548">
      <w:pPr>
        <w:spacing w:after="120"/>
        <w:jc w:val="both"/>
      </w:pPr>
      <w:r>
        <w:rPr>
          <w:rFonts w:ascii="Verdana" w:hAnsi="Verdana"/>
          <w:color w:val="000000"/>
          <w:sz w:val="16"/>
          <w:szCs w:val="16"/>
        </w:rPr>
        <w:t>Es importante puntualizar que la jurisprudencia indigena o tribal no se agota en estos casos que han versado sobre el territorio, por lo que el listado solo es ilustrativo en la materia. Por ejemplo, no se hace referencia a aquellos casos referidos a violencia sexual, participación política, desplazamiento forzado, privados de la libertad, ejecuciones extrajudiciales o masacres.</w:t>
      </w:r>
    </w:p>
  </w:footnote>
  <w:footnote w:id="3">
    <w:p w14:paraId="587D42DA" w14:textId="0848DDE1" w:rsidR="002275C3" w:rsidRPr="004221EC" w:rsidRDefault="002275C3" w:rsidP="00685548">
      <w:pPr>
        <w:pStyle w:val="Textonotapie"/>
        <w:spacing w:after="120"/>
        <w:rPr>
          <w:rFonts w:cs="Arial"/>
          <w:sz w:val="16"/>
          <w:szCs w:val="16"/>
          <w:lang w:val="es-ES"/>
        </w:rPr>
      </w:pPr>
      <w:r w:rsidRPr="004221EC">
        <w:rPr>
          <w:rStyle w:val="Refdenotaalpie"/>
          <w:rFonts w:cs="Arial"/>
          <w:sz w:val="16"/>
          <w:szCs w:val="16"/>
          <w:lang w:val="es-ES"/>
        </w:rPr>
        <w:footnoteRef/>
      </w:r>
      <w:r w:rsidRPr="004221EC">
        <w:rPr>
          <w:rFonts w:cs="Arial"/>
          <w:sz w:val="16"/>
          <w:szCs w:val="16"/>
          <w:lang w:val="es-ES"/>
        </w:rPr>
        <w:t xml:space="preserve"> </w:t>
      </w:r>
      <w:r>
        <w:rPr>
          <w:rFonts w:cs="Arial"/>
          <w:sz w:val="16"/>
          <w:szCs w:val="16"/>
          <w:lang w:val="es-ES"/>
        </w:rPr>
        <w:tab/>
        <w:t xml:space="preserve">Por ejemplo, el Comité de Naciones Unidas, al menos desde el caso </w:t>
      </w:r>
      <w:r w:rsidRPr="00DE70E2">
        <w:rPr>
          <w:rFonts w:cs="Arial"/>
          <w:i/>
          <w:iCs/>
          <w:sz w:val="16"/>
          <w:szCs w:val="16"/>
          <w:lang w:val="es-ES"/>
        </w:rPr>
        <w:t>Lubicon Lake Band Vs. Canadá</w:t>
      </w:r>
      <w:r>
        <w:rPr>
          <w:rFonts w:cs="Arial"/>
          <w:sz w:val="16"/>
          <w:szCs w:val="16"/>
          <w:lang w:val="es-ES"/>
        </w:rPr>
        <w:t xml:space="preserve"> de 1990, ya se había pronunciado de alguna manera sobre los derechos de los pueblos indígenas respecto de los recursos naturales. </w:t>
      </w:r>
    </w:p>
  </w:footnote>
  <w:footnote w:id="4">
    <w:p w14:paraId="31DB4783" w14:textId="7FF7EDE0" w:rsidR="002275C3" w:rsidRPr="004221EC" w:rsidRDefault="002275C3" w:rsidP="00685548">
      <w:pPr>
        <w:pStyle w:val="Textonotapie"/>
        <w:spacing w:after="120"/>
        <w:ind w:right="49"/>
        <w:rPr>
          <w:rFonts w:cs="Arial"/>
          <w:color w:val="000000"/>
          <w:sz w:val="16"/>
          <w:szCs w:val="16"/>
          <w:shd w:val="clear" w:color="auto" w:fill="FFFFFF"/>
          <w:lang w:val="es-ES"/>
        </w:rPr>
      </w:pPr>
      <w:r w:rsidRPr="004221EC">
        <w:rPr>
          <w:rStyle w:val="Refdenotaalpie"/>
          <w:rFonts w:cs="Arial"/>
          <w:sz w:val="16"/>
          <w:szCs w:val="16"/>
          <w:lang w:val="es-ES"/>
        </w:rPr>
        <w:footnoteRef/>
      </w:r>
      <w:r w:rsidRPr="004221EC">
        <w:rPr>
          <w:rFonts w:cs="Arial"/>
          <w:sz w:val="16"/>
          <w:szCs w:val="16"/>
          <w:lang w:val="es-ES"/>
        </w:rPr>
        <w:t xml:space="preserve"> </w:t>
      </w:r>
      <w:r w:rsidRPr="004221EC">
        <w:rPr>
          <w:rFonts w:cs="Arial"/>
          <w:sz w:val="16"/>
          <w:szCs w:val="16"/>
          <w:lang w:val="es-ES"/>
        </w:rPr>
        <w:tab/>
      </w:r>
      <w:r w:rsidRPr="004221EC">
        <w:rPr>
          <w:rStyle w:val="Textoennegrita"/>
          <w:rFonts w:cs="Arial"/>
          <w:b w:val="0"/>
          <w:bCs w:val="0"/>
          <w:i/>
          <w:color w:val="000000"/>
          <w:sz w:val="16"/>
          <w:szCs w:val="16"/>
          <w:lang w:val="es-ES"/>
        </w:rPr>
        <w:t xml:space="preserve">Caso </w:t>
      </w:r>
      <w:r w:rsidRPr="004221EC">
        <w:rPr>
          <w:rFonts w:cs="Arial"/>
          <w:i/>
          <w:iCs/>
          <w:sz w:val="16"/>
          <w:szCs w:val="16"/>
          <w:lang w:val="es-ES"/>
        </w:rPr>
        <w:t>Comunidades indígenas miembros de la asociación Lhaka Honhat (Nuestra Tierra)</w:t>
      </w:r>
      <w:r w:rsidRPr="004221EC">
        <w:rPr>
          <w:rStyle w:val="Textoennegrita"/>
          <w:rFonts w:cs="Arial"/>
          <w:b w:val="0"/>
          <w:bCs w:val="0"/>
          <w:i/>
          <w:color w:val="000000"/>
          <w:sz w:val="16"/>
          <w:szCs w:val="16"/>
          <w:lang w:val="es-ES"/>
        </w:rPr>
        <w:t xml:space="preserve"> Vs. Argentina. Fondo, Reparaciones y Costas. </w:t>
      </w:r>
      <w:r w:rsidRPr="004221EC">
        <w:rPr>
          <w:rStyle w:val="Textoennegrita"/>
          <w:rFonts w:cs="Arial"/>
          <w:b w:val="0"/>
          <w:bCs w:val="0"/>
          <w:color w:val="000000"/>
          <w:sz w:val="16"/>
          <w:szCs w:val="16"/>
          <w:lang w:val="es-ES"/>
        </w:rPr>
        <w:t>Sentencia de 6 d</w:t>
      </w:r>
      <w:r>
        <w:rPr>
          <w:rStyle w:val="Textoennegrita"/>
          <w:rFonts w:cs="Arial"/>
          <w:b w:val="0"/>
          <w:bCs w:val="0"/>
          <w:color w:val="000000"/>
          <w:sz w:val="16"/>
          <w:szCs w:val="16"/>
          <w:lang w:val="es-ES"/>
        </w:rPr>
        <w:t>e febrero de 2020. Serie C No. 400</w:t>
      </w:r>
      <w:r w:rsidRPr="004221EC">
        <w:rPr>
          <w:rStyle w:val="Textoennegrita"/>
          <w:rFonts w:cs="Arial"/>
          <w:b w:val="0"/>
          <w:bCs w:val="0"/>
          <w:color w:val="000000"/>
          <w:sz w:val="16"/>
          <w:szCs w:val="16"/>
          <w:lang w:val="es-ES"/>
        </w:rPr>
        <w:t>.</w:t>
      </w:r>
    </w:p>
  </w:footnote>
  <w:footnote w:id="5">
    <w:p w14:paraId="24F5772B" w14:textId="0E06B08A" w:rsidR="002275C3" w:rsidRPr="005A3A3D" w:rsidRDefault="002275C3" w:rsidP="00685548">
      <w:pPr>
        <w:spacing w:after="120"/>
        <w:jc w:val="both"/>
        <w:rPr>
          <w:rFonts w:ascii="Verdana" w:hAnsi="Verdana"/>
          <w:sz w:val="16"/>
          <w:szCs w:val="16"/>
        </w:rPr>
      </w:pPr>
      <w:r w:rsidRPr="00DE70E2">
        <w:rPr>
          <w:rStyle w:val="Refdenotaalpie"/>
          <w:rFonts w:ascii="Verdana" w:hAnsi="Verdana" w:cs="Arial"/>
          <w:sz w:val="16"/>
          <w:szCs w:val="16"/>
          <w:lang w:val="es-ES"/>
        </w:rPr>
        <w:footnoteRef/>
      </w:r>
      <w:r w:rsidRPr="00DE70E2">
        <w:rPr>
          <w:rFonts w:ascii="Verdana" w:hAnsi="Verdana" w:cs="Arial"/>
          <w:sz w:val="16"/>
          <w:szCs w:val="16"/>
          <w:lang w:val="es-ES"/>
        </w:rPr>
        <w:t xml:space="preserve"> </w:t>
      </w:r>
      <w:r w:rsidRPr="00DE70E2">
        <w:rPr>
          <w:rFonts w:ascii="Verdana" w:hAnsi="Verdana" w:cs="Arial"/>
          <w:sz w:val="16"/>
          <w:szCs w:val="16"/>
          <w:lang w:val="es-ES"/>
        </w:rPr>
        <w:tab/>
      </w:r>
      <w:r w:rsidRPr="00DE70E2">
        <w:rPr>
          <w:rFonts w:ascii="Verdana" w:hAnsi="Verdana" w:cs="Arial"/>
          <w:i/>
          <w:sz w:val="16"/>
          <w:szCs w:val="16"/>
          <w:lang w:val="es-ES"/>
        </w:rPr>
        <w:t xml:space="preserve">Cfr. </w:t>
      </w:r>
      <w:r w:rsidRPr="00DE70E2">
        <w:rPr>
          <w:rStyle w:val="Textoennegrita"/>
          <w:rFonts w:ascii="Verdana" w:hAnsi="Verdana" w:cs="Arial"/>
          <w:b w:val="0"/>
          <w:bCs w:val="0"/>
          <w:i/>
          <w:color w:val="000000"/>
          <w:sz w:val="16"/>
          <w:szCs w:val="16"/>
          <w:lang w:val="es-ES"/>
        </w:rPr>
        <w:t>Caso Lagos del Campo Vs. Perú. Excepciones Preliminares, Fondo, Reparaciones y Costas.</w:t>
      </w:r>
      <w:r w:rsidRPr="00DE70E2">
        <w:rPr>
          <w:rStyle w:val="Textoennegrita"/>
          <w:rFonts w:ascii="Verdana" w:hAnsi="Verdana" w:cs="Arial"/>
          <w:b w:val="0"/>
          <w:bCs w:val="0"/>
          <w:color w:val="000000"/>
          <w:sz w:val="16"/>
          <w:szCs w:val="16"/>
          <w:lang w:val="es-ES"/>
        </w:rPr>
        <w:t xml:space="preserve"> Sentencia de 31 de agosto de 2017. Serie C No. 340; </w:t>
      </w:r>
      <w:r w:rsidRPr="00DE70E2">
        <w:rPr>
          <w:rStyle w:val="Textoennegrita"/>
          <w:rFonts w:ascii="Verdana" w:hAnsi="Verdana" w:cs="Arial"/>
          <w:b w:val="0"/>
          <w:bCs w:val="0"/>
          <w:i/>
          <w:color w:val="000000"/>
          <w:sz w:val="16"/>
          <w:szCs w:val="16"/>
          <w:lang w:val="es-ES"/>
        </w:rPr>
        <w:t>Opinión Consultiva OC-23/17</w:t>
      </w:r>
      <w:r w:rsidRPr="00DE70E2">
        <w:rPr>
          <w:rStyle w:val="Textoennegrita"/>
          <w:rFonts w:ascii="Verdana" w:hAnsi="Verdana" w:cs="Arial"/>
          <w:b w:val="0"/>
          <w:bCs w:val="0"/>
          <w:color w:val="000000"/>
          <w:sz w:val="16"/>
          <w:szCs w:val="16"/>
          <w:lang w:val="es-ES"/>
        </w:rPr>
        <w:t xml:space="preserve"> de 15 de noviembre de 2017. </w:t>
      </w:r>
      <w:r w:rsidRPr="00DE70E2">
        <w:rPr>
          <w:rStyle w:val="Textoennegrita"/>
          <w:rFonts w:ascii="Verdana" w:hAnsi="Verdana" w:cs="Arial"/>
          <w:b w:val="0"/>
          <w:bCs w:val="0"/>
          <w:i/>
          <w:color w:val="000000"/>
          <w:sz w:val="16"/>
          <w:szCs w:val="16"/>
          <w:lang w:val="es-ES"/>
        </w:rPr>
        <w:t>Medio ambiente y derechos humanos (obligaciones estatales en relación con el medio ambiente en el marco de la protección y garantía de los derechos a la vida y a la integridad personal - interpretación y alcance de los artículos 4.1 y 5.1, en relación con los artículos 1.1 y 2 de la Convención Americana sobre Derechos Humanos).</w:t>
      </w:r>
      <w:r w:rsidRPr="00DE70E2">
        <w:rPr>
          <w:rStyle w:val="Textoennegrita"/>
          <w:rFonts w:ascii="Verdana" w:hAnsi="Verdana" w:cs="Arial"/>
          <w:b w:val="0"/>
          <w:bCs w:val="0"/>
          <w:color w:val="000000"/>
          <w:sz w:val="16"/>
          <w:szCs w:val="16"/>
          <w:lang w:val="es-ES"/>
        </w:rPr>
        <w:t xml:space="preserve"> Serie A No. 23; </w:t>
      </w:r>
      <w:r w:rsidRPr="00DE70E2">
        <w:rPr>
          <w:rFonts w:ascii="Verdana" w:hAnsi="Verdana" w:cs="Arial"/>
          <w:i/>
          <w:sz w:val="16"/>
          <w:szCs w:val="16"/>
          <w:lang w:val="es-ES"/>
        </w:rPr>
        <w:t xml:space="preserve">Caso Trabajadores Cesados de Petroperú y otros Vs. Perú. Excepciones Preliminares, Fondo, Reparaciones y Costas. </w:t>
      </w:r>
      <w:r w:rsidRPr="00DE70E2">
        <w:rPr>
          <w:rFonts w:ascii="Verdana" w:hAnsi="Verdana" w:cs="Arial"/>
          <w:sz w:val="16"/>
          <w:szCs w:val="16"/>
          <w:lang w:val="es-ES"/>
        </w:rPr>
        <w:t xml:space="preserve">Sentencia de 23 de noviembre de 2017. Serie C No. 344; </w:t>
      </w:r>
      <w:r w:rsidRPr="00DE70E2">
        <w:rPr>
          <w:rStyle w:val="Textoennegrita"/>
          <w:rFonts w:ascii="Verdana" w:hAnsi="Verdana" w:cs="Arial"/>
          <w:b w:val="0"/>
          <w:bCs w:val="0"/>
          <w:i/>
          <w:color w:val="000000"/>
          <w:sz w:val="16"/>
          <w:szCs w:val="16"/>
          <w:lang w:val="es-ES"/>
        </w:rPr>
        <w:t>Caso</w:t>
      </w:r>
      <w:r w:rsidRPr="00DE70E2">
        <w:rPr>
          <w:rStyle w:val="Textoennegrita"/>
          <w:rFonts w:ascii="Verdana" w:hAnsi="Verdana" w:cs="Arial"/>
          <w:b w:val="0"/>
          <w:bCs w:val="0"/>
          <w:color w:val="000000"/>
          <w:sz w:val="16"/>
          <w:szCs w:val="16"/>
          <w:lang w:val="es-ES"/>
        </w:rPr>
        <w:t xml:space="preserve"> </w:t>
      </w:r>
      <w:r w:rsidRPr="00DE70E2">
        <w:rPr>
          <w:rStyle w:val="Textoennegrita"/>
          <w:rFonts w:ascii="Verdana" w:hAnsi="Verdana" w:cs="Arial"/>
          <w:b w:val="0"/>
          <w:bCs w:val="0"/>
          <w:i/>
          <w:color w:val="000000"/>
          <w:sz w:val="16"/>
          <w:szCs w:val="16"/>
          <w:lang w:val="es-ES"/>
        </w:rPr>
        <w:t>San Miguel Sosa y otras Vs. Venezuela. Fondo, Reparaciones y Costas</w:t>
      </w:r>
      <w:r w:rsidRPr="00DE70E2">
        <w:rPr>
          <w:rStyle w:val="Textoennegrita"/>
          <w:rFonts w:ascii="Verdana" w:hAnsi="Verdana" w:cs="Arial"/>
          <w:b w:val="0"/>
          <w:bCs w:val="0"/>
          <w:color w:val="000000"/>
          <w:sz w:val="16"/>
          <w:szCs w:val="16"/>
          <w:lang w:val="es-ES"/>
        </w:rPr>
        <w:t xml:space="preserve">. Sentencia de 8 de febrero de 2018. Serie C No. 348; </w:t>
      </w:r>
      <w:r w:rsidRPr="00DE70E2">
        <w:rPr>
          <w:rStyle w:val="Textoennegrita"/>
          <w:rFonts w:ascii="Verdana" w:hAnsi="Verdana" w:cs="Arial"/>
          <w:b w:val="0"/>
          <w:bCs w:val="0"/>
          <w:i/>
          <w:color w:val="000000"/>
          <w:sz w:val="16"/>
          <w:szCs w:val="16"/>
          <w:lang w:val="es-ES"/>
        </w:rPr>
        <w:t>Caso Poblete Vilches y otros Vs. Chile. Fondo, Reparaciones y Costas.</w:t>
      </w:r>
      <w:r w:rsidRPr="00DE70E2">
        <w:rPr>
          <w:rStyle w:val="Textoennegrita"/>
          <w:rFonts w:ascii="Verdana" w:hAnsi="Verdana" w:cs="Arial"/>
          <w:b w:val="0"/>
          <w:bCs w:val="0"/>
          <w:color w:val="000000"/>
          <w:sz w:val="16"/>
          <w:szCs w:val="16"/>
          <w:lang w:val="es-ES"/>
        </w:rPr>
        <w:t xml:space="preserve"> Sentencia de 8 de marzo de 2018. Serie C No. 349; </w:t>
      </w:r>
      <w:r w:rsidRPr="00DE70E2">
        <w:rPr>
          <w:rStyle w:val="Textoennegrita"/>
          <w:rFonts w:ascii="Verdana" w:hAnsi="Verdana" w:cs="Arial"/>
          <w:b w:val="0"/>
          <w:bCs w:val="0"/>
          <w:i/>
          <w:color w:val="000000"/>
          <w:sz w:val="16"/>
          <w:szCs w:val="16"/>
          <w:lang w:val="es-ES"/>
        </w:rPr>
        <w:t xml:space="preserve">Caso Cuscul Pivaral y otros Vs. Guatemala. Excepción Preliminar, Fondo, Reparaciones y Costas. </w:t>
      </w:r>
      <w:r w:rsidRPr="00DE70E2">
        <w:rPr>
          <w:rStyle w:val="Textoennegrita"/>
          <w:rFonts w:ascii="Verdana" w:hAnsi="Verdana" w:cs="Arial"/>
          <w:b w:val="0"/>
          <w:bCs w:val="0"/>
          <w:color w:val="000000"/>
          <w:sz w:val="16"/>
          <w:szCs w:val="16"/>
          <w:lang w:val="es-ES"/>
        </w:rPr>
        <w:t xml:space="preserve">Sentencia de 23 de agosto de 2018. Serie C No. 359; </w:t>
      </w:r>
      <w:r w:rsidRPr="00DE70E2">
        <w:rPr>
          <w:rStyle w:val="Textoennegrita"/>
          <w:rFonts w:ascii="Verdana" w:hAnsi="Verdana" w:cs="Arial"/>
          <w:b w:val="0"/>
          <w:bCs w:val="0"/>
          <w:i/>
          <w:color w:val="000000"/>
          <w:sz w:val="16"/>
          <w:szCs w:val="16"/>
          <w:lang w:val="es-ES"/>
        </w:rPr>
        <w:t>Caso Muelle Flores Vs. Perú. Excepciones Preliminares, Fondo, Reparaciones y Costas.</w:t>
      </w:r>
      <w:r w:rsidRPr="00DE70E2">
        <w:rPr>
          <w:rStyle w:val="Textoennegrita"/>
          <w:rFonts w:ascii="Verdana" w:hAnsi="Verdana" w:cs="Arial"/>
          <w:b w:val="0"/>
          <w:bCs w:val="0"/>
          <w:color w:val="000000"/>
          <w:sz w:val="16"/>
          <w:szCs w:val="16"/>
          <w:lang w:val="es-ES"/>
        </w:rPr>
        <w:t xml:space="preserve"> Sentencia de 6 de marzo de 2019. Serie C No. 375; </w:t>
      </w:r>
      <w:r w:rsidRPr="00DE70E2">
        <w:rPr>
          <w:rFonts w:ascii="Verdana" w:hAnsi="Verdana" w:cs="Arial"/>
          <w:i/>
          <w:sz w:val="16"/>
          <w:szCs w:val="16"/>
          <w:lang w:val="es-ES"/>
        </w:rPr>
        <w:t xml:space="preserve">Caso de la Asociación Nacional de Cesantes y Jubilados de la Superintendencia Nacional de Administración </w:t>
      </w:r>
      <w:r w:rsidRPr="005A3A3D">
        <w:rPr>
          <w:rFonts w:ascii="Verdana" w:hAnsi="Verdana" w:cs="Arial"/>
          <w:i/>
          <w:sz w:val="16"/>
          <w:szCs w:val="16"/>
          <w:lang w:val="es-ES"/>
        </w:rPr>
        <w:t>Tributaria (ANCEJUB-SUNAT) Vs. Perú</w:t>
      </w:r>
      <w:r w:rsidRPr="005A3A3D">
        <w:rPr>
          <w:rFonts w:ascii="Verdana" w:hAnsi="Verdana" w:cs="Arial"/>
          <w:sz w:val="16"/>
          <w:szCs w:val="16"/>
          <w:lang w:val="es-ES"/>
        </w:rPr>
        <w:t xml:space="preserve">. </w:t>
      </w:r>
      <w:r w:rsidRPr="005A3A3D">
        <w:rPr>
          <w:rFonts w:ascii="Verdana" w:hAnsi="Verdana" w:cs="Arial"/>
          <w:i/>
          <w:sz w:val="16"/>
          <w:szCs w:val="16"/>
          <w:lang w:val="es-ES"/>
        </w:rPr>
        <w:t>Excepciones Preliminares, Fondo, Reparaciones y Costas</w:t>
      </w:r>
      <w:r w:rsidRPr="005A3A3D">
        <w:rPr>
          <w:rFonts w:ascii="Verdana" w:hAnsi="Verdana" w:cs="Arial"/>
          <w:sz w:val="16"/>
          <w:szCs w:val="16"/>
          <w:lang w:val="es-ES"/>
        </w:rPr>
        <w:t xml:space="preserve">. Sentencia de 21 de noviembre de 2019. </w:t>
      </w:r>
      <w:r w:rsidRPr="005A3A3D">
        <w:rPr>
          <w:rStyle w:val="Textoennegrita"/>
          <w:rFonts w:ascii="Verdana" w:hAnsi="Verdana" w:cs="Arial"/>
          <w:b w:val="0"/>
          <w:bCs w:val="0"/>
          <w:color w:val="000000"/>
          <w:sz w:val="16"/>
          <w:szCs w:val="16"/>
          <w:lang w:val="es-ES"/>
        </w:rPr>
        <w:t xml:space="preserve">Serie C </w:t>
      </w:r>
      <w:r>
        <w:rPr>
          <w:rStyle w:val="Textoennegrita"/>
          <w:rFonts w:ascii="Verdana" w:hAnsi="Verdana" w:cs="Arial"/>
          <w:b w:val="0"/>
          <w:bCs w:val="0"/>
          <w:sz w:val="16"/>
          <w:szCs w:val="16"/>
          <w:lang w:val="es-ES"/>
        </w:rPr>
        <w:t>No. 394,</w:t>
      </w:r>
      <w:r w:rsidRPr="005A3A3D">
        <w:rPr>
          <w:rStyle w:val="Textoennegrita"/>
          <w:rFonts w:ascii="Verdana" w:hAnsi="Verdana" w:cs="Arial"/>
          <w:b w:val="0"/>
          <w:bCs w:val="0"/>
          <w:sz w:val="16"/>
          <w:szCs w:val="16"/>
          <w:lang w:val="es-ES"/>
        </w:rPr>
        <w:t xml:space="preserve"> y </w:t>
      </w:r>
      <w:r w:rsidRPr="005A3A3D">
        <w:rPr>
          <w:rFonts w:ascii="Verdana" w:hAnsi="Verdana"/>
          <w:i/>
          <w:iCs/>
          <w:sz w:val="16"/>
          <w:szCs w:val="16"/>
        </w:rPr>
        <w:t>Caso Hernández Vs. Argentina. Excepción Preliminar, Fondo, Reparaciones y Costas.</w:t>
      </w:r>
      <w:r w:rsidRPr="005A3A3D">
        <w:rPr>
          <w:rFonts w:ascii="Verdana" w:hAnsi="Verdana"/>
          <w:sz w:val="16"/>
          <w:szCs w:val="16"/>
        </w:rPr>
        <w:t xml:space="preserve"> Sentencia de 22 de noviembre de 2019</w:t>
      </w:r>
      <w:r w:rsidRPr="005A3A3D">
        <w:rPr>
          <w:rFonts w:ascii="Verdana" w:hAnsi="Verdana"/>
          <w:color w:val="000000"/>
          <w:sz w:val="16"/>
          <w:szCs w:val="16"/>
        </w:rPr>
        <w:t>. Serie C No. 395.</w:t>
      </w:r>
    </w:p>
  </w:footnote>
  <w:footnote w:id="6">
    <w:p w14:paraId="7080E813" w14:textId="2058AD54" w:rsidR="002275C3" w:rsidRPr="005A3A3D" w:rsidRDefault="002275C3" w:rsidP="00685548">
      <w:pPr>
        <w:pStyle w:val="NormalWeb"/>
        <w:spacing w:before="0" w:beforeAutospacing="0" w:after="120" w:afterAutospacing="0"/>
        <w:jc w:val="both"/>
        <w:rPr>
          <w:rFonts w:ascii="Verdana" w:hAnsi="Verdana"/>
          <w:sz w:val="16"/>
          <w:szCs w:val="16"/>
        </w:rPr>
      </w:pPr>
      <w:r w:rsidRPr="005A3A3D">
        <w:rPr>
          <w:rStyle w:val="Refdenotaalpie"/>
          <w:rFonts w:ascii="Verdana" w:hAnsi="Verdana" w:cs="Arial"/>
          <w:sz w:val="16"/>
          <w:szCs w:val="16"/>
          <w:lang w:val="es-ES"/>
        </w:rPr>
        <w:footnoteRef/>
      </w:r>
      <w:r>
        <w:rPr>
          <w:rFonts w:ascii="Verdana" w:hAnsi="Verdana" w:cs="Arial"/>
          <w:sz w:val="16"/>
          <w:szCs w:val="16"/>
          <w:lang w:val="es-ES"/>
        </w:rPr>
        <w:t xml:space="preserve"> </w:t>
      </w:r>
      <w:r>
        <w:rPr>
          <w:rFonts w:ascii="Verdana" w:hAnsi="Verdana" w:cs="Arial"/>
          <w:sz w:val="16"/>
          <w:szCs w:val="16"/>
          <w:lang w:val="es-ES"/>
        </w:rPr>
        <w:tab/>
        <w:t xml:space="preserve">En aquella oportunidad, </w:t>
      </w:r>
      <w:r w:rsidRPr="005A3A3D">
        <w:rPr>
          <w:rFonts w:ascii="Verdana" w:hAnsi="Verdana" w:cs="Arial"/>
          <w:sz w:val="16"/>
          <w:szCs w:val="16"/>
          <w:lang w:val="es-ES"/>
        </w:rPr>
        <w:t xml:space="preserve">en el Voto Concurrente al caso </w:t>
      </w:r>
      <w:r w:rsidRPr="002C7FBA">
        <w:rPr>
          <w:rFonts w:ascii="Verdana" w:hAnsi="Verdana" w:cs="Arial"/>
          <w:i/>
          <w:sz w:val="16"/>
          <w:szCs w:val="16"/>
          <w:lang w:val="es-ES"/>
        </w:rPr>
        <w:t>Suárez Peralta</w:t>
      </w:r>
      <w:r>
        <w:rPr>
          <w:rFonts w:ascii="Verdana" w:hAnsi="Verdana" w:cs="Arial"/>
          <w:sz w:val="16"/>
          <w:szCs w:val="16"/>
          <w:lang w:val="es-ES"/>
        </w:rPr>
        <w:t>,</w:t>
      </w:r>
      <w:r w:rsidRPr="005A3A3D">
        <w:rPr>
          <w:rFonts w:ascii="Verdana" w:hAnsi="Verdana" w:cs="Arial"/>
          <w:sz w:val="16"/>
          <w:szCs w:val="16"/>
          <w:lang w:val="es-ES"/>
        </w:rPr>
        <w:t xml:space="preserve"> sostuve que: “</w:t>
      </w:r>
      <w:r w:rsidRPr="005A3A3D">
        <w:rPr>
          <w:rFonts w:ascii="Verdana" w:hAnsi="Verdana"/>
          <w:sz w:val="16"/>
          <w:szCs w:val="16"/>
        </w:rPr>
        <w:t>15. La posibilidad de que este Tribunal Interamericano se pronuncie sobre [la justiciabilidad de los DESCA] deriva, en primer término, de la “interdependencia e indivisibilidad” existente entre los derechos civiles y políticos con respecto de los económicos, sociales y culturales. En efecto</w:t>
      </w:r>
      <w:r>
        <w:rPr>
          <w:rFonts w:ascii="Verdana" w:hAnsi="Verdana"/>
          <w:sz w:val="16"/>
          <w:szCs w:val="16"/>
        </w:rPr>
        <w:t xml:space="preserve"> [en el caso Suárez Peralta]</w:t>
      </w:r>
      <w:r w:rsidRPr="005A3A3D">
        <w:rPr>
          <w:rFonts w:ascii="Verdana" w:hAnsi="Verdana"/>
          <w:sz w:val="16"/>
          <w:szCs w:val="16"/>
        </w:rPr>
        <w:t xml:space="preserve"> expresamente se reconoce ese carácter, ya que deben ser entendidos integralmente como derechos humanos, sin jerarquía entre sí y exigibles en todos los casos ante aquellas autoridades que resulten competentes para ello</w:t>
      </w:r>
      <w:r>
        <w:rPr>
          <w:rFonts w:ascii="Verdana" w:hAnsi="Verdana"/>
          <w:sz w:val="16"/>
          <w:szCs w:val="16"/>
        </w:rPr>
        <w:t>”</w:t>
      </w:r>
      <w:r w:rsidRPr="005A3A3D">
        <w:rPr>
          <w:rFonts w:ascii="Verdana" w:hAnsi="Verdana"/>
          <w:sz w:val="16"/>
          <w:szCs w:val="16"/>
        </w:rPr>
        <w:t xml:space="preserve">. </w:t>
      </w:r>
    </w:p>
  </w:footnote>
  <w:footnote w:id="7">
    <w:p w14:paraId="36146D24" w14:textId="59A08EC8" w:rsidR="002275C3" w:rsidRPr="005A3A3D" w:rsidRDefault="002275C3" w:rsidP="00FA3B56">
      <w:pPr>
        <w:pStyle w:val="Textonotapie"/>
        <w:spacing w:after="120"/>
        <w:rPr>
          <w:rFonts w:cs="Arial"/>
          <w:sz w:val="16"/>
          <w:szCs w:val="16"/>
          <w:lang w:val="es-ES"/>
        </w:rPr>
      </w:pPr>
      <w:r w:rsidRPr="005A3A3D">
        <w:rPr>
          <w:rStyle w:val="Refdenotaalpie"/>
          <w:rFonts w:cs="Arial"/>
          <w:sz w:val="16"/>
          <w:szCs w:val="16"/>
          <w:lang w:val="es-ES"/>
        </w:rPr>
        <w:footnoteRef/>
      </w:r>
      <w:r w:rsidRPr="005A3A3D">
        <w:rPr>
          <w:rFonts w:cs="Arial"/>
          <w:sz w:val="16"/>
          <w:szCs w:val="16"/>
          <w:lang w:val="es-ES"/>
        </w:rPr>
        <w:t xml:space="preserve"> </w:t>
      </w:r>
      <w:r w:rsidRPr="005A3A3D">
        <w:rPr>
          <w:rFonts w:cs="Arial"/>
          <w:sz w:val="16"/>
          <w:szCs w:val="16"/>
          <w:lang w:val="es-ES"/>
        </w:rPr>
        <w:tab/>
        <w:t>En este sentido, esta cuestión resulta de especial relevancia debido a que la Sentencia demuestra que varios derechos pueden ser derivados de la Carta de al OEA de</w:t>
      </w:r>
      <w:r>
        <w:rPr>
          <w:rFonts w:cs="Arial"/>
          <w:sz w:val="16"/>
          <w:szCs w:val="16"/>
          <w:lang w:val="es-ES"/>
        </w:rPr>
        <w:t xml:space="preserve"> manera simultanea en un caso</w:t>
      </w:r>
      <w:r w:rsidRPr="005A3A3D">
        <w:rPr>
          <w:rFonts w:cs="Arial"/>
          <w:sz w:val="16"/>
          <w:szCs w:val="16"/>
          <w:lang w:val="es-ES"/>
        </w:rPr>
        <w:t xml:space="preserve"> concreto.</w:t>
      </w:r>
    </w:p>
  </w:footnote>
  <w:footnote w:id="8">
    <w:p w14:paraId="4BE60152" w14:textId="025F6789" w:rsidR="002275C3" w:rsidRPr="005A3A3D" w:rsidRDefault="002275C3" w:rsidP="00685548">
      <w:pPr>
        <w:pStyle w:val="Textonotapie"/>
        <w:spacing w:after="120"/>
        <w:rPr>
          <w:rFonts w:cs="Arial"/>
          <w:sz w:val="16"/>
          <w:szCs w:val="16"/>
          <w:lang w:val="es-ES"/>
        </w:rPr>
      </w:pPr>
      <w:r w:rsidRPr="005A3A3D">
        <w:rPr>
          <w:rStyle w:val="Refdenotaalpie"/>
          <w:rFonts w:cs="Arial"/>
          <w:sz w:val="16"/>
          <w:szCs w:val="16"/>
          <w:lang w:val="es-ES"/>
        </w:rPr>
        <w:footnoteRef/>
      </w:r>
      <w:r w:rsidRPr="005A3A3D">
        <w:rPr>
          <w:rFonts w:cs="Arial"/>
          <w:sz w:val="16"/>
          <w:szCs w:val="16"/>
          <w:lang w:val="es-ES"/>
        </w:rPr>
        <w:t xml:space="preserve"> </w:t>
      </w:r>
      <w:r w:rsidRPr="005A3A3D">
        <w:rPr>
          <w:rFonts w:cs="Arial"/>
          <w:sz w:val="16"/>
          <w:szCs w:val="16"/>
          <w:lang w:val="es-ES"/>
        </w:rPr>
        <w:tab/>
      </w:r>
      <w:r>
        <w:rPr>
          <w:rFonts w:cs="Arial"/>
          <w:sz w:val="16"/>
          <w:szCs w:val="16"/>
          <w:lang w:val="es-ES"/>
        </w:rPr>
        <w:t>Tal y como se expresa en la nota 173 de la Sentencia: “</w:t>
      </w:r>
      <w:r w:rsidRPr="0069142C">
        <w:rPr>
          <w:sz w:val="16"/>
          <w:szCs w:val="16"/>
          <w:lang w:val="es-MX"/>
        </w:rPr>
        <w:t>Además del artículo 26</w:t>
      </w:r>
      <w:r>
        <w:rPr>
          <w:sz w:val="16"/>
          <w:szCs w:val="16"/>
          <w:lang w:val="es-MX"/>
        </w:rPr>
        <w:t xml:space="preserve"> [de la Convención Americana]</w:t>
      </w:r>
      <w:r w:rsidRPr="0069142C">
        <w:rPr>
          <w:sz w:val="16"/>
          <w:szCs w:val="16"/>
          <w:lang w:val="es-MX"/>
        </w:rPr>
        <w:t>, los representantes adujeron, en relación con esa norma y dada la remisión que la misma hace a disposiciones de la Carta de la Organización de Estados Americanos: a) como base normativa del derecho a un medio ambiente sano los artículos 30, 31, 33 y 34 de dicha Carta; b) como base normativa del derecho a la “identidad cultural”, los artículos 2, 3, 17, 19, 30, 45, 48 y 52 de la misma Carta y el artículo XIII de la Declaración Americana sobre Derechos y Deberes del Hombre, y c) como base normativa del derecho a la alimentación, también la Carta y la Declaración mencionadas, en sus artículos 34.j y XI, respectivamente</w:t>
      </w:r>
      <w:r>
        <w:rPr>
          <w:sz w:val="16"/>
          <w:szCs w:val="16"/>
          <w:lang w:val="es-MX"/>
        </w:rPr>
        <w:t>”</w:t>
      </w:r>
      <w:r w:rsidRPr="0069142C">
        <w:rPr>
          <w:sz w:val="16"/>
          <w:szCs w:val="16"/>
          <w:lang w:val="es-MX"/>
        </w:rPr>
        <w:t>.</w:t>
      </w:r>
    </w:p>
  </w:footnote>
  <w:footnote w:id="9">
    <w:p w14:paraId="1C9B06E7" w14:textId="4049BD44" w:rsidR="002275C3" w:rsidRPr="005A3A3D" w:rsidRDefault="002275C3" w:rsidP="00BE38D6">
      <w:pPr>
        <w:pStyle w:val="Textonotapie"/>
        <w:spacing w:after="120"/>
        <w:rPr>
          <w:rFonts w:cs="Arial"/>
          <w:sz w:val="16"/>
          <w:szCs w:val="16"/>
          <w:lang w:val="es-ES"/>
        </w:rPr>
      </w:pPr>
      <w:r w:rsidRPr="005A3A3D">
        <w:rPr>
          <w:rStyle w:val="Refdenotaalpie"/>
          <w:rFonts w:cs="Arial"/>
          <w:sz w:val="16"/>
          <w:szCs w:val="16"/>
          <w:lang w:val="es-ES"/>
        </w:rPr>
        <w:footnoteRef/>
      </w:r>
      <w:r w:rsidRPr="005A3A3D">
        <w:rPr>
          <w:rFonts w:cs="Arial"/>
          <w:sz w:val="16"/>
          <w:szCs w:val="16"/>
          <w:lang w:val="es-ES"/>
        </w:rPr>
        <w:t xml:space="preserve"> </w:t>
      </w:r>
      <w:r w:rsidRPr="005A3A3D">
        <w:rPr>
          <w:rFonts w:cs="Arial"/>
          <w:sz w:val="16"/>
          <w:szCs w:val="16"/>
          <w:lang w:val="es-ES"/>
        </w:rPr>
        <w:tab/>
        <w:t>E</w:t>
      </w:r>
      <w:r>
        <w:rPr>
          <w:rFonts w:cs="Arial"/>
          <w:sz w:val="16"/>
          <w:szCs w:val="16"/>
          <w:lang w:val="es-ES"/>
        </w:rPr>
        <w:t xml:space="preserve">scrito de “Observaciones Finales” presentado por la Comisión Interamericana de Derechos Humanos en el presente caso, pág. 10, párr. 41. Es explicable que la Comisión no determinara la violación del artículo 26 del Pacto de San José en el Informe de Fondo, ya que dicho Informe se produjo en 2012, años antes del cambio jurisprudencial en 2017, en el </w:t>
      </w:r>
      <w:r w:rsidRPr="00D67B9E">
        <w:rPr>
          <w:rFonts w:cs="Arial"/>
          <w:i/>
          <w:sz w:val="16"/>
          <w:szCs w:val="16"/>
          <w:lang w:val="es-ES"/>
        </w:rPr>
        <w:t>Caso Lagos del Campo</w:t>
      </w:r>
      <w:r>
        <w:rPr>
          <w:rFonts w:cs="Arial"/>
          <w:sz w:val="16"/>
          <w:szCs w:val="16"/>
          <w:lang w:val="es-ES"/>
        </w:rPr>
        <w:t xml:space="preserve">, sobre la justiciabilidad directa de los DESCA. </w:t>
      </w:r>
    </w:p>
  </w:footnote>
  <w:footnote w:id="10">
    <w:p w14:paraId="0A1065CF" w14:textId="0781EBB9" w:rsidR="002275C3" w:rsidRPr="005A3A3D" w:rsidRDefault="002275C3" w:rsidP="00685548">
      <w:pPr>
        <w:pStyle w:val="Textonotapie"/>
        <w:spacing w:after="120"/>
        <w:rPr>
          <w:rFonts w:cs="Arial"/>
          <w:sz w:val="16"/>
          <w:szCs w:val="16"/>
          <w:lang w:val="es-ES"/>
        </w:rPr>
      </w:pPr>
      <w:r w:rsidRPr="005A3A3D">
        <w:rPr>
          <w:rStyle w:val="Refdenotaalpie"/>
          <w:rFonts w:cs="Arial"/>
          <w:sz w:val="16"/>
          <w:szCs w:val="16"/>
          <w:lang w:val="es-ES"/>
        </w:rPr>
        <w:footnoteRef/>
      </w:r>
      <w:r w:rsidRPr="005A3A3D">
        <w:rPr>
          <w:rFonts w:cs="Arial"/>
          <w:sz w:val="16"/>
          <w:szCs w:val="16"/>
          <w:lang w:val="es-ES"/>
        </w:rPr>
        <w:t xml:space="preserve"> </w:t>
      </w:r>
      <w:r w:rsidRPr="005A3A3D">
        <w:rPr>
          <w:rFonts w:cs="Arial"/>
          <w:sz w:val="16"/>
          <w:szCs w:val="16"/>
          <w:lang w:val="es-ES"/>
        </w:rPr>
        <w:tab/>
      </w:r>
      <w:r w:rsidRPr="007D49CF">
        <w:rPr>
          <w:i/>
          <w:iCs/>
          <w:color w:val="000000"/>
          <w:sz w:val="16"/>
          <w:szCs w:val="16"/>
          <w:lang w:val="es-MX"/>
        </w:rPr>
        <w:t>Caso Comunidad Indígena Yakye Axa Vs. Paraguay. Fondo, Reparaciones y Costas</w:t>
      </w:r>
      <w:r w:rsidRPr="007D49CF">
        <w:rPr>
          <w:color w:val="000000"/>
          <w:sz w:val="16"/>
          <w:szCs w:val="16"/>
          <w:lang w:val="es-MX"/>
        </w:rPr>
        <w:t>. Sentencia de 17 de junio de 2005. Serie C No. 125</w:t>
      </w:r>
      <w:r w:rsidRPr="0069142C">
        <w:rPr>
          <w:sz w:val="16"/>
          <w:szCs w:val="16"/>
          <w:lang w:val="es-MX"/>
        </w:rPr>
        <w:t>.</w:t>
      </w:r>
      <w:r>
        <w:rPr>
          <w:sz w:val="16"/>
          <w:szCs w:val="16"/>
          <w:lang w:val="es-MX"/>
        </w:rPr>
        <w:t xml:space="preserve"> </w:t>
      </w:r>
    </w:p>
  </w:footnote>
  <w:footnote w:id="11">
    <w:p w14:paraId="1A93D87B" w14:textId="7C35ACA9" w:rsidR="002275C3" w:rsidRPr="005A3A3D" w:rsidRDefault="002275C3" w:rsidP="00685548">
      <w:pPr>
        <w:pStyle w:val="Textonotapie"/>
        <w:spacing w:after="120"/>
        <w:rPr>
          <w:rFonts w:cs="Arial"/>
          <w:sz w:val="16"/>
          <w:szCs w:val="16"/>
          <w:lang w:val="es-ES"/>
        </w:rPr>
      </w:pPr>
      <w:r w:rsidRPr="005A3A3D">
        <w:rPr>
          <w:rStyle w:val="Refdenotaalpie"/>
          <w:rFonts w:cs="Arial"/>
          <w:sz w:val="16"/>
          <w:szCs w:val="16"/>
          <w:lang w:val="es-ES"/>
        </w:rPr>
        <w:footnoteRef/>
      </w:r>
      <w:r w:rsidRPr="005A3A3D">
        <w:rPr>
          <w:rFonts w:cs="Arial"/>
          <w:sz w:val="16"/>
          <w:szCs w:val="16"/>
          <w:lang w:val="es-ES"/>
        </w:rPr>
        <w:t xml:space="preserve"> </w:t>
      </w:r>
      <w:r w:rsidRPr="005A3A3D">
        <w:rPr>
          <w:rFonts w:cs="Arial"/>
          <w:sz w:val="16"/>
          <w:szCs w:val="16"/>
          <w:lang w:val="es-ES"/>
        </w:rPr>
        <w:tab/>
      </w:r>
      <w:r w:rsidRPr="007D49CF">
        <w:rPr>
          <w:i/>
          <w:iCs/>
          <w:color w:val="000000"/>
          <w:sz w:val="16"/>
          <w:szCs w:val="16"/>
          <w:lang w:val="es-MX"/>
        </w:rPr>
        <w:t>Caso Pueblo Indígena Kichwa de Sarayaku Vs. Ecuador. Fondo y Reparaciones</w:t>
      </w:r>
      <w:r w:rsidRPr="007D49CF">
        <w:rPr>
          <w:color w:val="000000"/>
          <w:sz w:val="16"/>
          <w:szCs w:val="16"/>
          <w:lang w:val="es-MX"/>
        </w:rPr>
        <w:t xml:space="preserve">. Sentencia de 27 de junio de 2012. </w:t>
      </w:r>
      <w:r w:rsidRPr="00540896">
        <w:rPr>
          <w:color w:val="000000"/>
          <w:sz w:val="16"/>
          <w:szCs w:val="16"/>
          <w:lang w:val="es-MX"/>
        </w:rPr>
        <w:t>Serie C No. 245</w:t>
      </w:r>
      <w:r w:rsidRPr="0069142C">
        <w:rPr>
          <w:sz w:val="16"/>
          <w:szCs w:val="16"/>
          <w:lang w:val="es-MX"/>
        </w:rPr>
        <w:t>.</w:t>
      </w:r>
    </w:p>
  </w:footnote>
  <w:footnote w:id="12">
    <w:p w14:paraId="77ECD13C" w14:textId="35314CA5" w:rsidR="002275C3" w:rsidRPr="005A3A3D" w:rsidRDefault="002275C3" w:rsidP="00685548">
      <w:pPr>
        <w:pStyle w:val="Textonotapie"/>
        <w:spacing w:after="120"/>
        <w:rPr>
          <w:rFonts w:cs="Arial"/>
          <w:sz w:val="16"/>
          <w:szCs w:val="16"/>
          <w:lang w:val="es-ES"/>
        </w:rPr>
      </w:pPr>
      <w:r w:rsidRPr="005A3A3D">
        <w:rPr>
          <w:rStyle w:val="Refdenotaalpie"/>
          <w:rFonts w:cs="Arial"/>
          <w:sz w:val="16"/>
          <w:szCs w:val="16"/>
          <w:lang w:val="es-ES"/>
        </w:rPr>
        <w:footnoteRef/>
      </w:r>
      <w:r w:rsidRPr="005A3A3D">
        <w:rPr>
          <w:rFonts w:cs="Arial"/>
          <w:sz w:val="16"/>
          <w:szCs w:val="16"/>
          <w:lang w:val="es-ES"/>
        </w:rPr>
        <w:t xml:space="preserve"> </w:t>
      </w:r>
      <w:r w:rsidRPr="005A3A3D">
        <w:rPr>
          <w:rFonts w:cs="Arial"/>
          <w:sz w:val="16"/>
          <w:szCs w:val="16"/>
          <w:lang w:val="es-ES"/>
        </w:rPr>
        <w:tab/>
      </w:r>
      <w:r>
        <w:rPr>
          <w:rFonts w:cs="Arial"/>
          <w:sz w:val="16"/>
          <w:szCs w:val="16"/>
          <w:lang w:val="es-ES"/>
        </w:rPr>
        <w:t xml:space="preserve">Los escritos de </w:t>
      </w:r>
      <w:r>
        <w:rPr>
          <w:rFonts w:cs="Arial"/>
          <w:i/>
          <w:sz w:val="16"/>
          <w:szCs w:val="16"/>
          <w:lang w:val="es-ES"/>
        </w:rPr>
        <w:t>amicus</w:t>
      </w:r>
      <w:r w:rsidRPr="004356A9">
        <w:rPr>
          <w:rFonts w:cs="Arial"/>
          <w:i/>
          <w:sz w:val="16"/>
          <w:szCs w:val="16"/>
          <w:lang w:val="es-ES"/>
        </w:rPr>
        <w:t xml:space="preserve"> curiae</w:t>
      </w:r>
      <w:r>
        <w:rPr>
          <w:rFonts w:cs="Arial"/>
          <w:sz w:val="16"/>
          <w:szCs w:val="16"/>
          <w:lang w:val="es-ES"/>
        </w:rPr>
        <w:t xml:space="preserve"> presentados fueron: 1) Asociación de Abogados y Abogadas de Derecho Indígena (AADDI) y el Servicio Paz y Justicia (SERPAJ); 2)Centro de Derechos Humanos de la Facultad de Jurisprudencia de la Pontificia Universidad Católica del Ecuador; 3) Fundación Ambiente y Recursos Naturales (FARN); 4) Fundación para el Debido Proceso Legal (DPLF), Clínica de Derechos Humanos de la Universidad de Ottawa, Instituto de Democracia y Derechos Humanos de la Pontificia Universidad Católica del Perú, Núcleo de Estudios en Sistemas Internacionales de Derechos Humanos de la Universidad Federal de Paraná, Clínica Internacional de Derechos Humanos de la Universidad de Guadalajara y </w:t>
      </w:r>
      <w:r w:rsidRPr="00024A21">
        <w:rPr>
          <w:rFonts w:cs="Arial"/>
          <w:i/>
          <w:sz w:val="16"/>
          <w:szCs w:val="16"/>
          <w:lang w:val="es-ES"/>
        </w:rPr>
        <w:t>O’Neill Institute for National and Global Health Law</w:t>
      </w:r>
      <w:r>
        <w:rPr>
          <w:rFonts w:cs="Arial"/>
          <w:sz w:val="16"/>
          <w:szCs w:val="16"/>
          <w:lang w:val="es-ES"/>
        </w:rPr>
        <w:t xml:space="preserve"> de </w:t>
      </w:r>
      <w:r w:rsidRPr="00024A21">
        <w:rPr>
          <w:rFonts w:cs="Arial"/>
          <w:i/>
          <w:sz w:val="16"/>
          <w:szCs w:val="16"/>
          <w:lang w:val="es-ES"/>
        </w:rPr>
        <w:t>Geor</w:t>
      </w:r>
      <w:r>
        <w:rPr>
          <w:rFonts w:cs="Arial"/>
          <w:i/>
          <w:sz w:val="16"/>
          <w:szCs w:val="16"/>
          <w:lang w:val="es-ES"/>
        </w:rPr>
        <w:t>g</w:t>
      </w:r>
      <w:r w:rsidRPr="00024A21">
        <w:rPr>
          <w:rFonts w:cs="Arial"/>
          <w:i/>
          <w:sz w:val="16"/>
          <w:szCs w:val="16"/>
          <w:lang w:val="es-ES"/>
        </w:rPr>
        <w:t>etown University Law</w:t>
      </w:r>
      <w:r>
        <w:rPr>
          <w:rFonts w:cs="Arial"/>
          <w:sz w:val="16"/>
          <w:szCs w:val="16"/>
          <w:lang w:val="es-ES"/>
        </w:rPr>
        <w:t xml:space="preserve"> Center; 5) Organizaciones coordinadas por la Secretaría de la Red Internacional de Derechos Económicos, Sociales y Culturales (Res-DESC); 6) Tierraviva a los Pueblos Indígenas del Chaco; 7) Clínica Jurídica del Centro de Derechos Humanos de la Facultad de la Universidad de Buenos Aires (CDH-UBA), y 8) Oliver de Schutter, Profesor de la Universidad Católica de Lovaina y ex Relator Especial de las Naciones Unidas sobre el Derecho a la Alimentación (2008-2014).</w:t>
      </w:r>
    </w:p>
  </w:footnote>
  <w:footnote w:id="13">
    <w:p w14:paraId="5CCF0F08" w14:textId="1E36608D" w:rsidR="002275C3" w:rsidRPr="005A3A3D" w:rsidRDefault="002275C3" w:rsidP="00685548">
      <w:pPr>
        <w:pStyle w:val="Textonotapie"/>
        <w:spacing w:after="120"/>
        <w:rPr>
          <w:rFonts w:cs="Arial"/>
          <w:sz w:val="16"/>
          <w:szCs w:val="16"/>
          <w:lang w:val="es-ES"/>
        </w:rPr>
      </w:pPr>
      <w:r w:rsidRPr="005A3A3D">
        <w:rPr>
          <w:rStyle w:val="Refdenotaalpie"/>
          <w:rFonts w:cs="Arial"/>
          <w:sz w:val="16"/>
          <w:szCs w:val="16"/>
          <w:lang w:val="es-ES"/>
        </w:rPr>
        <w:footnoteRef/>
      </w:r>
      <w:r w:rsidRPr="005A3A3D">
        <w:rPr>
          <w:rFonts w:cs="Arial"/>
          <w:sz w:val="16"/>
          <w:szCs w:val="16"/>
          <w:lang w:val="es-ES"/>
        </w:rPr>
        <w:t xml:space="preserve"> </w:t>
      </w:r>
      <w:r w:rsidRPr="005A3A3D">
        <w:rPr>
          <w:rFonts w:cs="Arial"/>
          <w:sz w:val="16"/>
          <w:szCs w:val="16"/>
          <w:lang w:val="es-ES"/>
        </w:rPr>
        <w:tab/>
      </w:r>
      <w:r w:rsidRPr="004D10DC">
        <w:rPr>
          <w:rFonts w:cs="Arial"/>
          <w:sz w:val="16"/>
          <w:szCs w:val="16"/>
          <w:lang w:val="es-ES"/>
        </w:rPr>
        <w:t xml:space="preserve">Véase </w:t>
      </w:r>
      <w:r w:rsidRPr="004D10DC">
        <w:rPr>
          <w:rFonts w:cs="Arial"/>
          <w:i/>
          <w:sz w:val="16"/>
          <w:szCs w:val="16"/>
          <w:lang w:val="es-ES"/>
        </w:rPr>
        <w:t xml:space="preserve">infra, </w:t>
      </w:r>
      <w:r w:rsidRPr="004D10DC">
        <w:rPr>
          <w:rFonts w:cs="Arial"/>
          <w:sz w:val="16"/>
          <w:szCs w:val="16"/>
          <w:lang w:val="es-ES"/>
        </w:rPr>
        <w:t xml:space="preserve">apartado IV del presente Voto razonado: “Los </w:t>
      </w:r>
      <w:r w:rsidRPr="004D10DC">
        <w:rPr>
          <w:rFonts w:cs="Arial"/>
          <w:i/>
          <w:sz w:val="16"/>
          <w:szCs w:val="16"/>
          <w:lang w:val="es-ES"/>
        </w:rPr>
        <w:t xml:space="preserve">amici curiae </w:t>
      </w:r>
      <w:r w:rsidRPr="004D10DC">
        <w:rPr>
          <w:rFonts w:cs="Arial"/>
          <w:sz w:val="16"/>
          <w:szCs w:val="16"/>
          <w:lang w:val="es-ES"/>
        </w:rPr>
        <w:t>como medio de diálogo de la sociedad civil con la Corte Interamericana”.</w:t>
      </w:r>
    </w:p>
  </w:footnote>
  <w:footnote w:id="14">
    <w:p w14:paraId="2EE99013" w14:textId="3A61A45E" w:rsidR="002275C3" w:rsidRPr="00C87BC1" w:rsidRDefault="002275C3" w:rsidP="00B320D4">
      <w:pPr>
        <w:jc w:val="both"/>
      </w:pPr>
      <w:r w:rsidRPr="004221EC">
        <w:rPr>
          <w:rStyle w:val="Refdenotaalpie"/>
          <w:rFonts w:cs="Arial"/>
          <w:sz w:val="16"/>
          <w:szCs w:val="16"/>
          <w:lang w:val="es-ES"/>
        </w:rPr>
        <w:footnoteRef/>
      </w:r>
      <w:r w:rsidRPr="004221EC">
        <w:rPr>
          <w:rFonts w:cs="Arial"/>
          <w:sz w:val="16"/>
          <w:szCs w:val="16"/>
          <w:lang w:val="es-ES"/>
        </w:rPr>
        <w:t xml:space="preserve"> </w:t>
      </w:r>
      <w:r w:rsidRPr="004221EC">
        <w:rPr>
          <w:rFonts w:cs="Arial"/>
          <w:sz w:val="16"/>
          <w:szCs w:val="16"/>
          <w:lang w:val="es-ES"/>
        </w:rPr>
        <w:tab/>
      </w:r>
      <w:r w:rsidRPr="00B320D4">
        <w:rPr>
          <w:rFonts w:ascii="Verdana" w:hAnsi="Verdana" w:cs="Arial"/>
          <w:sz w:val="16"/>
          <w:szCs w:val="16"/>
          <w:lang w:val="es-ES"/>
        </w:rPr>
        <w:t xml:space="preserve">Véanse los votos que sobre la materia he formulado en las siguientes sentencias: </w:t>
      </w:r>
      <w:r w:rsidRPr="00B320D4">
        <w:rPr>
          <w:rStyle w:val="Textoennegrita"/>
          <w:rFonts w:ascii="Verdana" w:hAnsi="Verdana" w:cs="Arial"/>
          <w:b w:val="0"/>
          <w:bCs w:val="0"/>
          <w:i/>
          <w:color w:val="000000"/>
          <w:sz w:val="16"/>
          <w:szCs w:val="16"/>
          <w:lang w:val="es-ES"/>
        </w:rPr>
        <w:t>Caso Suárez Peralta Vs. Ecuador. Excepciones Preliminares, Fondo, Reparaciones y Costas.</w:t>
      </w:r>
      <w:r w:rsidRPr="00B320D4">
        <w:rPr>
          <w:rStyle w:val="Textoennegrita"/>
          <w:rFonts w:ascii="Verdana" w:hAnsi="Verdana" w:cs="Arial"/>
          <w:b w:val="0"/>
          <w:bCs w:val="0"/>
          <w:color w:val="000000"/>
          <w:sz w:val="16"/>
          <w:szCs w:val="16"/>
          <w:lang w:val="es-ES"/>
        </w:rPr>
        <w:t xml:space="preserve"> Sentencia de 21 de mayo de 2013. Serie C No. 261; </w:t>
      </w:r>
      <w:r w:rsidRPr="00B320D4">
        <w:rPr>
          <w:rStyle w:val="Textoennegrita"/>
          <w:rFonts w:ascii="Verdana" w:hAnsi="Verdana" w:cs="Arial"/>
          <w:b w:val="0"/>
          <w:bCs w:val="0"/>
          <w:i/>
          <w:color w:val="000000"/>
          <w:sz w:val="16"/>
          <w:szCs w:val="16"/>
          <w:lang w:val="es-ES"/>
        </w:rPr>
        <w:t>Caso Canales Huapaya y otros Vs. Perú. Excepciones Preliminares, Fondo, Reparaciones y Costas</w:t>
      </w:r>
      <w:r w:rsidRPr="00B320D4">
        <w:rPr>
          <w:rStyle w:val="Textoennegrita"/>
          <w:rFonts w:ascii="Verdana" w:hAnsi="Verdana" w:cs="Arial"/>
          <w:b w:val="0"/>
          <w:bCs w:val="0"/>
          <w:color w:val="000000"/>
          <w:sz w:val="16"/>
          <w:szCs w:val="16"/>
          <w:lang w:val="es-ES"/>
        </w:rPr>
        <w:t xml:space="preserve">. Sentencia de 24 de junio de 2015. Serie C No. 296; </w:t>
      </w:r>
      <w:r w:rsidRPr="00B320D4">
        <w:rPr>
          <w:rStyle w:val="Textoennegrita"/>
          <w:rFonts w:ascii="Verdana" w:hAnsi="Verdana" w:cs="Arial"/>
          <w:b w:val="0"/>
          <w:bCs w:val="0"/>
          <w:i/>
          <w:color w:val="000000"/>
          <w:sz w:val="16"/>
          <w:szCs w:val="16"/>
          <w:lang w:val="es-ES"/>
        </w:rPr>
        <w:t>Caso Gonzales Lluy y otros Vs. Ecuador. Excepciones Preliminares, Fondo, Reparaciones y Costas</w:t>
      </w:r>
      <w:r w:rsidRPr="00B320D4">
        <w:rPr>
          <w:rStyle w:val="Textoennegrita"/>
          <w:rFonts w:ascii="Verdana" w:hAnsi="Verdana" w:cs="Arial"/>
          <w:b w:val="0"/>
          <w:bCs w:val="0"/>
          <w:color w:val="000000"/>
          <w:sz w:val="16"/>
          <w:szCs w:val="16"/>
          <w:lang w:val="es-ES"/>
        </w:rPr>
        <w:t xml:space="preserve">. Sentencia de 1 de septiembre de 2015. Serie C No. 298; </w:t>
      </w:r>
      <w:r w:rsidRPr="00B320D4">
        <w:rPr>
          <w:rStyle w:val="Textoennegrita"/>
          <w:rFonts w:ascii="Verdana" w:hAnsi="Verdana" w:cs="Arial"/>
          <w:b w:val="0"/>
          <w:bCs w:val="0"/>
          <w:i/>
          <w:color w:val="000000"/>
          <w:sz w:val="16"/>
          <w:szCs w:val="16"/>
          <w:lang w:val="es-ES"/>
        </w:rPr>
        <w:t>Caso Chinchilla Sandoval y otros Vs. Guatemala. Excepción Preliminar, Fondo, Reparaciones y Costas</w:t>
      </w:r>
      <w:r w:rsidRPr="00B320D4">
        <w:rPr>
          <w:rStyle w:val="Textoennegrita"/>
          <w:rFonts w:ascii="Verdana" w:hAnsi="Verdana" w:cs="Arial"/>
          <w:b w:val="0"/>
          <w:bCs w:val="0"/>
          <w:color w:val="000000"/>
          <w:sz w:val="16"/>
          <w:szCs w:val="16"/>
          <w:lang w:val="es-ES"/>
        </w:rPr>
        <w:t xml:space="preserve">. Sentencia de 29 de febrero de 2016. Serie C No. 312; </w:t>
      </w:r>
      <w:r w:rsidRPr="00B320D4">
        <w:rPr>
          <w:rStyle w:val="Textoennegrita"/>
          <w:rFonts w:ascii="Verdana" w:hAnsi="Verdana" w:cs="Arial"/>
          <w:b w:val="0"/>
          <w:bCs w:val="0"/>
          <w:i/>
          <w:color w:val="000000"/>
          <w:sz w:val="16"/>
          <w:szCs w:val="16"/>
          <w:lang w:val="es-ES"/>
        </w:rPr>
        <w:t>Caso I.V. Vs. Bolivia. Excepciones Preliminares, Fondo, Reparaciones y Costas</w:t>
      </w:r>
      <w:r w:rsidRPr="00B320D4">
        <w:rPr>
          <w:rStyle w:val="Textoennegrita"/>
          <w:rFonts w:ascii="Verdana" w:hAnsi="Verdana" w:cs="Arial"/>
          <w:b w:val="0"/>
          <w:bCs w:val="0"/>
          <w:color w:val="000000"/>
          <w:sz w:val="16"/>
          <w:szCs w:val="16"/>
          <w:lang w:val="es-ES"/>
        </w:rPr>
        <w:t xml:space="preserve">. Sentencia de 30 de noviembre de 2016. Serie C No. 329; </w:t>
      </w:r>
      <w:r w:rsidRPr="00B320D4">
        <w:rPr>
          <w:rStyle w:val="Textoennegrita"/>
          <w:rFonts w:ascii="Verdana" w:hAnsi="Verdana" w:cs="Arial"/>
          <w:b w:val="0"/>
          <w:bCs w:val="0"/>
          <w:i/>
          <w:color w:val="000000"/>
          <w:sz w:val="16"/>
          <w:szCs w:val="16"/>
          <w:lang w:val="es-ES"/>
        </w:rPr>
        <w:t>Caso Yarce y otras Vs. Colombia. Excepción Preliminar, Fondo, Reparaciones y Costas.</w:t>
      </w:r>
      <w:r w:rsidRPr="00B320D4">
        <w:rPr>
          <w:rStyle w:val="Textoennegrita"/>
          <w:rFonts w:ascii="Verdana" w:hAnsi="Verdana" w:cs="Arial"/>
          <w:b w:val="0"/>
          <w:bCs w:val="0"/>
          <w:color w:val="000000"/>
          <w:sz w:val="16"/>
          <w:szCs w:val="16"/>
          <w:lang w:val="es-ES"/>
        </w:rPr>
        <w:t xml:space="preserve"> Sentencia de 22 de noviembre de 2016. Serie C No. 325; </w:t>
      </w:r>
      <w:r w:rsidRPr="00B320D4">
        <w:rPr>
          <w:rStyle w:val="Textoennegrita"/>
          <w:rFonts w:ascii="Verdana" w:hAnsi="Verdana" w:cs="Arial"/>
          <w:b w:val="0"/>
          <w:bCs w:val="0"/>
          <w:i/>
          <w:color w:val="000000"/>
          <w:sz w:val="16"/>
          <w:szCs w:val="16"/>
          <w:lang w:val="es-ES"/>
        </w:rPr>
        <w:t>Caso Lagos del Campo Vs. Perú. Excepciones Preliminares, Fondo, Reparaciones y Costas.</w:t>
      </w:r>
      <w:r w:rsidRPr="00B320D4">
        <w:rPr>
          <w:rStyle w:val="Textoennegrita"/>
          <w:rFonts w:ascii="Verdana" w:hAnsi="Verdana" w:cs="Arial"/>
          <w:b w:val="0"/>
          <w:bCs w:val="0"/>
          <w:color w:val="000000"/>
          <w:sz w:val="16"/>
          <w:szCs w:val="16"/>
          <w:lang w:val="es-ES"/>
        </w:rPr>
        <w:t xml:space="preserve"> Sentencia de 31 de agosto de 2017. Serie C No. 340; </w:t>
      </w:r>
      <w:r w:rsidRPr="00B320D4">
        <w:rPr>
          <w:rStyle w:val="Textoennegrita"/>
          <w:rFonts w:ascii="Verdana" w:hAnsi="Verdana" w:cs="Arial"/>
          <w:b w:val="0"/>
          <w:bCs w:val="0"/>
          <w:i/>
          <w:color w:val="000000"/>
          <w:sz w:val="16"/>
          <w:szCs w:val="16"/>
          <w:lang w:val="es-ES"/>
        </w:rPr>
        <w:t>Caso Vereda La Esperanza Vs. Colombia. Excepciones Preliminares, Fondo, Reparaciones y Costas</w:t>
      </w:r>
      <w:r w:rsidRPr="00B320D4">
        <w:rPr>
          <w:rStyle w:val="Textoennegrita"/>
          <w:rFonts w:ascii="Verdana" w:hAnsi="Verdana" w:cs="Arial"/>
          <w:b w:val="0"/>
          <w:bCs w:val="0"/>
          <w:color w:val="000000"/>
          <w:sz w:val="16"/>
          <w:szCs w:val="16"/>
          <w:lang w:val="es-ES"/>
        </w:rPr>
        <w:t xml:space="preserve">. Sentencia de 31 de agosto de 2017. Serie C No. 341; </w:t>
      </w:r>
      <w:r w:rsidRPr="00B320D4">
        <w:rPr>
          <w:rStyle w:val="Textoennegrita"/>
          <w:rFonts w:ascii="Verdana" w:hAnsi="Verdana" w:cs="Arial"/>
          <w:b w:val="0"/>
          <w:bCs w:val="0"/>
          <w:i/>
          <w:color w:val="000000"/>
          <w:sz w:val="16"/>
          <w:szCs w:val="16"/>
          <w:lang w:val="es-ES"/>
        </w:rPr>
        <w:t>Caso San Miguel Sosa y otras Vs. Venezuela. Fondo, Reparaciones y Costas</w:t>
      </w:r>
      <w:r w:rsidRPr="00B320D4">
        <w:rPr>
          <w:rStyle w:val="Textoennegrita"/>
          <w:rFonts w:ascii="Verdana" w:hAnsi="Verdana" w:cs="Arial"/>
          <w:b w:val="0"/>
          <w:bCs w:val="0"/>
          <w:color w:val="000000"/>
          <w:sz w:val="16"/>
          <w:szCs w:val="16"/>
          <w:lang w:val="es-ES"/>
        </w:rPr>
        <w:t xml:space="preserve">. Sentencia de 8 de febrero de 2018. Serie C No. 348; </w:t>
      </w:r>
      <w:r w:rsidRPr="00B320D4">
        <w:rPr>
          <w:rStyle w:val="Textoennegrita"/>
          <w:rFonts w:ascii="Verdana" w:hAnsi="Verdana" w:cs="Arial"/>
          <w:b w:val="0"/>
          <w:bCs w:val="0"/>
          <w:i/>
          <w:color w:val="000000"/>
          <w:sz w:val="16"/>
          <w:szCs w:val="16"/>
          <w:lang w:val="es-ES"/>
        </w:rPr>
        <w:t>Caso Cuscul Pivaral y otros Vs. Guatemala. Excepción Preliminar, Fondo, Reparaciones y Costas.</w:t>
      </w:r>
      <w:r w:rsidRPr="00B320D4">
        <w:rPr>
          <w:rStyle w:val="Textoennegrita"/>
          <w:rFonts w:ascii="Verdana" w:hAnsi="Verdana" w:cs="Arial"/>
          <w:b w:val="0"/>
          <w:bCs w:val="0"/>
          <w:color w:val="000000"/>
          <w:sz w:val="16"/>
          <w:szCs w:val="16"/>
          <w:lang w:val="es-ES"/>
        </w:rPr>
        <w:t xml:space="preserve"> Sentencia de 23 de agosto de 2018. Serie C No. 359; </w:t>
      </w:r>
      <w:r w:rsidRPr="00B320D4">
        <w:rPr>
          <w:rStyle w:val="Textoennegrita"/>
          <w:rFonts w:ascii="Verdana" w:hAnsi="Verdana" w:cs="Arial"/>
          <w:b w:val="0"/>
          <w:bCs w:val="0"/>
          <w:i/>
          <w:color w:val="000000"/>
          <w:sz w:val="16"/>
          <w:szCs w:val="16"/>
          <w:lang w:val="es-ES"/>
        </w:rPr>
        <w:t>Caso Muelle Flores Vs. Perú. Excepciones Preliminares, Fondo, Reparaciones y Costas.</w:t>
      </w:r>
      <w:r w:rsidRPr="00B320D4">
        <w:rPr>
          <w:rStyle w:val="Textoennegrita"/>
          <w:rFonts w:ascii="Verdana" w:hAnsi="Verdana" w:cs="Arial"/>
          <w:b w:val="0"/>
          <w:bCs w:val="0"/>
          <w:color w:val="000000"/>
          <w:sz w:val="16"/>
          <w:szCs w:val="16"/>
          <w:lang w:val="es-ES"/>
        </w:rPr>
        <w:t xml:space="preserve"> Sentencia de 6 de marzo de 2019. Serie C No. 375 y </w:t>
      </w:r>
      <w:r w:rsidRPr="00B320D4">
        <w:rPr>
          <w:rFonts w:ascii="Verdana" w:hAnsi="Verdana" w:cs="Arial"/>
          <w:i/>
          <w:sz w:val="16"/>
          <w:szCs w:val="16"/>
          <w:lang w:val="es-ES"/>
        </w:rPr>
        <w:t xml:space="preserve"> </w:t>
      </w:r>
      <w:r w:rsidRPr="00B320D4">
        <w:rPr>
          <w:rFonts w:ascii="Verdana" w:hAnsi="Verdana"/>
          <w:i/>
          <w:iCs/>
          <w:color w:val="000000"/>
          <w:sz w:val="16"/>
          <w:szCs w:val="16"/>
        </w:rPr>
        <w:t>Caso Hernández Vs. Argentina. Excepción Preliminar, Fondo, Reparaciones y Costas.</w:t>
      </w:r>
      <w:r w:rsidRPr="00B320D4">
        <w:rPr>
          <w:rFonts w:ascii="Verdana" w:hAnsi="Verdana"/>
          <w:color w:val="000000"/>
          <w:sz w:val="16"/>
          <w:szCs w:val="16"/>
        </w:rPr>
        <w:t xml:space="preserve"> Sentencia de 22 de noviembre de 2019. Serie C No. 395.</w:t>
      </w:r>
    </w:p>
    <w:p w14:paraId="2DC097BD" w14:textId="5148E91D" w:rsidR="002275C3" w:rsidRPr="00E26F96" w:rsidRDefault="002275C3" w:rsidP="00685548">
      <w:pPr>
        <w:pStyle w:val="Textonotapie"/>
        <w:spacing w:after="120"/>
        <w:ind w:right="49"/>
        <w:rPr>
          <w:rFonts w:cs="Arial"/>
          <w:color w:val="000000"/>
          <w:sz w:val="16"/>
          <w:szCs w:val="16"/>
          <w:shd w:val="clear" w:color="auto" w:fill="FFFFFF"/>
          <w:lang w:val="es-ES"/>
        </w:rPr>
      </w:pPr>
    </w:p>
  </w:footnote>
  <w:footnote w:id="15">
    <w:p w14:paraId="2A1024D6" w14:textId="2722B214" w:rsidR="002275C3" w:rsidRPr="00685548" w:rsidRDefault="002275C3" w:rsidP="00685548">
      <w:pPr>
        <w:spacing w:after="120"/>
        <w:jc w:val="both"/>
        <w:rPr>
          <w:rFonts w:ascii="Verdana" w:hAnsi="Verdana"/>
          <w:sz w:val="16"/>
          <w:szCs w:val="16"/>
          <w:lang w:val="es-ES_tradnl" w:eastAsia="es-ES_tradnl"/>
        </w:rPr>
      </w:pPr>
      <w:r w:rsidRPr="004B4990">
        <w:rPr>
          <w:rStyle w:val="Refdenotaalpie"/>
          <w:rFonts w:eastAsia="Batang"/>
          <w:sz w:val="16"/>
          <w:szCs w:val="16"/>
        </w:rPr>
        <w:footnoteRef/>
      </w:r>
      <w:r w:rsidRPr="004B4990">
        <w:rPr>
          <w:rFonts w:ascii="Verdana" w:hAnsi="Verdana"/>
          <w:sz w:val="16"/>
          <w:szCs w:val="16"/>
        </w:rPr>
        <w:t xml:space="preserve">  </w:t>
      </w:r>
      <w:r w:rsidRPr="004B4990">
        <w:rPr>
          <w:rFonts w:ascii="Verdana" w:hAnsi="Verdana"/>
          <w:sz w:val="16"/>
          <w:szCs w:val="16"/>
        </w:rPr>
        <w:tab/>
      </w:r>
      <w:r w:rsidRPr="004B4990">
        <w:rPr>
          <w:rFonts w:ascii="Verdana" w:hAnsi="Verdana"/>
          <w:i/>
          <w:sz w:val="16"/>
          <w:szCs w:val="16"/>
        </w:rPr>
        <w:t>C</w:t>
      </w:r>
      <w:r w:rsidRPr="004B4990">
        <w:rPr>
          <w:rFonts w:ascii="Verdana" w:hAnsi="Verdana"/>
          <w:bCs/>
          <w:i/>
          <w:color w:val="000000"/>
          <w:sz w:val="16"/>
          <w:szCs w:val="16"/>
          <w:lang w:val="es-ES_tradnl" w:eastAsia="es-ES_tradnl"/>
        </w:rPr>
        <w:t>aso de la Comunidad Mayagna (Sumo) Awas Tingni Vs. Nicaragua. Fondo, Reparaciones y Costas.</w:t>
      </w:r>
      <w:r w:rsidRPr="004B4990">
        <w:rPr>
          <w:rFonts w:ascii="Verdana" w:hAnsi="Verdana"/>
          <w:bCs/>
          <w:color w:val="000000"/>
          <w:sz w:val="16"/>
          <w:szCs w:val="16"/>
          <w:lang w:val="es-ES_tradnl" w:eastAsia="es-ES_tradnl"/>
        </w:rPr>
        <w:t xml:space="preserve"> Sentencia de 31 de agosto de 2001. Serie C No. 79, párr. 149. </w:t>
      </w:r>
      <w:r w:rsidRPr="004B4990">
        <w:rPr>
          <w:rFonts w:ascii="Verdana" w:hAnsi="Verdana"/>
          <w:sz w:val="16"/>
          <w:szCs w:val="16"/>
          <w:lang w:val="es-ES"/>
        </w:rPr>
        <w:t>En ese sentido, el Tribunal</w:t>
      </w:r>
      <w:r>
        <w:rPr>
          <w:rFonts w:ascii="Verdana" w:hAnsi="Verdana"/>
          <w:sz w:val="16"/>
          <w:szCs w:val="16"/>
          <w:lang w:val="es-ES"/>
        </w:rPr>
        <w:t xml:space="preserve"> Interamericano</w:t>
      </w:r>
      <w:r w:rsidRPr="004B4990">
        <w:rPr>
          <w:rFonts w:ascii="Verdana" w:hAnsi="Verdana"/>
          <w:sz w:val="16"/>
          <w:szCs w:val="16"/>
          <w:lang w:val="es-ES"/>
        </w:rPr>
        <w:t>, en esa decisión y con posterioridad “</w:t>
      </w:r>
      <w:r w:rsidRPr="007159ED">
        <w:rPr>
          <w:rFonts w:ascii="Verdana" w:hAnsi="Verdana"/>
          <w:sz w:val="16"/>
          <w:szCs w:val="16"/>
          <w:lang w:val="es-ES_tradnl" w:eastAsia="es-ES_tradnl"/>
        </w:rPr>
        <w:t>ha resaltado que la estrecha relación que los indígenas mantienen con la tierra debe de ser reconocida y comprendida como la base fundamental de su cultura, vida espiritual, integridad, supervivencia económica y su preservación y transmisión a las generaciones futuras</w:t>
      </w:r>
      <w:r w:rsidRPr="004B4990">
        <w:rPr>
          <w:rFonts w:ascii="Verdana" w:hAnsi="Verdana"/>
          <w:sz w:val="16"/>
          <w:szCs w:val="16"/>
          <w:lang w:val="es-ES_tradnl" w:eastAsia="es-ES_tradnl"/>
        </w:rPr>
        <w:t>” (</w:t>
      </w:r>
      <w:r w:rsidRPr="004B4990">
        <w:rPr>
          <w:rFonts w:ascii="Verdana" w:hAnsi="Verdana"/>
          <w:i/>
          <w:iCs/>
          <w:sz w:val="16"/>
          <w:szCs w:val="16"/>
          <w:lang w:val="es-ES_tradnl" w:eastAsia="es-ES_tradnl"/>
        </w:rPr>
        <w:t>Caso Masacre Plan de Sánchez</w:t>
      </w:r>
      <w:r w:rsidRPr="004B4990">
        <w:rPr>
          <w:rFonts w:ascii="Verdana" w:hAnsi="Verdana"/>
          <w:sz w:val="16"/>
          <w:szCs w:val="16"/>
          <w:lang w:val="es-ES_tradnl" w:eastAsia="es-ES_tradnl"/>
        </w:rPr>
        <w:t xml:space="preserve">. </w:t>
      </w:r>
      <w:r w:rsidRPr="004B4990">
        <w:rPr>
          <w:rFonts w:ascii="Verdana" w:hAnsi="Verdana"/>
          <w:i/>
          <w:iCs/>
          <w:sz w:val="16"/>
          <w:szCs w:val="16"/>
          <w:lang w:val="es-ES_tradnl" w:eastAsia="es-ES_tradnl"/>
        </w:rPr>
        <w:t xml:space="preserve">Reparaciones </w:t>
      </w:r>
      <w:r w:rsidRPr="004B4990">
        <w:rPr>
          <w:rFonts w:ascii="Verdana" w:hAnsi="Verdana"/>
          <w:sz w:val="16"/>
          <w:szCs w:val="16"/>
          <w:lang w:val="es-ES_tradnl" w:eastAsia="es-ES_tradnl"/>
        </w:rPr>
        <w:t xml:space="preserve">(art. 63.1 Convención Americana sobre Derechos Humanos). Sentencia de 19 de noviembre 2004. Serie C No. 116, párr. 85, y </w:t>
      </w:r>
      <w:r w:rsidRPr="004B4990">
        <w:rPr>
          <w:rFonts w:ascii="Verdana" w:hAnsi="Verdana"/>
          <w:bCs/>
          <w:i/>
          <w:color w:val="000000"/>
          <w:sz w:val="16"/>
          <w:szCs w:val="16"/>
          <w:lang w:val="es-ES_tradnl" w:eastAsia="es-ES_tradnl"/>
        </w:rPr>
        <w:t>Caso Comunidad Indígena Yakye Axa Vs. Paraguay. Fondo, Reparaciones y Costas.</w:t>
      </w:r>
      <w:r w:rsidRPr="004B4990">
        <w:rPr>
          <w:rFonts w:ascii="Verdana" w:hAnsi="Verdana"/>
          <w:bCs/>
          <w:color w:val="000000"/>
          <w:sz w:val="16"/>
          <w:szCs w:val="16"/>
          <w:lang w:val="es-ES_tradnl" w:eastAsia="es-ES_tradnl"/>
        </w:rPr>
        <w:t xml:space="preserve"> Sentencia de 17 de junio de 2005. Serie C No. 125, párr.</w:t>
      </w:r>
      <w:r w:rsidRPr="004B4990">
        <w:rPr>
          <w:rFonts w:ascii="Verdana" w:hAnsi="Verdana"/>
          <w:b/>
          <w:bCs/>
          <w:color w:val="000000"/>
          <w:sz w:val="16"/>
          <w:szCs w:val="16"/>
          <w:lang w:val="es-ES_tradnl" w:eastAsia="es-ES_tradnl"/>
        </w:rPr>
        <w:t xml:space="preserve"> </w:t>
      </w:r>
      <w:r w:rsidRPr="004B4990">
        <w:rPr>
          <w:rFonts w:ascii="Verdana" w:hAnsi="Verdana"/>
          <w:sz w:val="16"/>
          <w:szCs w:val="16"/>
          <w:lang w:val="es-ES_tradnl" w:eastAsia="es-ES_tradnl"/>
        </w:rPr>
        <w:t xml:space="preserve">131. </w:t>
      </w:r>
    </w:p>
  </w:footnote>
  <w:footnote w:id="16">
    <w:p w14:paraId="6F974B54" w14:textId="79166D39" w:rsidR="002275C3" w:rsidRPr="00685548" w:rsidRDefault="002275C3" w:rsidP="00685548">
      <w:pPr>
        <w:spacing w:after="120"/>
        <w:jc w:val="both"/>
        <w:rPr>
          <w:rFonts w:ascii="Verdana" w:hAnsi="Verdana"/>
          <w:sz w:val="16"/>
          <w:szCs w:val="16"/>
          <w:lang w:val="es-ES_tradnl" w:eastAsia="es-ES_tradnl"/>
        </w:rPr>
      </w:pPr>
      <w:r w:rsidRPr="004B4990">
        <w:rPr>
          <w:rStyle w:val="Refdenotaalpie"/>
          <w:rFonts w:eastAsia="Batang"/>
          <w:sz w:val="16"/>
          <w:szCs w:val="16"/>
        </w:rPr>
        <w:footnoteRef/>
      </w:r>
      <w:r w:rsidRPr="004B4990">
        <w:rPr>
          <w:rFonts w:ascii="Verdana" w:hAnsi="Verdana"/>
          <w:sz w:val="16"/>
          <w:szCs w:val="16"/>
        </w:rPr>
        <w:t xml:space="preserve"> </w:t>
      </w:r>
      <w:r w:rsidRPr="004B4990">
        <w:rPr>
          <w:rFonts w:ascii="Verdana" w:hAnsi="Verdana"/>
          <w:sz w:val="16"/>
          <w:szCs w:val="16"/>
        </w:rPr>
        <w:tab/>
      </w:r>
      <w:r w:rsidRPr="004B4990">
        <w:rPr>
          <w:rFonts w:ascii="Verdana" w:hAnsi="Verdana"/>
          <w:i/>
          <w:sz w:val="16"/>
          <w:szCs w:val="16"/>
        </w:rPr>
        <w:t>C</w:t>
      </w:r>
      <w:r w:rsidRPr="004B4990">
        <w:rPr>
          <w:rFonts w:ascii="Verdana" w:hAnsi="Verdana"/>
          <w:bCs/>
          <w:i/>
          <w:color w:val="000000"/>
          <w:sz w:val="16"/>
          <w:szCs w:val="16"/>
          <w:lang w:val="es-ES_tradnl" w:eastAsia="es-ES_tradnl"/>
        </w:rPr>
        <w:t>aso de la Comunidad Mayagna (Sumo) Awas Tingni Vs. Nicaragua. Fondo, Reparaciones y Costas.</w:t>
      </w:r>
      <w:r w:rsidRPr="004B4990">
        <w:rPr>
          <w:rFonts w:ascii="Verdana" w:hAnsi="Verdana"/>
          <w:bCs/>
          <w:color w:val="000000"/>
          <w:sz w:val="16"/>
          <w:szCs w:val="16"/>
          <w:lang w:val="es-ES_tradnl" w:eastAsia="es-ES_tradnl"/>
        </w:rPr>
        <w:t xml:space="preserve"> Sentencia de 31 de agosto de 2001. Serie C No. 79, párr. 149. </w:t>
      </w:r>
    </w:p>
  </w:footnote>
  <w:footnote w:id="17">
    <w:p w14:paraId="02FAFB87" w14:textId="105559DF" w:rsidR="002275C3" w:rsidRPr="00A9014D" w:rsidRDefault="002275C3" w:rsidP="00685548">
      <w:pPr>
        <w:spacing w:after="120"/>
        <w:jc w:val="both"/>
        <w:rPr>
          <w:rFonts w:ascii="Verdana" w:hAnsi="Verdana"/>
          <w:sz w:val="16"/>
          <w:szCs w:val="16"/>
          <w:lang w:val="es-ES"/>
        </w:rPr>
      </w:pPr>
      <w:r w:rsidRPr="004B4990">
        <w:rPr>
          <w:rStyle w:val="Refdenotaalpie"/>
          <w:rFonts w:eastAsia="Batang"/>
          <w:sz w:val="16"/>
          <w:szCs w:val="16"/>
        </w:rPr>
        <w:footnoteRef/>
      </w:r>
      <w:r w:rsidRPr="004B4990">
        <w:rPr>
          <w:rFonts w:ascii="Verdana" w:hAnsi="Verdana"/>
          <w:sz w:val="16"/>
          <w:szCs w:val="16"/>
        </w:rPr>
        <w:t xml:space="preserve"> </w:t>
      </w:r>
      <w:r w:rsidRPr="004B4990">
        <w:rPr>
          <w:rFonts w:ascii="Verdana" w:hAnsi="Verdana"/>
          <w:sz w:val="16"/>
          <w:szCs w:val="16"/>
        </w:rPr>
        <w:tab/>
      </w:r>
      <w:r w:rsidRPr="004B4990">
        <w:rPr>
          <w:rFonts w:ascii="Verdana" w:hAnsi="Verdana"/>
          <w:bCs/>
          <w:i/>
          <w:color w:val="000000"/>
          <w:sz w:val="16"/>
          <w:szCs w:val="16"/>
          <w:lang w:val="es-ES_tradnl" w:eastAsia="es-ES_tradnl"/>
        </w:rPr>
        <w:t>Caso de la Comunidad Moiwana Vs. Surinam. Excepciones Preliminares, Fondo, Reparaciones y Costas</w:t>
      </w:r>
      <w:r w:rsidRPr="004B4990">
        <w:rPr>
          <w:rFonts w:ascii="Verdana" w:hAnsi="Verdana"/>
          <w:bCs/>
          <w:color w:val="000000"/>
          <w:sz w:val="16"/>
          <w:szCs w:val="16"/>
          <w:lang w:val="es-ES_tradnl" w:eastAsia="es-ES_tradnl"/>
        </w:rPr>
        <w:t>. Sentencia de 15 de junio de 2005. Serie C No. 124, párr.</w:t>
      </w:r>
      <w:r w:rsidRPr="004B4990">
        <w:rPr>
          <w:rFonts w:ascii="Verdana" w:hAnsi="Verdana"/>
          <w:sz w:val="16"/>
          <w:szCs w:val="16"/>
        </w:rPr>
        <w:t xml:space="preserve"> </w:t>
      </w:r>
      <w:r w:rsidRPr="004B4990">
        <w:rPr>
          <w:rFonts w:ascii="Verdana" w:hAnsi="Verdana"/>
          <w:sz w:val="16"/>
          <w:szCs w:val="16"/>
          <w:lang w:val="es-ES"/>
        </w:rPr>
        <w:t>131</w:t>
      </w:r>
      <w:r>
        <w:rPr>
          <w:rFonts w:ascii="Verdana" w:hAnsi="Verdana"/>
          <w:sz w:val="16"/>
          <w:szCs w:val="16"/>
          <w:lang w:val="es-ES"/>
        </w:rPr>
        <w:t>.</w:t>
      </w:r>
    </w:p>
  </w:footnote>
  <w:footnote w:id="18">
    <w:p w14:paraId="0367620C" w14:textId="1C5A327A" w:rsidR="002275C3" w:rsidRPr="00A9014D" w:rsidRDefault="002275C3" w:rsidP="00A9014D">
      <w:pPr>
        <w:spacing w:after="120"/>
        <w:jc w:val="both"/>
        <w:rPr>
          <w:rFonts w:ascii="Verdana" w:hAnsi="Verdana"/>
          <w:sz w:val="16"/>
          <w:szCs w:val="16"/>
          <w:lang w:val="es-ES"/>
        </w:rPr>
      </w:pPr>
      <w:r w:rsidRPr="004B4990">
        <w:rPr>
          <w:rStyle w:val="Refdenotaalpie"/>
          <w:rFonts w:eastAsia="Batang"/>
          <w:sz w:val="16"/>
          <w:szCs w:val="16"/>
        </w:rPr>
        <w:footnoteRef/>
      </w:r>
      <w:r w:rsidRPr="004B4990">
        <w:rPr>
          <w:rFonts w:ascii="Verdana" w:hAnsi="Verdana"/>
          <w:sz w:val="16"/>
          <w:szCs w:val="16"/>
        </w:rPr>
        <w:t xml:space="preserve"> </w:t>
      </w:r>
      <w:r w:rsidRPr="004B4990">
        <w:rPr>
          <w:rFonts w:ascii="Verdana" w:hAnsi="Verdana"/>
          <w:sz w:val="16"/>
          <w:szCs w:val="16"/>
        </w:rPr>
        <w:tab/>
      </w:r>
      <w:r w:rsidRPr="00B6444B">
        <w:rPr>
          <w:rFonts w:ascii="Verdana" w:hAnsi="Verdana"/>
          <w:bCs/>
          <w:color w:val="000000"/>
          <w:sz w:val="16"/>
          <w:szCs w:val="16"/>
          <w:lang w:val="es-ES_tradnl" w:eastAsia="es-ES_tradnl"/>
        </w:rPr>
        <w:t>Este importante tratado internacional fue adoptado hace más de tres décadas, el 27 de junio de 1989, en Ginebra, Suiza, entrando en vigor el 5 de septiembre de 1991. Hasta la fecha, de acuerdo a información publicada por la Organización Internacional del Trabajo, ha sido suscrito y ratificado por 2</w:t>
      </w:r>
      <w:r>
        <w:rPr>
          <w:rFonts w:ascii="Verdana" w:hAnsi="Verdana"/>
          <w:bCs/>
          <w:color w:val="000000"/>
          <w:sz w:val="16"/>
          <w:szCs w:val="16"/>
          <w:lang w:val="es-ES_tradnl" w:eastAsia="es-ES_tradnl"/>
        </w:rPr>
        <w:t>3</w:t>
      </w:r>
      <w:r w:rsidRPr="00B6444B">
        <w:rPr>
          <w:rFonts w:ascii="Verdana" w:hAnsi="Verdana"/>
          <w:bCs/>
          <w:color w:val="000000"/>
          <w:sz w:val="16"/>
          <w:szCs w:val="16"/>
          <w:lang w:val="es-ES_tradnl" w:eastAsia="es-ES_tradnl"/>
        </w:rPr>
        <w:t xml:space="preserve"> países</w:t>
      </w:r>
      <w:r w:rsidR="00070E06">
        <w:rPr>
          <w:rFonts w:ascii="Verdana" w:hAnsi="Verdana"/>
          <w:bCs/>
          <w:color w:val="000000"/>
          <w:sz w:val="16"/>
          <w:szCs w:val="16"/>
          <w:lang w:val="es-ES_tradnl" w:eastAsia="es-ES_tradnl"/>
        </w:rPr>
        <w:t>, 14 Latinoamericanos</w:t>
      </w:r>
      <w:r>
        <w:rPr>
          <w:rFonts w:ascii="Verdana" w:hAnsi="Verdana"/>
          <w:bCs/>
          <w:color w:val="000000"/>
          <w:sz w:val="16"/>
          <w:szCs w:val="16"/>
          <w:lang w:val="es-ES_tradnl" w:eastAsia="es-ES_tradnl"/>
        </w:rPr>
        <w:t>:</w:t>
      </w:r>
      <w:r w:rsidRPr="00B6444B">
        <w:rPr>
          <w:rFonts w:ascii="Verdana" w:hAnsi="Verdana"/>
          <w:bCs/>
          <w:color w:val="000000"/>
          <w:sz w:val="16"/>
          <w:szCs w:val="16"/>
          <w:lang w:val="es-ES_tradnl" w:eastAsia="es-ES_tradnl"/>
        </w:rPr>
        <w:t xml:space="preserve"> </w:t>
      </w:r>
      <w:r>
        <w:rPr>
          <w:rFonts w:ascii="Verdana" w:hAnsi="Verdana"/>
          <w:bCs/>
          <w:color w:val="000000"/>
          <w:sz w:val="16"/>
          <w:szCs w:val="16"/>
          <w:lang w:val="es-ES_tradnl" w:eastAsia="es-ES_tradnl"/>
        </w:rPr>
        <w:t xml:space="preserve">Argentina, </w:t>
      </w:r>
      <w:r w:rsidRPr="00B6444B">
        <w:rPr>
          <w:rFonts w:ascii="Verdana" w:hAnsi="Verdana"/>
          <w:bCs/>
          <w:color w:val="000000"/>
          <w:sz w:val="16"/>
          <w:szCs w:val="16"/>
          <w:lang w:val="es-ES_tradnl" w:eastAsia="es-ES_tradnl"/>
        </w:rPr>
        <w:t>Estado Plurinacional de Bolivia, Brasil, Chile, Colombia, Costa Rica, Dinamarca, Dominica, Ecuador, España, Fiji, Guatemala, Honduras, Luxemburgo, México</w:t>
      </w:r>
      <w:r>
        <w:rPr>
          <w:rFonts w:ascii="Verdana" w:hAnsi="Verdana"/>
          <w:bCs/>
          <w:color w:val="000000"/>
          <w:sz w:val="16"/>
          <w:szCs w:val="16"/>
          <w:lang w:val="es-ES_tradnl" w:eastAsia="es-ES_tradnl"/>
        </w:rPr>
        <w:t>, Nepal, Nicaragua, Noruega, Paí</w:t>
      </w:r>
      <w:r w:rsidRPr="00B6444B">
        <w:rPr>
          <w:rFonts w:ascii="Verdana" w:hAnsi="Verdana"/>
          <w:bCs/>
          <w:color w:val="000000"/>
          <w:sz w:val="16"/>
          <w:szCs w:val="16"/>
          <w:lang w:val="es-ES_tradnl" w:eastAsia="es-ES_tradnl"/>
        </w:rPr>
        <w:t>ses Bajos, Paraguay, Perú, República Centroafricana y República Bolivariana de Venezuela.</w:t>
      </w:r>
    </w:p>
  </w:footnote>
  <w:footnote w:id="19">
    <w:p w14:paraId="2634E81C" w14:textId="77777777" w:rsidR="002275C3" w:rsidRPr="00AB28A3" w:rsidRDefault="002275C3" w:rsidP="00AB28A3">
      <w:pPr>
        <w:spacing w:after="120"/>
        <w:jc w:val="both"/>
        <w:rPr>
          <w:rFonts w:ascii="Verdana" w:hAnsi="Verdana"/>
          <w:sz w:val="16"/>
          <w:szCs w:val="16"/>
          <w:highlight w:val="green"/>
        </w:rPr>
      </w:pPr>
      <w:r w:rsidRPr="00AB28A3">
        <w:rPr>
          <w:rStyle w:val="Refdenotaalpie"/>
          <w:sz w:val="16"/>
          <w:szCs w:val="16"/>
        </w:rPr>
        <w:footnoteRef/>
      </w:r>
      <w:r w:rsidRPr="00AB28A3">
        <w:t xml:space="preserve"> </w:t>
      </w:r>
      <w:r>
        <w:tab/>
      </w:r>
      <w:r w:rsidRPr="00AB28A3">
        <w:rPr>
          <w:rFonts w:ascii="Verdana" w:hAnsi="Verdana"/>
          <w:sz w:val="16"/>
          <w:szCs w:val="16"/>
          <w:lang w:val="es-ES"/>
        </w:rPr>
        <w:t>Argentina aprobó el Convenio No. 169 por medio de la ley nacional 24.071, sancionada el 4 de marzo</w:t>
      </w:r>
      <w:r w:rsidRPr="00B6444B">
        <w:rPr>
          <w:rFonts w:ascii="Verdana" w:hAnsi="Verdana"/>
          <w:sz w:val="16"/>
          <w:szCs w:val="16"/>
          <w:lang w:val="es-ES"/>
        </w:rPr>
        <w:t xml:space="preserve"> de 1992 y promulgada el 7 de abril del mismo año. El Estado ratificó el tratado el 3 de julio de 2000. De conformidad con el artículo 38.3 del instrumento, el mismo entró en vigor para Argentina el 3 de julio de 2001.</w:t>
      </w:r>
    </w:p>
    <w:p w14:paraId="7F046DB5" w14:textId="16250B73" w:rsidR="002275C3" w:rsidRPr="00AB28A3" w:rsidRDefault="002275C3">
      <w:pPr>
        <w:pStyle w:val="Textonotapie"/>
        <w:rPr>
          <w:lang w:val="es-MX"/>
        </w:rPr>
      </w:pPr>
    </w:p>
  </w:footnote>
  <w:footnote w:id="20">
    <w:p w14:paraId="5EA690C4" w14:textId="4473C0DA" w:rsidR="002275C3" w:rsidRPr="00B6444B" w:rsidRDefault="002275C3" w:rsidP="00822C36">
      <w:pPr>
        <w:pStyle w:val="Textonotapie"/>
        <w:rPr>
          <w:sz w:val="16"/>
          <w:szCs w:val="16"/>
          <w:lang w:val="es-ES"/>
        </w:rPr>
      </w:pPr>
      <w:r w:rsidRPr="00B6444B">
        <w:rPr>
          <w:rStyle w:val="Refdenotaalpie"/>
          <w:sz w:val="16"/>
          <w:szCs w:val="16"/>
        </w:rPr>
        <w:footnoteRef/>
      </w:r>
      <w:r w:rsidRPr="00B6444B">
        <w:rPr>
          <w:sz w:val="16"/>
          <w:szCs w:val="16"/>
          <w:lang w:val="es-MX"/>
        </w:rPr>
        <w:t xml:space="preserve"> </w:t>
      </w:r>
      <w:r w:rsidRPr="00B6444B">
        <w:rPr>
          <w:sz w:val="16"/>
          <w:szCs w:val="16"/>
          <w:lang w:val="es-ES"/>
        </w:rPr>
        <w:tab/>
      </w:r>
      <w:r w:rsidRPr="00822C36">
        <w:rPr>
          <w:sz w:val="16"/>
          <w:szCs w:val="16"/>
          <w:lang w:val="es-MX"/>
        </w:rPr>
        <w:t>O</w:t>
      </w:r>
      <w:r>
        <w:rPr>
          <w:sz w:val="16"/>
          <w:szCs w:val="16"/>
          <w:lang w:val="es-MX"/>
        </w:rPr>
        <w:t xml:space="preserve">rganización Internacioal del Trabajo, </w:t>
      </w:r>
      <w:r w:rsidRPr="00822C36">
        <w:rPr>
          <w:sz w:val="16"/>
          <w:szCs w:val="16"/>
          <w:lang w:val="es-MX"/>
        </w:rPr>
        <w:t>“Los derechos de los pueblos indígenas y tribales en la páctica. Una guia sobre el Convenio Núm. 169 de la OIT”. Programa para promover el Convenio Núm. 169 de la OIT (PRO 169). Departamento de Normas Internacionales del Trabajo. 2009, pág. 19.</w:t>
      </w:r>
    </w:p>
  </w:footnote>
  <w:footnote w:id="21">
    <w:p w14:paraId="124F0422" w14:textId="6C691A3E" w:rsidR="002275C3" w:rsidRPr="00685548" w:rsidRDefault="002275C3" w:rsidP="00685548">
      <w:pPr>
        <w:spacing w:after="120"/>
        <w:jc w:val="both"/>
        <w:rPr>
          <w:rFonts w:ascii="Verdana" w:hAnsi="Verdana"/>
          <w:sz w:val="16"/>
          <w:szCs w:val="16"/>
          <w:lang w:val="es-ES_tradnl" w:eastAsia="es-ES_tradnl"/>
        </w:rPr>
      </w:pPr>
      <w:r w:rsidRPr="00E927E0">
        <w:rPr>
          <w:rStyle w:val="Refdenotaalpie"/>
          <w:rFonts w:eastAsia="Batang"/>
          <w:sz w:val="16"/>
          <w:szCs w:val="16"/>
        </w:rPr>
        <w:footnoteRef/>
      </w:r>
      <w:r w:rsidRPr="00E927E0">
        <w:rPr>
          <w:rFonts w:ascii="Verdana" w:hAnsi="Verdana"/>
          <w:sz w:val="16"/>
          <w:szCs w:val="16"/>
        </w:rPr>
        <w:t xml:space="preserve"> </w:t>
      </w:r>
      <w:r w:rsidRPr="00E927E0">
        <w:rPr>
          <w:rFonts w:ascii="Verdana" w:hAnsi="Verdana"/>
          <w:sz w:val="16"/>
          <w:szCs w:val="16"/>
        </w:rPr>
        <w:tab/>
      </w:r>
      <w:r w:rsidRPr="00E927E0">
        <w:rPr>
          <w:rFonts w:ascii="Verdana" w:hAnsi="Verdana"/>
          <w:bCs/>
          <w:i/>
          <w:color w:val="000000"/>
          <w:sz w:val="16"/>
          <w:szCs w:val="16"/>
          <w:lang w:val="es-ES_tradnl" w:eastAsia="es-ES_tradnl"/>
        </w:rPr>
        <w:t xml:space="preserve">Caso Pueblos Kaliña y Lokono Vs. Surinam. Fondo, Reparaciones y Costas. </w:t>
      </w:r>
      <w:r w:rsidRPr="00E927E0">
        <w:rPr>
          <w:rFonts w:ascii="Verdana" w:hAnsi="Verdana"/>
          <w:bCs/>
          <w:color w:val="000000"/>
          <w:sz w:val="16"/>
          <w:szCs w:val="16"/>
          <w:lang w:val="es-ES_tradnl" w:eastAsia="es-ES_tradnl"/>
        </w:rPr>
        <w:t>Sentencia de 25 de noviembre de 2015. Serie C No. 309, párr. 124.</w:t>
      </w:r>
    </w:p>
  </w:footnote>
  <w:footnote w:id="22">
    <w:p w14:paraId="45CC44CF" w14:textId="6E74C06D" w:rsidR="002275C3" w:rsidRPr="00685548" w:rsidRDefault="002275C3" w:rsidP="00685548">
      <w:pPr>
        <w:spacing w:after="120"/>
        <w:jc w:val="both"/>
        <w:rPr>
          <w:rFonts w:ascii="Verdana" w:hAnsi="Verdana"/>
          <w:sz w:val="16"/>
          <w:szCs w:val="16"/>
          <w:lang w:val="es-ES_tradnl" w:eastAsia="es-ES_tradnl"/>
        </w:rPr>
      </w:pPr>
      <w:r w:rsidRPr="00B37CD5">
        <w:rPr>
          <w:rStyle w:val="Refdenotaalpie"/>
          <w:rFonts w:eastAsia="Batang"/>
          <w:sz w:val="16"/>
          <w:szCs w:val="16"/>
        </w:rPr>
        <w:footnoteRef/>
      </w:r>
      <w:r w:rsidRPr="00B37CD5">
        <w:rPr>
          <w:rFonts w:ascii="Verdana" w:hAnsi="Verdana"/>
          <w:sz w:val="16"/>
          <w:szCs w:val="16"/>
        </w:rPr>
        <w:t xml:space="preserve"> </w:t>
      </w:r>
      <w:r w:rsidRPr="00B37CD5">
        <w:rPr>
          <w:rFonts w:ascii="Verdana" w:hAnsi="Verdana"/>
          <w:sz w:val="16"/>
          <w:szCs w:val="16"/>
        </w:rPr>
        <w:tab/>
      </w:r>
      <w:r w:rsidRPr="00B37CD5">
        <w:rPr>
          <w:rFonts w:ascii="Verdana" w:hAnsi="Verdana"/>
          <w:bCs/>
          <w:i/>
          <w:color w:val="000000"/>
          <w:sz w:val="16"/>
          <w:szCs w:val="16"/>
          <w:lang w:val="es-ES_tradnl" w:eastAsia="es-ES_tradnl"/>
        </w:rPr>
        <w:t xml:space="preserve">Caso del Pueblo Saramaka Vs. Surinam. Excepciones Preliminares, Fondo, Reparaciones y Costas. </w:t>
      </w:r>
      <w:r w:rsidRPr="00B37CD5">
        <w:rPr>
          <w:rFonts w:ascii="Verdana" w:hAnsi="Verdana"/>
          <w:bCs/>
          <w:color w:val="000000"/>
          <w:sz w:val="16"/>
          <w:szCs w:val="16"/>
          <w:lang w:val="es-ES_tradnl" w:eastAsia="es-ES_tradnl"/>
        </w:rPr>
        <w:t xml:space="preserve">Sentencia de 28 de noviembre de 2007. Serie C No. 172, párr. 82 y nota 63. </w:t>
      </w:r>
      <w:r w:rsidRPr="00AA5DB9">
        <w:rPr>
          <w:rFonts w:ascii="Verdana" w:hAnsi="Verdana"/>
          <w:sz w:val="16"/>
          <w:szCs w:val="16"/>
          <w:lang w:val="es-ES_tradnl" w:eastAsia="es-ES_tradnl"/>
        </w:rPr>
        <w:t xml:space="preserve">El sentido expuesto parece observarse en la sentencia de la Corte emitida en 2010 sobre el caso </w:t>
      </w:r>
      <w:r w:rsidRPr="00AA5DB9">
        <w:rPr>
          <w:rFonts w:ascii="Verdana" w:hAnsi="Verdana"/>
          <w:bCs/>
          <w:i/>
          <w:color w:val="000000"/>
          <w:sz w:val="16"/>
          <w:szCs w:val="16"/>
          <w:lang w:val="es-ES_tradnl" w:eastAsia="es-ES_tradnl"/>
        </w:rPr>
        <w:t xml:space="preserve">Comunidad Indígena Xákmok Kásek Vs. Paraguay. </w:t>
      </w:r>
      <w:r w:rsidRPr="00AA5DB9">
        <w:rPr>
          <w:rFonts w:ascii="Verdana" w:hAnsi="Verdana"/>
          <w:bCs/>
          <w:color w:val="000000"/>
          <w:sz w:val="16"/>
          <w:szCs w:val="16"/>
          <w:lang w:val="es-ES_tradnl" w:eastAsia="es-ES_tradnl"/>
        </w:rPr>
        <w:t>La misma alude a “tierras” en sus párrafos 108 a 111, para hacer consideraciones sobre “posesión” o “propiedad”, o aspectos conexos, pero luego indica que “la Corte observ[ó]” (en el párrafo 114)</w:t>
      </w:r>
      <w:r w:rsidRPr="00AA5DB9">
        <w:rPr>
          <w:rFonts w:ascii="Verdana" w:hAnsi="Verdana"/>
          <w:sz w:val="16"/>
          <w:szCs w:val="16"/>
          <w:lang w:val="es-ES_tradnl" w:eastAsia="es-ES_tradnl"/>
        </w:rPr>
        <w:t xml:space="preserve"> “que la relación de los miembros de la Comunidad con su territorio tradicional se manifiesta, </w:t>
      </w:r>
      <w:r w:rsidRPr="00AA5DB9">
        <w:rPr>
          <w:rFonts w:ascii="Verdana" w:hAnsi="Verdana"/>
          <w:i/>
          <w:sz w:val="16"/>
          <w:szCs w:val="16"/>
          <w:lang w:val="es-ES_tradnl" w:eastAsia="es-ES_tradnl"/>
        </w:rPr>
        <w:t>inter alia,</w:t>
      </w:r>
      <w:r w:rsidRPr="00AA5DB9">
        <w:rPr>
          <w:rFonts w:ascii="Verdana" w:hAnsi="Verdana"/>
          <w:sz w:val="16"/>
          <w:szCs w:val="16"/>
          <w:lang w:val="es-ES_tradnl" w:eastAsia="es-ES_tradnl"/>
        </w:rPr>
        <w:t xml:space="preserve"> en el desarrollo de sus actividades tradicionales dentro de [las] tierras” (</w:t>
      </w:r>
      <w:r w:rsidRPr="00AA5DB9">
        <w:rPr>
          <w:rFonts w:ascii="Verdana" w:hAnsi="Verdana"/>
          <w:bCs/>
          <w:i/>
          <w:color w:val="000000"/>
          <w:sz w:val="16"/>
          <w:szCs w:val="16"/>
          <w:lang w:val="es-ES_tradnl" w:eastAsia="es-ES_tradnl"/>
        </w:rPr>
        <w:t>Caso Comunidad Indígena Xákmok Kásek Vs. Paraguay. Fondo, Reparaciones y Costas.</w:t>
      </w:r>
      <w:r w:rsidRPr="00AA5DB9">
        <w:rPr>
          <w:rFonts w:ascii="Verdana" w:hAnsi="Verdana"/>
          <w:bCs/>
          <w:color w:val="000000"/>
          <w:sz w:val="16"/>
          <w:szCs w:val="16"/>
          <w:lang w:val="es-ES_tradnl" w:eastAsia="es-ES_tradnl"/>
        </w:rPr>
        <w:t xml:space="preserve"> Sentencia de 24 de agosto de 2010. Serie C No. 214, párrs. 108 a 111 y 114).</w:t>
      </w:r>
    </w:p>
  </w:footnote>
  <w:footnote w:id="23">
    <w:p w14:paraId="55FB294D" w14:textId="5A4627BC" w:rsidR="002275C3" w:rsidRPr="00685548" w:rsidRDefault="002275C3" w:rsidP="00685548">
      <w:pPr>
        <w:spacing w:after="120"/>
        <w:jc w:val="both"/>
        <w:rPr>
          <w:rFonts w:ascii="Verdana" w:hAnsi="Verdana"/>
          <w:sz w:val="16"/>
          <w:szCs w:val="16"/>
          <w:lang w:val="es-ES_tradnl" w:eastAsia="es-ES_tradnl"/>
        </w:rPr>
      </w:pPr>
      <w:r w:rsidRPr="00B37CD5">
        <w:rPr>
          <w:rStyle w:val="Refdenotaalpie"/>
          <w:rFonts w:eastAsia="Batang"/>
          <w:sz w:val="16"/>
          <w:szCs w:val="16"/>
        </w:rPr>
        <w:footnoteRef/>
      </w:r>
      <w:r w:rsidRPr="00B37CD5">
        <w:rPr>
          <w:rFonts w:ascii="Verdana" w:hAnsi="Verdana"/>
          <w:sz w:val="16"/>
          <w:szCs w:val="16"/>
        </w:rPr>
        <w:t xml:space="preserve"> </w:t>
      </w:r>
      <w:r w:rsidRPr="00B37CD5">
        <w:rPr>
          <w:rFonts w:ascii="Verdana" w:hAnsi="Verdana"/>
          <w:sz w:val="16"/>
          <w:szCs w:val="16"/>
          <w:lang w:val="es-ES"/>
        </w:rPr>
        <w:t xml:space="preserve"> </w:t>
      </w:r>
      <w:r w:rsidRPr="00B37CD5">
        <w:rPr>
          <w:rFonts w:ascii="Verdana" w:hAnsi="Verdana"/>
          <w:sz w:val="16"/>
          <w:szCs w:val="16"/>
          <w:lang w:val="es-ES"/>
        </w:rPr>
        <w:tab/>
      </w:r>
      <w:r w:rsidRPr="00B37CD5">
        <w:rPr>
          <w:rFonts w:ascii="Verdana" w:hAnsi="Verdana"/>
          <w:i/>
          <w:sz w:val="16"/>
          <w:szCs w:val="16"/>
          <w:lang w:val="es-ES"/>
        </w:rPr>
        <w:t xml:space="preserve">Cfr. </w:t>
      </w:r>
      <w:r w:rsidRPr="00B37CD5">
        <w:rPr>
          <w:rFonts w:ascii="Verdana" w:hAnsi="Verdana"/>
          <w:bCs/>
          <w:i/>
          <w:color w:val="000000"/>
          <w:sz w:val="16"/>
          <w:szCs w:val="16"/>
          <w:lang w:val="es-ES_tradnl" w:eastAsia="es-ES_tradnl"/>
        </w:rPr>
        <w:t xml:space="preserve">Caso Pueblo Indígena Kichwa de Sarayaku Vs. Ecuador. Fondo y Reparaciones. </w:t>
      </w:r>
      <w:r w:rsidRPr="00B37CD5">
        <w:rPr>
          <w:rFonts w:ascii="Verdana" w:hAnsi="Verdana"/>
          <w:bCs/>
          <w:color w:val="000000"/>
          <w:sz w:val="16"/>
          <w:szCs w:val="16"/>
          <w:lang w:val="es-ES_tradnl" w:eastAsia="es-ES_tradnl"/>
        </w:rPr>
        <w:t>Sentencia de 27 de junio de 2012. Serie C No. 245, párrs. 145 y 149.</w:t>
      </w:r>
    </w:p>
  </w:footnote>
  <w:footnote w:id="24">
    <w:p w14:paraId="1B3A4252" w14:textId="7EFBD490" w:rsidR="002275C3" w:rsidRPr="006C7D6D" w:rsidRDefault="002275C3" w:rsidP="00685548">
      <w:pPr>
        <w:pStyle w:val="Textonotapie"/>
        <w:spacing w:after="120"/>
        <w:rPr>
          <w:sz w:val="16"/>
          <w:szCs w:val="16"/>
          <w:lang w:val="es-ES"/>
        </w:rPr>
      </w:pPr>
      <w:r w:rsidRPr="00B37CD5">
        <w:rPr>
          <w:rStyle w:val="Refdenotaalpie"/>
          <w:sz w:val="16"/>
          <w:szCs w:val="16"/>
        </w:rPr>
        <w:footnoteRef/>
      </w:r>
      <w:r w:rsidRPr="00B26381">
        <w:rPr>
          <w:sz w:val="16"/>
          <w:szCs w:val="16"/>
          <w:lang w:val="es-MX"/>
        </w:rPr>
        <w:t xml:space="preserve"> </w:t>
      </w:r>
      <w:r w:rsidRPr="00B37CD5">
        <w:rPr>
          <w:sz w:val="16"/>
          <w:szCs w:val="16"/>
          <w:lang w:val="es-ES"/>
        </w:rPr>
        <w:tab/>
      </w:r>
      <w:r w:rsidRPr="00B37CD5">
        <w:rPr>
          <w:rFonts w:eastAsia="Times New Roman" w:cs="Times New Roman"/>
          <w:bCs/>
          <w:i/>
          <w:color w:val="000000"/>
          <w:sz w:val="16"/>
          <w:szCs w:val="16"/>
          <w:lang w:val="es-ES_tradnl" w:eastAsia="es-ES_tradnl"/>
        </w:rPr>
        <w:t xml:space="preserve">Caso de los Pueblos Indígenas Kuna de Madungandí y Emberá de Bayano y sus miembros Vs. Panamá. </w:t>
      </w:r>
      <w:r w:rsidRPr="00B37CD5">
        <w:rPr>
          <w:rFonts w:eastAsia="Times New Roman" w:cs="Times New Roman"/>
          <w:bCs/>
          <w:color w:val="000000"/>
          <w:sz w:val="16"/>
          <w:szCs w:val="16"/>
          <w:lang w:val="es-ES_tradnl" w:eastAsia="es-ES_tradnl"/>
        </w:rPr>
        <w:t>Excepciones Preliminares, Fondo, Reparaciones y Costas. Sentencia de 14 de octubre de 2014. Serie C No. 284, párr.</w:t>
      </w:r>
      <w:r w:rsidRPr="00B37CD5">
        <w:rPr>
          <w:rFonts w:eastAsia="Times New Roman" w:cs="Times New Roman"/>
          <w:b/>
          <w:bCs/>
          <w:color w:val="000000"/>
          <w:sz w:val="16"/>
          <w:szCs w:val="16"/>
          <w:lang w:val="es-ES_tradnl" w:eastAsia="es-ES_tradnl"/>
        </w:rPr>
        <w:t xml:space="preserve"> </w:t>
      </w:r>
      <w:r w:rsidRPr="00B37CD5">
        <w:rPr>
          <w:sz w:val="16"/>
          <w:szCs w:val="16"/>
          <w:lang w:val="es-ES"/>
        </w:rPr>
        <w:t>112.</w:t>
      </w:r>
    </w:p>
  </w:footnote>
  <w:footnote w:id="25">
    <w:p w14:paraId="4A19BE69" w14:textId="506F40A5" w:rsidR="002275C3" w:rsidRPr="00685548" w:rsidRDefault="002275C3" w:rsidP="00685548">
      <w:pPr>
        <w:pStyle w:val="NormalWeb"/>
        <w:spacing w:before="0" w:beforeAutospacing="0" w:after="120" w:afterAutospacing="0"/>
        <w:rPr>
          <w:rFonts w:eastAsiaTheme="minorHAnsi"/>
          <w:lang w:val="es-ES_tradnl" w:eastAsia="es-ES_tradnl"/>
        </w:rPr>
      </w:pPr>
      <w:r w:rsidRPr="00C2619E">
        <w:rPr>
          <w:rStyle w:val="Refdenotaalpie"/>
          <w:rFonts w:eastAsia="Batang"/>
          <w:sz w:val="16"/>
          <w:szCs w:val="16"/>
        </w:rPr>
        <w:footnoteRef/>
      </w:r>
      <w:r w:rsidRPr="00C2619E">
        <w:rPr>
          <w:sz w:val="16"/>
          <w:szCs w:val="16"/>
        </w:rPr>
        <w:t xml:space="preserve"> </w:t>
      </w:r>
      <w:r>
        <w:rPr>
          <w:rFonts w:ascii="Verdana" w:eastAsiaTheme="minorHAnsi" w:hAnsi="Verdana"/>
          <w:i/>
          <w:iCs/>
          <w:sz w:val="16"/>
          <w:szCs w:val="16"/>
          <w:lang w:val="es-ES_tradnl" w:eastAsia="es-ES_tradnl"/>
        </w:rPr>
        <w:tab/>
      </w:r>
      <w:r w:rsidRPr="007946EE">
        <w:rPr>
          <w:rFonts w:ascii="Verdana" w:eastAsiaTheme="minorHAnsi" w:hAnsi="Verdana"/>
          <w:i/>
          <w:iCs/>
          <w:sz w:val="16"/>
          <w:szCs w:val="16"/>
          <w:lang w:val="es-ES_tradnl" w:eastAsia="es-ES_tradnl"/>
        </w:rPr>
        <w:t>Caso Comunidad Indígena Yakye Axa Vs. Paraguay</w:t>
      </w:r>
      <w:r w:rsidRPr="007946EE">
        <w:rPr>
          <w:rFonts w:ascii="Verdana" w:eastAsiaTheme="minorHAnsi" w:hAnsi="Verdana"/>
          <w:sz w:val="16"/>
          <w:szCs w:val="16"/>
          <w:lang w:val="es-ES_tradnl" w:eastAsia="es-ES_tradnl"/>
        </w:rPr>
        <w:t xml:space="preserve">. </w:t>
      </w:r>
      <w:r w:rsidRPr="00B320D4">
        <w:rPr>
          <w:rFonts w:ascii="Verdana" w:eastAsiaTheme="minorHAnsi" w:hAnsi="Verdana"/>
          <w:i/>
          <w:iCs/>
          <w:sz w:val="16"/>
          <w:szCs w:val="16"/>
          <w:lang w:val="es-ES_tradnl" w:eastAsia="es-ES_tradnl"/>
        </w:rPr>
        <w:t>Fondo Reparaciones y Costas</w:t>
      </w:r>
      <w:r w:rsidRPr="007946EE">
        <w:rPr>
          <w:rFonts w:ascii="Verdana" w:eastAsiaTheme="minorHAnsi" w:hAnsi="Verdana"/>
          <w:sz w:val="16"/>
          <w:szCs w:val="16"/>
          <w:lang w:val="es-ES_tradnl" w:eastAsia="es-ES_tradnl"/>
        </w:rPr>
        <w:t xml:space="preserve">. Sentencia 17 de junio de 2005. Serie C No. 125, párr. 147, y </w:t>
      </w:r>
      <w:r w:rsidRPr="007946EE">
        <w:rPr>
          <w:rFonts w:ascii="Verdana" w:eastAsiaTheme="minorHAnsi" w:hAnsi="Verdana"/>
          <w:i/>
          <w:iCs/>
          <w:sz w:val="16"/>
          <w:szCs w:val="16"/>
          <w:lang w:val="es-ES_tradnl" w:eastAsia="es-ES_tradnl"/>
        </w:rPr>
        <w:t>Caso de los Pueblos Indígenas Kuna de Madungandí y Emberá de Bayano y sus miembros Vs. Panamá</w:t>
      </w:r>
      <w:r w:rsidRPr="007946EE">
        <w:rPr>
          <w:rFonts w:ascii="Verdana" w:eastAsiaTheme="minorHAnsi" w:hAnsi="Verdana"/>
          <w:sz w:val="16"/>
          <w:szCs w:val="16"/>
          <w:lang w:val="es-ES_tradnl" w:eastAsia="es-ES_tradnl"/>
        </w:rPr>
        <w:t xml:space="preserve">. </w:t>
      </w:r>
      <w:r w:rsidRPr="007946EE">
        <w:rPr>
          <w:rFonts w:ascii="Verdana" w:eastAsiaTheme="minorHAnsi" w:hAnsi="Verdana"/>
          <w:i/>
          <w:iCs/>
          <w:sz w:val="16"/>
          <w:szCs w:val="16"/>
          <w:lang w:val="es-ES_tradnl" w:eastAsia="es-ES_tradnl"/>
        </w:rPr>
        <w:t>Excepciones Preliminares, Fondo, Reparaciones y Costas</w:t>
      </w:r>
      <w:r w:rsidRPr="007946EE">
        <w:rPr>
          <w:rFonts w:ascii="Verdana" w:eastAsiaTheme="minorHAnsi" w:hAnsi="Verdana"/>
          <w:sz w:val="16"/>
          <w:szCs w:val="16"/>
          <w:lang w:val="es-ES_tradnl" w:eastAsia="es-ES_tradnl"/>
        </w:rPr>
        <w:t xml:space="preserve">. Sentencia de 14 de octubre de 2014. Serie C No. 284, párr. 18. </w:t>
      </w:r>
    </w:p>
  </w:footnote>
  <w:footnote w:id="26">
    <w:p w14:paraId="234EAE4F" w14:textId="570FE29D" w:rsidR="002275C3" w:rsidRPr="00685548" w:rsidRDefault="002275C3" w:rsidP="00685548">
      <w:pPr>
        <w:spacing w:after="120"/>
        <w:jc w:val="both"/>
        <w:rPr>
          <w:rFonts w:ascii="Verdana" w:hAnsi="Verdana"/>
          <w:sz w:val="16"/>
          <w:szCs w:val="16"/>
          <w:lang w:val="es-ES_tradnl" w:eastAsia="es-ES_tradnl"/>
        </w:rPr>
      </w:pPr>
      <w:r w:rsidRPr="007946EE">
        <w:rPr>
          <w:rStyle w:val="Refdenotaalpie"/>
          <w:rFonts w:eastAsia="Batang"/>
          <w:sz w:val="16"/>
          <w:szCs w:val="16"/>
        </w:rPr>
        <w:footnoteRef/>
      </w:r>
      <w:r w:rsidRPr="007946EE">
        <w:rPr>
          <w:rFonts w:ascii="Verdana" w:hAnsi="Verdana"/>
          <w:sz w:val="16"/>
          <w:szCs w:val="16"/>
        </w:rPr>
        <w:t xml:space="preserve">  </w:t>
      </w:r>
      <w:r w:rsidRPr="007946EE">
        <w:rPr>
          <w:rFonts w:ascii="Verdana" w:hAnsi="Verdana"/>
          <w:sz w:val="16"/>
          <w:szCs w:val="16"/>
        </w:rPr>
        <w:tab/>
      </w:r>
      <w:r w:rsidRPr="007946EE">
        <w:rPr>
          <w:rFonts w:ascii="Verdana" w:hAnsi="Verdana"/>
          <w:bCs/>
          <w:i/>
          <w:color w:val="000000"/>
          <w:sz w:val="16"/>
          <w:szCs w:val="16"/>
          <w:lang w:val="es-ES_tradnl" w:eastAsia="es-ES_tradnl"/>
        </w:rPr>
        <w:t>Caso Pueblo Indígena Xucuru y sus miembros Vs. Brasil. Excepciones Preliminares, Fondo, Reparaciones y Costas.</w:t>
      </w:r>
      <w:r w:rsidRPr="007946EE">
        <w:rPr>
          <w:rFonts w:ascii="Verdana" w:hAnsi="Verdana"/>
          <w:bCs/>
          <w:color w:val="000000"/>
          <w:sz w:val="16"/>
          <w:szCs w:val="16"/>
          <w:lang w:val="es-ES_tradnl" w:eastAsia="es-ES_tradnl"/>
        </w:rPr>
        <w:t xml:space="preserve"> Sentencia de 5 de febrero de 2018. Serie C No. 346, párr. 115.</w:t>
      </w:r>
      <w:r w:rsidRPr="007946EE">
        <w:rPr>
          <w:rFonts w:ascii="Verdana" w:hAnsi="Verdana"/>
          <w:b/>
          <w:bCs/>
          <w:color w:val="000000"/>
          <w:sz w:val="16"/>
          <w:szCs w:val="16"/>
          <w:lang w:val="es-ES_tradnl" w:eastAsia="es-ES_tradnl"/>
        </w:rPr>
        <w:t xml:space="preserve"> </w:t>
      </w:r>
    </w:p>
  </w:footnote>
  <w:footnote w:id="27">
    <w:p w14:paraId="3AD2B7B5" w14:textId="177597B9" w:rsidR="002275C3" w:rsidRPr="00685548" w:rsidRDefault="002275C3" w:rsidP="00685548">
      <w:pPr>
        <w:spacing w:after="120"/>
        <w:jc w:val="both"/>
        <w:rPr>
          <w:rFonts w:ascii="Verdana" w:hAnsi="Verdana"/>
          <w:sz w:val="16"/>
          <w:szCs w:val="16"/>
          <w:lang w:val="es-ES_tradnl" w:eastAsia="es-ES_tradnl"/>
        </w:rPr>
      </w:pPr>
      <w:r w:rsidRPr="004B4990">
        <w:rPr>
          <w:rStyle w:val="Refdenotaalpie"/>
          <w:rFonts w:eastAsia="Batang"/>
          <w:sz w:val="16"/>
          <w:szCs w:val="16"/>
        </w:rPr>
        <w:footnoteRef/>
      </w:r>
      <w:r w:rsidRPr="004B4990">
        <w:rPr>
          <w:rFonts w:ascii="Verdana" w:hAnsi="Verdana"/>
          <w:sz w:val="16"/>
          <w:szCs w:val="16"/>
        </w:rPr>
        <w:t xml:space="preserve"> </w:t>
      </w:r>
      <w:r w:rsidRPr="004B4990">
        <w:rPr>
          <w:rFonts w:ascii="Verdana" w:hAnsi="Verdana"/>
          <w:sz w:val="16"/>
          <w:szCs w:val="16"/>
        </w:rPr>
        <w:tab/>
      </w:r>
      <w:r w:rsidRPr="004B4990">
        <w:rPr>
          <w:rFonts w:ascii="Verdana" w:hAnsi="Verdana"/>
          <w:bCs/>
          <w:i/>
          <w:color w:val="000000"/>
          <w:sz w:val="16"/>
          <w:szCs w:val="16"/>
          <w:lang w:val="es-ES_tradnl" w:eastAsia="es-ES_tradnl"/>
        </w:rPr>
        <w:t>Caso Comunidad Indígena Yakye Axa Vs. Paraguay. Fondo, Reparaciones y Costas.</w:t>
      </w:r>
      <w:r w:rsidRPr="004B4990">
        <w:rPr>
          <w:rFonts w:ascii="Verdana" w:hAnsi="Verdana"/>
          <w:bCs/>
          <w:color w:val="000000"/>
          <w:sz w:val="16"/>
          <w:szCs w:val="16"/>
          <w:lang w:val="es-ES_tradnl" w:eastAsia="es-ES_tradnl"/>
        </w:rPr>
        <w:t xml:space="preserve"> Sentencia de 17 de junio de 2005. Serie C No. 125, párr. 135.</w:t>
      </w:r>
    </w:p>
  </w:footnote>
  <w:footnote w:id="28">
    <w:p w14:paraId="2FFB0A9A" w14:textId="154A6342" w:rsidR="002275C3" w:rsidRPr="00685548" w:rsidRDefault="002275C3" w:rsidP="00685548">
      <w:pPr>
        <w:pStyle w:val="Textonotapie"/>
        <w:spacing w:after="120"/>
        <w:rPr>
          <w:rFonts w:eastAsia="Times New Roman" w:cs="Times New Roman"/>
          <w:bCs/>
          <w:color w:val="000000"/>
          <w:sz w:val="16"/>
          <w:szCs w:val="16"/>
          <w:lang w:val="es-ES_tradnl" w:eastAsia="es-ES_tradnl"/>
        </w:rPr>
      </w:pPr>
      <w:r w:rsidRPr="004B4990">
        <w:rPr>
          <w:rStyle w:val="Refdenotaalpie"/>
          <w:sz w:val="16"/>
          <w:szCs w:val="16"/>
        </w:rPr>
        <w:footnoteRef/>
      </w:r>
      <w:r w:rsidRPr="00B26381">
        <w:rPr>
          <w:sz w:val="16"/>
          <w:szCs w:val="16"/>
          <w:lang w:val="es-MX"/>
        </w:rPr>
        <w:t xml:space="preserve"> </w:t>
      </w:r>
      <w:r w:rsidRPr="00B26381">
        <w:rPr>
          <w:sz w:val="16"/>
          <w:szCs w:val="16"/>
          <w:lang w:val="es-MX"/>
        </w:rPr>
        <w:tab/>
      </w:r>
      <w:r w:rsidRPr="004B4990">
        <w:rPr>
          <w:rFonts w:eastAsia="Times New Roman" w:cs="Times New Roman"/>
          <w:bCs/>
          <w:i/>
          <w:color w:val="000000"/>
          <w:sz w:val="16"/>
          <w:szCs w:val="16"/>
          <w:lang w:val="es-ES_tradnl" w:eastAsia="es-ES_tradnl"/>
        </w:rPr>
        <w:t>Caso Comunidad Indígena Yakye Axa Vs. Paraguay. Fondo, Reparaciones y Costas.</w:t>
      </w:r>
      <w:r w:rsidRPr="004B4990">
        <w:rPr>
          <w:rFonts w:eastAsia="Times New Roman" w:cs="Times New Roman"/>
          <w:bCs/>
          <w:color w:val="000000"/>
          <w:sz w:val="16"/>
          <w:szCs w:val="16"/>
          <w:lang w:val="es-ES_tradnl" w:eastAsia="es-ES_tradnl"/>
        </w:rPr>
        <w:t xml:space="preserve"> Sentencia de 17 de junio de 2005. Serie C No. 125, párr. 137.</w:t>
      </w:r>
    </w:p>
  </w:footnote>
  <w:footnote w:id="29">
    <w:p w14:paraId="414B0D13" w14:textId="4EEB7DB1" w:rsidR="002275C3" w:rsidRPr="00267F70" w:rsidRDefault="002275C3" w:rsidP="00267F70">
      <w:pPr>
        <w:spacing w:after="120"/>
        <w:jc w:val="both"/>
        <w:rPr>
          <w:lang w:val="es-ES_tradnl" w:eastAsia="es-ES_tradnl"/>
        </w:rPr>
      </w:pPr>
      <w:r w:rsidRPr="00F754EF">
        <w:rPr>
          <w:rStyle w:val="Refdenotaalpie"/>
          <w:rFonts w:eastAsia="Batang"/>
          <w:sz w:val="16"/>
          <w:szCs w:val="16"/>
        </w:rPr>
        <w:footnoteRef/>
      </w:r>
      <w:r w:rsidRPr="00F754EF">
        <w:rPr>
          <w:rFonts w:ascii="Verdana" w:hAnsi="Verdana"/>
          <w:sz w:val="16"/>
          <w:szCs w:val="16"/>
        </w:rPr>
        <w:t xml:space="preserve"> </w:t>
      </w:r>
      <w:r w:rsidRPr="00F754EF">
        <w:rPr>
          <w:rFonts w:ascii="Verdana" w:hAnsi="Verdana"/>
          <w:sz w:val="16"/>
          <w:szCs w:val="16"/>
        </w:rPr>
        <w:tab/>
        <w:t xml:space="preserve">Por ejemplo, respecto al caso </w:t>
      </w:r>
      <w:r w:rsidRPr="00F754EF">
        <w:rPr>
          <w:rFonts w:ascii="Verdana" w:hAnsi="Verdana"/>
          <w:bCs/>
          <w:i/>
          <w:color w:val="000000"/>
          <w:sz w:val="16"/>
          <w:szCs w:val="16"/>
          <w:lang w:val="es-ES_tradnl" w:eastAsia="es-ES_tradnl"/>
        </w:rPr>
        <w:t xml:space="preserve">Comunidad Indígena Sawhoyamaxa Vs. Paraguay, </w:t>
      </w:r>
      <w:r w:rsidRPr="00F754EF">
        <w:rPr>
          <w:rFonts w:ascii="Verdana" w:hAnsi="Verdana"/>
          <w:bCs/>
          <w:color w:val="000000"/>
          <w:sz w:val="16"/>
          <w:szCs w:val="16"/>
          <w:lang w:val="es-ES_tradnl" w:eastAsia="es-ES_tradnl"/>
        </w:rPr>
        <w:t xml:space="preserve">en el que la Corte </w:t>
      </w:r>
      <w:r>
        <w:rPr>
          <w:rFonts w:ascii="Verdana" w:hAnsi="Verdana"/>
          <w:bCs/>
          <w:color w:val="000000"/>
          <w:sz w:val="16"/>
          <w:szCs w:val="16"/>
          <w:lang w:val="es-ES_tradnl" w:eastAsia="es-ES_tradnl"/>
        </w:rPr>
        <w:t xml:space="preserve">IDH </w:t>
      </w:r>
      <w:r w:rsidRPr="00F754EF">
        <w:rPr>
          <w:rFonts w:ascii="Verdana" w:hAnsi="Verdana"/>
          <w:bCs/>
          <w:color w:val="000000"/>
          <w:sz w:val="16"/>
          <w:szCs w:val="16"/>
          <w:lang w:val="es-ES_tradnl" w:eastAsia="es-ES_tradnl"/>
        </w:rPr>
        <w:t>reiteró lo indicado, aunque aludiendo a “tierras”, en lugar de “territorio”</w:t>
      </w:r>
      <w:r w:rsidRPr="00F754EF">
        <w:rPr>
          <w:rFonts w:ascii="Verdana" w:hAnsi="Verdana"/>
          <w:sz w:val="16"/>
          <w:szCs w:val="16"/>
        </w:rPr>
        <w:t xml:space="preserve"> (</w:t>
      </w:r>
      <w:r>
        <w:rPr>
          <w:rFonts w:ascii="Verdana" w:hAnsi="Verdana"/>
          <w:i/>
          <w:sz w:val="16"/>
          <w:szCs w:val="16"/>
        </w:rPr>
        <w:t>C</w:t>
      </w:r>
      <w:r w:rsidRPr="00F754EF">
        <w:rPr>
          <w:rFonts w:ascii="Verdana" w:hAnsi="Verdana"/>
          <w:i/>
          <w:sz w:val="16"/>
          <w:szCs w:val="16"/>
        </w:rPr>
        <w:t xml:space="preserve">fr. </w:t>
      </w:r>
      <w:r w:rsidRPr="00F754EF">
        <w:rPr>
          <w:rFonts w:ascii="Verdana" w:hAnsi="Verdana"/>
          <w:bCs/>
          <w:i/>
          <w:color w:val="000000"/>
          <w:sz w:val="16"/>
          <w:szCs w:val="16"/>
          <w:lang w:val="es-ES_tradnl" w:eastAsia="es-ES_tradnl"/>
        </w:rPr>
        <w:t>Caso Comunidad Indígena Sawhoyamaxa Vs. Paraguay. Fondo, Reparaciones y Costas.</w:t>
      </w:r>
      <w:r w:rsidRPr="00F754EF">
        <w:rPr>
          <w:rFonts w:ascii="Verdana" w:hAnsi="Verdana"/>
          <w:bCs/>
          <w:color w:val="000000"/>
          <w:sz w:val="16"/>
          <w:szCs w:val="16"/>
          <w:lang w:val="es-ES_tradnl" w:eastAsia="es-ES_tradnl"/>
        </w:rPr>
        <w:t xml:space="preserve"> Sentencia de 29 de marzo de 2006. Serie C No. 146, párr. 118).  Debe tenerse en cuenta lo señalado antes sobre el artículo 13 del Convenio 169 de la OIT, que alude a ambos conceptos</w:t>
      </w:r>
      <w:r w:rsidRPr="00F754EF">
        <w:rPr>
          <w:rFonts w:ascii="Verdana" w:hAnsi="Verdana"/>
          <w:sz w:val="16"/>
          <w:szCs w:val="16"/>
          <w:lang w:val="es-ES_tradnl" w:eastAsia="es-ES_tradnl"/>
        </w:rPr>
        <w:t xml:space="preserve">. Más adelante, la Corte </w:t>
      </w:r>
      <w:r>
        <w:rPr>
          <w:rFonts w:ascii="Verdana" w:hAnsi="Verdana"/>
          <w:sz w:val="16"/>
          <w:szCs w:val="16"/>
          <w:lang w:val="es-ES_tradnl" w:eastAsia="es-ES_tradnl"/>
        </w:rPr>
        <w:t xml:space="preserve">IDH </w:t>
      </w:r>
      <w:r w:rsidRPr="00F754EF">
        <w:rPr>
          <w:rFonts w:ascii="Verdana" w:hAnsi="Verdana"/>
          <w:sz w:val="16"/>
          <w:szCs w:val="16"/>
          <w:lang w:val="es-ES_tradnl" w:eastAsia="es-ES_tradnl"/>
        </w:rPr>
        <w:t xml:space="preserve">ha indicado la protección que el “territorio” indígena (o tribal) recibe a partir del artículo 21 de la Convención Americana. Pueden verse, respecto a la protección del territorio a partir del derecho de propiedad, entre otras, las siguientes decisiones: </w:t>
      </w:r>
      <w:r w:rsidRPr="00F754EF">
        <w:rPr>
          <w:rFonts w:ascii="Verdana" w:hAnsi="Verdana"/>
          <w:bCs/>
          <w:i/>
          <w:color w:val="000000"/>
          <w:sz w:val="16"/>
          <w:szCs w:val="16"/>
          <w:lang w:val="es-ES_tradnl" w:eastAsia="es-ES_tradnl"/>
        </w:rPr>
        <w:t xml:space="preserve">Caso de los Pueblos Indígenas Kuna de Madungandí y Emberá de Bayano y sus miembros Vs. Panamá. </w:t>
      </w:r>
      <w:r w:rsidRPr="00F754EF">
        <w:rPr>
          <w:rFonts w:ascii="Verdana" w:hAnsi="Verdana"/>
          <w:bCs/>
          <w:color w:val="000000"/>
          <w:sz w:val="16"/>
          <w:szCs w:val="16"/>
          <w:lang w:val="es-ES_tradnl" w:eastAsia="es-ES_tradnl"/>
        </w:rPr>
        <w:t>Excepciones Preliminares, Fondo, Reparaciones y Costas. Sentencia de 14 de o</w:t>
      </w:r>
      <w:r>
        <w:rPr>
          <w:rFonts w:ascii="Verdana" w:hAnsi="Verdana"/>
          <w:bCs/>
          <w:color w:val="000000"/>
          <w:sz w:val="16"/>
          <w:szCs w:val="16"/>
          <w:lang w:val="es-ES_tradnl" w:eastAsia="es-ES_tradnl"/>
        </w:rPr>
        <w:t>ctubre de 2014. Serie C No. 284, párr. 112</w:t>
      </w:r>
      <w:r w:rsidRPr="00F754EF">
        <w:rPr>
          <w:rFonts w:ascii="Verdana" w:hAnsi="Verdana"/>
          <w:bCs/>
          <w:color w:val="000000"/>
          <w:sz w:val="16"/>
          <w:szCs w:val="16"/>
          <w:lang w:val="es-ES_tradnl" w:eastAsia="es-ES_tradnl"/>
        </w:rPr>
        <w:t>;</w:t>
      </w:r>
      <w:r w:rsidRPr="00F754EF">
        <w:rPr>
          <w:rFonts w:ascii="Verdana" w:hAnsi="Verdana"/>
          <w:b/>
          <w:bCs/>
          <w:color w:val="000000"/>
          <w:sz w:val="16"/>
          <w:szCs w:val="16"/>
          <w:lang w:val="es-ES_tradnl" w:eastAsia="es-ES_tradnl"/>
        </w:rPr>
        <w:t xml:space="preserve"> </w:t>
      </w:r>
      <w:r w:rsidRPr="00F754EF">
        <w:rPr>
          <w:rFonts w:ascii="Verdana" w:hAnsi="Verdana"/>
          <w:bCs/>
          <w:i/>
          <w:color w:val="000000"/>
          <w:sz w:val="16"/>
          <w:szCs w:val="16"/>
          <w:lang w:val="es-ES_tradnl" w:eastAsia="es-ES_tradnl"/>
        </w:rPr>
        <w:t>Caso Comunidad Garífuna de Punta Piedra y sus miembros Vs. Honduras. Excepciones Preliminares, Fondo, Reparaciones y Costas</w:t>
      </w:r>
      <w:r w:rsidRPr="00F754EF">
        <w:rPr>
          <w:rFonts w:ascii="Verdana" w:hAnsi="Verdana"/>
          <w:bCs/>
          <w:color w:val="000000"/>
          <w:sz w:val="16"/>
          <w:szCs w:val="16"/>
          <w:lang w:val="es-ES_tradnl" w:eastAsia="es-ES_tradnl"/>
        </w:rPr>
        <w:t>. Sentencia de 8 de oc</w:t>
      </w:r>
      <w:r>
        <w:rPr>
          <w:rFonts w:ascii="Verdana" w:hAnsi="Verdana"/>
          <w:bCs/>
          <w:color w:val="000000"/>
          <w:sz w:val="16"/>
          <w:szCs w:val="16"/>
          <w:lang w:val="es-ES_tradnl" w:eastAsia="es-ES_tradnl"/>
        </w:rPr>
        <w:t>tubre de 2015. Serie C No. 304, párr. 167</w:t>
      </w:r>
      <w:r w:rsidRPr="00F754EF">
        <w:rPr>
          <w:rFonts w:ascii="Verdana" w:hAnsi="Verdana"/>
          <w:bCs/>
          <w:color w:val="000000"/>
          <w:sz w:val="16"/>
          <w:szCs w:val="16"/>
          <w:lang w:val="es-ES_tradnl" w:eastAsia="es-ES_tradnl"/>
        </w:rPr>
        <w:t xml:space="preserve">; </w:t>
      </w:r>
      <w:r w:rsidRPr="00B320D4">
        <w:rPr>
          <w:rFonts w:ascii="Verdana" w:hAnsi="Verdana"/>
          <w:bCs/>
          <w:i/>
          <w:iCs/>
          <w:color w:val="000000"/>
          <w:sz w:val="16"/>
          <w:szCs w:val="16"/>
          <w:lang w:val="es-ES_tradnl" w:eastAsia="es-ES_tradnl"/>
        </w:rPr>
        <w:t>Caso Comunidad Garífuna Triunfo de la Cruz y sus miembros Vs. Honduras. Fondo, Reparaciones y Costas</w:t>
      </w:r>
      <w:r w:rsidRPr="00F754EF">
        <w:rPr>
          <w:rFonts w:ascii="Verdana" w:hAnsi="Verdana"/>
          <w:bCs/>
          <w:color w:val="000000"/>
          <w:sz w:val="16"/>
          <w:szCs w:val="16"/>
          <w:lang w:val="es-ES_tradnl" w:eastAsia="es-ES_tradnl"/>
        </w:rPr>
        <w:t>. Sentencia de 8 de octubre de 2015. Serie C No. 305 (párr. 101)</w:t>
      </w:r>
      <w:r>
        <w:rPr>
          <w:rFonts w:ascii="Verdana" w:hAnsi="Verdana"/>
          <w:bCs/>
          <w:color w:val="000000"/>
          <w:sz w:val="16"/>
          <w:szCs w:val="16"/>
          <w:lang w:val="es-ES_tradnl" w:eastAsia="es-ES_tradnl"/>
        </w:rPr>
        <w:t xml:space="preserve">; </w:t>
      </w:r>
      <w:r w:rsidRPr="00924936">
        <w:rPr>
          <w:rFonts w:ascii="Verdana" w:hAnsi="Verdana"/>
          <w:bCs/>
          <w:i/>
          <w:color w:val="000000"/>
          <w:sz w:val="16"/>
          <w:szCs w:val="16"/>
          <w:lang w:val="es-ES_tradnl" w:eastAsia="es-ES_tradnl"/>
        </w:rPr>
        <w:t>Caso Pueblos Kaliña y Lokono Vs. Surinam. Fondo, Reparaciones y Costas.</w:t>
      </w:r>
      <w:r w:rsidRPr="00924936">
        <w:rPr>
          <w:rFonts w:ascii="Verdana" w:hAnsi="Verdana"/>
          <w:bCs/>
          <w:color w:val="000000"/>
          <w:sz w:val="16"/>
          <w:szCs w:val="16"/>
          <w:lang w:val="es-ES_tradnl" w:eastAsia="es-ES_tradnl"/>
        </w:rPr>
        <w:t xml:space="preserve"> Sentencia de 25 de noviembre de 2015. Serie C No. 309</w:t>
      </w:r>
      <w:r>
        <w:rPr>
          <w:rFonts w:ascii="Verdana" w:hAnsi="Verdana"/>
          <w:bCs/>
          <w:color w:val="000000"/>
          <w:sz w:val="16"/>
          <w:szCs w:val="16"/>
          <w:lang w:val="es-ES_tradnl" w:eastAsia="es-ES_tradnl"/>
        </w:rPr>
        <w:t xml:space="preserve">, párr. 124; y </w:t>
      </w:r>
      <w:r w:rsidRPr="007946EE">
        <w:rPr>
          <w:rFonts w:ascii="Verdana" w:hAnsi="Verdana"/>
          <w:bCs/>
          <w:i/>
          <w:color w:val="000000"/>
          <w:sz w:val="16"/>
          <w:szCs w:val="16"/>
          <w:lang w:val="es-ES_tradnl" w:eastAsia="es-ES_tradnl"/>
        </w:rPr>
        <w:t>Caso Pueblo Indígena Xucuru y sus miembros Vs. Brasil. Excepciones Preliminares, Fondo, Reparaciones y Costas.</w:t>
      </w:r>
      <w:r w:rsidRPr="007946EE">
        <w:rPr>
          <w:rFonts w:ascii="Verdana" w:hAnsi="Verdana"/>
          <w:bCs/>
          <w:color w:val="000000"/>
          <w:sz w:val="16"/>
          <w:szCs w:val="16"/>
          <w:lang w:val="es-ES_tradnl" w:eastAsia="es-ES_tradnl"/>
        </w:rPr>
        <w:t xml:space="preserve"> Sentencia de 5 de fe</w:t>
      </w:r>
      <w:r>
        <w:rPr>
          <w:rFonts w:ascii="Verdana" w:hAnsi="Verdana"/>
          <w:bCs/>
          <w:color w:val="000000"/>
          <w:sz w:val="16"/>
          <w:szCs w:val="16"/>
          <w:lang w:val="es-ES_tradnl" w:eastAsia="es-ES_tradnl"/>
        </w:rPr>
        <w:t>brero de 2018. Serie C No. 346, párr. 116</w:t>
      </w:r>
      <w:r w:rsidRPr="007946EE">
        <w:rPr>
          <w:rFonts w:ascii="Verdana" w:hAnsi="Verdana"/>
          <w:bCs/>
          <w:color w:val="000000"/>
          <w:sz w:val="16"/>
          <w:szCs w:val="16"/>
          <w:lang w:val="es-ES_tradnl" w:eastAsia="es-ES_tradnl"/>
        </w:rPr>
        <w:t xml:space="preserve">. </w:t>
      </w:r>
    </w:p>
  </w:footnote>
  <w:footnote w:id="30">
    <w:p w14:paraId="25E5D1A5" w14:textId="61CEA6A7" w:rsidR="002275C3" w:rsidRPr="00685548" w:rsidRDefault="002275C3" w:rsidP="00685548">
      <w:pPr>
        <w:spacing w:after="120"/>
        <w:jc w:val="both"/>
        <w:rPr>
          <w:sz w:val="16"/>
          <w:szCs w:val="16"/>
          <w:lang w:val="es-ES_tradnl" w:eastAsia="es-ES_tradnl"/>
        </w:rPr>
      </w:pPr>
      <w:r w:rsidRPr="00C2619E">
        <w:rPr>
          <w:rStyle w:val="Refdenotaalpie"/>
          <w:rFonts w:eastAsia="Batang"/>
          <w:sz w:val="16"/>
          <w:szCs w:val="16"/>
        </w:rPr>
        <w:footnoteRef/>
      </w:r>
      <w:r w:rsidRPr="00C2619E">
        <w:rPr>
          <w:sz w:val="16"/>
          <w:szCs w:val="16"/>
        </w:rPr>
        <w:t xml:space="preserve"> </w:t>
      </w:r>
      <w:r>
        <w:t xml:space="preserve"> </w:t>
      </w:r>
      <w:r>
        <w:tab/>
      </w:r>
      <w:r w:rsidRPr="00EA3666">
        <w:rPr>
          <w:rFonts w:ascii="Verdana" w:hAnsi="Verdana"/>
          <w:bCs/>
          <w:i/>
          <w:color w:val="000000"/>
          <w:sz w:val="16"/>
          <w:szCs w:val="16"/>
          <w:lang w:val="es-ES_tradnl" w:eastAsia="es-ES_tradnl"/>
        </w:rPr>
        <w:t>Caso Lagos del Campo Vs. Perú. Excepciones Preliminares, Fondo, Reparaciones y Costas</w:t>
      </w:r>
      <w:r w:rsidRPr="00EA3666">
        <w:rPr>
          <w:rFonts w:ascii="Verdana" w:hAnsi="Verdana"/>
          <w:bCs/>
          <w:color w:val="000000"/>
          <w:sz w:val="16"/>
          <w:szCs w:val="16"/>
          <w:lang w:val="es-ES_tradnl" w:eastAsia="es-ES_tradnl"/>
        </w:rPr>
        <w:t>. Sentencia de 31 de agosto de 2017. Serie C No. 340.</w:t>
      </w:r>
    </w:p>
  </w:footnote>
  <w:footnote w:id="31">
    <w:p w14:paraId="3ABA62AB" w14:textId="286A1524" w:rsidR="002275C3" w:rsidRPr="006A7E31" w:rsidRDefault="002275C3" w:rsidP="00685548">
      <w:pPr>
        <w:pStyle w:val="Textonotapie"/>
        <w:spacing w:after="120"/>
        <w:rPr>
          <w:rFonts w:cs="Arial"/>
          <w:color w:val="000000"/>
          <w:sz w:val="16"/>
          <w:szCs w:val="16"/>
          <w:lang w:val="es-MX"/>
        </w:rPr>
      </w:pPr>
      <w:r w:rsidRPr="00FD0B06">
        <w:rPr>
          <w:rStyle w:val="Refdenotaalpie"/>
          <w:bCs/>
          <w:sz w:val="16"/>
          <w:szCs w:val="16"/>
        </w:rPr>
        <w:footnoteRef/>
      </w:r>
      <w:r w:rsidRPr="00FD0B06">
        <w:rPr>
          <w:bCs/>
          <w:sz w:val="16"/>
          <w:szCs w:val="16"/>
          <w:lang w:val="es-MX"/>
        </w:rPr>
        <w:t xml:space="preserve"> </w:t>
      </w:r>
      <w:r w:rsidRPr="00F41D1F">
        <w:rPr>
          <w:b/>
          <w:bCs/>
          <w:sz w:val="16"/>
          <w:szCs w:val="16"/>
          <w:lang w:val="es-MX"/>
        </w:rPr>
        <w:tab/>
      </w:r>
      <w:r w:rsidRPr="001F6A51">
        <w:rPr>
          <w:i/>
          <w:iCs/>
          <w:sz w:val="16"/>
          <w:szCs w:val="16"/>
          <w:lang w:val="es-ES"/>
        </w:rPr>
        <w:t>Cfr.</w:t>
      </w:r>
      <w:r w:rsidRPr="001F6A51">
        <w:rPr>
          <w:sz w:val="16"/>
          <w:szCs w:val="16"/>
          <w:lang w:val="es-ES"/>
        </w:rPr>
        <w:t xml:space="preserve"> </w:t>
      </w:r>
      <w:r w:rsidRPr="001F6A51">
        <w:rPr>
          <w:rStyle w:val="Textoennegrita"/>
          <w:rFonts w:cs="Arial"/>
          <w:b w:val="0"/>
          <w:bCs w:val="0"/>
          <w:i/>
          <w:color w:val="000000"/>
          <w:sz w:val="16"/>
          <w:szCs w:val="16"/>
          <w:lang w:val="es-ES"/>
        </w:rPr>
        <w:t xml:space="preserve">Caso </w:t>
      </w:r>
      <w:r w:rsidRPr="001F6A51">
        <w:rPr>
          <w:rFonts w:cs="Arial"/>
          <w:i/>
          <w:iCs/>
          <w:sz w:val="16"/>
          <w:szCs w:val="16"/>
          <w:lang w:val="es-ES"/>
        </w:rPr>
        <w:t>Comunidades indígenas miembros de la asociación Lhaka Honhat (Nuestra Tierra)</w:t>
      </w:r>
      <w:r w:rsidRPr="001F6A51">
        <w:rPr>
          <w:rStyle w:val="Textoennegrita"/>
          <w:rFonts w:cs="Arial"/>
          <w:b w:val="0"/>
          <w:bCs w:val="0"/>
          <w:i/>
          <w:color w:val="000000"/>
          <w:sz w:val="16"/>
          <w:szCs w:val="16"/>
          <w:lang w:val="es-ES"/>
        </w:rPr>
        <w:t xml:space="preserve"> Vs. Argentina. Fondo, Reparaciones y Costas. </w:t>
      </w:r>
      <w:r>
        <w:rPr>
          <w:rStyle w:val="Textoennegrita"/>
          <w:rFonts w:cs="Arial"/>
          <w:b w:val="0"/>
          <w:bCs w:val="0"/>
          <w:color w:val="000000"/>
          <w:sz w:val="16"/>
          <w:szCs w:val="16"/>
          <w:lang w:val="es-ES"/>
        </w:rPr>
        <w:t>Sentencia de 6 de febrero</w:t>
      </w:r>
      <w:r w:rsidRPr="001F6A51">
        <w:rPr>
          <w:rStyle w:val="Textoennegrita"/>
          <w:rFonts w:cs="Arial"/>
          <w:b w:val="0"/>
          <w:bCs w:val="0"/>
          <w:color w:val="000000"/>
          <w:sz w:val="16"/>
          <w:szCs w:val="16"/>
          <w:lang w:val="es-ES"/>
        </w:rPr>
        <w:t xml:space="preserve"> de 2020. </w:t>
      </w:r>
      <w:r w:rsidRPr="006A7E31">
        <w:rPr>
          <w:rStyle w:val="Textoennegrita"/>
          <w:rFonts w:cs="Arial"/>
          <w:b w:val="0"/>
          <w:bCs w:val="0"/>
          <w:color w:val="000000"/>
          <w:sz w:val="16"/>
          <w:szCs w:val="16"/>
          <w:lang w:val="es-MX"/>
        </w:rPr>
        <w:t xml:space="preserve">Serie C No. 400, párrs. 202 a 242. </w:t>
      </w:r>
    </w:p>
  </w:footnote>
  <w:footnote w:id="32">
    <w:p w14:paraId="581BBD69" w14:textId="719002C3" w:rsidR="002275C3" w:rsidRPr="008C5C62" w:rsidRDefault="002275C3" w:rsidP="00685548">
      <w:pPr>
        <w:pStyle w:val="Textonotapie"/>
        <w:spacing w:after="120"/>
        <w:rPr>
          <w:rFonts w:cs="Arial"/>
          <w:color w:val="000000"/>
          <w:sz w:val="16"/>
          <w:szCs w:val="16"/>
          <w:lang w:val="es-MX"/>
        </w:rPr>
      </w:pPr>
      <w:r w:rsidRPr="00685548">
        <w:rPr>
          <w:rStyle w:val="Refdenotaalpie"/>
          <w:sz w:val="16"/>
          <w:szCs w:val="16"/>
        </w:rPr>
        <w:footnoteRef/>
      </w:r>
      <w:r w:rsidRPr="00797993">
        <w:rPr>
          <w:sz w:val="16"/>
          <w:szCs w:val="16"/>
          <w:lang w:val="es-MX"/>
        </w:rPr>
        <w:t xml:space="preserve"> </w:t>
      </w:r>
      <w:r w:rsidRPr="00797993">
        <w:rPr>
          <w:lang w:val="es-MX"/>
        </w:rPr>
        <w:t xml:space="preserve"> </w:t>
      </w:r>
      <w:r w:rsidRPr="00797993">
        <w:rPr>
          <w:lang w:val="es-MX"/>
        </w:rPr>
        <w:tab/>
      </w:r>
      <w:r w:rsidRPr="00797993">
        <w:rPr>
          <w:bCs/>
          <w:i/>
          <w:color w:val="000000"/>
          <w:sz w:val="16"/>
          <w:szCs w:val="16"/>
          <w:lang w:val="es-MX" w:eastAsia="es-ES_tradnl"/>
        </w:rPr>
        <w:t>Cfr</w:t>
      </w:r>
      <w:r w:rsidRPr="00797993">
        <w:rPr>
          <w:bCs/>
          <w:color w:val="000000"/>
          <w:sz w:val="16"/>
          <w:szCs w:val="16"/>
          <w:lang w:val="es-MX" w:eastAsia="es-ES_tradnl"/>
        </w:rPr>
        <w:t xml:space="preserve">. </w:t>
      </w:r>
      <w:r w:rsidRPr="001F6A51">
        <w:rPr>
          <w:i/>
          <w:iCs/>
          <w:sz w:val="16"/>
          <w:szCs w:val="16"/>
          <w:lang w:val="es-ES"/>
        </w:rPr>
        <w:t>Cfr.</w:t>
      </w:r>
      <w:r w:rsidRPr="001F6A51">
        <w:rPr>
          <w:sz w:val="16"/>
          <w:szCs w:val="16"/>
          <w:lang w:val="es-ES"/>
        </w:rPr>
        <w:t xml:space="preserve"> </w:t>
      </w:r>
      <w:r w:rsidRPr="001F6A51">
        <w:rPr>
          <w:rStyle w:val="Textoennegrita"/>
          <w:rFonts w:cs="Arial"/>
          <w:b w:val="0"/>
          <w:bCs w:val="0"/>
          <w:i/>
          <w:color w:val="000000"/>
          <w:sz w:val="16"/>
          <w:szCs w:val="16"/>
          <w:lang w:val="es-ES"/>
        </w:rPr>
        <w:t xml:space="preserve">Caso </w:t>
      </w:r>
      <w:r w:rsidRPr="001F6A51">
        <w:rPr>
          <w:rFonts w:cs="Arial"/>
          <w:i/>
          <w:iCs/>
          <w:sz w:val="16"/>
          <w:szCs w:val="16"/>
          <w:lang w:val="es-ES"/>
        </w:rPr>
        <w:t>Comunidades indígenas miembros de la asociación Lhaka Honhat (Nuestra Tierra)</w:t>
      </w:r>
      <w:r w:rsidRPr="001F6A51">
        <w:rPr>
          <w:rStyle w:val="Textoennegrita"/>
          <w:rFonts w:cs="Arial"/>
          <w:b w:val="0"/>
          <w:bCs w:val="0"/>
          <w:i/>
          <w:color w:val="000000"/>
          <w:sz w:val="16"/>
          <w:szCs w:val="16"/>
          <w:lang w:val="es-ES"/>
        </w:rPr>
        <w:t xml:space="preserve"> Vs. Argentina. Fondo, Reparaciones y Costas. </w:t>
      </w:r>
      <w:r>
        <w:rPr>
          <w:rStyle w:val="Textoennegrita"/>
          <w:rFonts w:cs="Arial"/>
          <w:b w:val="0"/>
          <w:bCs w:val="0"/>
          <w:color w:val="000000"/>
          <w:sz w:val="16"/>
          <w:szCs w:val="16"/>
          <w:lang w:val="es-ES"/>
        </w:rPr>
        <w:t>Sentencia de 6 de febrero</w:t>
      </w:r>
      <w:r w:rsidRPr="001F6A51">
        <w:rPr>
          <w:rStyle w:val="Textoennegrita"/>
          <w:rFonts w:cs="Arial"/>
          <w:b w:val="0"/>
          <w:bCs w:val="0"/>
          <w:color w:val="000000"/>
          <w:sz w:val="16"/>
          <w:szCs w:val="16"/>
          <w:lang w:val="es-ES"/>
        </w:rPr>
        <w:t xml:space="preserve"> de 2020. </w:t>
      </w:r>
      <w:r w:rsidRPr="006A7E31">
        <w:rPr>
          <w:rStyle w:val="Textoennegrita"/>
          <w:rFonts w:cs="Arial"/>
          <w:b w:val="0"/>
          <w:bCs w:val="0"/>
          <w:color w:val="000000"/>
          <w:sz w:val="16"/>
          <w:szCs w:val="16"/>
          <w:lang w:val="es-MX"/>
        </w:rPr>
        <w:t xml:space="preserve">Serie C No. 400, </w:t>
      </w:r>
      <w:r w:rsidRPr="002275C3">
        <w:rPr>
          <w:bCs/>
          <w:color w:val="000000"/>
          <w:sz w:val="16"/>
          <w:szCs w:val="16"/>
          <w:lang w:val="es-MX" w:eastAsia="es-ES_tradnl"/>
        </w:rPr>
        <w:t>párrs. 186 a 289 de la Sentencia.</w:t>
      </w:r>
    </w:p>
  </w:footnote>
  <w:footnote w:id="33">
    <w:p w14:paraId="6592F563" w14:textId="4803D388" w:rsidR="002275C3" w:rsidRPr="00B6444B" w:rsidRDefault="002275C3" w:rsidP="002275C3">
      <w:pPr>
        <w:pStyle w:val="Textonotapie"/>
        <w:rPr>
          <w:b/>
          <w:bCs/>
          <w:sz w:val="16"/>
          <w:szCs w:val="16"/>
          <w:lang w:val="es-ES_tradnl"/>
        </w:rPr>
      </w:pPr>
      <w:r w:rsidRPr="00B6444B">
        <w:rPr>
          <w:rStyle w:val="Refdenotaalpie"/>
          <w:sz w:val="16"/>
          <w:szCs w:val="16"/>
        </w:rPr>
        <w:footnoteRef/>
      </w:r>
      <w:r w:rsidRPr="002275C3">
        <w:rPr>
          <w:sz w:val="16"/>
          <w:szCs w:val="16"/>
          <w:lang w:val="es-MX"/>
        </w:rPr>
        <w:t xml:space="preserve"> </w:t>
      </w:r>
      <w:r w:rsidRPr="00B6444B">
        <w:rPr>
          <w:sz w:val="16"/>
          <w:szCs w:val="16"/>
          <w:lang w:val="es-ES"/>
        </w:rPr>
        <w:t xml:space="preserve"> </w:t>
      </w:r>
      <w:r w:rsidRPr="00B6444B">
        <w:rPr>
          <w:sz w:val="16"/>
          <w:szCs w:val="16"/>
          <w:lang w:val="es-ES"/>
        </w:rPr>
        <w:tab/>
        <w:t>En ese sentido, la Sentencia menciona, en sus párrafos 227, 228 y 230, señalamientos del Comité DESC respecto a la importancia de considerar al agua un “bien cultural”, y sus implicancias respecto a pueblos indígenas, que conllevan el deber estatal de proteger los recursos de agua que existan en tierras ancestrales. También en el ámbito de las Naciones Unidas, la Oficina del Alto Comisionado de las Naciones Unidas para los Derechos Humanos ha señalado que “</w:t>
      </w:r>
      <w:r w:rsidRPr="00B6444B">
        <w:rPr>
          <w:sz w:val="16"/>
          <w:szCs w:val="16"/>
          <w:lang w:val="es-ES_tradnl"/>
        </w:rPr>
        <w:t>El agua desempeña un papel importante en la existencia cotidiana de los pueblos indígenas, ya que es un componente central de sus tradiciones, su cultura y sus instituciones. También es un elemento clave de sus estrategias de sustento”. Asimismo, ha expresado que “[L]as fuentes naturales de agua utilizadas tradicionalmente por los pueblos indígenas, como los lagos o ríos, pueden no ser ya accesibles debido a la expropiación o la apropiación gradual de las tierras por otros. El acceso puede verse amenazado también por la contaminación</w:t>
      </w:r>
      <w:r w:rsidR="00BC775F">
        <w:rPr>
          <w:sz w:val="16"/>
          <w:szCs w:val="16"/>
          <w:lang w:val="es-ES_tradnl"/>
        </w:rPr>
        <w:t xml:space="preserve"> ilegal o la sobreexplotación” </w:t>
      </w:r>
      <w:r w:rsidRPr="00B6444B">
        <w:rPr>
          <w:sz w:val="16"/>
          <w:szCs w:val="16"/>
          <w:lang w:val="es-ES_tradnl"/>
        </w:rPr>
        <w:t>(Oficina del Alto Comisionado de las Naciones Unidas para los Derechos Humanos, Folleto Informativo No. 35, “El derecho al agua”, pág. 30). En particular respecto de Argentina, en 2012 el Relator Especial sobre los derechos de los pueblos indígenas dio cuenta de múltiples situaciones existentes en el país, inclusive en Salta, de dificultades de comunidades indígenas para un acceso adecuado al agua, y recomendó al “</w:t>
      </w:r>
      <w:r w:rsidRPr="00B6444B">
        <w:rPr>
          <w:bCs/>
          <w:sz w:val="16"/>
          <w:szCs w:val="16"/>
          <w:lang w:val="es-ES_tradnl"/>
        </w:rPr>
        <w:t>Gobierno nacional y los gobiernos provinciales […] realizar mayores</w:t>
      </w:r>
      <w:r w:rsidRPr="00B6444B">
        <w:rPr>
          <w:sz w:val="16"/>
          <w:szCs w:val="16"/>
          <w:lang w:val="es-ES_tradnl"/>
        </w:rPr>
        <w:t xml:space="preserve"> </w:t>
      </w:r>
      <w:r w:rsidRPr="00B6444B">
        <w:rPr>
          <w:bCs/>
          <w:sz w:val="16"/>
          <w:szCs w:val="16"/>
          <w:lang w:val="es-ES_tradnl"/>
        </w:rPr>
        <w:t>esfuerzos para responder a las solicitudes de los pueblos indígenas en relación con el</w:t>
      </w:r>
      <w:r w:rsidRPr="00B6444B">
        <w:rPr>
          <w:sz w:val="16"/>
          <w:szCs w:val="16"/>
          <w:lang w:val="es-ES_tradnl"/>
        </w:rPr>
        <w:t xml:space="preserve"> </w:t>
      </w:r>
      <w:r w:rsidRPr="00B6444B">
        <w:rPr>
          <w:bCs/>
          <w:sz w:val="16"/>
          <w:szCs w:val="16"/>
          <w:lang w:val="es-ES_tradnl"/>
        </w:rPr>
        <w:t>acceso a servicios básicos en las áreas rurales, especialmente los servicios del agua”. Señaló que “[e]n</w:t>
      </w:r>
      <w:r w:rsidRPr="00B6444B">
        <w:rPr>
          <w:sz w:val="16"/>
          <w:szCs w:val="16"/>
          <w:lang w:val="es-ES_tradnl"/>
        </w:rPr>
        <w:t xml:space="preserve"> </w:t>
      </w:r>
      <w:r w:rsidRPr="00B6444B">
        <w:rPr>
          <w:bCs/>
          <w:sz w:val="16"/>
          <w:szCs w:val="16"/>
          <w:lang w:val="es-ES_tradnl"/>
        </w:rPr>
        <w:t>este sentido, el Estado debe adoptar una visión a largo plazo para el desarrollo social</w:t>
      </w:r>
      <w:r w:rsidRPr="00B6444B">
        <w:rPr>
          <w:sz w:val="16"/>
          <w:szCs w:val="16"/>
          <w:lang w:val="es-ES_tradnl"/>
        </w:rPr>
        <w:t xml:space="preserve"> </w:t>
      </w:r>
      <w:r w:rsidRPr="00B6444B">
        <w:rPr>
          <w:bCs/>
          <w:sz w:val="16"/>
          <w:szCs w:val="16"/>
          <w:lang w:val="es-ES_tradnl"/>
        </w:rPr>
        <w:t>de estas áreas, tomando en cuenta la importancia que revisten las tierras tradicionales</w:t>
      </w:r>
      <w:r w:rsidRPr="00B6444B">
        <w:rPr>
          <w:sz w:val="16"/>
          <w:szCs w:val="16"/>
          <w:lang w:val="es-ES_tradnl"/>
        </w:rPr>
        <w:t xml:space="preserve"> </w:t>
      </w:r>
      <w:r w:rsidRPr="00B6444B">
        <w:rPr>
          <w:bCs/>
          <w:sz w:val="16"/>
          <w:szCs w:val="16"/>
          <w:lang w:val="es-ES_tradnl"/>
        </w:rPr>
        <w:t xml:space="preserve">para las vidas y culturas de los pueblos indígenas” (Consejo de Derechos Humanos, 21º período de sesiones. </w:t>
      </w:r>
      <w:r w:rsidRPr="007E7FF6">
        <w:rPr>
          <w:bCs/>
          <w:sz w:val="16"/>
          <w:szCs w:val="16"/>
          <w:lang w:val="es-ES_tradnl"/>
        </w:rPr>
        <w:t>Informe del Relator Especial sobre los derechos de los pueblos indígenas</w:t>
      </w:r>
      <w:r w:rsidRPr="00B6444B">
        <w:rPr>
          <w:bCs/>
          <w:sz w:val="16"/>
          <w:szCs w:val="16"/>
          <w:lang w:val="es-ES_tradnl"/>
        </w:rPr>
        <w:t xml:space="preserve">, James Anaya. </w:t>
      </w:r>
      <w:r w:rsidRPr="007E7FF6">
        <w:rPr>
          <w:bCs/>
          <w:i/>
          <w:sz w:val="16"/>
          <w:szCs w:val="16"/>
          <w:lang w:val="es-ES_tradnl"/>
        </w:rPr>
        <w:t>La situación de los pueblos indígenas en Argentina</w:t>
      </w:r>
      <w:r w:rsidRPr="00B6444B">
        <w:rPr>
          <w:bCs/>
          <w:sz w:val="16"/>
          <w:szCs w:val="16"/>
          <w:lang w:val="es-ES_tradnl"/>
        </w:rPr>
        <w:t xml:space="preserve">. 4 de julio de 2012. Doc. A/HRC/21/47/Add.2, párr. 111). </w:t>
      </w:r>
    </w:p>
    <w:p w14:paraId="51DCC689" w14:textId="77777777" w:rsidR="002275C3" w:rsidRPr="00B6444B" w:rsidRDefault="002275C3" w:rsidP="002275C3">
      <w:pPr>
        <w:pStyle w:val="Textonotapie"/>
        <w:rPr>
          <w:lang w:val="es-ES"/>
        </w:rPr>
      </w:pPr>
    </w:p>
  </w:footnote>
  <w:footnote w:id="34">
    <w:p w14:paraId="1DB94678" w14:textId="77777777" w:rsidR="002275C3" w:rsidRPr="00B6444B" w:rsidRDefault="002275C3" w:rsidP="002275C3">
      <w:pPr>
        <w:pStyle w:val="Textonotapie"/>
        <w:rPr>
          <w:lang w:val="es-ES"/>
        </w:rPr>
      </w:pPr>
      <w:r>
        <w:rPr>
          <w:rStyle w:val="Refdenotaalpie"/>
        </w:rPr>
        <w:footnoteRef/>
      </w:r>
      <w:r w:rsidRPr="002275C3">
        <w:rPr>
          <w:lang w:val="es-MX"/>
        </w:rPr>
        <w:t xml:space="preserve">  </w:t>
      </w:r>
      <w:r w:rsidRPr="002275C3">
        <w:rPr>
          <w:lang w:val="es-MX"/>
        </w:rPr>
        <w:tab/>
      </w:r>
      <w:r w:rsidRPr="001F6A51">
        <w:rPr>
          <w:i/>
          <w:iCs/>
          <w:sz w:val="16"/>
          <w:szCs w:val="16"/>
          <w:lang w:val="es-ES"/>
        </w:rPr>
        <w:t>Cfr.</w:t>
      </w:r>
      <w:r w:rsidRPr="001F6A51">
        <w:rPr>
          <w:sz w:val="16"/>
          <w:szCs w:val="16"/>
          <w:lang w:val="es-ES"/>
        </w:rPr>
        <w:t xml:space="preserve"> </w:t>
      </w:r>
      <w:r w:rsidRPr="001F6A51">
        <w:rPr>
          <w:rStyle w:val="Textoennegrita"/>
          <w:rFonts w:cs="Arial"/>
          <w:b w:val="0"/>
          <w:bCs w:val="0"/>
          <w:i/>
          <w:color w:val="000000"/>
          <w:sz w:val="16"/>
          <w:szCs w:val="16"/>
          <w:lang w:val="es-ES"/>
        </w:rPr>
        <w:t xml:space="preserve">Caso </w:t>
      </w:r>
      <w:r w:rsidRPr="001F6A51">
        <w:rPr>
          <w:rFonts w:cs="Arial"/>
          <w:i/>
          <w:iCs/>
          <w:sz w:val="16"/>
          <w:szCs w:val="16"/>
          <w:lang w:val="es-ES"/>
        </w:rPr>
        <w:t>Comunidades indígenas miembros de la asociación Lhaka Honhat (Nuestra Tierra)</w:t>
      </w:r>
      <w:r w:rsidRPr="001F6A51">
        <w:rPr>
          <w:rStyle w:val="Textoennegrita"/>
          <w:rFonts w:cs="Arial"/>
          <w:b w:val="0"/>
          <w:bCs w:val="0"/>
          <w:i/>
          <w:color w:val="000000"/>
          <w:sz w:val="16"/>
          <w:szCs w:val="16"/>
          <w:lang w:val="es-ES"/>
        </w:rPr>
        <w:t xml:space="preserve"> Vs. Argentina. Fondo, Reparaciones y Costas. </w:t>
      </w:r>
      <w:r>
        <w:rPr>
          <w:rStyle w:val="Textoennegrita"/>
          <w:rFonts w:cs="Arial"/>
          <w:b w:val="0"/>
          <w:bCs w:val="0"/>
          <w:color w:val="000000"/>
          <w:sz w:val="16"/>
          <w:szCs w:val="16"/>
          <w:lang w:val="es-ES"/>
        </w:rPr>
        <w:t>Sentencia de 6 de febrero</w:t>
      </w:r>
      <w:r w:rsidRPr="001F6A51">
        <w:rPr>
          <w:rStyle w:val="Textoennegrita"/>
          <w:rFonts w:cs="Arial"/>
          <w:b w:val="0"/>
          <w:bCs w:val="0"/>
          <w:color w:val="000000"/>
          <w:sz w:val="16"/>
          <w:szCs w:val="16"/>
          <w:lang w:val="es-ES"/>
        </w:rPr>
        <w:t xml:space="preserve"> de 2020. </w:t>
      </w:r>
      <w:r>
        <w:rPr>
          <w:rStyle w:val="Textoennegrita"/>
          <w:rFonts w:cs="Arial"/>
          <w:b w:val="0"/>
          <w:bCs w:val="0"/>
          <w:color w:val="000000"/>
          <w:sz w:val="16"/>
          <w:szCs w:val="16"/>
          <w:lang w:val="es-MX"/>
        </w:rPr>
        <w:t xml:space="preserve">Serie C No. 400, párrs. 261, 269, 277, 278 y 280 a 284. </w:t>
      </w:r>
    </w:p>
  </w:footnote>
  <w:footnote w:id="35">
    <w:p w14:paraId="017105F3" w14:textId="4F91A4A3" w:rsidR="002275C3" w:rsidRPr="00F41D1F" w:rsidRDefault="002275C3" w:rsidP="00685548">
      <w:pPr>
        <w:pStyle w:val="Textonotapie"/>
        <w:spacing w:after="120"/>
        <w:rPr>
          <w:sz w:val="16"/>
          <w:szCs w:val="16"/>
        </w:rPr>
      </w:pPr>
      <w:r w:rsidRPr="001F6A51">
        <w:rPr>
          <w:rStyle w:val="Refdenotaalpie"/>
          <w:sz w:val="16"/>
          <w:szCs w:val="16"/>
          <w:lang w:val="es-ES"/>
        </w:rPr>
        <w:footnoteRef/>
      </w:r>
      <w:r w:rsidRPr="00F41D1F">
        <w:rPr>
          <w:sz w:val="16"/>
          <w:szCs w:val="16"/>
        </w:rPr>
        <w:tab/>
      </w:r>
      <w:r w:rsidRPr="001F6A51">
        <w:rPr>
          <w:rFonts w:cs="Arial"/>
          <w:i/>
          <w:iCs/>
          <w:sz w:val="16"/>
          <w:szCs w:val="16"/>
        </w:rPr>
        <w:t>ACoHPR, African Commission on Human and People´s Rights (Ogiek) Vs. Kenya</w:t>
      </w:r>
      <w:r w:rsidRPr="001F6A51">
        <w:rPr>
          <w:rFonts w:cs="Arial"/>
          <w:sz w:val="16"/>
          <w:szCs w:val="16"/>
        </w:rPr>
        <w:t>, Application No. 006/2012, Sentencia de 26 de mayo de 2017, párr. 124</w:t>
      </w:r>
    </w:p>
  </w:footnote>
  <w:footnote w:id="36">
    <w:p w14:paraId="14E54678" w14:textId="27ADBF27" w:rsidR="002275C3" w:rsidRPr="00F41D1F" w:rsidRDefault="002275C3" w:rsidP="00685548">
      <w:pPr>
        <w:pStyle w:val="Textonotapie"/>
        <w:spacing w:after="120"/>
      </w:pPr>
      <w:r w:rsidRPr="00C2619E">
        <w:rPr>
          <w:rStyle w:val="Refdenotaalpie"/>
          <w:sz w:val="16"/>
          <w:szCs w:val="16"/>
        </w:rPr>
        <w:footnoteRef/>
      </w:r>
      <w:r w:rsidRPr="006E5163">
        <w:t xml:space="preserve"> </w:t>
      </w:r>
      <w:r w:rsidRPr="006E5163">
        <w:tab/>
      </w:r>
      <w:r w:rsidRPr="006E5163">
        <w:rPr>
          <w:rFonts w:cs="Arial"/>
          <w:i/>
          <w:iCs/>
          <w:sz w:val="16"/>
          <w:szCs w:val="16"/>
        </w:rPr>
        <w:t>ACoHPR, African Commission on Human and People´s Rights (Ogiek) Vs. Kenya</w:t>
      </w:r>
      <w:r w:rsidRPr="006E5163">
        <w:rPr>
          <w:rFonts w:cs="Arial"/>
          <w:sz w:val="16"/>
          <w:szCs w:val="16"/>
        </w:rPr>
        <w:t>, Application No. 006/2012, Sentencia de 26 de mayo de 2017, párr.</w:t>
      </w:r>
      <w:r>
        <w:rPr>
          <w:rFonts w:cs="Arial"/>
          <w:sz w:val="16"/>
          <w:szCs w:val="16"/>
        </w:rPr>
        <w:t xml:space="preserve"> </w:t>
      </w:r>
      <w:r w:rsidRPr="006E5163">
        <w:rPr>
          <w:rFonts w:cs="Arial"/>
          <w:sz w:val="16"/>
          <w:szCs w:val="16"/>
        </w:rPr>
        <w:t>127.</w:t>
      </w:r>
      <w:r>
        <w:rPr>
          <w:rFonts w:cs="Arial"/>
          <w:sz w:val="16"/>
          <w:szCs w:val="16"/>
        </w:rPr>
        <w:t xml:space="preserve"> </w:t>
      </w:r>
    </w:p>
  </w:footnote>
  <w:footnote w:id="37">
    <w:p w14:paraId="6B28BE77" w14:textId="09972083" w:rsidR="002275C3" w:rsidRPr="00F41D1F" w:rsidRDefault="002275C3" w:rsidP="00685548">
      <w:pPr>
        <w:pStyle w:val="Textonotapie"/>
        <w:spacing w:after="120"/>
        <w:rPr>
          <w:sz w:val="16"/>
          <w:szCs w:val="16"/>
        </w:rPr>
      </w:pPr>
      <w:r w:rsidRPr="002D4992">
        <w:rPr>
          <w:rStyle w:val="Refdenotaalpie"/>
          <w:sz w:val="16"/>
          <w:szCs w:val="16"/>
          <w:lang w:val="es-ES"/>
        </w:rPr>
        <w:footnoteRef/>
      </w:r>
      <w:r w:rsidRPr="00F41D1F">
        <w:rPr>
          <w:sz w:val="16"/>
          <w:szCs w:val="16"/>
        </w:rPr>
        <w:t xml:space="preserve"> </w:t>
      </w:r>
      <w:r w:rsidRPr="00F41D1F">
        <w:rPr>
          <w:sz w:val="16"/>
          <w:szCs w:val="16"/>
        </w:rPr>
        <w:tab/>
      </w:r>
      <w:r w:rsidRPr="00BB7A22">
        <w:rPr>
          <w:rFonts w:cs="Arial"/>
          <w:i/>
          <w:iCs/>
          <w:sz w:val="16"/>
          <w:szCs w:val="16"/>
        </w:rPr>
        <w:t>ACoHPR, African Commission on Human and People´s Rights (Ogiek) Vs. Kenya</w:t>
      </w:r>
      <w:r w:rsidRPr="002D4992">
        <w:rPr>
          <w:rFonts w:cs="Arial"/>
          <w:sz w:val="16"/>
          <w:szCs w:val="16"/>
        </w:rPr>
        <w:t xml:space="preserve">, Application No. 006/2012, Sentencia de 26 de mayo de 2017, párr. 165. </w:t>
      </w:r>
    </w:p>
  </w:footnote>
  <w:footnote w:id="38">
    <w:p w14:paraId="00B69425" w14:textId="05C70867" w:rsidR="002275C3" w:rsidRPr="00642D42" w:rsidRDefault="002275C3" w:rsidP="00685548">
      <w:pPr>
        <w:pStyle w:val="Textonotapie"/>
        <w:spacing w:after="120"/>
        <w:rPr>
          <w:rFonts w:cs="Arial"/>
          <w:sz w:val="16"/>
          <w:szCs w:val="16"/>
        </w:rPr>
      </w:pPr>
      <w:r w:rsidRPr="00C2619E">
        <w:rPr>
          <w:rStyle w:val="Refdenotaalpie"/>
          <w:sz w:val="16"/>
          <w:szCs w:val="16"/>
        </w:rPr>
        <w:footnoteRef/>
      </w:r>
      <w:r>
        <w:t xml:space="preserve"> </w:t>
      </w:r>
      <w:r>
        <w:tab/>
      </w:r>
      <w:r w:rsidRPr="00BB7A22">
        <w:rPr>
          <w:rFonts w:cs="Arial"/>
          <w:i/>
          <w:iCs/>
          <w:sz w:val="16"/>
          <w:szCs w:val="16"/>
        </w:rPr>
        <w:t>ACoHPR, African Commission on Human and People´s Rights (Ogiek) Vs. Kenya</w:t>
      </w:r>
      <w:r w:rsidRPr="002D4992">
        <w:rPr>
          <w:rFonts w:cs="Arial"/>
          <w:sz w:val="16"/>
          <w:szCs w:val="16"/>
        </w:rPr>
        <w:t>, Application No. 006/2012, Sentencia de 26 de mayo de 2017, párr. 1</w:t>
      </w:r>
      <w:r>
        <w:rPr>
          <w:rFonts w:cs="Arial"/>
          <w:sz w:val="16"/>
          <w:szCs w:val="16"/>
        </w:rPr>
        <w:t>70</w:t>
      </w:r>
      <w:r w:rsidRPr="002D4992">
        <w:rPr>
          <w:rFonts w:cs="Arial"/>
          <w:sz w:val="16"/>
          <w:szCs w:val="16"/>
        </w:rPr>
        <w:t>.</w:t>
      </w:r>
    </w:p>
  </w:footnote>
  <w:footnote w:id="39">
    <w:p w14:paraId="6EA54BE4" w14:textId="3F99FD7B" w:rsidR="002275C3" w:rsidRPr="00F41D1F" w:rsidRDefault="002275C3" w:rsidP="00685548">
      <w:pPr>
        <w:pStyle w:val="Textonotapie"/>
        <w:spacing w:after="120"/>
      </w:pPr>
      <w:r w:rsidRPr="00C2619E">
        <w:rPr>
          <w:rStyle w:val="Refdenotaalpie"/>
          <w:sz w:val="16"/>
          <w:szCs w:val="16"/>
        </w:rPr>
        <w:footnoteRef/>
      </w:r>
      <w:r w:rsidRPr="00C2619E">
        <w:rPr>
          <w:sz w:val="16"/>
          <w:szCs w:val="16"/>
        </w:rPr>
        <w:t xml:space="preserve"> </w:t>
      </w:r>
      <w:r>
        <w:tab/>
      </w:r>
      <w:r w:rsidRPr="00BB7A22">
        <w:rPr>
          <w:rFonts w:cs="Arial"/>
          <w:i/>
          <w:iCs/>
          <w:sz w:val="16"/>
          <w:szCs w:val="16"/>
        </w:rPr>
        <w:t>ACoHPR, African Commission on Human and People´s Rights (Ogiek) Vs. K</w:t>
      </w:r>
      <w:r w:rsidRPr="002D4992">
        <w:rPr>
          <w:rFonts w:cs="Arial"/>
          <w:sz w:val="16"/>
          <w:szCs w:val="16"/>
        </w:rPr>
        <w:t>enya, Application No. 006/2012, Sentencia de 26 de mayo de 2017, párr. 1</w:t>
      </w:r>
      <w:r>
        <w:rPr>
          <w:rFonts w:cs="Arial"/>
          <w:sz w:val="16"/>
          <w:szCs w:val="16"/>
        </w:rPr>
        <w:t>77.</w:t>
      </w:r>
    </w:p>
  </w:footnote>
  <w:footnote w:id="40">
    <w:p w14:paraId="59158283" w14:textId="119E3C04" w:rsidR="002275C3" w:rsidRPr="00642D42" w:rsidRDefault="002275C3" w:rsidP="00685548">
      <w:pPr>
        <w:pStyle w:val="Textonotapie"/>
        <w:spacing w:after="120"/>
        <w:rPr>
          <w:rFonts w:cs="Arial"/>
          <w:sz w:val="16"/>
          <w:szCs w:val="16"/>
        </w:rPr>
      </w:pPr>
      <w:r w:rsidRPr="004221EC">
        <w:rPr>
          <w:rStyle w:val="Refdenotaalpie"/>
          <w:sz w:val="16"/>
          <w:szCs w:val="16"/>
          <w:lang w:val="es-ES"/>
        </w:rPr>
        <w:footnoteRef/>
      </w:r>
      <w:r w:rsidRPr="00F41D1F">
        <w:rPr>
          <w:sz w:val="16"/>
          <w:szCs w:val="16"/>
        </w:rPr>
        <w:t xml:space="preserve"> </w:t>
      </w:r>
      <w:r w:rsidRPr="00F41D1F">
        <w:rPr>
          <w:sz w:val="16"/>
          <w:szCs w:val="16"/>
        </w:rPr>
        <w:tab/>
      </w:r>
      <w:r w:rsidRPr="00BB7A22">
        <w:rPr>
          <w:rFonts w:cs="Arial"/>
          <w:i/>
          <w:iCs/>
          <w:sz w:val="16"/>
          <w:szCs w:val="16"/>
        </w:rPr>
        <w:t>ACoHPR, African Commission on Human and People´s Rights (Ogiek) Vs. Kenya</w:t>
      </w:r>
      <w:r w:rsidRPr="002D4992">
        <w:rPr>
          <w:rFonts w:cs="Arial"/>
          <w:sz w:val="16"/>
          <w:szCs w:val="16"/>
        </w:rPr>
        <w:t>, Application No. 006/2012, Sentencia de 26 de mayo de 2017, párr. 1</w:t>
      </w:r>
      <w:r>
        <w:rPr>
          <w:rFonts w:cs="Arial"/>
          <w:sz w:val="16"/>
          <w:szCs w:val="16"/>
        </w:rPr>
        <w:t xml:space="preserve">79. </w:t>
      </w:r>
    </w:p>
  </w:footnote>
  <w:footnote w:id="41">
    <w:p w14:paraId="293CD187" w14:textId="77777777" w:rsidR="002275C3" w:rsidRPr="00F41D1F" w:rsidRDefault="002275C3" w:rsidP="00685548">
      <w:pPr>
        <w:pStyle w:val="Textonotapie"/>
        <w:spacing w:after="120"/>
        <w:rPr>
          <w:rFonts w:cs="Arial"/>
          <w:sz w:val="16"/>
          <w:szCs w:val="16"/>
          <w:lang w:val="es-MX"/>
        </w:rPr>
      </w:pPr>
      <w:r w:rsidRPr="00C2619E">
        <w:rPr>
          <w:rStyle w:val="Refdenotaalpie"/>
          <w:sz w:val="16"/>
          <w:szCs w:val="16"/>
        </w:rPr>
        <w:footnoteRef/>
      </w:r>
      <w:r w:rsidRPr="00C2619E">
        <w:rPr>
          <w:sz w:val="16"/>
          <w:szCs w:val="16"/>
        </w:rPr>
        <w:t xml:space="preserve"> </w:t>
      </w:r>
      <w:r w:rsidRPr="00F41D1F">
        <w:tab/>
      </w:r>
      <w:r w:rsidRPr="00BB7A22">
        <w:rPr>
          <w:rFonts w:cs="Arial"/>
          <w:i/>
          <w:iCs/>
          <w:sz w:val="16"/>
          <w:szCs w:val="16"/>
        </w:rPr>
        <w:t xml:space="preserve">ACoHPR, African Commission on Human and People´s Rights (Ogiek) Vs. </w:t>
      </w:r>
      <w:r w:rsidRPr="00F41D1F">
        <w:rPr>
          <w:rFonts w:cs="Arial"/>
          <w:i/>
          <w:iCs/>
          <w:sz w:val="16"/>
          <w:szCs w:val="16"/>
          <w:lang w:val="es-MX"/>
        </w:rPr>
        <w:t>Kenya</w:t>
      </w:r>
      <w:r w:rsidRPr="00F41D1F">
        <w:rPr>
          <w:rFonts w:cs="Arial"/>
          <w:sz w:val="16"/>
          <w:szCs w:val="16"/>
          <w:lang w:val="es-MX"/>
        </w:rPr>
        <w:t>, Application No. 006/2012, Sentencia de 26 de mayo de 2017, párr. 182.</w:t>
      </w:r>
    </w:p>
    <w:p w14:paraId="1D3EFE23" w14:textId="77777777" w:rsidR="002275C3" w:rsidRPr="00BB7A22" w:rsidRDefault="002275C3" w:rsidP="00685548">
      <w:pPr>
        <w:pStyle w:val="Textonotapie"/>
        <w:spacing w:after="120"/>
        <w:rPr>
          <w:lang w:val="es-ES"/>
        </w:rPr>
      </w:pPr>
    </w:p>
  </w:footnote>
  <w:footnote w:id="42">
    <w:p w14:paraId="32B7A833" w14:textId="2165D55D" w:rsidR="002275C3" w:rsidRPr="000C28E9" w:rsidRDefault="002275C3" w:rsidP="00685548">
      <w:pPr>
        <w:pStyle w:val="Textonotapie"/>
        <w:spacing w:after="120"/>
        <w:rPr>
          <w:sz w:val="16"/>
          <w:szCs w:val="16"/>
          <w:lang w:val="es-MX"/>
        </w:rPr>
      </w:pPr>
      <w:r w:rsidRPr="003A206F">
        <w:rPr>
          <w:rStyle w:val="Refdenotaalpie"/>
          <w:sz w:val="16"/>
          <w:szCs w:val="16"/>
        </w:rPr>
        <w:footnoteRef/>
      </w:r>
      <w:r w:rsidRPr="000C28E9">
        <w:rPr>
          <w:sz w:val="16"/>
          <w:szCs w:val="16"/>
          <w:lang w:val="es-MX"/>
        </w:rPr>
        <w:t xml:space="preserve"> </w:t>
      </w:r>
      <w:r w:rsidRPr="000C28E9">
        <w:rPr>
          <w:sz w:val="16"/>
          <w:szCs w:val="16"/>
          <w:lang w:val="es-MX"/>
        </w:rPr>
        <w:tab/>
        <w:t xml:space="preserve">Comité DESC. 39º Periodo de Sesiones (2007) Observación General No. 19. El Derecho a la Seguridad Social (artículo 9 del Pacto), párrs. 15 y 28. </w:t>
      </w:r>
    </w:p>
  </w:footnote>
  <w:footnote w:id="43">
    <w:p w14:paraId="65D274D1" w14:textId="31E7842A" w:rsidR="002275C3" w:rsidRPr="006C7D6D" w:rsidRDefault="002275C3" w:rsidP="00685548">
      <w:pPr>
        <w:pStyle w:val="Textonotapie"/>
        <w:spacing w:after="120"/>
        <w:rPr>
          <w:sz w:val="16"/>
          <w:szCs w:val="16"/>
          <w:lang w:val="es-ES_tradnl"/>
        </w:rPr>
      </w:pPr>
      <w:r w:rsidRPr="003A206F">
        <w:rPr>
          <w:rStyle w:val="Refdenotaalpie"/>
          <w:sz w:val="16"/>
          <w:szCs w:val="16"/>
        </w:rPr>
        <w:footnoteRef/>
      </w:r>
      <w:r w:rsidRPr="000C28E9">
        <w:rPr>
          <w:sz w:val="16"/>
          <w:szCs w:val="16"/>
          <w:lang w:val="es-MX"/>
        </w:rPr>
        <w:t xml:space="preserve"> </w:t>
      </w:r>
      <w:r w:rsidRPr="000C28E9">
        <w:rPr>
          <w:sz w:val="16"/>
          <w:szCs w:val="16"/>
          <w:lang w:val="es-MX"/>
        </w:rPr>
        <w:tab/>
        <w:t xml:space="preserve">OEA. Asamblea General. Carta Social de las Américas. </w:t>
      </w:r>
      <w:r w:rsidRPr="003A206F">
        <w:rPr>
          <w:sz w:val="16"/>
          <w:szCs w:val="16"/>
          <w:lang w:val="pt-BR"/>
        </w:rPr>
        <w:t xml:space="preserve">Aprobada en la segunda sesión plenaria, celebrada el 4 de junio de 2012 Doc. </w:t>
      </w:r>
      <w:r w:rsidRPr="003A206F">
        <w:rPr>
          <w:sz w:val="16"/>
          <w:szCs w:val="16"/>
          <w:lang w:val="es-ES_tradnl"/>
        </w:rPr>
        <w:t>OEA/Ser.P AG/doc.5242/12 rev. 1.</w:t>
      </w:r>
    </w:p>
  </w:footnote>
  <w:footnote w:id="44">
    <w:p w14:paraId="686764A2" w14:textId="3A11712D" w:rsidR="002275C3" w:rsidRPr="000C28E9" w:rsidRDefault="002275C3" w:rsidP="00685548">
      <w:pPr>
        <w:pStyle w:val="Textonotapie"/>
        <w:spacing w:after="120"/>
        <w:rPr>
          <w:lang w:val="es-MX"/>
        </w:rPr>
      </w:pPr>
      <w:r w:rsidRPr="00C2619E">
        <w:rPr>
          <w:rStyle w:val="Refdenotaalpie"/>
          <w:sz w:val="16"/>
          <w:szCs w:val="16"/>
        </w:rPr>
        <w:footnoteRef/>
      </w:r>
      <w:r w:rsidRPr="00C2619E">
        <w:rPr>
          <w:sz w:val="16"/>
          <w:szCs w:val="16"/>
          <w:lang w:val="es-MX"/>
        </w:rPr>
        <w:t xml:space="preserve"> </w:t>
      </w:r>
      <w:r w:rsidRPr="0058240E">
        <w:rPr>
          <w:b/>
          <w:lang w:val="es-MX"/>
        </w:rPr>
        <w:tab/>
      </w:r>
      <w:r w:rsidRPr="0058240E">
        <w:rPr>
          <w:rStyle w:val="Textoennegrita"/>
          <w:b w:val="0"/>
          <w:i/>
          <w:iCs/>
          <w:color w:val="000000"/>
          <w:sz w:val="16"/>
          <w:szCs w:val="16"/>
          <w:shd w:val="clear" w:color="auto" w:fill="FFFFFF"/>
          <w:lang w:val="es-MX"/>
        </w:rPr>
        <w:t>Cfr. Caso Poblete Vilches y otros Vs. Chile. Fondo, Reparaciones y Costas.</w:t>
      </w:r>
      <w:r w:rsidRPr="0058240E">
        <w:rPr>
          <w:rStyle w:val="Textoennegrita"/>
          <w:b w:val="0"/>
          <w:color w:val="000000"/>
          <w:sz w:val="16"/>
          <w:szCs w:val="16"/>
          <w:shd w:val="clear" w:color="auto" w:fill="FFFFFF"/>
          <w:lang w:val="es-MX"/>
        </w:rPr>
        <w:t xml:space="preserve"> Sentencia de 8 de marzo de 2018. Serie C No. 349, </w:t>
      </w:r>
      <w:r w:rsidRPr="0058240E">
        <w:rPr>
          <w:sz w:val="16"/>
          <w:szCs w:val="16"/>
          <w:lang w:val="es-MX"/>
        </w:rPr>
        <w:t>párrs. 136 a 143, 156, 161 a 173 y 198.</w:t>
      </w:r>
      <w:r>
        <w:rPr>
          <w:lang w:val="es-MX"/>
        </w:rPr>
        <w:t xml:space="preserve"> </w:t>
      </w:r>
    </w:p>
  </w:footnote>
  <w:footnote w:id="45">
    <w:p w14:paraId="65FAC9BC" w14:textId="4A2FA377" w:rsidR="002275C3" w:rsidRPr="00685548" w:rsidRDefault="002275C3" w:rsidP="00685548">
      <w:pPr>
        <w:pStyle w:val="Textonotapie"/>
        <w:spacing w:after="120"/>
        <w:rPr>
          <w:bCs/>
          <w:color w:val="000000"/>
          <w:sz w:val="16"/>
          <w:szCs w:val="16"/>
          <w:shd w:val="clear" w:color="auto" w:fill="FFFFFF"/>
          <w:lang w:val="es-MX"/>
        </w:rPr>
      </w:pPr>
      <w:r w:rsidRPr="003A206F">
        <w:rPr>
          <w:rStyle w:val="Refdenotaalpie"/>
          <w:sz w:val="16"/>
          <w:szCs w:val="16"/>
        </w:rPr>
        <w:footnoteRef/>
      </w:r>
      <w:r w:rsidRPr="000C28E9">
        <w:rPr>
          <w:sz w:val="16"/>
          <w:szCs w:val="16"/>
          <w:lang w:val="es-MX"/>
        </w:rPr>
        <w:t xml:space="preserve"> </w:t>
      </w:r>
      <w:r w:rsidRPr="000C28E9">
        <w:rPr>
          <w:sz w:val="16"/>
          <w:szCs w:val="16"/>
          <w:lang w:val="es-MX"/>
        </w:rPr>
        <w:tab/>
      </w:r>
      <w:r w:rsidRPr="003648F3">
        <w:rPr>
          <w:rStyle w:val="Textoennegrita"/>
          <w:b w:val="0"/>
          <w:i/>
          <w:color w:val="000000"/>
          <w:sz w:val="16"/>
          <w:szCs w:val="16"/>
          <w:shd w:val="clear" w:color="auto" w:fill="FFFFFF"/>
          <w:lang w:val="es-MX"/>
        </w:rPr>
        <w:t>Caso San Miguel Sosa y otras Vs. Venezuela. Fondo, Reparaciones y Costas.</w:t>
      </w:r>
      <w:r w:rsidRPr="003648F3">
        <w:rPr>
          <w:rStyle w:val="Textoennegrita"/>
          <w:b w:val="0"/>
          <w:color w:val="000000"/>
          <w:sz w:val="16"/>
          <w:szCs w:val="16"/>
          <w:shd w:val="clear" w:color="auto" w:fill="FFFFFF"/>
          <w:lang w:val="es-MX"/>
        </w:rPr>
        <w:t xml:space="preserve"> Sentencia de 8 de febrero de 2018. Serie C No. 348, párr</w:t>
      </w:r>
      <w:r>
        <w:rPr>
          <w:rStyle w:val="Textoennegrita"/>
          <w:b w:val="0"/>
          <w:color w:val="000000"/>
          <w:sz w:val="16"/>
          <w:szCs w:val="16"/>
          <w:shd w:val="clear" w:color="auto" w:fill="FFFFFF"/>
          <w:lang w:val="es-MX"/>
        </w:rPr>
        <w:t>s</w:t>
      </w:r>
      <w:r w:rsidRPr="003648F3">
        <w:rPr>
          <w:rStyle w:val="Textoennegrita"/>
          <w:b w:val="0"/>
          <w:color w:val="000000"/>
          <w:sz w:val="16"/>
          <w:szCs w:val="16"/>
          <w:shd w:val="clear" w:color="auto" w:fill="FFFFFF"/>
          <w:lang w:val="es-MX"/>
        </w:rPr>
        <w:t xml:space="preserve">. 221 y 222. </w:t>
      </w:r>
    </w:p>
  </w:footnote>
  <w:footnote w:id="46">
    <w:p w14:paraId="4400F7A6" w14:textId="19C5FE5A" w:rsidR="002275C3" w:rsidRPr="006C7D6D" w:rsidRDefault="002275C3" w:rsidP="00685548">
      <w:pPr>
        <w:pStyle w:val="Prrafodelista"/>
        <w:spacing w:after="120" w:line="240" w:lineRule="auto"/>
        <w:ind w:left="0"/>
        <w:jc w:val="both"/>
        <w:rPr>
          <w:rFonts w:ascii="Verdana" w:hAnsi="Verdana"/>
          <w:sz w:val="16"/>
          <w:szCs w:val="16"/>
        </w:rPr>
      </w:pPr>
      <w:r w:rsidRPr="00C2619E">
        <w:rPr>
          <w:rStyle w:val="Refdenotaalpie"/>
          <w:sz w:val="16"/>
          <w:szCs w:val="16"/>
        </w:rPr>
        <w:footnoteRef/>
      </w:r>
      <w:r w:rsidRPr="003648F3">
        <w:t xml:space="preserve"> </w:t>
      </w:r>
      <w:r w:rsidRPr="003648F3">
        <w:tab/>
      </w:r>
      <w:r w:rsidRPr="003648F3">
        <w:rPr>
          <w:rFonts w:ascii="Verdana" w:hAnsi="Verdana"/>
          <w:i/>
          <w:sz w:val="16"/>
          <w:szCs w:val="16"/>
        </w:rPr>
        <w:t xml:space="preserve">Cfr. </w:t>
      </w:r>
      <w:r w:rsidRPr="003648F3">
        <w:rPr>
          <w:rStyle w:val="Textoennegrita"/>
          <w:rFonts w:ascii="Verdana" w:hAnsi="Verdana"/>
          <w:b w:val="0"/>
          <w:i/>
          <w:color w:val="000000"/>
          <w:sz w:val="16"/>
          <w:szCs w:val="16"/>
          <w:shd w:val="clear" w:color="auto" w:fill="FFFFFF"/>
        </w:rPr>
        <w:t>Asociación Nacional de Cesantes y Jubilados de la Superintendencia Nacional de Administración Tributaria (ANCEJUB-SUNAT) Vs. Perú. Excepciones Preliminares, Fondo, Reparaciones y Costas.</w:t>
      </w:r>
      <w:r w:rsidRPr="003648F3">
        <w:rPr>
          <w:rStyle w:val="Textoennegrita"/>
          <w:rFonts w:ascii="Verdana" w:hAnsi="Verdana"/>
          <w:b w:val="0"/>
          <w:color w:val="000000"/>
          <w:sz w:val="16"/>
          <w:szCs w:val="16"/>
          <w:shd w:val="clear" w:color="auto" w:fill="FFFFFF"/>
        </w:rPr>
        <w:t xml:space="preserve"> Sentencia de 21 de noviembre de 2019. Serie C No. 394, párrs. 1</w:t>
      </w:r>
      <w:r w:rsidRPr="003648F3">
        <w:rPr>
          <w:rFonts w:ascii="Verdana" w:hAnsi="Verdana"/>
          <w:sz w:val="16"/>
          <w:szCs w:val="16"/>
        </w:rPr>
        <w:t>49, 150 y 184 a 196.</w:t>
      </w:r>
    </w:p>
  </w:footnote>
  <w:footnote w:id="47">
    <w:p w14:paraId="37A65199" w14:textId="209ED716" w:rsidR="002275C3" w:rsidRPr="00110A4B" w:rsidRDefault="002275C3" w:rsidP="00685548">
      <w:pPr>
        <w:spacing w:after="120"/>
        <w:jc w:val="both"/>
        <w:rPr>
          <w:rFonts w:ascii="Verdana" w:hAnsi="Verdana"/>
          <w:sz w:val="16"/>
          <w:szCs w:val="16"/>
        </w:rPr>
      </w:pPr>
      <w:r w:rsidRPr="00685548">
        <w:rPr>
          <w:rStyle w:val="Refdenotaalpie"/>
          <w:sz w:val="16"/>
          <w:szCs w:val="16"/>
        </w:rPr>
        <w:footnoteRef/>
      </w:r>
      <w:r w:rsidRPr="00685548">
        <w:rPr>
          <w:sz w:val="16"/>
          <w:szCs w:val="16"/>
        </w:rPr>
        <w:t xml:space="preserve"> </w:t>
      </w:r>
      <w:r>
        <w:tab/>
      </w:r>
      <w:r w:rsidRPr="003648F3">
        <w:rPr>
          <w:rStyle w:val="Textoennegrita"/>
          <w:rFonts w:ascii="Verdana" w:hAnsi="Verdana"/>
          <w:b w:val="0"/>
          <w:i/>
          <w:iCs/>
          <w:color w:val="000000"/>
          <w:sz w:val="16"/>
          <w:szCs w:val="16"/>
          <w:shd w:val="clear" w:color="auto" w:fill="FFFFFF"/>
        </w:rPr>
        <w:t>Cfr. Caso Cuscul Pivaral y otros Vs. Guatemala. Excepción Preliminar, Fondo, Reparaciones y Costas.</w:t>
      </w:r>
      <w:r w:rsidRPr="003648F3">
        <w:rPr>
          <w:rStyle w:val="Textoennegrita"/>
          <w:rFonts w:ascii="Verdana" w:hAnsi="Verdana"/>
          <w:b w:val="0"/>
          <w:color w:val="000000"/>
          <w:sz w:val="16"/>
          <w:szCs w:val="16"/>
          <w:shd w:val="clear" w:color="auto" w:fill="FFFFFF"/>
        </w:rPr>
        <w:t xml:space="preserve"> Sentencia de 23 de agosto de 2018. Serie C No. 359, párr</w:t>
      </w:r>
      <w:r w:rsidRPr="003648F3">
        <w:rPr>
          <w:rFonts w:ascii="Verdana" w:hAnsi="Verdana"/>
          <w:sz w:val="16"/>
          <w:szCs w:val="16"/>
        </w:rPr>
        <w:t>s 127, 139 , 148, 158, 159, 163 y 164 y puntos resolutivos 5 y 6</w:t>
      </w:r>
      <w:r>
        <w:rPr>
          <w:rFonts w:ascii="Verdana" w:hAnsi="Verdana"/>
          <w:sz w:val="16"/>
          <w:szCs w:val="16"/>
        </w:rPr>
        <w:t>.</w:t>
      </w:r>
    </w:p>
  </w:footnote>
  <w:footnote w:id="48">
    <w:p w14:paraId="653EBBCE" w14:textId="7E71213E" w:rsidR="002275C3" w:rsidRPr="00642D42" w:rsidRDefault="002275C3" w:rsidP="00685548">
      <w:pPr>
        <w:spacing w:after="120"/>
        <w:jc w:val="both"/>
        <w:rPr>
          <w:rFonts w:ascii="Verdana" w:hAnsi="Verdana"/>
          <w:bCs/>
          <w:color w:val="000000"/>
          <w:sz w:val="16"/>
          <w:szCs w:val="16"/>
          <w:shd w:val="clear" w:color="auto" w:fill="FFFFFF"/>
        </w:rPr>
      </w:pPr>
      <w:r w:rsidRPr="00685548">
        <w:rPr>
          <w:rStyle w:val="Refdenotaalpie"/>
          <w:sz w:val="16"/>
          <w:szCs w:val="16"/>
        </w:rPr>
        <w:footnoteRef/>
      </w:r>
      <w:r w:rsidRPr="00685548">
        <w:rPr>
          <w:sz w:val="16"/>
          <w:szCs w:val="16"/>
        </w:rPr>
        <w:t xml:space="preserve"> </w:t>
      </w:r>
      <w:r w:rsidRPr="003648F3">
        <w:tab/>
      </w:r>
      <w:r w:rsidRPr="003648F3">
        <w:rPr>
          <w:rStyle w:val="Textoennegrita"/>
          <w:rFonts w:ascii="Verdana" w:hAnsi="Verdana"/>
          <w:b w:val="0"/>
          <w:i/>
          <w:iCs/>
          <w:color w:val="000000"/>
          <w:sz w:val="16"/>
          <w:szCs w:val="16"/>
          <w:shd w:val="clear" w:color="auto" w:fill="FFFFFF"/>
        </w:rPr>
        <w:t>Cfr. Caso Hernández Vs. Argentina. Excepción Preliminar, Fondo, Reparaciones y Costas</w:t>
      </w:r>
      <w:r w:rsidRPr="003648F3">
        <w:rPr>
          <w:rStyle w:val="Textoennegrita"/>
          <w:rFonts w:ascii="Verdana" w:hAnsi="Verdana"/>
          <w:b w:val="0"/>
          <w:color w:val="000000"/>
          <w:sz w:val="16"/>
          <w:szCs w:val="16"/>
          <w:shd w:val="clear" w:color="auto" w:fill="FFFFFF"/>
        </w:rPr>
        <w:t>. Sentencia de 22 de noviembre de 2019. Serie C No. 395, párrs. 54 a 61 y 96.</w:t>
      </w:r>
    </w:p>
  </w:footnote>
  <w:footnote w:id="49">
    <w:p w14:paraId="0E2C4F9E" w14:textId="2D209230" w:rsidR="002275C3" w:rsidRPr="00016BB2" w:rsidRDefault="002275C3" w:rsidP="00685548">
      <w:pPr>
        <w:spacing w:after="120"/>
        <w:jc w:val="both"/>
        <w:rPr>
          <w:rFonts w:ascii="Verdana" w:hAnsi="Verdana"/>
          <w:bCs/>
          <w:color w:val="000000"/>
          <w:sz w:val="16"/>
          <w:szCs w:val="16"/>
          <w:shd w:val="clear" w:color="auto" w:fill="FFFFFF"/>
        </w:rPr>
      </w:pPr>
      <w:r w:rsidRPr="00543E7E">
        <w:rPr>
          <w:rStyle w:val="Refdenotaalpie"/>
          <w:sz w:val="16"/>
          <w:szCs w:val="16"/>
        </w:rPr>
        <w:footnoteRef/>
      </w:r>
      <w:r w:rsidRPr="00543E7E">
        <w:rPr>
          <w:sz w:val="16"/>
          <w:szCs w:val="16"/>
        </w:rPr>
        <w:t xml:space="preserve"> </w:t>
      </w:r>
      <w:r w:rsidRPr="003648F3">
        <w:tab/>
      </w:r>
      <w:r w:rsidRPr="003648F3">
        <w:rPr>
          <w:rStyle w:val="Textoennegrita"/>
          <w:rFonts w:ascii="Verdana" w:hAnsi="Verdana"/>
          <w:b w:val="0"/>
          <w:i/>
          <w:iCs/>
          <w:color w:val="000000"/>
          <w:sz w:val="16"/>
          <w:szCs w:val="16"/>
          <w:shd w:val="clear" w:color="auto" w:fill="FFFFFF"/>
        </w:rPr>
        <w:t xml:space="preserve">Cfr. Caso </w:t>
      </w:r>
      <w:r>
        <w:rPr>
          <w:rStyle w:val="Textoennegrita"/>
          <w:rFonts w:ascii="Verdana" w:hAnsi="Verdana"/>
          <w:b w:val="0"/>
          <w:i/>
          <w:iCs/>
          <w:color w:val="000000"/>
          <w:sz w:val="16"/>
          <w:szCs w:val="16"/>
          <w:shd w:val="clear" w:color="auto" w:fill="FFFFFF"/>
        </w:rPr>
        <w:t>Lagos del Campo Vs. Perú.</w:t>
      </w:r>
      <w:r w:rsidRPr="003648F3">
        <w:rPr>
          <w:rStyle w:val="Textoennegrita"/>
          <w:rFonts w:ascii="Verdana" w:hAnsi="Verdana"/>
          <w:b w:val="0"/>
          <w:i/>
          <w:iCs/>
          <w:color w:val="000000"/>
          <w:sz w:val="16"/>
          <w:szCs w:val="16"/>
          <w:shd w:val="clear" w:color="auto" w:fill="FFFFFF"/>
        </w:rPr>
        <w:t xml:space="preserve"> Excepción Preliminar, Fondo, Reparaciones y Costas</w:t>
      </w:r>
      <w:r>
        <w:rPr>
          <w:rStyle w:val="Textoennegrita"/>
          <w:rFonts w:ascii="Verdana" w:hAnsi="Verdana"/>
          <w:b w:val="0"/>
          <w:color w:val="000000"/>
          <w:sz w:val="16"/>
          <w:szCs w:val="16"/>
          <w:shd w:val="clear" w:color="auto" w:fill="FFFFFF"/>
        </w:rPr>
        <w:t>. Sentencia de 31</w:t>
      </w:r>
      <w:r w:rsidRPr="003648F3">
        <w:rPr>
          <w:rStyle w:val="Textoennegrita"/>
          <w:rFonts w:ascii="Verdana" w:hAnsi="Verdana"/>
          <w:b w:val="0"/>
          <w:color w:val="000000"/>
          <w:sz w:val="16"/>
          <w:szCs w:val="16"/>
          <w:shd w:val="clear" w:color="auto" w:fill="FFFFFF"/>
        </w:rPr>
        <w:t xml:space="preserve"> de </w:t>
      </w:r>
      <w:r>
        <w:rPr>
          <w:rStyle w:val="Textoennegrita"/>
          <w:rFonts w:ascii="Verdana" w:hAnsi="Verdana"/>
          <w:b w:val="0"/>
          <w:color w:val="000000"/>
          <w:sz w:val="16"/>
          <w:szCs w:val="16"/>
          <w:shd w:val="clear" w:color="auto" w:fill="FFFFFF"/>
        </w:rPr>
        <w:t>agosto de 2017. Serie C No. 340</w:t>
      </w:r>
      <w:r w:rsidRPr="003648F3">
        <w:rPr>
          <w:rStyle w:val="Textoennegrita"/>
          <w:rFonts w:ascii="Verdana" w:hAnsi="Verdana"/>
          <w:b w:val="0"/>
          <w:color w:val="000000"/>
          <w:sz w:val="16"/>
          <w:szCs w:val="16"/>
          <w:shd w:val="clear" w:color="auto" w:fill="FFFFFF"/>
        </w:rPr>
        <w:t>, párr</w:t>
      </w:r>
      <w:r>
        <w:rPr>
          <w:rStyle w:val="Textoennegrita"/>
          <w:rFonts w:ascii="Verdana" w:hAnsi="Verdana"/>
          <w:b w:val="0"/>
          <w:color w:val="000000"/>
          <w:sz w:val="16"/>
          <w:szCs w:val="16"/>
          <w:shd w:val="clear" w:color="auto" w:fill="FFFFFF"/>
        </w:rPr>
        <w:t>. 141.</w:t>
      </w:r>
    </w:p>
    <w:p w14:paraId="43FCB644" w14:textId="77777777" w:rsidR="002275C3" w:rsidRPr="003648F3" w:rsidRDefault="002275C3" w:rsidP="00685548">
      <w:pPr>
        <w:pStyle w:val="Textonotapie"/>
        <w:spacing w:after="120"/>
        <w:rPr>
          <w:lang w:val="es-MX"/>
        </w:rPr>
      </w:pPr>
    </w:p>
  </w:footnote>
  <w:footnote w:id="50">
    <w:p w14:paraId="00A0EFBA" w14:textId="188AC3A0" w:rsidR="002275C3" w:rsidRPr="00A50FBE" w:rsidRDefault="002275C3" w:rsidP="00685548">
      <w:pPr>
        <w:pStyle w:val="Textonotapie"/>
        <w:spacing w:after="120"/>
        <w:rPr>
          <w:lang w:val="es-MX"/>
        </w:rPr>
      </w:pPr>
      <w:r w:rsidRPr="003A206F">
        <w:rPr>
          <w:rStyle w:val="Refdenotaalpie"/>
          <w:sz w:val="16"/>
          <w:szCs w:val="16"/>
        </w:rPr>
        <w:footnoteRef/>
      </w:r>
      <w:r w:rsidRPr="00A50FBE">
        <w:rPr>
          <w:sz w:val="16"/>
          <w:szCs w:val="16"/>
          <w:lang w:val="es-MX"/>
        </w:rPr>
        <w:t xml:space="preserve"> </w:t>
      </w:r>
      <w:r w:rsidRPr="00A50FBE">
        <w:rPr>
          <w:sz w:val="16"/>
          <w:szCs w:val="16"/>
          <w:lang w:val="es-MX"/>
        </w:rPr>
        <w:tab/>
      </w:r>
      <w:r w:rsidRPr="00A50FBE">
        <w:rPr>
          <w:i/>
          <w:sz w:val="16"/>
          <w:szCs w:val="16"/>
          <w:lang w:val="es-MX"/>
        </w:rPr>
        <w:t>Cfr. Caso Comunidades Indígenas Miembros del a Asociación Lhaka Honhat (Nuestra Tierra) Vs. Argentina. Fondo, Reparaciones y Costas</w:t>
      </w:r>
      <w:r w:rsidRPr="00A50FBE">
        <w:rPr>
          <w:sz w:val="16"/>
          <w:szCs w:val="16"/>
          <w:lang w:val="es-MX"/>
        </w:rPr>
        <w:t xml:space="preserve">. Sentencia de 6 de febrero de 2020. Serie C No. </w:t>
      </w:r>
      <w:r>
        <w:rPr>
          <w:sz w:val="16"/>
          <w:szCs w:val="16"/>
          <w:lang w:val="es-MX"/>
        </w:rPr>
        <w:t>400</w:t>
      </w:r>
      <w:r w:rsidRPr="00A50FBE">
        <w:rPr>
          <w:sz w:val="16"/>
          <w:szCs w:val="16"/>
          <w:lang w:val="es-MX"/>
        </w:rPr>
        <w:t>, párrs</w:t>
      </w:r>
      <w:r w:rsidRPr="00642D42">
        <w:rPr>
          <w:sz w:val="16"/>
          <w:szCs w:val="16"/>
          <w:lang w:val="es-MX"/>
        </w:rPr>
        <w:t>. 331 a 342.</w:t>
      </w:r>
    </w:p>
  </w:footnote>
  <w:footnote w:id="51">
    <w:p w14:paraId="6A63CA01" w14:textId="1006FE93" w:rsidR="002275C3" w:rsidRPr="00234EF1" w:rsidRDefault="002275C3" w:rsidP="00234EF1">
      <w:pPr>
        <w:pStyle w:val="Textonotapie"/>
        <w:spacing w:after="120"/>
        <w:rPr>
          <w:sz w:val="16"/>
          <w:szCs w:val="16"/>
          <w:lang w:val="es-MX"/>
        </w:rPr>
      </w:pPr>
      <w:r w:rsidRPr="003A206F">
        <w:rPr>
          <w:rStyle w:val="Refdenotaalpie"/>
          <w:sz w:val="16"/>
          <w:szCs w:val="16"/>
        </w:rPr>
        <w:footnoteRef/>
      </w:r>
      <w:r w:rsidRPr="00A50FBE">
        <w:rPr>
          <w:sz w:val="16"/>
          <w:szCs w:val="16"/>
          <w:lang w:val="es-MX"/>
        </w:rPr>
        <w:t xml:space="preserve"> </w:t>
      </w:r>
      <w:r w:rsidRPr="00A50FBE">
        <w:rPr>
          <w:sz w:val="16"/>
          <w:szCs w:val="16"/>
          <w:lang w:val="es-MX"/>
        </w:rPr>
        <w:tab/>
      </w:r>
      <w:r w:rsidRPr="00A50FBE">
        <w:rPr>
          <w:i/>
          <w:sz w:val="16"/>
          <w:szCs w:val="16"/>
          <w:lang w:val="es-MX"/>
        </w:rPr>
        <w:t>Cfr. Caso Comunidades Indígenas Miembros del a Asociación Lhaka Honhat (Nuestra Tierra) Vs. Argentina. Fondo, Reparaciones y Costas</w:t>
      </w:r>
      <w:r w:rsidRPr="00A50FBE">
        <w:rPr>
          <w:sz w:val="16"/>
          <w:szCs w:val="16"/>
          <w:lang w:val="es-MX"/>
        </w:rPr>
        <w:t xml:space="preserve">. Sentencia de 6 de febrero de 2020. Serie C No. </w:t>
      </w:r>
      <w:r>
        <w:rPr>
          <w:sz w:val="16"/>
          <w:szCs w:val="16"/>
          <w:lang w:val="es-MX"/>
        </w:rPr>
        <w:t>400, párr</w:t>
      </w:r>
      <w:r w:rsidRPr="00642D42">
        <w:rPr>
          <w:sz w:val="16"/>
          <w:szCs w:val="16"/>
          <w:lang w:val="es-MX"/>
        </w:rPr>
        <w:t xml:space="preserve">. </w:t>
      </w:r>
      <w:r>
        <w:rPr>
          <w:sz w:val="16"/>
          <w:szCs w:val="16"/>
          <w:lang w:val="es-MX"/>
        </w:rPr>
        <w:t>333, nota 325.</w:t>
      </w:r>
    </w:p>
  </w:footnote>
  <w:footnote w:id="52">
    <w:p w14:paraId="75728409" w14:textId="3335405A" w:rsidR="002275C3" w:rsidRPr="00543E7E" w:rsidRDefault="002275C3" w:rsidP="00685548">
      <w:pPr>
        <w:pStyle w:val="Textonotapie"/>
        <w:spacing w:after="120"/>
        <w:rPr>
          <w:rFonts w:cs="Arial"/>
          <w:iCs/>
          <w:sz w:val="16"/>
          <w:szCs w:val="16"/>
          <w:lang w:val="es-ES"/>
        </w:rPr>
      </w:pPr>
      <w:r w:rsidRPr="004221EC">
        <w:rPr>
          <w:rStyle w:val="Refdenotaalpie"/>
          <w:rFonts w:cs="Arial"/>
          <w:sz w:val="16"/>
          <w:szCs w:val="16"/>
          <w:lang w:val="es-ES"/>
        </w:rPr>
        <w:footnoteRef/>
      </w:r>
      <w:r w:rsidRPr="004221EC">
        <w:rPr>
          <w:rFonts w:cs="Arial"/>
          <w:sz w:val="16"/>
          <w:szCs w:val="16"/>
          <w:lang w:val="es-ES"/>
        </w:rPr>
        <w:t xml:space="preserve"> </w:t>
      </w:r>
      <w:r w:rsidRPr="004221EC">
        <w:rPr>
          <w:rFonts w:cs="Arial"/>
          <w:sz w:val="16"/>
          <w:szCs w:val="16"/>
          <w:lang w:val="es-ES"/>
        </w:rPr>
        <w:tab/>
      </w:r>
      <w:r>
        <w:rPr>
          <w:rFonts w:cs="Arial"/>
          <w:sz w:val="16"/>
          <w:szCs w:val="16"/>
          <w:lang w:val="es-ES"/>
        </w:rPr>
        <w:t xml:space="preserve">En el </w:t>
      </w:r>
      <w:r w:rsidRPr="00F46AB3">
        <w:rPr>
          <w:rFonts w:cs="Arial"/>
          <w:i/>
          <w:iCs/>
          <w:sz w:val="16"/>
          <w:szCs w:val="16"/>
          <w:lang w:val="es-ES"/>
        </w:rPr>
        <w:t>Caso Ve</w:t>
      </w:r>
      <w:r>
        <w:rPr>
          <w:rFonts w:cs="Arial"/>
          <w:i/>
          <w:iCs/>
          <w:sz w:val="16"/>
          <w:szCs w:val="16"/>
          <w:lang w:val="es-ES"/>
        </w:rPr>
        <w:t xml:space="preserve">lásquez Rodríguez Vs. </w:t>
      </w:r>
      <w:r w:rsidRPr="00541E25">
        <w:rPr>
          <w:rFonts w:cs="Arial"/>
          <w:i/>
          <w:iCs/>
          <w:sz w:val="16"/>
          <w:szCs w:val="16"/>
          <w:lang w:val="es-MX"/>
        </w:rPr>
        <w:t xml:space="preserve">Honduras </w:t>
      </w:r>
      <w:r w:rsidRPr="00541E25">
        <w:rPr>
          <w:rFonts w:cs="Arial"/>
          <w:iCs/>
          <w:sz w:val="16"/>
          <w:szCs w:val="16"/>
          <w:lang w:val="es-MX"/>
        </w:rPr>
        <w:t>(</w:t>
      </w:r>
      <w:r w:rsidRPr="00F46AB3">
        <w:rPr>
          <w:rFonts w:cs="Arial"/>
          <w:i/>
          <w:iCs/>
          <w:sz w:val="16"/>
          <w:szCs w:val="16"/>
          <w:lang w:val="es-ES"/>
        </w:rPr>
        <w:t>Fondo</w:t>
      </w:r>
      <w:r w:rsidRPr="004221EC">
        <w:rPr>
          <w:rFonts w:cs="Arial"/>
          <w:sz w:val="16"/>
          <w:szCs w:val="16"/>
          <w:lang w:val="es-ES"/>
        </w:rPr>
        <w:t xml:space="preserve">. </w:t>
      </w:r>
      <w:r w:rsidRPr="00E87385">
        <w:rPr>
          <w:rFonts w:cs="Arial"/>
          <w:sz w:val="16"/>
          <w:szCs w:val="16"/>
          <w:lang w:val="es-ES"/>
        </w:rPr>
        <w:t>Sentencia de 29 de julio de 1988),</w:t>
      </w:r>
      <w:r w:rsidRPr="00E87385">
        <w:rPr>
          <w:rFonts w:cs="Arial"/>
          <w:iCs/>
          <w:sz w:val="16"/>
          <w:szCs w:val="16"/>
          <w:lang w:val="es-ES"/>
        </w:rPr>
        <w:t xml:space="preserve"> las siguientes organizaciones no gubernamentales presentaron escritos en calidad de </w:t>
      </w:r>
      <w:r w:rsidRPr="00E87385">
        <w:rPr>
          <w:rFonts w:cs="Arial"/>
          <w:i/>
          <w:iCs/>
          <w:sz w:val="16"/>
          <w:szCs w:val="16"/>
          <w:lang w:val="es-ES"/>
        </w:rPr>
        <w:t>amicus curiae</w:t>
      </w:r>
      <w:r w:rsidRPr="00E87385">
        <w:rPr>
          <w:rFonts w:cs="Arial"/>
          <w:iCs/>
          <w:sz w:val="16"/>
          <w:szCs w:val="16"/>
          <w:lang w:val="es-ES"/>
        </w:rPr>
        <w:t xml:space="preserve">: </w:t>
      </w:r>
      <w:r w:rsidRPr="00E87385">
        <w:rPr>
          <w:sz w:val="16"/>
          <w:szCs w:val="16"/>
          <w:lang w:val="es-ES" w:eastAsia="es-ES_tradnl"/>
        </w:rPr>
        <w:t>Amnesty International, Association of the Bar of the City of New York, Lawyers Committee for Human Rights y Minnesota Lawyers International Human Rights Committee.</w:t>
      </w:r>
    </w:p>
  </w:footnote>
  <w:footnote w:id="53">
    <w:p w14:paraId="4B511616" w14:textId="1E16A5DB" w:rsidR="002275C3" w:rsidRPr="00FE0B35" w:rsidRDefault="002275C3" w:rsidP="00685548">
      <w:pPr>
        <w:pStyle w:val="Textonotapie"/>
        <w:spacing w:after="120"/>
        <w:rPr>
          <w:rFonts w:cs="Arial"/>
          <w:sz w:val="16"/>
          <w:szCs w:val="16"/>
          <w:lang w:val="es-ES"/>
        </w:rPr>
      </w:pPr>
      <w:r w:rsidRPr="00841FB9">
        <w:rPr>
          <w:rStyle w:val="Refdenotaalpie"/>
          <w:rFonts w:cs="Arial"/>
          <w:sz w:val="16"/>
          <w:szCs w:val="16"/>
          <w:lang w:val="es-ES"/>
        </w:rPr>
        <w:footnoteRef/>
      </w:r>
      <w:r w:rsidRPr="00841FB9">
        <w:rPr>
          <w:rFonts w:cs="Arial"/>
          <w:sz w:val="16"/>
          <w:szCs w:val="16"/>
          <w:lang w:val="es-ES"/>
        </w:rPr>
        <w:t xml:space="preserve"> </w:t>
      </w:r>
      <w:r w:rsidRPr="00841FB9">
        <w:rPr>
          <w:rFonts w:cs="Arial"/>
          <w:sz w:val="16"/>
          <w:szCs w:val="16"/>
          <w:lang w:val="es-ES"/>
        </w:rPr>
        <w:tab/>
        <w:t xml:space="preserve">Reglamento de la Corte Interamericana de Derechos Humanos, aprobado por la Corte en su XLIX Período Ordinario de Sesiones celebrado del </w:t>
      </w:r>
      <w:r>
        <w:rPr>
          <w:rFonts w:cs="Arial"/>
          <w:sz w:val="16"/>
          <w:szCs w:val="16"/>
          <w:lang w:val="es-ES"/>
        </w:rPr>
        <w:t xml:space="preserve">16 al 25 de noviembre de 2001 </w:t>
      </w:r>
      <w:r w:rsidRPr="008108EE">
        <w:rPr>
          <w:rFonts w:cs="Arial"/>
          <w:sz w:val="16"/>
          <w:szCs w:val="16"/>
          <w:lang w:val="es-ES"/>
        </w:rPr>
        <w:t>y reformado parcialmente por la Corte en su LXXXII Período Ordinario de Sesiones, celebrado del 19 al 31 de enero de 2009.</w:t>
      </w:r>
      <w:r w:rsidRPr="00841FB9">
        <w:rPr>
          <w:rFonts w:cs="Arial"/>
          <w:sz w:val="16"/>
          <w:szCs w:val="16"/>
          <w:lang w:val="es-ES"/>
        </w:rPr>
        <w:t xml:space="preserve"> </w:t>
      </w:r>
    </w:p>
  </w:footnote>
  <w:footnote w:id="54">
    <w:p w14:paraId="42926FF8" w14:textId="1CF28048" w:rsidR="002275C3" w:rsidRPr="001F6A51" w:rsidRDefault="002275C3" w:rsidP="00685548">
      <w:pPr>
        <w:pStyle w:val="Textonotapie"/>
        <w:spacing w:after="120"/>
        <w:rPr>
          <w:rFonts w:cs="Arial"/>
          <w:sz w:val="16"/>
          <w:szCs w:val="16"/>
          <w:lang w:val="es-ES"/>
        </w:rPr>
      </w:pPr>
      <w:r w:rsidRPr="00FE0B35">
        <w:rPr>
          <w:rStyle w:val="Refdenotaalpie"/>
          <w:rFonts w:cs="Arial"/>
          <w:sz w:val="16"/>
          <w:szCs w:val="16"/>
          <w:lang w:val="es-ES"/>
        </w:rPr>
        <w:footnoteRef/>
      </w:r>
      <w:r w:rsidRPr="00FE0B35">
        <w:rPr>
          <w:rFonts w:cs="Arial"/>
          <w:sz w:val="16"/>
          <w:szCs w:val="16"/>
          <w:lang w:val="es-ES"/>
        </w:rPr>
        <w:t xml:space="preserve"> </w:t>
      </w:r>
      <w:r w:rsidRPr="00FE0B35">
        <w:rPr>
          <w:rFonts w:cs="Arial"/>
          <w:sz w:val="16"/>
          <w:szCs w:val="16"/>
          <w:lang w:val="es-ES"/>
        </w:rPr>
        <w:tab/>
        <w:t xml:space="preserve">Reglamento Vigente de la Corte Interamericana, artículo 2, numeral 3. </w:t>
      </w:r>
    </w:p>
  </w:footnote>
  <w:footnote w:id="55">
    <w:p w14:paraId="4C930979" w14:textId="7D56BC02" w:rsidR="002275C3" w:rsidRPr="001F6A51" w:rsidRDefault="002275C3" w:rsidP="00685548">
      <w:pPr>
        <w:pStyle w:val="Textonotapie"/>
        <w:spacing w:after="120"/>
        <w:rPr>
          <w:rFonts w:cs="Arial"/>
          <w:sz w:val="16"/>
          <w:szCs w:val="16"/>
          <w:lang w:val="es-ES"/>
        </w:rPr>
      </w:pPr>
      <w:r w:rsidRPr="00FE0B35">
        <w:rPr>
          <w:rStyle w:val="Refdenotaalpie"/>
          <w:rFonts w:cs="Arial"/>
          <w:sz w:val="16"/>
          <w:szCs w:val="16"/>
          <w:lang w:val="es-ES"/>
        </w:rPr>
        <w:footnoteRef/>
      </w:r>
      <w:r w:rsidRPr="00FE0B35">
        <w:rPr>
          <w:rFonts w:cs="Arial"/>
          <w:sz w:val="16"/>
          <w:szCs w:val="16"/>
          <w:lang w:val="es-ES"/>
        </w:rPr>
        <w:t xml:space="preserve"> </w:t>
      </w:r>
      <w:r w:rsidRPr="00FE0B35">
        <w:rPr>
          <w:rFonts w:cs="Arial"/>
          <w:sz w:val="16"/>
          <w:szCs w:val="16"/>
          <w:lang w:val="es-ES"/>
        </w:rPr>
        <w:tab/>
      </w:r>
      <w:r>
        <w:rPr>
          <w:rFonts w:cs="Arial"/>
          <w:sz w:val="16"/>
          <w:szCs w:val="16"/>
          <w:lang w:val="es-ES"/>
        </w:rPr>
        <w:t xml:space="preserve">Artículo 44 del </w:t>
      </w:r>
      <w:r w:rsidRPr="00FE0B35">
        <w:rPr>
          <w:rFonts w:cs="Arial"/>
          <w:sz w:val="16"/>
          <w:szCs w:val="16"/>
          <w:lang w:val="es-ES"/>
        </w:rPr>
        <w:t xml:space="preserve">Reglamento </w:t>
      </w:r>
      <w:r>
        <w:rPr>
          <w:rFonts w:cs="Arial"/>
          <w:sz w:val="16"/>
          <w:szCs w:val="16"/>
          <w:lang w:val="es-ES"/>
        </w:rPr>
        <w:t>de la Corte Interamericana.</w:t>
      </w:r>
    </w:p>
  </w:footnote>
  <w:footnote w:id="56">
    <w:p w14:paraId="155C582D" w14:textId="5EDF63B9" w:rsidR="002275C3" w:rsidRPr="001F6A51" w:rsidRDefault="002275C3" w:rsidP="00685548">
      <w:pPr>
        <w:pStyle w:val="Textonotapie"/>
        <w:spacing w:after="120"/>
        <w:rPr>
          <w:rFonts w:cs="Arial"/>
          <w:sz w:val="16"/>
          <w:szCs w:val="16"/>
          <w:lang w:val="es-ES"/>
        </w:rPr>
      </w:pPr>
      <w:r w:rsidRPr="00FE0B35">
        <w:rPr>
          <w:rStyle w:val="Refdenotaalpie"/>
          <w:rFonts w:cs="Arial"/>
          <w:sz w:val="16"/>
          <w:szCs w:val="16"/>
          <w:lang w:val="es-ES"/>
        </w:rPr>
        <w:footnoteRef/>
      </w:r>
      <w:r w:rsidRPr="00FE0B35">
        <w:rPr>
          <w:rFonts w:cs="Arial"/>
          <w:sz w:val="16"/>
          <w:szCs w:val="16"/>
          <w:lang w:val="es-ES"/>
        </w:rPr>
        <w:t xml:space="preserve"> </w:t>
      </w:r>
      <w:r w:rsidRPr="00FE0B35">
        <w:rPr>
          <w:rFonts w:cs="Arial"/>
          <w:sz w:val="16"/>
          <w:szCs w:val="16"/>
          <w:lang w:val="es-ES"/>
        </w:rPr>
        <w:tab/>
      </w:r>
      <w:r>
        <w:rPr>
          <w:rFonts w:cs="Arial"/>
          <w:sz w:val="16"/>
          <w:szCs w:val="16"/>
          <w:lang w:val="es-ES"/>
        </w:rPr>
        <w:t xml:space="preserve">Artículo 73.3 del </w:t>
      </w:r>
      <w:r w:rsidRPr="00FE0B35">
        <w:rPr>
          <w:rFonts w:cs="Arial"/>
          <w:sz w:val="16"/>
          <w:szCs w:val="16"/>
          <w:lang w:val="es-ES"/>
        </w:rPr>
        <w:t xml:space="preserve">Reglamento </w:t>
      </w:r>
      <w:r>
        <w:rPr>
          <w:rFonts w:cs="Arial"/>
          <w:sz w:val="16"/>
          <w:szCs w:val="16"/>
          <w:lang w:val="es-ES"/>
        </w:rPr>
        <w:t>de la Corte Interamericana</w:t>
      </w:r>
      <w:r w:rsidRPr="00FE0B35">
        <w:rPr>
          <w:rFonts w:cs="Arial"/>
          <w:sz w:val="16"/>
          <w:szCs w:val="16"/>
          <w:lang w:val="es-ES"/>
        </w:rPr>
        <w:t xml:space="preserve">. </w:t>
      </w:r>
    </w:p>
  </w:footnote>
  <w:footnote w:id="57">
    <w:p w14:paraId="06DE579D" w14:textId="4804FE44" w:rsidR="002275C3" w:rsidRPr="001F6A51" w:rsidRDefault="002275C3" w:rsidP="00685548">
      <w:pPr>
        <w:spacing w:after="120"/>
        <w:jc w:val="both"/>
        <w:rPr>
          <w:rFonts w:ascii="Verdana" w:hAnsi="Verdana"/>
          <w:sz w:val="16"/>
          <w:szCs w:val="16"/>
          <w:lang w:val="es-ES"/>
        </w:rPr>
      </w:pPr>
      <w:r w:rsidRPr="001F6A51">
        <w:rPr>
          <w:rStyle w:val="Refdenotaalpie"/>
          <w:rFonts w:ascii="Verdana" w:hAnsi="Verdana"/>
          <w:sz w:val="16"/>
          <w:szCs w:val="16"/>
        </w:rPr>
        <w:footnoteRef/>
      </w:r>
      <w:r w:rsidRPr="001F6A51">
        <w:rPr>
          <w:rFonts w:ascii="Verdana" w:hAnsi="Verdana"/>
          <w:sz w:val="16"/>
          <w:szCs w:val="16"/>
        </w:rPr>
        <w:t xml:space="preserve"> </w:t>
      </w:r>
      <w:r w:rsidRPr="001F6A51">
        <w:rPr>
          <w:rFonts w:ascii="Verdana" w:hAnsi="Verdana"/>
          <w:sz w:val="16"/>
          <w:szCs w:val="16"/>
          <w:lang w:val="es-ES"/>
        </w:rPr>
        <w:tab/>
      </w:r>
      <w:r>
        <w:rPr>
          <w:rFonts w:ascii="Verdana" w:hAnsi="Verdana"/>
          <w:sz w:val="16"/>
          <w:szCs w:val="16"/>
          <w:lang w:val="es-ES"/>
        </w:rPr>
        <w:t xml:space="preserve">Por ejemplo, </w:t>
      </w:r>
      <w:r w:rsidRPr="001F6A51">
        <w:rPr>
          <w:rFonts w:ascii="Verdana" w:hAnsi="Verdana"/>
          <w:i/>
          <w:iCs/>
          <w:sz w:val="16"/>
          <w:szCs w:val="16"/>
          <w:lang w:val="es-ES"/>
        </w:rPr>
        <w:t>Caso Durand y Ugarte Vs. Perú. Medidas Provisionales</w:t>
      </w:r>
      <w:r w:rsidRPr="001F6A51">
        <w:rPr>
          <w:rFonts w:ascii="Verdana" w:hAnsi="Verdana"/>
          <w:sz w:val="16"/>
          <w:szCs w:val="16"/>
          <w:lang w:val="es-ES"/>
        </w:rPr>
        <w:t xml:space="preserve">. Resolución de la Corte Interamericana de Derechos Humanos de 8 de febrero de 2018, párr. 10; </w:t>
      </w:r>
      <w:r w:rsidRPr="001F6A51">
        <w:rPr>
          <w:rFonts w:ascii="Verdana" w:hAnsi="Verdana"/>
          <w:i/>
          <w:iCs/>
          <w:sz w:val="16"/>
          <w:szCs w:val="16"/>
          <w:lang w:val="es-ES"/>
        </w:rPr>
        <w:t>Caso Barrios Altos Vs. Perú. Supervisión de Cumplimiento de Sentencia</w:t>
      </w:r>
      <w:r w:rsidRPr="001F6A51">
        <w:rPr>
          <w:rFonts w:ascii="Verdana" w:hAnsi="Verdana"/>
          <w:sz w:val="16"/>
          <w:szCs w:val="16"/>
          <w:lang w:val="es-ES"/>
        </w:rPr>
        <w:t>. Resolución de la Corte Interamericana de Derechos Humanos de 7 de septiembre de 2012, párr. 9</w:t>
      </w:r>
      <w:r>
        <w:rPr>
          <w:rFonts w:ascii="Verdana" w:hAnsi="Verdana"/>
          <w:sz w:val="16"/>
          <w:szCs w:val="16"/>
          <w:lang w:val="es-ES"/>
        </w:rPr>
        <w:t>;</w:t>
      </w:r>
      <w:r w:rsidRPr="001F6A51">
        <w:rPr>
          <w:rFonts w:ascii="Verdana" w:hAnsi="Verdana"/>
          <w:sz w:val="16"/>
          <w:szCs w:val="16"/>
          <w:lang w:val="es-ES"/>
        </w:rPr>
        <w:t xml:space="preserve"> y </w:t>
      </w:r>
      <w:r w:rsidRPr="001F6A51">
        <w:rPr>
          <w:rFonts w:ascii="Verdana" w:hAnsi="Verdana"/>
          <w:i/>
          <w:iCs/>
          <w:sz w:val="16"/>
          <w:szCs w:val="16"/>
          <w:lang w:val="es-ES"/>
        </w:rPr>
        <w:t>Caso Barrios Altos y Caso La Cantuta Vs. Perú. Supervisión de Cumplimiento de Sentencia.</w:t>
      </w:r>
      <w:r w:rsidRPr="001F6A51">
        <w:rPr>
          <w:rFonts w:ascii="Verdana" w:hAnsi="Verdana"/>
          <w:sz w:val="16"/>
          <w:szCs w:val="16"/>
          <w:lang w:val="es-ES"/>
        </w:rPr>
        <w:t xml:space="preserve"> Resolución de la Corte Interamericana de Derechos Humanos de 30</w:t>
      </w:r>
      <w:r>
        <w:rPr>
          <w:rFonts w:ascii="Verdana" w:hAnsi="Verdana"/>
          <w:sz w:val="16"/>
          <w:szCs w:val="16"/>
          <w:lang w:val="es-ES"/>
        </w:rPr>
        <w:t xml:space="preserve"> de mayo de 2018, párr.</w:t>
      </w:r>
      <w:r w:rsidRPr="001F6A51">
        <w:rPr>
          <w:rFonts w:ascii="Verdana" w:hAnsi="Verdana"/>
          <w:sz w:val="16"/>
          <w:szCs w:val="16"/>
          <w:lang w:val="es-ES"/>
        </w:rPr>
        <w:t xml:space="preserve"> 15.</w:t>
      </w:r>
    </w:p>
  </w:footnote>
  <w:footnote w:id="58">
    <w:p w14:paraId="5EE50058" w14:textId="1B2019AA" w:rsidR="002275C3" w:rsidRPr="00482142" w:rsidRDefault="002275C3" w:rsidP="0053180C">
      <w:pPr>
        <w:jc w:val="both"/>
        <w:rPr>
          <w:rFonts w:ascii="Verdana" w:hAnsi="Verdana"/>
          <w:b/>
          <w:bCs/>
          <w:color w:val="000000"/>
          <w:sz w:val="16"/>
          <w:szCs w:val="16"/>
        </w:rPr>
      </w:pPr>
      <w:r w:rsidRPr="00FF3399">
        <w:rPr>
          <w:rStyle w:val="Refdenotaalpie"/>
          <w:rFonts w:eastAsia="Batang"/>
          <w:sz w:val="16"/>
          <w:szCs w:val="16"/>
        </w:rPr>
        <w:footnoteRef/>
      </w:r>
      <w:r w:rsidRPr="00FF3399">
        <w:rPr>
          <w:rFonts w:ascii="Verdana" w:hAnsi="Verdana"/>
          <w:sz w:val="16"/>
          <w:szCs w:val="16"/>
        </w:rPr>
        <w:t xml:space="preserve"> </w:t>
      </w:r>
      <w:r w:rsidRPr="00FF3399">
        <w:rPr>
          <w:rFonts w:ascii="Verdana" w:hAnsi="Verdana"/>
          <w:sz w:val="16"/>
          <w:szCs w:val="16"/>
        </w:rPr>
        <w:tab/>
      </w:r>
      <w:r w:rsidRPr="00FF3399">
        <w:rPr>
          <w:rFonts w:ascii="Verdana" w:hAnsi="Verdana"/>
          <w:i/>
          <w:iCs/>
          <w:sz w:val="16"/>
          <w:szCs w:val="16"/>
          <w:lang w:val="es-ES"/>
        </w:rPr>
        <w:t xml:space="preserve">Cfr. </w:t>
      </w:r>
      <w:r w:rsidRPr="00FF3399">
        <w:rPr>
          <w:rFonts w:ascii="Verdana" w:hAnsi="Verdana"/>
          <w:i/>
          <w:iCs/>
          <w:color w:val="000000"/>
          <w:sz w:val="16"/>
          <w:szCs w:val="16"/>
        </w:rPr>
        <w:t>Artículo 55 de la Convención Americana sobre Derechos Humanos.</w:t>
      </w:r>
      <w:r w:rsidRPr="00FF3399">
        <w:rPr>
          <w:rFonts w:ascii="Verdana" w:hAnsi="Verdana"/>
          <w:color w:val="000000"/>
          <w:sz w:val="16"/>
          <w:szCs w:val="16"/>
        </w:rPr>
        <w:t xml:space="preserve"> Opinión Consultiva OC-20/09 de 29 de septiembre de 2009. Serie A No. 20, párr. 60. Adicionalmente, en los casos </w:t>
      </w:r>
      <w:r w:rsidRPr="00FF3399">
        <w:rPr>
          <w:rFonts w:ascii="Verdana" w:hAnsi="Verdana"/>
          <w:i/>
          <w:iCs/>
          <w:color w:val="000000"/>
          <w:sz w:val="16"/>
          <w:szCs w:val="16"/>
        </w:rPr>
        <w:t>Kimel Vs. Argentina</w:t>
      </w:r>
      <w:r>
        <w:rPr>
          <w:rFonts w:ascii="Verdana" w:hAnsi="Verdana"/>
          <w:i/>
          <w:iCs/>
          <w:color w:val="000000"/>
          <w:sz w:val="16"/>
          <w:szCs w:val="16"/>
        </w:rPr>
        <w:t>,</w:t>
      </w:r>
      <w:r w:rsidRPr="00FF3399">
        <w:rPr>
          <w:rFonts w:ascii="Verdana" w:hAnsi="Verdana"/>
          <w:color w:val="000000"/>
          <w:sz w:val="16"/>
          <w:szCs w:val="16"/>
        </w:rPr>
        <w:t xml:space="preserve"> y </w:t>
      </w:r>
      <w:r w:rsidRPr="00FF3399">
        <w:rPr>
          <w:rFonts w:ascii="Verdana" w:hAnsi="Verdana"/>
          <w:i/>
          <w:iCs/>
          <w:color w:val="000000"/>
          <w:sz w:val="16"/>
          <w:szCs w:val="16"/>
        </w:rPr>
        <w:t>Castañeda Gutman Vs. México</w:t>
      </w:r>
      <w:r w:rsidRPr="00FF3399">
        <w:rPr>
          <w:rFonts w:ascii="Verdana" w:hAnsi="Verdana"/>
          <w:color w:val="000000"/>
          <w:sz w:val="16"/>
          <w:szCs w:val="16"/>
        </w:rPr>
        <w:t xml:space="preserve">, la Corte IDH indicó que dichos escritos “[…] </w:t>
      </w:r>
      <w:r w:rsidRPr="00FF3399">
        <w:rPr>
          <w:rFonts w:ascii="Verdana" w:hAnsi="Verdana"/>
          <w:sz w:val="16"/>
          <w:szCs w:val="16"/>
        </w:rPr>
        <w:t xml:space="preserve">son presentaciones de terceros ajenos a la disputa que aportan a la Corte argumentos u opiniones que pueden servir como elementos de juicio relativos a aspectos de derecho que se ventilan ante la misma. En este sentido, pueden ser presentados en cualquier momento antes de la deliberación de la sentencia correspondiente. Además, conforme a la práctica de esta Corte, los </w:t>
      </w:r>
      <w:r w:rsidRPr="00FF3399">
        <w:rPr>
          <w:rFonts w:ascii="Verdana" w:hAnsi="Verdana"/>
          <w:i/>
          <w:iCs/>
          <w:sz w:val="16"/>
          <w:szCs w:val="16"/>
        </w:rPr>
        <w:t xml:space="preserve">amici curiai </w:t>
      </w:r>
      <w:r w:rsidRPr="00FF3399">
        <w:rPr>
          <w:rFonts w:ascii="Verdana" w:hAnsi="Verdana"/>
          <w:sz w:val="16"/>
          <w:szCs w:val="16"/>
        </w:rPr>
        <w:t xml:space="preserve">pueden incluso referirse a cuestiones relacionadas con el cumplimiento mismo de la  sentencia . Por otra parte, la Corte resalta que los asuntos que son de su conocimiento poseen una trascendencia o interés general que justifica la mayor deliberación posible de argumentos públicamente ponderados, razón por la cual los </w:t>
      </w:r>
      <w:r w:rsidRPr="00FF3399">
        <w:rPr>
          <w:rFonts w:ascii="Verdana" w:hAnsi="Verdana"/>
          <w:i/>
          <w:iCs/>
          <w:sz w:val="16"/>
          <w:szCs w:val="16"/>
        </w:rPr>
        <w:t xml:space="preserve">amici curiai </w:t>
      </w:r>
      <w:r w:rsidRPr="00FF3399">
        <w:rPr>
          <w:rFonts w:ascii="Verdana" w:hAnsi="Verdana"/>
          <w:sz w:val="16"/>
          <w:szCs w:val="16"/>
        </w:rPr>
        <w:t xml:space="preserve">tienen un importante valor para el fortalecimiento del Sistema Interamericano de Derechos Humanos, a través de reflexiones aportadas por miembros de la sociedad, que contribuyen al debate y amplían los elementos de juicio con que cuenta la Corte”. </w:t>
      </w:r>
      <w:r w:rsidRPr="00FF3399">
        <w:rPr>
          <w:rFonts w:ascii="Verdana" w:hAnsi="Verdana"/>
          <w:i/>
          <w:iCs/>
          <w:sz w:val="16"/>
          <w:szCs w:val="16"/>
        </w:rPr>
        <w:t xml:space="preserve">Cfr. </w:t>
      </w:r>
      <w:r w:rsidRPr="00FF3399">
        <w:rPr>
          <w:rFonts w:ascii="Verdana" w:hAnsi="Verdana"/>
          <w:i/>
          <w:iCs/>
          <w:color w:val="000000"/>
          <w:sz w:val="16"/>
          <w:szCs w:val="16"/>
        </w:rPr>
        <w:t>Caso Kimel Vs. Argentina. Fondo, Reparaciones y Costas.</w:t>
      </w:r>
      <w:r w:rsidRPr="00FF3399">
        <w:rPr>
          <w:rFonts w:ascii="Verdana" w:hAnsi="Verdana"/>
          <w:color w:val="000000"/>
          <w:sz w:val="16"/>
          <w:szCs w:val="16"/>
        </w:rPr>
        <w:t xml:space="preserve"> Sentencia de 2 de mayo de 2008. Serie C No. 177, párr. 14</w:t>
      </w:r>
      <w:r>
        <w:rPr>
          <w:rFonts w:ascii="Verdana" w:hAnsi="Verdana"/>
          <w:color w:val="000000"/>
          <w:sz w:val="16"/>
          <w:szCs w:val="16"/>
        </w:rPr>
        <w:t>;</w:t>
      </w:r>
      <w:r w:rsidRPr="00FF3399">
        <w:rPr>
          <w:rFonts w:ascii="Verdana" w:hAnsi="Verdana"/>
          <w:color w:val="000000"/>
          <w:sz w:val="16"/>
          <w:szCs w:val="16"/>
        </w:rPr>
        <w:t xml:space="preserve"> y </w:t>
      </w:r>
      <w:r w:rsidRPr="00FF3399">
        <w:rPr>
          <w:rFonts w:ascii="Verdana" w:hAnsi="Verdana"/>
          <w:i/>
          <w:iCs/>
          <w:color w:val="000000"/>
          <w:sz w:val="16"/>
          <w:szCs w:val="16"/>
        </w:rPr>
        <w:t>Caso Castañeda Gutman Vs. México. Excepciones Preliminares, Fondo, Reparaciones y Costas</w:t>
      </w:r>
      <w:r w:rsidRPr="00FF3399">
        <w:rPr>
          <w:rFonts w:ascii="Verdana" w:hAnsi="Verdana"/>
          <w:color w:val="000000"/>
          <w:sz w:val="16"/>
          <w:szCs w:val="16"/>
        </w:rPr>
        <w:t>. Sentencia de 6 de agosto de 2008. Serie C No. 184, párr. 16.</w:t>
      </w:r>
      <w:r w:rsidRPr="00482142">
        <w:rPr>
          <w:rFonts w:ascii="Verdana" w:hAnsi="Verdana"/>
          <w:b/>
          <w:bCs/>
          <w:color w:val="000000"/>
          <w:sz w:val="16"/>
          <w:szCs w:val="16"/>
        </w:rPr>
        <w:t xml:space="preserve"> </w:t>
      </w:r>
    </w:p>
    <w:p w14:paraId="124B18A6" w14:textId="77777777" w:rsidR="002275C3" w:rsidRPr="00482142" w:rsidRDefault="002275C3" w:rsidP="0053180C"/>
  </w:footnote>
  <w:footnote w:id="59">
    <w:p w14:paraId="4A17C6C1" w14:textId="3B018D6B" w:rsidR="002275C3" w:rsidRPr="00543E7E" w:rsidRDefault="002275C3" w:rsidP="00685548">
      <w:pPr>
        <w:pStyle w:val="Textonotapie"/>
        <w:spacing w:after="120"/>
        <w:rPr>
          <w:i/>
          <w:iCs/>
          <w:sz w:val="16"/>
          <w:szCs w:val="16"/>
          <w:lang w:val="es-ES"/>
        </w:rPr>
      </w:pPr>
      <w:r w:rsidRPr="00FE0B35">
        <w:rPr>
          <w:rStyle w:val="Refdenotaalpie"/>
          <w:sz w:val="16"/>
          <w:szCs w:val="16"/>
          <w:lang w:val="es-ES"/>
        </w:rPr>
        <w:footnoteRef/>
      </w:r>
      <w:r w:rsidRPr="00FE0B35">
        <w:rPr>
          <w:sz w:val="16"/>
          <w:szCs w:val="16"/>
          <w:lang w:val="es-ES"/>
        </w:rPr>
        <w:t xml:space="preserve"> </w:t>
      </w:r>
      <w:r w:rsidRPr="00FE0B35">
        <w:rPr>
          <w:sz w:val="16"/>
          <w:szCs w:val="16"/>
          <w:lang w:val="es-ES"/>
        </w:rPr>
        <w:tab/>
      </w:r>
      <w:r w:rsidRPr="00B74038">
        <w:rPr>
          <w:rFonts w:cs="Arial"/>
          <w:i/>
          <w:sz w:val="16"/>
          <w:szCs w:val="16"/>
          <w:lang w:val="es-ES"/>
        </w:rPr>
        <w:t>Cfr.</w:t>
      </w:r>
      <w:r>
        <w:rPr>
          <w:rFonts w:cs="Arial"/>
          <w:sz w:val="16"/>
          <w:szCs w:val="16"/>
          <w:lang w:val="es-ES"/>
        </w:rPr>
        <w:t xml:space="preserve"> </w:t>
      </w:r>
      <w:r w:rsidRPr="00FE0B35">
        <w:rPr>
          <w:i/>
          <w:iCs/>
          <w:sz w:val="16"/>
          <w:szCs w:val="16"/>
          <w:lang w:val="es-ES"/>
        </w:rPr>
        <w:t>Caso de la Comunidad Mayagna (Sumo) Awas Tingni Vs. Nicaragua. Fondo, Reparaciones y Costas</w:t>
      </w:r>
      <w:r w:rsidRPr="00FE0B35">
        <w:rPr>
          <w:sz w:val="16"/>
          <w:szCs w:val="16"/>
          <w:lang w:val="es-ES"/>
        </w:rPr>
        <w:t>. Sentencia de 31 de agosto de 2001. Serie C No. 79, párr</w:t>
      </w:r>
      <w:r>
        <w:rPr>
          <w:sz w:val="16"/>
          <w:szCs w:val="16"/>
          <w:lang w:val="es-ES"/>
        </w:rPr>
        <w:t>s.</w:t>
      </w:r>
      <w:r w:rsidRPr="00FE0B35">
        <w:rPr>
          <w:sz w:val="16"/>
          <w:szCs w:val="16"/>
          <w:lang w:val="es-ES"/>
        </w:rPr>
        <w:t xml:space="preserve"> 38, 41, 42, 52 y 61; </w:t>
      </w:r>
      <w:r w:rsidRPr="00FE0B35">
        <w:rPr>
          <w:i/>
          <w:iCs/>
          <w:sz w:val="16"/>
          <w:szCs w:val="16"/>
          <w:lang w:val="es-ES"/>
        </w:rPr>
        <w:t>Caso Comunidad Indígena Yakye Axa Vs. Paraguay. Fondo, Reparaciones y Costas.</w:t>
      </w:r>
      <w:r w:rsidRPr="00FE0B35">
        <w:rPr>
          <w:sz w:val="16"/>
          <w:szCs w:val="16"/>
          <w:lang w:val="es-ES"/>
        </w:rPr>
        <w:t xml:space="preserve"> Sentencia de 17 de junio d</w:t>
      </w:r>
      <w:r>
        <w:rPr>
          <w:sz w:val="16"/>
          <w:szCs w:val="16"/>
          <w:lang w:val="es-ES"/>
        </w:rPr>
        <w:t>e 2005. Serie C No. 125, párr.</w:t>
      </w:r>
      <w:r w:rsidRPr="00FE0B35">
        <w:rPr>
          <w:sz w:val="16"/>
          <w:szCs w:val="16"/>
          <w:lang w:val="es-ES"/>
        </w:rPr>
        <w:t xml:space="preserve"> 19; </w:t>
      </w:r>
      <w:r w:rsidRPr="00FE0B35">
        <w:rPr>
          <w:i/>
          <w:iCs/>
          <w:sz w:val="16"/>
          <w:szCs w:val="16"/>
          <w:lang w:val="es-ES"/>
        </w:rPr>
        <w:t>Caso Pueblo Indígena Kichwa de Sarayaku Vs. Ecuador. Fondo y Reparaciones</w:t>
      </w:r>
      <w:r w:rsidRPr="00FE0B35">
        <w:rPr>
          <w:sz w:val="16"/>
          <w:szCs w:val="16"/>
          <w:lang w:val="es-ES"/>
        </w:rPr>
        <w:t>. Sentencia de 27 de junio d</w:t>
      </w:r>
      <w:r>
        <w:rPr>
          <w:sz w:val="16"/>
          <w:szCs w:val="16"/>
          <w:lang w:val="es-ES"/>
        </w:rPr>
        <w:t>e 2012. Serie C No. 245, párr.</w:t>
      </w:r>
      <w:r w:rsidRPr="00FE0B35">
        <w:rPr>
          <w:sz w:val="16"/>
          <w:szCs w:val="16"/>
          <w:lang w:val="es-ES"/>
        </w:rPr>
        <w:t xml:space="preserve"> 13; </w:t>
      </w:r>
      <w:r w:rsidRPr="00FE0B35">
        <w:rPr>
          <w:i/>
          <w:iCs/>
          <w:sz w:val="16"/>
          <w:szCs w:val="16"/>
          <w:lang w:val="es-ES"/>
        </w:rPr>
        <w:t>Caso Comunidad Garífuna Triunfo de la Cruz y sus miembros Vs. Honduras. Fondo, Reparaciones y Costas.</w:t>
      </w:r>
      <w:r w:rsidRPr="00FE0B35">
        <w:rPr>
          <w:sz w:val="16"/>
          <w:szCs w:val="16"/>
          <w:lang w:val="es-ES"/>
        </w:rPr>
        <w:t xml:space="preserve"> Sentencia de 8 de octubre d</w:t>
      </w:r>
      <w:r>
        <w:rPr>
          <w:sz w:val="16"/>
          <w:szCs w:val="16"/>
          <w:lang w:val="es-ES"/>
        </w:rPr>
        <w:t>e 2015. Serie C No. 305, párr.</w:t>
      </w:r>
      <w:r w:rsidRPr="00FE0B35">
        <w:rPr>
          <w:sz w:val="16"/>
          <w:szCs w:val="16"/>
          <w:lang w:val="es-ES"/>
        </w:rPr>
        <w:t xml:space="preserve"> 11; </w:t>
      </w:r>
      <w:r w:rsidRPr="00FE0B35">
        <w:rPr>
          <w:i/>
          <w:iCs/>
          <w:sz w:val="16"/>
          <w:szCs w:val="16"/>
          <w:lang w:val="es-ES"/>
        </w:rPr>
        <w:t>Caso Pueblos Kaliña y Lokono Vs. Surinam. Fondo, Reparaciones y Costas</w:t>
      </w:r>
      <w:r w:rsidRPr="00FE0B35">
        <w:rPr>
          <w:sz w:val="16"/>
          <w:szCs w:val="16"/>
          <w:lang w:val="es-ES"/>
        </w:rPr>
        <w:t>. Sentencia de 25 de noviembre d</w:t>
      </w:r>
      <w:r>
        <w:rPr>
          <w:sz w:val="16"/>
          <w:szCs w:val="16"/>
          <w:lang w:val="es-ES"/>
        </w:rPr>
        <w:t>e 2015. Serie C No. 309, párr.</w:t>
      </w:r>
      <w:r w:rsidRPr="00FE0B35">
        <w:rPr>
          <w:sz w:val="16"/>
          <w:szCs w:val="16"/>
          <w:lang w:val="es-ES"/>
        </w:rPr>
        <w:t xml:space="preserve"> 9</w:t>
      </w:r>
      <w:r>
        <w:rPr>
          <w:sz w:val="16"/>
          <w:szCs w:val="16"/>
          <w:lang w:val="es-ES"/>
        </w:rPr>
        <w:t>;</w:t>
      </w:r>
      <w:r w:rsidRPr="00FE0B35">
        <w:rPr>
          <w:sz w:val="16"/>
          <w:szCs w:val="16"/>
          <w:lang w:val="es-ES"/>
        </w:rPr>
        <w:t xml:space="preserve"> y </w:t>
      </w:r>
      <w:r w:rsidRPr="00FE0B35">
        <w:rPr>
          <w:i/>
          <w:iCs/>
          <w:sz w:val="16"/>
          <w:szCs w:val="16"/>
          <w:lang w:val="es-ES"/>
        </w:rPr>
        <w:t xml:space="preserve">Caso Pueblo Indígena Xucuru y sus miembros Vs. Brasil. Excepciones Preliminares, Fondo, Reparaciones y Costas. </w:t>
      </w:r>
      <w:r w:rsidRPr="00FE0B35">
        <w:rPr>
          <w:sz w:val="16"/>
          <w:szCs w:val="16"/>
          <w:lang w:val="es-ES"/>
        </w:rPr>
        <w:t xml:space="preserve">Sentencia de 5 de febrero de 2018. Serie </w:t>
      </w:r>
      <w:r>
        <w:rPr>
          <w:sz w:val="16"/>
          <w:szCs w:val="16"/>
          <w:lang w:val="es-ES"/>
        </w:rPr>
        <w:t>C No. 346, párr.</w:t>
      </w:r>
      <w:r w:rsidRPr="00FE0B35">
        <w:rPr>
          <w:sz w:val="16"/>
          <w:szCs w:val="16"/>
          <w:lang w:val="es-ES"/>
        </w:rPr>
        <w:t xml:space="preserve"> 11.</w:t>
      </w:r>
    </w:p>
  </w:footnote>
  <w:footnote w:id="60">
    <w:p w14:paraId="2276F22A" w14:textId="459B1A36" w:rsidR="002275C3" w:rsidRPr="00FE0B35" w:rsidRDefault="002275C3" w:rsidP="00685548">
      <w:pPr>
        <w:pStyle w:val="Textonotapie"/>
        <w:spacing w:after="120"/>
        <w:rPr>
          <w:sz w:val="16"/>
          <w:szCs w:val="16"/>
          <w:lang w:val="es-ES"/>
        </w:rPr>
      </w:pPr>
      <w:r w:rsidRPr="00FE0B35">
        <w:rPr>
          <w:rStyle w:val="Refdenotaalpie"/>
          <w:sz w:val="16"/>
          <w:szCs w:val="16"/>
          <w:lang w:val="es-ES"/>
        </w:rPr>
        <w:footnoteRef/>
      </w:r>
      <w:r w:rsidRPr="00FE0B35">
        <w:rPr>
          <w:sz w:val="16"/>
          <w:szCs w:val="16"/>
          <w:lang w:val="es-ES"/>
        </w:rPr>
        <w:t xml:space="preserve"> </w:t>
      </w:r>
      <w:r w:rsidRPr="00FE0B35">
        <w:rPr>
          <w:sz w:val="16"/>
          <w:szCs w:val="16"/>
          <w:lang w:val="es-ES"/>
        </w:rPr>
        <w:tab/>
      </w:r>
      <w:r>
        <w:rPr>
          <w:rFonts w:cs="Arial"/>
          <w:i/>
          <w:sz w:val="16"/>
          <w:szCs w:val="16"/>
          <w:lang w:val="es-ES"/>
        </w:rPr>
        <w:t xml:space="preserve">Cfr. </w:t>
      </w:r>
      <w:r w:rsidRPr="00FE0B35">
        <w:rPr>
          <w:i/>
          <w:iCs/>
          <w:sz w:val="16"/>
          <w:szCs w:val="16"/>
          <w:lang w:val="es-ES"/>
        </w:rPr>
        <w:t>Caso de la Comunidad Moiwana Vs. Surinam. Excepciones Preliminares, Fondo, Reparaciones y Costas</w:t>
      </w:r>
      <w:r w:rsidRPr="00FE0B35">
        <w:rPr>
          <w:sz w:val="16"/>
          <w:szCs w:val="16"/>
          <w:lang w:val="es-ES"/>
        </w:rPr>
        <w:t>. Sentencia de 15 de junio d</w:t>
      </w:r>
      <w:r>
        <w:rPr>
          <w:sz w:val="16"/>
          <w:szCs w:val="16"/>
          <w:lang w:val="es-ES"/>
        </w:rPr>
        <w:t>e 2005. Serie C No. 124, párr.</w:t>
      </w:r>
      <w:r w:rsidRPr="00FE0B35">
        <w:rPr>
          <w:sz w:val="16"/>
          <w:szCs w:val="16"/>
          <w:lang w:val="es-ES"/>
        </w:rPr>
        <w:t xml:space="preserve"> 16</w:t>
      </w:r>
      <w:r>
        <w:rPr>
          <w:sz w:val="16"/>
          <w:szCs w:val="16"/>
          <w:lang w:val="es-ES"/>
        </w:rPr>
        <w:t>;</w:t>
      </w:r>
      <w:r w:rsidRPr="00FE0B35">
        <w:rPr>
          <w:sz w:val="16"/>
          <w:szCs w:val="16"/>
          <w:lang w:val="es-ES"/>
        </w:rPr>
        <w:t xml:space="preserve"> y C</w:t>
      </w:r>
      <w:r w:rsidRPr="00FE0B35">
        <w:rPr>
          <w:i/>
          <w:iCs/>
          <w:sz w:val="16"/>
          <w:szCs w:val="16"/>
          <w:lang w:val="es-ES"/>
        </w:rPr>
        <w:t xml:space="preserve">aso de las Comunidades Afrodescendientes desplazadas de la Cuenca del Río Cacarica (Operación Génesis) Vs. Colombia. Excepciones Preliminares, Fondo, Reparaciones y Costas. </w:t>
      </w:r>
      <w:r w:rsidRPr="00FE0B35">
        <w:rPr>
          <w:sz w:val="16"/>
          <w:szCs w:val="16"/>
          <w:lang w:val="es-ES"/>
        </w:rPr>
        <w:t xml:space="preserve">Sentencia de 20 de noviembre de 2013. Serie C No. 270, </w:t>
      </w:r>
      <w:r>
        <w:rPr>
          <w:sz w:val="16"/>
          <w:szCs w:val="16"/>
          <w:lang w:val="es-ES"/>
        </w:rPr>
        <w:t>párr.</w:t>
      </w:r>
      <w:r w:rsidRPr="00FE0B35">
        <w:rPr>
          <w:sz w:val="16"/>
          <w:szCs w:val="16"/>
          <w:lang w:val="es-ES"/>
        </w:rPr>
        <w:t xml:space="preserve"> 10.</w:t>
      </w:r>
    </w:p>
  </w:footnote>
  <w:footnote w:id="61">
    <w:p w14:paraId="352F73A9" w14:textId="6A496960" w:rsidR="002275C3" w:rsidRPr="00FE0B35" w:rsidRDefault="002275C3" w:rsidP="00685548">
      <w:pPr>
        <w:pStyle w:val="Textonotapie"/>
        <w:spacing w:after="120"/>
        <w:rPr>
          <w:sz w:val="16"/>
          <w:szCs w:val="16"/>
          <w:lang w:val="es-ES"/>
        </w:rPr>
      </w:pPr>
      <w:r w:rsidRPr="00FE0B35">
        <w:rPr>
          <w:rStyle w:val="Refdenotaalpie"/>
          <w:sz w:val="16"/>
          <w:szCs w:val="16"/>
          <w:lang w:val="es-ES"/>
        </w:rPr>
        <w:footnoteRef/>
      </w:r>
      <w:r w:rsidRPr="00FE0B35">
        <w:rPr>
          <w:sz w:val="16"/>
          <w:szCs w:val="16"/>
          <w:lang w:val="es-ES"/>
        </w:rPr>
        <w:t xml:space="preserve"> </w:t>
      </w:r>
      <w:r w:rsidRPr="00FE0B35">
        <w:rPr>
          <w:sz w:val="16"/>
          <w:szCs w:val="16"/>
          <w:lang w:val="es-ES"/>
        </w:rPr>
        <w:tab/>
      </w:r>
      <w:r>
        <w:rPr>
          <w:rFonts w:cs="Arial"/>
          <w:i/>
          <w:sz w:val="16"/>
          <w:szCs w:val="16"/>
          <w:lang w:val="es-ES"/>
        </w:rPr>
        <w:t xml:space="preserve">Cfr. </w:t>
      </w:r>
      <w:r w:rsidRPr="00FE0B35">
        <w:rPr>
          <w:i/>
          <w:iCs/>
          <w:sz w:val="16"/>
          <w:szCs w:val="16"/>
          <w:lang w:val="es-ES"/>
        </w:rPr>
        <w:t>Caso Yatama Vs. Nicaragua. Excepciones Preliminares, Fondo, Reparaciones y Costas</w:t>
      </w:r>
      <w:r w:rsidRPr="00FE0B35">
        <w:rPr>
          <w:sz w:val="16"/>
          <w:szCs w:val="16"/>
          <w:lang w:val="es-ES"/>
        </w:rPr>
        <w:t>. Sentencia de 23 de junio de 2005. Serie C No. 127, párr</w:t>
      </w:r>
      <w:r>
        <w:rPr>
          <w:sz w:val="16"/>
          <w:szCs w:val="16"/>
          <w:lang w:val="es-ES"/>
        </w:rPr>
        <w:t>s. 17, 34, 38 y</w:t>
      </w:r>
      <w:r w:rsidRPr="00FE0B35">
        <w:rPr>
          <w:sz w:val="16"/>
          <w:szCs w:val="16"/>
          <w:lang w:val="es-ES"/>
        </w:rPr>
        <w:t xml:space="preserve"> 42.</w:t>
      </w:r>
    </w:p>
  </w:footnote>
  <w:footnote w:id="62">
    <w:p w14:paraId="3AF28626" w14:textId="5BBB73EC" w:rsidR="002275C3" w:rsidRPr="00FE0B35" w:rsidRDefault="002275C3" w:rsidP="00685548">
      <w:pPr>
        <w:pStyle w:val="Textonotapie"/>
        <w:spacing w:after="120"/>
        <w:rPr>
          <w:sz w:val="16"/>
          <w:szCs w:val="16"/>
          <w:lang w:val="es-ES"/>
        </w:rPr>
      </w:pPr>
      <w:r w:rsidRPr="00FE0B35">
        <w:rPr>
          <w:rStyle w:val="Refdenotaalpie"/>
          <w:sz w:val="16"/>
          <w:szCs w:val="16"/>
          <w:lang w:val="es-ES"/>
        </w:rPr>
        <w:footnoteRef/>
      </w:r>
      <w:r w:rsidRPr="00FE0B35">
        <w:rPr>
          <w:sz w:val="16"/>
          <w:szCs w:val="16"/>
          <w:lang w:val="es-ES"/>
        </w:rPr>
        <w:t xml:space="preserve"> </w:t>
      </w:r>
      <w:r w:rsidRPr="00FE0B35">
        <w:rPr>
          <w:sz w:val="16"/>
          <w:szCs w:val="16"/>
          <w:lang w:val="es-ES"/>
        </w:rPr>
        <w:tab/>
      </w:r>
      <w:r>
        <w:rPr>
          <w:rFonts w:cs="Arial"/>
          <w:i/>
          <w:sz w:val="16"/>
          <w:szCs w:val="16"/>
          <w:lang w:val="es-ES"/>
        </w:rPr>
        <w:t xml:space="preserve">Cfr. </w:t>
      </w:r>
      <w:r w:rsidRPr="00FE0B35">
        <w:rPr>
          <w:i/>
          <w:iCs/>
          <w:sz w:val="16"/>
          <w:szCs w:val="16"/>
          <w:lang w:val="es-ES"/>
        </w:rPr>
        <w:t>Caso Miembros de la Aldea Chichupac y comunidades vecinas del Municipio de Rabinal Vs. Guatemala. Excepciones Preliminares, Fondo, Reparaciones y Costas</w:t>
      </w:r>
      <w:r w:rsidRPr="00FE0B35">
        <w:rPr>
          <w:sz w:val="16"/>
          <w:szCs w:val="16"/>
          <w:lang w:val="es-ES"/>
        </w:rPr>
        <w:t xml:space="preserve">. Sentencia de 30 de noviembre de 2016. Serie C No. 328, </w:t>
      </w:r>
      <w:r>
        <w:rPr>
          <w:sz w:val="16"/>
          <w:szCs w:val="16"/>
          <w:lang w:val="es-ES"/>
        </w:rPr>
        <w:t>párr.</w:t>
      </w:r>
      <w:r w:rsidRPr="00FE0B35">
        <w:rPr>
          <w:sz w:val="16"/>
          <w:szCs w:val="16"/>
          <w:lang w:val="es-ES"/>
        </w:rPr>
        <w:t xml:space="preserve"> 9.  </w:t>
      </w:r>
    </w:p>
  </w:footnote>
  <w:footnote w:id="63">
    <w:p w14:paraId="00700588" w14:textId="5FDB905D" w:rsidR="002275C3" w:rsidRPr="005A3A3D" w:rsidRDefault="002275C3" w:rsidP="00685548">
      <w:pPr>
        <w:pStyle w:val="Textonotapie"/>
        <w:spacing w:after="120"/>
        <w:rPr>
          <w:rFonts w:cs="Arial"/>
          <w:sz w:val="16"/>
          <w:szCs w:val="16"/>
          <w:lang w:val="es-ES"/>
        </w:rPr>
      </w:pPr>
      <w:r w:rsidRPr="00340041">
        <w:rPr>
          <w:rStyle w:val="Refdenotaalpie"/>
          <w:rFonts w:cs="Arial"/>
          <w:sz w:val="16"/>
          <w:szCs w:val="16"/>
          <w:lang w:val="es-ES"/>
        </w:rPr>
        <w:footnoteRef/>
      </w:r>
      <w:r w:rsidRPr="00340041">
        <w:rPr>
          <w:rFonts w:cs="Arial"/>
          <w:sz w:val="16"/>
          <w:szCs w:val="16"/>
          <w:lang w:val="es-ES"/>
        </w:rPr>
        <w:t xml:space="preserve"> </w:t>
      </w:r>
      <w:r w:rsidRPr="00340041">
        <w:rPr>
          <w:rFonts w:cs="Arial"/>
          <w:sz w:val="16"/>
          <w:szCs w:val="16"/>
          <w:lang w:val="es-ES"/>
        </w:rPr>
        <w:tab/>
      </w:r>
      <w:r w:rsidRPr="00340041">
        <w:rPr>
          <w:rFonts w:cs="Arial"/>
          <w:i/>
          <w:sz w:val="16"/>
          <w:szCs w:val="16"/>
          <w:lang w:val="es-ES"/>
        </w:rPr>
        <w:t xml:space="preserve">Cfr. </w:t>
      </w:r>
      <w:r w:rsidRPr="00340041">
        <w:rPr>
          <w:rStyle w:val="Textoennegrita"/>
          <w:rFonts w:cs="Arial"/>
          <w:b w:val="0"/>
          <w:bCs w:val="0"/>
          <w:i/>
          <w:color w:val="000000"/>
          <w:sz w:val="16"/>
          <w:szCs w:val="16"/>
          <w:lang w:val="es-ES"/>
        </w:rPr>
        <w:t xml:space="preserve">Caso </w:t>
      </w:r>
      <w:r w:rsidRPr="00340041">
        <w:rPr>
          <w:rFonts w:cs="Arial"/>
          <w:i/>
          <w:iCs/>
          <w:sz w:val="16"/>
          <w:szCs w:val="16"/>
          <w:lang w:val="es-ES"/>
        </w:rPr>
        <w:t>Comunidades indígenas miembros de la asociación Lhaka Honhat (Nuestra Tierra)</w:t>
      </w:r>
      <w:r w:rsidRPr="00340041">
        <w:rPr>
          <w:rStyle w:val="Textoennegrita"/>
          <w:rFonts w:cs="Arial"/>
          <w:b w:val="0"/>
          <w:bCs w:val="0"/>
          <w:i/>
          <w:color w:val="000000"/>
          <w:sz w:val="16"/>
          <w:szCs w:val="16"/>
          <w:lang w:val="es-ES"/>
        </w:rPr>
        <w:t xml:space="preserve"> Vs. Argentina. Fondo, Reparaciones y Costas. </w:t>
      </w:r>
      <w:r w:rsidR="007E7FF6">
        <w:rPr>
          <w:rStyle w:val="Textoennegrita"/>
          <w:rFonts w:cs="Arial"/>
          <w:b w:val="0"/>
          <w:bCs w:val="0"/>
          <w:color w:val="000000"/>
          <w:sz w:val="16"/>
          <w:szCs w:val="16"/>
          <w:lang w:val="es-ES"/>
        </w:rPr>
        <w:t xml:space="preserve">Sentencia de 6 de febrero </w:t>
      </w:r>
      <w:r w:rsidRPr="00340041">
        <w:rPr>
          <w:rStyle w:val="Textoennegrita"/>
          <w:rFonts w:cs="Arial"/>
          <w:b w:val="0"/>
          <w:bCs w:val="0"/>
          <w:color w:val="000000"/>
          <w:sz w:val="16"/>
          <w:szCs w:val="16"/>
          <w:lang w:val="es-ES"/>
        </w:rPr>
        <w:t xml:space="preserve">de 2020. Serie C No. 400, </w:t>
      </w:r>
      <w:r w:rsidRPr="00340041">
        <w:rPr>
          <w:rFonts w:cs="Arial"/>
          <w:sz w:val="16"/>
          <w:szCs w:val="16"/>
          <w:lang w:val="es-ES"/>
        </w:rPr>
        <w:t xml:space="preserve">párr. 50, nota 33; párr. 54, nota 42; párr. 144, nota 141; párr. 146, </w:t>
      </w:r>
      <w:r>
        <w:rPr>
          <w:rFonts w:cs="Arial"/>
          <w:sz w:val="16"/>
          <w:szCs w:val="16"/>
          <w:lang w:val="es-ES"/>
        </w:rPr>
        <w:t xml:space="preserve">nota </w:t>
      </w:r>
      <w:r w:rsidRPr="00340041">
        <w:rPr>
          <w:rFonts w:cs="Arial"/>
          <w:sz w:val="16"/>
          <w:szCs w:val="16"/>
          <w:lang w:val="es-ES"/>
        </w:rPr>
        <w:t>142; párr. 161, nota 150; párr. 165, nota 153; párr. 165, nota 154; párr. 174, nota 161; párr. 174, nota 162; párr. 203, nota 193; párr. 216, nota 210; párr. 246, nota 247; párr. 250, notal 251; párr. 254, nota 260; párr. 258, nota 263; párr. 261, nota</w:t>
      </w:r>
      <w:r>
        <w:rPr>
          <w:rFonts w:cs="Arial"/>
          <w:sz w:val="16"/>
          <w:szCs w:val="16"/>
          <w:lang w:val="es-ES"/>
        </w:rPr>
        <w:t xml:space="preserve"> </w:t>
      </w:r>
      <w:r w:rsidRPr="00340041">
        <w:rPr>
          <w:rFonts w:cs="Arial"/>
          <w:sz w:val="16"/>
          <w:szCs w:val="16"/>
          <w:lang w:val="es-ES"/>
        </w:rPr>
        <w:t>270; párr. 275, nota 288; párr. 279, nota 289; párr. 353, nota 331; párr. 355, nota 33</w:t>
      </w:r>
      <w:r w:rsidR="007E7FF6">
        <w:rPr>
          <w:rFonts w:cs="Arial"/>
          <w:sz w:val="16"/>
          <w:szCs w:val="16"/>
          <w:lang w:val="es-ES"/>
        </w:rPr>
        <w:t>4</w:t>
      </w:r>
      <w:r w:rsidRPr="00340041">
        <w:rPr>
          <w:rFonts w:cs="Arial"/>
          <w:sz w:val="16"/>
          <w:szCs w:val="16"/>
          <w:lang w:val="es-ES"/>
        </w:rPr>
        <w:t>, y párr. 356, nota 335</w:t>
      </w:r>
      <w:r w:rsidRPr="00340041">
        <w:rPr>
          <w:sz w:val="16"/>
          <w:szCs w:val="16"/>
          <w:lang w:val="es-MX"/>
        </w:rPr>
        <w:t>.</w:t>
      </w:r>
    </w:p>
  </w:footnote>
  <w:footnote w:id="64">
    <w:p w14:paraId="26375C1F" w14:textId="7CE6B219" w:rsidR="002275C3" w:rsidRPr="004221EC" w:rsidRDefault="002275C3" w:rsidP="00685548">
      <w:pPr>
        <w:pStyle w:val="Textonotapie"/>
        <w:spacing w:after="120"/>
        <w:rPr>
          <w:rFonts w:cs="Arial"/>
          <w:sz w:val="16"/>
          <w:szCs w:val="16"/>
          <w:lang w:val="es-ES"/>
        </w:rPr>
      </w:pPr>
      <w:r w:rsidRPr="004221EC">
        <w:rPr>
          <w:rStyle w:val="Refdenotaalpie"/>
          <w:rFonts w:cs="Arial"/>
          <w:sz w:val="16"/>
          <w:szCs w:val="16"/>
          <w:lang w:val="es-ES"/>
        </w:rPr>
        <w:footnoteRef/>
      </w:r>
      <w:r>
        <w:rPr>
          <w:rFonts w:cs="Arial"/>
          <w:sz w:val="16"/>
          <w:szCs w:val="16"/>
          <w:lang w:val="es-ES"/>
        </w:rPr>
        <w:t xml:space="preserve"> </w:t>
      </w:r>
      <w:r>
        <w:rPr>
          <w:rFonts w:cs="Arial"/>
          <w:sz w:val="16"/>
          <w:szCs w:val="16"/>
          <w:lang w:val="es-ES"/>
        </w:rPr>
        <w:tab/>
        <w:t xml:space="preserve">Al respecto, véase el </w:t>
      </w:r>
      <w:r w:rsidRPr="00F46AB3">
        <w:rPr>
          <w:rFonts w:cs="Arial"/>
          <w:i/>
          <w:iCs/>
          <w:sz w:val="16"/>
          <w:szCs w:val="16"/>
          <w:lang w:val="es-ES"/>
        </w:rPr>
        <w:t>Amicus Curiae</w:t>
      </w:r>
      <w:r>
        <w:rPr>
          <w:rFonts w:cs="Arial"/>
          <w:sz w:val="16"/>
          <w:szCs w:val="16"/>
          <w:lang w:val="es-ES"/>
        </w:rPr>
        <w:t xml:space="preserve"> presentado por </w:t>
      </w:r>
      <w:r w:rsidRPr="004221EC">
        <w:rPr>
          <w:rFonts w:cs="Arial"/>
          <w:sz w:val="16"/>
          <w:szCs w:val="16"/>
          <w:lang w:val="es-ES"/>
        </w:rPr>
        <w:t>la Fundación Ambiente y Recursos Naturales, pág</w:t>
      </w:r>
      <w:r>
        <w:rPr>
          <w:rFonts w:cs="Arial"/>
          <w:sz w:val="16"/>
          <w:szCs w:val="16"/>
          <w:lang w:val="es-ES"/>
        </w:rPr>
        <w:t>s</w:t>
      </w:r>
      <w:r w:rsidRPr="004221EC">
        <w:rPr>
          <w:rFonts w:cs="Arial"/>
          <w:sz w:val="16"/>
          <w:szCs w:val="16"/>
          <w:lang w:val="es-ES"/>
        </w:rPr>
        <w:t>. 6-13</w:t>
      </w:r>
      <w:r>
        <w:rPr>
          <w:rFonts w:cs="Arial"/>
          <w:sz w:val="16"/>
          <w:szCs w:val="16"/>
          <w:lang w:val="es-ES"/>
        </w:rPr>
        <w:t>.</w:t>
      </w:r>
    </w:p>
  </w:footnote>
  <w:footnote w:id="65">
    <w:p w14:paraId="0A535C88" w14:textId="434D4B59" w:rsidR="002275C3" w:rsidRPr="004221EC" w:rsidRDefault="002275C3" w:rsidP="00685548">
      <w:pPr>
        <w:pStyle w:val="Textonotapie"/>
        <w:spacing w:after="120"/>
        <w:rPr>
          <w:rFonts w:cs="Arial"/>
          <w:sz w:val="16"/>
          <w:szCs w:val="16"/>
          <w:lang w:val="es-ES"/>
        </w:rPr>
      </w:pPr>
      <w:r w:rsidRPr="004221EC">
        <w:rPr>
          <w:rStyle w:val="Refdenotaalpie"/>
          <w:rFonts w:cs="Arial"/>
          <w:sz w:val="16"/>
          <w:szCs w:val="16"/>
          <w:lang w:val="es-ES"/>
        </w:rPr>
        <w:footnoteRef/>
      </w:r>
      <w:r w:rsidRPr="004221EC">
        <w:rPr>
          <w:rFonts w:cs="Arial"/>
          <w:sz w:val="16"/>
          <w:szCs w:val="16"/>
          <w:lang w:val="es-ES"/>
        </w:rPr>
        <w:t xml:space="preserve"> </w:t>
      </w:r>
      <w:r w:rsidRPr="004221EC">
        <w:rPr>
          <w:rFonts w:cs="Arial"/>
          <w:sz w:val="16"/>
          <w:szCs w:val="16"/>
          <w:lang w:val="es-ES"/>
        </w:rPr>
        <w:tab/>
      </w:r>
      <w:r>
        <w:rPr>
          <w:rFonts w:cs="Arial"/>
          <w:sz w:val="16"/>
          <w:szCs w:val="16"/>
          <w:lang w:val="es-ES"/>
        </w:rPr>
        <w:t>Véase</w:t>
      </w:r>
      <w:r w:rsidRPr="004221EC">
        <w:rPr>
          <w:rFonts w:cs="Arial"/>
          <w:sz w:val="16"/>
          <w:szCs w:val="16"/>
          <w:lang w:val="es-ES"/>
        </w:rPr>
        <w:t xml:space="preserve"> </w:t>
      </w:r>
      <w:r w:rsidRPr="00F46AB3">
        <w:rPr>
          <w:rFonts w:cs="Arial"/>
          <w:i/>
          <w:iCs/>
          <w:sz w:val="16"/>
          <w:szCs w:val="16"/>
          <w:lang w:val="es-ES"/>
        </w:rPr>
        <w:t>Amicus Curiae</w:t>
      </w:r>
      <w:r w:rsidRPr="004221EC">
        <w:rPr>
          <w:rFonts w:cs="Arial"/>
          <w:sz w:val="16"/>
          <w:szCs w:val="16"/>
          <w:lang w:val="es-ES"/>
        </w:rPr>
        <w:t xml:space="preserve"> del Centro de Derechos Humanos de la Pontificia Universidad Católica del Ecuador, en su totalidad; asimismo, </w:t>
      </w:r>
      <w:r w:rsidRPr="00F46AB3">
        <w:rPr>
          <w:rFonts w:cs="Arial"/>
          <w:i/>
          <w:iCs/>
          <w:sz w:val="16"/>
          <w:szCs w:val="16"/>
          <w:lang w:val="es-ES"/>
        </w:rPr>
        <w:t>Amicus Curiae</w:t>
      </w:r>
      <w:r w:rsidRPr="004221EC">
        <w:rPr>
          <w:rFonts w:cs="Arial"/>
          <w:sz w:val="16"/>
          <w:szCs w:val="16"/>
          <w:lang w:val="es-ES"/>
        </w:rPr>
        <w:t xml:space="preserve"> elaborado de manera conjunta por la Fundación para el Debido Proceso, la Clínica de Derechos Humanos de la Universidad de Ottawa, el Instituto de Democracia y Derechos Humanos de la Pontificia Universidad Católica del Perú (IDEHPUCP), el Núcleo de Estudios en Sistemas Internacionales de Derechos Humanos (NESIDH) de la Universidad Federal de Paraná (UFPR), la Clínica Internacional de Derechos Humanos CUCSH</w:t>
      </w:r>
      <w:r>
        <w:rPr>
          <w:rFonts w:cs="Arial"/>
          <w:sz w:val="16"/>
          <w:szCs w:val="16"/>
          <w:lang w:val="es-ES"/>
        </w:rPr>
        <w:t xml:space="preserve"> </w:t>
      </w:r>
      <w:r w:rsidRPr="004221EC">
        <w:rPr>
          <w:rFonts w:cs="Arial"/>
          <w:sz w:val="16"/>
          <w:szCs w:val="16"/>
          <w:lang w:val="es-ES"/>
        </w:rPr>
        <w:t xml:space="preserve">– Universidad de Guadalajara, y el O'Neill Institute for National and Global Health Law, Georgetown University Law Center, pág. 9-23; y finalmente, ver </w:t>
      </w:r>
      <w:r w:rsidRPr="00B74038">
        <w:rPr>
          <w:rFonts w:cs="Arial"/>
          <w:i/>
          <w:sz w:val="16"/>
          <w:szCs w:val="16"/>
          <w:lang w:val="es-ES"/>
        </w:rPr>
        <w:t>Amicus Curiae</w:t>
      </w:r>
      <w:r w:rsidRPr="004221EC">
        <w:rPr>
          <w:rFonts w:cs="Arial"/>
          <w:sz w:val="16"/>
          <w:szCs w:val="16"/>
          <w:lang w:val="es-ES"/>
        </w:rPr>
        <w:t xml:space="preserve"> presentado por la organización “Tierra Viva a los pueblos indígenas del Chaco”, pág</w:t>
      </w:r>
      <w:r>
        <w:rPr>
          <w:rFonts w:cs="Arial"/>
          <w:sz w:val="16"/>
          <w:szCs w:val="16"/>
          <w:lang w:val="es-ES"/>
        </w:rPr>
        <w:t>s</w:t>
      </w:r>
      <w:r w:rsidRPr="004221EC">
        <w:rPr>
          <w:rFonts w:cs="Arial"/>
          <w:sz w:val="16"/>
          <w:szCs w:val="16"/>
          <w:lang w:val="es-ES"/>
        </w:rPr>
        <w:t>. 10-16</w:t>
      </w:r>
      <w:r>
        <w:rPr>
          <w:rFonts w:cs="Arial"/>
          <w:sz w:val="16"/>
          <w:szCs w:val="16"/>
          <w:lang w:val="es-ES"/>
        </w:rPr>
        <w:t xml:space="preserve">. </w:t>
      </w:r>
    </w:p>
  </w:footnote>
  <w:footnote w:id="66">
    <w:p w14:paraId="28EC16E3" w14:textId="415B0B89" w:rsidR="002275C3" w:rsidRPr="00340041" w:rsidRDefault="002275C3" w:rsidP="00685548">
      <w:pPr>
        <w:pStyle w:val="Textonotapie"/>
        <w:spacing w:after="120"/>
        <w:rPr>
          <w:rFonts w:cs="Arial"/>
          <w:sz w:val="16"/>
          <w:szCs w:val="16"/>
          <w:lang w:val="es-ES"/>
        </w:rPr>
      </w:pPr>
      <w:r w:rsidRPr="004221EC">
        <w:rPr>
          <w:rStyle w:val="Refdenotaalpie"/>
          <w:rFonts w:cs="Arial"/>
          <w:sz w:val="16"/>
          <w:szCs w:val="16"/>
          <w:lang w:val="es-ES"/>
        </w:rPr>
        <w:footnoteRef/>
      </w:r>
      <w:r w:rsidRPr="004221EC">
        <w:rPr>
          <w:rFonts w:cs="Arial"/>
          <w:sz w:val="16"/>
          <w:szCs w:val="16"/>
          <w:lang w:val="es-ES"/>
        </w:rPr>
        <w:t xml:space="preserve"> </w:t>
      </w:r>
      <w:r w:rsidRPr="004221EC">
        <w:rPr>
          <w:rFonts w:cs="Arial"/>
          <w:sz w:val="16"/>
          <w:szCs w:val="16"/>
          <w:lang w:val="es-ES"/>
        </w:rPr>
        <w:tab/>
      </w:r>
      <w:r>
        <w:rPr>
          <w:rFonts w:cs="Arial"/>
          <w:sz w:val="16"/>
          <w:szCs w:val="16"/>
          <w:lang w:val="es-ES"/>
        </w:rPr>
        <w:t xml:space="preserve">Véase </w:t>
      </w:r>
      <w:r w:rsidRPr="00F46AB3">
        <w:rPr>
          <w:rFonts w:cs="Arial"/>
          <w:i/>
          <w:iCs/>
          <w:sz w:val="16"/>
          <w:szCs w:val="16"/>
          <w:lang w:val="es-ES"/>
        </w:rPr>
        <w:t>Amicus Curiae</w:t>
      </w:r>
      <w:r w:rsidRPr="004221EC">
        <w:rPr>
          <w:rFonts w:cs="Arial"/>
          <w:sz w:val="16"/>
          <w:szCs w:val="16"/>
          <w:lang w:val="es-ES"/>
        </w:rPr>
        <w:t xml:space="preserve"> de Olivier De Schutter, en colaboración con Clínica de Derechos Humanos de la Facultad de Derecho de la Universidad de Miami y la Clínica de Derecho Ambiental de la Universidad de Saint-Louis, en su totalidad; asimismo, ver </w:t>
      </w:r>
      <w:r w:rsidRPr="00B74038">
        <w:rPr>
          <w:rFonts w:cs="Arial"/>
          <w:i/>
          <w:sz w:val="16"/>
          <w:szCs w:val="16"/>
          <w:lang w:val="es-ES"/>
        </w:rPr>
        <w:t>Amicus Curiae</w:t>
      </w:r>
      <w:r w:rsidRPr="004221EC">
        <w:rPr>
          <w:rFonts w:cs="Arial"/>
          <w:sz w:val="16"/>
          <w:szCs w:val="16"/>
          <w:lang w:val="es-ES"/>
        </w:rPr>
        <w:t xml:space="preserve"> elaborado de manera conjunta por la Fundación para el Debido Proceso, la Clínica de Derechos Humanos de la Universidad de Ottawa, el Instituto de Democracia y Derechos Humanos de la Pontificia Universidad Católica del Perú (IDEHPUCP), el Núcleo de Estudios en Sistemas Internacionales de Derechos Humanos (NESIDH) de la Universidad Federal de Paraná (UFPR), la Clínica Internacional de Derechos Humanos CUCSH – Universidad de Guadalajara, y el O'Neill Institute for National and Global Health Law, Georgetown University Law Center, pág. 23-51; también, ver escrito de </w:t>
      </w:r>
      <w:r w:rsidRPr="00B01E47">
        <w:rPr>
          <w:rFonts w:cs="Arial"/>
          <w:i/>
          <w:sz w:val="16"/>
          <w:szCs w:val="16"/>
          <w:lang w:val="es-ES"/>
        </w:rPr>
        <w:t>Amici Curiae</w:t>
      </w:r>
      <w:r w:rsidRPr="004221EC">
        <w:rPr>
          <w:rFonts w:cs="Arial"/>
          <w:sz w:val="16"/>
          <w:szCs w:val="16"/>
          <w:lang w:val="es-ES"/>
        </w:rPr>
        <w:t xml:space="preserve"> presentado conjuntamente por Asociación Civil por la Igualdad y la Justicia, Amnesty International, Asociación Interamericana para la Defensa del Ambiente, Comisión Colombiana de Juristas, Dejusticia, FIAN </w:t>
      </w:r>
      <w:r w:rsidRPr="00340041">
        <w:rPr>
          <w:rFonts w:cs="Arial"/>
          <w:sz w:val="16"/>
          <w:szCs w:val="16"/>
          <w:lang w:val="es-ES"/>
        </w:rPr>
        <w:t xml:space="preserve">International, International Women's Rights Action Watch Asia Pacific y Minority Rights Group International, coordinado por la secretaría de la Red Internacional de Derechos Económicos, Sociales y Culturales (Red-DESC), en su totalidad. </w:t>
      </w:r>
    </w:p>
  </w:footnote>
  <w:footnote w:id="67">
    <w:p w14:paraId="46134E35" w14:textId="5CE67E9A" w:rsidR="002275C3" w:rsidRPr="00FF5F9A" w:rsidRDefault="002275C3">
      <w:pPr>
        <w:pStyle w:val="Textonotapie"/>
        <w:rPr>
          <w:rStyle w:val="Textoennegrita"/>
          <w:rFonts w:cs="Arial"/>
          <w:b w:val="0"/>
          <w:bCs w:val="0"/>
          <w:color w:val="000000"/>
          <w:sz w:val="16"/>
          <w:szCs w:val="16"/>
          <w:lang w:val="es-ES"/>
        </w:rPr>
      </w:pPr>
      <w:r w:rsidRPr="00FF5F9A">
        <w:rPr>
          <w:rStyle w:val="Refdenotaalpie"/>
          <w:sz w:val="16"/>
          <w:szCs w:val="16"/>
        </w:rPr>
        <w:footnoteRef/>
      </w:r>
      <w:r w:rsidRPr="00FF5F9A">
        <w:rPr>
          <w:sz w:val="16"/>
          <w:szCs w:val="16"/>
          <w:lang w:val="es-MX"/>
        </w:rPr>
        <w:t xml:space="preserve"> </w:t>
      </w:r>
      <w:r w:rsidRPr="00FF5F9A">
        <w:rPr>
          <w:sz w:val="16"/>
          <w:szCs w:val="16"/>
          <w:lang w:val="es-MX"/>
        </w:rPr>
        <w:tab/>
      </w:r>
      <w:r w:rsidRPr="00FF5F9A">
        <w:rPr>
          <w:rFonts w:cs="Arial"/>
          <w:i/>
          <w:sz w:val="16"/>
          <w:szCs w:val="16"/>
          <w:lang w:val="es-ES"/>
        </w:rPr>
        <w:t xml:space="preserve">Cfr. </w:t>
      </w:r>
      <w:r w:rsidRPr="00FF5F9A">
        <w:rPr>
          <w:rStyle w:val="Textoennegrita"/>
          <w:rFonts w:cs="Arial"/>
          <w:b w:val="0"/>
          <w:bCs w:val="0"/>
          <w:i/>
          <w:color w:val="000000"/>
          <w:sz w:val="16"/>
          <w:szCs w:val="16"/>
          <w:lang w:val="es-ES"/>
        </w:rPr>
        <w:t xml:space="preserve">Caso </w:t>
      </w:r>
      <w:r w:rsidRPr="00FF5F9A">
        <w:rPr>
          <w:rFonts w:cs="Arial"/>
          <w:i/>
          <w:iCs/>
          <w:sz w:val="16"/>
          <w:szCs w:val="16"/>
          <w:lang w:val="es-ES"/>
        </w:rPr>
        <w:t>Comunidades indígenas miembros de la asociación Lhaka Honhat (Nuestra Tierra)</w:t>
      </w:r>
      <w:r w:rsidRPr="00FF5F9A">
        <w:rPr>
          <w:rStyle w:val="Textoennegrita"/>
          <w:rFonts w:cs="Arial"/>
          <w:b w:val="0"/>
          <w:bCs w:val="0"/>
          <w:i/>
          <w:color w:val="000000"/>
          <w:sz w:val="16"/>
          <w:szCs w:val="16"/>
          <w:lang w:val="es-ES"/>
        </w:rPr>
        <w:t xml:space="preserve"> Vs. Argentina. Fondo, Reparaciones y Costas. </w:t>
      </w:r>
      <w:r w:rsidR="00AE3F36">
        <w:rPr>
          <w:rStyle w:val="Textoennegrita"/>
          <w:rFonts w:cs="Arial"/>
          <w:b w:val="0"/>
          <w:bCs w:val="0"/>
          <w:color w:val="000000"/>
          <w:sz w:val="16"/>
          <w:szCs w:val="16"/>
          <w:lang w:val="es-ES"/>
        </w:rPr>
        <w:t>Sentencia de 6 de febrero</w:t>
      </w:r>
      <w:r w:rsidRPr="00FF5F9A">
        <w:rPr>
          <w:rStyle w:val="Textoennegrita"/>
          <w:rFonts w:cs="Arial"/>
          <w:b w:val="0"/>
          <w:bCs w:val="0"/>
          <w:color w:val="000000"/>
          <w:sz w:val="16"/>
          <w:szCs w:val="16"/>
          <w:lang w:val="es-ES"/>
        </w:rPr>
        <w:t xml:space="preserve"> de 2020. Serie C No. 400, nota 33. </w:t>
      </w:r>
    </w:p>
    <w:p w14:paraId="6AC5FD64" w14:textId="77777777" w:rsidR="002275C3" w:rsidRPr="00FF5F9A" w:rsidRDefault="002275C3">
      <w:pPr>
        <w:pStyle w:val="Textonotapie"/>
        <w:rPr>
          <w:sz w:val="16"/>
          <w:szCs w:val="16"/>
          <w:lang w:val="es-ES"/>
        </w:rPr>
      </w:pPr>
    </w:p>
  </w:footnote>
  <w:footnote w:id="68">
    <w:p w14:paraId="1D4E1DDD" w14:textId="7F76C22A" w:rsidR="002275C3" w:rsidRPr="00FF5F9A" w:rsidRDefault="002275C3">
      <w:pPr>
        <w:pStyle w:val="Textonotapie"/>
        <w:rPr>
          <w:rStyle w:val="Textoennegrita"/>
          <w:rFonts w:cs="Arial"/>
          <w:b w:val="0"/>
          <w:bCs w:val="0"/>
          <w:color w:val="000000"/>
          <w:sz w:val="16"/>
          <w:szCs w:val="16"/>
          <w:lang w:val="es-ES"/>
        </w:rPr>
      </w:pPr>
      <w:r w:rsidRPr="00FF5F9A">
        <w:rPr>
          <w:rStyle w:val="Refdenotaalpie"/>
          <w:sz w:val="16"/>
          <w:szCs w:val="16"/>
        </w:rPr>
        <w:footnoteRef/>
      </w:r>
      <w:r w:rsidRPr="00FF5F9A">
        <w:rPr>
          <w:sz w:val="16"/>
          <w:szCs w:val="16"/>
          <w:lang w:val="es-MX"/>
        </w:rPr>
        <w:t xml:space="preserve"> </w:t>
      </w:r>
      <w:r w:rsidRPr="00FF5F9A">
        <w:rPr>
          <w:sz w:val="16"/>
          <w:szCs w:val="16"/>
          <w:lang w:val="es-MX"/>
        </w:rPr>
        <w:tab/>
      </w:r>
      <w:r w:rsidRPr="00FF5F9A">
        <w:rPr>
          <w:rFonts w:cs="Arial"/>
          <w:i/>
          <w:sz w:val="16"/>
          <w:szCs w:val="16"/>
          <w:lang w:val="es-ES"/>
        </w:rPr>
        <w:t xml:space="preserve">Cfr. </w:t>
      </w:r>
      <w:r w:rsidRPr="00FF5F9A">
        <w:rPr>
          <w:rStyle w:val="Textoennegrita"/>
          <w:rFonts w:cs="Arial"/>
          <w:b w:val="0"/>
          <w:bCs w:val="0"/>
          <w:i/>
          <w:color w:val="000000"/>
          <w:sz w:val="16"/>
          <w:szCs w:val="16"/>
          <w:lang w:val="es-ES"/>
        </w:rPr>
        <w:t xml:space="preserve">Caso </w:t>
      </w:r>
      <w:r w:rsidRPr="00FF5F9A">
        <w:rPr>
          <w:rFonts w:cs="Arial"/>
          <w:i/>
          <w:iCs/>
          <w:sz w:val="16"/>
          <w:szCs w:val="16"/>
          <w:lang w:val="es-ES"/>
        </w:rPr>
        <w:t>Comunidades indígenas miembros de la asociación Lhaka Honhat (Nuestra Tierra)</w:t>
      </w:r>
      <w:r w:rsidRPr="00FF5F9A">
        <w:rPr>
          <w:rStyle w:val="Textoennegrita"/>
          <w:rFonts w:cs="Arial"/>
          <w:b w:val="0"/>
          <w:bCs w:val="0"/>
          <w:i/>
          <w:color w:val="000000"/>
          <w:sz w:val="16"/>
          <w:szCs w:val="16"/>
          <w:lang w:val="es-ES"/>
        </w:rPr>
        <w:t xml:space="preserve"> Vs. Argentina. Fondo, Reparaciones y Costas. </w:t>
      </w:r>
      <w:r w:rsidR="00AE3F36">
        <w:rPr>
          <w:rStyle w:val="Textoennegrita"/>
          <w:rFonts w:cs="Arial"/>
          <w:b w:val="0"/>
          <w:bCs w:val="0"/>
          <w:color w:val="000000"/>
          <w:sz w:val="16"/>
          <w:szCs w:val="16"/>
          <w:lang w:val="es-ES"/>
        </w:rPr>
        <w:t>Sentencia de 6 de febrero</w:t>
      </w:r>
      <w:r w:rsidRPr="00FF5F9A">
        <w:rPr>
          <w:rStyle w:val="Textoennegrita"/>
          <w:rFonts w:cs="Arial"/>
          <w:b w:val="0"/>
          <w:bCs w:val="0"/>
          <w:color w:val="000000"/>
          <w:sz w:val="16"/>
          <w:szCs w:val="16"/>
          <w:lang w:val="es-ES"/>
        </w:rPr>
        <w:t xml:space="preserve"> de 2020. Serie C No. 400, nota 154.</w:t>
      </w:r>
    </w:p>
    <w:p w14:paraId="6FA7096B" w14:textId="77777777" w:rsidR="002275C3" w:rsidRPr="00FF5F9A" w:rsidRDefault="002275C3">
      <w:pPr>
        <w:pStyle w:val="Textonotapie"/>
        <w:rPr>
          <w:sz w:val="16"/>
          <w:szCs w:val="16"/>
          <w:lang w:val="es-ES"/>
        </w:rPr>
      </w:pPr>
    </w:p>
  </w:footnote>
  <w:footnote w:id="69">
    <w:p w14:paraId="5D3E9B1F" w14:textId="50C4ECB9" w:rsidR="002275C3" w:rsidRPr="00FF5F9A" w:rsidRDefault="002275C3">
      <w:pPr>
        <w:pStyle w:val="Textonotapie"/>
        <w:rPr>
          <w:rFonts w:cs="Arial"/>
          <w:color w:val="000000"/>
          <w:sz w:val="16"/>
          <w:szCs w:val="16"/>
          <w:lang w:val="es-ES"/>
        </w:rPr>
      </w:pPr>
      <w:r w:rsidRPr="00FF5F9A">
        <w:rPr>
          <w:rStyle w:val="Refdenotaalpie"/>
          <w:sz w:val="16"/>
          <w:szCs w:val="16"/>
        </w:rPr>
        <w:footnoteRef/>
      </w:r>
      <w:r w:rsidRPr="00FF5F9A">
        <w:rPr>
          <w:sz w:val="16"/>
          <w:szCs w:val="16"/>
          <w:lang w:val="es-MX"/>
        </w:rPr>
        <w:t xml:space="preserve"> </w:t>
      </w:r>
      <w:r w:rsidRPr="00FF5F9A">
        <w:rPr>
          <w:sz w:val="16"/>
          <w:szCs w:val="16"/>
          <w:lang w:val="es-MX"/>
        </w:rPr>
        <w:tab/>
      </w:r>
      <w:r w:rsidRPr="00FF5F9A">
        <w:rPr>
          <w:rFonts w:cs="Arial"/>
          <w:i/>
          <w:sz w:val="16"/>
          <w:szCs w:val="16"/>
          <w:lang w:val="es-ES"/>
        </w:rPr>
        <w:t xml:space="preserve">Cfr. </w:t>
      </w:r>
      <w:r w:rsidRPr="00FF5F9A">
        <w:rPr>
          <w:rStyle w:val="Textoennegrita"/>
          <w:rFonts w:cs="Arial"/>
          <w:b w:val="0"/>
          <w:bCs w:val="0"/>
          <w:i/>
          <w:color w:val="000000"/>
          <w:sz w:val="16"/>
          <w:szCs w:val="16"/>
          <w:lang w:val="es-ES"/>
        </w:rPr>
        <w:t xml:space="preserve">Caso </w:t>
      </w:r>
      <w:r w:rsidRPr="00FF5F9A">
        <w:rPr>
          <w:rFonts w:cs="Arial"/>
          <w:i/>
          <w:iCs/>
          <w:sz w:val="16"/>
          <w:szCs w:val="16"/>
          <w:lang w:val="es-ES"/>
        </w:rPr>
        <w:t>Comunidades indígenas miembros de la asociación Lhaka Honhat (Nuestra Tierra)</w:t>
      </w:r>
      <w:r w:rsidRPr="00FF5F9A">
        <w:rPr>
          <w:rStyle w:val="Textoennegrita"/>
          <w:rFonts w:cs="Arial"/>
          <w:b w:val="0"/>
          <w:bCs w:val="0"/>
          <w:i/>
          <w:color w:val="000000"/>
          <w:sz w:val="16"/>
          <w:szCs w:val="16"/>
          <w:lang w:val="es-ES"/>
        </w:rPr>
        <w:t xml:space="preserve"> Vs. Argentina. Fondo, Reparaciones y Costas. </w:t>
      </w:r>
      <w:r w:rsidR="00AE3F36">
        <w:rPr>
          <w:rStyle w:val="Textoennegrita"/>
          <w:rFonts w:cs="Arial"/>
          <w:b w:val="0"/>
          <w:bCs w:val="0"/>
          <w:color w:val="000000"/>
          <w:sz w:val="16"/>
          <w:szCs w:val="16"/>
          <w:lang w:val="es-ES"/>
        </w:rPr>
        <w:t>Sentencia de 6 de febrero</w:t>
      </w:r>
      <w:r w:rsidRPr="00FF5F9A">
        <w:rPr>
          <w:rStyle w:val="Textoennegrita"/>
          <w:rFonts w:cs="Arial"/>
          <w:b w:val="0"/>
          <w:bCs w:val="0"/>
          <w:color w:val="000000"/>
          <w:sz w:val="16"/>
          <w:szCs w:val="16"/>
          <w:lang w:val="es-ES"/>
        </w:rPr>
        <w:t xml:space="preserve"> de 2020. Serie C No. 400, nota</w:t>
      </w:r>
      <w:r w:rsidR="00615D71">
        <w:rPr>
          <w:rStyle w:val="Textoennegrita"/>
          <w:rFonts w:cs="Arial"/>
          <w:b w:val="0"/>
          <w:bCs w:val="0"/>
          <w:color w:val="000000"/>
          <w:sz w:val="16"/>
          <w:szCs w:val="16"/>
          <w:lang w:val="es-ES"/>
        </w:rPr>
        <w:t>s</w:t>
      </w:r>
      <w:r w:rsidRPr="00FF5F9A">
        <w:rPr>
          <w:rStyle w:val="Textoennegrita"/>
          <w:rFonts w:cs="Arial"/>
          <w:b w:val="0"/>
          <w:bCs w:val="0"/>
          <w:color w:val="000000"/>
          <w:sz w:val="16"/>
          <w:szCs w:val="16"/>
          <w:lang w:val="es-ES"/>
        </w:rPr>
        <w:t xml:space="preserve"> 1</w:t>
      </w:r>
      <w:r w:rsidR="00615D71">
        <w:rPr>
          <w:rStyle w:val="Textoennegrita"/>
          <w:rFonts w:cs="Arial"/>
          <w:b w:val="0"/>
          <w:bCs w:val="0"/>
          <w:color w:val="000000"/>
          <w:sz w:val="16"/>
          <w:szCs w:val="16"/>
          <w:lang w:val="es-ES"/>
        </w:rPr>
        <w:t>62, 193 y 288.</w:t>
      </w:r>
    </w:p>
    <w:p w14:paraId="751C3379" w14:textId="77777777" w:rsidR="002275C3" w:rsidRPr="00FF5F9A" w:rsidRDefault="002275C3">
      <w:pPr>
        <w:pStyle w:val="Textonotapie"/>
        <w:rPr>
          <w:sz w:val="16"/>
          <w:szCs w:val="16"/>
          <w:lang w:val="es-ES"/>
        </w:rPr>
      </w:pPr>
    </w:p>
  </w:footnote>
  <w:footnote w:id="70">
    <w:p w14:paraId="4B1E5C52" w14:textId="10B1FD06" w:rsidR="002275C3" w:rsidRPr="00FF5F9A" w:rsidRDefault="002275C3" w:rsidP="00FF3399">
      <w:pPr>
        <w:pStyle w:val="Textonotapie"/>
        <w:spacing w:after="120"/>
        <w:rPr>
          <w:rFonts w:cs="Arial"/>
          <w:color w:val="000000"/>
          <w:sz w:val="16"/>
          <w:szCs w:val="16"/>
          <w:lang w:val="es-ES"/>
        </w:rPr>
      </w:pPr>
      <w:r w:rsidRPr="00FF5F9A">
        <w:rPr>
          <w:rStyle w:val="Refdenotaalpie"/>
          <w:rFonts w:cs="Arial"/>
          <w:sz w:val="16"/>
          <w:szCs w:val="16"/>
          <w:lang w:val="es-ES"/>
        </w:rPr>
        <w:footnoteRef/>
      </w:r>
      <w:r w:rsidRPr="00FF5F9A">
        <w:rPr>
          <w:rFonts w:cs="Arial"/>
          <w:sz w:val="16"/>
          <w:szCs w:val="16"/>
          <w:lang w:val="es-ES"/>
        </w:rPr>
        <w:t xml:space="preserve"> </w:t>
      </w:r>
      <w:r w:rsidRPr="00FF5F9A">
        <w:rPr>
          <w:rFonts w:cs="Arial"/>
          <w:sz w:val="16"/>
          <w:szCs w:val="16"/>
          <w:lang w:val="es-ES"/>
        </w:rPr>
        <w:tab/>
      </w:r>
      <w:r w:rsidRPr="00FF5F9A">
        <w:rPr>
          <w:rFonts w:cs="Arial"/>
          <w:i/>
          <w:sz w:val="16"/>
          <w:szCs w:val="16"/>
          <w:lang w:val="es-ES"/>
        </w:rPr>
        <w:t xml:space="preserve">Cfr. </w:t>
      </w:r>
      <w:r w:rsidRPr="00FF5F9A">
        <w:rPr>
          <w:rStyle w:val="Textoennegrita"/>
          <w:rFonts w:cs="Arial"/>
          <w:b w:val="0"/>
          <w:bCs w:val="0"/>
          <w:i/>
          <w:color w:val="000000"/>
          <w:sz w:val="16"/>
          <w:szCs w:val="16"/>
          <w:lang w:val="es-ES"/>
        </w:rPr>
        <w:t xml:space="preserve">Caso </w:t>
      </w:r>
      <w:r w:rsidRPr="00FF5F9A">
        <w:rPr>
          <w:rFonts w:cs="Arial"/>
          <w:i/>
          <w:iCs/>
          <w:sz w:val="16"/>
          <w:szCs w:val="16"/>
          <w:lang w:val="es-ES"/>
        </w:rPr>
        <w:t>Comunidades indígenas miembros de la asociación Lhaka Honhat (Nuestra Tierra)</w:t>
      </w:r>
      <w:r w:rsidRPr="00FF5F9A">
        <w:rPr>
          <w:rStyle w:val="Textoennegrita"/>
          <w:rFonts w:cs="Arial"/>
          <w:b w:val="0"/>
          <w:bCs w:val="0"/>
          <w:i/>
          <w:color w:val="000000"/>
          <w:sz w:val="16"/>
          <w:szCs w:val="16"/>
          <w:lang w:val="es-ES"/>
        </w:rPr>
        <w:t xml:space="preserve"> Vs. Argentina. Fondo, Reparaciones y Costas. </w:t>
      </w:r>
      <w:r w:rsidR="00AE3F36">
        <w:rPr>
          <w:rStyle w:val="Textoennegrita"/>
          <w:rFonts w:cs="Arial"/>
          <w:b w:val="0"/>
          <w:bCs w:val="0"/>
          <w:color w:val="000000"/>
          <w:sz w:val="16"/>
          <w:szCs w:val="16"/>
          <w:lang w:val="es-ES"/>
        </w:rPr>
        <w:t>Sentencia de 6 de febrero</w:t>
      </w:r>
      <w:r w:rsidRPr="00FF5F9A">
        <w:rPr>
          <w:rStyle w:val="Textoennegrita"/>
          <w:rFonts w:cs="Arial"/>
          <w:b w:val="0"/>
          <w:bCs w:val="0"/>
          <w:color w:val="000000"/>
          <w:sz w:val="16"/>
          <w:szCs w:val="16"/>
          <w:lang w:val="es-ES"/>
        </w:rPr>
        <w:t xml:space="preserve"> de 2020. Serie C No. 400, notas </w:t>
      </w:r>
      <w:r w:rsidR="00615D71">
        <w:rPr>
          <w:rStyle w:val="Textoennegrita"/>
          <w:rFonts w:cs="Arial"/>
          <w:b w:val="0"/>
          <w:bCs w:val="0"/>
          <w:color w:val="000000"/>
          <w:sz w:val="16"/>
          <w:szCs w:val="16"/>
          <w:lang w:val="es-ES"/>
        </w:rPr>
        <w:t>210, 247, 260, 263 y 270.</w:t>
      </w:r>
    </w:p>
  </w:footnote>
  <w:footnote w:id="71">
    <w:p w14:paraId="0F7FDAD3" w14:textId="42DC080D" w:rsidR="002275C3" w:rsidRPr="006A7E31" w:rsidRDefault="002275C3">
      <w:pPr>
        <w:pStyle w:val="Textonotapie"/>
        <w:rPr>
          <w:sz w:val="16"/>
          <w:szCs w:val="16"/>
          <w:lang w:val="es-MX"/>
        </w:rPr>
      </w:pPr>
      <w:r w:rsidRPr="00A43727">
        <w:rPr>
          <w:rStyle w:val="Refdenotaalpie"/>
          <w:sz w:val="16"/>
          <w:szCs w:val="16"/>
        </w:rPr>
        <w:footnoteRef/>
      </w:r>
      <w:r w:rsidRPr="00A43727">
        <w:rPr>
          <w:sz w:val="16"/>
          <w:szCs w:val="16"/>
          <w:lang w:val="es-MX"/>
        </w:rPr>
        <w:t xml:space="preserve"> </w:t>
      </w:r>
      <w:r w:rsidRPr="00A43727">
        <w:rPr>
          <w:sz w:val="16"/>
          <w:szCs w:val="16"/>
          <w:lang w:val="es-ES"/>
        </w:rPr>
        <w:tab/>
      </w:r>
      <w:r w:rsidRPr="00A43727">
        <w:rPr>
          <w:rFonts w:cs="Arial"/>
          <w:i/>
          <w:sz w:val="16"/>
          <w:szCs w:val="16"/>
          <w:lang w:val="es-ES"/>
        </w:rPr>
        <w:t xml:space="preserve">Cfr. </w:t>
      </w:r>
      <w:r w:rsidRPr="00A43727">
        <w:rPr>
          <w:rStyle w:val="Textoennegrita"/>
          <w:rFonts w:cs="Arial"/>
          <w:b w:val="0"/>
          <w:bCs w:val="0"/>
          <w:i/>
          <w:color w:val="000000"/>
          <w:sz w:val="16"/>
          <w:szCs w:val="16"/>
          <w:lang w:val="es-ES"/>
        </w:rPr>
        <w:t xml:space="preserve">Caso </w:t>
      </w:r>
      <w:r w:rsidRPr="00A43727">
        <w:rPr>
          <w:rFonts w:cs="Arial"/>
          <w:i/>
          <w:iCs/>
          <w:sz w:val="16"/>
          <w:szCs w:val="16"/>
          <w:lang w:val="es-ES"/>
        </w:rPr>
        <w:t>Comunidades indígenas miembros de la asociación Lhaka Honhat (Nuestra Tierra)</w:t>
      </w:r>
      <w:r w:rsidRPr="00A43727">
        <w:rPr>
          <w:rStyle w:val="Textoennegrita"/>
          <w:rFonts w:cs="Arial"/>
          <w:b w:val="0"/>
          <w:bCs w:val="0"/>
          <w:i/>
          <w:color w:val="000000"/>
          <w:sz w:val="16"/>
          <w:szCs w:val="16"/>
          <w:lang w:val="es-ES"/>
        </w:rPr>
        <w:t xml:space="preserve"> Vs. Argentina. Fondo, Reparaciones y Costas. </w:t>
      </w:r>
      <w:r w:rsidRPr="00A43727">
        <w:rPr>
          <w:rStyle w:val="Textoennegrita"/>
          <w:rFonts w:cs="Arial"/>
          <w:b w:val="0"/>
          <w:bCs w:val="0"/>
          <w:color w:val="000000"/>
          <w:sz w:val="16"/>
          <w:szCs w:val="16"/>
          <w:lang w:val="es-ES"/>
        </w:rPr>
        <w:t>Sentencia de 6 de enero</w:t>
      </w:r>
      <w:r w:rsidR="00615D71">
        <w:rPr>
          <w:rStyle w:val="Textoennegrita"/>
          <w:rFonts w:cs="Arial"/>
          <w:b w:val="0"/>
          <w:bCs w:val="0"/>
          <w:color w:val="000000"/>
          <w:sz w:val="16"/>
          <w:szCs w:val="16"/>
          <w:lang w:val="es-ES"/>
        </w:rPr>
        <w:t xml:space="preserve"> de 2020. Serie C No. 400, nota</w:t>
      </w:r>
      <w:r w:rsidRPr="00A43727">
        <w:rPr>
          <w:rStyle w:val="Textoennegrita"/>
          <w:rFonts w:cs="Arial"/>
          <w:b w:val="0"/>
          <w:bCs w:val="0"/>
          <w:color w:val="000000"/>
          <w:sz w:val="16"/>
          <w:szCs w:val="16"/>
          <w:lang w:val="es-ES"/>
        </w:rPr>
        <w:t xml:space="preserve"> </w:t>
      </w:r>
      <w:r w:rsidR="00615D71">
        <w:rPr>
          <w:sz w:val="16"/>
          <w:szCs w:val="16"/>
          <w:lang w:val="es-MX"/>
        </w:rPr>
        <w:t>193</w:t>
      </w:r>
      <w:r w:rsidRPr="00A43727">
        <w:rPr>
          <w:sz w:val="16"/>
          <w:szCs w:val="16"/>
          <w:lang w:val="es-MX"/>
        </w:rPr>
        <w:t>.</w:t>
      </w:r>
      <w:r w:rsidRPr="006A7E31">
        <w:rPr>
          <w:sz w:val="16"/>
          <w:szCs w:val="16"/>
          <w:lang w:val="es-MX"/>
        </w:rPr>
        <w:t xml:space="preserve"> </w:t>
      </w:r>
    </w:p>
    <w:p w14:paraId="44D4B987" w14:textId="77777777" w:rsidR="002275C3" w:rsidRPr="00340041" w:rsidRDefault="002275C3">
      <w:pPr>
        <w:pStyle w:val="Textonotapie"/>
        <w:rPr>
          <w:rFonts w:cs="Arial"/>
          <w:color w:val="000000"/>
          <w:sz w:val="16"/>
          <w:szCs w:val="16"/>
          <w:lang w:val="es-ES"/>
        </w:rPr>
      </w:pPr>
    </w:p>
  </w:footnote>
  <w:footnote w:id="72">
    <w:p w14:paraId="219BA51C" w14:textId="07507B77" w:rsidR="002275C3" w:rsidRPr="00340041" w:rsidRDefault="002275C3" w:rsidP="00685548">
      <w:pPr>
        <w:pStyle w:val="Textonotapie"/>
        <w:spacing w:after="120"/>
        <w:rPr>
          <w:rFonts w:cs="Arial"/>
          <w:sz w:val="16"/>
          <w:szCs w:val="16"/>
          <w:lang w:val="es-ES"/>
        </w:rPr>
      </w:pPr>
      <w:r w:rsidRPr="00340041">
        <w:rPr>
          <w:rStyle w:val="Refdenotaalpie"/>
          <w:rFonts w:cs="Arial"/>
          <w:sz w:val="16"/>
          <w:szCs w:val="16"/>
          <w:lang w:val="es-ES"/>
        </w:rPr>
        <w:footnoteRef/>
      </w:r>
      <w:r w:rsidRPr="00340041">
        <w:rPr>
          <w:rFonts w:cs="Arial"/>
          <w:sz w:val="16"/>
          <w:szCs w:val="16"/>
          <w:lang w:val="es-ES"/>
        </w:rPr>
        <w:t xml:space="preserve"> </w:t>
      </w:r>
      <w:r w:rsidRPr="00340041">
        <w:rPr>
          <w:rFonts w:cs="Arial"/>
          <w:sz w:val="16"/>
          <w:szCs w:val="16"/>
          <w:lang w:val="es-ES"/>
        </w:rPr>
        <w:tab/>
      </w:r>
      <w:r w:rsidRPr="00340041">
        <w:rPr>
          <w:rFonts w:cs="Arial"/>
          <w:i/>
          <w:iCs/>
          <w:sz w:val="16"/>
          <w:szCs w:val="16"/>
          <w:lang w:val="es-ES"/>
        </w:rPr>
        <w:t>Caso de Personas dominicanas y haitianas expulsadas Vs. República Dominicana. Excepciones Preliminares, Fondo, Reparaciones y Costas.</w:t>
      </w:r>
      <w:r w:rsidRPr="00340041">
        <w:rPr>
          <w:rFonts w:cs="Arial"/>
          <w:sz w:val="16"/>
          <w:szCs w:val="16"/>
          <w:lang w:val="es-ES"/>
        </w:rPr>
        <w:t xml:space="preserve"> Sentencia de 28 de agosto de 2014. Serie C No. 282, párr. 15. </w:t>
      </w:r>
    </w:p>
  </w:footnote>
  <w:footnote w:id="73">
    <w:p w14:paraId="55CA797D" w14:textId="46388AB4" w:rsidR="002275C3" w:rsidRPr="00340041" w:rsidRDefault="002275C3" w:rsidP="00685548">
      <w:pPr>
        <w:pStyle w:val="Textonotapie"/>
        <w:spacing w:after="120"/>
        <w:ind w:right="49"/>
        <w:rPr>
          <w:rFonts w:cs="Arial"/>
          <w:color w:val="000000"/>
          <w:sz w:val="16"/>
          <w:szCs w:val="16"/>
          <w:shd w:val="clear" w:color="auto" w:fill="FFFFFF"/>
          <w:lang w:val="es-ES"/>
        </w:rPr>
      </w:pPr>
      <w:r w:rsidRPr="00340041">
        <w:rPr>
          <w:rStyle w:val="Refdenotaalpie"/>
          <w:sz w:val="16"/>
          <w:szCs w:val="16"/>
          <w:lang w:val="es-ES"/>
        </w:rPr>
        <w:footnoteRef/>
      </w:r>
      <w:r w:rsidRPr="00340041">
        <w:rPr>
          <w:sz w:val="16"/>
          <w:szCs w:val="16"/>
          <w:lang w:val="es-ES"/>
        </w:rPr>
        <w:t xml:space="preserve"> </w:t>
      </w:r>
      <w:r w:rsidRPr="00340041">
        <w:rPr>
          <w:sz w:val="16"/>
          <w:szCs w:val="16"/>
          <w:lang w:val="es-ES"/>
        </w:rPr>
        <w:tab/>
      </w:r>
      <w:r w:rsidRPr="00340041">
        <w:rPr>
          <w:rStyle w:val="Textoennegrita"/>
          <w:rFonts w:cs="Arial"/>
          <w:b w:val="0"/>
          <w:bCs w:val="0"/>
          <w:i/>
          <w:color w:val="000000"/>
          <w:sz w:val="16"/>
          <w:szCs w:val="16"/>
          <w:lang w:val="es-ES"/>
        </w:rPr>
        <w:t xml:space="preserve">Caso </w:t>
      </w:r>
      <w:r w:rsidRPr="00340041">
        <w:rPr>
          <w:rFonts w:cs="Arial"/>
          <w:i/>
          <w:iCs/>
          <w:sz w:val="16"/>
          <w:szCs w:val="16"/>
          <w:lang w:val="es-ES"/>
        </w:rPr>
        <w:t>Comunidades indígenas miembros de la asociación Lhaka Honhat (Nuestra Tierra)</w:t>
      </w:r>
      <w:r w:rsidRPr="00340041">
        <w:rPr>
          <w:rStyle w:val="Textoennegrita"/>
          <w:rFonts w:cs="Arial"/>
          <w:b w:val="0"/>
          <w:bCs w:val="0"/>
          <w:i/>
          <w:color w:val="000000"/>
          <w:sz w:val="16"/>
          <w:szCs w:val="16"/>
          <w:lang w:val="es-ES"/>
        </w:rPr>
        <w:t xml:space="preserve"> Vs. Argentina. Fondo, Reparaciones y Costas. </w:t>
      </w:r>
      <w:r w:rsidR="00397F1E">
        <w:rPr>
          <w:rStyle w:val="Textoennegrita"/>
          <w:rFonts w:cs="Arial"/>
          <w:b w:val="0"/>
          <w:bCs w:val="0"/>
          <w:color w:val="000000"/>
          <w:sz w:val="16"/>
          <w:szCs w:val="16"/>
          <w:lang w:val="es-ES"/>
        </w:rPr>
        <w:t>Sentencia de 6 de febrero</w:t>
      </w:r>
      <w:r w:rsidRPr="00340041">
        <w:rPr>
          <w:rStyle w:val="Textoennegrita"/>
          <w:rFonts w:cs="Arial"/>
          <w:b w:val="0"/>
          <w:bCs w:val="0"/>
          <w:color w:val="000000"/>
          <w:sz w:val="16"/>
          <w:szCs w:val="16"/>
          <w:lang w:val="es-ES"/>
        </w:rPr>
        <w:t xml:space="preserve"> de 2020. Serie C No. 400, párr. 201. </w:t>
      </w:r>
    </w:p>
  </w:footnote>
  <w:footnote w:id="74">
    <w:p w14:paraId="53A3969D" w14:textId="78D0F6A7" w:rsidR="002275C3" w:rsidRPr="00340041" w:rsidRDefault="002275C3" w:rsidP="00685548">
      <w:pPr>
        <w:pStyle w:val="Textonotapie"/>
        <w:spacing w:after="120"/>
        <w:ind w:right="49"/>
        <w:rPr>
          <w:rFonts w:cs="Arial"/>
          <w:color w:val="000000"/>
          <w:sz w:val="16"/>
          <w:szCs w:val="16"/>
          <w:lang w:val="es-ES"/>
        </w:rPr>
      </w:pPr>
      <w:r w:rsidRPr="00340041">
        <w:rPr>
          <w:rStyle w:val="Refdenotaalpie"/>
          <w:sz w:val="16"/>
          <w:szCs w:val="16"/>
          <w:lang w:val="es-ES"/>
        </w:rPr>
        <w:footnoteRef/>
      </w:r>
      <w:r w:rsidRPr="00340041">
        <w:rPr>
          <w:sz w:val="16"/>
          <w:szCs w:val="16"/>
          <w:lang w:val="es-ES"/>
        </w:rPr>
        <w:t xml:space="preserve"> </w:t>
      </w:r>
      <w:r w:rsidRPr="00340041">
        <w:rPr>
          <w:sz w:val="16"/>
          <w:szCs w:val="16"/>
          <w:lang w:val="es-ES"/>
        </w:rPr>
        <w:tab/>
      </w:r>
      <w:r w:rsidRPr="00340041">
        <w:rPr>
          <w:i/>
          <w:iCs/>
          <w:sz w:val="16"/>
          <w:szCs w:val="16"/>
          <w:lang w:val="es-ES"/>
        </w:rPr>
        <w:t>Cfr.</w:t>
      </w:r>
      <w:r w:rsidRPr="00340041">
        <w:rPr>
          <w:sz w:val="16"/>
          <w:szCs w:val="16"/>
          <w:lang w:val="es-ES"/>
        </w:rPr>
        <w:t xml:space="preserve"> </w:t>
      </w:r>
      <w:r w:rsidRPr="00340041">
        <w:rPr>
          <w:rStyle w:val="Textoennegrita"/>
          <w:rFonts w:cs="Arial"/>
          <w:b w:val="0"/>
          <w:bCs w:val="0"/>
          <w:i/>
          <w:color w:val="000000"/>
          <w:sz w:val="16"/>
          <w:szCs w:val="16"/>
          <w:lang w:val="es-ES"/>
        </w:rPr>
        <w:t xml:space="preserve">Caso </w:t>
      </w:r>
      <w:r w:rsidRPr="00340041">
        <w:rPr>
          <w:rFonts w:cs="Arial"/>
          <w:i/>
          <w:iCs/>
          <w:sz w:val="16"/>
          <w:szCs w:val="16"/>
          <w:lang w:val="es-ES"/>
        </w:rPr>
        <w:t>Comunidades indígenas miembros de la asociación Lhaka Honhat (Nuestra Tierra)</w:t>
      </w:r>
      <w:r w:rsidRPr="00340041">
        <w:rPr>
          <w:rStyle w:val="Textoennegrita"/>
          <w:rFonts w:cs="Arial"/>
          <w:b w:val="0"/>
          <w:bCs w:val="0"/>
          <w:i/>
          <w:color w:val="000000"/>
          <w:sz w:val="16"/>
          <w:szCs w:val="16"/>
          <w:lang w:val="es-ES"/>
        </w:rPr>
        <w:t xml:space="preserve"> Vs. Argentina. Fondo, Reparaciones y Costas. </w:t>
      </w:r>
      <w:r w:rsidR="00397F1E">
        <w:rPr>
          <w:rStyle w:val="Textoennegrita"/>
          <w:rFonts w:cs="Arial"/>
          <w:b w:val="0"/>
          <w:bCs w:val="0"/>
          <w:color w:val="000000"/>
          <w:sz w:val="16"/>
          <w:szCs w:val="16"/>
          <w:lang w:val="es-ES"/>
        </w:rPr>
        <w:t>Sentencia de 6 de febrero</w:t>
      </w:r>
      <w:r w:rsidRPr="00340041">
        <w:rPr>
          <w:rStyle w:val="Textoennegrita"/>
          <w:rFonts w:cs="Arial"/>
          <w:b w:val="0"/>
          <w:bCs w:val="0"/>
          <w:color w:val="000000"/>
          <w:sz w:val="16"/>
          <w:szCs w:val="16"/>
          <w:lang w:val="es-ES"/>
        </w:rPr>
        <w:t xml:space="preserve"> de 2020. Serie C No. 400, párrs. 202, 210, 222 a 224 y 231.</w:t>
      </w:r>
    </w:p>
  </w:footnote>
  <w:footnote w:id="75">
    <w:p w14:paraId="376F9916" w14:textId="4FF71C7B" w:rsidR="002275C3" w:rsidRPr="00340041" w:rsidRDefault="002275C3" w:rsidP="00685548">
      <w:pPr>
        <w:pStyle w:val="Textonotapie"/>
        <w:spacing w:after="120"/>
        <w:rPr>
          <w:rFonts w:cs="Arial"/>
          <w:b/>
          <w:bCs/>
          <w:color w:val="000000"/>
          <w:sz w:val="16"/>
          <w:szCs w:val="16"/>
          <w:lang w:val="es-ES"/>
        </w:rPr>
      </w:pPr>
      <w:r w:rsidRPr="00340041">
        <w:rPr>
          <w:rStyle w:val="Refdenotaalpie"/>
          <w:sz w:val="16"/>
          <w:szCs w:val="16"/>
          <w:lang w:val="es-ES"/>
        </w:rPr>
        <w:footnoteRef/>
      </w:r>
      <w:r w:rsidRPr="00340041">
        <w:rPr>
          <w:sz w:val="16"/>
          <w:szCs w:val="16"/>
          <w:lang w:val="es-ES"/>
        </w:rPr>
        <w:t xml:space="preserve"> </w:t>
      </w:r>
      <w:r w:rsidRPr="00340041">
        <w:rPr>
          <w:sz w:val="16"/>
          <w:szCs w:val="16"/>
          <w:lang w:val="es-ES"/>
        </w:rPr>
        <w:tab/>
      </w:r>
      <w:r w:rsidRPr="00340041">
        <w:rPr>
          <w:i/>
          <w:iCs/>
          <w:sz w:val="16"/>
          <w:szCs w:val="16"/>
          <w:lang w:val="es-ES"/>
        </w:rPr>
        <w:t>Cfr.</w:t>
      </w:r>
      <w:r w:rsidRPr="00340041">
        <w:rPr>
          <w:sz w:val="16"/>
          <w:szCs w:val="16"/>
          <w:lang w:val="es-ES"/>
        </w:rPr>
        <w:t xml:space="preserve"> </w:t>
      </w:r>
      <w:r w:rsidRPr="00340041">
        <w:rPr>
          <w:rStyle w:val="Textoennegrita"/>
          <w:rFonts w:cs="Arial"/>
          <w:b w:val="0"/>
          <w:bCs w:val="0"/>
          <w:i/>
          <w:color w:val="000000"/>
          <w:sz w:val="16"/>
          <w:szCs w:val="16"/>
          <w:lang w:val="es-ES"/>
        </w:rPr>
        <w:t xml:space="preserve">Caso </w:t>
      </w:r>
      <w:r w:rsidRPr="00340041">
        <w:rPr>
          <w:rFonts w:cs="Arial"/>
          <w:i/>
          <w:iCs/>
          <w:sz w:val="16"/>
          <w:szCs w:val="16"/>
          <w:lang w:val="es-ES"/>
        </w:rPr>
        <w:t>Comunidades indígenas miembros de la asociación Lhaka Honhat (Nuestra Tierra)</w:t>
      </w:r>
      <w:r w:rsidRPr="00340041">
        <w:rPr>
          <w:rStyle w:val="Textoennegrita"/>
          <w:rFonts w:cs="Arial"/>
          <w:b w:val="0"/>
          <w:bCs w:val="0"/>
          <w:i/>
          <w:color w:val="000000"/>
          <w:sz w:val="16"/>
          <w:szCs w:val="16"/>
          <w:lang w:val="es-ES"/>
        </w:rPr>
        <w:t xml:space="preserve"> Vs. Argentina. Fondo, Reparaciones y Costas. </w:t>
      </w:r>
      <w:r w:rsidR="00397F1E">
        <w:rPr>
          <w:rStyle w:val="Textoennegrita"/>
          <w:rFonts w:cs="Arial"/>
          <w:b w:val="0"/>
          <w:bCs w:val="0"/>
          <w:color w:val="000000"/>
          <w:sz w:val="16"/>
          <w:szCs w:val="16"/>
          <w:lang w:val="es-ES"/>
        </w:rPr>
        <w:t>Sentencia de 6 de febrero</w:t>
      </w:r>
      <w:r w:rsidRPr="00340041">
        <w:rPr>
          <w:rStyle w:val="Textoennegrita"/>
          <w:rFonts w:cs="Arial"/>
          <w:b w:val="0"/>
          <w:bCs w:val="0"/>
          <w:color w:val="000000"/>
          <w:sz w:val="16"/>
          <w:szCs w:val="16"/>
          <w:lang w:val="es-ES"/>
        </w:rPr>
        <w:t xml:space="preserve"> de 2020. Serie C No. 400, párrs. 206, 215, y 236. </w:t>
      </w:r>
    </w:p>
  </w:footnote>
  <w:footnote w:id="76">
    <w:p w14:paraId="6322BCD5" w14:textId="5DADEFA0" w:rsidR="002275C3" w:rsidRPr="00340041" w:rsidRDefault="002275C3" w:rsidP="00685548">
      <w:pPr>
        <w:pStyle w:val="Textonotapie"/>
        <w:spacing w:after="120"/>
        <w:rPr>
          <w:rFonts w:cs="Arial"/>
          <w:b/>
          <w:bCs/>
          <w:color w:val="000000"/>
          <w:sz w:val="16"/>
          <w:szCs w:val="16"/>
          <w:lang w:val="es-ES"/>
        </w:rPr>
      </w:pPr>
      <w:r w:rsidRPr="00340041">
        <w:rPr>
          <w:rStyle w:val="Refdenotaalpie"/>
          <w:sz w:val="16"/>
          <w:szCs w:val="16"/>
          <w:lang w:val="es-ES"/>
        </w:rPr>
        <w:footnoteRef/>
      </w:r>
      <w:r w:rsidRPr="00340041">
        <w:rPr>
          <w:sz w:val="16"/>
          <w:szCs w:val="16"/>
          <w:lang w:val="es-ES"/>
        </w:rPr>
        <w:t xml:space="preserve"> </w:t>
      </w:r>
      <w:r w:rsidRPr="00340041">
        <w:rPr>
          <w:sz w:val="16"/>
          <w:szCs w:val="16"/>
          <w:lang w:val="es-ES"/>
        </w:rPr>
        <w:tab/>
      </w:r>
      <w:r w:rsidRPr="00340041">
        <w:rPr>
          <w:i/>
          <w:iCs/>
          <w:sz w:val="16"/>
          <w:szCs w:val="16"/>
          <w:lang w:val="es-ES"/>
        </w:rPr>
        <w:t>Cfr.</w:t>
      </w:r>
      <w:r w:rsidRPr="00340041">
        <w:rPr>
          <w:sz w:val="16"/>
          <w:szCs w:val="16"/>
          <w:lang w:val="es-ES"/>
        </w:rPr>
        <w:t xml:space="preserve"> </w:t>
      </w:r>
      <w:r w:rsidRPr="00340041">
        <w:rPr>
          <w:rStyle w:val="Textoennegrita"/>
          <w:rFonts w:cs="Arial"/>
          <w:b w:val="0"/>
          <w:bCs w:val="0"/>
          <w:i/>
          <w:color w:val="000000"/>
          <w:sz w:val="16"/>
          <w:szCs w:val="16"/>
          <w:lang w:val="es-ES"/>
        </w:rPr>
        <w:t xml:space="preserve">Caso </w:t>
      </w:r>
      <w:r w:rsidRPr="00340041">
        <w:rPr>
          <w:rFonts w:cs="Arial"/>
          <w:i/>
          <w:iCs/>
          <w:sz w:val="16"/>
          <w:szCs w:val="16"/>
          <w:lang w:val="es-ES"/>
        </w:rPr>
        <w:t>Comunidades indígenas miembros de la asociación Lhaka Honhat (Nuestra Tierra)</w:t>
      </w:r>
      <w:r w:rsidRPr="00340041">
        <w:rPr>
          <w:rStyle w:val="Textoennegrita"/>
          <w:rFonts w:cs="Arial"/>
          <w:b w:val="0"/>
          <w:bCs w:val="0"/>
          <w:i/>
          <w:color w:val="000000"/>
          <w:sz w:val="16"/>
          <w:szCs w:val="16"/>
          <w:lang w:val="es-ES"/>
        </w:rPr>
        <w:t xml:space="preserve"> Vs. Argentina. Fondo, Reparaciones y Costas. </w:t>
      </w:r>
      <w:r w:rsidR="00397F1E">
        <w:rPr>
          <w:rStyle w:val="Textoennegrita"/>
          <w:rFonts w:cs="Arial"/>
          <w:b w:val="0"/>
          <w:bCs w:val="0"/>
          <w:color w:val="000000"/>
          <w:sz w:val="16"/>
          <w:szCs w:val="16"/>
          <w:lang w:val="es-ES"/>
        </w:rPr>
        <w:t>Sentencia de 6 de febrero</w:t>
      </w:r>
      <w:r w:rsidRPr="00340041">
        <w:rPr>
          <w:rStyle w:val="Textoennegrita"/>
          <w:rFonts w:cs="Arial"/>
          <w:b w:val="0"/>
          <w:bCs w:val="0"/>
          <w:color w:val="000000"/>
          <w:sz w:val="16"/>
          <w:szCs w:val="16"/>
          <w:lang w:val="es-ES"/>
        </w:rPr>
        <w:t xml:space="preserve"> de 2020. </w:t>
      </w:r>
      <w:r w:rsidR="00D7610D">
        <w:rPr>
          <w:rStyle w:val="Textoennegrita"/>
          <w:rFonts w:cs="Arial"/>
          <w:b w:val="0"/>
          <w:bCs w:val="0"/>
          <w:color w:val="000000"/>
          <w:sz w:val="16"/>
          <w:szCs w:val="16"/>
          <w:lang w:val="es-ES"/>
        </w:rPr>
        <w:t>Serie C No. 400, párrs. 204</w:t>
      </w:r>
      <w:r w:rsidRPr="00340041">
        <w:rPr>
          <w:rStyle w:val="Textoennegrita"/>
          <w:rFonts w:cs="Arial"/>
          <w:b w:val="0"/>
          <w:bCs w:val="0"/>
          <w:color w:val="000000"/>
          <w:sz w:val="16"/>
          <w:szCs w:val="16"/>
          <w:lang w:val="es-ES"/>
        </w:rPr>
        <w:t xml:space="preserve">, 214, 225 y 235. </w:t>
      </w:r>
    </w:p>
  </w:footnote>
  <w:footnote w:id="77">
    <w:p w14:paraId="603CF77C" w14:textId="1963B958" w:rsidR="002275C3" w:rsidRPr="00F82E34" w:rsidRDefault="002275C3" w:rsidP="00EF21AB">
      <w:pPr>
        <w:pStyle w:val="NormalWeb"/>
        <w:spacing w:before="0" w:beforeAutospacing="0" w:after="120" w:afterAutospacing="0"/>
        <w:jc w:val="both"/>
        <w:rPr>
          <w:rFonts w:ascii="Verdana" w:hAnsi="Verdana"/>
          <w:sz w:val="16"/>
          <w:szCs w:val="16"/>
          <w:lang w:eastAsia="es-ES_tradnl"/>
        </w:rPr>
      </w:pPr>
      <w:r w:rsidRPr="00FF5F9A">
        <w:rPr>
          <w:rStyle w:val="Refdenotaalpie"/>
          <w:rFonts w:ascii="Verdana" w:hAnsi="Verdana"/>
          <w:sz w:val="16"/>
          <w:szCs w:val="16"/>
        </w:rPr>
        <w:footnoteRef/>
      </w:r>
      <w:r w:rsidRPr="00FF5F9A">
        <w:rPr>
          <w:rFonts w:ascii="Verdana" w:hAnsi="Verdana"/>
          <w:sz w:val="16"/>
          <w:szCs w:val="16"/>
        </w:rPr>
        <w:t xml:space="preserve"> </w:t>
      </w:r>
      <w:r w:rsidRPr="00FF5F9A">
        <w:rPr>
          <w:rFonts w:ascii="Verdana" w:hAnsi="Verdana"/>
          <w:sz w:val="16"/>
          <w:szCs w:val="16"/>
        </w:rPr>
        <w:tab/>
      </w:r>
      <w:r>
        <w:rPr>
          <w:rFonts w:ascii="Verdana" w:hAnsi="Verdana"/>
          <w:sz w:val="16"/>
          <w:szCs w:val="16"/>
        </w:rPr>
        <w:t xml:space="preserve">Como se expresa en un documento reciente de la OIT, “la Agenda </w:t>
      </w:r>
      <w:r w:rsidRPr="00EF21AB">
        <w:rPr>
          <w:rFonts w:ascii="Verdana" w:hAnsi="Verdana"/>
          <w:sz w:val="16"/>
          <w:szCs w:val="16"/>
          <w:lang w:eastAsia="es-ES_tradnl"/>
        </w:rPr>
        <w:t>2030 reconoce que para eliminar la</w:t>
      </w:r>
      <w:r>
        <w:rPr>
          <w:rFonts w:ascii="Verdana" w:hAnsi="Verdana"/>
          <w:sz w:val="16"/>
          <w:szCs w:val="16"/>
          <w:lang w:eastAsia="es-ES_tradnl"/>
        </w:rPr>
        <w:t xml:space="preserve"> pobreza, las políticas de de</w:t>
      </w:r>
      <w:r w:rsidRPr="00EF21AB">
        <w:rPr>
          <w:rFonts w:ascii="Verdana" w:hAnsi="Verdana"/>
          <w:sz w:val="16"/>
          <w:szCs w:val="16"/>
          <w:lang w:eastAsia="es-ES_tradnl"/>
        </w:rPr>
        <w:t>sarrollo también deben combatir las desigualdades, inclusive las originadas por cuestiones de género u origen étnico (Naciones Unidas, ODS 10), a través de la búsqueda simultánea del desarrollo económ</w:t>
      </w:r>
      <w:r>
        <w:rPr>
          <w:rFonts w:ascii="Verdana" w:hAnsi="Verdana"/>
          <w:sz w:val="16"/>
          <w:szCs w:val="16"/>
          <w:lang w:eastAsia="es-ES_tradnl"/>
        </w:rPr>
        <w:t>ico y el respeto de los de</w:t>
      </w:r>
      <w:r w:rsidRPr="00EF21AB">
        <w:rPr>
          <w:rFonts w:ascii="Verdana" w:hAnsi="Verdana"/>
          <w:sz w:val="16"/>
          <w:szCs w:val="16"/>
          <w:lang w:eastAsia="es-ES_tradnl"/>
        </w:rPr>
        <w:t>rechos. Para aprovechar esta oportunidad, es fundamental que se preste especial atención a la situación de los pueblos i</w:t>
      </w:r>
      <w:r>
        <w:rPr>
          <w:rFonts w:ascii="Verdana" w:hAnsi="Verdana"/>
          <w:sz w:val="16"/>
          <w:szCs w:val="16"/>
          <w:lang w:eastAsia="es-ES_tradnl"/>
        </w:rPr>
        <w:t>ndígenas y tribales, a su par</w:t>
      </w:r>
      <w:r w:rsidRPr="00EF21AB">
        <w:rPr>
          <w:rFonts w:ascii="Verdana" w:hAnsi="Verdana"/>
          <w:sz w:val="16"/>
          <w:szCs w:val="16"/>
          <w:lang w:eastAsia="es-ES_tradnl"/>
        </w:rPr>
        <w:t>ticipación y a sus contribuciones, y que se traduzca en acciones orientadas al logro de los ODS: Los próximos diez años que quedan hasta 2030 serán decisivos si se quieren invertir de manera duradera los patrones existentes de desigualdad y exclusión</w:t>
      </w:r>
      <w:r>
        <w:rPr>
          <w:rFonts w:ascii="Verdana" w:hAnsi="Verdana"/>
          <w:sz w:val="16"/>
          <w:szCs w:val="16"/>
          <w:lang w:eastAsia="es-ES_tradnl"/>
        </w:rPr>
        <w:t>”</w:t>
      </w:r>
      <w:r w:rsidRPr="00EF21AB">
        <w:rPr>
          <w:rFonts w:ascii="Verdana" w:hAnsi="Verdana"/>
          <w:sz w:val="16"/>
          <w:szCs w:val="16"/>
          <w:lang w:eastAsia="es-ES_tradnl"/>
        </w:rPr>
        <w:t xml:space="preserve">. </w:t>
      </w:r>
      <w:r>
        <w:rPr>
          <w:rFonts w:ascii="Verdana" w:hAnsi="Verdana"/>
          <w:sz w:val="16"/>
          <w:szCs w:val="16"/>
          <w:lang w:eastAsia="es-ES_tradnl"/>
        </w:rPr>
        <w:t xml:space="preserve">OIT, </w:t>
      </w:r>
      <w:r w:rsidRPr="00EF21AB">
        <w:rPr>
          <w:rFonts w:ascii="Verdana" w:hAnsi="Verdana"/>
          <w:i/>
          <w:iCs/>
          <w:sz w:val="16"/>
          <w:szCs w:val="16"/>
          <w:lang w:eastAsia="es-ES_tradnl"/>
        </w:rPr>
        <w:t>Aplicación del Convenio sobre pueblos indígenas y tribales núm. 169 de la OIT: Hacia un futuro inclusivo, sostenible y justo</w:t>
      </w:r>
      <w:r>
        <w:rPr>
          <w:rFonts w:ascii="Verdana" w:hAnsi="Verdana"/>
          <w:i/>
          <w:iCs/>
          <w:sz w:val="16"/>
          <w:szCs w:val="16"/>
          <w:lang w:eastAsia="es-ES_tradnl"/>
        </w:rPr>
        <w:t xml:space="preserve">, </w:t>
      </w:r>
      <w:r w:rsidR="004A08D3">
        <w:rPr>
          <w:rFonts w:ascii="Verdana" w:hAnsi="Verdana"/>
          <w:iCs/>
          <w:sz w:val="16"/>
          <w:szCs w:val="16"/>
          <w:lang w:eastAsia="es-ES_tradnl"/>
        </w:rPr>
        <w:t>febrero de 2020</w:t>
      </w:r>
      <w:r>
        <w:rPr>
          <w:rFonts w:ascii="Verdana" w:hAnsi="Verdana"/>
          <w:iCs/>
          <w:sz w:val="16"/>
          <w:szCs w:val="16"/>
          <w:lang w:eastAsia="es-ES_tradnl"/>
        </w:rPr>
        <w:t>.</w:t>
      </w:r>
      <w:r w:rsidRPr="00EF21AB">
        <w:rPr>
          <w:rFonts w:ascii="Verdana" w:hAnsi="Verdana"/>
          <w:i/>
          <w:iCs/>
          <w:sz w:val="16"/>
          <w:szCs w:val="16"/>
          <w:lang w:eastAsia="es-ES_tradnl"/>
        </w:rPr>
        <w:t xml:space="preserve"> </w:t>
      </w:r>
    </w:p>
  </w:footnote>
  <w:footnote w:id="78">
    <w:p w14:paraId="1F60AB98" w14:textId="23102C1B" w:rsidR="002275C3" w:rsidRPr="00340041" w:rsidRDefault="002275C3" w:rsidP="00FF5F9A">
      <w:pPr>
        <w:pStyle w:val="NormalWeb"/>
        <w:spacing w:before="0" w:beforeAutospacing="0" w:after="120" w:afterAutospacing="0"/>
        <w:jc w:val="both"/>
      </w:pPr>
      <w:r w:rsidRPr="00FF5F9A">
        <w:rPr>
          <w:rStyle w:val="Refdenotaalpie"/>
          <w:rFonts w:ascii="Verdana" w:hAnsi="Verdana"/>
          <w:sz w:val="16"/>
          <w:szCs w:val="16"/>
        </w:rPr>
        <w:footnoteRef/>
      </w:r>
      <w:r w:rsidRPr="00FF5F9A">
        <w:rPr>
          <w:rFonts w:ascii="Verdana" w:hAnsi="Verdana"/>
          <w:sz w:val="16"/>
          <w:szCs w:val="16"/>
        </w:rPr>
        <w:t xml:space="preserve"> </w:t>
      </w:r>
      <w:r w:rsidRPr="00FF5F9A">
        <w:rPr>
          <w:rFonts w:ascii="Verdana" w:hAnsi="Verdana"/>
          <w:sz w:val="16"/>
          <w:szCs w:val="16"/>
        </w:rPr>
        <w:tab/>
        <w:t xml:space="preserve">Por ejemplo, se ha indicado que los siguientes </w:t>
      </w:r>
      <w:r>
        <w:rPr>
          <w:rFonts w:ascii="Verdana" w:hAnsi="Verdana"/>
          <w:sz w:val="16"/>
          <w:szCs w:val="16"/>
        </w:rPr>
        <w:t xml:space="preserve">ODS de la Agenda 2030, </w:t>
      </w:r>
      <w:r w:rsidRPr="00FF5F9A">
        <w:rPr>
          <w:rFonts w:ascii="Verdana" w:hAnsi="Verdana"/>
          <w:sz w:val="16"/>
          <w:szCs w:val="16"/>
        </w:rPr>
        <w:t xml:space="preserve">se relacionan especialmente con las prioridades de desarrollo de los pueblos indígenas: Objetivo 1. Poner fin a la pobreza en todas sus formas y en todo el mundo; Objetivo 2. Poner fin al hambre, lograr la seguridad alimentaria y la mejora de la nutrición y promover la agricultura sostenible; Objetivo 3. Garantizar una vida sana y promover el bienestar de todos a todas las edades; Objetivo 4. Garantizar una educación inclusiva y equitativa de calidad y promover oportunidades de aprendizaje permanente para todos; Objetivo 5. Lograr la igualdad de género y empoderar a todas las mujeres y las niñas; Objetivo 13. Adoptar medidas urgentes para combatir el cambio climático y sus efectos; Objetivo 15. Proteger, restablecer y promover el uso sostenible de los ecosistemas terrestres, gestionar sosteniblemente los bosques, luchar contra la desertificación, detener e invertir la degradación de las tierras y detener la pérdida de biodiversidad. Véase: ONU, Consejo Económico y Social, Foro Permanente para las Cuestiones Indigenas, </w:t>
      </w:r>
      <w:r w:rsidRPr="00FF5F9A">
        <w:rPr>
          <w:rFonts w:ascii="Verdana" w:hAnsi="Verdana"/>
          <w:i/>
          <w:iCs/>
          <w:sz w:val="16"/>
          <w:szCs w:val="16"/>
        </w:rPr>
        <w:t xml:space="preserve">Informe de la </w:t>
      </w:r>
      <w:r>
        <w:rPr>
          <w:rFonts w:ascii="Verdana" w:hAnsi="Verdana"/>
          <w:i/>
          <w:iCs/>
          <w:sz w:val="16"/>
          <w:szCs w:val="16"/>
        </w:rPr>
        <w:t>Reunión de Expertos sobre los P</w:t>
      </w:r>
      <w:r w:rsidRPr="00FF5F9A">
        <w:rPr>
          <w:rFonts w:ascii="Verdana" w:hAnsi="Verdana"/>
          <w:i/>
          <w:iCs/>
          <w:sz w:val="16"/>
          <w:szCs w:val="16"/>
        </w:rPr>
        <w:t xml:space="preserve">ueblos Indigenas y la Agenda 2030, </w:t>
      </w:r>
      <w:r w:rsidRPr="00FF5F9A">
        <w:rPr>
          <w:rFonts w:ascii="Verdana" w:hAnsi="Verdana"/>
          <w:sz w:val="16"/>
          <w:szCs w:val="16"/>
        </w:rPr>
        <w:t>E/C.19/2016/2, 18 de febrero de 2016, párr. 16.</w:t>
      </w:r>
      <w:r>
        <w:rPr>
          <w:sz w:val="20"/>
          <w:szCs w:val="20"/>
        </w:rPr>
        <w:t xml:space="preserve"> </w:t>
      </w:r>
    </w:p>
  </w:footnote>
  <w:footnote w:id="79">
    <w:p w14:paraId="49B4A409" w14:textId="73F192E1" w:rsidR="008E5B65" w:rsidRPr="00DE46B9" w:rsidRDefault="002275C3" w:rsidP="00975058">
      <w:pPr>
        <w:pStyle w:val="Textonotapie"/>
        <w:spacing w:after="120"/>
        <w:ind w:right="49"/>
        <w:rPr>
          <w:iCs/>
          <w:sz w:val="16"/>
          <w:szCs w:val="16"/>
          <w:lang w:val="es-MX" w:eastAsia="es-ES_tradnl"/>
        </w:rPr>
      </w:pPr>
      <w:r w:rsidRPr="00E77B2B">
        <w:rPr>
          <w:rStyle w:val="Refdenotaalpie"/>
          <w:sz w:val="16"/>
          <w:szCs w:val="16"/>
          <w:lang w:val="es-ES"/>
        </w:rPr>
        <w:footnoteRef/>
      </w:r>
      <w:r w:rsidRPr="00E77B2B">
        <w:rPr>
          <w:sz w:val="16"/>
          <w:szCs w:val="16"/>
          <w:lang w:val="es-ES"/>
        </w:rPr>
        <w:t xml:space="preserve"> </w:t>
      </w:r>
      <w:r>
        <w:rPr>
          <w:sz w:val="16"/>
          <w:szCs w:val="16"/>
          <w:lang w:val="es-ES"/>
        </w:rPr>
        <w:tab/>
      </w:r>
      <w:r w:rsidR="007D7026" w:rsidRPr="00EF21AB">
        <w:rPr>
          <w:i/>
          <w:iCs/>
          <w:sz w:val="16"/>
          <w:szCs w:val="16"/>
          <w:lang w:val="es-MX" w:eastAsia="es-ES_tradnl"/>
        </w:rPr>
        <w:t>Aplicación del Convenio sobre pueblos indígenas y tribales núm. 169 de la OIT: Hacia un futuro inclusivo, sostenible y justo</w:t>
      </w:r>
      <w:r w:rsidR="007D7026" w:rsidRPr="00F26EA5">
        <w:rPr>
          <w:i/>
          <w:iCs/>
          <w:sz w:val="16"/>
          <w:szCs w:val="16"/>
          <w:lang w:val="es-MX" w:eastAsia="es-ES_tradnl"/>
        </w:rPr>
        <w:t>,</w:t>
      </w:r>
      <w:r w:rsidR="007D7026">
        <w:rPr>
          <w:i/>
          <w:iCs/>
          <w:sz w:val="16"/>
          <w:szCs w:val="16"/>
          <w:lang w:val="es-MX" w:eastAsia="es-ES_tradnl"/>
        </w:rPr>
        <w:t xml:space="preserve"> </w:t>
      </w:r>
      <w:r w:rsidR="007D7026">
        <w:rPr>
          <w:iCs/>
          <w:sz w:val="16"/>
          <w:szCs w:val="16"/>
          <w:lang w:val="es-MX" w:eastAsia="es-ES_tradnl"/>
        </w:rPr>
        <w:t xml:space="preserve">Ginebra, 2019, p. 20. </w:t>
      </w:r>
      <w:r w:rsidR="00756E04">
        <w:rPr>
          <w:iCs/>
          <w:sz w:val="16"/>
          <w:szCs w:val="16"/>
          <w:lang w:val="es-MX" w:eastAsia="es-ES_tradnl"/>
        </w:rPr>
        <w:t xml:space="preserve">En dicho estudio se advierte la desigualdad e inequidad sociales que afrontan estos pueblos, a la luz de los desafíos sociales y ambientales actuales. </w:t>
      </w:r>
      <w:r w:rsidR="004A08D3">
        <w:rPr>
          <w:iCs/>
          <w:sz w:val="16"/>
          <w:szCs w:val="16"/>
          <w:lang w:val="es-MX" w:eastAsia="es-ES_tradnl"/>
        </w:rPr>
        <w:t>La ONU ha señalado haciendo referencia a este estudio, que “América Latina es la región del mundo con la mayor proporción de indígenas en la pobreza extrema</w:t>
      </w:r>
      <w:r w:rsidR="00A00A8A">
        <w:rPr>
          <w:iCs/>
          <w:sz w:val="16"/>
          <w:szCs w:val="16"/>
          <w:lang w:val="es-MX" w:eastAsia="es-ES_tradnl"/>
        </w:rPr>
        <w:t>”</w:t>
      </w:r>
      <w:r w:rsidR="004A08D3">
        <w:rPr>
          <w:iCs/>
          <w:sz w:val="16"/>
          <w:szCs w:val="16"/>
          <w:lang w:val="es-MX" w:eastAsia="es-ES_tradnl"/>
        </w:rPr>
        <w:t>, en el que los “grupos indígenas y tribales del mundo tienen tres veces más probabilidades de padecer pobreza extrema que otras comunidades y las mujeres se encuentran al fondo de todo</w:t>
      </w:r>
      <w:r w:rsidR="00A00A8A">
        <w:rPr>
          <w:iCs/>
          <w:sz w:val="16"/>
          <w:szCs w:val="16"/>
          <w:lang w:val="es-MX" w:eastAsia="es-ES_tradnl"/>
        </w:rPr>
        <w:t xml:space="preserve">s </w:t>
      </w:r>
      <w:r w:rsidR="004A08D3">
        <w:rPr>
          <w:iCs/>
          <w:sz w:val="16"/>
          <w:szCs w:val="16"/>
          <w:lang w:val="es-MX" w:eastAsia="es-ES_tradnl"/>
        </w:rPr>
        <w:t>los indicadores sociales y económicos. Un análisis por regiones señala a América Latina como el área donde esos pueblos sufren más el flagelo en relación con el total de la población”.</w:t>
      </w:r>
      <w:r w:rsidR="00A00A8A">
        <w:rPr>
          <w:iCs/>
          <w:sz w:val="16"/>
          <w:szCs w:val="16"/>
          <w:lang w:val="es-MX" w:eastAsia="es-ES_tradnl"/>
        </w:rPr>
        <w:t xml:space="preserve"> Véase ONU, </w:t>
      </w:r>
      <w:r w:rsidR="008E5B65">
        <w:rPr>
          <w:iCs/>
          <w:sz w:val="16"/>
          <w:szCs w:val="16"/>
          <w:lang w:val="es-MX" w:eastAsia="es-ES_tradnl"/>
        </w:rPr>
        <w:t>3 de febrero de 2020</w:t>
      </w:r>
      <w:r w:rsidR="008E5B65" w:rsidRPr="008044BD">
        <w:rPr>
          <w:iCs/>
          <w:sz w:val="16"/>
          <w:szCs w:val="16"/>
          <w:lang w:val="es-MX" w:eastAsia="es-ES_tradnl"/>
        </w:rPr>
        <w:t>:</w:t>
      </w:r>
      <w:r w:rsidR="00DE46B9">
        <w:rPr>
          <w:iCs/>
          <w:sz w:val="16"/>
          <w:szCs w:val="16"/>
          <w:lang w:val="es-MX" w:eastAsia="es-ES_tradnl"/>
        </w:rPr>
        <w:t xml:space="preserve"> </w:t>
      </w:r>
      <w:r w:rsidR="00DE46B9" w:rsidRPr="00DE46B9">
        <w:rPr>
          <w:iCs/>
          <w:sz w:val="16"/>
          <w:szCs w:val="16"/>
          <w:lang w:val="es-MX" w:eastAsia="es-ES_tradnl"/>
        </w:rPr>
        <w:t>https://news.un.org/es/story/2020/02/1468982</w:t>
      </w:r>
      <w:r w:rsidR="00DE46B9">
        <w:rPr>
          <w:iCs/>
          <w:sz w:val="16"/>
          <w:szCs w:val="16"/>
          <w:lang w:val="es-MX" w:eastAsia="es-ES_tradnl"/>
        </w:rPr>
        <w:t>.</w:t>
      </w:r>
    </w:p>
  </w:footnote>
  <w:footnote w:id="80">
    <w:p w14:paraId="0EDB5147" w14:textId="4CA9F93A" w:rsidR="002275C3" w:rsidRPr="00646A19" w:rsidRDefault="002275C3" w:rsidP="00F26EA5">
      <w:pPr>
        <w:pStyle w:val="Textonotapie"/>
        <w:spacing w:after="120"/>
        <w:ind w:right="49"/>
        <w:rPr>
          <w:sz w:val="16"/>
          <w:szCs w:val="16"/>
          <w:lang w:val="es-ES"/>
        </w:rPr>
      </w:pPr>
      <w:r w:rsidRPr="00E77B2B">
        <w:rPr>
          <w:rStyle w:val="Refdenotaalpie"/>
          <w:sz w:val="16"/>
          <w:szCs w:val="16"/>
          <w:lang w:val="es-ES"/>
        </w:rPr>
        <w:footnoteRef/>
      </w:r>
      <w:r w:rsidRPr="00E77B2B">
        <w:rPr>
          <w:sz w:val="16"/>
          <w:szCs w:val="16"/>
          <w:lang w:val="es-ES"/>
        </w:rPr>
        <w:t xml:space="preserve"> </w:t>
      </w:r>
      <w:r>
        <w:rPr>
          <w:sz w:val="16"/>
          <w:szCs w:val="16"/>
          <w:lang w:val="es-ES"/>
        </w:rPr>
        <w:tab/>
        <w:t xml:space="preserve">Como se reconoce en el </w:t>
      </w:r>
      <w:r w:rsidRPr="00F26EA5">
        <w:rPr>
          <w:i/>
          <w:sz w:val="16"/>
          <w:szCs w:val="16"/>
          <w:lang w:val="es-ES"/>
        </w:rPr>
        <w:t>Pre</w:t>
      </w:r>
      <w:r>
        <w:rPr>
          <w:i/>
          <w:sz w:val="16"/>
          <w:szCs w:val="16"/>
          <w:lang w:val="es-ES"/>
        </w:rPr>
        <w:t>ámbulo</w:t>
      </w:r>
      <w:r>
        <w:rPr>
          <w:sz w:val="16"/>
          <w:szCs w:val="16"/>
          <w:lang w:val="es-ES"/>
        </w:rPr>
        <w:t xml:space="preserve"> de la </w:t>
      </w:r>
      <w:r w:rsidRPr="001029C3">
        <w:rPr>
          <w:i/>
          <w:sz w:val="16"/>
          <w:szCs w:val="16"/>
          <w:lang w:val="es-ES"/>
        </w:rPr>
        <w:t>Declaración Americana sobre los Derechos de los Pueblos Indígenas</w:t>
      </w:r>
      <w:r>
        <w:rPr>
          <w:sz w:val="16"/>
          <w:szCs w:val="16"/>
          <w:lang w:val="es-ES"/>
        </w:rPr>
        <w:t xml:space="preserve">, motivo de negociaciones por casi dos décadas, los Estados del continente expresan su preocupación “por el hecho de que los pueblos indígenas han sufrido </w:t>
      </w:r>
      <w:r w:rsidRPr="00F82E34">
        <w:rPr>
          <w:i/>
          <w:sz w:val="16"/>
          <w:szCs w:val="16"/>
          <w:lang w:val="es-ES"/>
        </w:rPr>
        <w:t>injusticias históricas</w:t>
      </w:r>
      <w:r>
        <w:rPr>
          <w:sz w:val="16"/>
          <w:szCs w:val="16"/>
          <w:lang w:val="es-ES"/>
        </w:rPr>
        <w:t xml:space="preserve"> como resultado, entre otras cosas, de la colonización y de haber sido desposeídos </w:t>
      </w:r>
      <w:r w:rsidRPr="00853976">
        <w:rPr>
          <w:i/>
          <w:sz w:val="16"/>
          <w:szCs w:val="16"/>
          <w:lang w:val="es-ES"/>
        </w:rPr>
        <w:t>de sus tierras, territorios y recursos</w:t>
      </w:r>
      <w:r>
        <w:rPr>
          <w:sz w:val="16"/>
          <w:szCs w:val="16"/>
          <w:lang w:val="es-ES"/>
        </w:rPr>
        <w:t xml:space="preserve">, lo que les ha impedido ejercer, en particular, su derecho al desarrollo de conformidad con sus propias necesidades e intereses”; y por ello reconocen la “urgente necesidad de respetar y promover los derechos intrínsecos de los pueblos indígenas, que derivan de sus estructuras políticas, económicas y sociales y de sus culturas, de sus tradiciones espirituales, de su historia y de su filosofía, </w:t>
      </w:r>
      <w:r w:rsidRPr="00853976">
        <w:rPr>
          <w:i/>
          <w:sz w:val="16"/>
          <w:szCs w:val="16"/>
          <w:lang w:val="es-ES"/>
        </w:rPr>
        <w:t>especialmente los derechos a sus tierras, territorios y recursos</w:t>
      </w:r>
      <w:r>
        <w:rPr>
          <w:sz w:val="16"/>
          <w:szCs w:val="16"/>
          <w:lang w:val="es-ES"/>
        </w:rPr>
        <w:t xml:space="preserve">”. </w:t>
      </w:r>
      <w:r w:rsidRPr="006C7D6D">
        <w:rPr>
          <w:i/>
          <w:sz w:val="16"/>
          <w:szCs w:val="16"/>
          <w:lang w:val="es-ES"/>
        </w:rPr>
        <w:t>Preámbulo de la Declaración Americana sobre los Derechos de los Pueblos Indígenas</w:t>
      </w:r>
      <w:r>
        <w:rPr>
          <w:sz w:val="16"/>
          <w:szCs w:val="16"/>
          <w:lang w:val="es-ES"/>
        </w:rPr>
        <w:t xml:space="preserve">, aprobada en la segunda sesión plenaria de la Asamblea General de la OEA, celebrada el 14 de junio de 2016.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26DC1"/>
    <w:multiLevelType w:val="hybridMultilevel"/>
    <w:tmpl w:val="0C823334"/>
    <w:lvl w:ilvl="0" w:tplc="040A000F">
      <w:start w:val="24"/>
      <w:numFmt w:val="decimal"/>
      <w:lvlText w:val="%1."/>
      <w:lvlJc w:val="left"/>
      <w:pPr>
        <w:ind w:left="1068"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1" w15:restartNumberingAfterBreak="0">
    <w:nsid w:val="01223149"/>
    <w:multiLevelType w:val="multilevel"/>
    <w:tmpl w:val="EF7870A4"/>
    <w:lvl w:ilvl="0">
      <w:start w:val="30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1217B0"/>
    <w:multiLevelType w:val="hybridMultilevel"/>
    <w:tmpl w:val="E42601E6"/>
    <w:lvl w:ilvl="0" w:tplc="040A000F">
      <w:start w:val="58"/>
      <w:numFmt w:val="decimal"/>
      <w:lvlText w:val="%1."/>
      <w:lvlJc w:val="left"/>
      <w:pPr>
        <w:ind w:left="1068"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3" w15:restartNumberingAfterBreak="0">
    <w:nsid w:val="02D6024A"/>
    <w:multiLevelType w:val="hybridMultilevel"/>
    <w:tmpl w:val="72604622"/>
    <w:lvl w:ilvl="0" w:tplc="0046F4D0">
      <w:start w:val="263"/>
      <w:numFmt w:val="decimal"/>
      <w:lvlText w:val="%1."/>
      <w:lvlJc w:val="left"/>
      <w:pPr>
        <w:ind w:left="820" w:hanging="460"/>
      </w:pPr>
      <w:rPr>
        <w:rFonts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3E17B53"/>
    <w:multiLevelType w:val="hybridMultilevel"/>
    <w:tmpl w:val="5E182554"/>
    <w:lvl w:ilvl="0" w:tplc="D27ED4C6">
      <w:start w:val="1"/>
      <w:numFmt w:val="decimal"/>
      <w:lvlText w:val="%1."/>
      <w:lvlJc w:val="left"/>
      <w:pPr>
        <w:ind w:left="8866" w:hanging="360"/>
      </w:pPr>
      <w:rPr>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42B2414"/>
    <w:multiLevelType w:val="hybridMultilevel"/>
    <w:tmpl w:val="B24CB7D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D67606E"/>
    <w:multiLevelType w:val="hybridMultilevel"/>
    <w:tmpl w:val="9584560A"/>
    <w:lvl w:ilvl="0" w:tplc="2702E006">
      <w:start w:val="1"/>
      <w:numFmt w:val="decimal"/>
      <w:lvlText w:val="%1."/>
      <w:lvlJc w:val="left"/>
      <w:pPr>
        <w:ind w:left="720" w:hanging="360"/>
      </w:pPr>
      <w:rPr>
        <w:rFonts w:ascii="Verdana" w:eastAsia="Times New Roman" w:hAnsi="Verdana" w:hint="default"/>
        <w:sz w:val="20"/>
        <w:szCs w:val="2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10D16440"/>
    <w:multiLevelType w:val="hybridMultilevel"/>
    <w:tmpl w:val="97482F86"/>
    <w:lvl w:ilvl="0" w:tplc="32AE838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EF00405"/>
    <w:multiLevelType w:val="hybridMultilevel"/>
    <w:tmpl w:val="53DA5C30"/>
    <w:lvl w:ilvl="0" w:tplc="0980AE3A">
      <w:start w:val="153"/>
      <w:numFmt w:val="decimal"/>
      <w:lvlText w:val="%1."/>
      <w:lvlJc w:val="left"/>
      <w:pPr>
        <w:ind w:left="1168" w:hanging="4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21C12824"/>
    <w:multiLevelType w:val="hybridMultilevel"/>
    <w:tmpl w:val="44CEF5CC"/>
    <w:lvl w:ilvl="0" w:tplc="040A000F">
      <w:start w:val="55"/>
      <w:numFmt w:val="decimal"/>
      <w:lvlText w:val="%1."/>
      <w:lvlJc w:val="left"/>
      <w:pPr>
        <w:ind w:left="720" w:hanging="36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226F3767"/>
    <w:multiLevelType w:val="hybridMultilevel"/>
    <w:tmpl w:val="0076E726"/>
    <w:lvl w:ilvl="0" w:tplc="2E1AEAA2">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22C222E3"/>
    <w:multiLevelType w:val="hybridMultilevel"/>
    <w:tmpl w:val="5AE8FEC0"/>
    <w:lvl w:ilvl="0" w:tplc="18C0F108">
      <w:start w:val="3"/>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25DA5C37"/>
    <w:multiLevelType w:val="hybridMultilevel"/>
    <w:tmpl w:val="6310D942"/>
    <w:lvl w:ilvl="0" w:tplc="080A000F">
      <w:start w:val="7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6287868"/>
    <w:multiLevelType w:val="hybridMultilevel"/>
    <w:tmpl w:val="0EDE9FDE"/>
    <w:lvl w:ilvl="0" w:tplc="3C946B5E">
      <w:start w:val="165"/>
      <w:numFmt w:val="decimal"/>
      <w:lvlText w:val="%1."/>
      <w:lvlJc w:val="left"/>
      <w:pPr>
        <w:ind w:left="644" w:hanging="360"/>
      </w:pPr>
      <w:rPr>
        <w:rFonts w:hint="default"/>
        <w:i w:val="0"/>
        <w:sz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2CAA41E2"/>
    <w:multiLevelType w:val="hybridMultilevel"/>
    <w:tmpl w:val="8FEA9C12"/>
    <w:lvl w:ilvl="0" w:tplc="DEF04178">
      <w:start w:val="153"/>
      <w:numFmt w:val="decimal"/>
      <w:lvlText w:val="%1."/>
      <w:lvlJc w:val="left"/>
      <w:pPr>
        <w:ind w:left="1168" w:hanging="460"/>
      </w:pPr>
      <w:rPr>
        <w:rFonts w:hint="default"/>
        <w:b w:val="0"/>
        <w:bCs w:val="0"/>
        <w:sz w:val="16"/>
        <w:szCs w:val="16"/>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313E49D9"/>
    <w:multiLevelType w:val="hybridMultilevel"/>
    <w:tmpl w:val="7870DC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13F6CD7"/>
    <w:multiLevelType w:val="hybridMultilevel"/>
    <w:tmpl w:val="AAC0F7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5A37441"/>
    <w:multiLevelType w:val="hybridMultilevel"/>
    <w:tmpl w:val="7D80F812"/>
    <w:lvl w:ilvl="0" w:tplc="60609B66">
      <w:start w:val="1"/>
      <w:numFmt w:val="decimal"/>
      <w:lvlText w:val="%1."/>
      <w:lvlJc w:val="left"/>
      <w:pPr>
        <w:ind w:left="720" w:hanging="360"/>
      </w:pPr>
      <w:rPr>
        <w:rFonts w:hint="default"/>
        <w:b w:val="0"/>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3ABA227D"/>
    <w:multiLevelType w:val="hybridMultilevel"/>
    <w:tmpl w:val="51A80E30"/>
    <w:lvl w:ilvl="0" w:tplc="D1927DCA">
      <w:start w:val="15"/>
      <w:numFmt w:val="bullet"/>
      <w:lvlText w:val="-"/>
      <w:lvlJc w:val="left"/>
      <w:pPr>
        <w:ind w:left="1080" w:hanging="360"/>
      </w:pPr>
      <w:rPr>
        <w:rFonts w:ascii="Calibri" w:eastAsiaTheme="minorHAnsi" w:hAnsi="Calibri" w:cs="Calibri"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9" w15:restartNumberingAfterBreak="0">
    <w:nsid w:val="410807AD"/>
    <w:multiLevelType w:val="hybridMultilevel"/>
    <w:tmpl w:val="8BEECCDC"/>
    <w:lvl w:ilvl="0" w:tplc="C4302284">
      <w:start w:val="1"/>
      <w:numFmt w:val="lowerLetter"/>
      <w:lvlText w:val="%1)"/>
      <w:lvlJc w:val="left"/>
      <w:pPr>
        <w:ind w:left="2345" w:hanging="36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20" w15:restartNumberingAfterBreak="0">
    <w:nsid w:val="449E2622"/>
    <w:multiLevelType w:val="hybridMultilevel"/>
    <w:tmpl w:val="2CA0453C"/>
    <w:lvl w:ilvl="0" w:tplc="140A000F">
      <w:start w:val="1"/>
      <w:numFmt w:val="decimal"/>
      <w:lvlText w:val="%1."/>
      <w:lvlJc w:val="left"/>
      <w:pPr>
        <w:ind w:left="6173"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464211D1"/>
    <w:multiLevelType w:val="hybridMultilevel"/>
    <w:tmpl w:val="0030AD70"/>
    <w:lvl w:ilvl="0" w:tplc="89727236">
      <w:start w:val="7"/>
      <w:numFmt w:val="decimal"/>
      <w:lvlText w:val="%1"/>
      <w:lvlJc w:val="left"/>
      <w:pPr>
        <w:ind w:left="720" w:hanging="36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529F632A"/>
    <w:multiLevelType w:val="multilevel"/>
    <w:tmpl w:val="248ED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4FB7031"/>
    <w:multiLevelType w:val="multilevel"/>
    <w:tmpl w:val="A6164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5751F03"/>
    <w:multiLevelType w:val="hybridMultilevel"/>
    <w:tmpl w:val="841EDEAA"/>
    <w:lvl w:ilvl="0" w:tplc="080A0017">
      <w:start w:val="1"/>
      <w:numFmt w:val="lowerLetter"/>
      <w:lvlText w:val="%1)"/>
      <w:lvlJc w:val="left"/>
      <w:pPr>
        <w:ind w:left="1070" w:hanging="360"/>
      </w:pPr>
      <w:rPr>
        <w:rFonts w:hint="default"/>
      </w:rPr>
    </w:lvl>
    <w:lvl w:ilvl="1" w:tplc="080A0019">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25" w15:restartNumberingAfterBreak="0">
    <w:nsid w:val="5A165296"/>
    <w:multiLevelType w:val="multilevel"/>
    <w:tmpl w:val="0FF23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B2D1E7E"/>
    <w:multiLevelType w:val="hybridMultilevel"/>
    <w:tmpl w:val="C32C1CD2"/>
    <w:lvl w:ilvl="0" w:tplc="6BDEA1B2">
      <w:start w:val="285"/>
      <w:numFmt w:val="decimal"/>
      <w:lvlText w:val="%1."/>
      <w:lvlJc w:val="left"/>
      <w:pPr>
        <w:ind w:left="1528" w:hanging="460"/>
      </w:pPr>
      <w:rPr>
        <w:rFonts w:cstheme="minorBidi"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7" w15:restartNumberingAfterBreak="0">
    <w:nsid w:val="5EED05A5"/>
    <w:multiLevelType w:val="hybridMultilevel"/>
    <w:tmpl w:val="2146BF5A"/>
    <w:lvl w:ilvl="0" w:tplc="040A000F">
      <w:start w:val="25"/>
      <w:numFmt w:val="decimal"/>
      <w:lvlText w:val="%1."/>
      <w:lvlJc w:val="left"/>
      <w:pPr>
        <w:ind w:left="1068"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28" w15:restartNumberingAfterBreak="0">
    <w:nsid w:val="5FBC0168"/>
    <w:multiLevelType w:val="hybridMultilevel"/>
    <w:tmpl w:val="D6145DEC"/>
    <w:lvl w:ilvl="0" w:tplc="63EE2668">
      <w:start w:val="253"/>
      <w:numFmt w:val="decimal"/>
      <w:lvlText w:val="%1."/>
      <w:lvlJc w:val="left"/>
      <w:pPr>
        <w:ind w:left="820" w:hanging="4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1913912"/>
    <w:multiLevelType w:val="hybridMultilevel"/>
    <w:tmpl w:val="D21AE0E8"/>
    <w:lvl w:ilvl="0" w:tplc="040A000F">
      <w:start w:val="26"/>
      <w:numFmt w:val="decimal"/>
      <w:lvlText w:val="%1."/>
      <w:lvlJc w:val="left"/>
      <w:pPr>
        <w:ind w:left="1068"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30" w15:restartNumberingAfterBreak="0">
    <w:nsid w:val="6C3D3B1B"/>
    <w:multiLevelType w:val="hybridMultilevel"/>
    <w:tmpl w:val="F782B6A6"/>
    <w:lvl w:ilvl="0" w:tplc="7DD85916">
      <w:start w:val="1"/>
      <w:numFmt w:val="decimal"/>
      <w:lvlText w:val="%1."/>
      <w:lvlJc w:val="left"/>
      <w:pPr>
        <w:ind w:left="720" w:hanging="360"/>
      </w:pPr>
      <w:rPr>
        <w:rFonts w:ascii="Verdana" w:hAnsi="Verdana"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F10018B"/>
    <w:multiLevelType w:val="hybridMultilevel"/>
    <w:tmpl w:val="1C1CAFD6"/>
    <w:lvl w:ilvl="0" w:tplc="2228C80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2" w15:restartNumberingAfterBreak="0">
    <w:nsid w:val="72B13BDC"/>
    <w:multiLevelType w:val="hybridMultilevel"/>
    <w:tmpl w:val="64A6C2DE"/>
    <w:lvl w:ilvl="0" w:tplc="06A89F6E">
      <w:start w:val="97"/>
      <w:numFmt w:val="decimal"/>
      <w:lvlText w:val="%1."/>
      <w:lvlJc w:val="left"/>
      <w:pPr>
        <w:ind w:left="1428" w:hanging="360"/>
      </w:pPr>
      <w:rPr>
        <w:rFonts w:ascii="Verdana" w:hAnsi="Verdana" w:hint="default"/>
        <w:b w:val="0"/>
        <w:i w:val="0"/>
        <w:strike w:val="0"/>
        <w:sz w:val="20"/>
        <w:szCs w:val="20"/>
      </w:rPr>
    </w:lvl>
    <w:lvl w:ilvl="1" w:tplc="140A0019" w:tentative="1">
      <w:start w:val="1"/>
      <w:numFmt w:val="lowerLetter"/>
      <w:lvlText w:val="%2."/>
      <w:lvlJc w:val="left"/>
      <w:pPr>
        <w:ind w:left="2148" w:hanging="360"/>
      </w:pPr>
    </w:lvl>
    <w:lvl w:ilvl="2" w:tplc="140A001B" w:tentative="1">
      <w:start w:val="1"/>
      <w:numFmt w:val="lowerRoman"/>
      <w:lvlText w:val="%3."/>
      <w:lvlJc w:val="right"/>
      <w:pPr>
        <w:ind w:left="2868" w:hanging="180"/>
      </w:pPr>
    </w:lvl>
    <w:lvl w:ilvl="3" w:tplc="140A000F" w:tentative="1">
      <w:start w:val="1"/>
      <w:numFmt w:val="decimal"/>
      <w:lvlText w:val="%4."/>
      <w:lvlJc w:val="left"/>
      <w:pPr>
        <w:ind w:left="3588" w:hanging="360"/>
      </w:pPr>
    </w:lvl>
    <w:lvl w:ilvl="4" w:tplc="140A0019" w:tentative="1">
      <w:start w:val="1"/>
      <w:numFmt w:val="lowerLetter"/>
      <w:lvlText w:val="%5."/>
      <w:lvlJc w:val="left"/>
      <w:pPr>
        <w:ind w:left="4308" w:hanging="360"/>
      </w:pPr>
    </w:lvl>
    <w:lvl w:ilvl="5" w:tplc="140A001B" w:tentative="1">
      <w:start w:val="1"/>
      <w:numFmt w:val="lowerRoman"/>
      <w:lvlText w:val="%6."/>
      <w:lvlJc w:val="right"/>
      <w:pPr>
        <w:ind w:left="5028" w:hanging="180"/>
      </w:pPr>
    </w:lvl>
    <w:lvl w:ilvl="6" w:tplc="140A000F" w:tentative="1">
      <w:start w:val="1"/>
      <w:numFmt w:val="decimal"/>
      <w:lvlText w:val="%7."/>
      <w:lvlJc w:val="left"/>
      <w:pPr>
        <w:ind w:left="5748" w:hanging="360"/>
      </w:pPr>
    </w:lvl>
    <w:lvl w:ilvl="7" w:tplc="140A0019" w:tentative="1">
      <w:start w:val="1"/>
      <w:numFmt w:val="lowerLetter"/>
      <w:lvlText w:val="%8."/>
      <w:lvlJc w:val="left"/>
      <w:pPr>
        <w:ind w:left="6468" w:hanging="360"/>
      </w:pPr>
    </w:lvl>
    <w:lvl w:ilvl="8" w:tplc="140A001B" w:tentative="1">
      <w:start w:val="1"/>
      <w:numFmt w:val="lowerRoman"/>
      <w:lvlText w:val="%9."/>
      <w:lvlJc w:val="right"/>
      <w:pPr>
        <w:ind w:left="7188" w:hanging="180"/>
      </w:pPr>
    </w:lvl>
  </w:abstractNum>
  <w:abstractNum w:abstractNumId="33" w15:restartNumberingAfterBreak="0">
    <w:nsid w:val="72BE4000"/>
    <w:multiLevelType w:val="multilevel"/>
    <w:tmpl w:val="DD3A8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04523B"/>
    <w:multiLevelType w:val="hybridMultilevel"/>
    <w:tmpl w:val="2C9A6CC0"/>
    <w:lvl w:ilvl="0" w:tplc="040A000F">
      <w:start w:val="23"/>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5" w15:restartNumberingAfterBreak="0">
    <w:nsid w:val="7ACF196B"/>
    <w:multiLevelType w:val="hybridMultilevel"/>
    <w:tmpl w:val="BF5CA61A"/>
    <w:lvl w:ilvl="0" w:tplc="9D2291AA">
      <w:start w:val="285"/>
      <w:numFmt w:val="decimal"/>
      <w:lvlText w:val="%1."/>
      <w:lvlJc w:val="left"/>
      <w:pPr>
        <w:ind w:left="820" w:hanging="460"/>
      </w:pPr>
      <w:rPr>
        <w:rFonts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2"/>
  </w:num>
  <w:num w:numId="2">
    <w:abstractNumId w:val="8"/>
  </w:num>
  <w:num w:numId="3">
    <w:abstractNumId w:val="14"/>
  </w:num>
  <w:num w:numId="4">
    <w:abstractNumId w:val="13"/>
  </w:num>
  <w:num w:numId="5">
    <w:abstractNumId w:val="28"/>
  </w:num>
  <w:num w:numId="6">
    <w:abstractNumId w:val="3"/>
  </w:num>
  <w:num w:numId="7">
    <w:abstractNumId w:val="19"/>
  </w:num>
  <w:num w:numId="8">
    <w:abstractNumId w:val="26"/>
  </w:num>
  <w:num w:numId="9">
    <w:abstractNumId w:val="35"/>
  </w:num>
  <w:num w:numId="10">
    <w:abstractNumId w:val="20"/>
  </w:num>
  <w:num w:numId="11">
    <w:abstractNumId w:val="12"/>
  </w:num>
  <w:num w:numId="12">
    <w:abstractNumId w:val="31"/>
  </w:num>
  <w:num w:numId="13">
    <w:abstractNumId w:val="24"/>
  </w:num>
  <w:num w:numId="14">
    <w:abstractNumId w:val="30"/>
  </w:num>
  <w:num w:numId="15">
    <w:abstractNumId w:val="16"/>
  </w:num>
  <w:num w:numId="16">
    <w:abstractNumId w:val="4"/>
  </w:num>
  <w:num w:numId="17">
    <w:abstractNumId w:val="33"/>
  </w:num>
  <w:num w:numId="18">
    <w:abstractNumId w:val="15"/>
  </w:num>
  <w:num w:numId="19">
    <w:abstractNumId w:val="1"/>
  </w:num>
  <w:num w:numId="20">
    <w:abstractNumId w:val="7"/>
  </w:num>
  <w:num w:numId="21">
    <w:abstractNumId w:val="5"/>
  </w:num>
  <w:num w:numId="22">
    <w:abstractNumId w:val="10"/>
  </w:num>
  <w:num w:numId="23">
    <w:abstractNumId w:val="11"/>
  </w:num>
  <w:num w:numId="24">
    <w:abstractNumId w:val="9"/>
  </w:num>
  <w:num w:numId="25">
    <w:abstractNumId w:val="21"/>
  </w:num>
  <w:num w:numId="26">
    <w:abstractNumId w:val="6"/>
  </w:num>
  <w:num w:numId="27">
    <w:abstractNumId w:val="17"/>
  </w:num>
  <w:num w:numId="28">
    <w:abstractNumId w:val="34"/>
  </w:num>
  <w:num w:numId="29">
    <w:abstractNumId w:val="0"/>
  </w:num>
  <w:num w:numId="30">
    <w:abstractNumId w:val="27"/>
  </w:num>
  <w:num w:numId="31">
    <w:abstractNumId w:val="29"/>
  </w:num>
  <w:num w:numId="32">
    <w:abstractNumId w:val="18"/>
  </w:num>
  <w:num w:numId="33">
    <w:abstractNumId w:val="2"/>
  </w:num>
  <w:num w:numId="34">
    <w:abstractNumId w:val="25"/>
  </w:num>
  <w:num w:numId="35">
    <w:abstractNumId w:val="22"/>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8F6"/>
    <w:rsid w:val="0000396A"/>
    <w:rsid w:val="00012FD0"/>
    <w:rsid w:val="00016BB2"/>
    <w:rsid w:val="00016D11"/>
    <w:rsid w:val="00017377"/>
    <w:rsid w:val="00024048"/>
    <w:rsid w:val="00024A21"/>
    <w:rsid w:val="00025BDE"/>
    <w:rsid w:val="00031292"/>
    <w:rsid w:val="00034B15"/>
    <w:rsid w:val="00037FA6"/>
    <w:rsid w:val="000451BF"/>
    <w:rsid w:val="00054F95"/>
    <w:rsid w:val="00060988"/>
    <w:rsid w:val="00063061"/>
    <w:rsid w:val="000647BE"/>
    <w:rsid w:val="00067C7E"/>
    <w:rsid w:val="00070E06"/>
    <w:rsid w:val="0007289D"/>
    <w:rsid w:val="00073DC3"/>
    <w:rsid w:val="0008065C"/>
    <w:rsid w:val="00081A38"/>
    <w:rsid w:val="000832E4"/>
    <w:rsid w:val="000851B8"/>
    <w:rsid w:val="00094E62"/>
    <w:rsid w:val="000A0DAB"/>
    <w:rsid w:val="000A4C41"/>
    <w:rsid w:val="000A7E08"/>
    <w:rsid w:val="000B02AE"/>
    <w:rsid w:val="000B1BBD"/>
    <w:rsid w:val="000B583F"/>
    <w:rsid w:val="000C28E9"/>
    <w:rsid w:val="000C448B"/>
    <w:rsid w:val="000D7406"/>
    <w:rsid w:val="000E0AA0"/>
    <w:rsid w:val="000E6743"/>
    <w:rsid w:val="000E6B70"/>
    <w:rsid w:val="000E71C9"/>
    <w:rsid w:val="000F02FE"/>
    <w:rsid w:val="000F1B6B"/>
    <w:rsid w:val="000F1B79"/>
    <w:rsid w:val="000F4A00"/>
    <w:rsid w:val="000F724C"/>
    <w:rsid w:val="001029C3"/>
    <w:rsid w:val="00106139"/>
    <w:rsid w:val="00106C24"/>
    <w:rsid w:val="00110A4B"/>
    <w:rsid w:val="00123DC4"/>
    <w:rsid w:val="0012530E"/>
    <w:rsid w:val="00135173"/>
    <w:rsid w:val="00146A29"/>
    <w:rsid w:val="00156510"/>
    <w:rsid w:val="001646DB"/>
    <w:rsid w:val="001706A1"/>
    <w:rsid w:val="001730F2"/>
    <w:rsid w:val="00176175"/>
    <w:rsid w:val="00176DB0"/>
    <w:rsid w:val="00181855"/>
    <w:rsid w:val="0018590D"/>
    <w:rsid w:val="001865F1"/>
    <w:rsid w:val="0019729B"/>
    <w:rsid w:val="001A643D"/>
    <w:rsid w:val="001C0480"/>
    <w:rsid w:val="001C05E8"/>
    <w:rsid w:val="001C31B3"/>
    <w:rsid w:val="001C424B"/>
    <w:rsid w:val="001D02A1"/>
    <w:rsid w:val="001E5FF3"/>
    <w:rsid w:val="001F4F37"/>
    <w:rsid w:val="001F6A51"/>
    <w:rsid w:val="001F742D"/>
    <w:rsid w:val="002005C5"/>
    <w:rsid w:val="002061F9"/>
    <w:rsid w:val="00220700"/>
    <w:rsid w:val="00222ECF"/>
    <w:rsid w:val="002275C3"/>
    <w:rsid w:val="00227E83"/>
    <w:rsid w:val="002336D3"/>
    <w:rsid w:val="00234EF1"/>
    <w:rsid w:val="002364A5"/>
    <w:rsid w:val="00244543"/>
    <w:rsid w:val="00244B0D"/>
    <w:rsid w:val="00251860"/>
    <w:rsid w:val="00251DBF"/>
    <w:rsid w:val="00261E9B"/>
    <w:rsid w:val="00267F70"/>
    <w:rsid w:val="002770B5"/>
    <w:rsid w:val="0028244B"/>
    <w:rsid w:val="00284555"/>
    <w:rsid w:val="002867D1"/>
    <w:rsid w:val="00287479"/>
    <w:rsid w:val="00290D50"/>
    <w:rsid w:val="002A768B"/>
    <w:rsid w:val="002B21BB"/>
    <w:rsid w:val="002C5C04"/>
    <w:rsid w:val="002C7FBA"/>
    <w:rsid w:val="002D4930"/>
    <w:rsid w:val="002D4992"/>
    <w:rsid w:val="002D50C6"/>
    <w:rsid w:val="002E4BC5"/>
    <w:rsid w:val="002E704B"/>
    <w:rsid w:val="002F0D21"/>
    <w:rsid w:val="002F1962"/>
    <w:rsid w:val="003047BC"/>
    <w:rsid w:val="00313D6F"/>
    <w:rsid w:val="003172B8"/>
    <w:rsid w:val="00322261"/>
    <w:rsid w:val="00323991"/>
    <w:rsid w:val="00336A99"/>
    <w:rsid w:val="00340041"/>
    <w:rsid w:val="00341224"/>
    <w:rsid w:val="003648F3"/>
    <w:rsid w:val="0036753C"/>
    <w:rsid w:val="003677A9"/>
    <w:rsid w:val="00373267"/>
    <w:rsid w:val="0038535F"/>
    <w:rsid w:val="003872CA"/>
    <w:rsid w:val="00397F1E"/>
    <w:rsid w:val="003A0671"/>
    <w:rsid w:val="003C2A1F"/>
    <w:rsid w:val="003C4160"/>
    <w:rsid w:val="003C4E06"/>
    <w:rsid w:val="003C6321"/>
    <w:rsid w:val="003D241A"/>
    <w:rsid w:val="003D3DB7"/>
    <w:rsid w:val="003E4A26"/>
    <w:rsid w:val="003E570E"/>
    <w:rsid w:val="003E6056"/>
    <w:rsid w:val="004103FB"/>
    <w:rsid w:val="004221EC"/>
    <w:rsid w:val="004311DF"/>
    <w:rsid w:val="004356A9"/>
    <w:rsid w:val="00446E4A"/>
    <w:rsid w:val="00450877"/>
    <w:rsid w:val="00451949"/>
    <w:rsid w:val="00457AC3"/>
    <w:rsid w:val="004617F4"/>
    <w:rsid w:val="004646DA"/>
    <w:rsid w:val="00473B43"/>
    <w:rsid w:val="00474CBF"/>
    <w:rsid w:val="00483578"/>
    <w:rsid w:val="00486F8E"/>
    <w:rsid w:val="00497DE8"/>
    <w:rsid w:val="004A08D3"/>
    <w:rsid w:val="004A12ED"/>
    <w:rsid w:val="004D004E"/>
    <w:rsid w:val="004D10DC"/>
    <w:rsid w:val="004D17B8"/>
    <w:rsid w:val="004D26A0"/>
    <w:rsid w:val="004D554D"/>
    <w:rsid w:val="004D6A89"/>
    <w:rsid w:val="004E5D82"/>
    <w:rsid w:val="004E5E2D"/>
    <w:rsid w:val="004F1B5D"/>
    <w:rsid w:val="00500C59"/>
    <w:rsid w:val="00502A82"/>
    <w:rsid w:val="00505CB9"/>
    <w:rsid w:val="00526FB9"/>
    <w:rsid w:val="0052710F"/>
    <w:rsid w:val="0053180C"/>
    <w:rsid w:val="0054037B"/>
    <w:rsid w:val="00540896"/>
    <w:rsid w:val="00541E25"/>
    <w:rsid w:val="00543E7E"/>
    <w:rsid w:val="005506F6"/>
    <w:rsid w:val="005550A7"/>
    <w:rsid w:val="00555643"/>
    <w:rsid w:val="00565A66"/>
    <w:rsid w:val="00566505"/>
    <w:rsid w:val="00570C96"/>
    <w:rsid w:val="00571235"/>
    <w:rsid w:val="0057508B"/>
    <w:rsid w:val="0057635E"/>
    <w:rsid w:val="0057714A"/>
    <w:rsid w:val="00580E12"/>
    <w:rsid w:val="0058240E"/>
    <w:rsid w:val="0058530A"/>
    <w:rsid w:val="00585D3D"/>
    <w:rsid w:val="005866CE"/>
    <w:rsid w:val="00590F51"/>
    <w:rsid w:val="0059358E"/>
    <w:rsid w:val="005A202B"/>
    <w:rsid w:val="005A3A3D"/>
    <w:rsid w:val="005A728D"/>
    <w:rsid w:val="005B1DB4"/>
    <w:rsid w:val="005C34A2"/>
    <w:rsid w:val="005C3DDF"/>
    <w:rsid w:val="005C7C65"/>
    <w:rsid w:val="005D034B"/>
    <w:rsid w:val="005D2FC6"/>
    <w:rsid w:val="005D6691"/>
    <w:rsid w:val="005D672B"/>
    <w:rsid w:val="005D672D"/>
    <w:rsid w:val="005F7342"/>
    <w:rsid w:val="00604CA1"/>
    <w:rsid w:val="00615D71"/>
    <w:rsid w:val="00616CE5"/>
    <w:rsid w:val="00621AEB"/>
    <w:rsid w:val="006236FE"/>
    <w:rsid w:val="00626E98"/>
    <w:rsid w:val="00627E43"/>
    <w:rsid w:val="00634D6B"/>
    <w:rsid w:val="006356DE"/>
    <w:rsid w:val="006403F0"/>
    <w:rsid w:val="00642D42"/>
    <w:rsid w:val="00646A19"/>
    <w:rsid w:val="00647D3F"/>
    <w:rsid w:val="00653CF5"/>
    <w:rsid w:val="006555F6"/>
    <w:rsid w:val="00656C16"/>
    <w:rsid w:val="006656DF"/>
    <w:rsid w:val="00666F50"/>
    <w:rsid w:val="006759AC"/>
    <w:rsid w:val="00685548"/>
    <w:rsid w:val="0068624C"/>
    <w:rsid w:val="006863AC"/>
    <w:rsid w:val="00690591"/>
    <w:rsid w:val="006905DA"/>
    <w:rsid w:val="0069142C"/>
    <w:rsid w:val="00692113"/>
    <w:rsid w:val="00694A68"/>
    <w:rsid w:val="006A7021"/>
    <w:rsid w:val="006A7E31"/>
    <w:rsid w:val="006B2688"/>
    <w:rsid w:val="006B5CB6"/>
    <w:rsid w:val="006B7CDF"/>
    <w:rsid w:val="006C0ECE"/>
    <w:rsid w:val="006C2C57"/>
    <w:rsid w:val="006C3354"/>
    <w:rsid w:val="006C50F3"/>
    <w:rsid w:val="006C611F"/>
    <w:rsid w:val="006C7D6D"/>
    <w:rsid w:val="006D43CC"/>
    <w:rsid w:val="006D7B46"/>
    <w:rsid w:val="006E0DA7"/>
    <w:rsid w:val="006E1297"/>
    <w:rsid w:val="006E5005"/>
    <w:rsid w:val="006E5163"/>
    <w:rsid w:val="006F26BE"/>
    <w:rsid w:val="006F610E"/>
    <w:rsid w:val="006F62A1"/>
    <w:rsid w:val="006F6E50"/>
    <w:rsid w:val="006F714A"/>
    <w:rsid w:val="00701767"/>
    <w:rsid w:val="00713995"/>
    <w:rsid w:val="00714D65"/>
    <w:rsid w:val="00720973"/>
    <w:rsid w:val="007231B3"/>
    <w:rsid w:val="007239C3"/>
    <w:rsid w:val="00734765"/>
    <w:rsid w:val="00736F6E"/>
    <w:rsid w:val="0074062A"/>
    <w:rsid w:val="007406C5"/>
    <w:rsid w:val="00741CD2"/>
    <w:rsid w:val="00742E61"/>
    <w:rsid w:val="007466C0"/>
    <w:rsid w:val="00746DC4"/>
    <w:rsid w:val="0075294F"/>
    <w:rsid w:val="00756E04"/>
    <w:rsid w:val="00773EA6"/>
    <w:rsid w:val="00774863"/>
    <w:rsid w:val="00776231"/>
    <w:rsid w:val="00787158"/>
    <w:rsid w:val="00791226"/>
    <w:rsid w:val="00792C37"/>
    <w:rsid w:val="00794D9F"/>
    <w:rsid w:val="00796E26"/>
    <w:rsid w:val="00797993"/>
    <w:rsid w:val="00797FC1"/>
    <w:rsid w:val="007B1950"/>
    <w:rsid w:val="007B597B"/>
    <w:rsid w:val="007C3513"/>
    <w:rsid w:val="007C72FE"/>
    <w:rsid w:val="007D1DBC"/>
    <w:rsid w:val="007D2839"/>
    <w:rsid w:val="007D49CF"/>
    <w:rsid w:val="007D7026"/>
    <w:rsid w:val="007D705E"/>
    <w:rsid w:val="007E1845"/>
    <w:rsid w:val="007E7FF6"/>
    <w:rsid w:val="007F1688"/>
    <w:rsid w:val="008044BD"/>
    <w:rsid w:val="00807E4B"/>
    <w:rsid w:val="008108EE"/>
    <w:rsid w:val="00811BFC"/>
    <w:rsid w:val="008202C3"/>
    <w:rsid w:val="0082140A"/>
    <w:rsid w:val="00822C36"/>
    <w:rsid w:val="00825BB2"/>
    <w:rsid w:val="008345E8"/>
    <w:rsid w:val="00836007"/>
    <w:rsid w:val="00840100"/>
    <w:rsid w:val="00841FB9"/>
    <w:rsid w:val="008473A4"/>
    <w:rsid w:val="00850DD4"/>
    <w:rsid w:val="008516B9"/>
    <w:rsid w:val="008526AA"/>
    <w:rsid w:val="00853976"/>
    <w:rsid w:val="00862A3D"/>
    <w:rsid w:val="00867DC8"/>
    <w:rsid w:val="008701C2"/>
    <w:rsid w:val="008703E0"/>
    <w:rsid w:val="008735B3"/>
    <w:rsid w:val="0087790B"/>
    <w:rsid w:val="00887AC2"/>
    <w:rsid w:val="00893D47"/>
    <w:rsid w:val="008961DD"/>
    <w:rsid w:val="008A2FF3"/>
    <w:rsid w:val="008A5D0F"/>
    <w:rsid w:val="008B2E59"/>
    <w:rsid w:val="008B656B"/>
    <w:rsid w:val="008B7D14"/>
    <w:rsid w:val="008C5C62"/>
    <w:rsid w:val="008D0CED"/>
    <w:rsid w:val="008D3786"/>
    <w:rsid w:val="008D6A65"/>
    <w:rsid w:val="008E099F"/>
    <w:rsid w:val="008E284B"/>
    <w:rsid w:val="008E49D1"/>
    <w:rsid w:val="008E5B65"/>
    <w:rsid w:val="008F3854"/>
    <w:rsid w:val="008F4992"/>
    <w:rsid w:val="008F5ED0"/>
    <w:rsid w:val="00905736"/>
    <w:rsid w:val="00906792"/>
    <w:rsid w:val="0090681A"/>
    <w:rsid w:val="00914E2E"/>
    <w:rsid w:val="00914F97"/>
    <w:rsid w:val="00921099"/>
    <w:rsid w:val="00933315"/>
    <w:rsid w:val="00933F70"/>
    <w:rsid w:val="009364D3"/>
    <w:rsid w:val="0094723A"/>
    <w:rsid w:val="00952808"/>
    <w:rsid w:val="00957056"/>
    <w:rsid w:val="0096303E"/>
    <w:rsid w:val="00963F4B"/>
    <w:rsid w:val="00964C0E"/>
    <w:rsid w:val="00967157"/>
    <w:rsid w:val="009740D6"/>
    <w:rsid w:val="00975058"/>
    <w:rsid w:val="00981EF5"/>
    <w:rsid w:val="00983A55"/>
    <w:rsid w:val="00990191"/>
    <w:rsid w:val="00995B30"/>
    <w:rsid w:val="00997507"/>
    <w:rsid w:val="009A099C"/>
    <w:rsid w:val="009A69F9"/>
    <w:rsid w:val="009A6ABE"/>
    <w:rsid w:val="009B7EFC"/>
    <w:rsid w:val="009C0E94"/>
    <w:rsid w:val="009C2075"/>
    <w:rsid w:val="009D08D6"/>
    <w:rsid w:val="009D2011"/>
    <w:rsid w:val="009D54BE"/>
    <w:rsid w:val="009E1520"/>
    <w:rsid w:val="009E2B04"/>
    <w:rsid w:val="009F2DE9"/>
    <w:rsid w:val="009F525B"/>
    <w:rsid w:val="009F6F4F"/>
    <w:rsid w:val="00A00588"/>
    <w:rsid w:val="00A00A8A"/>
    <w:rsid w:val="00A04E71"/>
    <w:rsid w:val="00A113AA"/>
    <w:rsid w:val="00A1438D"/>
    <w:rsid w:val="00A1536A"/>
    <w:rsid w:val="00A17372"/>
    <w:rsid w:val="00A21282"/>
    <w:rsid w:val="00A23837"/>
    <w:rsid w:val="00A2421D"/>
    <w:rsid w:val="00A326B5"/>
    <w:rsid w:val="00A352F1"/>
    <w:rsid w:val="00A359F6"/>
    <w:rsid w:val="00A40C79"/>
    <w:rsid w:val="00A40F16"/>
    <w:rsid w:val="00A412D6"/>
    <w:rsid w:val="00A43727"/>
    <w:rsid w:val="00A50FBE"/>
    <w:rsid w:val="00A535A6"/>
    <w:rsid w:val="00A53706"/>
    <w:rsid w:val="00A61D9D"/>
    <w:rsid w:val="00A635C3"/>
    <w:rsid w:val="00A660DF"/>
    <w:rsid w:val="00A80554"/>
    <w:rsid w:val="00A83A33"/>
    <w:rsid w:val="00A9014D"/>
    <w:rsid w:val="00AB04F6"/>
    <w:rsid w:val="00AB28A3"/>
    <w:rsid w:val="00AD78F6"/>
    <w:rsid w:val="00AE19C4"/>
    <w:rsid w:val="00AE3F36"/>
    <w:rsid w:val="00AE70E6"/>
    <w:rsid w:val="00B00839"/>
    <w:rsid w:val="00B01E47"/>
    <w:rsid w:val="00B02347"/>
    <w:rsid w:val="00B05D0B"/>
    <w:rsid w:val="00B2174C"/>
    <w:rsid w:val="00B26381"/>
    <w:rsid w:val="00B303DF"/>
    <w:rsid w:val="00B320D4"/>
    <w:rsid w:val="00B3417C"/>
    <w:rsid w:val="00B35367"/>
    <w:rsid w:val="00B353A1"/>
    <w:rsid w:val="00B36534"/>
    <w:rsid w:val="00B401F6"/>
    <w:rsid w:val="00B578C2"/>
    <w:rsid w:val="00B64E94"/>
    <w:rsid w:val="00B74038"/>
    <w:rsid w:val="00B856B1"/>
    <w:rsid w:val="00B90328"/>
    <w:rsid w:val="00B904B0"/>
    <w:rsid w:val="00B91ACA"/>
    <w:rsid w:val="00B92AA8"/>
    <w:rsid w:val="00B92DB8"/>
    <w:rsid w:val="00B95C24"/>
    <w:rsid w:val="00BA07BB"/>
    <w:rsid w:val="00BA5E86"/>
    <w:rsid w:val="00BA7777"/>
    <w:rsid w:val="00BB0E83"/>
    <w:rsid w:val="00BB2CEC"/>
    <w:rsid w:val="00BB3086"/>
    <w:rsid w:val="00BB6962"/>
    <w:rsid w:val="00BB7A22"/>
    <w:rsid w:val="00BC4B61"/>
    <w:rsid w:val="00BC52BB"/>
    <w:rsid w:val="00BC775F"/>
    <w:rsid w:val="00BE38D6"/>
    <w:rsid w:val="00BF0103"/>
    <w:rsid w:val="00BF27F4"/>
    <w:rsid w:val="00C02469"/>
    <w:rsid w:val="00C11AFB"/>
    <w:rsid w:val="00C1470C"/>
    <w:rsid w:val="00C169D4"/>
    <w:rsid w:val="00C2619E"/>
    <w:rsid w:val="00C301DF"/>
    <w:rsid w:val="00C311F3"/>
    <w:rsid w:val="00C323F7"/>
    <w:rsid w:val="00C328E3"/>
    <w:rsid w:val="00C43B66"/>
    <w:rsid w:val="00C52A73"/>
    <w:rsid w:val="00C54CAB"/>
    <w:rsid w:val="00C54E49"/>
    <w:rsid w:val="00C568E8"/>
    <w:rsid w:val="00C600CB"/>
    <w:rsid w:val="00C71E99"/>
    <w:rsid w:val="00C805EC"/>
    <w:rsid w:val="00C86F84"/>
    <w:rsid w:val="00C87BC1"/>
    <w:rsid w:val="00C94DCC"/>
    <w:rsid w:val="00C96436"/>
    <w:rsid w:val="00CA358B"/>
    <w:rsid w:val="00CA5E92"/>
    <w:rsid w:val="00CB74AD"/>
    <w:rsid w:val="00CC1AEC"/>
    <w:rsid w:val="00CC22D6"/>
    <w:rsid w:val="00CC49E8"/>
    <w:rsid w:val="00CD199D"/>
    <w:rsid w:val="00CD6466"/>
    <w:rsid w:val="00CD6FEB"/>
    <w:rsid w:val="00CD7FB0"/>
    <w:rsid w:val="00CF554C"/>
    <w:rsid w:val="00D02DBB"/>
    <w:rsid w:val="00D03422"/>
    <w:rsid w:val="00D0381F"/>
    <w:rsid w:val="00D1660E"/>
    <w:rsid w:val="00D27787"/>
    <w:rsid w:val="00D316F6"/>
    <w:rsid w:val="00D31F98"/>
    <w:rsid w:val="00D34759"/>
    <w:rsid w:val="00D4012C"/>
    <w:rsid w:val="00D5122A"/>
    <w:rsid w:val="00D60754"/>
    <w:rsid w:val="00D67B9E"/>
    <w:rsid w:val="00D72CB8"/>
    <w:rsid w:val="00D75C20"/>
    <w:rsid w:val="00D7610D"/>
    <w:rsid w:val="00D77D57"/>
    <w:rsid w:val="00D8484E"/>
    <w:rsid w:val="00D86E32"/>
    <w:rsid w:val="00D87BD6"/>
    <w:rsid w:val="00D87F87"/>
    <w:rsid w:val="00D93B5F"/>
    <w:rsid w:val="00D96586"/>
    <w:rsid w:val="00DA220C"/>
    <w:rsid w:val="00DA278C"/>
    <w:rsid w:val="00DA3C6F"/>
    <w:rsid w:val="00DB2411"/>
    <w:rsid w:val="00DC075A"/>
    <w:rsid w:val="00DE216A"/>
    <w:rsid w:val="00DE42C2"/>
    <w:rsid w:val="00DE46B9"/>
    <w:rsid w:val="00DE4F88"/>
    <w:rsid w:val="00DE70E2"/>
    <w:rsid w:val="00DE745D"/>
    <w:rsid w:val="00DF1133"/>
    <w:rsid w:val="00DF3AAB"/>
    <w:rsid w:val="00E0645B"/>
    <w:rsid w:val="00E26F96"/>
    <w:rsid w:val="00E276B3"/>
    <w:rsid w:val="00E37A0C"/>
    <w:rsid w:val="00E61CF2"/>
    <w:rsid w:val="00E659AA"/>
    <w:rsid w:val="00E66336"/>
    <w:rsid w:val="00E67487"/>
    <w:rsid w:val="00E77B2B"/>
    <w:rsid w:val="00E87385"/>
    <w:rsid w:val="00E90E49"/>
    <w:rsid w:val="00E95286"/>
    <w:rsid w:val="00E962F8"/>
    <w:rsid w:val="00EA198C"/>
    <w:rsid w:val="00EA1E51"/>
    <w:rsid w:val="00EC1A90"/>
    <w:rsid w:val="00EC68E2"/>
    <w:rsid w:val="00ED32DA"/>
    <w:rsid w:val="00ED41FA"/>
    <w:rsid w:val="00EE35BE"/>
    <w:rsid w:val="00EF21AB"/>
    <w:rsid w:val="00EF4ABB"/>
    <w:rsid w:val="00EF4DF7"/>
    <w:rsid w:val="00EF5A49"/>
    <w:rsid w:val="00F04312"/>
    <w:rsid w:val="00F26EA5"/>
    <w:rsid w:val="00F27F8E"/>
    <w:rsid w:val="00F30A7F"/>
    <w:rsid w:val="00F37507"/>
    <w:rsid w:val="00F41D1F"/>
    <w:rsid w:val="00F43392"/>
    <w:rsid w:val="00F46AB3"/>
    <w:rsid w:val="00F53257"/>
    <w:rsid w:val="00F5387B"/>
    <w:rsid w:val="00F57F8B"/>
    <w:rsid w:val="00F631E0"/>
    <w:rsid w:val="00F650CC"/>
    <w:rsid w:val="00F71F86"/>
    <w:rsid w:val="00F820A3"/>
    <w:rsid w:val="00F82E34"/>
    <w:rsid w:val="00F87874"/>
    <w:rsid w:val="00F90EFA"/>
    <w:rsid w:val="00F91422"/>
    <w:rsid w:val="00FA1BD8"/>
    <w:rsid w:val="00FA2A4E"/>
    <w:rsid w:val="00FA3B56"/>
    <w:rsid w:val="00FA47DA"/>
    <w:rsid w:val="00FA6BAF"/>
    <w:rsid w:val="00FB0638"/>
    <w:rsid w:val="00FC046A"/>
    <w:rsid w:val="00FC5A9A"/>
    <w:rsid w:val="00FD08F3"/>
    <w:rsid w:val="00FD0B06"/>
    <w:rsid w:val="00FD28BA"/>
    <w:rsid w:val="00FD4892"/>
    <w:rsid w:val="00FE0B35"/>
    <w:rsid w:val="00FE177A"/>
    <w:rsid w:val="00FE37E1"/>
    <w:rsid w:val="00FE7072"/>
    <w:rsid w:val="00FF057E"/>
    <w:rsid w:val="00FF3399"/>
    <w:rsid w:val="00FF4AC8"/>
    <w:rsid w:val="00FF5F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161F8"/>
  <w15:chartTrackingRefBased/>
  <w15:docId w15:val="{CAE9F9F1-5F17-024B-A735-5B07E965A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70E"/>
    <w:rPr>
      <w:rFonts w:ascii="Times New Roman" w:eastAsia="Times New Roman" w:hAnsi="Times New Roman" w:cs="Times New Roman"/>
      <w:lang w:eastAsia="es-MX"/>
    </w:rPr>
  </w:style>
  <w:style w:type="paragraph" w:styleId="Ttulo1">
    <w:name w:val="heading 1"/>
    <w:basedOn w:val="Normal"/>
    <w:next w:val="Normal"/>
    <w:link w:val="Ttulo1Car"/>
    <w:uiPriority w:val="9"/>
    <w:qFormat/>
    <w:rsid w:val="00694A68"/>
    <w:pPr>
      <w:keepNext/>
      <w:keepLines/>
      <w:spacing w:before="60" w:after="60"/>
      <w:jc w:val="center"/>
      <w:outlineLvl w:val="0"/>
    </w:pPr>
    <w:rPr>
      <w:rFonts w:ascii="Verdana" w:hAnsi="Verdana" w:cs="Verdana"/>
      <w:b/>
      <w:bCs/>
      <w:caps/>
      <w:noProof/>
      <w:snapToGrid w:val="0"/>
      <w:sz w:val="20"/>
      <w:szCs w:val="20"/>
      <w:lang w:val="es-C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árrafo de lista1,List Paragraph1,Colorful List - Accent 11,List Paragraph2,Footnote,Lista vistosa - Énfasis 11,Footnote1"/>
    <w:basedOn w:val="Normal"/>
    <w:link w:val="PrrafodelistaCar"/>
    <w:uiPriority w:val="34"/>
    <w:qFormat/>
    <w:rsid w:val="0019729B"/>
    <w:pPr>
      <w:spacing w:after="200" w:line="276" w:lineRule="auto"/>
      <w:ind w:left="720"/>
      <w:contextualSpacing/>
    </w:pPr>
    <w:rPr>
      <w:sz w:val="22"/>
      <w:szCs w:val="22"/>
      <w:lang w:val="es-ES_tradnl"/>
    </w:rPr>
  </w:style>
  <w:style w:type="character" w:customStyle="1" w:styleId="PrrafodelistaCar">
    <w:name w:val="Párrafo de lista Car"/>
    <w:aliases w:val="Párrafo de lista1 Car,List Paragraph1 Car,Colorful List - Accent 11 Car,List Paragraph2 Car,Footnote Car,Lista vistosa - Énfasis 11 Car,Footnote1 Car"/>
    <w:link w:val="Prrafodelista"/>
    <w:uiPriority w:val="34"/>
    <w:rsid w:val="0019729B"/>
    <w:rPr>
      <w:sz w:val="22"/>
      <w:szCs w:val="22"/>
      <w:lang w:val="es-ES_tradnl"/>
    </w:rPr>
  </w:style>
  <w:style w:type="character" w:styleId="Textoennegrita">
    <w:name w:val="Strong"/>
    <w:aliases w:val="Heading 2.1"/>
    <w:basedOn w:val="Fuentedeprrafopredeter"/>
    <w:uiPriority w:val="22"/>
    <w:qFormat/>
    <w:rsid w:val="00825BB2"/>
    <w:rPr>
      <w:b/>
      <w:bCs/>
    </w:rPr>
  </w:style>
  <w:style w:type="paragraph" w:styleId="Textonotapie">
    <w:name w:val="footnote text"/>
    <w:aliases w:val="FA Fu,Footnote Text Char Char Char Char Char,Footnote Text Char Char Char Char,Footnote reference,Footnote Text Char Char Char,FA Fu Car,FA Fu Car Car,Footnote Text Cha,FA Fußnotentext,FA Fuﬂnotentext,FA Fu?notentext,Ca,2. Footnote Text,C"/>
    <w:basedOn w:val="Normal"/>
    <w:link w:val="TextonotapieCar1"/>
    <w:uiPriority w:val="99"/>
    <w:qFormat/>
    <w:rsid w:val="00580E12"/>
    <w:pPr>
      <w:jc w:val="both"/>
    </w:pPr>
    <w:rPr>
      <w:rFonts w:ascii="Verdana" w:eastAsia="Batang" w:hAnsi="Verdana" w:cs="Times"/>
      <w:sz w:val="20"/>
      <w:szCs w:val="20"/>
      <w:lang w:val="en-US" w:eastAsia="es-CR"/>
    </w:rPr>
  </w:style>
  <w:style w:type="character" w:customStyle="1" w:styleId="TextonotapieCar">
    <w:name w:val="Texto nota pie Car"/>
    <w:aliases w:val="footnote text Car,FA Fuﬂnotentext Car"/>
    <w:basedOn w:val="Fuentedeprrafopredeter"/>
    <w:uiPriority w:val="99"/>
    <w:qFormat/>
    <w:rsid w:val="00580E12"/>
    <w:rPr>
      <w:sz w:val="20"/>
      <w:szCs w:val="20"/>
    </w:rPr>
  </w:style>
  <w:style w:type="character" w:customStyle="1" w:styleId="TextonotapieCar1">
    <w:name w:val="Texto nota pie Car1"/>
    <w:aliases w:val="FA Fu Car1,Footnote Text Char Char Char Char Char Car,Footnote Text Char Char Char Char Car,Footnote reference Car,Footnote Text Char Char Char Car,FA Fu Car Car1,FA Fu Car Car Car,Footnote Text Cha Car,FA Fußnotentext Car,Ca Car"/>
    <w:basedOn w:val="Fuentedeprrafopredeter"/>
    <w:link w:val="Textonotapie"/>
    <w:uiPriority w:val="99"/>
    <w:qFormat/>
    <w:rsid w:val="00580E12"/>
    <w:rPr>
      <w:rFonts w:ascii="Verdana" w:eastAsia="Batang" w:hAnsi="Verdana" w:cs="Times"/>
      <w:sz w:val="20"/>
      <w:szCs w:val="20"/>
      <w:lang w:val="en-US" w:eastAsia="es-CR"/>
    </w:rPr>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Ref. de nota al"/>
    <w:link w:val="4GChar"/>
    <w:uiPriority w:val="99"/>
    <w:qFormat/>
    <w:rsid w:val="00580E12"/>
    <w:rPr>
      <w:rFonts w:cs="Times New Roman"/>
      <w:szCs w:val="20"/>
      <w:vertAlign w:val="superscript"/>
    </w:rPr>
  </w:style>
  <w:style w:type="paragraph" w:customStyle="1" w:styleId="Footnotes">
    <w:name w:val="**. Footnotes"/>
    <w:basedOn w:val="Textonotapie"/>
    <w:link w:val="FootnotesChar"/>
    <w:autoRedefine/>
    <w:qFormat/>
    <w:rsid w:val="00580E12"/>
    <w:pPr>
      <w:spacing w:before="60" w:after="60"/>
    </w:pPr>
    <w:rPr>
      <w:rFonts w:eastAsia="Times New Roman" w:cs="Palatino-Italic"/>
      <w:iCs/>
      <w:spacing w:val="-4"/>
      <w:sz w:val="16"/>
      <w:szCs w:val="16"/>
      <w:lang w:val="es-ES" w:eastAsia="en-US" w:bidi="en-US"/>
    </w:rPr>
  </w:style>
  <w:style w:type="character" w:customStyle="1" w:styleId="FootnotesChar">
    <w:name w:val="**. Footnotes Char"/>
    <w:basedOn w:val="Fuentedeprrafopredeter"/>
    <w:link w:val="Footnotes"/>
    <w:rsid w:val="00580E12"/>
    <w:rPr>
      <w:rFonts w:ascii="Verdana" w:eastAsia="Times New Roman" w:hAnsi="Verdana" w:cs="Palatino-Italic"/>
      <w:iCs/>
      <w:spacing w:val="-4"/>
      <w:sz w:val="16"/>
      <w:szCs w:val="16"/>
      <w:lang w:val="es-ES" w:bidi="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580E12"/>
    <w:pPr>
      <w:jc w:val="both"/>
    </w:pPr>
    <w:rPr>
      <w:szCs w:val="20"/>
      <w:vertAlign w:val="superscript"/>
    </w:rPr>
  </w:style>
  <w:style w:type="paragraph" w:styleId="NormalWeb">
    <w:name w:val="Normal (Web)"/>
    <w:aliases w:val="Normal (Web) Char1,Normal (Web) Char Char,Normal (Web) Char1 Char,Normal (Web) Char Char Char"/>
    <w:basedOn w:val="Normal"/>
    <w:uiPriority w:val="99"/>
    <w:unhideWhenUsed/>
    <w:rsid w:val="00A21282"/>
    <w:pPr>
      <w:spacing w:before="100" w:beforeAutospacing="1" w:after="100" w:afterAutospacing="1"/>
    </w:pPr>
  </w:style>
  <w:style w:type="paragraph" w:styleId="Piedepgina">
    <w:name w:val="footer"/>
    <w:basedOn w:val="Normal"/>
    <w:link w:val="PiedepginaCar"/>
    <w:uiPriority w:val="99"/>
    <w:unhideWhenUsed/>
    <w:rsid w:val="00261E9B"/>
    <w:pPr>
      <w:tabs>
        <w:tab w:val="center" w:pos="4419"/>
        <w:tab w:val="right" w:pos="8838"/>
      </w:tabs>
    </w:pPr>
  </w:style>
  <w:style w:type="character" w:customStyle="1" w:styleId="PiedepginaCar">
    <w:name w:val="Pie de página Car"/>
    <w:basedOn w:val="Fuentedeprrafopredeter"/>
    <w:link w:val="Piedepgina"/>
    <w:uiPriority w:val="99"/>
    <w:rsid w:val="00261E9B"/>
  </w:style>
  <w:style w:type="character" w:styleId="Nmerodepgina">
    <w:name w:val="page number"/>
    <w:basedOn w:val="Fuentedeprrafopredeter"/>
    <w:uiPriority w:val="99"/>
    <w:semiHidden/>
    <w:unhideWhenUsed/>
    <w:rsid w:val="00261E9B"/>
  </w:style>
  <w:style w:type="table" w:styleId="Tablaconcuadrcula">
    <w:name w:val="Table Grid"/>
    <w:basedOn w:val="Tablanormal"/>
    <w:uiPriority w:val="39"/>
    <w:rsid w:val="00261E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paragraphs">
    <w:name w:val="Numbered paragraphs"/>
    <w:basedOn w:val="Normal"/>
    <w:qFormat/>
    <w:rsid w:val="00261E9B"/>
    <w:pPr>
      <w:spacing w:after="200"/>
      <w:jc w:val="both"/>
    </w:pPr>
    <w:rPr>
      <w:rFonts w:ascii="Verdana" w:eastAsia="MS Mincho" w:hAnsi="Verdana"/>
      <w:color w:val="000000"/>
      <w:sz w:val="20"/>
      <w:szCs w:val="20"/>
      <w:lang w:val="es-ES_tradnl"/>
    </w:rPr>
  </w:style>
  <w:style w:type="paragraph" w:styleId="Textodeglobo">
    <w:name w:val="Balloon Text"/>
    <w:basedOn w:val="Normal"/>
    <w:link w:val="TextodegloboCar"/>
    <w:uiPriority w:val="99"/>
    <w:semiHidden/>
    <w:unhideWhenUsed/>
    <w:rsid w:val="00E66336"/>
    <w:rPr>
      <w:sz w:val="18"/>
      <w:szCs w:val="18"/>
    </w:rPr>
  </w:style>
  <w:style w:type="character" w:customStyle="1" w:styleId="TextodegloboCar">
    <w:name w:val="Texto de globo Car"/>
    <w:basedOn w:val="Fuentedeprrafopredeter"/>
    <w:link w:val="Textodeglobo"/>
    <w:uiPriority w:val="99"/>
    <w:semiHidden/>
    <w:rsid w:val="00E66336"/>
    <w:rPr>
      <w:rFonts w:ascii="Times New Roman" w:hAnsi="Times New Roman" w:cs="Times New Roman"/>
      <w:sz w:val="18"/>
      <w:szCs w:val="18"/>
    </w:rPr>
  </w:style>
  <w:style w:type="character" w:styleId="Refdecomentario">
    <w:name w:val="annotation reference"/>
    <w:basedOn w:val="Fuentedeprrafopredeter"/>
    <w:uiPriority w:val="99"/>
    <w:semiHidden/>
    <w:unhideWhenUsed/>
    <w:rsid w:val="00E66336"/>
    <w:rPr>
      <w:sz w:val="16"/>
      <w:szCs w:val="16"/>
    </w:rPr>
  </w:style>
  <w:style w:type="paragraph" w:styleId="Textocomentario">
    <w:name w:val="annotation text"/>
    <w:basedOn w:val="Normal"/>
    <w:link w:val="TextocomentarioCar"/>
    <w:uiPriority w:val="99"/>
    <w:semiHidden/>
    <w:unhideWhenUsed/>
    <w:rsid w:val="00E66336"/>
    <w:pPr>
      <w:spacing w:after="160"/>
    </w:pPr>
    <w:rPr>
      <w:sz w:val="20"/>
      <w:szCs w:val="20"/>
    </w:rPr>
  </w:style>
  <w:style w:type="character" w:customStyle="1" w:styleId="TextocomentarioCar">
    <w:name w:val="Texto comentario Car"/>
    <w:basedOn w:val="Fuentedeprrafopredeter"/>
    <w:link w:val="Textocomentario"/>
    <w:uiPriority w:val="99"/>
    <w:semiHidden/>
    <w:rsid w:val="00E66336"/>
    <w:rPr>
      <w:sz w:val="20"/>
      <w:szCs w:val="20"/>
    </w:rPr>
  </w:style>
  <w:style w:type="paragraph" w:styleId="Asuntodelcomentario">
    <w:name w:val="annotation subject"/>
    <w:basedOn w:val="Textocomentario"/>
    <w:next w:val="Textocomentario"/>
    <w:link w:val="AsuntodelcomentarioCar"/>
    <w:uiPriority w:val="99"/>
    <w:semiHidden/>
    <w:unhideWhenUsed/>
    <w:rsid w:val="00836007"/>
    <w:pPr>
      <w:spacing w:after="0"/>
    </w:pPr>
    <w:rPr>
      <w:b/>
      <w:bCs/>
    </w:rPr>
  </w:style>
  <w:style w:type="character" w:customStyle="1" w:styleId="AsuntodelcomentarioCar">
    <w:name w:val="Asunto del comentario Car"/>
    <w:basedOn w:val="TextocomentarioCar"/>
    <w:link w:val="Asuntodelcomentario"/>
    <w:uiPriority w:val="99"/>
    <w:semiHidden/>
    <w:rsid w:val="00836007"/>
    <w:rPr>
      <w:b/>
      <w:bCs/>
      <w:sz w:val="20"/>
      <w:szCs w:val="20"/>
    </w:rPr>
  </w:style>
  <w:style w:type="character" w:customStyle="1" w:styleId="apple-converted-space">
    <w:name w:val="apple-converted-space"/>
    <w:basedOn w:val="Fuentedeprrafopredeter"/>
    <w:rsid w:val="00C52A73"/>
  </w:style>
  <w:style w:type="paragraph" w:styleId="Encabezado">
    <w:name w:val="header"/>
    <w:basedOn w:val="Normal"/>
    <w:link w:val="EncabezadoCar"/>
    <w:uiPriority w:val="99"/>
    <w:unhideWhenUsed/>
    <w:rsid w:val="00EC1A90"/>
    <w:pPr>
      <w:tabs>
        <w:tab w:val="center" w:pos="4419"/>
        <w:tab w:val="right" w:pos="8838"/>
      </w:tabs>
    </w:pPr>
  </w:style>
  <w:style w:type="character" w:customStyle="1" w:styleId="EncabezadoCar">
    <w:name w:val="Encabezado Car"/>
    <w:basedOn w:val="Fuentedeprrafopredeter"/>
    <w:link w:val="Encabezado"/>
    <w:uiPriority w:val="99"/>
    <w:rsid w:val="00EC1A90"/>
    <w:rPr>
      <w:rFonts w:ascii="Times New Roman" w:eastAsia="Times New Roman" w:hAnsi="Times New Roman" w:cs="Times New Roman"/>
      <w:lang w:eastAsia="es-MX"/>
    </w:rPr>
  </w:style>
  <w:style w:type="character" w:customStyle="1" w:styleId="Ttulo1Car">
    <w:name w:val="Título 1 Car"/>
    <w:basedOn w:val="Fuentedeprrafopredeter"/>
    <w:link w:val="Ttulo1"/>
    <w:uiPriority w:val="9"/>
    <w:rsid w:val="00694A68"/>
    <w:rPr>
      <w:rFonts w:ascii="Verdana" w:eastAsia="Times New Roman" w:hAnsi="Verdana" w:cs="Verdana"/>
      <w:b/>
      <w:bCs/>
      <w:caps/>
      <w:noProof/>
      <w:snapToGrid w:val="0"/>
      <w:sz w:val="20"/>
      <w:szCs w:val="20"/>
      <w:lang w:val="es-CR" w:eastAsia="es-ES"/>
    </w:rPr>
  </w:style>
  <w:style w:type="character" w:styleId="Hipervnculo">
    <w:name w:val="Hyperlink"/>
    <w:basedOn w:val="Fuentedeprrafopredeter"/>
    <w:uiPriority w:val="99"/>
    <w:unhideWhenUsed/>
    <w:rsid w:val="00822C36"/>
    <w:rPr>
      <w:color w:val="0563C1" w:themeColor="hyperlink"/>
      <w:u w:val="single"/>
    </w:rPr>
  </w:style>
  <w:style w:type="character" w:customStyle="1" w:styleId="Mencinsinresolver1">
    <w:name w:val="Mención sin resolver1"/>
    <w:basedOn w:val="Fuentedeprrafopredeter"/>
    <w:uiPriority w:val="99"/>
    <w:semiHidden/>
    <w:unhideWhenUsed/>
    <w:rsid w:val="008E5B65"/>
    <w:rPr>
      <w:color w:val="808080"/>
      <w:shd w:val="clear" w:color="auto" w:fill="E6E6E6"/>
    </w:rPr>
  </w:style>
  <w:style w:type="character" w:styleId="Hipervnculovisitado">
    <w:name w:val="FollowedHyperlink"/>
    <w:basedOn w:val="Fuentedeprrafopredeter"/>
    <w:uiPriority w:val="99"/>
    <w:semiHidden/>
    <w:unhideWhenUsed/>
    <w:rsid w:val="008044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4916">
      <w:bodyDiv w:val="1"/>
      <w:marLeft w:val="0"/>
      <w:marRight w:val="0"/>
      <w:marTop w:val="0"/>
      <w:marBottom w:val="0"/>
      <w:divBdr>
        <w:top w:val="none" w:sz="0" w:space="0" w:color="auto"/>
        <w:left w:val="none" w:sz="0" w:space="0" w:color="auto"/>
        <w:bottom w:val="none" w:sz="0" w:space="0" w:color="auto"/>
        <w:right w:val="none" w:sz="0" w:space="0" w:color="auto"/>
      </w:divBdr>
    </w:div>
    <w:div w:id="42145415">
      <w:bodyDiv w:val="1"/>
      <w:marLeft w:val="0"/>
      <w:marRight w:val="0"/>
      <w:marTop w:val="0"/>
      <w:marBottom w:val="0"/>
      <w:divBdr>
        <w:top w:val="none" w:sz="0" w:space="0" w:color="auto"/>
        <w:left w:val="none" w:sz="0" w:space="0" w:color="auto"/>
        <w:bottom w:val="none" w:sz="0" w:space="0" w:color="auto"/>
        <w:right w:val="none" w:sz="0" w:space="0" w:color="auto"/>
      </w:divBdr>
      <w:divsChild>
        <w:div w:id="480510723">
          <w:marLeft w:val="0"/>
          <w:marRight w:val="0"/>
          <w:marTop w:val="0"/>
          <w:marBottom w:val="0"/>
          <w:divBdr>
            <w:top w:val="none" w:sz="0" w:space="0" w:color="auto"/>
            <w:left w:val="none" w:sz="0" w:space="0" w:color="auto"/>
            <w:bottom w:val="none" w:sz="0" w:space="0" w:color="auto"/>
            <w:right w:val="none" w:sz="0" w:space="0" w:color="auto"/>
          </w:divBdr>
          <w:divsChild>
            <w:div w:id="816411530">
              <w:marLeft w:val="0"/>
              <w:marRight w:val="0"/>
              <w:marTop w:val="0"/>
              <w:marBottom w:val="0"/>
              <w:divBdr>
                <w:top w:val="none" w:sz="0" w:space="0" w:color="auto"/>
                <w:left w:val="none" w:sz="0" w:space="0" w:color="auto"/>
                <w:bottom w:val="none" w:sz="0" w:space="0" w:color="auto"/>
                <w:right w:val="none" w:sz="0" w:space="0" w:color="auto"/>
              </w:divBdr>
              <w:divsChild>
                <w:div w:id="50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76654">
      <w:bodyDiv w:val="1"/>
      <w:marLeft w:val="0"/>
      <w:marRight w:val="0"/>
      <w:marTop w:val="0"/>
      <w:marBottom w:val="0"/>
      <w:divBdr>
        <w:top w:val="none" w:sz="0" w:space="0" w:color="auto"/>
        <w:left w:val="none" w:sz="0" w:space="0" w:color="auto"/>
        <w:bottom w:val="none" w:sz="0" w:space="0" w:color="auto"/>
        <w:right w:val="none" w:sz="0" w:space="0" w:color="auto"/>
      </w:divBdr>
      <w:divsChild>
        <w:div w:id="912592623">
          <w:marLeft w:val="0"/>
          <w:marRight w:val="0"/>
          <w:marTop w:val="0"/>
          <w:marBottom w:val="0"/>
          <w:divBdr>
            <w:top w:val="none" w:sz="0" w:space="0" w:color="auto"/>
            <w:left w:val="none" w:sz="0" w:space="0" w:color="auto"/>
            <w:bottom w:val="none" w:sz="0" w:space="0" w:color="auto"/>
            <w:right w:val="none" w:sz="0" w:space="0" w:color="auto"/>
          </w:divBdr>
          <w:divsChild>
            <w:div w:id="1702780863">
              <w:marLeft w:val="0"/>
              <w:marRight w:val="0"/>
              <w:marTop w:val="0"/>
              <w:marBottom w:val="0"/>
              <w:divBdr>
                <w:top w:val="none" w:sz="0" w:space="0" w:color="auto"/>
                <w:left w:val="none" w:sz="0" w:space="0" w:color="auto"/>
                <w:bottom w:val="none" w:sz="0" w:space="0" w:color="auto"/>
                <w:right w:val="none" w:sz="0" w:space="0" w:color="auto"/>
              </w:divBdr>
              <w:divsChild>
                <w:div w:id="708066217">
                  <w:marLeft w:val="0"/>
                  <w:marRight w:val="0"/>
                  <w:marTop w:val="0"/>
                  <w:marBottom w:val="0"/>
                  <w:divBdr>
                    <w:top w:val="none" w:sz="0" w:space="0" w:color="auto"/>
                    <w:left w:val="none" w:sz="0" w:space="0" w:color="auto"/>
                    <w:bottom w:val="none" w:sz="0" w:space="0" w:color="auto"/>
                    <w:right w:val="none" w:sz="0" w:space="0" w:color="auto"/>
                  </w:divBdr>
                  <w:divsChild>
                    <w:div w:id="10688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02790">
      <w:bodyDiv w:val="1"/>
      <w:marLeft w:val="0"/>
      <w:marRight w:val="0"/>
      <w:marTop w:val="0"/>
      <w:marBottom w:val="0"/>
      <w:divBdr>
        <w:top w:val="none" w:sz="0" w:space="0" w:color="auto"/>
        <w:left w:val="none" w:sz="0" w:space="0" w:color="auto"/>
        <w:bottom w:val="none" w:sz="0" w:space="0" w:color="auto"/>
        <w:right w:val="none" w:sz="0" w:space="0" w:color="auto"/>
      </w:divBdr>
      <w:divsChild>
        <w:div w:id="1603875303">
          <w:marLeft w:val="0"/>
          <w:marRight w:val="0"/>
          <w:marTop w:val="0"/>
          <w:marBottom w:val="0"/>
          <w:divBdr>
            <w:top w:val="none" w:sz="0" w:space="0" w:color="auto"/>
            <w:left w:val="none" w:sz="0" w:space="0" w:color="auto"/>
            <w:bottom w:val="none" w:sz="0" w:space="0" w:color="auto"/>
            <w:right w:val="none" w:sz="0" w:space="0" w:color="auto"/>
          </w:divBdr>
          <w:divsChild>
            <w:div w:id="1862930909">
              <w:marLeft w:val="0"/>
              <w:marRight w:val="0"/>
              <w:marTop w:val="0"/>
              <w:marBottom w:val="0"/>
              <w:divBdr>
                <w:top w:val="none" w:sz="0" w:space="0" w:color="auto"/>
                <w:left w:val="none" w:sz="0" w:space="0" w:color="auto"/>
                <w:bottom w:val="none" w:sz="0" w:space="0" w:color="auto"/>
                <w:right w:val="none" w:sz="0" w:space="0" w:color="auto"/>
              </w:divBdr>
              <w:divsChild>
                <w:div w:id="1785728437">
                  <w:marLeft w:val="0"/>
                  <w:marRight w:val="0"/>
                  <w:marTop w:val="0"/>
                  <w:marBottom w:val="0"/>
                  <w:divBdr>
                    <w:top w:val="none" w:sz="0" w:space="0" w:color="auto"/>
                    <w:left w:val="none" w:sz="0" w:space="0" w:color="auto"/>
                    <w:bottom w:val="none" w:sz="0" w:space="0" w:color="auto"/>
                    <w:right w:val="none" w:sz="0" w:space="0" w:color="auto"/>
                  </w:divBdr>
                  <w:divsChild>
                    <w:div w:id="8776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78100">
      <w:bodyDiv w:val="1"/>
      <w:marLeft w:val="0"/>
      <w:marRight w:val="0"/>
      <w:marTop w:val="0"/>
      <w:marBottom w:val="0"/>
      <w:divBdr>
        <w:top w:val="none" w:sz="0" w:space="0" w:color="auto"/>
        <w:left w:val="none" w:sz="0" w:space="0" w:color="auto"/>
        <w:bottom w:val="none" w:sz="0" w:space="0" w:color="auto"/>
        <w:right w:val="none" w:sz="0" w:space="0" w:color="auto"/>
      </w:divBdr>
    </w:div>
    <w:div w:id="221673085">
      <w:bodyDiv w:val="1"/>
      <w:marLeft w:val="0"/>
      <w:marRight w:val="0"/>
      <w:marTop w:val="0"/>
      <w:marBottom w:val="0"/>
      <w:divBdr>
        <w:top w:val="none" w:sz="0" w:space="0" w:color="auto"/>
        <w:left w:val="none" w:sz="0" w:space="0" w:color="auto"/>
        <w:bottom w:val="none" w:sz="0" w:space="0" w:color="auto"/>
        <w:right w:val="none" w:sz="0" w:space="0" w:color="auto"/>
      </w:divBdr>
      <w:divsChild>
        <w:div w:id="763115711">
          <w:marLeft w:val="0"/>
          <w:marRight w:val="0"/>
          <w:marTop w:val="0"/>
          <w:marBottom w:val="0"/>
          <w:divBdr>
            <w:top w:val="none" w:sz="0" w:space="0" w:color="auto"/>
            <w:left w:val="none" w:sz="0" w:space="0" w:color="auto"/>
            <w:bottom w:val="none" w:sz="0" w:space="0" w:color="auto"/>
            <w:right w:val="none" w:sz="0" w:space="0" w:color="auto"/>
          </w:divBdr>
          <w:divsChild>
            <w:div w:id="1686900578">
              <w:marLeft w:val="0"/>
              <w:marRight w:val="0"/>
              <w:marTop w:val="0"/>
              <w:marBottom w:val="0"/>
              <w:divBdr>
                <w:top w:val="none" w:sz="0" w:space="0" w:color="auto"/>
                <w:left w:val="none" w:sz="0" w:space="0" w:color="auto"/>
                <w:bottom w:val="none" w:sz="0" w:space="0" w:color="auto"/>
                <w:right w:val="none" w:sz="0" w:space="0" w:color="auto"/>
              </w:divBdr>
              <w:divsChild>
                <w:div w:id="29538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960341">
      <w:bodyDiv w:val="1"/>
      <w:marLeft w:val="0"/>
      <w:marRight w:val="0"/>
      <w:marTop w:val="0"/>
      <w:marBottom w:val="0"/>
      <w:divBdr>
        <w:top w:val="none" w:sz="0" w:space="0" w:color="auto"/>
        <w:left w:val="none" w:sz="0" w:space="0" w:color="auto"/>
        <w:bottom w:val="none" w:sz="0" w:space="0" w:color="auto"/>
        <w:right w:val="none" w:sz="0" w:space="0" w:color="auto"/>
      </w:divBdr>
      <w:divsChild>
        <w:div w:id="255210400">
          <w:marLeft w:val="0"/>
          <w:marRight w:val="0"/>
          <w:marTop w:val="0"/>
          <w:marBottom w:val="0"/>
          <w:divBdr>
            <w:top w:val="none" w:sz="0" w:space="0" w:color="auto"/>
            <w:left w:val="none" w:sz="0" w:space="0" w:color="auto"/>
            <w:bottom w:val="none" w:sz="0" w:space="0" w:color="auto"/>
            <w:right w:val="none" w:sz="0" w:space="0" w:color="auto"/>
          </w:divBdr>
          <w:divsChild>
            <w:div w:id="1041705884">
              <w:marLeft w:val="0"/>
              <w:marRight w:val="0"/>
              <w:marTop w:val="0"/>
              <w:marBottom w:val="0"/>
              <w:divBdr>
                <w:top w:val="none" w:sz="0" w:space="0" w:color="auto"/>
                <w:left w:val="none" w:sz="0" w:space="0" w:color="auto"/>
                <w:bottom w:val="none" w:sz="0" w:space="0" w:color="auto"/>
                <w:right w:val="none" w:sz="0" w:space="0" w:color="auto"/>
              </w:divBdr>
              <w:divsChild>
                <w:div w:id="69180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85291">
      <w:bodyDiv w:val="1"/>
      <w:marLeft w:val="0"/>
      <w:marRight w:val="0"/>
      <w:marTop w:val="0"/>
      <w:marBottom w:val="0"/>
      <w:divBdr>
        <w:top w:val="none" w:sz="0" w:space="0" w:color="auto"/>
        <w:left w:val="none" w:sz="0" w:space="0" w:color="auto"/>
        <w:bottom w:val="none" w:sz="0" w:space="0" w:color="auto"/>
        <w:right w:val="none" w:sz="0" w:space="0" w:color="auto"/>
      </w:divBdr>
    </w:div>
    <w:div w:id="360785623">
      <w:bodyDiv w:val="1"/>
      <w:marLeft w:val="0"/>
      <w:marRight w:val="0"/>
      <w:marTop w:val="0"/>
      <w:marBottom w:val="0"/>
      <w:divBdr>
        <w:top w:val="none" w:sz="0" w:space="0" w:color="auto"/>
        <w:left w:val="none" w:sz="0" w:space="0" w:color="auto"/>
        <w:bottom w:val="none" w:sz="0" w:space="0" w:color="auto"/>
        <w:right w:val="none" w:sz="0" w:space="0" w:color="auto"/>
      </w:divBdr>
    </w:div>
    <w:div w:id="371619697">
      <w:bodyDiv w:val="1"/>
      <w:marLeft w:val="0"/>
      <w:marRight w:val="0"/>
      <w:marTop w:val="0"/>
      <w:marBottom w:val="0"/>
      <w:divBdr>
        <w:top w:val="none" w:sz="0" w:space="0" w:color="auto"/>
        <w:left w:val="none" w:sz="0" w:space="0" w:color="auto"/>
        <w:bottom w:val="none" w:sz="0" w:space="0" w:color="auto"/>
        <w:right w:val="none" w:sz="0" w:space="0" w:color="auto"/>
      </w:divBdr>
    </w:div>
    <w:div w:id="374232656">
      <w:bodyDiv w:val="1"/>
      <w:marLeft w:val="0"/>
      <w:marRight w:val="0"/>
      <w:marTop w:val="0"/>
      <w:marBottom w:val="0"/>
      <w:divBdr>
        <w:top w:val="none" w:sz="0" w:space="0" w:color="auto"/>
        <w:left w:val="none" w:sz="0" w:space="0" w:color="auto"/>
        <w:bottom w:val="none" w:sz="0" w:space="0" w:color="auto"/>
        <w:right w:val="none" w:sz="0" w:space="0" w:color="auto"/>
      </w:divBdr>
      <w:divsChild>
        <w:div w:id="1153184365">
          <w:marLeft w:val="0"/>
          <w:marRight w:val="0"/>
          <w:marTop w:val="0"/>
          <w:marBottom w:val="0"/>
          <w:divBdr>
            <w:top w:val="none" w:sz="0" w:space="0" w:color="auto"/>
            <w:left w:val="none" w:sz="0" w:space="0" w:color="auto"/>
            <w:bottom w:val="none" w:sz="0" w:space="0" w:color="auto"/>
            <w:right w:val="none" w:sz="0" w:space="0" w:color="auto"/>
          </w:divBdr>
          <w:divsChild>
            <w:div w:id="637153158">
              <w:marLeft w:val="0"/>
              <w:marRight w:val="0"/>
              <w:marTop w:val="0"/>
              <w:marBottom w:val="0"/>
              <w:divBdr>
                <w:top w:val="none" w:sz="0" w:space="0" w:color="auto"/>
                <w:left w:val="none" w:sz="0" w:space="0" w:color="auto"/>
                <w:bottom w:val="none" w:sz="0" w:space="0" w:color="auto"/>
                <w:right w:val="none" w:sz="0" w:space="0" w:color="auto"/>
              </w:divBdr>
              <w:divsChild>
                <w:div w:id="2988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990783">
      <w:bodyDiv w:val="1"/>
      <w:marLeft w:val="0"/>
      <w:marRight w:val="0"/>
      <w:marTop w:val="0"/>
      <w:marBottom w:val="0"/>
      <w:divBdr>
        <w:top w:val="none" w:sz="0" w:space="0" w:color="auto"/>
        <w:left w:val="none" w:sz="0" w:space="0" w:color="auto"/>
        <w:bottom w:val="none" w:sz="0" w:space="0" w:color="auto"/>
        <w:right w:val="none" w:sz="0" w:space="0" w:color="auto"/>
      </w:divBdr>
      <w:divsChild>
        <w:div w:id="330062772">
          <w:marLeft w:val="0"/>
          <w:marRight w:val="0"/>
          <w:marTop w:val="0"/>
          <w:marBottom w:val="0"/>
          <w:divBdr>
            <w:top w:val="none" w:sz="0" w:space="0" w:color="auto"/>
            <w:left w:val="none" w:sz="0" w:space="0" w:color="auto"/>
            <w:bottom w:val="none" w:sz="0" w:space="0" w:color="auto"/>
            <w:right w:val="none" w:sz="0" w:space="0" w:color="auto"/>
          </w:divBdr>
          <w:divsChild>
            <w:div w:id="608313430">
              <w:marLeft w:val="0"/>
              <w:marRight w:val="0"/>
              <w:marTop w:val="0"/>
              <w:marBottom w:val="0"/>
              <w:divBdr>
                <w:top w:val="none" w:sz="0" w:space="0" w:color="auto"/>
                <w:left w:val="none" w:sz="0" w:space="0" w:color="auto"/>
                <w:bottom w:val="none" w:sz="0" w:space="0" w:color="auto"/>
                <w:right w:val="none" w:sz="0" w:space="0" w:color="auto"/>
              </w:divBdr>
              <w:divsChild>
                <w:div w:id="17250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42676">
      <w:bodyDiv w:val="1"/>
      <w:marLeft w:val="0"/>
      <w:marRight w:val="0"/>
      <w:marTop w:val="0"/>
      <w:marBottom w:val="0"/>
      <w:divBdr>
        <w:top w:val="none" w:sz="0" w:space="0" w:color="auto"/>
        <w:left w:val="none" w:sz="0" w:space="0" w:color="auto"/>
        <w:bottom w:val="none" w:sz="0" w:space="0" w:color="auto"/>
        <w:right w:val="none" w:sz="0" w:space="0" w:color="auto"/>
      </w:divBdr>
      <w:divsChild>
        <w:div w:id="303201309">
          <w:marLeft w:val="0"/>
          <w:marRight w:val="0"/>
          <w:marTop w:val="0"/>
          <w:marBottom w:val="0"/>
          <w:divBdr>
            <w:top w:val="none" w:sz="0" w:space="0" w:color="auto"/>
            <w:left w:val="none" w:sz="0" w:space="0" w:color="auto"/>
            <w:bottom w:val="none" w:sz="0" w:space="0" w:color="auto"/>
            <w:right w:val="none" w:sz="0" w:space="0" w:color="auto"/>
          </w:divBdr>
          <w:divsChild>
            <w:div w:id="1598978611">
              <w:marLeft w:val="0"/>
              <w:marRight w:val="0"/>
              <w:marTop w:val="0"/>
              <w:marBottom w:val="0"/>
              <w:divBdr>
                <w:top w:val="none" w:sz="0" w:space="0" w:color="auto"/>
                <w:left w:val="none" w:sz="0" w:space="0" w:color="auto"/>
                <w:bottom w:val="none" w:sz="0" w:space="0" w:color="auto"/>
                <w:right w:val="none" w:sz="0" w:space="0" w:color="auto"/>
              </w:divBdr>
              <w:divsChild>
                <w:div w:id="197702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436314">
      <w:bodyDiv w:val="1"/>
      <w:marLeft w:val="0"/>
      <w:marRight w:val="0"/>
      <w:marTop w:val="0"/>
      <w:marBottom w:val="0"/>
      <w:divBdr>
        <w:top w:val="none" w:sz="0" w:space="0" w:color="auto"/>
        <w:left w:val="none" w:sz="0" w:space="0" w:color="auto"/>
        <w:bottom w:val="none" w:sz="0" w:space="0" w:color="auto"/>
        <w:right w:val="none" w:sz="0" w:space="0" w:color="auto"/>
      </w:divBdr>
    </w:div>
    <w:div w:id="565187639">
      <w:bodyDiv w:val="1"/>
      <w:marLeft w:val="0"/>
      <w:marRight w:val="0"/>
      <w:marTop w:val="0"/>
      <w:marBottom w:val="0"/>
      <w:divBdr>
        <w:top w:val="none" w:sz="0" w:space="0" w:color="auto"/>
        <w:left w:val="none" w:sz="0" w:space="0" w:color="auto"/>
        <w:bottom w:val="none" w:sz="0" w:space="0" w:color="auto"/>
        <w:right w:val="none" w:sz="0" w:space="0" w:color="auto"/>
      </w:divBdr>
    </w:div>
    <w:div w:id="615336555">
      <w:bodyDiv w:val="1"/>
      <w:marLeft w:val="0"/>
      <w:marRight w:val="0"/>
      <w:marTop w:val="0"/>
      <w:marBottom w:val="0"/>
      <w:divBdr>
        <w:top w:val="none" w:sz="0" w:space="0" w:color="auto"/>
        <w:left w:val="none" w:sz="0" w:space="0" w:color="auto"/>
        <w:bottom w:val="none" w:sz="0" w:space="0" w:color="auto"/>
        <w:right w:val="none" w:sz="0" w:space="0" w:color="auto"/>
      </w:divBdr>
      <w:divsChild>
        <w:div w:id="1381978652">
          <w:marLeft w:val="0"/>
          <w:marRight w:val="0"/>
          <w:marTop w:val="0"/>
          <w:marBottom w:val="0"/>
          <w:divBdr>
            <w:top w:val="none" w:sz="0" w:space="0" w:color="auto"/>
            <w:left w:val="none" w:sz="0" w:space="0" w:color="auto"/>
            <w:bottom w:val="none" w:sz="0" w:space="0" w:color="auto"/>
            <w:right w:val="none" w:sz="0" w:space="0" w:color="auto"/>
          </w:divBdr>
          <w:divsChild>
            <w:div w:id="1102338266">
              <w:marLeft w:val="0"/>
              <w:marRight w:val="0"/>
              <w:marTop w:val="0"/>
              <w:marBottom w:val="0"/>
              <w:divBdr>
                <w:top w:val="none" w:sz="0" w:space="0" w:color="auto"/>
                <w:left w:val="none" w:sz="0" w:space="0" w:color="auto"/>
                <w:bottom w:val="none" w:sz="0" w:space="0" w:color="auto"/>
                <w:right w:val="none" w:sz="0" w:space="0" w:color="auto"/>
              </w:divBdr>
              <w:divsChild>
                <w:div w:id="180977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97725">
      <w:bodyDiv w:val="1"/>
      <w:marLeft w:val="0"/>
      <w:marRight w:val="0"/>
      <w:marTop w:val="0"/>
      <w:marBottom w:val="0"/>
      <w:divBdr>
        <w:top w:val="none" w:sz="0" w:space="0" w:color="auto"/>
        <w:left w:val="none" w:sz="0" w:space="0" w:color="auto"/>
        <w:bottom w:val="none" w:sz="0" w:space="0" w:color="auto"/>
        <w:right w:val="none" w:sz="0" w:space="0" w:color="auto"/>
      </w:divBdr>
      <w:divsChild>
        <w:div w:id="1738092585">
          <w:marLeft w:val="0"/>
          <w:marRight w:val="0"/>
          <w:marTop w:val="0"/>
          <w:marBottom w:val="0"/>
          <w:divBdr>
            <w:top w:val="none" w:sz="0" w:space="0" w:color="auto"/>
            <w:left w:val="none" w:sz="0" w:space="0" w:color="auto"/>
            <w:bottom w:val="none" w:sz="0" w:space="0" w:color="auto"/>
            <w:right w:val="none" w:sz="0" w:space="0" w:color="auto"/>
          </w:divBdr>
          <w:divsChild>
            <w:div w:id="226694415">
              <w:marLeft w:val="0"/>
              <w:marRight w:val="0"/>
              <w:marTop w:val="0"/>
              <w:marBottom w:val="0"/>
              <w:divBdr>
                <w:top w:val="none" w:sz="0" w:space="0" w:color="auto"/>
                <w:left w:val="none" w:sz="0" w:space="0" w:color="auto"/>
                <w:bottom w:val="none" w:sz="0" w:space="0" w:color="auto"/>
                <w:right w:val="none" w:sz="0" w:space="0" w:color="auto"/>
              </w:divBdr>
              <w:divsChild>
                <w:div w:id="100231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105762">
      <w:bodyDiv w:val="1"/>
      <w:marLeft w:val="0"/>
      <w:marRight w:val="0"/>
      <w:marTop w:val="0"/>
      <w:marBottom w:val="0"/>
      <w:divBdr>
        <w:top w:val="none" w:sz="0" w:space="0" w:color="auto"/>
        <w:left w:val="none" w:sz="0" w:space="0" w:color="auto"/>
        <w:bottom w:val="none" w:sz="0" w:space="0" w:color="auto"/>
        <w:right w:val="none" w:sz="0" w:space="0" w:color="auto"/>
      </w:divBdr>
    </w:div>
    <w:div w:id="679430500">
      <w:bodyDiv w:val="1"/>
      <w:marLeft w:val="0"/>
      <w:marRight w:val="0"/>
      <w:marTop w:val="0"/>
      <w:marBottom w:val="0"/>
      <w:divBdr>
        <w:top w:val="none" w:sz="0" w:space="0" w:color="auto"/>
        <w:left w:val="none" w:sz="0" w:space="0" w:color="auto"/>
        <w:bottom w:val="none" w:sz="0" w:space="0" w:color="auto"/>
        <w:right w:val="none" w:sz="0" w:space="0" w:color="auto"/>
      </w:divBdr>
    </w:div>
    <w:div w:id="713429343">
      <w:bodyDiv w:val="1"/>
      <w:marLeft w:val="0"/>
      <w:marRight w:val="0"/>
      <w:marTop w:val="0"/>
      <w:marBottom w:val="0"/>
      <w:divBdr>
        <w:top w:val="none" w:sz="0" w:space="0" w:color="auto"/>
        <w:left w:val="none" w:sz="0" w:space="0" w:color="auto"/>
        <w:bottom w:val="none" w:sz="0" w:space="0" w:color="auto"/>
        <w:right w:val="none" w:sz="0" w:space="0" w:color="auto"/>
      </w:divBdr>
      <w:divsChild>
        <w:div w:id="1593316858">
          <w:marLeft w:val="0"/>
          <w:marRight w:val="0"/>
          <w:marTop w:val="0"/>
          <w:marBottom w:val="0"/>
          <w:divBdr>
            <w:top w:val="none" w:sz="0" w:space="0" w:color="auto"/>
            <w:left w:val="none" w:sz="0" w:space="0" w:color="auto"/>
            <w:bottom w:val="none" w:sz="0" w:space="0" w:color="auto"/>
            <w:right w:val="none" w:sz="0" w:space="0" w:color="auto"/>
          </w:divBdr>
          <w:divsChild>
            <w:div w:id="958797604">
              <w:marLeft w:val="0"/>
              <w:marRight w:val="0"/>
              <w:marTop w:val="0"/>
              <w:marBottom w:val="0"/>
              <w:divBdr>
                <w:top w:val="none" w:sz="0" w:space="0" w:color="auto"/>
                <w:left w:val="none" w:sz="0" w:space="0" w:color="auto"/>
                <w:bottom w:val="none" w:sz="0" w:space="0" w:color="auto"/>
                <w:right w:val="none" w:sz="0" w:space="0" w:color="auto"/>
              </w:divBdr>
              <w:divsChild>
                <w:div w:id="187873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500867">
      <w:bodyDiv w:val="1"/>
      <w:marLeft w:val="0"/>
      <w:marRight w:val="0"/>
      <w:marTop w:val="0"/>
      <w:marBottom w:val="0"/>
      <w:divBdr>
        <w:top w:val="none" w:sz="0" w:space="0" w:color="auto"/>
        <w:left w:val="none" w:sz="0" w:space="0" w:color="auto"/>
        <w:bottom w:val="none" w:sz="0" w:space="0" w:color="auto"/>
        <w:right w:val="none" w:sz="0" w:space="0" w:color="auto"/>
      </w:divBdr>
    </w:div>
    <w:div w:id="872037454">
      <w:bodyDiv w:val="1"/>
      <w:marLeft w:val="0"/>
      <w:marRight w:val="0"/>
      <w:marTop w:val="0"/>
      <w:marBottom w:val="0"/>
      <w:divBdr>
        <w:top w:val="none" w:sz="0" w:space="0" w:color="auto"/>
        <w:left w:val="none" w:sz="0" w:space="0" w:color="auto"/>
        <w:bottom w:val="none" w:sz="0" w:space="0" w:color="auto"/>
        <w:right w:val="none" w:sz="0" w:space="0" w:color="auto"/>
      </w:divBdr>
      <w:divsChild>
        <w:div w:id="415905510">
          <w:marLeft w:val="0"/>
          <w:marRight w:val="0"/>
          <w:marTop w:val="0"/>
          <w:marBottom w:val="0"/>
          <w:divBdr>
            <w:top w:val="none" w:sz="0" w:space="0" w:color="auto"/>
            <w:left w:val="none" w:sz="0" w:space="0" w:color="auto"/>
            <w:bottom w:val="none" w:sz="0" w:space="0" w:color="auto"/>
            <w:right w:val="none" w:sz="0" w:space="0" w:color="auto"/>
          </w:divBdr>
          <w:divsChild>
            <w:div w:id="1131364029">
              <w:marLeft w:val="0"/>
              <w:marRight w:val="0"/>
              <w:marTop w:val="0"/>
              <w:marBottom w:val="0"/>
              <w:divBdr>
                <w:top w:val="none" w:sz="0" w:space="0" w:color="auto"/>
                <w:left w:val="none" w:sz="0" w:space="0" w:color="auto"/>
                <w:bottom w:val="none" w:sz="0" w:space="0" w:color="auto"/>
                <w:right w:val="none" w:sz="0" w:space="0" w:color="auto"/>
              </w:divBdr>
              <w:divsChild>
                <w:div w:id="1280337365">
                  <w:marLeft w:val="0"/>
                  <w:marRight w:val="0"/>
                  <w:marTop w:val="0"/>
                  <w:marBottom w:val="0"/>
                  <w:divBdr>
                    <w:top w:val="none" w:sz="0" w:space="0" w:color="auto"/>
                    <w:left w:val="none" w:sz="0" w:space="0" w:color="auto"/>
                    <w:bottom w:val="none" w:sz="0" w:space="0" w:color="auto"/>
                    <w:right w:val="none" w:sz="0" w:space="0" w:color="auto"/>
                  </w:divBdr>
                </w:div>
              </w:divsChild>
            </w:div>
            <w:div w:id="767194778">
              <w:marLeft w:val="0"/>
              <w:marRight w:val="0"/>
              <w:marTop w:val="0"/>
              <w:marBottom w:val="0"/>
              <w:divBdr>
                <w:top w:val="none" w:sz="0" w:space="0" w:color="auto"/>
                <w:left w:val="none" w:sz="0" w:space="0" w:color="auto"/>
                <w:bottom w:val="none" w:sz="0" w:space="0" w:color="auto"/>
                <w:right w:val="none" w:sz="0" w:space="0" w:color="auto"/>
              </w:divBdr>
              <w:divsChild>
                <w:div w:id="18436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98302">
      <w:bodyDiv w:val="1"/>
      <w:marLeft w:val="0"/>
      <w:marRight w:val="0"/>
      <w:marTop w:val="0"/>
      <w:marBottom w:val="0"/>
      <w:divBdr>
        <w:top w:val="none" w:sz="0" w:space="0" w:color="auto"/>
        <w:left w:val="none" w:sz="0" w:space="0" w:color="auto"/>
        <w:bottom w:val="none" w:sz="0" w:space="0" w:color="auto"/>
        <w:right w:val="none" w:sz="0" w:space="0" w:color="auto"/>
      </w:divBdr>
    </w:div>
    <w:div w:id="945230216">
      <w:bodyDiv w:val="1"/>
      <w:marLeft w:val="0"/>
      <w:marRight w:val="0"/>
      <w:marTop w:val="0"/>
      <w:marBottom w:val="0"/>
      <w:divBdr>
        <w:top w:val="none" w:sz="0" w:space="0" w:color="auto"/>
        <w:left w:val="none" w:sz="0" w:space="0" w:color="auto"/>
        <w:bottom w:val="none" w:sz="0" w:space="0" w:color="auto"/>
        <w:right w:val="none" w:sz="0" w:space="0" w:color="auto"/>
      </w:divBdr>
      <w:divsChild>
        <w:div w:id="230964019">
          <w:marLeft w:val="0"/>
          <w:marRight w:val="0"/>
          <w:marTop w:val="0"/>
          <w:marBottom w:val="0"/>
          <w:divBdr>
            <w:top w:val="none" w:sz="0" w:space="0" w:color="auto"/>
            <w:left w:val="none" w:sz="0" w:space="0" w:color="auto"/>
            <w:bottom w:val="none" w:sz="0" w:space="0" w:color="auto"/>
            <w:right w:val="none" w:sz="0" w:space="0" w:color="auto"/>
          </w:divBdr>
          <w:divsChild>
            <w:div w:id="1313603995">
              <w:marLeft w:val="0"/>
              <w:marRight w:val="0"/>
              <w:marTop w:val="0"/>
              <w:marBottom w:val="0"/>
              <w:divBdr>
                <w:top w:val="none" w:sz="0" w:space="0" w:color="auto"/>
                <w:left w:val="none" w:sz="0" w:space="0" w:color="auto"/>
                <w:bottom w:val="none" w:sz="0" w:space="0" w:color="auto"/>
                <w:right w:val="none" w:sz="0" w:space="0" w:color="auto"/>
              </w:divBdr>
              <w:divsChild>
                <w:div w:id="38294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742338">
      <w:bodyDiv w:val="1"/>
      <w:marLeft w:val="0"/>
      <w:marRight w:val="0"/>
      <w:marTop w:val="0"/>
      <w:marBottom w:val="0"/>
      <w:divBdr>
        <w:top w:val="none" w:sz="0" w:space="0" w:color="auto"/>
        <w:left w:val="none" w:sz="0" w:space="0" w:color="auto"/>
        <w:bottom w:val="none" w:sz="0" w:space="0" w:color="auto"/>
        <w:right w:val="none" w:sz="0" w:space="0" w:color="auto"/>
      </w:divBdr>
      <w:divsChild>
        <w:div w:id="1125126453">
          <w:marLeft w:val="0"/>
          <w:marRight w:val="0"/>
          <w:marTop w:val="0"/>
          <w:marBottom w:val="0"/>
          <w:divBdr>
            <w:top w:val="none" w:sz="0" w:space="0" w:color="auto"/>
            <w:left w:val="none" w:sz="0" w:space="0" w:color="auto"/>
            <w:bottom w:val="none" w:sz="0" w:space="0" w:color="auto"/>
            <w:right w:val="none" w:sz="0" w:space="0" w:color="auto"/>
          </w:divBdr>
          <w:divsChild>
            <w:div w:id="1475441203">
              <w:marLeft w:val="0"/>
              <w:marRight w:val="0"/>
              <w:marTop w:val="0"/>
              <w:marBottom w:val="0"/>
              <w:divBdr>
                <w:top w:val="none" w:sz="0" w:space="0" w:color="auto"/>
                <w:left w:val="none" w:sz="0" w:space="0" w:color="auto"/>
                <w:bottom w:val="none" w:sz="0" w:space="0" w:color="auto"/>
                <w:right w:val="none" w:sz="0" w:space="0" w:color="auto"/>
              </w:divBdr>
              <w:divsChild>
                <w:div w:id="79803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362239">
      <w:bodyDiv w:val="1"/>
      <w:marLeft w:val="0"/>
      <w:marRight w:val="0"/>
      <w:marTop w:val="0"/>
      <w:marBottom w:val="0"/>
      <w:divBdr>
        <w:top w:val="none" w:sz="0" w:space="0" w:color="auto"/>
        <w:left w:val="none" w:sz="0" w:space="0" w:color="auto"/>
        <w:bottom w:val="none" w:sz="0" w:space="0" w:color="auto"/>
        <w:right w:val="none" w:sz="0" w:space="0" w:color="auto"/>
      </w:divBdr>
      <w:divsChild>
        <w:div w:id="434176502">
          <w:marLeft w:val="0"/>
          <w:marRight w:val="0"/>
          <w:marTop w:val="0"/>
          <w:marBottom w:val="0"/>
          <w:divBdr>
            <w:top w:val="none" w:sz="0" w:space="0" w:color="auto"/>
            <w:left w:val="none" w:sz="0" w:space="0" w:color="auto"/>
            <w:bottom w:val="none" w:sz="0" w:space="0" w:color="auto"/>
            <w:right w:val="none" w:sz="0" w:space="0" w:color="auto"/>
          </w:divBdr>
          <w:divsChild>
            <w:div w:id="2127432505">
              <w:marLeft w:val="0"/>
              <w:marRight w:val="0"/>
              <w:marTop w:val="0"/>
              <w:marBottom w:val="0"/>
              <w:divBdr>
                <w:top w:val="none" w:sz="0" w:space="0" w:color="auto"/>
                <w:left w:val="none" w:sz="0" w:space="0" w:color="auto"/>
                <w:bottom w:val="none" w:sz="0" w:space="0" w:color="auto"/>
                <w:right w:val="none" w:sz="0" w:space="0" w:color="auto"/>
              </w:divBdr>
              <w:divsChild>
                <w:div w:id="1981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093376">
      <w:bodyDiv w:val="1"/>
      <w:marLeft w:val="0"/>
      <w:marRight w:val="0"/>
      <w:marTop w:val="0"/>
      <w:marBottom w:val="0"/>
      <w:divBdr>
        <w:top w:val="none" w:sz="0" w:space="0" w:color="auto"/>
        <w:left w:val="none" w:sz="0" w:space="0" w:color="auto"/>
        <w:bottom w:val="none" w:sz="0" w:space="0" w:color="auto"/>
        <w:right w:val="none" w:sz="0" w:space="0" w:color="auto"/>
      </w:divBdr>
      <w:divsChild>
        <w:div w:id="1901944743">
          <w:marLeft w:val="0"/>
          <w:marRight w:val="0"/>
          <w:marTop w:val="0"/>
          <w:marBottom w:val="0"/>
          <w:divBdr>
            <w:top w:val="none" w:sz="0" w:space="0" w:color="auto"/>
            <w:left w:val="none" w:sz="0" w:space="0" w:color="auto"/>
            <w:bottom w:val="none" w:sz="0" w:space="0" w:color="auto"/>
            <w:right w:val="none" w:sz="0" w:space="0" w:color="auto"/>
          </w:divBdr>
          <w:divsChild>
            <w:div w:id="2030985479">
              <w:marLeft w:val="0"/>
              <w:marRight w:val="0"/>
              <w:marTop w:val="0"/>
              <w:marBottom w:val="0"/>
              <w:divBdr>
                <w:top w:val="none" w:sz="0" w:space="0" w:color="auto"/>
                <w:left w:val="none" w:sz="0" w:space="0" w:color="auto"/>
                <w:bottom w:val="none" w:sz="0" w:space="0" w:color="auto"/>
                <w:right w:val="none" w:sz="0" w:space="0" w:color="auto"/>
              </w:divBdr>
              <w:divsChild>
                <w:div w:id="193975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291689">
      <w:bodyDiv w:val="1"/>
      <w:marLeft w:val="0"/>
      <w:marRight w:val="0"/>
      <w:marTop w:val="0"/>
      <w:marBottom w:val="0"/>
      <w:divBdr>
        <w:top w:val="none" w:sz="0" w:space="0" w:color="auto"/>
        <w:left w:val="none" w:sz="0" w:space="0" w:color="auto"/>
        <w:bottom w:val="none" w:sz="0" w:space="0" w:color="auto"/>
        <w:right w:val="none" w:sz="0" w:space="0" w:color="auto"/>
      </w:divBdr>
      <w:divsChild>
        <w:div w:id="779182415">
          <w:marLeft w:val="0"/>
          <w:marRight w:val="0"/>
          <w:marTop w:val="0"/>
          <w:marBottom w:val="0"/>
          <w:divBdr>
            <w:top w:val="none" w:sz="0" w:space="0" w:color="auto"/>
            <w:left w:val="none" w:sz="0" w:space="0" w:color="auto"/>
            <w:bottom w:val="none" w:sz="0" w:space="0" w:color="auto"/>
            <w:right w:val="none" w:sz="0" w:space="0" w:color="auto"/>
          </w:divBdr>
          <w:divsChild>
            <w:div w:id="403451188">
              <w:marLeft w:val="0"/>
              <w:marRight w:val="0"/>
              <w:marTop w:val="0"/>
              <w:marBottom w:val="0"/>
              <w:divBdr>
                <w:top w:val="none" w:sz="0" w:space="0" w:color="auto"/>
                <w:left w:val="none" w:sz="0" w:space="0" w:color="auto"/>
                <w:bottom w:val="none" w:sz="0" w:space="0" w:color="auto"/>
                <w:right w:val="none" w:sz="0" w:space="0" w:color="auto"/>
              </w:divBdr>
              <w:divsChild>
                <w:div w:id="676930533">
                  <w:marLeft w:val="0"/>
                  <w:marRight w:val="0"/>
                  <w:marTop w:val="0"/>
                  <w:marBottom w:val="0"/>
                  <w:divBdr>
                    <w:top w:val="none" w:sz="0" w:space="0" w:color="auto"/>
                    <w:left w:val="none" w:sz="0" w:space="0" w:color="auto"/>
                    <w:bottom w:val="none" w:sz="0" w:space="0" w:color="auto"/>
                    <w:right w:val="none" w:sz="0" w:space="0" w:color="auto"/>
                  </w:divBdr>
                  <w:divsChild>
                    <w:div w:id="112187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659721">
      <w:bodyDiv w:val="1"/>
      <w:marLeft w:val="0"/>
      <w:marRight w:val="0"/>
      <w:marTop w:val="0"/>
      <w:marBottom w:val="0"/>
      <w:divBdr>
        <w:top w:val="none" w:sz="0" w:space="0" w:color="auto"/>
        <w:left w:val="none" w:sz="0" w:space="0" w:color="auto"/>
        <w:bottom w:val="none" w:sz="0" w:space="0" w:color="auto"/>
        <w:right w:val="none" w:sz="0" w:space="0" w:color="auto"/>
      </w:divBdr>
      <w:divsChild>
        <w:div w:id="305671226">
          <w:marLeft w:val="0"/>
          <w:marRight w:val="0"/>
          <w:marTop w:val="0"/>
          <w:marBottom w:val="0"/>
          <w:divBdr>
            <w:top w:val="none" w:sz="0" w:space="0" w:color="auto"/>
            <w:left w:val="none" w:sz="0" w:space="0" w:color="auto"/>
            <w:bottom w:val="none" w:sz="0" w:space="0" w:color="auto"/>
            <w:right w:val="none" w:sz="0" w:space="0" w:color="auto"/>
          </w:divBdr>
          <w:divsChild>
            <w:div w:id="592325592">
              <w:marLeft w:val="0"/>
              <w:marRight w:val="0"/>
              <w:marTop w:val="0"/>
              <w:marBottom w:val="0"/>
              <w:divBdr>
                <w:top w:val="none" w:sz="0" w:space="0" w:color="auto"/>
                <w:left w:val="none" w:sz="0" w:space="0" w:color="auto"/>
                <w:bottom w:val="none" w:sz="0" w:space="0" w:color="auto"/>
                <w:right w:val="none" w:sz="0" w:space="0" w:color="auto"/>
              </w:divBdr>
              <w:divsChild>
                <w:div w:id="12624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824143">
      <w:bodyDiv w:val="1"/>
      <w:marLeft w:val="0"/>
      <w:marRight w:val="0"/>
      <w:marTop w:val="0"/>
      <w:marBottom w:val="0"/>
      <w:divBdr>
        <w:top w:val="none" w:sz="0" w:space="0" w:color="auto"/>
        <w:left w:val="none" w:sz="0" w:space="0" w:color="auto"/>
        <w:bottom w:val="none" w:sz="0" w:space="0" w:color="auto"/>
        <w:right w:val="none" w:sz="0" w:space="0" w:color="auto"/>
      </w:divBdr>
      <w:divsChild>
        <w:div w:id="1904442919">
          <w:marLeft w:val="0"/>
          <w:marRight w:val="0"/>
          <w:marTop w:val="0"/>
          <w:marBottom w:val="0"/>
          <w:divBdr>
            <w:top w:val="none" w:sz="0" w:space="0" w:color="auto"/>
            <w:left w:val="none" w:sz="0" w:space="0" w:color="auto"/>
            <w:bottom w:val="none" w:sz="0" w:space="0" w:color="auto"/>
            <w:right w:val="none" w:sz="0" w:space="0" w:color="auto"/>
          </w:divBdr>
          <w:divsChild>
            <w:div w:id="56822351">
              <w:marLeft w:val="0"/>
              <w:marRight w:val="0"/>
              <w:marTop w:val="0"/>
              <w:marBottom w:val="0"/>
              <w:divBdr>
                <w:top w:val="none" w:sz="0" w:space="0" w:color="auto"/>
                <w:left w:val="none" w:sz="0" w:space="0" w:color="auto"/>
                <w:bottom w:val="none" w:sz="0" w:space="0" w:color="auto"/>
                <w:right w:val="none" w:sz="0" w:space="0" w:color="auto"/>
              </w:divBdr>
              <w:divsChild>
                <w:div w:id="187853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595672">
      <w:bodyDiv w:val="1"/>
      <w:marLeft w:val="0"/>
      <w:marRight w:val="0"/>
      <w:marTop w:val="0"/>
      <w:marBottom w:val="0"/>
      <w:divBdr>
        <w:top w:val="none" w:sz="0" w:space="0" w:color="auto"/>
        <w:left w:val="none" w:sz="0" w:space="0" w:color="auto"/>
        <w:bottom w:val="none" w:sz="0" w:space="0" w:color="auto"/>
        <w:right w:val="none" w:sz="0" w:space="0" w:color="auto"/>
      </w:divBdr>
    </w:div>
    <w:div w:id="1098525575">
      <w:bodyDiv w:val="1"/>
      <w:marLeft w:val="0"/>
      <w:marRight w:val="0"/>
      <w:marTop w:val="0"/>
      <w:marBottom w:val="0"/>
      <w:divBdr>
        <w:top w:val="none" w:sz="0" w:space="0" w:color="auto"/>
        <w:left w:val="none" w:sz="0" w:space="0" w:color="auto"/>
        <w:bottom w:val="none" w:sz="0" w:space="0" w:color="auto"/>
        <w:right w:val="none" w:sz="0" w:space="0" w:color="auto"/>
      </w:divBdr>
      <w:divsChild>
        <w:div w:id="1175535375">
          <w:marLeft w:val="0"/>
          <w:marRight w:val="0"/>
          <w:marTop w:val="0"/>
          <w:marBottom w:val="0"/>
          <w:divBdr>
            <w:top w:val="none" w:sz="0" w:space="0" w:color="auto"/>
            <w:left w:val="none" w:sz="0" w:space="0" w:color="auto"/>
            <w:bottom w:val="none" w:sz="0" w:space="0" w:color="auto"/>
            <w:right w:val="none" w:sz="0" w:space="0" w:color="auto"/>
          </w:divBdr>
          <w:divsChild>
            <w:div w:id="124738244">
              <w:marLeft w:val="0"/>
              <w:marRight w:val="0"/>
              <w:marTop w:val="0"/>
              <w:marBottom w:val="0"/>
              <w:divBdr>
                <w:top w:val="none" w:sz="0" w:space="0" w:color="auto"/>
                <w:left w:val="none" w:sz="0" w:space="0" w:color="auto"/>
                <w:bottom w:val="none" w:sz="0" w:space="0" w:color="auto"/>
                <w:right w:val="none" w:sz="0" w:space="0" w:color="auto"/>
              </w:divBdr>
              <w:divsChild>
                <w:div w:id="85283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15052">
      <w:bodyDiv w:val="1"/>
      <w:marLeft w:val="0"/>
      <w:marRight w:val="0"/>
      <w:marTop w:val="0"/>
      <w:marBottom w:val="0"/>
      <w:divBdr>
        <w:top w:val="none" w:sz="0" w:space="0" w:color="auto"/>
        <w:left w:val="none" w:sz="0" w:space="0" w:color="auto"/>
        <w:bottom w:val="none" w:sz="0" w:space="0" w:color="auto"/>
        <w:right w:val="none" w:sz="0" w:space="0" w:color="auto"/>
      </w:divBdr>
    </w:div>
    <w:div w:id="1101147697">
      <w:bodyDiv w:val="1"/>
      <w:marLeft w:val="0"/>
      <w:marRight w:val="0"/>
      <w:marTop w:val="0"/>
      <w:marBottom w:val="0"/>
      <w:divBdr>
        <w:top w:val="none" w:sz="0" w:space="0" w:color="auto"/>
        <w:left w:val="none" w:sz="0" w:space="0" w:color="auto"/>
        <w:bottom w:val="none" w:sz="0" w:space="0" w:color="auto"/>
        <w:right w:val="none" w:sz="0" w:space="0" w:color="auto"/>
      </w:divBdr>
      <w:divsChild>
        <w:div w:id="1620839076">
          <w:marLeft w:val="0"/>
          <w:marRight w:val="0"/>
          <w:marTop w:val="0"/>
          <w:marBottom w:val="0"/>
          <w:divBdr>
            <w:top w:val="none" w:sz="0" w:space="0" w:color="auto"/>
            <w:left w:val="none" w:sz="0" w:space="0" w:color="auto"/>
            <w:bottom w:val="none" w:sz="0" w:space="0" w:color="auto"/>
            <w:right w:val="none" w:sz="0" w:space="0" w:color="auto"/>
          </w:divBdr>
          <w:divsChild>
            <w:div w:id="1696076587">
              <w:marLeft w:val="0"/>
              <w:marRight w:val="0"/>
              <w:marTop w:val="0"/>
              <w:marBottom w:val="0"/>
              <w:divBdr>
                <w:top w:val="none" w:sz="0" w:space="0" w:color="auto"/>
                <w:left w:val="none" w:sz="0" w:space="0" w:color="auto"/>
                <w:bottom w:val="none" w:sz="0" w:space="0" w:color="auto"/>
                <w:right w:val="none" w:sz="0" w:space="0" w:color="auto"/>
              </w:divBdr>
              <w:divsChild>
                <w:div w:id="137542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337504">
      <w:bodyDiv w:val="1"/>
      <w:marLeft w:val="0"/>
      <w:marRight w:val="0"/>
      <w:marTop w:val="0"/>
      <w:marBottom w:val="0"/>
      <w:divBdr>
        <w:top w:val="none" w:sz="0" w:space="0" w:color="auto"/>
        <w:left w:val="none" w:sz="0" w:space="0" w:color="auto"/>
        <w:bottom w:val="none" w:sz="0" w:space="0" w:color="auto"/>
        <w:right w:val="none" w:sz="0" w:space="0" w:color="auto"/>
      </w:divBdr>
      <w:divsChild>
        <w:div w:id="844632811">
          <w:marLeft w:val="0"/>
          <w:marRight w:val="0"/>
          <w:marTop w:val="0"/>
          <w:marBottom w:val="0"/>
          <w:divBdr>
            <w:top w:val="none" w:sz="0" w:space="0" w:color="auto"/>
            <w:left w:val="none" w:sz="0" w:space="0" w:color="auto"/>
            <w:bottom w:val="none" w:sz="0" w:space="0" w:color="auto"/>
            <w:right w:val="none" w:sz="0" w:space="0" w:color="auto"/>
          </w:divBdr>
          <w:divsChild>
            <w:div w:id="855846156">
              <w:marLeft w:val="0"/>
              <w:marRight w:val="0"/>
              <w:marTop w:val="0"/>
              <w:marBottom w:val="0"/>
              <w:divBdr>
                <w:top w:val="none" w:sz="0" w:space="0" w:color="auto"/>
                <w:left w:val="none" w:sz="0" w:space="0" w:color="auto"/>
                <w:bottom w:val="none" w:sz="0" w:space="0" w:color="auto"/>
                <w:right w:val="none" w:sz="0" w:space="0" w:color="auto"/>
              </w:divBdr>
              <w:divsChild>
                <w:div w:id="2024817640">
                  <w:marLeft w:val="0"/>
                  <w:marRight w:val="0"/>
                  <w:marTop w:val="0"/>
                  <w:marBottom w:val="0"/>
                  <w:divBdr>
                    <w:top w:val="none" w:sz="0" w:space="0" w:color="auto"/>
                    <w:left w:val="none" w:sz="0" w:space="0" w:color="auto"/>
                    <w:bottom w:val="none" w:sz="0" w:space="0" w:color="auto"/>
                    <w:right w:val="none" w:sz="0" w:space="0" w:color="auto"/>
                  </w:divBdr>
                  <w:divsChild>
                    <w:div w:id="68540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916356">
      <w:bodyDiv w:val="1"/>
      <w:marLeft w:val="0"/>
      <w:marRight w:val="0"/>
      <w:marTop w:val="0"/>
      <w:marBottom w:val="0"/>
      <w:divBdr>
        <w:top w:val="none" w:sz="0" w:space="0" w:color="auto"/>
        <w:left w:val="none" w:sz="0" w:space="0" w:color="auto"/>
        <w:bottom w:val="none" w:sz="0" w:space="0" w:color="auto"/>
        <w:right w:val="none" w:sz="0" w:space="0" w:color="auto"/>
      </w:divBdr>
      <w:divsChild>
        <w:div w:id="1194879562">
          <w:marLeft w:val="0"/>
          <w:marRight w:val="0"/>
          <w:marTop w:val="0"/>
          <w:marBottom w:val="0"/>
          <w:divBdr>
            <w:top w:val="none" w:sz="0" w:space="0" w:color="auto"/>
            <w:left w:val="none" w:sz="0" w:space="0" w:color="auto"/>
            <w:bottom w:val="none" w:sz="0" w:space="0" w:color="auto"/>
            <w:right w:val="none" w:sz="0" w:space="0" w:color="auto"/>
          </w:divBdr>
          <w:divsChild>
            <w:div w:id="2008243396">
              <w:marLeft w:val="0"/>
              <w:marRight w:val="0"/>
              <w:marTop w:val="0"/>
              <w:marBottom w:val="0"/>
              <w:divBdr>
                <w:top w:val="none" w:sz="0" w:space="0" w:color="auto"/>
                <w:left w:val="none" w:sz="0" w:space="0" w:color="auto"/>
                <w:bottom w:val="none" w:sz="0" w:space="0" w:color="auto"/>
                <w:right w:val="none" w:sz="0" w:space="0" w:color="auto"/>
              </w:divBdr>
              <w:divsChild>
                <w:div w:id="614018785">
                  <w:marLeft w:val="0"/>
                  <w:marRight w:val="0"/>
                  <w:marTop w:val="0"/>
                  <w:marBottom w:val="0"/>
                  <w:divBdr>
                    <w:top w:val="none" w:sz="0" w:space="0" w:color="auto"/>
                    <w:left w:val="none" w:sz="0" w:space="0" w:color="auto"/>
                    <w:bottom w:val="none" w:sz="0" w:space="0" w:color="auto"/>
                    <w:right w:val="none" w:sz="0" w:space="0" w:color="auto"/>
                  </w:divBdr>
                </w:div>
              </w:divsChild>
            </w:div>
            <w:div w:id="364986991">
              <w:marLeft w:val="0"/>
              <w:marRight w:val="0"/>
              <w:marTop w:val="0"/>
              <w:marBottom w:val="0"/>
              <w:divBdr>
                <w:top w:val="none" w:sz="0" w:space="0" w:color="auto"/>
                <w:left w:val="none" w:sz="0" w:space="0" w:color="auto"/>
                <w:bottom w:val="none" w:sz="0" w:space="0" w:color="auto"/>
                <w:right w:val="none" w:sz="0" w:space="0" w:color="auto"/>
              </w:divBdr>
              <w:divsChild>
                <w:div w:id="156548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369059">
      <w:bodyDiv w:val="1"/>
      <w:marLeft w:val="0"/>
      <w:marRight w:val="0"/>
      <w:marTop w:val="0"/>
      <w:marBottom w:val="0"/>
      <w:divBdr>
        <w:top w:val="none" w:sz="0" w:space="0" w:color="auto"/>
        <w:left w:val="none" w:sz="0" w:space="0" w:color="auto"/>
        <w:bottom w:val="none" w:sz="0" w:space="0" w:color="auto"/>
        <w:right w:val="none" w:sz="0" w:space="0" w:color="auto"/>
      </w:divBdr>
      <w:divsChild>
        <w:div w:id="1037241767">
          <w:marLeft w:val="0"/>
          <w:marRight w:val="0"/>
          <w:marTop w:val="0"/>
          <w:marBottom w:val="0"/>
          <w:divBdr>
            <w:top w:val="none" w:sz="0" w:space="0" w:color="auto"/>
            <w:left w:val="none" w:sz="0" w:space="0" w:color="auto"/>
            <w:bottom w:val="none" w:sz="0" w:space="0" w:color="auto"/>
            <w:right w:val="none" w:sz="0" w:space="0" w:color="auto"/>
          </w:divBdr>
          <w:divsChild>
            <w:div w:id="1937591223">
              <w:marLeft w:val="0"/>
              <w:marRight w:val="0"/>
              <w:marTop w:val="0"/>
              <w:marBottom w:val="0"/>
              <w:divBdr>
                <w:top w:val="none" w:sz="0" w:space="0" w:color="auto"/>
                <w:left w:val="none" w:sz="0" w:space="0" w:color="auto"/>
                <w:bottom w:val="none" w:sz="0" w:space="0" w:color="auto"/>
                <w:right w:val="none" w:sz="0" w:space="0" w:color="auto"/>
              </w:divBdr>
              <w:divsChild>
                <w:div w:id="19529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778771">
      <w:bodyDiv w:val="1"/>
      <w:marLeft w:val="0"/>
      <w:marRight w:val="0"/>
      <w:marTop w:val="0"/>
      <w:marBottom w:val="0"/>
      <w:divBdr>
        <w:top w:val="none" w:sz="0" w:space="0" w:color="auto"/>
        <w:left w:val="none" w:sz="0" w:space="0" w:color="auto"/>
        <w:bottom w:val="none" w:sz="0" w:space="0" w:color="auto"/>
        <w:right w:val="none" w:sz="0" w:space="0" w:color="auto"/>
      </w:divBdr>
      <w:divsChild>
        <w:div w:id="171262378">
          <w:marLeft w:val="0"/>
          <w:marRight w:val="0"/>
          <w:marTop w:val="0"/>
          <w:marBottom w:val="0"/>
          <w:divBdr>
            <w:top w:val="none" w:sz="0" w:space="0" w:color="auto"/>
            <w:left w:val="none" w:sz="0" w:space="0" w:color="auto"/>
            <w:bottom w:val="none" w:sz="0" w:space="0" w:color="auto"/>
            <w:right w:val="none" w:sz="0" w:space="0" w:color="auto"/>
          </w:divBdr>
          <w:divsChild>
            <w:div w:id="166527787">
              <w:marLeft w:val="0"/>
              <w:marRight w:val="0"/>
              <w:marTop w:val="0"/>
              <w:marBottom w:val="0"/>
              <w:divBdr>
                <w:top w:val="none" w:sz="0" w:space="0" w:color="auto"/>
                <w:left w:val="none" w:sz="0" w:space="0" w:color="auto"/>
                <w:bottom w:val="none" w:sz="0" w:space="0" w:color="auto"/>
                <w:right w:val="none" w:sz="0" w:space="0" w:color="auto"/>
              </w:divBdr>
              <w:divsChild>
                <w:div w:id="1743915326">
                  <w:marLeft w:val="0"/>
                  <w:marRight w:val="0"/>
                  <w:marTop w:val="0"/>
                  <w:marBottom w:val="0"/>
                  <w:divBdr>
                    <w:top w:val="none" w:sz="0" w:space="0" w:color="auto"/>
                    <w:left w:val="none" w:sz="0" w:space="0" w:color="auto"/>
                    <w:bottom w:val="none" w:sz="0" w:space="0" w:color="auto"/>
                    <w:right w:val="none" w:sz="0" w:space="0" w:color="auto"/>
                  </w:divBdr>
                  <w:divsChild>
                    <w:div w:id="208182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103925">
      <w:bodyDiv w:val="1"/>
      <w:marLeft w:val="0"/>
      <w:marRight w:val="0"/>
      <w:marTop w:val="0"/>
      <w:marBottom w:val="0"/>
      <w:divBdr>
        <w:top w:val="none" w:sz="0" w:space="0" w:color="auto"/>
        <w:left w:val="none" w:sz="0" w:space="0" w:color="auto"/>
        <w:bottom w:val="none" w:sz="0" w:space="0" w:color="auto"/>
        <w:right w:val="none" w:sz="0" w:space="0" w:color="auto"/>
      </w:divBdr>
      <w:divsChild>
        <w:div w:id="1937472469">
          <w:marLeft w:val="0"/>
          <w:marRight w:val="0"/>
          <w:marTop w:val="0"/>
          <w:marBottom w:val="0"/>
          <w:divBdr>
            <w:top w:val="none" w:sz="0" w:space="0" w:color="auto"/>
            <w:left w:val="none" w:sz="0" w:space="0" w:color="auto"/>
            <w:bottom w:val="none" w:sz="0" w:space="0" w:color="auto"/>
            <w:right w:val="none" w:sz="0" w:space="0" w:color="auto"/>
          </w:divBdr>
          <w:divsChild>
            <w:div w:id="784076794">
              <w:marLeft w:val="0"/>
              <w:marRight w:val="0"/>
              <w:marTop w:val="0"/>
              <w:marBottom w:val="0"/>
              <w:divBdr>
                <w:top w:val="none" w:sz="0" w:space="0" w:color="auto"/>
                <w:left w:val="none" w:sz="0" w:space="0" w:color="auto"/>
                <w:bottom w:val="none" w:sz="0" w:space="0" w:color="auto"/>
                <w:right w:val="none" w:sz="0" w:space="0" w:color="auto"/>
              </w:divBdr>
              <w:divsChild>
                <w:div w:id="161929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875516">
      <w:bodyDiv w:val="1"/>
      <w:marLeft w:val="0"/>
      <w:marRight w:val="0"/>
      <w:marTop w:val="0"/>
      <w:marBottom w:val="0"/>
      <w:divBdr>
        <w:top w:val="none" w:sz="0" w:space="0" w:color="auto"/>
        <w:left w:val="none" w:sz="0" w:space="0" w:color="auto"/>
        <w:bottom w:val="none" w:sz="0" w:space="0" w:color="auto"/>
        <w:right w:val="none" w:sz="0" w:space="0" w:color="auto"/>
      </w:divBdr>
      <w:divsChild>
        <w:div w:id="1508642442">
          <w:marLeft w:val="0"/>
          <w:marRight w:val="0"/>
          <w:marTop w:val="0"/>
          <w:marBottom w:val="0"/>
          <w:divBdr>
            <w:top w:val="none" w:sz="0" w:space="0" w:color="auto"/>
            <w:left w:val="none" w:sz="0" w:space="0" w:color="auto"/>
            <w:bottom w:val="none" w:sz="0" w:space="0" w:color="auto"/>
            <w:right w:val="none" w:sz="0" w:space="0" w:color="auto"/>
          </w:divBdr>
          <w:divsChild>
            <w:div w:id="1822696753">
              <w:marLeft w:val="0"/>
              <w:marRight w:val="0"/>
              <w:marTop w:val="0"/>
              <w:marBottom w:val="0"/>
              <w:divBdr>
                <w:top w:val="none" w:sz="0" w:space="0" w:color="auto"/>
                <w:left w:val="none" w:sz="0" w:space="0" w:color="auto"/>
                <w:bottom w:val="none" w:sz="0" w:space="0" w:color="auto"/>
                <w:right w:val="none" w:sz="0" w:space="0" w:color="auto"/>
              </w:divBdr>
              <w:divsChild>
                <w:div w:id="146003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99725">
      <w:bodyDiv w:val="1"/>
      <w:marLeft w:val="0"/>
      <w:marRight w:val="0"/>
      <w:marTop w:val="0"/>
      <w:marBottom w:val="0"/>
      <w:divBdr>
        <w:top w:val="none" w:sz="0" w:space="0" w:color="auto"/>
        <w:left w:val="none" w:sz="0" w:space="0" w:color="auto"/>
        <w:bottom w:val="none" w:sz="0" w:space="0" w:color="auto"/>
        <w:right w:val="none" w:sz="0" w:space="0" w:color="auto"/>
      </w:divBdr>
      <w:divsChild>
        <w:div w:id="1826388078">
          <w:marLeft w:val="0"/>
          <w:marRight w:val="0"/>
          <w:marTop w:val="0"/>
          <w:marBottom w:val="0"/>
          <w:divBdr>
            <w:top w:val="none" w:sz="0" w:space="0" w:color="auto"/>
            <w:left w:val="none" w:sz="0" w:space="0" w:color="auto"/>
            <w:bottom w:val="none" w:sz="0" w:space="0" w:color="auto"/>
            <w:right w:val="none" w:sz="0" w:space="0" w:color="auto"/>
          </w:divBdr>
          <w:divsChild>
            <w:div w:id="1165974240">
              <w:marLeft w:val="0"/>
              <w:marRight w:val="0"/>
              <w:marTop w:val="0"/>
              <w:marBottom w:val="0"/>
              <w:divBdr>
                <w:top w:val="none" w:sz="0" w:space="0" w:color="auto"/>
                <w:left w:val="none" w:sz="0" w:space="0" w:color="auto"/>
                <w:bottom w:val="none" w:sz="0" w:space="0" w:color="auto"/>
                <w:right w:val="none" w:sz="0" w:space="0" w:color="auto"/>
              </w:divBdr>
              <w:divsChild>
                <w:div w:id="165703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560667">
      <w:bodyDiv w:val="1"/>
      <w:marLeft w:val="0"/>
      <w:marRight w:val="0"/>
      <w:marTop w:val="0"/>
      <w:marBottom w:val="0"/>
      <w:divBdr>
        <w:top w:val="none" w:sz="0" w:space="0" w:color="auto"/>
        <w:left w:val="none" w:sz="0" w:space="0" w:color="auto"/>
        <w:bottom w:val="none" w:sz="0" w:space="0" w:color="auto"/>
        <w:right w:val="none" w:sz="0" w:space="0" w:color="auto"/>
      </w:divBdr>
    </w:div>
    <w:div w:id="1262833616">
      <w:bodyDiv w:val="1"/>
      <w:marLeft w:val="0"/>
      <w:marRight w:val="0"/>
      <w:marTop w:val="0"/>
      <w:marBottom w:val="0"/>
      <w:divBdr>
        <w:top w:val="none" w:sz="0" w:space="0" w:color="auto"/>
        <w:left w:val="none" w:sz="0" w:space="0" w:color="auto"/>
        <w:bottom w:val="none" w:sz="0" w:space="0" w:color="auto"/>
        <w:right w:val="none" w:sz="0" w:space="0" w:color="auto"/>
      </w:divBdr>
      <w:divsChild>
        <w:div w:id="658271311">
          <w:marLeft w:val="0"/>
          <w:marRight w:val="0"/>
          <w:marTop w:val="0"/>
          <w:marBottom w:val="0"/>
          <w:divBdr>
            <w:top w:val="none" w:sz="0" w:space="0" w:color="auto"/>
            <w:left w:val="none" w:sz="0" w:space="0" w:color="auto"/>
            <w:bottom w:val="none" w:sz="0" w:space="0" w:color="auto"/>
            <w:right w:val="none" w:sz="0" w:space="0" w:color="auto"/>
          </w:divBdr>
          <w:divsChild>
            <w:div w:id="491793449">
              <w:marLeft w:val="0"/>
              <w:marRight w:val="0"/>
              <w:marTop w:val="0"/>
              <w:marBottom w:val="0"/>
              <w:divBdr>
                <w:top w:val="none" w:sz="0" w:space="0" w:color="auto"/>
                <w:left w:val="none" w:sz="0" w:space="0" w:color="auto"/>
                <w:bottom w:val="none" w:sz="0" w:space="0" w:color="auto"/>
                <w:right w:val="none" w:sz="0" w:space="0" w:color="auto"/>
              </w:divBdr>
              <w:divsChild>
                <w:div w:id="195691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233258">
      <w:bodyDiv w:val="1"/>
      <w:marLeft w:val="0"/>
      <w:marRight w:val="0"/>
      <w:marTop w:val="0"/>
      <w:marBottom w:val="0"/>
      <w:divBdr>
        <w:top w:val="none" w:sz="0" w:space="0" w:color="auto"/>
        <w:left w:val="none" w:sz="0" w:space="0" w:color="auto"/>
        <w:bottom w:val="none" w:sz="0" w:space="0" w:color="auto"/>
        <w:right w:val="none" w:sz="0" w:space="0" w:color="auto"/>
      </w:divBdr>
      <w:divsChild>
        <w:div w:id="187304749">
          <w:marLeft w:val="0"/>
          <w:marRight w:val="0"/>
          <w:marTop w:val="0"/>
          <w:marBottom w:val="0"/>
          <w:divBdr>
            <w:top w:val="none" w:sz="0" w:space="0" w:color="auto"/>
            <w:left w:val="none" w:sz="0" w:space="0" w:color="auto"/>
            <w:bottom w:val="none" w:sz="0" w:space="0" w:color="auto"/>
            <w:right w:val="none" w:sz="0" w:space="0" w:color="auto"/>
          </w:divBdr>
          <w:divsChild>
            <w:div w:id="1366369620">
              <w:marLeft w:val="0"/>
              <w:marRight w:val="0"/>
              <w:marTop w:val="0"/>
              <w:marBottom w:val="0"/>
              <w:divBdr>
                <w:top w:val="none" w:sz="0" w:space="0" w:color="auto"/>
                <w:left w:val="none" w:sz="0" w:space="0" w:color="auto"/>
                <w:bottom w:val="none" w:sz="0" w:space="0" w:color="auto"/>
                <w:right w:val="none" w:sz="0" w:space="0" w:color="auto"/>
              </w:divBdr>
              <w:divsChild>
                <w:div w:id="177216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655431">
      <w:bodyDiv w:val="1"/>
      <w:marLeft w:val="0"/>
      <w:marRight w:val="0"/>
      <w:marTop w:val="0"/>
      <w:marBottom w:val="0"/>
      <w:divBdr>
        <w:top w:val="none" w:sz="0" w:space="0" w:color="auto"/>
        <w:left w:val="none" w:sz="0" w:space="0" w:color="auto"/>
        <w:bottom w:val="none" w:sz="0" w:space="0" w:color="auto"/>
        <w:right w:val="none" w:sz="0" w:space="0" w:color="auto"/>
      </w:divBdr>
      <w:divsChild>
        <w:div w:id="543174698">
          <w:marLeft w:val="0"/>
          <w:marRight w:val="0"/>
          <w:marTop w:val="0"/>
          <w:marBottom w:val="0"/>
          <w:divBdr>
            <w:top w:val="none" w:sz="0" w:space="0" w:color="auto"/>
            <w:left w:val="none" w:sz="0" w:space="0" w:color="auto"/>
            <w:bottom w:val="none" w:sz="0" w:space="0" w:color="auto"/>
            <w:right w:val="none" w:sz="0" w:space="0" w:color="auto"/>
          </w:divBdr>
          <w:divsChild>
            <w:div w:id="814375146">
              <w:marLeft w:val="0"/>
              <w:marRight w:val="0"/>
              <w:marTop w:val="0"/>
              <w:marBottom w:val="0"/>
              <w:divBdr>
                <w:top w:val="none" w:sz="0" w:space="0" w:color="auto"/>
                <w:left w:val="none" w:sz="0" w:space="0" w:color="auto"/>
                <w:bottom w:val="none" w:sz="0" w:space="0" w:color="auto"/>
                <w:right w:val="none" w:sz="0" w:space="0" w:color="auto"/>
              </w:divBdr>
              <w:divsChild>
                <w:div w:id="8468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291284">
      <w:bodyDiv w:val="1"/>
      <w:marLeft w:val="0"/>
      <w:marRight w:val="0"/>
      <w:marTop w:val="0"/>
      <w:marBottom w:val="0"/>
      <w:divBdr>
        <w:top w:val="none" w:sz="0" w:space="0" w:color="auto"/>
        <w:left w:val="none" w:sz="0" w:space="0" w:color="auto"/>
        <w:bottom w:val="none" w:sz="0" w:space="0" w:color="auto"/>
        <w:right w:val="none" w:sz="0" w:space="0" w:color="auto"/>
      </w:divBdr>
      <w:divsChild>
        <w:div w:id="586812205">
          <w:marLeft w:val="0"/>
          <w:marRight w:val="0"/>
          <w:marTop w:val="0"/>
          <w:marBottom w:val="0"/>
          <w:divBdr>
            <w:top w:val="none" w:sz="0" w:space="0" w:color="auto"/>
            <w:left w:val="none" w:sz="0" w:space="0" w:color="auto"/>
            <w:bottom w:val="none" w:sz="0" w:space="0" w:color="auto"/>
            <w:right w:val="none" w:sz="0" w:space="0" w:color="auto"/>
          </w:divBdr>
          <w:divsChild>
            <w:div w:id="753287113">
              <w:marLeft w:val="0"/>
              <w:marRight w:val="0"/>
              <w:marTop w:val="0"/>
              <w:marBottom w:val="0"/>
              <w:divBdr>
                <w:top w:val="none" w:sz="0" w:space="0" w:color="auto"/>
                <w:left w:val="none" w:sz="0" w:space="0" w:color="auto"/>
                <w:bottom w:val="none" w:sz="0" w:space="0" w:color="auto"/>
                <w:right w:val="none" w:sz="0" w:space="0" w:color="auto"/>
              </w:divBdr>
              <w:divsChild>
                <w:div w:id="150131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715934">
      <w:bodyDiv w:val="1"/>
      <w:marLeft w:val="0"/>
      <w:marRight w:val="0"/>
      <w:marTop w:val="0"/>
      <w:marBottom w:val="0"/>
      <w:divBdr>
        <w:top w:val="none" w:sz="0" w:space="0" w:color="auto"/>
        <w:left w:val="none" w:sz="0" w:space="0" w:color="auto"/>
        <w:bottom w:val="none" w:sz="0" w:space="0" w:color="auto"/>
        <w:right w:val="none" w:sz="0" w:space="0" w:color="auto"/>
      </w:divBdr>
    </w:div>
    <w:div w:id="1428308306">
      <w:bodyDiv w:val="1"/>
      <w:marLeft w:val="0"/>
      <w:marRight w:val="0"/>
      <w:marTop w:val="0"/>
      <w:marBottom w:val="0"/>
      <w:divBdr>
        <w:top w:val="none" w:sz="0" w:space="0" w:color="auto"/>
        <w:left w:val="none" w:sz="0" w:space="0" w:color="auto"/>
        <w:bottom w:val="none" w:sz="0" w:space="0" w:color="auto"/>
        <w:right w:val="none" w:sz="0" w:space="0" w:color="auto"/>
      </w:divBdr>
    </w:div>
    <w:div w:id="1430855133">
      <w:bodyDiv w:val="1"/>
      <w:marLeft w:val="0"/>
      <w:marRight w:val="0"/>
      <w:marTop w:val="0"/>
      <w:marBottom w:val="0"/>
      <w:divBdr>
        <w:top w:val="none" w:sz="0" w:space="0" w:color="auto"/>
        <w:left w:val="none" w:sz="0" w:space="0" w:color="auto"/>
        <w:bottom w:val="none" w:sz="0" w:space="0" w:color="auto"/>
        <w:right w:val="none" w:sz="0" w:space="0" w:color="auto"/>
      </w:divBdr>
      <w:divsChild>
        <w:div w:id="2072460821">
          <w:marLeft w:val="0"/>
          <w:marRight w:val="0"/>
          <w:marTop w:val="0"/>
          <w:marBottom w:val="0"/>
          <w:divBdr>
            <w:top w:val="none" w:sz="0" w:space="0" w:color="auto"/>
            <w:left w:val="none" w:sz="0" w:space="0" w:color="auto"/>
            <w:bottom w:val="none" w:sz="0" w:space="0" w:color="auto"/>
            <w:right w:val="none" w:sz="0" w:space="0" w:color="auto"/>
          </w:divBdr>
          <w:divsChild>
            <w:div w:id="1356224985">
              <w:marLeft w:val="0"/>
              <w:marRight w:val="0"/>
              <w:marTop w:val="0"/>
              <w:marBottom w:val="0"/>
              <w:divBdr>
                <w:top w:val="none" w:sz="0" w:space="0" w:color="auto"/>
                <w:left w:val="none" w:sz="0" w:space="0" w:color="auto"/>
                <w:bottom w:val="none" w:sz="0" w:space="0" w:color="auto"/>
                <w:right w:val="none" w:sz="0" w:space="0" w:color="auto"/>
              </w:divBdr>
              <w:divsChild>
                <w:div w:id="255135557">
                  <w:marLeft w:val="0"/>
                  <w:marRight w:val="0"/>
                  <w:marTop w:val="0"/>
                  <w:marBottom w:val="0"/>
                  <w:divBdr>
                    <w:top w:val="none" w:sz="0" w:space="0" w:color="auto"/>
                    <w:left w:val="none" w:sz="0" w:space="0" w:color="auto"/>
                    <w:bottom w:val="none" w:sz="0" w:space="0" w:color="auto"/>
                    <w:right w:val="none" w:sz="0" w:space="0" w:color="auto"/>
                  </w:divBdr>
                  <w:divsChild>
                    <w:div w:id="51400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870024">
      <w:bodyDiv w:val="1"/>
      <w:marLeft w:val="0"/>
      <w:marRight w:val="0"/>
      <w:marTop w:val="0"/>
      <w:marBottom w:val="0"/>
      <w:divBdr>
        <w:top w:val="none" w:sz="0" w:space="0" w:color="auto"/>
        <w:left w:val="none" w:sz="0" w:space="0" w:color="auto"/>
        <w:bottom w:val="none" w:sz="0" w:space="0" w:color="auto"/>
        <w:right w:val="none" w:sz="0" w:space="0" w:color="auto"/>
      </w:divBdr>
      <w:divsChild>
        <w:div w:id="1061636207">
          <w:marLeft w:val="0"/>
          <w:marRight w:val="0"/>
          <w:marTop w:val="0"/>
          <w:marBottom w:val="0"/>
          <w:divBdr>
            <w:top w:val="none" w:sz="0" w:space="0" w:color="auto"/>
            <w:left w:val="none" w:sz="0" w:space="0" w:color="auto"/>
            <w:bottom w:val="none" w:sz="0" w:space="0" w:color="auto"/>
            <w:right w:val="none" w:sz="0" w:space="0" w:color="auto"/>
          </w:divBdr>
          <w:divsChild>
            <w:div w:id="839613987">
              <w:marLeft w:val="0"/>
              <w:marRight w:val="0"/>
              <w:marTop w:val="0"/>
              <w:marBottom w:val="0"/>
              <w:divBdr>
                <w:top w:val="none" w:sz="0" w:space="0" w:color="auto"/>
                <w:left w:val="none" w:sz="0" w:space="0" w:color="auto"/>
                <w:bottom w:val="none" w:sz="0" w:space="0" w:color="auto"/>
                <w:right w:val="none" w:sz="0" w:space="0" w:color="auto"/>
              </w:divBdr>
              <w:divsChild>
                <w:div w:id="1970741429">
                  <w:marLeft w:val="0"/>
                  <w:marRight w:val="0"/>
                  <w:marTop w:val="0"/>
                  <w:marBottom w:val="0"/>
                  <w:divBdr>
                    <w:top w:val="none" w:sz="0" w:space="0" w:color="auto"/>
                    <w:left w:val="none" w:sz="0" w:space="0" w:color="auto"/>
                    <w:bottom w:val="none" w:sz="0" w:space="0" w:color="auto"/>
                    <w:right w:val="none" w:sz="0" w:space="0" w:color="auto"/>
                  </w:divBdr>
                  <w:divsChild>
                    <w:div w:id="1626234426">
                      <w:marLeft w:val="0"/>
                      <w:marRight w:val="0"/>
                      <w:marTop w:val="0"/>
                      <w:marBottom w:val="0"/>
                      <w:divBdr>
                        <w:top w:val="none" w:sz="0" w:space="0" w:color="auto"/>
                        <w:left w:val="none" w:sz="0" w:space="0" w:color="auto"/>
                        <w:bottom w:val="none" w:sz="0" w:space="0" w:color="auto"/>
                        <w:right w:val="none" w:sz="0" w:space="0" w:color="auto"/>
                      </w:divBdr>
                    </w:div>
                  </w:divsChild>
                </w:div>
                <w:div w:id="1036809479">
                  <w:marLeft w:val="0"/>
                  <w:marRight w:val="0"/>
                  <w:marTop w:val="0"/>
                  <w:marBottom w:val="0"/>
                  <w:divBdr>
                    <w:top w:val="none" w:sz="0" w:space="0" w:color="auto"/>
                    <w:left w:val="none" w:sz="0" w:space="0" w:color="auto"/>
                    <w:bottom w:val="none" w:sz="0" w:space="0" w:color="auto"/>
                    <w:right w:val="none" w:sz="0" w:space="0" w:color="auto"/>
                  </w:divBdr>
                  <w:divsChild>
                    <w:div w:id="162130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920231">
      <w:bodyDiv w:val="1"/>
      <w:marLeft w:val="0"/>
      <w:marRight w:val="0"/>
      <w:marTop w:val="0"/>
      <w:marBottom w:val="0"/>
      <w:divBdr>
        <w:top w:val="none" w:sz="0" w:space="0" w:color="auto"/>
        <w:left w:val="none" w:sz="0" w:space="0" w:color="auto"/>
        <w:bottom w:val="none" w:sz="0" w:space="0" w:color="auto"/>
        <w:right w:val="none" w:sz="0" w:space="0" w:color="auto"/>
      </w:divBdr>
    </w:div>
    <w:div w:id="1508209346">
      <w:bodyDiv w:val="1"/>
      <w:marLeft w:val="0"/>
      <w:marRight w:val="0"/>
      <w:marTop w:val="0"/>
      <w:marBottom w:val="0"/>
      <w:divBdr>
        <w:top w:val="none" w:sz="0" w:space="0" w:color="auto"/>
        <w:left w:val="none" w:sz="0" w:space="0" w:color="auto"/>
        <w:bottom w:val="none" w:sz="0" w:space="0" w:color="auto"/>
        <w:right w:val="none" w:sz="0" w:space="0" w:color="auto"/>
      </w:divBdr>
    </w:div>
    <w:div w:id="1540969773">
      <w:bodyDiv w:val="1"/>
      <w:marLeft w:val="0"/>
      <w:marRight w:val="0"/>
      <w:marTop w:val="0"/>
      <w:marBottom w:val="0"/>
      <w:divBdr>
        <w:top w:val="none" w:sz="0" w:space="0" w:color="auto"/>
        <w:left w:val="none" w:sz="0" w:space="0" w:color="auto"/>
        <w:bottom w:val="none" w:sz="0" w:space="0" w:color="auto"/>
        <w:right w:val="none" w:sz="0" w:space="0" w:color="auto"/>
      </w:divBdr>
      <w:divsChild>
        <w:div w:id="913511024">
          <w:marLeft w:val="0"/>
          <w:marRight w:val="0"/>
          <w:marTop w:val="0"/>
          <w:marBottom w:val="0"/>
          <w:divBdr>
            <w:top w:val="none" w:sz="0" w:space="0" w:color="auto"/>
            <w:left w:val="none" w:sz="0" w:space="0" w:color="auto"/>
            <w:bottom w:val="none" w:sz="0" w:space="0" w:color="auto"/>
            <w:right w:val="none" w:sz="0" w:space="0" w:color="auto"/>
          </w:divBdr>
          <w:divsChild>
            <w:div w:id="2014724629">
              <w:marLeft w:val="0"/>
              <w:marRight w:val="0"/>
              <w:marTop w:val="0"/>
              <w:marBottom w:val="0"/>
              <w:divBdr>
                <w:top w:val="none" w:sz="0" w:space="0" w:color="auto"/>
                <w:left w:val="none" w:sz="0" w:space="0" w:color="auto"/>
                <w:bottom w:val="none" w:sz="0" w:space="0" w:color="auto"/>
                <w:right w:val="none" w:sz="0" w:space="0" w:color="auto"/>
              </w:divBdr>
              <w:divsChild>
                <w:div w:id="44099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71949">
      <w:bodyDiv w:val="1"/>
      <w:marLeft w:val="0"/>
      <w:marRight w:val="0"/>
      <w:marTop w:val="0"/>
      <w:marBottom w:val="0"/>
      <w:divBdr>
        <w:top w:val="none" w:sz="0" w:space="0" w:color="auto"/>
        <w:left w:val="none" w:sz="0" w:space="0" w:color="auto"/>
        <w:bottom w:val="none" w:sz="0" w:space="0" w:color="auto"/>
        <w:right w:val="none" w:sz="0" w:space="0" w:color="auto"/>
      </w:divBdr>
      <w:divsChild>
        <w:div w:id="400103958">
          <w:marLeft w:val="0"/>
          <w:marRight w:val="0"/>
          <w:marTop w:val="0"/>
          <w:marBottom w:val="0"/>
          <w:divBdr>
            <w:top w:val="none" w:sz="0" w:space="0" w:color="auto"/>
            <w:left w:val="none" w:sz="0" w:space="0" w:color="auto"/>
            <w:bottom w:val="none" w:sz="0" w:space="0" w:color="auto"/>
            <w:right w:val="none" w:sz="0" w:space="0" w:color="auto"/>
          </w:divBdr>
          <w:divsChild>
            <w:div w:id="858275561">
              <w:marLeft w:val="0"/>
              <w:marRight w:val="0"/>
              <w:marTop w:val="0"/>
              <w:marBottom w:val="0"/>
              <w:divBdr>
                <w:top w:val="none" w:sz="0" w:space="0" w:color="auto"/>
                <w:left w:val="none" w:sz="0" w:space="0" w:color="auto"/>
                <w:bottom w:val="none" w:sz="0" w:space="0" w:color="auto"/>
                <w:right w:val="none" w:sz="0" w:space="0" w:color="auto"/>
              </w:divBdr>
              <w:divsChild>
                <w:div w:id="207257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84715">
      <w:bodyDiv w:val="1"/>
      <w:marLeft w:val="0"/>
      <w:marRight w:val="0"/>
      <w:marTop w:val="0"/>
      <w:marBottom w:val="0"/>
      <w:divBdr>
        <w:top w:val="none" w:sz="0" w:space="0" w:color="auto"/>
        <w:left w:val="none" w:sz="0" w:space="0" w:color="auto"/>
        <w:bottom w:val="none" w:sz="0" w:space="0" w:color="auto"/>
        <w:right w:val="none" w:sz="0" w:space="0" w:color="auto"/>
      </w:divBdr>
    </w:div>
    <w:div w:id="1656033955">
      <w:bodyDiv w:val="1"/>
      <w:marLeft w:val="0"/>
      <w:marRight w:val="0"/>
      <w:marTop w:val="0"/>
      <w:marBottom w:val="0"/>
      <w:divBdr>
        <w:top w:val="none" w:sz="0" w:space="0" w:color="auto"/>
        <w:left w:val="none" w:sz="0" w:space="0" w:color="auto"/>
        <w:bottom w:val="none" w:sz="0" w:space="0" w:color="auto"/>
        <w:right w:val="none" w:sz="0" w:space="0" w:color="auto"/>
      </w:divBdr>
      <w:divsChild>
        <w:div w:id="662928075">
          <w:marLeft w:val="0"/>
          <w:marRight w:val="0"/>
          <w:marTop w:val="0"/>
          <w:marBottom w:val="0"/>
          <w:divBdr>
            <w:top w:val="none" w:sz="0" w:space="0" w:color="auto"/>
            <w:left w:val="none" w:sz="0" w:space="0" w:color="auto"/>
            <w:bottom w:val="none" w:sz="0" w:space="0" w:color="auto"/>
            <w:right w:val="none" w:sz="0" w:space="0" w:color="auto"/>
          </w:divBdr>
          <w:divsChild>
            <w:div w:id="705834725">
              <w:marLeft w:val="0"/>
              <w:marRight w:val="0"/>
              <w:marTop w:val="0"/>
              <w:marBottom w:val="0"/>
              <w:divBdr>
                <w:top w:val="none" w:sz="0" w:space="0" w:color="auto"/>
                <w:left w:val="none" w:sz="0" w:space="0" w:color="auto"/>
                <w:bottom w:val="none" w:sz="0" w:space="0" w:color="auto"/>
                <w:right w:val="none" w:sz="0" w:space="0" w:color="auto"/>
              </w:divBdr>
              <w:divsChild>
                <w:div w:id="88008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85899">
      <w:bodyDiv w:val="1"/>
      <w:marLeft w:val="0"/>
      <w:marRight w:val="0"/>
      <w:marTop w:val="0"/>
      <w:marBottom w:val="0"/>
      <w:divBdr>
        <w:top w:val="none" w:sz="0" w:space="0" w:color="auto"/>
        <w:left w:val="none" w:sz="0" w:space="0" w:color="auto"/>
        <w:bottom w:val="none" w:sz="0" w:space="0" w:color="auto"/>
        <w:right w:val="none" w:sz="0" w:space="0" w:color="auto"/>
      </w:divBdr>
      <w:divsChild>
        <w:div w:id="2022664235">
          <w:marLeft w:val="0"/>
          <w:marRight w:val="0"/>
          <w:marTop w:val="0"/>
          <w:marBottom w:val="0"/>
          <w:divBdr>
            <w:top w:val="none" w:sz="0" w:space="0" w:color="auto"/>
            <w:left w:val="none" w:sz="0" w:space="0" w:color="auto"/>
            <w:bottom w:val="none" w:sz="0" w:space="0" w:color="auto"/>
            <w:right w:val="none" w:sz="0" w:space="0" w:color="auto"/>
          </w:divBdr>
          <w:divsChild>
            <w:div w:id="1564021277">
              <w:marLeft w:val="0"/>
              <w:marRight w:val="0"/>
              <w:marTop w:val="0"/>
              <w:marBottom w:val="0"/>
              <w:divBdr>
                <w:top w:val="none" w:sz="0" w:space="0" w:color="auto"/>
                <w:left w:val="none" w:sz="0" w:space="0" w:color="auto"/>
                <w:bottom w:val="none" w:sz="0" w:space="0" w:color="auto"/>
                <w:right w:val="none" w:sz="0" w:space="0" w:color="auto"/>
              </w:divBdr>
              <w:divsChild>
                <w:div w:id="66016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82446">
      <w:bodyDiv w:val="1"/>
      <w:marLeft w:val="0"/>
      <w:marRight w:val="0"/>
      <w:marTop w:val="0"/>
      <w:marBottom w:val="0"/>
      <w:divBdr>
        <w:top w:val="none" w:sz="0" w:space="0" w:color="auto"/>
        <w:left w:val="none" w:sz="0" w:space="0" w:color="auto"/>
        <w:bottom w:val="none" w:sz="0" w:space="0" w:color="auto"/>
        <w:right w:val="none" w:sz="0" w:space="0" w:color="auto"/>
      </w:divBdr>
      <w:divsChild>
        <w:div w:id="1403870257">
          <w:marLeft w:val="0"/>
          <w:marRight w:val="0"/>
          <w:marTop w:val="0"/>
          <w:marBottom w:val="0"/>
          <w:divBdr>
            <w:top w:val="none" w:sz="0" w:space="0" w:color="auto"/>
            <w:left w:val="none" w:sz="0" w:space="0" w:color="auto"/>
            <w:bottom w:val="none" w:sz="0" w:space="0" w:color="auto"/>
            <w:right w:val="none" w:sz="0" w:space="0" w:color="auto"/>
          </w:divBdr>
          <w:divsChild>
            <w:div w:id="189951913">
              <w:marLeft w:val="0"/>
              <w:marRight w:val="0"/>
              <w:marTop w:val="0"/>
              <w:marBottom w:val="0"/>
              <w:divBdr>
                <w:top w:val="none" w:sz="0" w:space="0" w:color="auto"/>
                <w:left w:val="none" w:sz="0" w:space="0" w:color="auto"/>
                <w:bottom w:val="none" w:sz="0" w:space="0" w:color="auto"/>
                <w:right w:val="none" w:sz="0" w:space="0" w:color="auto"/>
              </w:divBdr>
              <w:divsChild>
                <w:div w:id="55983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862728">
      <w:bodyDiv w:val="1"/>
      <w:marLeft w:val="0"/>
      <w:marRight w:val="0"/>
      <w:marTop w:val="0"/>
      <w:marBottom w:val="0"/>
      <w:divBdr>
        <w:top w:val="none" w:sz="0" w:space="0" w:color="auto"/>
        <w:left w:val="none" w:sz="0" w:space="0" w:color="auto"/>
        <w:bottom w:val="none" w:sz="0" w:space="0" w:color="auto"/>
        <w:right w:val="none" w:sz="0" w:space="0" w:color="auto"/>
      </w:divBdr>
      <w:divsChild>
        <w:div w:id="1745293206">
          <w:marLeft w:val="0"/>
          <w:marRight w:val="0"/>
          <w:marTop w:val="0"/>
          <w:marBottom w:val="0"/>
          <w:divBdr>
            <w:top w:val="none" w:sz="0" w:space="0" w:color="auto"/>
            <w:left w:val="none" w:sz="0" w:space="0" w:color="auto"/>
            <w:bottom w:val="none" w:sz="0" w:space="0" w:color="auto"/>
            <w:right w:val="none" w:sz="0" w:space="0" w:color="auto"/>
          </w:divBdr>
          <w:divsChild>
            <w:div w:id="1656058791">
              <w:marLeft w:val="0"/>
              <w:marRight w:val="0"/>
              <w:marTop w:val="0"/>
              <w:marBottom w:val="0"/>
              <w:divBdr>
                <w:top w:val="none" w:sz="0" w:space="0" w:color="auto"/>
                <w:left w:val="none" w:sz="0" w:space="0" w:color="auto"/>
                <w:bottom w:val="none" w:sz="0" w:space="0" w:color="auto"/>
                <w:right w:val="none" w:sz="0" w:space="0" w:color="auto"/>
              </w:divBdr>
              <w:divsChild>
                <w:div w:id="203430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871178">
      <w:bodyDiv w:val="1"/>
      <w:marLeft w:val="0"/>
      <w:marRight w:val="0"/>
      <w:marTop w:val="0"/>
      <w:marBottom w:val="0"/>
      <w:divBdr>
        <w:top w:val="none" w:sz="0" w:space="0" w:color="auto"/>
        <w:left w:val="none" w:sz="0" w:space="0" w:color="auto"/>
        <w:bottom w:val="none" w:sz="0" w:space="0" w:color="auto"/>
        <w:right w:val="none" w:sz="0" w:space="0" w:color="auto"/>
      </w:divBdr>
    </w:div>
    <w:div w:id="1827938647">
      <w:bodyDiv w:val="1"/>
      <w:marLeft w:val="0"/>
      <w:marRight w:val="0"/>
      <w:marTop w:val="0"/>
      <w:marBottom w:val="0"/>
      <w:divBdr>
        <w:top w:val="none" w:sz="0" w:space="0" w:color="auto"/>
        <w:left w:val="none" w:sz="0" w:space="0" w:color="auto"/>
        <w:bottom w:val="none" w:sz="0" w:space="0" w:color="auto"/>
        <w:right w:val="none" w:sz="0" w:space="0" w:color="auto"/>
      </w:divBdr>
    </w:div>
    <w:div w:id="1845316488">
      <w:bodyDiv w:val="1"/>
      <w:marLeft w:val="0"/>
      <w:marRight w:val="0"/>
      <w:marTop w:val="0"/>
      <w:marBottom w:val="0"/>
      <w:divBdr>
        <w:top w:val="none" w:sz="0" w:space="0" w:color="auto"/>
        <w:left w:val="none" w:sz="0" w:space="0" w:color="auto"/>
        <w:bottom w:val="none" w:sz="0" w:space="0" w:color="auto"/>
        <w:right w:val="none" w:sz="0" w:space="0" w:color="auto"/>
      </w:divBdr>
      <w:divsChild>
        <w:div w:id="1244798480">
          <w:marLeft w:val="0"/>
          <w:marRight w:val="0"/>
          <w:marTop w:val="0"/>
          <w:marBottom w:val="0"/>
          <w:divBdr>
            <w:top w:val="none" w:sz="0" w:space="0" w:color="auto"/>
            <w:left w:val="none" w:sz="0" w:space="0" w:color="auto"/>
            <w:bottom w:val="none" w:sz="0" w:space="0" w:color="auto"/>
            <w:right w:val="none" w:sz="0" w:space="0" w:color="auto"/>
          </w:divBdr>
          <w:divsChild>
            <w:div w:id="512113333">
              <w:marLeft w:val="0"/>
              <w:marRight w:val="0"/>
              <w:marTop w:val="0"/>
              <w:marBottom w:val="0"/>
              <w:divBdr>
                <w:top w:val="none" w:sz="0" w:space="0" w:color="auto"/>
                <w:left w:val="none" w:sz="0" w:space="0" w:color="auto"/>
                <w:bottom w:val="none" w:sz="0" w:space="0" w:color="auto"/>
                <w:right w:val="none" w:sz="0" w:space="0" w:color="auto"/>
              </w:divBdr>
              <w:divsChild>
                <w:div w:id="1289161776">
                  <w:marLeft w:val="0"/>
                  <w:marRight w:val="0"/>
                  <w:marTop w:val="0"/>
                  <w:marBottom w:val="0"/>
                  <w:divBdr>
                    <w:top w:val="none" w:sz="0" w:space="0" w:color="auto"/>
                    <w:left w:val="none" w:sz="0" w:space="0" w:color="auto"/>
                    <w:bottom w:val="none" w:sz="0" w:space="0" w:color="auto"/>
                    <w:right w:val="none" w:sz="0" w:space="0" w:color="auto"/>
                  </w:divBdr>
                </w:div>
              </w:divsChild>
            </w:div>
            <w:div w:id="1188637784">
              <w:marLeft w:val="0"/>
              <w:marRight w:val="0"/>
              <w:marTop w:val="0"/>
              <w:marBottom w:val="0"/>
              <w:divBdr>
                <w:top w:val="none" w:sz="0" w:space="0" w:color="auto"/>
                <w:left w:val="none" w:sz="0" w:space="0" w:color="auto"/>
                <w:bottom w:val="none" w:sz="0" w:space="0" w:color="auto"/>
                <w:right w:val="none" w:sz="0" w:space="0" w:color="auto"/>
              </w:divBdr>
              <w:divsChild>
                <w:div w:id="134532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741883">
      <w:bodyDiv w:val="1"/>
      <w:marLeft w:val="0"/>
      <w:marRight w:val="0"/>
      <w:marTop w:val="0"/>
      <w:marBottom w:val="0"/>
      <w:divBdr>
        <w:top w:val="none" w:sz="0" w:space="0" w:color="auto"/>
        <w:left w:val="none" w:sz="0" w:space="0" w:color="auto"/>
        <w:bottom w:val="none" w:sz="0" w:space="0" w:color="auto"/>
        <w:right w:val="none" w:sz="0" w:space="0" w:color="auto"/>
      </w:divBdr>
    </w:div>
    <w:div w:id="1935042868">
      <w:bodyDiv w:val="1"/>
      <w:marLeft w:val="0"/>
      <w:marRight w:val="0"/>
      <w:marTop w:val="0"/>
      <w:marBottom w:val="0"/>
      <w:divBdr>
        <w:top w:val="none" w:sz="0" w:space="0" w:color="auto"/>
        <w:left w:val="none" w:sz="0" w:space="0" w:color="auto"/>
        <w:bottom w:val="none" w:sz="0" w:space="0" w:color="auto"/>
        <w:right w:val="none" w:sz="0" w:space="0" w:color="auto"/>
      </w:divBdr>
      <w:divsChild>
        <w:div w:id="135613542">
          <w:marLeft w:val="0"/>
          <w:marRight w:val="0"/>
          <w:marTop w:val="0"/>
          <w:marBottom w:val="0"/>
          <w:divBdr>
            <w:top w:val="none" w:sz="0" w:space="0" w:color="auto"/>
            <w:left w:val="none" w:sz="0" w:space="0" w:color="auto"/>
            <w:bottom w:val="none" w:sz="0" w:space="0" w:color="auto"/>
            <w:right w:val="none" w:sz="0" w:space="0" w:color="auto"/>
          </w:divBdr>
          <w:divsChild>
            <w:div w:id="678386091">
              <w:marLeft w:val="0"/>
              <w:marRight w:val="0"/>
              <w:marTop w:val="0"/>
              <w:marBottom w:val="0"/>
              <w:divBdr>
                <w:top w:val="none" w:sz="0" w:space="0" w:color="auto"/>
                <w:left w:val="none" w:sz="0" w:space="0" w:color="auto"/>
                <w:bottom w:val="none" w:sz="0" w:space="0" w:color="auto"/>
                <w:right w:val="none" w:sz="0" w:space="0" w:color="auto"/>
              </w:divBdr>
              <w:divsChild>
                <w:div w:id="100863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536153">
      <w:bodyDiv w:val="1"/>
      <w:marLeft w:val="0"/>
      <w:marRight w:val="0"/>
      <w:marTop w:val="0"/>
      <w:marBottom w:val="0"/>
      <w:divBdr>
        <w:top w:val="none" w:sz="0" w:space="0" w:color="auto"/>
        <w:left w:val="none" w:sz="0" w:space="0" w:color="auto"/>
        <w:bottom w:val="none" w:sz="0" w:space="0" w:color="auto"/>
        <w:right w:val="none" w:sz="0" w:space="0" w:color="auto"/>
      </w:divBdr>
    </w:div>
    <w:div w:id="1980644029">
      <w:bodyDiv w:val="1"/>
      <w:marLeft w:val="0"/>
      <w:marRight w:val="0"/>
      <w:marTop w:val="0"/>
      <w:marBottom w:val="0"/>
      <w:divBdr>
        <w:top w:val="none" w:sz="0" w:space="0" w:color="auto"/>
        <w:left w:val="none" w:sz="0" w:space="0" w:color="auto"/>
        <w:bottom w:val="none" w:sz="0" w:space="0" w:color="auto"/>
        <w:right w:val="none" w:sz="0" w:space="0" w:color="auto"/>
      </w:divBdr>
    </w:div>
    <w:div w:id="2004117793">
      <w:bodyDiv w:val="1"/>
      <w:marLeft w:val="0"/>
      <w:marRight w:val="0"/>
      <w:marTop w:val="0"/>
      <w:marBottom w:val="0"/>
      <w:divBdr>
        <w:top w:val="none" w:sz="0" w:space="0" w:color="auto"/>
        <w:left w:val="none" w:sz="0" w:space="0" w:color="auto"/>
        <w:bottom w:val="none" w:sz="0" w:space="0" w:color="auto"/>
        <w:right w:val="none" w:sz="0" w:space="0" w:color="auto"/>
      </w:divBdr>
      <w:divsChild>
        <w:div w:id="2066171869">
          <w:marLeft w:val="0"/>
          <w:marRight w:val="0"/>
          <w:marTop w:val="0"/>
          <w:marBottom w:val="0"/>
          <w:divBdr>
            <w:top w:val="none" w:sz="0" w:space="0" w:color="auto"/>
            <w:left w:val="none" w:sz="0" w:space="0" w:color="auto"/>
            <w:bottom w:val="none" w:sz="0" w:space="0" w:color="auto"/>
            <w:right w:val="none" w:sz="0" w:space="0" w:color="auto"/>
          </w:divBdr>
          <w:divsChild>
            <w:div w:id="1522235717">
              <w:marLeft w:val="0"/>
              <w:marRight w:val="0"/>
              <w:marTop w:val="0"/>
              <w:marBottom w:val="0"/>
              <w:divBdr>
                <w:top w:val="none" w:sz="0" w:space="0" w:color="auto"/>
                <w:left w:val="none" w:sz="0" w:space="0" w:color="auto"/>
                <w:bottom w:val="none" w:sz="0" w:space="0" w:color="auto"/>
                <w:right w:val="none" w:sz="0" w:space="0" w:color="auto"/>
              </w:divBdr>
              <w:divsChild>
                <w:div w:id="20109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285920">
      <w:bodyDiv w:val="1"/>
      <w:marLeft w:val="0"/>
      <w:marRight w:val="0"/>
      <w:marTop w:val="0"/>
      <w:marBottom w:val="0"/>
      <w:divBdr>
        <w:top w:val="none" w:sz="0" w:space="0" w:color="auto"/>
        <w:left w:val="none" w:sz="0" w:space="0" w:color="auto"/>
        <w:bottom w:val="none" w:sz="0" w:space="0" w:color="auto"/>
        <w:right w:val="none" w:sz="0" w:space="0" w:color="auto"/>
      </w:divBdr>
      <w:divsChild>
        <w:div w:id="438186591">
          <w:marLeft w:val="0"/>
          <w:marRight w:val="0"/>
          <w:marTop w:val="0"/>
          <w:marBottom w:val="0"/>
          <w:divBdr>
            <w:top w:val="none" w:sz="0" w:space="0" w:color="auto"/>
            <w:left w:val="none" w:sz="0" w:space="0" w:color="auto"/>
            <w:bottom w:val="none" w:sz="0" w:space="0" w:color="auto"/>
            <w:right w:val="none" w:sz="0" w:space="0" w:color="auto"/>
          </w:divBdr>
          <w:divsChild>
            <w:div w:id="457259006">
              <w:marLeft w:val="0"/>
              <w:marRight w:val="0"/>
              <w:marTop w:val="0"/>
              <w:marBottom w:val="0"/>
              <w:divBdr>
                <w:top w:val="none" w:sz="0" w:space="0" w:color="auto"/>
                <w:left w:val="none" w:sz="0" w:space="0" w:color="auto"/>
                <w:bottom w:val="none" w:sz="0" w:space="0" w:color="auto"/>
                <w:right w:val="none" w:sz="0" w:space="0" w:color="auto"/>
              </w:divBdr>
              <w:divsChild>
                <w:div w:id="1611208539">
                  <w:marLeft w:val="0"/>
                  <w:marRight w:val="0"/>
                  <w:marTop w:val="0"/>
                  <w:marBottom w:val="0"/>
                  <w:divBdr>
                    <w:top w:val="none" w:sz="0" w:space="0" w:color="auto"/>
                    <w:left w:val="none" w:sz="0" w:space="0" w:color="auto"/>
                    <w:bottom w:val="none" w:sz="0" w:space="0" w:color="auto"/>
                    <w:right w:val="none" w:sz="0" w:space="0" w:color="auto"/>
                  </w:divBdr>
                  <w:divsChild>
                    <w:div w:id="141308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470517">
      <w:bodyDiv w:val="1"/>
      <w:marLeft w:val="0"/>
      <w:marRight w:val="0"/>
      <w:marTop w:val="0"/>
      <w:marBottom w:val="0"/>
      <w:divBdr>
        <w:top w:val="none" w:sz="0" w:space="0" w:color="auto"/>
        <w:left w:val="none" w:sz="0" w:space="0" w:color="auto"/>
        <w:bottom w:val="none" w:sz="0" w:space="0" w:color="auto"/>
        <w:right w:val="none" w:sz="0" w:space="0" w:color="auto"/>
      </w:divBdr>
    </w:div>
    <w:div w:id="2066443492">
      <w:bodyDiv w:val="1"/>
      <w:marLeft w:val="0"/>
      <w:marRight w:val="0"/>
      <w:marTop w:val="0"/>
      <w:marBottom w:val="0"/>
      <w:divBdr>
        <w:top w:val="none" w:sz="0" w:space="0" w:color="auto"/>
        <w:left w:val="none" w:sz="0" w:space="0" w:color="auto"/>
        <w:bottom w:val="none" w:sz="0" w:space="0" w:color="auto"/>
        <w:right w:val="none" w:sz="0" w:space="0" w:color="auto"/>
      </w:divBdr>
      <w:divsChild>
        <w:div w:id="629432667">
          <w:marLeft w:val="0"/>
          <w:marRight w:val="0"/>
          <w:marTop w:val="0"/>
          <w:marBottom w:val="0"/>
          <w:divBdr>
            <w:top w:val="none" w:sz="0" w:space="0" w:color="auto"/>
            <w:left w:val="none" w:sz="0" w:space="0" w:color="auto"/>
            <w:bottom w:val="none" w:sz="0" w:space="0" w:color="auto"/>
            <w:right w:val="none" w:sz="0" w:space="0" w:color="auto"/>
          </w:divBdr>
          <w:divsChild>
            <w:div w:id="1884246670">
              <w:marLeft w:val="0"/>
              <w:marRight w:val="0"/>
              <w:marTop w:val="0"/>
              <w:marBottom w:val="0"/>
              <w:divBdr>
                <w:top w:val="none" w:sz="0" w:space="0" w:color="auto"/>
                <w:left w:val="none" w:sz="0" w:space="0" w:color="auto"/>
                <w:bottom w:val="none" w:sz="0" w:space="0" w:color="auto"/>
                <w:right w:val="none" w:sz="0" w:space="0" w:color="auto"/>
              </w:divBdr>
              <w:divsChild>
                <w:div w:id="136906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06EB1-5D20-49BE-BD11-0C77A2354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10118</Words>
  <Characters>55655</Characters>
  <Application>Microsoft Office Word</Application>
  <DocSecurity>4</DocSecurity>
  <Lines>463</Lines>
  <Paragraphs>131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 IDH</dc:creator>
  <cp:keywords/>
  <dc:description/>
  <cp:lastModifiedBy>Francella Hernandez</cp:lastModifiedBy>
  <cp:revision>2</cp:revision>
  <dcterms:created xsi:type="dcterms:W3CDTF">2020-04-01T21:25:00Z</dcterms:created>
  <dcterms:modified xsi:type="dcterms:W3CDTF">2020-04-01T21:25:00Z</dcterms:modified>
</cp:coreProperties>
</file>